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right="0"/>
        <w:jc w:val="both"/>
        <w:rPr>
          <w:rFonts w:hint="eastAsia" w:ascii="宋体" w:hAnsi="宋体" w:eastAsia="宋体" w:cs="宋体"/>
          <w:b w:val="0"/>
          <w:i w:val="0"/>
          <w:caps w:val="0"/>
          <w:color w:val="000000" w:themeColor="text1"/>
          <w:spacing w:val="0"/>
          <w:sz w:val="32"/>
          <w:szCs w:val="32"/>
          <w:lang w:val="en-US" w:eastAsia="zh-CN"/>
          <w14:textFill>
            <w14:solidFill>
              <w14:schemeClr w14:val="tx1"/>
            </w14:solidFill>
          </w14:textFill>
        </w:rPr>
      </w:pPr>
      <w:r>
        <w:rPr>
          <w:rFonts w:hint="eastAsia" w:ascii="宋体" w:hAnsi="宋体" w:eastAsia="宋体" w:cs="宋体"/>
          <w:b w:val="0"/>
          <w:i w:val="0"/>
          <w:caps w:val="0"/>
          <w:color w:val="444444"/>
          <w:spacing w:val="0"/>
          <w:sz w:val="28"/>
          <w:szCs w:val="28"/>
          <w:lang w:val="en-US" w:eastAsia="zh-CN"/>
        </w:rPr>
        <w:t xml:space="preserve">                 </w:t>
      </w:r>
      <w:r>
        <w:rPr>
          <w:rFonts w:hint="eastAsia" w:ascii="宋体" w:hAnsi="宋体" w:eastAsia="宋体" w:cs="宋体"/>
          <w:b w:val="0"/>
          <w:i w:val="0"/>
          <w:caps w:val="0"/>
          <w:color w:val="000000" w:themeColor="text1"/>
          <w:spacing w:val="0"/>
          <w:sz w:val="32"/>
          <w:szCs w:val="32"/>
          <w:lang w:val="en-US" w:eastAsia="zh-CN"/>
          <w14:textFill>
            <w14:solidFill>
              <w14:schemeClr w14:val="tx1"/>
            </w14:solidFill>
          </w14:textFill>
        </w:rPr>
        <w:t>中国工程建设标准化协会2017年第一批产品标准试点项目计划（草案）</w:t>
      </w:r>
    </w:p>
    <w:p>
      <w:pPr>
        <w:jc w:val="center"/>
      </w:pPr>
    </w:p>
    <w:tbl>
      <w:tblPr>
        <w:tblStyle w:val="3"/>
        <w:tblW w:w="13371" w:type="dxa"/>
        <w:tblInd w:w="0" w:type="dxa"/>
        <w:shd w:val="clear" w:color="auto" w:fill="auto"/>
        <w:tblLayout w:type="fixed"/>
        <w:tblCellMar>
          <w:top w:w="0" w:type="dxa"/>
          <w:left w:w="0" w:type="dxa"/>
          <w:bottom w:w="0" w:type="dxa"/>
          <w:right w:w="0" w:type="dxa"/>
        </w:tblCellMar>
      </w:tblPr>
      <w:tblGrid>
        <w:gridCol w:w="623"/>
        <w:gridCol w:w="2007"/>
        <w:gridCol w:w="657"/>
        <w:gridCol w:w="4410"/>
        <w:gridCol w:w="3586"/>
        <w:gridCol w:w="1076"/>
        <w:gridCol w:w="1012"/>
      </w:tblGrid>
      <w:tr>
        <w:tblPrEx>
          <w:shd w:val="clear" w:color="auto" w:fill="auto"/>
          <w:tblLayout w:type="fixed"/>
          <w:tblCellMar>
            <w:top w:w="0" w:type="dxa"/>
            <w:left w:w="0" w:type="dxa"/>
            <w:bottom w:w="0" w:type="dxa"/>
            <w:right w:w="0" w:type="dxa"/>
          </w:tblCellMar>
        </w:tblPrEx>
        <w:trPr>
          <w:trHeight w:val="900"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200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项目名称</w:t>
            </w:r>
          </w:p>
        </w:tc>
        <w:tc>
          <w:tcPr>
            <w:tcW w:w="65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制修订</w:t>
            </w:r>
          </w:p>
        </w:tc>
        <w:tc>
          <w:tcPr>
            <w:tcW w:w="441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适用范围和主要技术内容</w:t>
            </w:r>
          </w:p>
        </w:tc>
        <w:tc>
          <w:tcPr>
            <w:tcW w:w="358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起草单位</w:t>
            </w:r>
          </w:p>
        </w:tc>
        <w:tc>
          <w:tcPr>
            <w:tcW w:w="107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归口单位</w:t>
            </w:r>
          </w:p>
        </w:tc>
        <w:tc>
          <w:tcPr>
            <w:tcW w:w="101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报批时限</w:t>
            </w:r>
          </w:p>
        </w:tc>
      </w:tr>
      <w:tr>
        <w:tblPrEx>
          <w:tblLayout w:type="fixed"/>
          <w:tblCellMar>
            <w:top w:w="0" w:type="dxa"/>
            <w:left w:w="0" w:type="dxa"/>
            <w:bottom w:w="0" w:type="dxa"/>
            <w:right w:w="0" w:type="dxa"/>
          </w:tblCellMar>
        </w:tblPrEx>
        <w:trPr>
          <w:trHeight w:val="2402" w:hRule="atLeast"/>
        </w:trPr>
        <w:tc>
          <w:tcPr>
            <w:tcW w:w="623"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00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丁基橡胶腻子钢板止水带</w:t>
            </w:r>
          </w:p>
        </w:tc>
        <w:tc>
          <w:tcPr>
            <w:tcW w:w="65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44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地下建筑、隧道、地铁、给排水工程、涵洞等结构的接缝密封防水用丁基橡胶腻子钢板止水带。主要内容包括:分类与标记，要求（厚度、耐热性、耐低温，热老化、耐水性、耐化学腐蚀性、与后浇混凝土剥离强度和破坏形式、防窜水性等）试验方法，检验规则，标志、包装、运输、贮存</w:t>
            </w:r>
          </w:p>
        </w:tc>
        <w:tc>
          <w:tcPr>
            <w:tcW w:w="358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防水协会、中国建材科学研究总院苏州防水研究院、国家建筑工程质量监督检验中心、上海市隧道工程轨道交通设计研究院、浙江金汤建筑防水材料有限公司、浙江神州科技化工有限公司、成都赛特防水材料有限责任公司</w:t>
            </w:r>
          </w:p>
        </w:tc>
        <w:tc>
          <w:tcPr>
            <w:tcW w:w="10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2018.06</w:t>
            </w:r>
          </w:p>
        </w:tc>
      </w:tr>
      <w:tr>
        <w:tblPrEx>
          <w:tblLayout w:type="fixed"/>
          <w:tblCellMar>
            <w:top w:w="0" w:type="dxa"/>
            <w:left w:w="0" w:type="dxa"/>
            <w:bottom w:w="0" w:type="dxa"/>
            <w:right w:w="0" w:type="dxa"/>
          </w:tblCellMar>
        </w:tblPrEx>
        <w:trPr>
          <w:trHeight w:val="3161"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不锈钢二次供水水箱</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适用于工业与民用建筑中涉及饮用水不锈钢水箱的设计、生产、安装及检测。主要内容包括：术语及定义，分类，要求，试验方法，检验规则，标志、运输、储存及包裝</w:t>
            </w:r>
          </w:p>
        </w:tc>
        <w:tc>
          <w:tcPr>
            <w:tcW w:w="35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安徽皖水水务发展有限公司、悉地国际设计顾问（深圳）有限公司、中国建筑西北设计研究院有限公司、中元国际（上海）工程设计研究院有限公司、青岛理工大学建筑设计研究院、安徽建筑设计研究院有限公司、阜阳市供水总公司、合肥市卫生监督局、合肥华建供水技术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2018.06</w:t>
            </w:r>
          </w:p>
        </w:tc>
      </w:tr>
      <w:tr>
        <w:tblPrEx>
          <w:tblLayout w:type="fixed"/>
          <w:tblCellMar>
            <w:top w:w="0" w:type="dxa"/>
            <w:left w:w="0" w:type="dxa"/>
            <w:bottom w:w="0" w:type="dxa"/>
            <w:right w:w="0" w:type="dxa"/>
          </w:tblCellMar>
        </w:tblPrEx>
        <w:trPr>
          <w:trHeight w:val="165"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玄武岩—碳纤维复合地暖一体板</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制订</w:t>
            </w: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适用于玄武岩-碳纤维复合地暖一体板。主要内容包括：术语和定义、材料、结构构造、规格和标记、要求、试验方法、智能化温度控制、检验规则、标志、包装、运输与储存</w:t>
            </w:r>
          </w:p>
        </w:tc>
        <w:tc>
          <w:tcPr>
            <w:tcW w:w="35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东南大学玄武岩纤维生产及应用技术国家地方联合工程研究中心、江苏绿材谷新材料科技发展有限公司、重庆后勤工程学院国家救灾应急装备工程技术研究中心</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tblLayout w:type="fixed"/>
          <w:tblCellMar>
            <w:top w:w="0" w:type="dxa"/>
            <w:left w:w="0" w:type="dxa"/>
            <w:bottom w:w="0" w:type="dxa"/>
            <w:right w:w="0" w:type="dxa"/>
          </w:tblCellMar>
        </w:tblPrEx>
        <w:trPr>
          <w:trHeight w:val="1909"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相变储能供热系统</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val="en-US" w:eastAsia="zh-CN"/>
              </w:rPr>
              <w:t>制订</w:t>
            </w: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适用于建筑供热、谷电利用、太阳能利用、风能利用、锅炉余热利用等的相变储能供热系统。主要内容包括：术语和定义、分类和标记、要求、试验方法、检验规则、标识、包裝运输和贮存</w:t>
            </w:r>
          </w:p>
        </w:tc>
        <w:tc>
          <w:tcPr>
            <w:tcW w:w="35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住房和城乡建设部住宅产业化促进中心、江苏启能新能源材料有限公司、中国建筑科学研究院、中国建筑材料科学研究总院、清华大学、重庆大学、中国科学院青海盐湖研究所、中国建筑材料联合会、北京国建联信认证中心有限公司、北京建筑材料科学研究总院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tblLayout w:type="fixed"/>
          <w:tblCellMar>
            <w:top w:w="0" w:type="dxa"/>
            <w:left w:w="0" w:type="dxa"/>
            <w:bottom w:w="0" w:type="dxa"/>
            <w:right w:w="0" w:type="dxa"/>
          </w:tblCellMar>
        </w:tblPrEx>
        <w:trPr>
          <w:trHeight w:val="2254"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相变蓄热装置</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以相变材料作为蓄热介质，传热介质为水、不凝结空气或其他已知比热液体或不凝结气体，具有单一进口和单一出口的蓄热装置。主要内容包括：术语和定义，分类和标记，技术要求，试验方法，检验规则，标志、包装、运输和贮存</w:t>
            </w:r>
          </w:p>
        </w:tc>
        <w:tc>
          <w:tcPr>
            <w:tcW w:w="35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p>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中国建筑科学研究院、北京宇田相变储能科技有限公司、江苏启能新能源材料有限公司、北京广域相变科技有限公司、石家庄中德杰能相变储能材料有限公司、北京精新相能科技有限公司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tblLayout w:type="fixed"/>
          <w:tblCellMar>
            <w:top w:w="0" w:type="dxa"/>
            <w:left w:w="0" w:type="dxa"/>
            <w:bottom w:w="0" w:type="dxa"/>
            <w:right w:w="0" w:type="dxa"/>
          </w:tblCellMar>
        </w:tblPrEx>
        <w:trPr>
          <w:trHeight w:val="1654"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多能源耦合供热系统</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适用于至少包括一种可再生能源形式的多能源耦合供热系统主要内容包括：术语和定义，分类，部件，技术要求，试验方法，标志、包装、运输与贮存</w:t>
            </w:r>
          </w:p>
        </w:tc>
        <w:tc>
          <w:tcPr>
            <w:tcW w:w="35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中国建筑科学研究院、日出东方太阳能股份有限公司、北京四季沐歌太阳能技术有限公司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2019.06</w:t>
            </w:r>
          </w:p>
        </w:tc>
      </w:tr>
      <w:tr>
        <w:tblPrEx>
          <w:tblLayout w:type="fixed"/>
          <w:tblCellMar>
            <w:top w:w="0" w:type="dxa"/>
            <w:left w:w="0" w:type="dxa"/>
            <w:bottom w:w="0" w:type="dxa"/>
            <w:right w:w="0" w:type="dxa"/>
          </w:tblCellMar>
        </w:tblPrEx>
        <w:trPr>
          <w:trHeight w:val="90"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综合管廊用智能井盖</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适用于城市综合管廊用远程控制液压井盖、远程控制电子井盖等智能井盖的生产制造。主要内容包括：术语和定义，分类与型号，产品组成与结构形式，技术要求，试验方法，出厂检验，包装、运输和储存</w:t>
            </w:r>
          </w:p>
        </w:tc>
        <w:tc>
          <w:tcPr>
            <w:tcW w:w="35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住房和城乡建设部住宅产业化促进中心、湖南新光智能科技有限公司、中国建筑标准设计研究院、北京首钢国际工程技术有限公司、北京市政工程建设集团有限责任公司、湖南中建管廊运营有限公司、湖南新创华市政设施制造有限公司、河北韩兴铸业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2018.06</w:t>
            </w:r>
          </w:p>
        </w:tc>
      </w:tr>
      <w:tr>
        <w:tblPrEx>
          <w:tblLayout w:type="fixed"/>
          <w:tblCellMar>
            <w:top w:w="0" w:type="dxa"/>
            <w:left w:w="0" w:type="dxa"/>
            <w:bottom w:w="0" w:type="dxa"/>
            <w:right w:w="0" w:type="dxa"/>
          </w:tblCellMar>
        </w:tblPrEx>
        <w:trPr>
          <w:trHeight w:val="1290"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spacing w:line="340" w:lineRule="exac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绿色尾矿充填固化剂</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spacing w:line="340" w:lineRule="exact"/>
              <w:jc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val="en-US" w:eastAsia="zh-CN"/>
              </w:rPr>
              <w:t>制订</w:t>
            </w: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pStyle w:val="4"/>
              <w:spacing w:line="340" w:lineRule="exact"/>
              <w:ind w:firstLine="0" w:firstLineChars="0"/>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适用于可替代水泥固化尾矿的绿色环保型无机类固化剂。主要内容包括：术语和定义，分类和标记，要求，试验方法，检验规则，标志、包装、运输与贮存</w:t>
            </w:r>
          </w:p>
        </w:tc>
        <w:tc>
          <w:tcPr>
            <w:tcW w:w="35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spacing w:line="340" w:lineRule="exact"/>
              <w:jc w:val="both"/>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科学研究院、武汉三源特种建材有限责任公司、建研建材有限公司、中国恩菲工程技术有限公司、北京矿冶研究院、中国科学院过程工程研究所、陕西煎茶岭镍业有限公司、武平紫金矿业有限公司、紫金矿业集团股份有限公司、福建马坑矿业股份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spacing w:line="340" w:lineRule="exac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绿色建筑与生态城区专业委员会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spacing w:line="340" w:lineRule="exac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2019.06</w:t>
            </w:r>
          </w:p>
        </w:tc>
      </w:tr>
      <w:tr>
        <w:tblPrEx>
          <w:tblLayout w:type="fixed"/>
          <w:tblCellMar>
            <w:top w:w="0" w:type="dxa"/>
            <w:left w:w="0" w:type="dxa"/>
            <w:bottom w:w="0" w:type="dxa"/>
            <w:right w:w="0" w:type="dxa"/>
          </w:tblCellMar>
        </w:tblPrEx>
        <w:trPr>
          <w:trHeight w:val="362"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预涂无机轻质饰面板</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val="en-US" w:eastAsia="zh-CN"/>
              </w:rPr>
              <w:t>制订</w:t>
            </w: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新建、扩建、改建建筑中采用预涂无机轻质饰面板（含石膏板、纤维水泥板、硅酸钙板、玻镁板）的质量控制和评价。主要内容包括：术语和定义，分类及标记，材料，要求，试验方法，检验规则，标志、包装、运输、贮存</w:t>
            </w:r>
          </w:p>
        </w:tc>
        <w:tc>
          <w:tcPr>
            <w:tcW w:w="35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中关村人居环境工程与材料研究院、中国建筑科学研究院、北新集团建材股份有限公司、武汉理工大学、咸阳陶瓷研究设计院、贝高装饰材料（上海）有限公司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绿色建筑与生态城区专业委员会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2019.06</w:t>
            </w:r>
          </w:p>
        </w:tc>
      </w:tr>
      <w:tr>
        <w:tblPrEx>
          <w:tblLayout w:type="fixed"/>
          <w:tblCellMar>
            <w:top w:w="0" w:type="dxa"/>
            <w:left w:w="0" w:type="dxa"/>
            <w:bottom w:w="0" w:type="dxa"/>
            <w:right w:w="0" w:type="dxa"/>
          </w:tblCellMar>
        </w:tblPrEx>
        <w:trPr>
          <w:trHeight w:val="1725"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建筑给水用纳米抗菌不锈钢塑料复合管材与管件</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val="en-US" w:eastAsia="zh-CN"/>
              </w:rPr>
              <w:t>制订</w:t>
            </w: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适用于公称压力不大于2.5MPa的建筑物冷热水输送用纳米抗菌不锈钢塑料复合管材和管件。主要内容包括：分类与标记，原材料、要求，试验方法，检验规则， 标志、包装、运输和储存</w:t>
            </w:r>
          </w:p>
        </w:tc>
        <w:tc>
          <w:tcPr>
            <w:tcW w:w="35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山西新超越管业股份有限公司、中国建筑设计研究院、深圳市建筑设计研究总院有限公司、山西省塑料产品质量监督检验站、太原市塑料研究所、河北衡祥管业有限公司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建筑给水排水专业委员会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2018.06</w:t>
            </w:r>
          </w:p>
        </w:tc>
      </w:tr>
      <w:tr>
        <w:tblPrEx>
          <w:tblLayout w:type="fixed"/>
          <w:tblCellMar>
            <w:top w:w="0" w:type="dxa"/>
            <w:left w:w="0" w:type="dxa"/>
            <w:bottom w:w="0" w:type="dxa"/>
            <w:right w:w="0" w:type="dxa"/>
          </w:tblCellMar>
        </w:tblPrEx>
        <w:trPr>
          <w:trHeight w:val="90"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11</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用于水泥和混凝土中的铅锌铁尾矿微粉</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Helvetica" w:hAnsi="Helvetica" w:eastAsia="宋体" w:cs="Helvetica"/>
                <w:b w:val="0"/>
                <w:i w:val="0"/>
                <w:caps w:val="0"/>
                <w:color w:val="000000"/>
                <w:spacing w:val="0"/>
                <w:sz w:val="24"/>
                <w:szCs w:val="24"/>
                <w:lang w:val="en-US" w:eastAsia="zh-CN"/>
              </w:rPr>
              <w:t>适用于</w:t>
            </w:r>
            <w:r>
              <w:rPr>
                <w:rFonts w:ascii="Helvetica" w:hAnsi="Helvetica" w:eastAsia="Helvetica" w:cs="Helvetica"/>
                <w:b w:val="0"/>
                <w:i w:val="0"/>
                <w:caps w:val="0"/>
                <w:color w:val="000000"/>
                <w:spacing w:val="0"/>
                <w:sz w:val="24"/>
                <w:szCs w:val="24"/>
              </w:rPr>
              <w:t>水泥生产中作为混合材料及拌制混凝土和砂浆时作为掺合料的铅锌铁尾矿微粉。</w:t>
            </w:r>
            <w:r>
              <w:rPr>
                <w:rFonts w:hint="eastAsia" w:ascii="宋体" w:hAnsi="宋体" w:eastAsia="宋体" w:cs="宋体"/>
                <w:i w:val="0"/>
                <w:color w:val="auto"/>
                <w:sz w:val="24"/>
                <w:szCs w:val="24"/>
                <w:u w:val="none"/>
                <w:lang w:val="en-US" w:eastAsia="zh-CN"/>
              </w:rPr>
              <w:t>主要内容包括：术语和定义，技术要求，试验方法，检验规则，包装、标志、运输与贮存</w:t>
            </w:r>
          </w:p>
        </w:tc>
        <w:tc>
          <w:tcPr>
            <w:tcW w:w="35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福建省新创化建科技有限公司、中国建筑科学研究院、中国建筑材料科学研究总院、山东金玺泰矿业有限公司、福建省建筑科学研究院、深圳市水泥及制品协会、中节能金砖（福建）资源再生有限公司、河南大学、深圳市安托山混凝土有限公司、北京科技大学</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混凝土结构专业委员会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2018.06</w:t>
            </w:r>
          </w:p>
        </w:tc>
      </w:tr>
      <w:tr>
        <w:tblPrEx>
          <w:tblLayout w:type="fixed"/>
          <w:tblCellMar>
            <w:top w:w="0" w:type="dxa"/>
            <w:left w:w="0" w:type="dxa"/>
            <w:bottom w:w="0" w:type="dxa"/>
            <w:right w:w="0" w:type="dxa"/>
          </w:tblCellMar>
        </w:tblPrEx>
        <w:trPr>
          <w:trHeight w:val="1735"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12</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钢筋连接用灌浆金属波纹管</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val="en-US" w:eastAsia="zh-CN"/>
              </w:rPr>
              <w:t>制订</w:t>
            </w: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适用于桥梁及其他建筑结构预制拼装构件间的连接用灌浆金属波纹管的生产制造、检验等。主要内容包括：术语和定义、分类、材料及型号，技术要求，试验方法，检验规则，标识、包装、运输和贮存</w:t>
            </w:r>
          </w:p>
        </w:tc>
        <w:tc>
          <w:tcPr>
            <w:tcW w:w="35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上海市政工程设计研究总院（集团）有限公司、上海公路投资建设发展有限公司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混凝土结构专业委员会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tblLayout w:type="fixed"/>
          <w:tblCellMar>
            <w:top w:w="0" w:type="dxa"/>
            <w:left w:w="0" w:type="dxa"/>
            <w:bottom w:w="0" w:type="dxa"/>
            <w:right w:w="0" w:type="dxa"/>
          </w:tblCellMar>
        </w:tblPrEx>
        <w:trPr>
          <w:trHeight w:val="90"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预制节段拼装结构拼缝胶</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val="en-US" w:eastAsia="zh-CN"/>
              </w:rPr>
              <w:t>制订</w:t>
            </w: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标准适用于桥梁预制节段拼装的胶接缝施工，一般钢筋混凝土预制构件胶接缝拼接，土木结构材料的自粘或互粘用的预制节段拼装结构拼缝胶。主要内容包括：术语和定义，技术要求，试验方法，检验规则，标志、包装、运输和贮存</w:t>
            </w:r>
          </w:p>
        </w:tc>
        <w:tc>
          <w:tcPr>
            <w:tcW w:w="35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中国建筑科学研究院、湖南固特邦土木技术发展有限公司、湖南大学、建研科技股份有限公司、北京中德新亚建筑技术有限公司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混凝土结构专业委员会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2019.06</w:t>
            </w:r>
          </w:p>
        </w:tc>
      </w:tr>
      <w:tr>
        <w:tblPrEx>
          <w:tblLayout w:type="fixed"/>
          <w:tblCellMar>
            <w:top w:w="0" w:type="dxa"/>
            <w:left w:w="0" w:type="dxa"/>
            <w:bottom w:w="0" w:type="dxa"/>
            <w:right w:w="0" w:type="dxa"/>
          </w:tblCellMar>
        </w:tblPrEx>
        <w:trPr>
          <w:trHeight w:val="3489"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14</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燃气采暖热水炉及热水器用燃烧器</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适用于以城镇燃气为燃料的燃气采暖热水炉及热水器用燃烧器。主要内容包括：术语和定义、分类、材料、要求、试验方法、检验规则</w:t>
            </w:r>
          </w:p>
        </w:tc>
        <w:tc>
          <w:tcPr>
            <w:tcW w:w="35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台州市迪欧电器有限公司、国家燃气用具质量监督检验中心、上海禾森机电有限公司、博世热力技术（上海）有限公司、中山市黄圃镇辽源五金电器、青岛经济技术开发区海尔热水器有限公司、上海金巨源热能技术有限公司、艾欧史密斯（中国）热水器有限公司、江苏叶茂厨卫科技有限公司、威能（无锡）供热设备有限公司、台州乐达卫厨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城镇燃气专业委员会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2018.09</w:t>
            </w:r>
          </w:p>
        </w:tc>
      </w:tr>
      <w:tr>
        <w:tblPrEx>
          <w:tblLayout w:type="fixed"/>
          <w:tblCellMar>
            <w:top w:w="0" w:type="dxa"/>
            <w:left w:w="0" w:type="dxa"/>
            <w:bottom w:w="0" w:type="dxa"/>
            <w:right w:w="0" w:type="dxa"/>
          </w:tblCellMar>
        </w:tblPrEx>
        <w:trPr>
          <w:trHeight w:val="3489"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15</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供暖器具用屏蔽式循环泵</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适用于以水为介质传递热能，以燃气、电、油、空气源和太阳能等为热源的供暖器具。主要内容包括：术语和定义、分类、材料、要求、试验方法、检验规则</w:t>
            </w:r>
          </w:p>
        </w:tc>
        <w:tc>
          <w:tcPr>
            <w:tcW w:w="35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合肥新沪屏敝泵有限公司、国家燃气用具质量监督检验中心、格兰富水泵（上海）有限公司、浙江欧尼卡热能技术有限公司、青岛经济技术开发区海尔热水器有限公司、绍兴泰克精工机电有限公司、艾欧史密斯（中国）热水器有限公司、绍兴艾柯电气有限公司、广东万和热能科技有限公司、威乐（中国）水泵系统有限公司、博世热力技术（上海）有限公司、北京菲斯曼供热技术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城镇燃气专业委员会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2018.06</w:t>
            </w:r>
          </w:p>
        </w:tc>
      </w:tr>
      <w:tr>
        <w:tblPrEx>
          <w:tblLayout w:type="fixed"/>
          <w:tblCellMar>
            <w:top w:w="0" w:type="dxa"/>
            <w:left w:w="0" w:type="dxa"/>
            <w:bottom w:w="0" w:type="dxa"/>
            <w:right w:w="0" w:type="dxa"/>
          </w:tblCellMar>
        </w:tblPrEx>
        <w:trPr>
          <w:trHeight w:val="3779"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16</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内置隔膜密闭式膨胀水箱</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适用于以水为介质，安装在加热、冷却系统或饮用水系统中的膨胀水箱。主要内容</w:t>
            </w:r>
            <w:bookmarkStart w:id="0" w:name="_GoBack"/>
            <w:bookmarkEnd w:id="0"/>
            <w:r>
              <w:rPr>
                <w:rFonts w:hint="eastAsia" w:ascii="宋体" w:hAnsi="宋体" w:eastAsia="宋体" w:cs="宋体"/>
                <w:i w:val="0"/>
                <w:color w:val="auto"/>
                <w:sz w:val="24"/>
                <w:szCs w:val="24"/>
                <w:u w:val="none"/>
                <w:lang w:val="en-US" w:eastAsia="zh-CN"/>
              </w:rPr>
              <w:t>包括：术语和定义、分类、材料、要求、试验方法、检验规则</w:t>
            </w:r>
          </w:p>
        </w:tc>
        <w:tc>
          <w:tcPr>
            <w:tcW w:w="35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浙江菲达精工机械有限公司、国家燃气用具质量监督检验中心、台州市迪欧电器有限公司、阿里斯顿热能产品（中国）有限公司、齐尔美特精密部件加工（南通）有限公司、艾欧史密斯（中国）热水器有限公司、无锡灵桥机械设备有限公司、广东万和热能科技有限公司、浙江豪路热能科技有限公司、浙江普尔法智能电气有限公司、无锡市琦盛机械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城镇燃气专业委员会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2018.06</w:t>
            </w:r>
          </w:p>
        </w:tc>
      </w:tr>
      <w:tr>
        <w:tblPrEx>
          <w:tblLayout w:type="fixed"/>
          <w:tblCellMar>
            <w:top w:w="0" w:type="dxa"/>
            <w:left w:w="0" w:type="dxa"/>
            <w:bottom w:w="0" w:type="dxa"/>
            <w:right w:w="0" w:type="dxa"/>
          </w:tblCellMar>
        </w:tblPrEx>
        <w:trPr>
          <w:trHeight w:val="90"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17</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公路自平衡预应力中空棒</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适用于预应力混凝土工程，包括桥梁、建筑、公路等混凝土工程。主要内容包括：术语和定义、技术要求、预应力张拉技术要求、检验方法</w:t>
            </w:r>
          </w:p>
        </w:tc>
        <w:tc>
          <w:tcPr>
            <w:tcW w:w="35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杭州图强工程材料有限公司、同济大学、浙江省交通规划设计研究院、杭州丰强土建工程研究院</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公路分会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extDirection w:val="lrTb"/>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2019.01</w:t>
            </w:r>
          </w:p>
        </w:tc>
      </w:tr>
    </w:tbl>
    <w:p>
      <w:pPr>
        <w:rPr>
          <w:rFonts w:hint="eastAsia" w:ascii="宋体" w:hAnsi="宋体" w:eastAsia="宋体" w:cs="宋体"/>
          <w:sz w:val="24"/>
          <w:szCs w:val="24"/>
        </w:rPr>
      </w:pPr>
    </w:p>
    <w:sectPr>
      <w:pgSz w:w="16838" w:h="11906" w:orient="landscape"/>
      <w:pgMar w:top="1066" w:right="1270" w:bottom="1066" w:left="127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F20B0"/>
    <w:rsid w:val="017704FA"/>
    <w:rsid w:val="05693701"/>
    <w:rsid w:val="06177F0B"/>
    <w:rsid w:val="087229F9"/>
    <w:rsid w:val="09C2205A"/>
    <w:rsid w:val="0DD1765A"/>
    <w:rsid w:val="0E7B353E"/>
    <w:rsid w:val="0F8C1741"/>
    <w:rsid w:val="15546660"/>
    <w:rsid w:val="1E5C2FF3"/>
    <w:rsid w:val="29523FDC"/>
    <w:rsid w:val="2AB3762A"/>
    <w:rsid w:val="2C835E43"/>
    <w:rsid w:val="2F834BE3"/>
    <w:rsid w:val="30DB385E"/>
    <w:rsid w:val="31DB6F0C"/>
    <w:rsid w:val="33C6028E"/>
    <w:rsid w:val="34953A3C"/>
    <w:rsid w:val="34E5695E"/>
    <w:rsid w:val="36EE4F7C"/>
    <w:rsid w:val="38855E32"/>
    <w:rsid w:val="3DE958C9"/>
    <w:rsid w:val="3F7E550B"/>
    <w:rsid w:val="42465508"/>
    <w:rsid w:val="44F67816"/>
    <w:rsid w:val="474F0946"/>
    <w:rsid w:val="47C400F4"/>
    <w:rsid w:val="48597318"/>
    <w:rsid w:val="48A315E1"/>
    <w:rsid w:val="50E46A20"/>
    <w:rsid w:val="51080DF9"/>
    <w:rsid w:val="533E159F"/>
    <w:rsid w:val="553356EF"/>
    <w:rsid w:val="55340F06"/>
    <w:rsid w:val="57E112B8"/>
    <w:rsid w:val="5D074DE5"/>
    <w:rsid w:val="5DBA2694"/>
    <w:rsid w:val="619E6766"/>
    <w:rsid w:val="62AC62D0"/>
    <w:rsid w:val="65E825CC"/>
    <w:rsid w:val="6947186F"/>
    <w:rsid w:val="6AE07F0A"/>
    <w:rsid w:val="6B1538FE"/>
    <w:rsid w:val="6C513F58"/>
    <w:rsid w:val="6DFF0A91"/>
    <w:rsid w:val="716524A7"/>
    <w:rsid w:val="724E6BD3"/>
    <w:rsid w:val="737A736F"/>
    <w:rsid w:val="73977515"/>
    <w:rsid w:val="788D359E"/>
    <w:rsid w:val="7C4F20B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bg正文"/>
    <w:basedOn w:val="1"/>
    <w:qFormat/>
    <w:uiPriority w:val="0"/>
    <w:pPr>
      <w:widowControl/>
      <w:spacing w:line="440" w:lineRule="exact"/>
      <w:ind w:firstLine="200" w:firstLineChars="200"/>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2016-09-20T08:13:00Z</dcterms:created>
  <dc:creator>Lenovon</dc:creator>
  <cp:lastModifiedBy>Administrator</cp:lastModifiedBy>
  <cp:lastPrinted>2016-09-27T00:59:00Z</cp:lastPrinted>
  <dcterms:modified xsi:type="dcterms:W3CDTF">2017-04-26T02:35:58Z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