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right="0"/>
        <w:jc w:val="both"/>
        <w:rPr>
          <w:rFonts w:hint="eastAsia" w:ascii="宋体" w:hAnsi="宋体" w:eastAsia="宋体" w:cs="宋体"/>
          <w:b w:val="0"/>
          <w:i w:val="0"/>
          <w:caps w:val="0"/>
          <w:color w:val="000000" w:themeColor="text1"/>
          <w:spacing w:val="0"/>
          <w:sz w:val="32"/>
          <w:szCs w:val="32"/>
          <w:lang w:val="en-US" w:eastAsia="zh-CN"/>
          <w14:textFill>
            <w14:solidFill>
              <w14:schemeClr w14:val="tx1"/>
            </w14:solidFill>
          </w14:textFill>
        </w:rPr>
      </w:pPr>
      <w:r>
        <w:rPr>
          <w:rFonts w:hint="eastAsia" w:ascii="宋体" w:hAnsi="宋体" w:eastAsia="宋体" w:cs="宋体"/>
          <w:b w:val="0"/>
          <w:i w:val="0"/>
          <w:caps w:val="0"/>
          <w:color w:val="444444"/>
          <w:spacing w:val="0"/>
          <w:sz w:val="28"/>
          <w:szCs w:val="28"/>
          <w:lang w:val="en-US" w:eastAsia="zh-CN"/>
        </w:rPr>
        <w:t xml:space="preserve">                 </w:t>
      </w:r>
      <w:r>
        <w:rPr>
          <w:rFonts w:hint="eastAsia" w:ascii="宋体" w:hAnsi="宋体" w:eastAsia="宋体" w:cs="宋体"/>
          <w:b w:val="0"/>
          <w:i w:val="0"/>
          <w:caps w:val="0"/>
          <w:color w:val="000000" w:themeColor="text1"/>
          <w:spacing w:val="0"/>
          <w:sz w:val="32"/>
          <w:szCs w:val="32"/>
          <w:lang w:val="en-US" w:eastAsia="zh-CN"/>
          <w14:textFill>
            <w14:solidFill>
              <w14:schemeClr w14:val="tx1"/>
            </w14:solidFill>
          </w14:textFill>
        </w:rPr>
        <w:t>中国工程建设标准化协会2017年第二批产品标准试点项目计划</w:t>
      </w:r>
    </w:p>
    <w:p>
      <w:pPr>
        <w:jc w:val="center"/>
      </w:pPr>
    </w:p>
    <w:tbl>
      <w:tblPr>
        <w:tblStyle w:val="3"/>
        <w:tblW w:w="13371" w:type="dxa"/>
        <w:tblInd w:w="0" w:type="dxa"/>
        <w:shd w:val="clear" w:color="auto" w:fill="auto"/>
        <w:tblLayout w:type="fixed"/>
        <w:tblCellMar>
          <w:top w:w="0" w:type="dxa"/>
          <w:left w:w="0" w:type="dxa"/>
          <w:bottom w:w="0" w:type="dxa"/>
          <w:right w:w="0" w:type="dxa"/>
        </w:tblCellMar>
      </w:tblPr>
      <w:tblGrid>
        <w:gridCol w:w="623"/>
        <w:gridCol w:w="1561"/>
        <w:gridCol w:w="645"/>
        <w:gridCol w:w="3900"/>
        <w:gridCol w:w="4554"/>
        <w:gridCol w:w="1076"/>
        <w:gridCol w:w="1012"/>
      </w:tblGrid>
      <w:tr>
        <w:tblPrEx>
          <w:shd w:val="clear" w:color="auto" w:fill="auto"/>
          <w:tblLayout w:type="fixed"/>
          <w:tblCellMar>
            <w:top w:w="0" w:type="dxa"/>
            <w:left w:w="0" w:type="dxa"/>
            <w:bottom w:w="0" w:type="dxa"/>
            <w:right w:w="0" w:type="dxa"/>
          </w:tblCellMar>
        </w:tblPrEx>
        <w:trPr>
          <w:trHeight w:val="90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序号</w:t>
            </w:r>
          </w:p>
        </w:tc>
        <w:tc>
          <w:tcPr>
            <w:tcW w:w="1561"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项目名称</w:t>
            </w:r>
          </w:p>
        </w:tc>
        <w:tc>
          <w:tcPr>
            <w:tcW w:w="64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制、修订</w:t>
            </w:r>
          </w:p>
        </w:tc>
        <w:tc>
          <w:tcPr>
            <w:tcW w:w="390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适用范围和主要技术内容</w:t>
            </w:r>
          </w:p>
        </w:tc>
        <w:tc>
          <w:tcPr>
            <w:tcW w:w="4554"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起草单位</w:t>
            </w:r>
          </w:p>
        </w:tc>
        <w:tc>
          <w:tcPr>
            <w:tcW w:w="107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归口单位</w:t>
            </w:r>
          </w:p>
        </w:tc>
        <w:tc>
          <w:tcPr>
            <w:tcW w:w="1012"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报批时限</w:t>
            </w:r>
          </w:p>
        </w:tc>
      </w:tr>
      <w:tr>
        <w:tblPrEx>
          <w:tblLayout w:type="fixed"/>
          <w:tblCellMar>
            <w:top w:w="0" w:type="dxa"/>
            <w:left w:w="0" w:type="dxa"/>
            <w:bottom w:w="0" w:type="dxa"/>
            <w:right w:w="0" w:type="dxa"/>
          </w:tblCellMar>
        </w:tblPrEx>
        <w:trPr>
          <w:trHeight w:val="1397" w:hRule="atLeast"/>
        </w:trPr>
        <w:tc>
          <w:tcPr>
            <w:tcW w:w="623"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156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装楼机通用技术条件</w:t>
            </w:r>
          </w:p>
        </w:tc>
        <w:tc>
          <w:tcPr>
            <w:tcW w:w="64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适用于民用和工业装配式建筑的安装及施工机械。主要内容包括：范围、规范性引用文件、术语和定义、品种、规格和结构形式、性能要求、检验方法和验收规则等</w:t>
            </w:r>
          </w:p>
        </w:tc>
        <w:tc>
          <w:tcPr>
            <w:tcW w:w="455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河北卓达建材研究院有限公司</w:t>
            </w:r>
          </w:p>
        </w:tc>
        <w:tc>
          <w:tcPr>
            <w:tcW w:w="10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1731"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2</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结构用轻质混凝土集料</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适用于民用和工业建筑结构混凝土用轻集料，包括天然轻集料和人造轻集料。主要内容包括：范围、规范性引用文件、术语和定义、种类、技术要求、试验方法、检验规则、产品合格证、堆放和运输</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广东清大同科环保技术有限公司、东莞深圳清华大学研究院创新中心、北京亿源恒昌建材科技中心</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165"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钢塑复合压力管用电磁感应双热熔焊接管件</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适用于建筑小区室外和建筑室内冷热水和供暖管道。主要内容包括:范围，规范性引用文件，术语和定义、符号、缩略语，材料，分类，要求，试验方法，检验规则，标志、包装、运输和贮存</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天津军星管业集团有限公司、浙江双林塑料机械有限公司、国家化学建筑材料测试中心（材料测试部）</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1909"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民用建筑室内空气恒流采样器</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适用于民用建筑工程室内环境污染控制规范使用的民用建筑室内空气恒流采样器。主要内容包括：适用范围、术语和符号、基本规定、符号、产品型号、要求、试验方法、检验规则、标志包装及运输</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河南省建筑科学研究院有限公司、国家建筑工程室内环境检测中心、上海步青仪器设备有限公司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1549"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无机胶凝材料粘结剂</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适用于锚固、结构加固、防水堵漏、作为防火涂料等领域。主要内容包括：范围，规范性引用文件，术语和定义，技术要求，试验方法，检验规则，标志、包装、运输和贮存</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福建省建筑科学研究院、福州大学、唐山北极熊建材有限公司、福建省交通科学技术研究所、同济大学</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r>
        <w:tblPrEx>
          <w:tblLayout w:type="fixed"/>
          <w:tblCellMar>
            <w:top w:w="0" w:type="dxa"/>
            <w:left w:w="0" w:type="dxa"/>
            <w:bottom w:w="0" w:type="dxa"/>
            <w:right w:w="0" w:type="dxa"/>
          </w:tblCellMar>
        </w:tblPrEx>
        <w:trPr>
          <w:trHeight w:val="1654"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空气过滤材料对20-500纳米球形颗粒物净化效率试验方法</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适用于空气过滤材料对于粒径在20-500nm范围内球形颗粒物计径净化效率测试的试验仪器及试验方法。主要内容包括：范围、术语、基本原则、试验仪器、试验装置、试验方法、试验装置维护及结果报告</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中国建筑科学研究院、清华大学、天津大学、军事医学科学院卫生装备研究所</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7</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建筑外墙保温装饰一体板</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适用于新建、扩建、改建及既有建筑节能改造的民用建筑外墙节能工程中采用的保温装饰一体板。主要内容包括：范围、规范性引用文件、术语和定义、分类、材料、要求、检验规则、试验方法</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中国建筑科学研究院、北京市建筑设计研究院、烟台万华新材料有限公司、浙江科达新型材料有限公司、江苏博思源新材料有限公司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12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8</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整体式机电一体化空调冷冻站</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40" w:lineRule="exact"/>
              <w:jc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
              <w:spacing w:line="340" w:lineRule="exact"/>
              <w:ind w:firstLine="0" w:firstLineChars="0"/>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适用于整体式机电一体化空调冷冻站。主要内容包括：范围、规范性引用文件、术语和定义、分类与组成、一般规定、整体技术要求、试验方法、检验规则、交付准备</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40" w:lineRule="exact"/>
              <w:jc w:val="both"/>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中国建筑科学研究院、北京星达科技发展有限公司、国家空调设备质量监督检验中心、北京卫星制造厂</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340" w:lineRule="exac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455"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9</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聚氯乙烯（PVC）塑料排水检查井</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适用于聚氯乙烯（PVC）塑料排水检查井。主要内容包括：总则，术语和定义，构造、分类及标记，材料，要求，试验方法，检验规则，标志、包装、运输和储存</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标准设计研究院有限公司、山东东信塑胶有限公司、北京市市政工程设计研究总院有限公司、国家化学建筑材料测试中心、亚太建设科技信息研究所、山东省建筑设计研究院、山东省产品质量检验研究院、聊城市产品质量监督检验所、山东信发博汇塑胶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12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10</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水性非固化橡胶沥青防水涂料</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适用于建设工程非外露防水用的水性非固化橡胶沥青防水涂料。主要内容包括：术语和定义、分类、标记、一般要求、技术要求、试验方法、检验规则以及标志、包装、运输和贮存</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苏州非金属矿工业设计研究院有限公司、江苏邦辉化工科技实业发展有限公司、中国建筑科学研究院建筑建材研究所、辽宁九鼎宏泰防水科技有限公司、松喆（天津）科技开发有限公司、中国建材检验认证集团苏州有限公司、江阴正邦化学品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建筑与市政工程产品应用分会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362"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11</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波浪式无内拉筋不锈钢水箱</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以不锈钢板材、型材为主体结构，采用氩弧焊接法，焊接而成的整体式不锈钢水箱。主要内容包括：范围，规范性引用文件，术语和定义，产品结构与规格型号，要求，试验方法，检验规则，标志，包装、运输及贮存</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北京精铭泰工程技术开发有限公司、中国建筑设计院有限公司、中国建筑东北设计研究院有限公司、中国建筑西南设计研究院有限公司、中国建筑西北设计研究院有限公司、北京市建筑设计研究院有限公司、华东建筑设计研究总院、莆田市水务集团有限公司、福建铭阳水务服务有限公司、北京骏飞腾科技发展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建筑给水排水专业委员会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2915"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 12</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罐式变频调速给水设备</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适用于设备出口工作压力不大于1. 6MPa的生活、生产给水系统用罐式变频调速给水设备。主要内容包括：范围，规范性引用文件，术语和定义，分类和型号，环境和工作条件，材料，要求，试验方法，检验规则，标志，包装、运输和贮存</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400" w:lineRule="exact"/>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筑东北设计研究院有限公司、中国建筑西南设计研究院有限公司、中国建筑西北设计研究院有限公司、北京市建筑设计研究院有限公司、华东建筑设计研究总院、莆田市水务集团有限公司、福建铭阳水务服务有限公司、北京骏飞腾科技发展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建筑给水排水专业委员会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1935"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13</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公用终端直饮水设备</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适用于公用终端直饮水设备。主要内容包括：总则，术语，产品的分类，产品要求，试验方法，检验规则，维护管理，标志、使用说明、包装、运输和贮存</w:t>
            </w:r>
          </w:p>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p>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bookmarkStart w:id="0" w:name="_GoBack"/>
            <w:bookmarkEnd w:id="0"/>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上海水成环保科技有限公司、上海建筑设计研究院有限公司、华东建筑设计研究总院、上海美恩环保设备有限公司、北京盛邦环水科技有限公司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建筑给水排水专业委员会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r>
        <w:tblPrEx>
          <w:tblLayout w:type="fixed"/>
          <w:tblCellMar>
            <w:top w:w="0" w:type="dxa"/>
            <w:left w:w="0" w:type="dxa"/>
            <w:bottom w:w="0" w:type="dxa"/>
            <w:right w:w="0" w:type="dxa"/>
          </w:tblCellMar>
        </w:tblPrEx>
        <w:trPr>
          <w:trHeight w:val="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14</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燃气采暖热水炉及热水器用水路组件</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适用于燃气采暖热水炉和热水器用水路组件。主要内容包括：范围、规范性引用文件、术语和定义、分类、材料、要求、试验方法、检验规则</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浙江华益精密机械股份有限公司、国家燃气用具质量监督检验中心、浙江菲达精工机械有限公司、博世热力技术（上海）有限公司、逝江艾默樱网络科技有限公司、青岛经济技术开发区海尔热水器有限公司，珠海吉泰克燃气设备技术有限公司、艾欧史密斯（中国）热水器有限公司、浙江春晖智能控制股份有限公司、威能（无锡）供热设备有限公司、广东铃木智能科技有限公司、绍兴上虞凯迪精工机械有限公司、广州迪森家居环境技术有限公司、诸暨市霖鑫机械科技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城镇燃气专业委员会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r>
        <w:tblPrEx>
          <w:tblLayout w:type="fixed"/>
          <w:tblCellMar>
            <w:top w:w="0" w:type="dxa"/>
            <w:left w:w="0" w:type="dxa"/>
            <w:bottom w:w="0" w:type="dxa"/>
            <w:right w:w="0" w:type="dxa"/>
          </w:tblCellMar>
        </w:tblPrEx>
        <w:trPr>
          <w:trHeight w:val="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15</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供暖器具及供暖系统用钎焊板式换热器</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适用于壁挂炉、模块炉和供暖系统用钎焊式板式换热器。主要内容包括：范围、规范性引用文件、术语和定义、分类、材料、要求、试验方法、检验规则、型号规范</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宁波市哈雷换热设备有限公司、国家燃气用具质量监督检验中心、浙江广涛卫厨有限公司、博世热力技术（上海）有限公司、江苏菲尔克斯换热科技有限公司、艾欧史密斯（中国）热水器有限公司、浙江圣松热交换器有限公司、威能（无锡）供热设备有限公司、苏州舒瑞普科技有限公司、广东万和热能科技有限公司、广州迪森家居环境技术有限公司、青岛经济技术开发区海尔热水器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城镇燃气专业委员会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r>
        <w:tblPrEx>
          <w:tblLayout w:type="fixed"/>
          <w:tblCellMar>
            <w:top w:w="0" w:type="dxa"/>
            <w:left w:w="0" w:type="dxa"/>
            <w:bottom w:w="0" w:type="dxa"/>
            <w:right w:w="0" w:type="dxa"/>
          </w:tblCellMar>
        </w:tblPrEx>
        <w:trPr>
          <w:trHeight w:val="2804"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16</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石膏基自密实混凝土</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石膏基自密实混凝土的相关指标性能和实验方法，主要包括：坍落扩展度、泌水率、弹性模量、抗折强度、抗压强度、尺寸稳定性、耐磨性等。主要内容包括：范围，规范性引用文件，术语和定义，分类和标记，原料，技术要求，实验方法，检验规则，包装、标志、运输、贮存</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山东博瑞新材料科技有限公司、济南大学、山东博宏科技有限公司、山东美迪建材有限公司、武汉科技大学、山东省建筑科学研究院、山东东虹工贸有限公司、桂林理工大学</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砌体结构专业委员会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2584"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17</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建材产品碳足迹—产品种类规则（CF-PCR)</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建材产品碳足迹—产品种类规则。主要内容包括：适用范围、规范性引用文件、术语和定义、原则、产品描述、系统边界、数据质量管理和验证、输入和输出的选择准则、碳足迹的计算范围、原材料生产的碳排放、产品生产的碳排放、运输的碳排放因子、建材产品基于生命周期额碳排放</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中国建材检验认证集团股份有限公司、住房和城乡建设部住宅产业化促进中心、中国建筑科学研究院、北京工业大学、北京国建联信认证中心</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2614"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18</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建筑反射隔热涂料</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适用于新建、扩建和改建的民用建筑中，采用的建筑反射隔热涂料。主要内容包括：总则、规范性引用文件、术语、基本规定、材料性能要求、试验方法、检验规则</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江苏省建筑科学研究院有限公司、中国建材检验认证集团股份有限公司、广东省建筑科学研究院集团公司、厦门市建筑科学研究院集团股份有限公司、四川省建筑科学研究院、陕西省建筑科学研究院、深圳建筑科学研究院集团股份有限公司、新疆建筑科学研究院、重庆大学、住房和城乡建设部标准定额研究所</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1964"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19</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反射隔热金属板</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适用于建筑用反射隔热金属板。主要内容包括：前言、范围、规范性引用文件、术语及定义、分类、性能要求、试验方法、检验规则</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四川省建筑科学研究院、广东省建筑科学研究院、江苏省建筑科学研究院、深圳市建筑科学研究院、厦门建筑科学研究院、新疆维吾尔自治区建筑科学研究院、陕西省建筑科学研究院、住房和城乡建设部标准定额研究所、重庆大学</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2636"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建筑反射隔热涂料自然老化试验方法</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适用于建筑反射隔热涂料在自然老化的试验方法。主要内容包括：总则、术语、检测设备、试验样品、试验条件、自然老化试验、结果、试验报告</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厦门市建筑科学研究院集团股份有限公司、厦门市工程检测中心有限公司、住房和城乡建设部标准定额研究所、广东省建筑科学研究院集团股份有限公司、中国建材检验认证集团股份有限公司、四川省建筑科学研究院、深圳市建筑科学研究院股份有限公司、江苏省建筑科学研究院有限公司、重庆大学、陕西省建筑科学研究院、新疆维吾尔族自治区建筑科学研究院</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绿色建筑与生态城区专业委员会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21</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混凝土用粉煤灰中释放氨的限量</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适用于混凝土用粉煤灰中释放氨的限量。主要内容包括：适用范围，术语、定义、符号，技术要求，试验方法，检验规则</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河南省建筑科学研究院有限公司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混凝土结构专业委员会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2019.12</w:t>
            </w:r>
          </w:p>
        </w:tc>
      </w:tr>
      <w:tr>
        <w:tblPrEx>
          <w:tblLayout w:type="fixed"/>
          <w:tblCellMar>
            <w:top w:w="0" w:type="dxa"/>
            <w:left w:w="0" w:type="dxa"/>
            <w:bottom w:w="0" w:type="dxa"/>
            <w:right w:w="0" w:type="dxa"/>
          </w:tblCellMar>
        </w:tblPrEx>
        <w:trPr>
          <w:trHeight w:val="1739"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22</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耐腐蚀预制混凝土桩</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适用于中、强腐蚀等级的工业与民用建筑工程、海港工程及市政、桥梁、公路、铁路、水利等工程使用。主要内容包括：范围，规范性引用文件，术语和定义，技术要求，试验方法，检验规则，标志、包装、运输、储存</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广东三和管桩股份有限公司、建研地基基础工程有限责任公司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混凝土结构专业委员会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2018.12</w:t>
            </w:r>
          </w:p>
        </w:tc>
      </w:tr>
      <w:tr>
        <w:tblPrEx>
          <w:tblLayout w:type="fixed"/>
          <w:tblCellMar>
            <w:top w:w="0" w:type="dxa"/>
            <w:left w:w="0" w:type="dxa"/>
            <w:bottom w:w="0" w:type="dxa"/>
            <w:right w:w="0" w:type="dxa"/>
          </w:tblCellMar>
        </w:tblPrEx>
        <w:trPr>
          <w:trHeight w:val="1490" w:hRule="atLeast"/>
        </w:trPr>
        <w:tc>
          <w:tcPr>
            <w:tcW w:w="6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23</w:t>
            </w:r>
          </w:p>
        </w:tc>
        <w:tc>
          <w:tcPr>
            <w:tcW w:w="15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公路隧道检测车</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制订</w:t>
            </w:r>
          </w:p>
        </w:tc>
        <w:tc>
          <w:tcPr>
            <w:tcW w:w="3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sz w:val="24"/>
              </w:rPr>
              <w:t>适用于各级</w:t>
            </w:r>
            <w:r>
              <w:rPr>
                <w:rFonts w:hint="eastAsia"/>
                <w:color w:val="000000"/>
                <w:sz w:val="24"/>
              </w:rPr>
              <w:t>公路隧道的检测车。</w:t>
            </w:r>
            <w:r>
              <w:rPr>
                <w:rFonts w:hint="eastAsia" w:ascii="宋体"/>
                <w:sz w:val="24"/>
              </w:rPr>
              <w:t>主要内容包括：总则、术语和符号、</w:t>
            </w:r>
            <w:r>
              <w:rPr>
                <w:rFonts w:hint="eastAsia"/>
                <w:sz w:val="24"/>
              </w:rPr>
              <w:t>基本规格</w:t>
            </w:r>
            <w:r>
              <w:rPr>
                <w:rFonts w:hint="eastAsia" w:ascii="宋体"/>
                <w:sz w:val="24"/>
              </w:rPr>
              <w:t>、</w:t>
            </w:r>
            <w:r>
              <w:rPr>
                <w:rFonts w:hint="eastAsia"/>
                <w:sz w:val="24"/>
              </w:rPr>
              <w:t>技术要求</w:t>
            </w:r>
            <w:r>
              <w:rPr>
                <w:rFonts w:hint="eastAsia" w:ascii="宋体"/>
                <w:sz w:val="24"/>
              </w:rPr>
              <w:t>、</w:t>
            </w:r>
            <w:r>
              <w:rPr>
                <w:rFonts w:hint="eastAsia"/>
                <w:sz w:val="24"/>
              </w:rPr>
              <w:t>检测系统</w:t>
            </w:r>
            <w:r>
              <w:rPr>
                <w:rFonts w:hint="eastAsia" w:ascii="宋体"/>
                <w:sz w:val="24"/>
              </w:rPr>
              <w:t>、</w:t>
            </w:r>
            <w:r>
              <w:rPr>
                <w:rFonts w:hint="eastAsia"/>
                <w:sz w:val="24"/>
              </w:rPr>
              <w:t>试验和验收</w:t>
            </w:r>
            <w:r>
              <w:rPr>
                <w:rFonts w:hint="eastAsia" w:ascii="宋体"/>
                <w:sz w:val="24"/>
              </w:rPr>
              <w:t>、</w:t>
            </w:r>
            <w:r>
              <w:rPr>
                <w:rFonts w:hint="eastAsia"/>
                <w:sz w:val="24"/>
              </w:rPr>
              <w:t>标志</w:t>
            </w:r>
            <w:r>
              <w:rPr>
                <w:rFonts w:hint="eastAsia" w:ascii="宋体"/>
                <w:sz w:val="24"/>
              </w:rPr>
              <w:t>及使用说明书、随车文件、运输及储存保养、备品备件与质量保证</w:t>
            </w:r>
          </w:p>
        </w:tc>
        <w:tc>
          <w:tcPr>
            <w:tcW w:w="45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color w:val="000000"/>
                <w:kern w:val="0"/>
                <w:sz w:val="24"/>
              </w:rPr>
              <w:t>上海同岩土木工程科技有限公司</w:t>
            </w:r>
            <w:r>
              <w:rPr>
                <w:rFonts w:hint="eastAsia"/>
                <w:color w:val="000000"/>
                <w:kern w:val="0"/>
                <w:sz w:val="24"/>
                <w:lang w:eastAsia="zh-CN"/>
              </w:rPr>
              <w:t>、</w:t>
            </w:r>
            <w:r>
              <w:rPr>
                <w:rFonts w:hint="eastAsia"/>
                <w:color w:val="000000"/>
                <w:kern w:val="0"/>
                <w:sz w:val="24"/>
              </w:rPr>
              <w:t>交通运输部公路科学研究所、中国建筑股份有限公司技术中心、同济大学、贵州高速公路集团有限公司、广东华路交通科技有限公司、上海同济检测技术有限公司</w:t>
            </w:r>
          </w:p>
        </w:tc>
        <w:tc>
          <w:tcPr>
            <w:tcW w:w="10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color w:val="000000"/>
                <w:kern w:val="0"/>
                <w:sz w:val="24"/>
              </w:rPr>
              <w:t>公路分会</w:t>
            </w:r>
          </w:p>
        </w:tc>
        <w:tc>
          <w:tcPr>
            <w:tcW w:w="10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lang w:val="en-US" w:eastAsia="zh-CN"/>
              </w:rPr>
            </w:pPr>
            <w:r>
              <w:rPr>
                <w:rFonts w:hint="eastAsia" w:ascii="宋体" w:hAnsi="宋体" w:eastAsia="宋体" w:cs="宋体"/>
                <w:i w:val="0"/>
                <w:color w:val="auto"/>
                <w:sz w:val="24"/>
                <w:szCs w:val="24"/>
                <w:u w:val="none"/>
                <w:lang w:val="en-US" w:eastAsia="zh-CN"/>
              </w:rPr>
              <w:t>2019.06</w:t>
            </w:r>
          </w:p>
        </w:tc>
      </w:tr>
    </w:tbl>
    <w:p>
      <w:pPr>
        <w:rPr>
          <w:rFonts w:hint="eastAsia" w:ascii="宋体" w:hAnsi="宋体" w:eastAsia="宋体" w:cs="宋体"/>
          <w:sz w:val="24"/>
          <w:szCs w:val="24"/>
        </w:rPr>
      </w:pPr>
    </w:p>
    <w:sectPr>
      <w:pgSz w:w="16838" w:h="11906" w:orient="landscape"/>
      <w:pgMar w:top="1066" w:right="1270" w:bottom="1066" w:left="127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F20B0"/>
    <w:rsid w:val="017704FA"/>
    <w:rsid w:val="01DF6D87"/>
    <w:rsid w:val="05693701"/>
    <w:rsid w:val="05AD563C"/>
    <w:rsid w:val="06177F0B"/>
    <w:rsid w:val="087229F9"/>
    <w:rsid w:val="09C2205A"/>
    <w:rsid w:val="0DD1765A"/>
    <w:rsid w:val="0E7B353E"/>
    <w:rsid w:val="0EA87A1E"/>
    <w:rsid w:val="0F6C0742"/>
    <w:rsid w:val="0F8C1741"/>
    <w:rsid w:val="103E55E8"/>
    <w:rsid w:val="15546660"/>
    <w:rsid w:val="1AEC412C"/>
    <w:rsid w:val="1E5C2FF3"/>
    <w:rsid w:val="22B202DA"/>
    <w:rsid w:val="29523FDC"/>
    <w:rsid w:val="2AB3762A"/>
    <w:rsid w:val="2C835E43"/>
    <w:rsid w:val="2F834BE3"/>
    <w:rsid w:val="30DB385E"/>
    <w:rsid w:val="31DB6F0C"/>
    <w:rsid w:val="33C6028E"/>
    <w:rsid w:val="34953A3C"/>
    <w:rsid w:val="34E5695E"/>
    <w:rsid w:val="36EE4F7C"/>
    <w:rsid w:val="374276EB"/>
    <w:rsid w:val="37AB6D4A"/>
    <w:rsid w:val="3DE958C9"/>
    <w:rsid w:val="3F7E550B"/>
    <w:rsid w:val="42465508"/>
    <w:rsid w:val="43664F87"/>
    <w:rsid w:val="44F67816"/>
    <w:rsid w:val="46511BA7"/>
    <w:rsid w:val="474F0946"/>
    <w:rsid w:val="47C400F4"/>
    <w:rsid w:val="48597318"/>
    <w:rsid w:val="48A315E1"/>
    <w:rsid w:val="4A2B5779"/>
    <w:rsid w:val="50E46A20"/>
    <w:rsid w:val="51080DF9"/>
    <w:rsid w:val="533E159F"/>
    <w:rsid w:val="553356EF"/>
    <w:rsid w:val="55340F06"/>
    <w:rsid w:val="57E112B8"/>
    <w:rsid w:val="58FA5668"/>
    <w:rsid w:val="5D074DE5"/>
    <w:rsid w:val="5DBA2694"/>
    <w:rsid w:val="619E6766"/>
    <w:rsid w:val="61A85ECF"/>
    <w:rsid w:val="62AC62D0"/>
    <w:rsid w:val="65E825CC"/>
    <w:rsid w:val="678904CF"/>
    <w:rsid w:val="6947186F"/>
    <w:rsid w:val="6AE07F0A"/>
    <w:rsid w:val="6B1538FE"/>
    <w:rsid w:val="6C513F58"/>
    <w:rsid w:val="6DFF0A91"/>
    <w:rsid w:val="716524A7"/>
    <w:rsid w:val="724E6BD3"/>
    <w:rsid w:val="737A736F"/>
    <w:rsid w:val="73977515"/>
    <w:rsid w:val="73F30E39"/>
    <w:rsid w:val="788D359E"/>
    <w:rsid w:val="7BAE4E58"/>
    <w:rsid w:val="7C4F20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g正文"/>
    <w:basedOn w:val="1"/>
    <w:qFormat/>
    <w:uiPriority w:val="0"/>
    <w:pPr>
      <w:widowControl/>
      <w:spacing w:line="440" w:lineRule="exact"/>
      <w:ind w:firstLine="200" w:firstLineChars="200"/>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2016-09-20T08:13:00Z</dcterms:created>
  <dc:creator>Lenovon</dc:creator>
  <cp:lastModifiedBy>Administrator</cp:lastModifiedBy>
  <cp:lastPrinted>2017-09-19T05:48:00Z</cp:lastPrinted>
  <dcterms:modified xsi:type="dcterms:W3CDTF">2017-09-19T06:32:37Z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