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drawing>
          <wp:inline distT="0" distB="0" distL="114300" distR="114300">
            <wp:extent cx="1315720" cy="933450"/>
            <wp:effectExtent l="0" t="0" r="177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宋体" w:eastAsia="黑体" w:cs="黑体"/>
          <w:sz w:val="28"/>
          <w:szCs w:val="28"/>
        </w:rPr>
        <w:t xml:space="preserve">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CECS XXX:201</w:t>
      </w:r>
      <w:r>
        <w:rPr>
          <w:rFonts w:hint="eastAsia" w:ascii="Times New Roman" w:hAnsi="Times New Roman" w:eastAsia="黑体"/>
          <w:sz w:val="30"/>
          <w:szCs w:val="30"/>
        </w:rPr>
        <w:t>X</w:t>
      </w:r>
    </w:p>
    <w:p>
      <w:pPr>
        <w:pStyle w:val="2"/>
        <w:jc w:val="center"/>
        <w:rPr>
          <w:rFonts w:ascii="黑体" w:hAnsi="宋体" w:eastAsia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434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34.2pt;z-index:251658240;mso-width-relative:page;mso-height-relative:page;" filled="f" stroked="t" coordsize="21600,21600" o:gfxdata="UEsDBAoAAAAAAIdO4kAAAAAAAAAAAAAAAAAEAAAAZHJzL1BLAwQUAAAACACHTuJAt0CrZ9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QKtn0gAAAAIBAAAPAAAAAAAAAAEAIAAAACIAAABkcnMvZG93bnJldi54bWxQSwEC&#10;FAAUAAAACACHTuJA70a7X8EBAACLAwAADgAAAAAAAAABACAAAAAh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center"/>
        <w:rPr>
          <w:rFonts w:ascii="黑体" w:hAnsi="宋体" w:eastAsia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中国工程建设协会标准</w:t>
      </w:r>
      <w:r>
        <w:rPr>
          <w:rFonts w:ascii="黑体" w:hAnsi="宋体" w:eastAsia="黑体" w:cs="黑体"/>
          <w:sz w:val="28"/>
          <w:szCs w:val="28"/>
        </w:rPr>
        <w:t xml:space="preserve">                                                    </w:t>
      </w: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绿色建材评价标准  集成墙面</w:t>
      </w:r>
    </w:p>
    <w:p>
      <w:pPr>
        <w:pStyle w:val="2"/>
        <w:jc w:val="center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  <w:lang w:eastAsia="zh-CN"/>
        </w:rPr>
        <w:t xml:space="preserve">Green building materials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a</w:t>
      </w:r>
      <w:r>
        <w:rPr>
          <w:rFonts w:ascii="Times New Roman" w:hAnsi="Times New Roman" w:eastAsia="黑体"/>
          <w:sz w:val="24"/>
          <w:szCs w:val="24"/>
          <w:lang w:eastAsia="zh-CN"/>
        </w:rPr>
        <w:t>ssessment -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integrated wall panel</w:t>
      </w:r>
    </w:p>
    <w:p>
      <w:pPr>
        <w:pStyle w:val="2"/>
        <w:jc w:val="center"/>
        <w:rPr>
          <w:rFonts w:hint="eastAsia" w:ascii="Times New Roman" w:hAnsi="Times New Roman" w:eastAsia="黑体"/>
          <w:sz w:val="24"/>
          <w:szCs w:val="24"/>
          <w:lang w:eastAsia="zh-CN"/>
        </w:rPr>
      </w:pPr>
    </w:p>
    <w:p>
      <w:pPr>
        <w:pStyle w:val="2"/>
        <w:jc w:val="center"/>
        <w:rPr>
          <w:rFonts w:hint="eastAsia" w:ascii="黑体" w:hAnsi="宋体" w:eastAsia="黑体"/>
        </w:rPr>
      </w:pPr>
    </w:p>
    <w:p>
      <w:pPr>
        <w:pStyle w:val="2"/>
        <w:jc w:val="center"/>
        <w:rPr>
          <w:rFonts w:hint="eastAsia" w:ascii="黑体" w:hAnsi="宋体" w:eastAsia="黑体"/>
        </w:rPr>
      </w:pPr>
    </w:p>
    <w:p>
      <w:pPr>
        <w:pStyle w:val="2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</w:t>
      </w:r>
      <w:r>
        <w:rPr>
          <w:rFonts w:hint="eastAsia" w:ascii="黑体" w:hAnsi="宋体" w:eastAsia="黑体"/>
          <w:lang w:eastAsia="zh-CN"/>
        </w:rPr>
        <w:t>草案</w:t>
      </w:r>
      <w:r>
        <w:rPr>
          <w:rFonts w:hint="eastAsia" w:ascii="黑体" w:hAnsi="宋体" w:eastAsia="黑体"/>
        </w:rPr>
        <w:t>）</w:t>
      </w:r>
    </w:p>
    <w:p>
      <w:pPr>
        <w:pStyle w:val="2"/>
        <w:spacing w:line="360" w:lineRule="auto"/>
        <w:ind w:left="1751" w:leftChars="258" w:hanging="1209" w:hangingChars="576"/>
        <w:rPr>
          <w:rFonts w:ascii="黑体" w:hAnsi="宋体" w:eastAsia="黑体"/>
        </w:rPr>
      </w:pPr>
    </w:p>
    <w:p>
      <w:pPr>
        <w:pStyle w:val="2"/>
        <w:spacing w:line="360" w:lineRule="auto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</w:p>
    <w:p>
      <w:pPr>
        <w:pStyle w:val="2"/>
        <w:jc w:val="center"/>
        <w:rPr>
          <w:rFonts w:hAnsi="宋体"/>
        </w:rPr>
      </w:pPr>
      <w:r>
        <w:rPr>
          <w:rFonts w:hint="eastAsia" w:ascii="黑体" w:hAnsi="宋体" w:eastAsia="黑体" w:cs="黑体"/>
          <w:sz w:val="28"/>
          <w:szCs w:val="28"/>
        </w:rPr>
        <w:t>中国计划出版社</w:t>
      </w:r>
      <w:r>
        <w:rPr>
          <w:rFonts w:ascii="黑体" w:hAnsi="宋体" w:eastAsia="黑体" w:cs="黑体"/>
          <w:sz w:val="28"/>
          <w:szCs w:val="28"/>
        </w:rPr>
        <w:t xml:space="preserve"> </w:t>
      </w:r>
    </w:p>
    <w:p>
      <w:pPr>
        <w:pStyle w:val="2"/>
        <w:tabs>
          <w:tab w:val="left" w:pos="6294"/>
        </w:tabs>
        <w:jc w:val="left"/>
        <w:rPr>
          <w:rFonts w:hAnsi="宋体"/>
        </w:rPr>
      </w:pPr>
      <w:r>
        <w:tab/>
      </w:r>
    </w:p>
    <w:p>
      <w:pPr>
        <w:pStyle w:val="6"/>
      </w:pPr>
      <w:bookmarkStart w:id="0" w:name="_Toc396134026"/>
      <w:bookmarkStart w:id="1" w:name="_Toc360632419"/>
      <w:bookmarkStart w:id="2" w:name="_Toc462063249"/>
      <w:bookmarkStart w:id="3" w:name="_Toc360436831"/>
      <w:bookmarkStart w:id="4" w:name="_Toc350864024"/>
      <w:bookmarkStart w:id="5" w:name="_Toc384816578"/>
      <w:bookmarkStart w:id="6" w:name="_Toc396118232"/>
      <w:bookmarkStart w:id="7" w:name="_Toc360436867"/>
      <w:bookmarkStart w:id="8" w:name="_Toc360632688"/>
      <w:bookmarkStart w:id="9" w:name="_Toc360632459"/>
      <w:bookmarkStart w:id="10" w:name="_Toc360436780"/>
      <w:bookmarkStart w:id="11" w:name="_Toc383344133"/>
      <w:r>
        <w:rPr>
          <w:rFonts w:hint="eastAsia"/>
          <w:color w:val="000000"/>
        </w:rPr>
        <w:t>前</w:t>
      </w:r>
      <w:bookmarkStart w:id="12" w:name="BKQY"/>
      <w:r>
        <w:rPr>
          <w:rFonts w:hint="eastAsia"/>
          <w:color w:val="000000"/>
        </w:rPr>
        <w:t>  言</w:t>
      </w:r>
      <w:bookmarkEnd w:id="0"/>
      <w:bookmarkEnd w:id="1"/>
      <w:bookmarkEnd w:id="2"/>
      <w:bookmarkEnd w:id="3"/>
      <w:bookmarkEnd w:id="12"/>
    </w:p>
    <w:p>
      <w:pPr>
        <w:pStyle w:val="7"/>
        <w:adjustRightInd w:val="0"/>
        <w:snapToGrid w:val="0"/>
        <w:spacing w:line="360" w:lineRule="auto"/>
        <w:ind w:firstLine="403" w:firstLineChars="192"/>
      </w:pPr>
      <w:r>
        <w:t>本标准按</w:t>
      </w:r>
      <w:r>
        <w:rPr>
          <w:rFonts w:ascii="Times New Roman"/>
        </w:rPr>
        <w:t>GB/T 1.1-2009</w:t>
      </w:r>
      <w:r>
        <w:t>给出的规则</w:t>
      </w:r>
      <w:r>
        <w:rPr>
          <w:rFonts w:hint="eastAsia"/>
        </w:rPr>
        <w:t>起草</w:t>
      </w:r>
      <w:r>
        <w:t>。</w:t>
      </w:r>
    </w:p>
    <w:p>
      <w:pPr>
        <w:pStyle w:val="7"/>
        <w:adjustRightInd w:val="0"/>
        <w:snapToGrid w:val="0"/>
        <w:spacing w:line="360" w:lineRule="auto"/>
        <w:ind w:firstLine="403" w:firstLineChars="192"/>
      </w:pPr>
      <w:r>
        <w:rPr>
          <w:rFonts w:hint="eastAsia"/>
        </w:rPr>
        <w:t>本标准由</w:t>
      </w:r>
      <w:r>
        <w:rPr>
          <w:rFonts w:hint="eastAsia"/>
          <w:lang w:val="en-US" w:eastAsia="zh-CN"/>
        </w:rPr>
        <w:t>中国工程建设标准化协会</w:t>
      </w:r>
      <w:r>
        <w:rPr>
          <w:rFonts w:hint="eastAsia"/>
        </w:rPr>
        <w:t>提出并归口。</w:t>
      </w:r>
    </w:p>
    <w:p>
      <w:pPr>
        <w:pStyle w:val="7"/>
        <w:adjustRightInd w:val="0"/>
        <w:snapToGrid w:val="0"/>
        <w:spacing w:line="360" w:lineRule="auto"/>
        <w:ind w:firstLine="403" w:firstLineChars="192"/>
        <w:rPr>
          <w:rFonts w:hint="eastAsia"/>
        </w:rPr>
      </w:pPr>
      <w:r>
        <w:rPr>
          <w:rFonts w:hint="eastAsia"/>
        </w:rPr>
        <w:t>本标准负责起草单位：</w:t>
      </w:r>
      <w:r>
        <w:rPr>
          <w:rFonts w:hint="eastAsia"/>
          <w:lang w:val="en-US" w:eastAsia="zh-CN"/>
        </w:rPr>
        <w:t>住房和城乡建设部科技与产业化发展中心、</w:t>
      </w:r>
      <w:r>
        <w:rPr>
          <w:rFonts w:hint="eastAsia"/>
          <w:color w:val="0000FF"/>
        </w:rPr>
        <w:t>安徽科居新材料科技有限公司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  <w:lang w:val="en-US" w:eastAsia="zh-CN"/>
        </w:rPr>
        <w:t>中国建材市场协会、</w:t>
      </w:r>
      <w:r>
        <w:rPr>
          <w:rFonts w:hint="eastAsia"/>
        </w:rPr>
        <w:t>中国建材检验认证集团股份有限公司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中国建材市场协会集成墙面分会</w:t>
      </w:r>
      <w:r>
        <w:rPr>
          <w:rFonts w:hint="eastAsia"/>
          <w:lang w:eastAsia="zh-CN"/>
        </w:rPr>
        <w:t>、</w:t>
      </w:r>
      <w:r>
        <w:rPr>
          <w:rFonts w:hint="eastAsia"/>
          <w:color w:val="0000FF"/>
        </w:rPr>
        <w:t>浙江东信电器有限公司</w:t>
      </w:r>
      <w:r>
        <w:rPr>
          <w:rFonts w:hint="eastAsia"/>
          <w:color w:val="0000FF"/>
          <w:lang w:eastAsia="zh-CN"/>
        </w:rPr>
        <w:t>、上海圣峰建材科技股份有限公司、</w:t>
      </w:r>
      <w:r>
        <w:rPr>
          <w:rFonts w:hint="eastAsia"/>
          <w:color w:val="0000FF"/>
        </w:rPr>
        <w:t>浙江云木环保科技有限公司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  <w:color w:val="0000FF"/>
        </w:rPr>
        <w:t>安徽同心林塑胶科技有限公司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  <w:color w:val="0000FF"/>
        </w:rPr>
        <w:t>嘉兴星雅图集成家居有限公司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  <w:color w:val="0000FF"/>
        </w:rPr>
        <w:t>安徽欧派德新材料股份有限公司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  <w:color w:val="0000FF"/>
        </w:rPr>
        <w:t>湖南恒信新型建材有限公司</w:t>
      </w:r>
      <w:r>
        <w:rPr>
          <w:rFonts w:hint="eastAsia"/>
          <w:color w:val="0000FF"/>
          <w:lang w:eastAsia="zh-CN"/>
        </w:rPr>
        <w:t>、</w:t>
      </w:r>
      <w:r>
        <w:rPr>
          <w:rFonts w:hint="eastAsia"/>
        </w:rPr>
        <w:t>上海福精特金属装饰材料有限公司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浙江丽尚建材科技有限公司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嘉兴金瑞环保装饰材料有限公司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金粉世家装饰嘉兴有限公司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欧普集成家居有限公司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浙江风尚建</w:t>
      </w:r>
      <w:bookmarkStart w:id="131" w:name="_GoBack"/>
      <w:bookmarkEnd w:id="131"/>
      <w:r>
        <w:rPr>
          <w:rFonts w:hint="eastAsia"/>
        </w:rPr>
        <w:t>材股份有限公司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奥普家居股份有限公司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芜湖正典型材有限公司</w:t>
      </w:r>
      <w:r>
        <w:rPr>
          <w:rFonts w:hint="eastAsia"/>
          <w:lang w:eastAsia="zh-CN"/>
        </w:rPr>
        <w:t>。</w:t>
      </w:r>
    </w:p>
    <w:p>
      <w:pPr>
        <w:pStyle w:val="7"/>
        <w:adjustRightInd w:val="0"/>
        <w:snapToGrid w:val="0"/>
        <w:spacing w:line="360" w:lineRule="auto"/>
        <w:ind w:firstLine="403" w:firstLineChars="192"/>
        <w:rPr>
          <w:rFonts w:hint="eastAsia"/>
          <w:color w:val="0000FF"/>
        </w:rPr>
      </w:pPr>
      <w:r>
        <w:rPr>
          <w:rFonts w:hint="eastAsia"/>
        </w:rPr>
        <w:t>本</w:t>
      </w:r>
      <w:r>
        <w:rPr>
          <w:rFonts w:hint="eastAsia"/>
          <w:szCs w:val="21"/>
        </w:rPr>
        <w:t>标准</w:t>
      </w:r>
      <w:r>
        <w:rPr>
          <w:rFonts w:hint="eastAsia"/>
        </w:rPr>
        <w:t>主</w:t>
      </w:r>
      <w:r>
        <w:rPr>
          <w:rFonts w:hint="eastAsia"/>
          <w:color w:val="000000"/>
        </w:rPr>
        <w:t>要起草人：</w:t>
      </w:r>
      <w:r>
        <w:rPr>
          <w:rFonts w:hint="eastAsia"/>
          <w:color w:val="auto"/>
          <w:szCs w:val="22"/>
          <w:lang w:val="en-US" w:eastAsia="zh-CN"/>
        </w:rPr>
        <w:t>刘敬疆、</w:t>
      </w:r>
      <w:r>
        <w:rPr>
          <w:rFonts w:hint="eastAsia"/>
          <w:color w:val="auto"/>
          <w:szCs w:val="22"/>
          <w:lang w:eastAsia="zh-CN"/>
        </w:rPr>
        <w:t>胡</w:t>
      </w:r>
      <w:r>
        <w:rPr>
          <w:rFonts w:hint="eastAsia"/>
          <w:color w:val="auto"/>
        </w:rPr>
        <w:t>小龙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屈交胜、</w:t>
      </w:r>
      <w:r>
        <w:rPr>
          <w:rFonts w:hint="eastAsia"/>
          <w:color w:val="auto"/>
        </w:rPr>
        <w:t>马丽萍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邓艳君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牛晟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肖峰、</w:t>
      </w:r>
      <w:r>
        <w:rPr>
          <w:rFonts w:hint="eastAsia"/>
          <w:color w:val="auto"/>
        </w:rPr>
        <w:t>许云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林超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杨荣、</w:t>
      </w:r>
      <w:r>
        <w:rPr>
          <w:rFonts w:hint="eastAsia"/>
          <w:color w:val="auto"/>
        </w:rPr>
        <w:t>罗小华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向湘军、</w:t>
      </w:r>
      <w:r>
        <w:rPr>
          <w:rFonts w:hint="eastAsia"/>
          <w:color w:val="auto"/>
        </w:rPr>
        <w:t>朱日宏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沈中海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金建中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严斌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刘巨民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张佳伟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曾海平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陈凯</w:t>
      </w:r>
      <w:r>
        <w:rPr>
          <w:rFonts w:hint="eastAsia"/>
          <w:color w:val="auto"/>
          <w:lang w:eastAsia="zh-CN"/>
        </w:rPr>
        <w:t>。</w:t>
      </w:r>
    </w:p>
    <w:p>
      <w:pPr>
        <w:pStyle w:val="7"/>
        <w:adjustRightInd w:val="0"/>
        <w:snapToGrid w:val="0"/>
        <w:spacing w:line="360" w:lineRule="auto"/>
        <w:ind w:firstLine="403" w:firstLineChars="192"/>
        <w:rPr>
          <w:color w:val="0000FF"/>
        </w:rPr>
        <w:sectPr>
          <w:footerReference r:id="rId3" w:type="default"/>
          <w:pgSz w:w="11906" w:h="16838"/>
          <w:pgMar w:top="1246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6"/>
        <w:rPr>
          <w:color w:val="000000"/>
        </w:rPr>
      </w:pPr>
      <w:r>
        <w:rPr>
          <w:rFonts w:hint="eastAsia"/>
          <w:color w:val="000000"/>
        </w:rPr>
        <w:t>绿色建材评价 集成墙面</w:t>
      </w:r>
    </w:p>
    <w:p>
      <w:pPr>
        <w:pStyle w:val="8"/>
        <w:numPr>
          <w:ilvl w:val="0"/>
          <w:numId w:val="2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13" w:name="_Toc396134027"/>
      <w:bookmarkStart w:id="14" w:name="_Toc360632420"/>
      <w:bookmarkStart w:id="15" w:name="_Toc350863984"/>
      <w:bookmarkStart w:id="16" w:name="_Toc360436746"/>
      <w:bookmarkStart w:id="17" w:name="_Toc462063250"/>
      <w:bookmarkStart w:id="18" w:name="_Toc360436832"/>
      <w:bookmarkStart w:id="19" w:name="_Toc406486337"/>
      <w:r>
        <w:rPr>
          <w:rFonts w:hint="eastAsia"/>
          <w:color w:val="000000"/>
        </w:rPr>
        <w:t>范围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7"/>
        <w:rPr>
          <w:rFonts w:ascii="Times New Roman"/>
        </w:rPr>
      </w:pPr>
      <w:bookmarkStart w:id="20" w:name="_Toc360436833"/>
      <w:bookmarkStart w:id="21" w:name="_Toc360632421"/>
      <w:bookmarkStart w:id="22" w:name="_Toc360436747"/>
      <w:bookmarkStart w:id="23" w:name="_Toc396134028"/>
      <w:bookmarkStart w:id="24" w:name="_Toc406486338"/>
      <w:bookmarkStart w:id="25" w:name="_Toc350863985"/>
      <w:r>
        <w:rPr>
          <w:rFonts w:ascii="Times New Roman"/>
        </w:rPr>
        <w:t>本标准规定了</w:t>
      </w:r>
      <w:r>
        <w:rPr>
          <w:rFonts w:hint="eastAsia" w:ascii="Times New Roman"/>
        </w:rPr>
        <w:t>集成墙面</w:t>
      </w:r>
      <w:r>
        <w:rPr>
          <w:rFonts w:ascii="Times New Roman"/>
        </w:rPr>
        <w:t>绿色建材评价的</w:t>
      </w:r>
      <w:r>
        <w:rPr>
          <w:rFonts w:hint="eastAsia" w:ascii="Times New Roman"/>
        </w:rPr>
        <w:t>术语和定义、</w:t>
      </w:r>
      <w:r>
        <w:rPr>
          <w:rFonts w:ascii="Times New Roman"/>
        </w:rPr>
        <w:t>评价要求和评价方法。</w:t>
      </w:r>
    </w:p>
    <w:p>
      <w:pPr>
        <w:pStyle w:val="7"/>
        <w:rPr>
          <w:color w:val="000000"/>
        </w:rPr>
      </w:pPr>
      <w:r>
        <w:rPr>
          <w:rFonts w:ascii="Times New Roman"/>
        </w:rPr>
        <w:t>本标准适用于</w:t>
      </w:r>
      <w:r>
        <w:rPr>
          <w:rFonts w:hint="eastAsia" w:ascii="Times New Roman"/>
        </w:rPr>
        <w:t>集成墙面</w:t>
      </w:r>
      <w:r>
        <w:rPr>
          <w:rFonts w:ascii="Times New Roman"/>
        </w:rPr>
        <w:t>的绿色建材评价。</w:t>
      </w:r>
    </w:p>
    <w:p>
      <w:pPr>
        <w:pStyle w:val="8"/>
        <w:numPr>
          <w:ilvl w:val="0"/>
          <w:numId w:val="2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26" w:name="_Toc462063251"/>
      <w:r>
        <w:rPr>
          <w:rFonts w:hint="eastAsia"/>
          <w:color w:val="000000"/>
        </w:rPr>
        <w:t>规范性引用文件</w:t>
      </w:r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Style w:val="7"/>
        <w:rPr>
          <w:rFonts w:hint="eastAsia" w:ascii="Times New Roman"/>
          <w:color w:val="000000"/>
        </w:rPr>
      </w:pPr>
      <w:r>
        <w:rPr>
          <w:rFonts w:hint="eastAsia"/>
          <w:color w:val="000000"/>
        </w:rPr>
        <w:t>下列文件对于本文件的应用是必不可少的。凡是注日期的引用文件，仅注日期的版本适用于本文件。凡是不注</w:t>
      </w:r>
      <w:r>
        <w:rPr>
          <w:rFonts w:ascii="Times New Roman"/>
          <w:color w:val="000000"/>
        </w:rPr>
        <w:t>日期的引用文件，其最新版本（包括所有的修改单）适用于本文件。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GB 8624 建筑材料及制品燃烧性能分级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GB 18580 室内装饰装修材料 人造板及其制品中甲醛释放限量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GB 18582 室内装饰装修材料 内墙涂料中有害物质限量</w:t>
      </w:r>
    </w:p>
    <w:p>
      <w:pPr>
        <w:pStyle w:val="7"/>
        <w:rPr>
          <w:rFonts w:ascii="Times New Roman"/>
        </w:rPr>
      </w:pPr>
      <w:r>
        <w:rPr>
          <w:rFonts w:ascii="Times New Roman"/>
        </w:rPr>
        <w:t>GB 18597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危险废物贮存污染控制标准</w:t>
      </w:r>
    </w:p>
    <w:p>
      <w:pPr>
        <w:pStyle w:val="7"/>
        <w:rPr>
          <w:rFonts w:ascii="Times New Roman"/>
        </w:rPr>
      </w:pPr>
      <w:r>
        <w:rPr>
          <w:rFonts w:ascii="Times New Roman"/>
        </w:rPr>
        <w:t>GB 18599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一般工业固体废物贮存、处置场污染控制标准</w:t>
      </w:r>
    </w:p>
    <w:p>
      <w:pPr>
        <w:pStyle w:val="7"/>
        <w:rPr>
          <w:rFonts w:hint="eastAsia" w:ascii="Times New Roman"/>
        </w:rPr>
      </w:pPr>
      <w:r>
        <w:rPr>
          <w:rFonts w:ascii="Times New Roman"/>
        </w:rPr>
        <w:t>GB/T 19001 质量管理体系 要求</w:t>
      </w:r>
    </w:p>
    <w:p>
      <w:pPr>
        <w:pStyle w:val="7"/>
        <w:rPr>
          <w:rFonts w:hint="eastAsia" w:ascii="Times New Roman"/>
        </w:rPr>
      </w:pPr>
      <w:r>
        <w:rPr>
          <w:rFonts w:ascii="Times New Roman"/>
        </w:rPr>
        <w:t>GB/T</w:t>
      </w:r>
      <w:r>
        <w:rPr>
          <w:rFonts w:hint="eastAsia" w:ascii="Times New Roman"/>
        </w:rPr>
        <w:t xml:space="preserve"> 22048 玩具及儿童用品中特定邻苯二甲酸酯增塑剂的测定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 xml:space="preserve">GB/T 23331 </w:t>
      </w:r>
      <w:r>
        <w:rPr>
          <w:rFonts w:ascii="Times New Roman"/>
        </w:rPr>
        <w:t>能源管理体系 要求及使用指南</w:t>
      </w:r>
    </w:p>
    <w:p>
      <w:pPr>
        <w:pStyle w:val="7"/>
        <w:rPr>
          <w:rFonts w:hint="eastAsia" w:ascii="Times New Roman"/>
        </w:rPr>
      </w:pPr>
      <w:r>
        <w:rPr>
          <w:rFonts w:ascii="Times New Roman"/>
        </w:rPr>
        <w:t>GB/T 24001 环境管理体系 要求及使用指南</w:t>
      </w:r>
    </w:p>
    <w:p>
      <w:pPr>
        <w:pStyle w:val="7"/>
        <w:rPr>
          <w:rFonts w:ascii="Times New Roman"/>
        </w:rPr>
      </w:pPr>
      <w:r>
        <w:rPr>
          <w:rFonts w:hint="eastAsia" w:ascii="Times New Roman"/>
        </w:rPr>
        <w:t>GB/T 24025 环境标志和声明 Ⅲ型环境声明 原则和程序</w:t>
      </w:r>
    </w:p>
    <w:p>
      <w:pPr>
        <w:pStyle w:val="7"/>
        <w:rPr>
          <w:rFonts w:hint="eastAsia" w:ascii="Times New Roman"/>
        </w:rPr>
      </w:pPr>
      <w:r>
        <w:rPr>
          <w:rFonts w:ascii="Times New Roman"/>
        </w:rPr>
        <w:t>GB/T 28001 职业健康安全管理体系 要求</w:t>
      </w:r>
    </w:p>
    <w:p>
      <w:pPr>
        <w:pStyle w:val="7"/>
        <w:rPr>
          <w:rFonts w:ascii="Times New Roman"/>
        </w:rPr>
      </w:pPr>
      <w:r>
        <w:rPr>
          <w:rFonts w:ascii="Times New Roman"/>
        </w:rPr>
        <w:t>GB/T 33000 企业安全生产标准化基本规范</w:t>
      </w:r>
    </w:p>
    <w:p>
      <w:pPr>
        <w:pStyle w:val="7"/>
        <w:rPr>
          <w:rFonts w:ascii="Times New Roman"/>
        </w:rPr>
      </w:pPr>
      <w:r>
        <w:rPr>
          <w:rFonts w:ascii="Times New Roman"/>
        </w:rPr>
        <w:t>GBZ 2.1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工作场所空气中粉尘测定 第1部分:总粉尘浓度</w:t>
      </w:r>
    </w:p>
    <w:p>
      <w:pPr>
        <w:pStyle w:val="7"/>
        <w:rPr>
          <w:rFonts w:hint="eastAsia" w:ascii="Times New Roman"/>
        </w:rPr>
      </w:pPr>
      <w:r>
        <w:rPr>
          <w:rFonts w:ascii="Times New Roman"/>
        </w:rPr>
        <w:t>GBZ 2.2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工作场所有害因素职业接触限值 第2部分:物理因素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HJ 571 环境标志产品技术要求 人造板及其制品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JG/T XXXX 建筑装饰用集成墙面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 xml:space="preserve">T/CADBM </w:t>
      </w:r>
      <w:r>
        <w:rPr>
          <w:rFonts w:hint="eastAsia" w:ascii="Times New Roman"/>
          <w:lang w:val="en-US" w:eastAsia="zh-CN"/>
        </w:rPr>
        <w:t>4-2018</w:t>
      </w:r>
      <w:r>
        <w:rPr>
          <w:rFonts w:hint="eastAsia" w:ascii="Times New Roman"/>
        </w:rPr>
        <w:t xml:space="preserve"> 金属集成墙面</w:t>
      </w:r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 xml:space="preserve">T/CADBM </w:t>
      </w:r>
      <w:r>
        <w:rPr>
          <w:rFonts w:hint="eastAsia" w:ascii="Times New Roman"/>
          <w:lang w:val="en-US" w:eastAsia="zh-CN"/>
        </w:rPr>
        <w:t>3-2018</w:t>
      </w:r>
      <w:r>
        <w:rPr>
          <w:rFonts w:hint="eastAsia" w:ascii="Times New Roman"/>
        </w:rPr>
        <w:t xml:space="preserve"> 竹木纤维集成墙面</w:t>
      </w:r>
    </w:p>
    <w:p>
      <w:pPr>
        <w:pStyle w:val="8"/>
        <w:numPr>
          <w:ilvl w:val="0"/>
          <w:numId w:val="2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27" w:name="_Toc360436834"/>
      <w:bookmarkStart w:id="28" w:name="_Toc360436748"/>
      <w:bookmarkStart w:id="29" w:name="_Toc462063252"/>
      <w:bookmarkStart w:id="30" w:name="_Toc396134029"/>
      <w:bookmarkStart w:id="31" w:name="_Toc350863986"/>
      <w:bookmarkStart w:id="32" w:name="_Toc360632422"/>
      <w:bookmarkStart w:id="33" w:name="_Toc406486339"/>
      <w:r>
        <w:rPr>
          <w:rFonts w:hint="eastAsia"/>
          <w:color w:val="000000"/>
        </w:rPr>
        <w:t>术语和定义</w:t>
      </w:r>
      <w:bookmarkEnd w:id="27"/>
      <w:bookmarkEnd w:id="28"/>
      <w:bookmarkEnd w:id="29"/>
      <w:bookmarkEnd w:id="30"/>
      <w:bookmarkEnd w:id="31"/>
      <w:bookmarkEnd w:id="32"/>
      <w:bookmarkEnd w:id="33"/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color w:val="000000"/>
        </w:rPr>
      </w:pPr>
      <w:bookmarkStart w:id="34" w:name="_Toc360436749"/>
      <w:bookmarkStart w:id="35" w:name="_Toc360632654"/>
      <w:bookmarkStart w:id="36" w:name="_Toc408495873"/>
      <w:bookmarkStart w:id="37" w:name="_Toc384816546"/>
      <w:bookmarkStart w:id="38" w:name="_Toc350863987"/>
      <w:bookmarkStart w:id="39" w:name="_Toc397433558"/>
      <w:bookmarkStart w:id="40" w:name="_Toc462063253"/>
      <w:bookmarkStart w:id="41" w:name="_Toc406486340"/>
      <w:bookmarkStart w:id="42" w:name="_Toc360632423"/>
      <w:bookmarkStart w:id="43" w:name="_Toc397348586"/>
      <w:bookmarkStart w:id="44" w:name="_Toc396118199"/>
      <w:bookmarkStart w:id="45" w:name="_Toc360436835"/>
      <w:bookmarkStart w:id="46" w:name="_Toc406143963"/>
      <w:bookmarkStart w:id="47" w:name="_Toc396134030"/>
      <w:bookmarkStart w:id="48" w:name="_Toc6509"/>
      <w:r>
        <w:rPr>
          <w:rFonts w:hint="eastAsia"/>
          <w:color w:val="000000"/>
        </w:rPr>
        <w:t>3.1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/>
          <w:color w:val="00000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z w:val="24"/>
        </w:rPr>
      </w:pPr>
      <w:r>
        <w:rPr>
          <w:rFonts w:eastAsia="黑体"/>
        </w:rPr>
        <w:t>绿色建材  green building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是指在全生命周期内可减少对天然资源消耗和减轻对生态环境影响，具有“节能、减排、安全、便利和可循环”特征的建材产品。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</w:pPr>
      <w:r>
        <w:rPr>
          <w:rFonts w:hint="eastAsia"/>
        </w:rPr>
        <w:t>3.2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 xml:space="preserve">绿色建材评价 </w:t>
      </w:r>
      <w:r>
        <w:rPr>
          <w:rFonts w:eastAsia="黑体"/>
        </w:rPr>
        <w:t>green building material</w:t>
      </w:r>
      <w:r>
        <w:rPr>
          <w:sz w:val="24"/>
        </w:rPr>
        <w:t xml:space="preserve"> </w:t>
      </w:r>
      <w:r>
        <w:rPr>
          <w:rFonts w:hint="eastAsia" w:eastAsia="黑体"/>
        </w:rPr>
        <w:t>a</w:t>
      </w:r>
      <w:r>
        <w:rPr>
          <w:rFonts w:eastAsia="黑体"/>
        </w:rPr>
        <w:t xml:space="preserve">ssessment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由认证机构证明产品符合绿色建材标准要求的合格评定活动。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</w:pPr>
      <w:r>
        <w:rPr>
          <w:rFonts w:hint="eastAsia"/>
        </w:rPr>
        <w:t>3.3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评价等级 a</w:t>
      </w:r>
      <w:r>
        <w:rPr>
          <w:rFonts w:eastAsia="黑体"/>
        </w:rPr>
        <w:t>ssessment</w:t>
      </w:r>
      <w:r>
        <w:rPr>
          <w:rFonts w:hint="eastAsia" w:eastAsia="黑体"/>
        </w:rPr>
        <w:t xml:space="preserve"> level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产品评价结果所达到的绿色建材级别，由低到高分为一星级、二星级和三星级。</w:t>
      </w:r>
    </w:p>
    <w:bookmarkEnd w:id="48"/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</w:pPr>
      <w:r>
        <w:rPr>
          <w:rFonts w:hint="eastAsia"/>
        </w:rPr>
        <w:t>3.4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bookmarkStart w:id="49" w:name="_Toc360632424"/>
      <w:bookmarkStart w:id="50" w:name="_Toc396134031"/>
      <w:bookmarkStart w:id="51" w:name="_Toc360632655"/>
      <w:bookmarkStart w:id="52" w:name="_Toc408495874"/>
      <w:bookmarkStart w:id="53" w:name="_Toc384816547"/>
      <w:bookmarkStart w:id="54" w:name="_Toc397348587"/>
      <w:bookmarkStart w:id="55" w:name="_Toc350863988"/>
      <w:bookmarkStart w:id="56" w:name="_Toc360436836"/>
      <w:bookmarkStart w:id="57" w:name="_Toc396118200"/>
      <w:bookmarkStart w:id="58" w:name="_Toc397433559"/>
      <w:bookmarkStart w:id="59" w:name="_Toc360436750"/>
      <w:bookmarkStart w:id="60" w:name="_Toc406486341"/>
      <w:bookmarkStart w:id="61" w:name="_Toc462063255"/>
      <w:bookmarkStart w:id="62" w:name="_Toc406143964"/>
      <w:bookmarkStart w:id="63" w:name="_Toc16661"/>
      <w:r>
        <w:rPr>
          <w:rFonts w:hint="eastAsia" w:eastAsia="黑体"/>
        </w:rPr>
        <w:t>集成墙面</w:t>
      </w:r>
      <w:r>
        <w:rPr>
          <w:rFonts w:eastAsia="黑体"/>
        </w:rPr>
        <w:t xml:space="preserve"> </w:t>
      </w:r>
      <w:r>
        <w:rPr>
          <w:rFonts w:hint="eastAsia" w:eastAsia="黑体"/>
        </w:rPr>
        <w:t>integrated wall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由装饰面层、基材、功能模块及配件（装饰线条、免钉胶、钢钉等）集成的、在工厂预制并现场装配式安装的装饰性制品。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</w:pPr>
      <w:r>
        <w:rPr>
          <w:rFonts w:hint="eastAsia"/>
          <w:color w:val="000000"/>
        </w:rPr>
        <w:t>3.5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 xml:space="preserve">金属集成墙面 metal integrated wall </w:t>
      </w:r>
    </w:p>
    <w:p>
      <w:pPr>
        <w:pStyle w:val="7"/>
      </w:pPr>
      <w:r>
        <w:rPr>
          <w:rFonts w:hint="eastAsia"/>
        </w:rPr>
        <w:t>由金属饰面板、保温材料及铝箔组成的集成墙面。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color w:val="000000"/>
        </w:rPr>
      </w:pPr>
      <w:r>
        <w:rPr>
          <w:rFonts w:hint="eastAsia"/>
          <w:color w:val="000000"/>
        </w:rPr>
        <w:t>3.6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竹木纤维集成墙面 b</w:t>
      </w:r>
      <w:r>
        <w:rPr>
          <w:rFonts w:eastAsia="黑体"/>
        </w:rPr>
        <w:t>amboo-wood</w:t>
      </w:r>
      <w:r>
        <w:rPr>
          <w:rFonts w:hint="eastAsia" w:eastAsia="黑体"/>
        </w:rPr>
        <w:t xml:space="preserve"> integrated wall </w:t>
      </w:r>
    </w:p>
    <w:p>
      <w:pPr>
        <w:pStyle w:val="7"/>
      </w:pPr>
      <w:r>
        <w:rPr>
          <w:rFonts w:hint="eastAsia"/>
        </w:rPr>
        <w:t>由装饰面层、竹木纤维复合材料及配件组成的集成墙面。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color w:val="000000"/>
        </w:rPr>
      </w:pPr>
      <w:r>
        <w:rPr>
          <w:rFonts w:hint="eastAsia"/>
          <w:color w:val="000000"/>
        </w:rPr>
        <w:t>3.7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石塑集成墙面 silica</w:t>
      </w:r>
      <w:r>
        <w:rPr>
          <w:rFonts w:eastAsia="黑体"/>
        </w:rPr>
        <w:t>-</w:t>
      </w:r>
      <w:r>
        <w:rPr>
          <w:rFonts w:hint="eastAsia" w:eastAsia="黑体"/>
        </w:rPr>
        <w:t xml:space="preserve">plastic integrated wall </w:t>
      </w:r>
    </w:p>
    <w:p>
      <w:pPr>
        <w:pStyle w:val="7"/>
      </w:pPr>
      <w:r>
        <w:rPr>
          <w:rFonts w:hint="eastAsia"/>
        </w:rPr>
        <w:t>由装饰面层、石塑复合材料及配件组成的集成墙面。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color w:val="000000"/>
        </w:rPr>
      </w:pPr>
      <w:r>
        <w:rPr>
          <w:rFonts w:hint="eastAsia"/>
          <w:color w:val="000000"/>
        </w:rPr>
        <w:t>3.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Start w:id="64" w:name="OLE_LINK5"/>
      <w:bookmarkStart w:id="65" w:name="_Toc384816550"/>
      <w:bookmarkStart w:id="66" w:name="OLE_LINK6"/>
      <w:bookmarkStart w:id="67" w:name="_Toc396118203"/>
      <w:bookmarkStart w:id="68" w:name="_Toc397433562"/>
      <w:bookmarkStart w:id="69" w:name="_Toc406143967"/>
      <w:bookmarkStart w:id="70" w:name="_Toc382580630"/>
      <w:bookmarkStart w:id="71" w:name="_Toc396134034"/>
      <w:bookmarkStart w:id="72" w:name="_Toc397348590"/>
      <w:bookmarkStart w:id="73" w:name="_Toc350863991"/>
      <w:bookmarkStart w:id="74" w:name="_Toc363024794"/>
      <w:r>
        <w:rPr>
          <w:rFonts w:hint="eastAsia"/>
          <w:color w:val="000000"/>
        </w:rPr>
        <w:t>8</w:t>
      </w:r>
    </w:p>
    <w:bookmarkEnd w:id="63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eastAsia="黑体"/>
        </w:rPr>
        <w:t>环境产品声明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environmental product declaration</w:t>
      </w:r>
      <w:r>
        <w:rPr>
          <w:rFonts w:hint="eastAsia" w:eastAsia="黑体"/>
        </w:rPr>
        <w:t>（EPD）</w:t>
      </w:r>
    </w:p>
    <w:p>
      <w:pPr>
        <w:pStyle w:val="7"/>
        <w:rPr>
          <w:rFonts w:ascii="Times New Roman"/>
        </w:rPr>
      </w:pPr>
      <w:r>
        <w:rPr>
          <w:rFonts w:ascii="Times New Roman"/>
        </w:rPr>
        <w:t>提供基于预设参数的量化环境数据的环境声明，必要时包括附加环境信息。</w:t>
      </w:r>
    </w:p>
    <w:p>
      <w:pPr>
        <w:pStyle w:val="8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color w:val="000000"/>
        </w:rPr>
      </w:pPr>
      <w:bookmarkStart w:id="75" w:name="_Toc462063256"/>
      <w:bookmarkStart w:id="76" w:name="_Toc408495875"/>
      <w:bookmarkStart w:id="77" w:name="_Toc30452"/>
      <w:r>
        <w:rPr>
          <w:rFonts w:hint="eastAsia"/>
          <w:color w:val="000000"/>
        </w:rPr>
        <w:t>3.</w:t>
      </w:r>
      <w:bookmarkEnd w:id="75"/>
      <w:bookmarkEnd w:id="76"/>
      <w:r>
        <w:rPr>
          <w:rFonts w:hint="eastAsia"/>
          <w:color w:val="000000"/>
        </w:rPr>
        <w:t>9</w:t>
      </w:r>
    </w:p>
    <w:bookmarkEnd w:id="77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eastAsia="黑体"/>
        </w:rPr>
        <w:t xml:space="preserve">碳足迹  </w:t>
      </w:r>
      <w:r>
        <w:fldChar w:fldCharType="begin"/>
      </w:r>
      <w:r>
        <w:instrText xml:space="preserve">HYPERLINK "http://www.baidu.com/link?url=NM-sDc8vF8f6LBJJjre3x3OgH29MNSR7nUOi6mno3-iVlHb3Zlvs9wTbxnKcKC6gPud9_XI7Qg3qobY6J2p3_MuxwSugBbZWQE3OggbMvUq" \t "https://www.baidu.com/_blank"</w:instrText>
      </w:r>
      <w:r>
        <w:fldChar w:fldCharType="separate"/>
      </w:r>
      <w:r>
        <w:rPr>
          <w:rFonts w:eastAsia="黑体"/>
        </w:rPr>
        <w:t>carbon footprint</w:t>
      </w:r>
      <w:r>
        <w:fldChar w:fldCharType="end"/>
      </w:r>
    </w:p>
    <w:p>
      <w:pPr>
        <w:spacing w:line="30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用以量化过程、过程系统或产品系统温室气体排放的参数，以表现它们对气候变化的贡献。</w:t>
      </w: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>
      <w:pPr>
        <w:pStyle w:val="8"/>
        <w:numPr>
          <w:ilvl w:val="0"/>
          <w:numId w:val="2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78" w:name="_Toc462063257"/>
      <w:bookmarkStart w:id="79" w:name="_Toc406486353"/>
      <w:r>
        <w:rPr>
          <w:rFonts w:hint="eastAsia"/>
          <w:color w:val="000000"/>
        </w:rPr>
        <w:t>评价要求</w:t>
      </w:r>
      <w:bookmarkEnd w:id="78"/>
      <w:bookmarkEnd w:id="79"/>
    </w:p>
    <w:p>
      <w:pPr>
        <w:widowControl/>
        <w:spacing w:before="156" w:beforeLines="50" w:after="156" w:afterLines="50"/>
        <w:jc w:val="left"/>
        <w:outlineLvl w:val="2"/>
        <w:rPr>
          <w:rFonts w:eastAsia="黑体"/>
          <w:color w:val="000000"/>
          <w:kern w:val="0"/>
        </w:rPr>
      </w:pPr>
      <w:bookmarkStart w:id="80" w:name="_Toc456611366"/>
      <w:bookmarkStart w:id="81" w:name="_Toc459107153"/>
      <w:bookmarkStart w:id="82" w:name="_Toc22141"/>
      <w:bookmarkStart w:id="83" w:name="_Toc406486354"/>
      <w:bookmarkStart w:id="84" w:name="_Toc360632439"/>
      <w:bookmarkStart w:id="85" w:name="_Toc360436848"/>
      <w:bookmarkStart w:id="86" w:name="_Toc406486355"/>
      <w:bookmarkStart w:id="87" w:name="_Toc360436761"/>
      <w:bookmarkStart w:id="88" w:name="_Toc384816564"/>
      <w:bookmarkStart w:id="89" w:name="_Toc350864000"/>
      <w:bookmarkStart w:id="90" w:name="_Toc396134049"/>
      <w:r>
        <w:rPr>
          <w:rFonts w:eastAsia="黑体"/>
          <w:color w:val="000000"/>
          <w:kern w:val="0"/>
        </w:rPr>
        <w:t>4.1 基本要求</w:t>
      </w:r>
      <w:bookmarkEnd w:id="80"/>
      <w:bookmarkEnd w:id="81"/>
      <w:bookmarkEnd w:id="82"/>
      <w:bookmarkEnd w:id="83"/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bookmarkStart w:id="91" w:name="_Toc462063258"/>
      <w:bookmarkStart w:id="92" w:name="_Toc459106415"/>
      <w:bookmarkStart w:id="93" w:name="_Toc436234466"/>
      <w:r>
        <w:rPr>
          <w:rFonts w:ascii="Times New Roman" w:eastAsia="宋体"/>
        </w:rPr>
        <w:t xml:space="preserve">4.1.1  </w:t>
      </w:r>
      <w:r>
        <w:rPr>
          <w:rFonts w:ascii="宋体" w:eastAsia="宋体"/>
        </w:rPr>
        <w:t>生产企业</w:t>
      </w:r>
      <w:bookmarkEnd w:id="91"/>
      <w:bookmarkEnd w:id="92"/>
      <w:r>
        <w:rPr>
          <w:rFonts w:hint="eastAsia" w:ascii="宋体" w:eastAsia="宋体"/>
        </w:rPr>
        <w:t>应符合适用的国家标准、地方标准及环评批复的规定，并取得地方政府的排污许可证，</w:t>
      </w:r>
      <w:r>
        <w:rPr>
          <w:rFonts w:hint="eastAsia" w:ascii="Times New Roman" w:eastAsia="宋体"/>
        </w:rPr>
        <w:t>且近</w:t>
      </w:r>
      <w:r>
        <w:rPr>
          <w:rFonts w:ascii="Times New Roman" w:eastAsia="宋体"/>
        </w:rPr>
        <w:t>3</w:t>
      </w:r>
      <w:r>
        <w:rPr>
          <w:rFonts w:hint="eastAsia" w:ascii="Times New Roman" w:eastAsia="宋体"/>
        </w:rPr>
        <w:t>年无重大环境污染事件。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2</w:t>
      </w:r>
      <w:r>
        <w:rPr>
          <w:rFonts w:ascii="Times New Roman" w:eastAsia="宋体"/>
        </w:rPr>
        <w:t xml:space="preserve">  </w:t>
      </w:r>
      <w:r>
        <w:rPr>
          <w:rFonts w:hint="eastAsia" w:ascii="Times New Roman" w:eastAsia="宋体"/>
        </w:rPr>
        <w:t>一般固体废弃物的收集、贮存、处置应符合</w:t>
      </w:r>
      <w:r>
        <w:rPr>
          <w:rFonts w:ascii="Times New Roman" w:eastAsia="宋体"/>
        </w:rPr>
        <w:t>GB 18599</w:t>
      </w:r>
      <w:r>
        <w:rPr>
          <w:rFonts w:hint="eastAsia" w:ascii="Times New Roman" w:eastAsia="宋体"/>
        </w:rPr>
        <w:t>的相关规定。危险废物的贮存应符合</w:t>
      </w:r>
      <w:r>
        <w:rPr>
          <w:rFonts w:ascii="Times New Roman" w:eastAsia="宋体"/>
        </w:rPr>
        <w:t>GB 18597</w:t>
      </w:r>
      <w:r>
        <w:rPr>
          <w:rFonts w:hint="eastAsia" w:ascii="Times New Roman" w:eastAsia="宋体"/>
        </w:rPr>
        <w:t>的相关规定，后续应交付持有危险废物经营许可证的单位处置。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3</w:t>
      </w:r>
      <w:r>
        <w:rPr>
          <w:rFonts w:ascii="Times New Roman" w:eastAsia="宋体"/>
        </w:rPr>
        <w:t xml:space="preserve">  </w:t>
      </w:r>
      <w:r>
        <w:rPr>
          <w:rFonts w:hint="eastAsia" w:ascii="Times New Roman" w:eastAsia="宋体"/>
        </w:rPr>
        <w:t>工作场所有害因素职业接触限值，应满足</w:t>
      </w:r>
      <w:r>
        <w:rPr>
          <w:rFonts w:ascii="Times New Roman" w:eastAsia="宋体"/>
        </w:rPr>
        <w:t>GBZ 2.1</w:t>
      </w:r>
      <w:r>
        <w:rPr>
          <w:rFonts w:hint="eastAsia" w:ascii="Times New Roman" w:eastAsia="宋体"/>
        </w:rPr>
        <w:t>和</w:t>
      </w:r>
      <w:r>
        <w:rPr>
          <w:rFonts w:ascii="Times New Roman" w:eastAsia="宋体"/>
        </w:rPr>
        <w:t>GBZ 2.2</w:t>
      </w:r>
      <w:r>
        <w:rPr>
          <w:rFonts w:hint="eastAsia" w:ascii="Times New Roman" w:eastAsia="宋体"/>
        </w:rPr>
        <w:t>要求。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 xml:space="preserve">4.1.4 </w:t>
      </w:r>
      <w:r>
        <w:rPr>
          <w:rFonts w:ascii="Times New Roman" w:eastAsia="宋体"/>
        </w:rPr>
        <w:t xml:space="preserve"> </w:t>
      </w:r>
      <w:r>
        <w:rPr>
          <w:rFonts w:hint="eastAsia" w:ascii="Times New Roman" w:eastAsia="宋体"/>
        </w:rPr>
        <w:t>安全生产管理</w:t>
      </w:r>
      <w:r>
        <w:rPr>
          <w:rFonts w:hint="eastAsia" w:ascii="宋体" w:eastAsia="宋体"/>
        </w:rPr>
        <w:t>应符合适用的国家标准、地方标准规定</w:t>
      </w:r>
      <w:r>
        <w:rPr>
          <w:rFonts w:hint="eastAsia" w:ascii="Times New Roman" w:eastAsia="宋体"/>
        </w:rPr>
        <w:t>，且近</w:t>
      </w:r>
      <w:r>
        <w:rPr>
          <w:rFonts w:ascii="Times New Roman" w:eastAsia="宋体"/>
        </w:rPr>
        <w:t>3</w:t>
      </w:r>
      <w:r>
        <w:rPr>
          <w:rFonts w:hint="eastAsia" w:ascii="Times New Roman" w:eastAsia="宋体"/>
        </w:rPr>
        <w:t>年无重大安全事故。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 xml:space="preserve">4.1.5 </w:t>
      </w:r>
      <w:r>
        <w:rPr>
          <w:rFonts w:ascii="Times New Roman" w:eastAsia="宋体"/>
        </w:rPr>
        <w:t xml:space="preserve"> </w:t>
      </w:r>
      <w:r>
        <w:rPr>
          <w:rFonts w:hint="eastAsia" w:ascii="Times New Roman" w:eastAsia="宋体"/>
        </w:rPr>
        <w:t>生产企业应按照GB/T 19001、GB/T 24001、和GB/T 28001分别建立并运行质量管理体系、环境管理体系和职业健康安全管理体系。</w:t>
      </w:r>
    </w:p>
    <w:bookmarkEnd w:id="93"/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bookmarkStart w:id="94" w:name="_Toc436234470"/>
      <w:r>
        <w:rPr>
          <w:rFonts w:ascii="Times New Roman" w:eastAsia="宋体"/>
        </w:rPr>
        <w:t>4.1.</w:t>
      </w:r>
      <w:bookmarkEnd w:id="94"/>
      <w:r>
        <w:rPr>
          <w:rFonts w:hint="eastAsia" w:ascii="Times New Roman" w:eastAsia="宋体"/>
        </w:rPr>
        <w:t>6  生产企业应采用国家鼓励的先进技术工艺，不应使用国家或有关部门发布的淘汰或禁止的技术、工艺、装备及相关物质。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7  集成墙面产品基本性能应符合JG/T XXXX、</w:t>
      </w:r>
      <w:r>
        <w:rPr>
          <w:rFonts w:hint="eastAsia" w:ascii="Times New Roman"/>
        </w:rPr>
        <w:t>T/CADBM XXXX、T/CADBM XXXX等</w:t>
      </w:r>
      <w:r>
        <w:rPr>
          <w:rFonts w:hint="eastAsia" w:ascii="Times New Roman" w:eastAsia="宋体"/>
        </w:rPr>
        <w:t>相应的现行标准要求。</w:t>
      </w:r>
    </w:p>
    <w:p>
      <w:pPr>
        <w:pStyle w:val="9"/>
        <w:numPr>
          <w:ilvl w:val="0"/>
          <w:numId w:val="0"/>
        </w:numPr>
        <w:adjustRightInd w:val="0"/>
        <w:snapToGrid w:val="0"/>
        <w:spacing w:before="156" w:after="156"/>
        <w:rPr>
          <w:rFonts w:hint="eastAsia" w:ascii="Times New Roman" w:eastAsia="宋体"/>
        </w:rPr>
      </w:pPr>
      <w:r>
        <w:rPr>
          <w:rFonts w:hint="eastAsia" w:ascii="Times New Roman" w:eastAsia="宋体"/>
        </w:rPr>
        <w:t>4.1.8  生产企业还应符合表1的规定。</w:t>
      </w:r>
    </w:p>
    <w:p>
      <w:pPr>
        <w:pStyle w:val="8"/>
        <w:numPr>
          <w:ilvl w:val="0"/>
          <w:numId w:val="0"/>
        </w:numPr>
        <w:spacing w:before="156" w:beforeLines="50" w:after="156" w:afterLines="50"/>
        <w:jc w:val="center"/>
        <w:outlineLvl w:val="9"/>
        <w:rPr>
          <w:rFonts w:hint="eastAsia" w:ascii="Times New Roman"/>
        </w:rPr>
      </w:pPr>
      <w:r>
        <w:rPr>
          <w:rFonts w:hint="eastAsia" w:ascii="Times New Roman"/>
        </w:rPr>
        <w:t>表1 申请企业其他规定</w:t>
      </w:r>
    </w:p>
    <w:tbl>
      <w:tblPr>
        <w:tblStyle w:val="5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418"/>
        <w:gridCol w:w="1417"/>
        <w:gridCol w:w="1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具体规定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不同评价等级符合项数要求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417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524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三星级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安全生产标准化满足</w:t>
            </w:r>
            <w:r>
              <w:rPr>
                <w:sz w:val="18"/>
                <w:szCs w:val="18"/>
              </w:rPr>
              <w:t>GB/T 33000</w:t>
            </w:r>
            <w:r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至少符合1项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至少符合2项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按照GB/T 23331建立并运行能源管理体系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按照GB/T 24025提交集成墙面的环境产品声明（EPD）和碳足迹报告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before="156" w:after="156"/>
        <w:rPr>
          <w:color w:val="000000"/>
        </w:rPr>
      </w:pPr>
      <w:bookmarkStart w:id="95" w:name="_Toc462063260"/>
      <w:bookmarkStart w:id="96" w:name="_Toc31135"/>
      <w:r>
        <w:rPr>
          <w:rFonts w:hint="eastAsia"/>
          <w:color w:val="000000"/>
        </w:rPr>
        <w:t>4.2 评价指标要求</w:t>
      </w:r>
      <w:bookmarkEnd w:id="84"/>
      <w:bookmarkEnd w:id="85"/>
      <w:bookmarkEnd w:id="86"/>
      <w:bookmarkEnd w:id="87"/>
      <w:bookmarkEnd w:id="88"/>
      <w:bookmarkEnd w:id="89"/>
      <w:bookmarkEnd w:id="90"/>
      <w:bookmarkEnd w:id="95"/>
      <w:bookmarkEnd w:id="96"/>
    </w:p>
    <w:p>
      <w:pPr>
        <w:pStyle w:val="7"/>
        <w:rPr>
          <w:rFonts w:hint="eastAsia" w:ascii="Times New Roman"/>
        </w:rPr>
      </w:pPr>
      <w:r>
        <w:rPr>
          <w:rFonts w:hint="eastAsia" w:ascii="Times New Roman"/>
        </w:rPr>
        <w:t>集成墙面评价指标</w:t>
      </w:r>
      <w:r>
        <w:rPr>
          <w:rFonts w:ascii="Times New Roman"/>
        </w:rPr>
        <w:t>包括资源属性指标、能源属性指标、环境属性指标和</w:t>
      </w:r>
      <w:r>
        <w:rPr>
          <w:rFonts w:hint="eastAsia" w:ascii="Times New Roman"/>
        </w:rPr>
        <w:t>品质</w:t>
      </w:r>
      <w:r>
        <w:rPr>
          <w:rFonts w:ascii="Times New Roman"/>
        </w:rPr>
        <w:t>属性指标。</w:t>
      </w:r>
      <w:bookmarkStart w:id="97" w:name="_Toc360632446"/>
      <w:bookmarkStart w:id="98" w:name="_Toc406486359"/>
      <w:bookmarkStart w:id="99" w:name="_Toc396134054"/>
      <w:bookmarkStart w:id="100" w:name="_Toc31213"/>
      <w:bookmarkStart w:id="101" w:name="_Toc397433577"/>
      <w:bookmarkStart w:id="102" w:name="_Toc462063261"/>
      <w:bookmarkStart w:id="103" w:name="_Toc350864007"/>
      <w:bookmarkStart w:id="104" w:name="_Toc360436855"/>
      <w:bookmarkStart w:id="105" w:name="_Toc397348606"/>
      <w:bookmarkStart w:id="106" w:name="_Toc384816569"/>
      <w:bookmarkStart w:id="107" w:name="_Toc360436768"/>
      <w:r>
        <w:rPr>
          <w:rFonts w:hint="eastAsia" w:ascii="Times New Roman"/>
        </w:rPr>
        <w:t>金属集成墙面的评价指标</w:t>
      </w:r>
      <w:r>
        <w:rPr>
          <w:rFonts w:ascii="Times New Roman"/>
        </w:rPr>
        <w:t>要求见表</w:t>
      </w:r>
      <w:r>
        <w:rPr>
          <w:rFonts w:hint="eastAsia" w:ascii="Times New Roman"/>
        </w:rPr>
        <w:t>2</w:t>
      </w:r>
      <w:r>
        <w:rPr>
          <w:rFonts w:ascii="Times New Roman"/>
        </w:rPr>
        <w:t>，</w:t>
      </w:r>
      <w:r>
        <w:rPr>
          <w:rFonts w:hint="eastAsia" w:ascii="Times New Roman"/>
        </w:rPr>
        <w:t>竹木纤维集成墙面的评价指标</w:t>
      </w:r>
      <w:r>
        <w:rPr>
          <w:rFonts w:ascii="Times New Roman"/>
        </w:rPr>
        <w:t>要求见表</w:t>
      </w:r>
      <w:r>
        <w:rPr>
          <w:rFonts w:hint="eastAsia" w:ascii="Times New Roman"/>
        </w:rPr>
        <w:t>3，石塑集成墙面的评价指标要求见表4</w:t>
      </w:r>
      <w:r>
        <w:rPr>
          <w:rFonts w:ascii="Times New Roman"/>
        </w:rPr>
        <w:t>。</w:t>
      </w:r>
    </w:p>
    <w:p>
      <w:pPr>
        <w:pStyle w:val="8"/>
        <w:numPr>
          <w:ilvl w:val="0"/>
          <w:numId w:val="0"/>
        </w:numPr>
        <w:spacing w:before="156" w:beforeLines="50" w:after="156" w:afterLines="50"/>
        <w:jc w:val="center"/>
        <w:outlineLvl w:val="9"/>
        <w:rPr>
          <w:rFonts w:ascii="Times New Roman"/>
        </w:rPr>
      </w:pPr>
      <w:r>
        <w:rPr>
          <w:rFonts w:hint="eastAsia" w:ascii="Times New Roman"/>
        </w:rPr>
        <w:t>表2 金属集成墙面评价指标要求</w:t>
      </w:r>
    </w:p>
    <w:tbl>
      <w:tblPr>
        <w:tblStyle w:val="5"/>
        <w:tblW w:w="9729" w:type="dxa"/>
        <w:jc w:val="center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90"/>
        <w:gridCol w:w="1564"/>
        <w:gridCol w:w="848"/>
        <w:gridCol w:w="1370"/>
        <w:gridCol w:w="1370"/>
        <w:gridCol w:w="1372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评价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370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372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175" w:type="dxa"/>
            <w:vMerge w:val="continue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稳定剂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不得使用铅、镉盐稳定剂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证明文件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结合现场检查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发泡剂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不得使用氟氯烃发泡剂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阻燃剂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不得使用含有多溴联苯、三-（2,3-二溴丙基）-磷酸酯、二溴二苯醚、八溴联苯醚、六溴环十二烷的阻燃剂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单位产品综合能耗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tce/</w:t>
            </w: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≤0.03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≤0.02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附录A.1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涂饰层可溶性重金属含量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≤90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≤90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GB 18582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≤75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≤50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甲醛释放量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0.124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0.062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18580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总挥发性有机化合物</w:t>
            </w:r>
            <w:r>
              <w:rPr>
                <w:rFonts w:hint="eastAsia"/>
                <w:sz w:val="18"/>
                <w:szCs w:val="18"/>
              </w:rPr>
              <w:t>（第3天）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≤0.80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HJ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571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燃烧性能</w:t>
            </w:r>
          </w:p>
        </w:tc>
        <w:tc>
          <w:tcPr>
            <w:tcW w:w="1564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产品燃烧性能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B1(B)-s2,d2,t1</w:t>
            </w:r>
          </w:p>
        </w:tc>
        <w:tc>
          <w:tcPr>
            <w:tcW w:w="1370" w:type="dxa"/>
            <w:vAlign w:val="top"/>
          </w:tcPr>
          <w:p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B1(B)-s2,d2,t1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B1(B)-s1,d0,t0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8624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保温材料氧指数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11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≥28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</w:t>
            </w:r>
            <w:r>
              <w:rPr>
                <w:color w:val="000000"/>
                <w:kern w:val="0"/>
                <w:sz w:val="18"/>
                <w:szCs w:val="18"/>
              </w:rPr>
              <w:t>性能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≥0.10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≥0.12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≥0.15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JG/T XXXX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耐污染性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抗冲击性能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800mm，无明显变形及破坏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1000mm，无明显变形及破坏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1200mm，无明显变形及破坏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before="156" w:beforeLines="50" w:after="156" w:afterLines="50"/>
        <w:jc w:val="center"/>
        <w:outlineLvl w:val="9"/>
        <w:rPr>
          <w:rFonts w:ascii="Times New Roman"/>
        </w:rPr>
      </w:pPr>
      <w:r>
        <w:rPr>
          <w:rFonts w:hint="eastAsia" w:ascii="Times New Roman"/>
        </w:rPr>
        <w:t>表3 竹木纤维集成墙面评价指标要求</w:t>
      </w:r>
    </w:p>
    <w:tbl>
      <w:tblPr>
        <w:tblStyle w:val="5"/>
        <w:tblW w:w="9671" w:type="dxa"/>
        <w:jc w:val="center"/>
        <w:tblInd w:w="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92"/>
        <w:gridCol w:w="1360"/>
        <w:gridCol w:w="847"/>
        <w:gridCol w:w="1298"/>
        <w:gridCol w:w="1298"/>
        <w:gridCol w:w="1298"/>
        <w:gridCol w:w="1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判定依据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298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298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569" w:type="dxa"/>
            <w:vMerge w:val="continue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竹木纤维含量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≥15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T/CADBM 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邻苯二甲酸酯含量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GB/T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22048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竹木纤维来源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可再生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证明文件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结合现场检查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涂料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不得使用溶剂型涂料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稳定剂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不得使用铅、镉盐稳定剂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发泡剂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不得使用氟氯烃发泡剂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阻燃剂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不得使用含有多溴联苯、三-（2,3-二溴丙基）-磷酸酯、二溴二苯醚、八溴联苯醚、六溴环十二烷的阻燃剂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生物杀灭剂成分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标记主要成分和含量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单位产品综合能耗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tce/t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附录A.1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单位产品用水量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≤1.9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≤1.7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附录A.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可溶性重金属含量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（基材）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GB 18582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可溶性重金属含量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（涂饰层）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甲醛释放量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0.124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0.062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18580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</w:t>
            </w:r>
          </w:p>
          <w:p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（第3天）</w:t>
            </w:r>
          </w:p>
        </w:tc>
        <w:tc>
          <w:tcPr>
            <w:tcW w:w="1360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≤0.11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HJ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571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甲苯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≤0.60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≤0.40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二甲苯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≤0.60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≤0.40</w:t>
            </w:r>
          </w:p>
        </w:tc>
        <w:tc>
          <w:tcPr>
            <w:tcW w:w="1298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总挥发性有机化合物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≤0.90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≤0.70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燃烧性能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B1(C)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B1(B)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8624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耐污染性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JG/T 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尺寸稳定性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≤0.75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≤0.30</w:t>
            </w:r>
          </w:p>
        </w:tc>
        <w:tc>
          <w:tcPr>
            <w:tcW w:w="1569" w:type="dxa"/>
            <w:vMerge w:val="continue"/>
            <w:vAlign w:val="top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抗弯强度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≥20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≥30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≥40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剥离力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≥40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≥50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≥60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1" w:type="dxa"/>
            <w:gridSpan w:val="8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适用于贴膜饰面。</w:t>
            </w:r>
          </w:p>
        </w:tc>
      </w:tr>
    </w:tbl>
    <w:p>
      <w:pPr>
        <w:pStyle w:val="8"/>
        <w:numPr>
          <w:ilvl w:val="0"/>
          <w:numId w:val="0"/>
        </w:numPr>
        <w:spacing w:before="156" w:beforeLines="50" w:after="156" w:afterLines="50"/>
        <w:jc w:val="center"/>
        <w:outlineLvl w:val="9"/>
        <w:rPr>
          <w:rFonts w:ascii="Times New Roman"/>
        </w:rPr>
      </w:pPr>
      <w:r>
        <w:rPr>
          <w:rFonts w:hint="eastAsia" w:ascii="Times New Roman"/>
        </w:rPr>
        <w:t>表4 石塑集成墙面评价指标要求</w:t>
      </w:r>
    </w:p>
    <w:tbl>
      <w:tblPr>
        <w:tblStyle w:val="5"/>
        <w:tblW w:w="97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29"/>
        <w:gridCol w:w="1146"/>
        <w:gridCol w:w="841"/>
        <w:gridCol w:w="1327"/>
        <w:gridCol w:w="1329"/>
        <w:gridCol w:w="1332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判定依据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614" w:type="dxa"/>
            <w:vMerge w:val="continue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邻苯二甲酸酯含量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GB/T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22048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涂料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不得使用溶剂型涂料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证明文件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结合现场检查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稳定剂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铅、镉盐稳定剂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发泡剂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不得使用氟氯烃发泡剂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阻燃剂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不得使用含有多溴联苯、三-（2,3-二溴丙基）-磷酸酯、二溴二苯醚、八溴联苯醚、六溴环十二烷的阻燃剂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单位产品综合能耗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tce/t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≤0.4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附录A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单位产品用水量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附录A.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可溶性重金属含量（基材）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GB 18582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≤20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可溶性重金属含量（涂饰层）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甲醛释放量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0.124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0.062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18580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</w:t>
            </w:r>
            <w:r>
              <w:rPr>
                <w:rFonts w:hint="eastAsia"/>
                <w:sz w:val="18"/>
                <w:szCs w:val="18"/>
              </w:rPr>
              <w:t>（第3天）</w:t>
            </w:r>
          </w:p>
        </w:tc>
        <w:tc>
          <w:tcPr>
            <w:tcW w:w="1146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329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≤0.11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HJ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571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甲苯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≤0.60</w:t>
            </w:r>
          </w:p>
        </w:tc>
        <w:tc>
          <w:tcPr>
            <w:tcW w:w="1329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≤0.40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二甲苯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≤0.60</w:t>
            </w:r>
          </w:p>
        </w:tc>
        <w:tc>
          <w:tcPr>
            <w:tcW w:w="1329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≤0.40</w:t>
            </w:r>
          </w:p>
        </w:tc>
        <w:tc>
          <w:tcPr>
            <w:tcW w:w="1332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总挥发性有机化合物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≤0.90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≤0.70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≤0.50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燃烧性能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B1(C)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B1(C)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B1(B)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8624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耐污染性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JG/T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加热后尺寸变化率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抗弯强度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≥30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≥40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ind w:firstLine="0" w:firstLineChars="0"/>
        <w:rPr>
          <w:rFonts w:hint="eastAsia" w:ascii="Times New Roman"/>
        </w:rPr>
      </w:pPr>
    </w:p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p>
      <w:pPr>
        <w:pStyle w:val="10"/>
        <w:numPr>
          <w:ilvl w:val="0"/>
          <w:numId w:val="0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 xml:space="preserve">5 </w:t>
      </w:r>
      <w:r>
        <w:rPr>
          <w:rFonts w:hint="eastAsia" w:hAnsi="黑体"/>
        </w:rPr>
        <w:t>评价方法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</w:pPr>
      <w:bookmarkStart w:id="108" w:name="_Toc350864010"/>
      <w:bookmarkStart w:id="109" w:name="_Toc360436771"/>
      <w:bookmarkStart w:id="110" w:name="_Toc384816571"/>
      <w:bookmarkStart w:id="111" w:name="_Toc360632449"/>
      <w:bookmarkStart w:id="112" w:name="_Toc360436858"/>
      <w:bookmarkStart w:id="113" w:name="_Toc396134056"/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1 </w:t>
      </w:r>
      <w:r>
        <w:t>生产企业应按4.1的规定提供有效期内的第三方环境监测报告、管理体系认证证书、产品型式检验报告、</w:t>
      </w:r>
      <w:r>
        <w:rPr>
          <w:rFonts w:hint="eastAsia"/>
        </w:rPr>
        <w:t>安全生产标准化证书、EPD和碳足迹报告、</w:t>
      </w:r>
      <w:r>
        <w:t>应用技术文件（如企业标准、企业技术规程、施工应用指南、使用说明书等）等相关资料。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</w:pPr>
      <w:r>
        <w:rPr>
          <w:rFonts w:hint="eastAsia"/>
        </w:rPr>
        <w:t>5.2 金属集成墙面资源属性指标（稳定剂、发泡剂、阻燃剂）、竹木纤维集成墙面资源属性指标（竹木纤维来源、涂料、稳定剂、发泡剂、阻燃剂、生物杀灭剂成分）、石塑集成墙面资源属性指标（涂料、稳定剂、发泡剂、阻燃剂）通过提交证明文件结合现场检查的方式进行评价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</w:rPr>
      </w:pPr>
      <w:r>
        <w:rPr>
          <w:rFonts w:hint="eastAsia"/>
        </w:rPr>
        <w:t>5.3 金属集成墙面能源属性指标（单位产品综合能耗）、竹木纤维集成墙面能源属性指标（单位产品综合能耗、单位产品用水量）、石塑集成墙面能源属性指标（单位产品综合能耗、单位产品用水量）按附录A的规定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</w:pPr>
      <w:r>
        <w:rPr>
          <w:rFonts w:hint="eastAsia"/>
        </w:rPr>
        <w:t>5.4 其余指标应由</w:t>
      </w:r>
      <w:r>
        <w:t>生产企业提供近一年的产品质量检验报告或按相应标准进行。</w:t>
      </w:r>
      <w:bookmarkStart w:id="114" w:name="_Toc459106422"/>
      <w:bookmarkStart w:id="115" w:name="_Toc462063266"/>
      <w:bookmarkStart w:id="116" w:name="_Toc456611292"/>
    </w:p>
    <w:bookmarkEnd w:id="114"/>
    <w:bookmarkEnd w:id="115"/>
    <w:bookmarkEnd w:id="116"/>
    <w:p>
      <w:pPr>
        <w:autoSpaceDE w:val="0"/>
        <w:autoSpaceDN w:val="0"/>
        <w:adjustRightInd w:val="0"/>
        <w:jc w:val="left"/>
      </w:pPr>
      <w:r>
        <w:rPr>
          <w:rFonts w:hint="eastAsia"/>
        </w:rPr>
        <w:t>5.5 采用符合性评价，</w:t>
      </w:r>
      <w:r>
        <w:rPr>
          <w:rFonts w:hint="eastAsia" w:ascii="宋体" w:cs="宋体"/>
          <w:kern w:val="0"/>
        </w:rPr>
        <w:t>生产企业满足4.1和4.2对某一评价等级的全部要求时，</w:t>
      </w:r>
      <w:r>
        <w:rPr>
          <w:rFonts w:hint="eastAsia"/>
        </w:rPr>
        <w:t>判定评价结果</w:t>
      </w:r>
      <w:r>
        <w:rPr>
          <w:rFonts w:hint="eastAsia" w:ascii="宋体" w:cs="宋体"/>
          <w:kern w:val="0"/>
        </w:rPr>
        <w:t>符合该等级规定。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  <w:sectPr>
          <w:pgSz w:w="11906" w:h="16838"/>
          <w:pgMar w:top="1402" w:right="1134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bookmarkEnd w:id="108"/>
    <w:bookmarkEnd w:id="109"/>
    <w:bookmarkEnd w:id="110"/>
    <w:bookmarkEnd w:id="111"/>
    <w:bookmarkEnd w:id="112"/>
    <w:bookmarkEnd w:id="113"/>
    <w:p>
      <w:pPr>
        <w:pStyle w:val="12"/>
        <w:rPr>
          <w:rFonts w:ascii="Times New Roman"/>
        </w:rPr>
      </w:pPr>
      <w:bookmarkStart w:id="117" w:name="_Toc462063267"/>
      <w:bookmarkStart w:id="118" w:name="_Toc459106423"/>
      <w:bookmarkStart w:id="119" w:name="_Toc360436775"/>
      <w:bookmarkStart w:id="120" w:name="_Toc350864015"/>
      <w:bookmarkStart w:id="121" w:name="_Toc360632685"/>
      <w:bookmarkStart w:id="122" w:name="_Toc360632454"/>
      <w:bookmarkStart w:id="123" w:name="_Toc360436862"/>
      <w:r>
        <w:rPr>
          <w:rFonts w:ascii="Times New Roman"/>
        </w:rPr>
        <w:t xml:space="preserve">附 录 </w:t>
      </w:r>
      <w:r>
        <w:rPr>
          <w:rFonts w:hint="eastAsia" w:ascii="Times New Roman"/>
        </w:rPr>
        <w:t>A</w:t>
      </w:r>
      <w:r>
        <w:rPr>
          <w:rFonts w:ascii="Times New Roman"/>
        </w:rPr>
        <w:br w:type="textWrapping"/>
      </w:r>
      <w:bookmarkStart w:id="124" w:name="_Toc456611293"/>
      <w:r>
        <w:rPr>
          <w:rFonts w:ascii="Times New Roman"/>
        </w:rPr>
        <w:t>（规范性附录）</w:t>
      </w:r>
      <w:bookmarkEnd w:id="117"/>
    </w:p>
    <w:p>
      <w:pPr>
        <w:pStyle w:val="12"/>
        <w:snapToGrid w:val="0"/>
        <w:spacing w:before="0" w:after="0"/>
        <w:outlineLvl w:val="9"/>
        <w:rPr>
          <w:rFonts w:ascii="Times New Roman"/>
        </w:rPr>
      </w:pPr>
      <w:bookmarkStart w:id="125" w:name="_Toc462063268"/>
      <w:r>
        <w:rPr>
          <w:rFonts w:ascii="Times New Roman"/>
        </w:rPr>
        <w:t>计算方法</w:t>
      </w:r>
      <w:bookmarkEnd w:id="118"/>
      <w:bookmarkEnd w:id="124"/>
      <w:bookmarkEnd w:id="125"/>
    </w:p>
    <w:p>
      <w:pPr>
        <w:pStyle w:val="13"/>
        <w:spacing w:before="312" w:after="312"/>
        <w:rPr>
          <w:rFonts w:ascii="Times New Roman"/>
        </w:rPr>
      </w:pPr>
      <w:bookmarkStart w:id="126" w:name="_Toc456611294"/>
      <w:bookmarkStart w:id="127" w:name="_Toc459106424"/>
      <w:r>
        <w:rPr>
          <w:rFonts w:ascii="Times New Roman"/>
        </w:rPr>
        <w:t>A.</w:t>
      </w:r>
      <w:r>
        <w:rPr>
          <w:rFonts w:hint="eastAsia" w:ascii="Times New Roman"/>
        </w:rPr>
        <w:t>1</w:t>
      </w:r>
      <w:r>
        <w:rPr>
          <w:rFonts w:ascii="Times New Roman"/>
        </w:rPr>
        <w:t xml:space="preserve"> 单位产品综合能耗</w:t>
      </w:r>
    </w:p>
    <w:p>
      <w:pPr>
        <w:pStyle w:val="7"/>
      </w:pPr>
      <w:r>
        <w:rPr>
          <w:rFonts w:hint="eastAsia"/>
        </w:rPr>
        <w:t>单位产品综合能耗按式（A.1）计算：</w:t>
      </w:r>
    </w:p>
    <w:p>
      <w:pPr>
        <w:pStyle w:val="7"/>
      </w:pPr>
    </w:p>
    <w:p>
      <w:pPr>
        <w:pStyle w:val="14"/>
        <w:rPr>
          <w:rFonts w:hint="eastAsia" w:ascii="Times New Roman"/>
        </w:rPr>
      </w:pPr>
      <w:r>
        <w:rPr>
          <w:rFonts w:ascii="Times New Roman"/>
        </w:rPr>
        <w:tab/>
      </w:r>
      <w:r>
        <w:rPr>
          <w:rFonts w:hint="eastAsia" w:ascii="Times New Roman"/>
        </w:rPr>
        <w:t xml:space="preserve">         </w:t>
      </w:r>
      <w:r>
        <w:rPr>
          <w:rFonts w:ascii="Times New Roman"/>
          <w:position w:val="-24"/>
        </w:rPr>
        <w:object>
          <v:shape id="_x0000_i1025" o:spt="75" type="#_x0000_t75" style="height:32.25pt;width:59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>(</w:t>
      </w:r>
      <w:r>
        <w:rPr>
          <w:rFonts w:hint="eastAsia" w:ascii="Times New Roman"/>
        </w:rPr>
        <w:t>A</w:t>
      </w:r>
      <w:r>
        <w:rPr>
          <w:rFonts w:ascii="Times New Roman"/>
        </w:rPr>
        <w:t>.</w:t>
      </w:r>
      <w:r>
        <w:rPr>
          <w:rFonts w:hint="eastAsia" w:ascii="Times New Roman"/>
        </w:rPr>
        <w:t>1</w:t>
      </w:r>
      <w:r>
        <w:rPr>
          <w:rFonts w:ascii="Times New Roman"/>
        </w:rPr>
        <w:t>)</w:t>
      </w:r>
    </w:p>
    <w:p>
      <w:pPr>
        <w:pStyle w:val="14"/>
        <w:ind w:firstLine="420" w:firstLineChars="200"/>
        <w:rPr>
          <w:rFonts w:ascii="Times New Roman"/>
        </w:rPr>
      </w:pPr>
      <w:r>
        <w:rPr>
          <w:rFonts w:ascii="Times New Roman"/>
        </w:rPr>
        <w:t>式中：</w:t>
      </w:r>
    </w:p>
    <w:p>
      <w:pPr>
        <w:pStyle w:val="7"/>
        <w:rPr>
          <w:rFonts w:ascii="Times New Roman"/>
        </w:rPr>
      </w:pPr>
      <w:r>
        <w:rPr>
          <w:rFonts w:ascii="Times New Roman"/>
          <w:i/>
        </w:rPr>
        <w:t>E</w:t>
      </w:r>
      <w:r>
        <w:rPr>
          <w:rFonts w:ascii="Times New Roman"/>
          <w:i/>
          <w:vertAlign w:val="subscript"/>
        </w:rPr>
        <w:t>DN</w:t>
      </w:r>
      <w:r>
        <w:rPr>
          <w:rFonts w:ascii="Times New Roman"/>
        </w:rPr>
        <w:t xml:space="preserve"> ——单位产品综合耗能，单位为</w:t>
      </w:r>
      <w:r>
        <w:rPr>
          <w:rFonts w:hint="eastAsia" w:ascii="Times New Roman"/>
        </w:rPr>
        <w:t>吨</w:t>
      </w:r>
      <w:r>
        <w:rPr>
          <w:rFonts w:ascii="Times New Roman"/>
        </w:rPr>
        <w:t>标准煤每</w:t>
      </w:r>
      <w:r>
        <w:rPr>
          <w:rFonts w:hint="eastAsia" w:ascii="Times New Roman"/>
        </w:rPr>
        <w:t>吨</w:t>
      </w:r>
      <w:r>
        <w:rPr>
          <w:rFonts w:ascii="Times New Roman"/>
        </w:rPr>
        <w:t>（</w:t>
      </w:r>
      <w:r>
        <w:rPr>
          <w:rFonts w:hint="eastAsia" w:ascii="Times New Roman"/>
        </w:rPr>
        <w:t>t</w:t>
      </w:r>
      <w:r>
        <w:rPr>
          <w:rFonts w:ascii="Times New Roman"/>
        </w:rPr>
        <w:t>ce/</w:t>
      </w:r>
      <w:r>
        <w:rPr>
          <w:rFonts w:hint="eastAsia" w:ascii="Times New Roman"/>
        </w:rPr>
        <w:t>t）或吨标准煤每立方米（tce/m</w:t>
      </w:r>
      <w:r>
        <w:rPr>
          <w:rFonts w:hint="eastAsia" w:ascii="Times New Roman"/>
          <w:vertAlign w:val="superscript"/>
        </w:rPr>
        <w:t>3</w:t>
      </w:r>
      <w:r>
        <w:rPr>
          <w:rFonts w:hint="eastAsia" w:ascii="Times New Roman"/>
        </w:rPr>
        <w:t>）</w:t>
      </w:r>
      <w:r>
        <w:rPr>
          <w:rFonts w:ascii="Times New Roman"/>
        </w:rPr>
        <w:t>；</w:t>
      </w:r>
    </w:p>
    <w:p>
      <w:pPr>
        <w:pStyle w:val="7"/>
        <w:rPr>
          <w:rFonts w:ascii="Times New Roman"/>
        </w:rPr>
      </w:pPr>
      <w:r>
        <w:rPr>
          <w:rFonts w:ascii="Times New Roman"/>
          <w:i/>
        </w:rPr>
        <w:t>E</w:t>
      </w:r>
      <w:r>
        <w:rPr>
          <w:rFonts w:ascii="Times New Roman"/>
          <w:i/>
          <w:vertAlign w:val="subscript"/>
        </w:rPr>
        <w:t>ZN</w:t>
      </w:r>
      <w:r>
        <w:rPr>
          <w:rFonts w:ascii="Times New Roman"/>
        </w:rPr>
        <w:t xml:space="preserve"> ——</w:t>
      </w:r>
      <w:r>
        <w:rPr>
          <w:rFonts w:hint="eastAsia" w:ascii="Times New Roman"/>
        </w:rPr>
        <w:t>评价</w:t>
      </w:r>
      <w:r>
        <w:rPr>
          <w:rFonts w:ascii="Times New Roman"/>
        </w:rPr>
        <w:t>期内产品耗能总量，单位为</w:t>
      </w:r>
      <w:r>
        <w:rPr>
          <w:rFonts w:hint="eastAsia" w:ascii="Times New Roman"/>
        </w:rPr>
        <w:t>吨</w:t>
      </w:r>
      <w:r>
        <w:rPr>
          <w:rFonts w:ascii="Times New Roman"/>
        </w:rPr>
        <w:t>标准煤（</w:t>
      </w:r>
      <w:r>
        <w:rPr>
          <w:rFonts w:hint="eastAsia" w:ascii="Times New Roman"/>
        </w:rPr>
        <w:t>t</w:t>
      </w:r>
      <w:r>
        <w:rPr>
          <w:rFonts w:ascii="Times New Roman"/>
        </w:rPr>
        <w:t>ce）；</w:t>
      </w:r>
    </w:p>
    <w:p>
      <w:pPr>
        <w:pStyle w:val="7"/>
        <w:rPr>
          <w:rFonts w:ascii="Times New Roman"/>
        </w:rPr>
      </w:pPr>
      <w:r>
        <w:rPr>
          <w:rFonts w:ascii="Times New Roman"/>
          <w:i/>
        </w:rPr>
        <w:t>P</w:t>
      </w:r>
      <w:r>
        <w:rPr>
          <w:rFonts w:ascii="Times New Roman"/>
        </w:rPr>
        <w:t xml:space="preserve">  ——</w:t>
      </w:r>
      <w:r>
        <w:rPr>
          <w:rFonts w:hint="eastAsia" w:ascii="Times New Roman"/>
        </w:rPr>
        <w:t>评价</w:t>
      </w:r>
      <w:r>
        <w:rPr>
          <w:rFonts w:ascii="Times New Roman"/>
        </w:rPr>
        <w:t>期内符合相关标准的合格产品产量，单位为</w:t>
      </w:r>
      <w:r>
        <w:rPr>
          <w:rFonts w:hint="eastAsia" w:ascii="Times New Roman"/>
        </w:rPr>
        <w:t>吨</w:t>
      </w:r>
      <w:r>
        <w:rPr>
          <w:rFonts w:ascii="Times New Roman"/>
        </w:rPr>
        <w:t>（</w:t>
      </w:r>
      <w:r>
        <w:rPr>
          <w:rFonts w:hint="eastAsia" w:ascii="Times New Roman"/>
        </w:rPr>
        <w:t>t</w:t>
      </w:r>
      <w:r>
        <w:rPr>
          <w:rFonts w:ascii="Times New Roman"/>
        </w:rPr>
        <w:t>）</w:t>
      </w:r>
      <w:r>
        <w:rPr>
          <w:rFonts w:hint="eastAsia" w:ascii="Times New Roman"/>
        </w:rPr>
        <w:t>或立方米（m</w:t>
      </w:r>
      <w:r>
        <w:rPr>
          <w:rFonts w:hint="eastAsia" w:ascii="Times New Roman"/>
          <w:vertAlign w:val="superscript"/>
        </w:rPr>
        <w:t>3</w:t>
      </w:r>
      <w:r>
        <w:rPr>
          <w:rFonts w:hint="eastAsia" w:ascii="Times New Roman"/>
        </w:rPr>
        <w:t>）</w:t>
      </w:r>
      <w:r>
        <w:rPr>
          <w:rFonts w:ascii="Times New Roman"/>
        </w:rPr>
        <w:t>。</w:t>
      </w:r>
    </w:p>
    <w:p>
      <w:pPr>
        <w:pStyle w:val="13"/>
        <w:spacing w:before="312" w:after="312"/>
        <w:rPr>
          <w:rFonts w:ascii="Times New Roman"/>
        </w:rPr>
      </w:pPr>
      <w:r>
        <w:rPr>
          <w:rFonts w:ascii="Times New Roman"/>
        </w:rPr>
        <w:t>A.</w:t>
      </w:r>
      <w:r>
        <w:rPr>
          <w:rFonts w:hint="eastAsia" w:ascii="Times New Roman"/>
        </w:rPr>
        <w:t>2</w:t>
      </w:r>
      <w:r>
        <w:rPr>
          <w:rFonts w:ascii="Times New Roman"/>
        </w:rPr>
        <w:t xml:space="preserve"> 单位产品</w:t>
      </w:r>
      <w:r>
        <w:rPr>
          <w:rFonts w:hint="eastAsia" w:ascii="Times New Roman"/>
        </w:rPr>
        <w:t>用水量</w:t>
      </w:r>
    </w:p>
    <w:p>
      <w:pPr>
        <w:pStyle w:val="7"/>
      </w:pPr>
      <w:r>
        <w:rPr>
          <w:rFonts w:hint="eastAsia"/>
        </w:rPr>
        <w:t>单位产品用水量按式（A.3）计算：</w:t>
      </w:r>
    </w:p>
    <w:p>
      <w:pPr>
        <w:pStyle w:val="14"/>
        <w:jc w:val="center"/>
        <w:rPr>
          <w:rFonts w:ascii="Times New Roman"/>
        </w:rPr>
      </w:pPr>
      <w:r>
        <w:rPr>
          <w:rFonts w:hint="eastAsia" w:ascii="Times New Roman"/>
          <w:position w:val="-32"/>
        </w:rPr>
        <w:t xml:space="preserve">                                      </w:t>
      </w:r>
      <w:r>
        <w:rPr>
          <w:rFonts w:ascii="Times New Roman"/>
          <w:position w:val="-32"/>
        </w:rPr>
        <w:object>
          <v:shape id="_x0000_i1026" o:spt="75" type="#_x0000_t75" style="height:36pt;width:79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>(</w:t>
      </w:r>
      <w:r>
        <w:rPr>
          <w:rFonts w:hint="eastAsia" w:ascii="Times New Roman"/>
        </w:rPr>
        <w:t>A</w:t>
      </w:r>
      <w:r>
        <w:rPr>
          <w:rFonts w:ascii="Times New Roman"/>
        </w:rPr>
        <w:t>.</w:t>
      </w:r>
      <w:r>
        <w:rPr>
          <w:rFonts w:hint="eastAsia" w:ascii="Times New Roman"/>
        </w:rPr>
        <w:t>2</w:t>
      </w:r>
      <w:r>
        <w:rPr>
          <w:rFonts w:ascii="Times New Roman"/>
        </w:rPr>
        <w:t>)</w:t>
      </w:r>
    </w:p>
    <w:p>
      <w:pPr>
        <w:pStyle w:val="14"/>
        <w:ind w:firstLine="420" w:firstLineChars="200"/>
      </w:pPr>
      <w:r>
        <w:t>式中：</w:t>
      </w:r>
    </w:p>
    <w:p>
      <w:pPr>
        <w:pStyle w:val="7"/>
        <w:rPr>
          <w:rFonts w:ascii="Times New Roman"/>
          <w:szCs w:val="21"/>
        </w:rPr>
      </w:pPr>
      <w:r>
        <w:rPr>
          <w:rFonts w:hint="eastAsia"/>
          <w:i/>
        </w:rPr>
        <w:t>V</w:t>
      </w:r>
      <w:r>
        <w:rPr>
          <w:rFonts w:hint="eastAsia"/>
          <w:i/>
          <w:vertAlign w:val="subscript"/>
        </w:rPr>
        <w:t>i</w:t>
      </w:r>
      <w:r>
        <w:t>——</w:t>
      </w:r>
      <w:r>
        <w:rPr>
          <w:rFonts w:hint="eastAsia"/>
        </w:rPr>
        <w:t>单位产品用水量</w:t>
      </w:r>
      <w:r>
        <w:t>，单位为</w:t>
      </w:r>
      <w:r>
        <w:rPr>
          <w:rFonts w:hint="eastAsia"/>
        </w:rPr>
        <w:t>吨每吨（</w:t>
      </w:r>
      <w:r>
        <w:rPr>
          <w:rFonts w:hint="eastAsia" w:ascii="Times New Roman"/>
        </w:rPr>
        <w:t>t</w:t>
      </w:r>
      <w:r>
        <w:rPr>
          <w:rFonts w:ascii="Times New Roman"/>
        </w:rPr>
        <w:t>/</w:t>
      </w:r>
      <w:r>
        <w:rPr>
          <w:rFonts w:hint="eastAsia" w:ascii="Times New Roman"/>
        </w:rPr>
        <w:t>t</w:t>
      </w:r>
      <w:r>
        <w:rPr>
          <w:rFonts w:hint="eastAsia"/>
        </w:rPr>
        <w:t>）</w:t>
      </w:r>
      <w:r>
        <w:t>；</w:t>
      </w:r>
    </w:p>
    <w:p>
      <w:pPr>
        <w:ind w:firstLine="420" w:firstLineChars="200"/>
      </w:pPr>
      <w:r>
        <w:rPr>
          <w:rFonts w:hint="eastAsia"/>
          <w:i/>
        </w:rPr>
        <w:t>V</w:t>
      </w:r>
      <w:r>
        <w:rPr>
          <w:rFonts w:hint="eastAsia"/>
          <w:i/>
          <w:vertAlign w:val="subscript"/>
        </w:rPr>
        <w:t>h</w:t>
      </w:r>
      <w:r>
        <w:t>——</w:t>
      </w:r>
      <w:r>
        <w:rPr>
          <w:rFonts w:hint="eastAsia"/>
        </w:rPr>
        <w:t>评价</w:t>
      </w:r>
      <w:r>
        <w:t>期内</w:t>
      </w:r>
      <w:r>
        <w:rPr>
          <w:rFonts w:hint="eastAsia" w:hAnsi="宋体"/>
        </w:rPr>
        <w:t>产品生产消耗的水量</w:t>
      </w:r>
      <w:r>
        <w:t>，单位为</w:t>
      </w:r>
      <w:r>
        <w:rPr>
          <w:rFonts w:hint="eastAsia"/>
        </w:rPr>
        <w:t>吨</w:t>
      </w:r>
      <w:r>
        <w:t>（</w:t>
      </w:r>
      <w:r>
        <w:rPr>
          <w:rFonts w:hint="eastAsia"/>
        </w:rPr>
        <w:t>t</w:t>
      </w:r>
      <w:r>
        <w:t>）；</w:t>
      </w:r>
    </w:p>
    <w:p>
      <w:pPr>
        <w:tabs>
          <w:tab w:val="left" w:pos="7215"/>
        </w:tabs>
        <w:ind w:firstLine="420"/>
        <w:rPr>
          <w:rFonts w:ascii="宋体"/>
          <w:kern w:val="0"/>
          <w:szCs w:val="20"/>
        </w:rPr>
      </w:pPr>
      <w:r>
        <w:rPr>
          <w:rFonts w:hint="eastAsia"/>
          <w:i/>
        </w:rPr>
        <w:t>P</w:t>
      </w:r>
      <w:r>
        <w:t>——</w:t>
      </w:r>
      <w:bookmarkEnd w:id="126"/>
      <w:bookmarkEnd w:id="127"/>
      <w:bookmarkStart w:id="128" w:name="_Toc459106425"/>
      <w:bookmarkStart w:id="129" w:name="_Toc456611295"/>
      <w:r>
        <w:rPr>
          <w:rFonts w:hint="eastAsia"/>
        </w:rPr>
        <w:t>统计</w:t>
      </w:r>
      <w:r>
        <w:t>期内</w:t>
      </w:r>
      <w:r>
        <w:rPr>
          <w:rFonts w:hint="eastAsia"/>
        </w:rPr>
        <w:t>产品生产总量</w:t>
      </w:r>
      <w:r>
        <w:t>，单位为</w:t>
      </w:r>
      <w:r>
        <w:rPr>
          <w:rFonts w:hint="eastAsia"/>
        </w:rPr>
        <w:t>吨</w:t>
      </w:r>
      <w:r>
        <w:t>（</w:t>
      </w:r>
      <w:r>
        <w:rPr>
          <w:rFonts w:hint="eastAsia"/>
        </w:rPr>
        <w:t>t</w:t>
      </w:r>
      <w:r>
        <w:t>）</w:t>
      </w:r>
      <w:r>
        <w:rPr>
          <w:rFonts w:hint="eastAsia"/>
        </w:rPr>
        <w:t>。</w:t>
      </w:r>
      <w:bookmarkEnd w:id="119"/>
      <w:bookmarkEnd w:id="120"/>
      <w:bookmarkEnd w:id="121"/>
      <w:bookmarkEnd w:id="122"/>
      <w:bookmarkEnd w:id="123"/>
      <w:bookmarkEnd w:id="128"/>
      <w:bookmarkEnd w:id="129"/>
      <w:bookmarkStart w:id="130" w:name="_Toc397348621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_______________________________</w:t>
      </w:r>
      <w:bookmarkEnd w:id="130"/>
    </w:p>
    <w:bookmarkEnd w:id="4"/>
    <w:bookmarkEnd w:id="5"/>
    <w:bookmarkEnd w:id="6"/>
    <w:bookmarkEnd w:id="7"/>
    <w:bookmarkEnd w:id="8"/>
    <w:bookmarkEnd w:id="9"/>
    <w:bookmarkEnd w:id="10"/>
    <w:bookmarkEnd w:id="11"/>
    <w:p>
      <w:pPr>
        <w:jc w:val="center"/>
      </w:pPr>
    </w:p>
    <w:p/>
    <w:sectPr>
      <w:pgSz w:w="11906" w:h="16838"/>
      <w:pgMar w:top="1440" w:right="1741" w:bottom="1440" w:left="17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II</w:t>
    </w:r>
    <w: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8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50616D8B"/>
    <w:multiLevelType w:val="multilevel"/>
    <w:tmpl w:val="50616D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926E7"/>
    <w:rsid w:val="0850448A"/>
    <w:rsid w:val="0A711DEF"/>
    <w:rsid w:val="1A1C0748"/>
    <w:rsid w:val="1D6B32D9"/>
    <w:rsid w:val="2BE926E7"/>
    <w:rsid w:val="3F2A7419"/>
    <w:rsid w:val="58584F2C"/>
    <w:rsid w:val="71115C20"/>
    <w:rsid w:val="71B85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目次、标准名称标题"/>
    <w:basedOn w:val="1"/>
    <w:next w:val="7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bidi="ar-SA"/>
    </w:rPr>
  </w:style>
  <w:style w:type="paragraph" w:customStyle="1" w:styleId="8">
    <w:name w:val="章标题"/>
    <w:next w:val="7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customStyle="1" w:styleId="9">
    <w:name w:val="二级条标题"/>
    <w:basedOn w:val="10"/>
    <w:next w:val="7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0">
    <w:name w:val="一级条标题"/>
    <w:next w:val="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附录标识"/>
    <w:basedOn w:val="1"/>
    <w:next w:val="7"/>
    <w:uiPriority w:val="0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">
    <w:name w:val="附录章标题"/>
    <w:next w:val="7"/>
    <w:uiPriority w:val="0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Theme="minorHAnsi" w:cstheme="minorBidi"/>
      <w:kern w:val="21"/>
      <w:sz w:val="21"/>
      <w:szCs w:val="22"/>
      <w:lang w:val="en-US" w:eastAsia="zh-CN" w:bidi="ar-SA"/>
    </w:rPr>
  </w:style>
  <w:style w:type="paragraph" w:customStyle="1" w:styleId="14">
    <w:name w:val="附录公式编号制表符"/>
    <w:basedOn w:val="1"/>
    <w:next w:val="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5">
    <w:name w:val="标准书脚_奇数页"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2018-01-25T07:10:00Z</dcterms:created>
  <dc:creator>协会-邓艳君</dc:creator>
  <cp:lastModifiedBy>协会-邓艳君</cp:lastModifiedBy>
  <dcterms:modified xsi:type="dcterms:W3CDTF">2018-01-26T09:43:15Z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