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附件1：</w:t>
      </w:r>
    </w:p>
    <w:p>
      <w:pPr>
        <w:jc w:val="center"/>
        <w:rPr>
          <w:rFonts w:eastAsia="仿宋"/>
          <w:b/>
          <w:sz w:val="32"/>
          <w:szCs w:val="28"/>
        </w:rPr>
      </w:pPr>
    </w:p>
    <w:p>
      <w:pPr>
        <w:jc w:val="center"/>
        <w:rPr>
          <w:rFonts w:eastAsia="仿宋"/>
          <w:b/>
          <w:sz w:val="32"/>
          <w:szCs w:val="28"/>
        </w:rPr>
      </w:pPr>
      <w:r>
        <w:rPr>
          <w:rFonts w:hint="eastAsia" w:eastAsia="仿宋"/>
          <w:b/>
          <w:sz w:val="32"/>
          <w:szCs w:val="28"/>
        </w:rPr>
        <w:t>中国工程建设标准化协会标准编制进展清理表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8"/>
        <w:gridCol w:w="992"/>
        <w:gridCol w:w="1275"/>
        <w:gridCol w:w="568"/>
        <w:gridCol w:w="992"/>
        <w:gridCol w:w="707"/>
        <w:gridCol w:w="28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标准名称</w:t>
            </w:r>
          </w:p>
        </w:tc>
        <w:tc>
          <w:tcPr>
            <w:tcW w:w="28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下达计划文件名称和文号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主编单位</w:t>
            </w:r>
          </w:p>
        </w:tc>
        <w:tc>
          <w:tcPr>
            <w:tcW w:w="28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分支机构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制订或修订</w:t>
            </w:r>
          </w:p>
        </w:tc>
        <w:tc>
          <w:tcPr>
            <w:tcW w:w="28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修订标准号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计划起止年限</w:t>
            </w:r>
          </w:p>
        </w:tc>
        <w:tc>
          <w:tcPr>
            <w:tcW w:w="28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编制阶段</w:t>
            </w:r>
          </w:p>
        </w:tc>
        <w:tc>
          <w:tcPr>
            <w:tcW w:w="231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主编人</w:t>
            </w:r>
          </w:p>
        </w:tc>
        <w:tc>
          <w:tcPr>
            <w:tcW w:w="142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填表人</w:t>
            </w:r>
          </w:p>
        </w:tc>
        <w:tc>
          <w:tcPr>
            <w:tcW w:w="142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48" w:after="48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 w:val="0"/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8522" w:type="dxa"/>
            <w:gridSpan w:val="9"/>
            <w:shd w:val="clear" w:color="auto" w:fill="auto"/>
            <w:noWrap w:val="0"/>
            <w:vAlign w:val="center"/>
          </w:tcPr>
          <w:p>
            <w:pPr>
              <w:spacing w:before="48" w:after="4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1．计划完成情况（对照计划说明进展情况，没按计划完成时需说明原因）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22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2．编制工作中存在的问题和拟采取的措施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522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3．预计各编制阶段的完成时间</w:t>
            </w:r>
          </w:p>
          <w:p>
            <w:pPr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未启动的标准，2019年6月3</w:t>
            </w:r>
            <w:r>
              <w:rPr>
                <w:rFonts w:ascii="仿宋_GB2312" w:eastAsia="仿宋_GB2312"/>
                <w:i/>
                <w:sz w:val="24"/>
              </w:rPr>
              <w:t>0</w:t>
            </w:r>
            <w:r>
              <w:rPr>
                <w:rFonts w:hint="eastAsia" w:ascii="仿宋_GB2312" w:eastAsia="仿宋_GB2312"/>
                <w:i/>
                <w:sz w:val="24"/>
              </w:rPr>
              <w:t>日之前完成启动，2020年6月3</w:t>
            </w:r>
            <w:r>
              <w:rPr>
                <w:rFonts w:ascii="仿宋_GB2312" w:eastAsia="仿宋_GB2312"/>
                <w:i/>
                <w:sz w:val="24"/>
              </w:rPr>
              <w:t>0</w:t>
            </w:r>
            <w:r>
              <w:rPr>
                <w:rFonts w:hint="eastAsia" w:ascii="仿宋_GB2312" w:eastAsia="仿宋_GB2312"/>
                <w:i/>
                <w:sz w:val="24"/>
              </w:rPr>
              <w:t>日之前完成报批，否则自动撤销；</w:t>
            </w:r>
          </w:p>
          <w:p>
            <w:pPr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已启动的标准， 2020年6月3</w:t>
            </w:r>
            <w:r>
              <w:rPr>
                <w:rFonts w:ascii="仿宋_GB2312" w:eastAsia="仿宋_GB2312"/>
                <w:i/>
                <w:sz w:val="24"/>
              </w:rPr>
              <w:t>0</w:t>
            </w:r>
            <w:r>
              <w:rPr>
                <w:rFonts w:hint="eastAsia" w:ascii="仿宋_GB2312" w:eastAsia="仿宋_GB2312"/>
                <w:i/>
                <w:sz w:val="24"/>
              </w:rPr>
              <w:t>日之前完成报批，否则自动撤销。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522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4．需要汇报的其他情况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8522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5．主编单位意见（继续编制/撤项）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 主编（签字）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（主编单位盖章）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8522" w:type="dxa"/>
            <w:gridSpan w:val="9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．分支机构意见（继续编制/撤项）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 负责人（签字）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（分支机构盖章）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>
      <w:pPr>
        <w:jc w:val="center"/>
        <w:rPr>
          <w:rFonts w:eastAsia="仿宋"/>
          <w:sz w:val="30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2019-03-15T08:06:33Z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