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9"/>
        <w:rPr>
          <w:rFonts w:ascii="Times New Roman"/>
        </w:rPr>
      </w:pPr>
      <w:r>
        <w:rPr>
          <w:rFonts w:ascii="Times New Roman"/>
        </w:rPr>
        <w:t>ICS</w:t>
      </w:r>
      <w:r>
        <w:rPr>
          <w:rFonts w:ascii="Times New Roman" w:eastAsia="MS Mincho"/>
        </w:rPr>
        <w:t> </w:t>
      </w:r>
      <w:r>
        <w:rPr>
          <w:rFonts w:ascii="Times New Roman"/>
        </w:rPr>
        <w:t>13.020.10</w:t>
      </w:r>
    </w:p>
    <w:tbl>
      <w:tblPr>
        <w:tblStyle w:val="34"/>
        <w:tblW w:w="98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9"/>
              <w:rPr>
                <w:rFonts w:ascii="Times New Roman"/>
              </w:rPr>
            </w:pPr>
            <w:r>
              <w:pict>
                <v:rect id="BAH" o:spid="_x0000_s1026" o:spt="1" style="position:absolute;left:0pt;margin-left:-5.25pt;margin-top:0pt;height:15.6pt;width:68.25pt;z-index:-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Times New Roman"/>
              </w:rPr>
              <w:t>Z 04</w:t>
            </w:r>
          </w:p>
        </w:tc>
      </w:tr>
    </w:tbl>
    <w:p>
      <w:pPr>
        <w:pStyle w:val="130"/>
        <w:rPr>
          <w:rFonts w:ascii="Times New Roman"/>
        </w:rPr>
      </w:pPr>
      <w:r>
        <w:rPr>
          <w:rFonts w:ascii="Times New Roman"/>
        </w:rPr>
        <w:t>T/CECS 1000X—</w:t>
      </w:r>
      <w:bookmarkStart w:id="0" w:name="StdNo2"/>
      <w:r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    </w:t>
      </w:r>
      <w:r>
        <w:rPr>
          <w:rFonts w:ascii="Times New Roman"/>
        </w:rPr>
        <w:fldChar w:fldCharType="end"/>
      </w:r>
      <w:bookmarkEnd w:id="0"/>
    </w:p>
    <w:tbl>
      <w:tblPr>
        <w:tblStyle w:val="34"/>
        <w:tblW w:w="935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9"/>
              <w:rPr>
                <w:rFonts w:ascii="Times New Roman"/>
              </w:rPr>
            </w:pPr>
            <w:bookmarkStart w:id="1" w:name="DT"/>
            <w:r>
              <w:pict>
                <v:rect id="DT" o:spid="_x0000_s1027" o:spt="1" style="position:absolute;left:0pt;margin-left:372.8pt;margin-top:2.7pt;height:18pt;width:90pt;z-index:-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1"/>
          </w:p>
        </w:tc>
      </w:tr>
    </w:tbl>
    <w:p>
      <w:pPr>
        <w:pStyle w:val="130"/>
        <w:rPr>
          <w:rFonts w:ascii="Times New Roman"/>
        </w:rPr>
      </w:pPr>
    </w:p>
    <w:p>
      <w:pPr>
        <w:pStyle w:val="130"/>
        <w:rPr>
          <w:rFonts w:ascii="Times New Roman"/>
        </w:rPr>
      </w:pPr>
    </w:p>
    <w:p>
      <w:pPr>
        <w:pStyle w:val="75"/>
        <w:framePr w:hAnchor="page" w:x="1391" w:y="13563"/>
      </w:pPr>
      <w:bookmarkStart w:id="2" w:name="FY"/>
      <w: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2"/>
      <w:r>
        <w:t xml:space="preserve"> - </w:t>
      </w:r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r>
        <w:t xml:space="preserve"> - </w:t>
      </w:r>
      <w:bookmarkStart w:id="3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3"/>
      <w:r>
        <w:rPr>
          <w:rFonts w:hint="eastAsia"/>
        </w:rPr>
        <w:t>发布</w:t>
      </w:r>
      <w:r>
        <w:pict>
          <v:line id="直线 10" o:spid="_x0000_s1028" o:spt="20" style="position:absolute;left:0pt;margin-left:-17.4pt;margin-top:712.2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66"/>
        <w:framePr w:hAnchor="page" w:x="6624" w:y="13525"/>
      </w:pPr>
      <w:bookmarkStart w:id="4" w:name="SY"/>
      <w: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4"/>
      <w:r>
        <w:t xml:space="preserve"> - </w:t>
      </w:r>
      <w:bookmarkStart w:id="5" w:name="SM"/>
      <w: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 - </w:t>
      </w:r>
      <w:bookmarkStart w:id="6" w:name="SD"/>
      <w: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rPr>
          <w:rFonts w:hint="eastAsia"/>
        </w:rPr>
        <w:t>实施</w:t>
      </w:r>
    </w:p>
    <w:p>
      <w:pPr>
        <w:pStyle w:val="94"/>
        <w:rPr>
          <w:rFonts w:ascii="Times New Roman"/>
        </w:rPr>
      </w:pPr>
      <w:r>
        <w:rPr>
          <w:rFonts w:hint="eastAsia" w:ascii="Times New Roman"/>
        </w:rPr>
        <w:t>中国工程建设标准化协会</w:t>
      </w:r>
      <w:r>
        <w:rPr>
          <w:rFonts w:ascii="Times New Roman" w:eastAsia="MS Mincho"/>
        </w:rPr>
        <w:t>   </w:t>
      </w:r>
      <w:r>
        <w:rPr>
          <w:rStyle w:val="61"/>
          <w:rFonts w:hint="eastAsia" w:ascii="Times New Roman"/>
          <w:szCs w:val="28"/>
        </w:rPr>
        <w:t>发布</w:t>
      </w:r>
    </w:p>
    <w:p>
      <w:pPr>
        <w:pStyle w:val="74"/>
        <w:framePr w:w="10043" w:x="840"/>
        <w:rPr>
          <w:rFonts w:ascii="Times New Roman"/>
        </w:rPr>
      </w:pPr>
      <w:bookmarkStart w:id="7" w:name="StdName"/>
      <w:r>
        <w:rPr>
          <w:rFonts w:ascii="Times New Roman"/>
        </w:rPr>
        <w:fldChar w:fldCharType="begin">
          <w:ffData>
            <w:name w:val="StdName"/>
            <w:enabled/>
            <w:calcOnExit w:val="0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hint="eastAsia" w:ascii="Times New Roman"/>
        </w:rPr>
        <w:t>绿色建材评价标准</w:t>
      </w:r>
      <w:r>
        <w:rPr>
          <w:rFonts w:ascii="Times New Roman"/>
        </w:rPr>
        <w:t xml:space="preserve">  </w:t>
      </w:r>
      <w:r>
        <w:rPr>
          <w:rFonts w:hint="eastAsia" w:ascii="Times New Roman"/>
        </w:rPr>
        <w:t>混凝土结构外防护材料</w:t>
      </w:r>
      <w:r>
        <w:rPr>
          <w:rFonts w:ascii="Times New Roman"/>
        </w:rPr>
        <w:fldChar w:fldCharType="end"/>
      </w:r>
      <w:bookmarkEnd w:id="7"/>
    </w:p>
    <w:p>
      <w:pPr>
        <w:pStyle w:val="14"/>
        <w:framePr w:w="10043" w:h="6917" w:hRule="exact" w:wrap="around" w:vAnchor="page" w:hAnchor="page" w:x="840" w:y="6408" w:anchorLock="1"/>
        <w:widowControl/>
        <w:spacing w:before="370"/>
        <w:jc w:val="center"/>
        <w:rPr>
          <w:rFonts w:ascii="Times New Roman" w:hAnsi="Times New Roman" w:eastAsia="黑体"/>
          <w:sz w:val="28"/>
          <w:szCs w:val="28"/>
        </w:rPr>
      </w:pPr>
      <w:bookmarkStart w:id="8" w:name="StdEnglishName"/>
      <w:r>
        <w:rPr>
          <w:rFonts w:ascii="Times New Roman" w:hAnsi="Times New Roman"/>
          <w:sz w:val="28"/>
          <w:szCs w:val="28"/>
        </w:rPr>
        <w:fldChar w:fldCharType="begin">
          <w:ffData>
            <w:name w:val="StdEnglishName"/>
            <w:enabled/>
            <w:calcOnExit w:val="0"/>
            <w:textInput>
              <w:default w:val="Green building materials assessment -Concrete structure external protective material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FORMTEXT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Green building materials assessment -concrete structure external protective material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8"/>
    </w:p>
    <w:p>
      <w:pPr>
        <w:pStyle w:val="73"/>
        <w:framePr w:w="10043" w:x="685" w:y="6067"/>
      </w:pPr>
    </w:p>
    <w:p>
      <w:pPr>
        <w:pStyle w:val="72"/>
        <w:framePr w:w="10043" w:x="685" w:y="6067"/>
        <w:rPr>
          <w:rFonts w:ascii="Times New Roman"/>
        </w:rPr>
      </w:pPr>
    </w:p>
    <w:tbl>
      <w:tblPr>
        <w:tblStyle w:val="34"/>
        <w:tblW w:w="985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2"/>
              <w:framePr w:w="10043" w:x="685" w:y="6067"/>
              <w:rPr>
                <w:rFonts w:ascii="Times New Roman"/>
                <w:sz w:val="28"/>
              </w:rPr>
            </w:pPr>
          </w:p>
          <w:p>
            <w:pPr>
              <w:pStyle w:val="122"/>
              <w:framePr w:w="10043" w:x="685" w:y="6067"/>
              <w:rPr>
                <w:rFonts w:ascii="Times New Roman"/>
              </w:rPr>
            </w:pPr>
            <w:r>
              <w:pict>
                <v:rect id="RQ" o:spid="_x0000_s1029" o:spt="1" style="position:absolute;left:0pt;margin-left:173.3pt;margin-top:45.15pt;height:20pt;width:150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0" o:spt="1" style="position:absolute;left:0pt;margin-left:193.3pt;margin-top:20.15pt;height:24pt;width:100pt;z-index:-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rPr>
                <w:rFonts w:hint="eastAsia" w:ascii="Times New Roman"/>
                <w:sz w:val="28"/>
              </w:rPr>
              <w:t>（征求意见稿）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6"/>
              <w:framePr w:w="10043" w:x="685" w:y="6067"/>
              <w:rPr>
                <w:rFonts w:ascii="Times New Roman"/>
              </w:rPr>
            </w:pPr>
            <w:r>
              <w:rPr>
                <w:rFonts w:ascii="Times New Roman"/>
              </w:rPr>
              <w:t>20190524</w:t>
            </w:r>
          </w:p>
        </w:tc>
      </w:tr>
    </w:tbl>
    <w:p>
      <w:pPr>
        <w:pStyle w:val="25"/>
        <w:ind w:firstLine="31680"/>
        <w:rPr>
          <w:rFonts w:ascii="Times New Roman"/>
        </w:rPr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pict>
          <v:shape id="文本框 37" o:spid="_x0000_s1031" o:spt="202" type="#_x0000_t202" style="position:absolute;left:0pt;margin-left:0.6pt;margin-top:77.1pt;height:149.85pt;width:481.85pt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jc w:val="distribute"/>
                    <w:rPr>
                      <w:rFonts w:ascii="黑体" w:hAnsi="黑体" w:eastAsia="黑体"/>
                      <w:sz w:val="72"/>
                      <w:szCs w:val="72"/>
                    </w:rPr>
                  </w:pPr>
                  <w:r>
                    <w:rPr>
                      <w:rFonts w:hint="eastAsia" w:ascii="黑体" w:hAnsi="黑体" w:eastAsia="黑体"/>
                      <w:sz w:val="72"/>
                      <w:szCs w:val="72"/>
                    </w:rPr>
                    <w:t>团体标准</w:t>
                  </w:r>
                </w:p>
              </w:txbxContent>
            </v:textbox>
            <w10:anchorlock/>
          </v:shape>
        </w:pict>
      </w:r>
      <w:r>
        <w:pict>
          <v:line id="直线 11" o:spid="_x0000_s1032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49"/>
        <w:rPr>
          <w:rFonts w:ascii="Times New Roman"/>
        </w:rPr>
      </w:pPr>
      <w:bookmarkStart w:id="9" w:name="_Toc533518617"/>
      <w:r>
        <w:rPr>
          <w:rFonts w:hint="eastAsia" w:ascii="Times New Roman"/>
        </w:rPr>
        <w:t>目</w:t>
      </w:r>
      <w:bookmarkStart w:id="10" w:name="BKML"/>
      <w:r>
        <w:rPr>
          <w:rFonts w:ascii="Times New Roman" w:eastAsia="MS Mincho"/>
        </w:rPr>
        <w:t>  </w:t>
      </w:r>
      <w:r>
        <w:rPr>
          <w:rFonts w:hint="eastAsia" w:ascii="Times New Roman"/>
        </w:rPr>
        <w:t>次</w:t>
      </w:r>
      <w:bookmarkEnd w:id="9"/>
      <w:bookmarkEnd w:id="10"/>
    </w:p>
    <w:p>
      <w:pPr>
        <w:pStyle w:val="21"/>
        <w:spacing w:before="78" w:after="78"/>
        <w:rPr>
          <w:rFonts w:ascii="Times New Roman" w:eastAsia="等线"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\o "1-3" \h \z \u </w:instrText>
      </w:r>
      <w:r>
        <w:rPr>
          <w:rFonts w:ascii="Times New Roman"/>
        </w:rPr>
        <w:fldChar w:fldCharType="separate"/>
      </w:r>
      <w:r>
        <w:fldChar w:fldCharType="begin"/>
      </w:r>
      <w:r>
        <w:instrText xml:space="preserve"> HYPERLINK \l "_Toc533518620" </w:instrText>
      </w:r>
      <w:r>
        <w:fldChar w:fldCharType="separate"/>
      </w:r>
      <w:r>
        <w:rPr>
          <w:rStyle w:val="41"/>
          <w:rFonts w:ascii="Times New Roman"/>
        </w:rPr>
        <w:t>1.</w:t>
      </w:r>
      <w:r>
        <w:rPr>
          <w:rStyle w:val="41"/>
          <w:rFonts w:hint="eastAsia" w:ascii="Times New Roman"/>
        </w:rPr>
        <w:t>范围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_Toc533518620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30"/>
        <w:tabs>
          <w:tab w:val="left" w:pos="1470"/>
        </w:tabs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"_Toc533518621" </w:instrText>
      </w:r>
      <w:r>
        <w:fldChar w:fldCharType="separate"/>
      </w:r>
      <w:r>
        <w:rPr>
          <w:rStyle w:val="41"/>
          <w:rFonts w:ascii="Times New Roman"/>
        </w:rPr>
        <w:t>2.</w:t>
      </w:r>
      <w:r>
        <w:rPr>
          <w:rStyle w:val="41"/>
          <w:rFonts w:hint="eastAsia" w:ascii="Times New Roman"/>
        </w:rPr>
        <w:t>规范性引用文件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_Toc533518621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30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"_Toc533518622" </w:instrText>
      </w:r>
      <w:r>
        <w:fldChar w:fldCharType="separate"/>
      </w:r>
      <w:r>
        <w:rPr>
          <w:rStyle w:val="41"/>
          <w:rFonts w:ascii="Times New Roman"/>
        </w:rPr>
        <w:t>3.</w:t>
      </w:r>
      <w:r>
        <w:rPr>
          <w:rStyle w:val="41"/>
          <w:rFonts w:hint="eastAsia" w:ascii="Times New Roman"/>
        </w:rPr>
        <w:t>术语和定义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_Toc533518622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1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30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"_Toc533518629" </w:instrText>
      </w:r>
      <w:r>
        <w:fldChar w:fldCharType="separate"/>
      </w:r>
      <w:r>
        <w:rPr>
          <w:rStyle w:val="41"/>
          <w:rFonts w:ascii="Times New Roman"/>
        </w:rPr>
        <w:t>4.</w:t>
      </w:r>
      <w:r>
        <w:rPr>
          <w:rStyle w:val="41"/>
          <w:rFonts w:hint="eastAsia" w:ascii="Times New Roman"/>
        </w:rPr>
        <w:t>评价要求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_Toc533518629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3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13"/>
        <w:ind w:firstLine="31680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"_Toc533518630" </w:instrText>
      </w:r>
      <w:r>
        <w:fldChar w:fldCharType="separate"/>
      </w:r>
      <w:r>
        <w:rPr>
          <w:rStyle w:val="41"/>
          <w:rFonts w:ascii="Times New Roman" w:eastAsia="黑体"/>
          <w:kern w:val="0"/>
        </w:rPr>
        <w:t xml:space="preserve">4.1 </w:t>
      </w:r>
      <w:r>
        <w:rPr>
          <w:rStyle w:val="41"/>
          <w:rFonts w:hint="eastAsia" w:ascii="Times New Roman"/>
          <w:kern w:val="0"/>
        </w:rPr>
        <w:t>基本要求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_Toc533518630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4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13"/>
        <w:ind w:firstLine="31680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"_Toc533518631" </w:instrText>
      </w:r>
      <w:r>
        <w:fldChar w:fldCharType="separate"/>
      </w:r>
      <w:r>
        <w:rPr>
          <w:rStyle w:val="41"/>
          <w:rFonts w:ascii="Times New Roman" w:eastAsia="黑体"/>
          <w:kern w:val="0"/>
        </w:rPr>
        <w:t xml:space="preserve">4.2 </w:t>
      </w:r>
      <w:r>
        <w:rPr>
          <w:rStyle w:val="41"/>
          <w:rFonts w:hint="eastAsia" w:ascii="Times New Roman"/>
          <w:kern w:val="0"/>
        </w:rPr>
        <w:t>评价指标要求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_Toc533518631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4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pPr>
        <w:pStyle w:val="30"/>
        <w:rPr>
          <w:rFonts w:ascii="Times New Roman" w:eastAsia="等线"/>
          <w:szCs w:val="22"/>
        </w:rPr>
      </w:pPr>
      <w:r>
        <w:fldChar w:fldCharType="begin"/>
      </w:r>
      <w:r>
        <w:instrText xml:space="preserve"> HYPERLINK \l "_Toc533518632" </w:instrText>
      </w:r>
      <w:r>
        <w:fldChar w:fldCharType="separate"/>
      </w:r>
      <w:r>
        <w:rPr>
          <w:rStyle w:val="41"/>
          <w:rFonts w:ascii="Times New Roman"/>
        </w:rPr>
        <w:t>5.</w:t>
      </w:r>
      <w:r>
        <w:rPr>
          <w:rStyle w:val="41"/>
          <w:rFonts w:hint="eastAsia" w:ascii="Times New Roman"/>
        </w:rPr>
        <w:t>评价方法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PAGEREF _Toc533518632 \h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7</w:t>
      </w:r>
      <w:r>
        <w:rPr>
          <w:rFonts w:ascii="Times New Roman"/>
        </w:rPr>
        <w:fldChar w:fldCharType="end"/>
      </w:r>
      <w:r>
        <w:rPr>
          <w:rFonts w:ascii="Times New Roman"/>
        </w:rPr>
        <w:fldChar w:fldCharType="end"/>
      </w:r>
    </w:p>
    <w:p>
      <w:r>
        <w:fldChar w:fldCharType="end"/>
      </w: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31680"/>
        <w:rPr>
          <w:rFonts w:ascii="Times New Roman"/>
        </w:rPr>
      </w:pPr>
    </w:p>
    <w:p>
      <w:pPr>
        <w:pStyle w:val="62"/>
        <w:rPr>
          <w:rFonts w:ascii="Times New Roman"/>
        </w:rPr>
      </w:pPr>
      <w:bookmarkStart w:id="11" w:name="_Toc524004770"/>
      <w:bookmarkStart w:id="12" w:name="_Toc533518618"/>
      <w:r>
        <w:rPr>
          <w:rFonts w:hint="eastAsia" w:ascii="Times New Roman"/>
        </w:rPr>
        <w:t>前</w:t>
      </w:r>
      <w:bookmarkStart w:id="13" w:name="BKQY"/>
      <w:r>
        <w:rPr>
          <w:rFonts w:ascii="Times New Roman" w:eastAsia="MS Mincho"/>
        </w:rPr>
        <w:t>  </w:t>
      </w:r>
      <w:r>
        <w:rPr>
          <w:rFonts w:hint="eastAsia" w:ascii="Times New Roman"/>
        </w:rPr>
        <w:t>言</w:t>
      </w:r>
      <w:bookmarkEnd w:id="11"/>
      <w:bookmarkEnd w:id="12"/>
      <w:bookmarkEnd w:id="13"/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本标准按照</w:t>
      </w:r>
      <w:r>
        <w:rPr>
          <w:rFonts w:ascii="Times New Roman"/>
        </w:rPr>
        <w:t>GB/T 1.1-2009</w:t>
      </w:r>
      <w:r>
        <w:rPr>
          <w:rFonts w:hint="eastAsia" w:ascii="Times New Roman"/>
        </w:rPr>
        <w:t>给出的规则起草。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本标准是按中国工程建设标准化协会《</w:t>
      </w:r>
      <w:r>
        <w:rPr>
          <w:rFonts w:ascii="Times New Roman"/>
        </w:rPr>
        <w:t>2017</w:t>
      </w:r>
      <w:r>
        <w:rPr>
          <w:rFonts w:hint="eastAsia" w:ascii="Times New Roman"/>
        </w:rPr>
        <w:t>年第三批工程建设协会标准制订、修订计划》（建标协字〔</w:t>
      </w:r>
      <w:r>
        <w:rPr>
          <w:rFonts w:ascii="Times New Roman"/>
        </w:rPr>
        <w:t>2017</w:t>
      </w:r>
      <w:r>
        <w:rPr>
          <w:rFonts w:hint="eastAsia" w:ascii="Times New Roman"/>
        </w:rPr>
        <w:t>〕</w:t>
      </w:r>
      <w:r>
        <w:rPr>
          <w:rFonts w:ascii="Times New Roman"/>
        </w:rPr>
        <w:t>034</w:t>
      </w:r>
      <w:r>
        <w:rPr>
          <w:rFonts w:hint="eastAsia" w:ascii="Times New Roman"/>
        </w:rPr>
        <w:t>号的要求制定。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本标准由中国工程建设标准化协会提出并归口。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本标准负责起草单位：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本标准参加起草单位：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本标准主要起草人：</w:t>
      </w:r>
      <w:bookmarkStart w:id="121" w:name="_GoBack"/>
      <w:bookmarkEnd w:id="121"/>
    </w:p>
    <w:p>
      <w:pPr>
        <w:pStyle w:val="25"/>
        <w:ind w:firstLine="31680"/>
        <w:rPr>
          <w:rFonts w:ascii="Times New Roman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149"/>
        <w:spacing w:before="156" w:after="156"/>
        <w:rPr>
          <w:rFonts w:ascii="Times New Roman"/>
          <w:color w:val="000000"/>
        </w:rPr>
      </w:pPr>
      <w:bookmarkStart w:id="14" w:name="_Toc533518619"/>
      <w:r>
        <w:rPr>
          <w:rFonts w:hint="eastAsia" w:ascii="Times New Roman"/>
          <w:color w:val="000000"/>
        </w:rPr>
        <w:t>绿色建材评价标准</w:t>
      </w:r>
      <w:r>
        <w:rPr>
          <w:rFonts w:ascii="Times New Roman"/>
          <w:color w:val="000000"/>
        </w:rPr>
        <w:t xml:space="preserve"> </w:t>
      </w:r>
      <w:r>
        <w:rPr>
          <w:rFonts w:hint="eastAsia" w:ascii="Times New Roman"/>
          <w:color w:val="000000"/>
        </w:rPr>
        <w:t>混凝土结构外防护材料</w:t>
      </w:r>
      <w:bookmarkEnd w:id="14"/>
    </w:p>
    <w:p>
      <w:pPr>
        <w:pStyle w:val="102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15" w:name="_Toc533518620"/>
      <w:bookmarkStart w:id="16" w:name="_Toc360436832"/>
      <w:bookmarkStart w:id="17" w:name="_Toc360436746"/>
      <w:bookmarkStart w:id="18" w:name="_Toc406486337"/>
      <w:bookmarkStart w:id="19" w:name="_Toc350863984"/>
      <w:bookmarkStart w:id="20" w:name="_Toc462063250"/>
      <w:bookmarkStart w:id="21" w:name="_Toc396134027"/>
      <w:bookmarkStart w:id="22" w:name="_Toc360632420"/>
      <w:r>
        <w:rPr>
          <w:rFonts w:hint="eastAsia" w:ascii="Times New Roman"/>
          <w:color w:val="000000"/>
        </w:rPr>
        <w:t>范围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25"/>
        <w:ind w:firstLine="31680"/>
        <w:rPr>
          <w:rFonts w:ascii="Times New Roman"/>
          <w:szCs w:val="22"/>
        </w:rPr>
      </w:pPr>
      <w:bookmarkStart w:id="23" w:name="_Toc350863985"/>
      <w:bookmarkStart w:id="24" w:name="_Toc360436833"/>
      <w:bookmarkStart w:id="25" w:name="_Toc406486338"/>
      <w:bookmarkStart w:id="26" w:name="_Toc396134028"/>
      <w:bookmarkStart w:id="27" w:name="_Toc360436747"/>
      <w:bookmarkStart w:id="28" w:name="_Toc360632421"/>
      <w:r>
        <w:rPr>
          <w:rFonts w:hint="eastAsia" w:ascii="Times New Roman"/>
        </w:rPr>
        <w:t>本标准规定了混凝土结构外防护材料绿色建材评价的术语和定义、评</w:t>
      </w:r>
      <w:r>
        <w:rPr>
          <w:rFonts w:hint="eastAsia" w:ascii="Times New Roman"/>
          <w:szCs w:val="22"/>
        </w:rPr>
        <w:t>价要求和评价方法。</w:t>
      </w:r>
    </w:p>
    <w:p>
      <w:pPr>
        <w:pStyle w:val="25"/>
        <w:ind w:firstLine="31680"/>
        <w:rPr>
          <w:rFonts w:ascii="Times New Roman"/>
          <w:szCs w:val="22"/>
        </w:rPr>
      </w:pPr>
      <w:r>
        <w:rPr>
          <w:rFonts w:hint="eastAsia" w:ascii="Times New Roman"/>
          <w:szCs w:val="22"/>
        </w:rPr>
        <w:t>本标准适用于混凝土结构外防护材料的绿色建材评价。</w:t>
      </w:r>
    </w:p>
    <w:p>
      <w:pPr>
        <w:pStyle w:val="102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29" w:name="_Toc462063251"/>
      <w:bookmarkStart w:id="30" w:name="_Toc533518621"/>
      <w:r>
        <w:rPr>
          <w:rFonts w:hint="eastAsia" w:ascii="Times New Roman"/>
          <w:color w:val="000000"/>
        </w:rPr>
        <w:t>规范性引用文件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pStyle w:val="25"/>
        <w:ind w:firstLine="31680"/>
        <w:rPr>
          <w:rFonts w:ascii="Times New Roman"/>
          <w:bCs/>
        </w:rPr>
      </w:pPr>
      <w:bookmarkStart w:id="31" w:name="_Toc360436748"/>
      <w:bookmarkStart w:id="32" w:name="_Toc406486339"/>
      <w:bookmarkStart w:id="33" w:name="_Toc462063252"/>
      <w:bookmarkStart w:id="34" w:name="_Toc396134029"/>
      <w:bookmarkStart w:id="35" w:name="_Toc360632422"/>
      <w:bookmarkStart w:id="36" w:name="_Toc350863986"/>
      <w:bookmarkStart w:id="37" w:name="_Toc360436834"/>
      <w:r>
        <w:rPr>
          <w:rFonts w:hint="eastAsia" w:ascii="Times New Roman"/>
          <w:bCs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5"/>
        <w:ind w:firstLine="31680"/>
        <w:rPr>
          <w:rFonts w:ascii="Times New Roman"/>
          <w:bCs/>
        </w:rPr>
      </w:pPr>
      <w:r>
        <w:rPr>
          <w:rFonts w:ascii="Times New Roman"/>
          <w:bCs/>
        </w:rPr>
        <w:t xml:space="preserve">GB/T 2589 </w:t>
      </w:r>
      <w:r>
        <w:rPr>
          <w:rFonts w:hint="eastAsia" w:ascii="Times New Roman"/>
          <w:bCs/>
        </w:rPr>
        <w:t>综合能耗计算通则</w:t>
      </w:r>
    </w:p>
    <w:p>
      <w:pPr>
        <w:pStyle w:val="25"/>
        <w:ind w:firstLine="31680"/>
        <w:rPr>
          <w:rFonts w:ascii="Times New Roman"/>
          <w:bCs/>
        </w:rPr>
      </w:pPr>
      <w:r>
        <w:rPr>
          <w:rFonts w:ascii="Times New Roman"/>
          <w:bCs/>
        </w:rPr>
        <w:t xml:space="preserve">GB 5085.3 </w:t>
      </w:r>
      <w:r>
        <w:rPr>
          <w:rFonts w:hint="eastAsia" w:ascii="Times New Roman"/>
          <w:bCs/>
        </w:rPr>
        <w:t>危险废物鉴别标准</w:t>
      </w:r>
      <w:r>
        <w:rPr>
          <w:rFonts w:ascii="Times New Roman"/>
          <w:bCs/>
        </w:rPr>
        <w:t xml:space="preserve"> </w:t>
      </w:r>
      <w:r>
        <w:rPr>
          <w:rFonts w:hint="eastAsia" w:ascii="Times New Roman"/>
          <w:bCs/>
        </w:rPr>
        <w:t>浸出毒性鉴别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  <w:bCs/>
        </w:rPr>
        <w:t xml:space="preserve">GB 6566 </w:t>
      </w:r>
      <w:r>
        <w:rPr>
          <w:rFonts w:hint="eastAsia" w:ascii="Times New Roman"/>
        </w:rPr>
        <w:t>建筑材料放射性核素限量</w:t>
      </w:r>
    </w:p>
    <w:p>
      <w:pPr>
        <w:pStyle w:val="25"/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16297 </w:t>
      </w:r>
      <w:r>
        <w:rPr>
          <w:rFonts w:hint="eastAsia" w:ascii="Times New Roman"/>
          <w:szCs w:val="22"/>
        </w:rPr>
        <w:t>大气污染物综合排放标准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18445 </w:t>
      </w:r>
      <w:r>
        <w:rPr>
          <w:rFonts w:hint="eastAsia" w:ascii="Times New Roman"/>
          <w:szCs w:val="22"/>
        </w:rPr>
        <w:t>水泥基渗透结晶型防水材料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GB 18597 </w:t>
      </w:r>
      <w:r>
        <w:rPr>
          <w:rFonts w:hint="eastAsia" w:ascii="Times New Roman"/>
        </w:rPr>
        <w:t>危险废物贮存污染控制标准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GB 18599 </w:t>
      </w:r>
      <w:r>
        <w:rPr>
          <w:rFonts w:hint="eastAsia" w:ascii="Times New Roman"/>
        </w:rPr>
        <w:t>一般工业固体废物贮存、处置场污染控制标准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GB/T 19001 </w:t>
      </w:r>
      <w:r>
        <w:rPr>
          <w:rFonts w:hint="eastAsia" w:ascii="Times New Roman"/>
        </w:rPr>
        <w:t>质量管理体系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要求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19250 </w:t>
      </w:r>
      <w:r>
        <w:rPr>
          <w:rFonts w:hint="eastAsia" w:ascii="Times New Roman"/>
          <w:szCs w:val="22"/>
        </w:rPr>
        <w:t>聚氨酯防水涂料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GB/T 23331 </w:t>
      </w:r>
      <w:r>
        <w:rPr>
          <w:rFonts w:hint="eastAsia" w:ascii="Times New Roman"/>
        </w:rPr>
        <w:t>能源管理体系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要求及使用指南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GB/T 24001 </w:t>
      </w:r>
      <w:r>
        <w:rPr>
          <w:rFonts w:hint="eastAsia" w:ascii="Times New Roman"/>
        </w:rPr>
        <w:t>环境管理体系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要求及使用指南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GB/T 24025  </w:t>
      </w:r>
      <w:r>
        <w:rPr>
          <w:rFonts w:hint="eastAsia" w:ascii="Times New Roman"/>
        </w:rPr>
        <w:t>环境标志和声明</w:t>
      </w:r>
      <w:r>
        <w:rPr>
          <w:rFonts w:ascii="Times New Roman"/>
        </w:rPr>
        <w:t xml:space="preserve"> III</w:t>
      </w:r>
      <w:r>
        <w:rPr>
          <w:rFonts w:hint="eastAsia" w:ascii="Times New Roman"/>
        </w:rPr>
        <w:t>型环境声明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原则和程序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25181 </w:t>
      </w:r>
      <w:r>
        <w:rPr>
          <w:rFonts w:hint="eastAsia" w:ascii="Times New Roman"/>
          <w:szCs w:val="22"/>
        </w:rPr>
        <w:t>预拌砂浆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GB/T 28001 </w:t>
      </w:r>
      <w:r>
        <w:rPr>
          <w:rFonts w:hint="eastAsia" w:ascii="Times New Roman"/>
        </w:rPr>
        <w:t>职业健康安全管理体系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要求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"http://www.baidu.com/link?url=Ch4KZ7bsaseEDmu5i93jiz6ZcjAoDkqa82J86OiiB0GJ2E3bjdmZCrnsssCbUbKFxTzmWS5Vr3ZRnVGDttr8ma" \t "_blank" </w:instrText>
      </w:r>
      <w:r>
        <w:fldChar w:fldCharType="separate"/>
      </w:r>
      <w:r>
        <w:rPr>
          <w:rFonts w:ascii="Times New Roman"/>
          <w:szCs w:val="22"/>
        </w:rPr>
        <w:t xml:space="preserve">GB/T 35602 </w:t>
      </w:r>
      <w:r>
        <w:rPr>
          <w:rFonts w:hint="eastAsia" w:ascii="Times New Roman"/>
          <w:szCs w:val="22"/>
        </w:rPr>
        <w:t>绿色产品评价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涂料</w:t>
      </w:r>
      <w:r>
        <w:rPr>
          <w:rFonts w:hint="eastAsia" w:ascii="Times New Roman"/>
          <w:szCs w:val="22"/>
        </w:rPr>
        <w:fldChar w:fldCharType="end"/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35609 </w:t>
      </w:r>
      <w:r>
        <w:rPr>
          <w:rFonts w:hint="eastAsia" w:ascii="Times New Roman"/>
          <w:szCs w:val="22"/>
        </w:rPr>
        <w:t>绿色产品评价</w:t>
      </w:r>
      <w:r>
        <w:rPr>
          <w:rFonts w:ascii="Times New Roman"/>
          <w:szCs w:val="22"/>
        </w:rPr>
        <w:t xml:space="preserve"> </w:t>
      </w:r>
      <w:r>
        <w:rPr>
          <w:rFonts w:hint="eastAsia" w:ascii="Times New Roman"/>
          <w:szCs w:val="22"/>
        </w:rPr>
        <w:t>防水与密封材料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"http://www.baidu.com/link?url=3A9yNr3qTOrUgJvu_AbrwpCkxzDMGUmguSon96gV3kenYj9I7napUJWx35wZRc_NZxVJ7q48CRezJnOb7TikFa" \t "_blank" </w:instrText>
      </w:r>
      <w:r>
        <w:fldChar w:fldCharType="separate"/>
      </w:r>
      <w:r>
        <w:rPr>
          <w:rFonts w:ascii="Times New Roman"/>
          <w:szCs w:val="22"/>
        </w:rPr>
        <w:t xml:space="preserve">GB 36888 </w:t>
      </w:r>
      <w:r>
        <w:rPr>
          <w:rFonts w:hint="eastAsia" w:ascii="Times New Roman"/>
          <w:szCs w:val="22"/>
        </w:rPr>
        <w:t>预拌混凝土单位产品能源消耗限额</w:t>
      </w:r>
      <w:r>
        <w:rPr>
          <w:rFonts w:hint="eastAsia" w:ascii="Times New Roman"/>
          <w:szCs w:val="22"/>
        </w:rPr>
        <w:fldChar w:fldCharType="end"/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GB/T 50082 </w:t>
      </w:r>
      <w:r>
        <w:rPr>
          <w:rFonts w:hint="eastAsia" w:ascii="Times New Roman"/>
          <w:szCs w:val="22"/>
        </w:rPr>
        <w:t>普通混凝土长期性能和耐久性能试验方法标准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GB 50176 </w:t>
      </w:r>
      <w:r>
        <w:rPr>
          <w:rFonts w:hint="eastAsia" w:ascii="Times New Roman"/>
          <w:szCs w:val="22"/>
        </w:rPr>
        <w:t>民用建筑热工设计规范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HG/T 4758 </w:t>
      </w:r>
      <w:r>
        <w:rPr>
          <w:rFonts w:hint="eastAsia" w:ascii="Times New Roman"/>
          <w:szCs w:val="22"/>
        </w:rPr>
        <w:t>水性丙烯酸树脂涂料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fldChar w:fldCharType="begin"/>
      </w:r>
      <w:r>
        <w:instrText xml:space="preserve"> HYPERLINK "http://www.baidu.com/link?url=gM92wxhzi6vtdRTJavoRtBmwWGznP8zMCtZxLteegOu-cOVixYsXffNuvZnAYD1LSHF1syCedGlQLKzLj0xcAa" \t "https://www.baidu.com/_blank" </w:instrText>
      </w:r>
      <w:r>
        <w:fldChar w:fldCharType="separate"/>
      </w:r>
      <w:r>
        <w:rPr>
          <w:rFonts w:ascii="Times New Roman"/>
          <w:szCs w:val="22"/>
        </w:rPr>
        <w:t xml:space="preserve">JC 474 </w:t>
      </w:r>
      <w:r>
        <w:rPr>
          <w:rFonts w:hint="eastAsia" w:ascii="Times New Roman"/>
          <w:szCs w:val="22"/>
          <w:lang w:val="zh-CN"/>
        </w:rPr>
        <w:t>砂浆、混凝土防水剂</w:t>
      </w:r>
      <w:r>
        <w:rPr>
          <w:rFonts w:hint="eastAsia" w:ascii="Times New Roman"/>
          <w:szCs w:val="22"/>
          <w:lang w:val="zh-CN"/>
        </w:rPr>
        <w:fldChar w:fldCharType="end"/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JC 1066 </w:t>
      </w:r>
      <w:r>
        <w:rPr>
          <w:rFonts w:hint="eastAsia" w:ascii="Times New Roman"/>
          <w:szCs w:val="22"/>
        </w:rPr>
        <w:t>建筑防水涂料中有害物质限量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JG/T 335 </w:t>
      </w:r>
      <w:r>
        <w:rPr>
          <w:rFonts w:hint="eastAsia" w:ascii="Times New Roman"/>
          <w:szCs w:val="22"/>
        </w:rPr>
        <w:t>混凝土结构防护用成膜型涂料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JG/T 337 </w:t>
      </w:r>
      <w:r>
        <w:rPr>
          <w:rFonts w:hint="eastAsia" w:ascii="Times New Roman"/>
          <w:szCs w:val="22"/>
        </w:rPr>
        <w:t>混凝土结构防护用渗透型涂料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szCs w:val="22"/>
          <w:lang w:val="zh-CN"/>
        </w:rPr>
      </w:pPr>
      <w:r>
        <w:rPr>
          <w:rFonts w:ascii="Times New Roman"/>
          <w:szCs w:val="22"/>
          <w:lang w:val="zh-CN"/>
        </w:rPr>
        <w:t xml:space="preserve">JGJ/T 192 </w:t>
      </w:r>
      <w:r>
        <w:rPr>
          <w:rFonts w:hint="eastAsia" w:ascii="Times New Roman"/>
          <w:szCs w:val="22"/>
          <w:lang w:val="zh-CN"/>
        </w:rPr>
        <w:t>钢筋阻锈剂应用技术规程</w:t>
      </w:r>
    </w:p>
    <w:p>
      <w:pPr>
        <w:pStyle w:val="25"/>
        <w:tabs>
          <w:tab w:val="left" w:pos="2600"/>
          <w:tab w:val="clear" w:pos="4201"/>
          <w:tab w:val="clear" w:pos="9298"/>
        </w:tabs>
        <w:ind w:firstLine="3168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 xml:space="preserve">JGJ/T 200 </w:t>
      </w:r>
      <w:r>
        <w:rPr>
          <w:rFonts w:hint="eastAsia" w:ascii="Times New Roman"/>
          <w:color w:val="000000"/>
          <w:szCs w:val="21"/>
        </w:rPr>
        <w:t>喷涂聚脲防水工程技术规程</w:t>
      </w:r>
    </w:p>
    <w:p>
      <w:pPr>
        <w:pStyle w:val="102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38" w:name="_Toc533518622"/>
      <w:r>
        <w:rPr>
          <w:rFonts w:hint="eastAsia" w:ascii="Times New Roman"/>
          <w:color w:val="000000"/>
        </w:rPr>
        <w:t>术语和定义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pStyle w:val="25"/>
        <w:ind w:firstLine="3168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下列术语和定义适用于本文件。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bookmarkStart w:id="39" w:name="_Toc360632654"/>
      <w:bookmarkStart w:id="40" w:name="_Toc462063253"/>
      <w:bookmarkStart w:id="41" w:name="_Toc396118199"/>
      <w:bookmarkStart w:id="42" w:name="_Toc406143963"/>
      <w:bookmarkStart w:id="43" w:name="_Toc397348586"/>
      <w:bookmarkStart w:id="44" w:name="_Toc408495873"/>
      <w:bookmarkStart w:id="45" w:name="_Toc350863987"/>
      <w:bookmarkStart w:id="46" w:name="_Toc396134030"/>
      <w:bookmarkStart w:id="47" w:name="_Toc360436749"/>
      <w:bookmarkStart w:id="48" w:name="_Toc360632423"/>
      <w:bookmarkStart w:id="49" w:name="_Toc406486340"/>
      <w:bookmarkStart w:id="50" w:name="_Toc397433558"/>
      <w:bookmarkStart w:id="51" w:name="_Toc533518623"/>
      <w:bookmarkStart w:id="52" w:name="_Toc384816546"/>
      <w:bookmarkStart w:id="53" w:name="_Toc360436835"/>
      <w:bookmarkStart w:id="54" w:name="_Toc6509"/>
      <w:r>
        <w:rPr>
          <w:rFonts w:ascii="Times New Roman"/>
          <w:color w:val="000000"/>
        </w:rPr>
        <w:t>3.1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Times New Roman"/>
          <w:color w:val="000000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z w:val="24"/>
        </w:rPr>
      </w:pPr>
      <w:r>
        <w:rPr>
          <w:rFonts w:hint="eastAsia" w:eastAsia="黑体"/>
        </w:rPr>
        <w:t>绿色建材</w:t>
      </w:r>
      <w:r>
        <w:rPr>
          <w:rFonts w:eastAsia="黑体"/>
        </w:rPr>
        <w:t xml:space="preserve">  green building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在全生命周期内可减少对天然资源消耗和减轻对生态环境影响，具有“节能、减排、安全、便利和可循环”特征的建材产品。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bookmarkStart w:id="55" w:name="_Toc533518624"/>
      <w:r>
        <w:rPr>
          <w:rFonts w:ascii="Times New Roman"/>
        </w:rPr>
        <w:t>3.2</w:t>
      </w:r>
      <w:bookmarkEnd w:id="5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绿色建材评价</w:t>
      </w:r>
      <w:r>
        <w:rPr>
          <w:rFonts w:eastAsia="黑体"/>
        </w:rPr>
        <w:t xml:space="preserve"> green building material</w:t>
      </w:r>
      <w:r>
        <w:rPr>
          <w:sz w:val="24"/>
        </w:rPr>
        <w:t xml:space="preserve"> </w:t>
      </w:r>
      <w:r>
        <w:rPr>
          <w:rFonts w:eastAsia="黑体"/>
        </w:rPr>
        <w:t xml:space="preserve">assessment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依据绿色建材评价技术标准，按照程序和要求对申请开展评价的建材产品进行评价，确认其等级的活动。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</w:rPr>
      </w:pPr>
      <w:bookmarkStart w:id="56" w:name="_Toc533518625"/>
      <w:r>
        <w:rPr>
          <w:rFonts w:ascii="Times New Roman"/>
        </w:rPr>
        <w:t>3.3</w:t>
      </w:r>
      <w:bookmarkEnd w:id="56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评价等级</w:t>
      </w:r>
      <w:r>
        <w:rPr>
          <w:rFonts w:eastAsia="黑体"/>
        </w:rPr>
        <w:t xml:space="preserve"> assessment level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产品评价结果所达到的绿色建材级别，由低到高分为一星级、二星级和三星级。</w:t>
      </w:r>
    </w:p>
    <w:bookmarkEnd w:id="54"/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bookmarkStart w:id="57" w:name="_Toc396134031"/>
      <w:bookmarkStart w:id="58" w:name="_Toc408495874"/>
      <w:bookmarkStart w:id="59" w:name="_Toc360632424"/>
      <w:bookmarkStart w:id="60" w:name="_Toc406143964"/>
      <w:bookmarkStart w:id="61" w:name="_Toc406486341"/>
      <w:bookmarkStart w:id="62" w:name="_Toc360436750"/>
      <w:bookmarkStart w:id="63" w:name="_Toc384816547"/>
      <w:bookmarkStart w:id="64" w:name="_Toc396118200"/>
      <w:bookmarkStart w:id="65" w:name="_Toc360632655"/>
      <w:bookmarkStart w:id="66" w:name="_Toc350863988"/>
      <w:bookmarkStart w:id="67" w:name="_Toc360436836"/>
      <w:bookmarkStart w:id="68" w:name="_Toc397348587"/>
      <w:bookmarkStart w:id="69" w:name="_Toc397433559"/>
      <w:bookmarkStart w:id="70" w:name="_Toc462063255"/>
      <w:bookmarkStart w:id="71" w:name="_Toc533518626"/>
      <w:bookmarkStart w:id="72" w:name="_Toc16661"/>
      <w:r>
        <w:rPr>
          <w:rFonts w:ascii="Times New Roman"/>
          <w:color w:val="000000"/>
        </w:rPr>
        <w:t>3.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Start w:id="73" w:name="_Toc397433562"/>
      <w:bookmarkStart w:id="74" w:name="OLE_LINK6"/>
      <w:bookmarkStart w:id="75" w:name="_Toc396118203"/>
      <w:bookmarkStart w:id="76" w:name="_Toc382580630"/>
      <w:bookmarkStart w:id="77" w:name="OLE_LINK5"/>
      <w:bookmarkStart w:id="78" w:name="_Toc406143967"/>
      <w:bookmarkStart w:id="79" w:name="_Toc384816550"/>
      <w:bookmarkStart w:id="80" w:name="_Toc397348590"/>
      <w:bookmarkStart w:id="81" w:name="_Toc396134034"/>
      <w:bookmarkStart w:id="82" w:name="_Toc350863991"/>
      <w:bookmarkStart w:id="83" w:name="_Toc363024794"/>
      <w:r>
        <w:rPr>
          <w:rFonts w:ascii="Times New Roman"/>
          <w:color w:val="000000"/>
        </w:rPr>
        <w:t>4</w:t>
      </w:r>
      <w:bookmarkEnd w:id="71"/>
    </w:p>
    <w:bookmarkEnd w:id="72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环境产品声明</w:t>
      </w:r>
      <w:r>
        <w:rPr>
          <w:rFonts w:eastAsia="黑体"/>
        </w:rPr>
        <w:t xml:space="preserve"> environmental product declaration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提供基于预设参数的量化环境数据的环境声明，必要时包括附加环境信息。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bookmarkStart w:id="84" w:name="_Toc408495875"/>
      <w:bookmarkStart w:id="85" w:name="_Toc462063256"/>
      <w:bookmarkStart w:id="86" w:name="_Toc533518627"/>
      <w:bookmarkStart w:id="87" w:name="_Toc30452"/>
      <w:r>
        <w:rPr>
          <w:rFonts w:ascii="Times New Roman"/>
          <w:color w:val="000000"/>
        </w:rPr>
        <w:t>3.</w:t>
      </w:r>
      <w:bookmarkEnd w:id="84"/>
      <w:bookmarkEnd w:id="85"/>
      <w:r>
        <w:rPr>
          <w:rFonts w:ascii="Times New Roman"/>
          <w:color w:val="000000"/>
        </w:rPr>
        <w:t>5</w:t>
      </w:r>
      <w:bookmarkEnd w:id="86"/>
    </w:p>
    <w:bookmarkEnd w:id="87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碳足迹</w:t>
      </w:r>
      <w:r>
        <w:rPr>
          <w:rFonts w:eastAsia="黑体"/>
        </w:rPr>
        <w:t xml:space="preserve">  </w:t>
      </w:r>
      <w:r>
        <w:fldChar w:fldCharType="begin"/>
      </w:r>
      <w:r>
        <w:instrText xml:space="preserve"> HYPERLINK "http://www.baidu.com/link?url=NM-sDc8vF8f6LBJJjre3x3OgH29MNSR7nUOi6mno3-iVlHb3Zlvs9wTbxnKcKC6gPud9_XI7Qg3qobY6J2p3_MuxwSugBbZWQE3OggbMvUq" \t "https://www.baidu.com/_blank" </w:instrText>
      </w:r>
      <w:r>
        <w:fldChar w:fldCharType="separate"/>
      </w:r>
      <w:r>
        <w:rPr>
          <w:rFonts w:eastAsia="黑体"/>
        </w:rPr>
        <w:t>carbon footprint</w:t>
      </w:r>
      <w:r>
        <w:rPr>
          <w:rFonts w:eastAsia="黑体"/>
        </w:rPr>
        <w:fldChar w:fldCharType="end"/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用以量化过程、过程系统或产品系统温室气体排放的参数，以表现它们对气候变化的贡献。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3.6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混凝土结构外防护材料</w:t>
      </w:r>
      <w:r>
        <w:rPr>
          <w:rFonts w:eastAsia="黑体"/>
        </w:rPr>
        <w:t xml:space="preserve"> concrete structure external protective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涂覆于混凝土结构外表面，阻滞水与其他有害介质进入，防止或延缓钢筋混凝土结构受腐蚀破坏，提高混凝土结构耐久性，延长混凝土结构使用寿命的材料。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3.7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有机类防护涂料</w:t>
      </w:r>
      <w:r>
        <w:rPr>
          <w:rFonts w:eastAsia="黑体"/>
          <w:szCs w:val="21"/>
        </w:rPr>
        <w:t xml:space="preserve"> organic protective coatings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以有机材料为主要组成混凝土结构外防护涂料。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3.8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无机类防护涂料</w:t>
      </w:r>
      <w:r>
        <w:rPr>
          <w:rFonts w:eastAsia="黑体"/>
          <w:szCs w:val="21"/>
        </w:rPr>
        <w:t xml:space="preserve"> inorganic protective coatings</w:t>
      </w:r>
    </w:p>
    <w:p>
      <w:pPr>
        <w:pStyle w:val="25"/>
        <w:ind w:firstLine="31680"/>
        <w:rPr>
          <w:rFonts w:ascii="Times New Roman"/>
          <w:szCs w:val="21"/>
        </w:rPr>
      </w:pPr>
      <w:r>
        <w:rPr>
          <w:rFonts w:hint="eastAsia" w:ascii="Times New Roman"/>
        </w:rPr>
        <w:t>以无机材料为主要组成混凝土结构外防护涂料。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3.9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聚合物改性防护涂料</w:t>
      </w:r>
      <w:r>
        <w:rPr>
          <w:rFonts w:eastAsia="黑体"/>
          <w:szCs w:val="21"/>
        </w:rPr>
        <w:t xml:space="preserve"> polymer modified Protective coatings</w:t>
      </w:r>
    </w:p>
    <w:p>
      <w:pPr>
        <w:pStyle w:val="25"/>
        <w:ind w:firstLine="3168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以聚合物和水泥作为主要胶结料制得的防护涂料。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3.10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水泥基渗透结晶型防水涂料</w:t>
      </w:r>
      <w:r>
        <w:rPr>
          <w:rFonts w:eastAsia="黑体"/>
        </w:rPr>
        <w:t xml:space="preserve"> capillary crystalline waterproofing materials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一种用于水泥混凝土的刚性防水涂料。其与水作用后，材料中含有的活性化学物质以水为载体向混凝土内部渗透，与水泥水化产物生成不溶于水的针状结晶体，填塞毛细孔道和微细缝隙，从而提高混凝土致密性的防水防护涂料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3.11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hint="eastAsia" w:eastAsia="黑体"/>
        </w:rPr>
        <w:t>无机水性渗透结晶型材料</w:t>
      </w:r>
      <w:r>
        <w:rPr>
          <w:rFonts w:eastAsia="黑体"/>
        </w:rPr>
        <w:t xml:space="preserve"> capillary crystalline waterproofing materials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以碱金属硅酸盐溶液为基料，加入催化剂、表面活性剂、稳定剂等，经混合反应而成的无机透明液体，活性粒子粒径达到纳米级别，材料具有优异的渗透性，渗透至混凝土内部与水泥水化产物生成不溶于水的结晶体，填塞毛细孔道和微细缝隙，从而提高混凝土致密性的无机水性防水防护涂料。</w:t>
      </w:r>
    </w:p>
    <w:p>
      <w:pPr>
        <w:pStyle w:val="102"/>
        <w:numPr>
          <w:ilvl w:val="0"/>
          <w:numId w:val="0"/>
        </w:numPr>
        <w:tabs>
          <w:tab w:val="left" w:pos="0"/>
        </w:tabs>
        <w:spacing w:before="312" w:after="312"/>
        <w:outlineLvl w:val="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3.12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外涂型钢筋阻锈剂</w:t>
      </w:r>
      <w:r>
        <w:rPr>
          <w:rFonts w:eastAsia="黑体"/>
          <w:szCs w:val="21"/>
        </w:rPr>
        <w:t xml:space="preserve"> migrating corrosion inhibitor</w:t>
      </w:r>
    </w:p>
    <w:p>
      <w:pPr>
        <w:pStyle w:val="25"/>
        <w:ind w:firstLine="3168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涂于混凝土或砂浆表面，能渗透到钢筋周围对钢筋进行防护的钢筋阻锈剂，又称渗透型或迁移型钢筋阻锈剂。</w:t>
      </w:r>
    </w:p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>
      <w:pPr>
        <w:pStyle w:val="102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88" w:name="_Toc406486353"/>
      <w:bookmarkStart w:id="89" w:name="_Toc462063257"/>
      <w:bookmarkStart w:id="90" w:name="_Toc533518629"/>
      <w:r>
        <w:rPr>
          <w:rFonts w:hint="eastAsia" w:ascii="Times New Roman"/>
          <w:color w:val="000000"/>
        </w:rPr>
        <w:t>评价要求</w:t>
      </w:r>
      <w:bookmarkEnd w:id="88"/>
      <w:bookmarkEnd w:id="89"/>
      <w:bookmarkEnd w:id="90"/>
    </w:p>
    <w:p>
      <w:pPr>
        <w:widowControl/>
        <w:spacing w:beforeLines="50" w:afterLines="50"/>
        <w:jc w:val="left"/>
        <w:outlineLvl w:val="2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 xml:space="preserve">4.1 </w:t>
      </w:r>
      <w:r>
        <w:rPr>
          <w:rFonts w:hint="eastAsia" w:eastAsia="黑体"/>
          <w:color w:val="000000"/>
          <w:kern w:val="0"/>
        </w:rPr>
        <w:t>产品分类</w:t>
      </w:r>
    </w:p>
    <w:p>
      <w:pPr>
        <w:widowControl/>
        <w:spacing w:beforeLines="50" w:afterLines="50"/>
        <w:jc w:val="left"/>
        <w:outlineLvl w:val="2"/>
        <w:rPr>
          <w:b/>
        </w:rPr>
      </w:pPr>
      <w:r>
        <w:t xml:space="preserve">4.1.1  </w:t>
      </w:r>
      <w:r>
        <w:rPr>
          <w:rFonts w:hint="eastAsia"/>
        </w:rPr>
        <w:t>适用于本标准的混凝土结构外防护材料可按表</w:t>
      </w:r>
      <w:r>
        <w:t>1</w:t>
      </w:r>
      <w:r>
        <w:rPr>
          <w:rFonts w:hint="eastAsia"/>
        </w:rPr>
        <w:t>分类。表</w:t>
      </w:r>
      <w:r>
        <w:t>1</w:t>
      </w:r>
      <w:r>
        <w:rPr>
          <w:rFonts w:hint="eastAsia"/>
        </w:rPr>
        <w:t>中的三级分类包含但不限于表中产品。</w:t>
      </w:r>
    </w:p>
    <w:p>
      <w:pPr>
        <w:widowControl/>
        <w:spacing w:beforeLines="50" w:afterLines="50"/>
        <w:jc w:val="center"/>
        <w:outlineLvl w:val="2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1 </w:t>
      </w:r>
      <w:r>
        <w:rPr>
          <w:rFonts w:hint="eastAsia"/>
          <w:b/>
        </w:rPr>
        <w:t>产品分类</w:t>
      </w:r>
    </w:p>
    <w:tbl>
      <w:tblPr>
        <w:tblStyle w:val="34"/>
        <w:tblW w:w="95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一级分类</w:t>
            </w:r>
          </w:p>
        </w:tc>
        <w:tc>
          <w:tcPr>
            <w:tcW w:w="3190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二级分类</w:t>
            </w:r>
          </w:p>
        </w:tc>
        <w:tc>
          <w:tcPr>
            <w:tcW w:w="3190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三级分类（包含但不限于）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外防护涂料</w:t>
            </w:r>
          </w:p>
        </w:tc>
        <w:tc>
          <w:tcPr>
            <w:tcW w:w="3190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有机类防护涂料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聚脲涂料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环氧树脂涂料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丙烯酸脂涂料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丙烯盐涂料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氟碳涂料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聚氨酯涂料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改性橡胶涂料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硅烷类涂料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restart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无机类防护涂料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水泥基渗透结晶型防水涂料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无机水性渗透结晶型材料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restart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聚合物改性防护涂料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聚合物水泥涂料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环氧腻子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外防护砂浆</w:t>
            </w:r>
          </w:p>
        </w:tc>
        <w:tc>
          <w:tcPr>
            <w:tcW w:w="3190" w:type="dxa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聚合物改性砂浆类</w:t>
            </w:r>
          </w:p>
        </w:tc>
        <w:tc>
          <w:tcPr>
            <w:tcW w:w="3190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聚合物水泥防水砂浆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restart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外防护水泥砂浆及功能型外加剂</w:t>
            </w:r>
          </w:p>
        </w:tc>
        <w:tc>
          <w:tcPr>
            <w:tcW w:w="3190" w:type="dxa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外防护水泥砂浆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Merge w:val="continue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Merge w:val="continue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外防护砂浆用功能型外加剂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钢筋阻锈类材料</w:t>
            </w:r>
          </w:p>
        </w:tc>
        <w:tc>
          <w:tcPr>
            <w:tcW w:w="3190" w:type="dxa"/>
            <w:vAlign w:val="center"/>
          </w:tcPr>
          <w:p>
            <w:pPr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312" w:lineRule="auto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外涂型钢筋阻锈剂</w:t>
            </w:r>
          </w:p>
        </w:tc>
      </w:tr>
    </w:tbl>
    <w:p>
      <w:pPr>
        <w:widowControl/>
        <w:spacing w:beforeLines="50" w:afterLines="50"/>
        <w:jc w:val="left"/>
        <w:outlineLvl w:val="2"/>
        <w:rPr>
          <w:rFonts w:eastAsia="黑体"/>
          <w:color w:val="000000"/>
          <w:kern w:val="0"/>
        </w:rPr>
      </w:pPr>
      <w:bookmarkStart w:id="91" w:name="_Toc456611366"/>
      <w:bookmarkStart w:id="92" w:name="_Toc406486354"/>
      <w:bookmarkStart w:id="93" w:name="_Toc459107153"/>
      <w:bookmarkStart w:id="94" w:name="_Toc533518630"/>
      <w:bookmarkStart w:id="95" w:name="_Toc22141"/>
      <w:bookmarkStart w:id="96" w:name="_Toc406486355"/>
      <w:bookmarkStart w:id="97" w:name="_Toc360436848"/>
      <w:bookmarkStart w:id="98" w:name="_Toc360436761"/>
      <w:bookmarkStart w:id="99" w:name="_Toc360632439"/>
      <w:bookmarkStart w:id="100" w:name="_Toc396134049"/>
      <w:bookmarkStart w:id="101" w:name="_Toc350864000"/>
      <w:bookmarkStart w:id="102" w:name="_Toc384816564"/>
      <w:r>
        <w:rPr>
          <w:rFonts w:eastAsia="黑体"/>
          <w:color w:val="000000"/>
          <w:kern w:val="0"/>
        </w:rPr>
        <w:t xml:space="preserve">4.2 </w:t>
      </w:r>
      <w:r>
        <w:rPr>
          <w:rFonts w:hint="eastAsia" w:eastAsia="黑体"/>
          <w:color w:val="000000"/>
          <w:kern w:val="0"/>
        </w:rPr>
        <w:t>基本要求</w:t>
      </w:r>
      <w:bookmarkEnd w:id="91"/>
      <w:bookmarkEnd w:id="92"/>
      <w:bookmarkEnd w:id="93"/>
      <w:bookmarkEnd w:id="94"/>
      <w:bookmarkEnd w:id="9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</w:pPr>
      <w:r>
        <w:t xml:space="preserve">4.2.1 </w:t>
      </w:r>
      <w:r>
        <w:rPr>
          <w:rFonts w:hint="eastAsia"/>
        </w:rPr>
        <w:t>混凝土结构外防护材料基本性能应符合</w:t>
      </w:r>
      <w:r>
        <w:rPr>
          <w:szCs w:val="22"/>
        </w:rPr>
        <w:t>GB 18445</w:t>
      </w:r>
      <w:r>
        <w:rPr>
          <w:rFonts w:hint="eastAsia"/>
          <w:szCs w:val="22"/>
        </w:rPr>
        <w:t>、</w:t>
      </w:r>
      <w:r>
        <w:rPr>
          <w:szCs w:val="22"/>
        </w:rPr>
        <w:t>GB/T 19250</w:t>
      </w:r>
      <w:r>
        <w:rPr>
          <w:rFonts w:hint="eastAsia"/>
          <w:color w:val="000000"/>
          <w:kern w:val="0"/>
          <w:szCs w:val="21"/>
        </w:rPr>
        <w:t>、</w:t>
      </w:r>
      <w:r>
        <w:rPr>
          <w:szCs w:val="22"/>
        </w:rPr>
        <w:t>GB/T 25181</w:t>
      </w:r>
      <w:r>
        <w:rPr>
          <w:rFonts w:hint="eastAsia"/>
          <w:color w:val="000000"/>
          <w:kern w:val="0"/>
          <w:szCs w:val="21"/>
        </w:rPr>
        <w:t>、</w:t>
      </w:r>
      <w:r>
        <w:rPr>
          <w:szCs w:val="22"/>
        </w:rPr>
        <w:t>HG/T 4758</w:t>
      </w:r>
      <w:r>
        <w:rPr>
          <w:rFonts w:hint="eastAsia"/>
          <w:szCs w:val="22"/>
        </w:rPr>
        <w:t>、</w:t>
      </w:r>
      <w:r>
        <w:rPr>
          <w:szCs w:val="22"/>
        </w:rPr>
        <w:t>JC 474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JG/T 335</w:t>
      </w:r>
      <w:r>
        <w:rPr>
          <w:rFonts w:hint="eastAsia"/>
          <w:szCs w:val="22"/>
        </w:rPr>
        <w:t>、</w:t>
      </w:r>
      <w:r>
        <w:rPr>
          <w:color w:val="000000"/>
          <w:kern w:val="0"/>
          <w:szCs w:val="21"/>
        </w:rPr>
        <w:t>JG/T 337</w:t>
      </w:r>
      <w:r>
        <w:rPr>
          <w:rFonts w:hint="eastAsia"/>
          <w:szCs w:val="22"/>
        </w:rPr>
        <w:t>、</w:t>
      </w:r>
      <w:r>
        <w:rPr>
          <w:color w:val="000000"/>
          <w:kern w:val="0"/>
          <w:szCs w:val="21"/>
        </w:rPr>
        <w:t>JGJ/T 192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JGJ/T 200</w:t>
      </w:r>
      <w:r>
        <w:rPr>
          <w:rFonts w:hint="eastAsia"/>
        </w:rPr>
        <w:t>等相应的现行国家、行业标准要求</w:t>
      </w:r>
      <w:r>
        <w:rPr>
          <w:rFonts w:hint="eastAsia"/>
          <w:kern w:val="0"/>
          <w:szCs w:val="20"/>
        </w:rPr>
        <w:t>。</w:t>
      </w:r>
    </w:p>
    <w:p>
      <w:pPr>
        <w:widowControl/>
        <w:tabs>
          <w:tab w:val="left" w:pos="420"/>
        </w:tabs>
        <w:adjustRightInd w:val="0"/>
        <w:snapToGrid w:val="0"/>
        <w:spacing w:beforeLines="50" w:afterLines="50"/>
        <w:jc w:val="left"/>
        <w:outlineLvl w:val="3"/>
        <w:rPr>
          <w:kern w:val="0"/>
          <w:szCs w:val="21"/>
        </w:rPr>
      </w:pPr>
      <w:r>
        <w:rPr>
          <w:kern w:val="0"/>
          <w:szCs w:val="21"/>
        </w:rPr>
        <w:t xml:space="preserve">4.2.2 </w:t>
      </w:r>
      <w:r>
        <w:rPr>
          <w:rFonts w:hint="eastAsia"/>
          <w:kern w:val="0"/>
          <w:szCs w:val="21"/>
        </w:rPr>
        <w:t>生产企业的污染物排放应符合相关环境保护法律法规、适用的国家或地方污染物排放标准的要求，且近三年无重大环境污染事件。</w:t>
      </w:r>
    </w:p>
    <w:p>
      <w:pPr>
        <w:widowControl/>
        <w:tabs>
          <w:tab w:val="left" w:pos="420"/>
        </w:tabs>
        <w:adjustRightInd w:val="0"/>
        <w:snapToGrid w:val="0"/>
        <w:spacing w:beforeLines="50" w:afterLines="50"/>
        <w:jc w:val="left"/>
        <w:outlineLvl w:val="3"/>
        <w:rPr>
          <w:kern w:val="0"/>
          <w:szCs w:val="21"/>
        </w:rPr>
      </w:pPr>
      <w:r>
        <w:rPr>
          <w:kern w:val="0"/>
          <w:szCs w:val="21"/>
        </w:rPr>
        <w:t xml:space="preserve">4.2.3 </w:t>
      </w:r>
      <w:r>
        <w:rPr>
          <w:rFonts w:hint="eastAsia"/>
          <w:kern w:val="0"/>
          <w:szCs w:val="21"/>
        </w:rPr>
        <w:t>一般固体废弃物的收集、贮存、处置应符合</w:t>
      </w:r>
      <w:r>
        <w:rPr>
          <w:kern w:val="0"/>
          <w:szCs w:val="21"/>
        </w:rPr>
        <w:t>GB 18599</w:t>
      </w:r>
      <w:r>
        <w:rPr>
          <w:rFonts w:hint="eastAsia"/>
          <w:kern w:val="0"/>
          <w:szCs w:val="21"/>
        </w:rPr>
        <w:t>的相关规定。危险废物的贮存应符合</w:t>
      </w:r>
      <w:r>
        <w:rPr>
          <w:kern w:val="0"/>
          <w:szCs w:val="21"/>
        </w:rPr>
        <w:t>GB 18597</w:t>
      </w:r>
      <w:r>
        <w:rPr>
          <w:rFonts w:hint="eastAsia"/>
          <w:kern w:val="0"/>
          <w:szCs w:val="21"/>
        </w:rPr>
        <w:t>的相关规定，后续应交付持有危险废物经营许可证的单位处置。</w:t>
      </w:r>
    </w:p>
    <w:p>
      <w:pPr>
        <w:widowControl/>
        <w:tabs>
          <w:tab w:val="left" w:pos="420"/>
        </w:tabs>
        <w:spacing w:beforeLines="50" w:afterLines="50"/>
        <w:jc w:val="left"/>
        <w:outlineLvl w:val="3"/>
        <w:rPr>
          <w:bCs/>
          <w:color w:val="000000"/>
          <w:kern w:val="0"/>
          <w:szCs w:val="21"/>
        </w:rPr>
      </w:pPr>
      <w:r>
        <w:rPr>
          <w:rFonts w:eastAsia="黑体"/>
          <w:kern w:val="0"/>
          <w:szCs w:val="21"/>
        </w:rPr>
        <w:t xml:space="preserve">4.2.4 </w:t>
      </w:r>
      <w:r>
        <w:rPr>
          <w:rFonts w:hint="eastAsia"/>
          <w:kern w:val="0"/>
          <w:szCs w:val="21"/>
        </w:rPr>
        <w:t>安全生产管理应符合适用的国家标准、地方标准规定，且近三年无导致人员死亡的安全生产事故。</w:t>
      </w:r>
    </w:p>
    <w:p>
      <w:pPr>
        <w:widowControl/>
        <w:tabs>
          <w:tab w:val="left" w:pos="420"/>
        </w:tabs>
        <w:adjustRightInd w:val="0"/>
        <w:snapToGrid w:val="0"/>
        <w:spacing w:beforeLines="50" w:afterLines="50"/>
        <w:jc w:val="left"/>
        <w:outlineLvl w:val="3"/>
        <w:rPr>
          <w:kern w:val="0"/>
          <w:szCs w:val="21"/>
        </w:rPr>
      </w:pPr>
      <w:r>
        <w:rPr>
          <w:kern w:val="0"/>
          <w:szCs w:val="21"/>
        </w:rPr>
        <w:t xml:space="preserve">4.2.5 </w:t>
      </w:r>
      <w:r>
        <w:rPr>
          <w:rFonts w:hint="eastAsia"/>
          <w:kern w:val="0"/>
          <w:szCs w:val="21"/>
        </w:rPr>
        <w:t>生产企业应按照</w:t>
      </w:r>
      <w:r>
        <w:rPr>
          <w:kern w:val="0"/>
          <w:szCs w:val="21"/>
        </w:rPr>
        <w:t>GB/T 19001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GB/T 24001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GB/T 28001</w:t>
      </w:r>
      <w:r>
        <w:rPr>
          <w:rFonts w:hint="eastAsia"/>
          <w:kern w:val="0"/>
          <w:szCs w:val="21"/>
        </w:rPr>
        <w:t>要求分别建立并运行质量管理体系、环境管理体系和职业健康安全管理体系。</w:t>
      </w:r>
    </w:p>
    <w:p>
      <w:pPr>
        <w:widowControl/>
        <w:tabs>
          <w:tab w:val="left" w:pos="420"/>
        </w:tabs>
        <w:adjustRightInd w:val="0"/>
        <w:snapToGrid w:val="0"/>
        <w:spacing w:beforeLines="50" w:afterLines="50"/>
        <w:jc w:val="left"/>
        <w:outlineLvl w:val="3"/>
        <w:rPr>
          <w:kern w:val="0"/>
          <w:szCs w:val="21"/>
        </w:rPr>
      </w:pPr>
      <w:r>
        <w:rPr>
          <w:kern w:val="0"/>
          <w:szCs w:val="21"/>
        </w:rPr>
        <w:t xml:space="preserve">4.2.6 </w:t>
      </w:r>
      <w:r>
        <w:rPr>
          <w:rFonts w:hint="eastAsia"/>
          <w:kern w:val="0"/>
          <w:szCs w:val="21"/>
        </w:rPr>
        <w:t>生产企业应采用国家鼓励的先进技术工艺，不应使用国家或有关部门发布的淘汰或禁止的技术、工艺、装备及相关物质。</w:t>
      </w:r>
    </w:p>
    <w:p>
      <w:pPr>
        <w:widowControl/>
        <w:spacing w:beforeLines="50" w:afterLines="50"/>
        <w:jc w:val="left"/>
        <w:outlineLvl w:val="2"/>
        <w:rPr>
          <w:rFonts w:eastAsia="黑体"/>
          <w:color w:val="000000"/>
          <w:kern w:val="0"/>
        </w:rPr>
      </w:pPr>
      <w:bookmarkStart w:id="103" w:name="_Toc31135"/>
      <w:bookmarkStart w:id="104" w:name="_Toc462063260"/>
      <w:bookmarkStart w:id="105" w:name="_Toc533518631"/>
      <w:r>
        <w:rPr>
          <w:rFonts w:eastAsia="黑体"/>
          <w:color w:val="000000"/>
          <w:kern w:val="0"/>
        </w:rPr>
        <w:t xml:space="preserve">4.3 </w:t>
      </w:r>
      <w:r>
        <w:rPr>
          <w:rFonts w:hint="eastAsia" w:eastAsia="黑体"/>
          <w:color w:val="000000"/>
          <w:kern w:val="0"/>
        </w:rPr>
        <w:t>评价指标要求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>
      <w:pPr>
        <w:pStyle w:val="25"/>
        <w:spacing w:before="120" w:after="120"/>
        <w:ind w:firstLine="31680"/>
        <w:rPr>
          <w:rFonts w:ascii="Times New Roman" w:eastAsia="黑体"/>
          <w:color w:val="000000"/>
        </w:rPr>
      </w:pPr>
      <w:r>
        <w:rPr>
          <w:rFonts w:hint="eastAsia" w:ascii="Times New Roman"/>
        </w:rPr>
        <w:t>混凝土结构外防护材料评价指标包括资源属性指标、能源属性指标、环境属性指标和品质属性指标。有机类防护涂料和聚合物改性防护涂料（液料组分）评价指标要求见表</w:t>
      </w:r>
      <w:r>
        <w:rPr>
          <w:rFonts w:ascii="Times New Roman"/>
        </w:rPr>
        <w:t>2</w:t>
      </w:r>
      <w:r>
        <w:rPr>
          <w:rFonts w:hint="eastAsia" w:ascii="Times New Roman"/>
        </w:rPr>
        <w:t>，水泥基渗透结晶型防水涂料的评价指标要求见表</w:t>
      </w:r>
      <w:r>
        <w:rPr>
          <w:rFonts w:ascii="Times New Roman"/>
        </w:rPr>
        <w:t>3</w:t>
      </w:r>
      <w:r>
        <w:rPr>
          <w:rFonts w:hint="eastAsia" w:ascii="Times New Roman"/>
        </w:rPr>
        <w:t>，无机水性渗透结晶型材料指标要求见表</w:t>
      </w:r>
      <w:r>
        <w:rPr>
          <w:rFonts w:ascii="Times New Roman"/>
        </w:rPr>
        <w:t>4</w:t>
      </w:r>
      <w:r>
        <w:rPr>
          <w:rFonts w:hint="eastAsia" w:ascii="Times New Roman"/>
        </w:rPr>
        <w:t>，聚合物改性砂浆类和聚合物改性防护涂料（粉料）、特种水泥砂浆评价指标要求见表</w:t>
      </w:r>
      <w:r>
        <w:rPr>
          <w:rFonts w:ascii="Times New Roman"/>
        </w:rPr>
        <w:t>5</w:t>
      </w:r>
      <w:r>
        <w:rPr>
          <w:rFonts w:hint="eastAsia" w:ascii="Times New Roman"/>
        </w:rPr>
        <w:t>，特种水泥砂浆用功能型外加剂的评价指标要求见表</w:t>
      </w:r>
      <w:r>
        <w:rPr>
          <w:rFonts w:ascii="Times New Roman"/>
        </w:rPr>
        <w:t>6</w:t>
      </w:r>
      <w:r>
        <w:rPr>
          <w:rFonts w:hint="eastAsia" w:ascii="Times New Roman"/>
        </w:rPr>
        <w:t>，外涂型钢筋阻锈剂的评价指标要求见表</w:t>
      </w:r>
      <w:r>
        <w:rPr>
          <w:rFonts w:ascii="Times New Roman"/>
        </w:rPr>
        <w:t>7</w:t>
      </w:r>
      <w:r>
        <w:rPr>
          <w:rFonts w:hint="eastAsia" w:ascii="Times New Roman"/>
        </w:rPr>
        <w:t>。</w:t>
      </w: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2 </w:t>
      </w:r>
      <w:r>
        <w:rPr>
          <w:rFonts w:hint="eastAsia" w:eastAsia="黑体"/>
          <w:color w:val="000000"/>
          <w:kern w:val="0"/>
        </w:rPr>
        <w:t>有机类防护涂料和聚合物改性防护涂料（液料组分）评价指标要求</w:t>
      </w:r>
    </w:p>
    <w:tbl>
      <w:tblPr>
        <w:tblStyle w:val="34"/>
        <w:tblW w:w="95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8"/>
        <w:gridCol w:w="1261"/>
        <w:gridCol w:w="115"/>
        <w:gridCol w:w="635"/>
        <w:gridCol w:w="775"/>
        <w:gridCol w:w="773"/>
        <w:gridCol w:w="1043"/>
        <w:gridCol w:w="909"/>
        <w:gridCol w:w="802"/>
        <w:gridCol w:w="1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724" w:type="dxa"/>
            <w:gridSpan w:val="5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73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754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3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2199" w:type="dxa"/>
            <w:gridSpan w:val="2"/>
            <w:vMerge w:val="restart"/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新鲜水消耗量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高固含量型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≤0.030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≤0.020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≤0.010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 w:val="continue"/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水性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≤0.035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≤0.025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≤0.015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原材料消耗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≤1.035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≤1.025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≤1.015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3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19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高固含量型</w:t>
            </w:r>
          </w:p>
        </w:tc>
        <w:tc>
          <w:tcPr>
            <w:tcW w:w="773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≤14.5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≤13.0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≤11.5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GB/T 2589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3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水性</w:t>
            </w:r>
          </w:p>
        </w:tc>
        <w:tc>
          <w:tcPr>
            <w:tcW w:w="773" w:type="dxa"/>
            <w:vMerge w:val="continue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≤3.5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≤3.0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≤2.5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7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3724" w:type="dxa"/>
            <w:gridSpan w:val="5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单位产品废水排放量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275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耐水性</w:t>
            </w:r>
          </w:p>
        </w:tc>
        <w:tc>
          <w:tcPr>
            <w:tcW w:w="13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屋面、室外、地下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拉伸强度保持率</w:t>
            </w:r>
          </w:p>
        </w:tc>
        <w:tc>
          <w:tcPr>
            <w:tcW w:w="773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75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GB/T 35609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耐久性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热空气老化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通过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GB/T 35609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人工气候加速老化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通过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有害物质</w:t>
            </w:r>
          </w:p>
        </w:tc>
        <w:tc>
          <w:tcPr>
            <w:tcW w:w="278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VOC</w:t>
            </w:r>
          </w:p>
        </w:tc>
        <w:tc>
          <w:tcPr>
            <w:tcW w:w="77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 xml:space="preserve">g/L 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≤200</w:t>
            </w:r>
          </w:p>
        </w:tc>
        <w:tc>
          <w:tcPr>
            <w:tcW w:w="9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≤100</w:t>
            </w:r>
          </w:p>
        </w:tc>
        <w:tc>
          <w:tcPr>
            <w:tcW w:w="802" w:type="dxa"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≤10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</w:pPr>
            <w:r>
              <w:t>JC 1066</w:t>
            </w:r>
          </w:p>
          <w:p>
            <w:pPr>
              <w:jc w:val="center"/>
            </w:pPr>
            <w:r>
              <w:t>GB/T 35602</w:t>
            </w:r>
          </w:p>
          <w:p>
            <w:pPr>
              <w:jc w:val="center"/>
            </w:pPr>
            <w:r>
              <w:t>GB/T 35609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游离甲醛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 xml:space="preserve">mg/kg 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≤100</w:t>
            </w:r>
          </w:p>
        </w:tc>
        <w:tc>
          <w:tcPr>
            <w:tcW w:w="9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≤70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≤50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甲苯</w:t>
            </w:r>
            <w:r>
              <w:rPr>
                <w:rFonts w:ascii="Times New Roman" w:cs="Times New Roman"/>
                <w:sz w:val="18"/>
                <w:szCs w:val="18"/>
              </w:rPr>
              <w:t>+</w:t>
            </w:r>
            <w:r>
              <w:rPr>
                <w:rFonts w:hint="eastAsia" w:ascii="Times New Roman" w:cs="Times New Roman"/>
                <w:sz w:val="18"/>
                <w:szCs w:val="18"/>
              </w:rPr>
              <w:t>乙苯</w:t>
            </w:r>
            <w:r>
              <w:rPr>
                <w:rFonts w:ascii="Times New Roman" w:cs="Times New Roman"/>
                <w:sz w:val="18"/>
                <w:szCs w:val="18"/>
              </w:rPr>
              <w:t>+</w:t>
            </w:r>
            <w:r>
              <w:rPr>
                <w:rFonts w:hint="eastAsia" w:ascii="Times New Roman" w:cs="Times New Roman"/>
                <w:sz w:val="18"/>
                <w:szCs w:val="18"/>
              </w:rPr>
              <w:t>二甲苯</w:t>
            </w:r>
          </w:p>
        </w:tc>
        <w:tc>
          <w:tcPr>
            <w:tcW w:w="773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mg/kg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≤300</w:t>
            </w:r>
          </w:p>
        </w:tc>
        <w:tc>
          <w:tcPr>
            <w:tcW w:w="9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≤200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≤100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可溶性重金属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铅</w:t>
            </w:r>
            <w:r>
              <w:rPr>
                <w:rFonts w:ascii="Times New Roman" w:cs="Times New Roman"/>
                <w:sz w:val="18"/>
                <w:szCs w:val="18"/>
              </w:rPr>
              <w:t>Pb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mg/kg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≤20</w:t>
            </w:r>
          </w:p>
        </w:tc>
        <w:tc>
          <w:tcPr>
            <w:tcW w:w="9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≤15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≤10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镉</w:t>
            </w:r>
            <w:r>
              <w:rPr>
                <w:rFonts w:ascii="Times New Roman" w:cs="Times New Roman"/>
                <w:sz w:val="18"/>
                <w:szCs w:val="18"/>
              </w:rPr>
              <w:t>Cd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mg/kg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≤20</w:t>
            </w:r>
          </w:p>
        </w:tc>
        <w:tc>
          <w:tcPr>
            <w:tcW w:w="9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≤15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≤10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汞</w:t>
            </w:r>
            <w:r>
              <w:rPr>
                <w:rFonts w:ascii="Times New Roman" w:cs="Times New Roman"/>
                <w:sz w:val="18"/>
                <w:szCs w:val="18"/>
              </w:rPr>
              <w:t>Hg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mg/kg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≤20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≤15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≤10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5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铬</w:t>
            </w:r>
            <w:r>
              <w:rPr>
                <w:rFonts w:ascii="Times New Roman" w:cs="Times New Roman"/>
                <w:sz w:val="18"/>
                <w:szCs w:val="18"/>
              </w:rPr>
              <w:t>Cr</w:t>
            </w:r>
          </w:p>
        </w:tc>
        <w:tc>
          <w:tcPr>
            <w:tcW w:w="77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mg/kg</w:t>
            </w:r>
          </w:p>
        </w:tc>
        <w:tc>
          <w:tcPr>
            <w:tcW w:w="2754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≤20</w:t>
            </w: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3 </w:t>
      </w:r>
      <w:r>
        <w:rPr>
          <w:rFonts w:hint="eastAsia" w:eastAsia="黑体"/>
          <w:color w:val="000000"/>
          <w:kern w:val="0"/>
        </w:rPr>
        <w:t>水泥基渗透结晶型防水涂料评价指标要求</w:t>
      </w:r>
    </w:p>
    <w:tbl>
      <w:tblPr>
        <w:tblStyle w:val="34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76"/>
        <w:gridCol w:w="2877"/>
        <w:gridCol w:w="656"/>
        <w:gridCol w:w="756"/>
        <w:gridCol w:w="756"/>
        <w:gridCol w:w="75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353" w:type="dxa"/>
            <w:gridSpan w:val="2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56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68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07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3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756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756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077" w:type="dxa"/>
            <w:vMerge w:val="continue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35"/>
              <w:jc w:val="both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6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≤1.45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≤1.20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≤0.85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6" w:type="dxa"/>
            <w:tcBorders>
              <w:top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单位产品大气颗粒物排放等级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7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7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07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 16297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4353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%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≤0.10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≤0.06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≤0.03</w:t>
            </w:r>
          </w:p>
        </w:tc>
        <w:tc>
          <w:tcPr>
            <w:tcW w:w="107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 18445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混凝土抗渗性能</w:t>
            </w: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抗渗压力比（带涂层）</w:t>
            </w:r>
            <w:r>
              <w:rPr>
                <w:kern w:val="0"/>
                <w:sz w:val="18"/>
                <w:szCs w:val="18"/>
              </w:rPr>
              <w:t>/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 d</w:t>
            </w:r>
          </w:p>
        </w:tc>
        <w:tc>
          <w:tcPr>
            <w:tcW w:w="656" w:type="dxa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≥250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≥275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≥300</w:t>
            </w:r>
          </w:p>
        </w:tc>
        <w:tc>
          <w:tcPr>
            <w:tcW w:w="107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抗渗压力比（去涂层）</w:t>
            </w:r>
            <w:r>
              <w:rPr>
                <w:kern w:val="0"/>
                <w:sz w:val="18"/>
                <w:szCs w:val="18"/>
              </w:rPr>
              <w:t>/28d</w:t>
            </w:r>
          </w:p>
        </w:tc>
        <w:tc>
          <w:tcPr>
            <w:tcW w:w="656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≥175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≥185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≥200</w:t>
            </w:r>
          </w:p>
        </w:tc>
        <w:tc>
          <w:tcPr>
            <w:tcW w:w="1077" w:type="dxa"/>
            <w:vMerge w:val="continue"/>
            <w:shd w:val="clear" w:color="auto" w:fill="FFFFFF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3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带涂层混凝土的二次抗渗压力</w:t>
            </w:r>
            <w:r>
              <w:rPr>
                <w:kern w:val="0"/>
                <w:sz w:val="18"/>
                <w:szCs w:val="18"/>
              </w:rPr>
              <w:t>/56d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</w:pPr>
            <w:r>
              <w:rPr>
                <w:kern w:val="0"/>
                <w:sz w:val="18"/>
                <w:szCs w:val="18"/>
              </w:rPr>
              <w:t>MPa</w:t>
            </w:r>
          </w:p>
        </w:tc>
        <w:tc>
          <w:tcPr>
            <w:tcW w:w="1512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≥0.8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≥0.9</w:t>
            </w:r>
          </w:p>
        </w:tc>
        <w:tc>
          <w:tcPr>
            <w:tcW w:w="1077" w:type="dxa"/>
            <w:vMerge w:val="continue"/>
            <w:shd w:val="clear" w:color="auto" w:fill="FFFFFF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4 </w:t>
      </w:r>
      <w:r>
        <w:rPr>
          <w:rFonts w:hint="eastAsia" w:eastAsia="黑体"/>
          <w:color w:val="000000"/>
          <w:kern w:val="0"/>
        </w:rPr>
        <w:t>无机水性渗透结晶型材料评价指标要求</w:t>
      </w:r>
    </w:p>
    <w:tbl>
      <w:tblPr>
        <w:tblStyle w:val="34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329"/>
        <w:gridCol w:w="691"/>
        <w:gridCol w:w="794"/>
        <w:gridCol w:w="794"/>
        <w:gridCol w:w="79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329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91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384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17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179" w:type="dxa"/>
            <w:vMerge w:val="continue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35"/>
              <w:jc w:val="both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cs="Times New Roman"/>
                <w:color w:val="auto"/>
                <w:sz w:val="18"/>
                <w:szCs w:val="18"/>
              </w:rPr>
              <w:t>生产过程产生废弃物可利用率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238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kgce/t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≤0.6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≤0.4</w:t>
            </w: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单位产品废水排放量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t/t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≤0.020</w:t>
            </w:r>
          </w:p>
        </w:tc>
        <w:tc>
          <w:tcPr>
            <w:tcW w:w="79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≤0.015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≤0.010</w:t>
            </w: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87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品质属性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28d</w:t>
            </w:r>
            <w:r>
              <w:rPr>
                <w:rFonts w:hint="eastAsia"/>
                <w:kern w:val="0"/>
                <w:sz w:val="18"/>
                <w:szCs w:val="18"/>
              </w:rPr>
              <w:t>混凝土抗压强度比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t>%</w:t>
            </w:r>
          </w:p>
        </w:tc>
        <w:tc>
          <w:tcPr>
            <w:tcW w:w="2384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≥100</w:t>
            </w:r>
          </w:p>
        </w:tc>
        <w:tc>
          <w:tcPr>
            <w:tcW w:w="117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JC 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48h</w:t>
            </w:r>
            <w:r>
              <w:rPr>
                <w:rFonts w:hint="eastAsia"/>
                <w:kern w:val="0"/>
                <w:sz w:val="18"/>
                <w:szCs w:val="18"/>
              </w:rPr>
              <w:t>混凝土吸水量比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≤65</w:t>
            </w: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≤45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≤25</w:t>
            </w:r>
          </w:p>
        </w:tc>
        <w:tc>
          <w:tcPr>
            <w:tcW w:w="117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28d</w:t>
            </w:r>
            <w:r>
              <w:rPr>
                <w:rFonts w:hint="eastAsia"/>
                <w:kern w:val="0"/>
                <w:sz w:val="18"/>
                <w:szCs w:val="18"/>
              </w:rPr>
              <w:t>混凝土氯离子迁移系数比（</w:t>
            </w:r>
            <w:r>
              <w:rPr>
                <w:kern w:val="0"/>
                <w:sz w:val="18"/>
                <w:szCs w:val="18"/>
              </w:rPr>
              <w:t>C50</w:t>
            </w:r>
            <w:r>
              <w:rPr>
                <w:rFonts w:hint="eastAsia"/>
                <w:kern w:val="0"/>
                <w:sz w:val="18"/>
                <w:szCs w:val="18"/>
              </w:rPr>
              <w:t>基准混凝土）</w:t>
            </w:r>
          </w:p>
        </w:tc>
        <w:tc>
          <w:tcPr>
            <w:tcW w:w="691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>
              <w:rPr>
                <w:rFonts w:eastAsia="微软雅黑"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≤80</w:t>
            </w:r>
          </w:p>
        </w:tc>
        <w:tc>
          <w:tcPr>
            <w:tcW w:w="79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≤75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</w:t>
            </w:r>
          </w:p>
        </w:tc>
        <w:tc>
          <w:tcPr>
            <w:tcW w:w="1179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50082</w:t>
            </w:r>
          </w:p>
        </w:tc>
      </w:tr>
    </w:tbl>
    <w:p>
      <w:pPr>
        <w:widowControl/>
        <w:spacing w:beforeLines="50" w:afterLines="50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5 </w:t>
      </w:r>
      <w:r>
        <w:rPr>
          <w:rFonts w:hint="eastAsia" w:eastAsia="黑体"/>
          <w:color w:val="000000"/>
          <w:kern w:val="0"/>
        </w:rPr>
        <w:t>聚</w:t>
      </w:r>
      <w:r>
        <w:rPr>
          <w:rFonts w:hint="eastAsia" w:eastAsia="黑体"/>
          <w:bCs/>
          <w:color w:val="000000"/>
          <w:kern w:val="0"/>
        </w:rPr>
        <w:t>合物改性砂浆类和聚合物改性防护涂料（粉料）、外防护水泥砂浆</w:t>
      </w:r>
      <w:r>
        <w:rPr>
          <w:rFonts w:hint="eastAsia" w:eastAsia="黑体"/>
          <w:color w:val="000000"/>
          <w:kern w:val="0"/>
        </w:rPr>
        <w:t>评价指标要求</w:t>
      </w:r>
    </w:p>
    <w:tbl>
      <w:tblPr>
        <w:tblStyle w:val="34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853"/>
        <w:gridCol w:w="2084"/>
        <w:gridCol w:w="733"/>
        <w:gridCol w:w="844"/>
        <w:gridCol w:w="758"/>
        <w:gridCol w:w="75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937" w:type="dxa"/>
            <w:gridSpan w:val="2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33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360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4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758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758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491" w:type="dxa"/>
            <w:vMerge w:val="continue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3937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35"/>
              <w:jc w:val="both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生产过程产生废弃物可利用率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360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49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1853" w:type="dxa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20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湿拌砂浆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02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 36888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4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干混砂浆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≤1.45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≤1.20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≤0.85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9" w:type="dxa"/>
            <w:vMerge w:val="restart"/>
            <w:tcBorders>
              <w:top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3937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单位产品废水排放量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2360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放射性比活度</w:t>
            </w:r>
          </w:p>
        </w:tc>
        <w:tc>
          <w:tcPr>
            <w:tcW w:w="20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color w:val="000000"/>
                <w:kern w:val="0"/>
                <w:sz w:val="18"/>
                <w:szCs w:val="18"/>
                <w:vertAlign w:val="subscript"/>
              </w:rPr>
              <w:t>Ra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360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 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4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360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冻融循环后抗压强度损失率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≤25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7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GB/T 25181</w:t>
            </w:r>
          </w:p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强度</w:t>
            </w:r>
          </w:p>
        </w:tc>
        <w:tc>
          <w:tcPr>
            <w:tcW w:w="20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抗压强度实测值与设计值的比值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≥1.05</w:t>
            </w:r>
          </w:p>
        </w:tc>
        <w:tc>
          <w:tcPr>
            <w:tcW w:w="1516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≤1.8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原始拉伸粘结强度实测值与设计值的比值</w:t>
            </w:r>
          </w:p>
        </w:tc>
        <w:tc>
          <w:tcPr>
            <w:tcW w:w="733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84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≥1.05</w:t>
            </w:r>
          </w:p>
        </w:tc>
        <w:tc>
          <w:tcPr>
            <w:tcW w:w="1516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≥1.15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且</w:t>
            </w:r>
            <w:r>
              <w:rPr>
                <w:color w:val="000000"/>
                <w:kern w:val="0"/>
                <w:sz w:val="18"/>
                <w:szCs w:val="18"/>
              </w:rPr>
              <w:t>≤1.5</w:t>
            </w:r>
          </w:p>
        </w:tc>
        <w:tc>
          <w:tcPr>
            <w:tcW w:w="14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70" w:type="dxa"/>
            <w:gridSpan w:val="8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企业具有</w:t>
            </w:r>
            <w:r>
              <w:rPr>
                <w:rFonts w:hint="eastAsia"/>
                <w:sz w:val="18"/>
                <w:szCs w:val="21"/>
              </w:rPr>
              <w:t>上料、包装、码垛自动化系统的，单位产品生产能耗限值增加</w:t>
            </w:r>
            <w:r>
              <w:rPr>
                <w:sz w:val="18"/>
                <w:szCs w:val="21"/>
              </w:rPr>
              <w:t>0.35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；企业具有</w:t>
            </w:r>
            <w:r>
              <w:rPr>
                <w:rFonts w:hint="eastAsia"/>
                <w:sz w:val="18"/>
                <w:szCs w:val="21"/>
              </w:rPr>
              <w:t>上料、包装、码垛、存贮、分拣自动化系统，单位产品生产能耗限值增加</w:t>
            </w:r>
            <w:r>
              <w:rPr>
                <w:sz w:val="18"/>
                <w:szCs w:val="21"/>
              </w:rPr>
              <w:t>0.55</w:t>
            </w:r>
            <w:r>
              <w:rPr>
                <w:color w:val="000000"/>
                <w:kern w:val="0"/>
                <w:sz w:val="18"/>
                <w:szCs w:val="18"/>
              </w:rPr>
              <w:t>kgce/t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本条款适用于主要应用范围在夏热冬暖地区、夏热冬冷地区、寒冷地区、严寒地区的产品，应用于其他建筑气候区的产品不参评。建筑气候区的划分</w:t>
            </w:r>
            <w:r>
              <w:rPr>
                <w:rFonts w:hint="eastAsia"/>
                <w:sz w:val="18"/>
                <w:szCs w:val="18"/>
              </w:rPr>
              <w:t>按照</w:t>
            </w:r>
            <w:r>
              <w:rPr>
                <w:sz w:val="18"/>
                <w:szCs w:val="18"/>
              </w:rPr>
              <w:t>GB50176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进行。</w:t>
            </w:r>
          </w:p>
        </w:tc>
      </w:tr>
    </w:tbl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>6</w:t>
      </w:r>
      <w:r>
        <w:rPr>
          <w:rFonts w:hint="eastAsia" w:eastAsia="黑体"/>
          <w:color w:val="000000"/>
          <w:kern w:val="0"/>
        </w:rPr>
        <w:t>外防护水泥砂浆用功能型外加剂评价指标要求</w:t>
      </w:r>
    </w:p>
    <w:tbl>
      <w:tblPr>
        <w:tblStyle w:val="34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285"/>
        <w:gridCol w:w="842"/>
        <w:gridCol w:w="972"/>
        <w:gridCol w:w="972"/>
        <w:gridCol w:w="97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285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42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916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32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324" w:type="dxa"/>
            <w:vMerge w:val="continue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03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328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35"/>
              <w:jc w:val="both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生产过程产生的废弃物利用率</w:t>
            </w:r>
          </w:p>
        </w:tc>
        <w:tc>
          <w:tcPr>
            <w:tcW w:w="84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916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03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328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84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kgce/t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≤3.0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≤2.5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≤2.0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03" w:type="dxa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35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单位产品工业废水排放量</w:t>
            </w:r>
          </w:p>
        </w:tc>
        <w:tc>
          <w:tcPr>
            <w:tcW w:w="84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2916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附录</w:t>
            </w:r>
            <w:r>
              <w:rPr>
                <w:color w:val="000000"/>
                <w:kern w:val="0"/>
                <w:sz w:val="18"/>
                <w:szCs w:val="18"/>
              </w:rPr>
              <w:t>A.4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3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328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单位产品大气颗粒物排放量</w:t>
            </w:r>
          </w:p>
        </w:tc>
        <w:tc>
          <w:tcPr>
            <w:tcW w:w="84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g/m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GB 16297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203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328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抗压强度比（</w:t>
            </w:r>
            <w:r>
              <w:rPr>
                <w:color w:val="000000"/>
                <w:kern w:val="0"/>
                <w:sz w:val="18"/>
                <w:szCs w:val="18"/>
              </w:rPr>
              <w:t>28d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%</w:t>
            </w:r>
          </w:p>
        </w:tc>
        <w:tc>
          <w:tcPr>
            <w:tcW w:w="2916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≥95</w:t>
            </w:r>
          </w:p>
        </w:tc>
        <w:tc>
          <w:tcPr>
            <w:tcW w:w="132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JC 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吸水量比（</w:t>
            </w:r>
            <w:r>
              <w:rPr>
                <w:color w:val="000000"/>
                <w:kern w:val="0"/>
                <w:sz w:val="18"/>
                <w:szCs w:val="18"/>
              </w:rPr>
              <w:t>48h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t>%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≤70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≤65</w:t>
            </w:r>
          </w:p>
        </w:tc>
        <w:tc>
          <w:tcPr>
            <w:tcW w:w="132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5"/>
        <w:ind w:firstLine="0" w:firstLineChars="0"/>
        <w:rPr>
          <w:rFonts w:ascii="Times New Roman"/>
          <w:szCs w:val="21"/>
        </w:rPr>
      </w:pPr>
    </w:p>
    <w:p>
      <w:pPr>
        <w:pStyle w:val="25"/>
        <w:ind w:firstLine="0" w:firstLineChars="0"/>
        <w:rPr>
          <w:rFonts w:ascii="Times New Roman"/>
          <w:szCs w:val="21"/>
        </w:rPr>
      </w:pPr>
    </w:p>
    <w:p>
      <w:pPr>
        <w:widowControl/>
        <w:spacing w:beforeLines="50" w:afterLines="50"/>
        <w:jc w:val="center"/>
        <w:rPr>
          <w:rFonts w:eastAsia="黑体"/>
          <w:color w:val="000000"/>
          <w:kern w:val="0"/>
        </w:rPr>
      </w:pPr>
      <w:r>
        <w:rPr>
          <w:rFonts w:hint="eastAsia" w:eastAsia="黑体"/>
          <w:color w:val="000000"/>
          <w:kern w:val="0"/>
        </w:rPr>
        <w:t>表</w:t>
      </w:r>
      <w:r>
        <w:rPr>
          <w:rFonts w:eastAsia="黑体"/>
          <w:color w:val="000000"/>
          <w:kern w:val="0"/>
        </w:rPr>
        <w:t xml:space="preserve">7 </w:t>
      </w:r>
      <w:r>
        <w:rPr>
          <w:rFonts w:hint="eastAsia" w:eastAsia="黑体"/>
          <w:color w:val="000000"/>
          <w:kern w:val="0"/>
        </w:rPr>
        <w:t>外涂型钢筋阻锈剂评价指标要求</w:t>
      </w:r>
    </w:p>
    <w:tbl>
      <w:tblPr>
        <w:tblStyle w:val="34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965"/>
        <w:gridCol w:w="886"/>
        <w:gridCol w:w="1020"/>
        <w:gridCol w:w="1020"/>
        <w:gridCol w:w="102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965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86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062" w:type="dxa"/>
            <w:gridSpan w:val="3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39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965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022" w:type="dxa"/>
            <w:tcBorders>
              <w:left w:val="nil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393" w:type="dxa"/>
            <w:vMerge w:val="continue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6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296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35"/>
              <w:jc w:val="both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cs="Times New Roman"/>
                <w:color w:val="auto"/>
                <w:sz w:val="18"/>
                <w:szCs w:val="18"/>
              </w:rPr>
              <w:t>新鲜水消耗量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t/t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≤0.035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≤0.025</w:t>
            </w:r>
          </w:p>
        </w:tc>
        <w:tc>
          <w:tcPr>
            <w:tcW w:w="102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≤0.015</w:t>
            </w:r>
          </w:p>
        </w:tc>
        <w:tc>
          <w:tcPr>
            <w:tcW w:w="1393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6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pStyle w:val="135"/>
              <w:jc w:val="both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cs="Times New Roman"/>
                <w:color w:val="auto"/>
                <w:sz w:val="18"/>
                <w:szCs w:val="18"/>
              </w:rPr>
              <w:t>单位产品原材料消耗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t/t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≤1.035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≤1.025</w:t>
            </w:r>
          </w:p>
        </w:tc>
        <w:tc>
          <w:tcPr>
            <w:tcW w:w="102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≤1.015</w:t>
            </w:r>
          </w:p>
        </w:tc>
        <w:tc>
          <w:tcPr>
            <w:tcW w:w="1393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6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96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单位产品生产能耗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kgce/t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≤3.5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≤3.0</w:t>
            </w:r>
          </w:p>
        </w:tc>
        <w:tc>
          <w:tcPr>
            <w:tcW w:w="102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≤2.5</w:t>
            </w:r>
          </w:p>
        </w:tc>
        <w:tc>
          <w:tcPr>
            <w:tcW w:w="1393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GB/T 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6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296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单位产品工业废水排放量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t/t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393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附录</w:t>
            </w:r>
            <w:r>
              <w:rPr>
                <w:kern w:val="0"/>
                <w:sz w:val="18"/>
                <w:szCs w:val="18"/>
              </w:rPr>
              <w:t>A.3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26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296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盐水溶液中的防锈性能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t>--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无腐蚀发生</w:t>
            </w:r>
          </w:p>
        </w:tc>
        <w:tc>
          <w:tcPr>
            <w:tcW w:w="13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JGJ/T 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264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渗透深度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</w:pPr>
            <w:r>
              <w:t>mm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≥50</w:t>
            </w:r>
          </w:p>
        </w:tc>
        <w:tc>
          <w:tcPr>
            <w:tcW w:w="13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26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电化学综合防锈性能</w:t>
            </w:r>
            <w:r>
              <w:rPr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autoSpaceDN w:val="0"/>
              <w:jc w:val="center"/>
            </w:pPr>
            <w:r>
              <w:t>--</w:t>
            </w:r>
          </w:p>
        </w:tc>
        <w:tc>
          <w:tcPr>
            <w:tcW w:w="3062" w:type="dxa"/>
            <w:gridSpan w:val="3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无腐蚀发生</w:t>
            </w:r>
          </w:p>
        </w:tc>
        <w:tc>
          <w:tcPr>
            <w:tcW w:w="13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570" w:type="dxa"/>
            <w:gridSpan w:val="7"/>
            <w:shd w:val="clear" w:color="auto" w:fill="FFFFFF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>电化学综合防锈性能试验仅适用于阳极型钢筋阻锈剂。</w:t>
            </w:r>
          </w:p>
        </w:tc>
      </w:tr>
    </w:tbl>
    <w:p>
      <w:pPr>
        <w:pStyle w:val="25"/>
        <w:ind w:firstLine="31680"/>
        <w:rPr>
          <w:rFonts w:ascii="Times New Roman"/>
        </w:rPr>
      </w:pPr>
      <w:r>
        <w:rPr>
          <w:rFonts w:ascii="Times New Roman"/>
        </w:rPr>
        <w:t xml:space="preserve"> </w:t>
      </w:r>
    </w:p>
    <w:p>
      <w:pPr>
        <w:pStyle w:val="102"/>
        <w:numPr>
          <w:ilvl w:val="0"/>
          <w:numId w:val="18"/>
        </w:numPr>
        <w:tabs>
          <w:tab w:val="left" w:pos="0"/>
        </w:tabs>
        <w:spacing w:before="312" w:after="312"/>
        <w:ind w:left="0" w:firstLine="0"/>
        <w:rPr>
          <w:rFonts w:ascii="Times New Roman"/>
          <w:color w:val="000000"/>
        </w:rPr>
      </w:pPr>
      <w:bookmarkStart w:id="106" w:name="_Toc533518632"/>
      <w:r>
        <w:rPr>
          <w:rFonts w:hint="eastAsia" w:ascii="Times New Roman"/>
          <w:color w:val="000000"/>
        </w:rPr>
        <w:t>评价方法</w:t>
      </w:r>
      <w:bookmarkEnd w:id="106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</w:pPr>
      <w:bookmarkStart w:id="107" w:name="_Toc360632449"/>
      <w:bookmarkStart w:id="108" w:name="_Toc360436771"/>
      <w:bookmarkStart w:id="109" w:name="_Toc396134056"/>
      <w:bookmarkStart w:id="110" w:name="_Toc360436858"/>
      <w:bookmarkStart w:id="111" w:name="_Toc384816571"/>
      <w:bookmarkStart w:id="112" w:name="_Toc350864010"/>
      <w:r>
        <w:t xml:space="preserve">5.1 </w:t>
      </w:r>
      <w:r>
        <w:rPr>
          <w:rFonts w:hint="eastAsia"/>
        </w:rPr>
        <w:t>生产企业</w:t>
      </w:r>
      <w:r>
        <w:rPr>
          <w:rFonts w:hint="eastAsia"/>
          <w:kern w:val="0"/>
          <w:szCs w:val="20"/>
        </w:rPr>
        <w:t>应按第</w:t>
      </w:r>
      <w:r>
        <w:rPr>
          <w:kern w:val="0"/>
          <w:szCs w:val="20"/>
        </w:rPr>
        <w:t>4</w:t>
      </w:r>
      <w:r>
        <w:rPr>
          <w:rFonts w:hint="eastAsia"/>
          <w:kern w:val="0"/>
          <w:szCs w:val="20"/>
        </w:rPr>
        <w:t>章的规定提供相关证明文件。</w:t>
      </w:r>
    </w:p>
    <w:p>
      <w:pPr>
        <w:autoSpaceDE w:val="0"/>
        <w:autoSpaceDN w:val="0"/>
        <w:adjustRightInd w:val="0"/>
      </w:pPr>
      <w:r>
        <w:t xml:space="preserve">5.2 </w:t>
      </w:r>
      <w:r>
        <w:rPr>
          <w:rFonts w:hint="eastAsia"/>
        </w:rPr>
        <w:t>混凝土结构外防护材料相应指标的评价应按第</w:t>
      </w:r>
      <w:r>
        <w:t>4</w:t>
      </w:r>
      <w:r>
        <w:rPr>
          <w:rFonts w:hint="eastAsia"/>
        </w:rPr>
        <w:t>章表中列出的评价依据进行，产品基本性能应按相应产品的标准进行检测，可浸出重金属应按</w:t>
      </w:r>
      <w:r>
        <w:t>GB5085.3</w:t>
      </w:r>
      <w:r>
        <w:rPr>
          <w:rFonts w:hint="eastAsia"/>
        </w:rPr>
        <w:t>的规定进行</w:t>
      </w:r>
      <w:bookmarkStart w:id="113" w:name="_Toc459106422"/>
      <w:bookmarkStart w:id="114" w:name="_Toc462063266"/>
      <w:bookmarkStart w:id="115" w:name="_Toc456611292"/>
      <w:r>
        <w:rPr>
          <w:rFonts w:hint="eastAsia"/>
        </w:rPr>
        <w:t>。</w:t>
      </w:r>
    </w:p>
    <w:bookmarkEnd w:id="113"/>
    <w:bookmarkEnd w:id="114"/>
    <w:bookmarkEnd w:id="115"/>
    <w:p>
      <w:pPr>
        <w:autoSpaceDE w:val="0"/>
        <w:autoSpaceDN w:val="0"/>
        <w:adjustRightInd w:val="0"/>
        <w:rPr>
          <w:kern w:val="0"/>
        </w:rPr>
      </w:pPr>
      <w:r>
        <w:t xml:space="preserve">5.3 </w:t>
      </w:r>
      <w:r>
        <w:rPr>
          <w:rFonts w:hint="eastAsia"/>
        </w:rPr>
        <w:t>采用符合性评价，</w:t>
      </w:r>
      <w:r>
        <w:rPr>
          <w:rFonts w:hint="eastAsia"/>
          <w:kern w:val="0"/>
        </w:rPr>
        <w:t>生产企业满足第</w:t>
      </w:r>
      <w:r>
        <w:rPr>
          <w:kern w:val="0"/>
        </w:rPr>
        <w:t>4</w:t>
      </w:r>
      <w:r>
        <w:rPr>
          <w:rFonts w:hint="eastAsia"/>
          <w:kern w:val="0"/>
        </w:rPr>
        <w:t>章对某一评价等级的全部要求时，</w:t>
      </w:r>
      <w:r>
        <w:rPr>
          <w:rFonts w:hint="eastAsia"/>
        </w:rPr>
        <w:t>判定评价结果</w:t>
      </w:r>
      <w:r>
        <w:rPr>
          <w:rFonts w:hint="eastAsia"/>
          <w:kern w:val="0"/>
        </w:rPr>
        <w:t>符合该等级规定。</w:t>
      </w:r>
      <w:bookmarkEnd w:id="107"/>
      <w:bookmarkEnd w:id="108"/>
      <w:bookmarkEnd w:id="109"/>
      <w:bookmarkEnd w:id="110"/>
      <w:bookmarkEnd w:id="111"/>
      <w:bookmarkEnd w:id="112"/>
    </w:p>
    <w:p>
      <w:pPr>
        <w:autoSpaceDE w:val="0"/>
        <w:autoSpaceDN w:val="0"/>
        <w:adjustRightInd w:val="0"/>
        <w:rPr>
          <w:kern w:val="0"/>
        </w:rPr>
      </w:pPr>
    </w:p>
    <w:p>
      <w:pPr>
        <w:pStyle w:val="110"/>
        <w:rPr>
          <w:rFonts w:ascii="Times New Roman"/>
        </w:rPr>
      </w:pPr>
      <w:r>
        <w:rPr>
          <w:rFonts w:ascii="Times New Roman"/>
        </w:rPr>
        <w:br w:type="page"/>
      </w:r>
      <w:r>
        <w:rPr>
          <w:rFonts w:ascii="Times New Roman"/>
        </w:rPr>
        <w:br w:type="textWrapping"/>
      </w:r>
      <w:bookmarkStart w:id="116" w:name="_Toc524004822"/>
      <w:bookmarkStart w:id="117" w:name="_Toc532820969"/>
      <w:bookmarkStart w:id="118" w:name="_Toc532820841"/>
      <w:r>
        <w:rPr>
          <w:rFonts w:hint="eastAsia" w:ascii="Times New Roman"/>
        </w:rPr>
        <w:t>（规范性附录）</w:t>
      </w:r>
      <w:r>
        <w:rPr>
          <w:rFonts w:ascii="Times New Roman"/>
        </w:rPr>
        <w:br w:type="textWrapping"/>
      </w:r>
      <w:bookmarkEnd w:id="116"/>
      <w:r>
        <w:rPr>
          <w:rFonts w:hint="eastAsia" w:ascii="Times New Roman"/>
        </w:rPr>
        <w:t>评价指标计算方法</w:t>
      </w:r>
      <w:bookmarkEnd w:id="117"/>
      <w:bookmarkEnd w:id="118"/>
    </w:p>
    <w:p>
      <w:pPr>
        <w:pStyle w:val="71"/>
        <w:spacing w:before="312" w:after="312"/>
        <w:rPr>
          <w:rFonts w:ascii="Times New Roman"/>
        </w:rPr>
      </w:pPr>
      <w:r>
        <w:rPr>
          <w:rFonts w:hint="eastAsia" w:ascii="Times New Roman"/>
        </w:rPr>
        <w:t>单位产品新鲜水消耗量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新鲜水消耗是指生产工艺用水和车间清洁用水，不包括原料用水和生活用水的相关数据。原则上应以近</w:t>
      </w:r>
      <w:r>
        <w:rPr>
          <w:rFonts w:ascii="Times New Roman"/>
        </w:rPr>
        <w:t>12</w:t>
      </w:r>
      <w:r>
        <w:rPr>
          <w:rFonts w:hint="eastAsia" w:ascii="Times New Roman"/>
        </w:rPr>
        <w:t>个月作为统计期计算生产过程单位产品新鲜水消耗量的平均值。企业正式投产不足</w:t>
      </w:r>
      <w:r>
        <w:rPr>
          <w:rFonts w:ascii="Times New Roman"/>
        </w:rPr>
        <w:t>12</w:t>
      </w:r>
      <w:r>
        <w:rPr>
          <w:rFonts w:hint="eastAsia" w:ascii="Times New Roman"/>
        </w:rPr>
        <w:t>个月时，统计期可适当缩短，但不应少于</w:t>
      </w:r>
      <w:r>
        <w:rPr>
          <w:rFonts w:ascii="Times New Roman"/>
        </w:rPr>
        <w:t>6</w:t>
      </w:r>
      <w:r>
        <w:rPr>
          <w:rFonts w:hint="eastAsia" w:ascii="Times New Roman"/>
        </w:rPr>
        <w:t>个月。生产每吨产品所消耗的新鲜水量即单位产品新鲜水消耗按式（</w:t>
      </w:r>
      <w:r>
        <w:rPr>
          <w:rFonts w:ascii="Times New Roman"/>
        </w:rPr>
        <w:t>A.1</w:t>
      </w:r>
      <w:r>
        <w:rPr>
          <w:rFonts w:hint="eastAsia" w:ascii="Times New Roman"/>
        </w:rPr>
        <w:t>）计算：</w:t>
      </w:r>
    </w:p>
    <w:p>
      <w:pPr>
        <w:pStyle w:val="143"/>
        <w:jc w:val="center"/>
        <w:rPr>
          <w:rFonts w:ascii="Times New Roman"/>
        </w:rPr>
      </w:pPr>
      <w:r>
        <w:rPr>
          <w:rFonts w:ascii="Times New Roman"/>
          <w:position w:val="-32"/>
        </w:rPr>
        <w:t xml:space="preserve">                                      </w:t>
      </w:r>
      <w:r>
        <w:rPr>
          <w:rFonts w:ascii="Times New Roman"/>
          <w:position w:val="-32"/>
        </w:rPr>
        <w:object>
          <v:shape id="_x0000_i1025" o:spt="75" type="#_x0000_t75" style="height:34.5pt;width:3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>(A.1)</w:t>
      </w:r>
    </w:p>
    <w:p>
      <w:pPr>
        <w:pStyle w:val="143"/>
        <w:ind w:firstLine="420" w:firstLineChars="200"/>
        <w:rPr>
          <w:rFonts w:ascii="Times New Roman"/>
        </w:rPr>
      </w:pPr>
      <w:r>
        <w:rPr>
          <w:rFonts w:hint="eastAsia" w:ascii="Times New Roman"/>
        </w:rPr>
        <w:t>式中：</w:t>
      </w:r>
    </w:p>
    <w:p>
      <w:pPr>
        <w:pStyle w:val="25"/>
        <w:ind w:firstLine="31680"/>
        <w:rPr>
          <w:rFonts w:ascii="Times New Roman"/>
          <w:szCs w:val="21"/>
        </w:rPr>
      </w:pPr>
      <w:r>
        <w:rPr>
          <w:rFonts w:ascii="Times New Roman"/>
          <w:i/>
        </w:rPr>
        <w:t>V</w:t>
      </w:r>
      <w:r>
        <w:rPr>
          <w:rFonts w:ascii="Times New Roman"/>
          <w:i/>
          <w:vertAlign w:val="subscript"/>
        </w:rPr>
        <w:t>i</w:t>
      </w:r>
      <w:r>
        <w:rPr>
          <w:rFonts w:ascii="Times New Roman"/>
        </w:rPr>
        <w:t>——</w:t>
      </w:r>
      <w:r>
        <w:rPr>
          <w:rFonts w:hint="eastAsia" w:ascii="Times New Roman"/>
        </w:rPr>
        <w:t>单位产品新鲜水消耗量，单位为吨每吨（</w:t>
      </w:r>
      <w:r>
        <w:rPr>
          <w:rFonts w:ascii="Times New Roman"/>
        </w:rPr>
        <w:t>t/t</w:t>
      </w:r>
      <w:r>
        <w:rPr>
          <w:rFonts w:hint="eastAsia" w:ascii="Times New Roman"/>
        </w:rPr>
        <w:t>）；</w:t>
      </w:r>
    </w:p>
    <w:p>
      <w:pPr>
        <w:ind w:firstLine="420" w:firstLineChars="200"/>
      </w:pPr>
      <w:r>
        <w:rPr>
          <w:i/>
        </w:rPr>
        <w:t>V</w:t>
      </w:r>
      <w:r>
        <w:rPr>
          <w:i/>
          <w:vertAlign w:val="subscript"/>
        </w:rPr>
        <w:t>h</w:t>
      </w:r>
      <w:r>
        <w:t>——</w:t>
      </w:r>
      <w:r>
        <w:rPr>
          <w:rFonts w:hint="eastAsia"/>
        </w:rPr>
        <w:t>统计期内产品生产消耗的新鲜水量，单位为吨（</w:t>
      </w:r>
      <w:r>
        <w:t>t</w:t>
      </w:r>
      <w:r>
        <w:rPr>
          <w:rFonts w:hint="eastAsia"/>
        </w:rPr>
        <w:t>）；</w:t>
      </w:r>
    </w:p>
    <w:p>
      <w:pPr>
        <w:tabs>
          <w:tab w:val="left" w:pos="7215"/>
        </w:tabs>
        <w:ind w:firstLine="420"/>
      </w:pPr>
      <w:r>
        <w:rPr>
          <w:i/>
        </w:rPr>
        <w:t>P</w:t>
      </w:r>
      <w:r>
        <w:t>——</w:t>
      </w:r>
      <w:r>
        <w:rPr>
          <w:rFonts w:hint="eastAsia"/>
        </w:rPr>
        <w:t>统计期内符合相关标准的合格产品总产量，单位为吨（</w:t>
      </w:r>
      <w:r>
        <w:t>t</w:t>
      </w:r>
      <w:r>
        <w:rPr>
          <w:rFonts w:hint="eastAsia"/>
        </w:rPr>
        <w:t>）。</w:t>
      </w:r>
    </w:p>
    <w:p>
      <w:pPr>
        <w:pStyle w:val="71"/>
        <w:spacing w:before="312" w:after="312"/>
        <w:rPr>
          <w:rFonts w:ascii="Times New Roman"/>
        </w:rPr>
      </w:pPr>
      <w:r>
        <w:rPr>
          <w:rFonts w:hint="eastAsia" w:ascii="Times New Roman"/>
        </w:rPr>
        <w:t>单位产品原材料消耗量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原则上应以近</w:t>
      </w:r>
      <w:r>
        <w:rPr>
          <w:rFonts w:ascii="Times New Roman"/>
        </w:rPr>
        <w:t>12</w:t>
      </w:r>
      <w:r>
        <w:rPr>
          <w:rFonts w:hint="eastAsia" w:ascii="Times New Roman"/>
        </w:rPr>
        <w:t>个月作为统计期计算生产过程单位产品原材料消耗量的平均值。企业正式投产不足</w:t>
      </w:r>
      <w:r>
        <w:rPr>
          <w:rFonts w:ascii="Times New Roman"/>
        </w:rPr>
        <w:t>12</w:t>
      </w:r>
      <w:r>
        <w:rPr>
          <w:rFonts w:hint="eastAsia" w:ascii="Times New Roman"/>
        </w:rPr>
        <w:t>个月时，统计期可适当缩短，但不应少于</w:t>
      </w:r>
      <w:r>
        <w:rPr>
          <w:rFonts w:ascii="Times New Roman"/>
        </w:rPr>
        <w:t>6</w:t>
      </w:r>
      <w:r>
        <w:rPr>
          <w:rFonts w:hint="eastAsia" w:ascii="Times New Roman"/>
        </w:rPr>
        <w:t>个月。单位产品原材料消耗按式（</w:t>
      </w:r>
      <w:r>
        <w:rPr>
          <w:rFonts w:ascii="Times New Roman"/>
        </w:rPr>
        <w:t>A.2</w:t>
      </w:r>
      <w:r>
        <w:rPr>
          <w:rFonts w:hint="eastAsia" w:ascii="Times New Roman"/>
        </w:rPr>
        <w:t>）计算：</w:t>
      </w:r>
    </w:p>
    <w:p>
      <w:pPr>
        <w:pStyle w:val="143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</w:t>
      </w:r>
      <w:r>
        <w:rPr>
          <w:rFonts w:ascii="Times New Roman"/>
          <w:i/>
          <w:position w:val="-24"/>
        </w:rPr>
        <w:object>
          <v:shape id="_x0000_i1026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>(A.2)</w:t>
      </w:r>
    </w:p>
    <w:p>
      <w:pPr>
        <w:adjustRightInd w:val="0"/>
        <w:snapToGrid w:val="0"/>
        <w:spacing w:beforeLines="50" w:afterLines="50"/>
        <w:ind w:firstLine="420" w:firstLineChars="200"/>
      </w:pPr>
      <w:r>
        <w:rPr>
          <w:rFonts w:hint="eastAsia"/>
        </w:rPr>
        <w:t>式中：</w:t>
      </w:r>
    </w:p>
    <w:p>
      <w:pPr>
        <w:pStyle w:val="25"/>
        <w:ind w:firstLine="31680"/>
        <w:rPr>
          <w:rFonts w:ascii="Times New Roman"/>
          <w:szCs w:val="21"/>
        </w:rPr>
      </w:pPr>
      <w:r>
        <w:rPr>
          <w:rFonts w:ascii="Times New Roman"/>
          <w:i/>
          <w:kern w:val="2"/>
          <w:szCs w:val="24"/>
        </w:rPr>
        <w:t>M</w:t>
      </w:r>
      <w:r>
        <w:rPr>
          <w:rFonts w:ascii="Times New Roman"/>
          <w:iCs/>
          <w:kern w:val="2"/>
          <w:szCs w:val="24"/>
          <w:vertAlign w:val="subscript"/>
        </w:rPr>
        <w:t>i</w:t>
      </w:r>
      <w:r>
        <w:rPr>
          <w:rFonts w:ascii="Times New Roman"/>
        </w:rPr>
        <w:t>——</w:t>
      </w:r>
      <w:r>
        <w:rPr>
          <w:rFonts w:hint="eastAsia" w:ascii="Times New Roman"/>
        </w:rPr>
        <w:t>单位产品原材料消耗，单位为吨每吨（</w:t>
      </w:r>
      <w:r>
        <w:rPr>
          <w:rFonts w:ascii="Times New Roman"/>
        </w:rPr>
        <w:t>t/t</w:t>
      </w:r>
      <w:r>
        <w:rPr>
          <w:rFonts w:hint="eastAsia" w:ascii="Times New Roman"/>
        </w:rPr>
        <w:t>）；</w:t>
      </w:r>
    </w:p>
    <w:p>
      <w:pPr>
        <w:ind w:firstLine="420" w:firstLineChars="200"/>
      </w:pPr>
      <w:r>
        <w:rPr>
          <w:i/>
        </w:rPr>
        <w:t>M</w:t>
      </w:r>
      <w:r>
        <w:rPr>
          <w:iCs/>
          <w:vertAlign w:val="subscript"/>
        </w:rPr>
        <w:t>h</w:t>
      </w:r>
      <w:r>
        <w:t>——</w:t>
      </w:r>
      <w:r>
        <w:rPr>
          <w:rFonts w:hint="eastAsia"/>
        </w:rPr>
        <w:t>统计期内产品所需的原料使用量总量，单位为吨（</w:t>
      </w:r>
      <w:r>
        <w:t>t</w:t>
      </w:r>
      <w:r>
        <w:rPr>
          <w:rFonts w:hint="eastAsia"/>
        </w:rPr>
        <w:t>）；</w:t>
      </w:r>
    </w:p>
    <w:p>
      <w:pPr>
        <w:tabs>
          <w:tab w:val="left" w:pos="7215"/>
        </w:tabs>
        <w:rPr>
          <w:kern w:val="0"/>
        </w:rPr>
      </w:pPr>
      <w:r>
        <w:rPr>
          <w:i/>
        </w:rPr>
        <w:t xml:space="preserve">    P</w:t>
      </w:r>
      <w:r>
        <w:t>——</w:t>
      </w:r>
      <w:r>
        <w:rPr>
          <w:rFonts w:hint="eastAsia"/>
        </w:rPr>
        <w:t>统计期内产品总产量，单位为吨（</w:t>
      </w:r>
      <w:r>
        <w:t>t</w:t>
      </w:r>
      <w:r>
        <w:rPr>
          <w:rFonts w:hint="eastAsia"/>
        </w:rPr>
        <w:t>）。</w:t>
      </w:r>
    </w:p>
    <w:p>
      <w:pPr>
        <w:pStyle w:val="71"/>
        <w:numPr>
          <w:ilvl w:val="0"/>
          <w:numId w:val="0"/>
        </w:numPr>
        <w:spacing w:before="312" w:after="312"/>
        <w:rPr>
          <w:rFonts w:ascii="Times New Roman"/>
        </w:rPr>
      </w:pPr>
      <w:r>
        <w:rPr>
          <w:rFonts w:ascii="Times New Roman"/>
        </w:rPr>
        <w:t>A.3</w:t>
      </w:r>
      <w:r>
        <w:rPr>
          <w:rFonts w:hint="eastAsia" w:ascii="Times New Roman"/>
        </w:rPr>
        <w:t>单位产品废水排放量</w:t>
      </w:r>
    </w:p>
    <w:p>
      <w:pPr>
        <w:pStyle w:val="25"/>
        <w:ind w:firstLine="31680"/>
        <w:rPr>
          <w:rFonts w:ascii="Times New Roman"/>
        </w:rPr>
      </w:pPr>
      <w:r>
        <w:rPr>
          <w:rFonts w:hint="eastAsia" w:ascii="Times New Roman"/>
        </w:rPr>
        <w:t>原则上应以近</w:t>
      </w:r>
      <w:r>
        <w:rPr>
          <w:rFonts w:ascii="Times New Roman"/>
        </w:rPr>
        <w:t>12</w:t>
      </w:r>
      <w:r>
        <w:rPr>
          <w:rFonts w:hint="eastAsia" w:ascii="Times New Roman"/>
        </w:rPr>
        <w:t>个月作为统计期计算生产过程单位产品废水排放量的平均值。企业正式投产不足</w:t>
      </w:r>
      <w:r>
        <w:rPr>
          <w:rFonts w:ascii="Times New Roman"/>
        </w:rPr>
        <w:t>12</w:t>
      </w:r>
      <w:r>
        <w:rPr>
          <w:rFonts w:hint="eastAsia" w:ascii="Times New Roman"/>
        </w:rPr>
        <w:t>个月时，统计期可适当缩短，但不应少于</w:t>
      </w:r>
      <w:r>
        <w:rPr>
          <w:rFonts w:ascii="Times New Roman"/>
        </w:rPr>
        <w:t>6</w:t>
      </w:r>
      <w:r>
        <w:rPr>
          <w:rFonts w:hint="eastAsia" w:ascii="Times New Roman"/>
        </w:rPr>
        <w:t>个月。每生产</w:t>
      </w:r>
      <w:r>
        <w:rPr>
          <w:rFonts w:ascii="Times New Roman"/>
        </w:rPr>
        <w:t>1t</w:t>
      </w:r>
      <w:r>
        <w:rPr>
          <w:rFonts w:hint="eastAsia" w:ascii="Times New Roman"/>
        </w:rPr>
        <w:t>产品排放的废水量即单位产品废水排放量，按公式（</w:t>
      </w:r>
      <w:r>
        <w:rPr>
          <w:rFonts w:ascii="Times New Roman"/>
        </w:rPr>
        <w:t>A.3</w:t>
      </w:r>
      <w:r>
        <w:rPr>
          <w:rFonts w:hint="eastAsia" w:ascii="Times New Roman"/>
        </w:rPr>
        <w:t>）计算：</w:t>
      </w:r>
    </w:p>
    <w:p>
      <w:pPr>
        <w:pStyle w:val="25"/>
        <w:ind w:firstLine="31680"/>
        <w:rPr>
          <w:rFonts w:ascii="Times New Roman"/>
        </w:rPr>
      </w:pPr>
    </w:p>
    <w:p>
      <w:pPr>
        <w:pStyle w:val="25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                          </w:t>
      </w:r>
      <w:r>
        <w:rPr>
          <w:rFonts w:ascii="Times New Roman"/>
          <w:position w:val="-32"/>
        </w:rPr>
        <w:object>
          <v:shape id="_x0000_i1027" o:spt="75" type="#_x0000_t75" style="height:34.5pt;width:40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 xml:space="preserve"> …………………………………………(A.3) 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QUOTE  </w:instrText>
      </w:r>
      <w:r>
        <w:rPr>
          <w:rFonts w:ascii="Times New Roman"/>
        </w:rPr>
        <w:fldChar w:fldCharType="end"/>
      </w:r>
      <w:r>
        <w:rPr>
          <w:rFonts w:ascii="Times New Roman"/>
        </w:rPr>
        <w:t xml:space="preserve"> </w:t>
      </w:r>
    </w:p>
    <w:p>
      <w:pPr>
        <w:pStyle w:val="25"/>
        <w:spacing w:line="520" w:lineRule="exact"/>
        <w:ind w:firstLine="31680"/>
        <w:rPr>
          <w:rFonts w:ascii="Times New Roman"/>
        </w:rPr>
      </w:pPr>
      <w:r>
        <w:rPr>
          <w:rFonts w:ascii="Times New Roman"/>
          <w:i/>
        </w:rPr>
        <w:t>V</w:t>
      </w:r>
      <w:r>
        <w:rPr>
          <w:rFonts w:ascii="Times New Roman"/>
          <w:iCs/>
          <w:vertAlign w:val="subscript"/>
        </w:rPr>
        <w:t>j</w:t>
      </w:r>
      <w:r>
        <w:rPr>
          <w:rFonts w:ascii="Times New Roman"/>
        </w:rPr>
        <w:t>——</w:t>
      </w:r>
      <w:r>
        <w:rPr>
          <w:rFonts w:hint="eastAsia" w:ascii="Times New Roman"/>
        </w:rPr>
        <w:t>单位产品废水排放量，单位为吨每吨（</w:t>
      </w:r>
      <w:r>
        <w:rPr>
          <w:rFonts w:ascii="Times New Roman"/>
        </w:rPr>
        <w:t>t/t</w:t>
      </w:r>
      <w:r>
        <w:rPr>
          <w:rFonts w:hint="eastAsia" w:ascii="Times New Roman"/>
        </w:rPr>
        <w:t>）；</w:t>
      </w:r>
    </w:p>
    <w:p>
      <w:pPr>
        <w:pStyle w:val="25"/>
        <w:spacing w:line="520" w:lineRule="exact"/>
        <w:ind w:firstLine="31680"/>
        <w:rPr>
          <w:rFonts w:ascii="Times New Roman"/>
        </w:rPr>
      </w:pPr>
      <w:r>
        <w:rPr>
          <w:rFonts w:ascii="Times New Roman"/>
          <w:i/>
        </w:rPr>
        <w:t>V</w:t>
      </w:r>
      <w:r>
        <w:rPr>
          <w:rFonts w:ascii="Times New Roman"/>
          <w:iCs/>
          <w:vertAlign w:val="subscript"/>
        </w:rPr>
        <w:t>w</w:t>
      </w:r>
      <w:r>
        <w:rPr>
          <w:rFonts w:ascii="Times New Roman"/>
          <w:i/>
          <w:vertAlign w:val="subscript"/>
        </w:rPr>
        <w:t xml:space="preserve"> </w:t>
      </w:r>
      <w:r>
        <w:rPr>
          <w:rFonts w:ascii="Times New Roman"/>
        </w:rPr>
        <w:t>——</w:t>
      </w:r>
      <w:r>
        <w:rPr>
          <w:rFonts w:hint="eastAsia" w:ascii="Times New Roman"/>
        </w:rPr>
        <w:t>统计期内产品生产废水排放量，单位为吨（</w:t>
      </w:r>
      <w:r>
        <w:rPr>
          <w:rFonts w:ascii="Times New Roman"/>
        </w:rPr>
        <w:t>t</w:t>
      </w:r>
      <w:r>
        <w:rPr>
          <w:rFonts w:hint="eastAsia" w:ascii="Times New Roman"/>
        </w:rPr>
        <w:t>）；</w:t>
      </w:r>
    </w:p>
    <w:p>
      <w:pPr>
        <w:pStyle w:val="25"/>
        <w:ind w:firstLine="31680"/>
        <w:rPr>
          <w:rFonts w:ascii="Times New Roman"/>
        </w:rPr>
      </w:pPr>
      <w:r>
        <w:rPr>
          <w:rFonts w:ascii="Times New Roman"/>
          <w:i/>
        </w:rPr>
        <w:t>P</w:t>
      </w:r>
      <w:r>
        <w:rPr>
          <w:rFonts w:ascii="Times New Roman"/>
        </w:rPr>
        <w:t>——</w:t>
      </w:r>
      <w:r>
        <w:rPr>
          <w:rFonts w:hint="eastAsia" w:ascii="Times New Roman"/>
        </w:rPr>
        <w:t>统计期内符合相关标准的合格产品总产量，单位为吨（</w:t>
      </w:r>
      <w:r>
        <w:rPr>
          <w:rFonts w:ascii="Times New Roman"/>
        </w:rPr>
        <w:t>t</w:t>
      </w:r>
      <w:r>
        <w:rPr>
          <w:rFonts w:hint="eastAsia" w:ascii="Times New Roman"/>
        </w:rPr>
        <w:t>）。</w:t>
      </w:r>
    </w:p>
    <w:p>
      <w:pPr>
        <w:pStyle w:val="25"/>
        <w:ind w:firstLine="31680"/>
        <w:rPr>
          <w:rFonts w:ascii="Times New Roman"/>
        </w:rPr>
      </w:pPr>
    </w:p>
    <w:p>
      <w:pPr>
        <w:pStyle w:val="71"/>
        <w:numPr>
          <w:ilvl w:val="0"/>
          <w:numId w:val="0"/>
        </w:numPr>
        <w:spacing w:before="312" w:after="312"/>
        <w:rPr>
          <w:rFonts w:ascii="Times New Roman"/>
          <w:kern w:val="0"/>
        </w:rPr>
      </w:pPr>
      <w:r>
        <w:rPr>
          <w:rFonts w:ascii="Times New Roman"/>
          <w:kern w:val="0"/>
        </w:rPr>
        <w:t>A.4</w:t>
      </w:r>
      <w:r>
        <w:rPr>
          <w:rFonts w:hint="eastAsia" w:ascii="Times New Roman"/>
          <w:kern w:val="0"/>
        </w:rPr>
        <w:t>生产过程产生废弃物利用率</w:t>
      </w:r>
    </w:p>
    <w:p>
      <w:pPr>
        <w:pStyle w:val="25"/>
        <w:ind w:firstLine="31680"/>
        <w:rPr>
          <w:rFonts w:ascii="Times New Roman"/>
        </w:rPr>
      </w:pPr>
      <w:bookmarkStart w:id="119" w:name="_Toc459106426"/>
      <w:bookmarkStart w:id="120" w:name="_Toc456611296"/>
      <w:r>
        <w:rPr>
          <w:rFonts w:hint="eastAsia" w:ascii="Times New Roman"/>
        </w:rPr>
        <w:t>原则上应以近</w:t>
      </w:r>
      <w:r>
        <w:rPr>
          <w:rFonts w:ascii="Times New Roman"/>
        </w:rPr>
        <w:t>12</w:t>
      </w:r>
      <w:r>
        <w:rPr>
          <w:rFonts w:hint="eastAsia" w:ascii="Times New Roman"/>
        </w:rPr>
        <w:t>个月作为统计期计算生产过程产生废弃物利用率的平均值。企业正式投产不足</w:t>
      </w:r>
      <w:r>
        <w:rPr>
          <w:rFonts w:ascii="Times New Roman"/>
        </w:rPr>
        <w:t>12</w:t>
      </w:r>
      <w:r>
        <w:rPr>
          <w:rFonts w:hint="eastAsia" w:ascii="Times New Roman"/>
        </w:rPr>
        <w:t>个月时，统计期可适当缩短，但不应少于</w:t>
      </w:r>
      <w:r>
        <w:rPr>
          <w:rFonts w:ascii="Times New Roman"/>
        </w:rPr>
        <w:t>6</w:t>
      </w:r>
      <w:r>
        <w:rPr>
          <w:rFonts w:hint="eastAsia" w:ascii="Times New Roman"/>
        </w:rPr>
        <w:t>个月。按公式（</w:t>
      </w:r>
      <w:r>
        <w:rPr>
          <w:rFonts w:ascii="Times New Roman"/>
          <w:szCs w:val="21"/>
        </w:rPr>
        <w:t>A.4</w:t>
      </w:r>
      <w:r>
        <w:rPr>
          <w:rFonts w:hint="eastAsia" w:ascii="Times New Roman"/>
        </w:rPr>
        <w:t>）计算：</w:t>
      </w:r>
    </w:p>
    <w:p>
      <w:pPr>
        <w:pStyle w:val="25"/>
        <w:ind w:firstLine="31680"/>
        <w:jc w:val="center"/>
        <w:rPr>
          <w:rFonts w:ascii="Times New Roman"/>
        </w:rPr>
      </w:pPr>
      <w:r>
        <w:rPr>
          <w:rFonts w:ascii="Times New Roman"/>
          <w:position w:val="-32"/>
        </w:rPr>
        <w:object>
          <v:shape id="_x0000_i1028" o:spt="75" type="#_x0000_t75" style="height:34.5pt;width:43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ascii="Times New Roman"/>
        </w:rPr>
        <w:tab/>
      </w:r>
      <w:r>
        <w:rPr>
          <w:rFonts w:ascii="Times New Roman"/>
        </w:rPr>
        <w:t xml:space="preserve"> …………………………………………(A.4)</w:t>
      </w:r>
    </w:p>
    <w:p>
      <w:pPr>
        <w:pStyle w:val="143"/>
        <w:ind w:firstLine="2415" w:firstLineChars="1150"/>
        <w:jc w:val="left"/>
        <w:rPr>
          <w:rFonts w:ascii="Times New Roman"/>
          <w:kern w:val="2"/>
          <w:szCs w:val="21"/>
        </w:rPr>
      </w:pPr>
      <w:r>
        <w:rPr>
          <w:rFonts w:ascii="Times New Roman"/>
        </w:rPr>
        <w:t xml:space="preserve">  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式中：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i/>
          <w:szCs w:val="21"/>
        </w:rPr>
        <w:t xml:space="preserve">R </w:t>
      </w:r>
      <w:r>
        <w:rPr>
          <w:szCs w:val="21"/>
        </w:rPr>
        <w:t>——</w:t>
      </w:r>
      <w:r>
        <w:rPr>
          <w:rFonts w:hint="eastAsia"/>
          <w:szCs w:val="21"/>
        </w:rPr>
        <w:t>生产过程产生固体废弃物利用率，</w:t>
      </w:r>
      <w:r>
        <w:rPr>
          <w:szCs w:val="21"/>
        </w:rPr>
        <w:t>%</w:t>
      </w:r>
      <w:r>
        <w:rPr>
          <w:rFonts w:hint="eastAsia"/>
          <w:szCs w:val="21"/>
        </w:rPr>
        <w:t>；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i/>
          <w:szCs w:val="21"/>
        </w:rPr>
        <w:t>M</w:t>
      </w:r>
      <w:r>
        <w:rPr>
          <w:iCs/>
          <w:szCs w:val="21"/>
          <w:vertAlign w:val="subscript"/>
        </w:rPr>
        <w:t>r</w:t>
      </w:r>
      <w:r>
        <w:rPr>
          <w:szCs w:val="21"/>
        </w:rPr>
        <w:t>——</w:t>
      </w:r>
      <w:r>
        <w:rPr>
          <w:rFonts w:hint="eastAsia"/>
          <w:szCs w:val="21"/>
        </w:rPr>
        <w:t>统计期内回收再利用的废弃物量，不含废水，单位为千克（</w:t>
      </w:r>
      <w:r>
        <w:rPr>
          <w:szCs w:val="21"/>
        </w:rPr>
        <w:t>kg</w:t>
      </w:r>
      <w:r>
        <w:rPr>
          <w:rFonts w:hint="eastAsia"/>
          <w:szCs w:val="21"/>
        </w:rPr>
        <w:t>）；</w:t>
      </w:r>
    </w:p>
    <w:p>
      <w:pPr>
        <w:spacing w:line="520" w:lineRule="exact"/>
        <w:ind w:firstLine="420" w:firstLineChars="200"/>
        <w:rPr>
          <w:szCs w:val="21"/>
        </w:rPr>
      </w:pPr>
      <w:r>
        <w:rPr>
          <w:i/>
          <w:szCs w:val="21"/>
        </w:rPr>
        <w:t>M</w:t>
      </w:r>
      <w:r>
        <w:rPr>
          <w:iCs/>
          <w:szCs w:val="21"/>
          <w:vertAlign w:val="subscript"/>
        </w:rPr>
        <w:t>p</w:t>
      </w:r>
      <w:r>
        <w:rPr>
          <w:szCs w:val="21"/>
        </w:rPr>
        <w:t>——</w:t>
      </w:r>
      <w:r>
        <w:rPr>
          <w:rFonts w:hint="eastAsia"/>
          <w:szCs w:val="21"/>
        </w:rPr>
        <w:t>统计期内生产产生的废弃物总量，不含废水，单位为千克（</w:t>
      </w:r>
      <w:r>
        <w:rPr>
          <w:szCs w:val="21"/>
        </w:rPr>
        <w:t>kg</w:t>
      </w:r>
      <w:r>
        <w:rPr>
          <w:rFonts w:hint="eastAsia"/>
          <w:szCs w:val="21"/>
        </w:rPr>
        <w:t>）。</w:t>
      </w:r>
    </w:p>
    <w:bookmarkEnd w:id="119"/>
    <w:bookmarkEnd w:id="120"/>
    <w:p>
      <w:pPr>
        <w:pStyle w:val="25"/>
        <w:ind w:firstLine="31680"/>
        <w:rPr>
          <w:rFonts w:ascii="Times New Roman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pStyle w:val="118"/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</w:pPr>
    <w:r>
      <w:t>T/ CECS 1000X—XXXX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11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58"/>
      <w:suff w:val="nothing"/>
      <w:lvlText w:val="示例%1："/>
      <w:lvlJc w:val="left"/>
      <w:pPr>
        <w:ind w:firstLine="397"/>
      </w:pPr>
      <w:rPr>
        <w:rFonts w:hint="eastAsia" w:ascii="黑体" w:eastAsia="黑体" w:cs="Times New Roman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28"/>
      <w:suff w:val="nothing"/>
      <w:lvlText w:val="%1示例："/>
      <w:lvlJc w:val="left"/>
      <w:pPr>
        <w:ind w:firstLine="363"/>
      </w:pPr>
      <w:rPr>
        <w:rFonts w:hint="eastAsia" w:ascii="黑体" w:eastAsia="黑体" w:cs="Times New Roman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04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79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10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65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993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87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1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152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142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3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9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17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pStyle w:val="10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101"/>
      <w:suff w:val="nothing"/>
      <w:lvlText w:val="示例%1："/>
      <w:lvlJc w:val="left"/>
      <w:pPr>
        <w:ind w:firstLine="363"/>
      </w:pPr>
      <w:rPr>
        <w:rFonts w:hint="eastAsia" w:ascii="黑体" w:hAnsi="Times New Roman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rPr>
        <w:rFonts w:hint="eastAsia" w:cs="Times New Roman"/>
        <w:vertAlign w:val="baseline"/>
      </w:rPr>
    </w:lvl>
    <w:lvl w:ilvl="2" w:tentative="0">
      <w:start w:val="1"/>
      <w:numFmt w:val="decimal"/>
      <w:suff w:val="space"/>
      <w:lvlText w:val="2.2.%3"/>
      <w:lvlJc w:val="left"/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</w:abstractNum>
  <w:abstractNum w:abstractNumId="11">
    <w:nsid w:val="50616D8B"/>
    <w:multiLevelType w:val="multilevel"/>
    <w:tmpl w:val="50616D8B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141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64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96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39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10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1"/>
      <w:suff w:val="nothing"/>
      <w:lvlText w:val="%1.%2　"/>
      <w:lvlJc w:val="left"/>
      <w:pPr>
        <w:ind w:left="283"/>
      </w:pPr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8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12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7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15"/>
  </w:num>
  <w:num w:numId="6">
    <w:abstractNumId w:val="17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2"/>
  </w:num>
  <w:num w:numId="15">
    <w:abstractNumId w:val="7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244"/>
    <w:rsid w:val="0000185F"/>
    <w:rsid w:val="000032BA"/>
    <w:rsid w:val="0000586F"/>
    <w:rsid w:val="00007D81"/>
    <w:rsid w:val="00013D86"/>
    <w:rsid w:val="00013E02"/>
    <w:rsid w:val="0002143C"/>
    <w:rsid w:val="00025A65"/>
    <w:rsid w:val="00026C31"/>
    <w:rsid w:val="00026F4A"/>
    <w:rsid w:val="00027280"/>
    <w:rsid w:val="00031326"/>
    <w:rsid w:val="00031803"/>
    <w:rsid w:val="000320A7"/>
    <w:rsid w:val="00035925"/>
    <w:rsid w:val="000404B1"/>
    <w:rsid w:val="0004726A"/>
    <w:rsid w:val="0005187B"/>
    <w:rsid w:val="00057A7A"/>
    <w:rsid w:val="00067CDF"/>
    <w:rsid w:val="00074FBE"/>
    <w:rsid w:val="00083A09"/>
    <w:rsid w:val="000840F0"/>
    <w:rsid w:val="0009005E"/>
    <w:rsid w:val="00092670"/>
    <w:rsid w:val="00092857"/>
    <w:rsid w:val="000943C4"/>
    <w:rsid w:val="000A162E"/>
    <w:rsid w:val="000A20A9"/>
    <w:rsid w:val="000A48B1"/>
    <w:rsid w:val="000B3143"/>
    <w:rsid w:val="000C5FDB"/>
    <w:rsid w:val="000C6B05"/>
    <w:rsid w:val="000C6DD6"/>
    <w:rsid w:val="000C73D4"/>
    <w:rsid w:val="000C7DC6"/>
    <w:rsid w:val="000D3D4C"/>
    <w:rsid w:val="000D4F51"/>
    <w:rsid w:val="000D718B"/>
    <w:rsid w:val="000E0C46"/>
    <w:rsid w:val="000F030C"/>
    <w:rsid w:val="000F129C"/>
    <w:rsid w:val="001056DE"/>
    <w:rsid w:val="001124C0"/>
    <w:rsid w:val="00117987"/>
    <w:rsid w:val="0013004F"/>
    <w:rsid w:val="0013175F"/>
    <w:rsid w:val="001512B4"/>
    <w:rsid w:val="00154080"/>
    <w:rsid w:val="001620A5"/>
    <w:rsid w:val="00164E53"/>
    <w:rsid w:val="0016699D"/>
    <w:rsid w:val="00170482"/>
    <w:rsid w:val="00172A27"/>
    <w:rsid w:val="00174055"/>
    <w:rsid w:val="00175159"/>
    <w:rsid w:val="00176208"/>
    <w:rsid w:val="0018211B"/>
    <w:rsid w:val="001823BE"/>
    <w:rsid w:val="00182CDD"/>
    <w:rsid w:val="001840D3"/>
    <w:rsid w:val="001900F8"/>
    <w:rsid w:val="00191258"/>
    <w:rsid w:val="00192680"/>
    <w:rsid w:val="00193037"/>
    <w:rsid w:val="00193A2C"/>
    <w:rsid w:val="001A288E"/>
    <w:rsid w:val="001A5152"/>
    <w:rsid w:val="001B6DC2"/>
    <w:rsid w:val="001C149C"/>
    <w:rsid w:val="001C21AC"/>
    <w:rsid w:val="001C47BA"/>
    <w:rsid w:val="001C59EA"/>
    <w:rsid w:val="001C6DEA"/>
    <w:rsid w:val="001D406C"/>
    <w:rsid w:val="001D41EE"/>
    <w:rsid w:val="001E0380"/>
    <w:rsid w:val="001E13B1"/>
    <w:rsid w:val="001E2ADF"/>
    <w:rsid w:val="001F3A19"/>
    <w:rsid w:val="00200052"/>
    <w:rsid w:val="00210FBD"/>
    <w:rsid w:val="002257BC"/>
    <w:rsid w:val="00234467"/>
    <w:rsid w:val="00237D8D"/>
    <w:rsid w:val="00237E9B"/>
    <w:rsid w:val="00241DA2"/>
    <w:rsid w:val="00247FEE"/>
    <w:rsid w:val="00250E7D"/>
    <w:rsid w:val="002529D7"/>
    <w:rsid w:val="002565D5"/>
    <w:rsid w:val="002622C0"/>
    <w:rsid w:val="00262E2F"/>
    <w:rsid w:val="002778AE"/>
    <w:rsid w:val="0028269A"/>
    <w:rsid w:val="00283590"/>
    <w:rsid w:val="00286973"/>
    <w:rsid w:val="00293FC2"/>
    <w:rsid w:val="00294E70"/>
    <w:rsid w:val="002A1924"/>
    <w:rsid w:val="002A7420"/>
    <w:rsid w:val="002B0F12"/>
    <w:rsid w:val="002B1308"/>
    <w:rsid w:val="002B4554"/>
    <w:rsid w:val="002C72D8"/>
    <w:rsid w:val="002D11FA"/>
    <w:rsid w:val="002D13CF"/>
    <w:rsid w:val="002D2B1D"/>
    <w:rsid w:val="002E0DDF"/>
    <w:rsid w:val="002E2906"/>
    <w:rsid w:val="002E5635"/>
    <w:rsid w:val="002E64C3"/>
    <w:rsid w:val="002E6A2C"/>
    <w:rsid w:val="002F1D8C"/>
    <w:rsid w:val="002F21DA"/>
    <w:rsid w:val="003010DD"/>
    <w:rsid w:val="00301F39"/>
    <w:rsid w:val="00305DBA"/>
    <w:rsid w:val="00312AC2"/>
    <w:rsid w:val="00317249"/>
    <w:rsid w:val="00325926"/>
    <w:rsid w:val="00327A8A"/>
    <w:rsid w:val="00330775"/>
    <w:rsid w:val="00336288"/>
    <w:rsid w:val="00336610"/>
    <w:rsid w:val="00340DE4"/>
    <w:rsid w:val="00343F73"/>
    <w:rsid w:val="00345060"/>
    <w:rsid w:val="0035323B"/>
    <w:rsid w:val="003609D2"/>
    <w:rsid w:val="00363F22"/>
    <w:rsid w:val="00375564"/>
    <w:rsid w:val="00377980"/>
    <w:rsid w:val="00383191"/>
    <w:rsid w:val="00386DED"/>
    <w:rsid w:val="003912E7"/>
    <w:rsid w:val="00393947"/>
    <w:rsid w:val="003A2275"/>
    <w:rsid w:val="003A6A4F"/>
    <w:rsid w:val="003A7088"/>
    <w:rsid w:val="003B00DF"/>
    <w:rsid w:val="003B010F"/>
    <w:rsid w:val="003B1275"/>
    <w:rsid w:val="003B1778"/>
    <w:rsid w:val="003C11CB"/>
    <w:rsid w:val="003C30E1"/>
    <w:rsid w:val="003C75F3"/>
    <w:rsid w:val="003C78A3"/>
    <w:rsid w:val="003E1867"/>
    <w:rsid w:val="003E5729"/>
    <w:rsid w:val="003F4EE0"/>
    <w:rsid w:val="00402153"/>
    <w:rsid w:val="00402FC1"/>
    <w:rsid w:val="00403130"/>
    <w:rsid w:val="00404E5F"/>
    <w:rsid w:val="0041094D"/>
    <w:rsid w:val="00417CAD"/>
    <w:rsid w:val="00425082"/>
    <w:rsid w:val="00431585"/>
    <w:rsid w:val="00431DEB"/>
    <w:rsid w:val="004362A4"/>
    <w:rsid w:val="0043675B"/>
    <w:rsid w:val="00446B29"/>
    <w:rsid w:val="00450E3C"/>
    <w:rsid w:val="00453F9A"/>
    <w:rsid w:val="00457D5D"/>
    <w:rsid w:val="004641CF"/>
    <w:rsid w:val="00466F52"/>
    <w:rsid w:val="00471E91"/>
    <w:rsid w:val="00474675"/>
    <w:rsid w:val="0047470C"/>
    <w:rsid w:val="00474D23"/>
    <w:rsid w:val="00485295"/>
    <w:rsid w:val="0049257D"/>
    <w:rsid w:val="00496011"/>
    <w:rsid w:val="004A35F9"/>
    <w:rsid w:val="004B24C1"/>
    <w:rsid w:val="004C292F"/>
    <w:rsid w:val="004C658A"/>
    <w:rsid w:val="004C7AA8"/>
    <w:rsid w:val="004D3DE1"/>
    <w:rsid w:val="004D4E18"/>
    <w:rsid w:val="004D71E7"/>
    <w:rsid w:val="005025DB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128A"/>
    <w:rsid w:val="005533D7"/>
    <w:rsid w:val="005703DE"/>
    <w:rsid w:val="0058464E"/>
    <w:rsid w:val="005901B9"/>
    <w:rsid w:val="005919D4"/>
    <w:rsid w:val="005A01CB"/>
    <w:rsid w:val="005A27C7"/>
    <w:rsid w:val="005A58FF"/>
    <w:rsid w:val="005A5EAF"/>
    <w:rsid w:val="005A64C0"/>
    <w:rsid w:val="005B3C11"/>
    <w:rsid w:val="005B68A2"/>
    <w:rsid w:val="005C1C28"/>
    <w:rsid w:val="005C5E9D"/>
    <w:rsid w:val="005C6DB5"/>
    <w:rsid w:val="005E19E7"/>
    <w:rsid w:val="005E537B"/>
    <w:rsid w:val="005F1815"/>
    <w:rsid w:val="0061299A"/>
    <w:rsid w:val="0061716C"/>
    <w:rsid w:val="00623C6C"/>
    <w:rsid w:val="006243A1"/>
    <w:rsid w:val="006272C8"/>
    <w:rsid w:val="00632E56"/>
    <w:rsid w:val="00635CBA"/>
    <w:rsid w:val="00636E62"/>
    <w:rsid w:val="0064338B"/>
    <w:rsid w:val="00646542"/>
    <w:rsid w:val="00650163"/>
    <w:rsid w:val="006504F4"/>
    <w:rsid w:val="00654BC9"/>
    <w:rsid w:val="006552FD"/>
    <w:rsid w:val="00663AF3"/>
    <w:rsid w:val="00666B6C"/>
    <w:rsid w:val="0067348E"/>
    <w:rsid w:val="00674D60"/>
    <w:rsid w:val="00682682"/>
    <w:rsid w:val="00682702"/>
    <w:rsid w:val="00692368"/>
    <w:rsid w:val="006964CC"/>
    <w:rsid w:val="006A2EBC"/>
    <w:rsid w:val="006A429F"/>
    <w:rsid w:val="006A5EA0"/>
    <w:rsid w:val="006A783B"/>
    <w:rsid w:val="006A7B33"/>
    <w:rsid w:val="006B4E13"/>
    <w:rsid w:val="006B75DD"/>
    <w:rsid w:val="006C4B5B"/>
    <w:rsid w:val="006C67E0"/>
    <w:rsid w:val="006C7ABA"/>
    <w:rsid w:val="006D0D60"/>
    <w:rsid w:val="006D1122"/>
    <w:rsid w:val="006D12FA"/>
    <w:rsid w:val="006D3C00"/>
    <w:rsid w:val="006E20C9"/>
    <w:rsid w:val="006E3675"/>
    <w:rsid w:val="006E4A7F"/>
    <w:rsid w:val="006E64AB"/>
    <w:rsid w:val="006F137A"/>
    <w:rsid w:val="006F48F6"/>
    <w:rsid w:val="00704DF6"/>
    <w:rsid w:val="0070651C"/>
    <w:rsid w:val="007132A3"/>
    <w:rsid w:val="00716421"/>
    <w:rsid w:val="00724EFB"/>
    <w:rsid w:val="00731223"/>
    <w:rsid w:val="00733872"/>
    <w:rsid w:val="007419C3"/>
    <w:rsid w:val="007467A7"/>
    <w:rsid w:val="007469DD"/>
    <w:rsid w:val="0074741B"/>
    <w:rsid w:val="0074759E"/>
    <w:rsid w:val="007478EA"/>
    <w:rsid w:val="0075415C"/>
    <w:rsid w:val="00763502"/>
    <w:rsid w:val="007651A3"/>
    <w:rsid w:val="00790E68"/>
    <w:rsid w:val="007913AB"/>
    <w:rsid w:val="007914F7"/>
    <w:rsid w:val="007A5D36"/>
    <w:rsid w:val="007B1625"/>
    <w:rsid w:val="007B706E"/>
    <w:rsid w:val="007B71EB"/>
    <w:rsid w:val="007C5A49"/>
    <w:rsid w:val="007C6205"/>
    <w:rsid w:val="007C686A"/>
    <w:rsid w:val="007C728E"/>
    <w:rsid w:val="007D2C53"/>
    <w:rsid w:val="007D3D60"/>
    <w:rsid w:val="007E1980"/>
    <w:rsid w:val="007E31DC"/>
    <w:rsid w:val="007E4B76"/>
    <w:rsid w:val="007E5EA8"/>
    <w:rsid w:val="007E5F45"/>
    <w:rsid w:val="007E6B0B"/>
    <w:rsid w:val="007F0CF1"/>
    <w:rsid w:val="007F12A5"/>
    <w:rsid w:val="007F4CF1"/>
    <w:rsid w:val="007F5B8E"/>
    <w:rsid w:val="007F758D"/>
    <w:rsid w:val="007F7D52"/>
    <w:rsid w:val="0080654C"/>
    <w:rsid w:val="008071C6"/>
    <w:rsid w:val="00817A00"/>
    <w:rsid w:val="008323E7"/>
    <w:rsid w:val="00835DB3"/>
    <w:rsid w:val="0083617B"/>
    <w:rsid w:val="008371BD"/>
    <w:rsid w:val="00843831"/>
    <w:rsid w:val="008504A8"/>
    <w:rsid w:val="0085282E"/>
    <w:rsid w:val="00871039"/>
    <w:rsid w:val="0087198C"/>
    <w:rsid w:val="00872C1F"/>
    <w:rsid w:val="00873163"/>
    <w:rsid w:val="00873B42"/>
    <w:rsid w:val="008856D8"/>
    <w:rsid w:val="00892CB0"/>
    <w:rsid w:val="00892E82"/>
    <w:rsid w:val="008C1B58"/>
    <w:rsid w:val="008C39AE"/>
    <w:rsid w:val="008C590D"/>
    <w:rsid w:val="008D0802"/>
    <w:rsid w:val="008E031B"/>
    <w:rsid w:val="008E6A93"/>
    <w:rsid w:val="008E7029"/>
    <w:rsid w:val="008E7EF6"/>
    <w:rsid w:val="008F1F98"/>
    <w:rsid w:val="008F6758"/>
    <w:rsid w:val="009040DD"/>
    <w:rsid w:val="009056FE"/>
    <w:rsid w:val="00905B47"/>
    <w:rsid w:val="00911579"/>
    <w:rsid w:val="009123BF"/>
    <w:rsid w:val="0091331C"/>
    <w:rsid w:val="009148A7"/>
    <w:rsid w:val="00925F22"/>
    <w:rsid w:val="00926F54"/>
    <w:rsid w:val="009279DE"/>
    <w:rsid w:val="00930116"/>
    <w:rsid w:val="0094212C"/>
    <w:rsid w:val="009437F0"/>
    <w:rsid w:val="00946F52"/>
    <w:rsid w:val="00954689"/>
    <w:rsid w:val="009617C9"/>
    <w:rsid w:val="00961C93"/>
    <w:rsid w:val="00965324"/>
    <w:rsid w:val="0097091E"/>
    <w:rsid w:val="00974513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C71D9"/>
    <w:rsid w:val="009D5362"/>
    <w:rsid w:val="009E0070"/>
    <w:rsid w:val="009E0C96"/>
    <w:rsid w:val="009E1415"/>
    <w:rsid w:val="009E6116"/>
    <w:rsid w:val="00A02E43"/>
    <w:rsid w:val="00A065F9"/>
    <w:rsid w:val="00A07F34"/>
    <w:rsid w:val="00A10D34"/>
    <w:rsid w:val="00A22154"/>
    <w:rsid w:val="00A236E9"/>
    <w:rsid w:val="00A25C38"/>
    <w:rsid w:val="00A33B92"/>
    <w:rsid w:val="00A36BBE"/>
    <w:rsid w:val="00A4307A"/>
    <w:rsid w:val="00A47EBB"/>
    <w:rsid w:val="00A51CDD"/>
    <w:rsid w:val="00A56753"/>
    <w:rsid w:val="00A6730D"/>
    <w:rsid w:val="00A71625"/>
    <w:rsid w:val="00A71B9B"/>
    <w:rsid w:val="00A751C7"/>
    <w:rsid w:val="00A87844"/>
    <w:rsid w:val="00AA038C"/>
    <w:rsid w:val="00AA1F37"/>
    <w:rsid w:val="00AA7A09"/>
    <w:rsid w:val="00AB3B50"/>
    <w:rsid w:val="00AC05B1"/>
    <w:rsid w:val="00AD0847"/>
    <w:rsid w:val="00AD19FF"/>
    <w:rsid w:val="00AD1E4D"/>
    <w:rsid w:val="00AD356C"/>
    <w:rsid w:val="00AD4D47"/>
    <w:rsid w:val="00AD7608"/>
    <w:rsid w:val="00AE2914"/>
    <w:rsid w:val="00AE5663"/>
    <w:rsid w:val="00AE6D15"/>
    <w:rsid w:val="00B04182"/>
    <w:rsid w:val="00B05AD9"/>
    <w:rsid w:val="00B07AE3"/>
    <w:rsid w:val="00B11430"/>
    <w:rsid w:val="00B13597"/>
    <w:rsid w:val="00B21B5D"/>
    <w:rsid w:val="00B34291"/>
    <w:rsid w:val="00B353EB"/>
    <w:rsid w:val="00B40786"/>
    <w:rsid w:val="00B439C4"/>
    <w:rsid w:val="00B44F93"/>
    <w:rsid w:val="00B4535E"/>
    <w:rsid w:val="00B5159A"/>
    <w:rsid w:val="00B52A8C"/>
    <w:rsid w:val="00B6068D"/>
    <w:rsid w:val="00B623D9"/>
    <w:rsid w:val="00B625BF"/>
    <w:rsid w:val="00B636A8"/>
    <w:rsid w:val="00B665C6"/>
    <w:rsid w:val="00B805AF"/>
    <w:rsid w:val="00B869EC"/>
    <w:rsid w:val="00B9397A"/>
    <w:rsid w:val="00B9633D"/>
    <w:rsid w:val="00BA2EBE"/>
    <w:rsid w:val="00BA35A2"/>
    <w:rsid w:val="00BB0F28"/>
    <w:rsid w:val="00BB458A"/>
    <w:rsid w:val="00BB5604"/>
    <w:rsid w:val="00BD00D3"/>
    <w:rsid w:val="00BD1659"/>
    <w:rsid w:val="00BD3AA9"/>
    <w:rsid w:val="00BD4A18"/>
    <w:rsid w:val="00BD6DB2"/>
    <w:rsid w:val="00BD7C16"/>
    <w:rsid w:val="00BE11CF"/>
    <w:rsid w:val="00BE21AB"/>
    <w:rsid w:val="00BE55CB"/>
    <w:rsid w:val="00BE7DE7"/>
    <w:rsid w:val="00BF617A"/>
    <w:rsid w:val="00BF6E08"/>
    <w:rsid w:val="00C0379D"/>
    <w:rsid w:val="00C03931"/>
    <w:rsid w:val="00C05FE3"/>
    <w:rsid w:val="00C1091E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4DCF"/>
    <w:rsid w:val="00C4095D"/>
    <w:rsid w:val="00C601D2"/>
    <w:rsid w:val="00C623F3"/>
    <w:rsid w:val="00C65BCC"/>
    <w:rsid w:val="00C66970"/>
    <w:rsid w:val="00C81B4C"/>
    <w:rsid w:val="00C8691C"/>
    <w:rsid w:val="00C96FA5"/>
    <w:rsid w:val="00CA168A"/>
    <w:rsid w:val="00CA357E"/>
    <w:rsid w:val="00CA44F9"/>
    <w:rsid w:val="00CA4A69"/>
    <w:rsid w:val="00CB10B3"/>
    <w:rsid w:val="00CC3E0C"/>
    <w:rsid w:val="00CC58D3"/>
    <w:rsid w:val="00CC784D"/>
    <w:rsid w:val="00CD4B67"/>
    <w:rsid w:val="00CE56FF"/>
    <w:rsid w:val="00D0337B"/>
    <w:rsid w:val="00D04A09"/>
    <w:rsid w:val="00D079B2"/>
    <w:rsid w:val="00D114E9"/>
    <w:rsid w:val="00D22DBC"/>
    <w:rsid w:val="00D4138D"/>
    <w:rsid w:val="00D429C6"/>
    <w:rsid w:val="00D47748"/>
    <w:rsid w:val="00D54CC3"/>
    <w:rsid w:val="00D551A6"/>
    <w:rsid w:val="00D6041A"/>
    <w:rsid w:val="00D633EB"/>
    <w:rsid w:val="00D77427"/>
    <w:rsid w:val="00D806A6"/>
    <w:rsid w:val="00D82FF7"/>
    <w:rsid w:val="00D83451"/>
    <w:rsid w:val="00D847FE"/>
    <w:rsid w:val="00D964EA"/>
    <w:rsid w:val="00D966D0"/>
    <w:rsid w:val="00DA0C59"/>
    <w:rsid w:val="00DA3991"/>
    <w:rsid w:val="00DB0476"/>
    <w:rsid w:val="00DB7E6C"/>
    <w:rsid w:val="00DC0C8F"/>
    <w:rsid w:val="00DC22A2"/>
    <w:rsid w:val="00DC2F72"/>
    <w:rsid w:val="00DD2488"/>
    <w:rsid w:val="00DD5A29"/>
    <w:rsid w:val="00DD5D9D"/>
    <w:rsid w:val="00DE35CB"/>
    <w:rsid w:val="00DE62FC"/>
    <w:rsid w:val="00DF21E9"/>
    <w:rsid w:val="00E00F14"/>
    <w:rsid w:val="00E06386"/>
    <w:rsid w:val="00E24EB4"/>
    <w:rsid w:val="00E256C0"/>
    <w:rsid w:val="00E31883"/>
    <w:rsid w:val="00E320ED"/>
    <w:rsid w:val="00E33AFB"/>
    <w:rsid w:val="00E34218"/>
    <w:rsid w:val="00E4001B"/>
    <w:rsid w:val="00E46282"/>
    <w:rsid w:val="00E5216E"/>
    <w:rsid w:val="00E70AA3"/>
    <w:rsid w:val="00E75D30"/>
    <w:rsid w:val="00E82344"/>
    <w:rsid w:val="00E84C82"/>
    <w:rsid w:val="00E84D64"/>
    <w:rsid w:val="00E87408"/>
    <w:rsid w:val="00E914C4"/>
    <w:rsid w:val="00E934F5"/>
    <w:rsid w:val="00E96961"/>
    <w:rsid w:val="00EA66FE"/>
    <w:rsid w:val="00EA72EC"/>
    <w:rsid w:val="00EA79B8"/>
    <w:rsid w:val="00EB11CB"/>
    <w:rsid w:val="00EB275A"/>
    <w:rsid w:val="00EB786A"/>
    <w:rsid w:val="00EC1578"/>
    <w:rsid w:val="00EC1A95"/>
    <w:rsid w:val="00EC1C72"/>
    <w:rsid w:val="00EC3669"/>
    <w:rsid w:val="00EC3CC9"/>
    <w:rsid w:val="00EC680A"/>
    <w:rsid w:val="00EE2BED"/>
    <w:rsid w:val="00EE374B"/>
    <w:rsid w:val="00EF5134"/>
    <w:rsid w:val="00EF7970"/>
    <w:rsid w:val="00EF7F14"/>
    <w:rsid w:val="00F07C80"/>
    <w:rsid w:val="00F11BB5"/>
    <w:rsid w:val="00F1417B"/>
    <w:rsid w:val="00F34B99"/>
    <w:rsid w:val="00F438F8"/>
    <w:rsid w:val="00F5194A"/>
    <w:rsid w:val="00F52DAB"/>
    <w:rsid w:val="00F543F0"/>
    <w:rsid w:val="00F552B1"/>
    <w:rsid w:val="00F569D8"/>
    <w:rsid w:val="00F66ED7"/>
    <w:rsid w:val="00F81D29"/>
    <w:rsid w:val="00F91C4D"/>
    <w:rsid w:val="00F92FD9"/>
    <w:rsid w:val="00FA6684"/>
    <w:rsid w:val="00FA731E"/>
    <w:rsid w:val="00FB279A"/>
    <w:rsid w:val="00FB2B38"/>
    <w:rsid w:val="00FB6682"/>
    <w:rsid w:val="00FC6358"/>
    <w:rsid w:val="00FD320D"/>
    <w:rsid w:val="00FE23DE"/>
    <w:rsid w:val="00FF240B"/>
    <w:rsid w:val="00FF250D"/>
    <w:rsid w:val="00FF719C"/>
    <w:rsid w:val="049D6FF2"/>
    <w:rsid w:val="06303F26"/>
    <w:rsid w:val="07A863CA"/>
    <w:rsid w:val="0B1720DB"/>
    <w:rsid w:val="0CCD7ECB"/>
    <w:rsid w:val="0DEA36C9"/>
    <w:rsid w:val="0EB60630"/>
    <w:rsid w:val="10B266D1"/>
    <w:rsid w:val="124C444B"/>
    <w:rsid w:val="13CD134D"/>
    <w:rsid w:val="15A92D0C"/>
    <w:rsid w:val="1620154D"/>
    <w:rsid w:val="162D408B"/>
    <w:rsid w:val="18844E91"/>
    <w:rsid w:val="199314A1"/>
    <w:rsid w:val="19D64672"/>
    <w:rsid w:val="20231B5C"/>
    <w:rsid w:val="251B1897"/>
    <w:rsid w:val="29EA3C03"/>
    <w:rsid w:val="2A015058"/>
    <w:rsid w:val="2AD22157"/>
    <w:rsid w:val="2BD359A8"/>
    <w:rsid w:val="2D592DFF"/>
    <w:rsid w:val="2E285BEF"/>
    <w:rsid w:val="2E646803"/>
    <w:rsid w:val="32B63FAF"/>
    <w:rsid w:val="33AC4DB7"/>
    <w:rsid w:val="35A30418"/>
    <w:rsid w:val="35CF42D6"/>
    <w:rsid w:val="3C1216AB"/>
    <w:rsid w:val="3C7E0B45"/>
    <w:rsid w:val="3CDB52F6"/>
    <w:rsid w:val="3D0A69D8"/>
    <w:rsid w:val="3DDE20C6"/>
    <w:rsid w:val="3DE1101F"/>
    <w:rsid w:val="3E192F00"/>
    <w:rsid w:val="3F3B05EA"/>
    <w:rsid w:val="3F4812FF"/>
    <w:rsid w:val="409668FA"/>
    <w:rsid w:val="420E2C07"/>
    <w:rsid w:val="42807514"/>
    <w:rsid w:val="42DF78C4"/>
    <w:rsid w:val="43DE0F98"/>
    <w:rsid w:val="45114B07"/>
    <w:rsid w:val="457D0248"/>
    <w:rsid w:val="45C55EBD"/>
    <w:rsid w:val="46347327"/>
    <w:rsid w:val="46FB59EF"/>
    <w:rsid w:val="477E57DF"/>
    <w:rsid w:val="487B46AB"/>
    <w:rsid w:val="4A52472D"/>
    <w:rsid w:val="4E31795B"/>
    <w:rsid w:val="50FF50E9"/>
    <w:rsid w:val="51ED3B96"/>
    <w:rsid w:val="532C596F"/>
    <w:rsid w:val="536E67C2"/>
    <w:rsid w:val="56C8095E"/>
    <w:rsid w:val="5B2066CC"/>
    <w:rsid w:val="5D0C23E9"/>
    <w:rsid w:val="5D187EE1"/>
    <w:rsid w:val="5DE913F3"/>
    <w:rsid w:val="5E1E7C23"/>
    <w:rsid w:val="5E543A6E"/>
    <w:rsid w:val="60374C56"/>
    <w:rsid w:val="60CC68FE"/>
    <w:rsid w:val="615D79B2"/>
    <w:rsid w:val="633F207A"/>
    <w:rsid w:val="6449757E"/>
    <w:rsid w:val="66844DD4"/>
    <w:rsid w:val="679B4C2C"/>
    <w:rsid w:val="685D44D7"/>
    <w:rsid w:val="6E2601A4"/>
    <w:rsid w:val="6FC75D8F"/>
    <w:rsid w:val="71682E64"/>
    <w:rsid w:val="73015EB4"/>
    <w:rsid w:val="7643771E"/>
    <w:rsid w:val="787F13A4"/>
    <w:rsid w:val="7BEA172F"/>
    <w:rsid w:val="7C80030E"/>
    <w:rsid w:val="7D40201D"/>
    <w:rsid w:val="7F8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99" w:name="index 1"/>
    <w:lsdException w:unhideWhenUsed="0" w:uiPriority="99" w:name="index 2"/>
    <w:lsdException w:qFormat="1" w:unhideWhenUsed="0" w:uiPriority="99" w:name="index 3"/>
    <w:lsdException w:qFormat="1"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qFormat="1" w:unhideWhenUsed="0" w:uiPriority="99" w:name="index 8"/>
    <w:lsdException w:unhideWhenUsed="0" w:uiPriority="99" w:name="index 9"/>
    <w:lsdException w:unhideWhenUsed="0" w:uiPriority="99" w:name="toc 1"/>
    <w:lsdException w:unhideWhenUsed="0" w:uiPriority="99" w:name="toc 2"/>
    <w:lsdException w:unhideWhenUsed="0" w:uiPriority="99" w:name="toc 3"/>
    <w:lsdException w:unhideWhenUsed="0" w:uiPriority="99" w:name="toc 4"/>
    <w:lsdException w:unhideWhenUsed="0" w:uiPriority="99" w:name="toc 5"/>
    <w:lsdException w:unhideWhenUsed="0" w:uiPriority="99" w:name="toc 6"/>
    <w:lsdException w:unhideWhenUsed="0" w:uiPriority="99" w:name="toc 7"/>
    <w:lsdException w:qFormat="1" w:unhideWhenUsed="0" w:uiPriority="99" w:name="toc 8"/>
    <w:lsdException w:unhideWhenUsed="0" w:uiPriority="99" w:name="toc 9"/>
    <w:lsdException w:unhideWhenUsed="0" w:uiPriority="0" w:semiHidden="0" w:name="Normal Indent"/>
    <w:lsdException w:qFormat="1" w:unhideWhenUsed="0"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45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36">
    <w:name w:val="Default Paragraph Font"/>
    <w:semiHidden/>
    <w:uiPriority w:val="99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uiPriority w:val="99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semiHidden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semiHidden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link w:val="46"/>
    <w:semiHidden/>
    <w:qFormat/>
    <w:uiPriority w:val="99"/>
    <w:pPr>
      <w:shd w:val="clear" w:color="auto" w:fill="000080"/>
    </w:pPr>
  </w:style>
  <w:style w:type="paragraph" w:styleId="9">
    <w:name w:val="annotation text"/>
    <w:basedOn w:val="1"/>
    <w:link w:val="47"/>
    <w:semiHidden/>
    <w:uiPriority w:val="99"/>
    <w:pPr>
      <w:jc w:val="left"/>
    </w:pPr>
  </w:style>
  <w:style w:type="paragraph" w:styleId="10">
    <w:name w:val="index 6"/>
    <w:basedOn w:val="1"/>
    <w:next w:val="1"/>
    <w:semiHidden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index 4"/>
    <w:basedOn w:val="1"/>
    <w:next w:val="1"/>
    <w:semiHidden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2">
    <w:name w:val="toc 5"/>
    <w:basedOn w:val="1"/>
    <w:next w:val="1"/>
    <w:semiHidden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3">
    <w:name w:val="toc 3"/>
    <w:basedOn w:val="1"/>
    <w:next w:val="1"/>
    <w:semiHidden/>
    <w:uiPriority w:val="9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4">
    <w:name w:val="Plain Text"/>
    <w:basedOn w:val="1"/>
    <w:link w:val="48"/>
    <w:qFormat/>
    <w:uiPriority w:val="99"/>
    <w:rPr>
      <w:rFonts w:ascii="宋体" w:hAnsi="Courier New"/>
      <w:szCs w:val="21"/>
    </w:rPr>
  </w:style>
  <w:style w:type="paragraph" w:styleId="15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semiHidden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link w:val="49"/>
    <w:semiHidden/>
    <w:qFormat/>
    <w:uiPriority w:val="99"/>
    <w:pPr>
      <w:snapToGrid w:val="0"/>
      <w:jc w:val="left"/>
    </w:pPr>
  </w:style>
  <w:style w:type="paragraph" w:styleId="18">
    <w:name w:val="Balloon Text"/>
    <w:basedOn w:val="1"/>
    <w:link w:val="50"/>
    <w:semiHidden/>
    <w:qFormat/>
    <w:uiPriority w:val="99"/>
    <w:rPr>
      <w:sz w:val="18"/>
      <w:szCs w:val="18"/>
    </w:rPr>
  </w:style>
  <w:style w:type="paragraph" w:styleId="19">
    <w:name w:val="footer"/>
    <w:basedOn w:val="1"/>
    <w:link w:val="5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link w:val="52"/>
    <w:uiPriority w:val="99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semiHidden/>
    <w:uiPriority w:val="9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uiPriority w:val="9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semiHidden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semiHidden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55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6">
    <w:name w:val="footnote text"/>
    <w:basedOn w:val="1"/>
    <w:link w:val="53"/>
    <w:semiHidden/>
    <w:qFormat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uiPriority w:val="99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semiHidden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semiHidden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semiHidden/>
    <w:uiPriority w:val="99"/>
    <w:pPr>
      <w:tabs>
        <w:tab w:val="right" w:leader="dot" w:pos="9241"/>
      </w:tabs>
    </w:pPr>
    <w:rPr>
      <w:rFonts w:ascii="宋体"/>
      <w:szCs w:val="21"/>
    </w:rPr>
  </w:style>
  <w:style w:type="paragraph" w:styleId="31">
    <w:name w:val="toc 9"/>
    <w:basedOn w:val="1"/>
    <w:next w:val="1"/>
    <w:semiHidden/>
    <w:uiPriority w:val="99"/>
    <w:pPr>
      <w:ind w:left="1470"/>
      <w:jc w:val="left"/>
    </w:pPr>
    <w:rPr>
      <w:sz w:val="20"/>
      <w:szCs w:val="20"/>
    </w:rPr>
  </w:style>
  <w:style w:type="paragraph" w:styleId="32">
    <w:name w:val="index 2"/>
    <w:basedOn w:val="1"/>
    <w:next w:val="1"/>
    <w:semiHidden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3">
    <w:name w:val="annotation subject"/>
    <w:basedOn w:val="9"/>
    <w:next w:val="9"/>
    <w:link w:val="54"/>
    <w:semiHidden/>
    <w:uiPriority w:val="99"/>
    <w:rPr>
      <w:b/>
      <w:bCs/>
    </w:rPr>
  </w:style>
  <w:style w:type="table" w:styleId="35">
    <w:name w:val="Table Grid"/>
    <w:basedOn w:val="34"/>
    <w:uiPriority w:val="99"/>
    <w:rPr>
      <w:rFonts w:ascii="宋体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endnote reference"/>
    <w:basedOn w:val="36"/>
    <w:semiHidden/>
    <w:qFormat/>
    <w:uiPriority w:val="99"/>
    <w:rPr>
      <w:rFonts w:cs="Times New Roman"/>
      <w:vertAlign w:val="superscript"/>
    </w:rPr>
  </w:style>
  <w:style w:type="character" w:styleId="38">
    <w:name w:val="page number"/>
    <w:basedOn w:val="36"/>
    <w:uiPriority w:val="99"/>
    <w:rPr>
      <w:rFonts w:ascii="Times New Roman" w:hAnsi="Times New Roman" w:eastAsia="宋体" w:cs="Times New Roman"/>
      <w:sz w:val="18"/>
    </w:rPr>
  </w:style>
  <w:style w:type="character" w:styleId="39">
    <w:name w:val="FollowedHyperlink"/>
    <w:basedOn w:val="36"/>
    <w:uiPriority w:val="99"/>
    <w:rPr>
      <w:rFonts w:cs="Times New Roman"/>
      <w:color w:val="800080"/>
      <w:u w:val="single"/>
    </w:rPr>
  </w:style>
  <w:style w:type="character" w:styleId="40">
    <w:name w:val="Emphasis"/>
    <w:basedOn w:val="36"/>
    <w:qFormat/>
    <w:uiPriority w:val="99"/>
    <w:rPr>
      <w:rFonts w:cs="Times New Roman"/>
      <w:i/>
      <w:iCs/>
    </w:rPr>
  </w:style>
  <w:style w:type="character" w:styleId="41">
    <w:name w:val="Hyperlink"/>
    <w:basedOn w:val="36"/>
    <w:uiPriority w:val="99"/>
    <w:rPr>
      <w:rFonts w:cs="Times New Roman"/>
      <w:color w:val="0000FF"/>
      <w:spacing w:val="0"/>
      <w:w w:val="100"/>
      <w:sz w:val="21"/>
      <w:u w:val="single"/>
      <w:lang w:val="en-US" w:eastAsia="zh-CN"/>
    </w:rPr>
  </w:style>
  <w:style w:type="character" w:styleId="42">
    <w:name w:val="annotation reference"/>
    <w:basedOn w:val="36"/>
    <w:semiHidden/>
    <w:qFormat/>
    <w:uiPriority w:val="99"/>
    <w:rPr>
      <w:rFonts w:cs="Times New Roman"/>
      <w:sz w:val="21"/>
    </w:rPr>
  </w:style>
  <w:style w:type="character" w:styleId="43">
    <w:name w:val="footnote reference"/>
    <w:basedOn w:val="36"/>
    <w:semiHidden/>
    <w:uiPriority w:val="99"/>
    <w:rPr>
      <w:rFonts w:cs="Times New Roman"/>
      <w:vertAlign w:val="superscript"/>
    </w:rPr>
  </w:style>
  <w:style w:type="character" w:customStyle="1" w:styleId="44">
    <w:name w:val="Heading 1 Char"/>
    <w:basedOn w:val="36"/>
    <w:link w:val="2"/>
    <w:locked/>
    <w:uiPriority w:val="99"/>
    <w:rPr>
      <w:b/>
      <w:kern w:val="44"/>
      <w:sz w:val="44"/>
    </w:rPr>
  </w:style>
  <w:style w:type="character" w:customStyle="1" w:styleId="45">
    <w:name w:val="Heading 3 Char"/>
    <w:basedOn w:val="36"/>
    <w:link w:val="3"/>
    <w:semiHidden/>
    <w:qFormat/>
    <w:uiPriority w:val="9"/>
    <w:rPr>
      <w:b/>
      <w:bCs/>
      <w:sz w:val="32"/>
      <w:szCs w:val="32"/>
    </w:rPr>
  </w:style>
  <w:style w:type="character" w:customStyle="1" w:styleId="46">
    <w:name w:val="Document Map Char"/>
    <w:basedOn w:val="36"/>
    <w:link w:val="8"/>
    <w:semiHidden/>
    <w:qFormat/>
    <w:uiPriority w:val="99"/>
    <w:rPr>
      <w:sz w:val="0"/>
      <w:szCs w:val="0"/>
    </w:rPr>
  </w:style>
  <w:style w:type="character" w:customStyle="1" w:styleId="47">
    <w:name w:val="Comment Text Char"/>
    <w:basedOn w:val="36"/>
    <w:link w:val="9"/>
    <w:qFormat/>
    <w:locked/>
    <w:uiPriority w:val="99"/>
    <w:rPr>
      <w:kern w:val="2"/>
      <w:sz w:val="24"/>
    </w:rPr>
  </w:style>
  <w:style w:type="character" w:customStyle="1" w:styleId="48">
    <w:name w:val="Plain Text Char"/>
    <w:basedOn w:val="36"/>
    <w:link w:val="14"/>
    <w:locked/>
    <w:uiPriority w:val="99"/>
    <w:rPr>
      <w:rFonts w:ascii="宋体" w:hAnsi="Courier New" w:eastAsia="宋体"/>
      <w:kern w:val="2"/>
      <w:sz w:val="21"/>
    </w:rPr>
  </w:style>
  <w:style w:type="character" w:customStyle="1" w:styleId="49">
    <w:name w:val="Endnote Text Char"/>
    <w:basedOn w:val="36"/>
    <w:link w:val="17"/>
    <w:semiHidden/>
    <w:uiPriority w:val="99"/>
    <w:rPr>
      <w:szCs w:val="24"/>
    </w:rPr>
  </w:style>
  <w:style w:type="character" w:customStyle="1" w:styleId="50">
    <w:name w:val="Balloon Text Char"/>
    <w:basedOn w:val="36"/>
    <w:link w:val="18"/>
    <w:locked/>
    <w:uiPriority w:val="99"/>
    <w:rPr>
      <w:kern w:val="2"/>
      <w:sz w:val="18"/>
    </w:rPr>
  </w:style>
  <w:style w:type="character" w:customStyle="1" w:styleId="51">
    <w:name w:val="Footer Char"/>
    <w:basedOn w:val="36"/>
    <w:link w:val="19"/>
    <w:semiHidden/>
    <w:uiPriority w:val="99"/>
    <w:rPr>
      <w:sz w:val="18"/>
      <w:szCs w:val="18"/>
    </w:rPr>
  </w:style>
  <w:style w:type="character" w:customStyle="1" w:styleId="52">
    <w:name w:val="Header Char"/>
    <w:basedOn w:val="36"/>
    <w:link w:val="20"/>
    <w:semiHidden/>
    <w:qFormat/>
    <w:uiPriority w:val="99"/>
    <w:rPr>
      <w:sz w:val="18"/>
      <w:szCs w:val="18"/>
    </w:rPr>
  </w:style>
  <w:style w:type="character" w:customStyle="1" w:styleId="53">
    <w:name w:val="Footnote Text Char"/>
    <w:basedOn w:val="36"/>
    <w:link w:val="26"/>
    <w:semiHidden/>
    <w:qFormat/>
    <w:uiPriority w:val="99"/>
    <w:rPr>
      <w:sz w:val="18"/>
      <w:szCs w:val="18"/>
    </w:rPr>
  </w:style>
  <w:style w:type="character" w:customStyle="1" w:styleId="54">
    <w:name w:val="Comment Subject Char"/>
    <w:basedOn w:val="47"/>
    <w:link w:val="33"/>
    <w:locked/>
    <w:uiPriority w:val="99"/>
    <w:rPr>
      <w:b/>
    </w:rPr>
  </w:style>
  <w:style w:type="character" w:customStyle="1" w:styleId="55">
    <w:name w:val="段 Char"/>
    <w:link w:val="25"/>
    <w:locked/>
    <w:uiPriority w:val="99"/>
    <w:rPr>
      <w:rFonts w:ascii="宋体"/>
      <w:sz w:val="21"/>
      <w:lang w:val="en-US" w:eastAsia="zh-CN"/>
    </w:rPr>
  </w:style>
  <w:style w:type="character" w:customStyle="1" w:styleId="56">
    <w:name w:val="纯文本 Char1"/>
    <w:uiPriority w:val="99"/>
    <w:rPr>
      <w:rFonts w:ascii="宋体" w:hAnsi="Courier New" w:eastAsia="宋体"/>
      <w:kern w:val="2"/>
      <w:sz w:val="21"/>
    </w:rPr>
  </w:style>
  <w:style w:type="character" w:customStyle="1" w:styleId="57">
    <w:name w:val="首示例 Char"/>
    <w:link w:val="58"/>
    <w:locked/>
    <w:uiPriority w:val="99"/>
    <w:rPr>
      <w:rFonts w:ascii="宋体" w:eastAsia="宋体"/>
      <w:kern w:val="2"/>
      <w:sz w:val="18"/>
      <w:lang w:val="en-US" w:eastAsia="zh-CN"/>
    </w:rPr>
  </w:style>
  <w:style w:type="paragraph" w:customStyle="1" w:styleId="58">
    <w:name w:val="首示例"/>
    <w:next w:val="25"/>
    <w:link w:val="57"/>
    <w:uiPriority w:val="99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59">
    <w:name w:val="附录公式 Char"/>
    <w:basedOn w:val="55"/>
    <w:link w:val="60"/>
    <w:qFormat/>
    <w:locked/>
    <w:uiPriority w:val="99"/>
    <w:rPr>
      <w:rFonts w:cs="Times New Roman"/>
      <w:lang w:bidi="ar-SA"/>
    </w:rPr>
  </w:style>
  <w:style w:type="paragraph" w:customStyle="1" w:styleId="60">
    <w:name w:val="附录公式"/>
    <w:basedOn w:val="25"/>
    <w:next w:val="25"/>
    <w:link w:val="59"/>
    <w:qFormat/>
    <w:uiPriority w:val="99"/>
  </w:style>
  <w:style w:type="character" w:customStyle="1" w:styleId="61">
    <w:name w:val="发布"/>
    <w:qFormat/>
    <w:uiPriority w:val="99"/>
    <w:rPr>
      <w:rFonts w:ascii="黑体" w:eastAsia="黑体"/>
      <w:spacing w:val="85"/>
      <w:w w:val="100"/>
      <w:position w:val="3"/>
      <w:sz w:val="28"/>
    </w:rPr>
  </w:style>
  <w:style w:type="paragraph" w:customStyle="1" w:styleId="62">
    <w:name w:val="前言、引言标题"/>
    <w:next w:val="25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63">
    <w:name w:val="标准称谓"/>
    <w:next w:val="1"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64">
    <w:name w:val="附录表标号"/>
    <w:basedOn w:val="1"/>
    <w:next w:val="25"/>
    <w:qFormat/>
    <w:uiPriority w:val="99"/>
    <w:pPr>
      <w:numPr>
        <w:ilvl w:val="0"/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65">
    <w:name w:val="一级条标题"/>
    <w:next w:val="25"/>
    <w:qFormat/>
    <w:uiPriority w:val="99"/>
    <w:pPr>
      <w:numPr>
        <w:ilvl w:val="1"/>
        <w:numId w:val="4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66">
    <w:name w:val="其他实施日期"/>
    <w:basedOn w:val="67"/>
    <w:qFormat/>
    <w:uiPriority w:val="99"/>
  </w:style>
  <w:style w:type="paragraph" w:customStyle="1" w:styleId="67">
    <w:name w:val="实施日期"/>
    <w:basedOn w:val="68"/>
    <w:uiPriority w:val="99"/>
    <w:pPr>
      <w:framePr w:vAnchor="page" w:hAnchor="text"/>
      <w:jc w:val="right"/>
    </w:pPr>
  </w:style>
  <w:style w:type="paragraph" w:customStyle="1" w:styleId="68">
    <w:name w:val="发布日期"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69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70">
    <w:name w:val="附录标题"/>
    <w:basedOn w:val="25"/>
    <w:next w:val="25"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71">
    <w:name w:val="附录章标题"/>
    <w:next w:val="25"/>
    <w:uiPriority w:val="99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72">
    <w:name w:val="封面一致性程度标识"/>
    <w:basedOn w:val="73"/>
    <w:qFormat/>
    <w:uiPriority w:val="99"/>
    <w:pPr>
      <w:spacing w:before="440"/>
    </w:pPr>
    <w:rPr>
      <w:rFonts w:ascii="宋体" w:eastAsia="宋体"/>
    </w:rPr>
  </w:style>
  <w:style w:type="paragraph" w:customStyle="1" w:styleId="73">
    <w:name w:val="封面标准英文名称"/>
    <w:basedOn w:val="74"/>
    <w:uiPriority w:val="99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4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75">
    <w:name w:val="其他发布日期"/>
    <w:basedOn w:val="68"/>
    <w:uiPriority w:val="99"/>
    <w:pPr>
      <w:framePr w:vAnchor="page" w:hAnchor="text" w:x="1419"/>
    </w:pPr>
  </w:style>
  <w:style w:type="paragraph" w:customStyle="1" w:styleId="76">
    <w:name w:val="注："/>
    <w:next w:val="25"/>
    <w:qFormat/>
    <w:uiPriority w:val="99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77">
    <w:name w:val="附录三级条标题"/>
    <w:basedOn w:val="78"/>
    <w:next w:val="25"/>
    <w:uiPriority w:val="99"/>
    <w:pPr>
      <w:tabs>
        <w:tab w:val="left" w:pos="360"/>
      </w:tabs>
      <w:outlineLvl w:val="4"/>
    </w:pPr>
  </w:style>
  <w:style w:type="paragraph" w:customStyle="1" w:styleId="78">
    <w:name w:val="附录二级条标题"/>
    <w:basedOn w:val="1"/>
    <w:next w:val="25"/>
    <w:qFormat/>
    <w:uiPriority w:val="99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79">
    <w:name w:val="注×：（正文）"/>
    <w:qFormat/>
    <w:uiPriority w:val="99"/>
    <w:pPr>
      <w:numPr>
        <w:ilvl w:val="0"/>
        <w:numId w:val="7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80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81">
    <w:name w:val="二级条标题"/>
    <w:basedOn w:val="65"/>
    <w:next w:val="25"/>
    <w:uiPriority w:val="99"/>
    <w:pPr>
      <w:numPr>
        <w:ilvl w:val="2"/>
      </w:numPr>
      <w:spacing w:before="50" w:after="50"/>
      <w:outlineLvl w:val="3"/>
    </w:pPr>
  </w:style>
  <w:style w:type="paragraph" w:customStyle="1" w:styleId="82">
    <w:name w:val="附录字母编号列项（一级）"/>
    <w:uiPriority w:val="99"/>
    <w:pPr>
      <w:numPr>
        <w:ilvl w:val="0"/>
        <w:numId w:val="8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83">
    <w:name w:val="其他标准标志"/>
    <w:basedOn w:val="80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84">
    <w:name w:val="注：（正文）"/>
    <w:basedOn w:val="76"/>
    <w:next w:val="25"/>
    <w:uiPriority w:val="99"/>
  </w:style>
  <w:style w:type="paragraph" w:customStyle="1" w:styleId="85">
    <w:name w:val="附录二级无"/>
    <w:basedOn w:val="78"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封面标准英文名称2"/>
    <w:basedOn w:val="73"/>
    <w:uiPriority w:val="99"/>
    <w:pPr>
      <w:framePr w:y="4469"/>
    </w:pPr>
  </w:style>
  <w:style w:type="paragraph" w:customStyle="1" w:styleId="87">
    <w:name w:val="三级条标题"/>
    <w:basedOn w:val="81"/>
    <w:next w:val="25"/>
    <w:qFormat/>
    <w:uiPriority w:val="99"/>
    <w:pPr>
      <w:numPr>
        <w:ilvl w:val="3"/>
      </w:numPr>
      <w:ind w:left="0"/>
      <w:outlineLvl w:val="4"/>
    </w:pPr>
  </w:style>
  <w:style w:type="paragraph" w:customStyle="1" w:styleId="88">
    <w:name w:val="五级无"/>
    <w:basedOn w:val="89"/>
    <w:uiPriority w:val="99"/>
    <w:pPr>
      <w:spacing w:beforeLines="0" w:afterLines="0"/>
    </w:pPr>
    <w:rPr>
      <w:rFonts w:ascii="宋体" w:eastAsia="宋体"/>
    </w:rPr>
  </w:style>
  <w:style w:type="paragraph" w:customStyle="1" w:styleId="89">
    <w:name w:val="五级条标题"/>
    <w:basedOn w:val="90"/>
    <w:next w:val="25"/>
    <w:uiPriority w:val="99"/>
    <w:pPr>
      <w:numPr>
        <w:ilvl w:val="0"/>
        <w:numId w:val="0"/>
      </w:numPr>
      <w:outlineLvl w:val="6"/>
    </w:pPr>
  </w:style>
  <w:style w:type="paragraph" w:customStyle="1" w:styleId="90">
    <w:name w:val="四级条标题"/>
    <w:basedOn w:val="87"/>
    <w:next w:val="25"/>
    <w:qFormat/>
    <w:uiPriority w:val="99"/>
    <w:pPr>
      <w:numPr>
        <w:ilvl w:val="4"/>
      </w:numPr>
      <w:outlineLvl w:val="5"/>
    </w:pPr>
  </w:style>
  <w:style w:type="paragraph" w:customStyle="1" w:styleId="91">
    <w:name w:val="附录图标号"/>
    <w:basedOn w:val="1"/>
    <w:qFormat/>
    <w:uiPriority w:val="99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2">
    <w:name w:val="参考文献、索引标题"/>
    <w:basedOn w:val="1"/>
    <w:next w:val="25"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3">
    <w:name w:val="字母编号列项（一级）"/>
    <w:uiPriority w:val="99"/>
    <w:pPr>
      <w:numPr>
        <w:ilvl w:val="0"/>
        <w:numId w:val="10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4">
    <w:name w:val="其他发布部门"/>
    <w:basedOn w:val="95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95">
    <w:name w:val="发布部门"/>
    <w:next w:val="25"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96">
    <w:name w:val="附录表标题"/>
    <w:basedOn w:val="1"/>
    <w:next w:val="25"/>
    <w:qFormat/>
    <w:uiPriority w:val="99"/>
    <w:pPr>
      <w:numPr>
        <w:ilvl w:val="1"/>
        <w:numId w:val="3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98">
    <w:name w:val="标准书眉一"/>
    <w:qFormat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99">
    <w:name w:val="文献分类号"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00">
    <w:name w:val="编号列项（三级）"/>
    <w:uiPriority w:val="99"/>
    <w:pPr>
      <w:numPr>
        <w:ilvl w:val="2"/>
        <w:numId w:val="10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1">
    <w:name w:val="示例×："/>
    <w:basedOn w:val="102"/>
    <w:qFormat/>
    <w:uiPriority w:val="99"/>
    <w:pPr>
      <w:numPr>
        <w:numId w:val="11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02">
    <w:name w:val="章标题"/>
    <w:next w:val="25"/>
    <w:uiPriority w:val="99"/>
    <w:pPr>
      <w:numPr>
        <w:ilvl w:val="0"/>
        <w:numId w:val="4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03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04">
    <w:name w:val="图表脚注说明"/>
    <w:basedOn w:val="1"/>
    <w:qFormat/>
    <w:uiPriority w:val="99"/>
    <w:pPr>
      <w:numPr>
        <w:ilvl w:val="0"/>
        <w:numId w:val="12"/>
      </w:numPr>
    </w:pPr>
    <w:rPr>
      <w:rFonts w:ascii="宋体"/>
      <w:sz w:val="18"/>
      <w:szCs w:val="18"/>
    </w:rPr>
  </w:style>
  <w:style w:type="paragraph" w:customStyle="1" w:styleId="105">
    <w:name w:val="附录图标题"/>
    <w:basedOn w:val="1"/>
    <w:next w:val="25"/>
    <w:uiPriority w:val="99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6">
    <w:name w:val="条文脚注"/>
    <w:basedOn w:val="26"/>
    <w:uiPriority w:val="99"/>
    <w:pPr>
      <w:numPr>
        <w:numId w:val="0"/>
      </w:numPr>
      <w:jc w:val="both"/>
    </w:pPr>
  </w:style>
  <w:style w:type="paragraph" w:customStyle="1" w:styleId="107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附录三级无"/>
    <w:basedOn w:val="77"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9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10">
    <w:name w:val="附录标识"/>
    <w:basedOn w:val="1"/>
    <w:next w:val="25"/>
    <w:uiPriority w:val="99"/>
    <w:pPr>
      <w:keepNext/>
      <w:widowControl/>
      <w:numPr>
        <w:ilvl w:val="0"/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1">
    <w:name w:val="注×："/>
    <w:qFormat/>
    <w:uiPriority w:val="99"/>
    <w:pPr>
      <w:widowControl w:val="0"/>
      <w:numPr>
        <w:ilvl w:val="0"/>
        <w:numId w:val="13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2">
    <w:name w:val="二级无"/>
    <w:basedOn w:val="81"/>
    <w:uiPriority w:val="99"/>
    <w:pPr>
      <w:spacing w:beforeLines="0" w:afterLines="0"/>
      <w:ind w:left="0"/>
    </w:pPr>
    <w:rPr>
      <w:rFonts w:ascii="宋体" w:eastAsia="宋体"/>
    </w:rPr>
  </w:style>
  <w:style w:type="paragraph" w:customStyle="1" w:styleId="113">
    <w:name w:val="一级无"/>
    <w:basedOn w:val="65"/>
    <w:uiPriority w:val="99"/>
    <w:pPr>
      <w:spacing w:beforeLines="0" w:afterLines="0"/>
    </w:pPr>
    <w:rPr>
      <w:rFonts w:ascii="宋体" w:eastAsia="宋体"/>
    </w:rPr>
  </w:style>
  <w:style w:type="paragraph" w:customStyle="1" w:styleId="114">
    <w:name w:val="TOC 标题1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115">
    <w:name w:val="附录五级条标题"/>
    <w:basedOn w:val="116"/>
    <w:next w:val="25"/>
    <w:qFormat/>
    <w:uiPriority w:val="99"/>
    <w:pPr>
      <w:tabs>
        <w:tab w:val="left" w:pos="360"/>
      </w:tabs>
      <w:outlineLvl w:val="6"/>
    </w:pPr>
  </w:style>
  <w:style w:type="paragraph" w:customStyle="1" w:styleId="116">
    <w:name w:val="附录四级条标题"/>
    <w:basedOn w:val="77"/>
    <w:next w:val="25"/>
    <w:qFormat/>
    <w:uiPriority w:val="99"/>
    <w:pPr>
      <w:outlineLvl w:val="5"/>
    </w:pPr>
  </w:style>
  <w:style w:type="paragraph" w:customStyle="1" w:styleId="117">
    <w:name w:val="数字编号列项（二级）"/>
    <w:qFormat/>
    <w:uiPriority w:val="99"/>
    <w:pPr>
      <w:numPr>
        <w:ilvl w:val="1"/>
        <w:numId w:val="10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8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119">
    <w:name w:val="封面一致性程度标识2"/>
    <w:basedOn w:val="72"/>
    <w:qFormat/>
    <w:uiPriority w:val="99"/>
    <w:pPr>
      <w:framePr w:y="4469"/>
    </w:pPr>
  </w:style>
  <w:style w:type="paragraph" w:customStyle="1" w:styleId="120">
    <w:name w:val="附录五级无"/>
    <w:basedOn w:val="115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1">
    <w:name w:val="示例内容"/>
    <w:uiPriority w:val="99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22">
    <w:name w:val="封面标准文稿类别"/>
    <w:basedOn w:val="72"/>
    <w:qFormat/>
    <w:uiPriority w:val="99"/>
    <w:pPr>
      <w:spacing w:after="160" w:line="240" w:lineRule="auto"/>
    </w:pPr>
    <w:rPr>
      <w:sz w:val="24"/>
    </w:rPr>
  </w:style>
  <w:style w:type="paragraph" w:customStyle="1" w:styleId="123">
    <w:name w:val="附录一级无"/>
    <w:basedOn w:val="124"/>
    <w:uiPriority w:val="99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4">
    <w:name w:val="附录一级条标题"/>
    <w:basedOn w:val="71"/>
    <w:next w:val="25"/>
    <w:uiPriority w:val="99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125">
    <w:name w:val="附录数字编号列项（二级）"/>
    <w:uiPriority w:val="99"/>
    <w:pPr>
      <w:numPr>
        <w:ilvl w:val="1"/>
        <w:numId w:val="8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6">
    <w:name w:val="封面标准文稿类别2"/>
    <w:basedOn w:val="122"/>
    <w:uiPriority w:val="99"/>
    <w:pPr>
      <w:framePr w:y="4469"/>
    </w:pPr>
  </w:style>
  <w:style w:type="paragraph" w:customStyle="1" w:styleId="127">
    <w:name w:val="示例后文字"/>
    <w:basedOn w:val="25"/>
    <w:next w:val="25"/>
    <w:uiPriority w:val="99"/>
    <w:pPr>
      <w:ind w:firstLine="360"/>
    </w:pPr>
    <w:rPr>
      <w:sz w:val="18"/>
    </w:rPr>
  </w:style>
  <w:style w:type="paragraph" w:customStyle="1" w:styleId="128">
    <w:name w:val="示例"/>
    <w:next w:val="121"/>
    <w:uiPriority w:val="99"/>
    <w:pPr>
      <w:widowControl w:val="0"/>
      <w:numPr>
        <w:ilvl w:val="0"/>
        <w:numId w:val="14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29">
    <w:name w:val="目次、索引正文"/>
    <w:uiPriority w:val="99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30">
    <w:name w:val="封面标准号2"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31">
    <w:name w:val="列项◆（三级）"/>
    <w:basedOn w:val="1"/>
    <w:uiPriority w:val="99"/>
    <w:pPr>
      <w:numPr>
        <w:ilvl w:val="2"/>
        <w:numId w:val="15"/>
      </w:numPr>
    </w:pPr>
    <w:rPr>
      <w:rFonts w:ascii="宋体"/>
      <w:szCs w:val="21"/>
    </w:rPr>
  </w:style>
  <w:style w:type="paragraph" w:customStyle="1" w:styleId="132">
    <w:name w:val="封面标准号1"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33">
    <w:name w:val="四级无"/>
    <w:basedOn w:val="90"/>
    <w:uiPriority w:val="99"/>
    <w:pPr>
      <w:spacing w:beforeLines="0" w:afterLines="0"/>
    </w:pPr>
    <w:rPr>
      <w:rFonts w:ascii="宋体" w:eastAsia="宋体"/>
    </w:rPr>
  </w:style>
  <w:style w:type="paragraph" w:customStyle="1" w:styleId="134">
    <w:name w:val="三级无"/>
    <w:basedOn w:val="87"/>
    <w:uiPriority w:val="99"/>
    <w:pPr>
      <w:spacing w:beforeLines="0" w:afterLines="0"/>
    </w:pPr>
    <w:rPr>
      <w:rFonts w:ascii="宋体" w:eastAsia="宋体"/>
    </w:rPr>
  </w:style>
  <w:style w:type="paragraph" w:customStyle="1" w:styleId="135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36">
    <w:name w:val="正文公式编号制表符"/>
    <w:basedOn w:val="25"/>
    <w:next w:val="25"/>
    <w:uiPriority w:val="99"/>
    <w:pPr>
      <w:ind w:firstLine="0" w:firstLineChars="0"/>
    </w:pPr>
  </w:style>
  <w:style w:type="paragraph" w:customStyle="1" w:styleId="137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38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39">
    <w:name w:val="正文表标题"/>
    <w:next w:val="25"/>
    <w:qFormat/>
    <w:uiPriority w:val="99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40">
    <w:name w:val="封面标准名称2"/>
    <w:basedOn w:val="74"/>
    <w:uiPriority w:val="99"/>
    <w:pPr>
      <w:framePr w:y="4469"/>
      <w:spacing w:beforeLines="630"/>
    </w:pPr>
  </w:style>
  <w:style w:type="paragraph" w:customStyle="1" w:styleId="141">
    <w:name w:val="正文图标题"/>
    <w:next w:val="25"/>
    <w:uiPriority w:val="99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42">
    <w:name w:val="列项●（二级）"/>
    <w:uiPriority w:val="99"/>
    <w:pPr>
      <w:numPr>
        <w:ilvl w:val="1"/>
        <w:numId w:val="15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3">
    <w:name w:val="附录公式编号制表符"/>
    <w:basedOn w:val="1"/>
    <w:next w:val="25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44">
    <w:name w:val="图标脚注说明"/>
    <w:basedOn w:val="25"/>
    <w:uiPriority w:val="99"/>
    <w:pPr>
      <w:ind w:left="840" w:hanging="420" w:firstLineChars="0"/>
    </w:pPr>
    <w:rPr>
      <w:sz w:val="18"/>
      <w:szCs w:val="18"/>
    </w:rPr>
  </w:style>
  <w:style w:type="paragraph" w:customStyle="1" w:styleId="145">
    <w:name w:val="附录四级无"/>
    <w:basedOn w:val="116"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6">
    <w:name w:val="封面标准文稿编辑信息"/>
    <w:basedOn w:val="122"/>
    <w:uiPriority w:val="99"/>
    <w:pPr>
      <w:spacing w:before="180" w:line="180" w:lineRule="exact"/>
    </w:pPr>
    <w:rPr>
      <w:sz w:val="21"/>
    </w:rPr>
  </w:style>
  <w:style w:type="paragraph" w:customStyle="1" w:styleId="147">
    <w:name w:val="参考文献"/>
    <w:basedOn w:val="1"/>
    <w:next w:val="25"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48">
    <w:name w:val="图的脚注"/>
    <w:next w:val="25"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49">
    <w:name w:val="目次、标准名称标题"/>
    <w:basedOn w:val="1"/>
    <w:next w:val="25"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50">
    <w:name w:val="封面正文"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51">
    <w:name w:val="封面标准文稿编辑信息2"/>
    <w:basedOn w:val="146"/>
    <w:uiPriority w:val="99"/>
    <w:pPr>
      <w:framePr w:y="4469"/>
    </w:pPr>
  </w:style>
  <w:style w:type="paragraph" w:customStyle="1" w:styleId="152">
    <w:name w:val="列项——（一级）"/>
    <w:uiPriority w:val="99"/>
    <w:pPr>
      <w:widowControl w:val="0"/>
      <w:numPr>
        <w:ilvl w:val="0"/>
        <w:numId w:val="15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53">
    <w:name w:val="标准书眉_偶数页"/>
    <w:basedOn w:val="69"/>
    <w:next w:val="1"/>
    <w:qFormat/>
    <w:uiPriority w:val="99"/>
    <w:pPr>
      <w:jc w:val="left"/>
    </w:pPr>
  </w:style>
  <w:style w:type="character" w:customStyle="1" w:styleId="154">
    <w:name w:val="批注文字 Char"/>
    <w:uiPriority w:val="99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CABR</Company>
  <Pages>12</Pages>
  <Words>1265</Words>
  <Characters>7212</Characters>
  <Lines>0</Lines>
  <Paragraphs>0</Paragraphs>
  <TotalTime>150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2019-05-09T11:35:00Z</dcterms:created>
  <dc:creator>Administrator</dc:creator>
  <cp:lastModifiedBy>悠哈</cp:lastModifiedBy>
  <cp:lastPrinted>2019-05-23T08:32:00Z</cp:lastPrinted>
  <dcterms:modified xsi:type="dcterms:W3CDTF">2019-06-03T09:08:55Z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