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7"/>
        <w:rPr>
          <w:rFonts w:ascii="Times New Roman"/>
        </w:rPr>
      </w:pPr>
      <w:r>
        <w:rPr>
          <w:rFonts w:ascii="Times New Roman"/>
        </w:rPr>
        <w:t>ICS</w:t>
      </w:r>
      <w:r>
        <w:rPr>
          <w:rFonts w:ascii="Times New Roman" w:eastAsia="MS Mincho"/>
        </w:rPr>
        <w:t> </w:t>
      </w:r>
      <w:r>
        <w:rPr>
          <w:rFonts w:ascii="Times New Roman"/>
        </w:rPr>
        <w:t>13.020.10</w:t>
      </w:r>
    </w:p>
    <w:tbl>
      <w:tblPr>
        <w:tblStyle w:val="24"/>
        <w:tblW w:w="9854" w:type="dxa"/>
        <w:tblInd w:w="-10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17"/>
              <w:rPr>
                <w:rFonts w:ascii="Times New Roman"/>
              </w:rPr>
            </w:pPr>
            <w:r>
              <w:pict>
                <v:rect id="BAH" o:spid="_x0000_s1026" o:spt="1" style="position:absolute;left:0pt;margin-left:-5.25pt;margin-top:0pt;height:15.6pt;width:68.25pt;z-index:-251658240;mso-width-relative:page;mso-height-relative:page;" stroked="f" coordsize="21600,21600">
                  <v:path/>
                  <v:fill focussize="0,0"/>
                  <v:stroke on="f"/>
                  <v:imagedata o:title=""/>
                  <o:lock v:ext="edit"/>
                </v:rect>
              </w:pict>
            </w:r>
            <w:r>
              <w:rPr>
                <w:rFonts w:ascii="Times New Roman"/>
              </w:rPr>
              <w:t>Z 04</w:t>
            </w:r>
          </w:p>
        </w:tc>
      </w:tr>
    </w:tbl>
    <w:p>
      <w:pPr>
        <w:pStyle w:val="105"/>
        <w:rPr>
          <w:rFonts w:ascii="Times New Roman"/>
        </w:rPr>
      </w:pPr>
      <w:r>
        <w:rPr>
          <w:rFonts w:ascii="Times New Roman"/>
        </w:rPr>
        <w:t>T/CECS 1000X—</w:t>
      </w:r>
      <w:bookmarkStart w:id="0" w:name="StdNo2"/>
      <w:r>
        <w:rPr>
          <w:rFonts w:ascii="Times New Roman"/>
        </w:rPr>
        <w:fldChar w:fldCharType="begin">
          <w:ffData>
            <w:name w:val="StdNo2"/>
            <w:enabled/>
            <w:calcOnExit w:val="0"/>
            <w:textInput>
              <w:default w:val="XXXX"/>
              <w:maxLength w:val="4"/>
            </w:textInput>
          </w:ffData>
        </w:fldChar>
      </w:r>
      <w:r>
        <w:rPr>
          <w:rFonts w:ascii="Times New Roman"/>
        </w:rPr>
        <w:instrText xml:space="preserve"> FORMTEXT </w:instrText>
      </w:r>
      <w:r>
        <w:rPr>
          <w:rFonts w:ascii="Times New Roman"/>
        </w:rPr>
        <w:fldChar w:fldCharType="separate"/>
      </w:r>
      <w:r>
        <w:rPr>
          <w:rFonts w:ascii="Times New Roman"/>
        </w:rPr>
        <w:t>    </w:t>
      </w:r>
      <w:r>
        <w:rPr>
          <w:rFonts w:ascii="Times New Roman"/>
        </w:rPr>
        <w:fldChar w:fldCharType="end"/>
      </w:r>
      <w:bookmarkEnd w:id="0"/>
    </w:p>
    <w:tbl>
      <w:tblPr>
        <w:tblStyle w:val="24"/>
        <w:tblW w:w="9356" w:type="dxa"/>
        <w:tblInd w:w="-10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93"/>
              <w:rPr>
                <w:rFonts w:ascii="Times New Roman"/>
              </w:rPr>
            </w:pPr>
            <w:bookmarkStart w:id="1" w:name="DT"/>
            <w:r>
              <w:pict>
                <v:rect id="DT" o:spid="_x0000_s1027" o:spt="1" style="position:absolute;left:0pt;margin-left:372.8pt;margin-top:2.7pt;height:18pt;width:90pt;z-index:-251661312;mso-width-relative:page;mso-height-relative:page;" stroked="f" coordsize="21600,21600">
                  <v:path/>
                  <v:fill focussize="0,0"/>
                  <v:stroke on="f"/>
                  <v:imagedata o:title=""/>
                  <o:lock v:ext="edit"/>
                </v:rect>
              </w:pict>
            </w:r>
            <w:bookmarkEnd w:id="1"/>
          </w:p>
        </w:tc>
      </w:tr>
    </w:tbl>
    <w:p>
      <w:pPr>
        <w:pStyle w:val="105"/>
        <w:rPr>
          <w:rFonts w:ascii="Times New Roman"/>
        </w:rPr>
      </w:pPr>
    </w:p>
    <w:p>
      <w:pPr>
        <w:pStyle w:val="105"/>
        <w:rPr>
          <w:rFonts w:ascii="Times New Roman"/>
        </w:rPr>
      </w:pPr>
    </w:p>
    <w:p>
      <w:pPr>
        <w:pStyle w:val="53"/>
        <w:framePr w:x="1263" w:y="6378"/>
        <w:rPr>
          <w:rFonts w:ascii="Times New Roman"/>
        </w:rPr>
      </w:pPr>
      <w:bookmarkStart w:id="2" w:name="StdName"/>
      <w:r>
        <w:rPr>
          <w:rFonts w:ascii="Times New Roman"/>
        </w:rPr>
        <w:fldChar w:fldCharType="begin">
          <w:ffData>
            <w:name w:val="StdName"/>
            <w:enabled/>
            <w:calcOnExit w:val="0"/>
            <w:textInput/>
          </w:ffData>
        </w:fldChar>
      </w:r>
      <w:r>
        <w:rPr>
          <w:rFonts w:ascii="Times New Roman"/>
        </w:rPr>
        <w:instrText xml:space="preserve"> FORMTEXT </w:instrText>
      </w:r>
      <w:r>
        <w:rPr>
          <w:rFonts w:ascii="Times New Roman"/>
        </w:rPr>
        <w:fldChar w:fldCharType="separate"/>
      </w:r>
      <w:r>
        <w:rPr>
          <w:rFonts w:hint="eastAsia" w:ascii="Times New Roman"/>
        </w:rPr>
        <w:t>绿色建材评价标准</w:t>
      </w:r>
      <w:r>
        <w:rPr>
          <w:rFonts w:ascii="Times New Roman"/>
        </w:rPr>
        <w:t xml:space="preserve">  </w:t>
      </w:r>
      <w:r>
        <w:rPr>
          <w:rFonts w:hint="eastAsia" w:ascii="Times New Roman"/>
        </w:rPr>
        <w:t>工程修复材料</w:t>
      </w:r>
      <w:r>
        <w:rPr>
          <w:rFonts w:ascii="Times New Roman"/>
        </w:rPr>
        <w:fldChar w:fldCharType="end"/>
      </w:r>
      <w:bookmarkEnd w:id="2"/>
    </w:p>
    <w:p>
      <w:pPr>
        <w:pStyle w:val="52"/>
        <w:framePr w:x="1263" w:y="6378"/>
      </w:pPr>
      <w:bookmarkStart w:id="3" w:name="StdEnglishName"/>
      <w:r>
        <w:fldChar w:fldCharType="begin">
          <w:ffData>
            <w:name w:val="StdEnglishName"/>
            <w:enabled/>
            <w:calcOnExit w:val="0"/>
            <w:textInput>
              <w:default w:val="Green building materials assessment -engineering restoring material"/>
            </w:textInput>
          </w:ffData>
        </w:fldChar>
      </w:r>
      <w:r>
        <w:instrText xml:space="preserve">FORMTEXT</w:instrText>
      </w:r>
      <w:r>
        <w:fldChar w:fldCharType="separate"/>
      </w:r>
      <w:r>
        <w:t>Green building materials assessment -engineering restoring material</w:t>
      </w:r>
      <w:r>
        <w:fldChar w:fldCharType="end"/>
      </w:r>
      <w:bookmarkEnd w:id="3"/>
    </w:p>
    <w:p>
      <w:pPr>
        <w:pStyle w:val="51"/>
        <w:framePr w:x="1263" w:y="6378"/>
        <w:rPr>
          <w:rFonts w:ascii="Times New Roman"/>
        </w:rPr>
      </w:pPr>
    </w:p>
    <w:tbl>
      <w:tblPr>
        <w:tblStyle w:val="24"/>
        <w:tblW w:w="9855" w:type="dxa"/>
        <w:tblInd w:w="-10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80"/>
              <w:framePr w:x="1263" w:y="6378"/>
              <w:rPr>
                <w:rFonts w:ascii="Times New Roman"/>
              </w:rPr>
            </w:pPr>
            <w:r>
              <w:pict>
                <v:rect id="RQ" o:spid="_x0000_s1028" o:spt="1" style="position:absolute;left:0pt;margin-left:173.3pt;margin-top:45.15pt;height:20pt;width:150pt;z-index:-251659264;mso-width-relative:page;mso-height-relative:page;" stroked="f" coordsize="21600,21600">
                  <v:path/>
                  <v:fill focussize="0,0"/>
                  <v:stroke on="f"/>
                  <v:imagedata o:title=""/>
                  <o:lock v:ext="edit"/>
                  <w10:anchorlock/>
                </v:rect>
              </w:pict>
            </w:r>
            <w:r>
              <w:pict>
                <v:rect id="LB" o:spid="_x0000_s1029" o:spt="1" style="position:absolute;left:0pt;margin-left:193.3pt;margin-top:20.15pt;height:24pt;width:100pt;z-index:-251660288;mso-width-relative:page;mso-height-relative:page;" stroked="f" coordsize="21600,21600">
                  <v:path/>
                  <v:fill focussize="0,0"/>
                  <v:stroke on="f"/>
                  <v:imagedata o:title=""/>
                  <o:lock v:ext="edit"/>
                  <w10:anchorlock/>
                </v:rect>
              </w:pict>
            </w:r>
            <w:r>
              <w:rPr>
                <w:rFonts w:hint="eastAsia" w:ascii="Times New Roman"/>
                <w:sz w:val="28"/>
              </w:rPr>
              <w:t>（征求意见稿）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96"/>
              <w:framePr w:x="1263" w:y="6378"/>
              <w:rPr>
                <w:rFonts w:ascii="Times New Roman"/>
              </w:rPr>
            </w:pPr>
            <w:r>
              <w:rPr>
                <w:rFonts w:ascii="Times New Roman"/>
              </w:rPr>
              <w:t>20190523</w:t>
            </w:r>
          </w:p>
        </w:tc>
      </w:tr>
    </w:tbl>
    <w:p>
      <w:pPr>
        <w:pStyle w:val="91"/>
        <w:framePr w:hAnchor="page" w:x="1140" w:y="13612"/>
      </w:pPr>
      <w:bookmarkStart w:id="4" w:name="FY"/>
      <w:r>
        <w:fldChar w:fldCharType="begin">
          <w:ffData>
            <w:name w:val="FY"/>
            <w:enabled/>
            <w:calcOnExit w:val="0"/>
            <w:entryMacro w:val="ShowHelp8"/>
            <w:textInput>
              <w:default w:val="XXXX"/>
              <w:maxLength w:val="4"/>
            </w:textInput>
          </w:ffData>
        </w:fldChar>
      </w:r>
      <w:r>
        <w:instrText xml:space="preserve"> FORMTEXT </w:instrText>
      </w:r>
      <w:r>
        <w:fldChar w:fldCharType="separate"/>
      </w:r>
      <w:r>
        <w:t>XXXX</w:t>
      </w:r>
      <w:r>
        <w:fldChar w:fldCharType="end"/>
      </w:r>
      <w:bookmarkEnd w:id="4"/>
      <w:r>
        <w:t xml:space="preserve"> - </w:t>
      </w:r>
      <w:r>
        <w:fldChar w:fldCharType="begin">
          <w:ffData>
            <w:name w:val="FM"/>
            <w:enabled/>
            <w:calcOnExit w:val="0"/>
            <w:entryMacro w:val="ShowHelp8"/>
            <w:textInput>
              <w:default w:val="XX"/>
              <w:maxLength w:val="2"/>
            </w:textInput>
          </w:ffData>
        </w:fldChar>
      </w:r>
      <w:r>
        <w:instrText xml:space="preserve"> FORMTEXT </w:instrText>
      </w:r>
      <w:r>
        <w:fldChar w:fldCharType="separate"/>
      </w:r>
      <w:r>
        <w:t>XX</w:t>
      </w:r>
      <w:r>
        <w:fldChar w:fldCharType="end"/>
      </w:r>
      <w:r>
        <w:t xml:space="preserve"> - </w:t>
      </w:r>
      <w:bookmarkStart w:id="5" w:name="FD"/>
      <w:r>
        <w:fldChar w:fldCharType="begin">
          <w:ffData>
            <w:name w:val="FD"/>
            <w:enabled/>
            <w:calcOnExit w:val="0"/>
            <w:entryMacro w:val="ShowHelp8"/>
            <w:textInput>
              <w:default w:val="XX"/>
              <w:maxLength w:val="2"/>
            </w:textInput>
          </w:ffData>
        </w:fldChar>
      </w:r>
      <w:r>
        <w:instrText xml:space="preserve"> FORMTEXT </w:instrText>
      </w:r>
      <w:r>
        <w:fldChar w:fldCharType="separate"/>
      </w:r>
      <w:r>
        <w:t>XX</w:t>
      </w:r>
      <w:r>
        <w:fldChar w:fldCharType="end"/>
      </w:r>
      <w:bookmarkEnd w:id="5"/>
      <w:r>
        <w:rPr>
          <w:rFonts w:hint="eastAsia"/>
        </w:rPr>
        <w:t>发布</w:t>
      </w:r>
      <w:r>
        <w:pict>
          <v:line id="直线 10" o:spid="_x0000_s1030" o:spt="20" style="position:absolute;left:0pt;margin-left:-1.95pt;margin-top:704pt;height:0pt;width:481.9pt;mso-position-vertical-relative:page;z-index:251658240;mso-width-relative:page;mso-height-relative:page;" coordsize="21600,21600">
            <v:path arrowok="t"/>
            <v:fill focussize="0,0"/>
            <v:stroke/>
            <v:imagedata o:title=""/>
            <o:lock v:ext="edit"/>
            <w10:anchorlock/>
          </v:line>
        </w:pict>
      </w:r>
    </w:p>
    <w:p>
      <w:pPr>
        <w:pStyle w:val="140"/>
        <w:framePr w:hAnchor="page" w:x="6287" w:y="13525"/>
      </w:pPr>
      <w:bookmarkStart w:id="6" w:name="SY"/>
      <w:r>
        <w:fldChar w:fldCharType="begin">
          <w:ffData>
            <w:name w:val="SY"/>
            <w:enabled/>
            <w:calcOnExit w:val="0"/>
            <w:entryMacro w:val="ShowHelp9"/>
            <w:textInput>
              <w:default w:val="XXXX"/>
              <w:maxLength w:val="4"/>
            </w:textInput>
          </w:ffData>
        </w:fldChar>
      </w:r>
      <w:r>
        <w:instrText xml:space="preserve"> FORMTEXT </w:instrText>
      </w:r>
      <w:r>
        <w:fldChar w:fldCharType="separate"/>
      </w:r>
      <w:r>
        <w:t>XXXX</w:t>
      </w:r>
      <w:r>
        <w:fldChar w:fldCharType="end"/>
      </w:r>
      <w:bookmarkEnd w:id="6"/>
      <w:r>
        <w:t xml:space="preserve"> - </w:t>
      </w:r>
      <w:bookmarkStart w:id="7" w:name="SM"/>
      <w:r>
        <w:fldChar w:fldCharType="begin">
          <w:ffData>
            <w:name w:val="SM"/>
            <w:enabled/>
            <w:calcOnExit w:val="0"/>
            <w:entryMacro w:val="ShowHelp9"/>
            <w:textInput>
              <w:default w:val="XX"/>
              <w:maxLength w:val="2"/>
            </w:textInput>
          </w:ffData>
        </w:fldChar>
      </w:r>
      <w:r>
        <w:instrText xml:space="preserve"> FORMTEXT </w:instrText>
      </w:r>
      <w:r>
        <w:fldChar w:fldCharType="separate"/>
      </w:r>
      <w:r>
        <w:t>XX</w:t>
      </w:r>
      <w:r>
        <w:fldChar w:fldCharType="end"/>
      </w:r>
      <w:bookmarkEnd w:id="7"/>
      <w:r>
        <w:t xml:space="preserve"> - </w:t>
      </w:r>
      <w:bookmarkStart w:id="8" w:name="SD"/>
      <w:r>
        <w:fldChar w:fldCharType="begin">
          <w:ffData>
            <w:name w:val="SD"/>
            <w:enabled/>
            <w:calcOnExit w:val="0"/>
            <w:entryMacro w:val="ShowHelp9"/>
            <w:textInput>
              <w:default w:val="XX"/>
              <w:maxLength w:val="2"/>
            </w:textInput>
          </w:ffData>
        </w:fldChar>
      </w:r>
      <w:r>
        <w:instrText xml:space="preserve"> FORMTEXT </w:instrText>
      </w:r>
      <w:r>
        <w:fldChar w:fldCharType="separate"/>
      </w:r>
      <w:r>
        <w:t>XX</w:t>
      </w:r>
      <w:r>
        <w:fldChar w:fldCharType="end"/>
      </w:r>
      <w:bookmarkEnd w:id="8"/>
      <w:r>
        <w:rPr>
          <w:rFonts w:hint="eastAsia"/>
        </w:rPr>
        <w:t>实施</w:t>
      </w:r>
    </w:p>
    <w:p>
      <w:pPr>
        <w:pStyle w:val="84"/>
        <w:rPr>
          <w:rFonts w:ascii="Times New Roman"/>
        </w:rPr>
      </w:pPr>
      <w:r>
        <w:rPr>
          <w:rFonts w:hint="eastAsia" w:ascii="Times New Roman"/>
        </w:rPr>
        <w:t>中国工程建设标准化协会</w:t>
      </w:r>
      <w:r>
        <w:rPr>
          <w:rFonts w:ascii="Times New Roman" w:eastAsia="MS Mincho"/>
        </w:rPr>
        <w:t>   </w:t>
      </w:r>
      <w:r>
        <w:rPr>
          <w:rStyle w:val="49"/>
          <w:rFonts w:hint="eastAsia" w:ascii="Times New Roman"/>
          <w:szCs w:val="28"/>
        </w:rPr>
        <w:t>发布</w:t>
      </w:r>
    </w:p>
    <w:p>
      <w:pPr>
        <w:pStyle w:val="18"/>
        <w:ind w:firstLine="31680"/>
        <w:rPr>
          <w:rFonts w:ascii="Times New Roman"/>
        </w:rPr>
        <w:sectPr>
          <w:pgSz w:w="11906" w:h="16838"/>
          <w:pgMar w:top="567" w:right="850" w:bottom="1134" w:left="1418" w:header="0" w:footer="0" w:gutter="0"/>
          <w:pgNumType w:start="1"/>
          <w:cols w:space="720" w:num="1"/>
          <w:docGrid w:type="lines" w:linePitch="312" w:charSpace="0"/>
        </w:sectPr>
      </w:pPr>
      <w:r>
        <w:pict>
          <v:shape id="文本框 37" o:spid="_x0000_s1031" o:spt="202" type="#_x0000_t202" style="position:absolute;left:0pt;margin-left:0.6pt;margin-top:77.1pt;height:149.85pt;width:481.85pt;z-index:251660288;mso-width-relative:page;mso-height-relative:page;" stroked="t" coordsize="21600,21600">
            <v:path/>
            <v:fill focussize="0,0"/>
            <v:stroke color="#FFFFFF" joinstyle="miter"/>
            <v:imagedata o:title=""/>
            <o:lock v:ext="edit"/>
            <v:textbox style="mso-fit-shape-to-text:t;">
              <w:txbxContent>
                <w:p>
                  <w:pPr>
                    <w:jc w:val="distribute"/>
                    <w:rPr>
                      <w:rFonts w:ascii="黑体" w:hAnsi="黑体" w:eastAsia="黑体"/>
                      <w:sz w:val="72"/>
                      <w:szCs w:val="72"/>
                    </w:rPr>
                  </w:pPr>
                  <w:r>
                    <w:rPr>
                      <w:rFonts w:hint="eastAsia" w:ascii="黑体" w:hAnsi="黑体" w:eastAsia="黑体"/>
                      <w:sz w:val="72"/>
                      <w:szCs w:val="72"/>
                    </w:rPr>
                    <w:t>团体标准</w:t>
                  </w:r>
                </w:p>
              </w:txbxContent>
            </v:textbox>
            <w10:anchorlock/>
          </v:shape>
        </w:pict>
      </w:r>
      <w:r>
        <w:pict>
          <v:line id="直线 11" o:spid="_x0000_s1032" o:spt="20" style="position:absolute;left:0pt;margin-left:-0.05pt;margin-top:184.25pt;height:0pt;width:481.9pt;z-index:251659264;mso-width-relative:page;mso-height-relative:page;" coordsize="21600,21600">
            <v:path arrowok="t"/>
            <v:fill focussize="0,0"/>
            <v:stroke/>
            <v:imagedata o:title=""/>
            <o:lock v:ext="edit"/>
            <w10:anchorlock/>
          </v:line>
        </w:pict>
      </w:r>
    </w:p>
    <w:p>
      <w:pPr>
        <w:pStyle w:val="127"/>
        <w:rPr>
          <w:rFonts w:ascii="Times New Roman"/>
        </w:rPr>
      </w:pPr>
      <w:bookmarkStart w:id="9" w:name="_Toc533518617"/>
      <w:r>
        <w:rPr>
          <w:rFonts w:hint="eastAsia" w:ascii="Times New Roman"/>
        </w:rPr>
        <w:t>目</w:t>
      </w:r>
      <w:bookmarkStart w:id="10" w:name="BKML"/>
      <w:r>
        <w:rPr>
          <w:rFonts w:ascii="Times New Roman" w:eastAsia="MS Mincho"/>
        </w:rPr>
        <w:t>  </w:t>
      </w:r>
      <w:r>
        <w:rPr>
          <w:rFonts w:hint="eastAsia" w:ascii="Times New Roman"/>
        </w:rPr>
        <w:t>次</w:t>
      </w:r>
      <w:bookmarkEnd w:id="9"/>
      <w:bookmarkEnd w:id="10"/>
    </w:p>
    <w:p>
      <w:pPr>
        <w:pStyle w:val="66"/>
        <w:spacing w:before="78" w:after="78"/>
        <w:rPr>
          <w:rFonts w:ascii="Times New Roman" w:eastAsia="等线"/>
          <w:szCs w:val="22"/>
        </w:rPr>
      </w:pPr>
      <w:r>
        <w:rPr>
          <w:rFonts w:ascii="Times New Roman"/>
        </w:rPr>
        <w:fldChar w:fldCharType="begin"/>
      </w:r>
      <w:r>
        <w:rPr>
          <w:rFonts w:ascii="Times New Roman"/>
        </w:rPr>
        <w:instrText xml:space="preserve"> TOC \o "1-3" \h \z \u </w:instrText>
      </w:r>
      <w:r>
        <w:rPr>
          <w:rFonts w:ascii="Times New Roman"/>
        </w:rPr>
        <w:fldChar w:fldCharType="separate"/>
      </w:r>
      <w:r>
        <w:fldChar w:fldCharType="begin"/>
      </w:r>
      <w:r>
        <w:instrText xml:space="preserve"> HYPERLINK \l "_Toc533518620" </w:instrText>
      </w:r>
      <w:r>
        <w:fldChar w:fldCharType="separate"/>
      </w:r>
      <w:r>
        <w:rPr>
          <w:rStyle w:val="31"/>
          <w:rFonts w:ascii="Times New Roman"/>
        </w:rPr>
        <w:t>1.</w:t>
      </w:r>
      <w:r>
        <w:rPr>
          <w:rStyle w:val="31"/>
          <w:rFonts w:hint="eastAsia" w:ascii="Times New Roman"/>
        </w:rPr>
        <w:t>范围</w:t>
      </w:r>
      <w:r>
        <w:rPr>
          <w:rFonts w:ascii="Times New Roman"/>
        </w:rPr>
        <w:tab/>
      </w:r>
      <w:r>
        <w:rPr>
          <w:rFonts w:ascii="Times New Roman"/>
        </w:rPr>
        <w:fldChar w:fldCharType="begin"/>
      </w:r>
      <w:r>
        <w:rPr>
          <w:rFonts w:ascii="Times New Roman"/>
        </w:rPr>
        <w:instrText xml:space="preserve"> PAGEREF _Toc533518620 \h </w:instrText>
      </w:r>
      <w:r>
        <w:rPr>
          <w:rFonts w:ascii="Times New Roman"/>
        </w:rPr>
        <w:fldChar w:fldCharType="separate"/>
      </w:r>
      <w:r>
        <w:rPr>
          <w:rFonts w:ascii="Times New Roman"/>
        </w:rPr>
        <w:t>1</w:t>
      </w:r>
      <w:r>
        <w:rPr>
          <w:rFonts w:ascii="Times New Roman"/>
        </w:rPr>
        <w:fldChar w:fldCharType="end"/>
      </w:r>
      <w:r>
        <w:rPr>
          <w:rFonts w:ascii="Times New Roman"/>
        </w:rPr>
        <w:fldChar w:fldCharType="end"/>
      </w:r>
    </w:p>
    <w:p>
      <w:pPr>
        <w:pStyle w:val="61"/>
        <w:tabs>
          <w:tab w:val="left" w:pos="1470"/>
        </w:tabs>
        <w:rPr>
          <w:rFonts w:ascii="Times New Roman" w:eastAsia="等线"/>
          <w:szCs w:val="22"/>
        </w:rPr>
      </w:pPr>
      <w:r>
        <w:fldChar w:fldCharType="begin"/>
      </w:r>
      <w:r>
        <w:instrText xml:space="preserve"> HYPERLINK \l "_Toc533518621" </w:instrText>
      </w:r>
      <w:r>
        <w:fldChar w:fldCharType="separate"/>
      </w:r>
      <w:r>
        <w:rPr>
          <w:rStyle w:val="31"/>
          <w:rFonts w:ascii="Times New Roman"/>
        </w:rPr>
        <w:t>2.</w:t>
      </w:r>
      <w:r>
        <w:rPr>
          <w:rStyle w:val="31"/>
          <w:rFonts w:hint="eastAsia" w:ascii="Times New Roman"/>
        </w:rPr>
        <w:t>规范性引用文件</w:t>
      </w:r>
      <w:r>
        <w:rPr>
          <w:rFonts w:ascii="Times New Roman"/>
        </w:rPr>
        <w:tab/>
      </w:r>
      <w:r>
        <w:rPr>
          <w:rFonts w:ascii="Times New Roman"/>
        </w:rPr>
        <w:fldChar w:fldCharType="begin"/>
      </w:r>
      <w:r>
        <w:rPr>
          <w:rFonts w:ascii="Times New Roman"/>
        </w:rPr>
        <w:instrText xml:space="preserve"> PAGEREF _Toc533518621 \h </w:instrText>
      </w:r>
      <w:r>
        <w:rPr>
          <w:rFonts w:ascii="Times New Roman"/>
        </w:rPr>
        <w:fldChar w:fldCharType="separate"/>
      </w:r>
      <w:r>
        <w:rPr>
          <w:rFonts w:ascii="Times New Roman"/>
        </w:rPr>
        <w:t>1</w:t>
      </w:r>
      <w:r>
        <w:rPr>
          <w:rFonts w:ascii="Times New Roman"/>
        </w:rPr>
        <w:fldChar w:fldCharType="end"/>
      </w:r>
      <w:r>
        <w:rPr>
          <w:rFonts w:ascii="Times New Roman"/>
        </w:rPr>
        <w:fldChar w:fldCharType="end"/>
      </w:r>
    </w:p>
    <w:p>
      <w:pPr>
        <w:pStyle w:val="61"/>
        <w:rPr>
          <w:rFonts w:ascii="Times New Roman" w:eastAsia="等线"/>
          <w:szCs w:val="22"/>
        </w:rPr>
      </w:pPr>
      <w:r>
        <w:fldChar w:fldCharType="begin"/>
      </w:r>
      <w:r>
        <w:instrText xml:space="preserve"> HYPERLINK \l "_Toc533518622" </w:instrText>
      </w:r>
      <w:r>
        <w:fldChar w:fldCharType="separate"/>
      </w:r>
      <w:r>
        <w:rPr>
          <w:rStyle w:val="31"/>
          <w:rFonts w:ascii="Times New Roman"/>
        </w:rPr>
        <w:t>3.</w:t>
      </w:r>
      <w:r>
        <w:rPr>
          <w:rStyle w:val="31"/>
          <w:rFonts w:hint="eastAsia" w:ascii="Times New Roman"/>
        </w:rPr>
        <w:t>术语和定义</w:t>
      </w:r>
      <w:r>
        <w:rPr>
          <w:rFonts w:ascii="Times New Roman"/>
        </w:rPr>
        <w:tab/>
      </w:r>
      <w:r>
        <w:rPr>
          <w:rFonts w:ascii="Times New Roman"/>
        </w:rPr>
        <w:fldChar w:fldCharType="begin"/>
      </w:r>
      <w:r>
        <w:rPr>
          <w:rFonts w:ascii="Times New Roman"/>
        </w:rPr>
        <w:instrText xml:space="preserve"> PAGEREF _Toc533518622 \h </w:instrText>
      </w:r>
      <w:r>
        <w:rPr>
          <w:rFonts w:ascii="Times New Roman"/>
        </w:rPr>
        <w:fldChar w:fldCharType="separate"/>
      </w:r>
      <w:r>
        <w:rPr>
          <w:rFonts w:ascii="Times New Roman"/>
        </w:rPr>
        <w:t>2</w:t>
      </w:r>
      <w:r>
        <w:rPr>
          <w:rFonts w:ascii="Times New Roman"/>
        </w:rPr>
        <w:fldChar w:fldCharType="end"/>
      </w:r>
      <w:r>
        <w:rPr>
          <w:rFonts w:ascii="Times New Roman"/>
        </w:rPr>
        <w:fldChar w:fldCharType="end"/>
      </w:r>
    </w:p>
    <w:p>
      <w:pPr>
        <w:pStyle w:val="61"/>
        <w:rPr>
          <w:rFonts w:ascii="Times New Roman" w:eastAsia="等线"/>
          <w:szCs w:val="22"/>
        </w:rPr>
      </w:pPr>
      <w:r>
        <w:fldChar w:fldCharType="begin"/>
      </w:r>
      <w:r>
        <w:instrText xml:space="preserve"> HYPERLINK \l "_Toc533518629" </w:instrText>
      </w:r>
      <w:r>
        <w:fldChar w:fldCharType="separate"/>
      </w:r>
      <w:r>
        <w:rPr>
          <w:rStyle w:val="31"/>
          <w:rFonts w:ascii="Times New Roman"/>
        </w:rPr>
        <w:t>4.</w:t>
      </w:r>
      <w:r>
        <w:rPr>
          <w:rStyle w:val="31"/>
          <w:rFonts w:hint="eastAsia" w:ascii="Times New Roman"/>
        </w:rPr>
        <w:t>评价要求</w:t>
      </w:r>
      <w:r>
        <w:rPr>
          <w:rFonts w:ascii="Times New Roman"/>
        </w:rPr>
        <w:tab/>
      </w:r>
      <w:r>
        <w:rPr>
          <w:rFonts w:ascii="Times New Roman"/>
        </w:rPr>
        <w:fldChar w:fldCharType="begin"/>
      </w:r>
      <w:r>
        <w:rPr>
          <w:rFonts w:ascii="Times New Roman"/>
        </w:rPr>
        <w:instrText xml:space="preserve"> PAGEREF _Toc533518629 \h </w:instrText>
      </w:r>
      <w:r>
        <w:rPr>
          <w:rFonts w:ascii="Times New Roman"/>
        </w:rPr>
        <w:fldChar w:fldCharType="separate"/>
      </w:r>
      <w:r>
        <w:rPr>
          <w:rFonts w:ascii="Times New Roman"/>
        </w:rPr>
        <w:t>4</w:t>
      </w:r>
      <w:r>
        <w:rPr>
          <w:rFonts w:ascii="Times New Roman"/>
        </w:rPr>
        <w:fldChar w:fldCharType="end"/>
      </w:r>
      <w:r>
        <w:rPr>
          <w:rFonts w:ascii="Times New Roman"/>
        </w:rPr>
        <w:fldChar w:fldCharType="end"/>
      </w:r>
    </w:p>
    <w:p>
      <w:pPr>
        <w:pStyle w:val="68"/>
        <w:ind w:firstLine="31680"/>
        <w:rPr>
          <w:rFonts w:ascii="Times New Roman" w:eastAsia="等线"/>
          <w:szCs w:val="22"/>
        </w:rPr>
      </w:pPr>
      <w:r>
        <w:fldChar w:fldCharType="begin"/>
      </w:r>
      <w:r>
        <w:instrText xml:space="preserve"> HYPERLINK \l "_Toc533518630" </w:instrText>
      </w:r>
      <w:r>
        <w:fldChar w:fldCharType="separate"/>
      </w:r>
      <w:r>
        <w:rPr>
          <w:rStyle w:val="31"/>
          <w:rFonts w:ascii="Times New Roman" w:eastAsia="黑体"/>
          <w:kern w:val="0"/>
        </w:rPr>
        <w:t xml:space="preserve">4.1 </w:t>
      </w:r>
      <w:r>
        <w:rPr>
          <w:rStyle w:val="31"/>
          <w:rFonts w:hint="eastAsia" w:ascii="Times New Roman"/>
          <w:kern w:val="0"/>
        </w:rPr>
        <w:t>基本要求</w:t>
      </w:r>
      <w:r>
        <w:rPr>
          <w:rFonts w:ascii="Times New Roman"/>
        </w:rPr>
        <w:tab/>
      </w:r>
      <w:r>
        <w:rPr>
          <w:rFonts w:ascii="Times New Roman"/>
        </w:rPr>
        <w:fldChar w:fldCharType="begin"/>
      </w:r>
      <w:r>
        <w:rPr>
          <w:rFonts w:ascii="Times New Roman"/>
        </w:rPr>
        <w:instrText xml:space="preserve"> PAGEREF _Toc533518630 \h </w:instrText>
      </w:r>
      <w:r>
        <w:rPr>
          <w:rFonts w:ascii="Times New Roman"/>
        </w:rPr>
        <w:fldChar w:fldCharType="separate"/>
      </w:r>
      <w:r>
        <w:rPr>
          <w:rFonts w:ascii="Times New Roman"/>
        </w:rPr>
        <w:t>4</w:t>
      </w:r>
      <w:r>
        <w:rPr>
          <w:rFonts w:ascii="Times New Roman"/>
        </w:rPr>
        <w:fldChar w:fldCharType="end"/>
      </w:r>
      <w:r>
        <w:rPr>
          <w:rFonts w:ascii="Times New Roman"/>
        </w:rPr>
        <w:fldChar w:fldCharType="end"/>
      </w:r>
    </w:p>
    <w:p>
      <w:pPr>
        <w:pStyle w:val="68"/>
        <w:ind w:firstLine="31680"/>
        <w:rPr>
          <w:rFonts w:ascii="Times New Roman" w:eastAsia="等线"/>
          <w:szCs w:val="22"/>
        </w:rPr>
      </w:pPr>
      <w:r>
        <w:fldChar w:fldCharType="begin"/>
      </w:r>
      <w:r>
        <w:instrText xml:space="preserve"> HYPERLINK \l "_Toc533518631" </w:instrText>
      </w:r>
      <w:r>
        <w:fldChar w:fldCharType="separate"/>
      </w:r>
      <w:r>
        <w:rPr>
          <w:rStyle w:val="31"/>
          <w:rFonts w:ascii="Times New Roman" w:eastAsia="黑体"/>
          <w:kern w:val="0"/>
        </w:rPr>
        <w:t xml:space="preserve">4.2 </w:t>
      </w:r>
      <w:r>
        <w:rPr>
          <w:rStyle w:val="31"/>
          <w:rFonts w:hint="eastAsia" w:ascii="Times New Roman"/>
          <w:kern w:val="0"/>
        </w:rPr>
        <w:t>评价指标要求</w:t>
      </w:r>
      <w:r>
        <w:rPr>
          <w:rFonts w:ascii="Times New Roman"/>
        </w:rPr>
        <w:tab/>
      </w:r>
      <w:r>
        <w:rPr>
          <w:rFonts w:ascii="Times New Roman"/>
        </w:rPr>
        <w:fldChar w:fldCharType="begin"/>
      </w:r>
      <w:r>
        <w:rPr>
          <w:rFonts w:ascii="Times New Roman"/>
        </w:rPr>
        <w:instrText xml:space="preserve"> PAGEREF _Toc533518631 \h </w:instrText>
      </w:r>
      <w:r>
        <w:rPr>
          <w:rFonts w:ascii="Times New Roman"/>
        </w:rPr>
        <w:fldChar w:fldCharType="separate"/>
      </w:r>
      <w:r>
        <w:rPr>
          <w:rFonts w:ascii="Times New Roman"/>
        </w:rPr>
        <w:t>5</w:t>
      </w:r>
      <w:r>
        <w:rPr>
          <w:rFonts w:ascii="Times New Roman"/>
        </w:rPr>
        <w:fldChar w:fldCharType="end"/>
      </w:r>
      <w:r>
        <w:rPr>
          <w:rFonts w:ascii="Times New Roman"/>
        </w:rPr>
        <w:fldChar w:fldCharType="end"/>
      </w:r>
    </w:p>
    <w:p>
      <w:pPr>
        <w:pStyle w:val="61"/>
        <w:rPr>
          <w:rFonts w:ascii="Times New Roman" w:eastAsia="等线"/>
          <w:szCs w:val="22"/>
        </w:rPr>
      </w:pPr>
      <w:r>
        <w:fldChar w:fldCharType="begin"/>
      </w:r>
      <w:r>
        <w:instrText xml:space="preserve"> HYPERLINK \l "_Toc533518632" </w:instrText>
      </w:r>
      <w:r>
        <w:fldChar w:fldCharType="separate"/>
      </w:r>
      <w:r>
        <w:rPr>
          <w:rStyle w:val="31"/>
          <w:rFonts w:ascii="Times New Roman"/>
        </w:rPr>
        <w:t>5.</w:t>
      </w:r>
      <w:r>
        <w:rPr>
          <w:rStyle w:val="31"/>
          <w:rFonts w:hint="eastAsia" w:ascii="Times New Roman"/>
        </w:rPr>
        <w:t>评价方法</w:t>
      </w:r>
      <w:r>
        <w:rPr>
          <w:rFonts w:ascii="Times New Roman"/>
        </w:rPr>
        <w:tab/>
      </w:r>
      <w:r>
        <w:rPr>
          <w:rFonts w:ascii="Times New Roman"/>
        </w:rPr>
        <w:fldChar w:fldCharType="begin"/>
      </w:r>
      <w:r>
        <w:rPr>
          <w:rFonts w:ascii="Times New Roman"/>
        </w:rPr>
        <w:instrText xml:space="preserve"> PAGEREF _Toc533518632 \h </w:instrText>
      </w:r>
      <w:r>
        <w:rPr>
          <w:rFonts w:ascii="Times New Roman"/>
        </w:rPr>
        <w:fldChar w:fldCharType="separate"/>
      </w:r>
      <w:r>
        <w:rPr>
          <w:rFonts w:ascii="Times New Roman"/>
        </w:rPr>
        <w:t>8</w:t>
      </w:r>
      <w:r>
        <w:rPr>
          <w:rFonts w:ascii="Times New Roman"/>
        </w:rPr>
        <w:fldChar w:fldCharType="end"/>
      </w:r>
      <w:r>
        <w:rPr>
          <w:rFonts w:ascii="Times New Roman"/>
        </w:rPr>
        <w:fldChar w:fldCharType="end"/>
      </w:r>
    </w:p>
    <w:p>
      <w:r>
        <w:fldChar w:fldCharType="end"/>
      </w:r>
    </w:p>
    <w:p>
      <w:pPr>
        <w:pStyle w:val="18"/>
        <w:ind w:firstLine="31680"/>
        <w:rPr>
          <w:rFonts w:ascii="Times New Roman"/>
        </w:rPr>
      </w:pPr>
    </w:p>
    <w:p>
      <w:pPr>
        <w:pStyle w:val="18"/>
        <w:ind w:firstLine="31680"/>
        <w:rPr>
          <w:rFonts w:ascii="Times New Roman"/>
        </w:rPr>
      </w:pPr>
    </w:p>
    <w:p>
      <w:pPr>
        <w:pStyle w:val="18"/>
        <w:ind w:firstLine="31680"/>
        <w:rPr>
          <w:rFonts w:ascii="Times New Roman"/>
        </w:rPr>
      </w:pPr>
    </w:p>
    <w:p>
      <w:pPr>
        <w:pStyle w:val="18"/>
        <w:ind w:firstLine="31680"/>
        <w:rPr>
          <w:rFonts w:ascii="Times New Roman"/>
        </w:rPr>
      </w:pPr>
    </w:p>
    <w:p>
      <w:pPr>
        <w:pStyle w:val="18"/>
        <w:ind w:firstLine="31680"/>
        <w:rPr>
          <w:rFonts w:ascii="Times New Roman"/>
        </w:rPr>
      </w:pPr>
    </w:p>
    <w:p>
      <w:pPr>
        <w:pStyle w:val="18"/>
        <w:ind w:firstLine="31680"/>
        <w:rPr>
          <w:rFonts w:ascii="Times New Roman"/>
        </w:rPr>
      </w:pPr>
    </w:p>
    <w:p>
      <w:pPr>
        <w:pStyle w:val="18"/>
        <w:ind w:firstLine="31680"/>
        <w:rPr>
          <w:rFonts w:ascii="Times New Roman"/>
        </w:rPr>
      </w:pPr>
    </w:p>
    <w:p>
      <w:pPr>
        <w:pStyle w:val="18"/>
        <w:ind w:firstLine="31680"/>
        <w:rPr>
          <w:rFonts w:ascii="Times New Roman"/>
        </w:rPr>
      </w:pPr>
    </w:p>
    <w:p>
      <w:pPr>
        <w:pStyle w:val="18"/>
        <w:ind w:firstLine="31680"/>
        <w:rPr>
          <w:rFonts w:ascii="Times New Roman"/>
        </w:rPr>
      </w:pPr>
    </w:p>
    <w:p>
      <w:pPr>
        <w:pStyle w:val="18"/>
        <w:ind w:firstLine="31680"/>
        <w:rPr>
          <w:rFonts w:ascii="Times New Roman"/>
        </w:rPr>
      </w:pPr>
    </w:p>
    <w:p>
      <w:pPr>
        <w:pStyle w:val="18"/>
        <w:ind w:firstLine="31680"/>
        <w:rPr>
          <w:rFonts w:ascii="Times New Roman"/>
        </w:rPr>
      </w:pPr>
    </w:p>
    <w:p>
      <w:pPr>
        <w:pStyle w:val="18"/>
        <w:ind w:firstLine="31680"/>
        <w:rPr>
          <w:rFonts w:ascii="Times New Roman"/>
        </w:rPr>
      </w:pPr>
    </w:p>
    <w:p>
      <w:pPr>
        <w:pStyle w:val="18"/>
        <w:ind w:firstLine="31680"/>
        <w:rPr>
          <w:rFonts w:ascii="Times New Roman"/>
        </w:rPr>
      </w:pPr>
    </w:p>
    <w:p>
      <w:pPr>
        <w:pStyle w:val="18"/>
        <w:ind w:firstLine="31680"/>
        <w:rPr>
          <w:rFonts w:ascii="Times New Roman"/>
        </w:rPr>
      </w:pPr>
    </w:p>
    <w:p>
      <w:pPr>
        <w:pStyle w:val="120"/>
        <w:rPr>
          <w:rFonts w:ascii="Times New Roman"/>
        </w:rPr>
      </w:pPr>
      <w:bookmarkStart w:id="11" w:name="_Toc533518618"/>
      <w:bookmarkStart w:id="12" w:name="_Toc524004770"/>
      <w:r>
        <w:rPr>
          <w:rFonts w:hint="eastAsia" w:ascii="Times New Roman"/>
        </w:rPr>
        <w:t>前</w:t>
      </w:r>
      <w:bookmarkStart w:id="13" w:name="BKQY"/>
      <w:r>
        <w:rPr>
          <w:rFonts w:ascii="Times New Roman" w:eastAsia="MS Mincho"/>
        </w:rPr>
        <w:t>  </w:t>
      </w:r>
      <w:r>
        <w:rPr>
          <w:rFonts w:hint="eastAsia" w:ascii="Times New Roman"/>
        </w:rPr>
        <w:t>言</w:t>
      </w:r>
      <w:bookmarkEnd w:id="11"/>
      <w:bookmarkEnd w:id="12"/>
      <w:bookmarkEnd w:id="13"/>
    </w:p>
    <w:p>
      <w:pPr>
        <w:pStyle w:val="18"/>
        <w:ind w:firstLine="31680"/>
        <w:rPr>
          <w:rFonts w:ascii="Times New Roman"/>
        </w:rPr>
      </w:pPr>
      <w:r>
        <w:rPr>
          <w:rFonts w:hint="eastAsia" w:ascii="Times New Roman"/>
        </w:rPr>
        <w:t>本标准按照</w:t>
      </w:r>
      <w:r>
        <w:rPr>
          <w:rFonts w:ascii="Times New Roman"/>
        </w:rPr>
        <w:t>GB/T 1.1-2009</w:t>
      </w:r>
      <w:r>
        <w:rPr>
          <w:rFonts w:hint="eastAsia" w:ascii="Times New Roman"/>
        </w:rPr>
        <w:t>给出的规则起草。</w:t>
      </w:r>
    </w:p>
    <w:p>
      <w:pPr>
        <w:pStyle w:val="18"/>
        <w:ind w:firstLine="31680"/>
        <w:rPr>
          <w:rFonts w:ascii="Times New Roman"/>
        </w:rPr>
      </w:pPr>
      <w:r>
        <w:rPr>
          <w:rFonts w:hint="eastAsia" w:ascii="Times New Roman"/>
        </w:rPr>
        <w:t>本标准是按中国工程建设标准化协会《</w:t>
      </w:r>
      <w:r>
        <w:rPr>
          <w:rFonts w:ascii="Times New Roman"/>
        </w:rPr>
        <w:t>2017</w:t>
      </w:r>
      <w:r>
        <w:rPr>
          <w:rFonts w:hint="eastAsia" w:ascii="Times New Roman"/>
        </w:rPr>
        <w:t>年第三批工程建设协会标准制订、修订计划》（建标协字〔</w:t>
      </w:r>
      <w:r>
        <w:rPr>
          <w:rFonts w:ascii="Times New Roman"/>
        </w:rPr>
        <w:t>2017</w:t>
      </w:r>
      <w:r>
        <w:rPr>
          <w:rFonts w:hint="eastAsia" w:ascii="Times New Roman"/>
        </w:rPr>
        <w:t>〕</w:t>
      </w:r>
      <w:r>
        <w:rPr>
          <w:rFonts w:ascii="Times New Roman"/>
        </w:rPr>
        <w:t>034</w:t>
      </w:r>
      <w:r>
        <w:rPr>
          <w:rFonts w:hint="eastAsia" w:ascii="Times New Roman"/>
        </w:rPr>
        <w:t>号的要求制定。</w:t>
      </w:r>
    </w:p>
    <w:p>
      <w:pPr>
        <w:pStyle w:val="18"/>
        <w:ind w:firstLine="31680"/>
        <w:rPr>
          <w:rFonts w:ascii="Times New Roman"/>
        </w:rPr>
      </w:pPr>
      <w:r>
        <w:rPr>
          <w:rFonts w:hint="eastAsia" w:ascii="Times New Roman"/>
        </w:rPr>
        <w:t>本标准由中国工程建设标准化协会提出并归口。</w:t>
      </w:r>
    </w:p>
    <w:p>
      <w:pPr>
        <w:pStyle w:val="18"/>
        <w:ind w:firstLine="31680"/>
        <w:rPr>
          <w:rFonts w:ascii="Times New Roman"/>
        </w:rPr>
      </w:pPr>
      <w:r>
        <w:rPr>
          <w:rFonts w:hint="eastAsia" w:ascii="Times New Roman"/>
        </w:rPr>
        <w:t>本标准负责起草单位：</w:t>
      </w:r>
    </w:p>
    <w:p>
      <w:pPr>
        <w:pStyle w:val="18"/>
        <w:ind w:firstLine="31680"/>
        <w:rPr>
          <w:rFonts w:ascii="Times New Roman"/>
        </w:rPr>
      </w:pPr>
      <w:r>
        <w:rPr>
          <w:rFonts w:hint="eastAsia" w:ascii="Times New Roman"/>
        </w:rPr>
        <w:t>本标准参加起草单位：</w:t>
      </w:r>
    </w:p>
    <w:p>
      <w:pPr>
        <w:pStyle w:val="18"/>
        <w:ind w:firstLine="31680"/>
        <w:rPr>
          <w:rFonts w:ascii="Times New Roman"/>
        </w:rPr>
      </w:pPr>
      <w:r>
        <w:rPr>
          <w:rFonts w:hint="eastAsia" w:ascii="Times New Roman"/>
        </w:rPr>
        <w:t>本标准主要起草人：</w:t>
      </w:r>
      <w:bookmarkStart w:id="124" w:name="_GoBack"/>
      <w:bookmarkEnd w:id="124"/>
    </w:p>
    <w:p>
      <w:pPr>
        <w:pStyle w:val="18"/>
        <w:ind w:firstLine="31680"/>
        <w:rPr>
          <w:rFonts w:ascii="Times New Roman"/>
        </w:rPr>
        <w:sectPr>
          <w:headerReference r:id="rId3" w:type="default"/>
          <w:footerReference r:id="rId4" w:type="default"/>
          <w:pgSz w:w="11906" w:h="16838"/>
          <w:pgMar w:top="567" w:right="1134" w:bottom="1134" w:left="1418" w:header="1418" w:footer="1134" w:gutter="0"/>
          <w:pgNumType w:fmt="upperRoman" w:start="1"/>
          <w:cols w:space="720" w:num="1"/>
          <w:formProt w:val="0"/>
          <w:docGrid w:type="lines" w:linePitch="312" w:charSpace="0"/>
        </w:sectPr>
      </w:pPr>
    </w:p>
    <w:p>
      <w:pPr>
        <w:pStyle w:val="127"/>
        <w:spacing w:before="156" w:after="156"/>
        <w:rPr>
          <w:rFonts w:ascii="Times New Roman"/>
          <w:color w:val="000000"/>
        </w:rPr>
      </w:pPr>
      <w:bookmarkStart w:id="14" w:name="_Toc533518619"/>
      <w:r>
        <w:rPr>
          <w:rFonts w:hint="eastAsia" w:ascii="Times New Roman"/>
          <w:color w:val="000000"/>
        </w:rPr>
        <w:t>绿色建材评价标准</w:t>
      </w:r>
      <w:r>
        <w:rPr>
          <w:rFonts w:ascii="Times New Roman"/>
          <w:color w:val="000000"/>
        </w:rPr>
        <w:t xml:space="preserve"> </w:t>
      </w:r>
      <w:r>
        <w:rPr>
          <w:rFonts w:hint="eastAsia" w:ascii="Times New Roman"/>
          <w:color w:val="000000"/>
        </w:rPr>
        <w:t>工程修复材料</w:t>
      </w:r>
      <w:bookmarkEnd w:id="14"/>
    </w:p>
    <w:p>
      <w:pPr>
        <w:pStyle w:val="81"/>
        <w:numPr>
          <w:ilvl w:val="0"/>
          <w:numId w:val="18"/>
        </w:numPr>
        <w:tabs>
          <w:tab w:val="left" w:pos="0"/>
        </w:tabs>
        <w:spacing w:before="312" w:after="312"/>
        <w:ind w:left="0" w:firstLine="0"/>
        <w:rPr>
          <w:rFonts w:ascii="Times New Roman"/>
          <w:color w:val="000000"/>
        </w:rPr>
      </w:pPr>
      <w:bookmarkStart w:id="15" w:name="_Toc360436746"/>
      <w:bookmarkStart w:id="16" w:name="_Toc350863984"/>
      <w:bookmarkStart w:id="17" w:name="_Toc406486337"/>
      <w:bookmarkStart w:id="18" w:name="_Toc533518620"/>
      <w:bookmarkStart w:id="19" w:name="_Toc396134027"/>
      <w:bookmarkStart w:id="20" w:name="_Toc462063250"/>
      <w:bookmarkStart w:id="21" w:name="_Toc360436832"/>
      <w:bookmarkStart w:id="22" w:name="_Toc360632420"/>
      <w:r>
        <w:rPr>
          <w:rFonts w:hint="eastAsia" w:ascii="Times New Roman"/>
          <w:color w:val="000000"/>
        </w:rPr>
        <w:t>范围</w:t>
      </w:r>
      <w:bookmarkEnd w:id="15"/>
      <w:bookmarkEnd w:id="16"/>
      <w:bookmarkEnd w:id="17"/>
      <w:bookmarkEnd w:id="18"/>
      <w:bookmarkEnd w:id="19"/>
      <w:bookmarkEnd w:id="20"/>
      <w:bookmarkEnd w:id="21"/>
      <w:bookmarkEnd w:id="22"/>
    </w:p>
    <w:p>
      <w:pPr>
        <w:pStyle w:val="18"/>
        <w:ind w:firstLine="31680"/>
        <w:rPr>
          <w:rFonts w:ascii="Times New Roman"/>
          <w:szCs w:val="22"/>
        </w:rPr>
      </w:pPr>
      <w:bookmarkStart w:id="23" w:name="_Toc396134028"/>
      <w:bookmarkStart w:id="24" w:name="_Toc360436833"/>
      <w:bookmarkStart w:id="25" w:name="_Toc360436747"/>
      <w:bookmarkStart w:id="26" w:name="_Toc406486338"/>
      <w:bookmarkStart w:id="27" w:name="_Toc350863985"/>
      <w:bookmarkStart w:id="28" w:name="_Toc360632421"/>
      <w:r>
        <w:rPr>
          <w:rFonts w:hint="eastAsia" w:ascii="Times New Roman"/>
        </w:rPr>
        <w:t>本标准规定了工程修复材料绿色建材评价的术语和定义、评</w:t>
      </w:r>
      <w:r>
        <w:rPr>
          <w:rFonts w:hint="eastAsia" w:ascii="Times New Roman"/>
          <w:szCs w:val="22"/>
        </w:rPr>
        <w:t>价要求和评价方法。</w:t>
      </w:r>
    </w:p>
    <w:p>
      <w:pPr>
        <w:pStyle w:val="18"/>
        <w:ind w:firstLine="31680"/>
        <w:rPr>
          <w:rFonts w:ascii="Times New Roman"/>
          <w:szCs w:val="22"/>
        </w:rPr>
      </w:pPr>
      <w:r>
        <w:rPr>
          <w:rFonts w:hint="eastAsia" w:ascii="Times New Roman"/>
          <w:szCs w:val="22"/>
        </w:rPr>
        <w:t>本标准适用于工程修复材料的绿色建材评价。</w:t>
      </w:r>
    </w:p>
    <w:p>
      <w:pPr>
        <w:pStyle w:val="81"/>
        <w:numPr>
          <w:ilvl w:val="0"/>
          <w:numId w:val="18"/>
        </w:numPr>
        <w:tabs>
          <w:tab w:val="left" w:pos="0"/>
        </w:tabs>
        <w:spacing w:before="312" w:after="312"/>
        <w:ind w:left="0" w:firstLine="0"/>
        <w:rPr>
          <w:rFonts w:ascii="Times New Roman"/>
          <w:color w:val="000000"/>
        </w:rPr>
      </w:pPr>
      <w:bookmarkStart w:id="29" w:name="_Toc533518621"/>
      <w:bookmarkStart w:id="30" w:name="_Toc462063251"/>
      <w:r>
        <w:rPr>
          <w:rFonts w:hint="eastAsia" w:ascii="Times New Roman"/>
          <w:color w:val="000000"/>
        </w:rPr>
        <w:t>规范性引用文件</w:t>
      </w:r>
      <w:bookmarkEnd w:id="23"/>
      <w:bookmarkEnd w:id="24"/>
      <w:bookmarkEnd w:id="25"/>
      <w:bookmarkEnd w:id="26"/>
      <w:bookmarkEnd w:id="27"/>
      <w:bookmarkEnd w:id="28"/>
      <w:bookmarkEnd w:id="29"/>
      <w:bookmarkEnd w:id="30"/>
    </w:p>
    <w:p>
      <w:pPr>
        <w:pStyle w:val="18"/>
        <w:ind w:firstLine="31680"/>
        <w:rPr>
          <w:rFonts w:ascii="Times New Roman"/>
          <w:bCs/>
        </w:rPr>
      </w:pPr>
      <w:bookmarkStart w:id="31" w:name="_Toc360632422"/>
      <w:bookmarkStart w:id="32" w:name="_Toc350863986"/>
      <w:bookmarkStart w:id="33" w:name="_Toc360436748"/>
      <w:bookmarkStart w:id="34" w:name="_Toc462063252"/>
      <w:bookmarkStart w:id="35" w:name="_Toc396134029"/>
      <w:bookmarkStart w:id="36" w:name="_Toc360436834"/>
      <w:bookmarkStart w:id="37" w:name="_Toc406486339"/>
      <w:r>
        <w:rPr>
          <w:rFonts w:hint="eastAsia" w:ascii="Times New Roman"/>
          <w:bCs/>
        </w:rPr>
        <w:t>下列文件对于本文件的应用是必不可少的。凡是注日期的引用文件，仅注日期的版本适用于本文件。凡是不注日期的引用文件，其最新版本（包括所有的修改单）适用于本文件。</w:t>
      </w:r>
    </w:p>
    <w:p>
      <w:pPr>
        <w:pStyle w:val="18"/>
        <w:tabs>
          <w:tab w:val="left" w:pos="2600"/>
          <w:tab w:val="clear" w:pos="4201"/>
          <w:tab w:val="clear" w:pos="9298"/>
        </w:tabs>
        <w:ind w:firstLine="31680"/>
        <w:rPr>
          <w:rFonts w:ascii="Times New Roman"/>
          <w:szCs w:val="22"/>
        </w:rPr>
      </w:pPr>
      <w:r>
        <w:rPr>
          <w:rFonts w:ascii="Times New Roman"/>
          <w:szCs w:val="22"/>
        </w:rPr>
        <w:t xml:space="preserve">GB/T 2589 </w:t>
      </w:r>
      <w:r>
        <w:rPr>
          <w:rFonts w:hint="eastAsia" w:ascii="Times New Roman"/>
          <w:szCs w:val="22"/>
        </w:rPr>
        <w:t>综合能耗计算通则</w:t>
      </w:r>
    </w:p>
    <w:p>
      <w:pPr>
        <w:pStyle w:val="18"/>
        <w:tabs>
          <w:tab w:val="left" w:pos="2600"/>
          <w:tab w:val="clear" w:pos="4201"/>
          <w:tab w:val="clear" w:pos="9298"/>
        </w:tabs>
        <w:ind w:firstLine="31680"/>
        <w:rPr>
          <w:rFonts w:ascii="Times New Roman"/>
          <w:szCs w:val="22"/>
        </w:rPr>
      </w:pPr>
      <w:r>
        <w:rPr>
          <w:rFonts w:ascii="Times New Roman"/>
          <w:szCs w:val="22"/>
        </w:rPr>
        <w:t xml:space="preserve">GB 5085.3 </w:t>
      </w:r>
      <w:r>
        <w:rPr>
          <w:rFonts w:hint="eastAsia" w:ascii="Times New Roman"/>
          <w:szCs w:val="22"/>
        </w:rPr>
        <w:t>危险废物鉴别标准</w:t>
      </w:r>
      <w:r>
        <w:rPr>
          <w:rFonts w:ascii="Times New Roman"/>
          <w:szCs w:val="22"/>
        </w:rPr>
        <w:t xml:space="preserve"> </w:t>
      </w:r>
      <w:r>
        <w:rPr>
          <w:rFonts w:hint="eastAsia" w:ascii="Times New Roman"/>
          <w:szCs w:val="22"/>
        </w:rPr>
        <w:t>浸出毒性鉴别</w:t>
      </w:r>
    </w:p>
    <w:p>
      <w:pPr>
        <w:pStyle w:val="18"/>
        <w:tabs>
          <w:tab w:val="left" w:pos="2600"/>
          <w:tab w:val="clear" w:pos="4201"/>
          <w:tab w:val="clear" w:pos="9298"/>
        </w:tabs>
        <w:ind w:firstLine="31680"/>
        <w:rPr>
          <w:rFonts w:ascii="Times New Roman"/>
          <w:szCs w:val="22"/>
        </w:rPr>
      </w:pPr>
      <w:r>
        <w:rPr>
          <w:rFonts w:ascii="Times New Roman"/>
          <w:szCs w:val="22"/>
        </w:rPr>
        <w:t xml:space="preserve">GB 6566 </w:t>
      </w:r>
      <w:r>
        <w:rPr>
          <w:rFonts w:hint="eastAsia" w:ascii="Times New Roman"/>
          <w:szCs w:val="22"/>
        </w:rPr>
        <w:t>建筑材料放射性核素限量</w:t>
      </w:r>
    </w:p>
    <w:p>
      <w:pPr>
        <w:pStyle w:val="18"/>
        <w:tabs>
          <w:tab w:val="left" w:pos="2600"/>
          <w:tab w:val="clear" w:pos="4201"/>
          <w:tab w:val="clear" w:pos="9298"/>
        </w:tabs>
        <w:ind w:firstLine="31680"/>
        <w:rPr>
          <w:rFonts w:ascii="Times New Roman"/>
          <w:szCs w:val="22"/>
        </w:rPr>
      </w:pPr>
      <w:r>
        <w:rPr>
          <w:rFonts w:ascii="Times New Roman"/>
          <w:szCs w:val="22"/>
        </w:rPr>
        <w:t xml:space="preserve">GB 8076-2008 </w:t>
      </w:r>
      <w:r>
        <w:rPr>
          <w:rFonts w:hint="eastAsia" w:ascii="Times New Roman"/>
          <w:szCs w:val="22"/>
        </w:rPr>
        <w:t>混凝土外加剂</w:t>
      </w:r>
    </w:p>
    <w:p>
      <w:pPr>
        <w:pStyle w:val="18"/>
        <w:tabs>
          <w:tab w:val="left" w:pos="2600"/>
          <w:tab w:val="clear" w:pos="4201"/>
          <w:tab w:val="clear" w:pos="9298"/>
        </w:tabs>
        <w:ind w:firstLine="31680"/>
        <w:rPr>
          <w:rFonts w:ascii="Times New Roman"/>
          <w:szCs w:val="22"/>
        </w:rPr>
      </w:pPr>
      <w:r>
        <w:fldChar w:fldCharType="begin"/>
      </w:r>
      <w:r>
        <w:instrText xml:space="preserve"> HYPERLINK "http://www.baidu.com/link?url=bxtGBO4X7xj2h6Etfk3n_AfViqbjLKjYpOC-M4fQ-ud_bNqDJFyVx5CCKCohocVfg8Q4VRSZdEKgAuUEkeVxpa" \t "_blank" </w:instrText>
      </w:r>
      <w:r>
        <w:fldChar w:fldCharType="separate"/>
      </w:r>
      <w:r>
        <w:rPr>
          <w:rFonts w:ascii="Times New Roman"/>
          <w:szCs w:val="22"/>
        </w:rPr>
        <w:t xml:space="preserve">GB 12007.7-1989 </w:t>
      </w:r>
      <w:r>
        <w:rPr>
          <w:rFonts w:hint="eastAsia" w:ascii="Times New Roman"/>
          <w:szCs w:val="22"/>
        </w:rPr>
        <w:t>环氧树脂凝胶时间测定方法</w:t>
      </w:r>
      <w:r>
        <w:rPr>
          <w:rFonts w:hint="eastAsia" w:ascii="Times New Roman"/>
          <w:szCs w:val="22"/>
        </w:rPr>
        <w:fldChar w:fldCharType="end"/>
      </w:r>
    </w:p>
    <w:p>
      <w:pPr>
        <w:pStyle w:val="18"/>
        <w:tabs>
          <w:tab w:val="left" w:pos="2600"/>
          <w:tab w:val="clear" w:pos="4201"/>
          <w:tab w:val="clear" w:pos="9298"/>
        </w:tabs>
        <w:ind w:firstLine="31680"/>
        <w:rPr>
          <w:rFonts w:ascii="Times New Roman"/>
          <w:szCs w:val="22"/>
        </w:rPr>
      </w:pPr>
      <w:r>
        <w:rPr>
          <w:rFonts w:ascii="Times New Roman"/>
          <w:szCs w:val="22"/>
        </w:rPr>
        <w:t xml:space="preserve">GB/T 14902 </w:t>
      </w:r>
      <w:r>
        <w:rPr>
          <w:rFonts w:hint="eastAsia" w:ascii="Times New Roman"/>
          <w:szCs w:val="22"/>
        </w:rPr>
        <w:t>预拌混凝土</w:t>
      </w:r>
    </w:p>
    <w:p>
      <w:pPr>
        <w:pStyle w:val="18"/>
        <w:tabs>
          <w:tab w:val="left" w:pos="2600"/>
          <w:tab w:val="clear" w:pos="4201"/>
          <w:tab w:val="clear" w:pos="9298"/>
        </w:tabs>
        <w:ind w:firstLine="31680"/>
        <w:rPr>
          <w:rFonts w:ascii="Times New Roman"/>
          <w:szCs w:val="22"/>
        </w:rPr>
      </w:pPr>
      <w:r>
        <w:rPr>
          <w:rFonts w:ascii="Times New Roman"/>
          <w:szCs w:val="22"/>
        </w:rPr>
        <w:t xml:space="preserve">GB 16297 </w:t>
      </w:r>
      <w:r>
        <w:rPr>
          <w:rFonts w:hint="eastAsia" w:ascii="Times New Roman"/>
          <w:szCs w:val="22"/>
        </w:rPr>
        <w:t>大气污染物综合排放标准</w:t>
      </w:r>
    </w:p>
    <w:p>
      <w:pPr>
        <w:pStyle w:val="18"/>
        <w:tabs>
          <w:tab w:val="left" w:pos="2600"/>
          <w:tab w:val="clear" w:pos="4201"/>
          <w:tab w:val="clear" w:pos="9298"/>
        </w:tabs>
        <w:ind w:firstLine="31680"/>
        <w:rPr>
          <w:rFonts w:ascii="Times New Roman"/>
          <w:szCs w:val="22"/>
        </w:rPr>
      </w:pPr>
      <w:r>
        <w:rPr>
          <w:rFonts w:ascii="Times New Roman"/>
          <w:szCs w:val="22"/>
        </w:rPr>
        <w:t xml:space="preserve">GB/T 18445 </w:t>
      </w:r>
      <w:r>
        <w:rPr>
          <w:rFonts w:hint="eastAsia" w:ascii="Times New Roman"/>
          <w:szCs w:val="22"/>
        </w:rPr>
        <w:t>水泥基渗透结晶型防水材料</w:t>
      </w:r>
    </w:p>
    <w:p>
      <w:pPr>
        <w:pStyle w:val="18"/>
        <w:tabs>
          <w:tab w:val="left" w:pos="2600"/>
          <w:tab w:val="clear" w:pos="4201"/>
          <w:tab w:val="clear" w:pos="9298"/>
        </w:tabs>
        <w:ind w:firstLine="31680"/>
        <w:rPr>
          <w:rFonts w:ascii="Times New Roman"/>
          <w:szCs w:val="22"/>
        </w:rPr>
      </w:pPr>
      <w:r>
        <w:rPr>
          <w:rFonts w:ascii="Times New Roman"/>
          <w:szCs w:val="22"/>
        </w:rPr>
        <w:t xml:space="preserve">GB 18597 </w:t>
      </w:r>
      <w:r>
        <w:rPr>
          <w:rFonts w:hint="eastAsia" w:ascii="Times New Roman"/>
          <w:szCs w:val="22"/>
        </w:rPr>
        <w:t>危险废物贮存污染控制标准</w:t>
      </w:r>
    </w:p>
    <w:p>
      <w:pPr>
        <w:pStyle w:val="18"/>
        <w:tabs>
          <w:tab w:val="left" w:pos="2600"/>
          <w:tab w:val="clear" w:pos="4201"/>
          <w:tab w:val="clear" w:pos="9298"/>
        </w:tabs>
        <w:ind w:firstLine="31680"/>
        <w:rPr>
          <w:rFonts w:ascii="Times New Roman"/>
          <w:szCs w:val="22"/>
        </w:rPr>
      </w:pPr>
      <w:r>
        <w:rPr>
          <w:rFonts w:ascii="Times New Roman"/>
          <w:szCs w:val="22"/>
        </w:rPr>
        <w:t xml:space="preserve">GB 18599 </w:t>
      </w:r>
      <w:r>
        <w:rPr>
          <w:rFonts w:hint="eastAsia" w:ascii="Times New Roman"/>
          <w:szCs w:val="22"/>
        </w:rPr>
        <w:t>一般工业固体废物贮存、处置场污染控制标准</w:t>
      </w:r>
    </w:p>
    <w:p>
      <w:pPr>
        <w:pStyle w:val="18"/>
        <w:tabs>
          <w:tab w:val="left" w:pos="2600"/>
          <w:tab w:val="clear" w:pos="4201"/>
          <w:tab w:val="clear" w:pos="9298"/>
        </w:tabs>
        <w:ind w:firstLine="31680"/>
        <w:rPr>
          <w:rFonts w:ascii="Times New Roman"/>
          <w:szCs w:val="22"/>
        </w:rPr>
      </w:pPr>
      <w:r>
        <w:rPr>
          <w:rFonts w:ascii="Times New Roman"/>
          <w:szCs w:val="22"/>
        </w:rPr>
        <w:t xml:space="preserve">GB/T 19001 </w:t>
      </w:r>
      <w:r>
        <w:rPr>
          <w:rFonts w:hint="eastAsia" w:ascii="Times New Roman"/>
          <w:szCs w:val="22"/>
        </w:rPr>
        <w:t>质量管理体系</w:t>
      </w:r>
      <w:r>
        <w:rPr>
          <w:rFonts w:ascii="Times New Roman"/>
          <w:szCs w:val="22"/>
        </w:rPr>
        <w:t xml:space="preserve"> </w:t>
      </w:r>
      <w:r>
        <w:rPr>
          <w:rFonts w:hint="eastAsia" w:ascii="Times New Roman"/>
          <w:szCs w:val="22"/>
        </w:rPr>
        <w:t>要求</w:t>
      </w:r>
    </w:p>
    <w:p>
      <w:pPr>
        <w:pStyle w:val="18"/>
        <w:tabs>
          <w:tab w:val="left" w:pos="2600"/>
          <w:tab w:val="clear" w:pos="4201"/>
          <w:tab w:val="clear" w:pos="9298"/>
        </w:tabs>
        <w:ind w:firstLine="31680"/>
        <w:rPr>
          <w:rFonts w:ascii="Times New Roman"/>
          <w:szCs w:val="22"/>
        </w:rPr>
      </w:pPr>
      <w:r>
        <w:rPr>
          <w:rFonts w:ascii="Times New Roman"/>
          <w:szCs w:val="22"/>
        </w:rPr>
        <w:t xml:space="preserve">GB/T 23331 </w:t>
      </w:r>
      <w:r>
        <w:rPr>
          <w:rFonts w:hint="eastAsia" w:ascii="Times New Roman"/>
          <w:szCs w:val="22"/>
        </w:rPr>
        <w:t>能源管理体系</w:t>
      </w:r>
      <w:r>
        <w:rPr>
          <w:rFonts w:ascii="Times New Roman"/>
          <w:szCs w:val="22"/>
        </w:rPr>
        <w:t xml:space="preserve"> </w:t>
      </w:r>
      <w:r>
        <w:rPr>
          <w:rFonts w:hint="eastAsia" w:ascii="Times New Roman"/>
          <w:szCs w:val="22"/>
        </w:rPr>
        <w:t>要求及使用指南</w:t>
      </w:r>
    </w:p>
    <w:p>
      <w:pPr>
        <w:pStyle w:val="18"/>
        <w:tabs>
          <w:tab w:val="left" w:pos="2600"/>
          <w:tab w:val="clear" w:pos="4201"/>
          <w:tab w:val="clear" w:pos="9298"/>
        </w:tabs>
        <w:ind w:firstLine="31680"/>
        <w:rPr>
          <w:rFonts w:ascii="Times New Roman"/>
          <w:szCs w:val="22"/>
        </w:rPr>
      </w:pPr>
      <w:r>
        <w:rPr>
          <w:rFonts w:ascii="Times New Roman"/>
          <w:szCs w:val="22"/>
        </w:rPr>
        <w:t xml:space="preserve">GB/T 24001 </w:t>
      </w:r>
      <w:r>
        <w:rPr>
          <w:rFonts w:hint="eastAsia" w:ascii="Times New Roman"/>
          <w:szCs w:val="22"/>
        </w:rPr>
        <w:t>环境管理体系</w:t>
      </w:r>
      <w:r>
        <w:rPr>
          <w:rFonts w:ascii="Times New Roman"/>
          <w:szCs w:val="22"/>
        </w:rPr>
        <w:t xml:space="preserve"> </w:t>
      </w:r>
      <w:r>
        <w:rPr>
          <w:rFonts w:hint="eastAsia" w:ascii="Times New Roman"/>
          <w:szCs w:val="22"/>
        </w:rPr>
        <w:t>要求及使用指南</w:t>
      </w:r>
    </w:p>
    <w:p>
      <w:pPr>
        <w:pStyle w:val="18"/>
        <w:tabs>
          <w:tab w:val="left" w:pos="2600"/>
          <w:tab w:val="clear" w:pos="4201"/>
          <w:tab w:val="clear" w:pos="9298"/>
        </w:tabs>
        <w:ind w:firstLine="31680"/>
        <w:rPr>
          <w:rFonts w:ascii="Times New Roman"/>
          <w:szCs w:val="22"/>
        </w:rPr>
      </w:pPr>
      <w:r>
        <w:rPr>
          <w:rFonts w:ascii="Times New Roman"/>
          <w:szCs w:val="22"/>
        </w:rPr>
        <w:t xml:space="preserve">GB/T 24025  </w:t>
      </w:r>
      <w:r>
        <w:rPr>
          <w:rFonts w:hint="eastAsia" w:ascii="Times New Roman"/>
          <w:szCs w:val="22"/>
        </w:rPr>
        <w:t>环境标志和声明</w:t>
      </w:r>
      <w:r>
        <w:rPr>
          <w:rFonts w:ascii="Times New Roman"/>
          <w:szCs w:val="22"/>
        </w:rPr>
        <w:t xml:space="preserve"> III</w:t>
      </w:r>
      <w:r>
        <w:rPr>
          <w:rFonts w:hint="eastAsia" w:ascii="Times New Roman"/>
          <w:szCs w:val="22"/>
        </w:rPr>
        <w:t>型环境声明</w:t>
      </w:r>
      <w:r>
        <w:rPr>
          <w:rFonts w:ascii="Times New Roman"/>
          <w:szCs w:val="22"/>
        </w:rPr>
        <w:t xml:space="preserve"> </w:t>
      </w:r>
      <w:r>
        <w:rPr>
          <w:rFonts w:hint="eastAsia" w:ascii="Times New Roman"/>
          <w:szCs w:val="22"/>
        </w:rPr>
        <w:t>原则和程序</w:t>
      </w:r>
    </w:p>
    <w:p>
      <w:pPr>
        <w:pStyle w:val="18"/>
        <w:tabs>
          <w:tab w:val="left" w:pos="2600"/>
          <w:tab w:val="clear" w:pos="4201"/>
          <w:tab w:val="clear" w:pos="9298"/>
        </w:tabs>
        <w:ind w:firstLine="31680"/>
        <w:rPr>
          <w:rFonts w:ascii="Times New Roman"/>
          <w:szCs w:val="22"/>
        </w:rPr>
      </w:pPr>
      <w:r>
        <w:rPr>
          <w:rFonts w:ascii="Times New Roman"/>
          <w:szCs w:val="22"/>
        </w:rPr>
        <w:t xml:space="preserve">GBT 25181 </w:t>
      </w:r>
      <w:r>
        <w:rPr>
          <w:rFonts w:hint="eastAsia" w:ascii="Times New Roman"/>
          <w:szCs w:val="22"/>
        </w:rPr>
        <w:t>预拌砂浆</w:t>
      </w:r>
    </w:p>
    <w:p>
      <w:pPr>
        <w:pStyle w:val="18"/>
        <w:tabs>
          <w:tab w:val="left" w:pos="2600"/>
          <w:tab w:val="clear" w:pos="4201"/>
          <w:tab w:val="clear" w:pos="9298"/>
        </w:tabs>
        <w:ind w:firstLine="31680"/>
        <w:rPr>
          <w:rFonts w:ascii="Times New Roman"/>
          <w:szCs w:val="22"/>
        </w:rPr>
      </w:pPr>
      <w:r>
        <w:rPr>
          <w:rFonts w:ascii="Times New Roman"/>
          <w:szCs w:val="22"/>
        </w:rPr>
        <w:t xml:space="preserve">GB/T 28001 </w:t>
      </w:r>
      <w:r>
        <w:rPr>
          <w:rFonts w:hint="eastAsia" w:ascii="Times New Roman"/>
          <w:szCs w:val="22"/>
        </w:rPr>
        <w:t>职业健康安全管理体系</w:t>
      </w:r>
      <w:r>
        <w:rPr>
          <w:rFonts w:ascii="Times New Roman"/>
          <w:szCs w:val="22"/>
        </w:rPr>
        <w:t xml:space="preserve"> </w:t>
      </w:r>
      <w:r>
        <w:rPr>
          <w:rFonts w:hint="eastAsia" w:ascii="Times New Roman"/>
          <w:szCs w:val="22"/>
        </w:rPr>
        <w:t>要求</w:t>
      </w:r>
    </w:p>
    <w:p>
      <w:pPr>
        <w:pStyle w:val="18"/>
        <w:tabs>
          <w:tab w:val="left" w:pos="2600"/>
          <w:tab w:val="clear" w:pos="4201"/>
          <w:tab w:val="clear" w:pos="9298"/>
        </w:tabs>
        <w:ind w:firstLine="31680"/>
        <w:rPr>
          <w:rFonts w:ascii="Times New Roman"/>
          <w:szCs w:val="22"/>
        </w:rPr>
      </w:pPr>
      <w:r>
        <w:rPr>
          <w:rFonts w:ascii="Times New Roman"/>
          <w:szCs w:val="22"/>
        </w:rPr>
        <w:t xml:space="preserve">GB/T 35609 </w:t>
      </w:r>
      <w:r>
        <w:rPr>
          <w:rFonts w:hint="eastAsia" w:ascii="Times New Roman"/>
          <w:szCs w:val="22"/>
        </w:rPr>
        <w:t>绿色产品评价</w:t>
      </w:r>
      <w:r>
        <w:rPr>
          <w:rFonts w:ascii="Times New Roman"/>
          <w:szCs w:val="22"/>
        </w:rPr>
        <w:t xml:space="preserve"> </w:t>
      </w:r>
      <w:r>
        <w:rPr>
          <w:rFonts w:hint="eastAsia" w:ascii="Times New Roman"/>
          <w:szCs w:val="22"/>
        </w:rPr>
        <w:t>防水与密封材料</w:t>
      </w:r>
    </w:p>
    <w:p>
      <w:pPr>
        <w:pStyle w:val="18"/>
        <w:tabs>
          <w:tab w:val="left" w:pos="2600"/>
          <w:tab w:val="clear" w:pos="4201"/>
          <w:tab w:val="clear" w:pos="9298"/>
        </w:tabs>
        <w:ind w:firstLine="31680"/>
        <w:rPr>
          <w:rFonts w:ascii="Times New Roman"/>
          <w:szCs w:val="22"/>
        </w:rPr>
      </w:pPr>
      <w:r>
        <w:fldChar w:fldCharType="begin"/>
      </w:r>
      <w:r>
        <w:instrText xml:space="preserve"> HYPERLINK "http://www.baidu.com/link?url=3A9yNr3qTOrUgJvu_AbrwpCkxzDMGUmguSon96gV3kenYj9I7napUJWx35wZRc_NZxVJ7q48CRezJnOb7TikFa" </w:instrText>
      </w:r>
      <w:r>
        <w:fldChar w:fldCharType="separate"/>
      </w:r>
      <w:r>
        <w:rPr>
          <w:rFonts w:ascii="Times New Roman"/>
          <w:szCs w:val="22"/>
        </w:rPr>
        <w:t xml:space="preserve">GB 36888 </w:t>
      </w:r>
      <w:r>
        <w:rPr>
          <w:rFonts w:hint="eastAsia" w:ascii="Times New Roman"/>
          <w:szCs w:val="22"/>
        </w:rPr>
        <w:t>预拌混凝土单位产品能源消耗限额</w:t>
      </w:r>
      <w:r>
        <w:rPr>
          <w:rFonts w:hint="eastAsia" w:ascii="Times New Roman"/>
          <w:szCs w:val="22"/>
        </w:rPr>
        <w:fldChar w:fldCharType="end"/>
      </w:r>
    </w:p>
    <w:p>
      <w:pPr>
        <w:pStyle w:val="18"/>
        <w:tabs>
          <w:tab w:val="left" w:pos="2600"/>
          <w:tab w:val="clear" w:pos="4201"/>
          <w:tab w:val="clear" w:pos="9298"/>
        </w:tabs>
        <w:ind w:firstLine="31680"/>
        <w:rPr>
          <w:rFonts w:ascii="Times New Roman"/>
          <w:szCs w:val="22"/>
        </w:rPr>
      </w:pPr>
      <w:r>
        <w:rPr>
          <w:rFonts w:ascii="Times New Roman"/>
          <w:szCs w:val="22"/>
        </w:rPr>
        <w:t xml:space="preserve">GB/T 50081 </w:t>
      </w:r>
      <w:r>
        <w:rPr>
          <w:rFonts w:hint="eastAsia" w:ascii="Times New Roman"/>
          <w:szCs w:val="22"/>
        </w:rPr>
        <w:t>普通混凝土力学性能试验方法标准</w:t>
      </w:r>
    </w:p>
    <w:p>
      <w:pPr>
        <w:pStyle w:val="18"/>
        <w:tabs>
          <w:tab w:val="left" w:pos="2600"/>
          <w:tab w:val="clear" w:pos="4201"/>
          <w:tab w:val="clear" w:pos="9298"/>
        </w:tabs>
        <w:ind w:firstLine="31680"/>
        <w:rPr>
          <w:rFonts w:ascii="Times New Roman"/>
          <w:szCs w:val="22"/>
        </w:rPr>
      </w:pPr>
      <w:r>
        <w:rPr>
          <w:rFonts w:ascii="Times New Roman"/>
          <w:szCs w:val="22"/>
        </w:rPr>
        <w:t xml:space="preserve">GB/T 50082 </w:t>
      </w:r>
      <w:r>
        <w:rPr>
          <w:rFonts w:hint="eastAsia" w:ascii="Times New Roman"/>
          <w:szCs w:val="22"/>
        </w:rPr>
        <w:t>普通混凝土长期性能和耐久性能试验方法标准</w:t>
      </w:r>
    </w:p>
    <w:p>
      <w:pPr>
        <w:pStyle w:val="18"/>
        <w:tabs>
          <w:tab w:val="left" w:pos="2600"/>
          <w:tab w:val="clear" w:pos="4201"/>
          <w:tab w:val="clear" w:pos="9298"/>
        </w:tabs>
        <w:ind w:firstLine="31680"/>
        <w:rPr>
          <w:rFonts w:ascii="Times New Roman"/>
          <w:szCs w:val="22"/>
        </w:rPr>
      </w:pPr>
      <w:r>
        <w:rPr>
          <w:rFonts w:ascii="Times New Roman"/>
          <w:szCs w:val="22"/>
        </w:rPr>
        <w:t xml:space="preserve">GB 50176 </w:t>
      </w:r>
      <w:r>
        <w:rPr>
          <w:rFonts w:hint="eastAsia" w:ascii="Times New Roman"/>
          <w:szCs w:val="22"/>
        </w:rPr>
        <w:t>民用建筑热工设计规范</w:t>
      </w:r>
    </w:p>
    <w:p>
      <w:pPr>
        <w:pStyle w:val="18"/>
        <w:tabs>
          <w:tab w:val="left" w:pos="2600"/>
          <w:tab w:val="clear" w:pos="4201"/>
          <w:tab w:val="clear" w:pos="9298"/>
        </w:tabs>
        <w:ind w:firstLine="31680"/>
        <w:rPr>
          <w:rFonts w:ascii="Times New Roman"/>
          <w:szCs w:val="22"/>
        </w:rPr>
      </w:pPr>
      <w:r>
        <w:rPr>
          <w:rFonts w:ascii="Times New Roman"/>
          <w:szCs w:val="22"/>
        </w:rPr>
        <w:t xml:space="preserve">HJ/T 412 </w:t>
      </w:r>
      <w:r>
        <w:rPr>
          <w:rFonts w:hint="eastAsia" w:ascii="Times New Roman"/>
          <w:szCs w:val="22"/>
        </w:rPr>
        <w:t>环境标志产品技术要求</w:t>
      </w:r>
      <w:r>
        <w:rPr>
          <w:rFonts w:ascii="Times New Roman"/>
          <w:szCs w:val="22"/>
        </w:rPr>
        <w:t> </w:t>
      </w:r>
      <w:r>
        <w:rPr>
          <w:rFonts w:hint="eastAsia" w:ascii="Times New Roman"/>
          <w:szCs w:val="22"/>
        </w:rPr>
        <w:t>预拌混凝土</w:t>
      </w:r>
    </w:p>
    <w:p>
      <w:pPr>
        <w:pStyle w:val="18"/>
        <w:tabs>
          <w:tab w:val="left" w:pos="2600"/>
          <w:tab w:val="clear" w:pos="4201"/>
          <w:tab w:val="clear" w:pos="9298"/>
        </w:tabs>
        <w:ind w:firstLine="31680"/>
        <w:rPr>
          <w:rFonts w:ascii="Times New Roman"/>
          <w:szCs w:val="22"/>
        </w:rPr>
      </w:pPr>
      <w:r>
        <w:rPr>
          <w:rFonts w:ascii="Times New Roman"/>
          <w:szCs w:val="22"/>
        </w:rPr>
        <w:t xml:space="preserve">HJ 456 </w:t>
      </w:r>
      <w:r>
        <w:rPr>
          <w:rFonts w:hint="eastAsia" w:ascii="Times New Roman"/>
          <w:szCs w:val="22"/>
        </w:rPr>
        <w:t>环境标志产品技术要求刚性防水材料</w:t>
      </w:r>
    </w:p>
    <w:p>
      <w:pPr>
        <w:pStyle w:val="18"/>
        <w:tabs>
          <w:tab w:val="left" w:pos="2600"/>
          <w:tab w:val="clear" w:pos="4201"/>
          <w:tab w:val="clear" w:pos="9298"/>
        </w:tabs>
        <w:ind w:firstLine="31680"/>
        <w:rPr>
          <w:rFonts w:ascii="Times New Roman"/>
          <w:szCs w:val="22"/>
        </w:rPr>
      </w:pPr>
      <w:r>
        <w:fldChar w:fldCharType="begin"/>
      </w:r>
      <w:r>
        <w:instrText xml:space="preserve"> HYPERLINK "http://www.baidu.com/link?url=gM92wxhzi6vtdRTJavoRtBmwWGznP8zMCtZxLteegOu-cOVixYsXffNuvZnAYD1LSHF1syCedGlQLKzLj0xcAa" </w:instrText>
      </w:r>
      <w:r>
        <w:fldChar w:fldCharType="separate"/>
      </w:r>
      <w:r>
        <w:rPr>
          <w:rFonts w:ascii="Times New Roman"/>
          <w:szCs w:val="22"/>
        </w:rPr>
        <w:t xml:space="preserve">JC 474 </w:t>
      </w:r>
      <w:r>
        <w:rPr>
          <w:rFonts w:hint="eastAsia" w:ascii="Times New Roman"/>
          <w:szCs w:val="22"/>
        </w:rPr>
        <w:t>砂浆、混凝土防水剂</w:t>
      </w:r>
      <w:r>
        <w:rPr>
          <w:rFonts w:hint="eastAsia" w:ascii="Times New Roman"/>
          <w:szCs w:val="22"/>
        </w:rPr>
        <w:fldChar w:fldCharType="end"/>
      </w:r>
    </w:p>
    <w:p>
      <w:pPr>
        <w:pStyle w:val="18"/>
        <w:tabs>
          <w:tab w:val="left" w:pos="2600"/>
          <w:tab w:val="clear" w:pos="4201"/>
          <w:tab w:val="clear" w:pos="9298"/>
        </w:tabs>
        <w:ind w:firstLine="31680"/>
        <w:rPr>
          <w:rFonts w:ascii="Times New Roman"/>
          <w:szCs w:val="22"/>
        </w:rPr>
      </w:pPr>
      <w:r>
        <w:rPr>
          <w:rFonts w:ascii="Times New Roman"/>
          <w:szCs w:val="22"/>
        </w:rPr>
        <w:t xml:space="preserve">JC/T 907 </w:t>
      </w:r>
      <w:r>
        <w:rPr>
          <w:rFonts w:hint="eastAsia" w:ascii="Times New Roman"/>
          <w:szCs w:val="22"/>
        </w:rPr>
        <w:t>混凝土界面处理剂</w:t>
      </w:r>
    </w:p>
    <w:p>
      <w:pPr>
        <w:pStyle w:val="18"/>
        <w:tabs>
          <w:tab w:val="left" w:pos="2600"/>
          <w:tab w:val="clear" w:pos="4201"/>
          <w:tab w:val="clear" w:pos="9298"/>
        </w:tabs>
        <w:ind w:firstLine="31680"/>
        <w:rPr>
          <w:rFonts w:ascii="Times New Roman"/>
          <w:szCs w:val="22"/>
        </w:rPr>
      </w:pPr>
      <w:r>
        <w:rPr>
          <w:rFonts w:ascii="Times New Roman"/>
          <w:szCs w:val="22"/>
        </w:rPr>
        <w:t xml:space="preserve">JGJ/T 70 </w:t>
      </w:r>
      <w:r>
        <w:rPr>
          <w:rFonts w:hint="eastAsia" w:ascii="Times New Roman"/>
          <w:szCs w:val="22"/>
        </w:rPr>
        <w:t>建筑砂浆基本性能试验方法</w:t>
      </w:r>
    </w:p>
    <w:p>
      <w:pPr>
        <w:pStyle w:val="18"/>
        <w:tabs>
          <w:tab w:val="left" w:pos="2600"/>
          <w:tab w:val="clear" w:pos="4201"/>
          <w:tab w:val="clear" w:pos="9298"/>
        </w:tabs>
        <w:ind w:firstLine="31680"/>
        <w:rPr>
          <w:rFonts w:ascii="Times New Roman"/>
          <w:szCs w:val="22"/>
        </w:rPr>
      </w:pPr>
      <w:r>
        <w:rPr>
          <w:rFonts w:ascii="Times New Roman"/>
          <w:szCs w:val="22"/>
        </w:rPr>
        <w:t xml:space="preserve">JGJ/T 193 </w:t>
      </w:r>
      <w:r>
        <w:rPr>
          <w:rFonts w:hint="eastAsia" w:ascii="Times New Roman"/>
          <w:szCs w:val="22"/>
        </w:rPr>
        <w:t>混凝土耐久性检验评定标准</w:t>
      </w:r>
    </w:p>
    <w:p>
      <w:pPr>
        <w:pStyle w:val="18"/>
        <w:tabs>
          <w:tab w:val="left" w:pos="2600"/>
          <w:tab w:val="clear" w:pos="4201"/>
          <w:tab w:val="clear" w:pos="9298"/>
        </w:tabs>
        <w:ind w:firstLine="31680"/>
        <w:rPr>
          <w:rFonts w:ascii="Times New Roman"/>
          <w:szCs w:val="22"/>
        </w:rPr>
      </w:pPr>
      <w:r>
        <w:fldChar w:fldCharType="begin"/>
      </w:r>
      <w:r>
        <w:instrText xml:space="preserve"> HYPERLINK "http://www.baidu.com/link?url=kOtoSLUpQSPK6miefFPfg569h9z9fryfEh44murOLnaM70IpyPZ4cunYI7E0q5mQ" \t "_blank" </w:instrText>
      </w:r>
      <w:r>
        <w:fldChar w:fldCharType="separate"/>
      </w:r>
      <w:r>
        <w:rPr>
          <w:rFonts w:ascii="Times New Roman"/>
          <w:szCs w:val="22"/>
        </w:rPr>
        <w:t xml:space="preserve">JGJ /T 221 </w:t>
      </w:r>
      <w:r>
        <w:rPr>
          <w:rFonts w:hint="eastAsia" w:ascii="Times New Roman"/>
          <w:szCs w:val="22"/>
        </w:rPr>
        <w:t>纤维混凝土应用技术规程</w:t>
      </w:r>
      <w:r>
        <w:rPr>
          <w:rFonts w:hint="eastAsia" w:ascii="Times New Roman"/>
          <w:szCs w:val="22"/>
        </w:rPr>
        <w:fldChar w:fldCharType="end"/>
      </w:r>
    </w:p>
    <w:p>
      <w:pPr>
        <w:pStyle w:val="18"/>
        <w:tabs>
          <w:tab w:val="left" w:pos="2600"/>
          <w:tab w:val="clear" w:pos="4201"/>
          <w:tab w:val="clear" w:pos="9298"/>
        </w:tabs>
        <w:ind w:firstLine="31680"/>
        <w:rPr>
          <w:rFonts w:ascii="Times New Roman"/>
          <w:szCs w:val="22"/>
        </w:rPr>
      </w:pPr>
      <w:r>
        <w:fldChar w:fldCharType="begin"/>
      </w:r>
      <w:r>
        <w:instrText xml:space="preserve"> HYPERLINK "http://www.baidu.com/link?url=eV_2UQpE8Q_SPVYcEyO55ONLFqidGirqHNiTMO1t6LEMAiw-g_cnPxLRppjOvN8NteUv5c6ZVrOg4g1Zidg_yK" \t "_blank" </w:instrText>
      </w:r>
      <w:r>
        <w:fldChar w:fldCharType="separate"/>
      </w:r>
      <w:r>
        <w:rPr>
          <w:rFonts w:ascii="Times New Roman"/>
          <w:szCs w:val="22"/>
        </w:rPr>
        <w:t>JGJ/T 283 </w:t>
      </w:r>
      <w:r>
        <w:rPr>
          <w:rFonts w:hint="eastAsia" w:ascii="Times New Roman"/>
          <w:szCs w:val="22"/>
        </w:rPr>
        <w:t>自密实混凝土应用技术规程</w:t>
      </w:r>
      <w:r>
        <w:rPr>
          <w:rFonts w:hint="eastAsia" w:ascii="Times New Roman"/>
          <w:szCs w:val="22"/>
        </w:rPr>
        <w:fldChar w:fldCharType="end"/>
      </w:r>
    </w:p>
    <w:p>
      <w:pPr>
        <w:pStyle w:val="18"/>
        <w:tabs>
          <w:tab w:val="left" w:pos="2600"/>
          <w:tab w:val="clear" w:pos="4201"/>
          <w:tab w:val="clear" w:pos="9298"/>
        </w:tabs>
        <w:ind w:firstLine="31680"/>
        <w:rPr>
          <w:rFonts w:ascii="Times New Roman"/>
          <w:szCs w:val="22"/>
        </w:rPr>
      </w:pPr>
      <w:r>
        <w:rPr>
          <w:rFonts w:ascii="Times New Roman"/>
          <w:szCs w:val="22"/>
        </w:rPr>
        <w:t xml:space="preserve">JG/T 333 </w:t>
      </w:r>
      <w:r>
        <w:rPr>
          <w:rFonts w:hint="eastAsia" w:ascii="Times New Roman"/>
          <w:szCs w:val="22"/>
        </w:rPr>
        <w:t>混凝土裂缝修补灌浆材料技术条件</w:t>
      </w:r>
    </w:p>
    <w:p>
      <w:pPr>
        <w:pStyle w:val="18"/>
        <w:tabs>
          <w:tab w:val="left" w:pos="2600"/>
          <w:tab w:val="clear" w:pos="4201"/>
          <w:tab w:val="clear" w:pos="9298"/>
        </w:tabs>
        <w:ind w:firstLine="31680"/>
        <w:rPr>
          <w:rFonts w:ascii="Times New Roman"/>
          <w:szCs w:val="22"/>
        </w:rPr>
      </w:pPr>
      <w:r>
        <w:rPr>
          <w:rFonts w:ascii="Times New Roman"/>
          <w:szCs w:val="22"/>
        </w:rPr>
        <w:t xml:space="preserve">JG/T 336 </w:t>
      </w:r>
      <w:r>
        <w:rPr>
          <w:rFonts w:hint="eastAsia" w:ascii="Times New Roman"/>
          <w:szCs w:val="22"/>
        </w:rPr>
        <w:t>混凝土结构修复用聚合物水泥砂浆</w:t>
      </w:r>
    </w:p>
    <w:p>
      <w:pPr>
        <w:pStyle w:val="18"/>
        <w:tabs>
          <w:tab w:val="left" w:pos="2600"/>
          <w:tab w:val="clear" w:pos="4201"/>
          <w:tab w:val="clear" w:pos="9298"/>
        </w:tabs>
        <w:ind w:firstLine="31680"/>
        <w:rPr>
          <w:rFonts w:ascii="Times New Roman"/>
          <w:szCs w:val="22"/>
        </w:rPr>
      </w:pPr>
      <w:r>
        <w:fldChar w:fldCharType="begin"/>
      </w:r>
      <w:r>
        <w:instrText xml:space="preserve"> HYPERLINK "http://www.baidu.com/link?url=_2yJLO8W6XTqWNEFeJnvkv2ACnnbZzWNNw9x99-ncoTDdi3n8XDOWklH1ZDjnaZwSRPFwZALqGFzXgouDSKAO_" \t "_blank" </w:instrText>
      </w:r>
      <w:r>
        <w:fldChar w:fldCharType="separate"/>
      </w:r>
      <w:r>
        <w:rPr>
          <w:rFonts w:ascii="Times New Roman"/>
          <w:szCs w:val="22"/>
        </w:rPr>
        <w:t>JT/T 1211.1 </w:t>
      </w:r>
      <w:r>
        <w:rPr>
          <w:rFonts w:hint="eastAsia" w:ascii="Times New Roman"/>
          <w:szCs w:val="22"/>
        </w:rPr>
        <w:t>公路工程水泥混凝土用快速修补材料</w:t>
      </w:r>
      <w:r>
        <w:rPr>
          <w:rFonts w:ascii="Times New Roman"/>
          <w:szCs w:val="22"/>
        </w:rPr>
        <w:t> </w:t>
      </w:r>
      <w:r>
        <w:rPr>
          <w:rFonts w:ascii="Times New Roman"/>
          <w:szCs w:val="22"/>
        </w:rPr>
        <w:fldChar w:fldCharType="end"/>
      </w:r>
      <w:r>
        <w:rPr>
          <w:rFonts w:hint="eastAsia" w:ascii="Times New Roman"/>
          <w:szCs w:val="22"/>
        </w:rPr>
        <w:t>第一部分</w:t>
      </w:r>
      <w:r>
        <w:rPr>
          <w:rFonts w:ascii="Times New Roman"/>
          <w:szCs w:val="22"/>
        </w:rPr>
        <w:t xml:space="preserve"> </w:t>
      </w:r>
      <w:r>
        <w:rPr>
          <w:rFonts w:hint="eastAsia" w:ascii="Times New Roman"/>
          <w:szCs w:val="22"/>
        </w:rPr>
        <w:t>水泥基修补材料</w:t>
      </w:r>
    </w:p>
    <w:p>
      <w:pPr>
        <w:pStyle w:val="81"/>
        <w:numPr>
          <w:ilvl w:val="0"/>
          <w:numId w:val="18"/>
        </w:numPr>
        <w:tabs>
          <w:tab w:val="left" w:pos="0"/>
        </w:tabs>
        <w:spacing w:before="312" w:after="312"/>
        <w:ind w:left="0" w:firstLine="0"/>
        <w:rPr>
          <w:rFonts w:ascii="Times New Roman"/>
          <w:color w:val="000000"/>
        </w:rPr>
      </w:pPr>
      <w:bookmarkStart w:id="38" w:name="_Toc533518622"/>
      <w:r>
        <w:rPr>
          <w:rFonts w:hint="eastAsia" w:ascii="Times New Roman"/>
          <w:color w:val="000000"/>
        </w:rPr>
        <w:t>术语和定义</w:t>
      </w:r>
      <w:bookmarkEnd w:id="31"/>
      <w:bookmarkEnd w:id="32"/>
      <w:bookmarkEnd w:id="33"/>
      <w:bookmarkEnd w:id="34"/>
      <w:bookmarkEnd w:id="35"/>
      <w:bookmarkEnd w:id="36"/>
      <w:bookmarkEnd w:id="37"/>
      <w:bookmarkEnd w:id="38"/>
    </w:p>
    <w:p>
      <w:pPr>
        <w:pStyle w:val="18"/>
        <w:ind w:firstLine="31680"/>
        <w:rPr>
          <w:rFonts w:ascii="Times New Roman"/>
          <w:color w:val="000000"/>
        </w:rPr>
      </w:pPr>
      <w:r>
        <w:rPr>
          <w:rFonts w:hint="eastAsia" w:ascii="Times New Roman"/>
          <w:color w:val="000000"/>
        </w:rPr>
        <w:t>下列术语和定义适用于本文件。</w:t>
      </w:r>
    </w:p>
    <w:p>
      <w:pPr>
        <w:pStyle w:val="81"/>
        <w:numPr>
          <w:ilvl w:val="0"/>
          <w:numId w:val="0"/>
        </w:numPr>
        <w:tabs>
          <w:tab w:val="left" w:pos="0"/>
        </w:tabs>
        <w:spacing w:before="312" w:after="312"/>
        <w:outlineLvl w:val="2"/>
        <w:rPr>
          <w:rFonts w:ascii="Times New Roman"/>
          <w:color w:val="000000"/>
        </w:rPr>
      </w:pPr>
      <w:bookmarkStart w:id="39" w:name="_Toc408495873"/>
      <w:bookmarkStart w:id="40" w:name="_Toc360632654"/>
      <w:bookmarkStart w:id="41" w:name="_Toc462063253"/>
      <w:bookmarkStart w:id="42" w:name="_Toc397433558"/>
      <w:bookmarkStart w:id="43" w:name="_Toc533518623"/>
      <w:bookmarkStart w:id="44" w:name="_Toc406486340"/>
      <w:bookmarkStart w:id="45" w:name="_Toc360436835"/>
      <w:bookmarkStart w:id="46" w:name="_Toc360632423"/>
      <w:bookmarkStart w:id="47" w:name="_Toc360436749"/>
      <w:bookmarkStart w:id="48" w:name="_Toc350863987"/>
      <w:bookmarkStart w:id="49" w:name="_Toc406143963"/>
      <w:bookmarkStart w:id="50" w:name="_Toc396134030"/>
      <w:bookmarkStart w:id="51" w:name="_Toc397348586"/>
      <w:bookmarkStart w:id="52" w:name="_Toc396118199"/>
      <w:bookmarkStart w:id="53" w:name="_Toc384816546"/>
      <w:bookmarkStart w:id="54" w:name="_Toc6509"/>
      <w:r>
        <w:rPr>
          <w:rFonts w:ascii="Times New Roman"/>
          <w:color w:val="000000"/>
        </w:rPr>
        <w:t>3.1</w:t>
      </w:r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r>
        <w:rPr>
          <w:rFonts w:ascii="Times New Roman"/>
          <w:color w:val="000000"/>
        </w:rPr>
        <w:t xml:space="preserve"> 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="420" w:firstLineChars="200"/>
        <w:rPr>
          <w:sz w:val="24"/>
        </w:rPr>
      </w:pPr>
      <w:r>
        <w:rPr>
          <w:rFonts w:hint="eastAsia" w:eastAsia="黑体"/>
        </w:rPr>
        <w:t>绿色建材</w:t>
      </w:r>
      <w:r>
        <w:rPr>
          <w:rFonts w:eastAsia="黑体"/>
        </w:rPr>
        <w:t xml:space="preserve">  green building material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="420" w:firstLineChars="200"/>
        <w:rPr>
          <w:rFonts w:ascii="宋体"/>
          <w:kern w:val="0"/>
          <w:szCs w:val="20"/>
        </w:rPr>
      </w:pPr>
      <w:r>
        <w:rPr>
          <w:rFonts w:hint="eastAsia"/>
          <w:kern w:val="0"/>
          <w:szCs w:val="20"/>
        </w:rPr>
        <w:t>在全生命周期内可减少对天然资源消耗和减轻对生态环境影响，具有</w:t>
      </w:r>
      <w:r>
        <w:rPr>
          <w:rFonts w:hint="eastAsia" w:ascii="宋体"/>
          <w:kern w:val="0"/>
          <w:szCs w:val="20"/>
        </w:rPr>
        <w:t>“</w:t>
      </w:r>
      <w:r>
        <w:rPr>
          <w:rFonts w:hint="eastAsia" w:ascii="宋体" w:hAnsi="宋体"/>
          <w:kern w:val="0"/>
          <w:szCs w:val="20"/>
        </w:rPr>
        <w:t>节能、减排、安全、便利和可循环</w:t>
      </w:r>
      <w:r>
        <w:rPr>
          <w:rFonts w:hint="eastAsia" w:ascii="宋体"/>
          <w:kern w:val="0"/>
          <w:szCs w:val="20"/>
        </w:rPr>
        <w:t>”</w:t>
      </w:r>
      <w:r>
        <w:rPr>
          <w:rFonts w:hint="eastAsia" w:ascii="宋体" w:hAnsi="宋体"/>
          <w:kern w:val="0"/>
          <w:szCs w:val="20"/>
        </w:rPr>
        <w:t>特征的建材产品。</w:t>
      </w:r>
    </w:p>
    <w:p>
      <w:pPr>
        <w:pStyle w:val="81"/>
        <w:numPr>
          <w:ilvl w:val="0"/>
          <w:numId w:val="0"/>
        </w:numPr>
        <w:tabs>
          <w:tab w:val="left" w:pos="0"/>
        </w:tabs>
        <w:spacing w:before="312" w:after="312"/>
        <w:outlineLvl w:val="2"/>
        <w:rPr>
          <w:rFonts w:ascii="Times New Roman"/>
        </w:rPr>
      </w:pPr>
      <w:bookmarkStart w:id="55" w:name="_Toc533518624"/>
      <w:r>
        <w:rPr>
          <w:rFonts w:ascii="Times New Roman"/>
        </w:rPr>
        <w:t>3.2</w:t>
      </w:r>
      <w:bookmarkEnd w:id="55"/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="420" w:firstLineChars="200"/>
        <w:rPr>
          <w:rFonts w:eastAsia="黑体"/>
        </w:rPr>
      </w:pPr>
      <w:r>
        <w:rPr>
          <w:rFonts w:hint="eastAsia" w:eastAsia="黑体"/>
        </w:rPr>
        <w:t>绿色建材评价</w:t>
      </w:r>
      <w:r>
        <w:rPr>
          <w:rFonts w:eastAsia="黑体"/>
        </w:rPr>
        <w:t xml:space="preserve"> green building material</w:t>
      </w:r>
      <w:r>
        <w:rPr>
          <w:sz w:val="24"/>
        </w:rPr>
        <w:t xml:space="preserve"> </w:t>
      </w:r>
      <w:r>
        <w:rPr>
          <w:rFonts w:eastAsia="黑体"/>
        </w:rPr>
        <w:t xml:space="preserve">assessment 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="420" w:firstLineChars="200"/>
        <w:rPr>
          <w:kern w:val="0"/>
          <w:szCs w:val="20"/>
        </w:rPr>
      </w:pPr>
      <w:r>
        <w:rPr>
          <w:rFonts w:hint="eastAsia"/>
          <w:kern w:val="0"/>
          <w:szCs w:val="20"/>
        </w:rPr>
        <w:t>依据绿色建材评价技术标准，按照程序和要求对申请开展评价的建材产品进行评价，确认其等级的活动。</w:t>
      </w:r>
    </w:p>
    <w:p>
      <w:pPr>
        <w:pStyle w:val="81"/>
        <w:numPr>
          <w:ilvl w:val="0"/>
          <w:numId w:val="0"/>
        </w:numPr>
        <w:tabs>
          <w:tab w:val="left" w:pos="0"/>
        </w:tabs>
        <w:spacing w:before="312" w:after="312"/>
        <w:outlineLvl w:val="2"/>
        <w:rPr>
          <w:rFonts w:ascii="Times New Roman"/>
        </w:rPr>
      </w:pPr>
      <w:bookmarkStart w:id="56" w:name="_Toc533518625"/>
      <w:r>
        <w:rPr>
          <w:rFonts w:ascii="Times New Roman"/>
        </w:rPr>
        <w:t>3.3</w:t>
      </w:r>
      <w:bookmarkEnd w:id="56"/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="420" w:firstLineChars="200"/>
        <w:rPr>
          <w:rFonts w:eastAsia="黑体"/>
        </w:rPr>
      </w:pPr>
      <w:r>
        <w:rPr>
          <w:rFonts w:hint="eastAsia" w:eastAsia="黑体"/>
        </w:rPr>
        <w:t>评价等级</w:t>
      </w:r>
      <w:r>
        <w:rPr>
          <w:rFonts w:eastAsia="黑体"/>
        </w:rPr>
        <w:t xml:space="preserve"> assessment level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="420" w:firstLineChars="200"/>
        <w:rPr>
          <w:kern w:val="0"/>
          <w:szCs w:val="20"/>
        </w:rPr>
      </w:pPr>
      <w:r>
        <w:rPr>
          <w:rFonts w:hint="eastAsia"/>
          <w:kern w:val="0"/>
          <w:szCs w:val="20"/>
        </w:rPr>
        <w:t>产品评价结果所达到的绿色建材级别，由低到高分为一星级、二星级和三星级。</w:t>
      </w:r>
    </w:p>
    <w:bookmarkEnd w:id="54"/>
    <w:p>
      <w:pPr>
        <w:pStyle w:val="81"/>
        <w:numPr>
          <w:ilvl w:val="0"/>
          <w:numId w:val="0"/>
        </w:numPr>
        <w:tabs>
          <w:tab w:val="left" w:pos="0"/>
        </w:tabs>
        <w:spacing w:before="312" w:after="312"/>
        <w:outlineLvl w:val="2"/>
        <w:rPr>
          <w:rFonts w:ascii="Times New Roman"/>
          <w:color w:val="000000"/>
        </w:rPr>
      </w:pPr>
      <w:bookmarkStart w:id="57" w:name="_Toc397433559"/>
      <w:bookmarkStart w:id="58" w:name="_Toc396118200"/>
      <w:bookmarkStart w:id="59" w:name="_Toc360436750"/>
      <w:bookmarkStart w:id="60" w:name="_Toc408495874"/>
      <w:bookmarkStart w:id="61" w:name="_Toc384816547"/>
      <w:bookmarkStart w:id="62" w:name="_Toc406486341"/>
      <w:bookmarkStart w:id="63" w:name="_Toc360632655"/>
      <w:bookmarkStart w:id="64" w:name="_Toc406143964"/>
      <w:bookmarkStart w:id="65" w:name="_Toc397348587"/>
      <w:bookmarkStart w:id="66" w:name="_Toc350863988"/>
      <w:bookmarkStart w:id="67" w:name="_Toc360436836"/>
      <w:bookmarkStart w:id="68" w:name="_Toc396134031"/>
      <w:bookmarkStart w:id="69" w:name="_Toc462063255"/>
      <w:bookmarkStart w:id="70" w:name="_Toc360632424"/>
      <w:bookmarkStart w:id="71" w:name="_Toc533518626"/>
      <w:bookmarkStart w:id="72" w:name="_Toc16661"/>
      <w:r>
        <w:rPr>
          <w:rFonts w:ascii="Times New Roman"/>
          <w:color w:val="000000"/>
        </w:rPr>
        <w:t>3.</w:t>
      </w:r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Start w:id="73" w:name="_Toc350863991"/>
      <w:bookmarkStart w:id="74" w:name="OLE_LINK6"/>
      <w:bookmarkStart w:id="75" w:name="_Toc397348590"/>
      <w:bookmarkStart w:id="76" w:name="_Toc397433562"/>
      <w:bookmarkStart w:id="77" w:name="_Toc396118203"/>
      <w:bookmarkStart w:id="78" w:name="_Toc363024794"/>
      <w:bookmarkStart w:id="79" w:name="_Toc382580630"/>
      <w:bookmarkStart w:id="80" w:name="_Toc406143967"/>
      <w:bookmarkStart w:id="81" w:name="_Toc384816550"/>
      <w:bookmarkStart w:id="82" w:name="OLE_LINK5"/>
      <w:bookmarkStart w:id="83" w:name="_Toc396134034"/>
      <w:r>
        <w:rPr>
          <w:rFonts w:ascii="Times New Roman"/>
          <w:color w:val="000000"/>
        </w:rPr>
        <w:t>4</w:t>
      </w:r>
      <w:bookmarkEnd w:id="71"/>
    </w:p>
    <w:bookmarkEnd w:id="72"/>
    <w:p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="420" w:firstLineChars="200"/>
        <w:rPr>
          <w:rFonts w:eastAsia="黑体"/>
        </w:rPr>
      </w:pPr>
      <w:r>
        <w:rPr>
          <w:rFonts w:hint="eastAsia" w:eastAsia="黑体"/>
        </w:rPr>
        <w:t>环境产品声明</w:t>
      </w:r>
      <w:r>
        <w:rPr>
          <w:rFonts w:eastAsia="黑体"/>
        </w:rPr>
        <w:t xml:space="preserve"> environmental product declaration</w:t>
      </w:r>
    </w:p>
    <w:p>
      <w:pPr>
        <w:pStyle w:val="18"/>
        <w:ind w:firstLine="31680"/>
        <w:rPr>
          <w:rFonts w:ascii="Times New Roman"/>
        </w:rPr>
      </w:pPr>
      <w:r>
        <w:rPr>
          <w:rFonts w:hint="eastAsia" w:ascii="Times New Roman"/>
        </w:rPr>
        <w:t>提供基于预设参数的量化环境数据的环境声明，必要时包括附加环境信息。</w:t>
      </w:r>
    </w:p>
    <w:p>
      <w:pPr>
        <w:pStyle w:val="81"/>
        <w:numPr>
          <w:ilvl w:val="0"/>
          <w:numId w:val="0"/>
        </w:numPr>
        <w:tabs>
          <w:tab w:val="left" w:pos="0"/>
        </w:tabs>
        <w:spacing w:before="312" w:after="312"/>
        <w:outlineLvl w:val="2"/>
        <w:rPr>
          <w:rFonts w:ascii="Times New Roman"/>
          <w:color w:val="000000"/>
        </w:rPr>
      </w:pPr>
      <w:bookmarkStart w:id="84" w:name="_Toc408495875"/>
      <w:bookmarkStart w:id="85" w:name="_Toc462063256"/>
      <w:bookmarkStart w:id="86" w:name="_Toc533518627"/>
      <w:bookmarkStart w:id="87" w:name="_Toc30452"/>
      <w:r>
        <w:rPr>
          <w:rFonts w:ascii="Times New Roman"/>
          <w:color w:val="000000"/>
        </w:rPr>
        <w:t>3.</w:t>
      </w:r>
      <w:bookmarkEnd w:id="84"/>
      <w:bookmarkEnd w:id="85"/>
      <w:r>
        <w:rPr>
          <w:rFonts w:ascii="Times New Roman"/>
          <w:color w:val="000000"/>
        </w:rPr>
        <w:t>5</w:t>
      </w:r>
      <w:bookmarkEnd w:id="86"/>
    </w:p>
    <w:bookmarkEnd w:id="87"/>
    <w:p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="420" w:firstLineChars="200"/>
        <w:rPr>
          <w:rFonts w:eastAsia="黑体"/>
        </w:rPr>
      </w:pPr>
      <w:r>
        <w:rPr>
          <w:rFonts w:hint="eastAsia" w:eastAsia="黑体"/>
        </w:rPr>
        <w:t>碳足迹</w:t>
      </w:r>
      <w:r>
        <w:rPr>
          <w:rFonts w:eastAsia="黑体"/>
        </w:rPr>
        <w:t xml:space="preserve">  </w:t>
      </w:r>
      <w:r>
        <w:fldChar w:fldCharType="begin"/>
      </w:r>
      <w:r>
        <w:instrText xml:space="preserve"> HYPERLINK "http://www.baidu.com/link?url=NM-sDc8vF8f6LBJJjre3x3OgH29MNSR7nUOi6mno3-iVlHb3Zlvs9wTbxnKcKC6gPud9_XI7Qg3qobY6J2p3_MuxwSugBbZWQE3OggbMvUq" \t "https://www.baidu.com/_blank" </w:instrText>
      </w:r>
      <w:r>
        <w:fldChar w:fldCharType="separate"/>
      </w:r>
      <w:r>
        <w:rPr>
          <w:rFonts w:eastAsia="黑体"/>
        </w:rPr>
        <w:t>carbon footprint</w:t>
      </w:r>
      <w:r>
        <w:rPr>
          <w:rFonts w:eastAsia="黑体"/>
        </w:rPr>
        <w:fldChar w:fldCharType="end"/>
      </w:r>
    </w:p>
    <w:p>
      <w:pPr>
        <w:spacing w:line="30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用以量化过程、过程系统或产品系统温室气体排放的参数，以表现它们对气候变化的贡献。</w:t>
      </w:r>
    </w:p>
    <w:p>
      <w:pPr>
        <w:pStyle w:val="81"/>
        <w:numPr>
          <w:ilvl w:val="0"/>
          <w:numId w:val="0"/>
        </w:numPr>
        <w:tabs>
          <w:tab w:val="left" w:pos="0"/>
        </w:tabs>
        <w:spacing w:before="312" w:after="312"/>
        <w:outlineLvl w:val="2"/>
        <w:rPr>
          <w:rFonts w:ascii="Times New Roman"/>
          <w:color w:val="000000"/>
        </w:rPr>
      </w:pPr>
      <w:r>
        <w:rPr>
          <w:rFonts w:ascii="Times New Roman"/>
          <w:color w:val="000000"/>
        </w:rPr>
        <w:t>3.6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="420" w:firstLineChars="200"/>
        <w:rPr>
          <w:rFonts w:eastAsia="黑体"/>
        </w:rPr>
      </w:pPr>
      <w:r>
        <w:rPr>
          <w:rFonts w:hint="eastAsia" w:eastAsia="黑体"/>
        </w:rPr>
        <w:t>工程修复材料</w:t>
      </w:r>
      <w:r>
        <w:rPr>
          <w:rFonts w:eastAsia="黑体"/>
        </w:rPr>
        <w:t xml:space="preserve"> Engineering restoring material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="420" w:firstLineChars="200"/>
      </w:pPr>
      <w:r>
        <w:rPr>
          <w:rFonts w:hint="eastAsia"/>
          <w:shd w:val="clear" w:color="auto" w:fill="FFFFFF"/>
        </w:rPr>
        <w:t>用于混凝土工程修复的，恢复工程功能、延长其使用寿命的材料</w:t>
      </w:r>
      <w:r>
        <w:rPr>
          <w:rFonts w:hint="eastAsia"/>
        </w:rPr>
        <w:t>。</w:t>
      </w:r>
    </w:p>
    <w:p>
      <w:pPr>
        <w:pStyle w:val="81"/>
        <w:numPr>
          <w:ilvl w:val="0"/>
          <w:numId w:val="0"/>
        </w:numPr>
        <w:tabs>
          <w:tab w:val="left" w:pos="0"/>
        </w:tabs>
        <w:spacing w:before="312" w:after="312"/>
        <w:outlineLvl w:val="2"/>
        <w:rPr>
          <w:rFonts w:ascii="Times New Roman"/>
        </w:rPr>
      </w:pPr>
      <w:r>
        <w:rPr>
          <w:rFonts w:ascii="Times New Roman"/>
        </w:rPr>
        <w:t>3.7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="420" w:firstLineChars="200"/>
        <w:rPr>
          <w:rFonts w:eastAsia="黑体"/>
        </w:rPr>
      </w:pPr>
      <w:r>
        <w:rPr>
          <w:rFonts w:hint="eastAsia" w:eastAsia="黑体"/>
        </w:rPr>
        <w:t>水泥基修复材料</w:t>
      </w:r>
      <w:r>
        <w:rPr>
          <w:rFonts w:eastAsia="黑体"/>
        </w:rPr>
        <w:t xml:space="preserve"> cement-based repairing materials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="420" w:firstLineChars="200"/>
        <w:rPr>
          <w:shd w:val="clear" w:color="auto" w:fill="FFFFFF"/>
        </w:rPr>
      </w:pPr>
      <w:r>
        <w:rPr>
          <w:rFonts w:hint="eastAsia"/>
          <w:shd w:val="clear" w:color="auto" w:fill="FFFFFF"/>
        </w:rPr>
        <w:t>由水泥、矿物掺合料、骨料、外加剂等按适当比例组成，经加水搅拌、成型、养护制得的，用于建、构筑物修复用的水泥基材料。</w:t>
      </w:r>
    </w:p>
    <w:p>
      <w:pPr>
        <w:pStyle w:val="81"/>
        <w:numPr>
          <w:ilvl w:val="0"/>
          <w:numId w:val="0"/>
        </w:numPr>
        <w:tabs>
          <w:tab w:val="left" w:pos="0"/>
        </w:tabs>
        <w:spacing w:before="312" w:after="312"/>
        <w:outlineLvl w:val="2"/>
        <w:rPr>
          <w:rFonts w:ascii="Times New Roman"/>
        </w:rPr>
      </w:pPr>
      <w:r>
        <w:rPr>
          <w:rFonts w:ascii="Times New Roman"/>
        </w:rPr>
        <w:t>3.8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="420" w:firstLineChars="200"/>
        <w:rPr>
          <w:rFonts w:eastAsia="黑体"/>
        </w:rPr>
      </w:pPr>
      <w:r>
        <w:rPr>
          <w:rFonts w:hint="eastAsia" w:eastAsia="黑体"/>
        </w:rPr>
        <w:t>聚合物水泥混凝土</w:t>
      </w:r>
      <w:r>
        <w:rPr>
          <w:rFonts w:eastAsia="黑体"/>
        </w:rPr>
        <w:t xml:space="preserve"> polymer-modified cement concrete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="420" w:firstLineChars="200"/>
        <w:rPr>
          <w:shd w:val="clear" w:color="auto" w:fill="FFFFFF"/>
        </w:rPr>
      </w:pPr>
      <w:r>
        <w:rPr>
          <w:rFonts w:hint="eastAsia"/>
          <w:shd w:val="clear" w:color="auto" w:fill="FFFFFF"/>
        </w:rPr>
        <w:t>以水泥、细骨料、粗骨料为主要组分，以聚合物乳液或可再分散乳胶粉为改性剂，添加适量助剂按适当比例配制而成的用于建、构筑物修复用的混凝土。</w:t>
      </w:r>
    </w:p>
    <w:p>
      <w:pPr>
        <w:pStyle w:val="81"/>
        <w:numPr>
          <w:ilvl w:val="0"/>
          <w:numId w:val="0"/>
        </w:numPr>
        <w:tabs>
          <w:tab w:val="left" w:pos="0"/>
        </w:tabs>
        <w:spacing w:before="312" w:after="312"/>
        <w:outlineLvl w:val="2"/>
        <w:rPr>
          <w:rFonts w:ascii="Times New Roman"/>
        </w:rPr>
      </w:pPr>
      <w:r>
        <w:rPr>
          <w:rFonts w:ascii="Times New Roman"/>
        </w:rPr>
        <w:t>3.9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="420" w:firstLineChars="200"/>
        <w:rPr>
          <w:rFonts w:eastAsia="黑体"/>
        </w:rPr>
      </w:pPr>
      <w:r>
        <w:rPr>
          <w:rFonts w:hint="eastAsia" w:eastAsia="黑体"/>
        </w:rPr>
        <w:t>聚合物水泥砂浆</w:t>
      </w:r>
      <w:r>
        <w:rPr>
          <w:rFonts w:eastAsia="黑体"/>
        </w:rPr>
        <w:t xml:space="preserve"> polymer-modified cement mortar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="420" w:firstLineChars="200"/>
        <w:rPr>
          <w:shd w:val="clear" w:color="auto" w:fill="FFFFFF"/>
        </w:rPr>
      </w:pPr>
      <w:r>
        <w:rPr>
          <w:rFonts w:hint="eastAsia"/>
          <w:shd w:val="clear" w:color="auto" w:fill="FFFFFF"/>
        </w:rPr>
        <w:t>以水泥、细骨料为主要组分，以聚合物乳液或可再分散乳胶粉为改性剂，添加适量助剂按适当比例配制而成的用于建、构筑物修复用的砂浆。</w:t>
      </w:r>
    </w:p>
    <w:p>
      <w:pPr>
        <w:pStyle w:val="81"/>
        <w:numPr>
          <w:ilvl w:val="0"/>
          <w:numId w:val="0"/>
        </w:numPr>
        <w:tabs>
          <w:tab w:val="left" w:pos="0"/>
        </w:tabs>
        <w:spacing w:before="312" w:after="312"/>
        <w:outlineLvl w:val="2"/>
        <w:rPr>
          <w:rFonts w:ascii="Times New Roman"/>
        </w:rPr>
      </w:pPr>
      <w:r>
        <w:rPr>
          <w:rFonts w:ascii="Times New Roman"/>
        </w:rPr>
        <w:t>3.10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="420" w:firstLineChars="200"/>
        <w:rPr>
          <w:rFonts w:eastAsia="黑体"/>
        </w:rPr>
      </w:pPr>
      <w:r>
        <w:rPr>
          <w:rFonts w:hint="eastAsia" w:eastAsia="黑体"/>
        </w:rPr>
        <w:t>聚合物快速修复材料</w:t>
      </w:r>
      <w:r>
        <w:rPr>
          <w:rFonts w:eastAsia="黑体"/>
        </w:rPr>
        <w:t xml:space="preserve"> polymer-modified rapid repairing materials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="420" w:firstLineChars="200"/>
        <w:rPr>
          <w:shd w:val="clear" w:color="auto" w:fill="FFFFFF"/>
        </w:rPr>
      </w:pPr>
      <w:r>
        <w:rPr>
          <w:rFonts w:hint="eastAsia"/>
          <w:shd w:val="clear" w:color="auto" w:fill="FFFFFF"/>
        </w:rPr>
        <w:t>由聚合物树脂、骨料、填料、助剂等按适当比例配制而成，适用于快速修补水泥混凝土表面病害或结构破损的材料。</w:t>
      </w:r>
    </w:p>
    <w:p>
      <w:pPr>
        <w:pStyle w:val="81"/>
        <w:numPr>
          <w:ilvl w:val="0"/>
          <w:numId w:val="0"/>
        </w:numPr>
        <w:tabs>
          <w:tab w:val="left" w:pos="0"/>
        </w:tabs>
        <w:spacing w:before="312" w:after="312"/>
        <w:outlineLvl w:val="2"/>
        <w:rPr>
          <w:rFonts w:ascii="Times New Roman"/>
          <w:color w:val="000000"/>
        </w:rPr>
      </w:pPr>
      <w:r>
        <w:rPr>
          <w:rFonts w:ascii="Times New Roman"/>
          <w:color w:val="000000"/>
        </w:rPr>
        <w:t>3.11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="420" w:firstLineChars="200"/>
        <w:rPr>
          <w:rFonts w:eastAsia="黑体"/>
        </w:rPr>
      </w:pPr>
      <w:r>
        <w:rPr>
          <w:rFonts w:hint="eastAsia" w:eastAsia="黑体"/>
        </w:rPr>
        <w:t>高延性纤维增强水泥基复合材料</w:t>
      </w:r>
      <w:r>
        <w:rPr>
          <w:rFonts w:eastAsia="黑体"/>
        </w:rPr>
        <w:t xml:space="preserve"> engineered cementitious composites</w:t>
      </w:r>
      <w:r>
        <w:rPr>
          <w:rFonts w:hint="eastAsia" w:eastAsia="黑体"/>
        </w:rPr>
        <w:t>，</w:t>
      </w:r>
      <w:r>
        <w:rPr>
          <w:rFonts w:eastAsia="黑体"/>
        </w:rPr>
        <w:t>ECC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="420" w:firstLineChars="200"/>
        <w:rPr>
          <w:shd w:val="clear" w:color="auto" w:fill="FFFFFF"/>
        </w:rPr>
      </w:pPr>
      <w:r>
        <w:rPr>
          <w:rFonts w:hint="eastAsia"/>
          <w:shd w:val="clear" w:color="auto" w:fill="FFFFFF"/>
        </w:rPr>
        <w:t>是一种以纤维作为增强材料，以水泥、矿物掺合料、骨料和混凝土外加剂为基体原材料，经加水搅拌、成型、养护制得的，在拉伸荷载下具有多缝开裂特性的复合增强材料。</w:t>
      </w:r>
    </w:p>
    <w:p>
      <w:pPr>
        <w:pStyle w:val="81"/>
        <w:numPr>
          <w:ilvl w:val="0"/>
          <w:numId w:val="0"/>
        </w:numPr>
        <w:tabs>
          <w:tab w:val="left" w:pos="0"/>
        </w:tabs>
        <w:spacing w:before="312" w:after="312"/>
        <w:outlineLvl w:val="2"/>
        <w:rPr>
          <w:rFonts w:ascii="Times New Roman"/>
          <w:color w:val="000000"/>
        </w:rPr>
      </w:pPr>
      <w:r>
        <w:rPr>
          <w:rFonts w:ascii="Times New Roman"/>
          <w:color w:val="000000"/>
        </w:rPr>
        <w:t>3.12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="420" w:firstLineChars="200"/>
        <w:rPr>
          <w:rFonts w:eastAsia="黑体"/>
        </w:rPr>
      </w:pPr>
      <w:r>
        <w:rPr>
          <w:rFonts w:hint="eastAsia" w:eastAsia="黑体"/>
        </w:rPr>
        <w:t>水泥基渗透结晶型防水涂料</w:t>
      </w:r>
      <w:r>
        <w:rPr>
          <w:rFonts w:eastAsia="黑体"/>
        </w:rPr>
        <w:t xml:space="preserve"> capillary crystalline waterproofing materials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="420" w:firstLineChars="200"/>
        <w:rPr>
          <w:shd w:val="clear" w:color="auto" w:fill="FFFFFF"/>
        </w:rPr>
      </w:pPr>
      <w:r>
        <w:rPr>
          <w:rFonts w:hint="eastAsia"/>
          <w:shd w:val="clear" w:color="auto" w:fill="FFFFFF"/>
        </w:rPr>
        <w:t>一种用于水泥混凝土的刚性防水涂料。其与水作用后，材料中含有的活性化学物质以水为载体向混凝土内部渗透，与水泥水化产物生成不溶于水的针状结晶体，填塞毛细孔道和微细缝隙，从而提高混凝土致密性的防水防护涂料。</w:t>
      </w:r>
    </w:p>
    <w:p>
      <w:pPr>
        <w:pStyle w:val="81"/>
        <w:numPr>
          <w:ilvl w:val="0"/>
          <w:numId w:val="0"/>
        </w:numPr>
        <w:tabs>
          <w:tab w:val="left" w:pos="0"/>
        </w:tabs>
        <w:spacing w:before="312" w:after="312"/>
        <w:outlineLvl w:val="2"/>
        <w:rPr>
          <w:rFonts w:ascii="Times New Roman"/>
          <w:color w:val="000000"/>
        </w:rPr>
      </w:pPr>
      <w:r>
        <w:rPr>
          <w:rFonts w:ascii="Times New Roman"/>
          <w:color w:val="000000"/>
        </w:rPr>
        <w:t>3.13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="420" w:firstLineChars="200"/>
        <w:rPr>
          <w:rFonts w:eastAsia="黑体"/>
        </w:rPr>
      </w:pPr>
      <w:r>
        <w:rPr>
          <w:rFonts w:hint="eastAsia" w:eastAsia="黑体"/>
        </w:rPr>
        <w:t>无机水性渗透结晶型材料</w:t>
      </w:r>
      <w:r>
        <w:rPr>
          <w:rFonts w:eastAsia="黑体"/>
        </w:rPr>
        <w:t xml:space="preserve"> capillary crystalline waterproofing materials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="420" w:firstLineChars="200"/>
        <w:rPr>
          <w:shd w:val="clear" w:color="auto" w:fill="FFFFFF"/>
        </w:rPr>
      </w:pPr>
      <w:r>
        <w:rPr>
          <w:rFonts w:hint="eastAsia"/>
          <w:shd w:val="clear" w:color="auto" w:fill="FFFFFF"/>
        </w:rPr>
        <w:t>以碱金属硅酸盐溶液为基料，加入催化剂、表面活性剂、稳定剂等，经混合反应而成的无机透明液体，活性粒子粒径达到纳米级别，材料具有优异的渗透性，渗透至混凝土内部与水泥水化产物生成不溶于水的结晶体，填塞毛细孔道和微细缝隙，从而提高混凝土致密性的无机水性防水防护涂料。</w:t>
      </w:r>
    </w:p>
    <w:p>
      <w:pPr>
        <w:pStyle w:val="81"/>
        <w:numPr>
          <w:ilvl w:val="0"/>
          <w:numId w:val="0"/>
        </w:numPr>
        <w:tabs>
          <w:tab w:val="left" w:pos="0"/>
        </w:tabs>
        <w:spacing w:before="312" w:after="312"/>
        <w:outlineLvl w:val="2"/>
        <w:rPr>
          <w:rFonts w:ascii="Times New Roman"/>
          <w:color w:val="000000"/>
          <w:szCs w:val="21"/>
        </w:rPr>
      </w:pPr>
      <w:r>
        <w:rPr>
          <w:rFonts w:ascii="Times New Roman"/>
          <w:color w:val="000000"/>
          <w:szCs w:val="21"/>
        </w:rPr>
        <w:t>3.14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="420" w:firstLineChars="200"/>
        <w:rPr>
          <w:rFonts w:eastAsia="黑体"/>
          <w:szCs w:val="21"/>
        </w:rPr>
      </w:pPr>
      <w:r>
        <w:rPr>
          <w:rFonts w:hint="eastAsia" w:eastAsia="黑体"/>
          <w:szCs w:val="21"/>
        </w:rPr>
        <w:t>界面处理材料</w:t>
      </w:r>
      <w:r>
        <w:rPr>
          <w:rFonts w:eastAsia="黑体"/>
          <w:szCs w:val="21"/>
        </w:rPr>
        <w:t xml:space="preserve"> interfacial bonding agent</w:t>
      </w:r>
    </w:p>
    <w:p>
      <w:pPr>
        <w:pStyle w:val="18"/>
        <w:ind w:firstLine="31680"/>
        <w:rPr>
          <w:rFonts w:ascii="Times New Roman"/>
          <w:szCs w:val="21"/>
        </w:rPr>
      </w:pPr>
      <w:r>
        <w:rPr>
          <w:rFonts w:hint="eastAsia" w:ascii="Times New Roman"/>
          <w:szCs w:val="21"/>
        </w:rPr>
        <w:t>用于混凝土修复区域界面处，增强相互粘结力的材料。</w:t>
      </w:r>
    </w:p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p>
      <w:pPr>
        <w:pStyle w:val="81"/>
        <w:numPr>
          <w:ilvl w:val="0"/>
          <w:numId w:val="18"/>
        </w:numPr>
        <w:tabs>
          <w:tab w:val="left" w:pos="0"/>
        </w:tabs>
        <w:spacing w:before="312" w:after="312"/>
        <w:ind w:left="0" w:firstLine="0"/>
        <w:rPr>
          <w:rFonts w:ascii="Times New Roman"/>
          <w:color w:val="000000"/>
        </w:rPr>
      </w:pPr>
      <w:bookmarkStart w:id="88" w:name="_Toc462063257"/>
      <w:bookmarkStart w:id="89" w:name="_Toc533518629"/>
      <w:bookmarkStart w:id="90" w:name="_Toc406486353"/>
      <w:r>
        <w:rPr>
          <w:rFonts w:hint="eastAsia" w:ascii="Times New Roman"/>
          <w:color w:val="000000"/>
        </w:rPr>
        <w:t>评价要求</w:t>
      </w:r>
      <w:bookmarkEnd w:id="88"/>
      <w:bookmarkEnd w:id="89"/>
      <w:bookmarkEnd w:id="90"/>
    </w:p>
    <w:p>
      <w:pPr>
        <w:widowControl/>
        <w:spacing w:beforeLines="50" w:afterLines="50"/>
        <w:jc w:val="left"/>
        <w:outlineLvl w:val="2"/>
        <w:rPr>
          <w:rFonts w:eastAsia="黑体"/>
          <w:color w:val="000000"/>
          <w:kern w:val="0"/>
        </w:rPr>
      </w:pPr>
      <w:r>
        <w:rPr>
          <w:rFonts w:eastAsia="黑体"/>
          <w:color w:val="000000"/>
          <w:kern w:val="0"/>
        </w:rPr>
        <w:t xml:space="preserve">4.1 </w:t>
      </w:r>
      <w:r>
        <w:rPr>
          <w:rFonts w:hint="eastAsia" w:eastAsia="黑体"/>
          <w:color w:val="000000"/>
          <w:kern w:val="0"/>
        </w:rPr>
        <w:t>产品分类</w:t>
      </w:r>
    </w:p>
    <w:p>
      <w:pPr>
        <w:widowControl/>
        <w:spacing w:beforeLines="50" w:afterLines="50"/>
        <w:jc w:val="left"/>
        <w:outlineLvl w:val="2"/>
        <w:rPr>
          <w:b/>
        </w:rPr>
      </w:pPr>
      <w:r>
        <w:t xml:space="preserve">4.1.1  </w:t>
      </w:r>
      <w:r>
        <w:rPr>
          <w:rFonts w:hint="eastAsia"/>
        </w:rPr>
        <w:t>适用于本标准的工程修复材料可按表</w:t>
      </w:r>
      <w:r>
        <w:t>1</w:t>
      </w:r>
      <w:r>
        <w:rPr>
          <w:rFonts w:hint="eastAsia"/>
        </w:rPr>
        <w:t>进行分类。表</w:t>
      </w:r>
      <w:r>
        <w:t>1</w:t>
      </w:r>
      <w:r>
        <w:rPr>
          <w:rFonts w:hint="eastAsia"/>
        </w:rPr>
        <w:t>中的三级分类包含但不限于表中产品。</w:t>
      </w:r>
    </w:p>
    <w:p>
      <w:pPr>
        <w:widowControl/>
        <w:spacing w:beforeLines="50" w:afterLines="50"/>
        <w:jc w:val="center"/>
        <w:outlineLvl w:val="2"/>
        <w:rPr>
          <w:b/>
        </w:rPr>
      </w:pPr>
      <w:r>
        <w:rPr>
          <w:rFonts w:hint="eastAsia"/>
          <w:b/>
        </w:rPr>
        <w:t>表</w:t>
      </w:r>
      <w:r>
        <w:rPr>
          <w:b/>
        </w:rPr>
        <w:t xml:space="preserve">1 </w:t>
      </w:r>
      <w:r>
        <w:rPr>
          <w:rFonts w:hint="eastAsia"/>
          <w:b/>
        </w:rPr>
        <w:t>产品分类</w:t>
      </w:r>
    </w:p>
    <w:tbl>
      <w:tblPr>
        <w:tblStyle w:val="24"/>
        <w:tblW w:w="9570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0"/>
        <w:gridCol w:w="3191"/>
        <w:gridCol w:w="31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</w:tcPr>
          <w:p>
            <w:pPr>
              <w:widowControl/>
              <w:spacing w:line="312" w:lineRule="auto"/>
              <w:jc w:val="center"/>
              <w:outlineLvl w:val="2"/>
              <w:rPr>
                <w:sz w:val="18"/>
              </w:rPr>
            </w:pPr>
            <w:r>
              <w:rPr>
                <w:rFonts w:hint="eastAsia"/>
                <w:sz w:val="18"/>
              </w:rPr>
              <w:t>一级分类</w:t>
            </w:r>
          </w:p>
        </w:tc>
        <w:tc>
          <w:tcPr>
            <w:tcW w:w="3191" w:type="dxa"/>
          </w:tcPr>
          <w:p>
            <w:pPr>
              <w:widowControl/>
              <w:spacing w:line="312" w:lineRule="auto"/>
              <w:jc w:val="center"/>
              <w:outlineLvl w:val="2"/>
              <w:rPr>
                <w:sz w:val="18"/>
              </w:rPr>
            </w:pPr>
            <w:r>
              <w:rPr>
                <w:rFonts w:hint="eastAsia"/>
                <w:sz w:val="18"/>
              </w:rPr>
              <w:t>二级分类</w:t>
            </w:r>
          </w:p>
        </w:tc>
        <w:tc>
          <w:tcPr>
            <w:tcW w:w="3189" w:type="dxa"/>
          </w:tcPr>
          <w:p>
            <w:pPr>
              <w:widowControl/>
              <w:spacing w:line="312" w:lineRule="auto"/>
              <w:jc w:val="center"/>
              <w:outlineLvl w:val="2"/>
              <w:rPr>
                <w:sz w:val="18"/>
              </w:rPr>
            </w:pPr>
            <w:r>
              <w:rPr>
                <w:rFonts w:hint="eastAsia"/>
                <w:sz w:val="18"/>
              </w:rPr>
              <w:t>三级分类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>包含但不限于</w:t>
            </w:r>
            <w:r>
              <w:rPr>
                <w:sz w:val="1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  <w:vMerge w:val="restart"/>
            <w:vAlign w:val="center"/>
          </w:tcPr>
          <w:p>
            <w:pPr>
              <w:widowControl/>
              <w:spacing w:line="312" w:lineRule="auto"/>
              <w:jc w:val="center"/>
              <w:outlineLvl w:val="2"/>
              <w:rPr>
                <w:sz w:val="18"/>
              </w:rPr>
            </w:pPr>
            <w:r>
              <w:rPr>
                <w:rFonts w:hint="eastAsia"/>
                <w:sz w:val="18"/>
              </w:rPr>
              <w:t>水泥基修复材料</w:t>
            </w:r>
          </w:p>
        </w:tc>
        <w:tc>
          <w:tcPr>
            <w:tcW w:w="3191" w:type="dxa"/>
            <w:vMerge w:val="restart"/>
            <w:vAlign w:val="center"/>
          </w:tcPr>
          <w:p>
            <w:pPr>
              <w:widowControl/>
              <w:spacing w:line="312" w:lineRule="auto"/>
              <w:jc w:val="center"/>
              <w:outlineLvl w:val="2"/>
              <w:rPr>
                <w:sz w:val="18"/>
              </w:rPr>
            </w:pPr>
            <w:r>
              <w:rPr>
                <w:rFonts w:hint="eastAsia"/>
                <w:sz w:val="18"/>
              </w:rPr>
              <w:t>水泥混凝土类</w:t>
            </w:r>
          </w:p>
        </w:tc>
        <w:tc>
          <w:tcPr>
            <w:tcW w:w="3189" w:type="dxa"/>
            <w:vAlign w:val="center"/>
          </w:tcPr>
          <w:p>
            <w:pPr>
              <w:widowControl/>
              <w:spacing w:line="312" w:lineRule="auto"/>
              <w:jc w:val="center"/>
              <w:outlineLvl w:val="2"/>
              <w:rPr>
                <w:sz w:val="18"/>
              </w:rPr>
            </w:pPr>
            <w:r>
              <w:rPr>
                <w:rFonts w:hint="eastAsia"/>
                <w:sz w:val="18"/>
              </w:rPr>
              <w:t>自密实混凝土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  <w:vMerge w:val="continue"/>
            <w:vAlign w:val="center"/>
          </w:tcPr>
          <w:p>
            <w:pPr>
              <w:widowControl/>
              <w:spacing w:line="312" w:lineRule="auto"/>
              <w:jc w:val="center"/>
              <w:outlineLvl w:val="2"/>
              <w:rPr>
                <w:sz w:val="18"/>
              </w:rPr>
            </w:pPr>
          </w:p>
        </w:tc>
        <w:tc>
          <w:tcPr>
            <w:tcW w:w="3191" w:type="dxa"/>
            <w:vMerge w:val="continue"/>
            <w:vAlign w:val="center"/>
          </w:tcPr>
          <w:p>
            <w:pPr>
              <w:widowControl/>
              <w:spacing w:line="312" w:lineRule="auto"/>
              <w:jc w:val="center"/>
              <w:outlineLvl w:val="2"/>
              <w:rPr>
                <w:sz w:val="18"/>
              </w:rPr>
            </w:pPr>
          </w:p>
        </w:tc>
        <w:tc>
          <w:tcPr>
            <w:tcW w:w="3189" w:type="dxa"/>
            <w:vAlign w:val="center"/>
          </w:tcPr>
          <w:p>
            <w:pPr>
              <w:widowControl/>
              <w:spacing w:line="312" w:lineRule="auto"/>
              <w:jc w:val="center"/>
              <w:outlineLvl w:val="2"/>
              <w:rPr>
                <w:sz w:val="18"/>
              </w:rPr>
            </w:pPr>
            <w:r>
              <w:rPr>
                <w:rFonts w:hint="eastAsia"/>
                <w:sz w:val="18"/>
              </w:rPr>
              <w:t>纤维混凝土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  <w:vMerge w:val="continue"/>
            <w:vAlign w:val="center"/>
          </w:tcPr>
          <w:p>
            <w:pPr>
              <w:widowControl/>
              <w:spacing w:line="312" w:lineRule="auto"/>
              <w:jc w:val="center"/>
              <w:outlineLvl w:val="2"/>
              <w:rPr>
                <w:sz w:val="18"/>
              </w:rPr>
            </w:pPr>
          </w:p>
        </w:tc>
        <w:tc>
          <w:tcPr>
            <w:tcW w:w="3191" w:type="dxa"/>
            <w:vMerge w:val="continue"/>
            <w:vAlign w:val="center"/>
          </w:tcPr>
          <w:p>
            <w:pPr>
              <w:widowControl/>
              <w:spacing w:line="312" w:lineRule="auto"/>
              <w:jc w:val="center"/>
              <w:outlineLvl w:val="2"/>
              <w:rPr>
                <w:sz w:val="18"/>
              </w:rPr>
            </w:pPr>
          </w:p>
        </w:tc>
        <w:tc>
          <w:tcPr>
            <w:tcW w:w="3189" w:type="dxa"/>
            <w:vAlign w:val="center"/>
          </w:tcPr>
          <w:p>
            <w:pPr>
              <w:widowControl/>
              <w:spacing w:line="312" w:lineRule="auto"/>
              <w:jc w:val="center"/>
              <w:outlineLvl w:val="2"/>
              <w:rPr>
                <w:sz w:val="18"/>
              </w:rPr>
            </w:pPr>
            <w:r>
              <w:rPr>
                <w:rFonts w:hint="eastAsia"/>
                <w:sz w:val="18"/>
              </w:rPr>
              <w:t>水泥基快速修补混凝土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  <w:vMerge w:val="continue"/>
            <w:vAlign w:val="center"/>
          </w:tcPr>
          <w:p>
            <w:pPr>
              <w:widowControl/>
              <w:spacing w:line="312" w:lineRule="auto"/>
              <w:jc w:val="center"/>
              <w:outlineLvl w:val="2"/>
              <w:rPr>
                <w:sz w:val="18"/>
              </w:rPr>
            </w:pPr>
          </w:p>
        </w:tc>
        <w:tc>
          <w:tcPr>
            <w:tcW w:w="3191" w:type="dxa"/>
            <w:vMerge w:val="restart"/>
            <w:vAlign w:val="center"/>
          </w:tcPr>
          <w:p>
            <w:pPr>
              <w:spacing w:line="312" w:lineRule="auto"/>
              <w:jc w:val="center"/>
              <w:outlineLvl w:val="2"/>
              <w:rPr>
                <w:sz w:val="18"/>
              </w:rPr>
            </w:pPr>
            <w:r>
              <w:rPr>
                <w:rFonts w:hint="eastAsia"/>
                <w:sz w:val="18"/>
              </w:rPr>
              <w:t>水泥砂浆类</w:t>
            </w:r>
          </w:p>
        </w:tc>
        <w:tc>
          <w:tcPr>
            <w:tcW w:w="3189" w:type="dxa"/>
            <w:vAlign w:val="center"/>
          </w:tcPr>
          <w:p>
            <w:pPr>
              <w:widowControl/>
              <w:spacing w:line="312" w:lineRule="auto"/>
              <w:jc w:val="center"/>
              <w:outlineLvl w:val="2"/>
              <w:rPr>
                <w:sz w:val="18"/>
              </w:rPr>
            </w:pPr>
            <w:r>
              <w:rPr>
                <w:rFonts w:hint="eastAsia"/>
                <w:sz w:val="18"/>
              </w:rPr>
              <w:t>水泥基加固灌浆料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  <w:vMerge w:val="continue"/>
            <w:vAlign w:val="center"/>
          </w:tcPr>
          <w:p>
            <w:pPr>
              <w:widowControl/>
              <w:spacing w:line="312" w:lineRule="auto"/>
              <w:jc w:val="center"/>
              <w:outlineLvl w:val="2"/>
              <w:rPr>
                <w:sz w:val="18"/>
              </w:rPr>
            </w:pPr>
          </w:p>
        </w:tc>
        <w:tc>
          <w:tcPr>
            <w:tcW w:w="3191" w:type="dxa"/>
            <w:vMerge w:val="continue"/>
            <w:vAlign w:val="center"/>
          </w:tcPr>
          <w:p>
            <w:pPr>
              <w:widowControl/>
              <w:spacing w:line="312" w:lineRule="auto"/>
              <w:jc w:val="center"/>
              <w:outlineLvl w:val="2"/>
              <w:rPr>
                <w:sz w:val="18"/>
              </w:rPr>
            </w:pPr>
          </w:p>
        </w:tc>
        <w:tc>
          <w:tcPr>
            <w:tcW w:w="3189" w:type="dxa"/>
            <w:vAlign w:val="center"/>
          </w:tcPr>
          <w:p>
            <w:pPr>
              <w:widowControl/>
              <w:spacing w:line="312" w:lineRule="auto"/>
              <w:jc w:val="center"/>
              <w:outlineLvl w:val="2"/>
              <w:rPr>
                <w:sz w:val="18"/>
              </w:rPr>
            </w:pPr>
            <w:r>
              <w:rPr>
                <w:rFonts w:hint="eastAsia"/>
                <w:sz w:val="18"/>
              </w:rPr>
              <w:t>高延性纤维增强水泥基复合材料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3190" w:type="dxa"/>
            <w:vMerge w:val="continue"/>
            <w:vAlign w:val="center"/>
          </w:tcPr>
          <w:p>
            <w:pPr>
              <w:widowControl/>
              <w:spacing w:line="312" w:lineRule="auto"/>
              <w:jc w:val="center"/>
              <w:outlineLvl w:val="2"/>
              <w:rPr>
                <w:sz w:val="18"/>
              </w:rPr>
            </w:pPr>
          </w:p>
        </w:tc>
        <w:tc>
          <w:tcPr>
            <w:tcW w:w="3191" w:type="dxa"/>
            <w:vMerge w:val="continue"/>
            <w:vAlign w:val="center"/>
          </w:tcPr>
          <w:p>
            <w:pPr>
              <w:widowControl/>
              <w:spacing w:line="312" w:lineRule="auto"/>
              <w:jc w:val="center"/>
              <w:outlineLvl w:val="2"/>
              <w:rPr>
                <w:sz w:val="18"/>
              </w:rPr>
            </w:pPr>
          </w:p>
        </w:tc>
        <w:tc>
          <w:tcPr>
            <w:tcW w:w="3189" w:type="dxa"/>
            <w:vAlign w:val="center"/>
          </w:tcPr>
          <w:p>
            <w:pPr>
              <w:widowControl/>
              <w:spacing w:line="312" w:lineRule="auto"/>
              <w:jc w:val="center"/>
              <w:outlineLvl w:val="2"/>
              <w:rPr>
                <w:sz w:val="18"/>
              </w:rPr>
            </w:pPr>
            <w:r>
              <w:rPr>
                <w:rFonts w:hint="eastAsia"/>
                <w:sz w:val="18"/>
              </w:rPr>
              <w:t>水泥基快速修补砂浆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3190" w:type="dxa"/>
            <w:vMerge w:val="continue"/>
          </w:tcPr>
          <w:p>
            <w:pPr>
              <w:widowControl/>
              <w:spacing w:line="312" w:lineRule="auto"/>
              <w:jc w:val="center"/>
              <w:outlineLvl w:val="2"/>
              <w:rPr>
                <w:sz w:val="18"/>
              </w:rPr>
            </w:pPr>
          </w:p>
        </w:tc>
        <w:tc>
          <w:tcPr>
            <w:tcW w:w="3191" w:type="dxa"/>
          </w:tcPr>
          <w:p>
            <w:pPr>
              <w:spacing w:line="312" w:lineRule="auto"/>
              <w:jc w:val="center"/>
              <w:outlineLvl w:val="2"/>
              <w:rPr>
                <w:sz w:val="18"/>
              </w:rPr>
            </w:pPr>
            <w:r>
              <w:rPr>
                <w:rFonts w:hint="eastAsia"/>
                <w:sz w:val="18"/>
              </w:rPr>
              <w:t>水泥基涂料类</w:t>
            </w:r>
          </w:p>
        </w:tc>
        <w:tc>
          <w:tcPr>
            <w:tcW w:w="3189" w:type="dxa"/>
          </w:tcPr>
          <w:p>
            <w:pPr>
              <w:widowControl/>
              <w:spacing w:line="312" w:lineRule="auto"/>
              <w:jc w:val="center"/>
              <w:outlineLvl w:val="2"/>
              <w:rPr>
                <w:sz w:val="18"/>
              </w:rPr>
            </w:pPr>
            <w:r>
              <w:rPr>
                <w:rFonts w:hint="eastAsia"/>
                <w:sz w:val="18"/>
              </w:rPr>
              <w:t>水泥基渗透结晶型防水涂料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3190" w:type="dxa"/>
            <w:vMerge w:val="restart"/>
            <w:vAlign w:val="center"/>
          </w:tcPr>
          <w:p>
            <w:pPr>
              <w:widowControl/>
              <w:spacing w:line="312" w:lineRule="auto"/>
              <w:jc w:val="center"/>
              <w:outlineLvl w:val="2"/>
              <w:rPr>
                <w:sz w:val="18"/>
              </w:rPr>
            </w:pPr>
            <w:r>
              <w:rPr>
                <w:rFonts w:hint="eastAsia"/>
                <w:sz w:val="18"/>
              </w:rPr>
              <w:t>聚合物修复材料</w:t>
            </w:r>
          </w:p>
        </w:tc>
        <w:tc>
          <w:tcPr>
            <w:tcW w:w="3191" w:type="dxa"/>
            <w:vAlign w:val="center"/>
          </w:tcPr>
          <w:p>
            <w:pPr>
              <w:widowControl/>
              <w:spacing w:line="312" w:lineRule="auto"/>
              <w:jc w:val="center"/>
              <w:outlineLvl w:val="2"/>
              <w:rPr>
                <w:sz w:val="18"/>
              </w:rPr>
            </w:pPr>
            <w:r>
              <w:rPr>
                <w:rFonts w:hint="eastAsia"/>
                <w:sz w:val="18"/>
              </w:rPr>
              <w:t>聚合物改性混凝土类</w:t>
            </w:r>
          </w:p>
        </w:tc>
        <w:tc>
          <w:tcPr>
            <w:tcW w:w="3189" w:type="dxa"/>
            <w:vAlign w:val="center"/>
          </w:tcPr>
          <w:p>
            <w:pPr>
              <w:widowControl/>
              <w:spacing w:line="312" w:lineRule="auto"/>
              <w:jc w:val="center"/>
              <w:outlineLvl w:val="2"/>
              <w:rPr>
                <w:sz w:val="18"/>
              </w:rPr>
            </w:pPr>
            <w:r>
              <w:rPr>
                <w:rFonts w:hint="eastAsia"/>
                <w:sz w:val="18"/>
              </w:rPr>
              <w:t>聚合物水泥混凝土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3190" w:type="dxa"/>
            <w:vMerge w:val="continue"/>
            <w:vAlign w:val="center"/>
          </w:tcPr>
          <w:p>
            <w:pPr>
              <w:widowControl/>
              <w:spacing w:line="312" w:lineRule="auto"/>
              <w:jc w:val="center"/>
              <w:outlineLvl w:val="2"/>
              <w:rPr>
                <w:sz w:val="18"/>
              </w:rPr>
            </w:pPr>
          </w:p>
        </w:tc>
        <w:tc>
          <w:tcPr>
            <w:tcW w:w="3191" w:type="dxa"/>
            <w:vAlign w:val="center"/>
          </w:tcPr>
          <w:p>
            <w:pPr>
              <w:widowControl/>
              <w:spacing w:line="312" w:lineRule="auto"/>
              <w:jc w:val="center"/>
              <w:outlineLvl w:val="2"/>
              <w:rPr>
                <w:sz w:val="18"/>
              </w:rPr>
            </w:pPr>
            <w:r>
              <w:rPr>
                <w:rFonts w:hint="eastAsia"/>
                <w:sz w:val="18"/>
              </w:rPr>
              <w:t>聚合物改性砂浆类</w:t>
            </w:r>
          </w:p>
        </w:tc>
        <w:tc>
          <w:tcPr>
            <w:tcW w:w="3189" w:type="dxa"/>
            <w:vAlign w:val="center"/>
          </w:tcPr>
          <w:p>
            <w:pPr>
              <w:widowControl/>
              <w:spacing w:line="312" w:lineRule="auto"/>
              <w:jc w:val="center"/>
              <w:outlineLvl w:val="2"/>
              <w:rPr>
                <w:sz w:val="18"/>
              </w:rPr>
            </w:pPr>
            <w:r>
              <w:rPr>
                <w:rFonts w:hint="eastAsia"/>
                <w:sz w:val="18"/>
              </w:rPr>
              <w:t>聚合物水泥砂浆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3190" w:type="dxa"/>
            <w:vMerge w:val="continue"/>
            <w:vAlign w:val="center"/>
          </w:tcPr>
          <w:p>
            <w:pPr>
              <w:widowControl/>
              <w:spacing w:line="312" w:lineRule="auto"/>
              <w:jc w:val="center"/>
              <w:outlineLvl w:val="2"/>
              <w:rPr>
                <w:sz w:val="18"/>
              </w:rPr>
            </w:pPr>
          </w:p>
        </w:tc>
        <w:tc>
          <w:tcPr>
            <w:tcW w:w="3191" w:type="dxa"/>
            <w:vAlign w:val="center"/>
          </w:tcPr>
          <w:p>
            <w:pPr>
              <w:widowControl/>
              <w:spacing w:line="312" w:lineRule="auto"/>
              <w:jc w:val="center"/>
              <w:outlineLvl w:val="2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3189" w:type="dxa"/>
            <w:vAlign w:val="center"/>
          </w:tcPr>
          <w:p>
            <w:pPr>
              <w:widowControl/>
              <w:spacing w:line="312" w:lineRule="auto"/>
              <w:jc w:val="center"/>
              <w:outlineLvl w:val="2"/>
              <w:rPr>
                <w:sz w:val="18"/>
              </w:rPr>
            </w:pPr>
            <w:r>
              <w:rPr>
                <w:rFonts w:hint="eastAsia"/>
                <w:sz w:val="18"/>
              </w:rPr>
              <w:t>聚合物树脂快速修补材料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3190" w:type="dxa"/>
            <w:vMerge w:val="continue"/>
            <w:vAlign w:val="center"/>
          </w:tcPr>
          <w:p>
            <w:pPr>
              <w:widowControl/>
              <w:spacing w:line="312" w:lineRule="auto"/>
              <w:jc w:val="center"/>
              <w:outlineLvl w:val="2"/>
              <w:rPr>
                <w:sz w:val="18"/>
              </w:rPr>
            </w:pPr>
          </w:p>
        </w:tc>
        <w:tc>
          <w:tcPr>
            <w:tcW w:w="3191" w:type="dxa"/>
            <w:vMerge w:val="restart"/>
            <w:vAlign w:val="center"/>
          </w:tcPr>
          <w:p>
            <w:pPr>
              <w:widowControl/>
              <w:spacing w:line="312" w:lineRule="auto"/>
              <w:jc w:val="center"/>
              <w:outlineLvl w:val="2"/>
              <w:rPr>
                <w:sz w:val="18"/>
              </w:rPr>
            </w:pPr>
            <w:r>
              <w:rPr>
                <w:rFonts w:hint="eastAsia"/>
                <w:sz w:val="18"/>
              </w:rPr>
              <w:t>聚合物灌浆料</w:t>
            </w:r>
          </w:p>
        </w:tc>
        <w:tc>
          <w:tcPr>
            <w:tcW w:w="3189" w:type="dxa"/>
            <w:vAlign w:val="center"/>
          </w:tcPr>
          <w:p>
            <w:pPr>
              <w:widowControl/>
              <w:spacing w:line="312" w:lineRule="auto"/>
              <w:jc w:val="center"/>
              <w:outlineLvl w:val="2"/>
              <w:rPr>
                <w:sz w:val="18"/>
              </w:rPr>
            </w:pPr>
            <w:r>
              <w:rPr>
                <w:rFonts w:hint="eastAsia"/>
                <w:sz w:val="18"/>
              </w:rPr>
              <w:t>环氧灌浆料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3190" w:type="dxa"/>
            <w:vMerge w:val="continue"/>
            <w:vAlign w:val="center"/>
          </w:tcPr>
          <w:p>
            <w:pPr>
              <w:widowControl/>
              <w:spacing w:line="312" w:lineRule="auto"/>
              <w:jc w:val="center"/>
              <w:outlineLvl w:val="2"/>
              <w:rPr>
                <w:sz w:val="18"/>
              </w:rPr>
            </w:pPr>
          </w:p>
        </w:tc>
        <w:tc>
          <w:tcPr>
            <w:tcW w:w="3191" w:type="dxa"/>
            <w:vMerge w:val="continue"/>
            <w:vAlign w:val="center"/>
          </w:tcPr>
          <w:p>
            <w:pPr>
              <w:widowControl/>
              <w:spacing w:line="312" w:lineRule="auto"/>
              <w:jc w:val="center"/>
              <w:outlineLvl w:val="2"/>
              <w:rPr>
                <w:sz w:val="18"/>
              </w:rPr>
            </w:pPr>
          </w:p>
        </w:tc>
        <w:tc>
          <w:tcPr>
            <w:tcW w:w="3189" w:type="dxa"/>
            <w:vAlign w:val="center"/>
          </w:tcPr>
          <w:p>
            <w:pPr>
              <w:widowControl/>
              <w:spacing w:line="312" w:lineRule="auto"/>
              <w:jc w:val="center"/>
              <w:outlineLvl w:val="2"/>
              <w:rPr>
                <w:sz w:val="18"/>
              </w:rPr>
            </w:pPr>
            <w:r>
              <w:rPr>
                <w:rFonts w:hint="eastAsia"/>
                <w:sz w:val="18"/>
              </w:rPr>
              <w:t>聚氨酯灌浆料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3190" w:type="dxa"/>
            <w:vMerge w:val="continue"/>
            <w:vAlign w:val="center"/>
          </w:tcPr>
          <w:p>
            <w:pPr>
              <w:widowControl/>
              <w:spacing w:line="312" w:lineRule="auto"/>
              <w:jc w:val="center"/>
              <w:outlineLvl w:val="2"/>
              <w:rPr>
                <w:sz w:val="18"/>
              </w:rPr>
            </w:pPr>
          </w:p>
        </w:tc>
        <w:tc>
          <w:tcPr>
            <w:tcW w:w="3191" w:type="dxa"/>
            <w:vMerge w:val="continue"/>
            <w:vAlign w:val="center"/>
          </w:tcPr>
          <w:p>
            <w:pPr>
              <w:widowControl/>
              <w:spacing w:line="312" w:lineRule="auto"/>
              <w:jc w:val="center"/>
              <w:outlineLvl w:val="2"/>
              <w:rPr>
                <w:sz w:val="18"/>
              </w:rPr>
            </w:pPr>
          </w:p>
        </w:tc>
        <w:tc>
          <w:tcPr>
            <w:tcW w:w="3189" w:type="dxa"/>
            <w:vAlign w:val="center"/>
          </w:tcPr>
          <w:p>
            <w:pPr>
              <w:widowControl/>
              <w:spacing w:line="312" w:lineRule="auto"/>
              <w:jc w:val="center"/>
              <w:outlineLvl w:val="2"/>
              <w:rPr>
                <w:sz w:val="18"/>
              </w:rPr>
            </w:pPr>
            <w:r>
              <w:rPr>
                <w:rFonts w:hint="eastAsia"/>
                <w:sz w:val="18"/>
              </w:rPr>
              <w:t>丙烯酸盐灌浆料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3190" w:type="dxa"/>
          </w:tcPr>
          <w:p>
            <w:pPr>
              <w:widowControl/>
              <w:spacing w:line="312" w:lineRule="auto"/>
              <w:jc w:val="center"/>
              <w:outlineLvl w:val="2"/>
              <w:rPr>
                <w:sz w:val="18"/>
              </w:rPr>
            </w:pPr>
            <w:r>
              <w:rPr>
                <w:rFonts w:hint="eastAsia"/>
                <w:sz w:val="18"/>
              </w:rPr>
              <w:t>无机水性渗透修复材料</w:t>
            </w:r>
          </w:p>
        </w:tc>
        <w:tc>
          <w:tcPr>
            <w:tcW w:w="3191" w:type="dxa"/>
          </w:tcPr>
          <w:p>
            <w:pPr>
              <w:widowControl/>
              <w:spacing w:line="312" w:lineRule="auto"/>
              <w:jc w:val="center"/>
              <w:outlineLvl w:val="2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3189" w:type="dxa"/>
          </w:tcPr>
          <w:p>
            <w:pPr>
              <w:widowControl/>
              <w:spacing w:line="312" w:lineRule="auto"/>
              <w:jc w:val="center"/>
              <w:outlineLvl w:val="2"/>
              <w:rPr>
                <w:sz w:val="18"/>
              </w:rPr>
            </w:pPr>
            <w:r>
              <w:rPr>
                <w:rFonts w:hint="eastAsia"/>
                <w:sz w:val="18"/>
              </w:rPr>
              <w:t>无机水性渗透结晶型材料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3190" w:type="dxa"/>
            <w:vMerge w:val="restart"/>
            <w:vAlign w:val="center"/>
          </w:tcPr>
          <w:p>
            <w:pPr>
              <w:widowControl/>
              <w:spacing w:line="312" w:lineRule="auto"/>
              <w:jc w:val="center"/>
              <w:outlineLvl w:val="2"/>
              <w:rPr>
                <w:sz w:val="18"/>
              </w:rPr>
            </w:pPr>
            <w:r>
              <w:rPr>
                <w:rFonts w:hint="eastAsia"/>
                <w:sz w:val="18"/>
              </w:rPr>
              <w:t>辅助用材料</w:t>
            </w:r>
          </w:p>
        </w:tc>
        <w:tc>
          <w:tcPr>
            <w:tcW w:w="3191" w:type="dxa"/>
            <w:vMerge w:val="restart"/>
            <w:vAlign w:val="center"/>
          </w:tcPr>
          <w:p>
            <w:pPr>
              <w:widowControl/>
              <w:spacing w:line="312" w:lineRule="auto"/>
              <w:jc w:val="center"/>
              <w:outlineLvl w:val="2"/>
              <w:rPr>
                <w:sz w:val="18"/>
              </w:rPr>
            </w:pPr>
            <w:r>
              <w:rPr>
                <w:rFonts w:hint="eastAsia"/>
                <w:sz w:val="18"/>
              </w:rPr>
              <w:t>界面处理材料</w:t>
            </w:r>
          </w:p>
        </w:tc>
        <w:tc>
          <w:tcPr>
            <w:tcW w:w="3189" w:type="dxa"/>
            <w:vAlign w:val="center"/>
          </w:tcPr>
          <w:p>
            <w:pPr>
              <w:widowControl/>
              <w:spacing w:line="312" w:lineRule="auto"/>
              <w:jc w:val="center"/>
              <w:outlineLvl w:val="2"/>
              <w:rPr>
                <w:sz w:val="18"/>
              </w:rPr>
            </w:pPr>
            <w:r>
              <w:rPr>
                <w:rFonts w:hint="eastAsia"/>
                <w:sz w:val="18"/>
              </w:rPr>
              <w:t>水泥基界面剂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3190" w:type="dxa"/>
            <w:vMerge w:val="continue"/>
            <w:vAlign w:val="center"/>
          </w:tcPr>
          <w:p>
            <w:pPr>
              <w:widowControl/>
              <w:spacing w:line="312" w:lineRule="auto"/>
              <w:jc w:val="center"/>
              <w:outlineLvl w:val="2"/>
              <w:rPr>
                <w:sz w:val="18"/>
              </w:rPr>
            </w:pPr>
          </w:p>
        </w:tc>
        <w:tc>
          <w:tcPr>
            <w:tcW w:w="3191" w:type="dxa"/>
            <w:vMerge w:val="continue"/>
            <w:vAlign w:val="center"/>
          </w:tcPr>
          <w:p>
            <w:pPr>
              <w:widowControl/>
              <w:spacing w:line="312" w:lineRule="auto"/>
              <w:jc w:val="center"/>
              <w:outlineLvl w:val="2"/>
              <w:rPr>
                <w:sz w:val="18"/>
              </w:rPr>
            </w:pPr>
          </w:p>
        </w:tc>
        <w:tc>
          <w:tcPr>
            <w:tcW w:w="3189" w:type="dxa"/>
            <w:vAlign w:val="center"/>
          </w:tcPr>
          <w:p>
            <w:pPr>
              <w:widowControl/>
              <w:spacing w:line="312" w:lineRule="auto"/>
              <w:jc w:val="center"/>
              <w:outlineLvl w:val="2"/>
              <w:rPr>
                <w:sz w:val="18"/>
              </w:rPr>
            </w:pPr>
            <w:r>
              <w:rPr>
                <w:rFonts w:hint="eastAsia"/>
                <w:sz w:val="18"/>
              </w:rPr>
              <w:t>聚合物改性界面剂</w:t>
            </w:r>
          </w:p>
        </w:tc>
      </w:tr>
    </w:tbl>
    <w:p>
      <w:pPr>
        <w:widowControl/>
        <w:spacing w:beforeLines="50" w:afterLines="50"/>
        <w:jc w:val="center"/>
        <w:outlineLvl w:val="2"/>
      </w:pPr>
    </w:p>
    <w:p>
      <w:pPr>
        <w:widowControl/>
        <w:spacing w:beforeLines="50" w:afterLines="50"/>
        <w:jc w:val="left"/>
        <w:outlineLvl w:val="2"/>
        <w:rPr>
          <w:rFonts w:eastAsia="黑体"/>
          <w:color w:val="000000"/>
          <w:kern w:val="0"/>
        </w:rPr>
      </w:pPr>
      <w:bookmarkStart w:id="91" w:name="_Toc533518630"/>
      <w:bookmarkStart w:id="92" w:name="_Toc406486354"/>
      <w:bookmarkStart w:id="93" w:name="_Toc456611366"/>
      <w:bookmarkStart w:id="94" w:name="_Toc22141"/>
      <w:bookmarkStart w:id="95" w:name="_Toc459107153"/>
      <w:bookmarkStart w:id="96" w:name="_Toc396134049"/>
      <w:bookmarkStart w:id="97" w:name="_Toc360436848"/>
      <w:bookmarkStart w:id="98" w:name="_Toc406486355"/>
      <w:bookmarkStart w:id="99" w:name="_Toc360436761"/>
      <w:bookmarkStart w:id="100" w:name="_Toc360632439"/>
      <w:bookmarkStart w:id="101" w:name="_Toc384816564"/>
      <w:bookmarkStart w:id="102" w:name="_Toc350864000"/>
      <w:r>
        <w:rPr>
          <w:rFonts w:eastAsia="黑体"/>
          <w:color w:val="000000"/>
          <w:kern w:val="0"/>
        </w:rPr>
        <w:t xml:space="preserve">4.2 </w:t>
      </w:r>
      <w:r>
        <w:rPr>
          <w:rFonts w:hint="eastAsia" w:eastAsia="黑体"/>
          <w:color w:val="000000"/>
          <w:kern w:val="0"/>
        </w:rPr>
        <w:t>基本要求</w:t>
      </w:r>
      <w:bookmarkEnd w:id="91"/>
      <w:bookmarkEnd w:id="92"/>
      <w:bookmarkEnd w:id="93"/>
      <w:bookmarkEnd w:id="94"/>
      <w:bookmarkEnd w:id="95"/>
    </w:p>
    <w:p>
      <w:pPr>
        <w:widowControl/>
        <w:autoSpaceDE w:val="0"/>
        <w:autoSpaceDN w:val="0"/>
        <w:rPr>
          <w:kern w:val="0"/>
        </w:rPr>
      </w:pPr>
      <w:r>
        <w:t xml:space="preserve">4.2.1 </w:t>
      </w:r>
      <w:r>
        <w:rPr>
          <w:rFonts w:hint="eastAsia"/>
        </w:rPr>
        <w:t>工程修复材料基本性能应符合</w:t>
      </w:r>
      <w:r>
        <w:t>GB 8076</w:t>
      </w:r>
      <w:r>
        <w:rPr>
          <w:rFonts w:hint="eastAsia"/>
        </w:rPr>
        <w:t>、</w:t>
      </w:r>
      <w:r>
        <w:t>GB 18445</w:t>
      </w:r>
      <w:r>
        <w:rPr>
          <w:rFonts w:hint="eastAsia"/>
        </w:rPr>
        <w:t>、</w:t>
      </w:r>
      <w:r>
        <w:t>GB/T 25181</w:t>
      </w:r>
      <w:r>
        <w:rPr>
          <w:rFonts w:hint="eastAsia"/>
        </w:rPr>
        <w:t>、</w:t>
      </w:r>
      <w:r>
        <w:t>JG/T 336</w:t>
      </w:r>
      <w:r>
        <w:rPr>
          <w:rFonts w:hint="eastAsia"/>
        </w:rPr>
        <w:t>、</w:t>
      </w:r>
      <w:r>
        <w:t>JGJ/T221</w:t>
      </w:r>
      <w:r>
        <w:rPr>
          <w:rFonts w:hint="eastAsia"/>
        </w:rPr>
        <w:t>、</w:t>
      </w:r>
      <w:r>
        <w:t>JGJ/T 283</w:t>
      </w:r>
      <w:r>
        <w:rPr>
          <w:rFonts w:hint="eastAsia"/>
        </w:rPr>
        <w:t>、</w:t>
      </w:r>
      <w:r>
        <w:t>JC/T474</w:t>
      </w:r>
      <w:r>
        <w:rPr>
          <w:rFonts w:hint="eastAsia"/>
        </w:rPr>
        <w:t>、</w:t>
      </w:r>
      <w:r>
        <w:t>JC/T907</w:t>
      </w:r>
      <w:r>
        <w:rPr>
          <w:rFonts w:hint="eastAsia"/>
        </w:rPr>
        <w:t>、</w:t>
      </w:r>
      <w:r>
        <w:t>JTT 1211.1</w:t>
      </w:r>
      <w:r>
        <w:rPr>
          <w:rFonts w:hint="eastAsia"/>
        </w:rPr>
        <w:t>等相应的现行国家、行业标准要求</w:t>
      </w:r>
      <w:r>
        <w:rPr>
          <w:rFonts w:hint="eastAsia"/>
          <w:kern w:val="0"/>
        </w:rPr>
        <w:t>。</w:t>
      </w:r>
    </w:p>
    <w:p>
      <w:pPr>
        <w:widowControl/>
        <w:adjustRightInd w:val="0"/>
        <w:snapToGrid w:val="0"/>
        <w:spacing w:beforeLines="50" w:afterLines="50"/>
        <w:jc w:val="left"/>
        <w:outlineLvl w:val="3"/>
        <w:rPr>
          <w:kern w:val="0"/>
        </w:rPr>
      </w:pPr>
      <w:r>
        <w:rPr>
          <w:kern w:val="0"/>
        </w:rPr>
        <w:t xml:space="preserve">4.2.2 </w:t>
      </w:r>
      <w:r>
        <w:rPr>
          <w:rFonts w:hint="eastAsia"/>
          <w:kern w:val="0"/>
        </w:rPr>
        <w:t>生产企业的污染物排放应符合相关环境保护法律法规、适用的国家或地方污染物排放标准的要求，且近三年无重大环境污染事件。</w:t>
      </w:r>
    </w:p>
    <w:p>
      <w:pPr>
        <w:widowControl/>
        <w:adjustRightInd w:val="0"/>
        <w:snapToGrid w:val="0"/>
        <w:spacing w:beforeLines="50" w:afterLines="50"/>
        <w:jc w:val="left"/>
        <w:outlineLvl w:val="3"/>
        <w:rPr>
          <w:kern w:val="0"/>
        </w:rPr>
      </w:pPr>
      <w:r>
        <w:rPr>
          <w:kern w:val="0"/>
        </w:rPr>
        <w:t xml:space="preserve">4.2.3 </w:t>
      </w:r>
      <w:r>
        <w:rPr>
          <w:rFonts w:hint="eastAsia"/>
          <w:kern w:val="0"/>
        </w:rPr>
        <w:t>一般固体废弃物的收集、贮存、处置应符合</w:t>
      </w:r>
      <w:r>
        <w:rPr>
          <w:kern w:val="0"/>
        </w:rPr>
        <w:t>GB 18599</w:t>
      </w:r>
      <w:r>
        <w:rPr>
          <w:rFonts w:hint="eastAsia"/>
          <w:kern w:val="0"/>
        </w:rPr>
        <w:t>的相关规定。危险废物的贮存应符合</w:t>
      </w:r>
      <w:r>
        <w:rPr>
          <w:kern w:val="0"/>
        </w:rPr>
        <w:t>GB 18597</w:t>
      </w:r>
      <w:r>
        <w:rPr>
          <w:rFonts w:hint="eastAsia"/>
          <w:kern w:val="0"/>
        </w:rPr>
        <w:t>的相关规定，后续应交付持有危险废物经营许可证的单位处置。</w:t>
      </w:r>
    </w:p>
    <w:p>
      <w:pPr>
        <w:widowControl/>
        <w:spacing w:beforeLines="50" w:afterLines="50"/>
        <w:jc w:val="left"/>
        <w:outlineLvl w:val="3"/>
        <w:rPr>
          <w:color w:val="000000"/>
          <w:kern w:val="0"/>
        </w:rPr>
      </w:pPr>
      <w:r>
        <w:rPr>
          <w:rFonts w:eastAsia="黑体"/>
          <w:kern w:val="0"/>
        </w:rPr>
        <w:t xml:space="preserve">4.2.4 </w:t>
      </w:r>
      <w:r>
        <w:rPr>
          <w:rFonts w:hint="eastAsia"/>
          <w:kern w:val="0"/>
        </w:rPr>
        <w:t>安全生产管理应符合适用的国家标准、地方标准规定，且近三年无导致人员死亡的安全生产事故。</w:t>
      </w:r>
    </w:p>
    <w:p>
      <w:pPr>
        <w:widowControl/>
        <w:adjustRightInd w:val="0"/>
        <w:snapToGrid w:val="0"/>
        <w:spacing w:beforeLines="50" w:afterLines="50"/>
        <w:jc w:val="left"/>
        <w:outlineLvl w:val="3"/>
        <w:rPr>
          <w:kern w:val="0"/>
        </w:rPr>
      </w:pPr>
      <w:r>
        <w:rPr>
          <w:kern w:val="0"/>
        </w:rPr>
        <w:t xml:space="preserve">4.2.5 </w:t>
      </w:r>
      <w:r>
        <w:rPr>
          <w:rFonts w:hint="eastAsia"/>
          <w:kern w:val="0"/>
        </w:rPr>
        <w:t>生产企业应按照</w:t>
      </w:r>
      <w:r>
        <w:rPr>
          <w:kern w:val="0"/>
        </w:rPr>
        <w:t>GB/T 19001</w:t>
      </w:r>
      <w:r>
        <w:rPr>
          <w:rFonts w:hint="eastAsia"/>
          <w:kern w:val="0"/>
        </w:rPr>
        <w:t>、</w:t>
      </w:r>
      <w:r>
        <w:rPr>
          <w:kern w:val="0"/>
        </w:rPr>
        <w:t>GB/T 24001</w:t>
      </w:r>
      <w:r>
        <w:rPr>
          <w:rFonts w:hint="eastAsia"/>
          <w:kern w:val="0"/>
        </w:rPr>
        <w:t>和</w:t>
      </w:r>
      <w:r>
        <w:t xml:space="preserve"> </w:t>
      </w:r>
      <w:r>
        <w:rPr>
          <w:kern w:val="0"/>
        </w:rPr>
        <w:t>GB/T 28001</w:t>
      </w:r>
      <w:r>
        <w:rPr>
          <w:rFonts w:hint="eastAsia"/>
          <w:kern w:val="0"/>
        </w:rPr>
        <w:t>要求分别建立并运行质量管理体系、环境管理体系和职业健康安全管理体系。</w:t>
      </w:r>
    </w:p>
    <w:p>
      <w:pPr>
        <w:widowControl/>
        <w:adjustRightInd w:val="0"/>
        <w:snapToGrid w:val="0"/>
        <w:spacing w:beforeLines="50" w:afterLines="50"/>
        <w:jc w:val="left"/>
        <w:outlineLvl w:val="3"/>
        <w:rPr>
          <w:kern w:val="0"/>
        </w:rPr>
      </w:pPr>
      <w:r>
        <w:rPr>
          <w:kern w:val="0"/>
        </w:rPr>
        <w:t xml:space="preserve">4.2.6 </w:t>
      </w:r>
      <w:r>
        <w:rPr>
          <w:rFonts w:hint="eastAsia"/>
          <w:kern w:val="0"/>
        </w:rPr>
        <w:t>生产企业应采用国家鼓励的先进技术工艺，不应使用国家或有关部门发布的淘汰或禁止的技术、工艺、装备及相关物质。</w:t>
      </w:r>
    </w:p>
    <w:p>
      <w:pPr>
        <w:widowControl/>
        <w:spacing w:beforeLines="50" w:afterLines="50"/>
        <w:jc w:val="left"/>
        <w:outlineLvl w:val="2"/>
        <w:rPr>
          <w:rFonts w:eastAsia="黑体"/>
          <w:color w:val="000000"/>
          <w:kern w:val="0"/>
        </w:rPr>
      </w:pPr>
      <w:bookmarkStart w:id="103" w:name="_Toc31135"/>
      <w:bookmarkStart w:id="104" w:name="_Toc462063260"/>
      <w:bookmarkStart w:id="105" w:name="_Toc533518631"/>
      <w:r>
        <w:rPr>
          <w:rFonts w:eastAsia="黑体"/>
          <w:color w:val="000000"/>
          <w:kern w:val="0"/>
        </w:rPr>
        <w:t xml:space="preserve">4.3 </w:t>
      </w:r>
      <w:r>
        <w:rPr>
          <w:rFonts w:hint="eastAsia" w:eastAsia="黑体"/>
          <w:color w:val="000000"/>
          <w:kern w:val="0"/>
        </w:rPr>
        <w:t>评价指标要求</w:t>
      </w:r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</w:p>
    <w:p>
      <w:pPr>
        <w:pStyle w:val="18"/>
        <w:spacing w:before="120" w:after="120"/>
        <w:ind w:firstLine="31680"/>
        <w:rPr>
          <w:rFonts w:ascii="Times New Roman" w:eastAsia="黑体"/>
          <w:color w:val="000000"/>
        </w:rPr>
      </w:pPr>
      <w:r>
        <w:rPr>
          <w:rFonts w:hint="eastAsia" w:ascii="Times New Roman"/>
        </w:rPr>
        <w:t>工程修复材料评价指标包括资源属性指标、能源属性指标、环境属性指标和品质属性指标。水泥混凝土和砂浆类评价指标要求见表</w:t>
      </w:r>
      <w:r>
        <w:rPr>
          <w:rFonts w:ascii="Times New Roman"/>
        </w:rPr>
        <w:t>2</w:t>
      </w:r>
      <w:r>
        <w:rPr>
          <w:rFonts w:hint="eastAsia" w:ascii="Times New Roman"/>
        </w:rPr>
        <w:t>，聚合物水泥混凝土和砂浆评价指标要求见表</w:t>
      </w:r>
      <w:r>
        <w:rPr>
          <w:rFonts w:ascii="Times New Roman"/>
        </w:rPr>
        <w:t>3</w:t>
      </w:r>
      <w:r>
        <w:rPr>
          <w:rFonts w:hint="eastAsia" w:ascii="Times New Roman"/>
        </w:rPr>
        <w:t>，聚合物树脂快速修补材料评价指标要求见表</w:t>
      </w:r>
      <w:r>
        <w:rPr>
          <w:rFonts w:ascii="Times New Roman"/>
        </w:rPr>
        <w:t>4</w:t>
      </w:r>
      <w:r>
        <w:rPr>
          <w:rFonts w:hint="eastAsia" w:ascii="Times New Roman"/>
        </w:rPr>
        <w:t>，水泥基渗透结晶型防水涂料的评价指标要求见表</w:t>
      </w:r>
      <w:r>
        <w:rPr>
          <w:rFonts w:ascii="Times New Roman"/>
        </w:rPr>
        <w:t>5</w:t>
      </w:r>
      <w:r>
        <w:rPr>
          <w:rFonts w:hint="eastAsia" w:ascii="Times New Roman"/>
        </w:rPr>
        <w:t>，聚合物灌浆类评价指标要求见表</w:t>
      </w:r>
      <w:r>
        <w:rPr>
          <w:rFonts w:ascii="Times New Roman"/>
        </w:rPr>
        <w:t>6</w:t>
      </w:r>
      <w:r>
        <w:rPr>
          <w:rFonts w:hint="eastAsia" w:ascii="Times New Roman"/>
        </w:rPr>
        <w:t>，无机水性渗透结晶型材料的评价指标要求见表</w:t>
      </w:r>
      <w:r>
        <w:rPr>
          <w:rFonts w:ascii="Times New Roman"/>
        </w:rPr>
        <w:t>7</w:t>
      </w:r>
      <w:r>
        <w:rPr>
          <w:rFonts w:hint="eastAsia" w:ascii="Times New Roman"/>
        </w:rPr>
        <w:t>，界面处理材料的评价指标要求见表</w:t>
      </w:r>
      <w:r>
        <w:rPr>
          <w:rFonts w:ascii="Times New Roman"/>
        </w:rPr>
        <w:t>8</w:t>
      </w:r>
      <w:r>
        <w:rPr>
          <w:rFonts w:hint="eastAsia" w:ascii="Times New Roman"/>
        </w:rPr>
        <w:t>。</w:t>
      </w:r>
    </w:p>
    <w:p>
      <w:pPr>
        <w:widowControl/>
        <w:spacing w:beforeLines="50" w:afterLines="50"/>
        <w:jc w:val="center"/>
        <w:rPr>
          <w:rFonts w:eastAsia="黑体"/>
          <w:color w:val="000000"/>
          <w:kern w:val="0"/>
        </w:rPr>
      </w:pPr>
      <w:r>
        <w:rPr>
          <w:rFonts w:hint="eastAsia" w:eastAsia="黑体"/>
          <w:color w:val="000000"/>
          <w:kern w:val="0"/>
        </w:rPr>
        <w:t>表</w:t>
      </w:r>
      <w:r>
        <w:rPr>
          <w:rFonts w:eastAsia="黑体"/>
          <w:color w:val="000000"/>
          <w:kern w:val="0"/>
        </w:rPr>
        <w:t xml:space="preserve">2 </w:t>
      </w:r>
      <w:r>
        <w:rPr>
          <w:rFonts w:hint="eastAsia" w:eastAsia="黑体"/>
          <w:color w:val="000000"/>
          <w:kern w:val="0"/>
        </w:rPr>
        <w:t>水泥混凝土类和砂浆类评价指标要求</w:t>
      </w:r>
    </w:p>
    <w:tbl>
      <w:tblPr>
        <w:tblStyle w:val="24"/>
        <w:tblW w:w="898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3"/>
        <w:gridCol w:w="561"/>
        <w:gridCol w:w="561"/>
        <w:gridCol w:w="1995"/>
        <w:gridCol w:w="662"/>
        <w:gridCol w:w="975"/>
        <w:gridCol w:w="950"/>
        <w:gridCol w:w="1213"/>
        <w:gridCol w:w="9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03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bookmarkStart w:id="106" w:name="_Hlk8334103"/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3117" w:type="dxa"/>
            <w:gridSpan w:val="3"/>
            <w:vMerge w:val="restart"/>
            <w:tcBorders>
              <w:left w:val="nil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662" w:type="dxa"/>
            <w:vMerge w:val="restart"/>
            <w:tcBorders>
              <w:left w:val="nil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单位</w:t>
            </w:r>
          </w:p>
        </w:tc>
        <w:tc>
          <w:tcPr>
            <w:tcW w:w="3138" w:type="dxa"/>
            <w:gridSpan w:val="3"/>
            <w:tcBorders>
              <w:left w:val="nil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基准值</w:t>
            </w:r>
          </w:p>
        </w:tc>
        <w:tc>
          <w:tcPr>
            <w:tcW w:w="964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评价依据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03" w:type="dxa"/>
            <w:vMerge w:val="continue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7" w:type="dxa"/>
            <w:gridSpan w:val="3"/>
            <w:vMerge w:val="continue"/>
            <w:tcBorders>
              <w:left w:val="nil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2" w:type="dxa"/>
            <w:vMerge w:val="continue"/>
            <w:tcBorders>
              <w:left w:val="nil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tcBorders>
              <w:left w:val="nil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一星级</w:t>
            </w:r>
          </w:p>
        </w:tc>
        <w:tc>
          <w:tcPr>
            <w:tcW w:w="950" w:type="dxa"/>
            <w:tcBorders>
              <w:left w:val="nil"/>
            </w:tcBorders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二星级</w:t>
            </w:r>
          </w:p>
        </w:tc>
        <w:tc>
          <w:tcPr>
            <w:tcW w:w="1213" w:type="dxa"/>
            <w:tcBorders>
              <w:left w:val="nil"/>
            </w:tcBorders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三星级</w:t>
            </w:r>
          </w:p>
        </w:tc>
        <w:tc>
          <w:tcPr>
            <w:tcW w:w="964" w:type="dxa"/>
            <w:vMerge w:val="continue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1103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资源属性</w:t>
            </w:r>
          </w:p>
        </w:tc>
        <w:tc>
          <w:tcPr>
            <w:tcW w:w="3117" w:type="dxa"/>
            <w:gridSpan w:val="3"/>
            <w:tcBorders>
              <w:left w:val="nil"/>
            </w:tcBorders>
            <w:shd w:val="clear" w:color="auto" w:fill="FFFFFF"/>
            <w:noWrap/>
            <w:vAlign w:val="center"/>
          </w:tcPr>
          <w:p>
            <w:pPr>
              <w:pStyle w:val="142"/>
              <w:jc w:val="both"/>
              <w:rPr>
                <w:rFonts w:ascii="Times New Roman" w:cs="Times New Roman"/>
                <w:sz w:val="18"/>
                <w:szCs w:val="18"/>
              </w:rPr>
            </w:pPr>
            <w:r>
              <w:rPr>
                <w:rFonts w:hint="eastAsia" w:ascii="Times New Roman" w:cs="Times New Roman"/>
                <w:sz w:val="18"/>
                <w:szCs w:val="18"/>
              </w:rPr>
              <w:t>生产过程产生废弃物可利用率</w:t>
            </w:r>
          </w:p>
        </w:tc>
        <w:tc>
          <w:tcPr>
            <w:tcW w:w="662" w:type="dxa"/>
            <w:tcBorders>
              <w:left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%</w:t>
            </w:r>
          </w:p>
        </w:tc>
        <w:tc>
          <w:tcPr>
            <w:tcW w:w="3138" w:type="dxa"/>
            <w:gridSpan w:val="3"/>
            <w:tcBorders>
              <w:left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964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附录</w:t>
            </w:r>
            <w:r>
              <w:rPr>
                <w:color w:val="000000"/>
                <w:kern w:val="0"/>
                <w:sz w:val="18"/>
                <w:szCs w:val="18"/>
              </w:rPr>
              <w:t>A.1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1103" w:type="dxa"/>
            <w:vMerge w:val="continue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7" w:type="dxa"/>
            <w:gridSpan w:val="3"/>
            <w:tcBorders>
              <w:left w:val="nil"/>
            </w:tcBorders>
            <w:shd w:val="clear" w:color="auto" w:fill="FFFFFF"/>
            <w:noWrap/>
            <w:vAlign w:val="center"/>
          </w:tcPr>
          <w:p>
            <w:pPr>
              <w:pStyle w:val="142"/>
              <w:jc w:val="both"/>
              <w:rPr>
                <w:rFonts w:asci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cs="Times New Roman"/>
                <w:color w:val="auto"/>
                <w:sz w:val="18"/>
                <w:szCs w:val="18"/>
              </w:rPr>
              <w:t>固体废弃物添加量</w:t>
            </w:r>
          </w:p>
        </w:tc>
        <w:tc>
          <w:tcPr>
            <w:tcW w:w="662" w:type="dxa"/>
            <w:tcBorders>
              <w:left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%</w:t>
            </w:r>
          </w:p>
        </w:tc>
        <w:tc>
          <w:tcPr>
            <w:tcW w:w="3138" w:type="dxa"/>
            <w:gridSpan w:val="3"/>
            <w:tcBorders>
              <w:left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≥30</w:t>
            </w:r>
          </w:p>
        </w:tc>
        <w:tc>
          <w:tcPr>
            <w:tcW w:w="964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附录</w:t>
            </w:r>
            <w:r>
              <w:rPr>
                <w:color w:val="000000"/>
                <w:kern w:val="0"/>
                <w:sz w:val="18"/>
                <w:szCs w:val="18"/>
              </w:rPr>
              <w:t>A.2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1103" w:type="dxa"/>
            <w:vMerge w:val="restart"/>
            <w:tcBorders>
              <w:top w:val="nil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能源属性</w:t>
            </w:r>
          </w:p>
        </w:tc>
        <w:tc>
          <w:tcPr>
            <w:tcW w:w="1122" w:type="dxa"/>
            <w:gridSpan w:val="2"/>
            <w:vMerge w:val="restart"/>
            <w:tcBorders>
              <w:lef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单位产品生产能耗</w:t>
            </w:r>
          </w:p>
        </w:tc>
        <w:tc>
          <w:tcPr>
            <w:tcW w:w="199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预拌混凝土</w:t>
            </w:r>
          </w:p>
        </w:tc>
        <w:tc>
          <w:tcPr>
            <w:tcW w:w="662" w:type="dxa"/>
            <w:tcBorders>
              <w:lef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1925" w:type="dxa"/>
            <w:gridSpan w:val="2"/>
            <w:vMerge w:val="restart"/>
            <w:tcBorders>
              <w:left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</w:t>
            </w:r>
            <w:r>
              <w:rPr>
                <w:rFonts w:hint="eastAsia"/>
                <w:kern w:val="0"/>
                <w:sz w:val="18"/>
                <w:szCs w:val="18"/>
              </w:rPr>
              <w:t>级</w:t>
            </w:r>
          </w:p>
        </w:tc>
        <w:tc>
          <w:tcPr>
            <w:tcW w:w="1213" w:type="dxa"/>
            <w:vMerge w:val="restart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</w:t>
            </w:r>
            <w:r>
              <w:rPr>
                <w:rFonts w:hint="eastAsia"/>
                <w:kern w:val="0"/>
                <w:sz w:val="18"/>
                <w:szCs w:val="18"/>
              </w:rPr>
              <w:t>级</w:t>
            </w:r>
          </w:p>
        </w:tc>
        <w:tc>
          <w:tcPr>
            <w:tcW w:w="964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GB36888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103" w:type="dxa"/>
            <w:vMerge w:val="continue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2" w:type="dxa"/>
            <w:gridSpan w:val="2"/>
            <w:vMerge w:val="continue"/>
            <w:tcBorders>
              <w:lef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9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湿拌砂浆</w:t>
            </w:r>
          </w:p>
        </w:tc>
        <w:tc>
          <w:tcPr>
            <w:tcW w:w="662" w:type="dxa"/>
            <w:tcBorders>
              <w:lef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1925" w:type="dxa"/>
            <w:gridSpan w:val="2"/>
            <w:vMerge w:val="continue"/>
            <w:tcBorders>
              <w:left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213" w:type="dxa"/>
            <w:vMerge w:val="continue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4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1103" w:type="dxa"/>
            <w:vMerge w:val="continue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2" w:type="dxa"/>
            <w:gridSpan w:val="2"/>
            <w:vMerge w:val="continue"/>
            <w:tcBorders>
              <w:lef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9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干混砂浆和干混混凝土</w:t>
            </w:r>
            <w:r>
              <w:rPr>
                <w:color w:val="000000"/>
                <w:kern w:val="0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662" w:type="dxa"/>
            <w:tcBorders>
              <w:lef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kgce/t</w:t>
            </w:r>
          </w:p>
        </w:tc>
        <w:tc>
          <w:tcPr>
            <w:tcW w:w="975" w:type="dxa"/>
            <w:tcBorders>
              <w:lef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≤1.45</w:t>
            </w:r>
          </w:p>
        </w:tc>
        <w:tc>
          <w:tcPr>
            <w:tcW w:w="95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≤1.20</w:t>
            </w:r>
          </w:p>
        </w:tc>
        <w:tc>
          <w:tcPr>
            <w:tcW w:w="1213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≤0.85</w:t>
            </w:r>
          </w:p>
        </w:tc>
        <w:tc>
          <w:tcPr>
            <w:tcW w:w="964" w:type="dxa"/>
            <w:shd w:val="clear" w:color="auto" w:fill="FFFFFF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GB/T 2589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3" w:type="dxa"/>
            <w:vMerge w:val="restart"/>
            <w:tcBorders>
              <w:top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环境属性</w:t>
            </w:r>
          </w:p>
        </w:tc>
        <w:tc>
          <w:tcPr>
            <w:tcW w:w="3117" w:type="dxa"/>
            <w:gridSpan w:val="3"/>
            <w:tcBorders>
              <w:left w:val="nil"/>
            </w:tcBorders>
            <w:shd w:val="clear" w:color="auto" w:fill="FFFFFF"/>
            <w:noWrap/>
            <w:vAlign w:val="center"/>
          </w:tcPr>
          <w:p>
            <w:pPr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水溶性六价铬含量</w:t>
            </w:r>
          </w:p>
        </w:tc>
        <w:tc>
          <w:tcPr>
            <w:tcW w:w="662" w:type="dxa"/>
            <w:tcBorders>
              <w:left w:val="nil"/>
            </w:tcBorders>
            <w:shd w:val="clear" w:color="auto" w:fill="FFFFFF"/>
            <w:noWrap/>
            <w:vAlign w:val="center"/>
          </w:tcPr>
          <w:p>
            <w:pPr>
              <w:autoSpaceDE w:val="0"/>
              <w:autoSpaceDN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mg/t</w:t>
            </w:r>
          </w:p>
        </w:tc>
        <w:tc>
          <w:tcPr>
            <w:tcW w:w="3138" w:type="dxa"/>
            <w:gridSpan w:val="3"/>
            <w:tcBorders>
              <w:left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≤200</w:t>
            </w:r>
          </w:p>
        </w:tc>
        <w:tc>
          <w:tcPr>
            <w:tcW w:w="964" w:type="dxa"/>
            <w:vMerge w:val="restart"/>
            <w:shd w:val="clear" w:color="auto" w:fill="FFFFFF"/>
            <w:noWrap/>
            <w:vAlign w:val="center"/>
          </w:tcPr>
          <w:p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HJ/T 412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103" w:type="dxa"/>
            <w:vMerge w:val="continue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7" w:type="dxa"/>
            <w:gridSpan w:val="3"/>
            <w:tcBorders>
              <w:left w:val="nil"/>
            </w:tcBorders>
            <w:shd w:val="clear" w:color="auto" w:fill="FFFFFF"/>
            <w:noWrap/>
            <w:vAlign w:val="center"/>
          </w:tcPr>
          <w:p>
            <w:pPr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氨释放量</w:t>
            </w:r>
          </w:p>
        </w:tc>
        <w:tc>
          <w:tcPr>
            <w:tcW w:w="662" w:type="dxa"/>
            <w:tcBorders>
              <w:left w:val="nil"/>
            </w:tcBorders>
            <w:shd w:val="clear" w:color="auto" w:fill="FFFFFF"/>
            <w:noWrap/>
            <w:vAlign w:val="center"/>
          </w:tcPr>
          <w:p>
            <w:pPr>
              <w:autoSpaceDE w:val="0"/>
              <w:autoSpaceDN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mg/m</w:t>
            </w:r>
            <w:r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3138" w:type="dxa"/>
            <w:gridSpan w:val="3"/>
            <w:tcBorders>
              <w:left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≤</w:t>
            </w:r>
            <w:r>
              <w:rPr>
                <w:sz w:val="18"/>
                <w:szCs w:val="18"/>
              </w:rPr>
              <w:t>0.2</w:t>
            </w:r>
          </w:p>
        </w:tc>
        <w:tc>
          <w:tcPr>
            <w:tcW w:w="964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103" w:type="dxa"/>
            <w:vMerge w:val="continue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7" w:type="dxa"/>
            <w:gridSpan w:val="3"/>
            <w:tcBorders>
              <w:left w:val="nil"/>
            </w:tcBorders>
            <w:shd w:val="clear" w:color="auto" w:fill="FFFFFF"/>
            <w:noWrap/>
            <w:vAlign w:val="center"/>
          </w:tcPr>
          <w:p>
            <w:pPr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单位产品工业废水排放量</w:t>
            </w:r>
          </w:p>
        </w:tc>
        <w:tc>
          <w:tcPr>
            <w:tcW w:w="662" w:type="dxa"/>
            <w:tcBorders>
              <w:left w:val="nil"/>
            </w:tcBorders>
            <w:shd w:val="clear" w:color="auto" w:fill="FFFFFF"/>
            <w:noWrap/>
            <w:vAlign w:val="center"/>
          </w:tcPr>
          <w:p>
            <w:pPr>
              <w:autoSpaceDE w:val="0"/>
              <w:autoSpaceDN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t/t</w:t>
            </w:r>
          </w:p>
        </w:tc>
        <w:tc>
          <w:tcPr>
            <w:tcW w:w="3138" w:type="dxa"/>
            <w:gridSpan w:val="3"/>
            <w:tcBorders>
              <w:left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964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附录</w:t>
            </w:r>
            <w:r>
              <w:rPr>
                <w:color w:val="000000"/>
                <w:kern w:val="0"/>
                <w:sz w:val="18"/>
                <w:szCs w:val="18"/>
              </w:rPr>
              <w:t>A.3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  <w:jc w:val="center"/>
        </w:trPr>
        <w:tc>
          <w:tcPr>
            <w:tcW w:w="1103" w:type="dxa"/>
            <w:vMerge w:val="restart"/>
            <w:tcBorders>
              <w:top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品质属性</w:t>
            </w:r>
          </w:p>
        </w:tc>
        <w:tc>
          <w:tcPr>
            <w:tcW w:w="3117" w:type="dxa"/>
            <w:gridSpan w:val="3"/>
            <w:tcBorders>
              <w:left w:val="nil"/>
            </w:tcBorders>
            <w:shd w:val="clear" w:color="auto" w:fill="FFFFFF"/>
            <w:noWrap/>
            <w:vAlign w:val="center"/>
          </w:tcPr>
          <w:p>
            <w:pPr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混凝土中水溶性氯离子含量</w:t>
            </w:r>
          </w:p>
        </w:tc>
        <w:tc>
          <w:tcPr>
            <w:tcW w:w="662" w:type="dxa"/>
            <w:tcBorders>
              <w:left w:val="nil"/>
            </w:tcBorders>
            <w:shd w:val="clear" w:color="auto" w:fill="FFFFFF"/>
            <w:noWrap/>
            <w:vAlign w:val="center"/>
          </w:tcPr>
          <w:p>
            <w:pPr>
              <w:widowControl/>
              <w:autoSpaceDE w:val="0"/>
              <w:autoSpaceDN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t>%</w:t>
            </w:r>
          </w:p>
        </w:tc>
        <w:tc>
          <w:tcPr>
            <w:tcW w:w="975" w:type="dxa"/>
            <w:tcBorders>
              <w:left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0.20</w:t>
            </w:r>
          </w:p>
        </w:tc>
        <w:tc>
          <w:tcPr>
            <w:tcW w:w="95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0.10</w:t>
            </w:r>
          </w:p>
        </w:tc>
        <w:tc>
          <w:tcPr>
            <w:tcW w:w="1213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0.06</w:t>
            </w:r>
          </w:p>
        </w:tc>
        <w:tc>
          <w:tcPr>
            <w:tcW w:w="964" w:type="dxa"/>
            <w:shd w:val="clear" w:color="auto" w:fill="FFFFFF"/>
            <w:vAlign w:val="center"/>
          </w:tcPr>
          <w:p>
            <w:pPr>
              <w:jc w:val="center"/>
              <w:rPr>
                <w:color w:val="FF0000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GB 50164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  <w:jc w:val="center"/>
        </w:trPr>
        <w:tc>
          <w:tcPr>
            <w:tcW w:w="1103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1" w:type="dxa"/>
            <w:vMerge w:val="restart"/>
            <w:tcBorders>
              <w:left w:val="nil"/>
            </w:tcBorders>
            <w:shd w:val="clear" w:color="auto" w:fill="FFFFFF"/>
            <w:noWrap/>
            <w:vAlign w:val="center"/>
          </w:tcPr>
          <w:p>
            <w:pPr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强度</w:t>
            </w:r>
          </w:p>
        </w:tc>
        <w:tc>
          <w:tcPr>
            <w:tcW w:w="561" w:type="dxa"/>
            <w:shd w:val="clear" w:color="auto" w:fill="FFFFFF"/>
            <w:noWrap/>
            <w:vAlign w:val="center"/>
          </w:tcPr>
          <w:p>
            <w:pPr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混凝土</w:t>
            </w:r>
          </w:p>
        </w:tc>
        <w:tc>
          <w:tcPr>
            <w:tcW w:w="1995" w:type="dxa"/>
            <w:shd w:val="clear" w:color="auto" w:fill="FFFFFF"/>
            <w:noWrap/>
            <w:vAlign w:val="center"/>
          </w:tcPr>
          <w:p>
            <w:pPr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实测强度与设计强度的比值</w:t>
            </w:r>
          </w:p>
        </w:tc>
        <w:tc>
          <w:tcPr>
            <w:tcW w:w="662" w:type="dxa"/>
            <w:tcBorders>
              <w:left w:val="nil"/>
            </w:tcBorders>
            <w:shd w:val="clear" w:color="auto" w:fill="FFFFFF"/>
            <w:noWrap/>
            <w:vAlign w:val="center"/>
          </w:tcPr>
          <w:p>
            <w:pPr>
              <w:widowControl/>
              <w:autoSpaceDE w:val="0"/>
              <w:autoSpaceDN w:val="0"/>
              <w:jc w:val="center"/>
            </w:pPr>
            <w:r>
              <w:rPr>
                <w:color w:val="000000"/>
                <w:kern w:val="0"/>
                <w:sz w:val="18"/>
                <w:szCs w:val="18"/>
              </w:rPr>
              <w:t>——</w:t>
            </w:r>
          </w:p>
        </w:tc>
        <w:tc>
          <w:tcPr>
            <w:tcW w:w="1925" w:type="dxa"/>
            <w:gridSpan w:val="2"/>
            <w:tcBorders>
              <w:left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≥1.0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且</w:t>
            </w:r>
            <w:r>
              <w:rPr>
                <w:color w:val="000000"/>
                <w:kern w:val="0"/>
                <w:sz w:val="18"/>
                <w:szCs w:val="18"/>
              </w:rPr>
              <w:t>≤1.3</w:t>
            </w:r>
          </w:p>
        </w:tc>
        <w:tc>
          <w:tcPr>
            <w:tcW w:w="1213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≥1.15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且</w:t>
            </w:r>
            <w:r>
              <w:rPr>
                <w:color w:val="000000"/>
                <w:kern w:val="0"/>
                <w:sz w:val="18"/>
                <w:szCs w:val="18"/>
              </w:rPr>
              <w:t>≤1.25</w:t>
            </w:r>
          </w:p>
        </w:tc>
        <w:tc>
          <w:tcPr>
            <w:tcW w:w="964" w:type="dxa"/>
            <w:shd w:val="clear" w:color="auto" w:fill="FFFFFF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GB/T 50081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  <w:jc w:val="center"/>
        </w:trPr>
        <w:tc>
          <w:tcPr>
            <w:tcW w:w="1103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1" w:type="dxa"/>
            <w:vMerge w:val="continue"/>
            <w:tcBorders>
              <w:left w:val="nil"/>
            </w:tcBorders>
            <w:shd w:val="clear" w:color="auto" w:fill="FFFFFF"/>
            <w:noWrap/>
            <w:vAlign w:val="center"/>
          </w:tcPr>
          <w:p>
            <w:pPr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1" w:type="dxa"/>
            <w:vMerge w:val="restart"/>
            <w:shd w:val="clear" w:color="auto" w:fill="FFFFFF"/>
            <w:noWrap/>
            <w:vAlign w:val="center"/>
          </w:tcPr>
          <w:p>
            <w:pPr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砂浆</w:t>
            </w:r>
          </w:p>
        </w:tc>
        <w:tc>
          <w:tcPr>
            <w:tcW w:w="1995" w:type="dxa"/>
            <w:shd w:val="clear" w:color="auto" w:fill="FFFFFF"/>
            <w:noWrap/>
            <w:vAlign w:val="center"/>
          </w:tcPr>
          <w:p>
            <w:pPr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抗压强度实测值与设计值的比值</w:t>
            </w:r>
          </w:p>
        </w:tc>
        <w:tc>
          <w:tcPr>
            <w:tcW w:w="662" w:type="dxa"/>
            <w:tcBorders>
              <w:left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——</w:t>
            </w:r>
          </w:p>
        </w:tc>
        <w:tc>
          <w:tcPr>
            <w:tcW w:w="1925" w:type="dxa"/>
            <w:gridSpan w:val="2"/>
            <w:tcBorders>
              <w:left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≥1.05</w:t>
            </w:r>
          </w:p>
        </w:tc>
        <w:tc>
          <w:tcPr>
            <w:tcW w:w="1213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≥1.2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且</w:t>
            </w:r>
            <w:r>
              <w:rPr>
                <w:color w:val="000000"/>
                <w:kern w:val="0"/>
                <w:sz w:val="18"/>
                <w:szCs w:val="18"/>
              </w:rPr>
              <w:t>≤1.8</w:t>
            </w:r>
          </w:p>
        </w:tc>
        <w:tc>
          <w:tcPr>
            <w:tcW w:w="964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JGJ/T 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  <w:jc w:val="center"/>
        </w:trPr>
        <w:tc>
          <w:tcPr>
            <w:tcW w:w="1103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1" w:type="dxa"/>
            <w:vMerge w:val="continue"/>
            <w:tcBorders>
              <w:left w:val="nil"/>
            </w:tcBorders>
            <w:shd w:val="clear" w:color="auto" w:fill="FFFFFF"/>
            <w:noWrap/>
            <w:vAlign w:val="center"/>
          </w:tcPr>
          <w:p>
            <w:pPr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1" w:type="dxa"/>
            <w:vMerge w:val="continue"/>
            <w:shd w:val="clear" w:color="auto" w:fill="FFFFFF"/>
            <w:noWrap/>
            <w:vAlign w:val="center"/>
          </w:tcPr>
          <w:p>
            <w:pPr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95" w:type="dxa"/>
            <w:shd w:val="clear" w:color="auto" w:fill="FFFFFF"/>
            <w:noWrap/>
            <w:vAlign w:val="center"/>
          </w:tcPr>
          <w:p>
            <w:pPr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原始拉伸粘结强度实测值与设计值的比值</w:t>
            </w:r>
          </w:p>
        </w:tc>
        <w:tc>
          <w:tcPr>
            <w:tcW w:w="662" w:type="dxa"/>
            <w:tcBorders>
              <w:left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——</w:t>
            </w:r>
          </w:p>
        </w:tc>
        <w:tc>
          <w:tcPr>
            <w:tcW w:w="1925" w:type="dxa"/>
            <w:gridSpan w:val="2"/>
            <w:tcBorders>
              <w:left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≥1.05</w:t>
            </w:r>
          </w:p>
        </w:tc>
        <w:tc>
          <w:tcPr>
            <w:tcW w:w="1213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≥1.15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且</w:t>
            </w:r>
            <w:r>
              <w:rPr>
                <w:color w:val="000000"/>
                <w:kern w:val="0"/>
                <w:sz w:val="18"/>
                <w:szCs w:val="18"/>
              </w:rPr>
              <w:t>≤1.5</w:t>
            </w:r>
          </w:p>
        </w:tc>
        <w:tc>
          <w:tcPr>
            <w:tcW w:w="964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03" w:type="dxa"/>
            <w:vMerge w:val="continue"/>
            <w:tcBorders>
              <w:top w:val="nil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1" w:type="dxa"/>
            <w:vMerge w:val="restart"/>
            <w:tcBorders>
              <w:left w:val="nil"/>
            </w:tcBorders>
            <w:shd w:val="clear" w:color="auto" w:fill="FFFFFF"/>
            <w:noWrap/>
            <w:vAlign w:val="center"/>
          </w:tcPr>
          <w:p>
            <w:pPr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耐久性</w:t>
            </w:r>
            <w:r>
              <w:rPr>
                <w:color w:val="000000"/>
                <w:kern w:val="0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561" w:type="dxa"/>
            <w:vMerge w:val="restart"/>
            <w:tcBorders>
              <w:left w:val="nil"/>
            </w:tcBorders>
            <w:shd w:val="clear" w:color="auto" w:fill="FFFFFF"/>
            <w:vAlign w:val="center"/>
          </w:tcPr>
          <w:p>
            <w:pPr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混凝土</w:t>
            </w:r>
          </w:p>
        </w:tc>
        <w:tc>
          <w:tcPr>
            <w:tcW w:w="199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抗渗等级</w:t>
            </w:r>
          </w:p>
        </w:tc>
        <w:tc>
          <w:tcPr>
            <w:tcW w:w="662" w:type="dxa"/>
            <w:tcBorders>
              <w:left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——</w:t>
            </w:r>
          </w:p>
        </w:tc>
        <w:tc>
          <w:tcPr>
            <w:tcW w:w="975" w:type="dxa"/>
            <w:tcBorders>
              <w:left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P8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级</w:t>
            </w:r>
          </w:p>
        </w:tc>
        <w:tc>
          <w:tcPr>
            <w:tcW w:w="95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P10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级</w:t>
            </w:r>
          </w:p>
        </w:tc>
        <w:tc>
          <w:tcPr>
            <w:tcW w:w="1213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P12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级</w:t>
            </w:r>
          </w:p>
        </w:tc>
        <w:tc>
          <w:tcPr>
            <w:tcW w:w="964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"http://www.csres.com/detail/208313.html" \t "_blank" </w:instrText>
            </w:r>
            <w:r>
              <w:fldChar w:fldCharType="separate"/>
            </w:r>
            <w:r>
              <w:rPr>
                <w:kern w:val="0"/>
                <w:sz w:val="18"/>
                <w:szCs w:val="18"/>
              </w:rPr>
              <w:t>GB/T 50082</w:t>
            </w:r>
            <w:r>
              <w:rPr>
                <w:kern w:val="0"/>
                <w:sz w:val="18"/>
                <w:szCs w:val="18"/>
              </w:rPr>
              <w:fldChar w:fldCharType="end"/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、</w:t>
            </w:r>
          </w:p>
          <w:p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JGJ/T 193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03" w:type="dxa"/>
            <w:vMerge w:val="continue"/>
            <w:tcBorders>
              <w:top w:val="nil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1" w:type="dxa"/>
            <w:vMerge w:val="continue"/>
            <w:tcBorders>
              <w:left w:val="nil"/>
            </w:tcBorders>
            <w:shd w:val="clear" w:color="auto" w:fill="FFFFFF"/>
            <w:noWrap/>
            <w:vAlign w:val="center"/>
          </w:tcPr>
          <w:p>
            <w:pPr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1" w:type="dxa"/>
            <w:vMerge w:val="continue"/>
            <w:tcBorders>
              <w:left w:val="nil"/>
            </w:tcBorders>
            <w:shd w:val="clear" w:color="auto" w:fill="FFFFFF"/>
            <w:vAlign w:val="center"/>
          </w:tcPr>
          <w:p>
            <w:pPr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9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抗氯离子渗透等级</w:t>
            </w:r>
          </w:p>
        </w:tc>
        <w:tc>
          <w:tcPr>
            <w:tcW w:w="662" w:type="dxa"/>
            <w:tcBorders>
              <w:left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——</w:t>
            </w:r>
          </w:p>
        </w:tc>
        <w:tc>
          <w:tcPr>
            <w:tcW w:w="975" w:type="dxa"/>
            <w:tcBorders>
              <w:left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II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级</w:t>
            </w:r>
          </w:p>
        </w:tc>
        <w:tc>
          <w:tcPr>
            <w:tcW w:w="95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III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级</w:t>
            </w:r>
          </w:p>
        </w:tc>
        <w:tc>
          <w:tcPr>
            <w:tcW w:w="1213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IV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级</w:t>
            </w:r>
          </w:p>
        </w:tc>
        <w:tc>
          <w:tcPr>
            <w:tcW w:w="964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03" w:type="dxa"/>
            <w:vMerge w:val="continue"/>
            <w:tcBorders>
              <w:top w:val="nil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1" w:type="dxa"/>
            <w:vMerge w:val="continue"/>
            <w:tcBorders>
              <w:left w:val="nil"/>
            </w:tcBorders>
            <w:shd w:val="clear" w:color="auto" w:fill="FFFFFF"/>
            <w:noWrap/>
            <w:vAlign w:val="center"/>
          </w:tcPr>
          <w:p>
            <w:pPr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1" w:type="dxa"/>
            <w:vMerge w:val="continue"/>
            <w:tcBorders>
              <w:left w:val="nil"/>
            </w:tcBorders>
            <w:shd w:val="clear" w:color="auto" w:fill="FFFFFF"/>
            <w:vAlign w:val="center"/>
          </w:tcPr>
          <w:p>
            <w:pPr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9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抗碳化等级</w:t>
            </w:r>
          </w:p>
        </w:tc>
        <w:tc>
          <w:tcPr>
            <w:tcW w:w="662" w:type="dxa"/>
            <w:tcBorders>
              <w:left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——</w:t>
            </w:r>
          </w:p>
        </w:tc>
        <w:tc>
          <w:tcPr>
            <w:tcW w:w="1925" w:type="dxa"/>
            <w:gridSpan w:val="2"/>
            <w:tcBorders>
              <w:left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III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级</w:t>
            </w:r>
          </w:p>
        </w:tc>
        <w:tc>
          <w:tcPr>
            <w:tcW w:w="1213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IV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级</w:t>
            </w:r>
          </w:p>
        </w:tc>
        <w:tc>
          <w:tcPr>
            <w:tcW w:w="964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03" w:type="dxa"/>
            <w:vMerge w:val="continue"/>
            <w:tcBorders>
              <w:top w:val="nil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1" w:type="dxa"/>
            <w:vMerge w:val="continue"/>
            <w:tcBorders>
              <w:left w:val="nil"/>
            </w:tcBorders>
            <w:shd w:val="clear" w:color="auto" w:fill="FFFFFF"/>
            <w:noWrap/>
            <w:vAlign w:val="center"/>
          </w:tcPr>
          <w:p>
            <w:pPr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1" w:type="dxa"/>
            <w:vMerge w:val="continue"/>
            <w:tcBorders>
              <w:left w:val="nil"/>
            </w:tcBorders>
            <w:shd w:val="clear" w:color="auto" w:fill="FFFFFF"/>
            <w:vAlign w:val="center"/>
          </w:tcPr>
          <w:p>
            <w:pPr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9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抗冻等级</w:t>
            </w:r>
            <w:r>
              <w:rPr>
                <w:color w:val="000000"/>
                <w:kern w:val="0"/>
                <w:sz w:val="18"/>
                <w:szCs w:val="18"/>
                <w:vertAlign w:val="superscript"/>
              </w:rPr>
              <w:t>c</w:t>
            </w:r>
          </w:p>
        </w:tc>
        <w:tc>
          <w:tcPr>
            <w:tcW w:w="662" w:type="dxa"/>
            <w:tcBorders>
              <w:left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——</w:t>
            </w:r>
          </w:p>
        </w:tc>
        <w:tc>
          <w:tcPr>
            <w:tcW w:w="1925" w:type="dxa"/>
            <w:gridSpan w:val="2"/>
            <w:tcBorders>
              <w:left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F300</w:t>
            </w:r>
          </w:p>
        </w:tc>
        <w:tc>
          <w:tcPr>
            <w:tcW w:w="1213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F400</w:t>
            </w:r>
          </w:p>
        </w:tc>
        <w:tc>
          <w:tcPr>
            <w:tcW w:w="964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03" w:type="dxa"/>
            <w:vMerge w:val="continue"/>
            <w:tcBorders>
              <w:top w:val="nil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1" w:type="dxa"/>
            <w:vMerge w:val="continue"/>
            <w:tcBorders>
              <w:left w:val="nil"/>
            </w:tcBorders>
            <w:shd w:val="clear" w:color="auto" w:fill="FFFFFF"/>
            <w:noWrap/>
            <w:vAlign w:val="center"/>
          </w:tcPr>
          <w:p>
            <w:pPr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1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砂浆</w:t>
            </w:r>
          </w:p>
        </w:tc>
        <w:tc>
          <w:tcPr>
            <w:tcW w:w="199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冻融循环后抗压强度损失率</w:t>
            </w:r>
            <w:r>
              <w:rPr>
                <w:color w:val="000000"/>
                <w:kern w:val="0"/>
                <w:sz w:val="18"/>
                <w:szCs w:val="18"/>
                <w:vertAlign w:val="superscript"/>
              </w:rPr>
              <w:t>c</w:t>
            </w:r>
          </w:p>
        </w:tc>
        <w:tc>
          <w:tcPr>
            <w:tcW w:w="662" w:type="dxa"/>
            <w:tcBorders>
              <w:left w:val="nil"/>
            </w:tcBorders>
            <w:shd w:val="clear" w:color="auto" w:fill="FFFFFF"/>
            <w:noWrap/>
            <w:vAlign w:val="center"/>
          </w:tcPr>
          <w:p>
            <w:pPr>
              <w:widowControl/>
              <w:autoSpaceDE w:val="0"/>
              <w:autoSpaceDN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%</w:t>
            </w:r>
          </w:p>
        </w:tc>
        <w:tc>
          <w:tcPr>
            <w:tcW w:w="975" w:type="dxa"/>
            <w:tcBorders>
              <w:left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≤25</w:t>
            </w:r>
          </w:p>
        </w:tc>
        <w:tc>
          <w:tcPr>
            <w:tcW w:w="95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≤15</w:t>
            </w:r>
          </w:p>
        </w:tc>
        <w:tc>
          <w:tcPr>
            <w:tcW w:w="1213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≤10</w:t>
            </w:r>
          </w:p>
        </w:tc>
        <w:tc>
          <w:tcPr>
            <w:tcW w:w="964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GB/T 25181</w:t>
            </w:r>
          </w:p>
          <w:p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84" w:type="dxa"/>
            <w:gridSpan w:val="9"/>
            <w:vAlign w:val="center"/>
          </w:tcPr>
          <w:p>
            <w:pPr>
              <w:rPr>
                <w:color w:val="000000"/>
                <w:kern w:val="0"/>
                <w:sz w:val="18"/>
                <w:szCs w:val="18"/>
                <w:vertAlign w:val="superscript"/>
              </w:rPr>
            </w:pPr>
            <w:r>
              <w:rPr>
                <w:color w:val="000000"/>
                <w:kern w:val="0"/>
                <w:sz w:val="18"/>
                <w:szCs w:val="18"/>
                <w:vertAlign w:val="superscript"/>
              </w:rPr>
              <w:t>a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企业具有</w:t>
            </w:r>
            <w:r>
              <w:rPr>
                <w:rFonts w:hint="eastAsia"/>
                <w:sz w:val="18"/>
                <w:szCs w:val="21"/>
              </w:rPr>
              <w:t>上料、包装、码垛自动化系统的，单位产品生产能耗限值增加</w:t>
            </w:r>
            <w:r>
              <w:rPr>
                <w:sz w:val="18"/>
                <w:szCs w:val="21"/>
              </w:rPr>
              <w:t>0.35</w:t>
            </w:r>
            <w:r>
              <w:rPr>
                <w:color w:val="000000"/>
                <w:kern w:val="0"/>
                <w:sz w:val="18"/>
                <w:szCs w:val="18"/>
              </w:rPr>
              <w:t>kgce/t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；企业具有</w:t>
            </w:r>
            <w:r>
              <w:rPr>
                <w:rFonts w:hint="eastAsia"/>
                <w:sz w:val="18"/>
                <w:szCs w:val="21"/>
              </w:rPr>
              <w:t>上料、包装、码垛、存贮、分拣自动化系统，单位产品生产能耗限值增加</w:t>
            </w:r>
            <w:r>
              <w:rPr>
                <w:sz w:val="18"/>
                <w:szCs w:val="21"/>
              </w:rPr>
              <w:t>0.55</w:t>
            </w:r>
            <w:r>
              <w:rPr>
                <w:color w:val="000000"/>
                <w:kern w:val="0"/>
                <w:sz w:val="18"/>
                <w:szCs w:val="18"/>
              </w:rPr>
              <w:t>kgce/t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。</w:t>
            </w:r>
          </w:p>
          <w:p>
            <w:pPr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vertAlign w:val="superscript"/>
              </w:rPr>
              <w:t>b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本条款评价企业按照工程需要试配、生产相应耐久性能产品的能力，不要求所有出厂产品均符合本条款规定的耐久性要求。</w:t>
            </w:r>
            <w:r>
              <w:rPr>
                <w:rFonts w:hint="eastAsia"/>
                <w:sz w:val="18"/>
                <w:szCs w:val="18"/>
              </w:rPr>
              <w:t>当适用的产品标准未规定相关指标时，该产品不参评此指标。</w:t>
            </w:r>
          </w:p>
          <w:p>
            <w:pPr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vertAlign w:val="superscript"/>
              </w:rPr>
              <w:t>c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本条款适用于主要应用范围在寒冷地区、严寒地区与水接触的产品，应用于其他建筑气候区的产品不参评。建筑气候区的划分</w:t>
            </w:r>
            <w:r>
              <w:rPr>
                <w:rFonts w:hint="eastAsia"/>
                <w:sz w:val="18"/>
                <w:szCs w:val="18"/>
              </w:rPr>
              <w:t>按照</w:t>
            </w:r>
            <w:r>
              <w:rPr>
                <w:sz w:val="18"/>
                <w:szCs w:val="18"/>
              </w:rPr>
              <w:t>GB50176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进行。</w:t>
            </w:r>
          </w:p>
        </w:tc>
      </w:tr>
      <w:bookmarkEnd w:id="106"/>
    </w:tbl>
    <w:p>
      <w:pPr>
        <w:widowControl/>
        <w:spacing w:beforeLines="50" w:afterLines="50"/>
        <w:jc w:val="center"/>
        <w:rPr>
          <w:rFonts w:eastAsia="黑体"/>
          <w:color w:val="000000"/>
          <w:kern w:val="0"/>
        </w:rPr>
      </w:pPr>
    </w:p>
    <w:p>
      <w:pPr>
        <w:widowControl/>
        <w:spacing w:beforeLines="50" w:afterLines="50"/>
        <w:jc w:val="center"/>
        <w:rPr>
          <w:rFonts w:eastAsia="黑体"/>
          <w:color w:val="000000"/>
          <w:kern w:val="0"/>
        </w:rPr>
      </w:pPr>
      <w:r>
        <w:rPr>
          <w:rFonts w:hint="eastAsia" w:eastAsia="黑体"/>
          <w:color w:val="000000"/>
          <w:kern w:val="0"/>
        </w:rPr>
        <w:t>表</w:t>
      </w:r>
      <w:r>
        <w:rPr>
          <w:rFonts w:eastAsia="黑体"/>
          <w:color w:val="000000"/>
          <w:kern w:val="0"/>
        </w:rPr>
        <w:t xml:space="preserve">3 </w:t>
      </w:r>
      <w:r>
        <w:rPr>
          <w:rFonts w:hint="eastAsia" w:eastAsia="黑体"/>
          <w:color w:val="000000"/>
          <w:kern w:val="0"/>
        </w:rPr>
        <w:t>聚合物水泥混凝土和砂浆评价指标要求</w:t>
      </w:r>
    </w:p>
    <w:tbl>
      <w:tblPr>
        <w:tblStyle w:val="24"/>
        <w:tblW w:w="9570" w:type="dxa"/>
        <w:tblInd w:w="-10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3"/>
        <w:gridCol w:w="3059"/>
        <w:gridCol w:w="857"/>
        <w:gridCol w:w="831"/>
        <w:gridCol w:w="991"/>
        <w:gridCol w:w="161"/>
        <w:gridCol w:w="662"/>
        <w:gridCol w:w="879"/>
        <w:gridCol w:w="109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33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3916" w:type="dxa"/>
            <w:gridSpan w:val="2"/>
            <w:vMerge w:val="restart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831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单位</w:t>
            </w:r>
          </w:p>
        </w:tc>
        <w:tc>
          <w:tcPr>
            <w:tcW w:w="2693" w:type="dxa"/>
            <w:gridSpan w:val="4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基准值</w:t>
            </w:r>
          </w:p>
        </w:tc>
        <w:tc>
          <w:tcPr>
            <w:tcW w:w="1097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评价依据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33" w:type="dxa"/>
            <w:vMerge w:val="continue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16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1" w:type="dxa"/>
            <w:vMerge w:val="continue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1" w:type="dxa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一星级</w:t>
            </w:r>
          </w:p>
        </w:tc>
        <w:tc>
          <w:tcPr>
            <w:tcW w:w="823" w:type="dxa"/>
            <w:gridSpan w:val="2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二星级</w:t>
            </w:r>
          </w:p>
        </w:tc>
        <w:tc>
          <w:tcPr>
            <w:tcW w:w="879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三星级</w:t>
            </w:r>
          </w:p>
        </w:tc>
        <w:tc>
          <w:tcPr>
            <w:tcW w:w="1097" w:type="dxa"/>
            <w:vMerge w:val="continue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033" w:type="dxa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资源属性</w:t>
            </w:r>
          </w:p>
        </w:tc>
        <w:tc>
          <w:tcPr>
            <w:tcW w:w="3916" w:type="dxa"/>
            <w:gridSpan w:val="2"/>
            <w:noWrap/>
            <w:vAlign w:val="center"/>
          </w:tcPr>
          <w:p>
            <w:pPr>
              <w:pStyle w:val="142"/>
              <w:jc w:val="center"/>
              <w:rPr>
                <w:rFonts w:ascii="Times New Roman" w:cs="Times New Roman"/>
                <w:sz w:val="18"/>
                <w:szCs w:val="18"/>
              </w:rPr>
            </w:pPr>
            <w:r>
              <w:rPr>
                <w:rFonts w:hint="eastAsia" w:ascii="Times New Roman" w:cs="Times New Roman"/>
                <w:sz w:val="18"/>
                <w:szCs w:val="18"/>
              </w:rPr>
              <w:t>生产过程产生废弃物可利用率</w:t>
            </w:r>
          </w:p>
        </w:tc>
        <w:tc>
          <w:tcPr>
            <w:tcW w:w="831" w:type="dxa"/>
            <w:noWrap/>
            <w:vAlign w:val="center"/>
          </w:tcPr>
          <w:p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%</w:t>
            </w:r>
          </w:p>
        </w:tc>
        <w:tc>
          <w:tcPr>
            <w:tcW w:w="2693" w:type="dxa"/>
            <w:gridSpan w:val="4"/>
            <w:noWrap/>
            <w:vAlign w:val="center"/>
          </w:tcPr>
          <w:p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1097" w:type="dxa"/>
            <w:noWrap/>
            <w:vAlign w:val="center"/>
          </w:tcPr>
          <w:p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附录</w:t>
            </w:r>
            <w:r>
              <w:rPr>
                <w:color w:val="000000"/>
                <w:kern w:val="0"/>
                <w:sz w:val="18"/>
                <w:szCs w:val="18"/>
              </w:rPr>
              <w:t>A.1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1033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能源属性</w:t>
            </w:r>
          </w:p>
        </w:tc>
        <w:tc>
          <w:tcPr>
            <w:tcW w:w="3059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单位产品生产能耗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干粉类</w:t>
            </w:r>
            <w:r>
              <w:rPr>
                <w:color w:val="000000"/>
                <w:kern w:val="0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831" w:type="dxa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kgce/t</w:t>
            </w:r>
          </w:p>
        </w:tc>
        <w:tc>
          <w:tcPr>
            <w:tcW w:w="991" w:type="dxa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≤1.45</w:t>
            </w:r>
          </w:p>
        </w:tc>
        <w:tc>
          <w:tcPr>
            <w:tcW w:w="823" w:type="dxa"/>
            <w:gridSpan w:val="2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≤1.20</w:t>
            </w:r>
          </w:p>
        </w:tc>
        <w:tc>
          <w:tcPr>
            <w:tcW w:w="879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≤0.85</w:t>
            </w:r>
          </w:p>
        </w:tc>
        <w:tc>
          <w:tcPr>
            <w:tcW w:w="1097" w:type="dxa"/>
            <w:vMerge w:val="restart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GB/T 2589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1033" w:type="dxa"/>
            <w:vMerge w:val="continue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59" w:type="dxa"/>
            <w:vMerge w:val="continue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7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乳液类</w:t>
            </w:r>
          </w:p>
        </w:tc>
        <w:tc>
          <w:tcPr>
            <w:tcW w:w="831" w:type="dxa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kgce/t</w:t>
            </w:r>
          </w:p>
        </w:tc>
        <w:tc>
          <w:tcPr>
            <w:tcW w:w="991" w:type="dxa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≤3.5</w:t>
            </w:r>
          </w:p>
        </w:tc>
        <w:tc>
          <w:tcPr>
            <w:tcW w:w="823" w:type="dxa"/>
            <w:gridSpan w:val="2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≤3.0</w:t>
            </w:r>
          </w:p>
        </w:tc>
        <w:tc>
          <w:tcPr>
            <w:tcW w:w="879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≤2.5</w:t>
            </w:r>
          </w:p>
        </w:tc>
        <w:tc>
          <w:tcPr>
            <w:tcW w:w="1097" w:type="dxa"/>
            <w:vMerge w:val="continue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33" w:type="dxa"/>
            <w:vMerge w:val="restart"/>
            <w:noWrap/>
            <w:vAlign w:val="center"/>
          </w:tcPr>
          <w:p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环境属性</w:t>
            </w:r>
          </w:p>
        </w:tc>
        <w:tc>
          <w:tcPr>
            <w:tcW w:w="3916" w:type="dxa"/>
            <w:gridSpan w:val="2"/>
            <w:noWrap/>
            <w:vAlign w:val="center"/>
          </w:tcPr>
          <w:p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水溶性六价铬含量</w:t>
            </w:r>
          </w:p>
        </w:tc>
        <w:tc>
          <w:tcPr>
            <w:tcW w:w="831" w:type="dxa"/>
            <w:noWrap/>
            <w:vAlign w:val="center"/>
          </w:tcPr>
          <w:p>
            <w:pPr>
              <w:autoSpaceDE w:val="0"/>
              <w:autoSpaceDN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mg/t</w:t>
            </w:r>
          </w:p>
        </w:tc>
        <w:tc>
          <w:tcPr>
            <w:tcW w:w="2693" w:type="dxa"/>
            <w:gridSpan w:val="4"/>
            <w:noWrap/>
            <w:vAlign w:val="center"/>
          </w:tcPr>
          <w:p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≤200</w:t>
            </w:r>
          </w:p>
        </w:tc>
        <w:tc>
          <w:tcPr>
            <w:tcW w:w="1097" w:type="dxa"/>
            <w:noWrap/>
            <w:vAlign w:val="center"/>
          </w:tcPr>
          <w:p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HJ/T 412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33" w:type="dxa"/>
            <w:vMerge w:val="continue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16" w:type="dxa"/>
            <w:gridSpan w:val="2"/>
            <w:noWrap/>
            <w:vAlign w:val="center"/>
          </w:tcPr>
          <w:p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单位产品工业废水排放量</w:t>
            </w:r>
          </w:p>
        </w:tc>
        <w:tc>
          <w:tcPr>
            <w:tcW w:w="831" w:type="dxa"/>
            <w:noWrap/>
            <w:vAlign w:val="center"/>
          </w:tcPr>
          <w:p>
            <w:pPr>
              <w:autoSpaceDE w:val="0"/>
              <w:autoSpaceDN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t/t</w:t>
            </w:r>
          </w:p>
        </w:tc>
        <w:tc>
          <w:tcPr>
            <w:tcW w:w="2693" w:type="dxa"/>
            <w:gridSpan w:val="4"/>
            <w:noWrap/>
            <w:vAlign w:val="center"/>
          </w:tcPr>
          <w:p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097" w:type="dxa"/>
            <w:vAlign w:val="center"/>
          </w:tcPr>
          <w:p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附录</w:t>
            </w:r>
            <w:r>
              <w:rPr>
                <w:color w:val="000000"/>
                <w:kern w:val="0"/>
                <w:sz w:val="18"/>
                <w:szCs w:val="18"/>
              </w:rPr>
              <w:t>A.3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33" w:type="dxa"/>
            <w:vMerge w:val="restart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品质属性</w:t>
            </w:r>
          </w:p>
        </w:tc>
        <w:tc>
          <w:tcPr>
            <w:tcW w:w="3916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混凝土实测强度与设计强度的比值</w:t>
            </w:r>
          </w:p>
        </w:tc>
        <w:tc>
          <w:tcPr>
            <w:tcW w:w="831" w:type="dxa"/>
            <w:noWrap/>
            <w:vAlign w:val="center"/>
          </w:tcPr>
          <w:p>
            <w:pPr>
              <w:widowControl/>
              <w:autoSpaceDE w:val="0"/>
              <w:autoSpaceDN w:val="0"/>
              <w:jc w:val="center"/>
              <w:rPr>
                <w:sz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——</w:t>
            </w:r>
          </w:p>
        </w:tc>
        <w:tc>
          <w:tcPr>
            <w:tcW w:w="1814" w:type="dxa"/>
            <w:gridSpan w:val="3"/>
            <w:noWrap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≥1.0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且</w:t>
            </w:r>
            <w:r>
              <w:rPr>
                <w:color w:val="000000"/>
                <w:kern w:val="0"/>
                <w:sz w:val="18"/>
                <w:szCs w:val="18"/>
              </w:rPr>
              <w:t>≤1.3</w:t>
            </w:r>
          </w:p>
        </w:tc>
        <w:tc>
          <w:tcPr>
            <w:tcW w:w="879" w:type="dxa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≥1.15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且</w:t>
            </w:r>
            <w:r>
              <w:rPr>
                <w:color w:val="000000"/>
                <w:kern w:val="0"/>
                <w:sz w:val="18"/>
                <w:szCs w:val="18"/>
              </w:rPr>
              <w:t>≤1.25</w:t>
            </w:r>
          </w:p>
        </w:tc>
        <w:tc>
          <w:tcPr>
            <w:tcW w:w="1097" w:type="dxa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GB/T 50081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33" w:type="dxa"/>
            <w:vMerge w:val="continue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16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砂浆抗压强度实测值与设计值的比值</w:t>
            </w:r>
          </w:p>
        </w:tc>
        <w:tc>
          <w:tcPr>
            <w:tcW w:w="831" w:type="dxa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——</w:t>
            </w:r>
          </w:p>
        </w:tc>
        <w:tc>
          <w:tcPr>
            <w:tcW w:w="1814" w:type="dxa"/>
            <w:gridSpan w:val="3"/>
            <w:noWrap/>
            <w:vAlign w:val="center"/>
          </w:tcPr>
          <w:p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≥1.05</w:t>
            </w:r>
          </w:p>
        </w:tc>
        <w:tc>
          <w:tcPr>
            <w:tcW w:w="879" w:type="dxa"/>
            <w:vAlign w:val="center"/>
          </w:tcPr>
          <w:p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≥1.2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且</w:t>
            </w:r>
            <w:r>
              <w:rPr>
                <w:color w:val="000000"/>
                <w:kern w:val="0"/>
                <w:sz w:val="18"/>
                <w:szCs w:val="18"/>
              </w:rPr>
              <w:t>≤1.8</w:t>
            </w:r>
          </w:p>
        </w:tc>
        <w:tc>
          <w:tcPr>
            <w:tcW w:w="1097" w:type="dxa"/>
            <w:vMerge w:val="restart"/>
            <w:vAlign w:val="center"/>
          </w:tcPr>
          <w:p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JGJ/T 70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33" w:type="dxa"/>
            <w:vMerge w:val="continue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16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砂浆原始拉伸粘结强度实测值与设计值的比值</w:t>
            </w:r>
          </w:p>
        </w:tc>
        <w:tc>
          <w:tcPr>
            <w:tcW w:w="831" w:type="dxa"/>
            <w:noWrap/>
            <w:vAlign w:val="center"/>
          </w:tcPr>
          <w:p>
            <w:pPr>
              <w:jc w:val="center"/>
              <w:rPr>
                <w:sz w:val="18"/>
                <w:szCs w:val="21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——</w:t>
            </w:r>
          </w:p>
        </w:tc>
        <w:tc>
          <w:tcPr>
            <w:tcW w:w="1814" w:type="dxa"/>
            <w:gridSpan w:val="3"/>
            <w:noWrap/>
            <w:vAlign w:val="center"/>
          </w:tcPr>
          <w:p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≥1.05</w:t>
            </w:r>
          </w:p>
        </w:tc>
        <w:tc>
          <w:tcPr>
            <w:tcW w:w="879" w:type="dxa"/>
            <w:vAlign w:val="center"/>
          </w:tcPr>
          <w:p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≥1.15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且</w:t>
            </w:r>
            <w:r>
              <w:rPr>
                <w:color w:val="000000"/>
                <w:kern w:val="0"/>
                <w:sz w:val="18"/>
                <w:szCs w:val="18"/>
              </w:rPr>
              <w:t>≤1.5</w:t>
            </w:r>
          </w:p>
        </w:tc>
        <w:tc>
          <w:tcPr>
            <w:tcW w:w="1097" w:type="dxa"/>
            <w:vMerge w:val="continue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33" w:type="dxa"/>
            <w:vMerge w:val="continue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16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耐水、耐冻融拉伸强度实测值与设计值的比值</w:t>
            </w:r>
            <w:r>
              <w:rPr>
                <w:color w:val="000000"/>
                <w:kern w:val="0"/>
                <w:sz w:val="18"/>
                <w:szCs w:val="18"/>
                <w:vertAlign w:val="superscript"/>
              </w:rPr>
              <w:t>c</w:t>
            </w:r>
          </w:p>
        </w:tc>
        <w:tc>
          <w:tcPr>
            <w:tcW w:w="831" w:type="dxa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——</w:t>
            </w:r>
          </w:p>
        </w:tc>
        <w:tc>
          <w:tcPr>
            <w:tcW w:w="1152" w:type="dxa"/>
            <w:gridSpan w:val="2"/>
            <w:noWrap/>
            <w:vAlign w:val="center"/>
          </w:tcPr>
          <w:p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≥1.05</w:t>
            </w:r>
          </w:p>
        </w:tc>
        <w:tc>
          <w:tcPr>
            <w:tcW w:w="662" w:type="dxa"/>
            <w:vAlign w:val="center"/>
          </w:tcPr>
          <w:p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≥1.1</w:t>
            </w:r>
          </w:p>
        </w:tc>
        <w:tc>
          <w:tcPr>
            <w:tcW w:w="879" w:type="dxa"/>
            <w:vAlign w:val="center"/>
          </w:tcPr>
          <w:p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≥1.3</w:t>
            </w:r>
          </w:p>
        </w:tc>
        <w:tc>
          <w:tcPr>
            <w:tcW w:w="1097" w:type="dxa"/>
            <w:vMerge w:val="continue"/>
            <w:vAlign w:val="center"/>
          </w:tcPr>
          <w:p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0" w:type="dxa"/>
            <w:gridSpan w:val="9"/>
            <w:vAlign w:val="center"/>
          </w:tcPr>
          <w:p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vertAlign w:val="superscript"/>
              </w:rPr>
              <w:t>a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企业具有</w:t>
            </w:r>
            <w:r>
              <w:rPr>
                <w:rFonts w:hint="eastAsia"/>
                <w:sz w:val="18"/>
                <w:szCs w:val="21"/>
              </w:rPr>
              <w:t>上料、包装、码垛自动化系统的，单位产品生产能耗限值增加</w:t>
            </w:r>
            <w:r>
              <w:rPr>
                <w:sz w:val="18"/>
                <w:szCs w:val="21"/>
              </w:rPr>
              <w:t>0.35</w:t>
            </w:r>
            <w:r>
              <w:rPr>
                <w:color w:val="000000"/>
                <w:kern w:val="0"/>
                <w:sz w:val="18"/>
                <w:szCs w:val="18"/>
              </w:rPr>
              <w:t>kgce/t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；企业具有</w:t>
            </w:r>
            <w:r>
              <w:rPr>
                <w:rFonts w:hint="eastAsia"/>
                <w:sz w:val="18"/>
                <w:szCs w:val="21"/>
              </w:rPr>
              <w:t>上料、包装、码垛、存贮、分拣自动化系统，单位产品生产能耗限值增加</w:t>
            </w:r>
            <w:r>
              <w:rPr>
                <w:sz w:val="18"/>
                <w:szCs w:val="21"/>
              </w:rPr>
              <w:t>0.55</w:t>
            </w:r>
            <w:r>
              <w:rPr>
                <w:color w:val="000000"/>
                <w:kern w:val="0"/>
                <w:sz w:val="18"/>
                <w:szCs w:val="18"/>
              </w:rPr>
              <w:t>kgce/t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。</w:t>
            </w:r>
          </w:p>
        </w:tc>
      </w:tr>
    </w:tbl>
    <w:p>
      <w:pPr>
        <w:widowControl/>
        <w:spacing w:beforeLines="50" w:afterLines="50"/>
        <w:jc w:val="center"/>
        <w:rPr>
          <w:rFonts w:eastAsia="黑体"/>
          <w:color w:val="000000"/>
          <w:kern w:val="0"/>
        </w:rPr>
      </w:pPr>
    </w:p>
    <w:p>
      <w:pPr>
        <w:widowControl/>
        <w:spacing w:beforeLines="50" w:afterLines="50"/>
        <w:jc w:val="center"/>
        <w:rPr>
          <w:rFonts w:eastAsia="黑体"/>
          <w:color w:val="000000"/>
          <w:kern w:val="0"/>
        </w:rPr>
      </w:pPr>
      <w:r>
        <w:rPr>
          <w:rFonts w:hint="eastAsia" w:eastAsia="黑体"/>
          <w:color w:val="000000"/>
          <w:kern w:val="0"/>
        </w:rPr>
        <w:t>表</w:t>
      </w:r>
      <w:r>
        <w:rPr>
          <w:rFonts w:eastAsia="黑体"/>
          <w:color w:val="000000"/>
          <w:kern w:val="0"/>
        </w:rPr>
        <w:t>4</w:t>
      </w:r>
      <w:r>
        <w:rPr>
          <w:rFonts w:hint="eastAsia" w:eastAsia="黑体"/>
          <w:color w:val="000000"/>
          <w:kern w:val="0"/>
        </w:rPr>
        <w:t>聚合物树脂快速修补材料评价指标要求</w:t>
      </w:r>
    </w:p>
    <w:tbl>
      <w:tblPr>
        <w:tblStyle w:val="24"/>
        <w:tblW w:w="9570" w:type="dxa"/>
        <w:tblInd w:w="-10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0"/>
        <w:gridCol w:w="2141"/>
        <w:gridCol w:w="1248"/>
        <w:gridCol w:w="848"/>
        <w:gridCol w:w="977"/>
        <w:gridCol w:w="893"/>
        <w:gridCol w:w="893"/>
        <w:gridCol w:w="13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10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3389" w:type="dxa"/>
            <w:gridSpan w:val="2"/>
            <w:vMerge w:val="restart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848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单位</w:t>
            </w:r>
          </w:p>
        </w:tc>
        <w:tc>
          <w:tcPr>
            <w:tcW w:w="2763" w:type="dxa"/>
            <w:gridSpan w:val="3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基准值</w:t>
            </w:r>
          </w:p>
        </w:tc>
        <w:tc>
          <w:tcPr>
            <w:tcW w:w="1360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评价依据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10" w:type="dxa"/>
            <w:vMerge w:val="continue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89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8" w:type="dxa"/>
            <w:vMerge w:val="continue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7" w:type="dxa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一星级</w:t>
            </w:r>
          </w:p>
        </w:tc>
        <w:tc>
          <w:tcPr>
            <w:tcW w:w="893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二星级</w:t>
            </w:r>
          </w:p>
        </w:tc>
        <w:tc>
          <w:tcPr>
            <w:tcW w:w="893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三星级</w:t>
            </w:r>
          </w:p>
        </w:tc>
        <w:tc>
          <w:tcPr>
            <w:tcW w:w="1360" w:type="dxa"/>
            <w:vMerge w:val="continue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210" w:type="dxa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资源属性</w:t>
            </w:r>
          </w:p>
        </w:tc>
        <w:tc>
          <w:tcPr>
            <w:tcW w:w="3389" w:type="dxa"/>
            <w:gridSpan w:val="2"/>
            <w:noWrap/>
            <w:vAlign w:val="center"/>
          </w:tcPr>
          <w:p>
            <w:pPr>
              <w:pStyle w:val="142"/>
              <w:jc w:val="center"/>
              <w:rPr>
                <w:rFonts w:ascii="Times New Roman" w:cs="Times New Roman"/>
                <w:sz w:val="18"/>
                <w:szCs w:val="18"/>
              </w:rPr>
            </w:pPr>
            <w:r>
              <w:rPr>
                <w:rFonts w:hint="eastAsia" w:ascii="Times New Roman" w:cs="Times New Roman"/>
                <w:sz w:val="18"/>
                <w:szCs w:val="18"/>
              </w:rPr>
              <w:t>生产过程产生废弃物可利用率</w:t>
            </w:r>
          </w:p>
        </w:tc>
        <w:tc>
          <w:tcPr>
            <w:tcW w:w="848" w:type="dxa"/>
            <w:noWrap/>
            <w:vAlign w:val="center"/>
          </w:tcPr>
          <w:p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%</w:t>
            </w:r>
          </w:p>
        </w:tc>
        <w:tc>
          <w:tcPr>
            <w:tcW w:w="2763" w:type="dxa"/>
            <w:gridSpan w:val="3"/>
            <w:noWrap/>
            <w:vAlign w:val="center"/>
          </w:tcPr>
          <w:p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1360" w:type="dxa"/>
            <w:noWrap/>
            <w:vAlign w:val="center"/>
          </w:tcPr>
          <w:p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附录</w:t>
            </w:r>
            <w:r>
              <w:rPr>
                <w:color w:val="000000"/>
                <w:kern w:val="0"/>
                <w:sz w:val="18"/>
                <w:szCs w:val="18"/>
              </w:rPr>
              <w:t>A.1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1210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能源属性</w:t>
            </w:r>
          </w:p>
        </w:tc>
        <w:tc>
          <w:tcPr>
            <w:tcW w:w="2141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单位产品生产能耗</w:t>
            </w:r>
          </w:p>
        </w:tc>
        <w:tc>
          <w:tcPr>
            <w:tcW w:w="1248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粉料组分</w:t>
            </w:r>
            <w:r>
              <w:rPr>
                <w:color w:val="000000"/>
                <w:kern w:val="0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848" w:type="dxa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kgce/t</w:t>
            </w:r>
          </w:p>
        </w:tc>
        <w:tc>
          <w:tcPr>
            <w:tcW w:w="977" w:type="dxa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≤1.45</w:t>
            </w:r>
          </w:p>
        </w:tc>
        <w:tc>
          <w:tcPr>
            <w:tcW w:w="893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≤1.20</w:t>
            </w:r>
          </w:p>
        </w:tc>
        <w:tc>
          <w:tcPr>
            <w:tcW w:w="893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≤0.85</w:t>
            </w:r>
          </w:p>
        </w:tc>
        <w:tc>
          <w:tcPr>
            <w:tcW w:w="1360" w:type="dxa"/>
            <w:vMerge w:val="restart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GB/T 2589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1210" w:type="dxa"/>
            <w:vMerge w:val="continue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41" w:type="dxa"/>
            <w:vMerge w:val="continue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树脂组分</w:t>
            </w:r>
          </w:p>
        </w:tc>
        <w:tc>
          <w:tcPr>
            <w:tcW w:w="848" w:type="dxa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kgce/t</w:t>
            </w:r>
          </w:p>
        </w:tc>
        <w:tc>
          <w:tcPr>
            <w:tcW w:w="977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≤3.5</w:t>
            </w:r>
          </w:p>
        </w:tc>
        <w:tc>
          <w:tcPr>
            <w:tcW w:w="893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≤3.0</w:t>
            </w:r>
          </w:p>
        </w:tc>
        <w:tc>
          <w:tcPr>
            <w:tcW w:w="893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≤2.5</w:t>
            </w:r>
          </w:p>
        </w:tc>
        <w:tc>
          <w:tcPr>
            <w:tcW w:w="1360" w:type="dxa"/>
            <w:vMerge w:val="continue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10" w:type="dxa"/>
            <w:vMerge w:val="continue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89" w:type="dxa"/>
            <w:gridSpan w:val="2"/>
            <w:noWrap/>
            <w:vAlign w:val="center"/>
          </w:tcPr>
          <w:p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单位产品工业废水排放量</w:t>
            </w:r>
          </w:p>
        </w:tc>
        <w:tc>
          <w:tcPr>
            <w:tcW w:w="848" w:type="dxa"/>
            <w:noWrap/>
            <w:vAlign w:val="center"/>
          </w:tcPr>
          <w:p>
            <w:pPr>
              <w:autoSpaceDE w:val="0"/>
              <w:autoSpaceDN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t/t</w:t>
            </w:r>
          </w:p>
        </w:tc>
        <w:tc>
          <w:tcPr>
            <w:tcW w:w="2763" w:type="dxa"/>
            <w:gridSpan w:val="3"/>
            <w:noWrap/>
            <w:vAlign w:val="center"/>
          </w:tcPr>
          <w:p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360" w:type="dxa"/>
            <w:vAlign w:val="center"/>
          </w:tcPr>
          <w:p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附录</w:t>
            </w:r>
            <w:r>
              <w:rPr>
                <w:color w:val="000000"/>
                <w:kern w:val="0"/>
                <w:sz w:val="18"/>
                <w:szCs w:val="18"/>
              </w:rPr>
              <w:t>A.4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10" w:type="dxa"/>
            <w:vMerge w:val="restart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品质属性</w:t>
            </w:r>
          </w:p>
        </w:tc>
        <w:tc>
          <w:tcPr>
            <w:tcW w:w="3389" w:type="dxa"/>
            <w:gridSpan w:val="2"/>
            <w:noWrap/>
            <w:vAlign w:val="center"/>
          </w:tcPr>
          <w:p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固化时间</w:t>
            </w:r>
          </w:p>
        </w:tc>
        <w:tc>
          <w:tcPr>
            <w:tcW w:w="848" w:type="dxa"/>
            <w:noWrap/>
            <w:vAlign w:val="center"/>
          </w:tcPr>
          <w:p>
            <w:pPr>
              <w:autoSpaceDE w:val="0"/>
              <w:autoSpaceDN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h</w:t>
            </w:r>
          </w:p>
        </w:tc>
        <w:tc>
          <w:tcPr>
            <w:tcW w:w="2763" w:type="dxa"/>
            <w:gridSpan w:val="3"/>
            <w:noWrap/>
            <w:vAlign w:val="center"/>
          </w:tcPr>
          <w:p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≤12</w:t>
            </w:r>
          </w:p>
        </w:tc>
        <w:tc>
          <w:tcPr>
            <w:tcW w:w="136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GB12007.7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10" w:type="dxa"/>
            <w:vMerge w:val="continue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41" w:type="dxa"/>
            <w:vMerge w:val="restart"/>
            <w:tcBorders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抗压强度</w:t>
            </w:r>
          </w:p>
        </w:tc>
        <w:tc>
          <w:tcPr>
            <w:tcW w:w="1248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12h</w:t>
            </w:r>
          </w:p>
        </w:tc>
        <w:tc>
          <w:tcPr>
            <w:tcW w:w="848" w:type="dxa"/>
            <w:noWrap/>
            <w:vAlign w:val="center"/>
          </w:tcPr>
          <w:p>
            <w:pPr>
              <w:autoSpaceDE w:val="0"/>
              <w:autoSpaceDN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MPa</w:t>
            </w:r>
          </w:p>
        </w:tc>
        <w:tc>
          <w:tcPr>
            <w:tcW w:w="977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≥30</w:t>
            </w:r>
          </w:p>
        </w:tc>
        <w:tc>
          <w:tcPr>
            <w:tcW w:w="89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≥35</w:t>
            </w:r>
          </w:p>
        </w:tc>
        <w:tc>
          <w:tcPr>
            <w:tcW w:w="89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≥40</w:t>
            </w:r>
          </w:p>
        </w:tc>
        <w:tc>
          <w:tcPr>
            <w:tcW w:w="1360" w:type="dxa"/>
            <w:vMerge w:val="restart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JGJ/T 70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10" w:type="dxa"/>
            <w:vMerge w:val="continue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41" w:type="dxa"/>
            <w:vMerge w:val="continue"/>
            <w:tcBorders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1d</w:t>
            </w:r>
          </w:p>
        </w:tc>
        <w:tc>
          <w:tcPr>
            <w:tcW w:w="848" w:type="dxa"/>
            <w:noWrap/>
            <w:vAlign w:val="center"/>
          </w:tcPr>
          <w:p>
            <w:pPr>
              <w:autoSpaceDE w:val="0"/>
              <w:autoSpaceDN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MPa</w:t>
            </w:r>
          </w:p>
        </w:tc>
        <w:tc>
          <w:tcPr>
            <w:tcW w:w="977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≥45</w:t>
            </w:r>
          </w:p>
        </w:tc>
        <w:tc>
          <w:tcPr>
            <w:tcW w:w="89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≥55</w:t>
            </w:r>
          </w:p>
        </w:tc>
        <w:tc>
          <w:tcPr>
            <w:tcW w:w="89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≥65</w:t>
            </w:r>
          </w:p>
        </w:tc>
        <w:tc>
          <w:tcPr>
            <w:tcW w:w="1360" w:type="dxa"/>
            <w:vMerge w:val="continue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10" w:type="dxa"/>
            <w:vMerge w:val="continue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41" w:type="dxa"/>
            <w:vMerge w:val="continue"/>
            <w:tcBorders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28d</w:t>
            </w:r>
          </w:p>
        </w:tc>
        <w:tc>
          <w:tcPr>
            <w:tcW w:w="848" w:type="dxa"/>
            <w:noWrap/>
            <w:vAlign w:val="center"/>
          </w:tcPr>
          <w:p>
            <w:pPr>
              <w:autoSpaceDE w:val="0"/>
              <w:autoSpaceDN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MPa</w:t>
            </w:r>
          </w:p>
        </w:tc>
        <w:tc>
          <w:tcPr>
            <w:tcW w:w="977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≥55</w:t>
            </w:r>
          </w:p>
        </w:tc>
        <w:tc>
          <w:tcPr>
            <w:tcW w:w="89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≥65</w:t>
            </w:r>
          </w:p>
        </w:tc>
        <w:tc>
          <w:tcPr>
            <w:tcW w:w="89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≥75</w:t>
            </w:r>
          </w:p>
        </w:tc>
        <w:tc>
          <w:tcPr>
            <w:tcW w:w="136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0" w:type="dxa"/>
            <w:gridSpan w:val="8"/>
            <w:vAlign w:val="center"/>
          </w:tcPr>
          <w:p>
            <w:pPr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vertAlign w:val="superscript"/>
              </w:rPr>
              <w:t>a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企业具有</w:t>
            </w:r>
            <w:r>
              <w:rPr>
                <w:rFonts w:hint="eastAsia"/>
                <w:sz w:val="18"/>
                <w:szCs w:val="21"/>
              </w:rPr>
              <w:t>上料、包装、码垛自动化系统的，单位产品生产能耗限值增加</w:t>
            </w:r>
            <w:r>
              <w:rPr>
                <w:sz w:val="18"/>
                <w:szCs w:val="21"/>
              </w:rPr>
              <w:t>0.35</w:t>
            </w:r>
            <w:r>
              <w:rPr>
                <w:color w:val="000000"/>
                <w:kern w:val="0"/>
                <w:sz w:val="18"/>
                <w:szCs w:val="18"/>
              </w:rPr>
              <w:t>kgce/t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；企业具有</w:t>
            </w:r>
            <w:r>
              <w:rPr>
                <w:rFonts w:hint="eastAsia"/>
                <w:sz w:val="18"/>
                <w:szCs w:val="21"/>
              </w:rPr>
              <w:t>上料、包装、码垛、存贮、分拣自动化系统，单位产品生产能耗限值增加</w:t>
            </w:r>
            <w:r>
              <w:rPr>
                <w:sz w:val="18"/>
                <w:szCs w:val="21"/>
              </w:rPr>
              <w:t>0.55</w:t>
            </w:r>
            <w:r>
              <w:rPr>
                <w:color w:val="000000"/>
                <w:kern w:val="0"/>
                <w:sz w:val="18"/>
                <w:szCs w:val="18"/>
              </w:rPr>
              <w:t>kgce/t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。</w:t>
            </w:r>
          </w:p>
        </w:tc>
      </w:tr>
    </w:tbl>
    <w:p>
      <w:pPr>
        <w:widowControl/>
        <w:spacing w:beforeLines="50" w:afterLines="50"/>
        <w:rPr>
          <w:rFonts w:eastAsia="黑体"/>
          <w:color w:val="000000"/>
          <w:kern w:val="0"/>
        </w:rPr>
      </w:pPr>
    </w:p>
    <w:p>
      <w:pPr>
        <w:widowControl/>
        <w:spacing w:beforeLines="50" w:afterLines="50"/>
        <w:jc w:val="center"/>
        <w:rPr>
          <w:rFonts w:eastAsia="黑体"/>
          <w:color w:val="000000"/>
          <w:kern w:val="0"/>
        </w:rPr>
      </w:pPr>
      <w:r>
        <w:rPr>
          <w:rFonts w:hint="eastAsia" w:eastAsia="黑体"/>
          <w:color w:val="000000"/>
          <w:kern w:val="0"/>
        </w:rPr>
        <w:t>表</w:t>
      </w:r>
      <w:r>
        <w:rPr>
          <w:rFonts w:eastAsia="黑体"/>
          <w:color w:val="000000"/>
          <w:kern w:val="0"/>
        </w:rPr>
        <w:t xml:space="preserve">5 </w:t>
      </w:r>
      <w:r>
        <w:rPr>
          <w:rFonts w:hint="eastAsia" w:eastAsia="黑体"/>
          <w:color w:val="000000"/>
          <w:kern w:val="0"/>
        </w:rPr>
        <w:t>水泥基渗透结晶型防水涂料评价指标要求</w:t>
      </w:r>
    </w:p>
    <w:tbl>
      <w:tblPr>
        <w:tblStyle w:val="24"/>
        <w:tblW w:w="929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"/>
        <w:gridCol w:w="1476"/>
        <w:gridCol w:w="2877"/>
        <w:gridCol w:w="656"/>
        <w:gridCol w:w="756"/>
        <w:gridCol w:w="756"/>
        <w:gridCol w:w="756"/>
        <w:gridCol w:w="10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36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4353" w:type="dxa"/>
            <w:gridSpan w:val="2"/>
            <w:vMerge w:val="restart"/>
            <w:tcBorders>
              <w:left w:val="nil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656" w:type="dxa"/>
            <w:vMerge w:val="restart"/>
            <w:tcBorders>
              <w:left w:val="nil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单位</w:t>
            </w:r>
          </w:p>
        </w:tc>
        <w:tc>
          <w:tcPr>
            <w:tcW w:w="2268" w:type="dxa"/>
            <w:gridSpan w:val="3"/>
            <w:tcBorders>
              <w:left w:val="nil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基准值</w:t>
            </w:r>
          </w:p>
        </w:tc>
        <w:tc>
          <w:tcPr>
            <w:tcW w:w="1077" w:type="dxa"/>
            <w:vMerge w:val="restart"/>
            <w:tcBorders>
              <w:left w:val="nil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评价依据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36" w:type="dxa"/>
            <w:vMerge w:val="continue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53" w:type="dxa"/>
            <w:gridSpan w:val="2"/>
            <w:vMerge w:val="continue"/>
            <w:tcBorders>
              <w:left w:val="nil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56" w:type="dxa"/>
            <w:vMerge w:val="continue"/>
            <w:tcBorders>
              <w:left w:val="nil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tcBorders>
              <w:left w:val="nil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一星级</w:t>
            </w:r>
          </w:p>
        </w:tc>
        <w:tc>
          <w:tcPr>
            <w:tcW w:w="756" w:type="dxa"/>
            <w:tcBorders>
              <w:left w:val="nil"/>
            </w:tcBorders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二星级</w:t>
            </w:r>
          </w:p>
        </w:tc>
        <w:tc>
          <w:tcPr>
            <w:tcW w:w="756" w:type="dxa"/>
            <w:tcBorders>
              <w:left w:val="nil"/>
            </w:tcBorders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三星级</w:t>
            </w:r>
          </w:p>
        </w:tc>
        <w:tc>
          <w:tcPr>
            <w:tcW w:w="1077" w:type="dxa"/>
            <w:vMerge w:val="continue"/>
            <w:tcBorders>
              <w:left w:val="nil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936" w:type="dxa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资源属性</w:t>
            </w:r>
          </w:p>
        </w:tc>
        <w:tc>
          <w:tcPr>
            <w:tcW w:w="4353" w:type="dxa"/>
            <w:gridSpan w:val="2"/>
            <w:tcBorders>
              <w:left w:val="nil"/>
            </w:tcBorders>
            <w:shd w:val="clear" w:color="auto" w:fill="FFFFFF"/>
            <w:noWrap/>
            <w:vAlign w:val="center"/>
          </w:tcPr>
          <w:p>
            <w:pPr>
              <w:pStyle w:val="142"/>
              <w:jc w:val="both"/>
              <w:rPr>
                <w:rFonts w:ascii="Times New Roman" w:cs="Times New Roman"/>
                <w:sz w:val="18"/>
                <w:szCs w:val="18"/>
              </w:rPr>
            </w:pPr>
            <w:r>
              <w:rPr>
                <w:rFonts w:hint="eastAsia" w:ascii="Times New Roman" w:cs="Times New Roman"/>
                <w:sz w:val="18"/>
                <w:szCs w:val="18"/>
              </w:rPr>
              <w:t>生产过程产生废弃物可利用率</w:t>
            </w:r>
          </w:p>
        </w:tc>
        <w:tc>
          <w:tcPr>
            <w:tcW w:w="656" w:type="dxa"/>
            <w:tcBorders>
              <w:left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%</w:t>
            </w:r>
          </w:p>
        </w:tc>
        <w:tc>
          <w:tcPr>
            <w:tcW w:w="2268" w:type="dxa"/>
            <w:gridSpan w:val="3"/>
            <w:tcBorders>
              <w:left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1077" w:type="dxa"/>
            <w:tcBorders>
              <w:left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附录</w:t>
            </w:r>
            <w:r>
              <w:rPr>
                <w:color w:val="000000"/>
                <w:kern w:val="0"/>
                <w:sz w:val="18"/>
                <w:szCs w:val="18"/>
              </w:rPr>
              <w:t>A.1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936" w:type="dxa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能源属性</w:t>
            </w:r>
          </w:p>
        </w:tc>
        <w:tc>
          <w:tcPr>
            <w:tcW w:w="4353" w:type="dxa"/>
            <w:gridSpan w:val="2"/>
            <w:tcBorders>
              <w:lef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单位产品生产能耗</w:t>
            </w:r>
          </w:p>
        </w:tc>
        <w:tc>
          <w:tcPr>
            <w:tcW w:w="656" w:type="dxa"/>
            <w:tcBorders>
              <w:lef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kgce/t</w:t>
            </w:r>
          </w:p>
        </w:tc>
        <w:tc>
          <w:tcPr>
            <w:tcW w:w="756" w:type="dxa"/>
            <w:tcBorders>
              <w:lef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color w:val="FF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≤1.45</w:t>
            </w:r>
          </w:p>
        </w:tc>
        <w:tc>
          <w:tcPr>
            <w:tcW w:w="756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FF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≤1.20</w:t>
            </w:r>
          </w:p>
        </w:tc>
        <w:tc>
          <w:tcPr>
            <w:tcW w:w="756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FF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≤0.85</w:t>
            </w:r>
          </w:p>
        </w:tc>
        <w:tc>
          <w:tcPr>
            <w:tcW w:w="1077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FF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GB/T 2589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36" w:type="dxa"/>
            <w:tcBorders>
              <w:top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环境属性</w:t>
            </w:r>
          </w:p>
        </w:tc>
        <w:tc>
          <w:tcPr>
            <w:tcW w:w="4353" w:type="dxa"/>
            <w:gridSpan w:val="2"/>
            <w:tcBorders>
              <w:left w:val="nil"/>
            </w:tcBorders>
            <w:shd w:val="clear" w:color="auto" w:fill="FFFFFF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单位产品大气颗粒物排放等级</w:t>
            </w:r>
          </w:p>
        </w:tc>
        <w:tc>
          <w:tcPr>
            <w:tcW w:w="656" w:type="dxa"/>
            <w:tcBorders>
              <w:left w:val="nil"/>
            </w:tcBorders>
            <w:shd w:val="clear" w:color="auto" w:fill="FFFFFF"/>
            <w:noWrap/>
            <w:vAlign w:val="center"/>
          </w:tcPr>
          <w:p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56" w:type="dxa"/>
            <w:tcBorders>
              <w:left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三级</w:t>
            </w:r>
          </w:p>
        </w:tc>
        <w:tc>
          <w:tcPr>
            <w:tcW w:w="756" w:type="dxa"/>
            <w:tcBorders>
              <w:left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二级</w:t>
            </w:r>
          </w:p>
        </w:tc>
        <w:tc>
          <w:tcPr>
            <w:tcW w:w="756" w:type="dxa"/>
            <w:tcBorders>
              <w:left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一级</w:t>
            </w:r>
          </w:p>
        </w:tc>
        <w:tc>
          <w:tcPr>
            <w:tcW w:w="1077" w:type="dxa"/>
            <w:tcBorders>
              <w:left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GB16297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  <w:jc w:val="center"/>
        </w:trPr>
        <w:tc>
          <w:tcPr>
            <w:tcW w:w="936" w:type="dxa"/>
            <w:vMerge w:val="restart"/>
            <w:tcBorders>
              <w:top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品质属性</w:t>
            </w:r>
          </w:p>
        </w:tc>
        <w:tc>
          <w:tcPr>
            <w:tcW w:w="4353" w:type="dxa"/>
            <w:gridSpan w:val="2"/>
            <w:tcBorders>
              <w:left w:val="nil"/>
            </w:tcBorders>
            <w:shd w:val="clear" w:color="auto" w:fill="FFFFFF"/>
            <w:noWrap/>
            <w:vAlign w:val="center"/>
          </w:tcPr>
          <w:p>
            <w:pPr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氯离子含量</w:t>
            </w:r>
          </w:p>
        </w:tc>
        <w:tc>
          <w:tcPr>
            <w:tcW w:w="656" w:type="dxa"/>
            <w:tcBorders>
              <w:left w:val="nil"/>
            </w:tcBorders>
            <w:shd w:val="clear" w:color="auto" w:fill="FFFFFF"/>
            <w:noWrap/>
            <w:vAlign w:val="center"/>
          </w:tcPr>
          <w:p>
            <w:pPr>
              <w:widowControl/>
              <w:autoSpaceDE w:val="0"/>
              <w:autoSpaceDN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t>%</w:t>
            </w:r>
          </w:p>
        </w:tc>
        <w:tc>
          <w:tcPr>
            <w:tcW w:w="756" w:type="dxa"/>
            <w:tcBorders>
              <w:left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≤0.10</w:t>
            </w:r>
          </w:p>
        </w:tc>
        <w:tc>
          <w:tcPr>
            <w:tcW w:w="756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≤0.06</w:t>
            </w:r>
          </w:p>
        </w:tc>
        <w:tc>
          <w:tcPr>
            <w:tcW w:w="756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≤0.03</w:t>
            </w:r>
          </w:p>
        </w:tc>
        <w:tc>
          <w:tcPr>
            <w:tcW w:w="1077" w:type="dxa"/>
            <w:vMerge w:val="restart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GB 18445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  <w:jc w:val="center"/>
        </w:trPr>
        <w:tc>
          <w:tcPr>
            <w:tcW w:w="936" w:type="dxa"/>
            <w:vMerge w:val="continue"/>
            <w:tcBorders>
              <w:top w:val="nil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76" w:type="dxa"/>
            <w:vMerge w:val="restart"/>
            <w:tcBorders>
              <w:top w:val="nil"/>
              <w:left w:val="nil"/>
            </w:tcBorders>
            <w:shd w:val="clear" w:color="auto" w:fill="FFFFFF"/>
            <w:noWrap/>
            <w:vAlign w:val="center"/>
          </w:tcPr>
          <w:p>
            <w:pPr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混凝土抗渗性能</w:t>
            </w:r>
          </w:p>
        </w:tc>
        <w:tc>
          <w:tcPr>
            <w:tcW w:w="2877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抗渗压力比（带涂层）</w:t>
            </w:r>
            <w:r>
              <w:rPr>
                <w:kern w:val="0"/>
                <w:sz w:val="18"/>
                <w:szCs w:val="18"/>
              </w:rPr>
              <w:t>/</w:t>
            </w:r>
          </w:p>
          <w:p>
            <w:pPr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28 d</w:t>
            </w:r>
          </w:p>
        </w:tc>
        <w:tc>
          <w:tcPr>
            <w:tcW w:w="656" w:type="dxa"/>
            <w:vMerge w:val="restart"/>
            <w:tcBorders>
              <w:top w:val="nil"/>
              <w:left w:val="nil"/>
            </w:tcBorders>
            <w:shd w:val="clear" w:color="auto" w:fill="FFFFFF"/>
            <w:noWrap/>
            <w:vAlign w:val="center"/>
          </w:tcPr>
          <w:p>
            <w:pPr>
              <w:widowControl/>
              <w:autoSpaceDE w:val="0"/>
              <w:autoSpaceDN w:val="0"/>
              <w:jc w:val="center"/>
              <w:rPr>
                <w:szCs w:val="21"/>
              </w:rPr>
            </w:pPr>
            <w:r>
              <w:rPr>
                <w:kern w:val="0"/>
                <w:sz w:val="18"/>
                <w:szCs w:val="18"/>
              </w:rPr>
              <w:t>%</w:t>
            </w:r>
          </w:p>
        </w:tc>
        <w:tc>
          <w:tcPr>
            <w:tcW w:w="756" w:type="dxa"/>
            <w:tcBorders>
              <w:left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≥250</w:t>
            </w:r>
          </w:p>
        </w:tc>
        <w:tc>
          <w:tcPr>
            <w:tcW w:w="756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≥275</w:t>
            </w:r>
          </w:p>
        </w:tc>
        <w:tc>
          <w:tcPr>
            <w:tcW w:w="756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≥300</w:t>
            </w:r>
          </w:p>
        </w:tc>
        <w:tc>
          <w:tcPr>
            <w:tcW w:w="1077" w:type="dxa"/>
            <w:vMerge w:val="continue"/>
            <w:tcBorders>
              <w:top w:val="nil"/>
              <w:left w:val="nil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  <w:jc w:val="center"/>
        </w:trPr>
        <w:tc>
          <w:tcPr>
            <w:tcW w:w="936" w:type="dxa"/>
            <w:vMerge w:val="continue"/>
            <w:tcBorders>
              <w:top w:val="nil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76" w:type="dxa"/>
            <w:vMerge w:val="continue"/>
            <w:tcBorders>
              <w:top w:val="nil"/>
              <w:left w:val="nil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2877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抗渗压力比（去涂层）</w:t>
            </w:r>
            <w:r>
              <w:rPr>
                <w:kern w:val="0"/>
                <w:sz w:val="18"/>
                <w:szCs w:val="18"/>
              </w:rPr>
              <w:t>/28d</w:t>
            </w:r>
          </w:p>
        </w:tc>
        <w:tc>
          <w:tcPr>
            <w:tcW w:w="656" w:type="dxa"/>
            <w:vMerge w:val="continue"/>
            <w:tcBorders>
              <w:top w:val="nil"/>
              <w:left w:val="nil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756" w:type="dxa"/>
            <w:tcBorders>
              <w:left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≥175</w:t>
            </w:r>
          </w:p>
        </w:tc>
        <w:tc>
          <w:tcPr>
            <w:tcW w:w="756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≥185</w:t>
            </w:r>
          </w:p>
        </w:tc>
        <w:tc>
          <w:tcPr>
            <w:tcW w:w="756" w:type="dxa"/>
            <w:tcBorders>
              <w:left w:val="nil"/>
              <w:bottom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≥200</w:t>
            </w:r>
          </w:p>
        </w:tc>
        <w:tc>
          <w:tcPr>
            <w:tcW w:w="1077" w:type="dxa"/>
            <w:vMerge w:val="continue"/>
            <w:tcBorders>
              <w:top w:val="nil"/>
              <w:left w:val="nil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  <w:jc w:val="center"/>
        </w:trPr>
        <w:tc>
          <w:tcPr>
            <w:tcW w:w="936" w:type="dxa"/>
            <w:vMerge w:val="continue"/>
            <w:tcBorders>
              <w:top w:val="nil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76" w:type="dxa"/>
            <w:vMerge w:val="continue"/>
            <w:tcBorders>
              <w:top w:val="nil"/>
              <w:left w:val="nil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2877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带涂层混凝土的二次抗渗压力</w:t>
            </w:r>
            <w:r>
              <w:rPr>
                <w:kern w:val="0"/>
                <w:sz w:val="18"/>
                <w:szCs w:val="18"/>
              </w:rPr>
              <w:t>/56d</w:t>
            </w:r>
          </w:p>
        </w:tc>
        <w:tc>
          <w:tcPr>
            <w:tcW w:w="656" w:type="dxa"/>
            <w:tcBorders>
              <w:left w:val="nil"/>
            </w:tcBorders>
            <w:shd w:val="clear" w:color="auto" w:fill="FFFFFF"/>
            <w:noWrap/>
            <w:vAlign w:val="center"/>
          </w:tcPr>
          <w:p>
            <w:pPr>
              <w:widowControl/>
              <w:autoSpaceDE w:val="0"/>
              <w:autoSpaceDN w:val="0"/>
              <w:jc w:val="center"/>
              <w:rPr>
                <w:szCs w:val="21"/>
              </w:rPr>
            </w:pPr>
            <w:r>
              <w:rPr>
                <w:kern w:val="0"/>
                <w:sz w:val="18"/>
                <w:szCs w:val="18"/>
              </w:rPr>
              <w:t>MPa</w:t>
            </w:r>
          </w:p>
        </w:tc>
        <w:tc>
          <w:tcPr>
            <w:tcW w:w="1512" w:type="dxa"/>
            <w:gridSpan w:val="2"/>
            <w:tcBorders>
              <w:left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≥0.8</w:t>
            </w:r>
          </w:p>
        </w:tc>
        <w:tc>
          <w:tcPr>
            <w:tcW w:w="756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≥0.9</w:t>
            </w:r>
          </w:p>
        </w:tc>
        <w:tc>
          <w:tcPr>
            <w:tcW w:w="1077" w:type="dxa"/>
            <w:vMerge w:val="continue"/>
            <w:tcBorders>
              <w:top w:val="nil"/>
              <w:left w:val="nil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</w:tr>
    </w:tbl>
    <w:p>
      <w:pPr>
        <w:widowControl/>
        <w:spacing w:beforeLines="50" w:afterLines="50"/>
        <w:jc w:val="center"/>
        <w:rPr>
          <w:rFonts w:eastAsia="黑体"/>
          <w:color w:val="000000"/>
          <w:kern w:val="0"/>
        </w:rPr>
      </w:pPr>
    </w:p>
    <w:p>
      <w:pPr>
        <w:widowControl/>
        <w:spacing w:beforeLines="50" w:afterLines="50"/>
        <w:jc w:val="center"/>
        <w:rPr>
          <w:rFonts w:eastAsia="黑体"/>
          <w:color w:val="000000"/>
          <w:kern w:val="0"/>
        </w:rPr>
      </w:pPr>
      <w:r>
        <w:rPr>
          <w:rFonts w:hint="eastAsia" w:eastAsia="黑体"/>
          <w:color w:val="000000"/>
          <w:kern w:val="0"/>
        </w:rPr>
        <w:t>表</w:t>
      </w:r>
      <w:r>
        <w:rPr>
          <w:rFonts w:eastAsia="黑体"/>
          <w:color w:val="000000"/>
          <w:kern w:val="0"/>
        </w:rPr>
        <w:t xml:space="preserve">6 </w:t>
      </w:r>
      <w:r>
        <w:rPr>
          <w:rFonts w:hint="eastAsia" w:eastAsia="黑体"/>
          <w:color w:val="000000"/>
          <w:kern w:val="0"/>
        </w:rPr>
        <w:t>聚合物灌浆料评价指标要求</w:t>
      </w:r>
    </w:p>
    <w:tbl>
      <w:tblPr>
        <w:tblStyle w:val="24"/>
        <w:tblW w:w="957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3244"/>
        <w:gridCol w:w="833"/>
        <w:gridCol w:w="1074"/>
        <w:gridCol w:w="959"/>
        <w:gridCol w:w="961"/>
        <w:gridCol w:w="13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88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3244" w:type="dxa"/>
            <w:vMerge w:val="restart"/>
            <w:tcBorders>
              <w:left w:val="nil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833" w:type="dxa"/>
            <w:vMerge w:val="restart"/>
            <w:tcBorders>
              <w:left w:val="nil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单位</w:t>
            </w:r>
          </w:p>
        </w:tc>
        <w:tc>
          <w:tcPr>
            <w:tcW w:w="2994" w:type="dxa"/>
            <w:gridSpan w:val="3"/>
            <w:tcBorders>
              <w:left w:val="nil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基准值</w:t>
            </w:r>
          </w:p>
        </w:tc>
        <w:tc>
          <w:tcPr>
            <w:tcW w:w="1311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评价依据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88" w:type="dxa"/>
            <w:vMerge w:val="continue"/>
            <w:vAlign w:val="center"/>
          </w:tcPr>
          <w:p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3244" w:type="dxa"/>
            <w:vMerge w:val="continue"/>
            <w:tcBorders>
              <w:left w:val="nil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833" w:type="dxa"/>
            <w:vMerge w:val="continue"/>
            <w:tcBorders>
              <w:left w:val="nil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074" w:type="dxa"/>
            <w:tcBorders>
              <w:left w:val="nil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一星级</w:t>
            </w:r>
          </w:p>
        </w:tc>
        <w:tc>
          <w:tcPr>
            <w:tcW w:w="959" w:type="dxa"/>
            <w:tcBorders>
              <w:left w:val="nil"/>
            </w:tcBorders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二星级</w:t>
            </w:r>
          </w:p>
        </w:tc>
        <w:tc>
          <w:tcPr>
            <w:tcW w:w="961" w:type="dxa"/>
            <w:tcBorders>
              <w:left w:val="nil"/>
            </w:tcBorders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三星级</w:t>
            </w:r>
          </w:p>
        </w:tc>
        <w:tc>
          <w:tcPr>
            <w:tcW w:w="1311" w:type="dxa"/>
            <w:vMerge w:val="continue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1188" w:type="dxa"/>
            <w:noWrap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资源属性</w:t>
            </w:r>
          </w:p>
        </w:tc>
        <w:tc>
          <w:tcPr>
            <w:tcW w:w="3244" w:type="dxa"/>
            <w:tcBorders>
              <w:left w:val="nil"/>
            </w:tcBorders>
            <w:shd w:val="clear" w:color="auto" w:fill="FFFFFF"/>
            <w:noWrap/>
            <w:vAlign w:val="center"/>
          </w:tcPr>
          <w:p>
            <w:pPr>
              <w:pStyle w:val="142"/>
              <w:jc w:val="both"/>
              <w:rPr>
                <w:rFonts w:asci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cs="Times New Roman"/>
                <w:color w:val="auto"/>
                <w:sz w:val="18"/>
                <w:szCs w:val="18"/>
              </w:rPr>
              <w:t>生产过程产生废弃物可利用率</w:t>
            </w:r>
          </w:p>
        </w:tc>
        <w:tc>
          <w:tcPr>
            <w:tcW w:w="833" w:type="dxa"/>
            <w:tcBorders>
              <w:left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%</w:t>
            </w:r>
          </w:p>
        </w:tc>
        <w:tc>
          <w:tcPr>
            <w:tcW w:w="2994" w:type="dxa"/>
            <w:gridSpan w:val="3"/>
            <w:tcBorders>
              <w:left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100</w:t>
            </w:r>
          </w:p>
        </w:tc>
        <w:tc>
          <w:tcPr>
            <w:tcW w:w="1311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附录</w:t>
            </w:r>
            <w:r>
              <w:rPr>
                <w:kern w:val="0"/>
                <w:sz w:val="18"/>
                <w:szCs w:val="18"/>
              </w:rPr>
              <w:t>A.1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1188" w:type="dxa"/>
            <w:noWrap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能源属性</w:t>
            </w:r>
          </w:p>
        </w:tc>
        <w:tc>
          <w:tcPr>
            <w:tcW w:w="3244" w:type="dxa"/>
            <w:tcBorders>
              <w:lef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单位产品生产能耗（来源）</w:t>
            </w:r>
          </w:p>
        </w:tc>
        <w:tc>
          <w:tcPr>
            <w:tcW w:w="833" w:type="dxa"/>
            <w:tcBorders>
              <w:lef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kgce/t</w:t>
            </w:r>
          </w:p>
        </w:tc>
        <w:tc>
          <w:tcPr>
            <w:tcW w:w="1074" w:type="dxa"/>
            <w:tcBorders>
              <w:lef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≤3.5</w:t>
            </w:r>
          </w:p>
        </w:tc>
        <w:tc>
          <w:tcPr>
            <w:tcW w:w="959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≤3.0</w:t>
            </w:r>
          </w:p>
        </w:tc>
        <w:tc>
          <w:tcPr>
            <w:tcW w:w="961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≤2.5</w:t>
            </w:r>
          </w:p>
        </w:tc>
        <w:tc>
          <w:tcPr>
            <w:tcW w:w="1311" w:type="dxa"/>
            <w:shd w:val="clear" w:color="auto" w:fill="FFFFFF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GB/T 2589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188" w:type="dxa"/>
            <w:tcBorders>
              <w:top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环境属性</w:t>
            </w:r>
          </w:p>
        </w:tc>
        <w:tc>
          <w:tcPr>
            <w:tcW w:w="3244" w:type="dxa"/>
            <w:tcBorders>
              <w:left w:val="nil"/>
            </w:tcBorders>
            <w:shd w:val="clear" w:color="auto" w:fill="FFFFFF"/>
            <w:noWrap/>
            <w:vAlign w:val="center"/>
          </w:tcPr>
          <w:p>
            <w:pPr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挥发性有机物（</w:t>
            </w:r>
            <w:r>
              <w:rPr>
                <w:kern w:val="0"/>
                <w:sz w:val="18"/>
                <w:szCs w:val="18"/>
              </w:rPr>
              <w:t>VOC</w:t>
            </w:r>
            <w:r>
              <w:rPr>
                <w:rFonts w:hint="eastAsia"/>
                <w:kern w:val="0"/>
                <w:sz w:val="18"/>
                <w:szCs w:val="18"/>
              </w:rPr>
              <w:t>）含量</w:t>
            </w:r>
          </w:p>
        </w:tc>
        <w:tc>
          <w:tcPr>
            <w:tcW w:w="833" w:type="dxa"/>
            <w:tcBorders>
              <w:left w:val="nil"/>
            </w:tcBorders>
            <w:shd w:val="clear" w:color="auto" w:fill="FFFFFF"/>
            <w:noWrap/>
            <w:vAlign w:val="center"/>
          </w:tcPr>
          <w:p>
            <w:pPr>
              <w:autoSpaceDE w:val="0"/>
              <w:autoSpaceDN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g/L</w:t>
            </w:r>
          </w:p>
        </w:tc>
        <w:tc>
          <w:tcPr>
            <w:tcW w:w="2994" w:type="dxa"/>
            <w:gridSpan w:val="3"/>
            <w:tcBorders>
              <w:left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单组分</w:t>
            </w:r>
            <w:r>
              <w:rPr>
                <w:sz w:val="18"/>
                <w:szCs w:val="18"/>
              </w:rPr>
              <w:t>≤100</w:t>
            </w:r>
            <w:r>
              <w:rPr>
                <w:rFonts w:hint="eastAsia"/>
                <w:sz w:val="18"/>
                <w:szCs w:val="18"/>
              </w:rPr>
              <w:t>，多组分</w:t>
            </w:r>
            <w:r>
              <w:rPr>
                <w:sz w:val="18"/>
                <w:szCs w:val="18"/>
              </w:rPr>
              <w:t>≤50</w:t>
            </w:r>
          </w:p>
        </w:tc>
        <w:tc>
          <w:tcPr>
            <w:tcW w:w="1311" w:type="dxa"/>
            <w:shd w:val="clear" w:color="auto" w:fill="FFFFFF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GB/T35609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  <w:jc w:val="center"/>
        </w:trPr>
        <w:tc>
          <w:tcPr>
            <w:tcW w:w="1188" w:type="dxa"/>
            <w:vMerge w:val="restart"/>
            <w:tcBorders>
              <w:top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品质属性</w:t>
            </w:r>
          </w:p>
        </w:tc>
        <w:tc>
          <w:tcPr>
            <w:tcW w:w="3244" w:type="dxa"/>
            <w:tcBorders>
              <w:left w:val="nil"/>
            </w:tcBorders>
            <w:shd w:val="clear" w:color="auto" w:fill="FFFFFF"/>
            <w:noWrap/>
            <w:vAlign w:val="center"/>
          </w:tcPr>
          <w:p>
            <w:pPr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灌注能力</w:t>
            </w:r>
          </w:p>
        </w:tc>
        <w:tc>
          <w:tcPr>
            <w:tcW w:w="833" w:type="dxa"/>
            <w:tcBorders>
              <w:left w:val="nil"/>
            </w:tcBorders>
            <w:shd w:val="clear" w:color="auto" w:fill="FFFFFF"/>
            <w:noWrap/>
            <w:vAlign w:val="center"/>
          </w:tcPr>
          <w:p>
            <w:pPr>
              <w:widowControl/>
              <w:autoSpaceDE w:val="0"/>
              <w:autoSpaceDN w:val="0"/>
              <w:jc w:val="center"/>
              <w:rPr>
                <w:kern w:val="0"/>
                <w:sz w:val="18"/>
                <w:szCs w:val="18"/>
              </w:rPr>
            </w:pPr>
            <w:r>
              <w:t>min</w:t>
            </w:r>
          </w:p>
        </w:tc>
        <w:tc>
          <w:tcPr>
            <w:tcW w:w="2994" w:type="dxa"/>
            <w:gridSpan w:val="3"/>
            <w:tcBorders>
              <w:left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≤8</w:t>
            </w:r>
          </w:p>
        </w:tc>
        <w:tc>
          <w:tcPr>
            <w:tcW w:w="1311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JGT 333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  <w:jc w:val="center"/>
        </w:trPr>
        <w:tc>
          <w:tcPr>
            <w:tcW w:w="1188" w:type="dxa"/>
            <w:vMerge w:val="continue"/>
            <w:tcBorders>
              <w:top w:val="nil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3244" w:type="dxa"/>
            <w:tcBorders>
              <w:left w:val="nil"/>
            </w:tcBorders>
            <w:shd w:val="clear" w:color="auto" w:fill="FFFFFF"/>
            <w:noWrap/>
            <w:vAlign w:val="center"/>
          </w:tcPr>
          <w:p>
            <w:pPr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粘结强度</w:t>
            </w:r>
          </w:p>
        </w:tc>
        <w:tc>
          <w:tcPr>
            <w:tcW w:w="833" w:type="dxa"/>
            <w:tcBorders>
              <w:left w:val="nil"/>
            </w:tcBorders>
            <w:shd w:val="clear" w:color="auto" w:fill="FFFFFF"/>
            <w:noWrap/>
            <w:vAlign w:val="center"/>
          </w:tcPr>
          <w:p>
            <w:pPr>
              <w:widowControl/>
              <w:autoSpaceDE w:val="0"/>
              <w:autoSpaceDN w:val="0"/>
              <w:jc w:val="center"/>
              <w:rPr>
                <w:szCs w:val="21"/>
              </w:rPr>
            </w:pPr>
            <w:r>
              <w:t>Mpa</w:t>
            </w:r>
          </w:p>
        </w:tc>
        <w:tc>
          <w:tcPr>
            <w:tcW w:w="2994" w:type="dxa"/>
            <w:gridSpan w:val="3"/>
            <w:tcBorders>
              <w:left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≥2.5</w:t>
            </w:r>
          </w:p>
        </w:tc>
        <w:tc>
          <w:tcPr>
            <w:tcW w:w="1311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JGT 333</w:t>
            </w:r>
          </w:p>
        </w:tc>
      </w:tr>
    </w:tbl>
    <w:p>
      <w:pPr>
        <w:widowControl/>
        <w:spacing w:beforeLines="50" w:afterLines="50"/>
        <w:jc w:val="center"/>
        <w:rPr>
          <w:rFonts w:eastAsia="黑体"/>
          <w:color w:val="000000"/>
          <w:kern w:val="0"/>
        </w:rPr>
      </w:pPr>
    </w:p>
    <w:p>
      <w:pPr>
        <w:widowControl/>
        <w:spacing w:beforeLines="50" w:afterLines="50"/>
        <w:jc w:val="center"/>
        <w:rPr>
          <w:rFonts w:eastAsia="黑体"/>
          <w:color w:val="000000"/>
          <w:kern w:val="0"/>
        </w:rPr>
      </w:pPr>
    </w:p>
    <w:p>
      <w:pPr>
        <w:widowControl/>
        <w:spacing w:beforeLines="50" w:afterLines="50"/>
        <w:jc w:val="center"/>
        <w:rPr>
          <w:rFonts w:eastAsia="黑体"/>
          <w:color w:val="000000"/>
          <w:kern w:val="0"/>
        </w:rPr>
      </w:pPr>
      <w:r>
        <w:rPr>
          <w:rFonts w:hint="eastAsia" w:eastAsia="黑体"/>
          <w:color w:val="000000"/>
          <w:kern w:val="0"/>
        </w:rPr>
        <w:t>表</w:t>
      </w:r>
      <w:r>
        <w:rPr>
          <w:rFonts w:eastAsia="黑体"/>
          <w:color w:val="000000"/>
          <w:kern w:val="0"/>
        </w:rPr>
        <w:t xml:space="preserve">7 </w:t>
      </w:r>
      <w:r>
        <w:rPr>
          <w:rFonts w:hint="eastAsia" w:eastAsia="黑体"/>
          <w:color w:val="000000"/>
          <w:kern w:val="0"/>
        </w:rPr>
        <w:t>无机水性渗透结晶型材料评价指标要求</w:t>
      </w:r>
    </w:p>
    <w:tbl>
      <w:tblPr>
        <w:tblStyle w:val="24"/>
        <w:tblW w:w="957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7"/>
        <w:gridCol w:w="4329"/>
        <w:gridCol w:w="691"/>
        <w:gridCol w:w="794"/>
        <w:gridCol w:w="794"/>
        <w:gridCol w:w="796"/>
        <w:gridCol w:w="11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87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4329" w:type="dxa"/>
            <w:vMerge w:val="restart"/>
            <w:tcBorders>
              <w:left w:val="nil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691" w:type="dxa"/>
            <w:vMerge w:val="restart"/>
            <w:tcBorders>
              <w:left w:val="nil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单位</w:t>
            </w:r>
          </w:p>
        </w:tc>
        <w:tc>
          <w:tcPr>
            <w:tcW w:w="2384" w:type="dxa"/>
            <w:gridSpan w:val="3"/>
            <w:tcBorders>
              <w:left w:val="nil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基准值</w:t>
            </w:r>
          </w:p>
        </w:tc>
        <w:tc>
          <w:tcPr>
            <w:tcW w:w="1179" w:type="dxa"/>
            <w:vMerge w:val="restart"/>
            <w:tcBorders>
              <w:left w:val="nil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评价依据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87" w:type="dxa"/>
            <w:vMerge w:val="continue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29" w:type="dxa"/>
            <w:vMerge w:val="continue"/>
            <w:tcBorders>
              <w:left w:val="nil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dxa"/>
            <w:vMerge w:val="continue"/>
            <w:tcBorders>
              <w:left w:val="nil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tcBorders>
              <w:left w:val="nil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一星级</w:t>
            </w:r>
          </w:p>
        </w:tc>
        <w:tc>
          <w:tcPr>
            <w:tcW w:w="794" w:type="dxa"/>
            <w:tcBorders>
              <w:left w:val="nil"/>
            </w:tcBorders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二星级</w:t>
            </w:r>
          </w:p>
        </w:tc>
        <w:tc>
          <w:tcPr>
            <w:tcW w:w="796" w:type="dxa"/>
            <w:tcBorders>
              <w:left w:val="nil"/>
            </w:tcBorders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三星级</w:t>
            </w:r>
          </w:p>
        </w:tc>
        <w:tc>
          <w:tcPr>
            <w:tcW w:w="1179" w:type="dxa"/>
            <w:vMerge w:val="continue"/>
            <w:tcBorders>
              <w:left w:val="nil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987" w:type="dxa"/>
            <w:noWrap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资源属性</w:t>
            </w:r>
          </w:p>
        </w:tc>
        <w:tc>
          <w:tcPr>
            <w:tcW w:w="4329" w:type="dxa"/>
            <w:tcBorders>
              <w:left w:val="nil"/>
            </w:tcBorders>
            <w:shd w:val="clear" w:color="auto" w:fill="FFFFFF"/>
            <w:noWrap/>
            <w:vAlign w:val="center"/>
          </w:tcPr>
          <w:p>
            <w:pPr>
              <w:pStyle w:val="142"/>
              <w:jc w:val="both"/>
              <w:rPr>
                <w:rFonts w:ascii="Times New Roman" w:cs="Times New Roman"/>
                <w:sz w:val="18"/>
                <w:szCs w:val="18"/>
              </w:rPr>
            </w:pPr>
            <w:r>
              <w:rPr>
                <w:rFonts w:hint="eastAsia" w:ascii="Times New Roman" w:cs="Times New Roman"/>
                <w:sz w:val="18"/>
                <w:szCs w:val="18"/>
              </w:rPr>
              <w:t>生产过程产生废弃物可利用率</w:t>
            </w:r>
          </w:p>
        </w:tc>
        <w:tc>
          <w:tcPr>
            <w:tcW w:w="691" w:type="dxa"/>
            <w:tcBorders>
              <w:left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%</w:t>
            </w:r>
          </w:p>
        </w:tc>
        <w:tc>
          <w:tcPr>
            <w:tcW w:w="2384" w:type="dxa"/>
            <w:gridSpan w:val="3"/>
            <w:tcBorders>
              <w:left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100</w:t>
            </w:r>
          </w:p>
        </w:tc>
        <w:tc>
          <w:tcPr>
            <w:tcW w:w="1179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附录</w:t>
            </w:r>
            <w:r>
              <w:rPr>
                <w:kern w:val="0"/>
                <w:sz w:val="18"/>
                <w:szCs w:val="18"/>
              </w:rPr>
              <w:t>A.1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987" w:type="dxa"/>
            <w:noWrap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能源属性</w:t>
            </w:r>
          </w:p>
        </w:tc>
        <w:tc>
          <w:tcPr>
            <w:tcW w:w="4329" w:type="dxa"/>
            <w:tcBorders>
              <w:lef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单位产品生产能耗</w:t>
            </w:r>
          </w:p>
        </w:tc>
        <w:tc>
          <w:tcPr>
            <w:tcW w:w="691" w:type="dxa"/>
            <w:tcBorders>
              <w:lef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kgce/t</w:t>
            </w:r>
          </w:p>
        </w:tc>
        <w:tc>
          <w:tcPr>
            <w:tcW w:w="794" w:type="dxa"/>
            <w:tcBorders>
              <w:lef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≤0.6</w:t>
            </w:r>
          </w:p>
        </w:tc>
        <w:tc>
          <w:tcPr>
            <w:tcW w:w="794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≤0.5</w:t>
            </w:r>
          </w:p>
        </w:tc>
        <w:tc>
          <w:tcPr>
            <w:tcW w:w="796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≤0.4</w:t>
            </w:r>
          </w:p>
        </w:tc>
        <w:tc>
          <w:tcPr>
            <w:tcW w:w="1179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GB/T 2589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987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环境属性</w:t>
            </w:r>
          </w:p>
        </w:tc>
        <w:tc>
          <w:tcPr>
            <w:tcW w:w="4329" w:type="dxa"/>
            <w:tcBorders>
              <w:left w:val="nil"/>
            </w:tcBorders>
            <w:shd w:val="clear" w:color="auto" w:fill="FFFFFF"/>
            <w:noWrap/>
            <w:vAlign w:val="center"/>
          </w:tcPr>
          <w:p>
            <w:pPr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单位产品废水排放量</w:t>
            </w:r>
          </w:p>
        </w:tc>
        <w:tc>
          <w:tcPr>
            <w:tcW w:w="691" w:type="dxa"/>
            <w:tcBorders>
              <w:left w:val="nil"/>
            </w:tcBorders>
            <w:shd w:val="clear" w:color="auto" w:fill="FFFFFF"/>
            <w:noWrap/>
            <w:vAlign w:val="center"/>
          </w:tcPr>
          <w:p>
            <w:pPr>
              <w:autoSpaceDE w:val="0"/>
              <w:autoSpaceDN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t/t</w:t>
            </w:r>
          </w:p>
        </w:tc>
        <w:tc>
          <w:tcPr>
            <w:tcW w:w="794" w:type="dxa"/>
            <w:tcBorders>
              <w:left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≤0.020</w:t>
            </w:r>
          </w:p>
        </w:tc>
        <w:tc>
          <w:tcPr>
            <w:tcW w:w="794" w:type="dxa"/>
            <w:tcBorders>
              <w:left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≤0.015</w:t>
            </w:r>
          </w:p>
        </w:tc>
        <w:tc>
          <w:tcPr>
            <w:tcW w:w="796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≤0.010</w:t>
            </w:r>
          </w:p>
        </w:tc>
        <w:tc>
          <w:tcPr>
            <w:tcW w:w="1179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附录</w:t>
            </w:r>
            <w:r>
              <w:rPr>
                <w:kern w:val="0"/>
                <w:sz w:val="18"/>
                <w:szCs w:val="18"/>
              </w:rPr>
              <w:t>A.3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  <w:jc w:val="center"/>
        </w:trPr>
        <w:tc>
          <w:tcPr>
            <w:tcW w:w="987" w:type="dxa"/>
            <w:vMerge w:val="restart"/>
            <w:tcBorders>
              <w:top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品质属性</w:t>
            </w:r>
          </w:p>
          <w:p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329" w:type="dxa"/>
            <w:tcBorders>
              <w:left w:val="nil"/>
            </w:tcBorders>
            <w:shd w:val="clear" w:color="auto" w:fill="FFFFFF"/>
            <w:noWrap/>
            <w:vAlign w:val="center"/>
          </w:tcPr>
          <w:p>
            <w:pPr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28d</w:t>
            </w:r>
            <w:r>
              <w:rPr>
                <w:rFonts w:hint="eastAsia"/>
                <w:kern w:val="0"/>
                <w:sz w:val="18"/>
                <w:szCs w:val="18"/>
              </w:rPr>
              <w:t>混凝土抗压强度比</w:t>
            </w:r>
          </w:p>
        </w:tc>
        <w:tc>
          <w:tcPr>
            <w:tcW w:w="691" w:type="dxa"/>
            <w:tcBorders>
              <w:left w:val="nil"/>
            </w:tcBorders>
            <w:shd w:val="clear" w:color="auto" w:fill="FFFFFF"/>
            <w:noWrap/>
            <w:vAlign w:val="center"/>
          </w:tcPr>
          <w:p>
            <w:pPr>
              <w:widowControl/>
              <w:autoSpaceDE w:val="0"/>
              <w:autoSpaceDN w:val="0"/>
              <w:jc w:val="center"/>
              <w:rPr>
                <w:kern w:val="0"/>
                <w:sz w:val="18"/>
                <w:szCs w:val="18"/>
              </w:rPr>
            </w:pPr>
            <w:r>
              <w:t>%</w:t>
            </w:r>
          </w:p>
        </w:tc>
        <w:tc>
          <w:tcPr>
            <w:tcW w:w="2384" w:type="dxa"/>
            <w:gridSpan w:val="3"/>
            <w:tcBorders>
              <w:left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≥100</w:t>
            </w:r>
          </w:p>
        </w:tc>
        <w:tc>
          <w:tcPr>
            <w:tcW w:w="1179" w:type="dxa"/>
            <w:vMerge w:val="restart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JC474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  <w:jc w:val="center"/>
        </w:trPr>
        <w:tc>
          <w:tcPr>
            <w:tcW w:w="987" w:type="dxa"/>
            <w:vMerge w:val="continue"/>
            <w:tcBorders>
              <w:top w:val="nil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4329" w:type="dxa"/>
            <w:tcBorders>
              <w:top w:val="nil"/>
              <w:left w:val="nil"/>
            </w:tcBorders>
            <w:shd w:val="clear" w:color="auto" w:fill="FFFFFF"/>
            <w:noWrap/>
            <w:vAlign w:val="center"/>
          </w:tcPr>
          <w:p>
            <w:pPr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48h</w:t>
            </w:r>
            <w:r>
              <w:rPr>
                <w:rFonts w:hint="eastAsia"/>
                <w:kern w:val="0"/>
                <w:sz w:val="18"/>
                <w:szCs w:val="18"/>
              </w:rPr>
              <w:t>混凝土吸水量比</w:t>
            </w:r>
          </w:p>
        </w:tc>
        <w:tc>
          <w:tcPr>
            <w:tcW w:w="691" w:type="dxa"/>
            <w:tcBorders>
              <w:left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eastAsia="微软雅黑"/>
                <w:kern w:val="0"/>
                <w:sz w:val="18"/>
                <w:szCs w:val="18"/>
              </w:rPr>
            </w:pPr>
            <w:r>
              <w:rPr>
                <w:rFonts w:eastAsia="微软雅黑"/>
                <w:kern w:val="0"/>
                <w:sz w:val="18"/>
                <w:szCs w:val="18"/>
              </w:rPr>
              <w:t>%</w:t>
            </w:r>
          </w:p>
        </w:tc>
        <w:tc>
          <w:tcPr>
            <w:tcW w:w="794" w:type="dxa"/>
            <w:tcBorders>
              <w:left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≤65</w:t>
            </w:r>
          </w:p>
        </w:tc>
        <w:tc>
          <w:tcPr>
            <w:tcW w:w="794" w:type="dxa"/>
            <w:tcBorders>
              <w:left w:val="nil"/>
              <w:bottom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≤45</w:t>
            </w:r>
          </w:p>
        </w:tc>
        <w:tc>
          <w:tcPr>
            <w:tcW w:w="796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≤25</w:t>
            </w:r>
          </w:p>
        </w:tc>
        <w:tc>
          <w:tcPr>
            <w:tcW w:w="1179" w:type="dxa"/>
            <w:vMerge w:val="continue"/>
            <w:tcBorders>
              <w:top w:val="nil"/>
              <w:left w:val="nil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  <w:jc w:val="center"/>
        </w:trPr>
        <w:tc>
          <w:tcPr>
            <w:tcW w:w="987" w:type="dxa"/>
            <w:vMerge w:val="continue"/>
            <w:tcBorders>
              <w:top w:val="nil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4329" w:type="dxa"/>
            <w:tcBorders>
              <w:left w:val="nil"/>
            </w:tcBorders>
            <w:shd w:val="clear" w:color="auto" w:fill="FFFFFF"/>
            <w:noWrap/>
            <w:vAlign w:val="center"/>
          </w:tcPr>
          <w:p>
            <w:pPr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28d</w:t>
            </w:r>
            <w:r>
              <w:rPr>
                <w:rFonts w:hint="eastAsia"/>
                <w:kern w:val="0"/>
                <w:sz w:val="18"/>
                <w:szCs w:val="18"/>
              </w:rPr>
              <w:t>混凝土氯离子迁移系数比（</w:t>
            </w:r>
            <w:r>
              <w:rPr>
                <w:kern w:val="0"/>
                <w:sz w:val="18"/>
                <w:szCs w:val="18"/>
              </w:rPr>
              <w:t>C50</w:t>
            </w:r>
            <w:r>
              <w:rPr>
                <w:rFonts w:hint="eastAsia"/>
                <w:kern w:val="0"/>
                <w:sz w:val="18"/>
                <w:szCs w:val="18"/>
              </w:rPr>
              <w:t>基准混凝土）</w:t>
            </w:r>
          </w:p>
        </w:tc>
        <w:tc>
          <w:tcPr>
            <w:tcW w:w="691" w:type="dxa"/>
            <w:tcBorders>
              <w:left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eastAsia="微软雅黑"/>
                <w:kern w:val="0"/>
                <w:sz w:val="18"/>
                <w:szCs w:val="18"/>
              </w:rPr>
            </w:pPr>
            <w:r>
              <w:rPr>
                <w:rFonts w:eastAsia="微软雅黑"/>
                <w:kern w:val="0"/>
                <w:sz w:val="18"/>
                <w:szCs w:val="18"/>
              </w:rPr>
              <w:t>%</w:t>
            </w:r>
          </w:p>
        </w:tc>
        <w:tc>
          <w:tcPr>
            <w:tcW w:w="794" w:type="dxa"/>
            <w:tcBorders>
              <w:left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≤80</w:t>
            </w:r>
          </w:p>
        </w:tc>
        <w:tc>
          <w:tcPr>
            <w:tcW w:w="794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≤75</w:t>
            </w:r>
          </w:p>
        </w:tc>
        <w:tc>
          <w:tcPr>
            <w:tcW w:w="796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≤50</w:t>
            </w:r>
          </w:p>
        </w:tc>
        <w:tc>
          <w:tcPr>
            <w:tcW w:w="1179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GB/T 50082</w:t>
            </w:r>
          </w:p>
        </w:tc>
      </w:tr>
    </w:tbl>
    <w:p>
      <w:pPr>
        <w:pStyle w:val="18"/>
        <w:ind w:firstLine="31680"/>
        <w:rPr>
          <w:rFonts w:ascii="Times New Roman"/>
          <w:szCs w:val="21"/>
        </w:rPr>
      </w:pPr>
    </w:p>
    <w:p>
      <w:pPr>
        <w:widowControl/>
        <w:spacing w:beforeLines="50" w:afterLines="50"/>
        <w:jc w:val="center"/>
        <w:rPr>
          <w:rFonts w:eastAsia="黑体"/>
          <w:color w:val="000000"/>
          <w:kern w:val="0"/>
        </w:rPr>
      </w:pPr>
      <w:r>
        <w:rPr>
          <w:rFonts w:hint="eastAsia" w:eastAsia="黑体"/>
          <w:color w:val="000000"/>
          <w:kern w:val="0"/>
        </w:rPr>
        <w:t>表</w:t>
      </w:r>
      <w:r>
        <w:rPr>
          <w:rFonts w:eastAsia="黑体"/>
          <w:color w:val="000000"/>
          <w:kern w:val="0"/>
        </w:rPr>
        <w:t xml:space="preserve">8 </w:t>
      </w:r>
      <w:r>
        <w:rPr>
          <w:rFonts w:hint="eastAsia" w:eastAsia="黑体"/>
          <w:color w:val="000000"/>
          <w:kern w:val="0"/>
        </w:rPr>
        <w:t>界面处理材料评价指标要求</w:t>
      </w:r>
    </w:p>
    <w:tbl>
      <w:tblPr>
        <w:tblStyle w:val="24"/>
        <w:tblW w:w="9570" w:type="dxa"/>
        <w:tblInd w:w="-10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7"/>
        <w:gridCol w:w="1974"/>
        <w:gridCol w:w="1547"/>
        <w:gridCol w:w="901"/>
        <w:gridCol w:w="901"/>
        <w:gridCol w:w="901"/>
        <w:gridCol w:w="901"/>
        <w:gridCol w:w="13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17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3521" w:type="dxa"/>
            <w:gridSpan w:val="2"/>
            <w:vMerge w:val="restart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901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单位</w:t>
            </w:r>
          </w:p>
        </w:tc>
        <w:tc>
          <w:tcPr>
            <w:tcW w:w="2703" w:type="dxa"/>
            <w:gridSpan w:val="3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基准值</w:t>
            </w:r>
          </w:p>
        </w:tc>
        <w:tc>
          <w:tcPr>
            <w:tcW w:w="1328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评价依据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17" w:type="dxa"/>
            <w:vMerge w:val="continue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21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1" w:type="dxa"/>
            <w:vMerge w:val="continue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1" w:type="dxa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一星级</w:t>
            </w:r>
          </w:p>
        </w:tc>
        <w:tc>
          <w:tcPr>
            <w:tcW w:w="901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二星级</w:t>
            </w:r>
          </w:p>
        </w:tc>
        <w:tc>
          <w:tcPr>
            <w:tcW w:w="901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三星级</w:t>
            </w:r>
          </w:p>
        </w:tc>
        <w:tc>
          <w:tcPr>
            <w:tcW w:w="1328" w:type="dxa"/>
            <w:vMerge w:val="continue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117" w:type="dxa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资源属性</w:t>
            </w:r>
          </w:p>
        </w:tc>
        <w:tc>
          <w:tcPr>
            <w:tcW w:w="3521" w:type="dxa"/>
            <w:gridSpan w:val="2"/>
            <w:noWrap/>
            <w:vAlign w:val="center"/>
          </w:tcPr>
          <w:p>
            <w:pPr>
              <w:pStyle w:val="142"/>
              <w:jc w:val="center"/>
              <w:rPr>
                <w:rFonts w:ascii="Times New Roman" w:cs="Times New Roman"/>
                <w:sz w:val="18"/>
                <w:szCs w:val="18"/>
              </w:rPr>
            </w:pPr>
            <w:r>
              <w:rPr>
                <w:rFonts w:hint="eastAsia" w:ascii="Times New Roman" w:cs="Times New Roman"/>
                <w:sz w:val="18"/>
                <w:szCs w:val="18"/>
              </w:rPr>
              <w:t>生产过程产生废弃物可利用率</w:t>
            </w:r>
          </w:p>
        </w:tc>
        <w:tc>
          <w:tcPr>
            <w:tcW w:w="901" w:type="dxa"/>
            <w:noWrap/>
            <w:vAlign w:val="center"/>
          </w:tcPr>
          <w:p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%</w:t>
            </w:r>
          </w:p>
        </w:tc>
        <w:tc>
          <w:tcPr>
            <w:tcW w:w="2703" w:type="dxa"/>
            <w:gridSpan w:val="3"/>
            <w:noWrap/>
            <w:vAlign w:val="center"/>
          </w:tcPr>
          <w:p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1328" w:type="dxa"/>
            <w:noWrap/>
            <w:vAlign w:val="center"/>
          </w:tcPr>
          <w:p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附录</w:t>
            </w:r>
            <w:r>
              <w:rPr>
                <w:color w:val="000000"/>
                <w:kern w:val="0"/>
                <w:sz w:val="18"/>
                <w:szCs w:val="18"/>
              </w:rPr>
              <w:t>A.1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1117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能源属性</w:t>
            </w:r>
          </w:p>
        </w:tc>
        <w:tc>
          <w:tcPr>
            <w:tcW w:w="1974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单位产品生产能耗</w:t>
            </w:r>
          </w:p>
        </w:tc>
        <w:tc>
          <w:tcPr>
            <w:tcW w:w="1547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干粉类</w:t>
            </w:r>
          </w:p>
        </w:tc>
        <w:tc>
          <w:tcPr>
            <w:tcW w:w="901" w:type="dxa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kgce/t</w:t>
            </w:r>
          </w:p>
        </w:tc>
        <w:tc>
          <w:tcPr>
            <w:tcW w:w="901" w:type="dxa"/>
            <w:noWrap/>
            <w:vAlign w:val="center"/>
          </w:tcPr>
          <w:p>
            <w:pPr>
              <w:pStyle w:val="142"/>
              <w:spacing w:before="156" w:after="156"/>
              <w:jc w:val="center"/>
              <w:rPr>
                <w:rFonts w:ascii="Times New Roman" w:cs="Times New Roman"/>
                <w:sz w:val="18"/>
                <w:szCs w:val="18"/>
              </w:rPr>
            </w:pPr>
            <w:r>
              <w:rPr>
                <w:rFonts w:ascii="Times New Roman" w:cs="Times New Roman"/>
                <w:sz w:val="18"/>
                <w:szCs w:val="18"/>
              </w:rPr>
              <w:t>≤1.45</w:t>
            </w:r>
          </w:p>
        </w:tc>
        <w:tc>
          <w:tcPr>
            <w:tcW w:w="901" w:type="dxa"/>
            <w:vAlign w:val="center"/>
          </w:tcPr>
          <w:p>
            <w:pPr>
              <w:pStyle w:val="142"/>
              <w:spacing w:before="120" w:after="120"/>
              <w:jc w:val="center"/>
              <w:rPr>
                <w:rFonts w:ascii="Times New Roman" w:cs="Times New Roman"/>
                <w:sz w:val="18"/>
                <w:szCs w:val="18"/>
              </w:rPr>
            </w:pPr>
            <w:r>
              <w:rPr>
                <w:rFonts w:ascii="Times New Roman" w:cs="Times New Roman"/>
                <w:sz w:val="18"/>
                <w:szCs w:val="18"/>
              </w:rPr>
              <w:t>≤1.20</w:t>
            </w:r>
          </w:p>
        </w:tc>
        <w:tc>
          <w:tcPr>
            <w:tcW w:w="901" w:type="dxa"/>
            <w:vAlign w:val="center"/>
          </w:tcPr>
          <w:p>
            <w:pPr>
              <w:pStyle w:val="142"/>
              <w:spacing w:before="120" w:after="120"/>
              <w:jc w:val="center"/>
              <w:rPr>
                <w:rFonts w:ascii="Times New Roman" w:cs="Times New Roman"/>
                <w:sz w:val="18"/>
                <w:szCs w:val="18"/>
              </w:rPr>
            </w:pPr>
            <w:r>
              <w:rPr>
                <w:rFonts w:ascii="Times New Roman" w:cs="Times New Roman"/>
                <w:sz w:val="18"/>
                <w:szCs w:val="18"/>
              </w:rPr>
              <w:t>≤0.85</w:t>
            </w:r>
          </w:p>
        </w:tc>
        <w:tc>
          <w:tcPr>
            <w:tcW w:w="1328" w:type="dxa"/>
            <w:vAlign w:val="center"/>
          </w:tcPr>
          <w:p>
            <w:pPr>
              <w:jc w:val="center"/>
              <w:rPr>
                <w:color w:val="FF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GB/T 2589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1117" w:type="dxa"/>
            <w:vMerge w:val="continue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74" w:type="dxa"/>
            <w:vMerge w:val="continue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47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乳液类</w:t>
            </w:r>
          </w:p>
        </w:tc>
        <w:tc>
          <w:tcPr>
            <w:tcW w:w="901" w:type="dxa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kgce/t</w:t>
            </w:r>
          </w:p>
        </w:tc>
        <w:tc>
          <w:tcPr>
            <w:tcW w:w="901" w:type="dxa"/>
            <w:noWrap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≤3.5</w:t>
            </w:r>
          </w:p>
        </w:tc>
        <w:tc>
          <w:tcPr>
            <w:tcW w:w="90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≤3.0</w:t>
            </w:r>
          </w:p>
        </w:tc>
        <w:tc>
          <w:tcPr>
            <w:tcW w:w="90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≤2.5</w:t>
            </w:r>
          </w:p>
        </w:tc>
        <w:tc>
          <w:tcPr>
            <w:tcW w:w="1328" w:type="dxa"/>
            <w:vAlign w:val="center"/>
          </w:tcPr>
          <w:p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GB/T 35609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17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环境属性</w:t>
            </w:r>
          </w:p>
        </w:tc>
        <w:tc>
          <w:tcPr>
            <w:tcW w:w="1974" w:type="dxa"/>
            <w:vMerge w:val="restart"/>
            <w:noWrap/>
            <w:vAlign w:val="center"/>
          </w:tcPr>
          <w:p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有害物限值</w:t>
            </w:r>
          </w:p>
        </w:tc>
        <w:tc>
          <w:tcPr>
            <w:tcW w:w="1547" w:type="dxa"/>
            <w:vAlign w:val="center"/>
          </w:tcPr>
          <w:p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甲醛</w:t>
            </w:r>
          </w:p>
        </w:tc>
        <w:tc>
          <w:tcPr>
            <w:tcW w:w="901" w:type="dxa"/>
            <w:noWrap/>
            <w:vAlign w:val="center"/>
          </w:tcPr>
          <w:p>
            <w:pPr>
              <w:autoSpaceDE w:val="0"/>
              <w:autoSpaceDN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mg/m³</w:t>
            </w:r>
          </w:p>
        </w:tc>
        <w:tc>
          <w:tcPr>
            <w:tcW w:w="1802" w:type="dxa"/>
            <w:gridSpan w:val="2"/>
            <w:noWrap/>
            <w:vAlign w:val="center"/>
          </w:tcPr>
          <w:p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901" w:type="dxa"/>
            <w:vAlign w:val="center"/>
          </w:tcPr>
          <w:p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1328" w:type="dxa"/>
            <w:vMerge w:val="restart"/>
            <w:vAlign w:val="center"/>
          </w:tcPr>
          <w:p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HJ456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17" w:type="dxa"/>
            <w:vMerge w:val="continue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74" w:type="dxa"/>
            <w:vMerge w:val="continue"/>
            <w:noWrap/>
            <w:vAlign w:val="center"/>
          </w:tcPr>
          <w:p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47" w:type="dxa"/>
            <w:vAlign w:val="center"/>
          </w:tcPr>
          <w:p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苯</w:t>
            </w:r>
          </w:p>
        </w:tc>
        <w:tc>
          <w:tcPr>
            <w:tcW w:w="901" w:type="dxa"/>
            <w:noWrap/>
            <w:vAlign w:val="center"/>
          </w:tcPr>
          <w:p>
            <w:pPr>
              <w:autoSpaceDE w:val="0"/>
              <w:autoSpaceDN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mg/m³</w:t>
            </w:r>
          </w:p>
        </w:tc>
        <w:tc>
          <w:tcPr>
            <w:tcW w:w="1802" w:type="dxa"/>
            <w:gridSpan w:val="2"/>
            <w:noWrap/>
            <w:vAlign w:val="center"/>
          </w:tcPr>
          <w:p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901" w:type="dxa"/>
            <w:vAlign w:val="center"/>
          </w:tcPr>
          <w:p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1328" w:type="dxa"/>
            <w:vMerge w:val="continue"/>
            <w:vAlign w:val="center"/>
          </w:tcPr>
          <w:p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1117" w:type="dxa"/>
            <w:vMerge w:val="restart"/>
            <w:vAlign w:val="center"/>
          </w:tcPr>
          <w:p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品质属性</w:t>
            </w:r>
          </w:p>
        </w:tc>
        <w:tc>
          <w:tcPr>
            <w:tcW w:w="1974" w:type="dxa"/>
            <w:vMerge w:val="restart"/>
            <w:noWrap/>
            <w:vAlign w:val="center"/>
          </w:tcPr>
          <w:p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剪切粘结强度</w:t>
            </w:r>
          </w:p>
        </w:tc>
        <w:tc>
          <w:tcPr>
            <w:tcW w:w="1547" w:type="dxa"/>
            <w:vAlign w:val="center"/>
          </w:tcPr>
          <w:p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7d</w:t>
            </w:r>
          </w:p>
        </w:tc>
        <w:tc>
          <w:tcPr>
            <w:tcW w:w="901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MPa</w:t>
            </w:r>
          </w:p>
        </w:tc>
        <w:tc>
          <w:tcPr>
            <w:tcW w:w="1802" w:type="dxa"/>
            <w:gridSpan w:val="2"/>
            <w:tcBorders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FF0000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≥0.7</w:t>
            </w:r>
          </w:p>
        </w:tc>
        <w:tc>
          <w:tcPr>
            <w:tcW w:w="90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color w:val="FF0000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≥1.0</w:t>
            </w:r>
          </w:p>
        </w:tc>
        <w:tc>
          <w:tcPr>
            <w:tcW w:w="1328" w:type="dxa"/>
            <w:vMerge w:val="restart"/>
            <w:vAlign w:val="center"/>
          </w:tcPr>
          <w:p>
            <w:pPr>
              <w:jc w:val="center"/>
              <w:rPr>
                <w:color w:val="FF0000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JC/T907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</w:trPr>
        <w:tc>
          <w:tcPr>
            <w:tcW w:w="1117" w:type="dxa"/>
            <w:vMerge w:val="continue"/>
            <w:vAlign w:val="center"/>
          </w:tcPr>
          <w:p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74" w:type="dxa"/>
            <w:vMerge w:val="continue"/>
            <w:noWrap/>
            <w:vAlign w:val="center"/>
          </w:tcPr>
          <w:p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47" w:type="dxa"/>
            <w:vAlign w:val="center"/>
          </w:tcPr>
          <w:p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14d</w:t>
            </w:r>
          </w:p>
        </w:tc>
        <w:tc>
          <w:tcPr>
            <w:tcW w:w="901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MPa</w:t>
            </w:r>
          </w:p>
        </w:tc>
        <w:tc>
          <w:tcPr>
            <w:tcW w:w="1802" w:type="dxa"/>
            <w:gridSpan w:val="2"/>
            <w:tcBorders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≥1.0</w:t>
            </w:r>
          </w:p>
        </w:tc>
        <w:tc>
          <w:tcPr>
            <w:tcW w:w="90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≥1.5</w:t>
            </w:r>
          </w:p>
        </w:tc>
        <w:tc>
          <w:tcPr>
            <w:tcW w:w="1328" w:type="dxa"/>
            <w:vMerge w:val="continue"/>
            <w:vAlign w:val="center"/>
          </w:tcPr>
          <w:p>
            <w:pPr>
              <w:jc w:val="center"/>
              <w:rPr>
                <w:color w:val="FF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</w:trPr>
        <w:tc>
          <w:tcPr>
            <w:tcW w:w="1117" w:type="dxa"/>
            <w:vMerge w:val="continue"/>
            <w:vAlign w:val="center"/>
          </w:tcPr>
          <w:p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74" w:type="dxa"/>
            <w:vMerge w:val="restart"/>
            <w:noWrap/>
            <w:vAlign w:val="center"/>
          </w:tcPr>
          <w:p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拉伸粘结强度</w:t>
            </w:r>
            <w:r>
              <w:rPr>
                <w:color w:val="000000"/>
                <w:kern w:val="0"/>
                <w:sz w:val="18"/>
                <w:szCs w:val="18"/>
              </w:rPr>
              <w:t>MPa</w:t>
            </w:r>
          </w:p>
        </w:tc>
        <w:tc>
          <w:tcPr>
            <w:tcW w:w="1547" w:type="dxa"/>
            <w:vAlign w:val="center"/>
          </w:tcPr>
          <w:p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浸水处理</w:t>
            </w:r>
          </w:p>
        </w:tc>
        <w:tc>
          <w:tcPr>
            <w:tcW w:w="901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MPa</w:t>
            </w:r>
          </w:p>
        </w:tc>
        <w:tc>
          <w:tcPr>
            <w:tcW w:w="1802" w:type="dxa"/>
            <w:gridSpan w:val="2"/>
            <w:vMerge w:val="restart"/>
            <w:tcBorders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FF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≥0.3</w:t>
            </w:r>
          </w:p>
        </w:tc>
        <w:tc>
          <w:tcPr>
            <w:tcW w:w="901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color w:val="FF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≥0.5</w:t>
            </w:r>
          </w:p>
        </w:tc>
        <w:tc>
          <w:tcPr>
            <w:tcW w:w="1328" w:type="dxa"/>
            <w:vMerge w:val="continue"/>
            <w:vAlign w:val="center"/>
          </w:tcPr>
          <w:p>
            <w:pPr>
              <w:jc w:val="center"/>
              <w:rPr>
                <w:color w:val="FF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</w:trPr>
        <w:tc>
          <w:tcPr>
            <w:tcW w:w="1117" w:type="dxa"/>
            <w:vMerge w:val="continue"/>
            <w:vAlign w:val="center"/>
          </w:tcPr>
          <w:p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74" w:type="dxa"/>
            <w:vMerge w:val="continue"/>
            <w:noWrap/>
            <w:vAlign w:val="center"/>
          </w:tcPr>
          <w:p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47" w:type="dxa"/>
            <w:vAlign w:val="center"/>
          </w:tcPr>
          <w:p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热处理</w:t>
            </w:r>
          </w:p>
        </w:tc>
        <w:tc>
          <w:tcPr>
            <w:tcW w:w="901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MPa</w:t>
            </w:r>
          </w:p>
        </w:tc>
        <w:tc>
          <w:tcPr>
            <w:tcW w:w="1802" w:type="dxa"/>
            <w:gridSpan w:val="2"/>
            <w:vMerge w:val="continue"/>
            <w:tcBorders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90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328" w:type="dxa"/>
            <w:vMerge w:val="continue"/>
            <w:vAlign w:val="center"/>
          </w:tcPr>
          <w:p>
            <w:pPr>
              <w:jc w:val="center"/>
              <w:rPr>
                <w:color w:val="FF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</w:trPr>
        <w:tc>
          <w:tcPr>
            <w:tcW w:w="1117" w:type="dxa"/>
            <w:vMerge w:val="continue"/>
            <w:vAlign w:val="center"/>
          </w:tcPr>
          <w:p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74" w:type="dxa"/>
            <w:vMerge w:val="continue"/>
            <w:noWrap/>
            <w:vAlign w:val="center"/>
          </w:tcPr>
          <w:p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47" w:type="dxa"/>
            <w:vAlign w:val="center"/>
          </w:tcPr>
          <w:p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冻融循环处理</w:t>
            </w:r>
          </w:p>
        </w:tc>
        <w:tc>
          <w:tcPr>
            <w:tcW w:w="901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MPa</w:t>
            </w:r>
          </w:p>
        </w:tc>
        <w:tc>
          <w:tcPr>
            <w:tcW w:w="1802" w:type="dxa"/>
            <w:gridSpan w:val="2"/>
            <w:vMerge w:val="continue"/>
            <w:tcBorders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90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328" w:type="dxa"/>
            <w:vMerge w:val="continue"/>
            <w:vAlign w:val="center"/>
          </w:tcPr>
          <w:p>
            <w:pPr>
              <w:jc w:val="center"/>
              <w:rPr>
                <w:color w:val="FF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</w:trPr>
        <w:tc>
          <w:tcPr>
            <w:tcW w:w="1117" w:type="dxa"/>
            <w:vMerge w:val="continue"/>
            <w:vAlign w:val="center"/>
          </w:tcPr>
          <w:p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74" w:type="dxa"/>
            <w:vMerge w:val="continue"/>
            <w:noWrap/>
            <w:vAlign w:val="center"/>
          </w:tcPr>
          <w:p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47" w:type="dxa"/>
            <w:vAlign w:val="center"/>
          </w:tcPr>
          <w:p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碱处理</w:t>
            </w:r>
          </w:p>
        </w:tc>
        <w:tc>
          <w:tcPr>
            <w:tcW w:w="901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MPa</w:t>
            </w:r>
          </w:p>
        </w:tc>
        <w:tc>
          <w:tcPr>
            <w:tcW w:w="1802" w:type="dxa"/>
            <w:gridSpan w:val="2"/>
            <w:vMerge w:val="continue"/>
            <w:tcBorders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90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328" w:type="dxa"/>
            <w:vMerge w:val="continue"/>
            <w:vAlign w:val="center"/>
          </w:tcPr>
          <w:p>
            <w:pPr>
              <w:jc w:val="center"/>
              <w:rPr>
                <w:color w:val="FF0000"/>
                <w:kern w:val="0"/>
                <w:sz w:val="18"/>
                <w:szCs w:val="18"/>
              </w:rPr>
            </w:pPr>
          </w:p>
        </w:tc>
      </w:tr>
    </w:tbl>
    <w:p>
      <w:pPr>
        <w:pStyle w:val="81"/>
        <w:numPr>
          <w:ilvl w:val="0"/>
          <w:numId w:val="18"/>
        </w:numPr>
        <w:tabs>
          <w:tab w:val="left" w:pos="0"/>
        </w:tabs>
        <w:spacing w:before="312" w:after="312"/>
        <w:ind w:left="0" w:firstLine="0"/>
        <w:rPr>
          <w:rFonts w:ascii="Times New Roman"/>
          <w:color w:val="000000"/>
        </w:rPr>
      </w:pPr>
      <w:bookmarkStart w:id="107" w:name="_Toc533518632"/>
      <w:r>
        <w:rPr>
          <w:rFonts w:hint="eastAsia" w:ascii="Times New Roman"/>
          <w:color w:val="000000"/>
        </w:rPr>
        <w:t>评价方法</w:t>
      </w:r>
      <w:bookmarkEnd w:id="107"/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rPr>
          <w:kern w:val="0"/>
          <w:szCs w:val="20"/>
        </w:rPr>
      </w:pPr>
      <w:bookmarkStart w:id="108" w:name="_Toc350864010"/>
      <w:bookmarkStart w:id="109" w:name="_Toc384816571"/>
      <w:bookmarkStart w:id="110" w:name="_Toc360632449"/>
      <w:bookmarkStart w:id="111" w:name="_Toc360436771"/>
      <w:bookmarkStart w:id="112" w:name="_Toc396134056"/>
      <w:bookmarkStart w:id="113" w:name="_Toc360436858"/>
      <w:r>
        <w:t xml:space="preserve">5.1 </w:t>
      </w:r>
      <w:r>
        <w:rPr>
          <w:rFonts w:hint="eastAsia"/>
        </w:rPr>
        <w:t>生产企业</w:t>
      </w:r>
      <w:r>
        <w:rPr>
          <w:rFonts w:hint="eastAsia"/>
          <w:kern w:val="0"/>
          <w:szCs w:val="20"/>
        </w:rPr>
        <w:t>应按第</w:t>
      </w:r>
      <w:r>
        <w:rPr>
          <w:kern w:val="0"/>
          <w:szCs w:val="20"/>
        </w:rPr>
        <w:t>4</w:t>
      </w:r>
      <w:r>
        <w:rPr>
          <w:rFonts w:hint="eastAsia"/>
          <w:kern w:val="0"/>
          <w:szCs w:val="20"/>
        </w:rPr>
        <w:t>章的规定提供相关证明文件。</w:t>
      </w:r>
    </w:p>
    <w:p>
      <w:r>
        <w:t xml:space="preserve">5.2 </w:t>
      </w:r>
      <w:r>
        <w:rPr>
          <w:rFonts w:hint="eastAsia"/>
        </w:rPr>
        <w:t>工程修复材料相应指标的评价应按第</w:t>
      </w:r>
      <w:r>
        <w:t>4</w:t>
      </w:r>
      <w:r>
        <w:rPr>
          <w:rFonts w:hint="eastAsia"/>
        </w:rPr>
        <w:t>章表中列出的评价依据进行，产品基本性能应按相应产品的标准进行检测</w:t>
      </w:r>
      <w:bookmarkStart w:id="114" w:name="_Toc462063266"/>
      <w:bookmarkStart w:id="115" w:name="_Toc456611292"/>
      <w:bookmarkStart w:id="116" w:name="_Toc459106422"/>
      <w:r>
        <w:rPr>
          <w:rFonts w:hint="eastAsia" w:ascii="宋体" w:hAnsi="宋体"/>
        </w:rPr>
        <w:t>，可浸出重金属应按</w:t>
      </w:r>
      <w:r>
        <w:t>GB5085.3</w:t>
      </w:r>
      <w:r>
        <w:rPr>
          <w:rFonts w:hint="eastAsia" w:ascii="宋体" w:hAnsi="宋体"/>
        </w:rPr>
        <w:t>的规定进行，建筑材料放射性核素检测及限量应按</w:t>
      </w:r>
      <w:r>
        <w:rPr>
          <w:rFonts w:ascii="宋体" w:hAnsi="宋体"/>
        </w:rPr>
        <w:t xml:space="preserve">GB6566 </w:t>
      </w:r>
      <w:r>
        <w:rPr>
          <w:rFonts w:hint="eastAsia" w:ascii="宋体" w:hAnsi="宋体"/>
        </w:rPr>
        <w:t>进行</w:t>
      </w:r>
      <w:r>
        <w:rPr>
          <w:rFonts w:hint="eastAsia"/>
        </w:rPr>
        <w:t>。</w:t>
      </w:r>
    </w:p>
    <w:bookmarkEnd w:id="114"/>
    <w:bookmarkEnd w:id="115"/>
    <w:bookmarkEnd w:id="116"/>
    <w:p>
      <w:pPr>
        <w:autoSpaceDE w:val="0"/>
        <w:autoSpaceDN w:val="0"/>
        <w:adjustRightInd w:val="0"/>
        <w:rPr>
          <w:kern w:val="0"/>
        </w:rPr>
      </w:pPr>
      <w:r>
        <w:t xml:space="preserve">5.3 </w:t>
      </w:r>
      <w:r>
        <w:rPr>
          <w:rFonts w:hint="eastAsia"/>
        </w:rPr>
        <w:t>采用符合性评价，</w:t>
      </w:r>
      <w:r>
        <w:rPr>
          <w:rFonts w:hint="eastAsia"/>
          <w:kern w:val="0"/>
        </w:rPr>
        <w:t>生产企业满足第</w:t>
      </w:r>
      <w:r>
        <w:rPr>
          <w:kern w:val="0"/>
        </w:rPr>
        <w:t>4</w:t>
      </w:r>
      <w:r>
        <w:rPr>
          <w:rFonts w:hint="eastAsia"/>
          <w:kern w:val="0"/>
        </w:rPr>
        <w:t>章对某一评价等级的全部要求时，</w:t>
      </w:r>
      <w:r>
        <w:rPr>
          <w:rFonts w:hint="eastAsia"/>
        </w:rPr>
        <w:t>判定评价结果</w:t>
      </w:r>
      <w:r>
        <w:rPr>
          <w:rFonts w:hint="eastAsia"/>
          <w:kern w:val="0"/>
        </w:rPr>
        <w:t>符合该等级规定。</w:t>
      </w:r>
      <w:bookmarkEnd w:id="108"/>
      <w:bookmarkEnd w:id="109"/>
      <w:bookmarkEnd w:id="110"/>
      <w:bookmarkEnd w:id="111"/>
      <w:bookmarkEnd w:id="112"/>
      <w:bookmarkEnd w:id="113"/>
    </w:p>
    <w:p>
      <w:pPr>
        <w:autoSpaceDE w:val="0"/>
        <w:autoSpaceDN w:val="0"/>
        <w:adjustRightInd w:val="0"/>
        <w:rPr>
          <w:kern w:val="0"/>
        </w:rPr>
      </w:pPr>
    </w:p>
    <w:p>
      <w:pPr>
        <w:pStyle w:val="131"/>
      </w:pPr>
    </w:p>
    <w:p>
      <w:pPr>
        <w:pStyle w:val="150"/>
      </w:pPr>
      <w:bookmarkStart w:id="117" w:name="_Toc532820968"/>
      <w:bookmarkEnd w:id="117"/>
      <w:bookmarkStart w:id="118" w:name="_Toc532820840"/>
      <w:bookmarkEnd w:id="118"/>
    </w:p>
    <w:p>
      <w:pPr>
        <w:pStyle w:val="86"/>
        <w:rPr>
          <w:rFonts w:ascii="Times New Roman"/>
        </w:rPr>
      </w:pPr>
      <w:r>
        <w:rPr>
          <w:rFonts w:ascii="Times New Roman"/>
        </w:rPr>
        <w:br w:type="textWrapping"/>
      </w:r>
      <w:bookmarkStart w:id="119" w:name="_Toc524004822"/>
      <w:bookmarkStart w:id="120" w:name="_Toc532820841"/>
      <w:bookmarkStart w:id="121" w:name="_Toc532820969"/>
      <w:r>
        <w:rPr>
          <w:rFonts w:hint="eastAsia" w:ascii="Times New Roman"/>
        </w:rPr>
        <w:t>（规范性附录）</w:t>
      </w:r>
      <w:r>
        <w:rPr>
          <w:rFonts w:ascii="Times New Roman"/>
        </w:rPr>
        <w:br w:type="textWrapping"/>
      </w:r>
      <w:bookmarkEnd w:id="119"/>
      <w:r>
        <w:rPr>
          <w:rFonts w:hint="eastAsia" w:ascii="Times New Roman"/>
        </w:rPr>
        <w:t>评价指标计算方法</w:t>
      </w:r>
      <w:bookmarkEnd w:id="120"/>
      <w:bookmarkEnd w:id="121"/>
    </w:p>
    <w:p>
      <w:pPr>
        <w:pStyle w:val="72"/>
        <w:numPr>
          <w:ilvl w:val="1"/>
          <w:numId w:val="19"/>
        </w:numPr>
        <w:spacing w:before="312" w:after="312"/>
        <w:rPr>
          <w:rFonts w:ascii="Times New Roman"/>
          <w:kern w:val="0"/>
        </w:rPr>
      </w:pPr>
      <w:r>
        <w:rPr>
          <w:rFonts w:hint="eastAsia" w:ascii="Times New Roman"/>
          <w:kern w:val="0"/>
        </w:rPr>
        <w:t>生产过程产生废弃物利用率</w:t>
      </w:r>
    </w:p>
    <w:p>
      <w:pPr>
        <w:pStyle w:val="18"/>
        <w:ind w:firstLine="31680"/>
        <w:rPr>
          <w:rFonts w:ascii="Times New Roman"/>
        </w:rPr>
      </w:pPr>
      <w:bookmarkStart w:id="122" w:name="_Toc459106426"/>
      <w:bookmarkStart w:id="123" w:name="_Toc456611296"/>
      <w:r>
        <w:rPr>
          <w:rFonts w:hint="eastAsia" w:ascii="Times New Roman"/>
        </w:rPr>
        <w:t>原则上应以近</w:t>
      </w:r>
      <w:r>
        <w:rPr>
          <w:rFonts w:ascii="Times New Roman"/>
        </w:rPr>
        <w:t>12</w:t>
      </w:r>
      <w:r>
        <w:rPr>
          <w:rFonts w:hint="eastAsia" w:ascii="Times New Roman"/>
        </w:rPr>
        <w:t>个月作为统计期计算生产过程产生废弃物利用率的平均值。企业正式投产不足</w:t>
      </w:r>
      <w:r>
        <w:rPr>
          <w:rFonts w:ascii="Times New Roman"/>
        </w:rPr>
        <w:t>12</w:t>
      </w:r>
      <w:r>
        <w:rPr>
          <w:rFonts w:hint="eastAsia" w:ascii="Times New Roman"/>
        </w:rPr>
        <w:t>个月时，统计期可适当缩短，但不应少于</w:t>
      </w:r>
      <w:r>
        <w:rPr>
          <w:rFonts w:ascii="Times New Roman"/>
        </w:rPr>
        <w:t>6</w:t>
      </w:r>
      <w:r>
        <w:rPr>
          <w:rFonts w:hint="eastAsia" w:ascii="Times New Roman"/>
        </w:rPr>
        <w:t>个月。按公式（</w:t>
      </w:r>
      <w:r>
        <w:rPr>
          <w:rFonts w:ascii="Times New Roman"/>
          <w:szCs w:val="21"/>
        </w:rPr>
        <w:t>A.4</w:t>
      </w:r>
      <w:r>
        <w:rPr>
          <w:rFonts w:hint="eastAsia" w:ascii="Times New Roman"/>
        </w:rPr>
        <w:t>）计算：</w:t>
      </w:r>
    </w:p>
    <w:p>
      <w:pPr>
        <w:pStyle w:val="18"/>
        <w:ind w:firstLine="31680"/>
        <w:jc w:val="center"/>
        <w:rPr>
          <w:rFonts w:ascii="Times New Roman"/>
        </w:rPr>
      </w:pPr>
      <w:r>
        <w:rPr>
          <w:rFonts w:ascii="Times New Roman"/>
          <w:position w:val="-32"/>
        </w:rPr>
        <w:object>
          <v:shape id="_x0000_i1025" o:spt="75" type="#_x0000_t75" style="height:35.25pt;width:44.25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Equation.3" ShapeID="_x0000_i1025" DrawAspect="Content" ObjectID="_1468075725" r:id="rId6">
            <o:LockedField>false</o:LockedField>
          </o:OLEObject>
        </w:object>
      </w:r>
      <w:r>
        <w:rPr>
          <w:rFonts w:ascii="Times New Roman"/>
        </w:rPr>
        <w:tab/>
      </w:r>
      <w:r>
        <w:rPr>
          <w:rFonts w:ascii="Times New Roman"/>
        </w:rPr>
        <w:t xml:space="preserve"> …………………………………………(A.1)</w:t>
      </w:r>
    </w:p>
    <w:p>
      <w:pPr>
        <w:pStyle w:val="104"/>
        <w:ind w:firstLine="2415" w:firstLineChars="1150"/>
        <w:jc w:val="left"/>
        <w:rPr>
          <w:rFonts w:ascii="Times New Roman"/>
          <w:kern w:val="2"/>
          <w:szCs w:val="21"/>
        </w:rPr>
      </w:pPr>
      <w:r>
        <w:rPr>
          <w:rFonts w:ascii="Times New Roman"/>
        </w:rPr>
        <w:t xml:space="preserve">  </w:t>
      </w:r>
    </w:p>
    <w:p>
      <w:pPr>
        <w:spacing w:line="520" w:lineRule="exact"/>
        <w:ind w:firstLine="420" w:firstLineChars="200"/>
        <w:rPr>
          <w:szCs w:val="21"/>
        </w:rPr>
      </w:pPr>
      <w:r>
        <w:rPr>
          <w:rFonts w:hint="eastAsia"/>
          <w:szCs w:val="21"/>
        </w:rPr>
        <w:t>式中：</w:t>
      </w:r>
    </w:p>
    <w:p>
      <w:pPr>
        <w:spacing w:line="520" w:lineRule="exact"/>
        <w:ind w:firstLine="420" w:firstLineChars="200"/>
        <w:rPr>
          <w:szCs w:val="21"/>
        </w:rPr>
      </w:pPr>
      <w:r>
        <w:rPr>
          <w:i/>
          <w:szCs w:val="21"/>
        </w:rPr>
        <w:t xml:space="preserve">R </w:t>
      </w:r>
      <w:r>
        <w:rPr>
          <w:szCs w:val="21"/>
        </w:rPr>
        <w:t>——</w:t>
      </w:r>
      <w:r>
        <w:rPr>
          <w:rFonts w:hint="eastAsia"/>
          <w:szCs w:val="21"/>
        </w:rPr>
        <w:t>生产过程产生固体废弃物利用率，</w:t>
      </w:r>
      <w:r>
        <w:rPr>
          <w:szCs w:val="21"/>
        </w:rPr>
        <w:t>%</w:t>
      </w:r>
      <w:r>
        <w:rPr>
          <w:rFonts w:hint="eastAsia"/>
          <w:szCs w:val="21"/>
        </w:rPr>
        <w:t>；</w:t>
      </w:r>
    </w:p>
    <w:p>
      <w:pPr>
        <w:spacing w:line="520" w:lineRule="exact"/>
        <w:ind w:firstLine="420" w:firstLineChars="200"/>
        <w:rPr>
          <w:szCs w:val="21"/>
        </w:rPr>
      </w:pPr>
      <w:r>
        <w:rPr>
          <w:i/>
          <w:szCs w:val="21"/>
        </w:rPr>
        <w:t>M</w:t>
      </w:r>
      <w:r>
        <w:rPr>
          <w:iCs/>
          <w:szCs w:val="21"/>
          <w:vertAlign w:val="subscript"/>
        </w:rPr>
        <w:t>r</w:t>
      </w:r>
      <w:r>
        <w:rPr>
          <w:szCs w:val="21"/>
        </w:rPr>
        <w:t>——</w:t>
      </w:r>
      <w:r>
        <w:rPr>
          <w:rFonts w:hint="eastAsia"/>
          <w:szCs w:val="21"/>
        </w:rPr>
        <w:t>统计期内回收再利用的废弃物量，不含废水，单位为千克（</w:t>
      </w:r>
      <w:r>
        <w:rPr>
          <w:szCs w:val="21"/>
        </w:rPr>
        <w:t>kg</w:t>
      </w:r>
      <w:r>
        <w:rPr>
          <w:rFonts w:hint="eastAsia"/>
          <w:szCs w:val="21"/>
        </w:rPr>
        <w:t>）；</w:t>
      </w:r>
    </w:p>
    <w:p>
      <w:pPr>
        <w:spacing w:line="520" w:lineRule="exact"/>
        <w:ind w:firstLine="420" w:firstLineChars="200"/>
        <w:rPr>
          <w:szCs w:val="21"/>
        </w:rPr>
      </w:pPr>
      <w:r>
        <w:rPr>
          <w:i/>
          <w:szCs w:val="21"/>
        </w:rPr>
        <w:t>M</w:t>
      </w:r>
      <w:r>
        <w:rPr>
          <w:iCs/>
          <w:szCs w:val="21"/>
          <w:vertAlign w:val="subscript"/>
        </w:rPr>
        <w:t>p</w:t>
      </w:r>
      <w:r>
        <w:rPr>
          <w:szCs w:val="21"/>
        </w:rPr>
        <w:t>——</w:t>
      </w:r>
      <w:r>
        <w:rPr>
          <w:rFonts w:hint="eastAsia"/>
          <w:szCs w:val="21"/>
        </w:rPr>
        <w:t>统计期内生产产生的废弃物总量，不含废水，单位为千克（</w:t>
      </w:r>
      <w:r>
        <w:rPr>
          <w:szCs w:val="21"/>
        </w:rPr>
        <w:t>kg</w:t>
      </w:r>
      <w:r>
        <w:rPr>
          <w:rFonts w:hint="eastAsia"/>
          <w:szCs w:val="21"/>
        </w:rPr>
        <w:t>）。</w:t>
      </w:r>
    </w:p>
    <w:p>
      <w:pPr>
        <w:pStyle w:val="72"/>
        <w:numPr>
          <w:ilvl w:val="1"/>
          <w:numId w:val="19"/>
        </w:numPr>
        <w:spacing w:before="312" w:after="312"/>
        <w:rPr>
          <w:rFonts w:ascii="Times New Roman"/>
          <w:kern w:val="0"/>
        </w:rPr>
      </w:pPr>
      <w:r>
        <w:rPr>
          <w:rFonts w:hint="eastAsia" w:ascii="Times New Roman"/>
          <w:kern w:val="0"/>
        </w:rPr>
        <w:t>固体废弃物掺加量</w:t>
      </w:r>
      <w:bookmarkEnd w:id="122"/>
      <w:bookmarkEnd w:id="123"/>
    </w:p>
    <w:p>
      <w:pPr>
        <w:pStyle w:val="18"/>
        <w:ind w:firstLine="31680"/>
        <w:rPr>
          <w:rFonts w:ascii="Times New Roman"/>
        </w:rPr>
      </w:pPr>
      <w:r>
        <w:rPr>
          <w:rFonts w:hint="eastAsia" w:ascii="Times New Roman"/>
        </w:rPr>
        <w:t>原则上应以近</w:t>
      </w:r>
      <w:r>
        <w:rPr>
          <w:rFonts w:ascii="Times New Roman"/>
        </w:rPr>
        <w:t>12</w:t>
      </w:r>
      <w:r>
        <w:rPr>
          <w:rFonts w:hint="eastAsia" w:ascii="Times New Roman"/>
        </w:rPr>
        <w:t>个月作为统计期计算固体废弃物掺加量的平均值。企业正式投产不足</w:t>
      </w:r>
      <w:r>
        <w:rPr>
          <w:rFonts w:ascii="Times New Roman"/>
        </w:rPr>
        <w:t>12</w:t>
      </w:r>
      <w:r>
        <w:rPr>
          <w:rFonts w:hint="eastAsia" w:ascii="Times New Roman"/>
        </w:rPr>
        <w:t>个月时，统计期可适当缩短，但不应少于</w:t>
      </w:r>
      <w:r>
        <w:rPr>
          <w:rFonts w:ascii="Times New Roman"/>
        </w:rPr>
        <w:t>6</w:t>
      </w:r>
      <w:r>
        <w:rPr>
          <w:rFonts w:hint="eastAsia" w:ascii="Times New Roman"/>
        </w:rPr>
        <w:t>个月。按公式（</w:t>
      </w:r>
      <w:r>
        <w:rPr>
          <w:rFonts w:ascii="Times New Roman"/>
          <w:szCs w:val="21"/>
        </w:rPr>
        <w:t>A.2</w:t>
      </w:r>
      <w:r>
        <w:rPr>
          <w:rFonts w:hint="eastAsia" w:ascii="Times New Roman"/>
        </w:rPr>
        <w:t>）计算：</w:t>
      </w:r>
    </w:p>
    <w:p>
      <w:pPr>
        <w:pStyle w:val="18"/>
        <w:ind w:firstLine="31680"/>
        <w:rPr>
          <w:rFonts w:ascii="Times New Roman"/>
        </w:rPr>
      </w:pPr>
      <w:r>
        <w:rPr>
          <w:rFonts w:ascii="Times New Roman"/>
        </w:rPr>
        <w:t xml:space="preserve">           </w:t>
      </w:r>
      <w:r>
        <w:rPr>
          <w:rFonts w:ascii="Times New Roman"/>
          <w:position w:val="-30"/>
        </w:rPr>
        <w:object>
          <v:shape id="_x0000_i1026" o:spt="75" type="#_x0000_t75" style="height:33.75pt;width:84.75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3" ShapeID="_x0000_i1026" DrawAspect="Content" ObjectID="_1468075726" r:id="rId8">
            <o:LockedField>false</o:LockedField>
          </o:OLEObject>
        </w:object>
      </w:r>
      <w:r>
        <w:rPr>
          <w:rFonts w:ascii="Times New Roman"/>
        </w:rPr>
        <w:t xml:space="preserve">  …………………………………………(A.2)    </w:t>
      </w:r>
    </w:p>
    <w:p>
      <w:pPr>
        <w:pStyle w:val="18"/>
        <w:spacing w:line="520" w:lineRule="exact"/>
        <w:ind w:firstLine="31680"/>
        <w:rPr>
          <w:rFonts w:ascii="Times New Roman"/>
        </w:rPr>
      </w:pPr>
      <w:r>
        <w:rPr>
          <w:rFonts w:hint="eastAsia" w:ascii="Times New Roman"/>
        </w:rPr>
        <w:t>式中：</w:t>
      </w:r>
    </w:p>
    <w:p>
      <w:pPr>
        <w:pStyle w:val="18"/>
        <w:spacing w:line="520" w:lineRule="exact"/>
        <w:ind w:firstLine="31680"/>
        <w:rPr>
          <w:rFonts w:ascii="Times New Roman"/>
        </w:rPr>
      </w:pPr>
      <w:r>
        <w:rPr>
          <w:rFonts w:ascii="Times New Roman"/>
          <w:i/>
        </w:rPr>
        <w:t xml:space="preserve">U </w:t>
      </w:r>
      <w:r>
        <w:rPr>
          <w:rFonts w:ascii="Times New Roman"/>
          <w:szCs w:val="21"/>
        </w:rPr>
        <w:t>——</w:t>
      </w:r>
      <w:r>
        <w:rPr>
          <w:rFonts w:hint="eastAsia" w:ascii="Times New Roman"/>
        </w:rPr>
        <w:t>固体废弃物掺加量，</w:t>
      </w:r>
      <w:r>
        <w:rPr>
          <w:rFonts w:ascii="Times New Roman"/>
        </w:rPr>
        <w:t>%</w:t>
      </w:r>
      <w:r>
        <w:rPr>
          <w:rFonts w:hint="eastAsia" w:ascii="Times New Roman"/>
        </w:rPr>
        <w:t>；</w:t>
      </w:r>
    </w:p>
    <w:p>
      <w:pPr>
        <w:pStyle w:val="18"/>
        <w:spacing w:line="520" w:lineRule="exact"/>
        <w:ind w:firstLine="31680"/>
        <w:rPr>
          <w:rFonts w:ascii="Times New Roman"/>
        </w:rPr>
      </w:pPr>
      <w:r>
        <w:rPr>
          <w:rFonts w:ascii="Times New Roman"/>
          <w:i/>
        </w:rPr>
        <w:t>M</w:t>
      </w:r>
      <w:r>
        <w:rPr>
          <w:rFonts w:ascii="Times New Roman"/>
          <w:iCs/>
          <w:vertAlign w:val="subscript"/>
        </w:rPr>
        <w:t>w</w:t>
      </w:r>
      <w:r>
        <w:rPr>
          <w:rFonts w:ascii="Times New Roman"/>
          <w:i/>
          <w:vertAlign w:val="subscript"/>
        </w:rPr>
        <w:t xml:space="preserve"> </w:t>
      </w:r>
      <w:r>
        <w:rPr>
          <w:rFonts w:ascii="Times New Roman"/>
          <w:szCs w:val="21"/>
        </w:rPr>
        <w:t>——</w:t>
      </w:r>
      <w:r>
        <w:rPr>
          <w:rFonts w:hint="eastAsia" w:ascii="Times New Roman"/>
        </w:rPr>
        <w:t>统计期内使用的外购固体废弃物总量，不含水，单位为吨（</w:t>
      </w:r>
      <w:r>
        <w:rPr>
          <w:rFonts w:ascii="Times New Roman"/>
        </w:rPr>
        <w:t>t</w:t>
      </w:r>
      <w:r>
        <w:rPr>
          <w:rFonts w:hint="eastAsia" w:ascii="Times New Roman"/>
        </w:rPr>
        <w:t>）；</w:t>
      </w:r>
    </w:p>
    <w:p>
      <w:pPr>
        <w:pStyle w:val="18"/>
        <w:spacing w:line="520" w:lineRule="exact"/>
        <w:ind w:firstLine="31680"/>
        <w:rPr>
          <w:rFonts w:ascii="Times New Roman"/>
        </w:rPr>
      </w:pPr>
      <w:r>
        <w:rPr>
          <w:rFonts w:ascii="Times New Roman"/>
          <w:i/>
        </w:rPr>
        <w:t>M</w:t>
      </w:r>
      <w:r>
        <w:rPr>
          <w:rFonts w:ascii="Times New Roman"/>
          <w:iCs/>
          <w:vertAlign w:val="subscript"/>
        </w:rPr>
        <w:t>t</w:t>
      </w:r>
      <w:r>
        <w:rPr>
          <w:rFonts w:ascii="Times New Roman"/>
          <w:iCs/>
        </w:rPr>
        <w:t xml:space="preserve"> </w:t>
      </w:r>
      <w:r>
        <w:rPr>
          <w:rFonts w:ascii="Times New Roman"/>
        </w:rPr>
        <w:t>——</w:t>
      </w:r>
      <w:r>
        <w:rPr>
          <w:rFonts w:hint="eastAsia" w:ascii="Times New Roman"/>
        </w:rPr>
        <w:t>统计期内使用的原材料总量，不含水，单位为吨（</w:t>
      </w:r>
      <w:r>
        <w:rPr>
          <w:rFonts w:ascii="Times New Roman"/>
        </w:rPr>
        <w:t>t</w:t>
      </w:r>
      <w:r>
        <w:rPr>
          <w:rFonts w:hint="eastAsia" w:ascii="Times New Roman"/>
        </w:rPr>
        <w:t>）。</w:t>
      </w:r>
    </w:p>
    <w:p>
      <w:pPr>
        <w:pStyle w:val="72"/>
        <w:numPr>
          <w:ilvl w:val="1"/>
          <w:numId w:val="19"/>
        </w:numPr>
        <w:spacing w:before="312" w:after="312"/>
        <w:rPr>
          <w:rFonts w:ascii="Times New Roman"/>
        </w:rPr>
      </w:pPr>
      <w:r>
        <w:rPr>
          <w:rFonts w:hint="eastAsia" w:ascii="Times New Roman"/>
        </w:rPr>
        <w:t>单位产品废水排放量</w:t>
      </w:r>
    </w:p>
    <w:p>
      <w:pPr>
        <w:pStyle w:val="18"/>
        <w:ind w:firstLine="31680"/>
        <w:rPr>
          <w:rFonts w:ascii="Times New Roman"/>
        </w:rPr>
      </w:pPr>
      <w:r>
        <w:rPr>
          <w:rFonts w:hint="eastAsia" w:ascii="Times New Roman"/>
        </w:rPr>
        <w:t>原则上应以近</w:t>
      </w:r>
      <w:r>
        <w:rPr>
          <w:rFonts w:ascii="Times New Roman"/>
        </w:rPr>
        <w:t>12</w:t>
      </w:r>
      <w:r>
        <w:rPr>
          <w:rFonts w:hint="eastAsia" w:ascii="Times New Roman"/>
        </w:rPr>
        <w:t>个月作为统计期计算生产过程单位产品废水排放量的平均值。企业正式投产不足</w:t>
      </w:r>
      <w:r>
        <w:rPr>
          <w:rFonts w:ascii="Times New Roman"/>
        </w:rPr>
        <w:t>12</w:t>
      </w:r>
      <w:r>
        <w:rPr>
          <w:rFonts w:hint="eastAsia" w:ascii="Times New Roman"/>
        </w:rPr>
        <w:t>个月时，统计期可适当缩短，但不应少于</w:t>
      </w:r>
      <w:r>
        <w:rPr>
          <w:rFonts w:ascii="Times New Roman"/>
        </w:rPr>
        <w:t>6</w:t>
      </w:r>
      <w:r>
        <w:rPr>
          <w:rFonts w:hint="eastAsia" w:ascii="Times New Roman"/>
        </w:rPr>
        <w:t>个月。每生产</w:t>
      </w:r>
      <w:r>
        <w:rPr>
          <w:rFonts w:ascii="Times New Roman"/>
        </w:rPr>
        <w:t>1t</w:t>
      </w:r>
      <w:r>
        <w:rPr>
          <w:rFonts w:hint="eastAsia" w:ascii="Times New Roman"/>
        </w:rPr>
        <w:t>产品排放的废水量即单位产品废水排放量，按公式（</w:t>
      </w:r>
      <w:r>
        <w:rPr>
          <w:rFonts w:ascii="Times New Roman"/>
        </w:rPr>
        <w:t>A.3</w:t>
      </w:r>
      <w:r>
        <w:rPr>
          <w:rFonts w:hint="eastAsia" w:ascii="Times New Roman"/>
        </w:rPr>
        <w:t>）计算：</w:t>
      </w:r>
    </w:p>
    <w:p>
      <w:pPr>
        <w:pStyle w:val="18"/>
        <w:ind w:firstLine="31680"/>
        <w:rPr>
          <w:rFonts w:ascii="Times New Roman"/>
        </w:rPr>
      </w:pPr>
    </w:p>
    <w:p>
      <w:pPr>
        <w:pStyle w:val="18"/>
        <w:ind w:firstLine="0" w:firstLineChars="0"/>
        <w:rPr>
          <w:rFonts w:ascii="Times New Roman"/>
        </w:rPr>
      </w:pPr>
      <w:r>
        <w:rPr>
          <w:rFonts w:ascii="Times New Roman"/>
        </w:rPr>
        <w:t xml:space="preserve">                          </w:t>
      </w:r>
      <w:r>
        <w:rPr>
          <w:rFonts w:ascii="Times New Roman"/>
          <w:position w:val="-32"/>
        </w:rPr>
        <w:object>
          <v:shape id="_x0000_i1027" o:spt="75" type="#_x0000_t75" style="height:35.25pt;width:41.25pt;" o:ole="t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Embed" ProgID="Equation.3" ShapeID="_x0000_i1027" DrawAspect="Content" ObjectID="_1468075727" r:id="rId10">
            <o:LockedField>false</o:LockedField>
          </o:OLEObject>
        </w:object>
      </w:r>
      <w:r>
        <w:rPr>
          <w:rFonts w:ascii="Times New Roman"/>
        </w:rPr>
        <w:tab/>
      </w:r>
      <w:r>
        <w:rPr>
          <w:rFonts w:ascii="Times New Roman"/>
        </w:rPr>
        <w:t xml:space="preserve"> …………………………………………(A.3)   </w:t>
      </w:r>
      <w:r>
        <w:rPr>
          <w:rFonts w:ascii="Times New Roman"/>
        </w:rPr>
        <w:fldChar w:fldCharType="begin"/>
      </w:r>
      <w:r>
        <w:rPr>
          <w:rFonts w:ascii="Times New Roman"/>
        </w:rPr>
        <w:instrText xml:space="preserve"> QUOTE  </w:instrText>
      </w:r>
      <w:r>
        <w:rPr>
          <w:rFonts w:ascii="Times New Roman"/>
        </w:rPr>
        <w:fldChar w:fldCharType="end"/>
      </w:r>
      <w:r>
        <w:rPr>
          <w:rFonts w:ascii="Times New Roman"/>
        </w:rPr>
        <w:t xml:space="preserve"> </w:t>
      </w:r>
    </w:p>
    <w:p>
      <w:pPr>
        <w:pStyle w:val="18"/>
        <w:spacing w:line="520" w:lineRule="exact"/>
        <w:ind w:firstLine="31680"/>
        <w:rPr>
          <w:rFonts w:ascii="Times New Roman"/>
        </w:rPr>
      </w:pPr>
      <w:r>
        <w:rPr>
          <w:rFonts w:ascii="Times New Roman"/>
          <w:i/>
        </w:rPr>
        <w:t>V</w:t>
      </w:r>
      <w:r>
        <w:rPr>
          <w:rFonts w:ascii="Times New Roman"/>
          <w:iCs/>
          <w:vertAlign w:val="subscript"/>
        </w:rPr>
        <w:t>j</w:t>
      </w:r>
      <w:r>
        <w:rPr>
          <w:rFonts w:ascii="Times New Roman"/>
        </w:rPr>
        <w:t>——</w:t>
      </w:r>
      <w:r>
        <w:rPr>
          <w:rFonts w:hint="eastAsia" w:ascii="Times New Roman"/>
        </w:rPr>
        <w:t>单位产品废水排放量，单位为吨每吨（</w:t>
      </w:r>
      <w:r>
        <w:rPr>
          <w:rFonts w:ascii="Times New Roman"/>
        </w:rPr>
        <w:t>t/t</w:t>
      </w:r>
      <w:r>
        <w:rPr>
          <w:rFonts w:hint="eastAsia" w:ascii="Times New Roman"/>
        </w:rPr>
        <w:t>）；</w:t>
      </w:r>
    </w:p>
    <w:p>
      <w:pPr>
        <w:pStyle w:val="18"/>
        <w:spacing w:line="520" w:lineRule="exact"/>
        <w:ind w:firstLine="31680"/>
        <w:rPr>
          <w:rFonts w:ascii="Times New Roman"/>
        </w:rPr>
      </w:pPr>
      <w:r>
        <w:rPr>
          <w:rFonts w:ascii="Times New Roman"/>
          <w:i/>
        </w:rPr>
        <w:t>V</w:t>
      </w:r>
      <w:r>
        <w:rPr>
          <w:rFonts w:ascii="Times New Roman"/>
          <w:iCs/>
          <w:vertAlign w:val="subscript"/>
        </w:rPr>
        <w:t>w</w:t>
      </w:r>
      <w:r>
        <w:rPr>
          <w:rFonts w:ascii="Times New Roman"/>
          <w:i/>
          <w:vertAlign w:val="subscript"/>
        </w:rPr>
        <w:t xml:space="preserve"> </w:t>
      </w:r>
      <w:r>
        <w:rPr>
          <w:rFonts w:ascii="Times New Roman"/>
        </w:rPr>
        <w:t>——</w:t>
      </w:r>
      <w:r>
        <w:rPr>
          <w:rFonts w:hint="eastAsia" w:ascii="Times New Roman"/>
        </w:rPr>
        <w:t>统计期内产品生产废水排放量，单位为吨（</w:t>
      </w:r>
      <w:r>
        <w:rPr>
          <w:rFonts w:ascii="Times New Roman"/>
        </w:rPr>
        <w:t>t</w:t>
      </w:r>
      <w:r>
        <w:rPr>
          <w:rFonts w:hint="eastAsia" w:ascii="Times New Roman"/>
        </w:rPr>
        <w:t>）；</w:t>
      </w:r>
    </w:p>
    <w:p>
      <w:pPr>
        <w:pStyle w:val="18"/>
        <w:ind w:firstLine="31680"/>
        <w:rPr>
          <w:rFonts w:ascii="Times New Roman"/>
        </w:rPr>
      </w:pPr>
      <w:r>
        <w:rPr>
          <w:rFonts w:ascii="Times New Roman"/>
          <w:i/>
        </w:rPr>
        <w:t>P</w:t>
      </w:r>
      <w:r>
        <w:rPr>
          <w:rFonts w:ascii="Times New Roman"/>
        </w:rPr>
        <w:t>——</w:t>
      </w:r>
      <w:r>
        <w:rPr>
          <w:rFonts w:hint="eastAsia" w:ascii="Times New Roman"/>
        </w:rPr>
        <w:t>统计期内符合相关标准的合格产品总产量，单位为吨（</w:t>
      </w:r>
      <w:r>
        <w:rPr>
          <w:rFonts w:ascii="Times New Roman"/>
        </w:rPr>
        <w:t>t</w:t>
      </w:r>
      <w:r>
        <w:rPr>
          <w:rFonts w:hint="eastAsia" w:ascii="Times New Roman"/>
        </w:rPr>
        <w:t>）。</w:t>
      </w:r>
    </w:p>
    <w:p>
      <w:pPr>
        <w:pStyle w:val="74"/>
      </w:pPr>
      <w:r>
        <w:t>_________________________________</w:t>
      </w:r>
    </w:p>
    <w:sectPr>
      <w:pgSz w:w="11906" w:h="16838"/>
      <w:pgMar w:top="567" w:right="1134" w:bottom="1134" w:left="1418" w:header="1418" w:footer="1134" w:gutter="0"/>
      <w:pgNumType w:start="1"/>
      <w:cols w:space="720" w:num="1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S Mincho">
    <w:altName w:val="Kozuka Mincho Pro M"/>
    <w:panose1 w:val="02020609040205080304"/>
    <w:charset w:val="80"/>
    <w:family w:val="modern"/>
    <w:pitch w:val="default"/>
    <w:sig w:usb0="00000000" w:usb1="00000000" w:usb2="00000010" w:usb3="00000000" w:csb0="000200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8"/>
    </w:pPr>
    <w:r>
      <w:fldChar w:fldCharType="begin"/>
    </w:r>
    <w:r>
      <w:instrText xml:space="preserve"> PAGE  \* MERGEFORMAT </w:instrText>
    </w:r>
    <w:r>
      <w:fldChar w:fldCharType="separate"/>
    </w:r>
    <w:r>
      <w:t>8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0"/>
    </w:pPr>
    <w:r>
      <w:t>T/ CECS 1000X—XXXX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102AD"/>
    <w:multiLevelType w:val="multilevel"/>
    <w:tmpl w:val="079102AD"/>
    <w:lvl w:ilvl="0" w:tentative="0">
      <w:start w:val="1"/>
      <w:numFmt w:val="decimal"/>
      <w:pStyle w:val="132"/>
      <w:suff w:val="nothing"/>
      <w:lvlText w:val="注%1："/>
      <w:lvlJc w:val="left"/>
      <w:pPr>
        <w:ind w:left="811" w:hanging="448"/>
      </w:pPr>
      <w:rPr>
        <w:rFonts w:hint="eastAsia" w:ascii="黑体" w:eastAsia="黑体" w:cs="Times New Roman"/>
        <w:b w:val="0"/>
        <w:i w:val="0"/>
        <w:sz w:val="18"/>
      </w:rPr>
    </w:lvl>
    <w:lvl w:ilvl="1" w:tentative="0">
      <w:start w:val="1"/>
      <w:numFmt w:val="lowerLetter"/>
      <w:lvlText w:val="%2)"/>
      <w:lvlJc w:val="left"/>
      <w:pPr>
        <w:tabs>
          <w:tab w:val="left" w:pos="0"/>
        </w:tabs>
        <w:ind w:left="992" w:hanging="629"/>
      </w:pPr>
      <w:rPr>
        <w:rFonts w:hint="eastAsia"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0"/>
        </w:tabs>
        <w:ind w:left="992" w:hanging="629"/>
      </w:pPr>
      <w:rPr>
        <w:rFonts w:hint="eastAsia"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0"/>
        </w:tabs>
        <w:ind w:left="992" w:hanging="629"/>
      </w:pPr>
      <w:rPr>
        <w:rFonts w:hint="eastAsia"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0"/>
        </w:tabs>
        <w:ind w:left="992" w:hanging="629"/>
      </w:pPr>
      <w:rPr>
        <w:rFonts w:hint="eastAsia"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0"/>
        </w:tabs>
        <w:ind w:left="992" w:hanging="629"/>
      </w:pPr>
      <w:rPr>
        <w:rFonts w:hint="eastAsia"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0"/>
        </w:tabs>
        <w:ind w:left="992" w:hanging="629"/>
      </w:pPr>
      <w:rPr>
        <w:rFonts w:hint="eastAsia"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0"/>
        </w:tabs>
        <w:ind w:left="992" w:hanging="629"/>
      </w:pPr>
      <w:rPr>
        <w:rFonts w:hint="eastAsia"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0"/>
        </w:tabs>
        <w:ind w:left="992" w:hanging="629"/>
      </w:pPr>
      <w:rPr>
        <w:rFonts w:hint="eastAsia" w:cs="Times New Roman"/>
      </w:rPr>
    </w:lvl>
  </w:abstractNum>
  <w:abstractNum w:abstractNumId="1">
    <w:nsid w:val="093C6778"/>
    <w:multiLevelType w:val="multilevel"/>
    <w:tmpl w:val="093C6778"/>
    <w:lvl w:ilvl="0" w:tentative="0">
      <w:start w:val="1"/>
      <w:numFmt w:val="decimal"/>
      <w:pStyle w:val="45"/>
      <w:suff w:val="nothing"/>
      <w:lvlText w:val="示例%1："/>
      <w:lvlJc w:val="left"/>
      <w:pPr>
        <w:ind w:firstLine="397"/>
      </w:pPr>
      <w:rPr>
        <w:rFonts w:hint="eastAsia" w:ascii="黑体" w:eastAsia="黑体" w:cs="Times New Roman"/>
        <w:sz w:val="18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hint="eastAsia"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hint="eastAsia"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eastAsia"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eastAsia"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eastAsia"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eastAsia"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eastAsia"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eastAsia" w:cs="Times New Roman"/>
      </w:rPr>
    </w:lvl>
  </w:abstractNum>
  <w:abstractNum w:abstractNumId="2">
    <w:nsid w:val="0AE367E9"/>
    <w:multiLevelType w:val="multilevel"/>
    <w:tmpl w:val="0AE367E9"/>
    <w:lvl w:ilvl="0" w:tentative="0">
      <w:start w:val="1"/>
      <w:numFmt w:val="none"/>
      <w:pStyle w:val="146"/>
      <w:suff w:val="nothing"/>
      <w:lvlText w:val="%1示例："/>
      <w:lvlJc w:val="left"/>
      <w:pPr>
        <w:ind w:firstLine="363"/>
      </w:pPr>
      <w:rPr>
        <w:rFonts w:hint="eastAsia" w:ascii="黑体" w:eastAsia="黑体" w:cs="Times New Roman"/>
        <w:b w:val="0"/>
        <w:i w:val="0"/>
        <w:sz w:val="18"/>
        <w:szCs w:val="18"/>
      </w:rPr>
    </w:lvl>
    <w:lvl w:ilvl="1" w:tentative="0">
      <w:start w:val="1"/>
      <w:numFmt w:val="lowerLetter"/>
      <w:lvlText w:val="%2)"/>
      <w:lvlJc w:val="left"/>
      <w:pPr>
        <w:tabs>
          <w:tab w:val="left" w:pos="363"/>
        </w:tabs>
        <w:ind w:firstLine="363"/>
      </w:pPr>
      <w:rPr>
        <w:rFonts w:hint="eastAsia"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363"/>
        </w:tabs>
        <w:ind w:firstLine="363"/>
      </w:pPr>
      <w:rPr>
        <w:rFonts w:hint="eastAsia"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363"/>
        </w:tabs>
        <w:ind w:firstLine="363"/>
      </w:pPr>
      <w:rPr>
        <w:rFonts w:hint="eastAsia"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363"/>
        </w:tabs>
        <w:ind w:firstLine="363"/>
      </w:pPr>
      <w:rPr>
        <w:rFonts w:hint="eastAsia"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363"/>
        </w:tabs>
        <w:ind w:firstLine="363"/>
      </w:pPr>
      <w:rPr>
        <w:rFonts w:hint="eastAsia"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363"/>
        </w:tabs>
        <w:ind w:firstLine="363"/>
      </w:pPr>
      <w:rPr>
        <w:rFonts w:hint="eastAsia"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63"/>
        </w:tabs>
        <w:ind w:firstLine="363"/>
      </w:pPr>
      <w:rPr>
        <w:rFonts w:hint="eastAsia"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363"/>
        </w:tabs>
        <w:ind w:firstLine="363"/>
      </w:pPr>
      <w:rPr>
        <w:rFonts w:hint="eastAsia" w:cs="Times New Roman"/>
      </w:rPr>
    </w:lvl>
  </w:abstractNum>
  <w:abstractNum w:abstractNumId="3">
    <w:nsid w:val="0DDE2B46"/>
    <w:multiLevelType w:val="multilevel"/>
    <w:tmpl w:val="0DDE2B46"/>
    <w:lvl w:ilvl="0" w:tentative="0">
      <w:start w:val="1"/>
      <w:numFmt w:val="lowerLetter"/>
      <w:pStyle w:val="103"/>
      <w:suff w:val="nothing"/>
      <w:lvlText w:val="%1   "/>
      <w:lvlJc w:val="left"/>
      <w:pPr>
        <w:ind w:left="544" w:hanging="181"/>
      </w:pPr>
      <w:rPr>
        <w:rFonts w:hint="eastAsia" w:ascii="宋体" w:eastAsia="宋体" w:cs="Times New Roman"/>
        <w:b w:val="0"/>
        <w:i w:val="0"/>
        <w:sz w:val="18"/>
        <w:vertAlign w:val="superscript"/>
      </w:rPr>
    </w:lvl>
    <w:lvl w:ilvl="1" w:tentative="0">
      <w:start w:val="1"/>
      <w:numFmt w:val="lowerLetter"/>
      <w:lvlText w:val="%2"/>
      <w:lvlJc w:val="left"/>
      <w:pPr>
        <w:tabs>
          <w:tab w:val="left" w:pos="57"/>
        </w:tabs>
        <w:ind w:left="363" w:hanging="363"/>
      </w:pPr>
      <w:rPr>
        <w:rFonts w:hint="eastAsia"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57"/>
        </w:tabs>
        <w:ind w:left="363" w:hanging="363"/>
      </w:pPr>
      <w:rPr>
        <w:rFonts w:hint="eastAsia"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57"/>
        </w:tabs>
        <w:ind w:left="363" w:hanging="363"/>
      </w:pPr>
      <w:rPr>
        <w:rFonts w:hint="eastAsia"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57"/>
        </w:tabs>
        <w:ind w:left="363" w:hanging="363"/>
      </w:pPr>
      <w:rPr>
        <w:rFonts w:hint="eastAsia"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57"/>
        </w:tabs>
        <w:ind w:left="363" w:hanging="363"/>
      </w:pPr>
      <w:rPr>
        <w:rFonts w:hint="eastAsia"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57"/>
        </w:tabs>
        <w:ind w:left="363" w:hanging="363"/>
      </w:pPr>
      <w:rPr>
        <w:rFonts w:hint="eastAsia"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57"/>
        </w:tabs>
        <w:ind w:left="363" w:hanging="363"/>
      </w:pPr>
      <w:rPr>
        <w:rFonts w:hint="eastAsia"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57"/>
        </w:tabs>
        <w:ind w:left="363" w:hanging="363"/>
      </w:pPr>
      <w:rPr>
        <w:rFonts w:hint="eastAsia" w:cs="Times New Roman"/>
      </w:rPr>
    </w:lvl>
  </w:abstractNum>
  <w:abstractNum w:abstractNumId="4">
    <w:nsid w:val="1DBF583A"/>
    <w:multiLevelType w:val="multilevel"/>
    <w:tmpl w:val="1DBF583A"/>
    <w:lvl w:ilvl="0" w:tentative="0">
      <w:start w:val="1"/>
      <w:numFmt w:val="decimal"/>
      <w:pStyle w:val="141"/>
      <w:suff w:val="nothing"/>
      <w:lvlText w:val="注%1："/>
      <w:lvlJc w:val="left"/>
      <w:pPr>
        <w:ind w:left="811" w:hanging="448"/>
      </w:pPr>
      <w:rPr>
        <w:rFonts w:hint="eastAsia" w:ascii="黑体" w:eastAsia="黑体" w:cs="Times New Roman"/>
        <w:b w:val="0"/>
        <w:i w:val="0"/>
        <w:sz w:val="18"/>
        <w:szCs w:val="18"/>
        <w:vertAlign w:val="baseline"/>
      </w:rPr>
    </w:lvl>
    <w:lvl w:ilvl="1" w:tentative="0">
      <w:start w:val="1"/>
      <w:numFmt w:val="lowerLetter"/>
      <w:lvlText w:val="%2)"/>
      <w:lvlJc w:val="left"/>
      <w:pPr>
        <w:tabs>
          <w:tab w:val="left" w:pos="180"/>
        </w:tabs>
        <w:ind w:left="1172" w:hanging="629"/>
      </w:pPr>
      <w:rPr>
        <w:rFonts w:hint="eastAsia" w:cs="Times New Roman"/>
        <w:vertAlign w:val="baseline"/>
      </w:rPr>
    </w:lvl>
    <w:lvl w:ilvl="2" w:tentative="0">
      <w:start w:val="1"/>
      <w:numFmt w:val="lowerRoman"/>
      <w:lvlText w:val="%3."/>
      <w:lvlJc w:val="right"/>
      <w:pPr>
        <w:tabs>
          <w:tab w:val="left" w:pos="180"/>
        </w:tabs>
        <w:ind w:left="1172" w:hanging="629"/>
      </w:pPr>
      <w:rPr>
        <w:rFonts w:hint="eastAsia" w:cs="Times New Roman"/>
        <w:vertAlign w:val="baseline"/>
      </w:rPr>
    </w:lvl>
    <w:lvl w:ilvl="3" w:tentative="0">
      <w:start w:val="1"/>
      <w:numFmt w:val="decimal"/>
      <w:lvlText w:val="%4."/>
      <w:lvlJc w:val="left"/>
      <w:pPr>
        <w:tabs>
          <w:tab w:val="left" w:pos="180"/>
        </w:tabs>
        <w:ind w:left="1172" w:hanging="629"/>
      </w:pPr>
      <w:rPr>
        <w:rFonts w:hint="eastAsia" w:cs="Times New Roman"/>
        <w:vertAlign w:val="baseline"/>
      </w:rPr>
    </w:lvl>
    <w:lvl w:ilvl="4" w:tentative="0">
      <w:start w:val="1"/>
      <w:numFmt w:val="lowerLetter"/>
      <w:lvlText w:val="%5)"/>
      <w:lvlJc w:val="left"/>
      <w:pPr>
        <w:tabs>
          <w:tab w:val="left" w:pos="180"/>
        </w:tabs>
        <w:ind w:left="1172" w:hanging="629"/>
      </w:pPr>
      <w:rPr>
        <w:rFonts w:hint="eastAsia" w:cs="Times New Roman"/>
        <w:vertAlign w:val="baseline"/>
      </w:rPr>
    </w:lvl>
    <w:lvl w:ilvl="5" w:tentative="0">
      <w:start w:val="1"/>
      <w:numFmt w:val="lowerRoman"/>
      <w:lvlText w:val="%6."/>
      <w:lvlJc w:val="right"/>
      <w:pPr>
        <w:tabs>
          <w:tab w:val="left" w:pos="180"/>
        </w:tabs>
        <w:ind w:left="1172" w:hanging="629"/>
      </w:pPr>
      <w:rPr>
        <w:rFonts w:hint="eastAsia" w:cs="Times New Roman"/>
        <w:vertAlign w:val="baseline"/>
      </w:rPr>
    </w:lvl>
    <w:lvl w:ilvl="6" w:tentative="0">
      <w:start w:val="1"/>
      <w:numFmt w:val="decimal"/>
      <w:lvlText w:val="%7."/>
      <w:lvlJc w:val="left"/>
      <w:pPr>
        <w:tabs>
          <w:tab w:val="left" w:pos="180"/>
        </w:tabs>
        <w:ind w:left="1172" w:hanging="629"/>
      </w:pPr>
      <w:rPr>
        <w:rFonts w:hint="eastAsia" w:cs="Times New Roman"/>
        <w:vertAlign w:val="baseline"/>
      </w:rPr>
    </w:lvl>
    <w:lvl w:ilvl="7" w:tentative="0">
      <w:start w:val="1"/>
      <w:numFmt w:val="lowerLetter"/>
      <w:lvlText w:val="%8)"/>
      <w:lvlJc w:val="left"/>
      <w:pPr>
        <w:tabs>
          <w:tab w:val="left" w:pos="180"/>
        </w:tabs>
        <w:ind w:left="1172" w:hanging="629"/>
      </w:pPr>
      <w:rPr>
        <w:rFonts w:hint="eastAsia" w:cs="Times New Roman"/>
        <w:vertAlign w:val="baseline"/>
      </w:rPr>
    </w:lvl>
    <w:lvl w:ilvl="8" w:tentative="0">
      <w:start w:val="1"/>
      <w:numFmt w:val="lowerRoman"/>
      <w:lvlText w:val="%9."/>
      <w:lvlJc w:val="right"/>
      <w:pPr>
        <w:tabs>
          <w:tab w:val="left" w:pos="180"/>
        </w:tabs>
        <w:ind w:left="1172" w:hanging="629"/>
      </w:pPr>
      <w:rPr>
        <w:rFonts w:hint="eastAsia" w:cs="Times New Roman"/>
        <w:vertAlign w:val="baseline"/>
      </w:rPr>
    </w:lvl>
  </w:abstractNum>
  <w:abstractNum w:abstractNumId="5">
    <w:nsid w:val="1FC91163"/>
    <w:multiLevelType w:val="multilevel"/>
    <w:tmpl w:val="1FC91163"/>
    <w:lvl w:ilvl="0" w:tentative="0">
      <w:start w:val="1"/>
      <w:numFmt w:val="decimal"/>
      <w:pStyle w:val="81"/>
      <w:suff w:val="nothing"/>
      <w:lvlText w:val="%1　"/>
      <w:lvlJc w:val="left"/>
      <w:rPr>
        <w:rFonts w:hint="eastAsia" w:ascii="黑体" w:hAnsi="Times New Roman" w:eastAsia="黑体" w:cs="Times New Roman"/>
        <w:b w:val="0"/>
        <w:i w:val="0"/>
        <w:sz w:val="21"/>
        <w:szCs w:val="21"/>
      </w:rPr>
    </w:lvl>
    <w:lvl w:ilvl="1" w:tentative="0">
      <w:start w:val="1"/>
      <w:numFmt w:val="decimal"/>
      <w:pStyle w:val="59"/>
      <w:suff w:val="nothing"/>
      <w:lvlText w:val="%1.%2　"/>
      <w:lvlJc w:val="left"/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</w:rPr>
    </w:lvl>
    <w:lvl w:ilvl="2" w:tentative="0">
      <w:start w:val="1"/>
      <w:numFmt w:val="decimal"/>
      <w:pStyle w:val="58"/>
      <w:suff w:val="nothing"/>
      <w:lvlText w:val="%1.%2.%3　"/>
      <w:lvlJc w:val="left"/>
      <w:pPr>
        <w:ind w:left="993"/>
      </w:pPr>
      <w:rPr>
        <w:rFonts w:hint="eastAsia" w:ascii="黑体" w:hAnsi="Times New Roman" w:eastAsia="黑体" w:cs="Times New Roman"/>
        <w:b w:val="0"/>
        <w:i w:val="0"/>
        <w:sz w:val="21"/>
      </w:rPr>
    </w:lvl>
    <w:lvl w:ilvl="3" w:tentative="0">
      <w:start w:val="1"/>
      <w:numFmt w:val="decimal"/>
      <w:pStyle w:val="57"/>
      <w:suff w:val="nothing"/>
      <w:lvlText w:val="%1.%2.%3.%4　"/>
      <w:lvlJc w:val="left"/>
      <w:rPr>
        <w:rFonts w:hint="eastAsia" w:ascii="黑体" w:hAnsi="Times New Roman" w:eastAsia="黑体" w:cs="Times New Roman"/>
        <w:b w:val="0"/>
        <w:i w:val="0"/>
        <w:sz w:val="21"/>
      </w:rPr>
    </w:lvl>
    <w:lvl w:ilvl="4" w:tentative="0">
      <w:start w:val="1"/>
      <w:numFmt w:val="decimal"/>
      <w:pStyle w:val="56"/>
      <w:suff w:val="nothing"/>
      <w:lvlText w:val="%1.%2.%3.%4.%5　"/>
      <w:lvlJc w:val="left"/>
      <w:rPr>
        <w:rFonts w:hint="eastAsia" w:ascii="黑体" w:hAnsi="Times New Roman" w:eastAsia="黑体" w:cs="Times New Roman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rPr>
        <w:rFonts w:hint="eastAsia" w:ascii="黑体" w:hAnsi="Times New Roman" w:eastAsia="黑体" w:cs="Times New Roman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rPr>
        <w:rFonts w:hint="eastAsia" w:ascii="黑体" w:hAnsi="Times New Roman" w:eastAsia="黑体" w:cs="Times New Roman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 w:cs="Times New Roman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 w:cs="Times New Roman"/>
      </w:rPr>
    </w:lvl>
  </w:abstractNum>
  <w:abstractNum w:abstractNumId="6">
    <w:nsid w:val="2A8F7113"/>
    <w:multiLevelType w:val="multilevel"/>
    <w:tmpl w:val="2A8F7113"/>
    <w:lvl w:ilvl="0" w:tentative="0">
      <w:start w:val="1"/>
      <w:numFmt w:val="upperLetter"/>
      <w:pStyle w:val="131"/>
      <w:suff w:val="space"/>
      <w:lvlText w:val="%1"/>
      <w:lvlJc w:val="left"/>
      <w:pPr>
        <w:ind w:left="623" w:hanging="425"/>
      </w:pPr>
      <w:rPr>
        <w:rFonts w:hint="eastAsia" w:cs="Times New Roman"/>
      </w:rPr>
    </w:lvl>
    <w:lvl w:ilvl="1" w:tentative="0">
      <w:start w:val="1"/>
      <w:numFmt w:val="decimal"/>
      <w:pStyle w:val="83"/>
      <w:suff w:val="nothing"/>
      <w:lvlText w:val="图%1.%2　"/>
      <w:lvlJc w:val="left"/>
      <w:pPr>
        <w:ind w:left="1190" w:hanging="567"/>
      </w:pPr>
      <w:rPr>
        <w:rFonts w:hint="eastAsia" w:cs="Times New Roman"/>
      </w:rPr>
    </w:lvl>
    <w:lvl w:ilvl="2" w:tentative="0">
      <w:start w:val="1"/>
      <w:numFmt w:val="decimal"/>
      <w:lvlText w:val="%1.%2.%3"/>
      <w:lvlJc w:val="left"/>
      <w:pPr>
        <w:tabs>
          <w:tab w:val="left" w:pos="1616"/>
        </w:tabs>
        <w:ind w:left="1616" w:hanging="567"/>
      </w:pPr>
      <w:rPr>
        <w:rFonts w:hint="eastAsia" w:cs="Times New Roman"/>
      </w:rPr>
    </w:lvl>
    <w:lvl w:ilvl="3" w:tentative="0">
      <w:start w:val="1"/>
      <w:numFmt w:val="decimal"/>
      <w:lvlText w:val="%1.%2.%3.%4"/>
      <w:lvlJc w:val="left"/>
      <w:pPr>
        <w:tabs>
          <w:tab w:val="left" w:pos="2914"/>
        </w:tabs>
        <w:ind w:left="2182" w:hanging="708"/>
      </w:pPr>
      <w:rPr>
        <w:rFonts w:hint="eastAsia" w:cs="Times New Roman"/>
      </w:rPr>
    </w:lvl>
    <w:lvl w:ilvl="4" w:tentative="0">
      <w:start w:val="1"/>
      <w:numFmt w:val="decimal"/>
      <w:lvlText w:val="%1.%2.%3.%4.%5"/>
      <w:lvlJc w:val="left"/>
      <w:pPr>
        <w:tabs>
          <w:tab w:val="left" w:pos="3699"/>
        </w:tabs>
        <w:ind w:left="2749" w:hanging="850"/>
      </w:pPr>
      <w:rPr>
        <w:rFonts w:hint="eastAsia" w:cs="Times New Roman"/>
      </w:rPr>
    </w:lvl>
    <w:lvl w:ilvl="5" w:tentative="0">
      <w:start w:val="1"/>
      <w:numFmt w:val="decimal"/>
      <w:lvlText w:val="%1.%2.%3.%4.%5.%6"/>
      <w:lvlJc w:val="left"/>
      <w:pPr>
        <w:tabs>
          <w:tab w:val="left" w:pos="4484"/>
        </w:tabs>
        <w:ind w:left="3458" w:hanging="1134"/>
      </w:pPr>
      <w:rPr>
        <w:rFonts w:hint="eastAsia" w:cs="Times New Roman"/>
      </w:rPr>
    </w:lvl>
    <w:lvl w:ilvl="6" w:tentative="0">
      <w:start w:val="1"/>
      <w:numFmt w:val="decimal"/>
      <w:lvlText w:val="%1.%2.%3.%4.%5.%6.%7"/>
      <w:lvlJc w:val="left"/>
      <w:pPr>
        <w:tabs>
          <w:tab w:val="left" w:pos="5269"/>
        </w:tabs>
        <w:ind w:left="4025" w:hanging="1276"/>
      </w:pPr>
      <w:rPr>
        <w:rFonts w:hint="eastAsia" w:cs="Times New Roman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6054"/>
        </w:tabs>
        <w:ind w:left="4592" w:hanging="1418"/>
      </w:pPr>
      <w:rPr>
        <w:rFonts w:hint="eastAsia" w:cs="Times New Roman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6840"/>
        </w:tabs>
        <w:ind w:left="5300" w:hanging="1700"/>
      </w:pPr>
      <w:rPr>
        <w:rFonts w:hint="eastAsia" w:cs="Times New Roman"/>
      </w:rPr>
    </w:lvl>
  </w:abstractNum>
  <w:abstractNum w:abstractNumId="7">
    <w:nsid w:val="2C5917C3"/>
    <w:multiLevelType w:val="multilevel"/>
    <w:tmpl w:val="2C5917C3"/>
    <w:lvl w:ilvl="0" w:tentative="0">
      <w:start w:val="1"/>
      <w:numFmt w:val="none"/>
      <w:pStyle w:val="78"/>
      <w:suff w:val="nothing"/>
      <w:lvlText w:val="%1——"/>
      <w:lvlJc w:val="left"/>
      <w:pPr>
        <w:ind w:left="833" w:hanging="408"/>
      </w:pPr>
      <w:rPr>
        <w:rFonts w:hint="eastAsia" w:cs="Times New Roman"/>
      </w:rPr>
    </w:lvl>
    <w:lvl w:ilvl="1" w:tentative="0">
      <w:start w:val="1"/>
      <w:numFmt w:val="bullet"/>
      <w:pStyle w:val="145"/>
      <w:lvlText w:val=""/>
      <w:lvlJc w:val="left"/>
      <w:pPr>
        <w:tabs>
          <w:tab w:val="left" w:pos="760"/>
        </w:tabs>
        <w:ind w:left="1264" w:hanging="413"/>
      </w:pPr>
      <w:rPr>
        <w:rFonts w:hint="default" w:ascii="Symbol" w:hAnsi="Symbol"/>
        <w:color w:val="auto"/>
      </w:rPr>
    </w:lvl>
    <w:lvl w:ilvl="2" w:tentative="0">
      <w:start w:val="1"/>
      <w:numFmt w:val="bullet"/>
      <w:pStyle w:val="129"/>
      <w:lvlText w:val=""/>
      <w:lvlJc w:val="left"/>
      <w:pPr>
        <w:tabs>
          <w:tab w:val="left" w:pos="1678"/>
        </w:tabs>
        <w:ind w:left="1678" w:hanging="414"/>
      </w:pPr>
      <w:rPr>
        <w:rFonts w:hint="default" w:ascii="Symbol" w:hAnsi="Symbol"/>
        <w:color w:val="auto"/>
      </w:rPr>
    </w:lvl>
    <w:lvl w:ilvl="3" w:tentative="0">
      <w:start w:val="1"/>
      <w:numFmt w:val="decimal"/>
      <w:lvlText w:val="%4."/>
      <w:lvlJc w:val="left"/>
      <w:pPr>
        <w:tabs>
          <w:tab w:val="left" w:pos="2071"/>
        </w:tabs>
        <w:ind w:left="1884" w:hanging="528"/>
      </w:pPr>
      <w:rPr>
        <w:rFonts w:hint="eastAsia"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383"/>
        </w:tabs>
        <w:ind w:left="2196" w:hanging="528"/>
      </w:pPr>
      <w:rPr>
        <w:rFonts w:hint="eastAsia"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695"/>
        </w:tabs>
        <w:ind w:left="2508" w:hanging="528"/>
      </w:pPr>
      <w:rPr>
        <w:rFonts w:hint="eastAsia"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3007"/>
        </w:tabs>
        <w:ind w:left="2820" w:hanging="528"/>
      </w:pPr>
      <w:rPr>
        <w:rFonts w:hint="eastAsia"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319"/>
        </w:tabs>
        <w:ind w:left="3132" w:hanging="528"/>
      </w:pPr>
      <w:rPr>
        <w:rFonts w:hint="eastAsia"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3631"/>
        </w:tabs>
        <w:ind w:left="3444" w:hanging="528"/>
      </w:pPr>
      <w:rPr>
        <w:rFonts w:hint="eastAsia" w:cs="Times New Roman"/>
      </w:rPr>
    </w:lvl>
  </w:abstractNum>
  <w:abstractNum w:abstractNumId="8">
    <w:nsid w:val="3D733618"/>
    <w:multiLevelType w:val="multilevel"/>
    <w:tmpl w:val="3D733618"/>
    <w:lvl w:ilvl="0" w:tentative="0">
      <w:start w:val="1"/>
      <w:numFmt w:val="decimal"/>
      <w:pStyle w:val="19"/>
      <w:lvlText w:val="%1)"/>
      <w:lvlJc w:val="left"/>
      <w:pPr>
        <w:tabs>
          <w:tab w:val="left" w:pos="0"/>
        </w:tabs>
        <w:ind w:left="720" w:hanging="357"/>
      </w:pPr>
      <w:rPr>
        <w:rFonts w:hint="eastAsia" w:cs="Times New Roman"/>
      </w:rPr>
    </w:lvl>
    <w:lvl w:ilvl="1" w:tentative="0">
      <w:start w:val="1"/>
      <w:numFmt w:val="lowerLetter"/>
      <w:lvlText w:val="%2)"/>
      <w:lvlJc w:val="left"/>
      <w:pPr>
        <w:tabs>
          <w:tab w:val="left" w:pos="504"/>
        </w:tabs>
        <w:ind w:left="544" w:hanging="544"/>
      </w:pPr>
      <w:rPr>
        <w:rFonts w:hint="eastAsia"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532"/>
        </w:tabs>
        <w:ind w:left="544" w:hanging="544"/>
      </w:pPr>
      <w:rPr>
        <w:rFonts w:hint="eastAsia"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560"/>
        </w:tabs>
        <w:ind w:left="544" w:hanging="544"/>
      </w:pPr>
      <w:rPr>
        <w:rFonts w:hint="eastAsia"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588"/>
        </w:tabs>
        <w:ind w:left="544" w:hanging="544"/>
      </w:pPr>
      <w:rPr>
        <w:rFonts w:hint="eastAsia"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616"/>
        </w:tabs>
        <w:ind w:left="544" w:hanging="544"/>
      </w:pPr>
      <w:rPr>
        <w:rFonts w:hint="eastAsia"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644"/>
        </w:tabs>
        <w:ind w:left="544" w:hanging="544"/>
      </w:pPr>
      <w:rPr>
        <w:rFonts w:hint="eastAsia"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672"/>
        </w:tabs>
        <w:ind w:left="544" w:hanging="544"/>
      </w:pPr>
      <w:rPr>
        <w:rFonts w:hint="eastAsia"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700"/>
        </w:tabs>
        <w:ind w:left="544" w:hanging="544"/>
      </w:pPr>
      <w:rPr>
        <w:rFonts w:hint="eastAsia" w:cs="Times New Roman"/>
      </w:rPr>
    </w:lvl>
  </w:abstractNum>
  <w:abstractNum w:abstractNumId="9">
    <w:nsid w:val="44C50F90"/>
    <w:multiLevelType w:val="multilevel"/>
    <w:tmpl w:val="44C50F90"/>
    <w:lvl w:ilvl="0" w:tentative="0">
      <w:start w:val="1"/>
      <w:numFmt w:val="lowerLetter"/>
      <w:pStyle w:val="125"/>
      <w:lvlText w:val="%1)"/>
      <w:lvlJc w:val="left"/>
      <w:pPr>
        <w:tabs>
          <w:tab w:val="left" w:pos="840"/>
        </w:tabs>
        <w:ind w:left="839" w:hanging="419"/>
      </w:pPr>
      <w:rPr>
        <w:rFonts w:hint="eastAsia" w:ascii="宋体" w:eastAsia="宋体" w:cs="Times New Roman"/>
        <w:b w:val="0"/>
        <w:i w:val="0"/>
        <w:sz w:val="21"/>
        <w:szCs w:val="21"/>
      </w:rPr>
    </w:lvl>
    <w:lvl w:ilvl="1" w:tentative="0">
      <w:start w:val="1"/>
      <w:numFmt w:val="decimal"/>
      <w:pStyle w:val="122"/>
      <w:lvlText w:val="%2)"/>
      <w:lvlJc w:val="left"/>
      <w:pPr>
        <w:tabs>
          <w:tab w:val="left" w:pos="1260"/>
        </w:tabs>
        <w:ind w:left="1259" w:hanging="419"/>
      </w:pPr>
      <w:rPr>
        <w:rFonts w:hint="eastAsia" w:cs="Times New Roman"/>
      </w:rPr>
    </w:lvl>
    <w:lvl w:ilvl="2" w:tentative="0">
      <w:start w:val="1"/>
      <w:numFmt w:val="decimal"/>
      <w:pStyle w:val="138"/>
      <w:lvlText w:val="(%3)"/>
      <w:lvlJc w:val="left"/>
      <w:pPr>
        <w:tabs>
          <w:tab w:val="left" w:pos="0"/>
        </w:tabs>
        <w:ind w:left="1679" w:hanging="420"/>
      </w:pPr>
      <w:rPr>
        <w:rFonts w:hint="eastAsia" w:ascii="宋体" w:eastAsia="宋体" w:cs="Times New Roman"/>
        <w:b w:val="0"/>
        <w:i w:val="0"/>
        <w:sz w:val="21"/>
        <w:szCs w:val="21"/>
      </w:rPr>
    </w:lvl>
    <w:lvl w:ilvl="3" w:tentative="0">
      <w:start w:val="1"/>
      <w:numFmt w:val="decimal"/>
      <w:lvlText w:val="%4."/>
      <w:lvlJc w:val="left"/>
      <w:pPr>
        <w:tabs>
          <w:tab w:val="left" w:pos="2100"/>
        </w:tabs>
        <w:ind w:left="2099" w:hanging="419"/>
      </w:pPr>
      <w:rPr>
        <w:rFonts w:hint="eastAsia"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520"/>
        </w:tabs>
        <w:ind w:left="2519" w:hanging="419"/>
      </w:pPr>
      <w:rPr>
        <w:rFonts w:hint="eastAsia"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940"/>
        </w:tabs>
        <w:ind w:left="2939" w:hanging="419"/>
      </w:pPr>
      <w:rPr>
        <w:rFonts w:hint="eastAsia"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59" w:hanging="419"/>
      </w:pPr>
      <w:rPr>
        <w:rFonts w:hint="eastAsia"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780"/>
        </w:tabs>
        <w:ind w:left="3779" w:hanging="419"/>
      </w:pPr>
      <w:rPr>
        <w:rFonts w:hint="eastAsia"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4200"/>
        </w:tabs>
        <w:ind w:left="4199" w:hanging="419"/>
      </w:pPr>
      <w:rPr>
        <w:rFonts w:hint="eastAsia" w:cs="Times New Roman"/>
      </w:rPr>
    </w:lvl>
  </w:abstractNum>
  <w:abstractNum w:abstractNumId="10">
    <w:nsid w:val="4B733A5F"/>
    <w:multiLevelType w:val="multilevel"/>
    <w:tmpl w:val="4B733A5F"/>
    <w:lvl w:ilvl="0" w:tentative="0">
      <w:start w:val="1"/>
      <w:numFmt w:val="decimal"/>
      <w:pStyle w:val="119"/>
      <w:suff w:val="nothing"/>
      <w:lvlText w:val="示例%1："/>
      <w:lvlJc w:val="left"/>
      <w:pPr>
        <w:ind w:firstLine="363"/>
      </w:pPr>
      <w:rPr>
        <w:rFonts w:hint="eastAsia" w:ascii="黑体" w:hAnsi="Times New Roman" w:eastAsia="黑体" w:cs="Times New Roman"/>
        <w:b w:val="0"/>
        <w:i w:val="0"/>
        <w:sz w:val="18"/>
        <w:szCs w:val="18"/>
        <w:vertAlign w:val="baseline"/>
      </w:rPr>
    </w:lvl>
    <w:lvl w:ilvl="1" w:tentative="0">
      <w:start w:val="1"/>
      <w:numFmt w:val="none"/>
      <w:suff w:val="space"/>
      <w:lvlText w:val=""/>
      <w:lvlJc w:val="left"/>
      <w:rPr>
        <w:rFonts w:hint="eastAsia" w:cs="Times New Roman"/>
        <w:vertAlign w:val="baseline"/>
      </w:rPr>
    </w:lvl>
    <w:lvl w:ilvl="2" w:tentative="0">
      <w:start w:val="1"/>
      <w:numFmt w:val="decimal"/>
      <w:suff w:val="space"/>
      <w:lvlText w:val="2.2.%3"/>
      <w:lvlJc w:val="left"/>
      <w:rPr>
        <w:rFonts w:hint="eastAsia" w:cs="Times New Roman"/>
        <w:vertAlign w:val="baseline"/>
      </w:rPr>
    </w:lvl>
    <w:lvl w:ilvl="3" w:tentative="0">
      <w:start w:val="1"/>
      <w:numFmt w:val="decimal"/>
      <w:lvlText w:val="%4."/>
      <w:lvlJc w:val="left"/>
      <w:pPr>
        <w:tabs>
          <w:tab w:val="left" w:pos="0"/>
        </w:tabs>
        <w:ind w:left="992" w:hanging="629"/>
      </w:pPr>
      <w:rPr>
        <w:rFonts w:hint="eastAsia" w:cs="Times New Roman"/>
        <w:vertAlign w:val="baseline"/>
      </w:rPr>
    </w:lvl>
    <w:lvl w:ilvl="4" w:tentative="0">
      <w:start w:val="1"/>
      <w:numFmt w:val="lowerLetter"/>
      <w:lvlText w:val="%5)"/>
      <w:lvlJc w:val="left"/>
      <w:pPr>
        <w:tabs>
          <w:tab w:val="left" w:pos="0"/>
        </w:tabs>
        <w:ind w:left="992" w:hanging="629"/>
      </w:pPr>
      <w:rPr>
        <w:rFonts w:hint="eastAsia" w:cs="Times New Roman"/>
        <w:vertAlign w:val="baseline"/>
      </w:rPr>
    </w:lvl>
    <w:lvl w:ilvl="5" w:tentative="0">
      <w:start w:val="1"/>
      <w:numFmt w:val="lowerRoman"/>
      <w:lvlText w:val="%6."/>
      <w:lvlJc w:val="right"/>
      <w:pPr>
        <w:tabs>
          <w:tab w:val="left" w:pos="0"/>
        </w:tabs>
        <w:ind w:left="992" w:hanging="629"/>
      </w:pPr>
      <w:rPr>
        <w:rFonts w:hint="eastAsia" w:cs="Times New Roman"/>
        <w:vertAlign w:val="baseline"/>
      </w:rPr>
    </w:lvl>
    <w:lvl w:ilvl="6" w:tentative="0">
      <w:start w:val="1"/>
      <w:numFmt w:val="decimal"/>
      <w:lvlText w:val="%7."/>
      <w:lvlJc w:val="left"/>
      <w:pPr>
        <w:tabs>
          <w:tab w:val="left" w:pos="0"/>
        </w:tabs>
        <w:ind w:left="992" w:hanging="629"/>
      </w:pPr>
      <w:rPr>
        <w:rFonts w:hint="eastAsia" w:cs="Times New Roman"/>
        <w:vertAlign w:val="baseline"/>
      </w:rPr>
    </w:lvl>
    <w:lvl w:ilvl="7" w:tentative="0">
      <w:start w:val="1"/>
      <w:numFmt w:val="lowerLetter"/>
      <w:lvlText w:val="%8)"/>
      <w:lvlJc w:val="left"/>
      <w:pPr>
        <w:tabs>
          <w:tab w:val="left" w:pos="0"/>
        </w:tabs>
        <w:ind w:left="992" w:hanging="629"/>
      </w:pPr>
      <w:rPr>
        <w:rFonts w:hint="eastAsia" w:cs="Times New Roman"/>
        <w:vertAlign w:val="baseline"/>
      </w:rPr>
    </w:lvl>
    <w:lvl w:ilvl="8" w:tentative="0">
      <w:start w:val="1"/>
      <w:numFmt w:val="lowerRoman"/>
      <w:lvlText w:val="%9."/>
      <w:lvlJc w:val="right"/>
      <w:pPr>
        <w:tabs>
          <w:tab w:val="left" w:pos="0"/>
        </w:tabs>
        <w:ind w:left="992" w:hanging="629"/>
      </w:pPr>
      <w:rPr>
        <w:rFonts w:hint="eastAsia" w:cs="Times New Roman"/>
        <w:vertAlign w:val="baseline"/>
      </w:rPr>
    </w:lvl>
  </w:abstractNum>
  <w:abstractNum w:abstractNumId="11">
    <w:nsid w:val="50616D8B"/>
    <w:multiLevelType w:val="multilevel"/>
    <w:tmpl w:val="50616D8B"/>
    <w:lvl w:ilvl="0" w:tentative="0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2">
    <w:nsid w:val="557C2AF5"/>
    <w:multiLevelType w:val="multilevel"/>
    <w:tmpl w:val="557C2AF5"/>
    <w:lvl w:ilvl="0" w:tentative="0">
      <w:start w:val="1"/>
      <w:numFmt w:val="decimal"/>
      <w:pStyle w:val="112"/>
      <w:suff w:val="nothing"/>
      <w:lvlText w:val="图%1　"/>
      <w:lvlJc w:val="left"/>
      <w:rPr>
        <w:rFonts w:hint="eastAsia" w:ascii="黑体" w:hAnsi="Times New Roman" w:eastAsia="黑体" w:cs="Times New Roman"/>
        <w:b w:val="0"/>
        <w:i w:val="0"/>
        <w:sz w:val="21"/>
      </w:rPr>
    </w:lvl>
    <w:lvl w:ilvl="1" w:tentative="0">
      <w:start w:val="1"/>
      <w:numFmt w:val="decimal"/>
      <w:suff w:val="nothing"/>
      <w:lvlText w:val="%1%2　"/>
      <w:lvlJc w:val="left"/>
      <w:rPr>
        <w:rFonts w:hint="default" w:ascii="Times New Roman" w:hAnsi="Times New Roman" w:eastAsia="黑体" w:cs="Times New Roman"/>
        <w:b w:val="0"/>
        <w:i w:val="0"/>
        <w:sz w:val="21"/>
      </w:rPr>
    </w:lvl>
    <w:lvl w:ilvl="2" w:tentative="0">
      <w:start w:val="1"/>
      <w:numFmt w:val="decimal"/>
      <w:suff w:val="nothing"/>
      <w:lvlText w:val="%1%2.%3　"/>
      <w:lvlJc w:val="left"/>
      <w:rPr>
        <w:rFonts w:hint="default" w:ascii="Times New Roman" w:hAnsi="Times New Roman" w:eastAsia="黑体" w:cs="Times New Roman"/>
        <w:b w:val="0"/>
        <w:i w:val="0"/>
        <w:sz w:val="21"/>
      </w:rPr>
    </w:lvl>
    <w:lvl w:ilvl="3" w:tentative="0">
      <w:start w:val="1"/>
      <w:numFmt w:val="decimal"/>
      <w:suff w:val="nothing"/>
      <w:lvlText w:val="%1%2.%3.%4　"/>
      <w:lvlJc w:val="left"/>
      <w:rPr>
        <w:rFonts w:hint="default" w:ascii="Times New Roman" w:hAnsi="Times New Roman" w:eastAsia="黑体" w:cs="Times New Roman"/>
        <w:b w:val="0"/>
        <w:i w:val="0"/>
        <w:sz w:val="21"/>
      </w:rPr>
    </w:lvl>
    <w:lvl w:ilvl="4" w:tentative="0">
      <w:start w:val="1"/>
      <w:numFmt w:val="decimal"/>
      <w:suff w:val="nothing"/>
      <w:lvlText w:val="%1%2.%3.%4.%5　"/>
      <w:lvlJc w:val="left"/>
      <w:rPr>
        <w:rFonts w:hint="default" w:ascii="Times New Roman" w:hAnsi="Times New Roman" w:eastAsia="黑体" w:cs="Times New Roman"/>
        <w:b w:val="0"/>
        <w:i w:val="0"/>
        <w:sz w:val="21"/>
      </w:rPr>
    </w:lvl>
    <w:lvl w:ilvl="5" w:tentative="0">
      <w:start w:val="1"/>
      <w:numFmt w:val="decimal"/>
      <w:suff w:val="nothing"/>
      <w:lvlText w:val="%1%2.%3.%4.%5.%6　"/>
      <w:lvlJc w:val="left"/>
      <w:rPr>
        <w:rFonts w:hint="default" w:ascii="Times New Roman" w:hAnsi="Times New Roman" w:eastAsia="黑体" w:cs="Times New Roman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rPr>
        <w:rFonts w:hint="default" w:ascii="Times New Roman" w:hAnsi="Times New Roman" w:eastAsia="黑体" w:cs="Times New Roman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 w:cs="Times New Roman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 w:cs="Times New Roman"/>
      </w:rPr>
    </w:lvl>
  </w:abstractNum>
  <w:abstractNum w:abstractNumId="13">
    <w:nsid w:val="60B55DC2"/>
    <w:multiLevelType w:val="multilevel"/>
    <w:tmpl w:val="60B55DC2"/>
    <w:lvl w:ilvl="0" w:tentative="0">
      <w:start w:val="1"/>
      <w:numFmt w:val="upperLetter"/>
      <w:pStyle w:val="150"/>
      <w:lvlText w:val="%1"/>
      <w:lvlJc w:val="left"/>
      <w:pPr>
        <w:tabs>
          <w:tab w:val="left" w:pos="0"/>
        </w:tabs>
        <w:ind w:hanging="425"/>
      </w:pPr>
      <w:rPr>
        <w:rFonts w:hint="eastAsia" w:cs="Times New Roman"/>
      </w:rPr>
    </w:lvl>
    <w:lvl w:ilvl="1" w:tentative="0">
      <w:start w:val="1"/>
      <w:numFmt w:val="decimal"/>
      <w:pStyle w:val="137"/>
      <w:suff w:val="nothing"/>
      <w:lvlText w:val="表%1.%2　"/>
      <w:lvlJc w:val="left"/>
      <w:pPr>
        <w:ind w:left="567" w:hanging="567"/>
      </w:pPr>
      <w:rPr>
        <w:rFonts w:hint="eastAsia" w:cs="Times New Roman"/>
      </w:rPr>
    </w:lvl>
    <w:lvl w:ilvl="2" w:tentative="0">
      <w:start w:val="1"/>
      <w:numFmt w:val="decimal"/>
      <w:lvlText w:val="%1.%2.%3"/>
      <w:lvlJc w:val="left"/>
      <w:pPr>
        <w:tabs>
          <w:tab w:val="left" w:pos="993"/>
        </w:tabs>
        <w:ind w:left="993" w:hanging="567"/>
      </w:pPr>
      <w:rPr>
        <w:rFonts w:hint="eastAsia" w:cs="Times New Roman"/>
      </w:rPr>
    </w:lvl>
    <w:lvl w:ilvl="3" w:tentative="0">
      <w:start w:val="1"/>
      <w:numFmt w:val="decimal"/>
      <w:lvlText w:val="%1.%2.%3.%4"/>
      <w:lvlJc w:val="left"/>
      <w:pPr>
        <w:tabs>
          <w:tab w:val="left" w:pos="2291"/>
        </w:tabs>
        <w:ind w:left="1559" w:hanging="708"/>
      </w:pPr>
      <w:rPr>
        <w:rFonts w:hint="eastAsia" w:cs="Times New Roman"/>
      </w:rPr>
    </w:lvl>
    <w:lvl w:ilvl="4" w:tentative="0">
      <w:start w:val="1"/>
      <w:numFmt w:val="decimal"/>
      <w:lvlText w:val="%1.%2.%3.%4.%5"/>
      <w:lvlJc w:val="left"/>
      <w:pPr>
        <w:tabs>
          <w:tab w:val="left" w:pos="3076"/>
        </w:tabs>
        <w:ind w:left="2126" w:hanging="850"/>
      </w:pPr>
      <w:rPr>
        <w:rFonts w:hint="eastAsia" w:cs="Times New Roman"/>
      </w:rPr>
    </w:lvl>
    <w:lvl w:ilvl="5" w:tentative="0">
      <w:start w:val="1"/>
      <w:numFmt w:val="decimal"/>
      <w:lvlText w:val="%1.%2.%3.%4.%5.%6"/>
      <w:lvlJc w:val="left"/>
      <w:pPr>
        <w:tabs>
          <w:tab w:val="left" w:pos="3861"/>
        </w:tabs>
        <w:ind w:left="2835" w:hanging="1134"/>
      </w:pPr>
      <w:rPr>
        <w:rFonts w:hint="eastAsia" w:cs="Times New Roman"/>
      </w:rPr>
    </w:lvl>
    <w:lvl w:ilvl="6" w:tentative="0">
      <w:start w:val="1"/>
      <w:numFmt w:val="decimal"/>
      <w:lvlText w:val="%1.%2.%3.%4.%5.%6.%7"/>
      <w:lvlJc w:val="left"/>
      <w:pPr>
        <w:tabs>
          <w:tab w:val="left" w:pos="4646"/>
        </w:tabs>
        <w:ind w:left="3402" w:hanging="1276"/>
      </w:pPr>
      <w:rPr>
        <w:rFonts w:hint="eastAsia" w:cs="Times New Roman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5431"/>
        </w:tabs>
        <w:ind w:left="3969" w:hanging="1418"/>
      </w:pPr>
      <w:rPr>
        <w:rFonts w:hint="eastAsia" w:cs="Times New Roman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6217"/>
        </w:tabs>
        <w:ind w:left="4677" w:hanging="1700"/>
      </w:pPr>
      <w:rPr>
        <w:rFonts w:hint="eastAsia" w:cs="Times New Roman"/>
      </w:rPr>
    </w:lvl>
  </w:abstractNum>
  <w:abstractNum w:abstractNumId="14">
    <w:nsid w:val="646260FA"/>
    <w:multiLevelType w:val="multilevel"/>
    <w:tmpl w:val="646260FA"/>
    <w:lvl w:ilvl="0" w:tentative="0">
      <w:start w:val="1"/>
      <w:numFmt w:val="decimal"/>
      <w:pStyle w:val="100"/>
      <w:suff w:val="nothing"/>
      <w:lvlText w:val="表%1　"/>
      <w:lvlJc w:val="left"/>
      <w:rPr>
        <w:rFonts w:hint="eastAsia" w:ascii="黑体" w:hAnsi="Times New Roman" w:eastAsia="黑体" w:cs="Times New Roman"/>
        <w:b w:val="0"/>
        <w:i w:val="0"/>
        <w:sz w:val="21"/>
      </w:rPr>
    </w:lvl>
    <w:lvl w:ilvl="1" w:tentative="0">
      <w:start w:val="1"/>
      <w:numFmt w:val="decimal"/>
      <w:lvlText w:val="%1.%2"/>
      <w:lvlJc w:val="left"/>
      <w:pPr>
        <w:tabs>
          <w:tab w:val="left" w:pos="992"/>
        </w:tabs>
        <w:ind w:left="992" w:hanging="567"/>
      </w:pPr>
      <w:rPr>
        <w:rFonts w:hint="eastAsia" w:cs="Times New Roman"/>
      </w:rPr>
    </w:lvl>
    <w:lvl w:ilvl="2" w:tentative="0">
      <w:start w:val="1"/>
      <w:numFmt w:val="decimal"/>
      <w:lvlText w:val="%1.%2.%3"/>
      <w:lvlJc w:val="left"/>
      <w:pPr>
        <w:tabs>
          <w:tab w:val="left" w:pos="1418"/>
        </w:tabs>
        <w:ind w:left="1418" w:hanging="567"/>
      </w:pPr>
      <w:rPr>
        <w:rFonts w:hint="eastAsia" w:cs="Times New Roman"/>
      </w:rPr>
    </w:lvl>
    <w:lvl w:ilvl="3" w:tentative="0">
      <w:start w:val="1"/>
      <w:numFmt w:val="decimal"/>
      <w:lvlText w:val="%1.%2.%3.%4"/>
      <w:lvlJc w:val="left"/>
      <w:pPr>
        <w:tabs>
          <w:tab w:val="left" w:pos="1984"/>
        </w:tabs>
        <w:ind w:left="1984" w:hanging="708"/>
      </w:pPr>
      <w:rPr>
        <w:rFonts w:hint="eastAsia" w:cs="Times New Roman"/>
      </w:rPr>
    </w:lvl>
    <w:lvl w:ilvl="4" w:tentative="0">
      <w:start w:val="1"/>
      <w:numFmt w:val="decimal"/>
      <w:lvlText w:val="%1.%2.%3.%4.%5"/>
      <w:lvlJc w:val="left"/>
      <w:pPr>
        <w:tabs>
          <w:tab w:val="left" w:pos="2551"/>
        </w:tabs>
        <w:ind w:left="2551" w:hanging="850"/>
      </w:pPr>
      <w:rPr>
        <w:rFonts w:hint="eastAsia" w:cs="Times New Roman"/>
      </w:rPr>
    </w:lvl>
    <w:lvl w:ilvl="5" w:tentative="0">
      <w:start w:val="1"/>
      <w:numFmt w:val="decimal"/>
      <w:lvlText w:val="%1.%2.%3.%4.%5.%6"/>
      <w:lvlJc w:val="left"/>
      <w:pPr>
        <w:tabs>
          <w:tab w:val="left" w:pos="3260"/>
        </w:tabs>
        <w:ind w:left="3260" w:hanging="1134"/>
      </w:pPr>
      <w:rPr>
        <w:rFonts w:hint="eastAsia" w:cs="Times New Roman"/>
      </w:rPr>
    </w:lvl>
    <w:lvl w:ilvl="6" w:tentative="0">
      <w:start w:val="1"/>
      <w:numFmt w:val="decimal"/>
      <w:lvlText w:val="%1.%2.%3.%4.%5.%6.%7"/>
      <w:lvlJc w:val="left"/>
      <w:pPr>
        <w:tabs>
          <w:tab w:val="left" w:pos="3827"/>
        </w:tabs>
        <w:ind w:left="3827" w:hanging="1276"/>
      </w:pPr>
      <w:rPr>
        <w:rFonts w:hint="eastAsia" w:cs="Times New Roman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 w:cs="Times New Roman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 w:cs="Times New Roman"/>
      </w:rPr>
    </w:lvl>
  </w:abstractNum>
  <w:abstractNum w:abstractNumId="15">
    <w:nsid w:val="657D3FBC"/>
    <w:multiLevelType w:val="multilevel"/>
    <w:tmpl w:val="657D3FBC"/>
    <w:lvl w:ilvl="0" w:tentative="0">
      <w:start w:val="1"/>
      <w:numFmt w:val="upperLetter"/>
      <w:pStyle w:val="86"/>
      <w:suff w:val="nothing"/>
      <w:lvlText w:val="附　录　%1"/>
      <w:lvlJc w:val="left"/>
      <w:rPr>
        <w:rFonts w:hint="eastAsia" w:ascii="黑体" w:hAnsi="Times New Roman" w:eastAsia="黑体" w:cs="Times New Roman"/>
        <w:b w:val="0"/>
        <w:i w:val="0"/>
        <w:spacing w:val="0"/>
        <w:w w:val="100"/>
        <w:sz w:val="21"/>
      </w:rPr>
    </w:lvl>
    <w:lvl w:ilvl="1" w:tentative="0">
      <w:start w:val="1"/>
      <w:numFmt w:val="decimal"/>
      <w:pStyle w:val="72"/>
      <w:suff w:val="nothing"/>
      <w:lvlText w:val="%1.%2　"/>
      <w:lvlJc w:val="left"/>
      <w:rPr>
        <w:rFonts w:hint="eastAsia" w:ascii="黑体" w:hAnsi="Times New Roman" w:eastAsia="黑体" w:cs="Times New Roman"/>
        <w:b w:val="0"/>
        <w:i w:val="0"/>
        <w:snapToGrid/>
        <w:spacing w:val="0"/>
        <w:w w:val="100"/>
        <w:kern w:val="21"/>
        <w:sz w:val="21"/>
      </w:rPr>
    </w:lvl>
    <w:lvl w:ilvl="2" w:tentative="0">
      <w:start w:val="1"/>
      <w:numFmt w:val="decimal"/>
      <w:pStyle w:val="71"/>
      <w:suff w:val="nothing"/>
      <w:lvlText w:val="%1.%2.%3　"/>
      <w:lvlJc w:val="left"/>
      <w:rPr>
        <w:rFonts w:hint="eastAsia" w:ascii="黑体" w:hAnsi="Times New Roman" w:eastAsia="黑体" w:cs="Times New Roman"/>
        <w:b w:val="0"/>
        <w:i w:val="0"/>
        <w:sz w:val="21"/>
      </w:rPr>
    </w:lvl>
    <w:lvl w:ilvl="3" w:tentative="0">
      <w:start w:val="1"/>
      <w:numFmt w:val="decimal"/>
      <w:pStyle w:val="77"/>
      <w:suff w:val="nothing"/>
      <w:lvlText w:val="%1.%2.%3.%4　"/>
      <w:lvlJc w:val="left"/>
      <w:rPr>
        <w:rFonts w:hint="eastAsia" w:ascii="黑体" w:hAnsi="Times New Roman" w:eastAsia="黑体" w:cs="Times New Roman"/>
        <w:b w:val="0"/>
        <w:i w:val="0"/>
        <w:sz w:val="21"/>
      </w:rPr>
    </w:lvl>
    <w:lvl w:ilvl="4" w:tentative="0">
      <w:start w:val="1"/>
      <w:numFmt w:val="decimal"/>
      <w:pStyle w:val="76"/>
      <w:suff w:val="nothing"/>
      <w:lvlText w:val="%1.%2.%3.%4.%5　"/>
      <w:lvlJc w:val="left"/>
      <w:rPr>
        <w:rFonts w:hint="eastAsia" w:ascii="黑体" w:hAnsi="Times New Roman" w:eastAsia="黑体" w:cs="Times New Roman"/>
        <w:b w:val="0"/>
        <w:i w:val="0"/>
        <w:sz w:val="21"/>
      </w:rPr>
    </w:lvl>
    <w:lvl w:ilvl="5" w:tentative="0">
      <w:start w:val="1"/>
      <w:numFmt w:val="decimal"/>
      <w:pStyle w:val="75"/>
      <w:suff w:val="nothing"/>
      <w:lvlText w:val="%1.%2.%3.%4.%5.%6　"/>
      <w:lvlJc w:val="left"/>
      <w:rPr>
        <w:rFonts w:hint="eastAsia" w:ascii="黑体" w:hAnsi="Times New Roman" w:eastAsia="黑体" w:cs="Times New Roman"/>
        <w:b w:val="0"/>
        <w:i w:val="0"/>
        <w:sz w:val="21"/>
      </w:rPr>
    </w:lvl>
    <w:lvl w:ilvl="6" w:tentative="0">
      <w:start w:val="1"/>
      <w:numFmt w:val="decimal"/>
      <w:pStyle w:val="82"/>
      <w:suff w:val="nothing"/>
      <w:lvlText w:val="%1.%2.%3.%4.%5.%6.%7　"/>
      <w:lvlJc w:val="left"/>
      <w:rPr>
        <w:rFonts w:hint="eastAsia" w:ascii="黑体" w:hAnsi="Times New Roman" w:eastAsia="黑体" w:cs="Times New Roman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 w:cs="Times New Roman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 w:cs="Times New Roman"/>
      </w:rPr>
    </w:lvl>
  </w:abstractNum>
  <w:abstractNum w:abstractNumId="16">
    <w:nsid w:val="6D6C07CD"/>
    <w:multiLevelType w:val="multilevel"/>
    <w:tmpl w:val="6D6C07CD"/>
    <w:lvl w:ilvl="0" w:tentative="0">
      <w:start w:val="1"/>
      <w:numFmt w:val="lowerLetter"/>
      <w:pStyle w:val="136"/>
      <w:lvlText w:val="%1)"/>
      <w:lvlJc w:val="left"/>
      <w:pPr>
        <w:tabs>
          <w:tab w:val="left" w:pos="839"/>
        </w:tabs>
        <w:ind w:left="839" w:hanging="419"/>
      </w:pPr>
      <w:rPr>
        <w:rFonts w:hint="eastAsia" w:ascii="宋体" w:eastAsia="宋体" w:cs="Times New Roman"/>
        <w:b w:val="0"/>
        <w:i w:val="0"/>
        <w:sz w:val="21"/>
      </w:rPr>
    </w:lvl>
    <w:lvl w:ilvl="1" w:tentative="0">
      <w:start w:val="1"/>
      <w:numFmt w:val="decimal"/>
      <w:pStyle w:val="95"/>
      <w:lvlText w:val="%2)"/>
      <w:lvlJc w:val="left"/>
      <w:pPr>
        <w:tabs>
          <w:tab w:val="left" w:pos="840"/>
        </w:tabs>
        <w:ind w:left="839" w:hanging="419"/>
      </w:pPr>
      <w:rPr>
        <w:rFonts w:hint="eastAsia" w:ascii="宋体" w:eastAsia="宋体" w:cs="Times New Roman"/>
        <w:b w:val="0"/>
        <w:i w:val="0"/>
        <w:sz w:val="21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59" w:hanging="419"/>
      </w:pPr>
      <w:rPr>
        <w:rFonts w:hint="eastAsia"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79" w:hanging="419"/>
      </w:pPr>
      <w:rPr>
        <w:rFonts w:hint="eastAsia"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099" w:hanging="419"/>
      </w:pPr>
      <w:rPr>
        <w:rFonts w:hint="eastAsia"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19" w:hanging="419"/>
      </w:pPr>
      <w:rPr>
        <w:rFonts w:hint="eastAsia"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39" w:hanging="419"/>
      </w:pPr>
      <w:rPr>
        <w:rFonts w:hint="eastAsia"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59" w:hanging="419"/>
      </w:pPr>
      <w:rPr>
        <w:rFonts w:hint="eastAsia"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79" w:hanging="419"/>
      </w:pPr>
      <w:rPr>
        <w:rFonts w:hint="eastAsia" w:cs="Times New Roman"/>
      </w:rPr>
    </w:lvl>
  </w:abstractNum>
  <w:abstractNum w:abstractNumId="17">
    <w:nsid w:val="6DBF04F4"/>
    <w:multiLevelType w:val="multilevel"/>
    <w:tmpl w:val="6DBF04F4"/>
    <w:lvl w:ilvl="0" w:tentative="0">
      <w:start w:val="1"/>
      <w:numFmt w:val="none"/>
      <w:pStyle w:val="111"/>
      <w:suff w:val="nothing"/>
      <w:lvlText w:val="%1注："/>
      <w:lvlJc w:val="left"/>
      <w:pPr>
        <w:ind w:left="726" w:hanging="363"/>
      </w:pPr>
      <w:rPr>
        <w:rFonts w:hint="eastAsia" w:ascii="黑体" w:hAnsi="Times New Roman" w:eastAsia="黑体" w:cs="Times New Roman"/>
        <w:b w:val="0"/>
        <w:i w:val="0"/>
        <w:sz w:val="18"/>
      </w:rPr>
    </w:lvl>
    <w:lvl w:ilvl="1" w:tentative="0">
      <w:start w:val="1"/>
      <w:numFmt w:val="lowerLetter"/>
      <w:lvlText w:val="%2)"/>
      <w:lvlJc w:val="left"/>
      <w:pPr>
        <w:tabs>
          <w:tab w:val="left" w:pos="1140"/>
        </w:tabs>
        <w:ind w:left="726" w:hanging="363"/>
      </w:pPr>
      <w:rPr>
        <w:rFonts w:hint="eastAsia"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140"/>
        </w:tabs>
        <w:ind w:left="726" w:hanging="363"/>
      </w:pPr>
      <w:rPr>
        <w:rFonts w:hint="eastAsia"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1140"/>
        </w:tabs>
        <w:ind w:left="726" w:hanging="363"/>
      </w:pPr>
      <w:rPr>
        <w:rFonts w:hint="eastAsia"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1140"/>
        </w:tabs>
        <w:ind w:left="726" w:hanging="363"/>
      </w:pPr>
      <w:rPr>
        <w:rFonts w:hint="eastAsia"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1140"/>
        </w:tabs>
        <w:ind w:left="726" w:hanging="363"/>
      </w:pPr>
      <w:rPr>
        <w:rFonts w:hint="eastAsia"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1140"/>
        </w:tabs>
        <w:ind w:left="726" w:hanging="363"/>
      </w:pPr>
      <w:rPr>
        <w:rFonts w:hint="eastAsia"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1140"/>
        </w:tabs>
        <w:ind w:left="726" w:hanging="363"/>
      </w:pPr>
      <w:rPr>
        <w:rFonts w:hint="eastAsia"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1140"/>
        </w:tabs>
        <w:ind w:left="726" w:hanging="363"/>
      </w:pPr>
      <w:rPr>
        <w:rFonts w:hint="eastAsia" w:cs="Times New Roman"/>
      </w:r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15"/>
  </w:num>
  <w:num w:numId="5">
    <w:abstractNumId w:val="7"/>
  </w:num>
  <w:num w:numId="6">
    <w:abstractNumId w:val="6"/>
  </w:num>
  <w:num w:numId="7">
    <w:abstractNumId w:val="16"/>
  </w:num>
  <w:num w:numId="8">
    <w:abstractNumId w:val="14"/>
  </w:num>
  <w:num w:numId="9">
    <w:abstractNumId w:val="3"/>
  </w:num>
  <w:num w:numId="10">
    <w:abstractNumId w:val="17"/>
  </w:num>
  <w:num w:numId="11">
    <w:abstractNumId w:val="12"/>
  </w:num>
  <w:num w:numId="12">
    <w:abstractNumId w:val="10"/>
  </w:num>
  <w:num w:numId="13">
    <w:abstractNumId w:val="9"/>
  </w:num>
  <w:num w:numId="14">
    <w:abstractNumId w:val="0"/>
  </w:num>
  <w:num w:numId="15">
    <w:abstractNumId w:val="13"/>
  </w:num>
  <w:num w:numId="16">
    <w:abstractNumId w:val="4"/>
  </w:num>
  <w:num w:numId="17">
    <w:abstractNumId w:val="2"/>
  </w:num>
  <w:num w:numId="18">
    <w:abstractNumId w:val="11"/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0000244"/>
    <w:rsid w:val="0000185F"/>
    <w:rsid w:val="0000586F"/>
    <w:rsid w:val="00007D81"/>
    <w:rsid w:val="00013D86"/>
    <w:rsid w:val="00013E02"/>
    <w:rsid w:val="0002143C"/>
    <w:rsid w:val="00025A65"/>
    <w:rsid w:val="00026C31"/>
    <w:rsid w:val="00026F4A"/>
    <w:rsid w:val="00027280"/>
    <w:rsid w:val="00031803"/>
    <w:rsid w:val="000320A7"/>
    <w:rsid w:val="00035925"/>
    <w:rsid w:val="00036621"/>
    <w:rsid w:val="00040B15"/>
    <w:rsid w:val="00045561"/>
    <w:rsid w:val="0004726A"/>
    <w:rsid w:val="00047596"/>
    <w:rsid w:val="00047733"/>
    <w:rsid w:val="00050B96"/>
    <w:rsid w:val="0005187B"/>
    <w:rsid w:val="00065009"/>
    <w:rsid w:val="00067CDF"/>
    <w:rsid w:val="00074FBE"/>
    <w:rsid w:val="00083A09"/>
    <w:rsid w:val="000840F0"/>
    <w:rsid w:val="0009005E"/>
    <w:rsid w:val="00092670"/>
    <w:rsid w:val="00092857"/>
    <w:rsid w:val="000A1174"/>
    <w:rsid w:val="000A1D7C"/>
    <w:rsid w:val="000A20A9"/>
    <w:rsid w:val="000A337E"/>
    <w:rsid w:val="000A48B1"/>
    <w:rsid w:val="000A72F2"/>
    <w:rsid w:val="000B014C"/>
    <w:rsid w:val="000B3143"/>
    <w:rsid w:val="000B4E32"/>
    <w:rsid w:val="000C0FAB"/>
    <w:rsid w:val="000C6B05"/>
    <w:rsid w:val="000C6DD6"/>
    <w:rsid w:val="000C73D4"/>
    <w:rsid w:val="000D3D4C"/>
    <w:rsid w:val="000D4F51"/>
    <w:rsid w:val="000D718B"/>
    <w:rsid w:val="000E0C46"/>
    <w:rsid w:val="000F030C"/>
    <w:rsid w:val="000F129C"/>
    <w:rsid w:val="001049B7"/>
    <w:rsid w:val="001056DE"/>
    <w:rsid w:val="001069E8"/>
    <w:rsid w:val="001124C0"/>
    <w:rsid w:val="00117987"/>
    <w:rsid w:val="0013175F"/>
    <w:rsid w:val="00147666"/>
    <w:rsid w:val="001512B4"/>
    <w:rsid w:val="00157980"/>
    <w:rsid w:val="001620A5"/>
    <w:rsid w:val="00164E53"/>
    <w:rsid w:val="0016699D"/>
    <w:rsid w:val="00172A27"/>
    <w:rsid w:val="00175159"/>
    <w:rsid w:val="00176208"/>
    <w:rsid w:val="0018211B"/>
    <w:rsid w:val="001823BE"/>
    <w:rsid w:val="00182CDD"/>
    <w:rsid w:val="001840D3"/>
    <w:rsid w:val="001900F8"/>
    <w:rsid w:val="00191258"/>
    <w:rsid w:val="00192680"/>
    <w:rsid w:val="00193037"/>
    <w:rsid w:val="00193A2C"/>
    <w:rsid w:val="001A288E"/>
    <w:rsid w:val="001B6DC2"/>
    <w:rsid w:val="001C149C"/>
    <w:rsid w:val="001C21AC"/>
    <w:rsid w:val="001C47BA"/>
    <w:rsid w:val="001C4BA7"/>
    <w:rsid w:val="001C59EA"/>
    <w:rsid w:val="001C6DEA"/>
    <w:rsid w:val="001D406C"/>
    <w:rsid w:val="001D41EE"/>
    <w:rsid w:val="001E0380"/>
    <w:rsid w:val="001E13B1"/>
    <w:rsid w:val="001E2ADF"/>
    <w:rsid w:val="001F3A19"/>
    <w:rsid w:val="001F7837"/>
    <w:rsid w:val="00200052"/>
    <w:rsid w:val="00200FBA"/>
    <w:rsid w:val="00201EA8"/>
    <w:rsid w:val="00210015"/>
    <w:rsid w:val="00210FBD"/>
    <w:rsid w:val="002126D2"/>
    <w:rsid w:val="00215BC1"/>
    <w:rsid w:val="0021766A"/>
    <w:rsid w:val="00234467"/>
    <w:rsid w:val="00237D8D"/>
    <w:rsid w:val="00241DA2"/>
    <w:rsid w:val="00247FEE"/>
    <w:rsid w:val="00250E7D"/>
    <w:rsid w:val="002527AA"/>
    <w:rsid w:val="002559C1"/>
    <w:rsid w:val="002565D5"/>
    <w:rsid w:val="002622C0"/>
    <w:rsid w:val="00262E2F"/>
    <w:rsid w:val="0027064E"/>
    <w:rsid w:val="00273B5A"/>
    <w:rsid w:val="002778AE"/>
    <w:rsid w:val="0028269A"/>
    <w:rsid w:val="00283590"/>
    <w:rsid w:val="00286973"/>
    <w:rsid w:val="00293FC2"/>
    <w:rsid w:val="00294E70"/>
    <w:rsid w:val="002A1924"/>
    <w:rsid w:val="002A203D"/>
    <w:rsid w:val="002A7420"/>
    <w:rsid w:val="002B0F12"/>
    <w:rsid w:val="002B1308"/>
    <w:rsid w:val="002B4554"/>
    <w:rsid w:val="002C4BDD"/>
    <w:rsid w:val="002C6063"/>
    <w:rsid w:val="002C6184"/>
    <w:rsid w:val="002C72D8"/>
    <w:rsid w:val="002D11FA"/>
    <w:rsid w:val="002D2B1D"/>
    <w:rsid w:val="002E0DDF"/>
    <w:rsid w:val="002E2906"/>
    <w:rsid w:val="002E5635"/>
    <w:rsid w:val="002E64C3"/>
    <w:rsid w:val="002E6A2C"/>
    <w:rsid w:val="002F1D8C"/>
    <w:rsid w:val="002F21DA"/>
    <w:rsid w:val="003010DD"/>
    <w:rsid w:val="00301F39"/>
    <w:rsid w:val="00305DBA"/>
    <w:rsid w:val="00312AC2"/>
    <w:rsid w:val="003221CA"/>
    <w:rsid w:val="00325926"/>
    <w:rsid w:val="00327A8A"/>
    <w:rsid w:val="00330775"/>
    <w:rsid w:val="00336288"/>
    <w:rsid w:val="00336610"/>
    <w:rsid w:val="0034379A"/>
    <w:rsid w:val="00343F73"/>
    <w:rsid w:val="00345060"/>
    <w:rsid w:val="0035323B"/>
    <w:rsid w:val="003609D2"/>
    <w:rsid w:val="00361729"/>
    <w:rsid w:val="00363F22"/>
    <w:rsid w:val="00363FDE"/>
    <w:rsid w:val="00374C19"/>
    <w:rsid w:val="00375564"/>
    <w:rsid w:val="00377980"/>
    <w:rsid w:val="00383191"/>
    <w:rsid w:val="00386DED"/>
    <w:rsid w:val="003912E7"/>
    <w:rsid w:val="00393947"/>
    <w:rsid w:val="003A2275"/>
    <w:rsid w:val="003A443D"/>
    <w:rsid w:val="003A5925"/>
    <w:rsid w:val="003A6A4F"/>
    <w:rsid w:val="003A7088"/>
    <w:rsid w:val="003A769C"/>
    <w:rsid w:val="003B00DF"/>
    <w:rsid w:val="003B010F"/>
    <w:rsid w:val="003B1275"/>
    <w:rsid w:val="003B1778"/>
    <w:rsid w:val="003C11CB"/>
    <w:rsid w:val="003C75F3"/>
    <w:rsid w:val="003C78A3"/>
    <w:rsid w:val="003D781F"/>
    <w:rsid w:val="003E1867"/>
    <w:rsid w:val="003E5729"/>
    <w:rsid w:val="003E6933"/>
    <w:rsid w:val="003F4EE0"/>
    <w:rsid w:val="00400D43"/>
    <w:rsid w:val="00402153"/>
    <w:rsid w:val="00402FC1"/>
    <w:rsid w:val="00403130"/>
    <w:rsid w:val="00405AAC"/>
    <w:rsid w:val="00417CAD"/>
    <w:rsid w:val="004242B5"/>
    <w:rsid w:val="00425082"/>
    <w:rsid w:val="00431585"/>
    <w:rsid w:val="00431DEB"/>
    <w:rsid w:val="00433C3D"/>
    <w:rsid w:val="0043615C"/>
    <w:rsid w:val="004362A4"/>
    <w:rsid w:val="0043675B"/>
    <w:rsid w:val="00446B29"/>
    <w:rsid w:val="00450E3C"/>
    <w:rsid w:val="00453F9A"/>
    <w:rsid w:val="004570EA"/>
    <w:rsid w:val="004641CF"/>
    <w:rsid w:val="00471906"/>
    <w:rsid w:val="00471E91"/>
    <w:rsid w:val="00472D74"/>
    <w:rsid w:val="004737AE"/>
    <w:rsid w:val="00474675"/>
    <w:rsid w:val="0047470C"/>
    <w:rsid w:val="00485295"/>
    <w:rsid w:val="0049257D"/>
    <w:rsid w:val="00496011"/>
    <w:rsid w:val="004A35F9"/>
    <w:rsid w:val="004A62EE"/>
    <w:rsid w:val="004B24C1"/>
    <w:rsid w:val="004C292F"/>
    <w:rsid w:val="004C658A"/>
    <w:rsid w:val="004C7AA8"/>
    <w:rsid w:val="004D4E18"/>
    <w:rsid w:val="004F1965"/>
    <w:rsid w:val="004F37D8"/>
    <w:rsid w:val="005025DB"/>
    <w:rsid w:val="00510280"/>
    <w:rsid w:val="00511F62"/>
    <w:rsid w:val="00513D73"/>
    <w:rsid w:val="00514A43"/>
    <w:rsid w:val="005174E5"/>
    <w:rsid w:val="00520866"/>
    <w:rsid w:val="00522393"/>
    <w:rsid w:val="00522620"/>
    <w:rsid w:val="005228D7"/>
    <w:rsid w:val="00525656"/>
    <w:rsid w:val="00531924"/>
    <w:rsid w:val="00534C02"/>
    <w:rsid w:val="0054264B"/>
    <w:rsid w:val="00543786"/>
    <w:rsid w:val="005533D7"/>
    <w:rsid w:val="00565E62"/>
    <w:rsid w:val="005703DE"/>
    <w:rsid w:val="00583C4F"/>
    <w:rsid w:val="0058464E"/>
    <w:rsid w:val="005919D4"/>
    <w:rsid w:val="00592475"/>
    <w:rsid w:val="005A01CB"/>
    <w:rsid w:val="005A58FF"/>
    <w:rsid w:val="005A5EAF"/>
    <w:rsid w:val="005A64C0"/>
    <w:rsid w:val="005B3C11"/>
    <w:rsid w:val="005B5C51"/>
    <w:rsid w:val="005B68A2"/>
    <w:rsid w:val="005B6CD5"/>
    <w:rsid w:val="005B6FD5"/>
    <w:rsid w:val="005C1C28"/>
    <w:rsid w:val="005C6DB5"/>
    <w:rsid w:val="005C765E"/>
    <w:rsid w:val="005E19E7"/>
    <w:rsid w:val="005E288C"/>
    <w:rsid w:val="005E5FE8"/>
    <w:rsid w:val="005E68B0"/>
    <w:rsid w:val="005F1815"/>
    <w:rsid w:val="005F1DB5"/>
    <w:rsid w:val="0061716C"/>
    <w:rsid w:val="00623C6C"/>
    <w:rsid w:val="00624011"/>
    <w:rsid w:val="006243A1"/>
    <w:rsid w:val="006272C8"/>
    <w:rsid w:val="006314FC"/>
    <w:rsid w:val="00632E56"/>
    <w:rsid w:val="00635CBA"/>
    <w:rsid w:val="00636E62"/>
    <w:rsid w:val="00640EE5"/>
    <w:rsid w:val="0064338B"/>
    <w:rsid w:val="0064437C"/>
    <w:rsid w:val="00646542"/>
    <w:rsid w:val="006504F4"/>
    <w:rsid w:val="00654BC9"/>
    <w:rsid w:val="006552FD"/>
    <w:rsid w:val="00663AF3"/>
    <w:rsid w:val="00666B6C"/>
    <w:rsid w:val="00674D60"/>
    <w:rsid w:val="00675D3D"/>
    <w:rsid w:val="00682682"/>
    <w:rsid w:val="00682702"/>
    <w:rsid w:val="00690C0E"/>
    <w:rsid w:val="00691267"/>
    <w:rsid w:val="00692368"/>
    <w:rsid w:val="006964CC"/>
    <w:rsid w:val="006A2EBC"/>
    <w:rsid w:val="006A429F"/>
    <w:rsid w:val="006A5EA0"/>
    <w:rsid w:val="006A783B"/>
    <w:rsid w:val="006A7B33"/>
    <w:rsid w:val="006B3477"/>
    <w:rsid w:val="006B4E13"/>
    <w:rsid w:val="006B75DD"/>
    <w:rsid w:val="006C67E0"/>
    <w:rsid w:val="006C7ABA"/>
    <w:rsid w:val="006D0D60"/>
    <w:rsid w:val="006D1122"/>
    <w:rsid w:val="006D12FA"/>
    <w:rsid w:val="006D3C00"/>
    <w:rsid w:val="006E20C9"/>
    <w:rsid w:val="006E3675"/>
    <w:rsid w:val="006E4A7F"/>
    <w:rsid w:val="006E710E"/>
    <w:rsid w:val="006F137A"/>
    <w:rsid w:val="006F48F6"/>
    <w:rsid w:val="006F4C99"/>
    <w:rsid w:val="0070190E"/>
    <w:rsid w:val="00704DF6"/>
    <w:rsid w:val="0070651C"/>
    <w:rsid w:val="007106F5"/>
    <w:rsid w:val="007132A3"/>
    <w:rsid w:val="00716421"/>
    <w:rsid w:val="00724EFB"/>
    <w:rsid w:val="00731223"/>
    <w:rsid w:val="0073543A"/>
    <w:rsid w:val="007419C3"/>
    <w:rsid w:val="007467A7"/>
    <w:rsid w:val="007468E9"/>
    <w:rsid w:val="007469DD"/>
    <w:rsid w:val="0074741B"/>
    <w:rsid w:val="0074759E"/>
    <w:rsid w:val="007478EA"/>
    <w:rsid w:val="0075415C"/>
    <w:rsid w:val="00763502"/>
    <w:rsid w:val="00786F3A"/>
    <w:rsid w:val="007913AB"/>
    <w:rsid w:val="007914F7"/>
    <w:rsid w:val="007A5D36"/>
    <w:rsid w:val="007B1625"/>
    <w:rsid w:val="007B706E"/>
    <w:rsid w:val="007B71EB"/>
    <w:rsid w:val="007C5A49"/>
    <w:rsid w:val="007C6205"/>
    <w:rsid w:val="007C686A"/>
    <w:rsid w:val="007C728E"/>
    <w:rsid w:val="007D1689"/>
    <w:rsid w:val="007D2C53"/>
    <w:rsid w:val="007D3D60"/>
    <w:rsid w:val="007E1980"/>
    <w:rsid w:val="007E31DC"/>
    <w:rsid w:val="007E4B76"/>
    <w:rsid w:val="007E5EA8"/>
    <w:rsid w:val="007F0CF1"/>
    <w:rsid w:val="007F12A5"/>
    <w:rsid w:val="007F4CF1"/>
    <w:rsid w:val="007F61BE"/>
    <w:rsid w:val="007F758D"/>
    <w:rsid w:val="007F7D52"/>
    <w:rsid w:val="00803ADF"/>
    <w:rsid w:val="0080654C"/>
    <w:rsid w:val="008071C6"/>
    <w:rsid w:val="0080727A"/>
    <w:rsid w:val="00817A00"/>
    <w:rsid w:val="008207D9"/>
    <w:rsid w:val="008323E7"/>
    <w:rsid w:val="00835DB3"/>
    <w:rsid w:val="0083617B"/>
    <w:rsid w:val="008371BD"/>
    <w:rsid w:val="00843831"/>
    <w:rsid w:val="00844FB3"/>
    <w:rsid w:val="008504A8"/>
    <w:rsid w:val="008524F5"/>
    <w:rsid w:val="0085282E"/>
    <w:rsid w:val="00871039"/>
    <w:rsid w:val="0087198C"/>
    <w:rsid w:val="00872C1F"/>
    <w:rsid w:val="00873163"/>
    <w:rsid w:val="00873B42"/>
    <w:rsid w:val="00876179"/>
    <w:rsid w:val="0088048D"/>
    <w:rsid w:val="008821DA"/>
    <w:rsid w:val="008856D8"/>
    <w:rsid w:val="00892CB0"/>
    <w:rsid w:val="00892E82"/>
    <w:rsid w:val="008C1B58"/>
    <w:rsid w:val="008C39AE"/>
    <w:rsid w:val="008C5399"/>
    <w:rsid w:val="008C590D"/>
    <w:rsid w:val="008D13BE"/>
    <w:rsid w:val="008E031B"/>
    <w:rsid w:val="008E6A93"/>
    <w:rsid w:val="008E7029"/>
    <w:rsid w:val="008E7EF6"/>
    <w:rsid w:val="008F1F98"/>
    <w:rsid w:val="008F6758"/>
    <w:rsid w:val="009026D9"/>
    <w:rsid w:val="009040DD"/>
    <w:rsid w:val="00905B47"/>
    <w:rsid w:val="00911579"/>
    <w:rsid w:val="009123BF"/>
    <w:rsid w:val="0091331C"/>
    <w:rsid w:val="009148A7"/>
    <w:rsid w:val="009221CB"/>
    <w:rsid w:val="00925F22"/>
    <w:rsid w:val="009279DE"/>
    <w:rsid w:val="00930116"/>
    <w:rsid w:val="0094212C"/>
    <w:rsid w:val="009437F0"/>
    <w:rsid w:val="00954689"/>
    <w:rsid w:val="00955BA6"/>
    <w:rsid w:val="009617C9"/>
    <w:rsid w:val="00961C93"/>
    <w:rsid w:val="009647F2"/>
    <w:rsid w:val="00965324"/>
    <w:rsid w:val="0097091E"/>
    <w:rsid w:val="009760D3"/>
    <w:rsid w:val="00977132"/>
    <w:rsid w:val="00981A4B"/>
    <w:rsid w:val="00982501"/>
    <w:rsid w:val="00982FC8"/>
    <w:rsid w:val="009877D3"/>
    <w:rsid w:val="00994E8F"/>
    <w:rsid w:val="009951DC"/>
    <w:rsid w:val="009959BB"/>
    <w:rsid w:val="00995EBD"/>
    <w:rsid w:val="00997158"/>
    <w:rsid w:val="009A3A7C"/>
    <w:rsid w:val="009B2ADB"/>
    <w:rsid w:val="009B603A"/>
    <w:rsid w:val="009C2D0E"/>
    <w:rsid w:val="009C3DAC"/>
    <w:rsid w:val="009C42E0"/>
    <w:rsid w:val="009C71D9"/>
    <w:rsid w:val="009D05DB"/>
    <w:rsid w:val="009D5362"/>
    <w:rsid w:val="009E0C96"/>
    <w:rsid w:val="009E1415"/>
    <w:rsid w:val="009E6116"/>
    <w:rsid w:val="009F64E5"/>
    <w:rsid w:val="00A02E43"/>
    <w:rsid w:val="00A065F9"/>
    <w:rsid w:val="00A07F34"/>
    <w:rsid w:val="00A122BE"/>
    <w:rsid w:val="00A13966"/>
    <w:rsid w:val="00A22154"/>
    <w:rsid w:val="00A25C38"/>
    <w:rsid w:val="00A33B92"/>
    <w:rsid w:val="00A36BBE"/>
    <w:rsid w:val="00A3703F"/>
    <w:rsid w:val="00A40A53"/>
    <w:rsid w:val="00A4307A"/>
    <w:rsid w:val="00A47EBB"/>
    <w:rsid w:val="00A51CDD"/>
    <w:rsid w:val="00A56753"/>
    <w:rsid w:val="00A623EC"/>
    <w:rsid w:val="00A6730D"/>
    <w:rsid w:val="00A71625"/>
    <w:rsid w:val="00A71B9B"/>
    <w:rsid w:val="00A72F9B"/>
    <w:rsid w:val="00A751C7"/>
    <w:rsid w:val="00A87844"/>
    <w:rsid w:val="00AA038C"/>
    <w:rsid w:val="00AA7A09"/>
    <w:rsid w:val="00AB2083"/>
    <w:rsid w:val="00AB3B50"/>
    <w:rsid w:val="00AB7036"/>
    <w:rsid w:val="00AC05B1"/>
    <w:rsid w:val="00AC3F6F"/>
    <w:rsid w:val="00AD19FF"/>
    <w:rsid w:val="00AD1E4D"/>
    <w:rsid w:val="00AD356C"/>
    <w:rsid w:val="00AD4D47"/>
    <w:rsid w:val="00AD7608"/>
    <w:rsid w:val="00AE2914"/>
    <w:rsid w:val="00AE5663"/>
    <w:rsid w:val="00AE6D15"/>
    <w:rsid w:val="00B04182"/>
    <w:rsid w:val="00B05AD9"/>
    <w:rsid w:val="00B07AE3"/>
    <w:rsid w:val="00B07D68"/>
    <w:rsid w:val="00B108DC"/>
    <w:rsid w:val="00B11430"/>
    <w:rsid w:val="00B11AFD"/>
    <w:rsid w:val="00B13597"/>
    <w:rsid w:val="00B210B8"/>
    <w:rsid w:val="00B21B5D"/>
    <w:rsid w:val="00B21D0E"/>
    <w:rsid w:val="00B33643"/>
    <w:rsid w:val="00B353EB"/>
    <w:rsid w:val="00B40786"/>
    <w:rsid w:val="00B439C4"/>
    <w:rsid w:val="00B44F93"/>
    <w:rsid w:val="00B4535E"/>
    <w:rsid w:val="00B4611F"/>
    <w:rsid w:val="00B52A8C"/>
    <w:rsid w:val="00B6068D"/>
    <w:rsid w:val="00B60A3F"/>
    <w:rsid w:val="00B623D9"/>
    <w:rsid w:val="00B625BF"/>
    <w:rsid w:val="00B636A8"/>
    <w:rsid w:val="00B665C6"/>
    <w:rsid w:val="00B7748F"/>
    <w:rsid w:val="00B805AF"/>
    <w:rsid w:val="00B869EC"/>
    <w:rsid w:val="00B9397A"/>
    <w:rsid w:val="00B9633D"/>
    <w:rsid w:val="00BA27E0"/>
    <w:rsid w:val="00BA2EBE"/>
    <w:rsid w:val="00BA35A2"/>
    <w:rsid w:val="00BB0F28"/>
    <w:rsid w:val="00BB458A"/>
    <w:rsid w:val="00BD00D3"/>
    <w:rsid w:val="00BD1659"/>
    <w:rsid w:val="00BD3AA9"/>
    <w:rsid w:val="00BD4A18"/>
    <w:rsid w:val="00BD6DB2"/>
    <w:rsid w:val="00BD7C16"/>
    <w:rsid w:val="00BE11CF"/>
    <w:rsid w:val="00BE21AB"/>
    <w:rsid w:val="00BE55CB"/>
    <w:rsid w:val="00BE5A94"/>
    <w:rsid w:val="00BF617A"/>
    <w:rsid w:val="00BF6E08"/>
    <w:rsid w:val="00C00C74"/>
    <w:rsid w:val="00C0379D"/>
    <w:rsid w:val="00C03931"/>
    <w:rsid w:val="00C05FE3"/>
    <w:rsid w:val="00C143AF"/>
    <w:rsid w:val="00C2136D"/>
    <w:rsid w:val="00C214EE"/>
    <w:rsid w:val="00C2314B"/>
    <w:rsid w:val="00C24971"/>
    <w:rsid w:val="00C26BE5"/>
    <w:rsid w:val="00C26E4D"/>
    <w:rsid w:val="00C27909"/>
    <w:rsid w:val="00C27B03"/>
    <w:rsid w:val="00C314E1"/>
    <w:rsid w:val="00C34397"/>
    <w:rsid w:val="00C34DCF"/>
    <w:rsid w:val="00C4095D"/>
    <w:rsid w:val="00C54D2F"/>
    <w:rsid w:val="00C601D2"/>
    <w:rsid w:val="00C60FE7"/>
    <w:rsid w:val="00C65BCC"/>
    <w:rsid w:val="00C66970"/>
    <w:rsid w:val="00C81B4C"/>
    <w:rsid w:val="00C8691C"/>
    <w:rsid w:val="00CA168A"/>
    <w:rsid w:val="00CA357E"/>
    <w:rsid w:val="00CA44F9"/>
    <w:rsid w:val="00CA4A69"/>
    <w:rsid w:val="00CB10B3"/>
    <w:rsid w:val="00CC3E0C"/>
    <w:rsid w:val="00CC58D3"/>
    <w:rsid w:val="00CC7193"/>
    <w:rsid w:val="00CC784D"/>
    <w:rsid w:val="00CD4B67"/>
    <w:rsid w:val="00CE0AB3"/>
    <w:rsid w:val="00CE56FF"/>
    <w:rsid w:val="00D0337B"/>
    <w:rsid w:val="00D079B2"/>
    <w:rsid w:val="00D114E9"/>
    <w:rsid w:val="00D151F0"/>
    <w:rsid w:val="00D22DBC"/>
    <w:rsid w:val="00D240F8"/>
    <w:rsid w:val="00D34F5A"/>
    <w:rsid w:val="00D429C6"/>
    <w:rsid w:val="00D47748"/>
    <w:rsid w:val="00D54CC3"/>
    <w:rsid w:val="00D6041A"/>
    <w:rsid w:val="00D63371"/>
    <w:rsid w:val="00D633EB"/>
    <w:rsid w:val="00D7347B"/>
    <w:rsid w:val="00D77427"/>
    <w:rsid w:val="00D806A6"/>
    <w:rsid w:val="00D82FF7"/>
    <w:rsid w:val="00D847FE"/>
    <w:rsid w:val="00D964EA"/>
    <w:rsid w:val="00D966D0"/>
    <w:rsid w:val="00D96EA5"/>
    <w:rsid w:val="00DA0C59"/>
    <w:rsid w:val="00DA3991"/>
    <w:rsid w:val="00DB0476"/>
    <w:rsid w:val="00DB7E6C"/>
    <w:rsid w:val="00DC2D7E"/>
    <w:rsid w:val="00DC4E88"/>
    <w:rsid w:val="00DD5A29"/>
    <w:rsid w:val="00DD5D9D"/>
    <w:rsid w:val="00DE35CB"/>
    <w:rsid w:val="00DF21E9"/>
    <w:rsid w:val="00E00F14"/>
    <w:rsid w:val="00E06386"/>
    <w:rsid w:val="00E208AA"/>
    <w:rsid w:val="00E24EB4"/>
    <w:rsid w:val="00E256C0"/>
    <w:rsid w:val="00E31883"/>
    <w:rsid w:val="00E320ED"/>
    <w:rsid w:val="00E33AFB"/>
    <w:rsid w:val="00E34218"/>
    <w:rsid w:val="00E46282"/>
    <w:rsid w:val="00E5216E"/>
    <w:rsid w:val="00E60DAB"/>
    <w:rsid w:val="00E70AA3"/>
    <w:rsid w:val="00E75D30"/>
    <w:rsid w:val="00E805CA"/>
    <w:rsid w:val="00E82344"/>
    <w:rsid w:val="00E84C82"/>
    <w:rsid w:val="00E84D64"/>
    <w:rsid w:val="00E87408"/>
    <w:rsid w:val="00E9001D"/>
    <w:rsid w:val="00E914C4"/>
    <w:rsid w:val="00E934F5"/>
    <w:rsid w:val="00E96961"/>
    <w:rsid w:val="00EA66FE"/>
    <w:rsid w:val="00EA72EC"/>
    <w:rsid w:val="00EB11CB"/>
    <w:rsid w:val="00EB275A"/>
    <w:rsid w:val="00EB786A"/>
    <w:rsid w:val="00EC1578"/>
    <w:rsid w:val="00EC1C72"/>
    <w:rsid w:val="00EC3669"/>
    <w:rsid w:val="00EC3CC9"/>
    <w:rsid w:val="00EC680A"/>
    <w:rsid w:val="00EC6968"/>
    <w:rsid w:val="00ED39D9"/>
    <w:rsid w:val="00EE2BED"/>
    <w:rsid w:val="00EE374B"/>
    <w:rsid w:val="00EF0EA7"/>
    <w:rsid w:val="00EF7970"/>
    <w:rsid w:val="00EF7F14"/>
    <w:rsid w:val="00F01C23"/>
    <w:rsid w:val="00F11BB5"/>
    <w:rsid w:val="00F1417B"/>
    <w:rsid w:val="00F16009"/>
    <w:rsid w:val="00F211F8"/>
    <w:rsid w:val="00F34B99"/>
    <w:rsid w:val="00F40752"/>
    <w:rsid w:val="00F5183C"/>
    <w:rsid w:val="00F52DAB"/>
    <w:rsid w:val="00F541D1"/>
    <w:rsid w:val="00F543F0"/>
    <w:rsid w:val="00F5748B"/>
    <w:rsid w:val="00F66ED7"/>
    <w:rsid w:val="00F81D29"/>
    <w:rsid w:val="00F91C4D"/>
    <w:rsid w:val="00F92FD9"/>
    <w:rsid w:val="00FA6684"/>
    <w:rsid w:val="00FA731E"/>
    <w:rsid w:val="00FB2B38"/>
    <w:rsid w:val="00FC5051"/>
    <w:rsid w:val="00FC6358"/>
    <w:rsid w:val="00FC7076"/>
    <w:rsid w:val="00FD320D"/>
    <w:rsid w:val="00FE23DE"/>
    <w:rsid w:val="00FE5DB5"/>
    <w:rsid w:val="00FF240B"/>
    <w:rsid w:val="00FF719C"/>
    <w:rsid w:val="0307619C"/>
    <w:rsid w:val="031E5731"/>
    <w:rsid w:val="13CD134D"/>
    <w:rsid w:val="14A30D7D"/>
    <w:rsid w:val="162D408B"/>
    <w:rsid w:val="19FE690E"/>
    <w:rsid w:val="1A1164EF"/>
    <w:rsid w:val="1C311DF6"/>
    <w:rsid w:val="1C943AB5"/>
    <w:rsid w:val="255F64AA"/>
    <w:rsid w:val="2B431E66"/>
    <w:rsid w:val="2DEF44AF"/>
    <w:rsid w:val="346837A5"/>
    <w:rsid w:val="37874E65"/>
    <w:rsid w:val="38870784"/>
    <w:rsid w:val="3B584AA0"/>
    <w:rsid w:val="3DDE20C6"/>
    <w:rsid w:val="443D61B9"/>
    <w:rsid w:val="457D0248"/>
    <w:rsid w:val="45C55EBD"/>
    <w:rsid w:val="46347327"/>
    <w:rsid w:val="47783DF4"/>
    <w:rsid w:val="4A52472D"/>
    <w:rsid w:val="4EF34DD9"/>
    <w:rsid w:val="54916AD3"/>
    <w:rsid w:val="56C8095E"/>
    <w:rsid w:val="59FA324A"/>
    <w:rsid w:val="5BC96C1B"/>
    <w:rsid w:val="5C213D0D"/>
    <w:rsid w:val="5D0C23E9"/>
    <w:rsid w:val="5D187EE1"/>
    <w:rsid w:val="5DE913F3"/>
    <w:rsid w:val="5E8540B3"/>
    <w:rsid w:val="5F6949EA"/>
    <w:rsid w:val="752067DA"/>
    <w:rsid w:val="76B54401"/>
    <w:rsid w:val="7718021D"/>
    <w:rsid w:val="7B5534DD"/>
    <w:rsid w:val="7BBE1E9E"/>
    <w:rsid w:val="7FB86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name="heading 2" w:locked="1"/>
    <w:lsdException w:qFormat="1" w:unhideWhenUsed="0" w:uiPriority="99" w:semiHidden="0" w:name="heading 3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nhideWhenUsed="0" w:uiPriority="99" w:name="index 1"/>
    <w:lsdException w:unhideWhenUsed="0" w:uiPriority="99" w:name="index 2"/>
    <w:lsdException w:qFormat="1" w:unhideWhenUsed="0" w:uiPriority="99" w:name="index 3"/>
    <w:lsdException w:qFormat="1" w:unhideWhenUsed="0" w:uiPriority="99" w:name="index 4"/>
    <w:lsdException w:qFormat="1" w:unhideWhenUsed="0" w:uiPriority="99" w:name="index 5"/>
    <w:lsdException w:unhideWhenUsed="0" w:uiPriority="99" w:name="index 6"/>
    <w:lsdException w:unhideWhenUsed="0" w:uiPriority="99" w:name="index 7"/>
    <w:lsdException w:qFormat="1" w:unhideWhenUsed="0" w:uiPriority="99" w:name="index 8"/>
    <w:lsdException w:qFormat="1" w:unhideWhenUsed="0" w:uiPriority="99" w:name="index 9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nhideWhenUsed="0" w:uiPriority="0" w:semiHidden="0" w:name="Normal Indent"/>
    <w:lsdException w:unhideWhenUsed="0" w:uiPriority="99" w:name="footnote text"/>
    <w:lsdException w:unhideWhenUsed="0" w:uiPriority="99" w:name="annotation text"/>
    <w:lsdException w:unhideWhenUsed="0" w:uiPriority="99" w:semiHidden="0" w:name="header"/>
    <w:lsdException w:unhideWhenUsed="0" w:uiPriority="99" w:semiHidden="0" w:name="footer"/>
    <w:lsdException w:unhideWhenUsed="0" w:uiPriority="99" w:name="index heading"/>
    <w:lsdException w:qFormat="1" w:unhideWhenUsed="0" w:uiPriority="99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99" w:name="footnote reference"/>
    <w:lsdException w:unhideWhenUsed="0" w:uiPriority="99" w:name="annotation reference"/>
    <w:lsdException w:unhideWhenUsed="0" w:uiPriority="0" w:semiHidden="0" w:name="line number"/>
    <w:lsdException w:unhideWhenUsed="0" w:uiPriority="99" w:semiHidden="0" w:name="page number"/>
    <w:lsdException w:unhideWhenUsed="0" w:uiPriority="99" w:name="endnote reference"/>
    <w:lsdException w:qFormat="1" w:unhideWhenUsed="0" w:uiPriority="99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 w:locked="1"/>
    <w:lsdException w:unhideWhenUsed="0" w:uiPriority="0" w:semiHidden="0" w:name="Closing"/>
    <w:lsdException w:unhideWhenUsed="0" w:uiPriority="0" w:semiHidden="0" w:name="Signature"/>
    <w:lsdException w:unhideWhenUsed="0" w:uiPriority="99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 w:locked="1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99" w:semiHidden="0" w:name="Hyperlink"/>
    <w:lsdException w:unhideWhenUsed="0" w:uiPriority="99" w:semiHidden="0" w:name="FollowedHyperlink"/>
    <w:lsdException w:qFormat="1" w:unhideWhenUsed="0" w:uiPriority="22" w:semiHidden="0" w:name="Strong" w:locked="1"/>
    <w:lsdException w:qFormat="1" w:unhideWhenUsed="0" w:uiPriority="99" w:semiHidden="0" w:name="Emphasis"/>
    <w:lsdException w:unhideWhenUsed="0" w:uiPriority="99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99" w:name="annotation subject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nhideWhenUsed="0" w:uiPriority="99" w:name="Balloon Text"/>
    <w:lsdException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34"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1"/>
    <w:next w:val="1"/>
    <w:link w:val="35"/>
    <w:qFormat/>
    <w:uiPriority w:val="9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26">
    <w:name w:val="Default Paragraph Font"/>
    <w:semiHidden/>
    <w:uiPriority w:val="99"/>
  </w:style>
  <w:style w:type="table" w:default="1" w:styleId="2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index 8"/>
    <w:basedOn w:val="1"/>
    <w:next w:val="1"/>
    <w:semiHidden/>
    <w:qFormat/>
    <w:uiPriority w:val="99"/>
    <w:pPr>
      <w:ind w:left="1680" w:hanging="210"/>
      <w:jc w:val="left"/>
    </w:pPr>
    <w:rPr>
      <w:rFonts w:ascii="Calibri" w:hAnsi="Calibri"/>
      <w:sz w:val="20"/>
      <w:szCs w:val="20"/>
    </w:rPr>
  </w:style>
  <w:style w:type="paragraph" w:styleId="5">
    <w:name w:val="caption"/>
    <w:basedOn w:val="1"/>
    <w:next w:val="1"/>
    <w:qFormat/>
    <w:uiPriority w:val="99"/>
    <w:pPr>
      <w:spacing w:before="152" w:after="160"/>
    </w:pPr>
    <w:rPr>
      <w:rFonts w:ascii="Arial" w:hAnsi="Arial" w:eastAsia="黑体" w:cs="Arial"/>
      <w:sz w:val="20"/>
      <w:szCs w:val="20"/>
    </w:rPr>
  </w:style>
  <w:style w:type="paragraph" w:styleId="6">
    <w:name w:val="index 5"/>
    <w:basedOn w:val="1"/>
    <w:next w:val="1"/>
    <w:semiHidden/>
    <w:qFormat/>
    <w:uiPriority w:val="99"/>
    <w:pPr>
      <w:ind w:left="1050" w:hanging="210"/>
      <w:jc w:val="left"/>
    </w:pPr>
    <w:rPr>
      <w:rFonts w:ascii="Calibri" w:hAnsi="Calibri"/>
      <w:sz w:val="20"/>
      <w:szCs w:val="20"/>
    </w:rPr>
  </w:style>
  <w:style w:type="paragraph" w:styleId="7">
    <w:name w:val="Document Map"/>
    <w:basedOn w:val="1"/>
    <w:link w:val="36"/>
    <w:semiHidden/>
    <w:uiPriority w:val="99"/>
    <w:pPr>
      <w:shd w:val="clear" w:color="auto" w:fill="000080"/>
    </w:pPr>
  </w:style>
  <w:style w:type="paragraph" w:styleId="8">
    <w:name w:val="annotation text"/>
    <w:basedOn w:val="1"/>
    <w:link w:val="37"/>
    <w:semiHidden/>
    <w:uiPriority w:val="99"/>
    <w:pPr>
      <w:jc w:val="left"/>
    </w:pPr>
  </w:style>
  <w:style w:type="paragraph" w:styleId="9">
    <w:name w:val="index 6"/>
    <w:basedOn w:val="1"/>
    <w:next w:val="1"/>
    <w:semiHidden/>
    <w:uiPriority w:val="99"/>
    <w:pPr>
      <w:ind w:left="1260" w:hanging="210"/>
      <w:jc w:val="left"/>
    </w:pPr>
    <w:rPr>
      <w:rFonts w:ascii="Calibri" w:hAnsi="Calibri"/>
      <w:sz w:val="20"/>
      <w:szCs w:val="20"/>
    </w:rPr>
  </w:style>
  <w:style w:type="paragraph" w:styleId="10">
    <w:name w:val="index 4"/>
    <w:basedOn w:val="1"/>
    <w:next w:val="1"/>
    <w:semiHidden/>
    <w:qFormat/>
    <w:uiPriority w:val="99"/>
    <w:pPr>
      <w:ind w:left="840" w:hanging="210"/>
      <w:jc w:val="left"/>
    </w:pPr>
    <w:rPr>
      <w:rFonts w:ascii="Calibri" w:hAnsi="Calibri"/>
      <w:sz w:val="20"/>
      <w:szCs w:val="20"/>
    </w:rPr>
  </w:style>
  <w:style w:type="paragraph" w:styleId="11">
    <w:name w:val="index 3"/>
    <w:basedOn w:val="1"/>
    <w:next w:val="1"/>
    <w:semiHidden/>
    <w:qFormat/>
    <w:uiPriority w:val="99"/>
    <w:pPr>
      <w:ind w:left="630" w:hanging="210"/>
      <w:jc w:val="left"/>
    </w:pPr>
    <w:rPr>
      <w:rFonts w:ascii="Calibri" w:hAnsi="Calibri"/>
      <w:sz w:val="20"/>
      <w:szCs w:val="20"/>
    </w:rPr>
  </w:style>
  <w:style w:type="paragraph" w:styleId="12">
    <w:name w:val="endnote text"/>
    <w:basedOn w:val="1"/>
    <w:link w:val="38"/>
    <w:semiHidden/>
    <w:qFormat/>
    <w:uiPriority w:val="99"/>
    <w:pPr>
      <w:snapToGrid w:val="0"/>
      <w:jc w:val="left"/>
    </w:pPr>
  </w:style>
  <w:style w:type="paragraph" w:styleId="13">
    <w:name w:val="Balloon Text"/>
    <w:basedOn w:val="1"/>
    <w:link w:val="39"/>
    <w:semiHidden/>
    <w:uiPriority w:val="99"/>
    <w:rPr>
      <w:sz w:val="18"/>
      <w:szCs w:val="18"/>
    </w:rPr>
  </w:style>
  <w:style w:type="paragraph" w:styleId="14">
    <w:name w:val="footer"/>
    <w:basedOn w:val="1"/>
    <w:link w:val="40"/>
    <w:uiPriority w:val="99"/>
    <w:pPr>
      <w:snapToGrid w:val="0"/>
      <w:ind w:right="210" w:rightChars="100"/>
      <w:jc w:val="right"/>
    </w:pPr>
    <w:rPr>
      <w:sz w:val="18"/>
      <w:szCs w:val="18"/>
    </w:rPr>
  </w:style>
  <w:style w:type="paragraph" w:styleId="15">
    <w:name w:val="header"/>
    <w:basedOn w:val="1"/>
    <w:link w:val="41"/>
    <w:uiPriority w:val="99"/>
    <w:pPr>
      <w:snapToGrid w:val="0"/>
      <w:jc w:val="left"/>
    </w:pPr>
    <w:rPr>
      <w:sz w:val="18"/>
      <w:szCs w:val="18"/>
    </w:rPr>
  </w:style>
  <w:style w:type="paragraph" w:styleId="16">
    <w:name w:val="index heading"/>
    <w:basedOn w:val="1"/>
    <w:next w:val="17"/>
    <w:semiHidden/>
    <w:uiPriority w:val="99"/>
    <w:pPr>
      <w:spacing w:before="120" w:after="120"/>
      <w:jc w:val="center"/>
    </w:pPr>
    <w:rPr>
      <w:rFonts w:ascii="Calibri" w:hAnsi="Calibri"/>
      <w:b/>
      <w:bCs/>
      <w:iCs/>
      <w:szCs w:val="20"/>
    </w:rPr>
  </w:style>
  <w:style w:type="paragraph" w:styleId="17">
    <w:name w:val="index 1"/>
    <w:basedOn w:val="1"/>
    <w:next w:val="18"/>
    <w:semiHidden/>
    <w:uiPriority w:val="99"/>
    <w:pPr>
      <w:tabs>
        <w:tab w:val="right" w:leader="dot" w:pos="9299"/>
      </w:tabs>
      <w:jc w:val="left"/>
    </w:pPr>
    <w:rPr>
      <w:rFonts w:ascii="宋体"/>
      <w:szCs w:val="21"/>
    </w:rPr>
  </w:style>
  <w:style w:type="paragraph" w:customStyle="1" w:styleId="18">
    <w:name w:val="段"/>
    <w:link w:val="46"/>
    <w:uiPriority w:val="99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kern w:val="0"/>
      <w:sz w:val="21"/>
      <w:szCs w:val="20"/>
      <w:lang w:val="en-US" w:eastAsia="zh-CN" w:bidi="ar-SA"/>
    </w:rPr>
  </w:style>
  <w:style w:type="paragraph" w:styleId="19">
    <w:name w:val="footnote text"/>
    <w:basedOn w:val="1"/>
    <w:link w:val="42"/>
    <w:semiHidden/>
    <w:uiPriority w:val="99"/>
    <w:pPr>
      <w:numPr>
        <w:ilvl w:val="0"/>
        <w:numId w:val="1"/>
      </w:numPr>
      <w:snapToGrid w:val="0"/>
      <w:jc w:val="left"/>
    </w:pPr>
    <w:rPr>
      <w:rFonts w:ascii="宋体"/>
      <w:sz w:val="18"/>
      <w:szCs w:val="18"/>
    </w:rPr>
  </w:style>
  <w:style w:type="paragraph" w:styleId="20">
    <w:name w:val="index 7"/>
    <w:basedOn w:val="1"/>
    <w:next w:val="1"/>
    <w:semiHidden/>
    <w:uiPriority w:val="99"/>
    <w:pPr>
      <w:ind w:left="1470" w:hanging="210"/>
      <w:jc w:val="left"/>
    </w:pPr>
    <w:rPr>
      <w:rFonts w:ascii="Calibri" w:hAnsi="Calibri"/>
      <w:sz w:val="20"/>
      <w:szCs w:val="20"/>
    </w:rPr>
  </w:style>
  <w:style w:type="paragraph" w:styleId="21">
    <w:name w:val="index 9"/>
    <w:basedOn w:val="1"/>
    <w:next w:val="1"/>
    <w:semiHidden/>
    <w:qFormat/>
    <w:uiPriority w:val="99"/>
    <w:pPr>
      <w:ind w:left="1890" w:hanging="210"/>
      <w:jc w:val="left"/>
    </w:pPr>
    <w:rPr>
      <w:rFonts w:ascii="Calibri" w:hAnsi="Calibri"/>
      <w:sz w:val="20"/>
      <w:szCs w:val="20"/>
    </w:rPr>
  </w:style>
  <w:style w:type="paragraph" w:styleId="22">
    <w:name w:val="index 2"/>
    <w:basedOn w:val="1"/>
    <w:next w:val="1"/>
    <w:semiHidden/>
    <w:uiPriority w:val="99"/>
    <w:pPr>
      <w:ind w:left="420" w:hanging="210"/>
      <w:jc w:val="left"/>
    </w:pPr>
    <w:rPr>
      <w:rFonts w:ascii="Calibri" w:hAnsi="Calibri"/>
      <w:sz w:val="20"/>
      <w:szCs w:val="20"/>
    </w:rPr>
  </w:style>
  <w:style w:type="paragraph" w:styleId="23">
    <w:name w:val="annotation subject"/>
    <w:basedOn w:val="8"/>
    <w:next w:val="8"/>
    <w:link w:val="43"/>
    <w:semiHidden/>
    <w:uiPriority w:val="99"/>
    <w:rPr>
      <w:b/>
      <w:bCs/>
    </w:rPr>
  </w:style>
  <w:style w:type="table" w:styleId="25">
    <w:name w:val="Table Grid"/>
    <w:basedOn w:val="24"/>
    <w:uiPriority w:val="99"/>
    <w:rPr>
      <w:rFonts w:ascii="宋体"/>
      <w:kern w:val="0"/>
      <w:sz w:val="18"/>
      <w:szCs w:val="18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27">
    <w:name w:val="endnote reference"/>
    <w:basedOn w:val="26"/>
    <w:semiHidden/>
    <w:uiPriority w:val="99"/>
    <w:rPr>
      <w:rFonts w:cs="Times New Roman"/>
      <w:vertAlign w:val="superscript"/>
    </w:rPr>
  </w:style>
  <w:style w:type="character" w:styleId="28">
    <w:name w:val="page number"/>
    <w:basedOn w:val="26"/>
    <w:uiPriority w:val="99"/>
    <w:rPr>
      <w:rFonts w:ascii="Times New Roman" w:hAnsi="Times New Roman" w:eastAsia="宋体" w:cs="Times New Roman"/>
      <w:sz w:val="18"/>
    </w:rPr>
  </w:style>
  <w:style w:type="character" w:styleId="29">
    <w:name w:val="FollowedHyperlink"/>
    <w:basedOn w:val="26"/>
    <w:uiPriority w:val="99"/>
    <w:rPr>
      <w:rFonts w:cs="Times New Roman"/>
      <w:color w:val="800080"/>
      <w:u w:val="single"/>
    </w:rPr>
  </w:style>
  <w:style w:type="character" w:styleId="30">
    <w:name w:val="Emphasis"/>
    <w:basedOn w:val="26"/>
    <w:qFormat/>
    <w:uiPriority w:val="99"/>
    <w:rPr>
      <w:rFonts w:cs="Times New Roman"/>
      <w:i/>
      <w:iCs/>
    </w:rPr>
  </w:style>
  <w:style w:type="character" w:styleId="31">
    <w:name w:val="Hyperlink"/>
    <w:basedOn w:val="26"/>
    <w:uiPriority w:val="99"/>
    <w:rPr>
      <w:rFonts w:cs="Times New Roman"/>
      <w:color w:val="0000FF"/>
      <w:spacing w:val="0"/>
      <w:w w:val="100"/>
      <w:sz w:val="21"/>
      <w:u w:val="single"/>
      <w:lang w:val="en-US" w:eastAsia="zh-CN"/>
    </w:rPr>
  </w:style>
  <w:style w:type="character" w:styleId="32">
    <w:name w:val="annotation reference"/>
    <w:basedOn w:val="26"/>
    <w:semiHidden/>
    <w:uiPriority w:val="99"/>
    <w:rPr>
      <w:rFonts w:cs="Times New Roman"/>
      <w:sz w:val="21"/>
    </w:rPr>
  </w:style>
  <w:style w:type="character" w:styleId="33">
    <w:name w:val="footnote reference"/>
    <w:basedOn w:val="26"/>
    <w:semiHidden/>
    <w:qFormat/>
    <w:uiPriority w:val="99"/>
    <w:rPr>
      <w:rFonts w:cs="Times New Roman"/>
      <w:vertAlign w:val="superscript"/>
    </w:rPr>
  </w:style>
  <w:style w:type="character" w:customStyle="1" w:styleId="34">
    <w:name w:val="Heading 1 Char"/>
    <w:basedOn w:val="26"/>
    <w:link w:val="2"/>
    <w:qFormat/>
    <w:locked/>
    <w:uiPriority w:val="99"/>
    <w:rPr>
      <w:b/>
      <w:kern w:val="44"/>
      <w:sz w:val="44"/>
    </w:rPr>
  </w:style>
  <w:style w:type="character" w:customStyle="1" w:styleId="35">
    <w:name w:val="Heading 3 Char"/>
    <w:basedOn w:val="26"/>
    <w:link w:val="3"/>
    <w:semiHidden/>
    <w:qFormat/>
    <w:locked/>
    <w:uiPriority w:val="99"/>
    <w:rPr>
      <w:b/>
      <w:kern w:val="2"/>
      <w:sz w:val="32"/>
    </w:rPr>
  </w:style>
  <w:style w:type="character" w:customStyle="1" w:styleId="36">
    <w:name w:val="Document Map Char"/>
    <w:basedOn w:val="26"/>
    <w:link w:val="7"/>
    <w:semiHidden/>
    <w:uiPriority w:val="99"/>
    <w:rPr>
      <w:sz w:val="0"/>
      <w:szCs w:val="0"/>
    </w:rPr>
  </w:style>
  <w:style w:type="character" w:customStyle="1" w:styleId="37">
    <w:name w:val="Comment Text Char"/>
    <w:basedOn w:val="26"/>
    <w:link w:val="8"/>
    <w:qFormat/>
    <w:locked/>
    <w:uiPriority w:val="99"/>
    <w:rPr>
      <w:kern w:val="2"/>
      <w:sz w:val="24"/>
    </w:rPr>
  </w:style>
  <w:style w:type="character" w:customStyle="1" w:styleId="38">
    <w:name w:val="Endnote Text Char"/>
    <w:basedOn w:val="26"/>
    <w:link w:val="12"/>
    <w:semiHidden/>
    <w:uiPriority w:val="99"/>
    <w:rPr>
      <w:szCs w:val="24"/>
    </w:rPr>
  </w:style>
  <w:style w:type="character" w:customStyle="1" w:styleId="39">
    <w:name w:val="Balloon Text Char"/>
    <w:basedOn w:val="26"/>
    <w:link w:val="13"/>
    <w:locked/>
    <w:uiPriority w:val="99"/>
    <w:rPr>
      <w:kern w:val="2"/>
      <w:sz w:val="18"/>
    </w:rPr>
  </w:style>
  <w:style w:type="character" w:customStyle="1" w:styleId="40">
    <w:name w:val="Footer Char"/>
    <w:basedOn w:val="26"/>
    <w:link w:val="14"/>
    <w:semiHidden/>
    <w:qFormat/>
    <w:uiPriority w:val="99"/>
    <w:rPr>
      <w:sz w:val="18"/>
      <w:szCs w:val="18"/>
    </w:rPr>
  </w:style>
  <w:style w:type="character" w:customStyle="1" w:styleId="41">
    <w:name w:val="Header Char"/>
    <w:basedOn w:val="26"/>
    <w:link w:val="15"/>
    <w:semiHidden/>
    <w:uiPriority w:val="99"/>
    <w:rPr>
      <w:sz w:val="18"/>
      <w:szCs w:val="18"/>
    </w:rPr>
  </w:style>
  <w:style w:type="character" w:customStyle="1" w:styleId="42">
    <w:name w:val="Footnote Text Char"/>
    <w:basedOn w:val="26"/>
    <w:link w:val="19"/>
    <w:semiHidden/>
    <w:uiPriority w:val="99"/>
    <w:rPr>
      <w:sz w:val="18"/>
      <w:szCs w:val="18"/>
    </w:rPr>
  </w:style>
  <w:style w:type="character" w:customStyle="1" w:styleId="43">
    <w:name w:val="Comment Subject Char"/>
    <w:basedOn w:val="37"/>
    <w:link w:val="23"/>
    <w:locked/>
    <w:uiPriority w:val="99"/>
    <w:rPr>
      <w:b/>
    </w:rPr>
  </w:style>
  <w:style w:type="character" w:customStyle="1" w:styleId="44">
    <w:name w:val="首示例 Char"/>
    <w:link w:val="45"/>
    <w:locked/>
    <w:uiPriority w:val="99"/>
    <w:rPr>
      <w:rFonts w:ascii="宋体" w:eastAsia="宋体"/>
      <w:kern w:val="2"/>
      <w:sz w:val="18"/>
      <w:lang w:val="en-US" w:eastAsia="zh-CN"/>
    </w:rPr>
  </w:style>
  <w:style w:type="paragraph" w:customStyle="1" w:styleId="45">
    <w:name w:val="首示例"/>
    <w:next w:val="18"/>
    <w:link w:val="44"/>
    <w:uiPriority w:val="99"/>
    <w:pPr>
      <w:numPr>
        <w:ilvl w:val="0"/>
        <w:numId w:val="2"/>
      </w:numPr>
      <w:tabs>
        <w:tab w:val="left" w:pos="360"/>
      </w:tabs>
      <w:ind w:firstLine="0"/>
    </w:pPr>
    <w:rPr>
      <w:rFonts w:ascii="宋体" w:hAnsi="宋体" w:eastAsia="宋体" w:cs="Times New Roman"/>
      <w:kern w:val="2"/>
      <w:sz w:val="18"/>
      <w:szCs w:val="18"/>
      <w:lang w:val="en-US" w:eastAsia="zh-CN" w:bidi="ar-SA"/>
    </w:rPr>
  </w:style>
  <w:style w:type="character" w:customStyle="1" w:styleId="46">
    <w:name w:val="段 Char"/>
    <w:link w:val="18"/>
    <w:locked/>
    <w:uiPriority w:val="99"/>
    <w:rPr>
      <w:rFonts w:ascii="宋体"/>
      <w:sz w:val="21"/>
      <w:lang w:val="en-US" w:eastAsia="zh-CN"/>
    </w:rPr>
  </w:style>
  <w:style w:type="character" w:customStyle="1" w:styleId="47">
    <w:name w:val="附录公式 Char"/>
    <w:basedOn w:val="46"/>
    <w:link w:val="48"/>
    <w:locked/>
    <w:uiPriority w:val="99"/>
    <w:rPr>
      <w:rFonts w:cs="Times New Roman"/>
      <w:lang w:bidi="ar-SA"/>
    </w:rPr>
  </w:style>
  <w:style w:type="paragraph" w:customStyle="1" w:styleId="48">
    <w:name w:val="附录公式"/>
    <w:basedOn w:val="18"/>
    <w:next w:val="18"/>
    <w:link w:val="47"/>
    <w:uiPriority w:val="99"/>
  </w:style>
  <w:style w:type="character" w:customStyle="1" w:styleId="49">
    <w:name w:val="发布"/>
    <w:uiPriority w:val="99"/>
    <w:rPr>
      <w:rFonts w:ascii="黑体" w:eastAsia="黑体"/>
      <w:spacing w:val="85"/>
      <w:w w:val="100"/>
      <w:position w:val="3"/>
      <w:sz w:val="28"/>
    </w:rPr>
  </w:style>
  <w:style w:type="paragraph" w:customStyle="1" w:styleId="50">
    <w:name w:val="封面一致性程度标识2"/>
    <w:basedOn w:val="51"/>
    <w:uiPriority w:val="99"/>
    <w:pPr>
      <w:framePr w:y="4469"/>
    </w:pPr>
  </w:style>
  <w:style w:type="paragraph" w:customStyle="1" w:styleId="51">
    <w:name w:val="封面一致性程度标识"/>
    <w:basedOn w:val="52"/>
    <w:qFormat/>
    <w:uiPriority w:val="99"/>
    <w:pPr>
      <w:spacing w:before="440"/>
    </w:pPr>
    <w:rPr>
      <w:rFonts w:ascii="宋体" w:eastAsia="宋体"/>
    </w:rPr>
  </w:style>
  <w:style w:type="paragraph" w:customStyle="1" w:styleId="52">
    <w:name w:val="封面标准英文名称"/>
    <w:basedOn w:val="53"/>
    <w:uiPriority w:val="99"/>
    <w:pPr>
      <w:spacing w:before="370" w:line="400" w:lineRule="exact"/>
    </w:pPr>
    <w:rPr>
      <w:rFonts w:ascii="Times New Roman"/>
      <w:sz w:val="28"/>
      <w:szCs w:val="28"/>
    </w:rPr>
  </w:style>
  <w:style w:type="paragraph" w:customStyle="1" w:styleId="53">
    <w:name w:val="封面标准名称"/>
    <w:qFormat/>
    <w:uiPriority w:val="99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kern w:val="0"/>
      <w:sz w:val="52"/>
      <w:szCs w:val="20"/>
      <w:lang w:val="en-US" w:eastAsia="zh-CN" w:bidi="ar-SA"/>
    </w:rPr>
  </w:style>
  <w:style w:type="paragraph" w:customStyle="1" w:styleId="54">
    <w:name w:val="五级无"/>
    <w:basedOn w:val="55"/>
    <w:qFormat/>
    <w:uiPriority w:val="99"/>
    <w:pPr>
      <w:spacing w:beforeLines="0" w:afterLines="0"/>
    </w:pPr>
    <w:rPr>
      <w:rFonts w:ascii="宋体" w:eastAsia="宋体"/>
    </w:rPr>
  </w:style>
  <w:style w:type="paragraph" w:customStyle="1" w:styleId="55">
    <w:name w:val="五级条标题"/>
    <w:basedOn w:val="56"/>
    <w:next w:val="18"/>
    <w:uiPriority w:val="99"/>
    <w:pPr>
      <w:numPr>
        <w:ilvl w:val="0"/>
        <w:numId w:val="0"/>
      </w:numPr>
      <w:outlineLvl w:val="6"/>
    </w:pPr>
  </w:style>
  <w:style w:type="paragraph" w:customStyle="1" w:styleId="56">
    <w:name w:val="四级条标题"/>
    <w:basedOn w:val="57"/>
    <w:next w:val="18"/>
    <w:qFormat/>
    <w:uiPriority w:val="99"/>
    <w:pPr>
      <w:numPr>
        <w:ilvl w:val="4"/>
      </w:numPr>
      <w:outlineLvl w:val="5"/>
    </w:pPr>
  </w:style>
  <w:style w:type="paragraph" w:customStyle="1" w:styleId="57">
    <w:name w:val="三级条标题"/>
    <w:basedOn w:val="58"/>
    <w:next w:val="18"/>
    <w:qFormat/>
    <w:uiPriority w:val="99"/>
    <w:pPr>
      <w:numPr>
        <w:ilvl w:val="3"/>
      </w:numPr>
      <w:ind w:left="0"/>
      <w:outlineLvl w:val="4"/>
    </w:pPr>
  </w:style>
  <w:style w:type="paragraph" w:customStyle="1" w:styleId="58">
    <w:name w:val="二级条标题"/>
    <w:basedOn w:val="59"/>
    <w:next w:val="18"/>
    <w:uiPriority w:val="99"/>
    <w:pPr>
      <w:numPr>
        <w:ilvl w:val="2"/>
      </w:numPr>
      <w:spacing w:before="50" w:after="50"/>
      <w:outlineLvl w:val="3"/>
    </w:pPr>
  </w:style>
  <w:style w:type="paragraph" w:customStyle="1" w:styleId="59">
    <w:name w:val="一级条标题"/>
    <w:next w:val="18"/>
    <w:uiPriority w:val="99"/>
    <w:pPr>
      <w:numPr>
        <w:ilvl w:val="1"/>
        <w:numId w:val="3"/>
      </w:numPr>
      <w:spacing w:beforeLines="50" w:afterLines="50"/>
      <w:outlineLvl w:val="2"/>
    </w:pPr>
    <w:rPr>
      <w:rFonts w:ascii="黑体" w:hAnsi="Times New Roman" w:eastAsia="黑体" w:cs="Times New Roman"/>
      <w:kern w:val="0"/>
      <w:sz w:val="21"/>
      <w:szCs w:val="21"/>
      <w:lang w:val="en-US" w:eastAsia="zh-CN" w:bidi="ar-SA"/>
    </w:rPr>
  </w:style>
  <w:style w:type="paragraph" w:customStyle="1" w:styleId="60">
    <w:name w:val="目录 71"/>
    <w:basedOn w:val="1"/>
    <w:next w:val="1"/>
    <w:semiHidden/>
    <w:qFormat/>
    <w:uiPriority w:val="99"/>
    <w:pPr>
      <w:tabs>
        <w:tab w:val="right" w:leader="dot" w:pos="9241"/>
      </w:tabs>
      <w:ind w:firstLine="505" w:firstLineChars="500"/>
      <w:jc w:val="left"/>
    </w:pPr>
    <w:rPr>
      <w:rFonts w:ascii="宋体"/>
      <w:szCs w:val="21"/>
    </w:rPr>
  </w:style>
  <w:style w:type="paragraph" w:customStyle="1" w:styleId="61">
    <w:name w:val="目录 21"/>
    <w:basedOn w:val="1"/>
    <w:next w:val="1"/>
    <w:qFormat/>
    <w:uiPriority w:val="99"/>
    <w:pPr>
      <w:tabs>
        <w:tab w:val="right" w:leader="dot" w:pos="9241"/>
      </w:tabs>
    </w:pPr>
    <w:rPr>
      <w:rFonts w:ascii="宋体"/>
      <w:szCs w:val="21"/>
    </w:rPr>
  </w:style>
  <w:style w:type="paragraph" w:customStyle="1" w:styleId="62">
    <w:name w:val="目录 41"/>
    <w:basedOn w:val="1"/>
    <w:next w:val="1"/>
    <w:semiHidden/>
    <w:uiPriority w:val="99"/>
    <w:pPr>
      <w:tabs>
        <w:tab w:val="right" w:leader="dot" w:pos="9241"/>
      </w:tabs>
      <w:ind w:firstLine="198" w:firstLineChars="200"/>
      <w:jc w:val="left"/>
    </w:pPr>
    <w:rPr>
      <w:rFonts w:ascii="宋体"/>
      <w:szCs w:val="21"/>
    </w:rPr>
  </w:style>
  <w:style w:type="paragraph" w:customStyle="1" w:styleId="63">
    <w:name w:val="目录 51"/>
    <w:basedOn w:val="1"/>
    <w:next w:val="1"/>
    <w:semiHidden/>
    <w:uiPriority w:val="99"/>
    <w:pPr>
      <w:tabs>
        <w:tab w:val="right" w:leader="dot" w:pos="9241"/>
      </w:tabs>
      <w:ind w:firstLine="300" w:firstLineChars="300"/>
      <w:jc w:val="left"/>
    </w:pPr>
    <w:rPr>
      <w:rFonts w:ascii="宋体"/>
      <w:szCs w:val="21"/>
    </w:rPr>
  </w:style>
  <w:style w:type="paragraph" w:customStyle="1" w:styleId="64">
    <w:name w:val="目录 91"/>
    <w:basedOn w:val="1"/>
    <w:next w:val="1"/>
    <w:semiHidden/>
    <w:uiPriority w:val="99"/>
    <w:pPr>
      <w:ind w:left="1470"/>
      <w:jc w:val="left"/>
    </w:pPr>
    <w:rPr>
      <w:sz w:val="20"/>
      <w:szCs w:val="20"/>
    </w:rPr>
  </w:style>
  <w:style w:type="paragraph" w:customStyle="1" w:styleId="65">
    <w:name w:val="目录 61"/>
    <w:basedOn w:val="1"/>
    <w:next w:val="1"/>
    <w:semiHidden/>
    <w:uiPriority w:val="99"/>
    <w:pPr>
      <w:tabs>
        <w:tab w:val="right" w:leader="dot" w:pos="9241"/>
      </w:tabs>
      <w:ind w:firstLine="403" w:firstLineChars="400"/>
      <w:jc w:val="left"/>
    </w:pPr>
    <w:rPr>
      <w:rFonts w:ascii="宋体"/>
      <w:szCs w:val="21"/>
    </w:rPr>
  </w:style>
  <w:style w:type="paragraph" w:customStyle="1" w:styleId="66">
    <w:name w:val="目录 11"/>
    <w:basedOn w:val="1"/>
    <w:next w:val="1"/>
    <w:uiPriority w:val="99"/>
    <w:pPr>
      <w:tabs>
        <w:tab w:val="right" w:leader="dot" w:pos="9241"/>
      </w:tabs>
      <w:spacing w:beforeLines="25" w:afterLines="25"/>
      <w:jc w:val="left"/>
    </w:pPr>
    <w:rPr>
      <w:rFonts w:ascii="宋体"/>
      <w:szCs w:val="21"/>
    </w:rPr>
  </w:style>
  <w:style w:type="paragraph" w:customStyle="1" w:styleId="67">
    <w:name w:val="目录 81"/>
    <w:basedOn w:val="1"/>
    <w:next w:val="1"/>
    <w:semiHidden/>
    <w:uiPriority w:val="99"/>
    <w:pPr>
      <w:tabs>
        <w:tab w:val="right" w:leader="dot" w:pos="9241"/>
      </w:tabs>
      <w:ind w:firstLine="607" w:firstLineChars="600"/>
      <w:jc w:val="left"/>
    </w:pPr>
    <w:rPr>
      <w:rFonts w:ascii="宋体"/>
      <w:szCs w:val="21"/>
    </w:rPr>
  </w:style>
  <w:style w:type="paragraph" w:customStyle="1" w:styleId="68">
    <w:name w:val="目录 31"/>
    <w:basedOn w:val="1"/>
    <w:next w:val="1"/>
    <w:uiPriority w:val="99"/>
    <w:pPr>
      <w:tabs>
        <w:tab w:val="right" w:leader="dot" w:pos="9241"/>
      </w:tabs>
      <w:ind w:firstLine="102" w:firstLineChars="100"/>
      <w:jc w:val="left"/>
    </w:pPr>
    <w:rPr>
      <w:rFonts w:ascii="宋体"/>
      <w:szCs w:val="21"/>
    </w:rPr>
  </w:style>
  <w:style w:type="paragraph" w:customStyle="1" w:styleId="69">
    <w:name w:val="标准书眉_偶数页"/>
    <w:basedOn w:val="70"/>
    <w:next w:val="1"/>
    <w:uiPriority w:val="99"/>
    <w:pPr>
      <w:tabs>
        <w:tab w:val="center" w:pos="4154"/>
        <w:tab w:val="right" w:pos="8306"/>
      </w:tabs>
      <w:jc w:val="left"/>
    </w:pPr>
  </w:style>
  <w:style w:type="paragraph" w:customStyle="1" w:styleId="70">
    <w:name w:val="标准书眉_奇数页"/>
    <w:next w:val="1"/>
    <w:qFormat/>
    <w:uiPriority w:val="99"/>
    <w:pPr>
      <w:tabs>
        <w:tab w:val="center" w:pos="4154"/>
        <w:tab w:val="right" w:pos="8306"/>
      </w:tabs>
      <w:spacing w:after="220"/>
      <w:jc w:val="right"/>
    </w:pPr>
    <w:rPr>
      <w:rFonts w:ascii="黑体" w:hAnsi="Times New Roman" w:eastAsia="黑体" w:cs="Times New Roman"/>
      <w:kern w:val="0"/>
      <w:sz w:val="21"/>
      <w:szCs w:val="21"/>
      <w:lang w:val="en-US" w:eastAsia="zh-CN" w:bidi="ar-SA"/>
    </w:rPr>
  </w:style>
  <w:style w:type="paragraph" w:customStyle="1" w:styleId="71">
    <w:name w:val="附录一级条标题"/>
    <w:basedOn w:val="72"/>
    <w:next w:val="18"/>
    <w:qFormat/>
    <w:uiPriority w:val="99"/>
    <w:pPr>
      <w:numPr>
        <w:ilvl w:val="2"/>
      </w:numPr>
      <w:tabs>
        <w:tab w:val="left" w:pos="360"/>
      </w:tabs>
      <w:autoSpaceDN w:val="0"/>
      <w:spacing w:beforeLines="50" w:afterLines="50"/>
      <w:outlineLvl w:val="2"/>
    </w:pPr>
  </w:style>
  <w:style w:type="paragraph" w:customStyle="1" w:styleId="72">
    <w:name w:val="附录章标题"/>
    <w:next w:val="18"/>
    <w:qFormat/>
    <w:uiPriority w:val="99"/>
    <w:pPr>
      <w:numPr>
        <w:ilvl w:val="1"/>
        <w:numId w:val="4"/>
      </w:numPr>
      <w:tabs>
        <w:tab w:val="left" w:pos="360"/>
      </w:tabs>
      <w:wordWrap w:val="0"/>
      <w:overflowPunct w:val="0"/>
      <w:autoSpaceDE w:val="0"/>
      <w:spacing w:beforeLines="100" w:afterLines="100"/>
      <w:jc w:val="both"/>
      <w:textAlignment w:val="baseline"/>
      <w:outlineLvl w:val="1"/>
    </w:pPr>
    <w:rPr>
      <w:rFonts w:ascii="黑体" w:hAnsi="Times New Roman" w:eastAsia="黑体" w:cs="Times New Roman"/>
      <w:kern w:val="21"/>
      <w:sz w:val="21"/>
      <w:szCs w:val="20"/>
      <w:lang w:val="en-US" w:eastAsia="zh-CN" w:bidi="ar-SA"/>
    </w:rPr>
  </w:style>
  <w:style w:type="paragraph" w:customStyle="1" w:styleId="73">
    <w:name w:val="封面标准名称2"/>
    <w:basedOn w:val="53"/>
    <w:qFormat/>
    <w:uiPriority w:val="99"/>
    <w:pPr>
      <w:framePr w:y="4469"/>
      <w:spacing w:beforeLines="630"/>
    </w:pPr>
  </w:style>
  <w:style w:type="paragraph" w:customStyle="1" w:styleId="74">
    <w:name w:val="终结线"/>
    <w:basedOn w:val="1"/>
    <w:qFormat/>
    <w:uiPriority w:val="99"/>
    <w:pPr>
      <w:framePr w:hSpace="181" w:vSpace="181" w:wrap="around" w:vAnchor="text" w:hAnchor="margin" w:xAlign="center" w:y="285"/>
    </w:pPr>
  </w:style>
  <w:style w:type="paragraph" w:customStyle="1" w:styleId="75">
    <w:name w:val="附录四级条标题"/>
    <w:basedOn w:val="76"/>
    <w:next w:val="18"/>
    <w:qFormat/>
    <w:uiPriority w:val="99"/>
    <w:pPr>
      <w:numPr>
        <w:ilvl w:val="5"/>
      </w:numPr>
      <w:tabs>
        <w:tab w:val="left" w:pos="360"/>
      </w:tabs>
      <w:outlineLvl w:val="5"/>
    </w:pPr>
  </w:style>
  <w:style w:type="paragraph" w:customStyle="1" w:styleId="76">
    <w:name w:val="附录三级条标题"/>
    <w:basedOn w:val="77"/>
    <w:next w:val="18"/>
    <w:qFormat/>
    <w:uiPriority w:val="99"/>
    <w:pPr>
      <w:numPr>
        <w:ilvl w:val="4"/>
      </w:numPr>
      <w:tabs>
        <w:tab w:val="left" w:pos="360"/>
      </w:tabs>
      <w:outlineLvl w:val="4"/>
    </w:pPr>
  </w:style>
  <w:style w:type="paragraph" w:customStyle="1" w:styleId="77">
    <w:name w:val="附录二级条标题"/>
    <w:basedOn w:val="1"/>
    <w:next w:val="18"/>
    <w:uiPriority w:val="99"/>
    <w:pPr>
      <w:widowControl/>
      <w:numPr>
        <w:ilvl w:val="3"/>
        <w:numId w:val="4"/>
      </w:numPr>
      <w:tabs>
        <w:tab w:val="left" w:pos="360"/>
      </w:tabs>
      <w:wordWrap w:val="0"/>
      <w:overflowPunct w:val="0"/>
      <w:autoSpaceDE w:val="0"/>
      <w:autoSpaceDN w:val="0"/>
      <w:spacing w:beforeLines="50" w:afterLines="50"/>
      <w:textAlignment w:val="baseline"/>
      <w:outlineLvl w:val="3"/>
    </w:pPr>
    <w:rPr>
      <w:rFonts w:ascii="黑体" w:eastAsia="黑体"/>
      <w:kern w:val="21"/>
      <w:szCs w:val="20"/>
    </w:rPr>
  </w:style>
  <w:style w:type="paragraph" w:customStyle="1" w:styleId="78">
    <w:name w:val="列项——（一级）"/>
    <w:qFormat/>
    <w:uiPriority w:val="99"/>
    <w:pPr>
      <w:widowControl w:val="0"/>
      <w:numPr>
        <w:ilvl w:val="0"/>
        <w:numId w:val="5"/>
      </w:numPr>
      <w:jc w:val="both"/>
    </w:pPr>
    <w:rPr>
      <w:rFonts w:ascii="宋体" w:hAnsi="Times New Roman" w:eastAsia="宋体" w:cs="Times New Roman"/>
      <w:kern w:val="0"/>
      <w:sz w:val="21"/>
      <w:szCs w:val="20"/>
      <w:lang w:val="en-US" w:eastAsia="zh-CN" w:bidi="ar-SA"/>
    </w:rPr>
  </w:style>
  <w:style w:type="paragraph" w:customStyle="1" w:styleId="79">
    <w:name w:val="封面标准文稿类别2"/>
    <w:basedOn w:val="80"/>
    <w:qFormat/>
    <w:uiPriority w:val="99"/>
    <w:pPr>
      <w:framePr w:y="4469"/>
    </w:pPr>
  </w:style>
  <w:style w:type="paragraph" w:customStyle="1" w:styleId="80">
    <w:name w:val="封面标准文稿类别"/>
    <w:basedOn w:val="51"/>
    <w:qFormat/>
    <w:uiPriority w:val="99"/>
    <w:pPr>
      <w:spacing w:after="160" w:line="240" w:lineRule="auto"/>
    </w:pPr>
    <w:rPr>
      <w:sz w:val="24"/>
    </w:rPr>
  </w:style>
  <w:style w:type="paragraph" w:customStyle="1" w:styleId="81">
    <w:name w:val="章标题"/>
    <w:next w:val="18"/>
    <w:uiPriority w:val="99"/>
    <w:pPr>
      <w:numPr>
        <w:ilvl w:val="0"/>
        <w:numId w:val="3"/>
      </w:numPr>
      <w:spacing w:beforeLines="100" w:afterLines="100"/>
      <w:jc w:val="both"/>
      <w:outlineLvl w:val="1"/>
    </w:pPr>
    <w:rPr>
      <w:rFonts w:ascii="黑体" w:hAnsi="Times New Roman" w:eastAsia="黑体" w:cs="Times New Roman"/>
      <w:kern w:val="0"/>
      <w:sz w:val="21"/>
      <w:szCs w:val="20"/>
      <w:lang w:val="en-US" w:eastAsia="zh-CN" w:bidi="ar-SA"/>
    </w:rPr>
  </w:style>
  <w:style w:type="paragraph" w:customStyle="1" w:styleId="82">
    <w:name w:val="附录五级条标题"/>
    <w:basedOn w:val="75"/>
    <w:next w:val="18"/>
    <w:uiPriority w:val="99"/>
    <w:pPr>
      <w:numPr>
        <w:ilvl w:val="6"/>
      </w:numPr>
      <w:outlineLvl w:val="6"/>
    </w:pPr>
  </w:style>
  <w:style w:type="paragraph" w:customStyle="1" w:styleId="83">
    <w:name w:val="附录图标题"/>
    <w:basedOn w:val="1"/>
    <w:next w:val="18"/>
    <w:qFormat/>
    <w:uiPriority w:val="99"/>
    <w:pPr>
      <w:numPr>
        <w:ilvl w:val="1"/>
        <w:numId w:val="6"/>
      </w:numPr>
      <w:tabs>
        <w:tab w:val="left" w:pos="363"/>
      </w:tabs>
      <w:spacing w:beforeLines="50" w:afterLines="50"/>
      <w:ind w:left="0" w:firstLine="0"/>
      <w:jc w:val="center"/>
    </w:pPr>
    <w:rPr>
      <w:rFonts w:ascii="黑体" w:eastAsia="黑体"/>
      <w:szCs w:val="21"/>
    </w:rPr>
  </w:style>
  <w:style w:type="paragraph" w:customStyle="1" w:styleId="84">
    <w:name w:val="其他发布部门"/>
    <w:basedOn w:val="85"/>
    <w:qFormat/>
    <w:uiPriority w:val="99"/>
    <w:pPr>
      <w:framePr w:y="15310"/>
      <w:spacing w:line="240" w:lineRule="atLeast"/>
    </w:pPr>
    <w:rPr>
      <w:rFonts w:ascii="黑体" w:eastAsia="黑体"/>
      <w:b w:val="0"/>
    </w:rPr>
  </w:style>
  <w:style w:type="paragraph" w:customStyle="1" w:styleId="85">
    <w:name w:val="发布部门"/>
    <w:next w:val="18"/>
    <w:qFormat/>
    <w:uiPriority w:val="99"/>
    <w:pPr>
      <w:framePr w:w="7938" w:h="1134" w:hRule="exact" w:hSpace="125" w:vSpace="181" w:wrap="around" w:vAnchor="page" w:hAnchor="page" w:x="2150" w:y="14630" w:anchorLock="1"/>
      <w:jc w:val="center"/>
    </w:pPr>
    <w:rPr>
      <w:rFonts w:ascii="宋体" w:hAnsi="Times New Roman" w:eastAsia="宋体" w:cs="Times New Roman"/>
      <w:b/>
      <w:spacing w:val="20"/>
      <w:w w:val="135"/>
      <w:kern w:val="0"/>
      <w:sz w:val="28"/>
      <w:szCs w:val="20"/>
      <w:lang w:val="en-US" w:eastAsia="zh-CN" w:bidi="ar-SA"/>
    </w:rPr>
  </w:style>
  <w:style w:type="paragraph" w:customStyle="1" w:styleId="86">
    <w:name w:val="附录标识"/>
    <w:basedOn w:val="1"/>
    <w:next w:val="18"/>
    <w:uiPriority w:val="99"/>
    <w:pPr>
      <w:keepNext/>
      <w:widowControl/>
      <w:numPr>
        <w:ilvl w:val="0"/>
        <w:numId w:val="4"/>
      </w:numPr>
      <w:shd w:val="clear" w:color="FFFFFF" w:fill="FFFFFF"/>
      <w:tabs>
        <w:tab w:val="left" w:pos="360"/>
        <w:tab w:val="left" w:pos="6405"/>
      </w:tabs>
      <w:spacing w:before="640" w:after="28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87">
    <w:name w:val="示例内容"/>
    <w:qFormat/>
    <w:uiPriority w:val="99"/>
    <w:pPr>
      <w:ind w:firstLine="200" w:firstLineChars="200"/>
    </w:pPr>
    <w:rPr>
      <w:rFonts w:ascii="宋体" w:hAnsi="Times New Roman" w:eastAsia="宋体" w:cs="Times New Roman"/>
      <w:kern w:val="0"/>
      <w:sz w:val="18"/>
      <w:szCs w:val="18"/>
      <w:lang w:val="en-US" w:eastAsia="zh-CN" w:bidi="ar-SA"/>
    </w:rPr>
  </w:style>
  <w:style w:type="paragraph" w:customStyle="1" w:styleId="88">
    <w:name w:val="标准称谓"/>
    <w:next w:val="1"/>
    <w:uiPriority w:val="99"/>
    <w:pPr>
      <w:framePr w:w="9639" w:h="624" w:hRule="exact" w:hSpace="181" w:vSpace="181" w:wrap="around" w:vAnchor="page" w:hAnchor="page" w:x="1419" w:y="2286" w:anchorLock="1"/>
      <w:widowControl w:val="0"/>
      <w:kinsoku w:val="0"/>
      <w:overflowPunct w:val="0"/>
      <w:autoSpaceDE w:val="0"/>
      <w:autoSpaceDN w:val="0"/>
      <w:spacing w:line="240" w:lineRule="atLeast"/>
      <w:jc w:val="distribute"/>
    </w:pPr>
    <w:rPr>
      <w:rFonts w:ascii="宋体" w:hAnsi="Times New Roman" w:eastAsia="宋体" w:cs="Times New Roman"/>
      <w:b/>
      <w:bCs/>
      <w:spacing w:val="20"/>
      <w:w w:val="148"/>
      <w:kern w:val="0"/>
      <w:sz w:val="48"/>
      <w:szCs w:val="20"/>
      <w:lang w:val="en-US" w:eastAsia="zh-CN" w:bidi="ar-SA"/>
    </w:rPr>
  </w:style>
  <w:style w:type="paragraph" w:customStyle="1" w:styleId="89">
    <w:name w:val="附录四级无"/>
    <w:basedOn w:val="75"/>
    <w:qFormat/>
    <w:uiPriority w:val="99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90">
    <w:name w:val="标准标志"/>
    <w:next w:val="1"/>
    <w:qFormat/>
    <w:uiPriority w:val="99"/>
    <w:pPr>
      <w:framePr w:w="2546" w:h="1389" w:hRule="exact" w:hSpace="181" w:vSpace="181" w:wrap="around" w:vAnchor="margin" w:hAnchor="margin" w:x="6522" w:y="398" w:anchorLock="1"/>
      <w:shd w:val="solid" w:color="FFFFFF" w:fill="FFFFFF"/>
      <w:spacing w:line="240" w:lineRule="atLeast"/>
      <w:jc w:val="right"/>
    </w:pPr>
    <w:rPr>
      <w:rFonts w:ascii="Times New Roman" w:hAnsi="Times New Roman" w:eastAsia="宋体" w:cs="Times New Roman"/>
      <w:b/>
      <w:w w:val="170"/>
      <w:kern w:val="0"/>
      <w:sz w:val="96"/>
      <w:szCs w:val="96"/>
      <w:lang w:val="en-US" w:eastAsia="zh-CN" w:bidi="ar-SA"/>
    </w:rPr>
  </w:style>
  <w:style w:type="paragraph" w:customStyle="1" w:styleId="91">
    <w:name w:val="其他发布日期"/>
    <w:basedOn w:val="92"/>
    <w:qFormat/>
    <w:uiPriority w:val="99"/>
    <w:pPr>
      <w:framePr w:vAnchor="page" w:hAnchor="text" w:x="1419"/>
    </w:pPr>
  </w:style>
  <w:style w:type="paragraph" w:customStyle="1" w:styleId="92">
    <w:name w:val="发布日期"/>
    <w:uiPriority w:val="99"/>
    <w:pPr>
      <w:framePr w:w="3997" w:h="471" w:hRule="exact" w:vSpace="181" w:wrap="around" w:vAnchor="margin" w:hAnchor="page" w:x="7089" w:y="14097" w:anchorLock="1"/>
    </w:pPr>
    <w:rPr>
      <w:rFonts w:ascii="Times New Roman" w:hAnsi="Times New Roman" w:eastAsia="黑体" w:cs="Times New Roman"/>
      <w:kern w:val="0"/>
      <w:sz w:val="28"/>
      <w:szCs w:val="20"/>
      <w:lang w:val="en-US" w:eastAsia="zh-CN" w:bidi="ar-SA"/>
    </w:rPr>
  </w:style>
  <w:style w:type="paragraph" w:customStyle="1" w:styleId="93">
    <w:name w:val="封面标准代替信息"/>
    <w:uiPriority w:val="99"/>
    <w:pPr>
      <w:framePr w:w="9140" w:h="1242" w:hRule="exact" w:hSpace="284" w:wrap="around" w:vAnchor="page" w:hAnchor="page" w:x="1645" w:y="2910" w:anchorLock="1"/>
      <w:spacing w:before="57" w:line="280" w:lineRule="exact"/>
      <w:jc w:val="right"/>
    </w:pPr>
    <w:rPr>
      <w:rFonts w:ascii="宋体" w:hAnsi="Times New Roman" w:eastAsia="宋体" w:cs="Times New Roman"/>
      <w:kern w:val="0"/>
      <w:sz w:val="21"/>
      <w:szCs w:val="21"/>
      <w:lang w:val="en-US" w:eastAsia="zh-CN" w:bidi="ar-SA"/>
    </w:rPr>
  </w:style>
  <w:style w:type="paragraph" w:customStyle="1" w:styleId="94">
    <w:name w:val="附录一级无"/>
    <w:basedOn w:val="71"/>
    <w:qFormat/>
    <w:uiPriority w:val="99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95">
    <w:name w:val="附录数字编号列项（二级）"/>
    <w:uiPriority w:val="99"/>
    <w:pPr>
      <w:numPr>
        <w:ilvl w:val="1"/>
        <w:numId w:val="7"/>
      </w:numPr>
    </w:pPr>
    <w:rPr>
      <w:rFonts w:ascii="宋体" w:hAnsi="Times New Roman" w:eastAsia="宋体" w:cs="Times New Roman"/>
      <w:kern w:val="0"/>
      <w:sz w:val="21"/>
      <w:szCs w:val="20"/>
      <w:lang w:val="en-US" w:eastAsia="zh-CN" w:bidi="ar-SA"/>
    </w:rPr>
  </w:style>
  <w:style w:type="paragraph" w:customStyle="1" w:styleId="96">
    <w:name w:val="封面标准文稿编辑信息"/>
    <w:basedOn w:val="80"/>
    <w:qFormat/>
    <w:uiPriority w:val="99"/>
    <w:pPr>
      <w:spacing w:before="180" w:line="180" w:lineRule="exact"/>
    </w:pPr>
    <w:rPr>
      <w:sz w:val="21"/>
    </w:rPr>
  </w:style>
  <w:style w:type="paragraph" w:customStyle="1" w:styleId="97">
    <w:name w:val="附录五级无"/>
    <w:basedOn w:val="82"/>
    <w:qFormat/>
    <w:uiPriority w:val="99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98">
    <w:name w:val="标准书脚_奇数页"/>
    <w:qFormat/>
    <w:uiPriority w:val="99"/>
    <w:pPr>
      <w:spacing w:before="120"/>
      <w:ind w:right="198"/>
      <w:jc w:val="right"/>
    </w:pPr>
    <w:rPr>
      <w:rFonts w:ascii="宋体" w:hAnsi="Times New Roman" w:eastAsia="宋体" w:cs="Times New Roman"/>
      <w:kern w:val="0"/>
      <w:sz w:val="18"/>
      <w:szCs w:val="18"/>
      <w:lang w:val="en-US" w:eastAsia="zh-CN" w:bidi="ar-SA"/>
    </w:rPr>
  </w:style>
  <w:style w:type="paragraph" w:customStyle="1" w:styleId="99">
    <w:name w:val="四级无"/>
    <w:basedOn w:val="56"/>
    <w:qFormat/>
    <w:uiPriority w:val="99"/>
    <w:pPr>
      <w:spacing w:beforeLines="0" w:afterLines="0"/>
    </w:pPr>
    <w:rPr>
      <w:rFonts w:ascii="宋体" w:eastAsia="宋体"/>
    </w:rPr>
  </w:style>
  <w:style w:type="paragraph" w:customStyle="1" w:styleId="100">
    <w:name w:val="正文表标题"/>
    <w:next w:val="18"/>
    <w:uiPriority w:val="99"/>
    <w:pPr>
      <w:numPr>
        <w:ilvl w:val="0"/>
        <w:numId w:val="8"/>
      </w:numPr>
      <w:tabs>
        <w:tab w:val="left" w:pos="360"/>
      </w:tabs>
      <w:spacing w:beforeLines="50" w:afterLines="50"/>
      <w:jc w:val="center"/>
    </w:pPr>
    <w:rPr>
      <w:rFonts w:ascii="黑体" w:hAnsi="Times New Roman" w:eastAsia="黑体" w:cs="Times New Roman"/>
      <w:kern w:val="0"/>
      <w:sz w:val="21"/>
      <w:szCs w:val="20"/>
      <w:lang w:val="en-US" w:eastAsia="zh-CN" w:bidi="ar-SA"/>
    </w:rPr>
  </w:style>
  <w:style w:type="paragraph" w:customStyle="1" w:styleId="101">
    <w:name w:val="条文脚注"/>
    <w:basedOn w:val="19"/>
    <w:uiPriority w:val="99"/>
    <w:pPr>
      <w:numPr>
        <w:numId w:val="0"/>
      </w:numPr>
      <w:jc w:val="both"/>
    </w:pPr>
  </w:style>
  <w:style w:type="paragraph" w:customStyle="1" w:styleId="102">
    <w:name w:val="其他标准称谓"/>
    <w:next w:val="1"/>
    <w:uiPriority w:val="99"/>
    <w:pPr>
      <w:framePr w:hSpace="181" w:vSpace="181" w:wrap="around" w:vAnchor="page" w:hAnchor="page" w:x="1419" w:y="2286" w:anchorLock="1"/>
      <w:spacing w:line="240" w:lineRule="atLeast"/>
      <w:jc w:val="distribute"/>
    </w:pPr>
    <w:rPr>
      <w:rFonts w:ascii="黑体" w:hAnsi="宋体" w:eastAsia="黑体" w:cs="Times New Roman"/>
      <w:spacing w:val="-40"/>
      <w:kern w:val="0"/>
      <w:sz w:val="48"/>
      <w:szCs w:val="52"/>
      <w:lang w:val="en-US" w:eastAsia="zh-CN" w:bidi="ar-SA"/>
    </w:rPr>
  </w:style>
  <w:style w:type="paragraph" w:customStyle="1" w:styleId="103">
    <w:name w:val="图表脚注说明"/>
    <w:basedOn w:val="1"/>
    <w:uiPriority w:val="99"/>
    <w:pPr>
      <w:numPr>
        <w:ilvl w:val="0"/>
        <w:numId w:val="9"/>
      </w:numPr>
    </w:pPr>
    <w:rPr>
      <w:rFonts w:ascii="宋体"/>
      <w:sz w:val="18"/>
      <w:szCs w:val="18"/>
    </w:rPr>
  </w:style>
  <w:style w:type="paragraph" w:customStyle="1" w:styleId="104">
    <w:name w:val="附录公式编号制表符"/>
    <w:basedOn w:val="1"/>
    <w:next w:val="18"/>
    <w:uiPriority w:val="99"/>
    <w:pPr>
      <w:widowControl/>
      <w:tabs>
        <w:tab w:val="center" w:pos="4201"/>
        <w:tab w:val="right" w:leader="dot" w:pos="9298"/>
      </w:tabs>
      <w:autoSpaceDE w:val="0"/>
      <w:autoSpaceDN w:val="0"/>
    </w:pPr>
    <w:rPr>
      <w:rFonts w:ascii="宋体"/>
      <w:kern w:val="0"/>
      <w:szCs w:val="20"/>
    </w:rPr>
  </w:style>
  <w:style w:type="paragraph" w:customStyle="1" w:styleId="105">
    <w:name w:val="封面标准号2"/>
    <w:uiPriority w:val="99"/>
    <w:pPr>
      <w:framePr w:w="9140" w:h="1242" w:hRule="exact" w:hSpace="284" w:wrap="around" w:vAnchor="page" w:hAnchor="page" w:x="1645" w:y="2910" w:anchorLock="1"/>
      <w:spacing w:before="357" w:line="280" w:lineRule="exact"/>
      <w:jc w:val="right"/>
    </w:pPr>
    <w:rPr>
      <w:rFonts w:ascii="黑体" w:hAnsi="Times New Roman" w:eastAsia="黑体" w:cs="Times New Roman"/>
      <w:kern w:val="0"/>
      <w:sz w:val="28"/>
      <w:szCs w:val="28"/>
      <w:lang w:val="en-US" w:eastAsia="zh-CN" w:bidi="ar-SA"/>
    </w:rPr>
  </w:style>
  <w:style w:type="paragraph" w:customStyle="1" w:styleId="106">
    <w:name w:val="其他标准标志"/>
    <w:basedOn w:val="90"/>
    <w:uiPriority w:val="99"/>
    <w:pPr>
      <w:framePr w:w="6101" w:vAnchor="page" w:hAnchor="page" w:x="4673" w:y="942"/>
    </w:pPr>
    <w:rPr>
      <w:w w:val="130"/>
    </w:rPr>
  </w:style>
  <w:style w:type="paragraph" w:customStyle="1" w:styleId="107">
    <w:name w:val="目次、索引正文"/>
    <w:uiPriority w:val="99"/>
    <w:pPr>
      <w:spacing w:line="320" w:lineRule="exact"/>
      <w:jc w:val="both"/>
    </w:pPr>
    <w:rPr>
      <w:rFonts w:ascii="宋体" w:hAnsi="Times New Roman" w:eastAsia="宋体" w:cs="Times New Roman"/>
      <w:kern w:val="0"/>
      <w:sz w:val="21"/>
      <w:szCs w:val="20"/>
      <w:lang w:val="en-US" w:eastAsia="zh-CN" w:bidi="ar-SA"/>
    </w:rPr>
  </w:style>
  <w:style w:type="paragraph" w:customStyle="1" w:styleId="108">
    <w:name w:val="列项说明数字编号"/>
    <w:uiPriority w:val="99"/>
    <w:pPr>
      <w:ind w:left="600" w:leftChars="400" w:hanging="200" w:hangingChars="200"/>
    </w:pPr>
    <w:rPr>
      <w:rFonts w:ascii="宋体" w:hAnsi="Times New Roman" w:eastAsia="宋体" w:cs="Times New Roman"/>
      <w:kern w:val="0"/>
      <w:sz w:val="21"/>
      <w:szCs w:val="20"/>
      <w:lang w:val="en-US" w:eastAsia="zh-CN" w:bidi="ar-SA"/>
    </w:rPr>
  </w:style>
  <w:style w:type="paragraph" w:customStyle="1" w:styleId="109">
    <w:name w:val="二级无"/>
    <w:basedOn w:val="58"/>
    <w:uiPriority w:val="99"/>
    <w:pPr>
      <w:spacing w:beforeLines="0" w:afterLines="0"/>
      <w:ind w:left="0"/>
    </w:pPr>
    <w:rPr>
      <w:rFonts w:ascii="宋体" w:eastAsia="宋体"/>
    </w:rPr>
  </w:style>
  <w:style w:type="paragraph" w:customStyle="1" w:styleId="110">
    <w:name w:val="封面标准英文名称2"/>
    <w:basedOn w:val="52"/>
    <w:uiPriority w:val="99"/>
    <w:pPr>
      <w:framePr w:y="4469"/>
    </w:pPr>
  </w:style>
  <w:style w:type="paragraph" w:customStyle="1" w:styleId="111">
    <w:name w:val="注："/>
    <w:next w:val="18"/>
    <w:qFormat/>
    <w:uiPriority w:val="99"/>
    <w:pPr>
      <w:widowControl w:val="0"/>
      <w:numPr>
        <w:ilvl w:val="0"/>
        <w:numId w:val="10"/>
      </w:numPr>
      <w:autoSpaceDE w:val="0"/>
      <w:autoSpaceDN w:val="0"/>
      <w:jc w:val="both"/>
    </w:pPr>
    <w:rPr>
      <w:rFonts w:ascii="宋体" w:hAnsi="Times New Roman" w:eastAsia="宋体" w:cs="Times New Roman"/>
      <w:kern w:val="0"/>
      <w:sz w:val="18"/>
      <w:szCs w:val="18"/>
      <w:lang w:val="en-US" w:eastAsia="zh-CN" w:bidi="ar-SA"/>
    </w:rPr>
  </w:style>
  <w:style w:type="paragraph" w:customStyle="1" w:styleId="112">
    <w:name w:val="正文图标题"/>
    <w:next w:val="18"/>
    <w:uiPriority w:val="99"/>
    <w:pPr>
      <w:numPr>
        <w:ilvl w:val="0"/>
        <w:numId w:val="11"/>
      </w:numPr>
      <w:tabs>
        <w:tab w:val="left" w:pos="360"/>
      </w:tabs>
      <w:spacing w:beforeLines="50" w:afterLines="50"/>
      <w:jc w:val="center"/>
    </w:pPr>
    <w:rPr>
      <w:rFonts w:ascii="黑体" w:hAnsi="Times New Roman" w:eastAsia="黑体" w:cs="Times New Roman"/>
      <w:kern w:val="0"/>
      <w:sz w:val="21"/>
      <w:szCs w:val="20"/>
      <w:lang w:val="en-US" w:eastAsia="zh-CN" w:bidi="ar-SA"/>
    </w:rPr>
  </w:style>
  <w:style w:type="paragraph" w:customStyle="1" w:styleId="113">
    <w:name w:val="封面正文"/>
    <w:qFormat/>
    <w:uiPriority w:val="99"/>
    <w:pPr>
      <w:jc w:val="both"/>
    </w:pPr>
    <w:rPr>
      <w:rFonts w:ascii="Times New Roman" w:hAnsi="Times New Roman" w:eastAsia="宋体" w:cs="Times New Roman"/>
      <w:kern w:val="0"/>
      <w:sz w:val="20"/>
      <w:szCs w:val="20"/>
      <w:lang w:val="en-US" w:eastAsia="zh-CN" w:bidi="ar-SA"/>
    </w:rPr>
  </w:style>
  <w:style w:type="paragraph" w:customStyle="1" w:styleId="114">
    <w:name w:val="参考文献、索引标题"/>
    <w:basedOn w:val="1"/>
    <w:next w:val="18"/>
    <w:uiPriority w:val="99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115">
    <w:name w:val="实施日期"/>
    <w:basedOn w:val="92"/>
    <w:uiPriority w:val="99"/>
    <w:pPr>
      <w:framePr w:vAnchor="page" w:hAnchor="text"/>
      <w:jc w:val="right"/>
    </w:pPr>
  </w:style>
  <w:style w:type="paragraph" w:customStyle="1" w:styleId="116">
    <w:name w:val="封面标准号1"/>
    <w:uiPriority w:val="99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rFonts w:ascii="Times New Roman" w:hAnsi="Times New Roman" w:eastAsia="宋体" w:cs="Times New Roman"/>
      <w:kern w:val="0"/>
      <w:sz w:val="28"/>
      <w:szCs w:val="20"/>
      <w:lang w:val="en-US" w:eastAsia="zh-CN" w:bidi="ar-SA"/>
    </w:rPr>
  </w:style>
  <w:style w:type="paragraph" w:customStyle="1" w:styleId="117">
    <w:name w:val="文献分类号"/>
    <w:qFormat/>
    <w:uiPriority w:val="99"/>
    <w:pPr>
      <w:framePr w:hSpace="180" w:vSpace="180" w:wrap="around" w:vAnchor="margin" w:hAnchor="margin" w:y="1" w:anchorLock="1"/>
      <w:widowControl w:val="0"/>
      <w:textAlignment w:val="center"/>
    </w:pPr>
    <w:rPr>
      <w:rFonts w:ascii="黑体" w:hAnsi="Times New Roman" w:eastAsia="黑体" w:cs="Times New Roman"/>
      <w:kern w:val="0"/>
      <w:sz w:val="21"/>
      <w:szCs w:val="21"/>
      <w:lang w:val="en-US" w:eastAsia="zh-CN" w:bidi="ar-SA"/>
    </w:rPr>
  </w:style>
  <w:style w:type="paragraph" w:customStyle="1" w:styleId="118">
    <w:name w:val="标准书脚_偶数页"/>
    <w:qFormat/>
    <w:uiPriority w:val="99"/>
    <w:pPr>
      <w:spacing w:before="120"/>
      <w:ind w:left="221"/>
    </w:pPr>
    <w:rPr>
      <w:rFonts w:ascii="宋体" w:hAnsi="Times New Roman" w:eastAsia="宋体" w:cs="Times New Roman"/>
      <w:kern w:val="0"/>
      <w:sz w:val="18"/>
      <w:szCs w:val="18"/>
      <w:lang w:val="en-US" w:eastAsia="zh-CN" w:bidi="ar-SA"/>
    </w:rPr>
  </w:style>
  <w:style w:type="paragraph" w:customStyle="1" w:styleId="119">
    <w:name w:val="示例×："/>
    <w:basedOn w:val="81"/>
    <w:qFormat/>
    <w:uiPriority w:val="99"/>
    <w:pPr>
      <w:numPr>
        <w:numId w:val="12"/>
      </w:numPr>
      <w:spacing w:beforeLines="0" w:afterLines="0"/>
      <w:outlineLvl w:val="9"/>
    </w:pPr>
    <w:rPr>
      <w:rFonts w:ascii="宋体" w:eastAsia="宋体"/>
      <w:sz w:val="18"/>
      <w:szCs w:val="18"/>
    </w:rPr>
  </w:style>
  <w:style w:type="paragraph" w:customStyle="1" w:styleId="120">
    <w:name w:val="前言、引言标题"/>
    <w:next w:val="18"/>
    <w:uiPriority w:val="99"/>
    <w:pPr>
      <w:keepNext/>
      <w:pageBreakBefore/>
      <w:shd w:val="clear" w:color="FFFFFF" w:fill="FFFFFF"/>
      <w:spacing w:before="640" w:after="560"/>
      <w:jc w:val="center"/>
      <w:outlineLvl w:val="0"/>
    </w:pPr>
    <w:rPr>
      <w:rFonts w:ascii="黑体" w:hAnsi="Times New Roman" w:eastAsia="黑体" w:cs="Times New Roman"/>
      <w:kern w:val="0"/>
      <w:sz w:val="32"/>
      <w:szCs w:val="20"/>
      <w:lang w:val="en-US" w:eastAsia="zh-CN" w:bidi="ar-SA"/>
    </w:rPr>
  </w:style>
  <w:style w:type="paragraph" w:customStyle="1" w:styleId="121">
    <w:name w:val="图标脚注说明"/>
    <w:basedOn w:val="18"/>
    <w:uiPriority w:val="99"/>
    <w:pPr>
      <w:ind w:left="840" w:hanging="420" w:firstLineChars="0"/>
    </w:pPr>
    <w:rPr>
      <w:sz w:val="18"/>
      <w:szCs w:val="18"/>
    </w:rPr>
  </w:style>
  <w:style w:type="paragraph" w:customStyle="1" w:styleId="122">
    <w:name w:val="数字编号列项（二级）"/>
    <w:uiPriority w:val="99"/>
    <w:pPr>
      <w:numPr>
        <w:ilvl w:val="1"/>
        <w:numId w:val="13"/>
      </w:numPr>
      <w:jc w:val="both"/>
    </w:pPr>
    <w:rPr>
      <w:rFonts w:ascii="宋体" w:hAnsi="Times New Roman" w:eastAsia="宋体" w:cs="Times New Roman"/>
      <w:kern w:val="0"/>
      <w:sz w:val="21"/>
      <w:szCs w:val="20"/>
      <w:lang w:val="en-US" w:eastAsia="zh-CN" w:bidi="ar-SA"/>
    </w:rPr>
  </w:style>
  <w:style w:type="paragraph" w:customStyle="1" w:styleId="123">
    <w:name w:val="参考文献"/>
    <w:basedOn w:val="1"/>
    <w:next w:val="18"/>
    <w:uiPriority w:val="99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124">
    <w:name w:val="封面标准文稿编辑信息2"/>
    <w:basedOn w:val="96"/>
    <w:qFormat/>
    <w:uiPriority w:val="99"/>
    <w:pPr>
      <w:framePr w:y="4469"/>
    </w:pPr>
  </w:style>
  <w:style w:type="paragraph" w:customStyle="1" w:styleId="125">
    <w:name w:val="字母编号列项（一级）"/>
    <w:qFormat/>
    <w:uiPriority w:val="99"/>
    <w:pPr>
      <w:numPr>
        <w:ilvl w:val="0"/>
        <w:numId w:val="13"/>
      </w:numPr>
      <w:jc w:val="both"/>
    </w:pPr>
    <w:rPr>
      <w:rFonts w:ascii="宋体" w:hAnsi="Times New Roman" w:eastAsia="宋体" w:cs="Times New Roman"/>
      <w:kern w:val="0"/>
      <w:sz w:val="21"/>
      <w:szCs w:val="20"/>
      <w:lang w:val="en-US" w:eastAsia="zh-CN" w:bidi="ar-SA"/>
    </w:rPr>
  </w:style>
  <w:style w:type="paragraph" w:customStyle="1" w:styleId="126">
    <w:name w:val="注：（正文）"/>
    <w:basedOn w:val="111"/>
    <w:next w:val="18"/>
    <w:qFormat/>
    <w:uiPriority w:val="99"/>
  </w:style>
  <w:style w:type="paragraph" w:customStyle="1" w:styleId="127">
    <w:name w:val="目次、标准名称标题"/>
    <w:basedOn w:val="1"/>
    <w:next w:val="18"/>
    <w:uiPriority w:val="99"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/>
      <w:kern w:val="0"/>
      <w:sz w:val="32"/>
      <w:szCs w:val="20"/>
    </w:rPr>
  </w:style>
  <w:style w:type="paragraph" w:customStyle="1" w:styleId="128">
    <w:name w:val="图的脚注"/>
    <w:next w:val="18"/>
    <w:qFormat/>
    <w:uiPriority w:val="99"/>
    <w:pPr>
      <w:widowControl w:val="0"/>
      <w:ind w:left="840" w:leftChars="200" w:hanging="420" w:hangingChars="200"/>
      <w:jc w:val="both"/>
    </w:pPr>
    <w:rPr>
      <w:rFonts w:ascii="宋体" w:hAnsi="Times New Roman" w:eastAsia="宋体" w:cs="Times New Roman"/>
      <w:kern w:val="0"/>
      <w:sz w:val="18"/>
      <w:szCs w:val="20"/>
      <w:lang w:val="en-US" w:eastAsia="zh-CN" w:bidi="ar-SA"/>
    </w:rPr>
  </w:style>
  <w:style w:type="paragraph" w:customStyle="1" w:styleId="129">
    <w:name w:val="列项◆（三级）"/>
    <w:basedOn w:val="1"/>
    <w:uiPriority w:val="99"/>
    <w:pPr>
      <w:numPr>
        <w:ilvl w:val="2"/>
        <w:numId w:val="5"/>
      </w:numPr>
    </w:pPr>
    <w:rPr>
      <w:rFonts w:ascii="宋体"/>
      <w:szCs w:val="21"/>
    </w:rPr>
  </w:style>
  <w:style w:type="paragraph" w:customStyle="1" w:styleId="130">
    <w:name w:val="示例后文字"/>
    <w:basedOn w:val="18"/>
    <w:next w:val="18"/>
    <w:uiPriority w:val="99"/>
    <w:pPr>
      <w:ind w:firstLine="360"/>
    </w:pPr>
    <w:rPr>
      <w:sz w:val="18"/>
    </w:rPr>
  </w:style>
  <w:style w:type="paragraph" w:customStyle="1" w:styleId="131">
    <w:name w:val="附录图标号"/>
    <w:basedOn w:val="1"/>
    <w:uiPriority w:val="99"/>
    <w:pPr>
      <w:keepNext/>
      <w:pageBreakBefore/>
      <w:widowControl/>
      <w:numPr>
        <w:ilvl w:val="0"/>
        <w:numId w:val="6"/>
      </w:numPr>
      <w:spacing w:line="14" w:lineRule="exact"/>
      <w:ind w:left="0" w:firstLine="363"/>
      <w:jc w:val="center"/>
      <w:outlineLvl w:val="0"/>
    </w:pPr>
    <w:rPr>
      <w:color w:val="FFFFFF"/>
    </w:rPr>
  </w:style>
  <w:style w:type="paragraph" w:customStyle="1" w:styleId="132">
    <w:name w:val="注×："/>
    <w:qFormat/>
    <w:uiPriority w:val="99"/>
    <w:pPr>
      <w:widowControl w:val="0"/>
      <w:numPr>
        <w:ilvl w:val="0"/>
        <w:numId w:val="14"/>
      </w:numPr>
      <w:autoSpaceDE w:val="0"/>
      <w:autoSpaceDN w:val="0"/>
      <w:jc w:val="both"/>
    </w:pPr>
    <w:rPr>
      <w:rFonts w:ascii="宋体" w:hAnsi="Times New Roman" w:eastAsia="宋体" w:cs="Times New Roman"/>
      <w:kern w:val="0"/>
      <w:sz w:val="18"/>
      <w:szCs w:val="18"/>
      <w:lang w:val="en-US" w:eastAsia="zh-CN" w:bidi="ar-SA"/>
    </w:rPr>
  </w:style>
  <w:style w:type="paragraph" w:customStyle="1" w:styleId="133">
    <w:name w:val="正文公式编号制表符"/>
    <w:basedOn w:val="18"/>
    <w:next w:val="18"/>
    <w:qFormat/>
    <w:uiPriority w:val="99"/>
    <w:pPr>
      <w:ind w:firstLine="0" w:firstLineChars="0"/>
    </w:pPr>
  </w:style>
  <w:style w:type="paragraph" w:customStyle="1" w:styleId="134">
    <w:name w:val="附录二级无"/>
    <w:basedOn w:val="77"/>
    <w:qFormat/>
    <w:uiPriority w:val="99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135">
    <w:name w:val="附录标题"/>
    <w:basedOn w:val="18"/>
    <w:next w:val="18"/>
    <w:qFormat/>
    <w:uiPriority w:val="99"/>
    <w:pPr>
      <w:ind w:firstLine="0" w:firstLineChars="0"/>
      <w:jc w:val="center"/>
    </w:pPr>
    <w:rPr>
      <w:rFonts w:ascii="黑体" w:eastAsia="黑体"/>
    </w:rPr>
  </w:style>
  <w:style w:type="paragraph" w:customStyle="1" w:styleId="136">
    <w:name w:val="附录字母编号列项（一级）"/>
    <w:uiPriority w:val="99"/>
    <w:pPr>
      <w:numPr>
        <w:ilvl w:val="0"/>
        <w:numId w:val="7"/>
      </w:numPr>
    </w:pPr>
    <w:rPr>
      <w:rFonts w:ascii="宋体" w:hAnsi="Times New Roman" w:eastAsia="宋体" w:cs="Times New Roman"/>
      <w:kern w:val="0"/>
      <w:sz w:val="21"/>
      <w:szCs w:val="20"/>
      <w:lang w:val="en-US" w:eastAsia="zh-CN" w:bidi="ar-SA"/>
    </w:rPr>
  </w:style>
  <w:style w:type="paragraph" w:customStyle="1" w:styleId="137">
    <w:name w:val="附录表标题"/>
    <w:basedOn w:val="1"/>
    <w:next w:val="18"/>
    <w:qFormat/>
    <w:uiPriority w:val="99"/>
    <w:pPr>
      <w:numPr>
        <w:ilvl w:val="1"/>
        <w:numId w:val="15"/>
      </w:numPr>
      <w:tabs>
        <w:tab w:val="left" w:pos="180"/>
      </w:tabs>
      <w:spacing w:beforeLines="50" w:afterLines="50"/>
      <w:ind w:left="0" w:firstLine="0"/>
      <w:jc w:val="center"/>
    </w:pPr>
    <w:rPr>
      <w:rFonts w:ascii="黑体" w:eastAsia="黑体"/>
      <w:szCs w:val="21"/>
    </w:rPr>
  </w:style>
  <w:style w:type="paragraph" w:customStyle="1" w:styleId="138">
    <w:name w:val="编号列项（三级）"/>
    <w:uiPriority w:val="99"/>
    <w:pPr>
      <w:numPr>
        <w:ilvl w:val="2"/>
        <w:numId w:val="13"/>
      </w:numPr>
    </w:pPr>
    <w:rPr>
      <w:rFonts w:ascii="宋体" w:hAnsi="Times New Roman" w:eastAsia="宋体" w:cs="Times New Roman"/>
      <w:kern w:val="0"/>
      <w:sz w:val="21"/>
      <w:szCs w:val="20"/>
      <w:lang w:val="en-US" w:eastAsia="zh-CN" w:bidi="ar-SA"/>
    </w:rPr>
  </w:style>
  <w:style w:type="paragraph" w:customStyle="1" w:styleId="139">
    <w:name w:val="标准书眉一"/>
    <w:uiPriority w:val="99"/>
    <w:pPr>
      <w:jc w:val="both"/>
    </w:pPr>
    <w:rPr>
      <w:rFonts w:ascii="Times New Roman" w:hAnsi="Times New Roman" w:eastAsia="宋体" w:cs="Times New Roman"/>
      <w:kern w:val="0"/>
      <w:sz w:val="20"/>
      <w:szCs w:val="20"/>
      <w:lang w:val="en-US" w:eastAsia="zh-CN" w:bidi="ar-SA"/>
    </w:rPr>
  </w:style>
  <w:style w:type="paragraph" w:customStyle="1" w:styleId="140">
    <w:name w:val="其他实施日期"/>
    <w:basedOn w:val="115"/>
    <w:uiPriority w:val="99"/>
  </w:style>
  <w:style w:type="paragraph" w:customStyle="1" w:styleId="141">
    <w:name w:val="注×：（正文）"/>
    <w:uiPriority w:val="99"/>
    <w:pPr>
      <w:numPr>
        <w:ilvl w:val="0"/>
        <w:numId w:val="16"/>
      </w:numPr>
      <w:jc w:val="both"/>
    </w:pPr>
    <w:rPr>
      <w:rFonts w:ascii="宋体" w:hAnsi="Times New Roman" w:eastAsia="宋体" w:cs="Times New Roman"/>
      <w:kern w:val="0"/>
      <w:sz w:val="18"/>
      <w:szCs w:val="18"/>
      <w:lang w:val="en-US" w:eastAsia="zh-CN" w:bidi="ar-SA"/>
    </w:rPr>
  </w:style>
  <w:style w:type="paragraph" w:customStyle="1" w:styleId="142">
    <w:name w:val="Default"/>
    <w:uiPriority w:val="99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kern w:val="0"/>
      <w:sz w:val="24"/>
      <w:szCs w:val="24"/>
      <w:lang w:val="en-US" w:eastAsia="zh-CN" w:bidi="ar-SA"/>
    </w:rPr>
  </w:style>
  <w:style w:type="paragraph" w:customStyle="1" w:styleId="143">
    <w:name w:val="列项说明"/>
    <w:basedOn w:val="1"/>
    <w:uiPriority w:val="99"/>
    <w:pPr>
      <w:adjustRightInd w:val="0"/>
      <w:spacing w:line="320" w:lineRule="exact"/>
      <w:ind w:left="400" w:leftChars="200" w:hanging="200" w:hangingChars="200"/>
      <w:jc w:val="left"/>
      <w:textAlignment w:val="baseline"/>
    </w:pPr>
    <w:rPr>
      <w:rFonts w:ascii="宋体"/>
      <w:kern w:val="0"/>
      <w:szCs w:val="20"/>
    </w:rPr>
  </w:style>
  <w:style w:type="paragraph" w:customStyle="1" w:styleId="144">
    <w:name w:val="附录三级无"/>
    <w:basedOn w:val="76"/>
    <w:uiPriority w:val="99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145">
    <w:name w:val="列项●（二级）"/>
    <w:uiPriority w:val="99"/>
    <w:pPr>
      <w:numPr>
        <w:ilvl w:val="1"/>
        <w:numId w:val="5"/>
      </w:numPr>
      <w:tabs>
        <w:tab w:val="left" w:pos="840"/>
      </w:tabs>
      <w:jc w:val="both"/>
    </w:pPr>
    <w:rPr>
      <w:rFonts w:ascii="宋体" w:hAnsi="Times New Roman" w:eastAsia="宋体" w:cs="Times New Roman"/>
      <w:kern w:val="0"/>
      <w:sz w:val="21"/>
      <w:szCs w:val="20"/>
      <w:lang w:val="en-US" w:eastAsia="zh-CN" w:bidi="ar-SA"/>
    </w:rPr>
  </w:style>
  <w:style w:type="paragraph" w:customStyle="1" w:styleId="146">
    <w:name w:val="示例"/>
    <w:next w:val="87"/>
    <w:uiPriority w:val="99"/>
    <w:pPr>
      <w:widowControl w:val="0"/>
      <w:numPr>
        <w:ilvl w:val="0"/>
        <w:numId w:val="17"/>
      </w:numPr>
      <w:jc w:val="both"/>
    </w:pPr>
    <w:rPr>
      <w:rFonts w:ascii="宋体" w:hAnsi="Times New Roman" w:eastAsia="宋体" w:cs="Times New Roman"/>
      <w:kern w:val="0"/>
      <w:sz w:val="18"/>
      <w:szCs w:val="18"/>
      <w:lang w:val="en-US" w:eastAsia="zh-CN" w:bidi="ar-SA"/>
    </w:rPr>
  </w:style>
  <w:style w:type="paragraph" w:customStyle="1" w:styleId="147">
    <w:name w:val="TOC 标题1"/>
    <w:basedOn w:val="2"/>
    <w:next w:val="1"/>
    <w:qFormat/>
    <w:uiPriority w:val="99"/>
    <w:pPr>
      <w:widowControl/>
      <w:spacing w:before="240" w:after="0" w:line="259" w:lineRule="auto"/>
      <w:jc w:val="left"/>
      <w:outlineLvl w:val="9"/>
    </w:pPr>
    <w:rPr>
      <w:rFonts w:ascii="等线 Light" w:hAnsi="等线 Light" w:eastAsia="等线 Light"/>
      <w:b w:val="0"/>
      <w:bCs w:val="0"/>
      <w:color w:val="2F5496"/>
      <w:kern w:val="0"/>
      <w:sz w:val="32"/>
      <w:szCs w:val="32"/>
    </w:rPr>
  </w:style>
  <w:style w:type="paragraph" w:customStyle="1" w:styleId="148">
    <w:name w:val="三级无"/>
    <w:basedOn w:val="57"/>
    <w:qFormat/>
    <w:uiPriority w:val="99"/>
    <w:pPr>
      <w:spacing w:beforeLines="0" w:afterLines="0"/>
    </w:pPr>
    <w:rPr>
      <w:rFonts w:ascii="宋体" w:eastAsia="宋体"/>
    </w:rPr>
  </w:style>
  <w:style w:type="paragraph" w:customStyle="1" w:styleId="149">
    <w:name w:val="一级无"/>
    <w:basedOn w:val="59"/>
    <w:uiPriority w:val="99"/>
    <w:pPr>
      <w:spacing w:beforeLines="0" w:afterLines="0"/>
    </w:pPr>
    <w:rPr>
      <w:rFonts w:ascii="宋体" w:eastAsia="宋体"/>
    </w:rPr>
  </w:style>
  <w:style w:type="paragraph" w:customStyle="1" w:styleId="150">
    <w:name w:val="附录表标号"/>
    <w:basedOn w:val="1"/>
    <w:next w:val="18"/>
    <w:qFormat/>
    <w:uiPriority w:val="99"/>
    <w:pPr>
      <w:numPr>
        <w:ilvl w:val="0"/>
        <w:numId w:val="15"/>
      </w:numPr>
      <w:tabs>
        <w:tab w:val="clear" w:pos="0"/>
      </w:tabs>
      <w:spacing w:line="14" w:lineRule="exact"/>
      <w:ind w:left="811" w:hanging="448"/>
      <w:jc w:val="center"/>
      <w:outlineLvl w:val="0"/>
    </w:pPr>
    <w:rPr>
      <w:color w:val="FFFFFF"/>
    </w:rPr>
  </w:style>
  <w:style w:type="character" w:customStyle="1" w:styleId="151">
    <w:name w:val="批注文字 Char"/>
    <w:uiPriority w:val="99"/>
    <w:rPr>
      <w:kern w:val="2"/>
      <w:sz w:val="24"/>
    </w:rPr>
  </w:style>
  <w:style w:type="character" w:customStyle="1" w:styleId="152">
    <w:name w:val="段 Char Char"/>
    <w:qFormat/>
    <w:uiPriority w:val="99"/>
    <w:rPr>
      <w:rFonts w:ascii="宋体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wmf"/><Relationship Id="rId8" Type="http://schemas.openxmlformats.org/officeDocument/2006/relationships/oleObject" Target="embeddings/oleObject2.bin"/><Relationship Id="rId7" Type="http://schemas.openxmlformats.org/officeDocument/2006/relationships/image" Target="media/image1.wmf"/><Relationship Id="rId6" Type="http://schemas.openxmlformats.org/officeDocument/2006/relationships/oleObject" Target="embeddings/oleObject1.bin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3.wmf"/><Relationship Id="rId10" Type="http://schemas.openxmlformats.org/officeDocument/2006/relationships/oleObject" Target="embeddings/oleObject3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zle</Company>
  <Pages>13</Pages>
  <Words>1442</Words>
  <Characters>8226</Characters>
  <Lines>0</Lines>
  <Paragraphs>0</Paragraphs>
  <TotalTime>266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2019-05-09T11:37:00Z</dcterms:created>
  <dc:creator>CNIS</dc:creator>
  <cp:lastModifiedBy>悠哈</cp:lastModifiedBy>
  <cp:lastPrinted>2019-05-24T03:42:00Z</cp:lastPrinted>
  <dcterms:modified xsi:type="dcterms:W3CDTF">2019-06-03T09:14:19Z</dcterms:modified>
  <dc:title>标准名称</dc:title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