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569"/>
          <w:tab w:val="center" w:pos="4153"/>
        </w:tabs>
        <w:spacing w:line="360" w:lineRule="auto"/>
        <w:rPr>
          <w:rFonts w:ascii="宋体" w:hAnsi="宋体" w:cs="宋体"/>
          <w:b/>
          <w:bCs/>
          <w:sz w:val="21"/>
          <w:szCs w:val="21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标准科技创新奖申报平台服务平台</w:t>
      </w: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推荐机构操作手册</w:t>
      </w: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000000"/>
          <w:sz w:val="21"/>
          <w:szCs w:val="21"/>
        </w:rPr>
      </w:pPr>
    </w:p>
    <w:p>
      <w:pPr>
        <w:spacing w:line="360" w:lineRule="auto"/>
        <w:rPr>
          <w:rFonts w:ascii="宋体" w:hAnsi="宋体" w:cs="宋体"/>
          <w:b/>
          <w:color w:val="00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000000"/>
          <w:sz w:val="30"/>
          <w:szCs w:val="30"/>
        </w:rPr>
      </w:pPr>
      <w:r>
        <w:rPr>
          <w:rFonts w:hint="eastAsia" w:ascii="宋体" w:hAnsi="宋体" w:cs="宋体"/>
          <w:b/>
          <w:color w:val="000000"/>
          <w:sz w:val="30"/>
          <w:szCs w:val="30"/>
        </w:rPr>
        <w:t>编制单位：北京建科研软件技术有限公司</w:t>
      </w:r>
    </w:p>
    <w:p>
      <w:pPr>
        <w:spacing w:line="360" w:lineRule="auto"/>
        <w:jc w:val="center"/>
        <w:rPr>
          <w:rFonts w:ascii="宋体" w:hAnsi="宋体" w:cs="宋体"/>
          <w:b/>
          <w:color w:val="00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000000"/>
          <w:sz w:val="21"/>
          <w:szCs w:val="21"/>
        </w:rPr>
      </w:pP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2019年06月</w:t>
      </w:r>
    </w:p>
    <w:p>
      <w:pPr>
        <w:rPr>
          <w:rFonts w:ascii="宋体" w:hAnsi="宋体" w:cs="宋体"/>
          <w:sz w:val="21"/>
          <w:szCs w:val="21"/>
        </w:rPr>
      </w:pPr>
    </w:p>
    <w:p>
      <w:pPr>
        <w:rPr>
          <w:rFonts w:ascii="宋体" w:hAnsi="宋体" w:cs="宋体"/>
          <w:sz w:val="21"/>
          <w:szCs w:val="21"/>
        </w:rPr>
      </w:pPr>
    </w:p>
    <w:p>
      <w:pPr>
        <w:rPr>
          <w:rFonts w:ascii="宋体" w:hAnsi="宋体" w:cs="宋体"/>
          <w:sz w:val="21"/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9979"/>
        <w15:color w:val="DBDBDB"/>
        <w:docPartObj>
          <w:docPartGallery w:val="Table of Contents"/>
          <w:docPartUnique/>
        </w:docPartObj>
      </w:sdtPr>
      <w:sdtEndPr>
        <w:rPr>
          <w:rFonts w:eastAsia="宋体" w:asciiTheme="minorHAnsi" w:hAnsiTheme="minorHAnsi" w:cstheme="minorBidi"/>
          <w:kern w:val="2"/>
          <w:sz w:val="28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15" w:name="_GoBack"/>
          <w:bookmarkEnd w:id="15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_Toc16101 </w:instrText>
          </w:r>
          <w:r>
            <w:fldChar w:fldCharType="separate"/>
          </w:r>
          <w:r>
            <w:rPr>
              <w:rFonts w:hint="eastAsia"/>
            </w:rPr>
            <w:t>一、登陆及注册</w:t>
          </w:r>
          <w:r>
            <w:tab/>
          </w:r>
          <w:r>
            <w:fldChar w:fldCharType="begin"/>
          </w:r>
          <w:r>
            <w:instrText xml:space="preserve"> PAGEREF _Toc16101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_Toc5599 </w:instrText>
          </w:r>
          <w:r>
            <w:fldChar w:fldCharType="separate"/>
          </w:r>
          <w:r>
            <w:rPr>
              <w:rFonts w:hint="eastAsia"/>
            </w:rPr>
            <w:t>1.首页网址</w:t>
          </w:r>
          <w:r>
            <w:tab/>
          </w:r>
          <w:r>
            <w:fldChar w:fldCharType="begin"/>
          </w:r>
          <w:r>
            <w:instrText xml:space="preserve"> PAGEREF _Toc5599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_Toc31587 </w:instrText>
          </w:r>
          <w:r>
            <w:fldChar w:fldCharType="separate"/>
          </w:r>
          <w:r>
            <w:rPr>
              <w:rFonts w:hint="eastAsia"/>
            </w:rPr>
            <w:t>2.注册界面</w:t>
          </w:r>
          <w:r>
            <w:tab/>
          </w:r>
          <w:r>
            <w:fldChar w:fldCharType="begin"/>
          </w:r>
          <w:r>
            <w:instrText xml:space="preserve"> PAGEREF _Toc31587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_Toc7987 </w:instrText>
          </w:r>
          <w:r>
            <w:fldChar w:fldCharType="separate"/>
          </w:r>
          <w:r>
            <w:rPr>
              <w:rFonts w:hint="eastAsia"/>
            </w:rPr>
            <w:t>3.登录界面</w:t>
          </w:r>
          <w:r>
            <w:tab/>
          </w:r>
          <w:r>
            <w:fldChar w:fldCharType="begin"/>
          </w:r>
          <w:r>
            <w:instrText xml:space="preserve"> PAGEREF _Toc7987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_Toc15261 </w:instrText>
          </w:r>
          <w:r>
            <w:fldChar w:fldCharType="separate"/>
          </w:r>
          <w:r>
            <w:rPr>
              <w:rFonts w:hint="eastAsia"/>
            </w:rPr>
            <w:t>二、首页功能介绍</w:t>
          </w:r>
          <w:r>
            <w:tab/>
          </w:r>
          <w:r>
            <w:fldChar w:fldCharType="begin"/>
          </w:r>
          <w:r>
            <w:instrText xml:space="preserve"> PAGEREF _Toc15261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_Toc0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.机构信息</w:t>
          </w:r>
          <w:r>
            <w:tab/>
          </w:r>
          <w:r>
            <w:fldChar w:fldCharType="begin"/>
          </w:r>
          <w:r>
            <w:instrText xml:space="preserve"> PAGEREF _Toc0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_Toc4710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.1机构信息修改</w:t>
          </w:r>
          <w:r>
            <w:tab/>
          </w:r>
          <w:r>
            <w:fldChar w:fldCharType="begin"/>
          </w:r>
          <w:r>
            <w:instrText xml:space="preserve"> PAGEREF _Toc4710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_Toc30518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.2密码修改</w:t>
          </w:r>
          <w:r>
            <w:tab/>
          </w:r>
          <w:r>
            <w:fldChar w:fldCharType="begin"/>
          </w:r>
          <w:r>
            <w:instrText xml:space="preserve"> PAGEREF _Toc30518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_Toc1196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.3退出</w:t>
          </w:r>
          <w:r>
            <w:tab/>
          </w:r>
          <w:r>
            <w:fldChar w:fldCharType="begin"/>
          </w:r>
          <w:r>
            <w:instrText xml:space="preserve"> PAGEREF _Toc1196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_Toc14537 </w:instrText>
          </w:r>
          <w:r>
            <w:fldChar w:fldCharType="separate"/>
          </w:r>
          <w:r>
            <w:rPr>
              <w:rFonts w:hint="eastAsia"/>
            </w:rPr>
            <w:t>2.项目奖查阅</w:t>
          </w:r>
          <w:r>
            <w:tab/>
          </w:r>
          <w:r>
            <w:fldChar w:fldCharType="begin"/>
          </w:r>
          <w:r>
            <w:instrText xml:space="preserve"> PAGEREF _Toc14537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_Toc5738 </w:instrText>
          </w:r>
          <w:r>
            <w:fldChar w:fldCharType="separate"/>
          </w:r>
          <w:r>
            <w:rPr>
              <w:rFonts w:hint="eastAsia"/>
            </w:rPr>
            <w:t>3.组织奖查阅</w:t>
          </w:r>
          <w:r>
            <w:tab/>
          </w:r>
          <w:r>
            <w:fldChar w:fldCharType="begin"/>
          </w:r>
          <w:r>
            <w:instrText xml:space="preserve"> PAGEREF _Toc5738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_Toc8523 </w:instrText>
          </w:r>
          <w:r>
            <w:fldChar w:fldCharType="separate"/>
          </w:r>
          <w:r>
            <w:t>4.</w:t>
          </w:r>
          <w:r>
            <w:rPr>
              <w:rFonts w:hint="eastAsia"/>
            </w:rPr>
            <w:t>人才奖查询</w:t>
          </w:r>
          <w:r>
            <w:tab/>
          </w:r>
          <w:r>
            <w:fldChar w:fldCharType="begin"/>
          </w:r>
          <w:r>
            <w:instrText xml:space="preserve"> PAGEREF _Toc8523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_Toc8264 </w:instrText>
          </w:r>
          <w:r>
            <w:fldChar w:fldCharType="separate"/>
          </w:r>
          <w:r>
            <w:rPr>
              <w:rFonts w:hint="eastAsia"/>
            </w:rPr>
            <w:t>三、技术支持</w:t>
          </w:r>
          <w:r>
            <w:tab/>
          </w:r>
          <w:r>
            <w:fldChar w:fldCharType="begin"/>
          </w:r>
          <w:r>
            <w:instrText xml:space="preserve"> PAGEREF _Toc8264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>
      <w:pPr>
        <w:jc w:val="left"/>
        <w:outlineLvl w:val="0"/>
        <w:rPr>
          <w:rFonts w:ascii="宋体" w:hAnsi="宋体" w:cs="宋体"/>
          <w:b/>
          <w:bCs/>
          <w:szCs w:val="28"/>
        </w:rPr>
        <w:sectPr>
          <w:footerReference r:id="rId9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</w:pPr>
      <w:bookmarkStart w:id="0" w:name="_Toc16101"/>
      <w:r>
        <w:rPr>
          <w:rFonts w:hint="eastAsia"/>
        </w:rPr>
        <w:t>一、登陆及注册</w:t>
      </w:r>
      <w:bookmarkEnd w:id="0"/>
    </w:p>
    <w:p>
      <w:pPr>
        <w:pStyle w:val="3"/>
      </w:pPr>
      <w:bookmarkStart w:id="1" w:name="_Toc5599"/>
      <w:r>
        <w:rPr>
          <w:rFonts w:hint="eastAsia"/>
        </w:rPr>
        <w:t>1.首页网址</w:t>
      </w:r>
      <w:bookmarkEnd w:id="1"/>
    </w:p>
    <w:p>
      <w:pPr>
        <w:bidi w:val="0"/>
      </w:pPr>
      <w:r>
        <w:rPr>
          <w:rFonts w:hint="eastAsia"/>
        </w:rPr>
        <w:t>登录地址：</w:t>
      </w:r>
      <w:r>
        <w:rPr>
          <w:rFonts w:hint="eastAsia"/>
        </w:rPr>
        <w:drawing>
          <wp:inline distT="0" distB="0" distL="114300" distR="114300">
            <wp:extent cx="190500" cy="1428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http://cxj.cecs.org.cn</w:t>
      </w:r>
    </w:p>
    <w:p>
      <w:pPr>
        <w:pStyle w:val="3"/>
      </w:pPr>
      <w:r>
        <w:rPr>
          <w:rFonts w:hint="eastAsia"/>
        </w:rPr>
        <w:t xml:space="preserve"> </w:t>
      </w:r>
      <w:bookmarkStart w:id="2" w:name="_Toc31587"/>
      <w:r>
        <w:rPr>
          <w:rFonts w:hint="eastAsia"/>
        </w:rPr>
        <w:t>2.注册界面</w:t>
      </w:r>
      <w:bookmarkEnd w:id="2"/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推荐机构注册：填写账号(手机号)、图形码、短信验证、密码、确认密码基本信息。</w:t>
      </w:r>
    </w:p>
    <w:p>
      <w:pPr>
        <w:rPr>
          <w:rFonts w:ascii="宋体" w:hAnsi="宋体" w:cs="宋体"/>
          <w:sz w:val="21"/>
          <w:szCs w:val="21"/>
        </w:rPr>
      </w:pPr>
      <w:r>
        <w:drawing>
          <wp:inline distT="0" distB="0" distL="0" distR="0">
            <wp:extent cx="5274310" cy="27006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7987"/>
      <w:r>
        <w:rPr>
          <w:rFonts w:hint="eastAsia"/>
        </w:rPr>
        <w:t>3.登录界面</w:t>
      </w:r>
      <w:bookmarkEnd w:id="3"/>
    </w:p>
    <w:p>
      <w:pPr>
        <w:spacing w:line="360" w:lineRule="auto"/>
        <w:ind w:firstLine="420" w:firstLineChars="20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 w:val="21"/>
          <w:szCs w:val="21"/>
        </w:rPr>
        <w:t>使用账号点击“登录”进入平台，以</w:t>
      </w:r>
      <w:r>
        <w:rPr>
          <w:rFonts w:ascii="宋体" w:hAnsi="宋体" w:cs="宋体"/>
          <w:kern w:val="0"/>
          <w:sz w:val="24"/>
          <w:lang w:bidi="ar"/>
        </w:rPr>
        <w:t>13111111110</w:t>
      </w:r>
      <w:r>
        <w:rPr>
          <w:rFonts w:hint="eastAsia" w:ascii="宋体" w:hAnsi="宋体" w:cs="宋体"/>
          <w:sz w:val="21"/>
          <w:szCs w:val="21"/>
        </w:rPr>
        <w:t>为例。</w:t>
      </w:r>
    </w:p>
    <w:p>
      <w:pPr>
        <w:rPr>
          <w:rFonts w:ascii="宋体" w:hAnsi="宋体" w:cs="宋体"/>
          <w:sz w:val="21"/>
          <w:szCs w:val="21"/>
        </w:rPr>
      </w:pPr>
      <w:r>
        <w:drawing>
          <wp:inline distT="0" distB="0" distL="114300" distR="114300">
            <wp:extent cx="5268595" cy="2182495"/>
            <wp:effectExtent l="0" t="0" r="8255" b="82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" w:name="_Toc26942"/>
      <w:bookmarkStart w:id="5" w:name="_Toc15261"/>
      <w:r>
        <w:rPr>
          <w:rFonts w:hint="eastAsia"/>
        </w:rPr>
        <w:t>二、首页功能介绍</w:t>
      </w:r>
      <w:bookmarkEnd w:id="4"/>
      <w:bookmarkEnd w:id="5"/>
    </w:p>
    <w:p>
      <w:pPr>
        <w:pStyle w:val="3"/>
      </w:pPr>
      <w:bookmarkStart w:id="6" w:name="_Toc0"/>
      <w:r>
        <w:t>1</w:t>
      </w:r>
      <w:r>
        <w:rPr>
          <w:rFonts w:hint="eastAsia"/>
        </w:rPr>
        <w:t>.机构信息</w:t>
      </w:r>
      <w:bookmarkEnd w:id="6"/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选中右上角账号出现基本资料、修改密码、退出等选项。如图：</w:t>
      </w:r>
    </w:p>
    <w:p>
      <w:r>
        <w:drawing>
          <wp:inline distT="0" distB="0" distL="114300" distR="114300">
            <wp:extent cx="5261610" cy="2137410"/>
            <wp:effectExtent l="0" t="0" r="1524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4710"/>
      <w:r>
        <w:t>1</w:t>
      </w:r>
      <w:r>
        <w:rPr>
          <w:rFonts w:hint="eastAsia"/>
        </w:rPr>
        <w:t>.1机构信息修改</w:t>
      </w:r>
      <w:bookmarkEnd w:id="7"/>
    </w:p>
    <w:p>
      <w:r>
        <w:rPr>
          <w:rFonts w:hint="eastAsia" w:ascii="宋体" w:hAnsi="宋体" w:cs="宋体"/>
          <w:sz w:val="21"/>
          <w:szCs w:val="21"/>
        </w:rPr>
        <w:t>点击基本资料完善基本信息包括单位信息和联系人信息，单位信息包括类别、名称、依托单位、统一信用代码、所在地区、通讯地址、邮政编码、单位注册资金、单位电话、电子邮箱、法人姓名。联系人信息包括姓名、性别、电话、移动电话、职务、电子邮箱。如图：</w:t>
      </w:r>
    </w:p>
    <w:p>
      <w:r>
        <w:drawing>
          <wp:inline distT="0" distB="0" distL="114300" distR="114300">
            <wp:extent cx="5271135" cy="1929765"/>
            <wp:effectExtent l="0" t="0" r="5715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161540"/>
            <wp:effectExtent l="0" t="0" r="9525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183765"/>
            <wp:effectExtent l="0" t="0" r="1079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30518"/>
      <w:r>
        <w:t>1</w:t>
      </w:r>
      <w:r>
        <w:rPr>
          <w:rFonts w:hint="eastAsia"/>
        </w:rPr>
        <w:t>.2密码修改</w:t>
      </w:r>
      <w:bookmarkEnd w:id="8"/>
    </w:p>
    <w:p>
      <w:pPr>
        <w:bidi w:val="0"/>
      </w:pPr>
      <w:r>
        <w:rPr>
          <w:rFonts w:hint="eastAsia"/>
        </w:rPr>
        <w:t xml:space="preserve">点击修改密码，填写旧密码、新密码、确认密码。如图： </w:t>
      </w:r>
    </w:p>
    <w:p>
      <w:pPr>
        <w:rPr>
          <w:rFonts w:ascii="宋体" w:hAnsi="宋体" w:cs="宋体"/>
          <w:sz w:val="21"/>
          <w:szCs w:val="21"/>
        </w:rPr>
      </w:pPr>
      <w:r>
        <w:drawing>
          <wp:inline distT="0" distB="0" distL="114300" distR="114300">
            <wp:extent cx="5271135" cy="2177415"/>
            <wp:effectExtent l="0" t="0" r="5715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196"/>
      <w:r>
        <w:t>1</w:t>
      </w:r>
      <w:r>
        <w:rPr>
          <w:rFonts w:hint="eastAsia"/>
        </w:rPr>
        <w:t>.3退出</w:t>
      </w:r>
      <w:bookmarkEnd w:id="9"/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点击退出，退出此账号回到登录界面。如图：</w:t>
      </w:r>
    </w:p>
    <w:p>
      <w:pPr>
        <w:rPr>
          <w:rFonts w:ascii="宋体" w:hAnsi="宋体" w:cs="宋体"/>
          <w:sz w:val="21"/>
          <w:szCs w:val="21"/>
        </w:rPr>
      </w:pPr>
      <w:r>
        <w:drawing>
          <wp:inline distT="0" distB="0" distL="114300" distR="114300">
            <wp:extent cx="5269230" cy="2141220"/>
            <wp:effectExtent l="0" t="0" r="762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1"/>
          <w:szCs w:val="21"/>
        </w:rPr>
      </w:pPr>
    </w:p>
    <w:p>
      <w:pPr>
        <w:pStyle w:val="3"/>
        <w:tabs>
          <w:tab w:val="left" w:pos="312"/>
        </w:tabs>
      </w:pPr>
      <w:bookmarkStart w:id="10" w:name="_Toc14537"/>
      <w:r>
        <w:rPr>
          <w:rFonts w:hint="eastAsia"/>
        </w:rPr>
        <w:t>2.项目奖查阅</w:t>
      </w:r>
      <w:bookmarkEnd w:id="10"/>
    </w:p>
    <w:p>
      <w:pPr>
        <w:bidi w:val="0"/>
      </w:pPr>
      <w:r>
        <w:rPr>
          <w:rFonts w:hint="eastAsia"/>
        </w:rPr>
        <w:t>根据项目奖的关键词、状态、标准类别、年份等进行关键字检索项目奖，如图：</w:t>
      </w:r>
    </w:p>
    <w:p>
      <w:pPr>
        <w:bidi w:val="0"/>
      </w:pPr>
      <w:r>
        <w:drawing>
          <wp:inline distT="0" distB="0" distL="114300" distR="114300">
            <wp:extent cx="5226685" cy="2179320"/>
            <wp:effectExtent l="0" t="0" r="12065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rcRect r="66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选择状态如图：</w:t>
      </w:r>
    </w:p>
    <w:p>
      <w:pPr>
        <w:bidi w:val="0"/>
      </w:pPr>
      <w:r>
        <w:drawing>
          <wp:inline distT="0" distB="0" distL="114300" distR="114300">
            <wp:extent cx="5261610" cy="2192020"/>
            <wp:effectExtent l="0" t="0" r="15240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可选择标准类别如图：</w:t>
      </w:r>
    </w:p>
    <w:p>
      <w:pPr>
        <w:bidi w:val="0"/>
      </w:pPr>
      <w:r>
        <w:drawing>
          <wp:inline distT="0" distB="0" distL="114300" distR="114300">
            <wp:extent cx="5265420" cy="2183130"/>
            <wp:effectExtent l="0" t="0" r="1143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选择专业的分类如图：</w:t>
      </w:r>
    </w:p>
    <w:p>
      <w:pPr>
        <w:bidi w:val="0"/>
      </w:pPr>
      <w:r>
        <w:drawing>
          <wp:inline distT="0" distB="0" distL="114300" distR="114300">
            <wp:extent cx="5267325" cy="2181225"/>
            <wp:effectExtent l="0" t="0" r="952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2880" cy="2169160"/>
            <wp:effectExtent l="0" t="0" r="13970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点击查看进行资料审查及推荐意见填写</w:t>
      </w:r>
    </w:p>
    <w:p>
      <w:pPr>
        <w:bidi w:val="0"/>
      </w:pPr>
      <w:r>
        <w:drawing>
          <wp:inline distT="0" distB="0" distL="0" distR="0">
            <wp:extent cx="5274310" cy="252857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drawing>
          <wp:inline distT="0" distB="0" distL="0" distR="0">
            <wp:extent cx="5274310" cy="25641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12"/>
        </w:tabs>
      </w:pPr>
      <w:bookmarkStart w:id="11" w:name="_Toc5738"/>
      <w:r>
        <w:rPr>
          <w:rFonts w:hint="eastAsia"/>
        </w:rPr>
        <w:t>3.组织奖查阅</w:t>
      </w:r>
      <w:bookmarkEnd w:id="11"/>
    </w:p>
    <w:p>
      <w:pPr>
        <w:bidi w:val="0"/>
      </w:pPr>
      <w:r>
        <w:rPr>
          <w:rFonts w:hint="eastAsia"/>
        </w:rPr>
        <w:t>根据关键词、状态即可查看。如图：</w:t>
      </w:r>
    </w:p>
    <w:p>
      <w:pPr>
        <w:bidi w:val="0"/>
      </w:pPr>
      <w:r>
        <w:drawing>
          <wp:inline distT="0" distB="0" distL="114300" distR="114300">
            <wp:extent cx="5226685" cy="2187575"/>
            <wp:effectExtent l="0" t="0" r="12065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rcRect r="66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t>资料审查及推荐意见填写参考项目奖</w:t>
      </w:r>
    </w:p>
    <w:p>
      <w:pPr>
        <w:pStyle w:val="3"/>
      </w:pPr>
      <w:bookmarkStart w:id="12" w:name="_Toc8523"/>
      <w:r>
        <w:t>4.</w:t>
      </w:r>
      <w:r>
        <w:rPr>
          <w:rFonts w:hint="eastAsia"/>
        </w:rPr>
        <w:t>人才奖查询</w:t>
      </w:r>
      <w:bookmarkEnd w:id="12"/>
    </w:p>
    <w:p>
      <w:pPr>
        <w:bidi w:val="0"/>
      </w:pPr>
      <w:r>
        <w:rPr>
          <w:rFonts w:hint="eastAsia"/>
        </w:rPr>
        <w:t>人才奖分为青年奖和领军奖。如图：</w:t>
      </w:r>
    </w:p>
    <w:p>
      <w:pPr>
        <w:bidi w:val="0"/>
      </w:pPr>
      <w:r>
        <w:drawing>
          <wp:inline distT="0" distB="0" distL="114300" distR="114300">
            <wp:extent cx="5261610" cy="2175510"/>
            <wp:effectExtent l="0" t="0" r="1524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t>资料审查及推荐意见填写参考项目奖</w:t>
      </w:r>
    </w:p>
    <w:p>
      <w:pPr>
        <w:pStyle w:val="2"/>
      </w:pPr>
      <w:bookmarkStart w:id="13" w:name="_Toc15498_WPSOffice_Level1"/>
      <w:bookmarkStart w:id="14" w:name="_Toc8264"/>
      <w:r>
        <w:rPr>
          <w:rFonts w:hint="eastAsia"/>
        </w:rPr>
        <w:t>三、技术支持</w:t>
      </w:r>
      <w:bookmarkEnd w:id="13"/>
      <w:bookmarkEnd w:id="14"/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北京建科研软件技术有限公司</w:t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服务热线：400-825-1113</w:t>
      </w:r>
    </w:p>
    <w:p>
      <w:pPr>
        <w:rPr>
          <w:rFonts w:ascii="宋体" w:hAnsi="宋体" w:cs="宋体"/>
          <w:sz w:val="21"/>
          <w:szCs w:val="21"/>
        </w:rPr>
      </w:pPr>
    </w:p>
    <w:sectPr>
      <w:footerReference r:id="rId10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kmziA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MkmziA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CyfMca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qqMtoRAgAACQQAAA4AAABkcnMvZTJvRG9jLnhtbK1TzY7TMBC+I/EO&#10;lu80adEuVd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A3V5RoprCj0/dvpx+/Tj+/EvhAUGv9DHkbi8zQvTUdFj34PZxx&#10;7q5yKn4xEUEcVB8v9IouEB4vTSfTaY4QR2z4AX72eN06H94Jo0g0Cuqwv0QrO6x96FOHlFhNm1Uj&#10;Zdqh1KQt6PXrq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Sqoy2h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u w:val="single"/>
      </w:rPr>
      <w:t>标准科技创新奖申报平台</w:t>
    </w:r>
    <w:r>
      <w:rPr>
        <w:rFonts w:hint="eastAsia"/>
        <w:u w:val="single"/>
      </w:rPr>
      <w:tab/>
    </w:r>
    <w:r>
      <w:rPr>
        <w:rFonts w:hint="eastAsia"/>
        <w:u w:val="single"/>
      </w:rPr>
      <w:tab/>
    </w:r>
    <w:r>
      <w:rPr>
        <w:rFonts w:hint="eastAsia"/>
        <w:u w:val="single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C94"/>
    <w:rsid w:val="000F1C07"/>
    <w:rsid w:val="00150A8C"/>
    <w:rsid w:val="003E4EB7"/>
    <w:rsid w:val="00405F74"/>
    <w:rsid w:val="00435902"/>
    <w:rsid w:val="004C0635"/>
    <w:rsid w:val="0050004F"/>
    <w:rsid w:val="00653BE3"/>
    <w:rsid w:val="006D1FC6"/>
    <w:rsid w:val="00740988"/>
    <w:rsid w:val="008A1C94"/>
    <w:rsid w:val="00935096"/>
    <w:rsid w:val="00A52337"/>
    <w:rsid w:val="00BA3764"/>
    <w:rsid w:val="00D139A2"/>
    <w:rsid w:val="00D71670"/>
    <w:rsid w:val="00ED686E"/>
    <w:rsid w:val="00F45C9C"/>
    <w:rsid w:val="00FA03D3"/>
    <w:rsid w:val="01F42B60"/>
    <w:rsid w:val="02010DDD"/>
    <w:rsid w:val="02F57CE8"/>
    <w:rsid w:val="02F95F24"/>
    <w:rsid w:val="030977E4"/>
    <w:rsid w:val="032032FE"/>
    <w:rsid w:val="03624CD2"/>
    <w:rsid w:val="03666091"/>
    <w:rsid w:val="040733F4"/>
    <w:rsid w:val="04213FB6"/>
    <w:rsid w:val="048939EC"/>
    <w:rsid w:val="05701F73"/>
    <w:rsid w:val="058C264C"/>
    <w:rsid w:val="07413383"/>
    <w:rsid w:val="075E6D23"/>
    <w:rsid w:val="088B19BD"/>
    <w:rsid w:val="0B185BE6"/>
    <w:rsid w:val="0C0A0964"/>
    <w:rsid w:val="0D835F15"/>
    <w:rsid w:val="112F0158"/>
    <w:rsid w:val="13A54BAD"/>
    <w:rsid w:val="16BE66BF"/>
    <w:rsid w:val="173733E8"/>
    <w:rsid w:val="194E77D7"/>
    <w:rsid w:val="1A2B2844"/>
    <w:rsid w:val="1B7F05AE"/>
    <w:rsid w:val="1E2C48E9"/>
    <w:rsid w:val="2277486E"/>
    <w:rsid w:val="230917CD"/>
    <w:rsid w:val="23332BA0"/>
    <w:rsid w:val="254703BB"/>
    <w:rsid w:val="270961C0"/>
    <w:rsid w:val="27C63771"/>
    <w:rsid w:val="28DF465D"/>
    <w:rsid w:val="2A503FD8"/>
    <w:rsid w:val="2ACA7279"/>
    <w:rsid w:val="30C72396"/>
    <w:rsid w:val="33444AC0"/>
    <w:rsid w:val="33A941FD"/>
    <w:rsid w:val="347355D7"/>
    <w:rsid w:val="350513F5"/>
    <w:rsid w:val="362E699D"/>
    <w:rsid w:val="38B47A01"/>
    <w:rsid w:val="39712448"/>
    <w:rsid w:val="3A3B1021"/>
    <w:rsid w:val="3B080162"/>
    <w:rsid w:val="3B0A6ABD"/>
    <w:rsid w:val="3CFE2AF2"/>
    <w:rsid w:val="3E472EAA"/>
    <w:rsid w:val="3E7922F2"/>
    <w:rsid w:val="3F88733F"/>
    <w:rsid w:val="3FB0798D"/>
    <w:rsid w:val="408952ED"/>
    <w:rsid w:val="410A454E"/>
    <w:rsid w:val="410F7ECA"/>
    <w:rsid w:val="422153FD"/>
    <w:rsid w:val="443732FB"/>
    <w:rsid w:val="459E4769"/>
    <w:rsid w:val="45A9289C"/>
    <w:rsid w:val="46487CE7"/>
    <w:rsid w:val="48074186"/>
    <w:rsid w:val="4A6B689D"/>
    <w:rsid w:val="4A6F4F44"/>
    <w:rsid w:val="4C6D7D49"/>
    <w:rsid w:val="4D03099D"/>
    <w:rsid w:val="4E0D0498"/>
    <w:rsid w:val="4F3D5931"/>
    <w:rsid w:val="509B5CF6"/>
    <w:rsid w:val="51221E3E"/>
    <w:rsid w:val="53807082"/>
    <w:rsid w:val="53ED6353"/>
    <w:rsid w:val="55414E29"/>
    <w:rsid w:val="585451B5"/>
    <w:rsid w:val="5968718B"/>
    <w:rsid w:val="5C236769"/>
    <w:rsid w:val="5CA90F80"/>
    <w:rsid w:val="5CCF77DF"/>
    <w:rsid w:val="5D642149"/>
    <w:rsid w:val="5E663279"/>
    <w:rsid w:val="5E6A7A4D"/>
    <w:rsid w:val="5F116BC2"/>
    <w:rsid w:val="5F272953"/>
    <w:rsid w:val="5F5C1651"/>
    <w:rsid w:val="5FCB5B07"/>
    <w:rsid w:val="603F6E79"/>
    <w:rsid w:val="60BD5338"/>
    <w:rsid w:val="61B54CF5"/>
    <w:rsid w:val="61BE70A1"/>
    <w:rsid w:val="64963B0F"/>
    <w:rsid w:val="651447EF"/>
    <w:rsid w:val="662C1A37"/>
    <w:rsid w:val="68153127"/>
    <w:rsid w:val="68EF4B52"/>
    <w:rsid w:val="6BED1819"/>
    <w:rsid w:val="6C293419"/>
    <w:rsid w:val="6CD52628"/>
    <w:rsid w:val="6D57227A"/>
    <w:rsid w:val="6E381BCF"/>
    <w:rsid w:val="70FF2AE0"/>
    <w:rsid w:val="72017F61"/>
    <w:rsid w:val="76C57B7B"/>
    <w:rsid w:val="78280697"/>
    <w:rsid w:val="794861C9"/>
    <w:rsid w:val="796C7ECB"/>
    <w:rsid w:val="79985407"/>
    <w:rsid w:val="7A23094D"/>
    <w:rsid w:val="7B2A2596"/>
    <w:rsid w:val="7BA94170"/>
    <w:rsid w:val="7D2C021C"/>
    <w:rsid w:val="7D82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FollowedHyperlink"/>
    <w:basedOn w:val="11"/>
    <w:qFormat/>
    <w:uiPriority w:val="0"/>
    <w:rPr>
      <w:color w:val="000000"/>
      <w:u w:val="none"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00"/>
      <w:u w:val="none"/>
    </w:rPr>
  </w:style>
  <w:style w:type="character" w:customStyle="1" w:styleId="15">
    <w:name w:val="on31"/>
    <w:basedOn w:val="11"/>
    <w:qFormat/>
    <w:uiPriority w:val="0"/>
  </w:style>
  <w:style w:type="character" w:customStyle="1" w:styleId="16">
    <w:name w:val="on32"/>
    <w:basedOn w:val="11"/>
    <w:qFormat/>
    <w:uiPriority w:val="0"/>
  </w:style>
  <w:style w:type="character" w:customStyle="1" w:styleId="17">
    <w:name w:val="on33"/>
    <w:basedOn w:val="11"/>
    <w:qFormat/>
    <w:uiPriority w:val="0"/>
  </w:style>
  <w:style w:type="character" w:customStyle="1" w:styleId="18">
    <w:name w:val="head"/>
    <w:basedOn w:val="11"/>
    <w:qFormat/>
    <w:uiPriority w:val="0"/>
  </w:style>
  <w:style w:type="character" w:customStyle="1" w:styleId="19">
    <w:name w:val="tit5"/>
    <w:basedOn w:val="11"/>
    <w:qFormat/>
    <w:uiPriority w:val="0"/>
    <w:rPr>
      <w:sz w:val="21"/>
      <w:szCs w:val="21"/>
    </w:rPr>
  </w:style>
  <w:style w:type="character" w:customStyle="1" w:styleId="20">
    <w:name w:val="tit6"/>
    <w:basedOn w:val="11"/>
    <w:qFormat/>
    <w:uiPriority w:val="0"/>
    <w:rPr>
      <w:sz w:val="21"/>
      <w:szCs w:val="21"/>
    </w:rPr>
  </w:style>
  <w:style w:type="character" w:customStyle="1" w:styleId="21">
    <w:name w:val="tit7"/>
    <w:basedOn w:val="11"/>
    <w:qFormat/>
    <w:uiPriority w:val="0"/>
    <w:rPr>
      <w:sz w:val="21"/>
      <w:szCs w:val="21"/>
    </w:rPr>
  </w:style>
  <w:style w:type="character" w:customStyle="1" w:styleId="22">
    <w:name w:val="tit8"/>
    <w:basedOn w:val="11"/>
    <w:qFormat/>
    <w:uiPriority w:val="0"/>
    <w:rPr>
      <w:sz w:val="21"/>
      <w:szCs w:val="21"/>
    </w:rPr>
  </w:style>
  <w:style w:type="paragraph" w:customStyle="1" w:styleId="23">
    <w:name w:val="tit-big"/>
    <w:basedOn w:val="1"/>
    <w:qFormat/>
    <w:uiPriority w:val="0"/>
    <w:pPr>
      <w:spacing w:before="75"/>
      <w:jc w:val="left"/>
    </w:pPr>
    <w:rPr>
      <w:rFonts w:cs="Times New Roman"/>
      <w:color w:val="FFFFFF"/>
      <w:kern w:val="0"/>
      <w:sz w:val="27"/>
      <w:szCs w:val="27"/>
    </w:rPr>
  </w:style>
  <w:style w:type="paragraph" w:customStyle="1" w:styleId="24">
    <w:name w:val="tit-big1"/>
    <w:basedOn w:val="1"/>
    <w:qFormat/>
    <w:uiPriority w:val="0"/>
    <w:pPr>
      <w:spacing w:before="75"/>
      <w:jc w:val="left"/>
    </w:pPr>
    <w:rPr>
      <w:rFonts w:cs="Times New Roman"/>
      <w:color w:val="FFFFFF"/>
      <w:kern w:val="0"/>
      <w:sz w:val="39"/>
      <w:szCs w:val="39"/>
    </w:rPr>
  </w:style>
  <w:style w:type="paragraph" w:customStyle="1" w:styleId="25">
    <w:name w:val="tit-big2"/>
    <w:basedOn w:val="1"/>
    <w:qFormat/>
    <w:uiPriority w:val="0"/>
    <w:pPr>
      <w:spacing w:before="75"/>
      <w:jc w:val="left"/>
    </w:pPr>
    <w:rPr>
      <w:rFonts w:cs="Times New Roman"/>
      <w:color w:val="FFFFFF"/>
      <w:kern w:val="0"/>
      <w:sz w:val="27"/>
      <w:szCs w:val="27"/>
    </w:rPr>
  </w:style>
  <w:style w:type="character" w:customStyle="1" w:styleId="26">
    <w:name w:val="icon"/>
    <w:basedOn w:val="11"/>
    <w:qFormat/>
    <w:uiPriority w:val="0"/>
  </w:style>
  <w:style w:type="paragraph" w:customStyle="1" w:styleId="2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8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9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217</Words>
  <Characters>1239</Characters>
  <Lines>10</Lines>
  <Paragraphs>2</Paragraphs>
  <TotalTime>1</TotalTime>
  <ScaleCrop>false</ScaleCrop>
  <LinksUpToDate>false</LinksUpToDate>
  <CharactersWithSpaces>1454</CharactersWithSpaces>
  <Application>WPS Office_11.1.0.8731_F1E327BC-269C-435d-A152-05C5408002CA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A小目标一个亿</cp:lastModifiedBy>
  <dcterms:modified xsi:type="dcterms:W3CDTF">2019-06-28T06:57:52Z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