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rPr>
      </w:pPr>
      <w:bookmarkStart w:id="0" w:name="_Hlk518993094"/>
      <w:bookmarkEnd w:id="0"/>
      <w:bookmarkStart w:id="1" w:name="_Toc278960335"/>
      <w:r>
        <w:rPr>
          <w:rFonts w:hint="eastAsia" w:ascii="华文仿宋" w:hAnsi="华文仿宋" w:eastAsia="华文仿宋"/>
          <w:sz w:val="96"/>
          <w:szCs w:val="96"/>
        </w:rPr>
        <w:t>CECS</w:t>
      </w:r>
      <w:r>
        <w:rPr>
          <w:rFonts w:hint="eastAsia" w:ascii="华文仿宋" w:hAnsi="华文仿宋" w:eastAsia="华文仿宋"/>
        </w:rPr>
        <w:t xml:space="preserve">                                 </w:t>
      </w:r>
      <w:r>
        <w:rPr>
          <w:rFonts w:hint="eastAsia" w:ascii="华文仿宋" w:hAnsi="华文仿宋" w:eastAsia="华文仿宋"/>
          <w:sz w:val="36"/>
          <w:szCs w:val="36"/>
        </w:rPr>
        <w:t xml:space="preserve"> </w:t>
      </w:r>
      <w:r>
        <w:rPr>
          <w:rFonts w:ascii="华文仿宋" w:hAnsi="华文仿宋" w:eastAsia="华文仿宋"/>
          <w:sz w:val="36"/>
          <w:szCs w:val="36"/>
        </w:rPr>
        <w:t>T/</w:t>
      </w:r>
      <w:r>
        <w:rPr>
          <w:rFonts w:hint="eastAsia" w:ascii="华文仿宋" w:hAnsi="华文仿宋" w:eastAsia="华文仿宋"/>
          <w:sz w:val="36"/>
          <w:szCs w:val="36"/>
        </w:rPr>
        <w:t>CECS×××</w:t>
      </w:r>
    </w:p>
    <w:p>
      <w:r>
        <w:rPr>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143500" cy="0"/>
                <wp:effectExtent l="9525" t="13335" r="9525" b="5715"/>
                <wp:wrapNone/>
                <wp:docPr id="3" name="直线 81"/>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直线 81" o:spid="_x0000_s1026" o:spt="20" style="position:absolute;left:0pt;margin-left:0pt;margin-top:7.8pt;height:0pt;width:405pt;z-index:251661312;mso-width-relative:page;mso-height-relative:page;" filled="f" stroked="t" coordsize="21600,21600" o:gfxdata="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PI19tIAAAAGAQAADwAAAAAAAAABACAAAAAiAAAAZHJzL2Rvd25yZXYueG1sUEsBAhQAFAAA&#10;AAgAh07iQL1V7Qi8AQAAVAMAAA4AAAAAAAAAAQAgAAAAIQEAAGRycy9lMm9Eb2MueG1sUEsFBgAA&#10;AAAGAAYAWQEAAE8FAAAAAA==&#10;">
                <v:fill on="f" focussize="0,0"/>
                <v:stroke color="#000000" joinstyle="round"/>
                <v:imagedata o:title=""/>
                <o:lock v:ext="edit" aspectratio="f"/>
              </v:line>
            </w:pict>
          </mc:Fallback>
        </mc:AlternateContent>
      </w:r>
    </w:p>
    <w:p/>
    <w:p/>
    <w:p>
      <w:pPr>
        <w:spacing w:line="360" w:lineRule="auto"/>
        <w:ind w:firstLine="560" w:firstLineChars="200"/>
        <w:jc w:val="center"/>
        <w:rPr>
          <w:b/>
          <w:bCs/>
          <w:sz w:val="44"/>
          <w:szCs w:val="23"/>
        </w:rPr>
      </w:pPr>
      <w:r>
        <w:rPr>
          <w:rFonts w:hint="eastAsia"/>
          <w:sz w:val="28"/>
        </w:rPr>
        <w:t xml:space="preserve">中国工程建设标准化协会标准 </w:t>
      </w:r>
    </w:p>
    <w:p>
      <w:pPr>
        <w:pStyle w:val="37"/>
        <w:spacing w:line="360" w:lineRule="auto"/>
        <w:rPr>
          <w:rFonts w:eastAsia="宋体"/>
        </w:rPr>
      </w:pPr>
    </w:p>
    <w:p>
      <w:pPr>
        <w:pStyle w:val="37"/>
        <w:spacing w:line="360" w:lineRule="auto"/>
        <w:rPr>
          <w:rFonts w:eastAsia="宋体"/>
        </w:rPr>
      </w:pPr>
    </w:p>
    <w:p>
      <w:pPr>
        <w:pStyle w:val="38"/>
        <w:spacing w:line="360" w:lineRule="auto"/>
        <w:rPr>
          <w:rFonts w:eastAsia="宋体"/>
        </w:rPr>
      </w:pPr>
    </w:p>
    <w:p>
      <w:pPr>
        <w:pStyle w:val="39"/>
        <w:rPr>
          <w:rFonts w:hAnsi="宋体" w:eastAsia="宋体"/>
          <w:b/>
        </w:rPr>
      </w:pPr>
      <w:r>
        <w:rPr>
          <w:rFonts w:hint="eastAsia" w:hAnsi="宋体"/>
        </w:rPr>
        <w:t>建筑能耗比对评价标准</w:t>
      </w:r>
    </w:p>
    <w:p>
      <w:pPr>
        <w:pStyle w:val="39"/>
        <w:rPr>
          <w:rFonts w:eastAsia="宋体"/>
          <w:b/>
        </w:rPr>
      </w:pPr>
    </w:p>
    <w:p>
      <w:pPr>
        <w:pStyle w:val="39"/>
        <w:rPr>
          <w:b/>
          <w:bCs/>
          <w:sz w:val="32"/>
          <w:szCs w:val="32"/>
        </w:rPr>
      </w:pPr>
      <w:r>
        <w:rPr>
          <w:b/>
          <w:bCs/>
          <w:sz w:val="32"/>
          <w:szCs w:val="32"/>
        </w:rPr>
        <w:t xml:space="preserve">Standard for </w:t>
      </w:r>
      <w:bookmarkStart w:id="2" w:name="_Hlk28349813"/>
      <w:r>
        <w:rPr>
          <w:b/>
          <w:bCs/>
          <w:sz w:val="32"/>
          <w:szCs w:val="32"/>
        </w:rPr>
        <w:t>building energy benchmarking and evaluati</w:t>
      </w:r>
      <w:bookmarkEnd w:id="2"/>
      <w:r>
        <w:rPr>
          <w:b/>
          <w:bCs/>
          <w:sz w:val="32"/>
          <w:szCs w:val="32"/>
        </w:rPr>
        <w:t>ng method</w:t>
      </w:r>
    </w:p>
    <w:p>
      <w:pPr>
        <w:pStyle w:val="39"/>
        <w:jc w:val="both"/>
        <w:rPr>
          <w:rFonts w:eastAsia="宋体"/>
          <w:sz w:val="32"/>
          <w:szCs w:val="32"/>
        </w:rPr>
      </w:pPr>
    </w:p>
    <w:p>
      <w:pPr>
        <w:pStyle w:val="39"/>
        <w:rPr>
          <w:rFonts w:eastAsia="宋体"/>
        </w:rPr>
      </w:pPr>
      <w:r>
        <w:rPr>
          <w:rFonts w:hint="eastAsia" w:eastAsia="宋体"/>
        </w:rPr>
        <w:t>（征求意见</w:t>
      </w:r>
      <w:r>
        <w:rPr>
          <w:rFonts w:eastAsia="宋体"/>
        </w:rPr>
        <w:t>稿</w:t>
      </w:r>
      <w:r>
        <w:rPr>
          <w:rFonts w:hint="eastAsia" w:eastAsia="宋体"/>
        </w:rPr>
        <w:t>）</w:t>
      </w:r>
    </w:p>
    <w:p>
      <w:pPr>
        <w:pStyle w:val="36"/>
        <w:spacing w:line="360" w:lineRule="auto"/>
        <w:rPr>
          <w:rFonts w:eastAsia="宋体" w:cs="Times New Roman"/>
        </w:rPr>
      </w:pPr>
    </w:p>
    <w:p>
      <w:pPr>
        <w:pStyle w:val="36"/>
        <w:spacing w:line="360" w:lineRule="auto"/>
        <w:rPr>
          <w:rFonts w:eastAsia="宋体" w:cs="Times New Roman"/>
        </w:rPr>
      </w:pPr>
    </w:p>
    <w:p>
      <w:pPr>
        <w:pStyle w:val="36"/>
        <w:spacing w:line="360" w:lineRule="auto"/>
        <w:rPr>
          <w:rFonts w:eastAsia="宋体" w:cs="Times New Roman"/>
        </w:rPr>
      </w:pPr>
    </w:p>
    <w:p>
      <w:pPr>
        <w:pStyle w:val="36"/>
        <w:spacing w:line="360" w:lineRule="auto"/>
        <w:rPr>
          <w:rFonts w:eastAsia="宋体" w:cs="Times New Roman"/>
        </w:rPr>
      </w:pPr>
    </w:p>
    <w:p>
      <w:pPr>
        <w:pStyle w:val="36"/>
        <w:spacing w:line="360" w:lineRule="auto"/>
        <w:rPr>
          <w:rFonts w:eastAsia="宋体" w:cs="Times New Roman"/>
        </w:rPr>
      </w:pPr>
    </w:p>
    <w:p>
      <w:pPr>
        <w:pStyle w:val="36"/>
        <w:spacing w:line="360" w:lineRule="auto"/>
        <w:rPr>
          <w:rFonts w:eastAsia="宋体" w:cs="Times New Roman"/>
        </w:rPr>
      </w:pPr>
    </w:p>
    <w:p>
      <w:pPr>
        <w:pStyle w:val="36"/>
        <w:spacing w:line="360" w:lineRule="auto"/>
        <w:rPr>
          <w:rFonts w:eastAsia="宋体" w:cs="Times New Roman"/>
        </w:rPr>
      </w:pPr>
    </w:p>
    <w:p>
      <w:pPr>
        <w:pStyle w:val="36"/>
        <w:spacing w:line="360" w:lineRule="auto"/>
        <w:rPr>
          <w:rFonts w:eastAsia="宋体" w:cs="Times New Roman"/>
        </w:rPr>
      </w:pPr>
    </w:p>
    <w:p>
      <w:pPr>
        <w:pStyle w:val="36"/>
        <w:spacing w:line="360" w:lineRule="auto"/>
        <w:rPr>
          <w:rFonts w:eastAsia="宋体" w:cs="Times New Roman"/>
        </w:rPr>
      </w:pPr>
    </w:p>
    <w:p>
      <w:pPr>
        <w:jc w:val="center"/>
        <w:rPr>
          <w:b/>
          <w:bCs/>
          <w:sz w:val="28"/>
          <w:szCs w:val="28"/>
        </w:rPr>
      </w:pPr>
      <w:r>
        <w:rPr>
          <w:rFonts w:hint="eastAsia"/>
          <w:b/>
          <w:bCs/>
          <w:sz w:val="28"/>
          <w:szCs w:val="28"/>
        </w:rPr>
        <w:t>201</w:t>
      </w:r>
      <w:r>
        <w:rPr>
          <w:b/>
          <w:bCs/>
          <w:sz w:val="28"/>
          <w:szCs w:val="28"/>
        </w:rPr>
        <w:t>9</w:t>
      </w:r>
      <w:r>
        <w:rPr>
          <w:rFonts w:hint="eastAsia"/>
          <w:b/>
          <w:bCs/>
          <w:sz w:val="28"/>
          <w:szCs w:val="28"/>
        </w:rPr>
        <w:t xml:space="preserve"> 北京</w:t>
      </w:r>
    </w:p>
    <w:p>
      <w:pPr>
        <w:rPr>
          <w:rFonts w:ascii="华文仿宋" w:hAnsi="华文仿宋" w:eastAsia="华文仿宋"/>
          <w:kern w:val="2"/>
          <w:sz w:val="24"/>
          <w:szCs w:val="24"/>
        </w:rPr>
      </w:pPr>
    </w:p>
    <w:bookmarkEnd w:id="1"/>
    <w:p>
      <w:pPr>
        <w:jc w:val="center"/>
        <w:rPr>
          <w:rFonts w:eastAsia="黑体"/>
          <w:bCs/>
          <w:kern w:val="2"/>
          <w:sz w:val="24"/>
          <w:szCs w:val="24"/>
        </w:rPr>
      </w:pPr>
      <w:r>
        <w:rPr>
          <w:rFonts w:hint="eastAsia" w:eastAsia="黑体"/>
          <w:bCs/>
          <w:kern w:val="2"/>
          <w:sz w:val="24"/>
          <w:szCs w:val="24"/>
        </w:rPr>
        <w:t>前　言</w:t>
      </w:r>
    </w:p>
    <w:p>
      <w:pPr>
        <w:pStyle w:val="32"/>
        <w:ind w:firstLine="480"/>
        <w:rPr>
          <w:szCs w:val="24"/>
        </w:rPr>
      </w:pPr>
    </w:p>
    <w:p>
      <w:pPr>
        <w:pStyle w:val="33"/>
        <w:ind w:firstLine="480"/>
        <w:rPr>
          <w:szCs w:val="24"/>
        </w:rPr>
      </w:pPr>
      <w:r>
        <w:rPr>
          <w:rFonts w:hint="eastAsia"/>
          <w:szCs w:val="24"/>
        </w:rPr>
        <w:t>根据中国工程建设标准化协会发布的《关于印发</w:t>
      </w:r>
      <w:r>
        <w:rPr>
          <w:szCs w:val="24"/>
        </w:rPr>
        <w:t>2018</w:t>
      </w:r>
      <w:r>
        <w:rPr>
          <w:rFonts w:hint="eastAsia"/>
          <w:szCs w:val="24"/>
        </w:rPr>
        <w:t>年第二批协会标准制订、修订计划的通知》（建标协字</w:t>
      </w:r>
      <w:r>
        <w:rPr>
          <w:szCs w:val="24"/>
        </w:rPr>
        <w:t>[2018]030</w:t>
      </w:r>
      <w:r>
        <w:rPr>
          <w:rFonts w:hint="eastAsia"/>
          <w:szCs w:val="24"/>
        </w:rPr>
        <w:t>号）文件要求，标准编制组经广泛调查研究，认真总结实践经验，参考有关国内标准和国外先进标准，并在广泛征求意见的基础上，制订本标准。</w:t>
      </w:r>
    </w:p>
    <w:p>
      <w:pPr>
        <w:pStyle w:val="33"/>
        <w:ind w:firstLine="480"/>
        <w:rPr>
          <w:szCs w:val="24"/>
        </w:rPr>
      </w:pPr>
      <w:r>
        <w:rPr>
          <w:rFonts w:hint="eastAsia"/>
          <w:szCs w:val="24"/>
        </w:rPr>
        <w:t>本标准的主要技术内容是：总则、术语、基本规定、能耗比对评价指标、能耗比对评价方法技术要求。附录给出了能耗比对评价方法示例。</w:t>
      </w:r>
    </w:p>
    <w:p>
      <w:pPr>
        <w:pStyle w:val="33"/>
        <w:ind w:firstLine="480"/>
        <w:rPr>
          <w:szCs w:val="24"/>
        </w:rPr>
      </w:pPr>
      <w:r>
        <w:rPr>
          <w:rFonts w:hint="eastAsia"/>
          <w:szCs w:val="24"/>
        </w:rPr>
        <w:t>本标准由中国工程建设标准化协会</w:t>
      </w:r>
      <w:r>
        <w:rPr>
          <w:rFonts w:hint="eastAsia"/>
          <w:szCs w:val="24"/>
          <w:lang w:eastAsia="zh-CN"/>
        </w:rPr>
        <w:t>建筑环境与节能专业委员会</w:t>
      </w:r>
      <w:r>
        <w:rPr>
          <w:rFonts w:hint="eastAsia"/>
          <w:szCs w:val="24"/>
        </w:rPr>
        <w:t>归口管理，由中国建筑科学研究院有限公司负责具体技术内容的解释。执行过程中如有意见或建议，请寄送中国建筑科学研究院有限公司（地址：北京市北三环东路</w:t>
      </w:r>
      <w:r>
        <w:rPr>
          <w:szCs w:val="24"/>
        </w:rPr>
        <w:t>30</w:t>
      </w:r>
      <w:r>
        <w:rPr>
          <w:rFonts w:hint="eastAsia"/>
          <w:szCs w:val="24"/>
        </w:rPr>
        <w:t>号，邮政编码：</w:t>
      </w:r>
      <w:r>
        <w:rPr>
          <w:szCs w:val="24"/>
        </w:rPr>
        <w:t>100013</w:t>
      </w:r>
      <w:r>
        <w:rPr>
          <w:rFonts w:hint="eastAsia"/>
          <w:szCs w:val="24"/>
        </w:rPr>
        <w:t>）。</w:t>
      </w:r>
    </w:p>
    <w:tbl>
      <w:tblPr>
        <w:tblStyle w:val="13"/>
        <w:tblW w:w="0" w:type="auto"/>
        <w:tblInd w:w="0" w:type="dxa"/>
        <w:tblLayout w:type="autofit"/>
        <w:tblCellMar>
          <w:top w:w="0" w:type="dxa"/>
          <w:left w:w="108" w:type="dxa"/>
          <w:bottom w:w="0" w:type="dxa"/>
          <w:right w:w="108" w:type="dxa"/>
        </w:tblCellMar>
      </w:tblPr>
      <w:tblGrid>
        <w:gridCol w:w="2268"/>
        <w:gridCol w:w="6038"/>
      </w:tblGrid>
      <w:tr>
        <w:tblPrEx>
          <w:tblCellMar>
            <w:top w:w="0" w:type="dxa"/>
            <w:left w:w="108" w:type="dxa"/>
            <w:bottom w:w="0" w:type="dxa"/>
            <w:right w:w="108" w:type="dxa"/>
          </w:tblCellMar>
        </w:tblPrEx>
        <w:tc>
          <w:tcPr>
            <w:tcW w:w="2268" w:type="dxa"/>
            <w:shd w:val="clear" w:color="auto" w:fill="auto"/>
          </w:tcPr>
          <w:p>
            <w:pPr>
              <w:ind w:right="240"/>
              <w:jc w:val="right"/>
              <w:rPr>
                <w:rFonts w:eastAsia="黑体"/>
                <w:kern w:val="2"/>
                <w:sz w:val="24"/>
                <w:szCs w:val="24"/>
              </w:rPr>
            </w:pPr>
            <w:r>
              <w:rPr>
                <w:rFonts w:hint="eastAsia" w:hAnsi="黑体" w:eastAsia="黑体"/>
                <w:kern w:val="2"/>
                <w:sz w:val="24"/>
                <w:szCs w:val="24"/>
              </w:rPr>
              <w:t>主</w:t>
            </w:r>
            <w:r>
              <w:rPr>
                <w:rFonts w:eastAsia="黑体"/>
                <w:kern w:val="2"/>
                <w:sz w:val="24"/>
                <w:szCs w:val="24"/>
              </w:rPr>
              <w:t xml:space="preserve"> </w:t>
            </w:r>
            <w:r>
              <w:rPr>
                <w:rFonts w:hint="eastAsia" w:hAnsi="黑体" w:eastAsia="黑体"/>
                <w:kern w:val="2"/>
                <w:sz w:val="24"/>
                <w:szCs w:val="24"/>
              </w:rPr>
              <w:t>编</w:t>
            </w:r>
            <w:r>
              <w:rPr>
                <w:rFonts w:eastAsia="黑体"/>
                <w:kern w:val="2"/>
                <w:sz w:val="24"/>
                <w:szCs w:val="24"/>
              </w:rPr>
              <w:t xml:space="preserve"> </w:t>
            </w:r>
            <w:r>
              <w:rPr>
                <w:rFonts w:hint="eastAsia" w:hAnsi="黑体" w:eastAsia="黑体"/>
                <w:kern w:val="2"/>
                <w:sz w:val="24"/>
                <w:szCs w:val="24"/>
              </w:rPr>
              <w:t>单</w:t>
            </w:r>
            <w:r>
              <w:rPr>
                <w:rFonts w:eastAsia="黑体"/>
                <w:kern w:val="2"/>
                <w:sz w:val="24"/>
                <w:szCs w:val="24"/>
              </w:rPr>
              <w:t xml:space="preserve"> </w:t>
            </w:r>
            <w:r>
              <w:rPr>
                <w:rFonts w:hint="eastAsia" w:hAnsi="黑体" w:eastAsia="黑体"/>
                <w:kern w:val="2"/>
                <w:sz w:val="24"/>
                <w:szCs w:val="24"/>
              </w:rPr>
              <w:t>位：</w:t>
            </w:r>
          </w:p>
        </w:tc>
        <w:tc>
          <w:tcPr>
            <w:tcW w:w="6038" w:type="dxa"/>
            <w:shd w:val="clear" w:color="auto" w:fill="auto"/>
          </w:tcPr>
          <w:p>
            <w:pPr>
              <w:ind w:firstLine="26" w:firstLineChars="11"/>
              <w:jc w:val="left"/>
              <w:rPr>
                <w:kern w:val="2"/>
                <w:sz w:val="24"/>
                <w:szCs w:val="24"/>
              </w:rPr>
            </w:pPr>
            <w:r>
              <w:rPr>
                <w:rFonts w:hint="eastAsia" w:hAnsi="宋体" w:cs="宋体"/>
                <w:color w:val="000000"/>
                <w:sz w:val="24"/>
                <w:szCs w:val="24"/>
              </w:rPr>
              <w:t>中国建筑科学研究院有限公司</w:t>
            </w:r>
          </w:p>
        </w:tc>
      </w:tr>
      <w:tr>
        <w:tblPrEx>
          <w:tblCellMar>
            <w:top w:w="0" w:type="dxa"/>
            <w:left w:w="108" w:type="dxa"/>
            <w:bottom w:w="0" w:type="dxa"/>
            <w:right w:w="108" w:type="dxa"/>
          </w:tblCellMar>
        </w:tblPrEx>
        <w:tc>
          <w:tcPr>
            <w:tcW w:w="2268" w:type="dxa"/>
            <w:shd w:val="clear" w:color="auto" w:fill="auto"/>
          </w:tcPr>
          <w:p>
            <w:pPr>
              <w:ind w:right="240"/>
              <w:jc w:val="right"/>
              <w:rPr>
                <w:rFonts w:eastAsia="黑体"/>
                <w:kern w:val="2"/>
                <w:sz w:val="24"/>
                <w:szCs w:val="24"/>
              </w:rPr>
            </w:pPr>
            <w:r>
              <w:rPr>
                <w:rFonts w:hint="eastAsia" w:hAnsi="黑体" w:eastAsia="黑体"/>
                <w:kern w:val="2"/>
                <w:sz w:val="24"/>
                <w:szCs w:val="24"/>
              </w:rPr>
              <w:t>参</w:t>
            </w:r>
            <w:r>
              <w:rPr>
                <w:rFonts w:eastAsia="黑体"/>
                <w:kern w:val="2"/>
                <w:sz w:val="24"/>
                <w:szCs w:val="24"/>
              </w:rPr>
              <w:t xml:space="preserve"> </w:t>
            </w:r>
            <w:r>
              <w:rPr>
                <w:rFonts w:hint="eastAsia" w:hAnsi="黑体" w:eastAsia="黑体"/>
                <w:kern w:val="2"/>
                <w:sz w:val="24"/>
                <w:szCs w:val="24"/>
              </w:rPr>
              <w:t>编</w:t>
            </w:r>
            <w:r>
              <w:rPr>
                <w:rFonts w:eastAsia="黑体"/>
                <w:kern w:val="2"/>
                <w:sz w:val="24"/>
                <w:szCs w:val="24"/>
              </w:rPr>
              <w:t xml:space="preserve"> </w:t>
            </w:r>
            <w:r>
              <w:rPr>
                <w:rFonts w:hint="eastAsia" w:hAnsi="黑体" w:eastAsia="黑体"/>
                <w:kern w:val="2"/>
                <w:sz w:val="24"/>
                <w:szCs w:val="24"/>
              </w:rPr>
              <w:t>单</w:t>
            </w:r>
            <w:r>
              <w:rPr>
                <w:rFonts w:eastAsia="黑体"/>
                <w:kern w:val="2"/>
                <w:sz w:val="24"/>
                <w:szCs w:val="24"/>
              </w:rPr>
              <w:t xml:space="preserve"> </w:t>
            </w:r>
            <w:r>
              <w:rPr>
                <w:rFonts w:hint="eastAsia" w:hAnsi="黑体" w:eastAsia="黑体"/>
                <w:kern w:val="2"/>
                <w:sz w:val="24"/>
                <w:szCs w:val="24"/>
              </w:rPr>
              <w:t>位：</w:t>
            </w:r>
          </w:p>
        </w:tc>
        <w:tc>
          <w:tcPr>
            <w:tcW w:w="6038" w:type="dxa"/>
            <w:shd w:val="clear" w:color="auto" w:fill="auto"/>
          </w:tcPr>
          <w:p>
            <w:pPr>
              <w:ind w:firstLine="26" w:firstLineChars="11"/>
              <w:jc w:val="left"/>
              <w:rPr>
                <w:rFonts w:hAnsi="宋体" w:cs="宋体"/>
                <w:color w:val="000000"/>
                <w:sz w:val="24"/>
                <w:szCs w:val="24"/>
              </w:rPr>
            </w:pPr>
            <w:r>
              <w:rPr>
                <w:rFonts w:hint="eastAsia" w:hAnsi="宋体" w:cs="宋体"/>
                <w:color w:val="000000"/>
                <w:sz w:val="24"/>
                <w:szCs w:val="24"/>
              </w:rPr>
              <w:t>住房和城乡建设部科技与产业化发展中心</w:t>
            </w:r>
          </w:p>
        </w:tc>
      </w:tr>
      <w:tr>
        <w:tblPrEx>
          <w:tblCellMar>
            <w:top w:w="0" w:type="dxa"/>
            <w:left w:w="108" w:type="dxa"/>
            <w:bottom w:w="0" w:type="dxa"/>
            <w:right w:w="108" w:type="dxa"/>
          </w:tblCellMar>
        </w:tblPrEx>
        <w:tc>
          <w:tcPr>
            <w:tcW w:w="2268" w:type="dxa"/>
            <w:shd w:val="clear" w:color="auto" w:fill="auto"/>
          </w:tcPr>
          <w:p>
            <w:pPr>
              <w:rPr>
                <w:rFonts w:eastAsia="楷体"/>
                <w:kern w:val="2"/>
                <w:sz w:val="24"/>
                <w:szCs w:val="24"/>
              </w:rPr>
            </w:pPr>
          </w:p>
        </w:tc>
        <w:tc>
          <w:tcPr>
            <w:tcW w:w="6038" w:type="dxa"/>
            <w:shd w:val="clear" w:color="auto" w:fill="auto"/>
          </w:tcPr>
          <w:p>
            <w:pPr>
              <w:ind w:firstLine="26" w:firstLineChars="11"/>
              <w:jc w:val="left"/>
              <w:rPr>
                <w:rFonts w:hAnsi="宋体" w:cs="宋体"/>
                <w:color w:val="000000"/>
                <w:sz w:val="24"/>
                <w:szCs w:val="24"/>
              </w:rPr>
            </w:pPr>
            <w:r>
              <w:rPr>
                <w:rFonts w:hint="eastAsia" w:hAnsi="宋体" w:cs="宋体"/>
                <w:color w:val="000000"/>
                <w:sz w:val="24"/>
                <w:szCs w:val="24"/>
              </w:rPr>
              <w:t>自然资源保护协会</w:t>
            </w:r>
          </w:p>
        </w:tc>
      </w:tr>
      <w:tr>
        <w:tblPrEx>
          <w:tblCellMar>
            <w:top w:w="0" w:type="dxa"/>
            <w:left w:w="108" w:type="dxa"/>
            <w:bottom w:w="0" w:type="dxa"/>
            <w:right w:w="108" w:type="dxa"/>
          </w:tblCellMar>
        </w:tblPrEx>
        <w:tc>
          <w:tcPr>
            <w:tcW w:w="2268" w:type="dxa"/>
            <w:shd w:val="clear" w:color="auto" w:fill="auto"/>
          </w:tcPr>
          <w:p>
            <w:pPr>
              <w:rPr>
                <w:rFonts w:eastAsia="楷体"/>
                <w:kern w:val="2"/>
                <w:sz w:val="24"/>
                <w:szCs w:val="24"/>
              </w:rPr>
            </w:pPr>
          </w:p>
        </w:tc>
        <w:tc>
          <w:tcPr>
            <w:tcW w:w="6038" w:type="dxa"/>
            <w:shd w:val="clear" w:color="auto" w:fill="auto"/>
          </w:tcPr>
          <w:p>
            <w:pPr>
              <w:ind w:firstLine="26" w:firstLineChars="11"/>
              <w:jc w:val="left"/>
              <w:rPr>
                <w:rFonts w:hAnsi="宋体" w:cs="宋体"/>
                <w:color w:val="000000"/>
                <w:sz w:val="24"/>
                <w:szCs w:val="24"/>
              </w:rPr>
            </w:pPr>
            <w:r>
              <w:rPr>
                <w:rFonts w:hint="eastAsia" w:hAnsi="宋体" w:cs="宋体"/>
                <w:color w:val="000000"/>
                <w:sz w:val="24"/>
                <w:szCs w:val="24"/>
              </w:rPr>
              <w:t>哈尔滨工业大学</w:t>
            </w:r>
          </w:p>
          <w:p>
            <w:pPr>
              <w:ind w:firstLine="26" w:firstLineChars="11"/>
              <w:jc w:val="left"/>
              <w:rPr>
                <w:rFonts w:hAnsi="宋体" w:cs="宋体"/>
                <w:color w:val="000000"/>
                <w:sz w:val="24"/>
                <w:szCs w:val="24"/>
              </w:rPr>
            </w:pPr>
            <w:r>
              <w:rPr>
                <w:rFonts w:hint="eastAsia" w:hAnsi="宋体" w:cs="宋体"/>
                <w:color w:val="000000"/>
                <w:sz w:val="24"/>
                <w:szCs w:val="24"/>
              </w:rPr>
              <w:t>河北工业大学</w:t>
            </w:r>
          </w:p>
          <w:p>
            <w:pPr>
              <w:ind w:firstLine="26" w:firstLineChars="11"/>
              <w:jc w:val="left"/>
              <w:rPr>
                <w:rFonts w:hAnsi="宋体" w:cs="宋体"/>
                <w:color w:val="000000"/>
                <w:sz w:val="24"/>
                <w:szCs w:val="24"/>
              </w:rPr>
            </w:pPr>
            <w:r>
              <w:rPr>
                <w:rFonts w:hint="eastAsia" w:hAnsi="宋体" w:cs="宋体"/>
                <w:color w:val="000000"/>
                <w:sz w:val="24"/>
                <w:szCs w:val="24"/>
              </w:rPr>
              <w:t>中油阳光物业管理有限公司北京分公司</w:t>
            </w:r>
          </w:p>
          <w:p>
            <w:pPr>
              <w:ind w:firstLine="26" w:firstLineChars="11"/>
              <w:jc w:val="left"/>
              <w:rPr>
                <w:rFonts w:hAnsi="宋体" w:cs="宋体"/>
                <w:color w:val="000000"/>
                <w:sz w:val="24"/>
                <w:szCs w:val="24"/>
              </w:rPr>
            </w:pPr>
            <w:r>
              <w:rPr>
                <w:rFonts w:hint="eastAsia" w:hAnsi="宋体" w:cs="宋体"/>
                <w:color w:val="000000"/>
                <w:sz w:val="24"/>
                <w:szCs w:val="24"/>
              </w:rPr>
              <w:t>中国建筑节能协会</w:t>
            </w:r>
          </w:p>
        </w:tc>
      </w:tr>
      <w:tr>
        <w:tblPrEx>
          <w:tblCellMar>
            <w:top w:w="0" w:type="dxa"/>
            <w:left w:w="108" w:type="dxa"/>
            <w:bottom w:w="0" w:type="dxa"/>
            <w:right w:w="108" w:type="dxa"/>
          </w:tblCellMar>
        </w:tblPrEx>
        <w:tc>
          <w:tcPr>
            <w:tcW w:w="2268" w:type="dxa"/>
            <w:shd w:val="clear" w:color="auto" w:fill="auto"/>
          </w:tcPr>
          <w:p>
            <w:pPr>
              <w:rPr>
                <w:rFonts w:eastAsia="楷体"/>
                <w:kern w:val="2"/>
                <w:sz w:val="24"/>
                <w:szCs w:val="24"/>
              </w:rPr>
            </w:pPr>
          </w:p>
        </w:tc>
        <w:tc>
          <w:tcPr>
            <w:tcW w:w="6038" w:type="dxa"/>
            <w:shd w:val="clear" w:color="auto" w:fill="auto"/>
          </w:tcPr>
          <w:p>
            <w:pPr>
              <w:ind w:firstLine="26" w:firstLineChars="11"/>
              <w:jc w:val="left"/>
              <w:rPr>
                <w:rFonts w:hAnsi="宋体" w:cs="宋体"/>
                <w:color w:val="000000"/>
                <w:sz w:val="24"/>
                <w:szCs w:val="24"/>
              </w:rPr>
            </w:pPr>
            <w:r>
              <w:rPr>
                <w:rFonts w:hint="eastAsia" w:hAnsi="宋体" w:cs="宋体"/>
                <w:color w:val="000000"/>
                <w:sz w:val="24"/>
                <w:szCs w:val="24"/>
              </w:rPr>
              <w:t>中国物业管理协会</w:t>
            </w:r>
          </w:p>
          <w:p>
            <w:pPr>
              <w:ind w:firstLine="26" w:firstLineChars="11"/>
              <w:jc w:val="left"/>
              <w:rPr>
                <w:rFonts w:hAnsi="宋体" w:cs="宋体"/>
                <w:color w:val="000000"/>
                <w:sz w:val="24"/>
                <w:szCs w:val="24"/>
              </w:rPr>
            </w:pPr>
            <w:r>
              <w:rPr>
                <w:rFonts w:hint="eastAsia" w:hAnsi="宋体" w:cs="宋体"/>
                <w:color w:val="000000"/>
                <w:sz w:val="24"/>
                <w:szCs w:val="24"/>
              </w:rPr>
              <w:t>中国中元国际工程有限公司</w:t>
            </w:r>
          </w:p>
          <w:p>
            <w:pPr>
              <w:ind w:firstLine="26" w:firstLineChars="11"/>
              <w:jc w:val="left"/>
              <w:rPr>
                <w:rFonts w:hAnsi="宋体" w:cs="宋体"/>
                <w:color w:val="000000"/>
                <w:sz w:val="24"/>
                <w:szCs w:val="24"/>
              </w:rPr>
            </w:pPr>
            <w:r>
              <w:rPr>
                <w:rFonts w:hint="eastAsia" w:hAnsi="宋体" w:cs="宋体"/>
                <w:color w:val="000000"/>
                <w:sz w:val="24"/>
                <w:szCs w:val="24"/>
              </w:rPr>
              <w:t>吉林省建筑科学研究设计院</w:t>
            </w:r>
          </w:p>
          <w:p>
            <w:pPr>
              <w:ind w:firstLine="26" w:firstLineChars="11"/>
              <w:jc w:val="left"/>
              <w:rPr>
                <w:rFonts w:hAnsi="宋体" w:cs="宋体"/>
                <w:color w:val="000000"/>
                <w:sz w:val="24"/>
                <w:szCs w:val="24"/>
              </w:rPr>
            </w:pPr>
            <w:r>
              <w:rPr>
                <w:rFonts w:hint="eastAsia" w:hAnsi="宋体" w:cs="宋体"/>
                <w:color w:val="000000"/>
                <w:sz w:val="24"/>
                <w:szCs w:val="24"/>
              </w:rPr>
              <w:t>天津市建筑设计院</w:t>
            </w:r>
          </w:p>
          <w:p>
            <w:pPr>
              <w:ind w:firstLine="26" w:firstLineChars="11"/>
              <w:jc w:val="left"/>
              <w:rPr>
                <w:rFonts w:hAnsi="宋体" w:cs="宋体"/>
                <w:color w:val="000000"/>
                <w:sz w:val="24"/>
                <w:szCs w:val="24"/>
              </w:rPr>
            </w:pPr>
            <w:r>
              <w:rPr>
                <w:rFonts w:hint="eastAsia" w:hAnsi="宋体" w:cs="宋体"/>
                <w:color w:val="000000"/>
                <w:sz w:val="24"/>
                <w:szCs w:val="24"/>
              </w:rPr>
              <w:t>北京工业大学</w:t>
            </w:r>
          </w:p>
        </w:tc>
      </w:tr>
      <w:tr>
        <w:tblPrEx>
          <w:tblCellMar>
            <w:top w:w="0" w:type="dxa"/>
            <w:left w:w="108" w:type="dxa"/>
            <w:bottom w:w="0" w:type="dxa"/>
            <w:right w:w="108" w:type="dxa"/>
          </w:tblCellMar>
        </w:tblPrEx>
        <w:tc>
          <w:tcPr>
            <w:tcW w:w="2268" w:type="dxa"/>
            <w:shd w:val="clear" w:color="auto" w:fill="auto"/>
          </w:tcPr>
          <w:p>
            <w:pPr>
              <w:rPr>
                <w:rFonts w:eastAsia="楷体"/>
                <w:kern w:val="2"/>
                <w:sz w:val="24"/>
                <w:szCs w:val="24"/>
              </w:rPr>
            </w:pPr>
          </w:p>
        </w:tc>
        <w:tc>
          <w:tcPr>
            <w:tcW w:w="6038" w:type="dxa"/>
            <w:shd w:val="clear" w:color="auto" w:fill="auto"/>
          </w:tcPr>
          <w:p>
            <w:pPr>
              <w:ind w:firstLine="26" w:firstLineChars="11"/>
              <w:jc w:val="left"/>
              <w:rPr>
                <w:rFonts w:hAnsi="宋体" w:cs="宋体"/>
                <w:color w:val="000000"/>
                <w:sz w:val="24"/>
                <w:szCs w:val="24"/>
              </w:rPr>
            </w:pPr>
            <w:r>
              <w:rPr>
                <w:rFonts w:hint="eastAsia" w:hAnsi="宋体" w:cs="宋体"/>
                <w:color w:val="000000"/>
                <w:sz w:val="24"/>
                <w:szCs w:val="24"/>
              </w:rPr>
              <w:t>中国船舶重工集团公司第七一四研究所</w:t>
            </w:r>
          </w:p>
        </w:tc>
      </w:tr>
      <w:tr>
        <w:tblPrEx>
          <w:tblCellMar>
            <w:top w:w="0" w:type="dxa"/>
            <w:left w:w="108" w:type="dxa"/>
            <w:bottom w:w="0" w:type="dxa"/>
            <w:right w:w="108" w:type="dxa"/>
          </w:tblCellMar>
        </w:tblPrEx>
        <w:tc>
          <w:tcPr>
            <w:tcW w:w="2268" w:type="dxa"/>
            <w:shd w:val="clear" w:color="auto" w:fill="auto"/>
          </w:tcPr>
          <w:p>
            <w:pPr>
              <w:rPr>
                <w:rFonts w:eastAsia="楷体"/>
                <w:kern w:val="2"/>
                <w:sz w:val="24"/>
                <w:szCs w:val="24"/>
              </w:rPr>
            </w:pPr>
          </w:p>
        </w:tc>
        <w:tc>
          <w:tcPr>
            <w:tcW w:w="6038" w:type="dxa"/>
            <w:shd w:val="clear" w:color="auto" w:fill="auto"/>
          </w:tcPr>
          <w:p>
            <w:pPr>
              <w:ind w:firstLine="26" w:firstLineChars="11"/>
              <w:jc w:val="left"/>
              <w:rPr>
                <w:rFonts w:hAnsi="宋体" w:cs="宋体"/>
                <w:color w:val="000000"/>
                <w:sz w:val="24"/>
                <w:szCs w:val="24"/>
              </w:rPr>
            </w:pPr>
            <w:r>
              <w:rPr>
                <w:rFonts w:hint="eastAsia" w:hAnsi="宋体" w:cs="宋体"/>
                <w:color w:val="000000"/>
                <w:sz w:val="24"/>
                <w:szCs w:val="24"/>
              </w:rPr>
              <w:t>北京华新电工设备有限公司</w:t>
            </w:r>
          </w:p>
          <w:p>
            <w:pPr>
              <w:ind w:firstLine="26" w:firstLineChars="11"/>
              <w:jc w:val="left"/>
              <w:rPr>
                <w:rFonts w:hAnsi="宋体" w:cs="宋体"/>
                <w:color w:val="000000"/>
                <w:sz w:val="24"/>
                <w:szCs w:val="24"/>
              </w:rPr>
            </w:pPr>
            <w:r>
              <w:rPr>
                <w:rFonts w:hint="eastAsia" w:hAnsi="宋体" w:cs="宋体"/>
                <w:color w:val="000000"/>
                <w:sz w:val="24"/>
                <w:szCs w:val="24"/>
              </w:rPr>
              <w:t>兰州中建建设科技有限责任公司</w:t>
            </w:r>
          </w:p>
        </w:tc>
      </w:tr>
      <w:tr>
        <w:tblPrEx>
          <w:tblCellMar>
            <w:top w:w="0" w:type="dxa"/>
            <w:left w:w="108" w:type="dxa"/>
            <w:bottom w:w="0" w:type="dxa"/>
            <w:right w:w="108" w:type="dxa"/>
          </w:tblCellMar>
        </w:tblPrEx>
        <w:tc>
          <w:tcPr>
            <w:tcW w:w="2268" w:type="dxa"/>
            <w:shd w:val="clear" w:color="auto" w:fill="auto"/>
          </w:tcPr>
          <w:p>
            <w:pPr>
              <w:rPr>
                <w:rFonts w:eastAsia="楷体"/>
                <w:kern w:val="2"/>
                <w:sz w:val="24"/>
                <w:szCs w:val="24"/>
              </w:rPr>
            </w:pPr>
          </w:p>
        </w:tc>
        <w:tc>
          <w:tcPr>
            <w:tcW w:w="6038" w:type="dxa"/>
            <w:shd w:val="clear" w:color="auto" w:fill="auto"/>
          </w:tcPr>
          <w:p>
            <w:pPr>
              <w:ind w:firstLine="26" w:firstLineChars="11"/>
              <w:jc w:val="left"/>
              <w:rPr>
                <w:rFonts w:hAnsi="宋体" w:cs="宋体"/>
                <w:color w:val="000000"/>
                <w:sz w:val="24"/>
                <w:szCs w:val="24"/>
              </w:rPr>
            </w:pPr>
            <w:r>
              <w:rPr>
                <w:rFonts w:hint="eastAsia" w:hAnsi="宋体" w:cs="宋体"/>
                <w:color w:val="000000"/>
                <w:sz w:val="24"/>
                <w:szCs w:val="24"/>
              </w:rPr>
              <w:t>山东城市建设职业学院</w:t>
            </w:r>
          </w:p>
          <w:p>
            <w:pPr>
              <w:ind w:firstLine="26" w:firstLineChars="11"/>
              <w:jc w:val="left"/>
              <w:rPr>
                <w:rFonts w:hAnsi="宋体" w:cs="宋体"/>
                <w:color w:val="000000"/>
                <w:sz w:val="24"/>
                <w:szCs w:val="24"/>
              </w:rPr>
            </w:pPr>
          </w:p>
        </w:tc>
      </w:tr>
      <w:tr>
        <w:tblPrEx>
          <w:tblCellMar>
            <w:top w:w="0" w:type="dxa"/>
            <w:left w:w="108" w:type="dxa"/>
            <w:bottom w:w="0" w:type="dxa"/>
            <w:right w:w="108" w:type="dxa"/>
          </w:tblCellMar>
        </w:tblPrEx>
        <w:tc>
          <w:tcPr>
            <w:tcW w:w="2268" w:type="dxa"/>
            <w:shd w:val="clear" w:color="auto" w:fill="auto"/>
          </w:tcPr>
          <w:p>
            <w:pPr>
              <w:jc w:val="right"/>
              <w:rPr>
                <w:rFonts w:ascii="黑体" w:hAnsi="黑体" w:eastAsia="黑体"/>
                <w:kern w:val="2"/>
                <w:sz w:val="24"/>
                <w:szCs w:val="24"/>
              </w:rPr>
            </w:pPr>
            <w:r>
              <w:rPr>
                <w:rFonts w:hint="eastAsia" w:hAnsi="黑体" w:eastAsia="黑体"/>
                <w:kern w:val="2"/>
                <w:sz w:val="24"/>
                <w:szCs w:val="24"/>
              </w:rPr>
              <w:t>主要起草人：</w:t>
            </w:r>
          </w:p>
        </w:tc>
        <w:tc>
          <w:tcPr>
            <w:tcW w:w="6038" w:type="dxa"/>
            <w:shd w:val="clear" w:color="auto" w:fill="auto"/>
          </w:tcPr>
          <w:p>
            <w:pPr>
              <w:jc w:val="left"/>
              <w:rPr>
                <w:rFonts w:ascii="仿宋" w:hAnsi="仿宋" w:eastAsia="仿宋" w:cs="宋体"/>
                <w:color w:val="000000"/>
                <w:sz w:val="24"/>
                <w:szCs w:val="24"/>
              </w:rPr>
            </w:pPr>
          </w:p>
        </w:tc>
      </w:tr>
      <w:tr>
        <w:tblPrEx>
          <w:tblCellMar>
            <w:top w:w="0" w:type="dxa"/>
            <w:left w:w="108" w:type="dxa"/>
            <w:bottom w:w="0" w:type="dxa"/>
            <w:right w:w="108" w:type="dxa"/>
          </w:tblCellMar>
        </w:tblPrEx>
        <w:tc>
          <w:tcPr>
            <w:tcW w:w="2268" w:type="dxa"/>
            <w:shd w:val="clear" w:color="auto" w:fill="auto"/>
          </w:tcPr>
          <w:p>
            <w:pPr>
              <w:jc w:val="right"/>
              <w:rPr>
                <w:rFonts w:ascii="黑体" w:hAnsi="黑体" w:eastAsia="黑体"/>
                <w:kern w:val="2"/>
                <w:sz w:val="24"/>
                <w:szCs w:val="24"/>
              </w:rPr>
            </w:pPr>
          </w:p>
        </w:tc>
        <w:tc>
          <w:tcPr>
            <w:tcW w:w="6038" w:type="dxa"/>
            <w:shd w:val="clear" w:color="auto" w:fill="auto"/>
          </w:tcPr>
          <w:p>
            <w:pPr>
              <w:jc w:val="left"/>
              <w:rPr>
                <w:rFonts w:ascii="仿宋" w:hAnsi="仿宋" w:eastAsia="仿宋" w:cs="宋体"/>
                <w:color w:val="000000"/>
                <w:sz w:val="24"/>
                <w:szCs w:val="24"/>
              </w:rPr>
            </w:pPr>
          </w:p>
        </w:tc>
      </w:tr>
      <w:tr>
        <w:tblPrEx>
          <w:tblCellMar>
            <w:top w:w="0" w:type="dxa"/>
            <w:left w:w="108" w:type="dxa"/>
            <w:bottom w:w="0" w:type="dxa"/>
            <w:right w:w="108" w:type="dxa"/>
          </w:tblCellMar>
        </w:tblPrEx>
        <w:tc>
          <w:tcPr>
            <w:tcW w:w="2268" w:type="dxa"/>
            <w:shd w:val="clear" w:color="auto" w:fill="auto"/>
          </w:tcPr>
          <w:p>
            <w:pPr>
              <w:jc w:val="right"/>
              <w:rPr>
                <w:rFonts w:ascii="黑体" w:hAnsi="黑体" w:eastAsia="黑体"/>
                <w:kern w:val="2"/>
                <w:sz w:val="24"/>
                <w:szCs w:val="24"/>
              </w:rPr>
            </w:pPr>
            <w:r>
              <w:rPr>
                <w:rFonts w:hint="eastAsia" w:hAnsi="黑体" w:eastAsia="黑体"/>
                <w:kern w:val="2"/>
                <w:sz w:val="24"/>
                <w:szCs w:val="24"/>
              </w:rPr>
              <w:t>主要审查人：</w:t>
            </w:r>
          </w:p>
        </w:tc>
        <w:tc>
          <w:tcPr>
            <w:tcW w:w="6038" w:type="dxa"/>
            <w:shd w:val="clear" w:color="auto" w:fill="auto"/>
          </w:tcPr>
          <w:p>
            <w:pPr>
              <w:jc w:val="left"/>
              <w:rPr>
                <w:rFonts w:eastAsia="楷体"/>
                <w:kern w:val="2"/>
                <w:sz w:val="24"/>
                <w:szCs w:val="24"/>
              </w:rPr>
            </w:pPr>
          </w:p>
        </w:tc>
      </w:tr>
    </w:tbl>
    <w:p>
      <w:pPr>
        <w:spacing w:line="360" w:lineRule="auto"/>
        <w:jc w:val="center"/>
        <w:rPr>
          <w:b/>
          <w:bCs/>
          <w:sz w:val="24"/>
          <w:szCs w:val="24"/>
        </w:rPr>
      </w:pPr>
    </w:p>
    <w:p>
      <w:pPr>
        <w:spacing w:line="360" w:lineRule="auto"/>
        <w:jc w:val="center"/>
        <w:rPr>
          <w:b/>
          <w:bCs/>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pPr>
    </w:p>
    <w:p>
      <w:pPr>
        <w:spacing w:line="360" w:lineRule="auto"/>
        <w:jc w:val="center"/>
        <w:rPr>
          <w:b/>
          <w:bCs/>
          <w:sz w:val="24"/>
          <w:szCs w:val="24"/>
        </w:rPr>
      </w:pPr>
    </w:p>
    <w:sdt>
      <w:sdtPr>
        <w:rPr>
          <w:rFonts w:ascii="Times New Roman" w:hAnsi="Times New Roman" w:eastAsia="宋体" w:cs="Times New Roman"/>
          <w:color w:val="auto"/>
          <w:sz w:val="24"/>
          <w:szCs w:val="24"/>
          <w:lang w:val="zh-CN"/>
        </w:rPr>
        <w:id w:val="1174064861"/>
        <w:docPartObj>
          <w:docPartGallery w:val="Table of Contents"/>
          <w:docPartUnique/>
        </w:docPartObj>
      </w:sdtPr>
      <w:sdtEndPr>
        <w:rPr>
          <w:rFonts w:ascii="宋体" w:hAnsi="宋体" w:eastAsia="宋体" w:cs="Times New Roman"/>
          <w:b/>
          <w:bCs/>
          <w:color w:val="auto"/>
          <w:sz w:val="24"/>
          <w:szCs w:val="24"/>
          <w:lang w:val="zh-CN"/>
        </w:rPr>
      </w:sdtEndPr>
      <w:sdtContent>
        <w:p>
          <w:pPr>
            <w:pStyle w:val="35"/>
            <w:spacing w:line="360" w:lineRule="auto"/>
            <w:jc w:val="center"/>
            <w:rPr>
              <w:b/>
              <w:bCs/>
              <w:color w:val="auto"/>
              <w:sz w:val="28"/>
              <w:szCs w:val="28"/>
            </w:rPr>
          </w:pPr>
          <w:r>
            <w:rPr>
              <w:b/>
              <w:bCs/>
              <w:color w:val="auto"/>
              <w:sz w:val="28"/>
              <w:szCs w:val="28"/>
              <w:lang w:val="zh-CN"/>
            </w:rPr>
            <w:t xml:space="preserve">目 </w:t>
          </w:r>
          <w:r>
            <w:rPr>
              <w:rFonts w:hint="eastAsia"/>
              <w:b/>
              <w:bCs/>
              <w:color w:val="auto"/>
              <w:sz w:val="28"/>
              <w:szCs w:val="28"/>
              <w:lang w:val="zh-CN"/>
            </w:rPr>
            <w:t>次</w:t>
          </w:r>
          <w:bookmarkStart w:id="29" w:name="_GoBack"/>
          <w:bookmarkEnd w:id="29"/>
        </w:p>
        <w:p>
          <w:pPr>
            <w:pStyle w:val="10"/>
            <w:rPr>
              <w:rFonts w:cstheme="minorBidi"/>
              <w:kern w:val="2"/>
            </w:rPr>
          </w:pPr>
          <w:r>
            <w:fldChar w:fldCharType="begin"/>
          </w:r>
          <w:r>
            <w:instrText xml:space="preserve"> TOC \o "1-3" \h \z \u </w:instrText>
          </w:r>
          <w:r>
            <w:fldChar w:fldCharType="separate"/>
          </w:r>
          <w:r>
            <w:fldChar w:fldCharType="begin"/>
          </w:r>
          <w:r>
            <w:instrText xml:space="preserve"> HYPERLINK \l "_Toc28354596" </w:instrText>
          </w:r>
          <w:r>
            <w:fldChar w:fldCharType="separate"/>
          </w:r>
          <w:r>
            <w:rPr>
              <w:rStyle w:val="17"/>
              <w:rFonts w:ascii="宋体" w:hAnsi="宋体"/>
            </w:rPr>
            <w:t>1.总则</w:t>
          </w:r>
          <w:r>
            <w:tab/>
          </w:r>
          <w:r>
            <w:fldChar w:fldCharType="begin"/>
          </w:r>
          <w:r>
            <w:instrText xml:space="preserve"> PAGEREF _Toc28354596 \h </w:instrText>
          </w:r>
          <w:r>
            <w:fldChar w:fldCharType="separate"/>
          </w:r>
          <w:r>
            <w:t>1</w:t>
          </w:r>
          <w:r>
            <w:fldChar w:fldCharType="end"/>
          </w:r>
          <w:r>
            <w:fldChar w:fldCharType="end"/>
          </w:r>
        </w:p>
        <w:p>
          <w:pPr>
            <w:pStyle w:val="10"/>
            <w:rPr>
              <w:rFonts w:cstheme="minorBidi"/>
              <w:kern w:val="2"/>
            </w:rPr>
          </w:pPr>
          <w:r>
            <w:fldChar w:fldCharType="begin"/>
          </w:r>
          <w:r>
            <w:instrText xml:space="preserve"> HYPERLINK \l "_Toc28354597" </w:instrText>
          </w:r>
          <w:r>
            <w:fldChar w:fldCharType="separate"/>
          </w:r>
          <w:r>
            <w:rPr>
              <w:rStyle w:val="17"/>
              <w:rFonts w:ascii="宋体" w:hAnsi="宋体"/>
            </w:rPr>
            <w:t>2.术语</w:t>
          </w:r>
          <w:r>
            <w:tab/>
          </w:r>
          <w:r>
            <w:fldChar w:fldCharType="begin"/>
          </w:r>
          <w:r>
            <w:instrText xml:space="preserve"> PAGEREF _Toc28354597 \h </w:instrText>
          </w:r>
          <w:r>
            <w:fldChar w:fldCharType="separate"/>
          </w:r>
          <w:r>
            <w:t>2</w:t>
          </w:r>
          <w:r>
            <w:fldChar w:fldCharType="end"/>
          </w:r>
          <w:r>
            <w:fldChar w:fldCharType="end"/>
          </w:r>
        </w:p>
        <w:p>
          <w:pPr>
            <w:pStyle w:val="10"/>
            <w:rPr>
              <w:rFonts w:cstheme="minorBidi"/>
              <w:kern w:val="2"/>
            </w:rPr>
          </w:pPr>
          <w:r>
            <w:fldChar w:fldCharType="begin"/>
          </w:r>
          <w:r>
            <w:instrText xml:space="preserve"> HYPERLINK \l "_Toc28354598" </w:instrText>
          </w:r>
          <w:r>
            <w:fldChar w:fldCharType="separate"/>
          </w:r>
          <w:r>
            <w:rPr>
              <w:rStyle w:val="17"/>
              <w:rFonts w:ascii="宋体" w:hAnsi="宋体"/>
            </w:rPr>
            <w:t>3.基本规定</w:t>
          </w:r>
          <w:r>
            <w:tab/>
          </w:r>
          <w:r>
            <w:fldChar w:fldCharType="begin"/>
          </w:r>
          <w:r>
            <w:instrText xml:space="preserve"> PAGEREF _Toc28354598 \h </w:instrText>
          </w:r>
          <w:r>
            <w:fldChar w:fldCharType="separate"/>
          </w:r>
          <w:r>
            <w:t>4</w:t>
          </w:r>
          <w:r>
            <w:fldChar w:fldCharType="end"/>
          </w:r>
          <w:r>
            <w:fldChar w:fldCharType="end"/>
          </w:r>
        </w:p>
        <w:p>
          <w:pPr>
            <w:pStyle w:val="10"/>
            <w:rPr>
              <w:rFonts w:cstheme="minorBidi"/>
              <w:kern w:val="2"/>
            </w:rPr>
          </w:pPr>
          <w:r>
            <w:fldChar w:fldCharType="begin"/>
          </w:r>
          <w:r>
            <w:instrText xml:space="preserve"> HYPERLINK \l "_Toc28354599" </w:instrText>
          </w:r>
          <w:r>
            <w:fldChar w:fldCharType="separate"/>
          </w:r>
          <w:r>
            <w:rPr>
              <w:rStyle w:val="17"/>
              <w:rFonts w:ascii="宋体" w:hAnsi="宋体"/>
            </w:rPr>
            <w:t>4.能耗比对评价指标</w:t>
          </w:r>
          <w:r>
            <w:tab/>
          </w:r>
          <w:r>
            <w:fldChar w:fldCharType="begin"/>
          </w:r>
          <w:r>
            <w:instrText xml:space="preserve"> PAGEREF _Toc28354599 \h </w:instrText>
          </w:r>
          <w:r>
            <w:fldChar w:fldCharType="separate"/>
          </w:r>
          <w:r>
            <w:t>5</w:t>
          </w:r>
          <w:r>
            <w:fldChar w:fldCharType="end"/>
          </w:r>
          <w:r>
            <w:fldChar w:fldCharType="end"/>
          </w:r>
        </w:p>
        <w:p>
          <w:pPr>
            <w:pStyle w:val="10"/>
            <w:rPr>
              <w:rFonts w:cstheme="minorBidi"/>
              <w:kern w:val="2"/>
            </w:rPr>
          </w:pPr>
          <w:r>
            <w:fldChar w:fldCharType="begin"/>
          </w:r>
          <w:r>
            <w:instrText xml:space="preserve"> HYPERLINK \l "_Toc28354600" </w:instrText>
          </w:r>
          <w:r>
            <w:fldChar w:fldCharType="separate"/>
          </w:r>
          <w:r>
            <w:rPr>
              <w:rStyle w:val="17"/>
              <w:rFonts w:ascii="宋体" w:hAnsi="宋体"/>
            </w:rPr>
            <w:t>5 能耗比对评价方法技术要求</w:t>
          </w:r>
          <w:r>
            <w:tab/>
          </w:r>
          <w:r>
            <w:fldChar w:fldCharType="begin"/>
          </w:r>
          <w:r>
            <w:instrText xml:space="preserve"> PAGEREF _Toc28354600 \h </w:instrText>
          </w:r>
          <w:r>
            <w:fldChar w:fldCharType="separate"/>
          </w:r>
          <w:r>
            <w:t>7</w:t>
          </w:r>
          <w:r>
            <w:fldChar w:fldCharType="end"/>
          </w:r>
          <w:r>
            <w:fldChar w:fldCharType="end"/>
          </w:r>
        </w:p>
        <w:p>
          <w:pPr>
            <w:pStyle w:val="11"/>
            <w:rPr>
              <w:rFonts w:ascii="宋体" w:hAnsi="宋体" w:cstheme="minorBidi"/>
              <w:kern w:val="2"/>
            </w:rPr>
          </w:pPr>
          <w:r>
            <w:fldChar w:fldCharType="begin"/>
          </w:r>
          <w:r>
            <w:instrText xml:space="preserve"> HYPERLINK \l "_Toc28354601" </w:instrText>
          </w:r>
          <w:r>
            <w:fldChar w:fldCharType="separate"/>
          </w:r>
          <w:r>
            <w:rPr>
              <w:rStyle w:val="17"/>
              <w:rFonts w:ascii="宋体" w:hAnsi="宋体"/>
            </w:rPr>
            <w:t>5.1总能耗比对评价方法</w:t>
          </w:r>
          <w:r>
            <w:rPr>
              <w:rFonts w:ascii="宋体" w:hAnsi="宋体"/>
            </w:rPr>
            <w:tab/>
          </w:r>
          <w:r>
            <w:rPr>
              <w:rFonts w:ascii="宋体" w:hAnsi="宋体"/>
            </w:rPr>
            <w:fldChar w:fldCharType="begin"/>
          </w:r>
          <w:r>
            <w:rPr>
              <w:rFonts w:ascii="宋体" w:hAnsi="宋体"/>
            </w:rPr>
            <w:instrText xml:space="preserve"> PAGEREF _Toc28354601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11"/>
            <w:rPr>
              <w:rFonts w:ascii="宋体" w:hAnsi="宋体" w:cstheme="minorBidi"/>
              <w:kern w:val="2"/>
            </w:rPr>
          </w:pPr>
          <w:r>
            <w:fldChar w:fldCharType="begin"/>
          </w:r>
          <w:r>
            <w:instrText xml:space="preserve"> HYPERLINK \l "_Toc28354602" </w:instrText>
          </w:r>
          <w:r>
            <w:fldChar w:fldCharType="separate"/>
          </w:r>
          <w:r>
            <w:rPr>
              <w:rStyle w:val="17"/>
              <w:rFonts w:ascii="宋体" w:hAnsi="宋体"/>
            </w:rPr>
            <w:t>5.2拆分分项能耗比对评价方法</w:t>
          </w:r>
          <w:r>
            <w:rPr>
              <w:rFonts w:ascii="宋体" w:hAnsi="宋体"/>
            </w:rPr>
            <w:tab/>
          </w:r>
          <w:r>
            <w:rPr>
              <w:rFonts w:ascii="宋体" w:hAnsi="宋体"/>
            </w:rPr>
            <w:fldChar w:fldCharType="begin"/>
          </w:r>
          <w:r>
            <w:rPr>
              <w:rFonts w:ascii="宋体" w:hAnsi="宋体"/>
            </w:rPr>
            <w:instrText xml:space="preserve"> PAGEREF _Toc28354602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pPr>
            <w:pStyle w:val="11"/>
            <w:rPr>
              <w:rFonts w:ascii="宋体" w:hAnsi="宋体" w:cstheme="minorBidi"/>
              <w:kern w:val="2"/>
            </w:rPr>
          </w:pPr>
          <w:r>
            <w:fldChar w:fldCharType="begin"/>
          </w:r>
          <w:r>
            <w:instrText xml:space="preserve"> HYPERLINK \l "_Toc28354603" </w:instrText>
          </w:r>
          <w:r>
            <w:fldChar w:fldCharType="separate"/>
          </w:r>
          <w:r>
            <w:rPr>
              <w:rStyle w:val="17"/>
              <w:rFonts w:ascii="宋体" w:hAnsi="宋体"/>
            </w:rPr>
            <w:t>5.3基于监测系统的分项能耗比对评价方法</w:t>
          </w:r>
          <w:r>
            <w:rPr>
              <w:rFonts w:ascii="宋体" w:hAnsi="宋体"/>
            </w:rPr>
            <w:tab/>
          </w:r>
          <w:r>
            <w:rPr>
              <w:rFonts w:ascii="宋体" w:hAnsi="宋体"/>
            </w:rPr>
            <w:fldChar w:fldCharType="begin"/>
          </w:r>
          <w:r>
            <w:rPr>
              <w:rFonts w:ascii="宋体" w:hAnsi="宋体"/>
            </w:rPr>
            <w:instrText xml:space="preserve"> PAGEREF _Toc28354603 \h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pPr>
            <w:pStyle w:val="11"/>
            <w:rPr>
              <w:rFonts w:ascii="宋体" w:hAnsi="宋体" w:cstheme="minorBidi"/>
              <w:kern w:val="2"/>
            </w:rPr>
          </w:pPr>
          <w:r>
            <w:fldChar w:fldCharType="begin"/>
          </w:r>
          <w:r>
            <w:instrText xml:space="preserve"> HYPERLINK \l "_Toc28354604" </w:instrText>
          </w:r>
          <w:r>
            <w:fldChar w:fldCharType="separate"/>
          </w:r>
          <w:r>
            <w:rPr>
              <w:rStyle w:val="17"/>
              <w:rFonts w:ascii="宋体" w:hAnsi="宋体"/>
            </w:rPr>
            <w:t>5.4设备能耗比对评价方法</w:t>
          </w:r>
          <w:r>
            <w:rPr>
              <w:rFonts w:ascii="宋体" w:hAnsi="宋体"/>
            </w:rPr>
            <w:tab/>
          </w:r>
          <w:r>
            <w:rPr>
              <w:rFonts w:ascii="宋体" w:hAnsi="宋体"/>
            </w:rPr>
            <w:fldChar w:fldCharType="begin"/>
          </w:r>
          <w:r>
            <w:rPr>
              <w:rFonts w:ascii="宋体" w:hAnsi="宋体"/>
            </w:rPr>
            <w:instrText xml:space="preserve"> PAGEREF _Toc28354604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10"/>
            <w:rPr>
              <w:rFonts w:cstheme="minorBidi"/>
              <w:kern w:val="2"/>
            </w:rPr>
          </w:pPr>
          <w:r>
            <w:fldChar w:fldCharType="begin"/>
          </w:r>
          <w:r>
            <w:instrText xml:space="preserve"> HYPERLINK \l "_Toc28354605" </w:instrText>
          </w:r>
          <w:r>
            <w:fldChar w:fldCharType="separate"/>
          </w:r>
          <w:r>
            <w:rPr>
              <w:rStyle w:val="17"/>
              <w:rFonts w:ascii="宋体" w:hAnsi="宋体"/>
            </w:rPr>
            <w:t>附录A 总能耗比对评价方法示例</w:t>
          </w:r>
          <w:r>
            <w:tab/>
          </w:r>
          <w:r>
            <w:fldChar w:fldCharType="begin"/>
          </w:r>
          <w:r>
            <w:instrText xml:space="preserve"> PAGEREF _Toc28354605 \h </w:instrText>
          </w:r>
          <w:r>
            <w:fldChar w:fldCharType="separate"/>
          </w:r>
          <w:r>
            <w:t>18</w:t>
          </w:r>
          <w:r>
            <w:fldChar w:fldCharType="end"/>
          </w:r>
          <w:r>
            <w:fldChar w:fldCharType="end"/>
          </w:r>
        </w:p>
        <w:p>
          <w:pPr>
            <w:pStyle w:val="10"/>
            <w:rPr>
              <w:rFonts w:cstheme="minorBidi"/>
              <w:kern w:val="2"/>
            </w:rPr>
          </w:pPr>
          <w:r>
            <w:fldChar w:fldCharType="begin"/>
          </w:r>
          <w:r>
            <w:instrText xml:space="preserve"> HYPERLINK \l "_Toc28354606" </w:instrText>
          </w:r>
          <w:r>
            <w:fldChar w:fldCharType="separate"/>
          </w:r>
          <w:r>
            <w:rPr>
              <w:rStyle w:val="17"/>
              <w:rFonts w:ascii="宋体" w:hAnsi="宋体"/>
            </w:rPr>
            <w:t>附录B 拆分分项能耗比对评价方法示例</w:t>
          </w:r>
          <w:r>
            <w:tab/>
          </w:r>
          <w:r>
            <w:fldChar w:fldCharType="begin"/>
          </w:r>
          <w:r>
            <w:instrText xml:space="preserve"> PAGEREF _Toc28354606 \h </w:instrText>
          </w:r>
          <w:r>
            <w:fldChar w:fldCharType="separate"/>
          </w:r>
          <w:r>
            <w:t>20</w:t>
          </w:r>
          <w:r>
            <w:fldChar w:fldCharType="end"/>
          </w:r>
          <w:r>
            <w:fldChar w:fldCharType="end"/>
          </w:r>
        </w:p>
        <w:p>
          <w:pPr>
            <w:pStyle w:val="10"/>
            <w:rPr>
              <w:rFonts w:cstheme="minorBidi"/>
              <w:kern w:val="2"/>
            </w:rPr>
          </w:pPr>
          <w:r>
            <w:fldChar w:fldCharType="begin"/>
          </w:r>
          <w:r>
            <w:instrText xml:space="preserve"> HYPERLINK \l "_Toc28354607" </w:instrText>
          </w:r>
          <w:r>
            <w:fldChar w:fldCharType="separate"/>
          </w:r>
          <w:r>
            <w:rPr>
              <w:rStyle w:val="17"/>
              <w:rFonts w:ascii="宋体" w:hAnsi="宋体"/>
            </w:rPr>
            <w:t>附录C 基于监测系统的分项能耗比对评价方法示例</w:t>
          </w:r>
          <w:r>
            <w:tab/>
          </w:r>
          <w:r>
            <w:fldChar w:fldCharType="begin"/>
          </w:r>
          <w:r>
            <w:instrText xml:space="preserve"> PAGEREF _Toc28354607 \h </w:instrText>
          </w:r>
          <w:r>
            <w:fldChar w:fldCharType="separate"/>
          </w:r>
          <w:r>
            <w:t>23</w:t>
          </w:r>
          <w:r>
            <w:fldChar w:fldCharType="end"/>
          </w:r>
          <w:r>
            <w:fldChar w:fldCharType="end"/>
          </w:r>
        </w:p>
        <w:p>
          <w:pPr>
            <w:pStyle w:val="10"/>
            <w:rPr>
              <w:rFonts w:cstheme="minorBidi"/>
              <w:kern w:val="2"/>
            </w:rPr>
          </w:pPr>
          <w:r>
            <w:fldChar w:fldCharType="begin"/>
          </w:r>
          <w:r>
            <w:instrText xml:space="preserve"> HYPERLINK \l "_Toc28354608" </w:instrText>
          </w:r>
          <w:r>
            <w:fldChar w:fldCharType="separate"/>
          </w:r>
          <w:r>
            <w:rPr>
              <w:rStyle w:val="17"/>
              <w:rFonts w:ascii="宋体" w:hAnsi="宋体"/>
            </w:rPr>
            <w:t>附录D 设备能耗比对评价方法示例</w:t>
          </w:r>
          <w:r>
            <w:tab/>
          </w:r>
          <w:r>
            <w:fldChar w:fldCharType="begin"/>
          </w:r>
          <w:r>
            <w:instrText xml:space="preserve"> PAGEREF _Toc28354608 \h </w:instrText>
          </w:r>
          <w:r>
            <w:fldChar w:fldCharType="separate"/>
          </w:r>
          <w:r>
            <w:t>24</w:t>
          </w:r>
          <w:r>
            <w:fldChar w:fldCharType="end"/>
          </w:r>
          <w:r>
            <w:fldChar w:fldCharType="end"/>
          </w:r>
        </w:p>
        <w:p>
          <w:pPr>
            <w:pStyle w:val="10"/>
            <w:rPr>
              <w:rFonts w:cstheme="minorBidi"/>
              <w:kern w:val="2"/>
            </w:rPr>
          </w:pPr>
          <w:r>
            <w:fldChar w:fldCharType="begin"/>
          </w:r>
          <w:r>
            <w:instrText xml:space="preserve"> HYPERLINK \l "_Toc28354609" </w:instrText>
          </w:r>
          <w:r>
            <w:fldChar w:fldCharType="separate"/>
          </w:r>
          <w:r>
            <w:rPr>
              <w:rStyle w:val="17"/>
              <w:rFonts w:ascii="宋体" w:hAnsi="宋体"/>
            </w:rPr>
            <w:t>本标准用词说明</w:t>
          </w:r>
          <w:r>
            <w:tab/>
          </w:r>
          <w:r>
            <w:fldChar w:fldCharType="begin"/>
          </w:r>
          <w:r>
            <w:instrText xml:space="preserve"> PAGEREF _Toc28354609 \h </w:instrText>
          </w:r>
          <w:r>
            <w:fldChar w:fldCharType="separate"/>
          </w:r>
          <w:r>
            <w:t>26</w:t>
          </w:r>
          <w:r>
            <w:fldChar w:fldCharType="end"/>
          </w:r>
          <w:r>
            <w:fldChar w:fldCharType="end"/>
          </w:r>
        </w:p>
        <w:p>
          <w:pPr>
            <w:pStyle w:val="10"/>
            <w:rPr>
              <w:rFonts w:cstheme="minorBidi"/>
              <w:kern w:val="2"/>
            </w:rPr>
          </w:pPr>
          <w:r>
            <w:fldChar w:fldCharType="begin"/>
          </w:r>
          <w:r>
            <w:instrText xml:space="preserve"> HYPERLINK \l "_Toc28354610" </w:instrText>
          </w:r>
          <w:r>
            <w:fldChar w:fldCharType="separate"/>
          </w:r>
          <w:r>
            <w:rPr>
              <w:rStyle w:val="17"/>
              <w:rFonts w:ascii="宋体" w:hAnsi="宋体"/>
            </w:rPr>
            <w:t>引用标准名录</w:t>
          </w:r>
          <w:r>
            <w:tab/>
          </w:r>
          <w:r>
            <w:fldChar w:fldCharType="begin"/>
          </w:r>
          <w:r>
            <w:instrText xml:space="preserve"> PAGEREF _Toc28354610 \h </w:instrText>
          </w:r>
          <w:r>
            <w:fldChar w:fldCharType="separate"/>
          </w:r>
          <w:r>
            <w:t>27</w:t>
          </w:r>
          <w:r>
            <w:fldChar w:fldCharType="end"/>
          </w:r>
          <w:r>
            <w:fldChar w:fldCharType="end"/>
          </w:r>
        </w:p>
        <w:p>
          <w:pPr>
            <w:spacing w:line="360" w:lineRule="auto"/>
            <w:rPr>
              <w:rFonts w:ascii="宋体" w:hAnsi="宋体"/>
              <w:sz w:val="24"/>
              <w:szCs w:val="24"/>
            </w:rPr>
          </w:pPr>
          <w:r>
            <w:rPr>
              <w:rFonts w:ascii="宋体" w:hAnsi="宋体"/>
              <w:b/>
              <w:bCs/>
              <w:sz w:val="24"/>
              <w:szCs w:val="24"/>
              <w:lang w:val="zh-CN"/>
            </w:rPr>
            <w:fldChar w:fldCharType="end"/>
          </w:r>
        </w:p>
      </w:sdtContent>
    </w:sdt>
    <w:p>
      <w:pPr>
        <w:spacing w:line="360" w:lineRule="auto"/>
        <w:jc w:val="center"/>
        <w:rPr>
          <w:b/>
          <w:bCs/>
          <w:sz w:val="24"/>
          <w:szCs w:val="24"/>
        </w:rPr>
      </w:pPr>
    </w:p>
    <w:p>
      <w:pPr>
        <w:spacing w:line="360" w:lineRule="auto"/>
        <w:jc w:val="center"/>
        <w:rPr>
          <w:b/>
          <w:bCs/>
          <w:sz w:val="24"/>
          <w:szCs w:val="24"/>
        </w:r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color w:val="auto"/>
          <w:sz w:val="24"/>
          <w:szCs w:val="24"/>
          <w:lang w:val="zh-CN"/>
        </w:rPr>
        <w:id w:val="463625787"/>
        <w:docPartObj>
          <w:docPartGallery w:val="Table of Contents"/>
          <w:docPartUnique/>
        </w:docPartObj>
      </w:sdtPr>
      <w:sdtEndPr>
        <w:rPr>
          <w:rFonts w:ascii="Times New Roman" w:hAnsi="Times New Roman" w:eastAsia="宋体" w:cs="Times New Roman"/>
          <w:color w:val="auto"/>
          <w:sz w:val="24"/>
          <w:szCs w:val="24"/>
          <w:lang w:val="zh-CN"/>
        </w:rPr>
      </w:sdtEndPr>
      <w:sdtContent>
        <w:p>
          <w:pPr>
            <w:pStyle w:val="35"/>
            <w:spacing w:line="360" w:lineRule="auto"/>
            <w:jc w:val="center"/>
            <w:rPr>
              <w:b/>
              <w:bCs/>
              <w:color w:val="auto"/>
              <w:sz w:val="28"/>
              <w:szCs w:val="28"/>
            </w:rPr>
          </w:pPr>
          <w:r>
            <w:rPr>
              <w:rFonts w:hint="eastAsia"/>
              <w:b/>
              <w:bCs/>
              <w:color w:val="auto"/>
              <w:sz w:val="28"/>
              <w:szCs w:val="28"/>
              <w:lang w:val="zh-CN"/>
            </w:rPr>
            <w:t>C</w:t>
          </w:r>
          <w:r>
            <w:rPr>
              <w:b/>
              <w:bCs/>
              <w:color w:val="auto"/>
              <w:sz w:val="28"/>
              <w:szCs w:val="28"/>
              <w:lang w:val="zh-CN"/>
            </w:rPr>
            <w:t>ontents</w:t>
          </w:r>
        </w:p>
        <w:p>
          <w:pPr>
            <w:pStyle w:val="10"/>
            <w:rPr>
              <w:kern w:val="2"/>
            </w:rPr>
          </w:pPr>
          <w:r>
            <w:fldChar w:fldCharType="begin"/>
          </w:r>
          <w:r>
            <w:instrText xml:space="preserve"> TOC \o "1-3" \h \z \u </w:instrText>
          </w:r>
          <w:r>
            <w:fldChar w:fldCharType="separate"/>
          </w:r>
          <w:r>
            <w:fldChar w:fldCharType="begin"/>
          </w:r>
          <w:r>
            <w:instrText xml:space="preserve"> HYPERLINK \l "_Toc28354596" </w:instrText>
          </w:r>
          <w:r>
            <w:fldChar w:fldCharType="separate"/>
          </w:r>
          <w:r>
            <w:rPr>
              <w:rStyle w:val="17"/>
            </w:rPr>
            <w:t>1.</w:t>
          </w:r>
          <w:r>
            <w:t xml:space="preserve"> </w:t>
          </w:r>
          <w:r>
            <w:rPr>
              <w:rStyle w:val="17"/>
            </w:rPr>
            <w:t>General Provisions</w:t>
          </w:r>
          <w:r>
            <w:tab/>
          </w:r>
          <w:r>
            <w:fldChar w:fldCharType="begin"/>
          </w:r>
          <w:r>
            <w:instrText xml:space="preserve"> PAGEREF _Toc28354596 \h </w:instrText>
          </w:r>
          <w:r>
            <w:fldChar w:fldCharType="separate"/>
          </w:r>
          <w:r>
            <w:t>1</w:t>
          </w:r>
          <w:r>
            <w:fldChar w:fldCharType="end"/>
          </w:r>
          <w:r>
            <w:fldChar w:fldCharType="end"/>
          </w:r>
        </w:p>
        <w:p>
          <w:pPr>
            <w:pStyle w:val="10"/>
            <w:rPr>
              <w:kern w:val="2"/>
            </w:rPr>
          </w:pPr>
          <w:r>
            <w:fldChar w:fldCharType="begin"/>
          </w:r>
          <w:r>
            <w:instrText xml:space="preserve"> HYPERLINK \l "_Toc28354597" </w:instrText>
          </w:r>
          <w:r>
            <w:fldChar w:fldCharType="separate"/>
          </w:r>
          <w:r>
            <w:rPr>
              <w:rStyle w:val="17"/>
            </w:rPr>
            <w:t>2.</w:t>
          </w:r>
          <w:r>
            <w:t xml:space="preserve"> </w:t>
          </w:r>
          <w:r>
            <w:rPr>
              <w:rStyle w:val="17"/>
            </w:rPr>
            <w:t>Terms</w:t>
          </w:r>
          <w:r>
            <w:tab/>
          </w:r>
          <w:r>
            <w:fldChar w:fldCharType="begin"/>
          </w:r>
          <w:r>
            <w:instrText xml:space="preserve"> PAGEREF _Toc28354597 \h </w:instrText>
          </w:r>
          <w:r>
            <w:fldChar w:fldCharType="separate"/>
          </w:r>
          <w:r>
            <w:t>2</w:t>
          </w:r>
          <w:r>
            <w:fldChar w:fldCharType="end"/>
          </w:r>
          <w:r>
            <w:fldChar w:fldCharType="end"/>
          </w:r>
        </w:p>
        <w:p>
          <w:pPr>
            <w:pStyle w:val="10"/>
            <w:rPr>
              <w:kern w:val="2"/>
            </w:rPr>
          </w:pPr>
          <w:r>
            <w:fldChar w:fldCharType="begin"/>
          </w:r>
          <w:r>
            <w:instrText xml:space="preserve"> HYPERLINK \l "_Toc28354598" </w:instrText>
          </w:r>
          <w:r>
            <w:fldChar w:fldCharType="separate"/>
          </w:r>
          <w:r>
            <w:rPr>
              <w:rStyle w:val="17"/>
            </w:rPr>
            <w:t>3.</w:t>
          </w:r>
          <w:r>
            <w:t xml:space="preserve"> </w:t>
          </w:r>
          <w:r>
            <w:rPr>
              <w:rStyle w:val="17"/>
            </w:rPr>
            <w:t>Basic Requirements</w:t>
          </w:r>
          <w:r>
            <w:tab/>
          </w:r>
          <w:r>
            <w:fldChar w:fldCharType="begin"/>
          </w:r>
          <w:r>
            <w:instrText xml:space="preserve"> PAGEREF _Toc28354598 \h </w:instrText>
          </w:r>
          <w:r>
            <w:fldChar w:fldCharType="separate"/>
          </w:r>
          <w:r>
            <w:t>4</w:t>
          </w:r>
          <w:r>
            <w:fldChar w:fldCharType="end"/>
          </w:r>
          <w:r>
            <w:fldChar w:fldCharType="end"/>
          </w:r>
        </w:p>
        <w:p>
          <w:pPr>
            <w:pStyle w:val="10"/>
            <w:rPr>
              <w:kern w:val="2"/>
            </w:rPr>
          </w:pPr>
          <w:r>
            <w:fldChar w:fldCharType="begin"/>
          </w:r>
          <w:r>
            <w:instrText xml:space="preserve"> HYPERLINK \l "_Toc28354599" </w:instrText>
          </w:r>
          <w:r>
            <w:fldChar w:fldCharType="separate"/>
          </w:r>
          <w:r>
            <w:rPr>
              <w:rStyle w:val="17"/>
            </w:rPr>
            <w:t>4.</w:t>
          </w:r>
          <w:r>
            <w:t xml:space="preserve"> </w:t>
          </w:r>
          <w:r>
            <w:rPr>
              <w:rStyle w:val="17"/>
            </w:rPr>
            <w:t>Index of building energy benchmarking and evaluating</w:t>
          </w:r>
          <w:r>
            <w:tab/>
          </w:r>
          <w:r>
            <w:fldChar w:fldCharType="begin"/>
          </w:r>
          <w:r>
            <w:instrText xml:space="preserve"> PAGEREF _Toc28354599 \h </w:instrText>
          </w:r>
          <w:r>
            <w:fldChar w:fldCharType="separate"/>
          </w:r>
          <w:r>
            <w:t>5</w:t>
          </w:r>
          <w:r>
            <w:fldChar w:fldCharType="end"/>
          </w:r>
          <w:r>
            <w:fldChar w:fldCharType="end"/>
          </w:r>
        </w:p>
        <w:p>
          <w:pPr>
            <w:pStyle w:val="10"/>
            <w:rPr>
              <w:kern w:val="2"/>
            </w:rPr>
          </w:pPr>
          <w:r>
            <w:fldChar w:fldCharType="begin"/>
          </w:r>
          <w:r>
            <w:instrText xml:space="preserve"> HYPERLINK \l "_Toc28354600" </w:instrText>
          </w:r>
          <w:r>
            <w:fldChar w:fldCharType="separate"/>
          </w:r>
          <w:r>
            <w:rPr>
              <w:rStyle w:val="17"/>
            </w:rPr>
            <w:t>5 Technical requirement of energy benchmarking and evaluating method</w:t>
          </w:r>
          <w:r>
            <w:tab/>
          </w:r>
          <w:r>
            <w:fldChar w:fldCharType="begin"/>
          </w:r>
          <w:r>
            <w:instrText xml:space="preserve"> PAGEREF _Toc28354600 \h </w:instrText>
          </w:r>
          <w:r>
            <w:fldChar w:fldCharType="separate"/>
          </w:r>
          <w:r>
            <w:t>7</w:t>
          </w:r>
          <w:r>
            <w:fldChar w:fldCharType="end"/>
          </w:r>
          <w:r>
            <w:fldChar w:fldCharType="end"/>
          </w:r>
        </w:p>
        <w:p>
          <w:pPr>
            <w:pStyle w:val="11"/>
            <w:rPr>
              <w:kern w:val="2"/>
            </w:rPr>
          </w:pPr>
          <w:r>
            <w:fldChar w:fldCharType="begin"/>
          </w:r>
          <w:r>
            <w:instrText xml:space="preserve"> HYPERLINK \l "_Toc28354601" </w:instrText>
          </w:r>
          <w:r>
            <w:fldChar w:fldCharType="separate"/>
          </w:r>
          <w:r>
            <w:rPr>
              <w:rStyle w:val="17"/>
            </w:rPr>
            <w:t>5.1</w:t>
          </w:r>
          <w:r>
            <w:t xml:space="preserve"> </w:t>
          </w:r>
          <w:r>
            <w:rPr>
              <w:rStyle w:val="17"/>
            </w:rPr>
            <w:t>total energy benchmarking and evaluating method</w:t>
          </w:r>
          <w:r>
            <w:tab/>
          </w:r>
          <w:r>
            <w:fldChar w:fldCharType="begin"/>
          </w:r>
          <w:r>
            <w:instrText xml:space="preserve"> PAGEREF _Toc28354601 \h </w:instrText>
          </w:r>
          <w:r>
            <w:fldChar w:fldCharType="separate"/>
          </w:r>
          <w:r>
            <w:t>7</w:t>
          </w:r>
          <w:r>
            <w:fldChar w:fldCharType="end"/>
          </w:r>
          <w:r>
            <w:fldChar w:fldCharType="end"/>
          </w:r>
        </w:p>
        <w:p>
          <w:pPr>
            <w:pStyle w:val="11"/>
            <w:rPr>
              <w:kern w:val="2"/>
            </w:rPr>
          </w:pPr>
          <w:r>
            <w:fldChar w:fldCharType="begin"/>
          </w:r>
          <w:r>
            <w:instrText xml:space="preserve"> HYPERLINK \l "_Toc28354602" </w:instrText>
          </w:r>
          <w:r>
            <w:fldChar w:fldCharType="separate"/>
          </w:r>
          <w:r>
            <w:rPr>
              <w:rStyle w:val="17"/>
            </w:rPr>
            <w:t>5.2</w:t>
          </w:r>
          <w:r>
            <w:t xml:space="preserve"> </w:t>
          </w:r>
          <w:r>
            <w:rPr>
              <w:rStyle w:val="17"/>
            </w:rPr>
            <w:t>subentry energy</w:t>
          </w:r>
          <w:r>
            <w:t xml:space="preserve"> </w:t>
          </w:r>
          <w:r>
            <w:rPr>
              <w:rStyle w:val="17"/>
            </w:rPr>
            <w:t>benchmarking and evaluating method</w:t>
          </w:r>
          <w:r>
            <w:tab/>
          </w:r>
          <w:r>
            <w:fldChar w:fldCharType="begin"/>
          </w:r>
          <w:r>
            <w:instrText xml:space="preserve"> PAGEREF _Toc28354602 \h </w:instrText>
          </w:r>
          <w:r>
            <w:fldChar w:fldCharType="separate"/>
          </w:r>
          <w:r>
            <w:t>12</w:t>
          </w:r>
          <w:r>
            <w:fldChar w:fldCharType="end"/>
          </w:r>
          <w:r>
            <w:fldChar w:fldCharType="end"/>
          </w:r>
        </w:p>
        <w:p>
          <w:pPr>
            <w:pStyle w:val="11"/>
            <w:rPr>
              <w:kern w:val="2"/>
            </w:rPr>
          </w:pPr>
          <w:r>
            <w:fldChar w:fldCharType="begin"/>
          </w:r>
          <w:r>
            <w:instrText xml:space="preserve"> HYPERLINK \l "_Toc28354603" </w:instrText>
          </w:r>
          <w:r>
            <w:fldChar w:fldCharType="separate"/>
          </w:r>
          <w:r>
            <w:rPr>
              <w:rStyle w:val="17"/>
            </w:rPr>
            <w:t>5.3</w:t>
          </w:r>
          <w:r>
            <w:t xml:space="preserve"> </w:t>
          </w:r>
          <w:r>
            <w:rPr>
              <w:rStyle w:val="17"/>
            </w:rPr>
            <w:t>sub-metering energy benchmarking and evaluating method</w:t>
          </w:r>
          <w:r>
            <w:tab/>
          </w:r>
          <w:r>
            <w:fldChar w:fldCharType="begin"/>
          </w:r>
          <w:r>
            <w:instrText xml:space="preserve"> PAGEREF _Toc28354603 \h </w:instrText>
          </w:r>
          <w:r>
            <w:fldChar w:fldCharType="separate"/>
          </w:r>
          <w:r>
            <w:t>14</w:t>
          </w:r>
          <w:r>
            <w:fldChar w:fldCharType="end"/>
          </w:r>
          <w:r>
            <w:fldChar w:fldCharType="end"/>
          </w:r>
        </w:p>
        <w:p>
          <w:pPr>
            <w:pStyle w:val="11"/>
            <w:rPr>
              <w:kern w:val="2"/>
            </w:rPr>
          </w:pPr>
          <w:r>
            <w:fldChar w:fldCharType="begin"/>
          </w:r>
          <w:r>
            <w:instrText xml:space="preserve"> HYPERLINK \l "_Toc28354604" </w:instrText>
          </w:r>
          <w:r>
            <w:fldChar w:fldCharType="separate"/>
          </w:r>
          <w:r>
            <w:rPr>
              <w:rStyle w:val="17"/>
            </w:rPr>
            <w:t>5.4</w:t>
          </w:r>
          <w:r>
            <w:t xml:space="preserve"> </w:t>
          </w:r>
          <w:r>
            <w:rPr>
              <w:rStyle w:val="17"/>
            </w:rPr>
            <w:t>equipment energy benchmarking and evaluating method</w:t>
          </w:r>
          <w:r>
            <w:tab/>
          </w:r>
          <w:r>
            <w:fldChar w:fldCharType="begin"/>
          </w:r>
          <w:r>
            <w:instrText xml:space="preserve"> PAGEREF _Toc28354604 \h </w:instrText>
          </w:r>
          <w:r>
            <w:fldChar w:fldCharType="separate"/>
          </w:r>
          <w:r>
            <w:t>16</w:t>
          </w:r>
          <w:r>
            <w:fldChar w:fldCharType="end"/>
          </w:r>
          <w:r>
            <w:fldChar w:fldCharType="end"/>
          </w:r>
        </w:p>
        <w:p>
          <w:pPr>
            <w:pStyle w:val="10"/>
            <w:rPr>
              <w:kern w:val="2"/>
            </w:rPr>
          </w:pPr>
          <w:r>
            <w:fldChar w:fldCharType="begin"/>
          </w:r>
          <w:r>
            <w:instrText xml:space="preserve"> HYPERLINK \l "_Toc28354605" </w:instrText>
          </w:r>
          <w:r>
            <w:fldChar w:fldCharType="separate"/>
          </w:r>
          <w:r>
            <w:t>Appendix A  Example of total energy benchmarking and evaluating method</w:t>
          </w:r>
          <w:r>
            <w:tab/>
          </w:r>
          <w:r>
            <w:fldChar w:fldCharType="begin"/>
          </w:r>
          <w:r>
            <w:instrText xml:space="preserve"> PAGEREF _Toc28354605 \h </w:instrText>
          </w:r>
          <w:r>
            <w:fldChar w:fldCharType="separate"/>
          </w:r>
          <w:r>
            <w:t>18</w:t>
          </w:r>
          <w:r>
            <w:fldChar w:fldCharType="end"/>
          </w:r>
          <w:r>
            <w:fldChar w:fldCharType="end"/>
          </w:r>
        </w:p>
        <w:p>
          <w:pPr>
            <w:pStyle w:val="10"/>
            <w:rPr>
              <w:kern w:val="2"/>
            </w:rPr>
          </w:pPr>
          <w:r>
            <w:fldChar w:fldCharType="begin"/>
          </w:r>
          <w:r>
            <w:instrText xml:space="preserve"> HYPERLINK \l "_Toc28354606" </w:instrText>
          </w:r>
          <w:r>
            <w:fldChar w:fldCharType="separate"/>
          </w:r>
          <w:r>
            <w:t>Appendix B  Example of subentry energy benchmarking and evaluating method</w:t>
          </w:r>
          <w:r>
            <w:tab/>
          </w:r>
          <w:r>
            <w:fldChar w:fldCharType="begin"/>
          </w:r>
          <w:r>
            <w:instrText xml:space="preserve"> PAGEREF _Toc28354606 \h </w:instrText>
          </w:r>
          <w:r>
            <w:fldChar w:fldCharType="separate"/>
          </w:r>
          <w:r>
            <w:t>20</w:t>
          </w:r>
          <w:r>
            <w:fldChar w:fldCharType="end"/>
          </w:r>
          <w:r>
            <w:fldChar w:fldCharType="end"/>
          </w:r>
        </w:p>
        <w:p>
          <w:pPr>
            <w:pStyle w:val="10"/>
            <w:rPr>
              <w:kern w:val="2"/>
            </w:rPr>
          </w:pPr>
          <w:r>
            <w:fldChar w:fldCharType="begin"/>
          </w:r>
          <w:r>
            <w:instrText xml:space="preserve"> HYPERLINK \l "_Toc28354607" </w:instrText>
          </w:r>
          <w:r>
            <w:fldChar w:fldCharType="separate"/>
          </w:r>
          <w:r>
            <w:rPr>
              <w:rStyle w:val="17"/>
            </w:rPr>
            <w:t>Appendix C Example of sub-metering energy benchmarking and evaluating method</w:t>
          </w:r>
          <w:r>
            <w:tab/>
          </w:r>
          <w:r>
            <w:fldChar w:fldCharType="begin"/>
          </w:r>
          <w:r>
            <w:instrText xml:space="preserve"> PAGEREF _Toc28354607 \h </w:instrText>
          </w:r>
          <w:r>
            <w:fldChar w:fldCharType="separate"/>
          </w:r>
          <w:r>
            <w:t>23</w:t>
          </w:r>
          <w:r>
            <w:fldChar w:fldCharType="end"/>
          </w:r>
          <w:r>
            <w:fldChar w:fldCharType="end"/>
          </w:r>
        </w:p>
        <w:p>
          <w:pPr>
            <w:pStyle w:val="10"/>
            <w:rPr>
              <w:kern w:val="2"/>
            </w:rPr>
          </w:pPr>
          <w:r>
            <w:fldChar w:fldCharType="begin"/>
          </w:r>
          <w:r>
            <w:instrText xml:space="preserve"> HYPERLINK \l "_Toc28354608" </w:instrText>
          </w:r>
          <w:r>
            <w:fldChar w:fldCharType="separate"/>
          </w:r>
          <w:r>
            <w:rPr>
              <w:rStyle w:val="17"/>
            </w:rPr>
            <w:t>Appendix D Example of equipment energy benchmarking and evaluating method</w:t>
          </w:r>
          <w:r>
            <w:tab/>
          </w:r>
          <w:r>
            <w:fldChar w:fldCharType="begin"/>
          </w:r>
          <w:r>
            <w:instrText xml:space="preserve"> PAGEREF _Toc28354608 \h </w:instrText>
          </w:r>
          <w:r>
            <w:fldChar w:fldCharType="separate"/>
          </w:r>
          <w:r>
            <w:t>24</w:t>
          </w:r>
          <w:r>
            <w:fldChar w:fldCharType="end"/>
          </w:r>
          <w:r>
            <w:fldChar w:fldCharType="end"/>
          </w:r>
        </w:p>
        <w:p>
          <w:pPr>
            <w:pStyle w:val="10"/>
            <w:rPr>
              <w:kern w:val="2"/>
            </w:rPr>
          </w:pPr>
          <w:r>
            <w:fldChar w:fldCharType="begin"/>
          </w:r>
          <w:r>
            <w:instrText xml:space="preserve"> HYPERLINK \l "_Toc28354609" </w:instrText>
          </w:r>
          <w:r>
            <w:fldChar w:fldCharType="separate"/>
          </w:r>
          <w:r>
            <w:rPr>
              <w:rStyle w:val="17"/>
            </w:rPr>
            <w:t>Explanation of Wording in This Standard</w:t>
          </w:r>
          <w:r>
            <w:tab/>
          </w:r>
          <w:r>
            <w:fldChar w:fldCharType="begin"/>
          </w:r>
          <w:r>
            <w:instrText xml:space="preserve"> PAGEREF _Toc28354609 \h </w:instrText>
          </w:r>
          <w:r>
            <w:fldChar w:fldCharType="separate"/>
          </w:r>
          <w:r>
            <w:t>26</w:t>
          </w:r>
          <w:r>
            <w:fldChar w:fldCharType="end"/>
          </w:r>
          <w:r>
            <w:fldChar w:fldCharType="end"/>
          </w:r>
        </w:p>
        <w:p>
          <w:pPr>
            <w:pStyle w:val="10"/>
            <w:rPr>
              <w:kern w:val="2"/>
            </w:rPr>
          </w:pPr>
          <w:r>
            <w:fldChar w:fldCharType="begin"/>
          </w:r>
          <w:r>
            <w:instrText xml:space="preserve"> HYPERLINK \l "_Toc28354610" </w:instrText>
          </w:r>
          <w:r>
            <w:fldChar w:fldCharType="separate"/>
          </w:r>
          <w:r>
            <w:rPr>
              <w:rStyle w:val="17"/>
            </w:rPr>
            <w:t>List of Quoted Standards</w:t>
          </w:r>
          <w:r>
            <w:tab/>
          </w:r>
          <w:r>
            <w:fldChar w:fldCharType="begin"/>
          </w:r>
          <w:r>
            <w:instrText xml:space="preserve"> PAGEREF _Toc28354610 \h </w:instrText>
          </w:r>
          <w:r>
            <w:fldChar w:fldCharType="separate"/>
          </w:r>
          <w:r>
            <w:t>27</w:t>
          </w:r>
          <w:r>
            <w:fldChar w:fldCharType="end"/>
          </w:r>
          <w:r>
            <w:fldChar w:fldCharType="end"/>
          </w:r>
        </w:p>
        <w:p>
          <w:pPr>
            <w:spacing w:line="360" w:lineRule="auto"/>
            <w:rPr>
              <w:sz w:val="24"/>
              <w:szCs w:val="24"/>
              <w:lang w:val="zh-CN"/>
            </w:rPr>
          </w:pPr>
          <w:r>
            <w:rPr>
              <w:sz w:val="24"/>
              <w:szCs w:val="24"/>
              <w:lang w:val="zh-CN"/>
            </w:rPr>
            <w:fldChar w:fldCharType="end"/>
          </w:r>
        </w:p>
      </w:sdtContent>
    </w:sdt>
    <w:p>
      <w:pPr>
        <w:spacing w:line="360" w:lineRule="auto"/>
        <w:jc w:val="center"/>
        <w:rPr>
          <w:b/>
          <w:bCs/>
          <w:sz w:val="24"/>
          <w:szCs w:val="24"/>
        </w:rPr>
      </w:pPr>
    </w:p>
    <w:p>
      <w:pPr>
        <w:spacing w:line="360" w:lineRule="auto"/>
        <w:jc w:val="center"/>
        <w:rPr>
          <w:b/>
          <w:bCs/>
          <w:sz w:val="24"/>
          <w:szCs w:val="24"/>
        </w:rPr>
        <w:sectPr>
          <w:pgSz w:w="11906" w:h="16838"/>
          <w:pgMar w:top="1440" w:right="1800" w:bottom="1440" w:left="1800" w:header="851" w:footer="992" w:gutter="0"/>
          <w:cols w:space="425" w:num="1"/>
          <w:docGrid w:type="lines" w:linePitch="312" w:charSpace="0"/>
        </w:sectPr>
      </w:pPr>
    </w:p>
    <w:p>
      <w:pPr>
        <w:pStyle w:val="2"/>
        <w:spacing w:before="0" w:after="156" w:afterLines="50" w:line="360" w:lineRule="auto"/>
        <w:jc w:val="center"/>
        <w:rPr>
          <w:sz w:val="24"/>
          <w:szCs w:val="24"/>
        </w:rPr>
      </w:pPr>
      <w:bookmarkStart w:id="3" w:name="_Toc28354596"/>
      <w:r>
        <w:rPr>
          <w:sz w:val="24"/>
          <w:szCs w:val="24"/>
        </w:rPr>
        <w:t>1.</w:t>
      </w:r>
      <w:r>
        <w:rPr>
          <w:rFonts w:hint="eastAsia"/>
          <w:sz w:val="24"/>
          <w:szCs w:val="24"/>
        </w:rPr>
        <w:t>总则</w:t>
      </w:r>
      <w:bookmarkEnd w:id="3"/>
    </w:p>
    <w:p>
      <w:pPr>
        <w:spacing w:line="360" w:lineRule="auto"/>
        <w:rPr>
          <w:sz w:val="24"/>
          <w:szCs w:val="24"/>
        </w:rPr>
      </w:pPr>
      <w:r>
        <w:rPr>
          <w:sz w:val="24"/>
          <w:szCs w:val="24"/>
        </w:rPr>
        <w:t xml:space="preserve">1.0.1 </w:t>
      </w:r>
      <w:r>
        <w:rPr>
          <w:rFonts w:hint="eastAsia"/>
          <w:sz w:val="24"/>
          <w:szCs w:val="24"/>
        </w:rPr>
        <w:t>为了促进建筑节能行业发展，规范既有建筑能耗比对评价工作，为建筑能耗的比对评价提供方法指导，制订本标准。</w:t>
      </w:r>
    </w:p>
    <w:p>
      <w:pPr>
        <w:spacing w:line="360" w:lineRule="auto"/>
        <w:ind w:firstLine="482" w:firstLineChars="200"/>
        <w:rPr>
          <w:rFonts w:eastAsia="楷体"/>
          <w:sz w:val="24"/>
          <w:szCs w:val="24"/>
        </w:rPr>
      </w:pPr>
      <w:r>
        <w:rPr>
          <w:rFonts w:hint="eastAsia" w:eastAsia="楷体"/>
          <w:b/>
          <w:bCs/>
          <w:sz w:val="24"/>
          <w:szCs w:val="24"/>
        </w:rPr>
        <w:t>【条文说明】</w:t>
      </w:r>
      <w:r>
        <w:rPr>
          <w:rFonts w:hint="eastAsia" w:eastAsia="楷体"/>
          <w:sz w:val="24"/>
          <w:szCs w:val="24"/>
        </w:rPr>
        <w:t>当前我国能源战略明确提出了推动能源生产和消费革命，进行能源消费总量控制，本标准是能源消耗总量控制、推动建筑节能工作深入开展的重要依据之一。</w:t>
      </w:r>
    </w:p>
    <w:p>
      <w:pPr>
        <w:spacing w:line="360" w:lineRule="auto"/>
        <w:ind w:firstLine="480" w:firstLineChars="200"/>
        <w:rPr>
          <w:rFonts w:eastAsia="楷体"/>
          <w:sz w:val="24"/>
          <w:szCs w:val="24"/>
        </w:rPr>
      </w:pPr>
      <w:r>
        <w:rPr>
          <w:rFonts w:hint="eastAsia" w:eastAsia="楷体"/>
          <w:sz w:val="24"/>
          <w:szCs w:val="24"/>
        </w:rPr>
        <w:t>我国民用建筑节能标准体系已基本形成，目前我国的建筑节能标准体系已覆盖了工程层次到产品层次的标准，但尚缺乏针对不同气候区、不同建筑类型统一普适的建筑能耗比对评价方法的标准。《建筑能耗比对评价标准》正是这一空白的有力补充。</w:t>
      </w:r>
    </w:p>
    <w:p>
      <w:pPr>
        <w:spacing w:line="360" w:lineRule="auto"/>
        <w:ind w:firstLine="480" w:firstLineChars="200"/>
        <w:rPr>
          <w:rFonts w:eastAsia="楷体"/>
          <w:sz w:val="24"/>
          <w:szCs w:val="24"/>
        </w:rPr>
      </w:pPr>
      <w:r>
        <w:rPr>
          <w:rFonts w:hint="eastAsia" w:eastAsia="楷体"/>
          <w:sz w:val="24"/>
          <w:szCs w:val="24"/>
        </w:rPr>
        <w:t>本标准为方法标准，针对当前建筑能耗评价方法不统一的问题，给出适用于不同气候区、不同功能建筑能耗比对评价方法。</w:t>
      </w:r>
    </w:p>
    <w:p>
      <w:pPr>
        <w:spacing w:line="360" w:lineRule="auto"/>
        <w:rPr>
          <w:sz w:val="24"/>
          <w:szCs w:val="24"/>
        </w:rPr>
      </w:pPr>
      <w:r>
        <w:rPr>
          <w:sz w:val="24"/>
          <w:szCs w:val="24"/>
        </w:rPr>
        <w:t xml:space="preserve">1.0.2 </w:t>
      </w:r>
      <w:r>
        <w:rPr>
          <w:rFonts w:hint="eastAsia"/>
          <w:sz w:val="24"/>
          <w:szCs w:val="24"/>
        </w:rPr>
        <w:t>本标准适用于公共建筑实际运行能耗比对评价模型建立、基准确定、工具开发等。</w:t>
      </w:r>
    </w:p>
    <w:p>
      <w:pPr>
        <w:spacing w:line="360" w:lineRule="auto"/>
        <w:rPr>
          <w:sz w:val="24"/>
          <w:szCs w:val="24"/>
        </w:rPr>
      </w:pPr>
      <w:r>
        <w:rPr>
          <w:sz w:val="24"/>
          <w:szCs w:val="24"/>
        </w:rPr>
        <w:t xml:space="preserve">1.0.3 </w:t>
      </w:r>
      <w:r>
        <w:rPr>
          <w:rFonts w:hint="eastAsia"/>
          <w:sz w:val="24"/>
          <w:szCs w:val="24"/>
        </w:rPr>
        <w:t>公共建筑能耗比对评价，除应符合本标准规定外，尚应符合国家现行有关标准的规定。</w:t>
      </w:r>
    </w:p>
    <w:p>
      <w:pPr>
        <w:spacing w:line="360" w:lineRule="auto"/>
        <w:rPr>
          <w:sz w:val="24"/>
          <w:szCs w:val="24"/>
        </w:rPr>
        <w:sectPr>
          <w:footerReference r:id="rId9" w:type="default"/>
          <w:pgSz w:w="11906" w:h="16838"/>
          <w:pgMar w:top="1440" w:right="1800" w:bottom="1440" w:left="1800" w:header="851" w:footer="992" w:gutter="0"/>
          <w:pgNumType w:start="1"/>
          <w:cols w:space="425" w:num="1"/>
          <w:docGrid w:type="lines" w:linePitch="312" w:charSpace="0"/>
        </w:sectPr>
      </w:pPr>
    </w:p>
    <w:p>
      <w:pPr>
        <w:pStyle w:val="2"/>
        <w:spacing w:before="0" w:after="156" w:afterLines="50" w:line="360" w:lineRule="auto"/>
        <w:jc w:val="center"/>
        <w:rPr>
          <w:sz w:val="24"/>
          <w:szCs w:val="24"/>
        </w:rPr>
      </w:pPr>
      <w:bookmarkStart w:id="4" w:name="_Toc28354597"/>
      <w:r>
        <w:rPr>
          <w:sz w:val="24"/>
          <w:szCs w:val="24"/>
        </w:rPr>
        <w:t>2.</w:t>
      </w:r>
      <w:r>
        <w:rPr>
          <w:rFonts w:hint="eastAsia"/>
          <w:sz w:val="24"/>
          <w:szCs w:val="24"/>
        </w:rPr>
        <w:t>术语</w:t>
      </w:r>
      <w:bookmarkEnd w:id="4"/>
    </w:p>
    <w:p>
      <w:pPr>
        <w:rPr>
          <w:sz w:val="24"/>
          <w:szCs w:val="24"/>
        </w:rPr>
      </w:pPr>
      <w:r>
        <w:rPr>
          <w:sz w:val="24"/>
          <w:szCs w:val="24"/>
        </w:rPr>
        <w:t xml:space="preserve">2.0.1 </w:t>
      </w:r>
      <w:r>
        <w:rPr>
          <w:rFonts w:hint="eastAsia"/>
          <w:sz w:val="24"/>
          <w:szCs w:val="24"/>
        </w:rPr>
        <w:t>建筑能耗比对评价（</w:t>
      </w:r>
      <w:r>
        <w:rPr>
          <w:sz w:val="24"/>
          <w:szCs w:val="24"/>
        </w:rPr>
        <w:t>building energy benchmarking and evaluating</w:t>
      </w:r>
      <w:r>
        <w:rPr>
          <w:rFonts w:hint="eastAsia"/>
          <w:sz w:val="24"/>
          <w:szCs w:val="24"/>
        </w:rPr>
        <w:t>）</w:t>
      </w:r>
    </w:p>
    <w:p>
      <w:pPr>
        <w:spacing w:line="360" w:lineRule="auto"/>
        <w:ind w:firstLine="480" w:firstLineChars="200"/>
        <w:rPr>
          <w:sz w:val="24"/>
          <w:szCs w:val="24"/>
        </w:rPr>
      </w:pPr>
      <w:r>
        <w:rPr>
          <w:rFonts w:hint="eastAsia"/>
          <w:sz w:val="24"/>
          <w:szCs w:val="24"/>
        </w:rPr>
        <w:t>基于对同类建筑在相同时期实际用能数据的搜集、分析、影响因素归一化比较，形成以分值、星级等能效特征表现形式，便于业主、公众等利益相关方直观认识建筑能耗水平的一项建筑节能工作。</w:t>
      </w:r>
    </w:p>
    <w:p>
      <w:pPr>
        <w:spacing w:line="360" w:lineRule="auto"/>
        <w:rPr>
          <w:sz w:val="24"/>
          <w:szCs w:val="24"/>
        </w:rPr>
      </w:pPr>
      <w:r>
        <w:rPr>
          <w:sz w:val="24"/>
          <w:szCs w:val="24"/>
        </w:rPr>
        <w:t xml:space="preserve">    </w:t>
      </w:r>
      <w:r>
        <w:rPr>
          <w:rFonts w:hint="eastAsia" w:eastAsia="楷体"/>
          <w:b/>
          <w:bCs/>
          <w:sz w:val="24"/>
          <w:szCs w:val="24"/>
        </w:rPr>
        <w:t>【条文说明】</w:t>
      </w:r>
      <w:r>
        <w:rPr>
          <w:rFonts w:hint="eastAsia" w:eastAsia="楷体"/>
          <w:sz w:val="24"/>
          <w:szCs w:val="24"/>
        </w:rPr>
        <w:t>建筑能耗比对评价强调了三个关键因素，首先是要求对同类建筑进行比较、其次是基于实际运行能耗数据，第三个关键因素是影响因素的归一化比较，归一化是指在确定一栋具体建筑物的能耗基准时，将建筑所在地气象参数、建筑规模、用能人数、运行时间等能耗影响因素按其与能耗相关性修正到的代表同类建筑社会平均水平的数值。</w:t>
      </w:r>
    </w:p>
    <w:p>
      <w:pPr>
        <w:spacing w:line="360" w:lineRule="auto"/>
        <w:rPr>
          <w:sz w:val="24"/>
          <w:szCs w:val="24"/>
        </w:rPr>
      </w:pPr>
      <w:r>
        <w:rPr>
          <w:sz w:val="24"/>
          <w:szCs w:val="24"/>
        </w:rPr>
        <w:t xml:space="preserve">2.0.2 </w:t>
      </w:r>
      <w:r>
        <w:rPr>
          <w:rFonts w:hint="eastAsia"/>
          <w:sz w:val="24"/>
          <w:szCs w:val="24"/>
        </w:rPr>
        <w:t>建筑运行能耗（</w:t>
      </w:r>
      <w:r>
        <w:rPr>
          <w:sz w:val="24"/>
          <w:szCs w:val="24"/>
        </w:rPr>
        <w:t>building operational energy</w:t>
      </w:r>
      <w:r>
        <w:rPr>
          <w:rFonts w:hint="eastAsia"/>
          <w:sz w:val="24"/>
          <w:szCs w:val="24"/>
        </w:rPr>
        <w:t>）</w:t>
      </w:r>
    </w:p>
    <w:p>
      <w:pPr>
        <w:spacing w:line="360" w:lineRule="auto"/>
        <w:ind w:firstLine="480" w:firstLineChars="200"/>
        <w:rPr>
          <w:sz w:val="24"/>
          <w:szCs w:val="24"/>
        </w:rPr>
      </w:pPr>
      <w:r>
        <w:rPr>
          <w:rFonts w:hint="eastAsia"/>
          <w:sz w:val="24"/>
          <w:szCs w:val="24"/>
        </w:rPr>
        <w:t>建筑使用过程中由外部输入的能源，包括维持建筑环境的用能（如供暖、制冷、通风、空调和照明等）和各类建筑内活动（如办公、家电、电梯、生活热水等）的用能。本标准中均简称为“建筑能耗”。</w:t>
      </w:r>
    </w:p>
    <w:p>
      <w:pPr>
        <w:spacing w:line="360" w:lineRule="auto"/>
        <w:rPr>
          <w:sz w:val="24"/>
          <w:szCs w:val="24"/>
        </w:rPr>
      </w:pPr>
      <w:r>
        <w:rPr>
          <w:sz w:val="24"/>
          <w:szCs w:val="24"/>
        </w:rPr>
        <w:t>2.0.3</w:t>
      </w:r>
      <w:r>
        <w:rPr>
          <w:rFonts w:hint="eastAsia"/>
          <w:sz w:val="24"/>
          <w:szCs w:val="24"/>
        </w:rPr>
        <w:t>能耗边界（</w:t>
      </w:r>
      <w:r>
        <w:rPr>
          <w:sz w:val="24"/>
          <w:szCs w:val="24"/>
        </w:rPr>
        <w:t>energy boundary</w:t>
      </w:r>
      <w:r>
        <w:rPr>
          <w:rFonts w:hint="eastAsia"/>
          <w:sz w:val="24"/>
          <w:szCs w:val="24"/>
        </w:rPr>
        <w:t>）</w:t>
      </w:r>
    </w:p>
    <w:p>
      <w:pPr>
        <w:spacing w:line="360" w:lineRule="auto"/>
        <w:ind w:firstLine="480" w:firstLineChars="200"/>
        <w:rPr>
          <w:sz w:val="24"/>
          <w:szCs w:val="24"/>
        </w:rPr>
      </w:pPr>
      <w:r>
        <w:rPr>
          <w:rFonts w:hint="eastAsia"/>
          <w:sz w:val="24"/>
          <w:szCs w:val="24"/>
        </w:rPr>
        <w:t>产生能耗的各耗能设备和系统所服务的建筑各区域的集合。</w:t>
      </w:r>
    </w:p>
    <w:p>
      <w:pPr>
        <w:spacing w:line="360" w:lineRule="auto"/>
        <w:rPr>
          <w:sz w:val="24"/>
          <w:szCs w:val="24"/>
        </w:rPr>
      </w:pPr>
      <w:r>
        <w:rPr>
          <w:sz w:val="24"/>
          <w:szCs w:val="24"/>
        </w:rPr>
        <w:t>2.0.4</w:t>
      </w:r>
      <w:r>
        <w:rPr>
          <w:rFonts w:hint="eastAsia"/>
          <w:sz w:val="24"/>
          <w:szCs w:val="24"/>
        </w:rPr>
        <w:t>建筑边界（</w:t>
      </w:r>
      <w:r>
        <w:rPr>
          <w:sz w:val="24"/>
          <w:szCs w:val="24"/>
        </w:rPr>
        <w:t>building boundary</w:t>
      </w:r>
      <w:r>
        <w:rPr>
          <w:rFonts w:hint="eastAsia"/>
          <w:sz w:val="24"/>
          <w:szCs w:val="24"/>
        </w:rPr>
        <w:t>）</w:t>
      </w:r>
    </w:p>
    <w:p>
      <w:pPr>
        <w:spacing w:line="360" w:lineRule="auto"/>
        <w:ind w:firstLine="480" w:firstLineChars="200"/>
        <w:rPr>
          <w:sz w:val="24"/>
          <w:szCs w:val="24"/>
        </w:rPr>
      </w:pPr>
      <w:r>
        <w:rPr>
          <w:rFonts w:hint="eastAsia"/>
          <w:sz w:val="24"/>
          <w:szCs w:val="24"/>
        </w:rPr>
        <w:t>满足建筑内各类服务需求的功能区域的集合。</w:t>
      </w:r>
    </w:p>
    <w:p>
      <w:pPr>
        <w:spacing w:line="360" w:lineRule="auto"/>
        <w:ind w:firstLine="482" w:firstLineChars="200"/>
        <w:rPr>
          <w:sz w:val="24"/>
          <w:szCs w:val="24"/>
        </w:rPr>
      </w:pPr>
      <w:r>
        <w:rPr>
          <w:rFonts w:hint="eastAsia" w:eastAsia="楷体"/>
          <w:b/>
          <w:bCs/>
          <w:sz w:val="24"/>
          <w:szCs w:val="24"/>
        </w:rPr>
        <w:t>【</w:t>
      </w:r>
      <w:r>
        <w:rPr>
          <w:rFonts w:eastAsia="楷体"/>
          <w:b/>
          <w:bCs/>
          <w:sz w:val="24"/>
          <w:szCs w:val="24"/>
        </w:rPr>
        <w:t>2.03~2.04</w:t>
      </w:r>
      <w:r>
        <w:rPr>
          <w:rFonts w:hint="eastAsia" w:eastAsia="楷体"/>
          <w:b/>
          <w:bCs/>
          <w:sz w:val="24"/>
          <w:szCs w:val="24"/>
        </w:rPr>
        <w:t>条文说明】</w:t>
      </w:r>
      <w:r>
        <w:rPr>
          <w:rFonts w:hint="eastAsia" w:eastAsia="楷体"/>
          <w:sz w:val="24"/>
          <w:szCs w:val="24"/>
        </w:rPr>
        <w:t>能耗边界和建筑边界分别从能源供应和从建筑服务功能两个方向对建筑区域进行了定义，进行建筑能耗比对评价时，应确保建筑边界和能耗边界一致。</w:t>
      </w:r>
    </w:p>
    <w:p>
      <w:pPr>
        <w:spacing w:line="360" w:lineRule="auto"/>
        <w:rPr>
          <w:sz w:val="24"/>
          <w:szCs w:val="24"/>
        </w:rPr>
      </w:pPr>
      <w:r>
        <w:rPr>
          <w:sz w:val="24"/>
          <w:szCs w:val="24"/>
        </w:rPr>
        <w:t>2.0.5</w:t>
      </w:r>
      <w:r>
        <w:rPr>
          <w:rFonts w:hint="eastAsia"/>
          <w:sz w:val="24"/>
          <w:szCs w:val="24"/>
        </w:rPr>
        <w:t>基准能耗（</w:t>
      </w:r>
      <w:r>
        <w:rPr>
          <w:sz w:val="24"/>
          <w:szCs w:val="24"/>
        </w:rPr>
        <w:t>benchmark of building energy</w:t>
      </w:r>
      <w:r>
        <w:rPr>
          <w:rFonts w:hint="eastAsia"/>
          <w:sz w:val="24"/>
          <w:szCs w:val="24"/>
        </w:rPr>
        <w:t>）</w:t>
      </w:r>
    </w:p>
    <w:p>
      <w:pPr>
        <w:spacing w:line="360" w:lineRule="auto"/>
        <w:ind w:firstLine="480" w:firstLineChars="200"/>
        <w:rPr>
          <w:sz w:val="24"/>
          <w:szCs w:val="24"/>
        </w:rPr>
      </w:pPr>
      <w:r>
        <w:rPr>
          <w:rFonts w:hint="eastAsia"/>
          <w:sz w:val="24"/>
          <w:szCs w:val="24"/>
        </w:rPr>
        <w:t>根据建筑用能性质及特点，按照规范化的方法得到的用于能耗比对的归一化能耗。</w:t>
      </w:r>
    </w:p>
    <w:p>
      <w:pPr>
        <w:spacing w:line="360" w:lineRule="auto"/>
        <w:ind w:firstLine="482" w:firstLineChars="200"/>
        <w:rPr>
          <w:sz w:val="24"/>
          <w:szCs w:val="24"/>
        </w:rPr>
      </w:pPr>
      <w:r>
        <w:rPr>
          <w:rFonts w:hint="eastAsia" w:eastAsia="楷体"/>
          <w:b/>
          <w:bCs/>
          <w:sz w:val="24"/>
          <w:szCs w:val="24"/>
        </w:rPr>
        <w:t>【条文说明】</w:t>
      </w:r>
      <w:r>
        <w:rPr>
          <w:rFonts w:hint="eastAsia" w:eastAsia="楷体"/>
          <w:sz w:val="24"/>
          <w:szCs w:val="24"/>
        </w:rPr>
        <w:t>在基准能耗的定义中，有两个关键性词语：规范化和归一化。其中，规范化是指在确定基准能耗时应按照本标准规定的方法；归一化在</w:t>
      </w:r>
      <w:r>
        <w:rPr>
          <w:rFonts w:eastAsia="楷体"/>
          <w:sz w:val="24"/>
          <w:szCs w:val="24"/>
        </w:rPr>
        <w:t>2.0.1</w:t>
      </w:r>
      <w:r>
        <w:rPr>
          <w:rFonts w:hint="eastAsia" w:eastAsia="楷体"/>
          <w:sz w:val="24"/>
          <w:szCs w:val="24"/>
        </w:rPr>
        <w:t>条文说明中已解释。</w:t>
      </w:r>
    </w:p>
    <w:p>
      <w:pPr>
        <w:spacing w:line="360" w:lineRule="auto"/>
        <w:rPr>
          <w:sz w:val="24"/>
          <w:szCs w:val="24"/>
        </w:rPr>
      </w:pPr>
      <w:r>
        <w:rPr>
          <w:sz w:val="24"/>
          <w:szCs w:val="24"/>
        </w:rPr>
        <w:t>2.0.6</w:t>
      </w:r>
      <w:r>
        <w:rPr>
          <w:rFonts w:hint="eastAsia"/>
          <w:sz w:val="24"/>
          <w:szCs w:val="24"/>
        </w:rPr>
        <w:t>拆分分项能耗（</w:t>
      </w:r>
      <w:r>
        <w:rPr>
          <w:sz w:val="24"/>
          <w:szCs w:val="24"/>
        </w:rPr>
        <w:t>subentry energy </w:t>
      </w:r>
      <w:r>
        <w:rPr>
          <w:rFonts w:hint="eastAsia"/>
          <w:sz w:val="24"/>
          <w:szCs w:val="24"/>
        </w:rPr>
        <w:t>）</w:t>
      </w:r>
    </w:p>
    <w:p>
      <w:pPr>
        <w:spacing w:line="360" w:lineRule="auto"/>
        <w:ind w:firstLine="480" w:firstLineChars="200"/>
        <w:rPr>
          <w:sz w:val="24"/>
          <w:szCs w:val="24"/>
        </w:rPr>
      </w:pPr>
      <w:r>
        <w:rPr>
          <w:rFonts w:hint="eastAsia"/>
          <w:sz w:val="24"/>
          <w:szCs w:val="24"/>
        </w:rPr>
        <w:t>基于室外气象参数相关性拆分的能耗，包括室外气象参数相关能耗和基荷能耗。</w:t>
      </w:r>
    </w:p>
    <w:p>
      <w:pPr>
        <w:spacing w:line="360" w:lineRule="auto"/>
        <w:rPr>
          <w:sz w:val="24"/>
          <w:szCs w:val="24"/>
        </w:rPr>
      </w:pPr>
      <w:r>
        <w:rPr>
          <w:sz w:val="24"/>
          <w:szCs w:val="24"/>
        </w:rPr>
        <w:t>2.0.7</w:t>
      </w:r>
      <w:r>
        <w:rPr>
          <w:rFonts w:hint="eastAsia"/>
          <w:sz w:val="24"/>
          <w:szCs w:val="24"/>
        </w:rPr>
        <w:t>基荷能耗（</w:t>
      </w:r>
      <w:r>
        <w:rPr>
          <w:sz w:val="24"/>
          <w:szCs w:val="24"/>
        </w:rPr>
        <w:t>base-load</w:t>
      </w:r>
      <w:r>
        <w:rPr>
          <w:rFonts w:hint="eastAsia"/>
          <w:sz w:val="24"/>
          <w:szCs w:val="24"/>
        </w:rPr>
        <w:t>）</w:t>
      </w:r>
    </w:p>
    <w:p>
      <w:pPr>
        <w:spacing w:line="360" w:lineRule="auto"/>
        <w:ind w:firstLine="480" w:firstLineChars="200"/>
        <w:rPr>
          <w:sz w:val="24"/>
          <w:szCs w:val="24"/>
        </w:rPr>
      </w:pPr>
      <w:r>
        <w:rPr>
          <w:rFonts w:hint="eastAsia"/>
          <w:sz w:val="24"/>
          <w:szCs w:val="24"/>
        </w:rPr>
        <w:t>基于室外气象参数相关性拆分的与室外气象参数变化无关的能耗。</w:t>
      </w:r>
    </w:p>
    <w:p>
      <w:pPr>
        <w:spacing w:line="360" w:lineRule="auto"/>
        <w:rPr>
          <w:sz w:val="24"/>
          <w:szCs w:val="24"/>
        </w:rPr>
      </w:pPr>
      <w:r>
        <w:rPr>
          <w:sz w:val="24"/>
          <w:szCs w:val="24"/>
        </w:rPr>
        <w:t>2.0.8</w:t>
      </w:r>
      <w:r>
        <w:rPr>
          <w:rFonts w:hint="eastAsia"/>
          <w:sz w:val="24"/>
          <w:szCs w:val="24"/>
        </w:rPr>
        <w:t>差异性指标（</w:t>
      </w:r>
      <w:r>
        <w:rPr>
          <w:sz w:val="24"/>
          <w:szCs w:val="24"/>
        </w:rPr>
        <w:t>index of difference</w:t>
      </w:r>
      <w:r>
        <w:rPr>
          <w:rFonts w:hint="eastAsia"/>
          <w:sz w:val="24"/>
          <w:szCs w:val="24"/>
        </w:rPr>
        <w:t>）</w:t>
      </w:r>
    </w:p>
    <w:p>
      <w:pPr>
        <w:spacing w:line="360" w:lineRule="auto"/>
        <w:ind w:firstLine="480" w:firstLineChars="200"/>
        <w:rPr>
          <w:sz w:val="24"/>
          <w:szCs w:val="24"/>
        </w:rPr>
      </w:pPr>
      <w:r>
        <w:rPr>
          <w:rFonts w:hint="eastAsia"/>
          <w:sz w:val="24"/>
          <w:szCs w:val="24"/>
        </w:rPr>
        <w:t>体现两组数据差异性的参数，比如绝对差值、比值、相对差值等。</w:t>
      </w:r>
    </w:p>
    <w:p>
      <w:pPr>
        <w:spacing w:line="360" w:lineRule="auto"/>
        <w:rPr>
          <w:sz w:val="24"/>
          <w:szCs w:val="24"/>
        </w:rPr>
      </w:pPr>
      <w:r>
        <w:rPr>
          <w:sz w:val="24"/>
          <w:szCs w:val="24"/>
        </w:rPr>
        <w:t>2.0.9</w:t>
      </w:r>
      <w:r>
        <w:rPr>
          <w:rFonts w:hint="eastAsia"/>
          <w:sz w:val="24"/>
          <w:szCs w:val="24"/>
        </w:rPr>
        <w:t>建筑服务量（</w:t>
      </w:r>
      <w:r>
        <w:rPr>
          <w:sz w:val="24"/>
          <w:szCs w:val="24"/>
        </w:rPr>
        <w:t>building service level</w:t>
      </w:r>
      <w:r>
        <w:rPr>
          <w:rFonts w:hint="eastAsia"/>
          <w:sz w:val="24"/>
          <w:szCs w:val="24"/>
        </w:rPr>
        <w:t>）</w:t>
      </w:r>
    </w:p>
    <w:p>
      <w:pPr>
        <w:spacing w:line="360" w:lineRule="auto"/>
        <w:ind w:firstLine="480" w:firstLineChars="200"/>
        <w:rPr>
          <w:sz w:val="24"/>
          <w:szCs w:val="24"/>
        </w:rPr>
      </w:pPr>
      <w:r>
        <w:rPr>
          <w:rFonts w:hint="eastAsia"/>
          <w:sz w:val="24"/>
          <w:szCs w:val="24"/>
        </w:rPr>
        <w:t>建筑物各类服务区域面积以及被服务对象的数量，如餐饮区面积、酒店入住率、医院门急诊人次、商场客流量等。</w:t>
      </w:r>
    </w:p>
    <w:p>
      <w:pPr>
        <w:spacing w:line="360" w:lineRule="auto"/>
        <w:ind w:firstLine="482" w:firstLineChars="200"/>
        <w:rPr>
          <w:rFonts w:eastAsia="楷体"/>
          <w:sz w:val="24"/>
          <w:szCs w:val="24"/>
        </w:rPr>
      </w:pPr>
      <w:r>
        <w:rPr>
          <w:rFonts w:hint="eastAsia" w:eastAsia="楷体"/>
          <w:b/>
          <w:bCs/>
          <w:sz w:val="24"/>
          <w:szCs w:val="24"/>
        </w:rPr>
        <w:t>【条文说明】</w:t>
      </w:r>
      <w:r>
        <w:rPr>
          <w:rFonts w:hint="eastAsia" w:eastAsia="楷体"/>
          <w:sz w:val="24"/>
          <w:szCs w:val="24"/>
        </w:rPr>
        <w:t>建筑服务量针对办公建筑，指常在办公人员数、建筑运行时间及建筑提供其他功能的规模等；针对酒店建筑指入住人次、用餐人次以及其他服务功能的规模等；针对医院建筑指门急诊人次、手术人次、住院床日数以及科研、后勤等功能区规模等；针对文化教育类建筑中教学楼指上课人数、运行时间以及实验室等功能区域规模等。</w:t>
      </w:r>
    </w:p>
    <w:p>
      <w:pPr>
        <w:spacing w:line="360" w:lineRule="auto"/>
        <w:ind w:firstLine="480" w:firstLineChars="200"/>
        <w:rPr>
          <w:sz w:val="24"/>
          <w:szCs w:val="24"/>
        </w:rPr>
        <w:sectPr>
          <w:pgSz w:w="11906" w:h="16838"/>
          <w:pgMar w:top="1440" w:right="1800" w:bottom="1440" w:left="1800" w:header="851" w:footer="992" w:gutter="0"/>
          <w:cols w:space="425" w:num="1"/>
          <w:docGrid w:type="lines" w:linePitch="312" w:charSpace="0"/>
        </w:sectPr>
      </w:pPr>
    </w:p>
    <w:p>
      <w:pPr>
        <w:pStyle w:val="2"/>
        <w:spacing w:before="0" w:after="156" w:afterLines="50" w:line="360" w:lineRule="auto"/>
        <w:jc w:val="center"/>
        <w:rPr>
          <w:sz w:val="24"/>
          <w:szCs w:val="24"/>
        </w:rPr>
      </w:pPr>
      <w:bookmarkStart w:id="5" w:name="_Toc28354598"/>
      <w:r>
        <w:rPr>
          <w:sz w:val="24"/>
          <w:szCs w:val="24"/>
        </w:rPr>
        <w:t>3.</w:t>
      </w:r>
      <w:r>
        <w:rPr>
          <w:rFonts w:hint="eastAsia"/>
          <w:sz w:val="24"/>
          <w:szCs w:val="24"/>
        </w:rPr>
        <w:t>基本规定</w:t>
      </w:r>
      <w:bookmarkEnd w:id="5"/>
    </w:p>
    <w:p>
      <w:pPr>
        <w:spacing w:line="360" w:lineRule="auto"/>
        <w:rPr>
          <w:sz w:val="24"/>
          <w:szCs w:val="24"/>
        </w:rPr>
      </w:pPr>
      <w:bookmarkStart w:id="6" w:name="_Hlk23877065"/>
      <w:r>
        <w:rPr>
          <w:sz w:val="24"/>
          <w:szCs w:val="24"/>
        </w:rPr>
        <w:t>3.0.1</w:t>
      </w:r>
      <w:bookmarkEnd w:id="6"/>
      <w:r>
        <w:rPr>
          <w:sz w:val="24"/>
          <w:szCs w:val="24"/>
        </w:rPr>
        <w:t xml:space="preserve"> </w:t>
      </w:r>
      <w:r>
        <w:rPr>
          <w:rFonts w:hint="eastAsia"/>
          <w:sz w:val="24"/>
          <w:szCs w:val="24"/>
        </w:rPr>
        <w:t>建筑能耗比对评价应确保能耗边界与建筑边界一致。当出现能耗边界和建筑边界不一致的情况，宜基于建筑边界拆分并确定能耗边界，或按能耗边界划分并确定建筑边界。</w:t>
      </w:r>
    </w:p>
    <w:p>
      <w:pPr>
        <w:spacing w:line="360" w:lineRule="auto"/>
        <w:ind w:firstLine="482" w:firstLineChars="200"/>
        <w:rPr>
          <w:sz w:val="24"/>
          <w:szCs w:val="24"/>
        </w:rPr>
      </w:pPr>
      <w:r>
        <w:rPr>
          <w:rFonts w:hint="eastAsia" w:eastAsia="楷体"/>
          <w:b/>
          <w:bCs/>
          <w:sz w:val="24"/>
          <w:szCs w:val="24"/>
        </w:rPr>
        <w:t>【条文说明】</w:t>
      </w:r>
      <w:r>
        <w:rPr>
          <w:rFonts w:hint="eastAsia" w:eastAsia="楷体"/>
          <w:sz w:val="24"/>
          <w:szCs w:val="24"/>
        </w:rPr>
        <w:t>建筑能耗比对评价一个重要前提条件是能耗边界与建筑边界一致。当能耗边界与建筑边界不一致时，应对建筑边界和能耗边界进行统一，如</w:t>
      </w:r>
      <w:r>
        <w:rPr>
          <w:rFonts w:eastAsia="楷体"/>
          <w:sz w:val="24"/>
          <w:szCs w:val="24"/>
        </w:rPr>
        <w:t>A</w:t>
      </w:r>
      <w:r>
        <w:rPr>
          <w:rFonts w:hint="eastAsia" w:eastAsia="楷体"/>
          <w:sz w:val="24"/>
          <w:szCs w:val="24"/>
        </w:rPr>
        <w:t>、</w:t>
      </w:r>
      <w:r>
        <w:rPr>
          <w:rFonts w:eastAsia="楷体"/>
          <w:sz w:val="24"/>
          <w:szCs w:val="24"/>
        </w:rPr>
        <w:t>B</w:t>
      </w:r>
      <w:r>
        <w:rPr>
          <w:rFonts w:hint="eastAsia" w:eastAsia="楷体"/>
          <w:sz w:val="24"/>
          <w:szCs w:val="24"/>
        </w:rPr>
        <w:t>两栋建筑共用一个冷热源，在能耗比对评价时，应对两栋建筑的冷热源系统能耗进行拆分，若无相应措施进行拆分，则将两栋建筑作为一个整体来参与能耗比对评价。</w:t>
      </w:r>
    </w:p>
    <w:p>
      <w:pPr>
        <w:spacing w:line="360" w:lineRule="auto"/>
        <w:rPr>
          <w:sz w:val="24"/>
          <w:szCs w:val="24"/>
        </w:rPr>
      </w:pPr>
      <w:r>
        <w:rPr>
          <w:sz w:val="24"/>
          <w:szCs w:val="24"/>
        </w:rPr>
        <w:t xml:space="preserve">3.0.2 </w:t>
      </w:r>
      <w:r>
        <w:rPr>
          <w:rFonts w:hint="eastAsia"/>
          <w:sz w:val="24"/>
          <w:szCs w:val="24"/>
        </w:rPr>
        <w:t>建筑能耗比对评价应基于建筑实际运行能耗数据。</w:t>
      </w:r>
    </w:p>
    <w:p>
      <w:pPr>
        <w:spacing w:line="360" w:lineRule="auto"/>
        <w:rPr>
          <w:sz w:val="24"/>
          <w:szCs w:val="24"/>
        </w:rPr>
      </w:pPr>
      <w:r>
        <w:rPr>
          <w:sz w:val="24"/>
          <w:szCs w:val="24"/>
        </w:rPr>
        <w:t>3.0.3</w:t>
      </w:r>
      <w:r>
        <w:rPr>
          <w:rFonts w:hint="eastAsia"/>
          <w:sz w:val="24"/>
          <w:szCs w:val="24"/>
        </w:rPr>
        <w:t>建筑能耗比对评价应在能耗边界与建筑边界一致的前提下，采取多种措施确保原始数据的准确性，原始数据宜包括能源账单、建筑分项能耗监测系统和现场实测等多种数据来源。</w:t>
      </w:r>
    </w:p>
    <w:p>
      <w:pPr>
        <w:spacing w:line="360" w:lineRule="auto"/>
        <w:rPr>
          <w:sz w:val="24"/>
          <w:szCs w:val="24"/>
        </w:rPr>
      </w:pPr>
      <w:r>
        <w:rPr>
          <w:sz w:val="24"/>
          <w:szCs w:val="24"/>
        </w:rPr>
        <w:t>3.0.4</w:t>
      </w:r>
      <w:r>
        <w:rPr>
          <w:rFonts w:hint="eastAsia"/>
          <w:sz w:val="24"/>
          <w:szCs w:val="24"/>
        </w:rPr>
        <w:t>建筑应按使用功能分类，使用功能差异较大的建筑类型应再次细化分类。</w:t>
      </w:r>
    </w:p>
    <w:p>
      <w:pPr>
        <w:spacing w:line="360" w:lineRule="auto"/>
        <w:ind w:firstLine="482" w:firstLineChars="200"/>
        <w:rPr>
          <w:sz w:val="24"/>
          <w:szCs w:val="24"/>
        </w:rPr>
      </w:pPr>
      <w:r>
        <w:rPr>
          <w:rFonts w:hint="eastAsia" w:eastAsia="楷体"/>
          <w:b/>
          <w:bCs/>
          <w:sz w:val="24"/>
          <w:szCs w:val="24"/>
        </w:rPr>
        <w:t>【条文说明】</w:t>
      </w:r>
      <w:r>
        <w:rPr>
          <w:rFonts w:hint="eastAsia" w:eastAsia="楷体"/>
          <w:sz w:val="24"/>
          <w:szCs w:val="24"/>
        </w:rPr>
        <w:t>对于功能差异性较大的建筑，比如文体类建筑中的剧场和体育馆，不具有直接可比性，需要进一步细化分类确保功能相近的建筑进行比对评价。</w:t>
      </w:r>
    </w:p>
    <w:p>
      <w:pPr>
        <w:spacing w:line="360" w:lineRule="auto"/>
        <w:rPr>
          <w:sz w:val="24"/>
          <w:szCs w:val="24"/>
        </w:rPr>
      </w:pPr>
      <w:r>
        <w:rPr>
          <w:sz w:val="24"/>
          <w:szCs w:val="24"/>
        </w:rPr>
        <w:t>3.0.5</w:t>
      </w:r>
      <w:r>
        <w:rPr>
          <w:rFonts w:hint="eastAsia"/>
          <w:sz w:val="24"/>
          <w:szCs w:val="24"/>
        </w:rPr>
        <w:t>建筑能耗比对评价应以建筑能耗影响因素分析为基础。</w:t>
      </w:r>
    </w:p>
    <w:p>
      <w:pPr>
        <w:spacing w:line="360" w:lineRule="auto"/>
        <w:ind w:firstLine="482" w:firstLineChars="200"/>
        <w:rPr>
          <w:rFonts w:eastAsia="楷体"/>
          <w:sz w:val="24"/>
          <w:szCs w:val="24"/>
        </w:rPr>
      </w:pPr>
      <w:r>
        <w:rPr>
          <w:rFonts w:hint="eastAsia" w:eastAsia="楷体"/>
          <w:b/>
          <w:bCs/>
          <w:sz w:val="24"/>
          <w:szCs w:val="24"/>
        </w:rPr>
        <w:t>【条文说明】</w:t>
      </w:r>
      <w:r>
        <w:rPr>
          <w:rFonts w:hint="eastAsia" w:eastAsia="楷体"/>
          <w:sz w:val="24"/>
          <w:szCs w:val="24"/>
        </w:rPr>
        <w:t>影响建筑能耗的因素有很多，如围护结构做法、用能人数、系统运行方式等，建筑能耗比对评价方法的建立应首先对能耗影响因素进行分析，从众多影响因素中选择体现建筑服务内容和服务量的参数作为建立能耗基准模型的基本影响因素。</w:t>
      </w:r>
    </w:p>
    <w:p>
      <w:pPr>
        <w:spacing w:line="360" w:lineRule="auto"/>
        <w:ind w:firstLine="480" w:firstLineChars="200"/>
        <w:rPr>
          <w:sz w:val="24"/>
          <w:szCs w:val="24"/>
        </w:rPr>
        <w:sectPr>
          <w:pgSz w:w="11906" w:h="16838"/>
          <w:pgMar w:top="1440" w:right="1800" w:bottom="1440" w:left="1800" w:header="851" w:footer="992" w:gutter="0"/>
          <w:cols w:space="425" w:num="1"/>
          <w:docGrid w:type="lines" w:linePitch="312" w:charSpace="0"/>
        </w:sectPr>
      </w:pPr>
    </w:p>
    <w:p>
      <w:pPr>
        <w:pStyle w:val="2"/>
        <w:spacing w:before="0" w:after="156" w:afterLines="50" w:line="360" w:lineRule="auto"/>
        <w:jc w:val="center"/>
        <w:rPr>
          <w:sz w:val="24"/>
          <w:szCs w:val="24"/>
        </w:rPr>
      </w:pPr>
      <w:bookmarkStart w:id="7" w:name="_Toc28354599"/>
      <w:r>
        <w:rPr>
          <w:sz w:val="24"/>
          <w:szCs w:val="24"/>
        </w:rPr>
        <w:t>4.</w:t>
      </w:r>
      <w:r>
        <w:rPr>
          <w:rFonts w:hint="eastAsia"/>
          <w:sz w:val="24"/>
          <w:szCs w:val="24"/>
        </w:rPr>
        <w:t>能耗比对评价指标</w:t>
      </w:r>
      <w:bookmarkEnd w:id="7"/>
    </w:p>
    <w:p>
      <w:pPr>
        <w:spacing w:line="360" w:lineRule="auto"/>
        <w:rPr>
          <w:sz w:val="24"/>
          <w:szCs w:val="24"/>
        </w:rPr>
      </w:pPr>
      <w:r>
        <w:rPr>
          <w:sz w:val="24"/>
          <w:szCs w:val="24"/>
        </w:rPr>
        <w:t>4.0.1</w:t>
      </w:r>
      <w:r>
        <w:rPr>
          <w:rFonts w:hint="eastAsia"/>
          <w:sz w:val="24"/>
          <w:szCs w:val="24"/>
        </w:rPr>
        <w:t>具备不同运行能耗数据基础的建筑应采用不同的能耗比对评价指标进行建筑能耗水平的比对评价，并应符合下列规定：</w:t>
      </w:r>
    </w:p>
    <w:p>
      <w:pPr>
        <w:spacing w:line="360" w:lineRule="auto"/>
        <w:ind w:firstLine="480" w:firstLineChars="200"/>
        <w:rPr>
          <w:sz w:val="24"/>
          <w:szCs w:val="24"/>
        </w:rPr>
      </w:pPr>
      <w:r>
        <w:rPr>
          <w:rFonts w:hint="eastAsia"/>
          <w:sz w:val="24"/>
          <w:szCs w:val="24"/>
        </w:rPr>
        <w:t>1</w:t>
      </w:r>
      <w:r>
        <w:rPr>
          <w:sz w:val="24"/>
          <w:szCs w:val="24"/>
        </w:rPr>
        <w:t xml:space="preserve"> </w:t>
      </w:r>
      <w:r>
        <w:rPr>
          <w:rFonts w:hint="eastAsia"/>
          <w:sz w:val="24"/>
          <w:szCs w:val="24"/>
        </w:rPr>
        <w:t>具备建筑年总能耗的建筑应采用总能耗比对评价指标进行评价；</w:t>
      </w:r>
    </w:p>
    <w:p>
      <w:pPr>
        <w:spacing w:line="360" w:lineRule="auto"/>
        <w:ind w:firstLine="480" w:firstLineChars="200"/>
        <w:rPr>
          <w:sz w:val="24"/>
          <w:szCs w:val="24"/>
        </w:rPr>
      </w:pPr>
      <w:r>
        <w:rPr>
          <w:rFonts w:hint="eastAsia"/>
          <w:sz w:val="24"/>
          <w:szCs w:val="24"/>
        </w:rPr>
        <w:t>2</w:t>
      </w:r>
      <w:r>
        <w:rPr>
          <w:sz w:val="24"/>
          <w:szCs w:val="24"/>
        </w:rPr>
        <w:t xml:space="preserve"> </w:t>
      </w:r>
      <w:r>
        <w:rPr>
          <w:rFonts w:hint="eastAsia"/>
          <w:sz w:val="24"/>
          <w:szCs w:val="24"/>
        </w:rPr>
        <w:t>具备逐月能耗的建筑应采用拆分分项能耗比对评价指标进行评价；</w:t>
      </w:r>
    </w:p>
    <w:p>
      <w:pPr>
        <w:spacing w:line="360" w:lineRule="auto"/>
        <w:ind w:firstLine="480" w:firstLineChars="200"/>
        <w:rPr>
          <w:sz w:val="24"/>
          <w:szCs w:val="24"/>
        </w:rPr>
      </w:pPr>
      <w:r>
        <w:rPr>
          <w:sz w:val="24"/>
          <w:szCs w:val="24"/>
        </w:rPr>
        <w:t xml:space="preserve">3 </w:t>
      </w:r>
      <w:r>
        <w:rPr>
          <w:rFonts w:hint="eastAsia"/>
          <w:sz w:val="24"/>
          <w:szCs w:val="24"/>
        </w:rPr>
        <w:t>具备监测能耗的建筑可采用分项能耗比对评价指标进行评价；</w:t>
      </w:r>
    </w:p>
    <w:p>
      <w:pPr>
        <w:spacing w:line="360" w:lineRule="auto"/>
        <w:ind w:firstLine="480" w:firstLineChars="200"/>
        <w:rPr>
          <w:sz w:val="24"/>
          <w:szCs w:val="24"/>
        </w:rPr>
      </w:pPr>
      <w:r>
        <w:rPr>
          <w:rFonts w:hint="eastAsia"/>
          <w:sz w:val="24"/>
          <w:szCs w:val="24"/>
        </w:rPr>
        <w:t>4具备设备监测能耗数据的样本可采用设备能耗比对评价指标对建筑能耗水平进行评价。</w:t>
      </w:r>
    </w:p>
    <w:p>
      <w:pPr>
        <w:spacing w:line="360" w:lineRule="auto"/>
        <w:rPr>
          <w:sz w:val="24"/>
          <w:szCs w:val="24"/>
        </w:rPr>
      </w:pPr>
      <w:r>
        <w:rPr>
          <w:sz w:val="24"/>
          <w:szCs w:val="24"/>
        </w:rPr>
        <w:t>4.0.2</w:t>
      </w:r>
      <w:r>
        <w:rPr>
          <w:rFonts w:hint="eastAsia"/>
          <w:sz w:val="24"/>
          <w:szCs w:val="24"/>
        </w:rPr>
        <w:t>总能耗的比对评价应采用实际能耗与基准能耗的差异性指标作为评价指标。</w:t>
      </w:r>
    </w:p>
    <w:p>
      <w:pPr>
        <w:spacing w:line="360" w:lineRule="auto"/>
        <w:ind w:firstLine="482" w:firstLineChars="200"/>
        <w:rPr>
          <w:sz w:val="24"/>
          <w:szCs w:val="24"/>
        </w:rPr>
      </w:pPr>
      <w:r>
        <w:rPr>
          <w:rFonts w:hint="eastAsia" w:eastAsia="楷体"/>
          <w:b/>
          <w:bCs/>
          <w:sz w:val="24"/>
          <w:szCs w:val="24"/>
        </w:rPr>
        <w:t>【条文说明】</w:t>
      </w:r>
      <w:r>
        <w:rPr>
          <w:rFonts w:hint="eastAsia" w:eastAsia="楷体"/>
          <w:sz w:val="24"/>
          <w:szCs w:val="24"/>
        </w:rPr>
        <w:t>建筑基准能耗是衡量建筑实际能耗高低的标尺，二者的差异性大小可作为建筑横向比较的指标，具体可包括比值、差值、相对差值等形式。</w:t>
      </w:r>
    </w:p>
    <w:p>
      <w:pPr>
        <w:spacing w:line="360" w:lineRule="auto"/>
        <w:rPr>
          <w:sz w:val="24"/>
          <w:szCs w:val="24"/>
        </w:rPr>
      </w:pPr>
      <w:r>
        <w:rPr>
          <w:sz w:val="24"/>
          <w:szCs w:val="24"/>
        </w:rPr>
        <w:t>4.0.3</w:t>
      </w:r>
      <w:bookmarkStart w:id="8" w:name="_Hlk28251251"/>
      <w:r>
        <w:rPr>
          <w:rFonts w:hint="eastAsia"/>
          <w:sz w:val="24"/>
          <w:szCs w:val="24"/>
        </w:rPr>
        <w:t>拆分分项能耗的比对评价指标</w:t>
      </w:r>
      <w:bookmarkEnd w:id="8"/>
      <w:r>
        <w:rPr>
          <w:rFonts w:hint="eastAsia"/>
          <w:sz w:val="24"/>
          <w:szCs w:val="24"/>
        </w:rPr>
        <w:t>应符合下列规定：</w:t>
      </w:r>
    </w:p>
    <w:p>
      <w:pPr>
        <w:spacing w:line="360" w:lineRule="auto"/>
        <w:ind w:left="420" w:leftChars="200"/>
        <w:rPr>
          <w:sz w:val="24"/>
          <w:szCs w:val="24"/>
        </w:rPr>
      </w:pPr>
      <w:r>
        <w:rPr>
          <w:sz w:val="24"/>
          <w:szCs w:val="24"/>
        </w:rPr>
        <w:t>1</w:t>
      </w:r>
      <w:r>
        <w:rPr>
          <w:rFonts w:hint="eastAsia"/>
          <w:sz w:val="24"/>
          <w:szCs w:val="24"/>
        </w:rPr>
        <w:t>评价指标应对建筑节能方向具有指导性，可根据室外环境参数与能耗的相关性进行拆分确定，方法详见附录</w:t>
      </w:r>
      <w:r>
        <w:rPr>
          <w:sz w:val="24"/>
          <w:szCs w:val="24"/>
        </w:rPr>
        <w:t>B</w:t>
      </w:r>
      <w:r>
        <w:rPr>
          <w:rFonts w:hint="eastAsia"/>
          <w:sz w:val="24"/>
          <w:szCs w:val="24"/>
        </w:rPr>
        <w:t>。</w:t>
      </w:r>
    </w:p>
    <w:p>
      <w:pPr>
        <w:spacing w:line="360" w:lineRule="auto"/>
        <w:ind w:left="420" w:leftChars="200"/>
        <w:rPr>
          <w:sz w:val="24"/>
          <w:szCs w:val="24"/>
        </w:rPr>
      </w:pPr>
      <w:r>
        <w:rPr>
          <w:sz w:val="24"/>
          <w:szCs w:val="24"/>
        </w:rPr>
        <w:t>2</w:t>
      </w:r>
      <w:r>
        <w:rPr>
          <w:rFonts w:hint="eastAsia"/>
          <w:sz w:val="24"/>
          <w:szCs w:val="24"/>
        </w:rPr>
        <w:t>应对基荷能耗和气象参数有关能耗分别设置比对评价指标。</w:t>
      </w:r>
    </w:p>
    <w:p>
      <w:pPr>
        <w:spacing w:line="360" w:lineRule="auto"/>
        <w:ind w:firstLine="482" w:firstLineChars="200"/>
        <w:rPr>
          <w:rFonts w:eastAsia="楷体"/>
          <w:b/>
          <w:bCs/>
          <w:sz w:val="24"/>
          <w:szCs w:val="24"/>
        </w:rPr>
      </w:pPr>
      <w:r>
        <w:rPr>
          <w:rFonts w:hint="eastAsia" w:eastAsia="楷体"/>
          <w:b/>
          <w:bCs/>
          <w:sz w:val="24"/>
          <w:szCs w:val="24"/>
        </w:rPr>
        <w:t>【条文说明】</w:t>
      </w:r>
      <w:r>
        <w:rPr>
          <w:rFonts w:hint="eastAsia" w:eastAsia="楷体"/>
          <w:sz w:val="24"/>
          <w:szCs w:val="24"/>
        </w:rPr>
        <w:t>拆分分项能耗比对评价指标的选取原则。</w:t>
      </w:r>
    </w:p>
    <w:p>
      <w:pPr>
        <w:spacing w:line="360" w:lineRule="auto"/>
        <w:ind w:firstLine="480" w:firstLineChars="200"/>
        <w:rPr>
          <w:sz w:val="24"/>
          <w:szCs w:val="24"/>
        </w:rPr>
      </w:pPr>
      <w:r>
        <w:rPr>
          <w:rFonts w:hint="eastAsia" w:eastAsia="楷体"/>
          <w:sz w:val="24"/>
          <w:szCs w:val="24"/>
        </w:rPr>
        <w:t>1基于室外环境参数与能耗的相关性获得拆分分项能耗，各部分拆分能耗具备一定的物理意义，通过对拆分获取的参数物理意义分析，拆分分项的评价结果可以用于指导节能改造的方向。例如拆分分项能耗比对评价指标供暖斜率反映的是建筑围护结构与供热系统效率的优劣，其值越大说明围护结构热工性能和供热系统效率越差。</w:t>
      </w:r>
    </w:p>
    <w:p>
      <w:pPr>
        <w:spacing w:line="360" w:lineRule="auto"/>
        <w:ind w:firstLine="482" w:firstLineChars="200"/>
        <w:rPr>
          <w:sz w:val="24"/>
          <w:szCs w:val="24"/>
        </w:rPr>
      </w:pPr>
      <w:r>
        <w:rPr>
          <w:rFonts w:hint="eastAsia" w:eastAsia="楷体"/>
          <w:b/>
          <w:bCs/>
          <w:sz w:val="24"/>
          <w:szCs w:val="24"/>
        </w:rPr>
        <w:t>2</w:t>
      </w:r>
      <w:r>
        <w:rPr>
          <w:rFonts w:hint="eastAsia" w:eastAsia="楷体"/>
          <w:sz w:val="24"/>
          <w:szCs w:val="24"/>
        </w:rPr>
        <w:t>对于公共建筑来讲，与室外气象参数相关的能耗体现在供暖空调能耗中，与室外气象参数无关的基荷能耗体现在服务量、运行水平等方面。分别确定两部分能耗比对评价指标，可以分别对建筑提出更深入的节能改造建议。</w:t>
      </w:r>
    </w:p>
    <w:p>
      <w:pPr>
        <w:spacing w:line="360" w:lineRule="auto"/>
        <w:rPr>
          <w:sz w:val="24"/>
          <w:szCs w:val="24"/>
        </w:rPr>
      </w:pPr>
      <w:r>
        <w:rPr>
          <w:sz w:val="24"/>
          <w:szCs w:val="24"/>
        </w:rPr>
        <w:t>4.0.4</w:t>
      </w:r>
      <w:bookmarkStart w:id="9" w:name="_Hlk28252338"/>
      <w:r>
        <w:rPr>
          <w:rFonts w:hint="eastAsia"/>
          <w:sz w:val="24"/>
          <w:szCs w:val="24"/>
        </w:rPr>
        <w:t>基于监测系统的分项能耗</w:t>
      </w:r>
      <w:bookmarkEnd w:id="9"/>
      <w:r>
        <w:rPr>
          <w:rFonts w:hint="eastAsia"/>
          <w:sz w:val="24"/>
          <w:szCs w:val="24"/>
        </w:rPr>
        <w:t>比对评价指标应符合下列规定：</w:t>
      </w:r>
    </w:p>
    <w:p>
      <w:pPr>
        <w:spacing w:line="360" w:lineRule="auto"/>
        <w:ind w:left="420" w:leftChars="200"/>
        <w:rPr>
          <w:sz w:val="24"/>
          <w:szCs w:val="24"/>
        </w:rPr>
      </w:pPr>
      <w:r>
        <w:rPr>
          <w:sz w:val="24"/>
          <w:szCs w:val="24"/>
        </w:rPr>
        <w:t xml:space="preserve">1 </w:t>
      </w:r>
      <w:r>
        <w:rPr>
          <w:rFonts w:hint="eastAsia"/>
          <w:sz w:val="24"/>
          <w:szCs w:val="24"/>
        </w:rPr>
        <w:t>应对供暖空调、照明、插座和动力系统能耗分别设置比对评价指标。</w:t>
      </w:r>
    </w:p>
    <w:p>
      <w:pPr>
        <w:spacing w:line="360" w:lineRule="auto"/>
        <w:ind w:left="420" w:leftChars="200"/>
        <w:rPr>
          <w:sz w:val="24"/>
          <w:szCs w:val="24"/>
        </w:rPr>
      </w:pPr>
      <w:r>
        <w:rPr>
          <w:sz w:val="24"/>
          <w:szCs w:val="24"/>
        </w:rPr>
        <w:t xml:space="preserve">2 </w:t>
      </w:r>
      <w:r>
        <w:rPr>
          <w:rFonts w:hint="eastAsia"/>
          <w:sz w:val="24"/>
          <w:szCs w:val="24"/>
        </w:rPr>
        <w:t>特殊用能系统应首先对用电设备进行分类，对包含同类设备的特殊用能系统能耗进行比对评价。</w:t>
      </w:r>
    </w:p>
    <w:p>
      <w:pPr>
        <w:spacing w:line="360" w:lineRule="auto"/>
        <w:ind w:left="420" w:leftChars="200"/>
        <w:rPr>
          <w:sz w:val="24"/>
          <w:szCs w:val="24"/>
        </w:rPr>
      </w:pPr>
      <w:r>
        <w:rPr>
          <w:sz w:val="24"/>
          <w:szCs w:val="24"/>
        </w:rPr>
        <w:t>3</w:t>
      </w:r>
      <w:r>
        <w:rPr>
          <w:rFonts w:hint="eastAsia"/>
          <w:sz w:val="24"/>
          <w:szCs w:val="24"/>
        </w:rPr>
        <w:t>宜采用单位面积或单位服务量分项系统能耗作为评价指标。</w:t>
      </w:r>
    </w:p>
    <w:p>
      <w:pPr>
        <w:spacing w:line="360" w:lineRule="auto"/>
        <w:ind w:left="420" w:leftChars="200"/>
        <w:rPr>
          <w:sz w:val="24"/>
          <w:szCs w:val="24"/>
        </w:rPr>
      </w:pPr>
    </w:p>
    <w:p>
      <w:pPr>
        <w:spacing w:line="360" w:lineRule="auto"/>
        <w:ind w:firstLine="482" w:firstLineChars="200"/>
        <w:rPr>
          <w:rFonts w:eastAsia="楷体"/>
          <w:b/>
          <w:bCs/>
          <w:sz w:val="24"/>
          <w:szCs w:val="24"/>
        </w:rPr>
      </w:pPr>
      <w:r>
        <w:rPr>
          <w:rFonts w:hint="eastAsia" w:eastAsia="楷体"/>
          <w:b/>
          <w:bCs/>
          <w:sz w:val="24"/>
          <w:szCs w:val="24"/>
        </w:rPr>
        <w:t>【条文说明】</w:t>
      </w:r>
      <w:r>
        <w:rPr>
          <w:rFonts w:hint="eastAsia" w:eastAsia="楷体"/>
          <w:sz w:val="24"/>
          <w:szCs w:val="24"/>
        </w:rPr>
        <w:t>基于监测系统的分项能耗比对评价指标的选取原则。</w:t>
      </w:r>
    </w:p>
    <w:p>
      <w:pPr>
        <w:spacing w:line="360" w:lineRule="auto"/>
        <w:ind w:firstLine="480" w:firstLineChars="200"/>
        <w:rPr>
          <w:sz w:val="24"/>
          <w:szCs w:val="24"/>
        </w:rPr>
      </w:pPr>
      <w:r>
        <w:rPr>
          <w:rFonts w:hint="eastAsia" w:eastAsia="楷体"/>
          <w:sz w:val="24"/>
          <w:szCs w:val="24"/>
        </w:rPr>
        <w:t>1根据住房和城乡建设部编制的《国家机关办公建筑和大型公共建筑能耗监测系统</w:t>
      </w:r>
      <w:r>
        <w:rPr>
          <w:rFonts w:eastAsia="楷体"/>
          <w:sz w:val="24"/>
          <w:szCs w:val="24"/>
        </w:rPr>
        <w:t>-</w:t>
      </w:r>
      <w:r>
        <w:rPr>
          <w:rFonts w:hint="eastAsia" w:eastAsia="楷体"/>
          <w:sz w:val="24"/>
          <w:szCs w:val="24"/>
        </w:rPr>
        <w:t>分项能耗数据采集技术导则》，分项能耗采集项目包含照明插座用电、空调用电、动力用电和特殊用电。由于特殊用电类型多样，用能强度存在较大差异，一般不具有直接可比性，因此，本条提出基于监测系统的分项评价包含前三个分项。</w:t>
      </w:r>
    </w:p>
    <w:p>
      <w:pPr>
        <w:spacing w:line="360" w:lineRule="auto"/>
        <w:ind w:firstLine="482" w:firstLineChars="200"/>
        <w:rPr>
          <w:sz w:val="24"/>
          <w:szCs w:val="24"/>
        </w:rPr>
      </w:pPr>
      <w:r>
        <w:rPr>
          <w:rFonts w:hint="eastAsia" w:eastAsia="楷体"/>
          <w:b/>
          <w:bCs/>
          <w:sz w:val="24"/>
          <w:szCs w:val="24"/>
        </w:rPr>
        <w:t>2</w:t>
      </w:r>
      <w:r>
        <w:rPr>
          <w:rFonts w:hint="eastAsia" w:eastAsia="楷体"/>
          <w:sz w:val="24"/>
          <w:szCs w:val="24"/>
        </w:rPr>
        <w:t>如对特殊用能系统能耗进行比对评价，首先应根据特殊用能系统的用途进行分类，针对同类型特殊用能系统进行评价。</w:t>
      </w:r>
    </w:p>
    <w:p>
      <w:pPr>
        <w:spacing w:line="360" w:lineRule="auto"/>
        <w:ind w:firstLine="482" w:firstLineChars="200"/>
        <w:rPr>
          <w:rFonts w:eastAsia="楷体"/>
          <w:sz w:val="24"/>
          <w:szCs w:val="24"/>
        </w:rPr>
      </w:pPr>
      <w:r>
        <w:rPr>
          <w:rFonts w:hint="eastAsia" w:eastAsia="楷体"/>
          <w:b/>
          <w:bCs/>
          <w:sz w:val="24"/>
          <w:szCs w:val="24"/>
        </w:rPr>
        <w:t>3</w:t>
      </w:r>
      <w:r>
        <w:rPr>
          <w:rFonts w:hint="eastAsia" w:eastAsia="楷体"/>
          <w:sz w:val="24"/>
          <w:szCs w:val="24"/>
        </w:rPr>
        <w:t>插座用电、动力系统用电与服务量有较大关系，可以采用单位服务量能耗指标进行评价，如办公建筑插座用电可采用单位用能人数耗电量。</w:t>
      </w:r>
    </w:p>
    <w:p>
      <w:pPr>
        <w:spacing w:line="360" w:lineRule="auto"/>
        <w:rPr>
          <w:sz w:val="24"/>
          <w:szCs w:val="24"/>
        </w:rPr>
      </w:pPr>
      <w:r>
        <w:rPr>
          <w:sz w:val="24"/>
          <w:szCs w:val="24"/>
        </w:rPr>
        <w:t>4.0.5</w:t>
      </w:r>
      <w:r>
        <w:rPr>
          <w:rFonts w:hint="eastAsia"/>
          <w:sz w:val="24"/>
          <w:szCs w:val="24"/>
        </w:rPr>
        <w:t>设备能耗比对评价应符合下列规定：</w:t>
      </w:r>
    </w:p>
    <w:p>
      <w:pPr>
        <w:spacing w:line="360" w:lineRule="auto"/>
        <w:ind w:left="420" w:leftChars="200"/>
        <w:rPr>
          <w:sz w:val="24"/>
          <w:szCs w:val="24"/>
        </w:rPr>
      </w:pPr>
      <w:r>
        <w:rPr>
          <w:sz w:val="24"/>
          <w:szCs w:val="24"/>
        </w:rPr>
        <w:t>1</w:t>
      </w:r>
      <w:r>
        <w:rPr>
          <w:rFonts w:hint="eastAsia"/>
          <w:sz w:val="24"/>
          <w:szCs w:val="24"/>
        </w:rPr>
        <w:t>宜采用设备运行能效、单位面积能耗或单位服务量能耗作为比对评价指标。</w:t>
      </w:r>
    </w:p>
    <w:p>
      <w:pPr>
        <w:spacing w:line="360" w:lineRule="auto"/>
        <w:ind w:left="420" w:leftChars="200"/>
        <w:rPr>
          <w:sz w:val="24"/>
          <w:szCs w:val="24"/>
        </w:rPr>
      </w:pPr>
      <w:r>
        <w:rPr>
          <w:sz w:val="24"/>
          <w:szCs w:val="24"/>
        </w:rPr>
        <w:t xml:space="preserve">2 </w:t>
      </w:r>
      <w:r>
        <w:rPr>
          <w:rFonts w:hint="eastAsia"/>
          <w:sz w:val="24"/>
          <w:szCs w:val="24"/>
        </w:rPr>
        <w:t>供暖空调系统的能耗比对评价宜对冷热源设备、输配设备及末端设备分别进行，评价指标的确定宜考虑设备运行能效、建筑规模等因素。</w:t>
      </w:r>
    </w:p>
    <w:p>
      <w:pPr>
        <w:spacing w:line="360" w:lineRule="auto"/>
        <w:ind w:left="420" w:leftChars="200"/>
        <w:rPr>
          <w:sz w:val="24"/>
          <w:szCs w:val="24"/>
        </w:rPr>
      </w:pPr>
      <w:r>
        <w:rPr>
          <w:sz w:val="24"/>
          <w:szCs w:val="24"/>
        </w:rPr>
        <w:t xml:space="preserve">3 </w:t>
      </w:r>
      <w:r>
        <w:rPr>
          <w:rFonts w:hint="eastAsia"/>
          <w:sz w:val="24"/>
          <w:szCs w:val="24"/>
        </w:rPr>
        <w:t>照明系统的能耗比对评价应针对一般照明系统进行，不宜对景观照明系统进行评价，评价指标的确定宜考虑建筑规模、服务量等因素。</w:t>
      </w:r>
    </w:p>
    <w:p>
      <w:pPr>
        <w:spacing w:line="360" w:lineRule="auto"/>
        <w:ind w:left="420" w:leftChars="200"/>
        <w:rPr>
          <w:sz w:val="24"/>
          <w:szCs w:val="24"/>
        </w:rPr>
      </w:pPr>
      <w:r>
        <w:rPr>
          <w:sz w:val="24"/>
          <w:szCs w:val="24"/>
        </w:rPr>
        <w:t xml:space="preserve">4 </w:t>
      </w:r>
      <w:r>
        <w:rPr>
          <w:rFonts w:hint="eastAsia"/>
          <w:sz w:val="24"/>
          <w:szCs w:val="24"/>
        </w:rPr>
        <w:t>动力系统的能耗比对评价宜对电梯、排风机、给水泵、排水泵等设备进行评价，评价指标宜考虑建筑规模、服务量等因素。</w:t>
      </w:r>
    </w:p>
    <w:p>
      <w:pPr>
        <w:spacing w:line="360" w:lineRule="auto"/>
        <w:ind w:firstLine="482" w:firstLineChars="200"/>
        <w:rPr>
          <w:rFonts w:eastAsia="楷体"/>
          <w:b/>
          <w:bCs/>
          <w:sz w:val="24"/>
          <w:szCs w:val="24"/>
        </w:rPr>
      </w:pPr>
      <w:r>
        <w:rPr>
          <w:rFonts w:hint="eastAsia" w:eastAsia="楷体"/>
          <w:b/>
          <w:bCs/>
          <w:sz w:val="24"/>
          <w:szCs w:val="24"/>
        </w:rPr>
        <w:t>【条文说明】</w:t>
      </w:r>
      <w:r>
        <w:rPr>
          <w:rFonts w:hint="eastAsia" w:eastAsia="楷体"/>
          <w:sz w:val="24"/>
          <w:szCs w:val="24"/>
        </w:rPr>
        <w:t>设备能耗比对评价指标的选取原则。</w:t>
      </w:r>
    </w:p>
    <w:p>
      <w:pPr>
        <w:spacing w:line="360" w:lineRule="auto"/>
        <w:ind w:firstLine="482" w:firstLineChars="200"/>
        <w:rPr>
          <w:rFonts w:eastAsia="楷体"/>
          <w:sz w:val="24"/>
          <w:szCs w:val="24"/>
        </w:rPr>
      </w:pPr>
      <w:r>
        <w:rPr>
          <w:rFonts w:hint="eastAsia" w:eastAsia="楷体"/>
          <w:b/>
          <w:bCs/>
          <w:sz w:val="24"/>
          <w:szCs w:val="24"/>
        </w:rPr>
        <w:t>1</w:t>
      </w:r>
      <w:r>
        <w:rPr>
          <w:rFonts w:hint="eastAsia" w:eastAsia="楷体"/>
          <w:sz w:val="24"/>
          <w:szCs w:val="24"/>
        </w:rPr>
        <w:t>设备评价主要是针对各分项系统所包含的具体设备进行能耗统计，从单位建筑面积（或单位服务量）能耗、运行能效等方面建立指标进行评价。运行能效指标一般用于供暖空调系统的制冷主机、热泵等冷热源设备的能耗比对评价。</w:t>
      </w:r>
    </w:p>
    <w:p>
      <w:pPr>
        <w:spacing w:line="360" w:lineRule="auto"/>
        <w:ind w:firstLine="482" w:firstLineChars="200"/>
        <w:rPr>
          <w:sz w:val="24"/>
          <w:szCs w:val="24"/>
        </w:rPr>
      </w:pPr>
      <w:r>
        <w:rPr>
          <w:rFonts w:hint="eastAsia" w:eastAsia="楷体"/>
          <w:b/>
          <w:bCs/>
          <w:sz w:val="24"/>
          <w:szCs w:val="24"/>
        </w:rPr>
        <w:t>3</w:t>
      </w:r>
      <w:r>
        <w:rPr>
          <w:rFonts w:hint="eastAsia" w:eastAsia="楷体"/>
          <w:sz w:val="24"/>
          <w:szCs w:val="24"/>
        </w:rPr>
        <w:t>建筑的景观照明灯具运行差异性较大，一般不受业主主观控制，因此一般不做评价。</w:t>
      </w:r>
    </w:p>
    <w:p>
      <w:pPr>
        <w:spacing w:line="360" w:lineRule="auto"/>
        <w:ind w:firstLine="480" w:firstLineChars="200"/>
        <w:rPr>
          <w:sz w:val="24"/>
          <w:szCs w:val="24"/>
        </w:rPr>
      </w:pPr>
    </w:p>
    <w:p>
      <w:pPr>
        <w:spacing w:line="360" w:lineRule="auto"/>
        <w:rPr>
          <w:sz w:val="24"/>
          <w:szCs w:val="24"/>
        </w:rPr>
      </w:pPr>
    </w:p>
    <w:p>
      <w:pPr>
        <w:spacing w:line="360" w:lineRule="auto"/>
        <w:ind w:left="420" w:leftChars="200"/>
        <w:rPr>
          <w:sz w:val="24"/>
          <w:szCs w:val="24"/>
        </w:rPr>
        <w:sectPr>
          <w:pgSz w:w="11906" w:h="16838"/>
          <w:pgMar w:top="1440" w:right="1800" w:bottom="1440" w:left="1800" w:header="851" w:footer="992" w:gutter="0"/>
          <w:cols w:space="425" w:num="1"/>
          <w:docGrid w:type="lines" w:linePitch="312" w:charSpace="0"/>
        </w:sectPr>
      </w:pPr>
    </w:p>
    <w:p>
      <w:pPr>
        <w:pStyle w:val="2"/>
        <w:spacing w:before="0" w:after="156" w:afterLines="50" w:line="360" w:lineRule="auto"/>
        <w:jc w:val="center"/>
        <w:rPr>
          <w:sz w:val="24"/>
          <w:szCs w:val="24"/>
        </w:rPr>
      </w:pPr>
      <w:bookmarkStart w:id="10" w:name="_Toc28354600"/>
      <w:r>
        <w:rPr>
          <w:sz w:val="24"/>
          <w:szCs w:val="24"/>
        </w:rPr>
        <w:t xml:space="preserve">5 </w:t>
      </w:r>
      <w:r>
        <w:rPr>
          <w:rFonts w:hint="eastAsia"/>
          <w:sz w:val="24"/>
          <w:szCs w:val="24"/>
        </w:rPr>
        <w:t>能耗比对评价方法技术要求</w:t>
      </w:r>
      <w:bookmarkEnd w:id="10"/>
    </w:p>
    <w:p>
      <w:pPr>
        <w:pStyle w:val="3"/>
        <w:spacing w:before="240" w:after="120" w:line="360" w:lineRule="auto"/>
        <w:jc w:val="center"/>
        <w:rPr>
          <w:rFonts w:ascii="宋体" w:hAnsi="宋体" w:eastAsia="宋体"/>
          <w:b w:val="0"/>
          <w:bCs w:val="0"/>
          <w:sz w:val="24"/>
          <w:szCs w:val="24"/>
        </w:rPr>
      </w:pPr>
      <w:bookmarkStart w:id="11" w:name="_Toc28354601"/>
      <w:r>
        <w:rPr>
          <w:rFonts w:ascii="宋体" w:hAnsi="宋体" w:eastAsia="宋体"/>
          <w:b w:val="0"/>
          <w:bCs w:val="0"/>
          <w:sz w:val="24"/>
          <w:szCs w:val="24"/>
        </w:rPr>
        <w:t>5.1总能耗比对评价方法</w:t>
      </w:r>
      <w:bookmarkEnd w:id="11"/>
    </w:p>
    <w:p>
      <w:pPr>
        <w:spacing w:line="360" w:lineRule="auto"/>
        <w:rPr>
          <w:sz w:val="24"/>
          <w:szCs w:val="24"/>
        </w:rPr>
      </w:pPr>
      <w:r>
        <w:rPr>
          <w:sz w:val="24"/>
          <w:szCs w:val="24"/>
        </w:rPr>
        <w:t xml:space="preserve">5.1.1 </w:t>
      </w:r>
      <w:r>
        <w:rPr>
          <w:rFonts w:hint="eastAsia"/>
          <w:sz w:val="24"/>
          <w:szCs w:val="24"/>
        </w:rPr>
        <w:t>总能耗比对评价方法的确定应符合下列规定：</w:t>
      </w:r>
    </w:p>
    <w:p>
      <w:pPr>
        <w:pStyle w:val="20"/>
        <w:numPr>
          <w:ilvl w:val="0"/>
          <w:numId w:val="2"/>
        </w:numPr>
        <w:spacing w:line="360" w:lineRule="auto"/>
        <w:ind w:firstLineChars="0"/>
        <w:rPr>
          <w:sz w:val="24"/>
          <w:szCs w:val="24"/>
        </w:rPr>
      </w:pPr>
      <w:r>
        <w:rPr>
          <w:rFonts w:hint="eastAsia"/>
          <w:sz w:val="24"/>
          <w:szCs w:val="24"/>
        </w:rPr>
        <w:t>建筑总能耗比对评价应考虑建筑边界内全部能耗，不应包括通过建筑的配电系统向各类电动交通工具等外接设备提供的电力以及用于建筑外景照明的用电，不宜包括由输入建筑物的可再生能源系统产生的能源；</w:t>
      </w:r>
    </w:p>
    <w:p>
      <w:pPr>
        <w:pStyle w:val="20"/>
        <w:numPr>
          <w:ilvl w:val="0"/>
          <w:numId w:val="2"/>
        </w:numPr>
        <w:spacing w:line="360" w:lineRule="auto"/>
        <w:ind w:firstLineChars="0"/>
        <w:rPr>
          <w:sz w:val="24"/>
          <w:szCs w:val="24"/>
        </w:rPr>
      </w:pPr>
      <w:r>
        <w:rPr>
          <w:rFonts w:hint="eastAsia"/>
          <w:sz w:val="24"/>
          <w:szCs w:val="24"/>
        </w:rPr>
        <w:t>总能耗比对评价宜采用一个日历年的能耗。</w:t>
      </w:r>
    </w:p>
    <w:p>
      <w:pPr>
        <w:pStyle w:val="20"/>
        <w:numPr>
          <w:ilvl w:val="0"/>
          <w:numId w:val="2"/>
        </w:numPr>
        <w:spacing w:line="360" w:lineRule="auto"/>
        <w:ind w:firstLineChars="0"/>
        <w:rPr>
          <w:sz w:val="24"/>
          <w:szCs w:val="24"/>
        </w:rPr>
      </w:pPr>
      <w:r>
        <w:rPr>
          <w:rFonts w:hint="eastAsia"/>
          <w:sz w:val="24"/>
          <w:szCs w:val="24"/>
        </w:rPr>
        <w:t>总能耗比对评价应对建筑边界内所有能耗进行折算，根据评价需求的不同，按当量或等价统一折算到一次能源。</w:t>
      </w:r>
    </w:p>
    <w:p>
      <w:pPr>
        <w:pStyle w:val="20"/>
        <w:numPr>
          <w:ilvl w:val="0"/>
          <w:numId w:val="2"/>
        </w:numPr>
        <w:spacing w:line="360" w:lineRule="auto"/>
        <w:ind w:firstLineChars="0"/>
        <w:rPr>
          <w:sz w:val="24"/>
          <w:szCs w:val="24"/>
        </w:rPr>
      </w:pPr>
      <w:r>
        <w:rPr>
          <w:rFonts w:hint="eastAsia"/>
          <w:sz w:val="24"/>
          <w:szCs w:val="24"/>
        </w:rPr>
        <w:t>确定建筑总能耗的评价基准值（线）时，应对不同地区的样本建筑进行气象参数的归一化处理。</w:t>
      </w:r>
    </w:p>
    <w:p>
      <w:pPr>
        <w:pStyle w:val="20"/>
        <w:numPr>
          <w:ilvl w:val="0"/>
          <w:numId w:val="2"/>
        </w:numPr>
        <w:spacing w:line="360" w:lineRule="auto"/>
        <w:ind w:firstLineChars="0"/>
        <w:rPr>
          <w:sz w:val="24"/>
          <w:szCs w:val="24"/>
        </w:rPr>
      </w:pPr>
      <w:r>
        <w:rPr>
          <w:rFonts w:hint="eastAsia"/>
          <w:sz w:val="24"/>
          <w:szCs w:val="24"/>
        </w:rPr>
        <w:t>确定建筑总能耗的评价基准值（线）时，应对建筑提供的服务质量与数量进行归一化处理。</w:t>
      </w:r>
    </w:p>
    <w:p>
      <w:pPr>
        <w:pStyle w:val="20"/>
        <w:numPr>
          <w:ilvl w:val="0"/>
          <w:numId w:val="2"/>
        </w:numPr>
        <w:spacing w:line="360" w:lineRule="auto"/>
        <w:ind w:firstLineChars="0"/>
        <w:rPr>
          <w:sz w:val="24"/>
          <w:szCs w:val="24"/>
        </w:rPr>
      </w:pPr>
      <w:r>
        <w:rPr>
          <w:rFonts w:hint="eastAsia"/>
          <w:sz w:val="24"/>
          <w:szCs w:val="24"/>
        </w:rPr>
        <w:t>确定建筑总能耗的评价基准值（线）时，应对建筑面积、层高等几何参数进行归一化处理。</w:t>
      </w:r>
    </w:p>
    <w:p>
      <w:pPr>
        <w:pStyle w:val="20"/>
        <w:numPr>
          <w:ilvl w:val="0"/>
          <w:numId w:val="2"/>
        </w:numPr>
        <w:spacing w:line="360" w:lineRule="auto"/>
        <w:ind w:firstLineChars="0"/>
        <w:rPr>
          <w:sz w:val="24"/>
          <w:szCs w:val="24"/>
        </w:rPr>
      </w:pPr>
      <w:r>
        <w:rPr>
          <w:rFonts w:hint="eastAsia"/>
          <w:sz w:val="24"/>
          <w:szCs w:val="24"/>
        </w:rPr>
        <w:t>确定建筑总能耗的评价基准值（线）时，不宜考虑围护结构及系统形式、设备配置等因素。</w:t>
      </w:r>
    </w:p>
    <w:p>
      <w:pPr>
        <w:pStyle w:val="20"/>
        <w:numPr>
          <w:ilvl w:val="0"/>
          <w:numId w:val="2"/>
        </w:numPr>
        <w:spacing w:line="360" w:lineRule="auto"/>
        <w:ind w:firstLineChars="0"/>
        <w:rPr>
          <w:sz w:val="24"/>
          <w:szCs w:val="24"/>
        </w:rPr>
      </w:pPr>
      <w:r>
        <w:rPr>
          <w:rFonts w:hint="eastAsia"/>
          <w:sz w:val="24"/>
          <w:szCs w:val="24"/>
        </w:rPr>
        <w:t>建筑总能耗的评价基准值（线）的确定应基于建筑实际运行数据进行分析。</w:t>
      </w:r>
    </w:p>
    <w:p>
      <w:pPr>
        <w:pStyle w:val="20"/>
        <w:numPr>
          <w:ilvl w:val="0"/>
          <w:numId w:val="2"/>
        </w:numPr>
        <w:spacing w:line="360" w:lineRule="auto"/>
        <w:ind w:firstLineChars="0"/>
        <w:rPr>
          <w:sz w:val="24"/>
          <w:szCs w:val="24"/>
        </w:rPr>
      </w:pPr>
      <w:r>
        <w:rPr>
          <w:rFonts w:hint="eastAsia"/>
          <w:sz w:val="24"/>
          <w:szCs w:val="24"/>
        </w:rPr>
        <w:t>建立能耗基准模型时，同类建筑样本数量应不少于</w:t>
      </w:r>
      <w:r>
        <w:rPr>
          <w:sz w:val="24"/>
          <w:szCs w:val="24"/>
        </w:rPr>
        <w:t>50</w:t>
      </w:r>
      <w:r>
        <w:rPr>
          <w:rFonts w:hint="eastAsia"/>
          <w:sz w:val="24"/>
          <w:szCs w:val="24"/>
        </w:rPr>
        <w:t>栋或采用全样本统计分析。</w:t>
      </w:r>
    </w:p>
    <w:p>
      <w:pPr>
        <w:pStyle w:val="20"/>
        <w:numPr>
          <w:ilvl w:val="0"/>
          <w:numId w:val="2"/>
        </w:numPr>
        <w:spacing w:line="360" w:lineRule="auto"/>
        <w:ind w:firstLineChars="0"/>
        <w:rPr>
          <w:sz w:val="24"/>
          <w:szCs w:val="24"/>
        </w:rPr>
      </w:pPr>
      <w:r>
        <w:rPr>
          <w:rFonts w:hint="eastAsia"/>
          <w:sz w:val="24"/>
          <w:szCs w:val="24"/>
        </w:rPr>
        <w:t>对大样本进行采样时，应修正由于抽样方案产生的偏差。</w:t>
      </w:r>
    </w:p>
    <w:p>
      <w:pPr>
        <w:pStyle w:val="20"/>
        <w:numPr>
          <w:ilvl w:val="0"/>
          <w:numId w:val="2"/>
        </w:numPr>
        <w:spacing w:line="360" w:lineRule="auto"/>
        <w:ind w:firstLineChars="0"/>
        <w:rPr>
          <w:sz w:val="24"/>
          <w:szCs w:val="24"/>
        </w:rPr>
      </w:pPr>
      <w:r>
        <w:rPr>
          <w:rFonts w:hint="eastAsia"/>
          <w:sz w:val="24"/>
          <w:szCs w:val="24"/>
        </w:rPr>
        <w:t>建筑总能耗的评价基准值（线）及对应评价指标值应通过更新基准模型的样本数据的方式进行定期更新，更新周期宜为</w:t>
      </w:r>
      <w:r>
        <w:rPr>
          <w:sz w:val="24"/>
          <w:szCs w:val="24"/>
        </w:rPr>
        <w:t>3~10</w:t>
      </w:r>
      <w:r>
        <w:rPr>
          <w:rFonts w:hint="eastAsia"/>
          <w:sz w:val="24"/>
          <w:szCs w:val="24"/>
        </w:rPr>
        <w:t>年。</w:t>
      </w:r>
    </w:p>
    <w:p>
      <w:pPr>
        <w:spacing w:line="360" w:lineRule="auto"/>
        <w:ind w:firstLine="482" w:firstLineChars="200"/>
        <w:rPr>
          <w:rFonts w:eastAsia="楷体"/>
          <w:b/>
          <w:bCs/>
          <w:sz w:val="24"/>
          <w:szCs w:val="24"/>
        </w:rPr>
      </w:pPr>
      <w:r>
        <w:rPr>
          <w:rFonts w:hint="eastAsia" w:eastAsia="楷体"/>
          <w:b/>
          <w:bCs/>
          <w:sz w:val="24"/>
          <w:szCs w:val="24"/>
        </w:rPr>
        <w:t>【条文说明】</w:t>
      </w:r>
      <w:r>
        <w:rPr>
          <w:rFonts w:hint="eastAsia" w:eastAsia="楷体"/>
          <w:sz w:val="24"/>
          <w:szCs w:val="24"/>
        </w:rPr>
        <w:t>确定总能耗比对评价方法的原则。</w:t>
      </w:r>
    </w:p>
    <w:p>
      <w:pPr>
        <w:pStyle w:val="20"/>
        <w:numPr>
          <w:ilvl w:val="0"/>
          <w:numId w:val="3"/>
        </w:numPr>
        <w:spacing w:line="360" w:lineRule="auto"/>
        <w:ind w:firstLineChars="0"/>
        <w:rPr>
          <w:rFonts w:eastAsia="楷体"/>
          <w:sz w:val="24"/>
          <w:szCs w:val="24"/>
        </w:rPr>
      </w:pPr>
      <w:r>
        <w:rPr>
          <w:rFonts w:hint="eastAsia" w:eastAsia="楷体"/>
          <w:sz w:val="24"/>
          <w:szCs w:val="24"/>
        </w:rPr>
        <w:t>规定了参与能耗比对评价的能耗边界。针对目前出现的通过建筑的配电系统向各类电动交通工具提供电力以及应市政部门要求用于建筑外景照明的用电，以及由输入建筑物的可再生能源系统产生的能源，明确规定应从建筑实测能耗中扣除。</w:t>
      </w:r>
    </w:p>
    <w:p>
      <w:pPr>
        <w:pStyle w:val="20"/>
        <w:spacing w:line="360" w:lineRule="auto"/>
        <w:ind w:left="900" w:firstLine="0" w:firstLineChars="0"/>
        <w:rPr>
          <w:sz w:val="24"/>
          <w:szCs w:val="24"/>
        </w:rPr>
      </w:pPr>
      <w:r>
        <w:rPr>
          <w:rFonts w:hint="eastAsia" w:eastAsia="楷体"/>
          <w:sz w:val="24"/>
          <w:szCs w:val="24"/>
        </w:rPr>
        <w:t>可再生能源包括太阳能光电和光热、风电和风热以及其他类型可再生能源所产生的电能和热能。推动可再生能源在建筑中的应用是我国的一项长期坚持的政策，加强建筑中使用可再生能源有助于减少建筑使用的常规能源，亦有利于实现我国能源使用的总量控制目标。因此本条文明确规定，建筑物若利用安装于其内的设备系统实现可再生能源转换为电能或热能时，则在计算该建筑物能耗值时，不计入建筑自身通过可再生能源利用技术和设备获取的能源，即只计算从外部输入的能源量作为其能耗值参与能耗比对评价。例如：某建筑物运行中全年实际消耗电量</w:t>
      </w:r>
      <w:r>
        <w:rPr>
          <w:rFonts w:eastAsia="楷体"/>
          <w:sz w:val="24"/>
          <w:szCs w:val="24"/>
        </w:rPr>
        <w:t>100</w:t>
      </w:r>
      <w:r>
        <w:rPr>
          <w:rFonts w:hint="eastAsia" w:eastAsia="楷体"/>
          <w:sz w:val="24"/>
          <w:szCs w:val="24"/>
        </w:rPr>
        <w:t>万</w:t>
      </w:r>
      <w:r>
        <w:rPr>
          <w:rFonts w:eastAsia="楷体"/>
          <w:sz w:val="24"/>
          <w:szCs w:val="24"/>
        </w:rPr>
        <w:t>kWh</w:t>
      </w:r>
      <w:r>
        <w:rPr>
          <w:rFonts w:hint="eastAsia" w:eastAsia="楷体"/>
          <w:sz w:val="24"/>
          <w:szCs w:val="24"/>
        </w:rPr>
        <w:t>，安装于其建筑物屋顶、外墙等处的光伏板全年发电量</w:t>
      </w:r>
      <w:r>
        <w:rPr>
          <w:rFonts w:eastAsia="楷体"/>
          <w:sz w:val="24"/>
          <w:szCs w:val="24"/>
        </w:rPr>
        <w:t>20</w:t>
      </w:r>
      <w:r>
        <w:rPr>
          <w:rFonts w:hint="eastAsia" w:eastAsia="楷体"/>
          <w:sz w:val="24"/>
          <w:szCs w:val="24"/>
        </w:rPr>
        <w:t>万</w:t>
      </w:r>
      <w:r>
        <w:rPr>
          <w:rFonts w:eastAsia="楷体"/>
          <w:sz w:val="24"/>
          <w:szCs w:val="24"/>
        </w:rPr>
        <w:t>kWh,</w:t>
      </w:r>
      <w:r>
        <w:rPr>
          <w:rFonts w:hint="eastAsia" w:eastAsia="楷体"/>
          <w:sz w:val="24"/>
          <w:szCs w:val="24"/>
        </w:rPr>
        <w:t>从市政电网购电</w:t>
      </w:r>
      <w:r>
        <w:rPr>
          <w:rFonts w:eastAsia="楷体"/>
          <w:sz w:val="24"/>
          <w:szCs w:val="24"/>
        </w:rPr>
        <w:t>80</w:t>
      </w:r>
      <w:r>
        <w:rPr>
          <w:rFonts w:hint="eastAsia" w:eastAsia="楷体"/>
          <w:sz w:val="24"/>
          <w:szCs w:val="24"/>
        </w:rPr>
        <w:t>万</w:t>
      </w:r>
      <w:r>
        <w:rPr>
          <w:rFonts w:eastAsia="楷体"/>
          <w:sz w:val="24"/>
          <w:szCs w:val="24"/>
        </w:rPr>
        <w:t>kWh</w:t>
      </w:r>
      <w:r>
        <w:rPr>
          <w:rFonts w:hint="eastAsia" w:eastAsia="楷体"/>
          <w:sz w:val="24"/>
          <w:szCs w:val="24"/>
        </w:rPr>
        <w:t>。则该建筑物的全年电耗为</w:t>
      </w:r>
      <w:r>
        <w:rPr>
          <w:rFonts w:eastAsia="楷体"/>
          <w:sz w:val="24"/>
          <w:szCs w:val="24"/>
        </w:rPr>
        <w:t>80</w:t>
      </w:r>
      <w:r>
        <w:rPr>
          <w:rFonts w:hint="eastAsia" w:eastAsia="楷体"/>
          <w:sz w:val="24"/>
          <w:szCs w:val="24"/>
        </w:rPr>
        <w:t>万</w:t>
      </w:r>
      <w:r>
        <w:rPr>
          <w:rFonts w:eastAsia="楷体"/>
          <w:sz w:val="24"/>
          <w:szCs w:val="24"/>
        </w:rPr>
        <w:t>kWh</w:t>
      </w:r>
      <w:r>
        <w:rPr>
          <w:rFonts w:hint="eastAsia" w:eastAsia="楷体"/>
          <w:sz w:val="24"/>
          <w:szCs w:val="24"/>
        </w:rPr>
        <w:t>。</w:t>
      </w:r>
    </w:p>
    <w:p>
      <w:pPr>
        <w:pStyle w:val="20"/>
        <w:numPr>
          <w:ilvl w:val="0"/>
          <w:numId w:val="3"/>
        </w:numPr>
        <w:spacing w:line="360" w:lineRule="auto"/>
        <w:ind w:firstLineChars="0"/>
        <w:rPr>
          <w:sz w:val="24"/>
          <w:szCs w:val="24"/>
        </w:rPr>
      </w:pPr>
      <w:r>
        <w:rPr>
          <w:rFonts w:hint="eastAsia" w:eastAsia="楷体"/>
          <w:sz w:val="24"/>
          <w:szCs w:val="24"/>
        </w:rPr>
        <w:t>明确了公共建筑能耗的时间周期。能耗均以一年内，即一个完整的日历年的累积能源消耗计。因此，评价一般以某年能耗评价结果进行比较，一般不按跨日历年连续</w:t>
      </w:r>
      <w:r>
        <w:rPr>
          <w:rFonts w:eastAsia="楷体"/>
          <w:sz w:val="24"/>
          <w:szCs w:val="24"/>
        </w:rPr>
        <w:t>12</w:t>
      </w:r>
      <w:r>
        <w:rPr>
          <w:rFonts w:hint="eastAsia" w:eastAsia="楷体"/>
          <w:sz w:val="24"/>
          <w:szCs w:val="24"/>
        </w:rPr>
        <w:t>个日历月累积能源消耗计。</w:t>
      </w:r>
    </w:p>
    <w:p>
      <w:pPr>
        <w:pStyle w:val="20"/>
        <w:numPr>
          <w:ilvl w:val="0"/>
          <w:numId w:val="3"/>
        </w:numPr>
        <w:spacing w:line="360" w:lineRule="auto"/>
        <w:ind w:firstLineChars="0"/>
        <w:rPr>
          <w:rFonts w:eastAsia="楷体"/>
          <w:sz w:val="24"/>
          <w:szCs w:val="24"/>
        </w:rPr>
      </w:pPr>
      <w:r>
        <w:rPr>
          <w:rFonts w:hint="eastAsia" w:eastAsia="楷体"/>
          <w:sz w:val="24"/>
          <w:szCs w:val="24"/>
        </w:rPr>
        <w:t>明确了建筑用能应按照实际使用的能源种类分别按照电力、燃气和标煤统计计算。由于建筑用能不仅包括二次能源电耗，且包括煤、天然气、油等其他种类的一次能源，以及外购热量、冷量均需进行相应的折算。</w:t>
      </w:r>
    </w:p>
    <w:p>
      <w:pPr>
        <w:pStyle w:val="20"/>
        <w:numPr>
          <w:ilvl w:val="0"/>
          <w:numId w:val="3"/>
        </w:numPr>
        <w:spacing w:line="360" w:lineRule="auto"/>
        <w:ind w:firstLineChars="0"/>
        <w:rPr>
          <w:rFonts w:eastAsia="楷体"/>
          <w:sz w:val="24"/>
          <w:szCs w:val="24"/>
        </w:rPr>
      </w:pPr>
      <w:r>
        <w:rPr>
          <w:rFonts w:hint="eastAsia" w:eastAsia="楷体"/>
          <w:sz w:val="24"/>
          <w:szCs w:val="24"/>
        </w:rPr>
        <w:t>室外气象参数是最主要的建筑能耗影响因素之一，其对建筑能耗的影响受建筑所在地气象参数制约，对于具体建筑此参数是不可改变的，建筑能耗比对评价结果不应受此参数的影响，因此在进行评价比对基准的建立过程中应充分考虑室外气象参数的影响。</w:t>
      </w:r>
    </w:p>
    <w:p>
      <w:pPr>
        <w:pStyle w:val="20"/>
        <w:numPr>
          <w:ilvl w:val="0"/>
          <w:numId w:val="3"/>
        </w:numPr>
        <w:spacing w:line="360" w:lineRule="auto"/>
        <w:ind w:firstLineChars="0"/>
        <w:rPr>
          <w:rFonts w:eastAsia="楷体"/>
          <w:sz w:val="24"/>
          <w:szCs w:val="24"/>
        </w:rPr>
      </w:pPr>
      <w:r>
        <w:rPr>
          <w:rFonts w:hint="eastAsia" w:eastAsia="楷体"/>
          <w:sz w:val="24"/>
          <w:szCs w:val="24"/>
        </w:rPr>
        <w:t>对于公共建筑来讲，其运行的目的是为室内人员提供相应的服务。建筑提供服务的质量与数量对能耗影响很大，且此类参数受到建筑功能和运营特点的限制，对于具体建筑，业主不能通过改变此类参数提升建筑能效水平，建筑能耗比对评价结果不应受此参数的影响，因此在进行评价比对基准的建立过程中应充分考虑建筑提供服务的影响。</w:t>
      </w:r>
    </w:p>
    <w:p>
      <w:pPr>
        <w:pStyle w:val="20"/>
        <w:numPr>
          <w:ilvl w:val="0"/>
          <w:numId w:val="3"/>
        </w:numPr>
        <w:spacing w:line="360" w:lineRule="auto"/>
        <w:ind w:firstLineChars="0"/>
        <w:rPr>
          <w:rFonts w:eastAsia="楷体"/>
          <w:sz w:val="24"/>
          <w:szCs w:val="24"/>
        </w:rPr>
      </w:pPr>
      <w:r>
        <w:rPr>
          <w:rFonts w:hint="eastAsia" w:eastAsia="楷体"/>
          <w:sz w:val="24"/>
          <w:szCs w:val="24"/>
        </w:rPr>
        <w:t>建筑规模、层高等因素对于具体建筑来说是固定参数，建筑能耗比对评价结果不应受此参数的影响，因此在进行评价比对基准的建立过程中应充分考虑建筑规模、层高等几何参数的影响。</w:t>
      </w:r>
    </w:p>
    <w:p>
      <w:pPr>
        <w:pStyle w:val="20"/>
        <w:numPr>
          <w:ilvl w:val="0"/>
          <w:numId w:val="3"/>
        </w:numPr>
        <w:spacing w:line="360" w:lineRule="auto"/>
        <w:ind w:firstLineChars="0"/>
        <w:rPr>
          <w:rFonts w:eastAsia="楷体"/>
          <w:sz w:val="24"/>
          <w:szCs w:val="24"/>
        </w:rPr>
      </w:pPr>
      <w:r>
        <w:rPr>
          <w:rFonts w:hint="eastAsia" w:eastAsia="楷体"/>
          <w:sz w:val="24"/>
          <w:szCs w:val="24"/>
        </w:rPr>
        <w:t>对于围护结构及系统形式、设备配置等因素对建筑能耗的影响，那些由于选用低效设备或系统或管理水平低下，耗能系统处于非正常运行的系统，或未按照最优化策略运行的系统，造成整个建筑能耗异常的楼宇，保留了从技术上改进和改造的空间。例如，一栋建筑的冷源采用能效较低的冷水机组，实际运行能耗高，可以通过更换性能更好的冷水机组达到降低能耗的效果。再如，一栋建筑建成年代较早，由于围护结构性能差所导致的建筑能耗异常，在北方可以通过增加围护结构保温的措施进行改进，降低能耗。如果将这类因素考虑在基准模型内，那么在分析时，会将这些不适宜技术因素进行平均化处理，得到不恰当的评价基准值（线）。</w:t>
      </w:r>
    </w:p>
    <w:p>
      <w:pPr>
        <w:pStyle w:val="20"/>
        <w:numPr>
          <w:ilvl w:val="0"/>
          <w:numId w:val="3"/>
        </w:numPr>
        <w:spacing w:line="360" w:lineRule="auto"/>
        <w:ind w:firstLineChars="0"/>
        <w:rPr>
          <w:rFonts w:eastAsia="楷体"/>
          <w:sz w:val="24"/>
          <w:szCs w:val="24"/>
        </w:rPr>
      </w:pPr>
      <w:r>
        <w:rPr>
          <w:rFonts w:hint="eastAsia" w:eastAsia="楷体"/>
          <w:sz w:val="24"/>
          <w:szCs w:val="24"/>
        </w:rPr>
        <w:t>建筑总能耗的比对评价采用基于实际能耗数据的原则，通过调研等获得我国的公共建筑实际能耗数据，分析建筑能耗特点及其影响因素，进而建立适用于我国的公共建筑能效评价方法。该方法从实际能耗数据出发，通过评价</w:t>
      </w:r>
      <w:r>
        <w:rPr>
          <w:rFonts w:eastAsia="楷体"/>
          <w:sz w:val="24"/>
          <w:szCs w:val="24"/>
        </w:rPr>
        <w:t>-</w:t>
      </w:r>
      <w:r>
        <w:rPr>
          <w:rFonts w:hint="eastAsia" w:eastAsia="楷体"/>
          <w:sz w:val="24"/>
          <w:szCs w:val="24"/>
        </w:rPr>
        <w:t>改造</w:t>
      </w:r>
      <w:r>
        <w:rPr>
          <w:rFonts w:eastAsia="楷体"/>
          <w:sz w:val="24"/>
          <w:szCs w:val="24"/>
        </w:rPr>
        <w:t>-</w:t>
      </w:r>
      <w:r>
        <w:rPr>
          <w:rFonts w:hint="eastAsia" w:eastAsia="楷体"/>
          <w:sz w:val="24"/>
          <w:szCs w:val="24"/>
        </w:rPr>
        <w:t>再评价的应用实施过程，仍着落于实际能耗数据，节能效果通过实际能耗的减少来体现。</w:t>
      </w:r>
    </w:p>
    <w:p>
      <w:pPr>
        <w:spacing w:line="360" w:lineRule="auto"/>
        <w:ind w:left="840" w:leftChars="400"/>
        <w:rPr>
          <w:rFonts w:eastAsia="楷体"/>
          <w:sz w:val="24"/>
          <w:szCs w:val="24"/>
        </w:rPr>
      </w:pPr>
      <w:r>
        <w:rPr>
          <w:rFonts w:hint="eastAsia" w:eastAsia="楷体"/>
          <w:sz w:val="24"/>
          <w:szCs w:val="24"/>
        </w:rPr>
        <w:t>参考国外经验发现，美国、英国和德国的技术方法都是以大量实测数据为依据，采用统计学方法从大量建筑能耗数据中挖掘特征信息建立相应的能效评价模型，针对每一栋建筑的运营特点，用该模型计算能耗基准值。这种采用统计学方法建立能耗基准的方法，是与我国建筑实际能耗差异巨大的情况相符合的，具有充分的公平性和说服力。</w:t>
      </w:r>
    </w:p>
    <w:p>
      <w:pPr>
        <w:pStyle w:val="20"/>
        <w:numPr>
          <w:ilvl w:val="0"/>
          <w:numId w:val="3"/>
        </w:numPr>
        <w:spacing w:line="360" w:lineRule="auto"/>
        <w:ind w:firstLineChars="0"/>
        <w:rPr>
          <w:rFonts w:eastAsia="楷体"/>
          <w:sz w:val="24"/>
          <w:szCs w:val="24"/>
        </w:rPr>
      </w:pPr>
      <w:r>
        <w:rPr>
          <w:rFonts w:hint="eastAsia" w:eastAsia="楷体"/>
          <w:sz w:val="24"/>
          <w:szCs w:val="24"/>
        </w:rPr>
        <w:t>本条文规定了样本量的要求。关于满足建模要求的样本量的确定，由于建筑能耗的影响因素复杂多样，且彼此之间存在千丝万缕的联系，要建立建筑能耗比对评价模型应考虑多自变量的分析。对于多个自变量的线性回归，统计学中给出了建立在自由度分别为</w:t>
      </w:r>
      <w:r>
        <w:object>
          <v:shape id="_x0000_i1025" o:spt="75" type="#_x0000_t75" style="height:14.25pt;width:10.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eastAsia="楷体"/>
          <w:sz w:val="24"/>
          <w:szCs w:val="24"/>
        </w:rPr>
        <w:t>和</w:t>
      </w:r>
      <w:r>
        <w:object>
          <v:shape id="_x0000_i1026" o:spt="75" type="#_x0000_t75" style="height:14.25pt;width:40.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eastAsia="楷体"/>
          <w:sz w:val="24"/>
          <w:szCs w:val="24"/>
        </w:rPr>
        <w:t>，非中心参数为</w:t>
      </w:r>
      <w:r>
        <w:object>
          <v:shape id="_x0000_i1027" o:spt="75" type="#_x0000_t75" style="height:27.75pt;width:27.7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eastAsia="楷体"/>
          <w:sz w:val="24"/>
          <w:szCs w:val="24"/>
        </w:rPr>
        <w:t>的非中心</w:t>
      </w:r>
      <w:r>
        <w:object>
          <v:shape id="_x0000_i1028" o:spt="75" type="#_x0000_t75" style="height:12.75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eastAsia="楷体"/>
          <w:sz w:val="24"/>
          <w:szCs w:val="24"/>
        </w:rPr>
        <w:t>分布基础上的样本量估计方法。其检验效能的计算公式为：</w:t>
      </w:r>
    </w:p>
    <w:p>
      <w:pPr>
        <w:spacing w:line="360" w:lineRule="auto"/>
        <w:jc w:val="center"/>
        <w:rPr>
          <w:sz w:val="24"/>
          <w:szCs w:val="24"/>
        </w:rPr>
      </w:pPr>
      <w:r>
        <w:rPr>
          <w:position w:val="-32"/>
          <w:sz w:val="24"/>
          <w:szCs w:val="24"/>
        </w:rPr>
        <w:object>
          <v:shape id="_x0000_i1029" o:spt="75" type="#_x0000_t75" style="height:33.75pt;width:21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p>
      <w:pPr>
        <w:ind w:firstLine="960" w:firstLineChars="400"/>
        <w:rPr>
          <w:rFonts w:ascii="楷体" w:hAnsi="楷体" w:eastAsia="楷体"/>
          <w:sz w:val="24"/>
          <w:szCs w:val="24"/>
        </w:rPr>
      </w:pPr>
      <w:r>
        <w:rPr>
          <w:rFonts w:ascii="楷体" w:hAnsi="楷体" w:eastAsia="楷体"/>
          <w:sz w:val="24"/>
          <w:szCs w:val="24"/>
        </w:rPr>
        <w:t>式中，</w:t>
      </w:r>
      <w:r>
        <w:rPr>
          <w:rFonts w:ascii="楷体" w:hAnsi="楷体" w:eastAsia="楷体"/>
          <w:sz w:val="24"/>
          <w:szCs w:val="24"/>
        </w:rPr>
        <w:object>
          <v:shape id="_x0000_i1030" o:spt="75" type="#_x0000_t75" style="height:14.25pt;width:10.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ascii="楷体" w:hAnsi="楷体" w:eastAsia="楷体"/>
          <w:sz w:val="24"/>
          <w:szCs w:val="24"/>
        </w:rPr>
        <w:t>为自变量个数，</w:t>
      </w:r>
      <w:r>
        <w:rPr>
          <w:rFonts w:ascii="楷体" w:hAnsi="楷体" w:eastAsia="楷体"/>
          <w:sz w:val="24"/>
          <w:szCs w:val="24"/>
        </w:rPr>
        <w:object>
          <v:shape id="_x0000_i1031" o:spt="75" type="#_x0000_t75" style="height:15pt;width:1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ascii="楷体" w:hAnsi="楷体" w:eastAsia="楷体"/>
          <w:sz w:val="24"/>
          <w:szCs w:val="24"/>
        </w:rPr>
        <w:t>为决定系数。</w:t>
      </w:r>
    </w:p>
    <w:p>
      <w:pPr>
        <w:ind w:left="687" w:leftChars="327"/>
        <w:rPr>
          <w:rFonts w:ascii="楷体" w:hAnsi="楷体" w:eastAsia="楷体"/>
          <w:sz w:val="24"/>
          <w:szCs w:val="24"/>
        </w:rPr>
      </w:pPr>
      <w:r>
        <w:rPr>
          <w:rFonts w:ascii="楷体" w:hAnsi="楷体" w:eastAsia="楷体"/>
          <w:sz w:val="24"/>
          <w:szCs w:val="24"/>
        </w:rPr>
        <w:t>先设定样本量初始值</w:t>
      </w:r>
      <w:r>
        <w:rPr>
          <w:rFonts w:ascii="楷体" w:hAnsi="楷体" w:eastAsia="楷体"/>
          <w:sz w:val="24"/>
          <w:szCs w:val="24"/>
        </w:rPr>
        <w:object>
          <v:shape id="_x0000_i1032" o:spt="75" type="#_x0000_t75" style="height:10.5pt;width:10.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ascii="楷体" w:hAnsi="楷体" w:eastAsia="楷体"/>
          <w:sz w:val="24"/>
          <w:szCs w:val="24"/>
        </w:rPr>
        <w:t>，然后迭代样本量直到所得的检验效能满足条件为止，最终得到的</w:t>
      </w:r>
      <w:r>
        <w:rPr>
          <w:rFonts w:ascii="楷体" w:hAnsi="楷体" w:eastAsia="楷体"/>
          <w:sz w:val="24"/>
          <w:szCs w:val="24"/>
        </w:rPr>
        <w:object>
          <v:shape id="_x0000_i1033" o:spt="75" type="#_x0000_t75" style="height:10.5pt;width:10.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7">
            <o:LockedField>false</o:LockedField>
          </o:OLEObject>
        </w:object>
      </w:r>
      <w:r>
        <w:rPr>
          <w:rFonts w:ascii="楷体" w:hAnsi="楷体" w:eastAsia="楷体"/>
          <w:sz w:val="24"/>
          <w:szCs w:val="24"/>
        </w:rPr>
        <w:t>即为研究所需的样本量，检验水准</w:t>
      </w:r>
      <w:r>
        <w:rPr>
          <w:rFonts w:ascii="楷体" w:hAnsi="楷体" w:eastAsia="楷体"/>
          <w:sz w:val="24"/>
          <w:szCs w:val="24"/>
        </w:rPr>
        <w:object>
          <v:shape id="_x0000_i1034" o:spt="75" type="#_x0000_t75" style="height:10.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ascii="楷体" w:hAnsi="楷体" w:eastAsia="楷体"/>
          <w:sz w:val="24"/>
          <w:szCs w:val="24"/>
        </w:rPr>
        <w:t>与检验效能</w:t>
      </w:r>
      <w:r>
        <w:rPr>
          <w:rFonts w:ascii="楷体" w:hAnsi="楷体" w:eastAsia="楷体"/>
          <w:sz w:val="24"/>
          <w:szCs w:val="24"/>
        </w:rPr>
        <w:object>
          <v:shape id="_x0000_i1035" o:spt="75" type="#_x0000_t75" style="height:15pt;width:25.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ascii="楷体" w:hAnsi="楷体" w:eastAsia="楷体"/>
          <w:sz w:val="24"/>
          <w:szCs w:val="24"/>
        </w:rPr>
        <w:t>可根据实际情况设定。</w:t>
      </w:r>
    </w:p>
    <w:p>
      <w:pPr>
        <w:spacing w:line="360" w:lineRule="auto"/>
        <w:ind w:left="630" w:leftChars="300"/>
        <w:rPr>
          <w:rFonts w:eastAsia="楷体"/>
          <w:sz w:val="24"/>
          <w:szCs w:val="24"/>
        </w:rPr>
      </w:pPr>
      <w:r>
        <w:rPr>
          <w:rFonts w:hint="eastAsia" w:eastAsia="楷体"/>
          <w:sz w:val="24"/>
          <w:szCs w:val="24"/>
        </w:rPr>
        <w:t>以上方法计算复杂，经验上可按要分析的自变量个数的</w:t>
      </w:r>
      <w:r>
        <w:rPr>
          <w:rFonts w:eastAsia="楷体"/>
          <w:sz w:val="24"/>
          <w:szCs w:val="24"/>
        </w:rPr>
        <w:t>10</w:t>
      </w:r>
      <w:r>
        <w:rPr>
          <w:rFonts w:hint="eastAsia" w:eastAsia="楷体"/>
          <w:sz w:val="24"/>
          <w:szCs w:val="24"/>
        </w:rPr>
        <w:t>倍选取样本量。需要注意的是此方法估计的只是样本量的最低水平，有可能仍然不够。而分析时迭代不收敛、增删样本参数估计值出现剧烈波动、出现极宽的可信区间等情况也说明存在样本不足的问题。因此样本量越大越好。</w:t>
      </w:r>
    </w:p>
    <w:p>
      <w:pPr>
        <w:spacing w:line="360" w:lineRule="auto"/>
        <w:ind w:left="630" w:leftChars="300"/>
        <w:rPr>
          <w:sz w:val="24"/>
          <w:szCs w:val="24"/>
        </w:rPr>
      </w:pPr>
      <w:r>
        <w:rPr>
          <w:rFonts w:hint="eastAsia" w:eastAsia="楷体"/>
          <w:sz w:val="24"/>
          <w:szCs w:val="24"/>
        </w:rPr>
        <w:t>根据经验，样本量不应低于</w:t>
      </w:r>
      <w:r>
        <w:rPr>
          <w:rFonts w:eastAsia="楷体"/>
          <w:sz w:val="24"/>
          <w:szCs w:val="24"/>
        </w:rPr>
        <w:t>50</w:t>
      </w:r>
      <w:r>
        <w:rPr>
          <w:rFonts w:hint="eastAsia" w:eastAsia="楷体"/>
          <w:sz w:val="24"/>
          <w:szCs w:val="24"/>
        </w:rPr>
        <w:t>个，对于整体样本不足</w:t>
      </w:r>
      <w:r>
        <w:rPr>
          <w:rFonts w:eastAsia="楷体"/>
          <w:sz w:val="24"/>
          <w:szCs w:val="24"/>
        </w:rPr>
        <w:t>50</w:t>
      </w:r>
      <w:r>
        <w:rPr>
          <w:rFonts w:hint="eastAsia" w:eastAsia="楷体"/>
          <w:sz w:val="24"/>
          <w:szCs w:val="24"/>
        </w:rPr>
        <w:t>个的，需要全样本分析。</w:t>
      </w:r>
    </w:p>
    <w:p>
      <w:pPr>
        <w:pStyle w:val="20"/>
        <w:numPr>
          <w:ilvl w:val="0"/>
          <w:numId w:val="3"/>
        </w:numPr>
        <w:spacing w:line="360" w:lineRule="auto"/>
        <w:ind w:firstLineChars="0"/>
        <w:rPr>
          <w:rFonts w:eastAsia="楷体"/>
          <w:sz w:val="24"/>
          <w:szCs w:val="24"/>
        </w:rPr>
      </w:pPr>
      <w:r>
        <w:rPr>
          <w:rFonts w:hint="eastAsia" w:eastAsia="楷体"/>
          <w:sz w:val="24"/>
          <w:szCs w:val="24"/>
        </w:rPr>
        <w:t>我国幅员辽阔，南北气候差异大，建筑形式及功能业态多样，并且各地区风土人情及生活习惯相差甚远，即使是同类公共建筑，不同地区能源消耗类型和用能习惯也不尽相同，这些都直接导致了我国建筑能耗复杂，公共建筑节能工作具有不同于其他国家的特征。另一方面由于各地区经济发展水平、建筑用能数据计量统计工作的开展程度也不一样，因此，在确定调研样本时，需要事先进行初步调研再确定抽样方法及样本量，应兼顾各地区气候特点，建筑功能特点、经济发展水平等。而权重的设置和确定与调研样本的抽样方法及样本量是息息相关的，应根据抽样方法来初步确定权重，且权重应按用于建模的样本数计算。</w:t>
      </w:r>
    </w:p>
    <w:p>
      <w:pPr>
        <w:pStyle w:val="20"/>
        <w:spacing w:line="360" w:lineRule="auto"/>
        <w:ind w:left="900" w:firstLine="0" w:firstLineChars="0"/>
        <w:rPr>
          <w:rFonts w:eastAsia="楷体"/>
          <w:sz w:val="24"/>
          <w:szCs w:val="24"/>
        </w:rPr>
      </w:pPr>
      <w:r>
        <w:rPr>
          <w:rFonts w:hint="eastAsia" w:eastAsia="楷体"/>
          <w:sz w:val="24"/>
          <w:szCs w:val="24"/>
        </w:rPr>
        <w:t>例如要建立适用于全国的五星级酒店建筑能效评价模型，在进行建筑信息和能耗调研时，很难做到对全国的五星级酒店都进行抽样调研，假设按照不同气候区选取不同的典型代表城市来进行抽样调研，各典型城市抽取的样本便具有了不同的代表性，此时，需要对各样本设置权重。若建立适用于某一城市的某一类建筑的能效评价模型，此时建筑数量有限，气候、经济发展水平及建筑功能等各项因素趋于一致，各样本的代表性也相对一致，此时便无需考虑样本权重，样本量满足建模要求即可。</w:t>
      </w:r>
    </w:p>
    <w:p>
      <w:pPr>
        <w:pStyle w:val="20"/>
        <w:numPr>
          <w:ilvl w:val="0"/>
          <w:numId w:val="3"/>
        </w:numPr>
        <w:spacing w:line="360" w:lineRule="auto"/>
        <w:ind w:firstLineChars="0"/>
        <w:rPr>
          <w:rFonts w:eastAsia="楷体"/>
          <w:sz w:val="24"/>
          <w:szCs w:val="24"/>
        </w:rPr>
      </w:pPr>
      <w:r>
        <w:rPr>
          <w:rFonts w:hint="eastAsia" w:eastAsia="楷体"/>
          <w:sz w:val="24"/>
          <w:szCs w:val="24"/>
        </w:rPr>
        <w:t>建筑运行能耗比对评价模型是基于实际运行数据建立的，随着建筑业主节能需求的驱动，节能改造措施及运行水平的提升，社会建筑能效水平会随之提升，因此，数据调查工作和模型建立工作应定期更新，以保持与全社会建筑能耗技术水平发展速度一致。根据国内外经验调研，一般更新周期为</w:t>
      </w:r>
      <w:r>
        <w:rPr>
          <w:rFonts w:eastAsia="楷体"/>
          <w:sz w:val="24"/>
          <w:szCs w:val="24"/>
        </w:rPr>
        <w:t>3-5</w:t>
      </w:r>
      <w:r>
        <w:rPr>
          <w:rFonts w:hint="eastAsia" w:eastAsia="楷体"/>
          <w:sz w:val="24"/>
          <w:szCs w:val="24"/>
        </w:rPr>
        <w:t>年更新一次，最长不超过</w:t>
      </w:r>
      <w:r>
        <w:rPr>
          <w:rFonts w:eastAsia="楷体"/>
          <w:sz w:val="24"/>
          <w:szCs w:val="24"/>
        </w:rPr>
        <w:t>10</w:t>
      </w:r>
      <w:r>
        <w:rPr>
          <w:rFonts w:hint="eastAsia" w:eastAsia="楷体"/>
          <w:sz w:val="24"/>
          <w:szCs w:val="24"/>
        </w:rPr>
        <w:t>年。</w:t>
      </w:r>
    </w:p>
    <w:p>
      <w:pPr>
        <w:spacing w:line="360" w:lineRule="auto"/>
        <w:rPr>
          <w:sz w:val="24"/>
          <w:szCs w:val="24"/>
        </w:rPr>
      </w:pPr>
      <w:r>
        <w:rPr>
          <w:sz w:val="24"/>
          <w:szCs w:val="24"/>
        </w:rPr>
        <w:t xml:space="preserve">5.1.2 </w:t>
      </w:r>
      <w:r>
        <w:rPr>
          <w:rFonts w:hint="eastAsia"/>
          <w:sz w:val="24"/>
          <w:szCs w:val="24"/>
        </w:rPr>
        <w:t>总能耗比对评价流程可采用以下步骤：</w:t>
      </w:r>
    </w:p>
    <w:p>
      <w:pPr>
        <w:pStyle w:val="20"/>
        <w:numPr>
          <w:ilvl w:val="0"/>
          <w:numId w:val="4"/>
        </w:numPr>
        <w:spacing w:line="360" w:lineRule="auto"/>
        <w:ind w:firstLineChars="0"/>
        <w:rPr>
          <w:sz w:val="24"/>
          <w:szCs w:val="24"/>
        </w:rPr>
      </w:pPr>
      <w:r>
        <w:rPr>
          <w:rFonts w:hint="eastAsia"/>
          <w:sz w:val="24"/>
          <w:szCs w:val="24"/>
        </w:rPr>
        <w:t>开展数据调研，每类建筑样本数量应满足</w:t>
      </w:r>
      <w:r>
        <w:rPr>
          <w:sz w:val="24"/>
          <w:szCs w:val="24"/>
        </w:rPr>
        <w:t>5.1.1</w:t>
      </w:r>
      <w:r>
        <w:rPr>
          <w:rFonts w:hint="eastAsia"/>
          <w:sz w:val="24"/>
          <w:szCs w:val="24"/>
        </w:rPr>
        <w:t>条对样本量的要求。</w:t>
      </w:r>
    </w:p>
    <w:p>
      <w:pPr>
        <w:pStyle w:val="20"/>
        <w:numPr>
          <w:ilvl w:val="0"/>
          <w:numId w:val="4"/>
        </w:numPr>
        <w:spacing w:line="360" w:lineRule="auto"/>
        <w:ind w:firstLineChars="0"/>
        <w:rPr>
          <w:sz w:val="24"/>
          <w:szCs w:val="24"/>
        </w:rPr>
      </w:pPr>
      <w:r>
        <w:rPr>
          <w:rFonts w:hint="eastAsia"/>
          <w:sz w:val="24"/>
          <w:szCs w:val="24"/>
        </w:rPr>
        <w:t>采用不同数据源对调研数据进行校核，确认存疑数据，确保样本数据的准确性。</w:t>
      </w:r>
    </w:p>
    <w:p>
      <w:pPr>
        <w:pStyle w:val="20"/>
        <w:numPr>
          <w:ilvl w:val="0"/>
          <w:numId w:val="4"/>
        </w:numPr>
        <w:spacing w:line="360" w:lineRule="auto"/>
        <w:ind w:firstLineChars="0"/>
        <w:rPr>
          <w:sz w:val="24"/>
          <w:szCs w:val="24"/>
        </w:rPr>
      </w:pPr>
      <w:r>
        <w:rPr>
          <w:rFonts w:hint="eastAsia"/>
          <w:sz w:val="24"/>
          <w:szCs w:val="24"/>
        </w:rPr>
        <w:t>将</w:t>
      </w:r>
      <w:bookmarkStart w:id="12" w:name="_Hlk24030133"/>
      <w:r>
        <w:rPr>
          <w:rFonts w:hint="eastAsia"/>
          <w:sz w:val="24"/>
          <w:szCs w:val="24"/>
        </w:rPr>
        <w:t>不同类别能源</w:t>
      </w:r>
      <w:bookmarkEnd w:id="12"/>
      <w:r>
        <w:rPr>
          <w:rFonts w:hint="eastAsia"/>
          <w:sz w:val="24"/>
          <w:szCs w:val="24"/>
        </w:rPr>
        <w:t>形式统一折算到一次能源。</w:t>
      </w:r>
    </w:p>
    <w:p>
      <w:pPr>
        <w:pStyle w:val="20"/>
        <w:numPr>
          <w:ilvl w:val="0"/>
          <w:numId w:val="4"/>
        </w:numPr>
        <w:spacing w:line="360" w:lineRule="auto"/>
        <w:ind w:firstLineChars="0"/>
        <w:rPr>
          <w:sz w:val="24"/>
          <w:szCs w:val="24"/>
        </w:rPr>
      </w:pPr>
      <w:r>
        <w:rPr>
          <w:rFonts w:hint="eastAsia"/>
          <w:sz w:val="24"/>
          <w:szCs w:val="24"/>
        </w:rPr>
        <w:t>对建筑总能耗的影响因素进行分析，应考虑建筑能耗影响因素的多参数耦合及非线性关系。</w:t>
      </w:r>
    </w:p>
    <w:p>
      <w:pPr>
        <w:pStyle w:val="20"/>
        <w:numPr>
          <w:ilvl w:val="0"/>
          <w:numId w:val="4"/>
        </w:numPr>
        <w:spacing w:line="360" w:lineRule="auto"/>
        <w:ind w:firstLineChars="0"/>
        <w:rPr>
          <w:sz w:val="24"/>
          <w:szCs w:val="24"/>
        </w:rPr>
      </w:pPr>
      <w:r>
        <w:rPr>
          <w:rFonts w:hint="eastAsia"/>
          <w:sz w:val="24"/>
          <w:szCs w:val="24"/>
        </w:rPr>
        <w:t>对样本数据进行统计分析，使用影响因素计算得到基准能耗。</w:t>
      </w:r>
    </w:p>
    <w:p>
      <w:pPr>
        <w:pStyle w:val="20"/>
        <w:numPr>
          <w:ilvl w:val="0"/>
          <w:numId w:val="4"/>
        </w:numPr>
        <w:spacing w:line="360" w:lineRule="auto"/>
        <w:ind w:firstLineChars="0"/>
        <w:rPr>
          <w:sz w:val="24"/>
          <w:szCs w:val="24"/>
        </w:rPr>
      </w:pPr>
      <w:r>
        <w:rPr>
          <w:rFonts w:hint="eastAsia"/>
          <w:sz w:val="24"/>
          <w:szCs w:val="24"/>
        </w:rPr>
        <w:t>计算各样本实际运行能耗与基准能耗的差异性指标。</w:t>
      </w:r>
    </w:p>
    <w:p>
      <w:pPr>
        <w:pStyle w:val="20"/>
        <w:numPr>
          <w:ilvl w:val="0"/>
          <w:numId w:val="4"/>
        </w:numPr>
        <w:spacing w:line="360" w:lineRule="auto"/>
        <w:ind w:firstLineChars="0"/>
        <w:rPr>
          <w:sz w:val="24"/>
          <w:szCs w:val="24"/>
        </w:rPr>
      </w:pPr>
      <w:r>
        <w:rPr>
          <w:rFonts w:hint="eastAsia"/>
          <w:sz w:val="24"/>
          <w:szCs w:val="24"/>
        </w:rPr>
        <w:t>根据应用需求确定评价结果展现方式，如分级、评分或星级等。</w:t>
      </w:r>
    </w:p>
    <w:p>
      <w:pPr>
        <w:pStyle w:val="20"/>
        <w:numPr>
          <w:ilvl w:val="0"/>
          <w:numId w:val="4"/>
        </w:numPr>
        <w:spacing w:line="360" w:lineRule="auto"/>
        <w:ind w:firstLineChars="0"/>
        <w:rPr>
          <w:sz w:val="24"/>
          <w:szCs w:val="24"/>
        </w:rPr>
      </w:pPr>
      <w:r>
        <w:rPr>
          <w:rFonts w:hint="eastAsia"/>
          <w:sz w:val="24"/>
          <w:szCs w:val="24"/>
        </w:rPr>
        <w:t>对各样本差异性指标进行排序，根据指标值分布情况确定评价阈。</w:t>
      </w:r>
    </w:p>
    <w:p>
      <w:pPr>
        <w:pStyle w:val="20"/>
        <w:numPr>
          <w:ilvl w:val="0"/>
          <w:numId w:val="4"/>
        </w:numPr>
        <w:spacing w:line="360" w:lineRule="auto"/>
        <w:ind w:firstLineChars="0"/>
        <w:rPr>
          <w:sz w:val="24"/>
          <w:szCs w:val="24"/>
        </w:rPr>
      </w:pPr>
      <w:r>
        <w:rPr>
          <w:rFonts w:hint="eastAsia"/>
          <w:sz w:val="24"/>
          <w:szCs w:val="24"/>
        </w:rPr>
        <w:t>计算被评价建筑评价指标，查询相应评分表或分级表对应值，确定建筑能耗水平的评分或等级。</w:t>
      </w:r>
    </w:p>
    <w:p>
      <w:pPr>
        <w:pStyle w:val="20"/>
        <w:spacing w:line="360" w:lineRule="auto"/>
        <w:ind w:left="420" w:firstLine="0" w:firstLineChars="0"/>
        <w:rPr>
          <w:rFonts w:eastAsia="楷体"/>
          <w:b/>
          <w:bCs/>
          <w:sz w:val="24"/>
          <w:szCs w:val="24"/>
        </w:rPr>
      </w:pPr>
      <w:r>
        <w:rPr>
          <w:rFonts w:hint="eastAsia" w:eastAsia="楷体"/>
          <w:b/>
          <w:bCs/>
          <w:sz w:val="24"/>
          <w:szCs w:val="24"/>
        </w:rPr>
        <w:t>【条文说明】</w:t>
      </w:r>
      <w:r>
        <w:rPr>
          <w:rFonts w:hint="eastAsia" w:eastAsia="楷体"/>
          <w:sz w:val="24"/>
          <w:szCs w:val="24"/>
        </w:rPr>
        <w:t>总能耗比对评价流程的步骤。</w:t>
      </w:r>
    </w:p>
    <w:p>
      <w:pPr>
        <w:pStyle w:val="20"/>
        <w:numPr>
          <w:ilvl w:val="0"/>
          <w:numId w:val="5"/>
        </w:numPr>
        <w:spacing w:line="360" w:lineRule="auto"/>
        <w:ind w:firstLineChars="0"/>
        <w:rPr>
          <w:rFonts w:eastAsia="楷体"/>
          <w:sz w:val="24"/>
          <w:szCs w:val="24"/>
        </w:rPr>
      </w:pPr>
      <w:r>
        <w:rPr>
          <w:rFonts w:hint="eastAsia" w:eastAsia="楷体"/>
          <w:sz w:val="24"/>
          <w:szCs w:val="24"/>
        </w:rPr>
        <w:t>能耗数据调研内容宜包括：</w:t>
      </w:r>
    </w:p>
    <w:p>
      <w:pPr>
        <w:pStyle w:val="20"/>
        <w:numPr>
          <w:ilvl w:val="0"/>
          <w:numId w:val="6"/>
        </w:numPr>
        <w:spacing w:line="360" w:lineRule="auto"/>
        <w:ind w:firstLineChars="0"/>
        <w:rPr>
          <w:rFonts w:eastAsia="楷体"/>
          <w:sz w:val="24"/>
          <w:szCs w:val="24"/>
        </w:rPr>
      </w:pPr>
      <w:r>
        <w:rPr>
          <w:rFonts w:hint="eastAsia" w:eastAsia="楷体"/>
          <w:sz w:val="24"/>
          <w:szCs w:val="24"/>
        </w:rPr>
        <w:t>建筑边界内满一个日历年且不包含室外景观照明及交通工具用能的各类能源消耗数据。</w:t>
      </w:r>
    </w:p>
    <w:p>
      <w:pPr>
        <w:pStyle w:val="20"/>
        <w:numPr>
          <w:ilvl w:val="0"/>
          <w:numId w:val="6"/>
        </w:numPr>
        <w:spacing w:line="360" w:lineRule="auto"/>
        <w:ind w:firstLineChars="0"/>
        <w:rPr>
          <w:rFonts w:eastAsia="楷体"/>
          <w:sz w:val="24"/>
          <w:szCs w:val="24"/>
        </w:rPr>
      </w:pPr>
      <w:r>
        <w:rPr>
          <w:rFonts w:hint="eastAsia" w:eastAsia="楷体"/>
          <w:sz w:val="24"/>
          <w:szCs w:val="24"/>
        </w:rPr>
        <w:t>建筑基本信息。</w:t>
      </w:r>
    </w:p>
    <w:p>
      <w:pPr>
        <w:pStyle w:val="20"/>
        <w:numPr>
          <w:ilvl w:val="0"/>
          <w:numId w:val="6"/>
        </w:numPr>
        <w:spacing w:line="360" w:lineRule="auto"/>
        <w:ind w:firstLineChars="0"/>
        <w:rPr>
          <w:rFonts w:eastAsia="楷体"/>
          <w:sz w:val="24"/>
          <w:szCs w:val="24"/>
        </w:rPr>
      </w:pPr>
      <w:r>
        <w:rPr>
          <w:rFonts w:hint="eastAsia" w:eastAsia="楷体"/>
          <w:sz w:val="24"/>
          <w:szCs w:val="24"/>
        </w:rPr>
        <w:t>建筑功能分区。</w:t>
      </w:r>
    </w:p>
    <w:p>
      <w:pPr>
        <w:pStyle w:val="20"/>
        <w:numPr>
          <w:ilvl w:val="0"/>
          <w:numId w:val="6"/>
        </w:numPr>
        <w:spacing w:line="360" w:lineRule="auto"/>
        <w:ind w:firstLineChars="0"/>
        <w:rPr>
          <w:rFonts w:eastAsia="楷体"/>
          <w:sz w:val="24"/>
          <w:szCs w:val="24"/>
        </w:rPr>
      </w:pPr>
      <w:r>
        <w:rPr>
          <w:rFonts w:hint="eastAsia" w:eastAsia="楷体"/>
          <w:sz w:val="24"/>
          <w:szCs w:val="24"/>
        </w:rPr>
        <w:t>建筑服务量。</w:t>
      </w:r>
    </w:p>
    <w:p>
      <w:pPr>
        <w:pStyle w:val="20"/>
        <w:numPr>
          <w:ilvl w:val="0"/>
          <w:numId w:val="6"/>
        </w:numPr>
        <w:spacing w:line="360" w:lineRule="auto"/>
        <w:ind w:firstLineChars="0"/>
        <w:rPr>
          <w:rFonts w:eastAsia="楷体"/>
          <w:sz w:val="24"/>
          <w:szCs w:val="24"/>
        </w:rPr>
      </w:pPr>
      <w:r>
        <w:rPr>
          <w:rFonts w:hint="eastAsia" w:eastAsia="楷体"/>
          <w:sz w:val="24"/>
          <w:szCs w:val="24"/>
        </w:rPr>
        <w:t>建筑运行信息。</w:t>
      </w:r>
    </w:p>
    <w:p>
      <w:pPr>
        <w:pStyle w:val="20"/>
        <w:numPr>
          <w:ilvl w:val="0"/>
          <w:numId w:val="5"/>
        </w:numPr>
        <w:spacing w:line="360" w:lineRule="auto"/>
        <w:ind w:firstLineChars="0"/>
        <w:rPr>
          <w:rFonts w:eastAsia="楷体"/>
          <w:sz w:val="24"/>
          <w:szCs w:val="24"/>
        </w:rPr>
      </w:pPr>
      <w:r>
        <w:rPr>
          <w:rFonts w:hint="eastAsia" w:eastAsia="楷体"/>
          <w:sz w:val="24"/>
          <w:szCs w:val="24"/>
        </w:rPr>
        <w:t>目前不同单位对建筑运行数据管理差异性较大，调研数据质量参差不齐，在建立能耗比对评价基准模型前需要对数据质量进行校核：</w:t>
      </w:r>
    </w:p>
    <w:p>
      <w:pPr>
        <w:spacing w:line="360" w:lineRule="auto"/>
        <w:ind w:left="840" w:leftChars="400"/>
        <w:rPr>
          <w:rFonts w:eastAsia="楷体"/>
          <w:sz w:val="24"/>
          <w:szCs w:val="24"/>
        </w:rPr>
      </w:pPr>
      <w:r>
        <w:rPr>
          <w:rFonts w:eastAsia="楷体"/>
          <w:sz w:val="24"/>
          <w:szCs w:val="24"/>
        </w:rPr>
        <w:t>1)</w:t>
      </w:r>
      <w:r>
        <w:rPr>
          <w:rFonts w:eastAsia="楷体"/>
          <w:sz w:val="24"/>
          <w:szCs w:val="24"/>
        </w:rPr>
        <w:tab/>
      </w:r>
      <w:r>
        <w:rPr>
          <w:rFonts w:hint="eastAsia" w:eastAsia="楷体"/>
          <w:sz w:val="24"/>
          <w:szCs w:val="24"/>
        </w:rPr>
        <w:t>数据源宜包含：能源账单、现场抄表数据、运行记录、建筑图纸等。</w:t>
      </w:r>
    </w:p>
    <w:p>
      <w:pPr>
        <w:spacing w:line="360" w:lineRule="auto"/>
        <w:ind w:left="840" w:leftChars="400"/>
        <w:rPr>
          <w:sz w:val="24"/>
          <w:szCs w:val="24"/>
        </w:rPr>
      </w:pPr>
      <w:r>
        <w:rPr>
          <w:rFonts w:eastAsia="楷体"/>
          <w:sz w:val="24"/>
          <w:szCs w:val="24"/>
        </w:rPr>
        <w:t>2)</w:t>
      </w:r>
      <w:r>
        <w:rPr>
          <w:rFonts w:eastAsia="楷体"/>
          <w:sz w:val="24"/>
          <w:szCs w:val="24"/>
        </w:rPr>
        <w:tab/>
      </w:r>
      <w:r>
        <w:rPr>
          <w:rFonts w:hint="eastAsia" w:eastAsia="楷体"/>
          <w:sz w:val="24"/>
          <w:szCs w:val="24"/>
        </w:rPr>
        <w:t>数据核准方法宜包括：电话访问、现场核查，必要时应进行现场检测。</w:t>
      </w:r>
    </w:p>
    <w:p>
      <w:pPr>
        <w:pStyle w:val="20"/>
        <w:numPr>
          <w:ilvl w:val="0"/>
          <w:numId w:val="5"/>
        </w:numPr>
        <w:ind w:firstLineChars="0"/>
        <w:rPr>
          <w:rFonts w:eastAsia="楷体"/>
          <w:sz w:val="24"/>
          <w:szCs w:val="24"/>
        </w:rPr>
      </w:pPr>
      <w:r>
        <w:rPr>
          <w:rFonts w:hint="eastAsia" w:eastAsia="楷体"/>
          <w:sz w:val="24"/>
          <w:szCs w:val="24"/>
        </w:rPr>
        <w:t>不同类别能源折算到一次能源方法：</w:t>
      </w:r>
    </w:p>
    <w:p>
      <w:pPr>
        <w:jc w:val="center"/>
        <w:rPr>
          <w:rFonts w:eastAsia="楷体"/>
          <w:sz w:val="24"/>
          <w:szCs w:val="24"/>
        </w:rPr>
      </w:pPr>
      <w:r>
        <w:rPr>
          <w:rFonts w:eastAsia="楷体"/>
          <w:sz w:val="24"/>
          <w:szCs w:val="24"/>
        </w:rPr>
        <w:object>
          <v:shape id="_x0000_i1036" o:spt="75" type="#_x0000_t75" style="height:22.5pt;width:72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p>
    <w:p>
      <w:pPr>
        <w:spacing w:line="360" w:lineRule="auto"/>
        <w:ind w:firstLine="480" w:firstLineChars="200"/>
        <w:rPr>
          <w:rFonts w:eastAsia="楷体"/>
          <w:sz w:val="24"/>
          <w:szCs w:val="24"/>
        </w:rPr>
      </w:pPr>
      <w:r>
        <w:rPr>
          <w:rFonts w:eastAsia="楷体"/>
          <w:sz w:val="24"/>
          <w:szCs w:val="24"/>
        </w:rPr>
        <w:object>
          <v:shape id="_x0000_i1037"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hint="eastAsia" w:eastAsia="楷体"/>
          <w:sz w:val="24"/>
          <w:szCs w:val="24"/>
        </w:rPr>
        <w:t>为某类能源消耗量，</w:t>
      </w:r>
      <w:r>
        <w:rPr>
          <w:rFonts w:eastAsia="楷体"/>
          <w:sz w:val="24"/>
          <w:szCs w:val="24"/>
        </w:rPr>
        <w:object>
          <v:shape id="_x0000_i1038" o:spt="75" type="#_x0000_t75" style="height:18.75pt;width:12.7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hint="eastAsia" w:eastAsia="楷体"/>
          <w:sz w:val="24"/>
          <w:szCs w:val="24"/>
        </w:rPr>
        <w:t>为该类能源对应折算一次能源系数。折算系数参考</w:t>
      </w:r>
      <w:r>
        <w:rPr>
          <w:rFonts w:eastAsia="楷体"/>
          <w:sz w:val="24"/>
          <w:szCs w:val="24"/>
        </w:rPr>
        <w:t>GB/T 2589-2008</w:t>
      </w:r>
      <w:r>
        <w:rPr>
          <w:rFonts w:hint="eastAsia" w:eastAsia="楷体"/>
          <w:sz w:val="24"/>
          <w:szCs w:val="24"/>
        </w:rPr>
        <w:t>《综合能耗计算通则》。</w:t>
      </w:r>
    </w:p>
    <w:p>
      <w:pPr>
        <w:pStyle w:val="20"/>
        <w:numPr>
          <w:ilvl w:val="0"/>
          <w:numId w:val="5"/>
        </w:numPr>
        <w:spacing w:line="360" w:lineRule="auto"/>
        <w:ind w:firstLineChars="0"/>
        <w:rPr>
          <w:sz w:val="24"/>
          <w:szCs w:val="24"/>
        </w:rPr>
      </w:pPr>
      <w:r>
        <w:rPr>
          <w:rFonts w:hint="eastAsia" w:eastAsia="楷体"/>
          <w:sz w:val="24"/>
          <w:szCs w:val="24"/>
        </w:rPr>
        <w:t>建筑能耗影响因素对能耗的影响不一定是线性关系。此外，由于自变量之间的相互影响，进行单个变量与因变量的相关性分析可能发现不相关，但是对某些变量进行数学运算后，即可能通过各变量间的交互作用而得出与因变量间存在更强相关关系的综合变量。该综合变量作为自变量参与建模分析时，得出的结果与实际物理意义更相符。</w:t>
      </w:r>
    </w:p>
    <w:p>
      <w:pPr>
        <w:pStyle w:val="20"/>
        <w:numPr>
          <w:ilvl w:val="0"/>
          <w:numId w:val="7"/>
        </w:numPr>
        <w:spacing w:line="360" w:lineRule="auto"/>
        <w:ind w:firstLineChars="0"/>
        <w:rPr>
          <w:rFonts w:eastAsia="楷体"/>
          <w:sz w:val="24"/>
          <w:szCs w:val="24"/>
        </w:rPr>
      </w:pPr>
      <w:r>
        <w:rPr>
          <w:rFonts w:hint="eastAsia" w:eastAsia="楷体"/>
          <w:sz w:val="24"/>
          <w:szCs w:val="24"/>
        </w:rPr>
        <w:t>评价阈是指评价结果采用分级或评分形式时，每一级或每个分数对应的评价指标的上、下限区间。</w:t>
      </w:r>
    </w:p>
    <w:p>
      <w:pPr>
        <w:pStyle w:val="3"/>
        <w:spacing w:before="240" w:after="120" w:line="360" w:lineRule="auto"/>
        <w:jc w:val="center"/>
        <w:rPr>
          <w:rFonts w:ascii="宋体" w:hAnsi="宋体" w:eastAsia="宋体"/>
          <w:b w:val="0"/>
          <w:bCs w:val="0"/>
          <w:sz w:val="24"/>
          <w:szCs w:val="24"/>
        </w:rPr>
      </w:pPr>
      <w:bookmarkStart w:id="13" w:name="_Toc28354602"/>
      <w:bookmarkStart w:id="14" w:name="_Hlk24053559"/>
      <w:r>
        <w:rPr>
          <w:rFonts w:ascii="宋体" w:hAnsi="宋体" w:eastAsia="宋体"/>
          <w:b w:val="0"/>
          <w:bCs w:val="0"/>
          <w:sz w:val="24"/>
          <w:szCs w:val="24"/>
        </w:rPr>
        <w:t>5.2拆分分项能耗比对评价方法</w:t>
      </w:r>
      <w:bookmarkEnd w:id="13"/>
    </w:p>
    <w:bookmarkEnd w:id="14"/>
    <w:p>
      <w:pPr>
        <w:spacing w:line="360" w:lineRule="auto"/>
        <w:rPr>
          <w:sz w:val="24"/>
          <w:szCs w:val="24"/>
        </w:rPr>
      </w:pPr>
      <w:bookmarkStart w:id="15" w:name="_Hlk24053569"/>
      <w:r>
        <w:rPr>
          <w:sz w:val="24"/>
          <w:szCs w:val="24"/>
        </w:rPr>
        <w:t xml:space="preserve">5.2.1 </w:t>
      </w:r>
      <w:r>
        <w:rPr>
          <w:rFonts w:hint="eastAsia"/>
          <w:sz w:val="24"/>
          <w:szCs w:val="24"/>
        </w:rPr>
        <w:t>拆分分项能耗比对评价方法的确定应符合下列规定：</w:t>
      </w:r>
      <w:r>
        <w:rPr>
          <w:sz w:val="24"/>
          <w:szCs w:val="24"/>
        </w:rPr>
        <w:t xml:space="preserve"> </w:t>
      </w:r>
    </w:p>
    <w:bookmarkEnd w:id="15"/>
    <w:p>
      <w:pPr>
        <w:pStyle w:val="20"/>
        <w:numPr>
          <w:ilvl w:val="1"/>
          <w:numId w:val="8"/>
        </w:numPr>
        <w:spacing w:line="360" w:lineRule="auto"/>
        <w:ind w:firstLineChars="0"/>
        <w:rPr>
          <w:sz w:val="24"/>
          <w:szCs w:val="24"/>
        </w:rPr>
      </w:pPr>
      <w:r>
        <w:rPr>
          <w:rFonts w:hint="eastAsia"/>
          <w:sz w:val="24"/>
          <w:szCs w:val="24"/>
        </w:rPr>
        <w:t>拆分分项能耗比对评价应按建筑冷、热源驱动能源类型进一步分类评价。</w:t>
      </w:r>
    </w:p>
    <w:p>
      <w:pPr>
        <w:pStyle w:val="20"/>
        <w:numPr>
          <w:ilvl w:val="1"/>
          <w:numId w:val="8"/>
        </w:numPr>
        <w:spacing w:line="360" w:lineRule="auto"/>
        <w:ind w:firstLineChars="0"/>
        <w:rPr>
          <w:sz w:val="24"/>
          <w:szCs w:val="24"/>
        </w:rPr>
      </w:pPr>
      <w:r>
        <w:rPr>
          <w:rFonts w:hint="eastAsia"/>
          <w:sz w:val="24"/>
          <w:szCs w:val="24"/>
        </w:rPr>
        <w:t>拆分分项能耗比对评价应分别对电力、天然气、外购热力进行评价。</w:t>
      </w:r>
    </w:p>
    <w:p>
      <w:pPr>
        <w:pStyle w:val="20"/>
        <w:numPr>
          <w:ilvl w:val="1"/>
          <w:numId w:val="8"/>
        </w:numPr>
        <w:spacing w:line="360" w:lineRule="auto"/>
        <w:ind w:firstLineChars="0"/>
        <w:rPr>
          <w:sz w:val="24"/>
          <w:szCs w:val="24"/>
        </w:rPr>
      </w:pPr>
      <w:r>
        <w:rPr>
          <w:rFonts w:hint="eastAsia"/>
          <w:sz w:val="24"/>
          <w:szCs w:val="24"/>
        </w:rPr>
        <w:t>拆分分项能耗比对评价应基于逐月能耗数据，且不少于连续</w:t>
      </w:r>
      <w:r>
        <w:rPr>
          <w:sz w:val="24"/>
          <w:szCs w:val="24"/>
        </w:rPr>
        <w:t>12</w:t>
      </w:r>
      <w:r>
        <w:rPr>
          <w:rFonts w:hint="eastAsia"/>
          <w:sz w:val="24"/>
          <w:szCs w:val="24"/>
        </w:rPr>
        <w:t>个月。</w:t>
      </w:r>
    </w:p>
    <w:p>
      <w:pPr>
        <w:pStyle w:val="20"/>
        <w:numPr>
          <w:ilvl w:val="1"/>
          <w:numId w:val="8"/>
        </w:numPr>
        <w:spacing w:line="360" w:lineRule="auto"/>
        <w:ind w:firstLineChars="0"/>
        <w:rPr>
          <w:sz w:val="24"/>
          <w:szCs w:val="24"/>
        </w:rPr>
      </w:pPr>
      <w:r>
        <w:rPr>
          <w:rFonts w:hint="eastAsia"/>
          <w:sz w:val="24"/>
          <w:szCs w:val="24"/>
        </w:rPr>
        <w:t>拆分分项能耗比对评价应根据每月天数不同折算到日均能耗进行评价。</w:t>
      </w:r>
    </w:p>
    <w:p>
      <w:pPr>
        <w:pStyle w:val="20"/>
        <w:numPr>
          <w:ilvl w:val="1"/>
          <w:numId w:val="8"/>
        </w:numPr>
        <w:spacing w:line="360" w:lineRule="auto"/>
        <w:ind w:firstLineChars="0"/>
        <w:rPr>
          <w:sz w:val="24"/>
          <w:szCs w:val="24"/>
        </w:rPr>
      </w:pPr>
      <w:r>
        <w:rPr>
          <w:rFonts w:hint="eastAsia"/>
          <w:sz w:val="24"/>
          <w:szCs w:val="24"/>
        </w:rPr>
        <w:t>拆分分项能耗比对评价结果应对建筑节能改造方向具有指导性。</w:t>
      </w:r>
    </w:p>
    <w:p>
      <w:pPr>
        <w:pStyle w:val="20"/>
        <w:numPr>
          <w:ilvl w:val="1"/>
          <w:numId w:val="8"/>
        </w:numPr>
        <w:spacing w:line="360" w:lineRule="auto"/>
        <w:ind w:firstLineChars="0"/>
        <w:rPr>
          <w:sz w:val="24"/>
          <w:szCs w:val="24"/>
        </w:rPr>
      </w:pPr>
      <w:r>
        <w:rPr>
          <w:rFonts w:hint="eastAsia"/>
          <w:sz w:val="24"/>
          <w:szCs w:val="24"/>
        </w:rPr>
        <w:t>确定建筑基荷能耗基准值时，应对建筑提供的服务质量与数量进行归一化处理。</w:t>
      </w:r>
    </w:p>
    <w:p>
      <w:pPr>
        <w:pStyle w:val="20"/>
        <w:numPr>
          <w:ilvl w:val="1"/>
          <w:numId w:val="8"/>
        </w:numPr>
        <w:spacing w:line="360" w:lineRule="auto"/>
        <w:ind w:firstLineChars="0"/>
        <w:rPr>
          <w:sz w:val="24"/>
          <w:szCs w:val="24"/>
        </w:rPr>
      </w:pPr>
      <w:r>
        <w:rPr>
          <w:rFonts w:hint="eastAsia"/>
          <w:sz w:val="24"/>
          <w:szCs w:val="24"/>
        </w:rPr>
        <w:t>确定建筑基荷能耗基准值时，应对建筑面积、层高等几何参数进行归一化处理。</w:t>
      </w:r>
    </w:p>
    <w:p>
      <w:pPr>
        <w:pStyle w:val="20"/>
        <w:numPr>
          <w:ilvl w:val="1"/>
          <w:numId w:val="8"/>
        </w:numPr>
        <w:spacing w:line="360" w:lineRule="auto"/>
        <w:ind w:firstLineChars="0"/>
        <w:rPr>
          <w:sz w:val="24"/>
          <w:szCs w:val="24"/>
        </w:rPr>
      </w:pPr>
      <w:r>
        <w:rPr>
          <w:rFonts w:hint="eastAsia"/>
          <w:sz w:val="24"/>
          <w:szCs w:val="24"/>
        </w:rPr>
        <w:t>确定建筑基荷能耗基准值时，不应考虑围护结构及系统形式、设备配置等因素的影响。</w:t>
      </w:r>
    </w:p>
    <w:p>
      <w:pPr>
        <w:pStyle w:val="20"/>
        <w:numPr>
          <w:ilvl w:val="1"/>
          <w:numId w:val="8"/>
        </w:numPr>
        <w:spacing w:line="360" w:lineRule="auto"/>
        <w:ind w:firstLineChars="0"/>
        <w:rPr>
          <w:sz w:val="24"/>
          <w:szCs w:val="24"/>
        </w:rPr>
      </w:pPr>
      <w:r>
        <w:rPr>
          <w:rFonts w:hint="eastAsia"/>
          <w:sz w:val="24"/>
          <w:szCs w:val="24"/>
        </w:rPr>
        <w:t>建筑基荷能耗的评价应基于建筑实际运行数据进行分析。</w:t>
      </w:r>
    </w:p>
    <w:p>
      <w:pPr>
        <w:pStyle w:val="20"/>
        <w:numPr>
          <w:ilvl w:val="1"/>
          <w:numId w:val="8"/>
        </w:numPr>
        <w:spacing w:line="360" w:lineRule="auto"/>
        <w:ind w:firstLineChars="0"/>
        <w:rPr>
          <w:sz w:val="24"/>
          <w:szCs w:val="24"/>
        </w:rPr>
      </w:pPr>
      <w:r>
        <w:rPr>
          <w:rFonts w:hint="eastAsia"/>
          <w:sz w:val="24"/>
          <w:szCs w:val="24"/>
        </w:rPr>
        <w:t>同类建筑样本数量应不少于</w:t>
      </w:r>
      <w:r>
        <w:rPr>
          <w:sz w:val="24"/>
          <w:szCs w:val="24"/>
        </w:rPr>
        <w:t>50</w:t>
      </w:r>
      <w:r>
        <w:rPr>
          <w:rFonts w:hint="eastAsia"/>
          <w:sz w:val="24"/>
          <w:szCs w:val="24"/>
        </w:rPr>
        <w:t>栋或采用全样本统计分析。</w:t>
      </w:r>
    </w:p>
    <w:p>
      <w:pPr>
        <w:pStyle w:val="20"/>
        <w:numPr>
          <w:ilvl w:val="1"/>
          <w:numId w:val="8"/>
        </w:numPr>
        <w:spacing w:line="360" w:lineRule="auto"/>
        <w:ind w:firstLineChars="0"/>
        <w:rPr>
          <w:sz w:val="24"/>
          <w:szCs w:val="24"/>
        </w:rPr>
      </w:pPr>
      <w:r>
        <w:rPr>
          <w:rFonts w:hint="eastAsia"/>
          <w:sz w:val="24"/>
          <w:szCs w:val="24"/>
        </w:rPr>
        <w:t>评价指标值应定期进行更新，更新周期宜为</w:t>
      </w:r>
      <w:r>
        <w:rPr>
          <w:sz w:val="24"/>
          <w:szCs w:val="24"/>
        </w:rPr>
        <w:t>3~10</w:t>
      </w:r>
      <w:r>
        <w:rPr>
          <w:rFonts w:hint="eastAsia"/>
          <w:sz w:val="24"/>
          <w:szCs w:val="24"/>
        </w:rPr>
        <w:t>年。</w:t>
      </w:r>
    </w:p>
    <w:p>
      <w:pPr>
        <w:spacing w:line="360" w:lineRule="auto"/>
        <w:ind w:firstLine="482" w:firstLineChars="200"/>
        <w:rPr>
          <w:rFonts w:eastAsia="楷体"/>
          <w:b/>
          <w:bCs/>
          <w:sz w:val="24"/>
          <w:szCs w:val="24"/>
        </w:rPr>
      </w:pPr>
      <w:r>
        <w:rPr>
          <w:rFonts w:hint="eastAsia" w:eastAsia="楷体"/>
          <w:b/>
          <w:bCs/>
          <w:sz w:val="24"/>
          <w:szCs w:val="24"/>
        </w:rPr>
        <w:t>【条文说明】</w:t>
      </w:r>
      <w:r>
        <w:rPr>
          <w:rFonts w:hint="eastAsia" w:eastAsia="楷体"/>
          <w:sz w:val="24"/>
          <w:szCs w:val="24"/>
        </w:rPr>
        <w:t>确定拆分分项能耗比对评价方法的原则。</w:t>
      </w:r>
    </w:p>
    <w:p>
      <w:pPr>
        <w:pStyle w:val="20"/>
        <w:numPr>
          <w:ilvl w:val="0"/>
          <w:numId w:val="9"/>
        </w:numPr>
        <w:spacing w:line="360" w:lineRule="auto"/>
        <w:ind w:firstLineChars="0"/>
        <w:rPr>
          <w:sz w:val="24"/>
          <w:szCs w:val="24"/>
        </w:rPr>
      </w:pPr>
      <w:r>
        <w:rPr>
          <w:rFonts w:hint="eastAsia" w:eastAsia="楷体"/>
          <w:sz w:val="24"/>
          <w:szCs w:val="24"/>
        </w:rPr>
        <w:t>对于采用不同冷热源驱动能源类型的建筑，拆分的供暖空调能耗不具可比性，应分类进行比对评价。</w:t>
      </w:r>
    </w:p>
    <w:p>
      <w:pPr>
        <w:pStyle w:val="20"/>
        <w:numPr>
          <w:ilvl w:val="0"/>
          <w:numId w:val="9"/>
        </w:numPr>
        <w:spacing w:line="360" w:lineRule="auto"/>
        <w:ind w:firstLineChars="0"/>
        <w:rPr>
          <w:sz w:val="24"/>
          <w:szCs w:val="24"/>
        </w:rPr>
      </w:pPr>
      <w:r>
        <w:rPr>
          <w:rFonts w:hint="eastAsia" w:eastAsia="楷体"/>
          <w:sz w:val="24"/>
          <w:szCs w:val="24"/>
        </w:rPr>
        <w:t>不同能源的品位不同，热效率也不同，应分类进行比对评价。</w:t>
      </w:r>
    </w:p>
    <w:p>
      <w:pPr>
        <w:pStyle w:val="20"/>
        <w:numPr>
          <w:ilvl w:val="0"/>
          <w:numId w:val="9"/>
        </w:numPr>
        <w:spacing w:line="360" w:lineRule="auto"/>
        <w:ind w:firstLineChars="0"/>
        <w:rPr>
          <w:rFonts w:eastAsia="楷体"/>
          <w:sz w:val="24"/>
          <w:szCs w:val="24"/>
        </w:rPr>
      </w:pPr>
      <w:r>
        <w:rPr>
          <w:rFonts w:hint="eastAsia" w:eastAsia="楷体"/>
          <w:sz w:val="24"/>
          <w:szCs w:val="24"/>
        </w:rPr>
        <w:t>拆分分项能耗是逐月能耗与逐月气象参数均值进行相关分析获得的，由于每个月天数不同，会导致天数多的月份能耗密度偏大，因此应该采用月能耗与当月天数比值作为分析对象。</w:t>
      </w:r>
    </w:p>
    <w:p>
      <w:pPr>
        <w:spacing w:line="360" w:lineRule="auto"/>
        <w:rPr>
          <w:sz w:val="24"/>
          <w:szCs w:val="24"/>
        </w:rPr>
      </w:pPr>
      <w:bookmarkStart w:id="16" w:name="_Hlk24055250"/>
      <w:r>
        <w:rPr>
          <w:sz w:val="24"/>
          <w:szCs w:val="24"/>
        </w:rPr>
        <w:t xml:space="preserve">5.2.2 </w:t>
      </w:r>
      <w:r>
        <w:rPr>
          <w:rFonts w:hint="eastAsia"/>
          <w:sz w:val="24"/>
          <w:szCs w:val="24"/>
        </w:rPr>
        <w:t>拆分分项能耗比对评价流程可采用以下步骤：</w:t>
      </w:r>
    </w:p>
    <w:bookmarkEnd w:id="16"/>
    <w:p>
      <w:pPr>
        <w:pStyle w:val="20"/>
        <w:numPr>
          <w:ilvl w:val="0"/>
          <w:numId w:val="10"/>
        </w:numPr>
        <w:spacing w:line="360" w:lineRule="auto"/>
        <w:ind w:firstLineChars="0"/>
        <w:rPr>
          <w:sz w:val="24"/>
          <w:szCs w:val="24"/>
        </w:rPr>
      </w:pPr>
      <w:r>
        <w:rPr>
          <w:rFonts w:hint="eastAsia"/>
          <w:sz w:val="24"/>
          <w:szCs w:val="24"/>
        </w:rPr>
        <w:t>开展数据调研工作。</w:t>
      </w:r>
    </w:p>
    <w:p>
      <w:pPr>
        <w:pStyle w:val="20"/>
        <w:numPr>
          <w:ilvl w:val="0"/>
          <w:numId w:val="10"/>
        </w:numPr>
        <w:spacing w:line="360" w:lineRule="auto"/>
        <w:ind w:firstLineChars="0"/>
        <w:rPr>
          <w:sz w:val="24"/>
          <w:szCs w:val="24"/>
        </w:rPr>
      </w:pPr>
      <w:r>
        <w:rPr>
          <w:rFonts w:hint="eastAsia"/>
          <w:sz w:val="24"/>
          <w:szCs w:val="24"/>
        </w:rPr>
        <w:t>对调研样本按冷、热源驱动能耗类别进行分类，每类样本数量均应满足</w:t>
      </w:r>
      <w:r>
        <w:rPr>
          <w:sz w:val="24"/>
          <w:szCs w:val="24"/>
        </w:rPr>
        <w:t>5.2.1</w:t>
      </w:r>
      <w:r>
        <w:rPr>
          <w:rFonts w:hint="eastAsia"/>
          <w:sz w:val="24"/>
          <w:szCs w:val="24"/>
        </w:rPr>
        <w:t>条对样本量的要求。</w:t>
      </w:r>
    </w:p>
    <w:p>
      <w:pPr>
        <w:pStyle w:val="20"/>
        <w:numPr>
          <w:ilvl w:val="0"/>
          <w:numId w:val="10"/>
        </w:numPr>
        <w:spacing w:line="360" w:lineRule="auto"/>
        <w:ind w:firstLineChars="0"/>
        <w:rPr>
          <w:sz w:val="24"/>
          <w:szCs w:val="24"/>
        </w:rPr>
      </w:pPr>
      <w:r>
        <w:rPr>
          <w:rFonts w:hint="eastAsia"/>
          <w:sz w:val="24"/>
          <w:szCs w:val="24"/>
        </w:rPr>
        <w:t>采用不同数据源对调研数据进行校核，确认存疑数据，确保样本数据的准确性。</w:t>
      </w:r>
    </w:p>
    <w:p>
      <w:pPr>
        <w:pStyle w:val="20"/>
        <w:numPr>
          <w:ilvl w:val="0"/>
          <w:numId w:val="10"/>
        </w:numPr>
        <w:spacing w:line="360" w:lineRule="auto"/>
        <w:ind w:firstLineChars="0"/>
        <w:rPr>
          <w:sz w:val="24"/>
          <w:szCs w:val="24"/>
        </w:rPr>
      </w:pPr>
      <w:r>
        <w:rPr>
          <w:rFonts w:hint="eastAsia"/>
          <w:sz w:val="24"/>
          <w:szCs w:val="24"/>
        </w:rPr>
        <w:t>计算每个样本各类逐月能耗的日均值。</w:t>
      </w:r>
    </w:p>
    <w:p>
      <w:pPr>
        <w:pStyle w:val="20"/>
        <w:numPr>
          <w:ilvl w:val="0"/>
          <w:numId w:val="10"/>
        </w:numPr>
        <w:spacing w:line="360" w:lineRule="auto"/>
        <w:ind w:firstLineChars="0"/>
        <w:rPr>
          <w:sz w:val="24"/>
          <w:szCs w:val="24"/>
        </w:rPr>
      </w:pPr>
      <w:r>
        <w:rPr>
          <w:rFonts w:hint="eastAsia"/>
          <w:sz w:val="24"/>
          <w:szCs w:val="24"/>
        </w:rPr>
        <w:t>对每类日均能耗进行室外环境参数的相关分析，确定相关系数，建立拆分模型，拆分得到基荷能耗，同时得到基荷能耗对应的室外环境参数的范围。</w:t>
      </w:r>
    </w:p>
    <w:p>
      <w:pPr>
        <w:pStyle w:val="20"/>
        <w:numPr>
          <w:ilvl w:val="0"/>
          <w:numId w:val="10"/>
        </w:numPr>
        <w:spacing w:line="360" w:lineRule="auto"/>
        <w:ind w:firstLineChars="0"/>
        <w:rPr>
          <w:sz w:val="24"/>
          <w:szCs w:val="24"/>
        </w:rPr>
      </w:pPr>
      <w:r>
        <w:rPr>
          <w:rFonts w:hint="eastAsia"/>
          <w:sz w:val="24"/>
          <w:szCs w:val="24"/>
        </w:rPr>
        <w:t>对建筑基荷能耗的影响因素进行分析，考虑建筑能耗影响因素的多参数耦合及非线性关系。</w:t>
      </w:r>
    </w:p>
    <w:p>
      <w:pPr>
        <w:pStyle w:val="20"/>
        <w:numPr>
          <w:ilvl w:val="0"/>
          <w:numId w:val="10"/>
        </w:numPr>
        <w:spacing w:line="360" w:lineRule="auto"/>
        <w:ind w:firstLineChars="0"/>
        <w:rPr>
          <w:sz w:val="24"/>
          <w:szCs w:val="24"/>
        </w:rPr>
      </w:pPr>
      <w:r>
        <w:rPr>
          <w:rFonts w:hint="eastAsia"/>
          <w:sz w:val="24"/>
          <w:szCs w:val="24"/>
        </w:rPr>
        <w:t>采用适当的数据挖掘方法，使用影响因素进行归一化处理，得到基荷能耗基准。</w:t>
      </w:r>
    </w:p>
    <w:p>
      <w:pPr>
        <w:pStyle w:val="20"/>
        <w:numPr>
          <w:ilvl w:val="0"/>
          <w:numId w:val="10"/>
        </w:numPr>
        <w:spacing w:line="360" w:lineRule="auto"/>
        <w:ind w:firstLineChars="0"/>
        <w:rPr>
          <w:sz w:val="24"/>
          <w:szCs w:val="24"/>
        </w:rPr>
      </w:pPr>
      <w:r>
        <w:rPr>
          <w:rFonts w:hint="eastAsia"/>
          <w:sz w:val="24"/>
          <w:szCs w:val="24"/>
        </w:rPr>
        <w:t>计算各样本实际基荷能耗与基荷能耗基准的差异性指标，得到各样本的差异性指标值。</w:t>
      </w:r>
    </w:p>
    <w:p>
      <w:pPr>
        <w:pStyle w:val="20"/>
        <w:numPr>
          <w:ilvl w:val="0"/>
          <w:numId w:val="10"/>
        </w:numPr>
        <w:ind w:firstLineChars="0"/>
        <w:rPr>
          <w:sz w:val="24"/>
          <w:szCs w:val="24"/>
        </w:rPr>
      </w:pPr>
      <w:bookmarkStart w:id="17" w:name="_Hlk23174709"/>
      <w:r>
        <w:rPr>
          <w:sz w:val="24"/>
          <w:szCs w:val="24"/>
        </w:rPr>
        <w:t xml:space="preserve"> </w:t>
      </w:r>
      <w:r>
        <w:rPr>
          <w:rFonts w:hint="eastAsia"/>
          <w:sz w:val="24"/>
          <w:szCs w:val="24"/>
        </w:rPr>
        <w:t>根据应用需求，采用分级、评分或星级等形式。</w:t>
      </w:r>
    </w:p>
    <w:p>
      <w:pPr>
        <w:pStyle w:val="20"/>
        <w:numPr>
          <w:ilvl w:val="0"/>
          <w:numId w:val="10"/>
        </w:numPr>
        <w:spacing w:line="360" w:lineRule="auto"/>
        <w:ind w:firstLineChars="0"/>
        <w:rPr>
          <w:sz w:val="24"/>
          <w:szCs w:val="24"/>
        </w:rPr>
      </w:pPr>
      <w:r>
        <w:rPr>
          <w:rFonts w:hint="eastAsia"/>
          <w:sz w:val="24"/>
          <w:szCs w:val="24"/>
        </w:rPr>
        <w:t>对各样本基荷能耗指标值进行排序，根据其分布情况确定评价阈。</w:t>
      </w:r>
    </w:p>
    <w:p>
      <w:pPr>
        <w:pStyle w:val="20"/>
        <w:numPr>
          <w:ilvl w:val="0"/>
          <w:numId w:val="10"/>
        </w:numPr>
        <w:spacing w:line="360" w:lineRule="auto"/>
        <w:ind w:firstLineChars="0"/>
        <w:rPr>
          <w:sz w:val="24"/>
          <w:szCs w:val="24"/>
        </w:rPr>
      </w:pPr>
      <w:r>
        <w:rPr>
          <w:rFonts w:hint="eastAsia"/>
          <w:sz w:val="24"/>
          <w:szCs w:val="24"/>
        </w:rPr>
        <w:t>对各样本基荷能耗对应的室外环境参数上下限值进行排序，根据分布情况确定相应评价阈。</w:t>
      </w:r>
    </w:p>
    <w:p>
      <w:pPr>
        <w:pStyle w:val="20"/>
        <w:numPr>
          <w:ilvl w:val="0"/>
          <w:numId w:val="10"/>
        </w:numPr>
        <w:spacing w:line="360" w:lineRule="auto"/>
        <w:ind w:firstLineChars="0"/>
        <w:rPr>
          <w:sz w:val="24"/>
          <w:szCs w:val="24"/>
        </w:rPr>
      </w:pPr>
      <w:r>
        <w:rPr>
          <w:rFonts w:hint="eastAsia"/>
          <w:sz w:val="24"/>
          <w:szCs w:val="24"/>
        </w:rPr>
        <w:t>对各样本日均能耗与室外环境参数的相关系数进行排序，根据分布情况确定相关系数评价阈。</w:t>
      </w:r>
    </w:p>
    <w:p>
      <w:pPr>
        <w:pStyle w:val="20"/>
        <w:numPr>
          <w:ilvl w:val="0"/>
          <w:numId w:val="10"/>
        </w:numPr>
        <w:spacing w:line="360" w:lineRule="auto"/>
        <w:ind w:firstLineChars="0"/>
        <w:rPr>
          <w:sz w:val="24"/>
          <w:szCs w:val="24"/>
        </w:rPr>
      </w:pPr>
      <w:r>
        <w:rPr>
          <w:rFonts w:hint="eastAsia"/>
          <w:sz w:val="24"/>
          <w:szCs w:val="24"/>
        </w:rPr>
        <w:t>计算被评价建筑差异性指标，查询相应评分表或分级表对应值，确定建筑能耗水平的评分或等级。</w:t>
      </w:r>
    </w:p>
    <w:p>
      <w:pPr>
        <w:pStyle w:val="20"/>
        <w:numPr>
          <w:ilvl w:val="0"/>
          <w:numId w:val="10"/>
        </w:numPr>
        <w:spacing w:line="360" w:lineRule="auto"/>
        <w:ind w:firstLineChars="0"/>
        <w:rPr>
          <w:sz w:val="24"/>
          <w:szCs w:val="24"/>
        </w:rPr>
      </w:pPr>
      <w:r>
        <w:rPr>
          <w:rFonts w:hint="eastAsia"/>
          <w:sz w:val="24"/>
          <w:szCs w:val="24"/>
        </w:rPr>
        <w:t>应根据评价结果给出建筑节能改造的方向及对应节能潜力。</w:t>
      </w:r>
    </w:p>
    <w:p>
      <w:pPr>
        <w:pStyle w:val="20"/>
        <w:spacing w:line="360" w:lineRule="auto"/>
        <w:ind w:left="420" w:firstLine="0" w:firstLineChars="0"/>
        <w:rPr>
          <w:rFonts w:eastAsia="楷体"/>
          <w:b/>
          <w:bCs/>
          <w:sz w:val="24"/>
          <w:szCs w:val="24"/>
        </w:rPr>
      </w:pPr>
      <w:r>
        <w:rPr>
          <w:rFonts w:hint="eastAsia" w:eastAsia="楷体"/>
          <w:b/>
          <w:bCs/>
          <w:sz w:val="24"/>
          <w:szCs w:val="24"/>
        </w:rPr>
        <w:t>【条文说明】</w:t>
      </w:r>
      <w:r>
        <w:rPr>
          <w:rFonts w:hint="eastAsia" w:eastAsia="楷体"/>
          <w:sz w:val="24"/>
          <w:szCs w:val="24"/>
        </w:rPr>
        <w:t>拆分分项能耗比对评价流程的步骤。</w:t>
      </w:r>
    </w:p>
    <w:p>
      <w:pPr>
        <w:pStyle w:val="20"/>
        <w:numPr>
          <w:ilvl w:val="0"/>
          <w:numId w:val="11"/>
        </w:numPr>
        <w:spacing w:line="360" w:lineRule="auto"/>
        <w:ind w:firstLineChars="0"/>
        <w:rPr>
          <w:rFonts w:eastAsia="楷体"/>
          <w:sz w:val="24"/>
          <w:szCs w:val="24"/>
        </w:rPr>
      </w:pPr>
      <w:r>
        <w:rPr>
          <w:rFonts w:hint="eastAsia" w:eastAsia="楷体"/>
          <w:sz w:val="24"/>
          <w:szCs w:val="24"/>
        </w:rPr>
        <w:t>数据调研内容应包括：</w:t>
      </w:r>
    </w:p>
    <w:p>
      <w:pPr>
        <w:pStyle w:val="20"/>
        <w:numPr>
          <w:ilvl w:val="0"/>
          <w:numId w:val="12"/>
        </w:numPr>
        <w:spacing w:line="360" w:lineRule="auto"/>
        <w:ind w:firstLineChars="0"/>
        <w:rPr>
          <w:rFonts w:eastAsia="楷体"/>
          <w:sz w:val="24"/>
          <w:szCs w:val="24"/>
        </w:rPr>
      </w:pPr>
      <w:r>
        <w:rPr>
          <w:rFonts w:hint="eastAsia" w:eastAsia="楷体"/>
          <w:sz w:val="24"/>
          <w:szCs w:val="24"/>
        </w:rPr>
        <w:t>建筑边界内连续</w:t>
      </w:r>
      <w:r>
        <w:rPr>
          <w:rFonts w:eastAsia="楷体"/>
          <w:sz w:val="24"/>
          <w:szCs w:val="24"/>
        </w:rPr>
        <w:t>12</w:t>
      </w:r>
      <w:r>
        <w:rPr>
          <w:rFonts w:hint="eastAsia" w:eastAsia="楷体"/>
          <w:sz w:val="24"/>
          <w:szCs w:val="24"/>
        </w:rPr>
        <w:t>个月且不包含室外景观照明及交通工具用能的各类能源消耗数据。</w:t>
      </w:r>
    </w:p>
    <w:p>
      <w:pPr>
        <w:pStyle w:val="20"/>
        <w:numPr>
          <w:ilvl w:val="0"/>
          <w:numId w:val="12"/>
        </w:numPr>
        <w:spacing w:line="360" w:lineRule="auto"/>
        <w:ind w:firstLineChars="0"/>
        <w:rPr>
          <w:rFonts w:eastAsia="楷体"/>
          <w:sz w:val="24"/>
          <w:szCs w:val="24"/>
        </w:rPr>
      </w:pPr>
      <w:r>
        <w:rPr>
          <w:rFonts w:hint="eastAsia" w:eastAsia="楷体"/>
          <w:sz w:val="24"/>
          <w:szCs w:val="24"/>
        </w:rPr>
        <w:t>建筑基本信息。</w:t>
      </w:r>
    </w:p>
    <w:p>
      <w:pPr>
        <w:pStyle w:val="20"/>
        <w:numPr>
          <w:ilvl w:val="0"/>
          <w:numId w:val="12"/>
        </w:numPr>
        <w:spacing w:line="360" w:lineRule="auto"/>
        <w:ind w:firstLineChars="0"/>
        <w:rPr>
          <w:rFonts w:eastAsia="楷体"/>
          <w:sz w:val="24"/>
          <w:szCs w:val="24"/>
        </w:rPr>
      </w:pPr>
      <w:r>
        <w:rPr>
          <w:rFonts w:hint="eastAsia" w:eastAsia="楷体"/>
          <w:sz w:val="24"/>
          <w:szCs w:val="24"/>
        </w:rPr>
        <w:t>建筑功能分区。</w:t>
      </w:r>
    </w:p>
    <w:p>
      <w:pPr>
        <w:pStyle w:val="20"/>
        <w:numPr>
          <w:ilvl w:val="0"/>
          <w:numId w:val="12"/>
        </w:numPr>
        <w:spacing w:line="360" w:lineRule="auto"/>
        <w:ind w:firstLineChars="0"/>
        <w:rPr>
          <w:rFonts w:eastAsia="楷体"/>
          <w:sz w:val="24"/>
          <w:szCs w:val="24"/>
        </w:rPr>
      </w:pPr>
      <w:r>
        <w:rPr>
          <w:rFonts w:hint="eastAsia" w:eastAsia="楷体"/>
          <w:sz w:val="24"/>
          <w:szCs w:val="24"/>
        </w:rPr>
        <w:t>建筑服务量。</w:t>
      </w:r>
    </w:p>
    <w:p>
      <w:pPr>
        <w:pStyle w:val="20"/>
        <w:numPr>
          <w:ilvl w:val="0"/>
          <w:numId w:val="12"/>
        </w:numPr>
        <w:spacing w:line="360" w:lineRule="auto"/>
        <w:ind w:firstLineChars="0"/>
        <w:rPr>
          <w:rFonts w:eastAsia="楷体"/>
          <w:sz w:val="24"/>
          <w:szCs w:val="24"/>
        </w:rPr>
      </w:pPr>
      <w:r>
        <w:rPr>
          <w:rFonts w:hint="eastAsia" w:eastAsia="楷体"/>
          <w:sz w:val="24"/>
          <w:szCs w:val="24"/>
        </w:rPr>
        <w:t>建筑运行信息。</w:t>
      </w:r>
    </w:p>
    <w:p>
      <w:pPr>
        <w:spacing w:line="360" w:lineRule="auto"/>
        <w:ind w:left="420"/>
        <w:rPr>
          <w:sz w:val="24"/>
          <w:szCs w:val="24"/>
        </w:rPr>
      </w:pPr>
      <w:r>
        <w:rPr>
          <w:rFonts w:hint="eastAsia" w:eastAsia="楷体"/>
          <w:b/>
          <w:bCs/>
          <w:sz w:val="24"/>
          <w:szCs w:val="24"/>
        </w:rPr>
        <w:t>5</w:t>
      </w:r>
      <w:r>
        <w:rPr>
          <w:rFonts w:hint="eastAsia" w:eastAsia="楷体"/>
          <w:sz w:val="24"/>
          <w:szCs w:val="24"/>
        </w:rPr>
        <w:t>对于不同的冷热源类型，应建立不同能源的拆分模型，具体拆分模型要求如下表：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709"/>
        <w:gridCol w:w="1214"/>
        <w:gridCol w:w="1462"/>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Pr>
          <w:p>
            <w:pPr>
              <w:spacing w:line="360" w:lineRule="auto"/>
              <w:ind w:firstLine="0" w:firstLineChars="0"/>
              <w:jc w:val="center"/>
              <w:rPr>
                <w:rFonts w:eastAsia="楷体"/>
                <w:sz w:val="24"/>
                <w:szCs w:val="24"/>
              </w:rPr>
            </w:pPr>
            <w:r>
              <w:rPr>
                <w:rFonts w:hint="eastAsia" w:eastAsia="楷体"/>
                <w:sz w:val="24"/>
                <w:szCs w:val="24"/>
              </w:rPr>
              <w:t>冷源能耗类型</w:t>
            </w:r>
          </w:p>
        </w:tc>
        <w:tc>
          <w:tcPr>
            <w:tcW w:w="1003" w:type="pct"/>
          </w:tcPr>
          <w:p>
            <w:pPr>
              <w:spacing w:line="360" w:lineRule="auto"/>
              <w:ind w:firstLine="0" w:firstLineChars="0"/>
              <w:jc w:val="center"/>
              <w:rPr>
                <w:rFonts w:eastAsia="楷体"/>
                <w:sz w:val="24"/>
                <w:szCs w:val="24"/>
              </w:rPr>
            </w:pPr>
            <w:r>
              <w:rPr>
                <w:rFonts w:hint="eastAsia" w:eastAsia="楷体"/>
                <w:sz w:val="24"/>
                <w:szCs w:val="24"/>
              </w:rPr>
              <w:t>热源能耗类型</w:t>
            </w:r>
          </w:p>
        </w:tc>
        <w:tc>
          <w:tcPr>
            <w:tcW w:w="712" w:type="pct"/>
          </w:tcPr>
          <w:p>
            <w:pPr>
              <w:spacing w:line="360" w:lineRule="auto"/>
              <w:ind w:firstLine="0" w:firstLineChars="0"/>
              <w:jc w:val="center"/>
              <w:rPr>
                <w:rFonts w:eastAsia="楷体"/>
                <w:sz w:val="24"/>
                <w:szCs w:val="24"/>
              </w:rPr>
            </w:pPr>
            <w:r>
              <w:rPr>
                <w:rFonts w:hint="eastAsia" w:eastAsia="楷体"/>
                <w:sz w:val="24"/>
                <w:szCs w:val="24"/>
              </w:rPr>
              <w:t>电力模型</w:t>
            </w:r>
          </w:p>
        </w:tc>
        <w:tc>
          <w:tcPr>
            <w:tcW w:w="858" w:type="pct"/>
          </w:tcPr>
          <w:p>
            <w:pPr>
              <w:spacing w:line="360" w:lineRule="auto"/>
              <w:ind w:firstLine="0" w:firstLineChars="0"/>
              <w:jc w:val="center"/>
              <w:rPr>
                <w:rFonts w:eastAsia="楷体"/>
                <w:sz w:val="24"/>
                <w:szCs w:val="24"/>
              </w:rPr>
            </w:pPr>
            <w:r>
              <w:rPr>
                <w:rFonts w:hint="eastAsia" w:eastAsia="楷体"/>
                <w:sz w:val="24"/>
                <w:szCs w:val="24"/>
              </w:rPr>
              <w:t>天然气模型</w:t>
            </w:r>
          </w:p>
        </w:tc>
        <w:tc>
          <w:tcPr>
            <w:tcW w:w="712" w:type="pct"/>
          </w:tcPr>
          <w:p>
            <w:pPr>
              <w:spacing w:line="360" w:lineRule="auto"/>
              <w:ind w:firstLine="0" w:firstLineChars="0"/>
              <w:jc w:val="center"/>
              <w:rPr>
                <w:rFonts w:eastAsia="楷体"/>
                <w:sz w:val="24"/>
                <w:szCs w:val="24"/>
              </w:rPr>
            </w:pPr>
            <w:r>
              <w:rPr>
                <w:rFonts w:hint="eastAsia" w:eastAsia="楷体"/>
                <w:sz w:val="24"/>
                <w:szCs w:val="24"/>
              </w:rPr>
              <w:t>热力模型</w:t>
            </w:r>
          </w:p>
        </w:tc>
        <w:tc>
          <w:tcPr>
            <w:tcW w:w="712" w:type="pct"/>
          </w:tcPr>
          <w:p>
            <w:pPr>
              <w:spacing w:line="360" w:lineRule="auto"/>
              <w:ind w:firstLine="0" w:firstLineChars="0"/>
              <w:jc w:val="center"/>
              <w:rPr>
                <w:rFonts w:eastAsia="楷体"/>
                <w:sz w:val="24"/>
                <w:szCs w:val="24"/>
              </w:rPr>
            </w:pPr>
            <w:r>
              <w:rPr>
                <w:rFonts w:hint="eastAsia" w:eastAsia="楷体"/>
                <w:sz w:val="24"/>
                <w:szCs w:val="24"/>
              </w:rPr>
              <w:t>冷量模型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Pr>
          <w:p>
            <w:pPr>
              <w:spacing w:line="360" w:lineRule="auto"/>
              <w:ind w:firstLine="0" w:firstLineChars="0"/>
              <w:jc w:val="center"/>
              <w:rPr>
                <w:rFonts w:eastAsia="楷体"/>
                <w:sz w:val="24"/>
                <w:szCs w:val="24"/>
              </w:rPr>
            </w:pPr>
            <w:r>
              <w:rPr>
                <w:rFonts w:hint="eastAsia" w:eastAsia="楷体"/>
                <w:sz w:val="24"/>
                <w:szCs w:val="24"/>
              </w:rPr>
              <w:t>电</w:t>
            </w:r>
          </w:p>
        </w:tc>
        <w:tc>
          <w:tcPr>
            <w:tcW w:w="1003" w:type="pct"/>
          </w:tcPr>
          <w:p>
            <w:pPr>
              <w:spacing w:line="360" w:lineRule="auto"/>
              <w:ind w:firstLine="0" w:firstLineChars="0"/>
              <w:jc w:val="center"/>
              <w:rPr>
                <w:rFonts w:eastAsia="楷体"/>
                <w:sz w:val="24"/>
                <w:szCs w:val="24"/>
              </w:rPr>
            </w:pPr>
            <w:r>
              <w:rPr>
                <w:rFonts w:hint="eastAsia" w:eastAsia="楷体"/>
                <w:sz w:val="24"/>
                <w:szCs w:val="24"/>
              </w:rPr>
              <w:t>电</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c>
          <w:tcPr>
            <w:tcW w:w="858" w:type="pct"/>
          </w:tcPr>
          <w:p>
            <w:pPr>
              <w:spacing w:line="360" w:lineRule="auto"/>
              <w:ind w:firstLine="0" w:firstLineChars="0"/>
              <w:jc w:val="center"/>
              <w:rPr>
                <w:rFonts w:eastAsia="楷体"/>
                <w:sz w:val="24"/>
                <w:szCs w:val="24"/>
              </w:rPr>
            </w:pPr>
            <w:r>
              <w:rPr>
                <w:rFonts w:eastAsia="楷体"/>
                <w:sz w:val="24"/>
                <w:szCs w:val="24"/>
              </w:rPr>
              <w:t>×</w:t>
            </w:r>
          </w:p>
        </w:tc>
        <w:tc>
          <w:tcPr>
            <w:tcW w:w="712" w:type="pct"/>
          </w:tcPr>
          <w:p>
            <w:pPr>
              <w:spacing w:line="360" w:lineRule="auto"/>
              <w:ind w:firstLine="0" w:firstLineChars="0"/>
              <w:jc w:val="center"/>
              <w:rPr>
                <w:rFonts w:eastAsia="楷体"/>
                <w:sz w:val="24"/>
                <w:szCs w:val="24"/>
              </w:rPr>
            </w:pPr>
            <w:r>
              <w:rPr>
                <w:rFonts w:eastAsia="楷体"/>
                <w:sz w:val="24"/>
                <w:szCs w:val="24"/>
              </w:rPr>
              <w:t>×</w:t>
            </w:r>
          </w:p>
        </w:tc>
        <w:tc>
          <w:tcPr>
            <w:tcW w:w="712" w:type="pct"/>
          </w:tcPr>
          <w:p>
            <w:pPr>
              <w:spacing w:line="360" w:lineRule="auto"/>
              <w:ind w:firstLine="0" w:firstLineChars="0"/>
              <w:jc w:val="center"/>
              <w:rPr>
                <w:rFonts w:eastAsia="楷体"/>
                <w:sz w:val="24"/>
                <w:szCs w:val="24"/>
              </w:rPr>
            </w:pPr>
            <w:r>
              <w:rPr>
                <w:rFonts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Pr>
          <w:p>
            <w:pPr>
              <w:spacing w:line="360" w:lineRule="auto"/>
              <w:ind w:firstLine="0" w:firstLineChars="0"/>
              <w:jc w:val="center"/>
              <w:rPr>
                <w:rFonts w:eastAsia="楷体"/>
                <w:sz w:val="24"/>
                <w:szCs w:val="24"/>
              </w:rPr>
            </w:pPr>
            <w:r>
              <w:rPr>
                <w:rFonts w:hint="eastAsia" w:eastAsia="楷体"/>
                <w:sz w:val="24"/>
                <w:szCs w:val="24"/>
              </w:rPr>
              <w:t>电</w:t>
            </w:r>
          </w:p>
        </w:tc>
        <w:tc>
          <w:tcPr>
            <w:tcW w:w="1003" w:type="pct"/>
          </w:tcPr>
          <w:p>
            <w:pPr>
              <w:spacing w:line="360" w:lineRule="auto"/>
              <w:ind w:firstLine="0" w:firstLineChars="0"/>
              <w:jc w:val="center"/>
              <w:rPr>
                <w:rFonts w:eastAsia="楷体"/>
                <w:sz w:val="24"/>
                <w:szCs w:val="24"/>
              </w:rPr>
            </w:pPr>
            <w:r>
              <w:rPr>
                <w:rFonts w:hint="eastAsia" w:eastAsia="楷体"/>
                <w:sz w:val="24"/>
                <w:szCs w:val="24"/>
              </w:rPr>
              <w:t>天然气</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c>
          <w:tcPr>
            <w:tcW w:w="858" w:type="pct"/>
          </w:tcPr>
          <w:p>
            <w:pPr>
              <w:spacing w:line="360" w:lineRule="auto"/>
              <w:ind w:firstLine="0" w:firstLineChars="0"/>
              <w:jc w:val="center"/>
              <w:rPr>
                <w:rFonts w:eastAsia="楷体"/>
                <w:sz w:val="24"/>
                <w:szCs w:val="24"/>
              </w:rPr>
            </w:pPr>
            <w:r>
              <w:rPr>
                <w:rFonts w:hint="eastAsia" w:eastAsia="楷体"/>
                <w:sz w:val="24"/>
                <w:szCs w:val="24"/>
              </w:rPr>
              <w:t>√</w:t>
            </w:r>
          </w:p>
        </w:tc>
        <w:tc>
          <w:tcPr>
            <w:tcW w:w="712" w:type="pct"/>
          </w:tcPr>
          <w:p>
            <w:pPr>
              <w:spacing w:line="360" w:lineRule="auto"/>
              <w:ind w:firstLine="0" w:firstLineChars="0"/>
              <w:jc w:val="center"/>
              <w:rPr>
                <w:rFonts w:eastAsia="楷体"/>
                <w:sz w:val="24"/>
                <w:szCs w:val="24"/>
              </w:rPr>
            </w:pPr>
            <w:r>
              <w:rPr>
                <w:rFonts w:eastAsia="楷体"/>
                <w:sz w:val="24"/>
                <w:szCs w:val="24"/>
              </w:rPr>
              <w:t>×</w:t>
            </w:r>
          </w:p>
        </w:tc>
        <w:tc>
          <w:tcPr>
            <w:tcW w:w="712" w:type="pct"/>
          </w:tcPr>
          <w:p>
            <w:pPr>
              <w:spacing w:line="360" w:lineRule="auto"/>
              <w:ind w:firstLine="0" w:firstLineChars="0"/>
              <w:jc w:val="center"/>
              <w:rPr>
                <w:rFonts w:eastAsia="楷体"/>
                <w:sz w:val="24"/>
                <w:szCs w:val="24"/>
              </w:rPr>
            </w:pPr>
            <w:r>
              <w:rPr>
                <w:rFonts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Pr>
          <w:p>
            <w:pPr>
              <w:spacing w:line="360" w:lineRule="auto"/>
              <w:ind w:firstLine="0" w:firstLineChars="0"/>
              <w:jc w:val="center"/>
              <w:rPr>
                <w:rFonts w:eastAsia="楷体"/>
                <w:sz w:val="24"/>
                <w:szCs w:val="24"/>
              </w:rPr>
            </w:pPr>
            <w:r>
              <w:rPr>
                <w:rFonts w:hint="eastAsia" w:eastAsia="楷体"/>
                <w:sz w:val="24"/>
                <w:szCs w:val="24"/>
              </w:rPr>
              <w:t>电</w:t>
            </w:r>
          </w:p>
        </w:tc>
        <w:tc>
          <w:tcPr>
            <w:tcW w:w="1003" w:type="pct"/>
          </w:tcPr>
          <w:p>
            <w:pPr>
              <w:spacing w:line="360" w:lineRule="auto"/>
              <w:ind w:firstLine="0" w:firstLineChars="0"/>
              <w:jc w:val="center"/>
              <w:rPr>
                <w:rFonts w:eastAsia="楷体"/>
                <w:sz w:val="24"/>
                <w:szCs w:val="24"/>
              </w:rPr>
            </w:pPr>
            <w:r>
              <w:rPr>
                <w:rFonts w:hint="eastAsia" w:eastAsia="楷体"/>
                <w:sz w:val="24"/>
                <w:szCs w:val="24"/>
              </w:rPr>
              <w:t>外购热力</w:t>
            </w:r>
            <w:r>
              <w:rPr>
                <w:rFonts w:eastAsia="楷体"/>
                <w:sz w:val="24"/>
                <w:szCs w:val="24"/>
              </w:rPr>
              <w:t>GJ</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c>
          <w:tcPr>
            <w:tcW w:w="858" w:type="pct"/>
          </w:tcPr>
          <w:p>
            <w:pPr>
              <w:spacing w:line="360" w:lineRule="auto"/>
              <w:ind w:firstLine="0" w:firstLineChars="0"/>
              <w:jc w:val="center"/>
              <w:rPr>
                <w:rFonts w:eastAsia="楷体"/>
                <w:sz w:val="24"/>
                <w:szCs w:val="24"/>
              </w:rPr>
            </w:pPr>
            <w:r>
              <w:rPr>
                <w:rFonts w:eastAsia="楷体"/>
                <w:sz w:val="24"/>
                <w:szCs w:val="24"/>
              </w:rPr>
              <w:t>×</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c>
          <w:tcPr>
            <w:tcW w:w="712" w:type="pct"/>
          </w:tcPr>
          <w:p>
            <w:pPr>
              <w:spacing w:line="360" w:lineRule="auto"/>
              <w:ind w:firstLine="0" w:firstLineChars="0"/>
              <w:jc w:val="center"/>
              <w:rPr>
                <w:rFonts w:eastAsia="楷体"/>
                <w:sz w:val="24"/>
                <w:szCs w:val="24"/>
              </w:rPr>
            </w:pPr>
            <w:r>
              <w:rPr>
                <w:rFonts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Pr>
          <w:p>
            <w:pPr>
              <w:spacing w:line="360" w:lineRule="auto"/>
              <w:ind w:firstLine="0" w:firstLineChars="0"/>
              <w:jc w:val="center"/>
              <w:rPr>
                <w:rFonts w:eastAsia="楷体"/>
                <w:sz w:val="24"/>
                <w:szCs w:val="24"/>
              </w:rPr>
            </w:pPr>
            <w:r>
              <w:rPr>
                <w:rFonts w:hint="eastAsia" w:eastAsia="楷体"/>
                <w:sz w:val="24"/>
                <w:szCs w:val="24"/>
              </w:rPr>
              <w:t>天然气</w:t>
            </w:r>
          </w:p>
        </w:tc>
        <w:tc>
          <w:tcPr>
            <w:tcW w:w="1003" w:type="pct"/>
          </w:tcPr>
          <w:p>
            <w:pPr>
              <w:spacing w:line="360" w:lineRule="auto"/>
              <w:ind w:firstLine="0" w:firstLineChars="0"/>
              <w:jc w:val="center"/>
              <w:rPr>
                <w:rFonts w:eastAsia="楷体"/>
                <w:sz w:val="24"/>
                <w:szCs w:val="24"/>
              </w:rPr>
            </w:pPr>
            <w:r>
              <w:rPr>
                <w:rFonts w:hint="eastAsia" w:eastAsia="楷体"/>
                <w:sz w:val="24"/>
                <w:szCs w:val="24"/>
              </w:rPr>
              <w:t>天然气</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c>
          <w:tcPr>
            <w:tcW w:w="858" w:type="pct"/>
          </w:tcPr>
          <w:p>
            <w:pPr>
              <w:spacing w:line="360" w:lineRule="auto"/>
              <w:ind w:firstLine="0" w:firstLineChars="0"/>
              <w:jc w:val="center"/>
              <w:rPr>
                <w:rFonts w:eastAsia="楷体"/>
                <w:sz w:val="24"/>
                <w:szCs w:val="24"/>
              </w:rPr>
            </w:pPr>
            <w:r>
              <w:rPr>
                <w:rFonts w:hint="eastAsia" w:eastAsia="楷体"/>
                <w:sz w:val="24"/>
                <w:szCs w:val="24"/>
              </w:rPr>
              <w:t>√</w:t>
            </w:r>
          </w:p>
        </w:tc>
        <w:tc>
          <w:tcPr>
            <w:tcW w:w="712" w:type="pct"/>
          </w:tcPr>
          <w:p>
            <w:pPr>
              <w:spacing w:line="360" w:lineRule="auto"/>
              <w:ind w:firstLine="0" w:firstLineChars="0"/>
              <w:jc w:val="center"/>
              <w:rPr>
                <w:rFonts w:eastAsia="楷体"/>
                <w:sz w:val="24"/>
                <w:szCs w:val="24"/>
              </w:rPr>
            </w:pPr>
            <w:r>
              <w:rPr>
                <w:rFonts w:eastAsia="楷体"/>
                <w:sz w:val="24"/>
                <w:szCs w:val="24"/>
              </w:rPr>
              <w:t>×</w:t>
            </w:r>
          </w:p>
        </w:tc>
        <w:tc>
          <w:tcPr>
            <w:tcW w:w="712" w:type="pct"/>
          </w:tcPr>
          <w:p>
            <w:pPr>
              <w:spacing w:line="360" w:lineRule="auto"/>
              <w:ind w:firstLine="0" w:firstLineChars="0"/>
              <w:jc w:val="center"/>
              <w:rPr>
                <w:rFonts w:eastAsia="楷体"/>
                <w:sz w:val="24"/>
                <w:szCs w:val="24"/>
              </w:rPr>
            </w:pPr>
            <w:r>
              <w:rPr>
                <w:rFonts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Pr>
          <w:p>
            <w:pPr>
              <w:spacing w:line="360" w:lineRule="auto"/>
              <w:ind w:firstLine="0" w:firstLineChars="0"/>
              <w:jc w:val="center"/>
              <w:rPr>
                <w:rFonts w:eastAsia="楷体"/>
                <w:sz w:val="24"/>
                <w:szCs w:val="24"/>
              </w:rPr>
            </w:pPr>
            <w:r>
              <w:rPr>
                <w:rFonts w:hint="eastAsia" w:eastAsia="楷体"/>
                <w:sz w:val="24"/>
                <w:szCs w:val="24"/>
              </w:rPr>
              <w:t>外购冷量</w:t>
            </w:r>
          </w:p>
        </w:tc>
        <w:tc>
          <w:tcPr>
            <w:tcW w:w="1003" w:type="pct"/>
          </w:tcPr>
          <w:p>
            <w:pPr>
              <w:spacing w:line="360" w:lineRule="auto"/>
              <w:ind w:firstLine="0" w:firstLineChars="0"/>
              <w:jc w:val="center"/>
              <w:rPr>
                <w:rFonts w:eastAsia="楷体"/>
                <w:sz w:val="24"/>
                <w:szCs w:val="24"/>
              </w:rPr>
            </w:pPr>
            <w:r>
              <w:rPr>
                <w:rFonts w:hint="eastAsia" w:eastAsia="楷体"/>
                <w:sz w:val="24"/>
                <w:szCs w:val="24"/>
              </w:rPr>
              <w:t>电</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c>
          <w:tcPr>
            <w:tcW w:w="858" w:type="pct"/>
          </w:tcPr>
          <w:p>
            <w:pPr>
              <w:spacing w:line="360" w:lineRule="auto"/>
              <w:ind w:firstLine="0" w:firstLineChars="0"/>
              <w:jc w:val="center"/>
              <w:rPr>
                <w:rFonts w:eastAsia="楷体"/>
                <w:sz w:val="24"/>
                <w:szCs w:val="24"/>
              </w:rPr>
            </w:pPr>
            <w:r>
              <w:rPr>
                <w:rFonts w:eastAsia="楷体"/>
                <w:sz w:val="24"/>
                <w:szCs w:val="24"/>
              </w:rPr>
              <w:t>×</w:t>
            </w:r>
          </w:p>
        </w:tc>
        <w:tc>
          <w:tcPr>
            <w:tcW w:w="712" w:type="pct"/>
          </w:tcPr>
          <w:p>
            <w:pPr>
              <w:spacing w:line="360" w:lineRule="auto"/>
              <w:ind w:firstLine="0" w:firstLineChars="0"/>
              <w:jc w:val="center"/>
              <w:rPr>
                <w:rFonts w:eastAsia="楷体"/>
                <w:sz w:val="24"/>
                <w:szCs w:val="24"/>
              </w:rPr>
            </w:pPr>
            <w:r>
              <w:rPr>
                <w:rFonts w:eastAsia="楷体"/>
                <w:sz w:val="24"/>
                <w:szCs w:val="24"/>
              </w:rPr>
              <w:t>×</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Pr>
          <w:p>
            <w:pPr>
              <w:spacing w:line="360" w:lineRule="auto"/>
              <w:ind w:firstLine="0" w:firstLineChars="0"/>
              <w:jc w:val="center"/>
              <w:rPr>
                <w:rFonts w:eastAsia="楷体"/>
                <w:sz w:val="24"/>
                <w:szCs w:val="24"/>
              </w:rPr>
            </w:pPr>
            <w:r>
              <w:rPr>
                <w:rFonts w:hint="eastAsia" w:eastAsia="楷体"/>
                <w:sz w:val="24"/>
                <w:szCs w:val="24"/>
              </w:rPr>
              <w:t>外购冷量</w:t>
            </w:r>
          </w:p>
        </w:tc>
        <w:tc>
          <w:tcPr>
            <w:tcW w:w="1003" w:type="pct"/>
          </w:tcPr>
          <w:p>
            <w:pPr>
              <w:spacing w:line="360" w:lineRule="auto"/>
              <w:ind w:firstLine="0" w:firstLineChars="0"/>
              <w:jc w:val="center"/>
              <w:rPr>
                <w:rFonts w:eastAsia="楷体"/>
                <w:sz w:val="24"/>
                <w:szCs w:val="24"/>
              </w:rPr>
            </w:pPr>
            <w:r>
              <w:rPr>
                <w:rFonts w:hint="eastAsia" w:eastAsia="楷体"/>
                <w:sz w:val="24"/>
                <w:szCs w:val="24"/>
              </w:rPr>
              <w:t>天然气</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c>
          <w:tcPr>
            <w:tcW w:w="858" w:type="pct"/>
          </w:tcPr>
          <w:p>
            <w:pPr>
              <w:spacing w:line="360" w:lineRule="auto"/>
              <w:ind w:firstLine="0" w:firstLineChars="0"/>
              <w:jc w:val="center"/>
              <w:rPr>
                <w:rFonts w:eastAsia="楷体"/>
                <w:sz w:val="24"/>
                <w:szCs w:val="24"/>
              </w:rPr>
            </w:pPr>
            <w:r>
              <w:rPr>
                <w:rFonts w:hint="eastAsia" w:eastAsia="楷体"/>
                <w:sz w:val="24"/>
                <w:szCs w:val="24"/>
              </w:rPr>
              <w:t>√</w:t>
            </w:r>
          </w:p>
        </w:tc>
        <w:tc>
          <w:tcPr>
            <w:tcW w:w="712" w:type="pct"/>
          </w:tcPr>
          <w:p>
            <w:pPr>
              <w:spacing w:line="360" w:lineRule="auto"/>
              <w:ind w:firstLine="0" w:firstLineChars="0"/>
              <w:jc w:val="center"/>
              <w:rPr>
                <w:rFonts w:eastAsia="楷体"/>
                <w:sz w:val="24"/>
                <w:szCs w:val="24"/>
              </w:rPr>
            </w:pPr>
            <w:r>
              <w:rPr>
                <w:rFonts w:eastAsia="楷体"/>
                <w:sz w:val="24"/>
                <w:szCs w:val="24"/>
              </w:rPr>
              <w:t>×</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Pr>
          <w:p>
            <w:pPr>
              <w:spacing w:line="360" w:lineRule="auto"/>
              <w:ind w:firstLine="0" w:firstLineChars="0"/>
              <w:jc w:val="center"/>
              <w:rPr>
                <w:rFonts w:eastAsia="楷体"/>
                <w:sz w:val="24"/>
                <w:szCs w:val="24"/>
              </w:rPr>
            </w:pPr>
            <w:r>
              <w:rPr>
                <w:rFonts w:hint="eastAsia" w:eastAsia="楷体"/>
                <w:sz w:val="24"/>
                <w:szCs w:val="24"/>
              </w:rPr>
              <w:t>外购冷量</w:t>
            </w:r>
          </w:p>
        </w:tc>
        <w:tc>
          <w:tcPr>
            <w:tcW w:w="1003" w:type="pct"/>
          </w:tcPr>
          <w:p>
            <w:pPr>
              <w:spacing w:line="360" w:lineRule="auto"/>
              <w:ind w:firstLine="0" w:firstLineChars="0"/>
              <w:jc w:val="center"/>
              <w:rPr>
                <w:rFonts w:eastAsia="楷体"/>
                <w:sz w:val="24"/>
                <w:szCs w:val="24"/>
              </w:rPr>
            </w:pPr>
            <w:r>
              <w:rPr>
                <w:rFonts w:hint="eastAsia" w:eastAsia="楷体"/>
                <w:sz w:val="24"/>
                <w:szCs w:val="24"/>
              </w:rPr>
              <w:t>外购热力</w:t>
            </w:r>
            <w:r>
              <w:rPr>
                <w:rFonts w:eastAsia="楷体"/>
                <w:sz w:val="24"/>
                <w:szCs w:val="24"/>
              </w:rPr>
              <w:t>GJ</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c>
          <w:tcPr>
            <w:tcW w:w="858" w:type="pct"/>
          </w:tcPr>
          <w:p>
            <w:pPr>
              <w:spacing w:line="360" w:lineRule="auto"/>
              <w:ind w:firstLine="0" w:firstLineChars="0"/>
              <w:jc w:val="center"/>
              <w:rPr>
                <w:rFonts w:eastAsia="楷体"/>
                <w:sz w:val="24"/>
                <w:szCs w:val="24"/>
              </w:rPr>
            </w:pPr>
            <w:r>
              <w:rPr>
                <w:rFonts w:eastAsia="楷体"/>
                <w:sz w:val="24"/>
                <w:szCs w:val="24"/>
              </w:rPr>
              <w:t>×</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c>
          <w:tcPr>
            <w:tcW w:w="712" w:type="pct"/>
          </w:tcPr>
          <w:p>
            <w:pPr>
              <w:spacing w:line="360" w:lineRule="auto"/>
              <w:ind w:firstLine="0" w:firstLineChars="0"/>
              <w:jc w:val="center"/>
              <w:rPr>
                <w:rFonts w:eastAsia="楷体"/>
                <w:sz w:val="24"/>
                <w:szCs w:val="24"/>
              </w:rPr>
            </w:pPr>
            <w:r>
              <w:rPr>
                <w:rFonts w:hint="eastAsia" w:eastAsia="楷体"/>
                <w:sz w:val="24"/>
                <w:szCs w:val="24"/>
              </w:rPr>
              <w:t>√</w:t>
            </w:r>
          </w:p>
        </w:tc>
      </w:tr>
      <w:bookmarkEnd w:id="17"/>
    </w:tbl>
    <w:p>
      <w:pPr>
        <w:pStyle w:val="3"/>
        <w:spacing w:before="240" w:after="120" w:line="360" w:lineRule="auto"/>
        <w:jc w:val="center"/>
        <w:rPr>
          <w:rFonts w:ascii="宋体" w:hAnsi="宋体" w:eastAsia="宋体"/>
          <w:b w:val="0"/>
          <w:bCs w:val="0"/>
          <w:sz w:val="24"/>
          <w:szCs w:val="24"/>
        </w:rPr>
      </w:pPr>
      <w:bookmarkStart w:id="18" w:name="_Toc28354603"/>
      <w:r>
        <w:rPr>
          <w:rFonts w:ascii="宋体" w:hAnsi="宋体" w:eastAsia="宋体"/>
          <w:b w:val="0"/>
          <w:bCs w:val="0"/>
          <w:sz w:val="24"/>
          <w:szCs w:val="24"/>
        </w:rPr>
        <w:t>5.3基于监测系统的分项能耗比对评价方法</w:t>
      </w:r>
      <w:bookmarkEnd w:id="18"/>
    </w:p>
    <w:p>
      <w:pPr>
        <w:spacing w:line="360" w:lineRule="auto"/>
        <w:rPr>
          <w:sz w:val="24"/>
          <w:szCs w:val="24"/>
        </w:rPr>
      </w:pPr>
      <w:r>
        <w:rPr>
          <w:sz w:val="24"/>
          <w:szCs w:val="24"/>
        </w:rPr>
        <w:t>5.3.1</w:t>
      </w:r>
      <w:r>
        <w:rPr>
          <w:rFonts w:hint="eastAsia"/>
          <w:sz w:val="24"/>
          <w:szCs w:val="24"/>
        </w:rPr>
        <w:t>基于监测系统的分项能耗比对评价方法的确定应符合下列规定：</w:t>
      </w:r>
    </w:p>
    <w:p>
      <w:pPr>
        <w:pStyle w:val="20"/>
        <w:numPr>
          <w:ilvl w:val="0"/>
          <w:numId w:val="13"/>
        </w:numPr>
        <w:spacing w:line="360" w:lineRule="auto"/>
        <w:ind w:firstLineChars="0"/>
        <w:rPr>
          <w:sz w:val="24"/>
          <w:szCs w:val="24"/>
        </w:rPr>
      </w:pPr>
      <w:r>
        <w:rPr>
          <w:rFonts w:hint="eastAsia"/>
          <w:sz w:val="24"/>
          <w:szCs w:val="24"/>
        </w:rPr>
        <w:t>应根据建筑冷、热源驱动能源类型不同，分类进行供暖空调系统的能耗比对评价。</w:t>
      </w:r>
    </w:p>
    <w:p>
      <w:pPr>
        <w:pStyle w:val="20"/>
        <w:numPr>
          <w:ilvl w:val="0"/>
          <w:numId w:val="13"/>
        </w:numPr>
        <w:spacing w:line="360" w:lineRule="auto"/>
        <w:ind w:firstLineChars="0"/>
        <w:rPr>
          <w:sz w:val="24"/>
          <w:szCs w:val="24"/>
        </w:rPr>
      </w:pPr>
      <w:r>
        <w:rPr>
          <w:rFonts w:hint="eastAsia"/>
          <w:sz w:val="24"/>
          <w:szCs w:val="24"/>
        </w:rPr>
        <w:t>确定供暖空调系统能耗比对评价指标基准时，应对气象参数、建筑几何特性、建筑服务质量与数量进行分类或者归一化处理。</w:t>
      </w:r>
    </w:p>
    <w:p>
      <w:pPr>
        <w:pStyle w:val="20"/>
        <w:numPr>
          <w:ilvl w:val="0"/>
          <w:numId w:val="13"/>
        </w:numPr>
        <w:spacing w:line="360" w:lineRule="auto"/>
        <w:ind w:firstLineChars="0"/>
        <w:rPr>
          <w:sz w:val="24"/>
          <w:szCs w:val="24"/>
        </w:rPr>
      </w:pPr>
      <w:r>
        <w:rPr>
          <w:rFonts w:hint="eastAsia"/>
          <w:sz w:val="24"/>
          <w:szCs w:val="24"/>
        </w:rPr>
        <w:t>确定照明能耗比对评价指标基准时，应对建筑几何特性、服务质量与数量进行分类或归一化处理。</w:t>
      </w:r>
    </w:p>
    <w:p>
      <w:pPr>
        <w:pStyle w:val="20"/>
        <w:numPr>
          <w:ilvl w:val="0"/>
          <w:numId w:val="13"/>
        </w:numPr>
        <w:spacing w:line="360" w:lineRule="auto"/>
        <w:ind w:firstLineChars="0"/>
        <w:rPr>
          <w:sz w:val="24"/>
          <w:szCs w:val="24"/>
        </w:rPr>
      </w:pPr>
      <w:r>
        <w:rPr>
          <w:rFonts w:hint="eastAsia"/>
          <w:sz w:val="24"/>
          <w:szCs w:val="24"/>
        </w:rPr>
        <w:t>确定插座能耗比对评价指标基准时，应对建筑几何特性、服务质量与数量进行分类或归一化处理。</w:t>
      </w:r>
    </w:p>
    <w:p>
      <w:pPr>
        <w:pStyle w:val="20"/>
        <w:numPr>
          <w:ilvl w:val="0"/>
          <w:numId w:val="13"/>
        </w:numPr>
        <w:spacing w:line="360" w:lineRule="auto"/>
        <w:ind w:firstLineChars="0"/>
        <w:rPr>
          <w:sz w:val="24"/>
          <w:szCs w:val="24"/>
        </w:rPr>
      </w:pPr>
      <w:r>
        <w:rPr>
          <w:rFonts w:hint="eastAsia"/>
          <w:sz w:val="24"/>
          <w:szCs w:val="24"/>
        </w:rPr>
        <w:t>确定动力系统能耗比对评价指标基准时，应对建筑几何特性、服务质量与数量进行分类或归一化处理。</w:t>
      </w:r>
    </w:p>
    <w:p>
      <w:pPr>
        <w:pStyle w:val="20"/>
        <w:numPr>
          <w:ilvl w:val="0"/>
          <w:numId w:val="13"/>
        </w:numPr>
        <w:spacing w:line="360" w:lineRule="auto"/>
        <w:ind w:firstLineChars="0"/>
        <w:rPr>
          <w:sz w:val="24"/>
          <w:szCs w:val="24"/>
        </w:rPr>
      </w:pPr>
      <w:r>
        <w:rPr>
          <w:rFonts w:hint="eastAsia"/>
          <w:sz w:val="24"/>
          <w:szCs w:val="24"/>
        </w:rPr>
        <w:t>确定各分项能耗比对评价指标基准的样本数量应不少于</w:t>
      </w:r>
      <w:r>
        <w:rPr>
          <w:sz w:val="24"/>
          <w:szCs w:val="24"/>
        </w:rPr>
        <w:t>50</w:t>
      </w:r>
      <w:r>
        <w:rPr>
          <w:rFonts w:hint="eastAsia"/>
          <w:sz w:val="24"/>
          <w:szCs w:val="24"/>
        </w:rPr>
        <w:t>个。</w:t>
      </w:r>
    </w:p>
    <w:p>
      <w:pPr>
        <w:pStyle w:val="20"/>
        <w:numPr>
          <w:ilvl w:val="0"/>
          <w:numId w:val="13"/>
        </w:numPr>
        <w:spacing w:line="360" w:lineRule="auto"/>
        <w:ind w:firstLineChars="0"/>
        <w:rPr>
          <w:sz w:val="24"/>
          <w:szCs w:val="24"/>
        </w:rPr>
      </w:pPr>
      <w:r>
        <w:rPr>
          <w:rFonts w:hint="eastAsia"/>
          <w:sz w:val="24"/>
          <w:szCs w:val="24"/>
        </w:rPr>
        <w:t>评价指标值应定期进行更新，更新周期宜为</w:t>
      </w:r>
      <w:r>
        <w:rPr>
          <w:sz w:val="24"/>
          <w:szCs w:val="24"/>
        </w:rPr>
        <w:t>3~10</w:t>
      </w:r>
      <w:r>
        <w:rPr>
          <w:rFonts w:hint="eastAsia"/>
          <w:sz w:val="24"/>
          <w:szCs w:val="24"/>
        </w:rPr>
        <w:t>年。</w:t>
      </w:r>
    </w:p>
    <w:p>
      <w:pPr>
        <w:spacing w:line="360" w:lineRule="auto"/>
        <w:ind w:firstLine="482" w:firstLineChars="200"/>
        <w:rPr>
          <w:rFonts w:eastAsia="楷体"/>
          <w:b/>
          <w:bCs/>
          <w:sz w:val="24"/>
          <w:szCs w:val="24"/>
        </w:rPr>
      </w:pPr>
      <w:r>
        <w:rPr>
          <w:rFonts w:hint="eastAsia" w:eastAsia="楷体"/>
          <w:b/>
          <w:bCs/>
          <w:sz w:val="24"/>
          <w:szCs w:val="24"/>
        </w:rPr>
        <w:t>【条文说明】</w:t>
      </w:r>
      <w:r>
        <w:rPr>
          <w:rFonts w:hint="eastAsia" w:eastAsia="楷体"/>
          <w:sz w:val="24"/>
          <w:szCs w:val="24"/>
        </w:rPr>
        <w:t>确定基于监测系统的分项能耗比对评价方法的原则。</w:t>
      </w:r>
    </w:p>
    <w:p>
      <w:pPr>
        <w:pStyle w:val="20"/>
        <w:numPr>
          <w:ilvl w:val="0"/>
          <w:numId w:val="14"/>
        </w:numPr>
        <w:spacing w:line="360" w:lineRule="auto"/>
        <w:ind w:firstLineChars="0"/>
        <w:rPr>
          <w:rFonts w:eastAsia="楷体"/>
          <w:sz w:val="24"/>
          <w:szCs w:val="24"/>
        </w:rPr>
      </w:pPr>
      <w:r>
        <w:rPr>
          <w:rFonts w:hint="eastAsia" w:eastAsia="楷体"/>
          <w:sz w:val="24"/>
          <w:szCs w:val="24"/>
        </w:rPr>
        <w:t>对于采用不同冷热源驱动能源类型的供暖空调系统，其能耗不具直接可比性，应分类进行比对评价。</w:t>
      </w:r>
    </w:p>
    <w:p>
      <w:pPr>
        <w:pStyle w:val="20"/>
        <w:numPr>
          <w:ilvl w:val="0"/>
          <w:numId w:val="14"/>
        </w:numPr>
        <w:spacing w:line="360" w:lineRule="auto"/>
        <w:ind w:firstLineChars="0"/>
        <w:rPr>
          <w:rFonts w:eastAsia="楷体"/>
          <w:sz w:val="24"/>
          <w:szCs w:val="24"/>
        </w:rPr>
      </w:pPr>
      <w:r>
        <w:rPr>
          <w:rFonts w:hint="eastAsia" w:eastAsia="楷体"/>
          <w:sz w:val="24"/>
          <w:szCs w:val="24"/>
        </w:rPr>
        <w:t>建筑供暖空调系统能耗室外气象参数、建筑规模、朝向等几何参数、建筑功能、运行时间等因素的影响，能耗基准的确定可以采用首先对影响因素相关性进行分析，按显著性影响因素进行分类后采用数学统计方法确定基准能耗；也可以按总能耗比对评价方法，对相关影响因素进行归一化处理确定基准能耗。</w:t>
      </w:r>
    </w:p>
    <w:p>
      <w:pPr>
        <w:spacing w:line="360" w:lineRule="auto"/>
        <w:ind w:left="480"/>
        <w:rPr>
          <w:rFonts w:eastAsia="楷体"/>
          <w:sz w:val="24"/>
          <w:szCs w:val="24"/>
        </w:rPr>
      </w:pPr>
      <w:r>
        <w:rPr>
          <w:rFonts w:eastAsia="楷体"/>
          <w:sz w:val="24"/>
          <w:szCs w:val="24"/>
        </w:rPr>
        <w:t>3</w:t>
      </w:r>
      <w:r>
        <w:rPr>
          <w:rFonts w:hint="eastAsia" w:eastAsia="楷体"/>
          <w:sz w:val="24"/>
          <w:szCs w:val="24"/>
        </w:rPr>
        <w:t>-</w:t>
      </w:r>
      <w:r>
        <w:rPr>
          <w:rFonts w:eastAsia="楷体"/>
          <w:sz w:val="24"/>
          <w:szCs w:val="24"/>
        </w:rPr>
        <w:t>4</w:t>
      </w:r>
      <w:r>
        <w:rPr>
          <w:rFonts w:hint="eastAsia" w:eastAsia="楷体"/>
          <w:sz w:val="24"/>
          <w:szCs w:val="24"/>
        </w:rPr>
        <w:t>监测系统照明、插座的电耗数据无法分开时，照明插座能耗则一起评价。</w:t>
      </w:r>
    </w:p>
    <w:p>
      <w:pPr>
        <w:spacing w:line="360" w:lineRule="auto"/>
        <w:ind w:left="480"/>
        <w:rPr>
          <w:rFonts w:eastAsia="楷体"/>
          <w:sz w:val="24"/>
          <w:szCs w:val="24"/>
        </w:rPr>
      </w:pPr>
      <w:r>
        <w:rPr>
          <w:rFonts w:hint="eastAsia" w:eastAsia="楷体"/>
          <w:sz w:val="24"/>
          <w:szCs w:val="24"/>
        </w:rPr>
        <w:t>6</w:t>
      </w:r>
      <w:r>
        <w:rPr>
          <w:rFonts w:eastAsia="楷体"/>
          <w:sz w:val="24"/>
          <w:szCs w:val="24"/>
        </w:rPr>
        <w:t xml:space="preserve">  </w:t>
      </w:r>
      <w:r>
        <w:rPr>
          <w:rFonts w:hint="eastAsia" w:eastAsia="楷体"/>
          <w:sz w:val="24"/>
          <w:szCs w:val="24"/>
        </w:rPr>
        <w:t>规定了样本量的要求。样本容量偏小的话，抽样误差会增加，根据中心极限定理，一般情况当样本量大于</w:t>
      </w:r>
      <w:r>
        <w:rPr>
          <w:rFonts w:eastAsia="楷体"/>
          <w:sz w:val="24"/>
          <w:szCs w:val="24"/>
        </w:rPr>
        <w:t>30</w:t>
      </w:r>
      <w:r>
        <w:rPr>
          <w:rFonts w:hint="eastAsia" w:eastAsia="楷体"/>
          <w:sz w:val="24"/>
          <w:szCs w:val="24"/>
        </w:rPr>
        <w:t>时，接近正态分布，样本量大于</w:t>
      </w:r>
      <w:r>
        <w:rPr>
          <w:rFonts w:eastAsia="楷体"/>
          <w:sz w:val="24"/>
          <w:szCs w:val="24"/>
        </w:rPr>
        <w:t>50</w:t>
      </w:r>
      <w:r>
        <w:rPr>
          <w:rFonts w:hint="eastAsia" w:eastAsia="楷体"/>
          <w:sz w:val="24"/>
          <w:szCs w:val="24"/>
        </w:rPr>
        <w:t>时，基本可以认为是正态分布。</w:t>
      </w:r>
    </w:p>
    <w:p>
      <w:pPr>
        <w:spacing w:line="360" w:lineRule="auto"/>
        <w:rPr>
          <w:sz w:val="24"/>
          <w:szCs w:val="24"/>
        </w:rPr>
      </w:pPr>
      <w:r>
        <w:rPr>
          <w:sz w:val="24"/>
          <w:szCs w:val="24"/>
        </w:rPr>
        <w:t>5.3.2</w:t>
      </w:r>
      <w:r>
        <w:rPr>
          <w:rFonts w:hint="eastAsia"/>
          <w:sz w:val="24"/>
          <w:szCs w:val="24"/>
        </w:rPr>
        <w:t>基于监测系统的分项能耗比对评价流程可采用以下步骤：</w:t>
      </w:r>
    </w:p>
    <w:p>
      <w:pPr>
        <w:pStyle w:val="20"/>
        <w:numPr>
          <w:ilvl w:val="1"/>
          <w:numId w:val="15"/>
        </w:numPr>
        <w:spacing w:line="360" w:lineRule="auto"/>
        <w:ind w:firstLineChars="0"/>
        <w:rPr>
          <w:sz w:val="24"/>
          <w:szCs w:val="24"/>
        </w:rPr>
      </w:pPr>
      <w:r>
        <w:rPr>
          <w:rFonts w:hint="eastAsia"/>
          <w:sz w:val="24"/>
          <w:szCs w:val="24"/>
        </w:rPr>
        <w:t>开展数据调研工作。</w:t>
      </w:r>
    </w:p>
    <w:p>
      <w:pPr>
        <w:pStyle w:val="20"/>
        <w:numPr>
          <w:ilvl w:val="1"/>
          <w:numId w:val="15"/>
        </w:numPr>
        <w:spacing w:line="360" w:lineRule="auto"/>
        <w:ind w:firstLineChars="0"/>
        <w:rPr>
          <w:sz w:val="24"/>
          <w:szCs w:val="24"/>
        </w:rPr>
      </w:pPr>
      <w:r>
        <w:rPr>
          <w:rFonts w:hint="eastAsia"/>
          <w:sz w:val="24"/>
          <w:szCs w:val="24"/>
        </w:rPr>
        <w:t>采用不同数据源对调研数据进行校核，确保样本数据的准确性。</w:t>
      </w:r>
    </w:p>
    <w:p>
      <w:pPr>
        <w:pStyle w:val="20"/>
        <w:numPr>
          <w:ilvl w:val="1"/>
          <w:numId w:val="15"/>
        </w:numPr>
        <w:spacing w:line="360" w:lineRule="auto"/>
        <w:ind w:firstLineChars="0"/>
        <w:rPr>
          <w:sz w:val="24"/>
          <w:szCs w:val="24"/>
        </w:rPr>
      </w:pPr>
      <w:r>
        <w:rPr>
          <w:rFonts w:hint="eastAsia"/>
          <w:sz w:val="24"/>
          <w:szCs w:val="24"/>
        </w:rPr>
        <w:t>分析各分项能耗的影响因素，采用适当的统计分析方法，将气候、建筑本体、建筑服务、能源系统等特性相似的样本归为同类，再进行同类分项能耗的评价。每类样本数量均应满足</w:t>
      </w:r>
      <w:r>
        <w:rPr>
          <w:sz w:val="24"/>
          <w:szCs w:val="24"/>
        </w:rPr>
        <w:t>5.3.1</w:t>
      </w:r>
      <w:r>
        <w:rPr>
          <w:rFonts w:hint="eastAsia"/>
          <w:sz w:val="24"/>
          <w:szCs w:val="24"/>
        </w:rPr>
        <w:t>条对样本量的要求。</w:t>
      </w:r>
    </w:p>
    <w:p>
      <w:pPr>
        <w:pStyle w:val="20"/>
        <w:numPr>
          <w:ilvl w:val="1"/>
          <w:numId w:val="15"/>
        </w:numPr>
        <w:spacing w:line="360" w:lineRule="auto"/>
        <w:ind w:firstLineChars="0"/>
        <w:rPr>
          <w:sz w:val="24"/>
          <w:szCs w:val="24"/>
        </w:rPr>
      </w:pPr>
      <w:r>
        <w:rPr>
          <w:rFonts w:hint="eastAsia"/>
          <w:sz w:val="24"/>
          <w:szCs w:val="24"/>
        </w:rPr>
        <w:t>根据分类样本的能耗数据分别计算各类建筑各分项能耗比对评价指标值。</w:t>
      </w:r>
    </w:p>
    <w:p>
      <w:pPr>
        <w:pStyle w:val="20"/>
        <w:numPr>
          <w:ilvl w:val="1"/>
          <w:numId w:val="15"/>
        </w:numPr>
        <w:spacing w:line="360" w:lineRule="auto"/>
        <w:ind w:firstLineChars="0"/>
        <w:rPr>
          <w:sz w:val="24"/>
          <w:szCs w:val="24"/>
        </w:rPr>
      </w:pPr>
      <w:r>
        <w:rPr>
          <w:rFonts w:hint="eastAsia"/>
          <w:sz w:val="24"/>
          <w:szCs w:val="24"/>
        </w:rPr>
        <w:t>分项能耗比对评价结果可根据应用需求，采用分级、评分或星级等形式。</w:t>
      </w:r>
    </w:p>
    <w:p>
      <w:pPr>
        <w:pStyle w:val="20"/>
        <w:numPr>
          <w:ilvl w:val="1"/>
          <w:numId w:val="15"/>
        </w:numPr>
        <w:spacing w:line="360" w:lineRule="auto"/>
        <w:ind w:firstLineChars="0"/>
        <w:rPr>
          <w:sz w:val="24"/>
          <w:szCs w:val="24"/>
        </w:rPr>
      </w:pPr>
      <w:r>
        <w:rPr>
          <w:rFonts w:hint="eastAsia"/>
          <w:sz w:val="24"/>
          <w:szCs w:val="24"/>
        </w:rPr>
        <w:t>根据各样本评价指标值分布情况，确定分级评分或星级的评价阈。</w:t>
      </w:r>
    </w:p>
    <w:p>
      <w:pPr>
        <w:pStyle w:val="20"/>
        <w:numPr>
          <w:ilvl w:val="1"/>
          <w:numId w:val="15"/>
        </w:numPr>
        <w:spacing w:line="360" w:lineRule="auto"/>
        <w:ind w:firstLineChars="0"/>
        <w:rPr>
          <w:sz w:val="24"/>
          <w:szCs w:val="24"/>
        </w:rPr>
      </w:pPr>
      <w:r>
        <w:rPr>
          <w:rFonts w:hint="eastAsia"/>
          <w:sz w:val="24"/>
          <w:szCs w:val="24"/>
        </w:rPr>
        <w:t>计算被评价建筑分项能耗的评价指标，查询相应评分表或分级表对应值，确定建筑分项能耗水平的评分或等级。</w:t>
      </w:r>
    </w:p>
    <w:p>
      <w:pPr>
        <w:pStyle w:val="20"/>
        <w:numPr>
          <w:ilvl w:val="1"/>
          <w:numId w:val="15"/>
        </w:numPr>
        <w:spacing w:line="360" w:lineRule="auto"/>
        <w:ind w:firstLineChars="0"/>
        <w:rPr>
          <w:sz w:val="24"/>
          <w:szCs w:val="24"/>
        </w:rPr>
      </w:pPr>
      <w:r>
        <w:rPr>
          <w:rFonts w:hint="eastAsia"/>
          <w:sz w:val="24"/>
          <w:szCs w:val="24"/>
        </w:rPr>
        <w:t>应根据评价结果给出各分项系统的节能潜力。</w:t>
      </w:r>
    </w:p>
    <w:p>
      <w:pPr>
        <w:spacing w:line="360" w:lineRule="auto"/>
        <w:ind w:firstLine="482" w:firstLineChars="200"/>
        <w:rPr>
          <w:rFonts w:eastAsia="楷体"/>
          <w:b/>
          <w:bCs/>
          <w:sz w:val="24"/>
          <w:szCs w:val="24"/>
        </w:rPr>
      </w:pPr>
      <w:r>
        <w:rPr>
          <w:rFonts w:hint="eastAsia" w:eastAsia="楷体"/>
          <w:b/>
          <w:bCs/>
          <w:sz w:val="24"/>
          <w:szCs w:val="24"/>
        </w:rPr>
        <w:t>【条文说明】</w:t>
      </w:r>
      <w:r>
        <w:rPr>
          <w:rFonts w:hint="eastAsia" w:eastAsia="楷体"/>
          <w:sz w:val="24"/>
          <w:szCs w:val="24"/>
        </w:rPr>
        <w:t>基于监测系统的分项能耗比对评价流程的步骤。</w:t>
      </w:r>
    </w:p>
    <w:p>
      <w:pPr>
        <w:pStyle w:val="20"/>
        <w:numPr>
          <w:ilvl w:val="1"/>
          <w:numId w:val="16"/>
        </w:numPr>
        <w:spacing w:line="360" w:lineRule="auto"/>
        <w:ind w:firstLineChars="0"/>
        <w:rPr>
          <w:rFonts w:eastAsia="楷体"/>
          <w:sz w:val="24"/>
          <w:szCs w:val="24"/>
        </w:rPr>
      </w:pPr>
      <w:r>
        <w:rPr>
          <w:rFonts w:hint="eastAsia" w:eastAsia="楷体"/>
          <w:sz w:val="24"/>
          <w:szCs w:val="24"/>
        </w:rPr>
        <w:t>数据调研内容包含：</w:t>
      </w:r>
    </w:p>
    <w:p>
      <w:pPr>
        <w:pStyle w:val="20"/>
        <w:numPr>
          <w:ilvl w:val="0"/>
          <w:numId w:val="17"/>
        </w:numPr>
        <w:spacing w:line="360" w:lineRule="auto"/>
        <w:ind w:firstLineChars="0"/>
        <w:rPr>
          <w:rFonts w:eastAsia="楷体"/>
          <w:sz w:val="24"/>
          <w:szCs w:val="24"/>
        </w:rPr>
      </w:pPr>
      <w:r>
        <w:rPr>
          <w:rFonts w:hint="eastAsia" w:eastAsia="楷体"/>
          <w:sz w:val="24"/>
          <w:szCs w:val="24"/>
        </w:rPr>
        <w:t>建筑各分项能耗数据，供暖空调系统能耗数据满足一个供暖季</w:t>
      </w:r>
      <w:r>
        <w:rPr>
          <w:rFonts w:eastAsia="楷体"/>
          <w:sz w:val="24"/>
          <w:szCs w:val="24"/>
        </w:rPr>
        <w:t>/</w:t>
      </w:r>
      <w:r>
        <w:rPr>
          <w:rFonts w:hint="eastAsia" w:eastAsia="楷体"/>
          <w:sz w:val="24"/>
          <w:szCs w:val="24"/>
        </w:rPr>
        <w:t>供冷季，其他分项系统数据满足一个日历年。</w:t>
      </w:r>
    </w:p>
    <w:p>
      <w:pPr>
        <w:pStyle w:val="20"/>
        <w:numPr>
          <w:ilvl w:val="0"/>
          <w:numId w:val="17"/>
        </w:numPr>
        <w:spacing w:line="360" w:lineRule="auto"/>
        <w:ind w:firstLineChars="0"/>
        <w:rPr>
          <w:rFonts w:eastAsia="楷体"/>
          <w:sz w:val="24"/>
          <w:szCs w:val="24"/>
        </w:rPr>
      </w:pPr>
      <w:r>
        <w:rPr>
          <w:rFonts w:hint="eastAsia" w:eastAsia="楷体"/>
          <w:sz w:val="24"/>
          <w:szCs w:val="24"/>
        </w:rPr>
        <w:t>建筑所在地区的气象参数</w:t>
      </w:r>
    </w:p>
    <w:p>
      <w:pPr>
        <w:pStyle w:val="20"/>
        <w:numPr>
          <w:ilvl w:val="0"/>
          <w:numId w:val="17"/>
        </w:numPr>
        <w:spacing w:line="360" w:lineRule="auto"/>
        <w:ind w:firstLineChars="0"/>
        <w:rPr>
          <w:rFonts w:eastAsia="楷体"/>
          <w:sz w:val="24"/>
          <w:szCs w:val="24"/>
        </w:rPr>
      </w:pPr>
      <w:r>
        <w:rPr>
          <w:rFonts w:hint="eastAsia" w:eastAsia="楷体"/>
          <w:sz w:val="24"/>
          <w:szCs w:val="24"/>
        </w:rPr>
        <w:t>建筑基本信息</w:t>
      </w:r>
    </w:p>
    <w:p>
      <w:pPr>
        <w:pStyle w:val="20"/>
        <w:numPr>
          <w:ilvl w:val="0"/>
          <w:numId w:val="17"/>
        </w:numPr>
        <w:spacing w:line="360" w:lineRule="auto"/>
        <w:ind w:firstLineChars="0"/>
        <w:rPr>
          <w:rFonts w:eastAsia="楷体"/>
          <w:sz w:val="24"/>
          <w:szCs w:val="24"/>
        </w:rPr>
      </w:pPr>
      <w:r>
        <w:rPr>
          <w:rFonts w:hint="eastAsia" w:eastAsia="楷体"/>
          <w:sz w:val="24"/>
          <w:szCs w:val="24"/>
        </w:rPr>
        <w:t>建筑能源系统型式</w:t>
      </w:r>
    </w:p>
    <w:p>
      <w:pPr>
        <w:pStyle w:val="20"/>
        <w:numPr>
          <w:ilvl w:val="0"/>
          <w:numId w:val="17"/>
        </w:numPr>
        <w:spacing w:line="360" w:lineRule="auto"/>
        <w:ind w:firstLineChars="0"/>
        <w:rPr>
          <w:rFonts w:eastAsia="楷体"/>
          <w:sz w:val="24"/>
          <w:szCs w:val="24"/>
        </w:rPr>
      </w:pPr>
      <w:r>
        <w:rPr>
          <w:rFonts w:hint="eastAsia" w:eastAsia="楷体"/>
          <w:sz w:val="24"/>
          <w:szCs w:val="24"/>
        </w:rPr>
        <w:t>建筑服务量</w:t>
      </w:r>
    </w:p>
    <w:p>
      <w:pPr>
        <w:pStyle w:val="20"/>
        <w:numPr>
          <w:ilvl w:val="0"/>
          <w:numId w:val="17"/>
        </w:numPr>
        <w:spacing w:line="360" w:lineRule="auto"/>
        <w:ind w:firstLineChars="0"/>
        <w:rPr>
          <w:rFonts w:eastAsia="楷体"/>
          <w:sz w:val="24"/>
          <w:szCs w:val="24"/>
        </w:rPr>
      </w:pPr>
      <w:r>
        <w:rPr>
          <w:rFonts w:hint="eastAsia" w:eastAsia="楷体"/>
          <w:sz w:val="24"/>
          <w:szCs w:val="24"/>
        </w:rPr>
        <w:t>建筑运行信息</w:t>
      </w:r>
    </w:p>
    <w:p>
      <w:pPr>
        <w:spacing w:line="360" w:lineRule="auto"/>
        <w:ind w:left="420" w:leftChars="200"/>
        <w:rPr>
          <w:rFonts w:eastAsia="楷体"/>
          <w:sz w:val="24"/>
          <w:szCs w:val="24"/>
        </w:rPr>
      </w:pPr>
      <w:r>
        <w:rPr>
          <w:rFonts w:hint="eastAsia" w:eastAsia="楷体"/>
          <w:sz w:val="24"/>
          <w:szCs w:val="24"/>
        </w:rPr>
        <w:t>2目前不同单位对建筑运行数据管理差异性较大，调研数据质量参差不齐，在建立能耗比对评价体系前需要对数据质量进行校核：</w:t>
      </w:r>
    </w:p>
    <w:p>
      <w:pPr>
        <w:pStyle w:val="20"/>
        <w:numPr>
          <w:ilvl w:val="0"/>
          <w:numId w:val="18"/>
        </w:numPr>
        <w:spacing w:line="360" w:lineRule="auto"/>
        <w:ind w:firstLineChars="0"/>
        <w:rPr>
          <w:rFonts w:eastAsia="楷体"/>
          <w:sz w:val="24"/>
          <w:szCs w:val="24"/>
        </w:rPr>
      </w:pPr>
      <w:r>
        <w:rPr>
          <w:rFonts w:hint="eastAsia" w:eastAsia="楷体"/>
          <w:sz w:val="24"/>
          <w:szCs w:val="24"/>
        </w:rPr>
        <w:t>数据源宜包含：监测终端、现场抄表数据、建筑图纸、设备台账、运行记录等。</w:t>
      </w:r>
    </w:p>
    <w:p>
      <w:pPr>
        <w:pStyle w:val="20"/>
        <w:numPr>
          <w:ilvl w:val="0"/>
          <w:numId w:val="18"/>
        </w:numPr>
        <w:spacing w:line="360" w:lineRule="auto"/>
        <w:ind w:firstLineChars="0"/>
        <w:rPr>
          <w:rFonts w:eastAsia="楷体"/>
          <w:sz w:val="24"/>
          <w:szCs w:val="24"/>
        </w:rPr>
      </w:pPr>
      <w:r>
        <w:rPr>
          <w:rFonts w:hint="eastAsia" w:eastAsia="楷体"/>
          <w:sz w:val="24"/>
          <w:szCs w:val="24"/>
        </w:rPr>
        <w:t>数据核准方法宜包括：电话访问、现场核查，必要时应进行现场检测。</w:t>
      </w:r>
    </w:p>
    <w:p>
      <w:pPr>
        <w:spacing w:line="360" w:lineRule="auto"/>
        <w:ind w:left="420" w:leftChars="200"/>
        <w:rPr>
          <w:rFonts w:eastAsia="楷体"/>
          <w:sz w:val="24"/>
          <w:szCs w:val="24"/>
        </w:rPr>
      </w:pPr>
      <w:r>
        <w:rPr>
          <w:rFonts w:hint="eastAsia" w:eastAsia="楷体"/>
          <w:sz w:val="24"/>
          <w:szCs w:val="24"/>
        </w:rPr>
        <w:t>3进行分项能耗比对评价时，将建筑特性、系统特性和建筑使用特性相似的分项系统归为同类，再进行同类间的分项能耗的比对评价，更具科学合理性。</w:t>
      </w:r>
    </w:p>
    <w:p>
      <w:pPr>
        <w:spacing w:line="360" w:lineRule="auto"/>
        <w:rPr>
          <w:sz w:val="24"/>
          <w:szCs w:val="24"/>
        </w:rPr>
      </w:pPr>
    </w:p>
    <w:p>
      <w:pPr>
        <w:pStyle w:val="3"/>
        <w:spacing w:before="240" w:after="120" w:line="360" w:lineRule="auto"/>
        <w:jc w:val="center"/>
        <w:rPr>
          <w:rFonts w:ascii="宋体" w:hAnsi="宋体" w:eastAsia="宋体"/>
          <w:b w:val="0"/>
          <w:bCs w:val="0"/>
          <w:sz w:val="24"/>
          <w:szCs w:val="24"/>
        </w:rPr>
      </w:pPr>
      <w:bookmarkStart w:id="19" w:name="_Toc28354604"/>
      <w:bookmarkStart w:id="20" w:name="_Hlk28270449"/>
      <w:r>
        <w:rPr>
          <w:rFonts w:ascii="宋体" w:hAnsi="宋体" w:eastAsia="宋体"/>
          <w:b w:val="0"/>
          <w:bCs w:val="0"/>
          <w:sz w:val="24"/>
          <w:szCs w:val="24"/>
        </w:rPr>
        <w:t>5.4设备能耗比对评价</w:t>
      </w:r>
      <w:r>
        <w:rPr>
          <w:rFonts w:hint="eastAsia" w:ascii="宋体" w:hAnsi="宋体" w:eastAsia="宋体"/>
          <w:b w:val="0"/>
          <w:bCs w:val="0"/>
          <w:sz w:val="24"/>
          <w:szCs w:val="24"/>
        </w:rPr>
        <w:t>方法</w:t>
      </w:r>
      <w:bookmarkEnd w:id="19"/>
    </w:p>
    <w:p>
      <w:pPr>
        <w:spacing w:line="360" w:lineRule="auto"/>
        <w:rPr>
          <w:sz w:val="24"/>
          <w:szCs w:val="24"/>
        </w:rPr>
      </w:pPr>
      <w:r>
        <w:rPr>
          <w:sz w:val="24"/>
          <w:szCs w:val="24"/>
        </w:rPr>
        <w:t>5.4.1</w:t>
      </w:r>
      <w:r>
        <w:rPr>
          <w:rFonts w:hint="eastAsia"/>
          <w:sz w:val="24"/>
          <w:szCs w:val="24"/>
        </w:rPr>
        <w:t>设备能耗比对评价方法的确定应符合下列规定：</w:t>
      </w:r>
    </w:p>
    <w:p>
      <w:pPr>
        <w:pStyle w:val="20"/>
        <w:numPr>
          <w:ilvl w:val="0"/>
          <w:numId w:val="19"/>
        </w:numPr>
        <w:spacing w:line="360" w:lineRule="auto"/>
        <w:ind w:firstLineChars="0"/>
        <w:rPr>
          <w:sz w:val="24"/>
          <w:szCs w:val="24"/>
        </w:rPr>
      </w:pPr>
      <w:r>
        <w:rPr>
          <w:rFonts w:hint="eastAsia"/>
          <w:sz w:val="24"/>
          <w:szCs w:val="24"/>
        </w:rPr>
        <w:t>确定各类设备能耗比对评价指标基准值的样本数量应不少于</w:t>
      </w:r>
      <w:r>
        <w:rPr>
          <w:sz w:val="24"/>
          <w:szCs w:val="24"/>
        </w:rPr>
        <w:t>50</w:t>
      </w:r>
      <w:r>
        <w:rPr>
          <w:rFonts w:hint="eastAsia"/>
          <w:sz w:val="24"/>
          <w:szCs w:val="24"/>
        </w:rPr>
        <w:t>个。</w:t>
      </w:r>
    </w:p>
    <w:p>
      <w:pPr>
        <w:pStyle w:val="20"/>
        <w:numPr>
          <w:ilvl w:val="0"/>
          <w:numId w:val="19"/>
        </w:numPr>
        <w:spacing w:line="360" w:lineRule="auto"/>
        <w:ind w:firstLineChars="0"/>
        <w:rPr>
          <w:sz w:val="24"/>
          <w:szCs w:val="24"/>
        </w:rPr>
      </w:pPr>
      <w:r>
        <w:rPr>
          <w:rFonts w:hint="eastAsia"/>
          <w:sz w:val="24"/>
          <w:szCs w:val="24"/>
        </w:rPr>
        <w:t>设备能耗比对评价应按建筑类别、所在地区、使用特性等进行分类评价。</w:t>
      </w:r>
    </w:p>
    <w:p>
      <w:pPr>
        <w:spacing w:line="360" w:lineRule="auto"/>
        <w:ind w:firstLine="482" w:firstLineChars="200"/>
        <w:rPr>
          <w:rFonts w:eastAsia="楷体"/>
          <w:b/>
          <w:bCs/>
          <w:sz w:val="24"/>
          <w:szCs w:val="24"/>
        </w:rPr>
      </w:pPr>
      <w:r>
        <w:rPr>
          <w:rFonts w:hint="eastAsia" w:eastAsia="楷体"/>
          <w:b/>
          <w:bCs/>
          <w:sz w:val="24"/>
          <w:szCs w:val="24"/>
        </w:rPr>
        <w:t>【条文说明】</w:t>
      </w:r>
      <w:r>
        <w:rPr>
          <w:rFonts w:hint="eastAsia" w:eastAsia="楷体"/>
          <w:sz w:val="24"/>
          <w:szCs w:val="24"/>
        </w:rPr>
        <w:t>确定设备能耗比对评价方法的原则。</w:t>
      </w:r>
    </w:p>
    <w:p>
      <w:pPr>
        <w:spacing w:line="360" w:lineRule="auto"/>
        <w:ind w:firstLine="482" w:firstLineChars="200"/>
        <w:rPr>
          <w:sz w:val="24"/>
          <w:szCs w:val="24"/>
        </w:rPr>
      </w:pPr>
      <w:r>
        <w:rPr>
          <w:rFonts w:eastAsia="楷体"/>
          <w:b/>
          <w:bCs/>
          <w:sz w:val="24"/>
          <w:szCs w:val="24"/>
        </w:rPr>
        <w:t>2</w:t>
      </w:r>
      <w:r>
        <w:rPr>
          <w:rFonts w:hint="eastAsia" w:eastAsia="楷体"/>
          <w:sz w:val="24"/>
          <w:szCs w:val="24"/>
        </w:rPr>
        <w:t>在进行设备能耗比对评价时，设备按使用功能进行分类后，还应按建筑特性、气象特性、使用特性作进一步分类，进行同类设备能耗的比对评价更具科学合理性。</w:t>
      </w:r>
    </w:p>
    <w:p>
      <w:pPr>
        <w:spacing w:line="360" w:lineRule="auto"/>
        <w:rPr>
          <w:sz w:val="24"/>
          <w:szCs w:val="24"/>
        </w:rPr>
      </w:pPr>
      <w:r>
        <w:rPr>
          <w:sz w:val="24"/>
          <w:szCs w:val="24"/>
        </w:rPr>
        <w:t>5.4.2</w:t>
      </w:r>
      <w:r>
        <w:rPr>
          <w:rFonts w:hint="eastAsia"/>
          <w:sz w:val="24"/>
          <w:szCs w:val="24"/>
        </w:rPr>
        <w:t>设备能耗比对评价流程可采用以下步骤：</w:t>
      </w:r>
    </w:p>
    <w:p>
      <w:pPr>
        <w:pStyle w:val="20"/>
        <w:numPr>
          <w:ilvl w:val="1"/>
          <w:numId w:val="20"/>
        </w:numPr>
        <w:spacing w:line="360" w:lineRule="auto"/>
        <w:ind w:firstLineChars="0"/>
        <w:rPr>
          <w:sz w:val="24"/>
          <w:szCs w:val="24"/>
        </w:rPr>
      </w:pPr>
      <w:r>
        <w:rPr>
          <w:rFonts w:hint="eastAsia"/>
          <w:sz w:val="24"/>
          <w:szCs w:val="24"/>
        </w:rPr>
        <w:t>开展数据调研，每类设备样本数量应满足</w:t>
      </w:r>
      <w:r>
        <w:rPr>
          <w:sz w:val="24"/>
          <w:szCs w:val="24"/>
        </w:rPr>
        <w:t>5.4.1</w:t>
      </w:r>
      <w:r>
        <w:rPr>
          <w:rFonts w:hint="eastAsia"/>
          <w:sz w:val="24"/>
          <w:szCs w:val="24"/>
        </w:rPr>
        <w:t>节对样本量的要求。</w:t>
      </w:r>
    </w:p>
    <w:p>
      <w:pPr>
        <w:pStyle w:val="20"/>
        <w:numPr>
          <w:ilvl w:val="1"/>
          <w:numId w:val="20"/>
        </w:numPr>
        <w:spacing w:line="360" w:lineRule="auto"/>
        <w:ind w:firstLineChars="0"/>
        <w:rPr>
          <w:sz w:val="24"/>
          <w:szCs w:val="24"/>
        </w:rPr>
      </w:pPr>
      <w:r>
        <w:rPr>
          <w:rFonts w:hint="eastAsia"/>
          <w:sz w:val="24"/>
          <w:szCs w:val="24"/>
        </w:rPr>
        <w:t>采用不同数据源对调研数据进行校核，确保样本数据的准确性。</w:t>
      </w:r>
    </w:p>
    <w:p>
      <w:pPr>
        <w:pStyle w:val="20"/>
        <w:numPr>
          <w:ilvl w:val="1"/>
          <w:numId w:val="20"/>
        </w:numPr>
        <w:spacing w:line="360" w:lineRule="auto"/>
        <w:ind w:firstLineChars="0"/>
        <w:rPr>
          <w:sz w:val="24"/>
          <w:szCs w:val="24"/>
        </w:rPr>
      </w:pPr>
      <w:r>
        <w:rPr>
          <w:rFonts w:hint="eastAsia"/>
          <w:sz w:val="24"/>
          <w:szCs w:val="24"/>
        </w:rPr>
        <w:t>计算各样本评价指标值。</w:t>
      </w:r>
    </w:p>
    <w:p>
      <w:pPr>
        <w:pStyle w:val="20"/>
        <w:numPr>
          <w:ilvl w:val="1"/>
          <w:numId w:val="20"/>
        </w:numPr>
        <w:spacing w:line="360" w:lineRule="auto"/>
        <w:ind w:firstLineChars="0"/>
        <w:rPr>
          <w:sz w:val="24"/>
          <w:szCs w:val="24"/>
        </w:rPr>
      </w:pPr>
      <w:r>
        <w:rPr>
          <w:rFonts w:hint="eastAsia"/>
          <w:sz w:val="24"/>
          <w:szCs w:val="24"/>
        </w:rPr>
        <w:t>设备能耗比对评价结果可根据应用需求，采用分级、评分或星级等形式。</w:t>
      </w:r>
    </w:p>
    <w:p>
      <w:pPr>
        <w:pStyle w:val="20"/>
        <w:numPr>
          <w:ilvl w:val="1"/>
          <w:numId w:val="20"/>
        </w:numPr>
        <w:spacing w:line="360" w:lineRule="auto"/>
        <w:ind w:firstLineChars="0"/>
        <w:rPr>
          <w:sz w:val="24"/>
          <w:szCs w:val="24"/>
        </w:rPr>
      </w:pPr>
      <w:r>
        <w:rPr>
          <w:rFonts w:hint="eastAsia"/>
          <w:sz w:val="24"/>
          <w:szCs w:val="24"/>
        </w:rPr>
        <w:t>根据各样本能耗评价指标值的分布，确定评价阈。</w:t>
      </w:r>
    </w:p>
    <w:p>
      <w:pPr>
        <w:pStyle w:val="20"/>
        <w:numPr>
          <w:ilvl w:val="1"/>
          <w:numId w:val="20"/>
        </w:numPr>
        <w:spacing w:line="360" w:lineRule="auto"/>
        <w:ind w:firstLineChars="0"/>
        <w:rPr>
          <w:sz w:val="24"/>
          <w:szCs w:val="24"/>
        </w:rPr>
      </w:pPr>
      <w:r>
        <w:rPr>
          <w:rFonts w:hint="eastAsia"/>
          <w:sz w:val="24"/>
          <w:szCs w:val="24"/>
        </w:rPr>
        <w:t>计算设备能耗比对评价指标值，查询相应评分表或分级表对应值，确定设备能耗水平的评分或等级。</w:t>
      </w:r>
    </w:p>
    <w:p>
      <w:pPr>
        <w:pStyle w:val="20"/>
        <w:numPr>
          <w:ilvl w:val="1"/>
          <w:numId w:val="20"/>
        </w:numPr>
        <w:spacing w:line="360" w:lineRule="auto"/>
        <w:ind w:firstLineChars="0"/>
        <w:rPr>
          <w:sz w:val="24"/>
          <w:szCs w:val="24"/>
        </w:rPr>
      </w:pPr>
      <w:r>
        <w:rPr>
          <w:rFonts w:hint="eastAsia"/>
          <w:sz w:val="24"/>
          <w:szCs w:val="24"/>
        </w:rPr>
        <w:t>应根据评价结果给出各设备的节能潜力。</w:t>
      </w:r>
    </w:p>
    <w:p>
      <w:pPr>
        <w:pStyle w:val="20"/>
        <w:spacing w:line="360" w:lineRule="auto"/>
        <w:ind w:left="840" w:firstLine="0" w:firstLineChars="0"/>
        <w:rPr>
          <w:rFonts w:eastAsia="楷体"/>
          <w:sz w:val="24"/>
          <w:szCs w:val="24"/>
        </w:rPr>
      </w:pPr>
      <w:r>
        <w:rPr>
          <w:rFonts w:hint="eastAsia" w:ascii="仿宋" w:hAnsi="仿宋" w:eastAsia="仿宋"/>
          <w:sz w:val="24"/>
          <w:szCs w:val="24"/>
        </w:rPr>
        <w:t>【条文说明】</w:t>
      </w:r>
      <w:r>
        <w:rPr>
          <w:rFonts w:hint="eastAsia" w:eastAsia="楷体"/>
          <w:sz w:val="24"/>
          <w:szCs w:val="24"/>
        </w:rPr>
        <w:t>设备能耗比对评价流程的步骤。</w:t>
      </w:r>
    </w:p>
    <w:p>
      <w:pPr>
        <w:pStyle w:val="20"/>
        <w:spacing w:line="360" w:lineRule="auto"/>
        <w:ind w:left="840" w:firstLine="0" w:firstLineChars="0"/>
        <w:rPr>
          <w:rFonts w:eastAsia="楷体"/>
          <w:sz w:val="24"/>
          <w:szCs w:val="24"/>
        </w:rPr>
      </w:pPr>
      <w:r>
        <w:rPr>
          <w:rFonts w:hint="eastAsia" w:eastAsia="楷体"/>
          <w:sz w:val="24"/>
          <w:szCs w:val="24"/>
        </w:rPr>
        <w:t>1数据调研内容包括：</w:t>
      </w:r>
    </w:p>
    <w:p>
      <w:pPr>
        <w:pStyle w:val="20"/>
        <w:numPr>
          <w:ilvl w:val="0"/>
          <w:numId w:val="21"/>
        </w:numPr>
        <w:spacing w:line="360" w:lineRule="auto"/>
        <w:ind w:firstLineChars="0"/>
        <w:rPr>
          <w:rFonts w:eastAsia="楷体"/>
          <w:sz w:val="24"/>
          <w:szCs w:val="24"/>
        </w:rPr>
      </w:pPr>
      <w:r>
        <w:rPr>
          <w:rFonts w:hint="eastAsia" w:eastAsia="楷体"/>
          <w:sz w:val="24"/>
          <w:szCs w:val="24"/>
        </w:rPr>
        <w:t>设备能耗数据</w:t>
      </w:r>
    </w:p>
    <w:p>
      <w:pPr>
        <w:pStyle w:val="20"/>
        <w:numPr>
          <w:ilvl w:val="0"/>
          <w:numId w:val="21"/>
        </w:numPr>
        <w:spacing w:line="360" w:lineRule="auto"/>
        <w:ind w:firstLineChars="0"/>
        <w:rPr>
          <w:rFonts w:eastAsia="楷体"/>
          <w:sz w:val="24"/>
          <w:szCs w:val="24"/>
        </w:rPr>
      </w:pPr>
      <w:r>
        <w:rPr>
          <w:rFonts w:hint="eastAsia" w:eastAsia="楷体"/>
          <w:sz w:val="24"/>
          <w:szCs w:val="24"/>
        </w:rPr>
        <w:t>设备类型</w:t>
      </w:r>
    </w:p>
    <w:p>
      <w:pPr>
        <w:pStyle w:val="20"/>
        <w:numPr>
          <w:ilvl w:val="0"/>
          <w:numId w:val="21"/>
        </w:numPr>
        <w:spacing w:line="360" w:lineRule="auto"/>
        <w:ind w:firstLineChars="0"/>
        <w:rPr>
          <w:rFonts w:eastAsia="楷体"/>
          <w:sz w:val="24"/>
          <w:szCs w:val="24"/>
        </w:rPr>
      </w:pPr>
      <w:r>
        <w:rPr>
          <w:rFonts w:hint="eastAsia" w:eastAsia="楷体"/>
          <w:sz w:val="24"/>
          <w:szCs w:val="24"/>
        </w:rPr>
        <w:t>建筑所在地区的气象参数</w:t>
      </w:r>
    </w:p>
    <w:p>
      <w:pPr>
        <w:pStyle w:val="20"/>
        <w:numPr>
          <w:ilvl w:val="0"/>
          <w:numId w:val="21"/>
        </w:numPr>
        <w:spacing w:line="360" w:lineRule="auto"/>
        <w:ind w:firstLineChars="0"/>
        <w:rPr>
          <w:rFonts w:eastAsia="楷体"/>
          <w:sz w:val="24"/>
          <w:szCs w:val="24"/>
        </w:rPr>
      </w:pPr>
      <w:r>
        <w:rPr>
          <w:rFonts w:hint="eastAsia" w:eastAsia="楷体"/>
          <w:sz w:val="24"/>
          <w:szCs w:val="24"/>
        </w:rPr>
        <w:t>建筑基本信息</w:t>
      </w:r>
    </w:p>
    <w:p>
      <w:pPr>
        <w:pStyle w:val="20"/>
        <w:numPr>
          <w:ilvl w:val="0"/>
          <w:numId w:val="21"/>
        </w:numPr>
        <w:spacing w:line="360" w:lineRule="auto"/>
        <w:ind w:firstLineChars="0"/>
        <w:rPr>
          <w:rFonts w:eastAsia="楷体"/>
          <w:sz w:val="24"/>
          <w:szCs w:val="24"/>
        </w:rPr>
      </w:pPr>
      <w:r>
        <w:rPr>
          <w:rFonts w:hint="eastAsia" w:eastAsia="楷体"/>
          <w:sz w:val="24"/>
          <w:szCs w:val="24"/>
        </w:rPr>
        <w:t>设备服务参数</w:t>
      </w:r>
    </w:p>
    <w:p>
      <w:pPr>
        <w:pStyle w:val="20"/>
        <w:numPr>
          <w:ilvl w:val="0"/>
          <w:numId w:val="21"/>
        </w:numPr>
        <w:spacing w:line="360" w:lineRule="auto"/>
        <w:ind w:firstLineChars="0"/>
        <w:rPr>
          <w:rFonts w:eastAsia="楷体"/>
          <w:sz w:val="24"/>
          <w:szCs w:val="24"/>
        </w:rPr>
      </w:pPr>
      <w:r>
        <w:rPr>
          <w:rFonts w:hint="eastAsia" w:eastAsia="楷体"/>
          <w:sz w:val="24"/>
          <w:szCs w:val="24"/>
        </w:rPr>
        <w:t>设备运行信息</w:t>
      </w:r>
    </w:p>
    <w:p>
      <w:pPr>
        <w:spacing w:line="360" w:lineRule="auto"/>
        <w:ind w:left="420"/>
        <w:rPr>
          <w:sz w:val="24"/>
          <w:szCs w:val="24"/>
        </w:rPr>
      </w:pPr>
    </w:p>
    <w:p>
      <w:pPr>
        <w:pStyle w:val="20"/>
        <w:spacing w:line="360" w:lineRule="auto"/>
        <w:ind w:left="840" w:firstLine="0" w:firstLineChars="0"/>
        <w:rPr>
          <w:sz w:val="24"/>
          <w:szCs w:val="24"/>
        </w:rPr>
        <w:sectPr>
          <w:pgSz w:w="11906" w:h="16838"/>
          <w:pgMar w:top="1440" w:right="1800" w:bottom="1440" w:left="1800" w:header="851" w:footer="992" w:gutter="0"/>
          <w:cols w:space="425" w:num="1"/>
          <w:docGrid w:type="lines" w:linePitch="312" w:charSpace="0"/>
        </w:sectPr>
      </w:pPr>
    </w:p>
    <w:p>
      <w:pPr>
        <w:pStyle w:val="2"/>
        <w:spacing w:before="0" w:after="156" w:afterLines="50" w:line="360" w:lineRule="auto"/>
        <w:jc w:val="center"/>
        <w:rPr>
          <w:sz w:val="24"/>
          <w:szCs w:val="24"/>
        </w:rPr>
      </w:pPr>
      <w:bookmarkStart w:id="21" w:name="_Toc28354605"/>
      <w:r>
        <w:rPr>
          <w:rFonts w:hint="eastAsia"/>
          <w:sz w:val="24"/>
          <w:szCs w:val="24"/>
        </w:rPr>
        <w:t>附录</w:t>
      </w:r>
      <w:r>
        <w:rPr>
          <w:sz w:val="24"/>
          <w:szCs w:val="24"/>
        </w:rPr>
        <w:t>A</w:t>
      </w:r>
      <w:r>
        <w:rPr>
          <w:rFonts w:hint="eastAsia"/>
          <w:sz w:val="24"/>
          <w:szCs w:val="24"/>
        </w:rPr>
        <w:t xml:space="preserve"> 总能耗比对评价方法示例</w:t>
      </w:r>
      <w:bookmarkEnd w:id="21"/>
    </w:p>
    <w:bookmarkEnd w:id="20"/>
    <w:p>
      <w:pPr>
        <w:pStyle w:val="20"/>
        <w:numPr>
          <w:ilvl w:val="0"/>
          <w:numId w:val="22"/>
        </w:numPr>
        <w:spacing w:line="360" w:lineRule="auto"/>
        <w:ind w:firstLineChars="0"/>
        <w:rPr>
          <w:sz w:val="24"/>
          <w:szCs w:val="24"/>
        </w:rPr>
      </w:pPr>
      <w:r>
        <w:rPr>
          <w:rFonts w:hint="eastAsia"/>
          <w:sz w:val="24"/>
          <w:szCs w:val="24"/>
        </w:rPr>
        <w:t>能耗数据分析采用以下方法：</w:t>
      </w:r>
    </w:p>
    <w:p>
      <w:pPr>
        <w:pStyle w:val="20"/>
        <w:numPr>
          <w:ilvl w:val="0"/>
          <w:numId w:val="23"/>
        </w:numPr>
        <w:spacing w:line="360" w:lineRule="auto"/>
        <w:ind w:firstLineChars="0"/>
        <w:rPr>
          <w:sz w:val="24"/>
          <w:szCs w:val="24"/>
        </w:rPr>
      </w:pPr>
      <w:r>
        <w:rPr>
          <w:rFonts w:hint="eastAsia"/>
          <w:sz w:val="24"/>
          <w:szCs w:val="24"/>
        </w:rPr>
        <w:t>统一将各类能源消耗量按当量转化成一次能源消耗量。</w:t>
      </w:r>
    </w:p>
    <w:p>
      <w:pPr>
        <w:pStyle w:val="20"/>
        <w:numPr>
          <w:ilvl w:val="0"/>
          <w:numId w:val="23"/>
        </w:numPr>
        <w:spacing w:line="360" w:lineRule="auto"/>
        <w:ind w:firstLineChars="0"/>
        <w:rPr>
          <w:sz w:val="24"/>
          <w:szCs w:val="24"/>
        </w:rPr>
      </w:pPr>
      <w:r>
        <w:rPr>
          <w:rFonts w:hint="eastAsia"/>
          <w:sz w:val="24"/>
          <w:szCs w:val="24"/>
        </w:rPr>
        <w:t>计算建筑样本各类能源按当量转化后的一次能源耗量总和作为建筑的总能耗。</w:t>
      </w:r>
    </w:p>
    <w:p>
      <w:pPr>
        <w:pStyle w:val="20"/>
        <w:numPr>
          <w:ilvl w:val="0"/>
          <w:numId w:val="22"/>
        </w:numPr>
        <w:spacing w:line="360" w:lineRule="auto"/>
        <w:ind w:firstLineChars="0"/>
        <w:rPr>
          <w:sz w:val="24"/>
          <w:szCs w:val="24"/>
        </w:rPr>
      </w:pPr>
      <w:r>
        <w:rPr>
          <w:rFonts w:hint="eastAsia"/>
          <w:sz w:val="24"/>
          <w:szCs w:val="24"/>
        </w:rPr>
        <w:t>能耗基准模型的建立采用以下方法：</w:t>
      </w:r>
    </w:p>
    <w:p>
      <w:pPr>
        <w:pStyle w:val="20"/>
        <w:numPr>
          <w:ilvl w:val="0"/>
          <w:numId w:val="24"/>
        </w:numPr>
        <w:spacing w:line="360" w:lineRule="auto"/>
        <w:ind w:firstLineChars="0"/>
        <w:rPr>
          <w:sz w:val="24"/>
          <w:szCs w:val="24"/>
        </w:rPr>
      </w:pPr>
      <w:r>
        <w:rPr>
          <w:rFonts w:hint="eastAsia"/>
          <w:sz w:val="24"/>
          <w:szCs w:val="24"/>
        </w:rPr>
        <w:t>根据各能耗影响因素与总能耗的相关分析确定因变量。</w:t>
      </w:r>
    </w:p>
    <w:p>
      <w:pPr>
        <w:pStyle w:val="20"/>
        <w:numPr>
          <w:ilvl w:val="0"/>
          <w:numId w:val="24"/>
        </w:numPr>
        <w:spacing w:line="360" w:lineRule="auto"/>
        <w:ind w:firstLineChars="0"/>
        <w:rPr>
          <w:sz w:val="24"/>
          <w:szCs w:val="24"/>
        </w:rPr>
      </w:pPr>
      <w:r>
        <w:rPr>
          <w:rFonts w:hint="eastAsia"/>
          <w:sz w:val="24"/>
          <w:szCs w:val="24"/>
        </w:rPr>
        <w:t>分析建筑能耗物理意义、建筑能耗影响因素的相关性、对每项能耗影响因素进行曲线估计以及因素间的耦合分析，确定可能的自变量形式。</w:t>
      </w:r>
    </w:p>
    <w:p>
      <w:pPr>
        <w:pStyle w:val="20"/>
        <w:numPr>
          <w:ilvl w:val="0"/>
          <w:numId w:val="24"/>
        </w:numPr>
        <w:spacing w:line="360" w:lineRule="auto"/>
        <w:ind w:firstLineChars="0"/>
        <w:rPr>
          <w:sz w:val="24"/>
          <w:szCs w:val="24"/>
        </w:rPr>
      </w:pPr>
      <w:r>
        <w:rPr>
          <w:rFonts w:hint="eastAsia"/>
          <w:sz w:val="24"/>
          <w:szCs w:val="24"/>
        </w:rPr>
        <w:t>采用逐步回归拟合多元线性回归建筑能耗基准模型。</w:t>
      </w:r>
    </w:p>
    <w:p>
      <w:pPr>
        <w:pStyle w:val="20"/>
        <w:numPr>
          <w:ilvl w:val="0"/>
          <w:numId w:val="24"/>
        </w:numPr>
        <w:spacing w:line="360" w:lineRule="auto"/>
        <w:ind w:firstLineChars="0"/>
        <w:rPr>
          <w:sz w:val="24"/>
          <w:szCs w:val="24"/>
        </w:rPr>
      </w:pPr>
      <w:r>
        <w:rPr>
          <w:rFonts w:hint="eastAsia"/>
          <w:sz w:val="24"/>
          <w:szCs w:val="24"/>
        </w:rPr>
        <w:t>通过模型检验，筛选出满足模型的</w:t>
      </w:r>
      <w:r>
        <w:rPr>
          <w:sz w:val="24"/>
          <w:szCs w:val="24"/>
        </w:rPr>
        <w:t>F</w:t>
      </w:r>
      <w:r>
        <w:rPr>
          <w:rFonts w:hint="eastAsia"/>
          <w:sz w:val="24"/>
          <w:szCs w:val="24"/>
        </w:rPr>
        <w:t>检验、</w:t>
      </w:r>
      <w:r>
        <w:rPr>
          <w:sz w:val="24"/>
          <w:szCs w:val="24"/>
        </w:rPr>
        <w:t>t</w:t>
      </w:r>
      <w:r>
        <w:rPr>
          <w:rFonts w:hint="eastAsia"/>
          <w:sz w:val="24"/>
          <w:szCs w:val="24"/>
        </w:rPr>
        <w:t>检验以及自变量</w:t>
      </w:r>
      <w:r>
        <w:rPr>
          <w:sz w:val="24"/>
          <w:szCs w:val="24"/>
        </w:rPr>
        <w:t>t</w:t>
      </w:r>
      <w:r>
        <w:rPr>
          <w:rFonts w:hint="eastAsia"/>
          <w:sz w:val="24"/>
          <w:szCs w:val="24"/>
        </w:rPr>
        <w:t>检验的模型。</w:t>
      </w:r>
    </w:p>
    <w:p>
      <w:pPr>
        <w:pStyle w:val="20"/>
        <w:numPr>
          <w:ilvl w:val="0"/>
          <w:numId w:val="24"/>
        </w:numPr>
        <w:spacing w:line="360" w:lineRule="auto"/>
        <w:ind w:firstLineChars="0"/>
        <w:rPr>
          <w:sz w:val="24"/>
          <w:szCs w:val="24"/>
        </w:rPr>
      </w:pPr>
      <w:r>
        <w:rPr>
          <w:rFonts w:hint="eastAsia"/>
          <w:sz w:val="24"/>
          <w:szCs w:val="24"/>
        </w:rPr>
        <w:t>通过物理意义检验、序列相关性检验、多重共线性检验对能耗基准模型做进一步的筛选和检验，确定最优的能耗比对评价模型。</w:t>
      </w:r>
    </w:p>
    <w:p>
      <w:pPr>
        <w:pStyle w:val="20"/>
        <w:numPr>
          <w:ilvl w:val="0"/>
          <w:numId w:val="24"/>
        </w:numPr>
        <w:spacing w:line="360" w:lineRule="auto"/>
        <w:ind w:firstLineChars="0"/>
        <w:rPr>
          <w:sz w:val="24"/>
          <w:szCs w:val="24"/>
        </w:rPr>
      </w:pPr>
      <w:r>
        <w:rPr>
          <w:rFonts w:hint="eastAsia"/>
          <w:sz w:val="24"/>
          <w:szCs w:val="24"/>
        </w:rPr>
        <w:t>计算每个样本的能耗基准值。</w:t>
      </w:r>
    </w:p>
    <w:p>
      <w:pPr>
        <w:pStyle w:val="20"/>
        <w:numPr>
          <w:ilvl w:val="0"/>
          <w:numId w:val="22"/>
        </w:numPr>
        <w:spacing w:line="360" w:lineRule="auto"/>
        <w:ind w:firstLineChars="0"/>
        <w:rPr>
          <w:sz w:val="24"/>
          <w:szCs w:val="24"/>
        </w:rPr>
      </w:pPr>
      <w:r>
        <w:rPr>
          <w:rFonts w:hint="eastAsia"/>
          <w:sz w:val="24"/>
          <w:szCs w:val="24"/>
        </w:rPr>
        <w:t>总能耗比对评价指标的确定采用以下方法：</w:t>
      </w:r>
    </w:p>
    <w:p>
      <w:pPr>
        <w:pStyle w:val="20"/>
        <w:numPr>
          <w:ilvl w:val="0"/>
          <w:numId w:val="25"/>
        </w:numPr>
        <w:spacing w:line="360" w:lineRule="auto"/>
        <w:ind w:firstLineChars="0"/>
        <w:rPr>
          <w:sz w:val="24"/>
          <w:szCs w:val="24"/>
        </w:rPr>
      </w:pPr>
      <w:r>
        <w:rPr>
          <w:rFonts w:hint="eastAsia"/>
          <w:sz w:val="24"/>
          <w:szCs w:val="24"/>
        </w:rPr>
        <w:t>计算每个样本的能耗实际值与基准值的比值。</w:t>
      </w:r>
    </w:p>
    <w:p>
      <w:pPr>
        <w:pStyle w:val="20"/>
        <w:numPr>
          <w:ilvl w:val="0"/>
          <w:numId w:val="25"/>
        </w:numPr>
        <w:spacing w:line="360" w:lineRule="auto"/>
        <w:ind w:firstLineChars="0"/>
        <w:rPr>
          <w:sz w:val="24"/>
          <w:szCs w:val="24"/>
        </w:rPr>
      </w:pPr>
      <w:r>
        <w:rPr>
          <w:rFonts w:hint="eastAsia"/>
          <w:sz w:val="24"/>
          <w:szCs w:val="24"/>
        </w:rPr>
        <w:t>以能耗比为自变量，建筑累积百分比为因变量，绘制能耗比分布图，拟合能耗比值的分布函数，计算每</w:t>
      </w:r>
      <w:r>
        <w:rPr>
          <w:sz w:val="24"/>
          <w:szCs w:val="24"/>
        </w:rPr>
        <w:t>1%</w:t>
      </w:r>
      <w:r>
        <w:rPr>
          <w:rFonts w:hint="eastAsia"/>
          <w:sz w:val="24"/>
          <w:szCs w:val="24"/>
        </w:rPr>
        <w:t>建筑对应的能耗比。</w:t>
      </w:r>
    </w:p>
    <w:p>
      <w:pPr>
        <w:spacing w:line="360" w:lineRule="auto"/>
        <w:jc w:val="center"/>
        <w:rPr>
          <w:sz w:val="24"/>
          <w:szCs w:val="24"/>
        </w:rPr>
      </w:pPr>
      <w:r>
        <w:rPr>
          <w:sz w:val="24"/>
          <w:szCs w:val="24"/>
        </w:rPr>
        <w:drawing>
          <wp:inline distT="0" distB="0" distL="0" distR="0">
            <wp:extent cx="3686810" cy="2962910"/>
            <wp:effectExtent l="0" t="0" r="0" b="0"/>
            <wp:docPr id="10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686810" cy="2962910"/>
                    </a:xfrm>
                    <a:prstGeom prst="rect">
                      <a:avLst/>
                    </a:prstGeom>
                    <a:noFill/>
                    <a:ln>
                      <a:noFill/>
                    </a:ln>
                  </pic:spPr>
                </pic:pic>
              </a:graphicData>
            </a:graphic>
          </wp:inline>
        </w:drawing>
      </w:r>
    </w:p>
    <w:p>
      <w:pPr>
        <w:spacing w:line="360" w:lineRule="auto"/>
        <w:jc w:val="center"/>
        <w:rPr>
          <w:sz w:val="24"/>
          <w:szCs w:val="24"/>
        </w:rPr>
      </w:pPr>
      <w:r>
        <w:rPr>
          <w:rFonts w:hint="eastAsia"/>
          <w:sz w:val="24"/>
          <w:szCs w:val="24"/>
        </w:rPr>
        <w:t>图</w:t>
      </w:r>
      <w:r>
        <w:rPr>
          <w:sz w:val="24"/>
          <w:szCs w:val="24"/>
        </w:rPr>
        <w:t xml:space="preserve">A.3-1 </w:t>
      </w:r>
      <w:r>
        <w:rPr>
          <w:rFonts w:hint="eastAsia"/>
          <w:sz w:val="24"/>
          <w:szCs w:val="24"/>
        </w:rPr>
        <w:t>能耗比对分布图</w:t>
      </w:r>
    </w:p>
    <w:p>
      <w:pPr>
        <w:pStyle w:val="20"/>
        <w:numPr>
          <w:ilvl w:val="0"/>
          <w:numId w:val="25"/>
        </w:numPr>
        <w:spacing w:line="360" w:lineRule="auto"/>
        <w:ind w:firstLineChars="0"/>
        <w:rPr>
          <w:sz w:val="24"/>
          <w:szCs w:val="24"/>
        </w:rPr>
      </w:pPr>
      <w:r>
        <w:rPr>
          <w:rFonts w:hint="eastAsia"/>
          <w:sz w:val="24"/>
          <w:szCs w:val="24"/>
        </w:rPr>
        <w:t>以每分对应每</w:t>
      </w:r>
      <w:r>
        <w:rPr>
          <w:sz w:val="24"/>
          <w:szCs w:val="24"/>
        </w:rPr>
        <w:t>1%</w:t>
      </w:r>
      <w:r>
        <w:rPr>
          <w:rFonts w:hint="eastAsia"/>
          <w:sz w:val="24"/>
          <w:szCs w:val="24"/>
        </w:rPr>
        <w:t>的建筑，根据对应的能耗比值建立百分制评分表。</w:t>
      </w:r>
    </w:p>
    <w:p>
      <w:pPr>
        <w:pStyle w:val="20"/>
        <w:numPr>
          <w:ilvl w:val="0"/>
          <w:numId w:val="25"/>
        </w:numPr>
        <w:spacing w:line="360" w:lineRule="auto"/>
        <w:ind w:firstLineChars="0"/>
        <w:rPr>
          <w:sz w:val="24"/>
          <w:szCs w:val="24"/>
        </w:rPr>
      </w:pPr>
      <w:r>
        <w:rPr>
          <w:rFonts w:hint="eastAsia"/>
          <w:sz w:val="24"/>
          <w:szCs w:val="24"/>
        </w:rPr>
        <w:t>根据评分表，对建筑的总能耗进行评价。</w:t>
      </w:r>
    </w:p>
    <w:p>
      <w:pPr>
        <w:spacing w:line="360" w:lineRule="auto"/>
        <w:jc w:val="center"/>
        <w:rPr>
          <w:sz w:val="24"/>
          <w:szCs w:val="24"/>
        </w:rPr>
      </w:pPr>
      <w:r>
        <w:rPr>
          <w:rFonts w:hint="eastAsia"/>
          <w:sz w:val="24"/>
          <w:szCs w:val="24"/>
        </w:rPr>
        <w:t>表</w:t>
      </w:r>
      <w:r>
        <w:rPr>
          <w:sz w:val="24"/>
          <w:szCs w:val="24"/>
        </w:rPr>
        <w:t>A.3-1</w:t>
      </w:r>
      <w:r>
        <w:rPr>
          <w:rFonts w:hint="eastAsia"/>
          <w:sz w:val="24"/>
          <w:szCs w:val="24"/>
        </w:rPr>
        <w:t>总能耗百分制评分表</w:t>
      </w:r>
    </w:p>
    <w:tbl>
      <w:tblPr>
        <w:tblStyle w:val="13"/>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1"/>
        <w:gridCol w:w="2439"/>
        <w:gridCol w:w="2309"/>
        <w:gridCol w:w="23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857" w:type="pct"/>
            <w:vMerge w:val="restart"/>
            <w:tcBorders>
              <w:top w:val="single" w:color="auto" w:sz="4" w:space="0"/>
              <w:bottom w:val="nil"/>
            </w:tcBorders>
            <w:shd w:val="clear" w:color="auto" w:fill="auto"/>
            <w:vAlign w:val="center"/>
          </w:tcPr>
          <w:p>
            <w:pPr>
              <w:widowControl/>
              <w:spacing w:line="360" w:lineRule="auto"/>
              <w:jc w:val="center"/>
              <w:rPr>
                <w:b/>
                <w:bCs/>
                <w:color w:val="000000"/>
                <w:sz w:val="24"/>
                <w:szCs w:val="24"/>
              </w:rPr>
            </w:pPr>
            <w:r>
              <w:rPr>
                <w:rFonts w:hint="eastAsia"/>
                <w:b/>
                <w:bCs/>
                <w:color w:val="000000"/>
                <w:sz w:val="24"/>
                <w:szCs w:val="24"/>
              </w:rPr>
              <w:t>分值</w:t>
            </w:r>
          </w:p>
        </w:tc>
        <w:tc>
          <w:tcPr>
            <w:tcW w:w="1431" w:type="pct"/>
            <w:vMerge w:val="restart"/>
            <w:tcBorders>
              <w:top w:val="single" w:color="auto" w:sz="4" w:space="0"/>
              <w:bottom w:val="nil"/>
            </w:tcBorders>
            <w:shd w:val="clear" w:color="auto" w:fill="auto"/>
            <w:vAlign w:val="center"/>
          </w:tcPr>
          <w:p>
            <w:pPr>
              <w:widowControl/>
              <w:spacing w:line="360" w:lineRule="auto"/>
              <w:jc w:val="center"/>
              <w:rPr>
                <w:b/>
                <w:bCs/>
                <w:color w:val="000000"/>
                <w:sz w:val="24"/>
                <w:szCs w:val="24"/>
              </w:rPr>
            </w:pPr>
            <w:r>
              <w:rPr>
                <w:rFonts w:hint="eastAsia"/>
                <w:b/>
                <w:bCs/>
                <w:color w:val="000000"/>
                <w:sz w:val="24"/>
                <w:szCs w:val="24"/>
              </w:rPr>
              <w:t>累积概率</w:t>
            </w:r>
          </w:p>
        </w:tc>
        <w:tc>
          <w:tcPr>
            <w:tcW w:w="2712" w:type="pct"/>
            <w:gridSpan w:val="2"/>
            <w:tcBorders>
              <w:top w:val="single" w:color="auto" w:sz="4" w:space="0"/>
              <w:bottom w:val="nil"/>
            </w:tcBorders>
            <w:shd w:val="clear" w:color="auto" w:fill="auto"/>
            <w:vAlign w:val="center"/>
          </w:tcPr>
          <w:p>
            <w:pPr>
              <w:widowControl/>
              <w:spacing w:line="360" w:lineRule="auto"/>
              <w:jc w:val="center"/>
              <w:rPr>
                <w:b/>
                <w:bCs/>
                <w:color w:val="000000"/>
                <w:sz w:val="24"/>
                <w:szCs w:val="24"/>
              </w:rPr>
            </w:pPr>
            <w:r>
              <w:rPr>
                <w:rFonts w:hint="eastAsia"/>
                <w:b/>
                <w:bCs/>
                <w:color w:val="000000"/>
                <w:sz w:val="24"/>
                <w:szCs w:val="24"/>
              </w:rPr>
              <w:t>能耗比值区间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857" w:type="pct"/>
            <w:vMerge w:val="continue"/>
            <w:tcBorders>
              <w:top w:val="nil"/>
              <w:bottom w:val="single" w:color="auto" w:sz="4" w:space="0"/>
            </w:tcBorders>
            <w:vAlign w:val="center"/>
          </w:tcPr>
          <w:p>
            <w:pPr>
              <w:widowControl/>
              <w:spacing w:line="360" w:lineRule="auto"/>
              <w:jc w:val="center"/>
              <w:rPr>
                <w:b/>
                <w:bCs/>
                <w:color w:val="000000"/>
                <w:sz w:val="24"/>
                <w:szCs w:val="24"/>
              </w:rPr>
            </w:pPr>
          </w:p>
        </w:tc>
        <w:tc>
          <w:tcPr>
            <w:tcW w:w="1431" w:type="pct"/>
            <w:vMerge w:val="continue"/>
            <w:tcBorders>
              <w:top w:val="nil"/>
              <w:bottom w:val="single" w:color="auto" w:sz="4" w:space="0"/>
            </w:tcBorders>
            <w:vAlign w:val="center"/>
          </w:tcPr>
          <w:p>
            <w:pPr>
              <w:widowControl/>
              <w:spacing w:line="360" w:lineRule="auto"/>
              <w:jc w:val="center"/>
              <w:rPr>
                <w:b/>
                <w:bCs/>
                <w:color w:val="000000"/>
                <w:sz w:val="24"/>
                <w:szCs w:val="24"/>
              </w:rPr>
            </w:pPr>
          </w:p>
        </w:tc>
        <w:tc>
          <w:tcPr>
            <w:tcW w:w="1355" w:type="pct"/>
            <w:tcBorders>
              <w:top w:val="nil"/>
              <w:bottom w:val="single" w:color="auto" w:sz="4" w:space="0"/>
            </w:tcBorders>
            <w:shd w:val="clear" w:color="auto" w:fill="auto"/>
            <w:noWrap/>
            <w:vAlign w:val="center"/>
          </w:tcPr>
          <w:p>
            <w:pPr>
              <w:widowControl/>
              <w:spacing w:line="360" w:lineRule="auto"/>
              <w:jc w:val="center"/>
              <w:rPr>
                <w:b/>
                <w:bCs/>
                <w:color w:val="000000"/>
                <w:sz w:val="24"/>
                <w:szCs w:val="24"/>
              </w:rPr>
            </w:pPr>
            <w:r>
              <w:rPr>
                <w:rFonts w:hint="eastAsia"/>
                <w:b/>
                <w:bCs/>
                <w:color w:val="000000"/>
                <w:sz w:val="24"/>
                <w:szCs w:val="24"/>
              </w:rPr>
              <w:t>≥</w:t>
            </w:r>
          </w:p>
        </w:tc>
        <w:tc>
          <w:tcPr>
            <w:tcW w:w="1357" w:type="pct"/>
            <w:tcBorders>
              <w:top w:val="nil"/>
              <w:bottom w:val="single" w:color="auto" w:sz="4" w:space="0"/>
            </w:tcBorders>
            <w:shd w:val="clear" w:color="auto" w:fill="auto"/>
            <w:noWrap/>
            <w:vAlign w:val="center"/>
          </w:tcPr>
          <w:p>
            <w:pPr>
              <w:widowControl/>
              <w:spacing w:line="360" w:lineRule="auto"/>
              <w:jc w:val="center"/>
              <w:rPr>
                <w:b/>
                <w:bCs/>
                <w:color w:val="000000"/>
                <w:sz w:val="24"/>
                <w:szCs w:val="24"/>
              </w:rPr>
            </w:pPr>
            <w:r>
              <w:rPr>
                <w:rFonts w:hint="eastAsia"/>
                <w:b/>
                <w:bCs/>
                <w:color w:val="000000"/>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57" w:type="pct"/>
            <w:tcBorders>
              <w:top w:val="single" w:color="auto" w:sz="4" w:space="0"/>
            </w:tcBorders>
            <w:shd w:val="clear" w:color="auto" w:fill="auto"/>
            <w:noWrap/>
            <w:vAlign w:val="center"/>
          </w:tcPr>
          <w:p>
            <w:pPr>
              <w:widowControl/>
              <w:spacing w:line="360" w:lineRule="auto"/>
              <w:jc w:val="center"/>
              <w:rPr>
                <w:color w:val="000000"/>
                <w:sz w:val="24"/>
                <w:szCs w:val="24"/>
              </w:rPr>
            </w:pPr>
            <w:r>
              <w:rPr>
                <w:color w:val="000000"/>
                <w:sz w:val="24"/>
                <w:szCs w:val="24"/>
              </w:rPr>
              <w:t>100</w:t>
            </w:r>
          </w:p>
        </w:tc>
        <w:tc>
          <w:tcPr>
            <w:tcW w:w="1431" w:type="pct"/>
            <w:tcBorders>
              <w:top w:val="single" w:color="auto" w:sz="4" w:space="0"/>
            </w:tcBorders>
            <w:shd w:val="clear" w:color="auto" w:fill="auto"/>
            <w:noWrap/>
            <w:vAlign w:val="center"/>
          </w:tcPr>
          <w:p>
            <w:pPr>
              <w:widowControl/>
              <w:spacing w:line="360" w:lineRule="auto"/>
              <w:jc w:val="center"/>
              <w:rPr>
                <w:color w:val="000000"/>
                <w:sz w:val="24"/>
                <w:szCs w:val="24"/>
              </w:rPr>
            </w:pPr>
            <w:r>
              <w:rPr>
                <w:color w:val="000000"/>
                <w:sz w:val="24"/>
                <w:szCs w:val="24"/>
              </w:rPr>
              <w:t>0%</w:t>
            </w:r>
          </w:p>
        </w:tc>
        <w:tc>
          <w:tcPr>
            <w:tcW w:w="1355" w:type="pct"/>
            <w:tcBorders>
              <w:top w:val="single" w:color="auto" w:sz="4" w:space="0"/>
            </w:tcBorders>
            <w:shd w:val="clear" w:color="auto" w:fill="auto"/>
            <w:noWrap/>
          </w:tcPr>
          <w:p>
            <w:pPr>
              <w:spacing w:line="360" w:lineRule="auto"/>
              <w:jc w:val="center"/>
              <w:rPr>
                <w:sz w:val="24"/>
                <w:szCs w:val="24"/>
              </w:rPr>
            </w:pPr>
            <w:r>
              <w:rPr>
                <w:sz w:val="24"/>
                <w:szCs w:val="24"/>
              </w:rPr>
              <w:t>0</w:t>
            </w:r>
          </w:p>
        </w:tc>
        <w:tc>
          <w:tcPr>
            <w:tcW w:w="1357" w:type="pct"/>
            <w:tcBorders>
              <w:top w:val="single" w:color="auto" w:sz="4" w:space="0"/>
            </w:tcBorders>
            <w:shd w:val="clear" w:color="auto" w:fill="auto"/>
            <w:noWrap/>
          </w:tcPr>
          <w:p>
            <w:pPr>
              <w:spacing w:line="360" w:lineRule="auto"/>
              <w:jc w:val="center"/>
              <w:rPr>
                <w:sz w:val="24"/>
                <w:szCs w:val="24"/>
              </w:rPr>
            </w:pPr>
            <w:r>
              <w:rPr>
                <w:sz w:val="24"/>
                <w:szCs w:val="24"/>
              </w:rPr>
              <w:t>F</w:t>
            </w:r>
            <w:r>
              <w:rPr>
                <w:sz w:val="24"/>
                <w:szCs w:val="24"/>
                <w:vertAlign w:val="superscript"/>
              </w:rPr>
              <w:t xml:space="preserve"> -1</w:t>
            </w:r>
            <w:r>
              <w:rPr>
                <w:sz w:val="24"/>
                <w:szCs w:val="24"/>
              </w:rPr>
              <w:t xml:space="preserve"> (0)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57" w:type="pct"/>
            <w:shd w:val="clear" w:color="auto" w:fill="auto"/>
            <w:noWrap/>
            <w:vAlign w:val="center"/>
          </w:tcPr>
          <w:p>
            <w:pPr>
              <w:widowControl/>
              <w:spacing w:line="360" w:lineRule="auto"/>
              <w:jc w:val="center"/>
              <w:rPr>
                <w:color w:val="000000"/>
                <w:sz w:val="24"/>
                <w:szCs w:val="24"/>
              </w:rPr>
            </w:pPr>
            <w:r>
              <w:rPr>
                <w:color w:val="000000"/>
                <w:sz w:val="24"/>
                <w:szCs w:val="24"/>
              </w:rPr>
              <w:t>99</w:t>
            </w:r>
          </w:p>
        </w:tc>
        <w:tc>
          <w:tcPr>
            <w:tcW w:w="1431" w:type="pct"/>
            <w:shd w:val="clear" w:color="auto" w:fill="auto"/>
            <w:noWrap/>
            <w:vAlign w:val="center"/>
          </w:tcPr>
          <w:p>
            <w:pPr>
              <w:widowControl/>
              <w:spacing w:line="360" w:lineRule="auto"/>
              <w:jc w:val="center"/>
              <w:rPr>
                <w:color w:val="000000"/>
                <w:sz w:val="24"/>
                <w:szCs w:val="24"/>
              </w:rPr>
            </w:pPr>
            <w:r>
              <w:rPr>
                <w:color w:val="000000"/>
                <w:sz w:val="24"/>
                <w:szCs w:val="24"/>
              </w:rPr>
              <w:t>1%</w:t>
            </w:r>
          </w:p>
        </w:tc>
        <w:tc>
          <w:tcPr>
            <w:tcW w:w="1355" w:type="pct"/>
            <w:shd w:val="clear" w:color="auto" w:fill="auto"/>
            <w:noWrap/>
          </w:tcPr>
          <w:p>
            <w:pPr>
              <w:spacing w:line="360" w:lineRule="auto"/>
              <w:jc w:val="center"/>
              <w:rPr>
                <w:sz w:val="24"/>
                <w:szCs w:val="24"/>
              </w:rPr>
            </w:pPr>
            <w:r>
              <w:rPr>
                <w:sz w:val="24"/>
                <w:szCs w:val="24"/>
              </w:rPr>
              <w:t>F</w:t>
            </w:r>
            <w:r>
              <w:rPr>
                <w:sz w:val="24"/>
                <w:szCs w:val="24"/>
                <w:vertAlign w:val="superscript"/>
              </w:rPr>
              <w:t xml:space="preserve"> -1</w:t>
            </w:r>
            <w:r>
              <w:rPr>
                <w:sz w:val="24"/>
                <w:szCs w:val="24"/>
              </w:rPr>
              <w:t xml:space="preserve"> (0)</w:t>
            </w:r>
          </w:p>
        </w:tc>
        <w:tc>
          <w:tcPr>
            <w:tcW w:w="1357" w:type="pct"/>
            <w:shd w:val="clear" w:color="auto" w:fill="auto"/>
            <w:noWrap/>
          </w:tcPr>
          <w:p>
            <w:pPr>
              <w:spacing w:line="360" w:lineRule="auto"/>
              <w:jc w:val="center"/>
              <w:rPr>
                <w:sz w:val="24"/>
                <w:szCs w:val="24"/>
              </w:rPr>
            </w:pPr>
            <w:r>
              <w:rPr>
                <w:sz w:val="24"/>
                <w:szCs w:val="24"/>
              </w:rPr>
              <w:t>F</w:t>
            </w:r>
            <w:r>
              <w:rPr>
                <w:sz w:val="24"/>
                <w:szCs w:val="24"/>
                <w:vertAlign w:val="superscript"/>
              </w:rPr>
              <w:t xml:space="preserve"> -1</w:t>
            </w:r>
            <w:r>
              <w:rPr>
                <w:sz w:val="24"/>
                <w:szCs w:val="24"/>
              </w:rPr>
              <w:t xml:space="preserve"> (0.01)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57" w:type="pct"/>
            <w:shd w:val="clear" w:color="auto" w:fill="auto"/>
            <w:noWrap/>
            <w:vAlign w:val="center"/>
          </w:tcPr>
          <w:p>
            <w:pPr>
              <w:widowControl/>
              <w:spacing w:line="360" w:lineRule="auto"/>
              <w:jc w:val="center"/>
              <w:rPr>
                <w:color w:val="000000"/>
                <w:sz w:val="24"/>
                <w:szCs w:val="24"/>
              </w:rPr>
            </w:pPr>
            <w:r>
              <w:rPr>
                <w:color w:val="000000"/>
                <w:sz w:val="24"/>
                <w:szCs w:val="24"/>
              </w:rPr>
              <w:t>98</w:t>
            </w:r>
          </w:p>
        </w:tc>
        <w:tc>
          <w:tcPr>
            <w:tcW w:w="1431" w:type="pct"/>
            <w:shd w:val="clear" w:color="auto" w:fill="auto"/>
            <w:noWrap/>
            <w:vAlign w:val="center"/>
          </w:tcPr>
          <w:p>
            <w:pPr>
              <w:widowControl/>
              <w:spacing w:line="360" w:lineRule="auto"/>
              <w:jc w:val="center"/>
              <w:rPr>
                <w:color w:val="000000"/>
                <w:sz w:val="24"/>
                <w:szCs w:val="24"/>
              </w:rPr>
            </w:pPr>
            <w:r>
              <w:rPr>
                <w:color w:val="000000"/>
                <w:sz w:val="24"/>
                <w:szCs w:val="24"/>
              </w:rPr>
              <w:t>2%</w:t>
            </w:r>
          </w:p>
        </w:tc>
        <w:tc>
          <w:tcPr>
            <w:tcW w:w="1355" w:type="pct"/>
            <w:shd w:val="clear" w:color="auto" w:fill="auto"/>
            <w:noWrap/>
          </w:tcPr>
          <w:p>
            <w:pPr>
              <w:spacing w:line="360" w:lineRule="auto"/>
              <w:jc w:val="center"/>
              <w:rPr>
                <w:sz w:val="24"/>
                <w:szCs w:val="24"/>
              </w:rPr>
            </w:pPr>
            <w:r>
              <w:rPr>
                <w:sz w:val="24"/>
                <w:szCs w:val="24"/>
              </w:rPr>
              <w:t>F</w:t>
            </w:r>
            <w:r>
              <w:rPr>
                <w:sz w:val="24"/>
                <w:szCs w:val="24"/>
                <w:vertAlign w:val="superscript"/>
              </w:rPr>
              <w:t xml:space="preserve"> -1</w:t>
            </w:r>
            <w:r>
              <w:rPr>
                <w:sz w:val="24"/>
                <w:szCs w:val="24"/>
              </w:rPr>
              <w:t xml:space="preserve"> (0.01)</w:t>
            </w:r>
          </w:p>
        </w:tc>
        <w:tc>
          <w:tcPr>
            <w:tcW w:w="1357" w:type="pct"/>
            <w:shd w:val="clear" w:color="auto" w:fill="auto"/>
            <w:noWrap/>
          </w:tcPr>
          <w:p>
            <w:pPr>
              <w:spacing w:line="360" w:lineRule="auto"/>
              <w:jc w:val="center"/>
              <w:rPr>
                <w:sz w:val="24"/>
                <w:szCs w:val="24"/>
              </w:rPr>
            </w:pPr>
            <w:r>
              <w:rPr>
                <w:sz w:val="24"/>
                <w:szCs w:val="24"/>
              </w:rPr>
              <w:t>F</w:t>
            </w:r>
            <w:r>
              <w:rPr>
                <w:sz w:val="24"/>
                <w:szCs w:val="24"/>
                <w:vertAlign w:val="superscript"/>
              </w:rPr>
              <w:t xml:space="preserve"> -1</w:t>
            </w:r>
            <w:r>
              <w:rPr>
                <w:sz w:val="24"/>
                <w:szCs w:val="24"/>
              </w:rPr>
              <w:t xml:space="preserve"> (0.02)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57" w:type="pct"/>
            <w:shd w:val="clear" w:color="auto" w:fill="auto"/>
            <w:noWrap/>
            <w:vAlign w:val="center"/>
          </w:tcPr>
          <w:p>
            <w:pPr>
              <w:widowControl/>
              <w:spacing w:line="360" w:lineRule="auto"/>
              <w:jc w:val="center"/>
              <w:rPr>
                <w:color w:val="000000"/>
                <w:sz w:val="24"/>
                <w:szCs w:val="24"/>
              </w:rPr>
            </w:pPr>
            <w:r>
              <w:rPr>
                <w:color w:val="000000"/>
                <w:sz w:val="24"/>
                <w:szCs w:val="24"/>
              </w:rPr>
              <w:t>…</w:t>
            </w:r>
          </w:p>
        </w:tc>
        <w:tc>
          <w:tcPr>
            <w:tcW w:w="1431" w:type="pct"/>
            <w:shd w:val="clear" w:color="auto" w:fill="auto"/>
            <w:noWrap/>
            <w:vAlign w:val="center"/>
          </w:tcPr>
          <w:p>
            <w:pPr>
              <w:widowControl/>
              <w:spacing w:line="360" w:lineRule="auto"/>
              <w:jc w:val="center"/>
              <w:rPr>
                <w:color w:val="000000"/>
                <w:sz w:val="24"/>
                <w:szCs w:val="24"/>
              </w:rPr>
            </w:pPr>
            <w:r>
              <w:rPr>
                <w:color w:val="000000"/>
                <w:sz w:val="24"/>
                <w:szCs w:val="24"/>
              </w:rPr>
              <w:t>…</w:t>
            </w:r>
          </w:p>
        </w:tc>
        <w:tc>
          <w:tcPr>
            <w:tcW w:w="1355" w:type="pct"/>
            <w:shd w:val="clear" w:color="auto" w:fill="auto"/>
            <w:noWrap/>
          </w:tcPr>
          <w:p>
            <w:pPr>
              <w:spacing w:line="360" w:lineRule="auto"/>
              <w:jc w:val="center"/>
              <w:rPr>
                <w:sz w:val="24"/>
                <w:szCs w:val="24"/>
              </w:rPr>
            </w:pPr>
            <w:r>
              <w:rPr>
                <w:sz w:val="24"/>
                <w:szCs w:val="24"/>
              </w:rPr>
              <w:t>…</w:t>
            </w:r>
          </w:p>
        </w:tc>
        <w:tc>
          <w:tcPr>
            <w:tcW w:w="1357" w:type="pct"/>
            <w:shd w:val="clear" w:color="auto" w:fill="auto"/>
            <w:noWrap/>
          </w:tcPr>
          <w:p>
            <w:pPr>
              <w:spacing w:line="360" w:lineRule="auto"/>
              <w:jc w:val="center"/>
              <w:rPr>
                <w:sz w:val="24"/>
                <w:szCs w:val="24"/>
              </w:rPr>
            </w:pPr>
            <w:r>
              <w:rPr>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57" w:type="pct"/>
            <w:shd w:val="clear" w:color="auto" w:fill="auto"/>
            <w:noWrap/>
            <w:vAlign w:val="center"/>
          </w:tcPr>
          <w:p>
            <w:pPr>
              <w:widowControl/>
              <w:spacing w:line="360" w:lineRule="auto"/>
              <w:jc w:val="center"/>
              <w:rPr>
                <w:color w:val="000000"/>
                <w:sz w:val="24"/>
                <w:szCs w:val="24"/>
              </w:rPr>
            </w:pPr>
            <w:r>
              <w:rPr>
                <w:color w:val="000000"/>
                <w:sz w:val="24"/>
                <w:szCs w:val="24"/>
              </w:rPr>
              <w:t>2</w:t>
            </w:r>
          </w:p>
        </w:tc>
        <w:tc>
          <w:tcPr>
            <w:tcW w:w="1431" w:type="pct"/>
            <w:shd w:val="clear" w:color="auto" w:fill="auto"/>
            <w:noWrap/>
            <w:vAlign w:val="center"/>
          </w:tcPr>
          <w:p>
            <w:pPr>
              <w:widowControl/>
              <w:spacing w:line="360" w:lineRule="auto"/>
              <w:jc w:val="center"/>
              <w:rPr>
                <w:color w:val="000000"/>
                <w:sz w:val="24"/>
                <w:szCs w:val="24"/>
              </w:rPr>
            </w:pPr>
            <w:r>
              <w:rPr>
                <w:color w:val="000000"/>
                <w:sz w:val="24"/>
                <w:szCs w:val="24"/>
              </w:rPr>
              <w:t>98%</w:t>
            </w:r>
          </w:p>
        </w:tc>
        <w:tc>
          <w:tcPr>
            <w:tcW w:w="1355" w:type="pct"/>
            <w:shd w:val="clear" w:color="auto" w:fill="auto"/>
            <w:noWrap/>
          </w:tcPr>
          <w:p>
            <w:pPr>
              <w:spacing w:line="360" w:lineRule="auto"/>
              <w:jc w:val="center"/>
              <w:rPr>
                <w:sz w:val="24"/>
                <w:szCs w:val="24"/>
              </w:rPr>
            </w:pPr>
            <w:r>
              <w:rPr>
                <w:sz w:val="24"/>
                <w:szCs w:val="24"/>
              </w:rPr>
              <w:t>F</w:t>
            </w:r>
            <w:r>
              <w:rPr>
                <w:sz w:val="24"/>
                <w:szCs w:val="24"/>
                <w:vertAlign w:val="superscript"/>
              </w:rPr>
              <w:t xml:space="preserve"> -1</w:t>
            </w:r>
            <w:r>
              <w:rPr>
                <w:sz w:val="24"/>
                <w:szCs w:val="24"/>
              </w:rPr>
              <w:t xml:space="preserve"> (0.97)</w:t>
            </w:r>
          </w:p>
        </w:tc>
        <w:tc>
          <w:tcPr>
            <w:tcW w:w="1357" w:type="pct"/>
            <w:shd w:val="clear" w:color="auto" w:fill="auto"/>
            <w:noWrap/>
          </w:tcPr>
          <w:p>
            <w:pPr>
              <w:spacing w:line="360" w:lineRule="auto"/>
              <w:jc w:val="center"/>
              <w:rPr>
                <w:sz w:val="24"/>
                <w:szCs w:val="24"/>
              </w:rPr>
            </w:pPr>
            <w:r>
              <w:rPr>
                <w:sz w:val="24"/>
                <w:szCs w:val="24"/>
              </w:rPr>
              <w:t>F</w:t>
            </w:r>
            <w:r>
              <w:rPr>
                <w:sz w:val="24"/>
                <w:szCs w:val="24"/>
                <w:vertAlign w:val="superscript"/>
              </w:rPr>
              <w:t xml:space="preserve"> -1</w:t>
            </w:r>
            <w:r>
              <w:rPr>
                <w:sz w:val="24"/>
                <w:szCs w:val="24"/>
              </w:rPr>
              <w:t xml:space="preserve"> (0.98)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57" w:type="pct"/>
            <w:shd w:val="clear" w:color="auto" w:fill="auto"/>
            <w:noWrap/>
            <w:vAlign w:val="center"/>
          </w:tcPr>
          <w:p>
            <w:pPr>
              <w:widowControl/>
              <w:spacing w:line="360" w:lineRule="auto"/>
              <w:jc w:val="center"/>
              <w:rPr>
                <w:color w:val="000000"/>
                <w:sz w:val="24"/>
                <w:szCs w:val="24"/>
              </w:rPr>
            </w:pPr>
            <w:r>
              <w:rPr>
                <w:color w:val="000000"/>
                <w:sz w:val="24"/>
                <w:szCs w:val="24"/>
              </w:rPr>
              <w:t>1</w:t>
            </w:r>
          </w:p>
        </w:tc>
        <w:tc>
          <w:tcPr>
            <w:tcW w:w="1431" w:type="pct"/>
            <w:shd w:val="clear" w:color="auto" w:fill="auto"/>
            <w:noWrap/>
            <w:vAlign w:val="center"/>
          </w:tcPr>
          <w:p>
            <w:pPr>
              <w:widowControl/>
              <w:spacing w:line="360" w:lineRule="auto"/>
              <w:jc w:val="center"/>
              <w:rPr>
                <w:color w:val="000000"/>
                <w:sz w:val="24"/>
                <w:szCs w:val="24"/>
              </w:rPr>
            </w:pPr>
            <w:r>
              <w:rPr>
                <w:color w:val="000000"/>
                <w:sz w:val="24"/>
                <w:szCs w:val="24"/>
              </w:rPr>
              <w:t>99%</w:t>
            </w:r>
          </w:p>
        </w:tc>
        <w:tc>
          <w:tcPr>
            <w:tcW w:w="2712" w:type="pct"/>
            <w:gridSpan w:val="2"/>
            <w:shd w:val="clear" w:color="auto" w:fill="auto"/>
            <w:noWrap/>
          </w:tcPr>
          <w:p>
            <w:pPr>
              <w:spacing w:line="360" w:lineRule="auto"/>
              <w:jc w:val="center"/>
              <w:rPr>
                <w:sz w:val="24"/>
                <w:szCs w:val="24"/>
              </w:rPr>
            </w:pPr>
            <w:r>
              <w:rPr>
                <w:sz w:val="24"/>
                <w:szCs w:val="24"/>
              </w:rPr>
              <w:t>&gt; F</w:t>
            </w:r>
            <w:r>
              <w:rPr>
                <w:sz w:val="24"/>
                <w:szCs w:val="24"/>
                <w:vertAlign w:val="superscript"/>
              </w:rPr>
              <w:t xml:space="preserve"> -1</w:t>
            </w:r>
            <w:r>
              <w:rPr>
                <w:sz w:val="24"/>
                <w:szCs w:val="24"/>
              </w:rPr>
              <w:t xml:space="preserve"> (0.99)</w:t>
            </w:r>
          </w:p>
        </w:tc>
      </w:tr>
    </w:tbl>
    <w:p>
      <w:pPr>
        <w:spacing w:line="360" w:lineRule="auto"/>
        <w:rPr>
          <w:sz w:val="24"/>
          <w:szCs w:val="24"/>
        </w:rPr>
      </w:pPr>
      <w:r>
        <w:rPr>
          <w:rFonts w:hint="eastAsia"/>
          <w:sz w:val="24"/>
          <w:szCs w:val="24"/>
        </w:rPr>
        <w:t>备注：</w:t>
      </w:r>
      <w:r>
        <w:rPr>
          <w:sz w:val="24"/>
          <w:szCs w:val="24"/>
        </w:rPr>
        <w:t>F</w:t>
      </w:r>
      <w:r>
        <w:rPr>
          <w:sz w:val="24"/>
          <w:szCs w:val="24"/>
          <w:vertAlign w:val="superscript"/>
        </w:rPr>
        <w:t xml:space="preserve"> -1</w:t>
      </w:r>
      <w:r>
        <w:rPr>
          <w:sz w:val="24"/>
          <w:szCs w:val="24"/>
        </w:rPr>
        <w:t>(x)</w:t>
      </w:r>
      <w:r>
        <w:rPr>
          <w:rFonts w:hint="eastAsia"/>
          <w:sz w:val="24"/>
          <w:szCs w:val="24"/>
        </w:rPr>
        <w:t>为累积分布函数</w:t>
      </w:r>
      <w:r>
        <w:rPr>
          <w:sz w:val="24"/>
          <w:szCs w:val="24"/>
        </w:rPr>
        <w:t>F(x)=P(</w:t>
      </w:r>
      <w:r>
        <w:rPr>
          <w:rFonts w:hint="eastAsia"/>
          <w:sz w:val="24"/>
          <w:szCs w:val="24"/>
        </w:rPr>
        <w:t>X≤x</w:t>
      </w:r>
      <w:r>
        <w:rPr>
          <w:sz w:val="24"/>
          <w:szCs w:val="24"/>
        </w:rPr>
        <w:t>)</w:t>
      </w:r>
      <w:r>
        <w:rPr>
          <w:rFonts w:hint="eastAsia"/>
          <w:sz w:val="24"/>
          <w:szCs w:val="24"/>
        </w:rPr>
        <w:t>的逆函数</w:t>
      </w:r>
    </w:p>
    <w:p>
      <w:pPr>
        <w:spacing w:line="360" w:lineRule="auto"/>
        <w:rPr>
          <w:sz w:val="24"/>
          <w:szCs w:val="24"/>
        </w:rPr>
      </w:pPr>
      <w:r>
        <w:rPr>
          <w:rFonts w:hint="eastAsia" w:eastAsia="楷体"/>
          <w:b/>
          <w:bCs/>
          <w:sz w:val="24"/>
          <w:szCs w:val="24"/>
        </w:rPr>
        <w:t>【条文说明】</w:t>
      </w:r>
      <w:r>
        <w:rPr>
          <w:rFonts w:hint="eastAsia" w:eastAsia="楷体"/>
          <w:sz w:val="24"/>
          <w:szCs w:val="24"/>
        </w:rPr>
        <w:t>附录A 建筑（年）总能耗比对评价方法示例</w:t>
      </w:r>
    </w:p>
    <w:p>
      <w:pPr>
        <w:spacing w:line="360" w:lineRule="auto"/>
        <w:ind w:firstLine="480" w:firstLineChars="200"/>
        <w:rPr>
          <w:rFonts w:eastAsia="楷体"/>
          <w:sz w:val="24"/>
          <w:szCs w:val="24"/>
        </w:rPr>
      </w:pPr>
      <w:r>
        <w:rPr>
          <w:rFonts w:hint="eastAsia" w:eastAsia="楷体"/>
          <w:sz w:val="24"/>
          <w:szCs w:val="24"/>
        </w:rPr>
        <w:t>本方法示例以办公建筑为例，采用多元线性回归的方法确定能耗基准，该方法为总能耗比对评价方法的一种。</w:t>
      </w:r>
    </w:p>
    <w:p>
      <w:pPr>
        <w:spacing w:line="360" w:lineRule="auto"/>
        <w:ind w:firstLine="480" w:firstLineChars="200"/>
        <w:rPr>
          <w:rFonts w:eastAsia="楷体"/>
          <w:sz w:val="24"/>
          <w:szCs w:val="24"/>
        </w:rPr>
      </w:pPr>
      <w:r>
        <w:rPr>
          <w:rFonts w:hint="eastAsia" w:eastAsia="楷体"/>
          <w:sz w:val="24"/>
          <w:szCs w:val="24"/>
        </w:rPr>
        <w:t>本方法示例从能耗分析开始，前期还需进行数据调研与校核工作。</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sectPr>
          <w:pgSz w:w="11906" w:h="16838"/>
          <w:pgMar w:top="1440" w:right="1800" w:bottom="1440" w:left="1800" w:header="851" w:footer="992" w:gutter="0"/>
          <w:cols w:space="425" w:num="1"/>
          <w:docGrid w:type="lines" w:linePitch="312" w:charSpace="0"/>
        </w:sectPr>
      </w:pPr>
    </w:p>
    <w:p>
      <w:pPr>
        <w:pStyle w:val="2"/>
        <w:spacing w:before="0" w:after="156" w:afterLines="50" w:line="360" w:lineRule="auto"/>
        <w:jc w:val="center"/>
        <w:rPr>
          <w:sz w:val="24"/>
          <w:szCs w:val="24"/>
        </w:rPr>
      </w:pPr>
      <w:bookmarkStart w:id="22" w:name="_Toc28354606"/>
      <w:r>
        <w:rPr>
          <w:rFonts w:hint="eastAsia"/>
          <w:sz w:val="24"/>
          <w:szCs w:val="24"/>
        </w:rPr>
        <w:t>附录</w:t>
      </w:r>
      <w:r>
        <w:rPr>
          <w:sz w:val="24"/>
          <w:szCs w:val="24"/>
        </w:rPr>
        <w:t xml:space="preserve">B </w:t>
      </w:r>
      <w:r>
        <w:rPr>
          <w:rFonts w:hint="eastAsia"/>
          <w:sz w:val="24"/>
          <w:szCs w:val="24"/>
        </w:rPr>
        <w:t>拆分分项能耗比对评价方法示例</w:t>
      </w:r>
      <w:bookmarkEnd w:id="22"/>
    </w:p>
    <w:p>
      <w:pPr>
        <w:pStyle w:val="20"/>
        <w:numPr>
          <w:ilvl w:val="0"/>
          <w:numId w:val="26"/>
        </w:numPr>
        <w:spacing w:line="360" w:lineRule="auto"/>
        <w:ind w:firstLineChars="0"/>
        <w:rPr>
          <w:sz w:val="24"/>
          <w:szCs w:val="24"/>
        </w:rPr>
      </w:pPr>
      <w:r>
        <w:rPr>
          <w:rFonts w:hint="eastAsia"/>
          <w:sz w:val="24"/>
          <w:szCs w:val="24"/>
        </w:rPr>
        <w:t>能耗拆分采用以下方法：</w:t>
      </w:r>
    </w:p>
    <w:p>
      <w:pPr>
        <w:pStyle w:val="20"/>
        <w:numPr>
          <w:ilvl w:val="1"/>
          <w:numId w:val="27"/>
        </w:numPr>
        <w:spacing w:line="360" w:lineRule="auto"/>
        <w:ind w:firstLineChars="0"/>
        <w:rPr>
          <w:sz w:val="24"/>
          <w:szCs w:val="24"/>
        </w:rPr>
      </w:pPr>
      <w:r>
        <w:rPr>
          <w:rFonts w:hint="eastAsia"/>
          <w:sz w:val="24"/>
          <w:szCs w:val="24"/>
        </w:rPr>
        <w:t>根据调研数据，计算全部样本逐月日均单位面积电耗。</w:t>
      </w:r>
    </w:p>
    <w:p>
      <w:pPr>
        <w:pStyle w:val="20"/>
        <w:numPr>
          <w:ilvl w:val="1"/>
          <w:numId w:val="27"/>
        </w:numPr>
        <w:spacing w:line="360" w:lineRule="auto"/>
        <w:ind w:firstLineChars="0"/>
        <w:rPr>
          <w:sz w:val="24"/>
          <w:szCs w:val="24"/>
        </w:rPr>
      </w:pPr>
      <w:r>
        <w:rPr>
          <w:rFonts w:hint="eastAsia"/>
          <w:sz w:val="24"/>
          <w:szCs w:val="24"/>
        </w:rPr>
        <w:t>查询并计算全部样本建筑所在地能耗对应月份室外平均温度。</w:t>
      </w:r>
    </w:p>
    <w:p>
      <w:pPr>
        <w:pStyle w:val="20"/>
        <w:numPr>
          <w:ilvl w:val="1"/>
          <w:numId w:val="27"/>
        </w:numPr>
        <w:spacing w:line="360" w:lineRule="auto"/>
        <w:ind w:firstLineChars="0"/>
        <w:rPr>
          <w:sz w:val="24"/>
          <w:szCs w:val="24"/>
        </w:rPr>
      </w:pPr>
      <w:r>
        <w:rPr>
          <w:rFonts w:hint="eastAsia"/>
          <w:sz w:val="24"/>
          <w:szCs w:val="24"/>
        </w:rPr>
        <w:t>以逐月日均单位面积电耗为因变量，室外月平均温度为自变量拟合线性模型：</w:t>
      </w:r>
    </w:p>
    <w:p>
      <w:pPr>
        <w:spacing w:line="360" w:lineRule="auto"/>
        <w:jc w:val="center"/>
        <w:rPr>
          <w:sz w:val="24"/>
          <w:szCs w:val="24"/>
        </w:rPr>
      </w:pPr>
      <w:r>
        <w:rPr>
          <w:position w:val="-16"/>
          <w:sz w:val="24"/>
          <w:szCs w:val="24"/>
        </w:rPr>
        <w:object>
          <v:shape id="_x0000_i1039" o:spt="75" type="#_x0000_t75" style="height:22.5pt;width:209.25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p>
    <w:p>
      <w:pPr>
        <w:spacing w:line="360" w:lineRule="auto"/>
        <w:ind w:firstLine="484" w:firstLineChars="202"/>
        <w:jc w:val="left"/>
        <w:rPr>
          <w:sz w:val="24"/>
          <w:szCs w:val="24"/>
        </w:rPr>
      </w:pPr>
      <w:r>
        <w:rPr>
          <w:rFonts w:hint="eastAsia"/>
          <w:sz w:val="24"/>
          <w:szCs w:val="24"/>
        </w:rPr>
        <w:t>其中，</w:t>
      </w:r>
      <w:r>
        <w:rPr>
          <w:position w:val="-12"/>
          <w:sz w:val="24"/>
          <w:szCs w:val="24"/>
        </w:rPr>
        <w:object>
          <v:shape id="_x0000_i1040" o:spt="75" type="#_x0000_t75" style="height:14.25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hint="eastAsia"/>
          <w:sz w:val="24"/>
          <w:szCs w:val="24"/>
        </w:rPr>
        <w:t>为室外温度。</w:t>
      </w:r>
    </w:p>
    <w:p>
      <w:pPr>
        <w:spacing w:line="360" w:lineRule="auto"/>
        <w:ind w:firstLine="484" w:firstLineChars="202"/>
        <w:jc w:val="center"/>
        <w:rPr>
          <w:sz w:val="24"/>
          <w:szCs w:val="24"/>
        </w:rPr>
      </w:pPr>
      <w:r>
        <w:rPr>
          <w:position w:val="-32"/>
          <w:sz w:val="24"/>
          <w:szCs w:val="24"/>
        </w:rPr>
        <w:object>
          <v:shape id="_x0000_i1041" o:spt="75" type="#_x0000_t75" style="height:35.25pt;width:172.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p>
    <w:p>
      <w:pPr>
        <w:spacing w:line="360" w:lineRule="auto"/>
        <w:ind w:firstLine="484" w:firstLineChars="202"/>
        <w:jc w:val="center"/>
        <w:rPr>
          <w:sz w:val="24"/>
          <w:szCs w:val="24"/>
        </w:rPr>
      </w:pPr>
      <w:r>
        <w:rPr>
          <w:position w:val="-32"/>
          <w:sz w:val="24"/>
          <w:szCs w:val="24"/>
        </w:rPr>
        <w:object>
          <v:shape id="_x0000_i1042" o:spt="75" type="#_x0000_t75" style="height:35.25pt;width:180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p>
    <w:p>
      <w:pPr>
        <w:spacing w:line="360" w:lineRule="auto"/>
        <w:ind w:firstLine="480" w:firstLineChars="200"/>
        <w:rPr>
          <w:sz w:val="24"/>
          <w:szCs w:val="24"/>
        </w:rPr>
      </w:pPr>
      <w:r>
        <w:rPr>
          <w:rFonts w:hint="eastAsia"/>
          <w:sz w:val="24"/>
          <w:szCs w:val="24"/>
        </w:rPr>
        <w:t>常量</w:t>
      </w:r>
      <w:r>
        <w:rPr>
          <w:position w:val="-12"/>
          <w:sz w:val="24"/>
          <w:szCs w:val="24"/>
        </w:rPr>
        <w:object>
          <v:shape id="_x0000_i1043" o:spt="75" type="#_x0000_t75" style="height:14.25pt;width:14.2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rFonts w:hint="eastAsia"/>
          <w:sz w:val="24"/>
          <w:szCs w:val="24"/>
        </w:rPr>
        <w:t>为室外温度变化无关的基荷能耗，</w:t>
      </w:r>
      <w:r>
        <w:rPr>
          <w:position w:val="-16"/>
          <w:sz w:val="24"/>
          <w:szCs w:val="24"/>
        </w:rPr>
        <w:object>
          <v:shape id="_x0000_i1044" o:spt="75" type="#_x0000_t75" style="height:22.5pt;width:166.5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rFonts w:hint="eastAsia"/>
          <w:sz w:val="24"/>
          <w:szCs w:val="24"/>
        </w:rPr>
        <w:t>为天气相关能耗。</w:t>
      </w:r>
    </w:p>
    <w:p>
      <w:pPr>
        <w:spacing w:line="360" w:lineRule="auto"/>
        <w:jc w:val="center"/>
        <w:rPr>
          <w:sz w:val="24"/>
          <w:szCs w:val="24"/>
        </w:rPr>
      </w:pPr>
      <w:r>
        <w:rPr>
          <w:sz w:val="24"/>
          <w:szCs w:val="24"/>
        </w:rPr>
        <w:drawing>
          <wp:inline distT="0" distB="0" distL="0" distR="0">
            <wp:extent cx="3747770" cy="29673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758623" cy="2975765"/>
                    </a:xfrm>
                    <a:prstGeom prst="rect">
                      <a:avLst/>
                    </a:prstGeom>
                    <a:noFill/>
                    <a:ln>
                      <a:noFill/>
                    </a:ln>
                  </pic:spPr>
                </pic:pic>
              </a:graphicData>
            </a:graphic>
          </wp:inline>
        </w:drawing>
      </w:r>
    </w:p>
    <w:p>
      <w:pPr>
        <w:spacing w:line="360" w:lineRule="auto"/>
        <w:jc w:val="center"/>
        <w:rPr>
          <w:sz w:val="24"/>
          <w:szCs w:val="24"/>
        </w:rPr>
      </w:pPr>
      <w:r>
        <w:rPr>
          <w:rFonts w:hint="eastAsia"/>
          <w:sz w:val="24"/>
          <w:szCs w:val="24"/>
        </w:rPr>
        <w:t>图</w:t>
      </w:r>
      <w:r>
        <w:rPr>
          <w:sz w:val="24"/>
          <w:szCs w:val="24"/>
        </w:rPr>
        <w:t xml:space="preserve">B.2-1 </w:t>
      </w:r>
      <w:r>
        <w:rPr>
          <w:rFonts w:hint="eastAsia"/>
          <w:sz w:val="24"/>
          <w:szCs w:val="24"/>
        </w:rPr>
        <w:t>能耗拆分模型</w:t>
      </w:r>
    </w:p>
    <w:p>
      <w:pPr>
        <w:spacing w:line="360" w:lineRule="auto"/>
        <w:rPr>
          <w:sz w:val="24"/>
          <w:szCs w:val="24"/>
        </w:rPr>
      </w:pPr>
    </w:p>
    <w:p>
      <w:pPr>
        <w:pStyle w:val="20"/>
        <w:numPr>
          <w:ilvl w:val="0"/>
          <w:numId w:val="26"/>
        </w:numPr>
        <w:spacing w:line="360" w:lineRule="auto"/>
        <w:ind w:firstLineChars="0"/>
        <w:rPr>
          <w:sz w:val="24"/>
          <w:szCs w:val="24"/>
        </w:rPr>
      </w:pPr>
      <w:r>
        <w:rPr>
          <w:rFonts w:hint="eastAsia"/>
          <w:sz w:val="24"/>
          <w:szCs w:val="24"/>
        </w:rPr>
        <w:t>拆分模型参数分析采用以下方法：</w:t>
      </w:r>
    </w:p>
    <w:p>
      <w:pPr>
        <w:spacing w:line="360" w:lineRule="auto"/>
        <w:ind w:firstLine="480" w:firstLineChars="200"/>
        <w:rPr>
          <w:sz w:val="24"/>
          <w:szCs w:val="24"/>
        </w:rPr>
      </w:pPr>
      <w:bookmarkStart w:id="23" w:name="_Hlk27396231"/>
      <w:r>
        <w:rPr>
          <w:position w:val="-6"/>
          <w:sz w:val="24"/>
          <w:szCs w:val="24"/>
        </w:rPr>
        <w:object>
          <v:shape id="_x0000_i1045" o:spt="75" type="#_x0000_t75" style="height:14.25pt;width:22.5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rPr>
          <w:rFonts w:hint="eastAsia"/>
          <w:sz w:val="24"/>
          <w:szCs w:val="24"/>
        </w:rPr>
        <w:t>反映的是建筑围护结构与供热系统效率的优劣，其值越大围护结构和供热系统效率越差。</w:t>
      </w:r>
      <w:bookmarkEnd w:id="23"/>
      <w:r>
        <w:rPr>
          <w:position w:val="-6"/>
          <w:sz w:val="24"/>
          <w:szCs w:val="24"/>
        </w:rPr>
        <w:object>
          <v:shape id="_x0000_i1046" o:spt="75" type="#_x0000_t75" style="height:14.25pt;width:22.5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rPr>
          <w:rFonts w:hint="eastAsia"/>
          <w:sz w:val="24"/>
          <w:szCs w:val="24"/>
        </w:rPr>
        <w:t>反映的是建筑围护结构与空调系统效率的优劣，</w:t>
      </w:r>
      <w:r>
        <w:rPr>
          <w:position w:val="-6"/>
          <w:sz w:val="24"/>
          <w:szCs w:val="24"/>
        </w:rPr>
        <w:object>
          <v:shape id="_x0000_i1047" o:spt="75" type="#_x0000_t75" style="height:14.25pt;width:22.5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rFonts w:hint="eastAsia"/>
          <w:sz w:val="24"/>
          <w:szCs w:val="24"/>
        </w:rPr>
        <w:t>越大说明围护结构和空调系统效率越差。</w:t>
      </w:r>
      <w:r>
        <w:rPr>
          <w:i/>
          <w:iCs/>
          <w:sz w:val="24"/>
          <w:szCs w:val="24"/>
        </w:rPr>
        <w:t>T</w:t>
      </w:r>
      <w:r>
        <w:rPr>
          <w:i/>
          <w:iCs/>
          <w:sz w:val="24"/>
          <w:szCs w:val="24"/>
          <w:vertAlign w:val="subscript"/>
        </w:rPr>
        <w:t>b,H</w:t>
      </w:r>
      <w:r>
        <w:rPr>
          <w:rFonts w:hint="eastAsia"/>
          <w:sz w:val="24"/>
          <w:szCs w:val="24"/>
        </w:rPr>
        <w:t>和</w:t>
      </w:r>
      <w:r>
        <w:rPr>
          <w:i/>
          <w:iCs/>
          <w:sz w:val="24"/>
          <w:szCs w:val="24"/>
        </w:rPr>
        <w:t>T</w:t>
      </w:r>
      <w:r>
        <w:rPr>
          <w:i/>
          <w:iCs/>
          <w:sz w:val="24"/>
          <w:szCs w:val="24"/>
          <w:vertAlign w:val="subscript"/>
        </w:rPr>
        <w:t>b,C</w:t>
      </w:r>
      <w:r>
        <w:rPr>
          <w:rFonts w:hint="eastAsia"/>
          <w:sz w:val="24"/>
          <w:szCs w:val="24"/>
        </w:rPr>
        <w:t>分别为供热和空调开启临界温度，</w:t>
      </w:r>
      <w:r>
        <w:rPr>
          <w:i/>
          <w:iCs/>
          <w:sz w:val="24"/>
          <w:szCs w:val="24"/>
        </w:rPr>
        <w:t>T</w:t>
      </w:r>
      <w:r>
        <w:rPr>
          <w:i/>
          <w:iCs/>
          <w:sz w:val="24"/>
          <w:szCs w:val="24"/>
          <w:vertAlign w:val="subscript"/>
        </w:rPr>
        <w:t>b,H</w:t>
      </w:r>
      <w:r>
        <w:rPr>
          <w:rFonts w:hint="eastAsia"/>
          <w:sz w:val="24"/>
          <w:szCs w:val="24"/>
        </w:rPr>
        <w:t>越大，说明供热季室内温度越高，</w:t>
      </w:r>
      <w:r>
        <w:rPr>
          <w:i/>
          <w:iCs/>
          <w:sz w:val="24"/>
          <w:szCs w:val="24"/>
        </w:rPr>
        <w:t>T</w:t>
      </w:r>
      <w:r>
        <w:rPr>
          <w:i/>
          <w:iCs/>
          <w:sz w:val="24"/>
          <w:szCs w:val="24"/>
          <w:vertAlign w:val="subscript"/>
        </w:rPr>
        <w:t>b,C</w:t>
      </w:r>
      <w:r>
        <w:rPr>
          <w:rFonts w:hint="eastAsia"/>
          <w:sz w:val="24"/>
          <w:szCs w:val="24"/>
        </w:rPr>
        <w:t>越大，说明空调季室内温度越高，内热源散热量越大。</w:t>
      </w:r>
    </w:p>
    <w:p>
      <w:pPr>
        <w:autoSpaceDE w:val="0"/>
        <w:autoSpaceDN w:val="0"/>
        <w:adjustRightInd w:val="0"/>
        <w:spacing w:line="360" w:lineRule="auto"/>
        <w:jc w:val="center"/>
        <w:rPr>
          <w:sz w:val="24"/>
          <w:szCs w:val="24"/>
        </w:rPr>
      </w:pPr>
      <w:r>
        <w:rPr>
          <w:sz w:val="24"/>
          <w:szCs w:val="24"/>
        </w:rPr>
        <w:object>
          <v:shape id="_x0000_i1048" o:spt="75" type="#_x0000_t75" style="height:36.75pt;width:49.5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p>
    <w:p>
      <w:pPr>
        <w:autoSpaceDE w:val="0"/>
        <w:autoSpaceDN w:val="0"/>
        <w:adjustRightInd w:val="0"/>
        <w:spacing w:line="360" w:lineRule="auto"/>
        <w:jc w:val="center"/>
        <w:rPr>
          <w:sz w:val="24"/>
          <w:szCs w:val="24"/>
        </w:rPr>
      </w:pPr>
      <w:r>
        <w:rPr>
          <w:sz w:val="24"/>
          <w:szCs w:val="24"/>
        </w:rPr>
        <w:object>
          <v:shape id="_x0000_i1049" o:spt="75" type="#_x0000_t75" style="height:28.5pt;width:79.5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p>
    <w:p>
      <w:pPr>
        <w:autoSpaceDE w:val="0"/>
        <w:autoSpaceDN w:val="0"/>
        <w:adjustRightInd w:val="0"/>
        <w:spacing w:line="360" w:lineRule="auto"/>
        <w:jc w:val="center"/>
        <w:rPr>
          <w:sz w:val="24"/>
          <w:szCs w:val="24"/>
        </w:rPr>
      </w:pPr>
      <w:r>
        <w:rPr>
          <w:sz w:val="24"/>
          <w:szCs w:val="24"/>
        </w:rPr>
        <w:object>
          <v:shape id="_x0000_i1050" o:spt="75" type="#_x0000_t75" style="height:22.5pt;width:86.25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p>
    <w:p>
      <w:pPr>
        <w:autoSpaceDE w:val="0"/>
        <w:autoSpaceDN w:val="0"/>
        <w:adjustRightInd w:val="0"/>
        <w:spacing w:line="360" w:lineRule="auto"/>
        <w:jc w:val="center"/>
        <w:rPr>
          <w:sz w:val="24"/>
          <w:szCs w:val="24"/>
        </w:rPr>
      </w:pPr>
      <w:r>
        <w:rPr>
          <w:sz w:val="24"/>
          <w:szCs w:val="24"/>
        </w:rPr>
        <w:object>
          <v:shape id="_x0000_i1051" o:spt="75" type="#_x0000_t75" style="height:36.75pt;width:49.5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p>
    <w:p>
      <w:pPr>
        <w:autoSpaceDE w:val="0"/>
        <w:autoSpaceDN w:val="0"/>
        <w:adjustRightInd w:val="0"/>
        <w:spacing w:line="360" w:lineRule="auto"/>
        <w:jc w:val="center"/>
        <w:rPr>
          <w:sz w:val="24"/>
          <w:szCs w:val="24"/>
        </w:rPr>
      </w:pPr>
      <w:r>
        <w:rPr>
          <w:sz w:val="24"/>
          <w:szCs w:val="24"/>
        </w:rPr>
        <w:object>
          <v:shape id="_x0000_i1052" o:spt="75" type="#_x0000_t75" style="height:28.5pt;width:79.5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p>
    <w:p>
      <w:pPr>
        <w:autoSpaceDE w:val="0"/>
        <w:autoSpaceDN w:val="0"/>
        <w:adjustRightInd w:val="0"/>
        <w:spacing w:line="360" w:lineRule="auto"/>
        <w:jc w:val="center"/>
        <w:rPr>
          <w:sz w:val="24"/>
          <w:szCs w:val="24"/>
        </w:rPr>
      </w:pPr>
      <w:r>
        <w:rPr>
          <w:sz w:val="24"/>
          <w:szCs w:val="24"/>
        </w:rPr>
        <w:object>
          <v:shape id="_x0000_i1053" o:spt="75" type="#_x0000_t75" style="height:22.5pt;width:86.25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p>
    <w:p>
      <w:pPr>
        <w:spacing w:line="360" w:lineRule="auto"/>
        <w:ind w:firstLine="480" w:firstLineChars="200"/>
        <w:rPr>
          <w:sz w:val="24"/>
          <w:szCs w:val="24"/>
        </w:rPr>
      </w:pPr>
      <w:r>
        <w:rPr>
          <w:i/>
          <w:iCs/>
          <w:sz w:val="24"/>
          <w:szCs w:val="24"/>
        </w:rPr>
        <w:t>CC</w:t>
      </w:r>
      <w:r>
        <w:rPr>
          <w:rFonts w:hint="eastAsia"/>
          <w:sz w:val="24"/>
          <w:szCs w:val="24"/>
        </w:rPr>
        <w:t>和</w:t>
      </w:r>
      <w:r>
        <w:rPr>
          <w:i/>
          <w:iCs/>
          <w:sz w:val="24"/>
          <w:szCs w:val="24"/>
        </w:rPr>
        <w:t>HC</w:t>
      </w:r>
      <w:r>
        <w:rPr>
          <w:rFonts w:hint="eastAsia"/>
          <w:sz w:val="24"/>
          <w:szCs w:val="24"/>
        </w:rPr>
        <w:t>分别指外部空调负荷和外部采暖负荷，</w:t>
      </w:r>
      <w:r>
        <w:rPr>
          <w:i/>
          <w:iCs/>
          <w:sz w:val="24"/>
          <w:szCs w:val="24"/>
        </w:rPr>
        <w:t>U</w:t>
      </w:r>
      <w:r>
        <w:rPr>
          <w:rFonts w:hint="eastAsia"/>
          <w:sz w:val="24"/>
          <w:szCs w:val="24"/>
        </w:rPr>
        <w:t>指围护结构导热系数，</w:t>
      </w:r>
      <w:r>
        <w:rPr>
          <w:i/>
          <w:iCs/>
          <w:sz w:val="24"/>
          <w:szCs w:val="24"/>
        </w:rPr>
        <w:t>A</w:t>
      </w:r>
      <w:r>
        <w:rPr>
          <w:rFonts w:hint="eastAsia"/>
          <w:sz w:val="24"/>
          <w:szCs w:val="24"/>
        </w:rPr>
        <w:t>指围护结构面积，</w:t>
      </w:r>
      <w:r>
        <w:rPr>
          <w:i/>
          <w:iCs/>
          <w:sz w:val="24"/>
          <w:szCs w:val="24"/>
        </w:rPr>
        <w:t>V</w:t>
      </w:r>
      <w:r>
        <w:rPr>
          <w:rFonts w:hint="eastAsia"/>
          <w:sz w:val="24"/>
          <w:szCs w:val="24"/>
        </w:rPr>
        <w:t>指无组织通风流速，</w:t>
      </w:r>
      <w:r>
        <w:rPr>
          <w:i/>
          <w:iCs/>
          <w:sz w:val="24"/>
          <w:szCs w:val="24"/>
        </w:rPr>
        <w:t>ρ</w:t>
      </w:r>
      <w:r>
        <w:rPr>
          <w:rFonts w:hint="eastAsia"/>
          <w:sz w:val="24"/>
          <w:szCs w:val="24"/>
        </w:rPr>
        <w:t>指空气密度，</w:t>
      </w:r>
      <w:r>
        <w:rPr>
          <w:i/>
          <w:iCs/>
          <w:sz w:val="24"/>
          <w:szCs w:val="24"/>
        </w:rPr>
        <w:t>c</w:t>
      </w:r>
      <w:r>
        <w:rPr>
          <w:i/>
          <w:iCs/>
          <w:sz w:val="24"/>
          <w:szCs w:val="24"/>
          <w:vertAlign w:val="subscript"/>
        </w:rPr>
        <w:t>p</w:t>
      </w:r>
      <w:r>
        <w:rPr>
          <w:rFonts w:hint="eastAsia"/>
          <w:sz w:val="24"/>
          <w:szCs w:val="24"/>
        </w:rPr>
        <w:t>指空气比热。</w:t>
      </w:r>
    </w:p>
    <w:p>
      <w:pPr>
        <w:spacing w:line="360" w:lineRule="auto"/>
        <w:ind w:firstLine="480" w:firstLineChars="200"/>
        <w:rPr>
          <w:sz w:val="24"/>
          <w:szCs w:val="24"/>
        </w:rPr>
      </w:pPr>
      <w:r>
        <w:rPr>
          <w:rFonts w:hint="eastAsia"/>
          <w:sz w:val="24"/>
          <w:szCs w:val="24"/>
        </w:rPr>
        <w:t>平衡点温度</w:t>
      </w:r>
      <w:r>
        <w:rPr>
          <w:i/>
          <w:iCs/>
          <w:sz w:val="24"/>
          <w:szCs w:val="24"/>
        </w:rPr>
        <w:t>T</w:t>
      </w:r>
      <w:r>
        <w:rPr>
          <w:i/>
          <w:iCs/>
          <w:sz w:val="24"/>
          <w:szCs w:val="24"/>
          <w:vertAlign w:val="subscript"/>
        </w:rPr>
        <w:t>b,H</w:t>
      </w:r>
      <w:r>
        <w:rPr>
          <w:rFonts w:hint="eastAsia"/>
          <w:sz w:val="24"/>
          <w:szCs w:val="24"/>
        </w:rPr>
        <w:t>和</w:t>
      </w:r>
      <w:r>
        <w:rPr>
          <w:i/>
          <w:iCs/>
          <w:sz w:val="24"/>
          <w:szCs w:val="24"/>
        </w:rPr>
        <w:t>T</w:t>
      </w:r>
      <w:r>
        <w:rPr>
          <w:i/>
          <w:iCs/>
          <w:sz w:val="24"/>
          <w:szCs w:val="24"/>
          <w:vertAlign w:val="subscript"/>
        </w:rPr>
        <w:t>b,C</w:t>
      </w:r>
      <w:r>
        <w:rPr>
          <w:rFonts w:hint="eastAsia"/>
          <w:sz w:val="24"/>
          <w:szCs w:val="24"/>
        </w:rPr>
        <w:t>指空调、采暖系统开启平均临界温度，</w:t>
      </w:r>
      <w:r>
        <w:rPr>
          <w:i/>
          <w:iCs/>
          <w:sz w:val="24"/>
          <w:szCs w:val="24"/>
        </w:rPr>
        <w:t>T</w:t>
      </w:r>
      <w:r>
        <w:rPr>
          <w:i/>
          <w:iCs/>
          <w:sz w:val="24"/>
          <w:szCs w:val="24"/>
          <w:vertAlign w:val="subscript"/>
        </w:rPr>
        <w:t>set</w:t>
      </w:r>
      <w:r>
        <w:rPr>
          <w:rFonts w:hint="eastAsia"/>
          <w:sz w:val="24"/>
          <w:szCs w:val="24"/>
        </w:rPr>
        <w:t>指设定温度，</w:t>
      </w:r>
      <w:r>
        <w:rPr>
          <w:i/>
          <w:iCs/>
          <w:sz w:val="24"/>
          <w:szCs w:val="24"/>
        </w:rPr>
        <w:t>Q</w:t>
      </w:r>
      <w:r>
        <w:rPr>
          <w:i/>
          <w:iCs/>
          <w:sz w:val="24"/>
          <w:szCs w:val="24"/>
          <w:vertAlign w:val="subscript"/>
        </w:rPr>
        <w:t>i</w:t>
      </w:r>
      <w:r>
        <w:rPr>
          <w:rFonts w:hint="eastAsia"/>
          <w:sz w:val="24"/>
          <w:szCs w:val="24"/>
        </w:rPr>
        <w:t>指内热负荷，包括用电设备、辐射得热以及人员活动。</w:t>
      </w:r>
      <w:r>
        <w:rPr>
          <w:i/>
          <w:iCs/>
          <w:sz w:val="24"/>
          <w:szCs w:val="24"/>
        </w:rPr>
        <w:t>η</w:t>
      </w:r>
      <w:r>
        <w:rPr>
          <w:rFonts w:hint="eastAsia"/>
          <w:sz w:val="24"/>
          <w:szCs w:val="24"/>
        </w:rPr>
        <w:t>指系统效率。</w:t>
      </w:r>
    </w:p>
    <w:p>
      <w:pPr>
        <w:spacing w:line="360" w:lineRule="auto"/>
        <w:ind w:firstLine="480" w:firstLineChars="200"/>
        <w:rPr>
          <w:sz w:val="24"/>
          <w:szCs w:val="24"/>
        </w:rPr>
      </w:pPr>
      <w:r>
        <w:rPr>
          <w:rFonts w:hint="eastAsia"/>
          <w:sz w:val="24"/>
          <w:szCs w:val="24"/>
        </w:rPr>
        <w:t>建筑围护结构或系统效率变化会直接导致</w:t>
      </w:r>
      <w:r>
        <w:rPr>
          <w:i/>
          <w:sz w:val="24"/>
          <w:szCs w:val="24"/>
        </w:rPr>
        <w:t>CS</w:t>
      </w:r>
      <w:r>
        <w:rPr>
          <w:rFonts w:hint="eastAsia"/>
          <w:sz w:val="24"/>
          <w:szCs w:val="24"/>
        </w:rPr>
        <w:t>、</w:t>
      </w:r>
      <w:r>
        <w:rPr>
          <w:i/>
          <w:sz w:val="24"/>
          <w:szCs w:val="24"/>
        </w:rPr>
        <w:t>HS</w:t>
      </w:r>
      <w:r>
        <w:rPr>
          <w:rFonts w:hint="eastAsia"/>
          <w:sz w:val="24"/>
          <w:szCs w:val="24"/>
        </w:rPr>
        <w:t>的变化，反之，</w:t>
      </w:r>
      <w:r>
        <w:rPr>
          <w:i/>
          <w:sz w:val="24"/>
          <w:szCs w:val="24"/>
        </w:rPr>
        <w:t>CS</w:t>
      </w:r>
      <w:r>
        <w:rPr>
          <w:rFonts w:hint="eastAsia"/>
          <w:sz w:val="24"/>
          <w:szCs w:val="24"/>
        </w:rPr>
        <w:t>、</w:t>
      </w:r>
      <w:r>
        <w:rPr>
          <w:i/>
          <w:sz w:val="24"/>
          <w:szCs w:val="24"/>
        </w:rPr>
        <w:t>HS</w:t>
      </w:r>
      <w:r>
        <w:rPr>
          <w:rFonts w:hint="eastAsia"/>
          <w:sz w:val="24"/>
          <w:szCs w:val="24"/>
        </w:rPr>
        <w:t>的变化也能反映建筑围护结构和系统效率的提升或下降。</w:t>
      </w:r>
    </w:p>
    <w:p>
      <w:pPr>
        <w:pStyle w:val="20"/>
        <w:numPr>
          <w:ilvl w:val="0"/>
          <w:numId w:val="26"/>
        </w:numPr>
        <w:spacing w:line="360" w:lineRule="auto"/>
        <w:ind w:firstLineChars="0"/>
        <w:rPr>
          <w:sz w:val="24"/>
          <w:szCs w:val="24"/>
        </w:rPr>
      </w:pPr>
      <w:r>
        <w:rPr>
          <w:rFonts w:hint="eastAsia"/>
          <w:sz w:val="24"/>
          <w:szCs w:val="24"/>
        </w:rPr>
        <w:t>基荷能耗基准模型拟合采用以下方法：</w:t>
      </w:r>
    </w:p>
    <w:p>
      <w:pPr>
        <w:pStyle w:val="20"/>
        <w:numPr>
          <w:ilvl w:val="0"/>
          <w:numId w:val="28"/>
        </w:numPr>
        <w:spacing w:line="360" w:lineRule="auto"/>
        <w:ind w:firstLineChars="0"/>
        <w:rPr>
          <w:sz w:val="24"/>
          <w:szCs w:val="24"/>
        </w:rPr>
      </w:pPr>
      <w:r>
        <w:rPr>
          <w:rFonts w:hint="eastAsia"/>
          <w:sz w:val="24"/>
          <w:szCs w:val="24"/>
        </w:rPr>
        <w:t>以样本拆分的室外温度变化无关的基荷能耗</w:t>
      </w:r>
      <w:r>
        <w:rPr>
          <w:position w:val="-12"/>
          <w:sz w:val="24"/>
          <w:szCs w:val="24"/>
        </w:rPr>
        <w:object>
          <v:shape id="_x0000_i1054" o:spt="75" type="#_x0000_t75" style="height:14.25pt;width:14.25pt;" o:ole="t" filled="f" o:preferrelative="t" stroked="f" coordsize="21600,21600">
            <v:path/>
            <v:fill on="f" focussize="0,0"/>
            <v:stroke on="f" joinstyle="miter"/>
            <v:imagedata r:id="rId48" o:title=""/>
            <o:lock v:ext="edit" aspectratio="t"/>
            <w10:wrap type="none"/>
            <w10:anchorlock/>
          </v:shape>
          <o:OLEObject Type="Embed" ProgID="Equation.DSMT4" ShapeID="_x0000_i1054" DrawAspect="Content" ObjectID="_1468075754" r:id="rId70">
            <o:LockedField>false</o:LockedField>
          </o:OLEObject>
        </w:object>
      </w:r>
      <w:r>
        <w:rPr>
          <w:rFonts w:hint="eastAsia"/>
          <w:sz w:val="24"/>
          <w:szCs w:val="24"/>
        </w:rPr>
        <w:t>为因变量，分析其与建筑能耗影响因素的相关性，对每项能耗影响因素进行曲线估计以及因素间的耦合分析，确定可能的自变量形式。</w:t>
      </w:r>
    </w:p>
    <w:p>
      <w:pPr>
        <w:pStyle w:val="20"/>
        <w:numPr>
          <w:ilvl w:val="0"/>
          <w:numId w:val="28"/>
        </w:numPr>
        <w:spacing w:line="360" w:lineRule="auto"/>
        <w:ind w:firstLineChars="0"/>
        <w:rPr>
          <w:sz w:val="24"/>
          <w:szCs w:val="24"/>
        </w:rPr>
      </w:pPr>
      <w:r>
        <w:rPr>
          <w:rFonts w:hint="eastAsia"/>
          <w:sz w:val="24"/>
          <w:szCs w:val="24"/>
        </w:rPr>
        <w:t>以</w:t>
      </w:r>
      <w:r>
        <w:rPr>
          <w:position w:val="-12"/>
          <w:sz w:val="24"/>
          <w:szCs w:val="24"/>
        </w:rPr>
        <w:object>
          <v:shape id="_x0000_i1055" o:spt="75" type="#_x0000_t75" style="height:14.25pt;width:14.25pt;" o:ole="t" filled="f" o:preferrelative="t" stroked="f" coordsize="21600,21600">
            <v:path/>
            <v:fill on="f" focussize="0,0"/>
            <v:stroke on="f" joinstyle="miter"/>
            <v:imagedata r:id="rId48" o:title=""/>
            <o:lock v:ext="edit" aspectratio="t"/>
            <w10:wrap type="none"/>
            <w10:anchorlock/>
          </v:shape>
          <o:OLEObject Type="Embed" ProgID="Equation.DSMT4" ShapeID="_x0000_i1055" DrawAspect="Content" ObjectID="_1468075755" r:id="rId71">
            <o:LockedField>false</o:LockedField>
          </o:OLEObject>
        </w:object>
      </w:r>
      <w:r>
        <w:rPr>
          <w:rFonts w:hint="eastAsia"/>
          <w:sz w:val="24"/>
          <w:szCs w:val="24"/>
        </w:rPr>
        <w:t>为因变量，能耗影响因素的各种形式及耦合形式为自变量，采用逐步回归的方法，拟合多元线性回归模型。</w:t>
      </w:r>
    </w:p>
    <w:p>
      <w:pPr>
        <w:pStyle w:val="20"/>
        <w:numPr>
          <w:ilvl w:val="0"/>
          <w:numId w:val="28"/>
        </w:numPr>
        <w:spacing w:line="360" w:lineRule="auto"/>
        <w:ind w:firstLineChars="0"/>
        <w:rPr>
          <w:sz w:val="24"/>
          <w:szCs w:val="24"/>
        </w:rPr>
      </w:pPr>
      <w:r>
        <w:rPr>
          <w:rFonts w:hint="eastAsia"/>
          <w:sz w:val="24"/>
          <w:szCs w:val="24"/>
        </w:rPr>
        <w:t>对模型进行显著性检验、多重共线性检验、</w:t>
      </w:r>
      <w:r>
        <w:rPr>
          <w:sz w:val="24"/>
          <w:szCs w:val="24"/>
        </w:rPr>
        <w:t>F</w:t>
      </w:r>
      <w:r>
        <w:rPr>
          <w:rFonts w:hint="eastAsia"/>
          <w:sz w:val="24"/>
          <w:szCs w:val="24"/>
        </w:rPr>
        <w:t>检验、</w:t>
      </w:r>
      <w:r>
        <w:rPr>
          <w:sz w:val="24"/>
          <w:szCs w:val="24"/>
        </w:rPr>
        <w:t>T</w:t>
      </w:r>
      <w:r>
        <w:rPr>
          <w:rFonts w:hint="eastAsia"/>
          <w:sz w:val="24"/>
          <w:szCs w:val="24"/>
        </w:rPr>
        <w:t>检验、序列自相关性检验等统计学验证。</w:t>
      </w:r>
    </w:p>
    <w:p>
      <w:pPr>
        <w:pStyle w:val="20"/>
        <w:numPr>
          <w:ilvl w:val="0"/>
          <w:numId w:val="26"/>
        </w:numPr>
        <w:spacing w:line="360" w:lineRule="auto"/>
        <w:ind w:firstLineChars="0"/>
        <w:rPr>
          <w:sz w:val="24"/>
          <w:szCs w:val="24"/>
        </w:rPr>
      </w:pPr>
      <w:r>
        <w:rPr>
          <w:rFonts w:hint="eastAsia"/>
          <w:sz w:val="24"/>
          <w:szCs w:val="24"/>
        </w:rPr>
        <w:t>能耗比对评价指标的确定采用以下方法：</w:t>
      </w:r>
    </w:p>
    <w:p>
      <w:pPr>
        <w:pStyle w:val="20"/>
        <w:numPr>
          <w:ilvl w:val="0"/>
          <w:numId w:val="29"/>
        </w:numPr>
        <w:spacing w:line="360" w:lineRule="auto"/>
        <w:ind w:firstLineChars="0"/>
        <w:rPr>
          <w:sz w:val="24"/>
          <w:szCs w:val="24"/>
        </w:rPr>
      </w:pPr>
      <w:r>
        <w:rPr>
          <w:rFonts w:hint="eastAsia"/>
          <w:sz w:val="24"/>
          <w:szCs w:val="24"/>
        </w:rPr>
        <w:t>计算每个样本</w:t>
      </w:r>
      <w:r>
        <w:rPr>
          <w:i/>
          <w:iCs/>
          <w:sz w:val="24"/>
          <w:szCs w:val="24"/>
        </w:rPr>
        <w:t>CS</w:t>
      </w:r>
      <w:r>
        <w:rPr>
          <w:rFonts w:hint="eastAsia"/>
          <w:sz w:val="24"/>
          <w:szCs w:val="24"/>
        </w:rPr>
        <w:t>、</w:t>
      </w:r>
      <w:r>
        <w:rPr>
          <w:i/>
          <w:iCs/>
          <w:sz w:val="24"/>
          <w:szCs w:val="24"/>
        </w:rPr>
        <w:t>HS</w:t>
      </w:r>
      <w:r>
        <w:rPr>
          <w:rFonts w:hint="eastAsia"/>
          <w:sz w:val="24"/>
          <w:szCs w:val="24"/>
        </w:rPr>
        <w:t>、</w:t>
      </w:r>
      <w:r>
        <w:rPr>
          <w:i/>
          <w:iCs/>
          <w:sz w:val="24"/>
          <w:szCs w:val="24"/>
        </w:rPr>
        <w:t>T</w:t>
      </w:r>
      <w:r>
        <w:rPr>
          <w:i/>
          <w:iCs/>
          <w:sz w:val="24"/>
          <w:szCs w:val="24"/>
          <w:vertAlign w:val="subscript"/>
        </w:rPr>
        <w:t>b,H</w:t>
      </w:r>
      <w:r>
        <w:rPr>
          <w:rFonts w:hint="eastAsia"/>
          <w:sz w:val="24"/>
          <w:szCs w:val="24"/>
        </w:rPr>
        <w:t>、</w:t>
      </w:r>
      <w:r>
        <w:rPr>
          <w:i/>
          <w:iCs/>
          <w:sz w:val="24"/>
          <w:szCs w:val="24"/>
        </w:rPr>
        <w:t>T</w:t>
      </w:r>
      <w:r>
        <w:rPr>
          <w:i/>
          <w:iCs/>
          <w:sz w:val="24"/>
          <w:szCs w:val="24"/>
          <w:vertAlign w:val="subscript"/>
        </w:rPr>
        <w:t>b,C</w:t>
      </w:r>
      <w:r>
        <w:rPr>
          <w:rFonts w:hint="eastAsia"/>
          <w:sz w:val="24"/>
          <w:szCs w:val="24"/>
        </w:rPr>
        <w:t>以及基荷能耗</w:t>
      </w:r>
      <w:r>
        <w:rPr>
          <w:sz w:val="24"/>
          <w:szCs w:val="24"/>
        </w:rPr>
        <w:t>E</w:t>
      </w:r>
      <w:r>
        <w:rPr>
          <w:sz w:val="24"/>
          <w:szCs w:val="24"/>
          <w:vertAlign w:val="subscript"/>
        </w:rPr>
        <w:t>i</w:t>
      </w:r>
      <w:r>
        <w:rPr>
          <w:rFonts w:hint="eastAsia"/>
          <w:sz w:val="24"/>
          <w:szCs w:val="24"/>
        </w:rPr>
        <w:t>值。</w:t>
      </w:r>
    </w:p>
    <w:p>
      <w:pPr>
        <w:pStyle w:val="20"/>
        <w:numPr>
          <w:ilvl w:val="0"/>
          <w:numId w:val="29"/>
        </w:numPr>
        <w:spacing w:line="360" w:lineRule="auto"/>
        <w:ind w:firstLineChars="0"/>
        <w:rPr>
          <w:sz w:val="24"/>
          <w:szCs w:val="24"/>
        </w:rPr>
      </w:pPr>
      <w:r>
        <w:rPr>
          <w:rFonts w:hint="eastAsia"/>
          <w:sz w:val="24"/>
          <w:szCs w:val="24"/>
        </w:rPr>
        <w:t>计算每个样本基荷能耗比。</w:t>
      </w:r>
    </w:p>
    <w:p>
      <w:pPr>
        <w:pStyle w:val="20"/>
        <w:spacing w:line="360" w:lineRule="auto"/>
        <w:ind w:left="420" w:firstLine="0" w:firstLineChars="0"/>
        <w:rPr>
          <w:sz w:val="24"/>
          <w:szCs w:val="24"/>
        </w:rPr>
      </w:pPr>
      <m:oMathPara>
        <m:oMath>
          <m:r>
            <m:rPr>
              <m:sty m:val="p"/>
            </m:rPr>
            <w:rPr>
              <w:rFonts w:hint="eastAsia" w:ascii="Cambria Math"/>
              <w:sz w:val="24"/>
              <w:szCs w:val="24"/>
            </w:rPr>
            <m:t>基荷能耗比</m:t>
          </m:r>
          <m:r>
            <w:rPr>
              <w:rFonts w:ascii="Cambria Math"/>
              <w:sz w:val="24"/>
              <w:szCs w:val="24"/>
            </w:rPr>
            <m:t>=</m:t>
          </m:r>
          <m:f>
            <m:fPr>
              <m:ctrlPr>
                <w:rPr>
                  <w:rFonts w:ascii="Cambria Math" w:hAnsi="Cambria Math"/>
                  <w:i/>
                  <w:sz w:val="24"/>
                  <w:szCs w:val="24"/>
                </w:rPr>
              </m:ctrlPr>
            </m:fPr>
            <m:num>
              <m:r>
                <m:rPr>
                  <m:sty m:val="p"/>
                </m:rPr>
                <w:rPr>
                  <w:rFonts w:hint="eastAsia" w:ascii="Cambria Math"/>
                  <w:sz w:val="24"/>
                  <w:szCs w:val="24"/>
                </w:rPr>
                <m:t>基荷能耗</m:t>
              </m:r>
              <m:ctrlPr>
                <w:rPr>
                  <w:rFonts w:ascii="Cambria Math" w:hAnsi="Cambria Math"/>
                  <w:i/>
                  <w:sz w:val="24"/>
                  <w:szCs w:val="24"/>
                </w:rPr>
              </m:ctrlPr>
            </m:num>
            <m:den>
              <m:r>
                <m:rPr>
                  <m:sty m:val="p"/>
                </m:rPr>
                <w:rPr>
                  <w:rFonts w:hint="eastAsia" w:ascii="Cambria Math"/>
                  <w:sz w:val="24"/>
                  <w:szCs w:val="24"/>
                </w:rPr>
                <m:t>基荷能耗基准</m:t>
              </m:r>
              <m:ctrlPr>
                <w:rPr>
                  <w:rFonts w:ascii="Cambria Math" w:hAnsi="Cambria Math"/>
                  <w:i/>
                  <w:sz w:val="24"/>
                  <w:szCs w:val="24"/>
                </w:rPr>
              </m:ctrlPr>
            </m:den>
          </m:f>
        </m:oMath>
      </m:oMathPara>
    </w:p>
    <w:p>
      <w:pPr>
        <w:pStyle w:val="20"/>
        <w:numPr>
          <w:ilvl w:val="0"/>
          <w:numId w:val="29"/>
        </w:numPr>
        <w:spacing w:line="360" w:lineRule="auto"/>
        <w:ind w:firstLineChars="0"/>
        <w:rPr>
          <w:sz w:val="24"/>
          <w:szCs w:val="24"/>
        </w:rPr>
      </w:pPr>
      <w:r>
        <w:rPr>
          <w:rFonts w:hint="eastAsia"/>
          <w:sz w:val="24"/>
          <w:szCs w:val="24"/>
        </w:rPr>
        <w:t>对</w:t>
      </w:r>
      <w:r>
        <w:rPr>
          <w:i/>
          <w:iCs/>
          <w:sz w:val="24"/>
          <w:szCs w:val="24"/>
        </w:rPr>
        <w:t>CS</w:t>
      </w:r>
      <w:r>
        <w:rPr>
          <w:rFonts w:hint="eastAsia"/>
          <w:sz w:val="24"/>
          <w:szCs w:val="24"/>
        </w:rPr>
        <w:t>、</w:t>
      </w:r>
      <w:r>
        <w:rPr>
          <w:i/>
          <w:iCs/>
          <w:sz w:val="24"/>
          <w:szCs w:val="24"/>
        </w:rPr>
        <w:t>HS</w:t>
      </w:r>
      <w:r>
        <w:rPr>
          <w:rFonts w:hint="eastAsia"/>
          <w:sz w:val="24"/>
          <w:szCs w:val="24"/>
        </w:rPr>
        <w:t>、</w:t>
      </w:r>
      <w:r>
        <w:rPr>
          <w:i/>
          <w:iCs/>
          <w:sz w:val="24"/>
          <w:szCs w:val="24"/>
        </w:rPr>
        <w:t>T</w:t>
      </w:r>
      <w:r>
        <w:rPr>
          <w:i/>
          <w:iCs/>
          <w:sz w:val="24"/>
          <w:szCs w:val="24"/>
          <w:vertAlign w:val="subscript"/>
        </w:rPr>
        <w:t>b,H</w:t>
      </w:r>
      <w:r>
        <w:rPr>
          <w:rFonts w:hint="eastAsia"/>
          <w:sz w:val="24"/>
          <w:szCs w:val="24"/>
        </w:rPr>
        <w:t>、</w:t>
      </w:r>
      <w:r>
        <w:rPr>
          <w:i/>
          <w:iCs/>
          <w:sz w:val="24"/>
          <w:szCs w:val="24"/>
        </w:rPr>
        <w:t>T</w:t>
      </w:r>
      <w:r>
        <w:rPr>
          <w:i/>
          <w:iCs/>
          <w:sz w:val="24"/>
          <w:szCs w:val="24"/>
          <w:vertAlign w:val="subscript"/>
        </w:rPr>
        <w:t>b,C</w:t>
      </w:r>
      <w:r>
        <w:rPr>
          <w:rFonts w:hint="eastAsia"/>
          <w:sz w:val="24"/>
          <w:szCs w:val="24"/>
        </w:rPr>
        <w:t>和基荷能耗比进行排序，计算器平均值</w:t>
      </w:r>
      <w:r>
        <w:rPr>
          <w:position w:val="-4"/>
          <w:sz w:val="24"/>
          <w:szCs w:val="24"/>
        </w:rPr>
        <w:object>
          <v:shape id="_x0000_i1056" o:spt="75" type="#_x0000_t75" style="height:14.25pt;width:14.25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rFonts w:hint="eastAsia"/>
          <w:sz w:val="24"/>
          <w:szCs w:val="24"/>
        </w:rPr>
        <w:t>及标准偏差</w:t>
      </w:r>
      <w:r>
        <w:rPr>
          <w:position w:val="-6"/>
          <w:sz w:val="24"/>
          <w:szCs w:val="24"/>
        </w:rPr>
        <w:object>
          <v:shape id="_x0000_i1057" o:spt="75" type="#_x0000_t75" style="height:14.25pt;width:14.2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hint="eastAsia"/>
          <w:sz w:val="24"/>
          <w:szCs w:val="24"/>
        </w:rPr>
        <w:t>。</w:t>
      </w:r>
    </w:p>
    <w:p>
      <w:pPr>
        <w:pStyle w:val="20"/>
        <w:numPr>
          <w:ilvl w:val="0"/>
          <w:numId w:val="29"/>
        </w:numPr>
        <w:spacing w:line="360" w:lineRule="auto"/>
        <w:ind w:firstLineChars="0"/>
        <w:rPr>
          <w:sz w:val="24"/>
          <w:szCs w:val="24"/>
        </w:rPr>
      </w:pPr>
      <w:r>
        <w:rPr>
          <w:rFonts w:hint="eastAsia"/>
          <w:sz w:val="24"/>
          <w:szCs w:val="24"/>
        </w:rPr>
        <w:t>建立评价标准：</w:t>
      </w:r>
    </w:p>
    <w:p>
      <w:pPr>
        <w:spacing w:line="360" w:lineRule="auto"/>
        <w:jc w:val="center"/>
        <w:rPr>
          <w:sz w:val="24"/>
          <w:szCs w:val="24"/>
        </w:rPr>
      </w:pPr>
      <w:r>
        <w:rPr>
          <w:rFonts w:hint="eastAsia"/>
          <w:sz w:val="24"/>
          <w:szCs w:val="24"/>
        </w:rPr>
        <w:t>表</w:t>
      </w:r>
      <w:r>
        <w:rPr>
          <w:sz w:val="24"/>
          <w:szCs w:val="24"/>
        </w:rPr>
        <w:t xml:space="preserve">B.4-1 </w:t>
      </w:r>
      <w:r>
        <w:rPr>
          <w:rFonts w:hint="eastAsia"/>
          <w:sz w:val="24"/>
          <w:szCs w:val="24"/>
        </w:rPr>
        <w:t>拆分分项能耗比对评价等级分级表</w:t>
      </w:r>
    </w:p>
    <w:tbl>
      <w:tblPr>
        <w:tblStyle w:val="14"/>
        <w:tblW w:w="5000" w:type="pct"/>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1774"/>
        <w:gridCol w:w="2848"/>
        <w:gridCol w:w="177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8"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评价等级</w:t>
            </w:r>
          </w:p>
        </w:tc>
        <w:tc>
          <w:tcPr>
            <w:tcW w:w="1041"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好</w:t>
            </w:r>
          </w:p>
        </w:tc>
        <w:tc>
          <w:tcPr>
            <w:tcW w:w="1671"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一般</w:t>
            </w:r>
          </w:p>
        </w:tc>
        <w:tc>
          <w:tcPr>
            <w:tcW w:w="1041"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差</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8" w:type="pct"/>
            <w:tcBorders>
              <w:top w:val="single" w:color="auto" w:sz="8" w:space="0"/>
            </w:tcBorders>
            <w:vAlign w:val="center"/>
          </w:tcPr>
          <w:p>
            <w:pPr>
              <w:spacing w:line="360" w:lineRule="auto"/>
              <w:ind w:firstLine="0" w:firstLineChars="0"/>
              <w:jc w:val="center"/>
              <w:rPr>
                <w:i/>
                <w:iCs/>
                <w:sz w:val="24"/>
                <w:szCs w:val="24"/>
              </w:rPr>
            </w:pPr>
            <w:r>
              <w:rPr>
                <w:i/>
                <w:iCs/>
                <w:sz w:val="24"/>
                <w:szCs w:val="24"/>
              </w:rPr>
              <w:t>CS</w:t>
            </w:r>
          </w:p>
        </w:tc>
        <w:tc>
          <w:tcPr>
            <w:tcW w:w="1041" w:type="pct"/>
            <w:tcBorders>
              <w:top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58"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p>
        </w:tc>
        <w:tc>
          <w:tcPr>
            <w:tcW w:w="1671" w:type="pct"/>
            <w:tcBorders>
              <w:top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59" o:spt="75" type="#_x0000_t75" style="height:14.25pt;width:72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p>
        </w:tc>
        <w:tc>
          <w:tcPr>
            <w:tcW w:w="1041" w:type="pct"/>
            <w:tcBorders>
              <w:top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60"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8" w:type="pct"/>
            <w:vAlign w:val="center"/>
          </w:tcPr>
          <w:p>
            <w:pPr>
              <w:spacing w:line="360" w:lineRule="auto"/>
              <w:ind w:firstLine="0" w:firstLineChars="0"/>
              <w:jc w:val="center"/>
              <w:rPr>
                <w:i/>
                <w:iCs/>
                <w:sz w:val="24"/>
                <w:szCs w:val="24"/>
              </w:rPr>
            </w:pPr>
            <w:r>
              <w:rPr>
                <w:i/>
                <w:iCs/>
                <w:sz w:val="24"/>
                <w:szCs w:val="24"/>
              </w:rPr>
              <w:t>HS</w:t>
            </w:r>
          </w:p>
        </w:tc>
        <w:tc>
          <w:tcPr>
            <w:tcW w:w="1041" w:type="pct"/>
            <w:vAlign w:val="center"/>
          </w:tcPr>
          <w:p>
            <w:pPr>
              <w:spacing w:line="360" w:lineRule="auto"/>
              <w:ind w:firstLine="0" w:firstLineChars="0"/>
              <w:jc w:val="center"/>
              <w:rPr>
                <w:sz w:val="24"/>
                <w:szCs w:val="24"/>
              </w:rPr>
            </w:pPr>
            <w:r>
              <w:rPr>
                <w:position w:val="-6"/>
                <w:sz w:val="21"/>
                <w:szCs w:val="24"/>
              </w:rPr>
              <w:object>
                <v:shape id="_x0000_i1061"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82">
                  <o:LockedField>false</o:LockedField>
                </o:OLEObject>
              </w:object>
            </w:r>
          </w:p>
        </w:tc>
        <w:tc>
          <w:tcPr>
            <w:tcW w:w="1671" w:type="pct"/>
            <w:vAlign w:val="center"/>
          </w:tcPr>
          <w:p>
            <w:pPr>
              <w:spacing w:line="360" w:lineRule="auto"/>
              <w:ind w:firstLine="0" w:firstLineChars="0"/>
              <w:jc w:val="center"/>
              <w:rPr>
                <w:sz w:val="24"/>
                <w:szCs w:val="24"/>
              </w:rPr>
            </w:pPr>
            <w:r>
              <w:rPr>
                <w:position w:val="-6"/>
                <w:sz w:val="21"/>
                <w:szCs w:val="24"/>
              </w:rPr>
              <w:object>
                <v:shape id="_x0000_i1062" o:spt="75" type="#_x0000_t75" style="height:14.25pt;width:72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83">
                  <o:LockedField>false</o:LockedField>
                </o:OLEObject>
              </w:object>
            </w:r>
          </w:p>
        </w:tc>
        <w:tc>
          <w:tcPr>
            <w:tcW w:w="1041" w:type="pct"/>
            <w:vAlign w:val="center"/>
          </w:tcPr>
          <w:p>
            <w:pPr>
              <w:spacing w:line="360" w:lineRule="auto"/>
              <w:ind w:firstLine="0" w:firstLineChars="0"/>
              <w:jc w:val="center"/>
              <w:rPr>
                <w:sz w:val="24"/>
                <w:szCs w:val="24"/>
              </w:rPr>
            </w:pPr>
            <w:r>
              <w:rPr>
                <w:position w:val="-6"/>
                <w:sz w:val="21"/>
                <w:szCs w:val="24"/>
              </w:rPr>
              <w:object>
                <v:shape id="_x0000_i1063"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4">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8" w:type="pct"/>
            <w:vAlign w:val="center"/>
          </w:tcPr>
          <w:p>
            <w:pPr>
              <w:spacing w:line="360" w:lineRule="auto"/>
              <w:ind w:firstLine="0" w:firstLineChars="0"/>
              <w:jc w:val="center"/>
              <w:rPr>
                <w:sz w:val="24"/>
                <w:szCs w:val="24"/>
              </w:rPr>
            </w:pPr>
            <w:r>
              <w:rPr>
                <w:i/>
                <w:iCs/>
                <w:sz w:val="24"/>
                <w:szCs w:val="24"/>
              </w:rPr>
              <w:t>T</w:t>
            </w:r>
            <w:r>
              <w:rPr>
                <w:i/>
                <w:iCs/>
                <w:sz w:val="24"/>
                <w:szCs w:val="24"/>
                <w:vertAlign w:val="subscript"/>
              </w:rPr>
              <w:t>b,H</w:t>
            </w:r>
          </w:p>
        </w:tc>
        <w:tc>
          <w:tcPr>
            <w:tcW w:w="1041" w:type="pct"/>
            <w:vAlign w:val="center"/>
          </w:tcPr>
          <w:p>
            <w:pPr>
              <w:spacing w:line="360" w:lineRule="auto"/>
              <w:ind w:firstLine="0" w:firstLineChars="0"/>
              <w:jc w:val="center"/>
              <w:rPr>
                <w:sz w:val="24"/>
                <w:szCs w:val="24"/>
              </w:rPr>
            </w:pPr>
            <w:r>
              <w:rPr>
                <w:position w:val="-6"/>
                <w:sz w:val="21"/>
                <w:szCs w:val="24"/>
              </w:rPr>
              <w:object>
                <v:shape id="_x0000_i1064"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5">
                  <o:LockedField>false</o:LockedField>
                </o:OLEObject>
              </w:object>
            </w:r>
          </w:p>
        </w:tc>
        <w:tc>
          <w:tcPr>
            <w:tcW w:w="1671" w:type="pct"/>
            <w:vAlign w:val="center"/>
          </w:tcPr>
          <w:p>
            <w:pPr>
              <w:spacing w:line="360" w:lineRule="auto"/>
              <w:ind w:firstLine="0" w:firstLineChars="0"/>
              <w:jc w:val="center"/>
              <w:rPr>
                <w:sz w:val="24"/>
                <w:szCs w:val="24"/>
              </w:rPr>
            </w:pPr>
            <w:r>
              <w:rPr>
                <w:position w:val="-6"/>
                <w:sz w:val="21"/>
                <w:szCs w:val="24"/>
              </w:rPr>
              <w:object>
                <v:shape id="_x0000_i1065" o:spt="75" type="#_x0000_t75" style="height:14.25pt;width:72pt;" o:ole="t" filled="f" o:preferrelative="t" stroked="f" coordsize="21600,21600">
                  <v:path/>
                  <v:fill on="f" focussize="0,0"/>
                  <v:stroke on="f" joinstyle="miter"/>
                  <v:imagedata r:id="rId79" o:title=""/>
                  <o:lock v:ext="edit" aspectratio="t"/>
                  <w10:wrap type="none"/>
                  <w10:anchorlock/>
                </v:shape>
                <o:OLEObject Type="Embed" ProgID="Equation.DSMT4" ShapeID="_x0000_i1065" DrawAspect="Content" ObjectID="_1468075765" r:id="rId86">
                  <o:LockedField>false</o:LockedField>
                </o:OLEObject>
              </w:object>
            </w:r>
          </w:p>
        </w:tc>
        <w:tc>
          <w:tcPr>
            <w:tcW w:w="1041" w:type="pct"/>
            <w:vAlign w:val="center"/>
          </w:tcPr>
          <w:p>
            <w:pPr>
              <w:spacing w:line="360" w:lineRule="auto"/>
              <w:ind w:firstLine="0" w:firstLineChars="0"/>
              <w:jc w:val="center"/>
              <w:rPr>
                <w:sz w:val="24"/>
                <w:szCs w:val="24"/>
              </w:rPr>
            </w:pPr>
            <w:r>
              <w:rPr>
                <w:position w:val="-6"/>
                <w:sz w:val="21"/>
                <w:szCs w:val="24"/>
              </w:rPr>
              <w:object>
                <v:shape id="_x0000_i1066"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66" DrawAspect="Content" ObjectID="_1468075766" r:id="rId87">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8" w:type="pct"/>
            <w:vAlign w:val="center"/>
          </w:tcPr>
          <w:p>
            <w:pPr>
              <w:spacing w:line="360" w:lineRule="auto"/>
              <w:ind w:firstLine="0" w:firstLineChars="0"/>
              <w:jc w:val="center"/>
              <w:rPr>
                <w:i/>
                <w:iCs/>
                <w:sz w:val="24"/>
                <w:szCs w:val="24"/>
              </w:rPr>
            </w:pPr>
            <w:r>
              <w:rPr>
                <w:i/>
                <w:iCs/>
                <w:sz w:val="24"/>
                <w:szCs w:val="24"/>
              </w:rPr>
              <w:t>T</w:t>
            </w:r>
            <w:r>
              <w:rPr>
                <w:i/>
                <w:iCs/>
                <w:sz w:val="24"/>
                <w:szCs w:val="24"/>
                <w:vertAlign w:val="subscript"/>
              </w:rPr>
              <w:t>b,C</w:t>
            </w:r>
          </w:p>
        </w:tc>
        <w:tc>
          <w:tcPr>
            <w:tcW w:w="1041" w:type="pct"/>
            <w:vAlign w:val="center"/>
          </w:tcPr>
          <w:p>
            <w:pPr>
              <w:spacing w:line="360" w:lineRule="auto"/>
              <w:ind w:firstLine="0" w:firstLineChars="0"/>
              <w:jc w:val="center"/>
              <w:rPr>
                <w:sz w:val="24"/>
                <w:szCs w:val="24"/>
              </w:rPr>
            </w:pPr>
            <w:r>
              <w:rPr>
                <w:position w:val="-6"/>
                <w:sz w:val="21"/>
                <w:szCs w:val="24"/>
              </w:rPr>
              <w:object>
                <v:shape id="_x0000_i1067"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67" DrawAspect="Content" ObjectID="_1468075767" r:id="rId88">
                  <o:LockedField>false</o:LockedField>
                </o:OLEObject>
              </w:object>
            </w:r>
          </w:p>
        </w:tc>
        <w:tc>
          <w:tcPr>
            <w:tcW w:w="1671" w:type="pct"/>
            <w:vAlign w:val="center"/>
          </w:tcPr>
          <w:p>
            <w:pPr>
              <w:spacing w:line="360" w:lineRule="auto"/>
              <w:ind w:firstLine="0" w:firstLineChars="0"/>
              <w:jc w:val="center"/>
              <w:rPr>
                <w:sz w:val="24"/>
                <w:szCs w:val="24"/>
              </w:rPr>
            </w:pPr>
            <w:r>
              <w:rPr>
                <w:position w:val="-6"/>
                <w:sz w:val="21"/>
                <w:szCs w:val="24"/>
              </w:rPr>
              <w:object>
                <v:shape id="_x0000_i1068" o:spt="75" type="#_x0000_t75" style="height:14.25pt;width:72pt;" o:ole="t" filled="f" o:preferrelative="t" stroked="f" coordsize="21600,21600">
                  <v:path/>
                  <v:fill on="f" focussize="0,0"/>
                  <v:stroke on="f" joinstyle="miter"/>
                  <v:imagedata r:id="rId79" o:title=""/>
                  <o:lock v:ext="edit" aspectratio="t"/>
                  <w10:wrap type="none"/>
                  <w10:anchorlock/>
                </v:shape>
                <o:OLEObject Type="Embed" ProgID="Equation.DSMT4" ShapeID="_x0000_i1068" DrawAspect="Content" ObjectID="_1468075768" r:id="rId89">
                  <o:LockedField>false</o:LockedField>
                </o:OLEObject>
              </w:object>
            </w:r>
          </w:p>
        </w:tc>
        <w:tc>
          <w:tcPr>
            <w:tcW w:w="1041" w:type="pct"/>
            <w:vAlign w:val="center"/>
          </w:tcPr>
          <w:p>
            <w:pPr>
              <w:spacing w:line="360" w:lineRule="auto"/>
              <w:ind w:firstLine="0" w:firstLineChars="0"/>
              <w:jc w:val="center"/>
              <w:rPr>
                <w:sz w:val="24"/>
                <w:szCs w:val="24"/>
              </w:rPr>
            </w:pPr>
            <w:r>
              <w:rPr>
                <w:position w:val="-6"/>
                <w:sz w:val="21"/>
                <w:szCs w:val="24"/>
              </w:rPr>
              <w:object>
                <v:shape id="_x0000_i1069"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69" DrawAspect="Content" ObjectID="_1468075769" r:id="rId90">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8" w:type="pct"/>
            <w:vAlign w:val="center"/>
          </w:tcPr>
          <w:p>
            <w:pPr>
              <w:spacing w:line="360" w:lineRule="auto"/>
              <w:ind w:firstLine="0" w:firstLineChars="0"/>
              <w:jc w:val="center"/>
              <w:rPr>
                <w:sz w:val="24"/>
                <w:szCs w:val="24"/>
              </w:rPr>
            </w:pPr>
            <w:r>
              <w:rPr>
                <w:rFonts w:hint="eastAsia"/>
                <w:sz w:val="24"/>
                <w:szCs w:val="24"/>
              </w:rPr>
              <w:t>基荷能耗比</w:t>
            </w:r>
          </w:p>
        </w:tc>
        <w:tc>
          <w:tcPr>
            <w:tcW w:w="1041" w:type="pct"/>
            <w:vAlign w:val="center"/>
          </w:tcPr>
          <w:p>
            <w:pPr>
              <w:spacing w:line="360" w:lineRule="auto"/>
              <w:ind w:firstLine="0" w:firstLineChars="0"/>
              <w:jc w:val="center"/>
              <w:rPr>
                <w:sz w:val="24"/>
                <w:szCs w:val="24"/>
              </w:rPr>
            </w:pPr>
            <w:r>
              <w:rPr>
                <w:position w:val="-6"/>
                <w:sz w:val="21"/>
                <w:szCs w:val="24"/>
              </w:rPr>
              <w:object>
                <v:shape id="_x0000_i1070"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70" DrawAspect="Content" ObjectID="_1468075770" r:id="rId91">
                  <o:LockedField>false</o:LockedField>
                </o:OLEObject>
              </w:object>
            </w:r>
          </w:p>
        </w:tc>
        <w:tc>
          <w:tcPr>
            <w:tcW w:w="1671" w:type="pct"/>
            <w:vAlign w:val="center"/>
          </w:tcPr>
          <w:p>
            <w:pPr>
              <w:spacing w:line="360" w:lineRule="auto"/>
              <w:ind w:firstLine="0" w:firstLineChars="0"/>
              <w:jc w:val="center"/>
              <w:rPr>
                <w:sz w:val="24"/>
                <w:szCs w:val="24"/>
              </w:rPr>
            </w:pPr>
            <w:r>
              <w:rPr>
                <w:position w:val="-6"/>
                <w:sz w:val="21"/>
                <w:szCs w:val="24"/>
              </w:rPr>
              <w:object>
                <v:shape id="_x0000_i1071" o:spt="75" type="#_x0000_t75" style="height:14.25pt;width:72pt;" o:ole="t" filled="f" o:preferrelative="t" stroked="f" coordsize="21600,21600">
                  <v:path/>
                  <v:fill on="f" focussize="0,0"/>
                  <v:stroke on="f" joinstyle="miter"/>
                  <v:imagedata r:id="rId79" o:title=""/>
                  <o:lock v:ext="edit" aspectratio="t"/>
                  <w10:wrap type="none"/>
                  <w10:anchorlock/>
                </v:shape>
                <o:OLEObject Type="Embed" ProgID="Equation.DSMT4" ShapeID="_x0000_i1071" DrawAspect="Content" ObjectID="_1468075771" r:id="rId92">
                  <o:LockedField>false</o:LockedField>
                </o:OLEObject>
              </w:object>
            </w:r>
          </w:p>
        </w:tc>
        <w:tc>
          <w:tcPr>
            <w:tcW w:w="1041" w:type="pct"/>
            <w:vAlign w:val="center"/>
          </w:tcPr>
          <w:p>
            <w:pPr>
              <w:spacing w:line="360" w:lineRule="auto"/>
              <w:ind w:firstLine="0" w:firstLineChars="0"/>
              <w:jc w:val="center"/>
              <w:rPr>
                <w:sz w:val="24"/>
                <w:szCs w:val="24"/>
              </w:rPr>
            </w:pPr>
            <w:r>
              <w:rPr>
                <w:position w:val="-6"/>
                <w:sz w:val="21"/>
                <w:szCs w:val="24"/>
              </w:rPr>
              <w:object>
                <v:shape id="_x0000_i1072"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72" DrawAspect="Content" ObjectID="_1468075772" r:id="rId93">
                  <o:LockedField>false</o:LockedField>
                </o:OLEObject>
              </w:object>
            </w:r>
          </w:p>
        </w:tc>
      </w:tr>
    </w:tbl>
    <w:p>
      <w:pPr>
        <w:spacing w:line="360" w:lineRule="auto"/>
        <w:rPr>
          <w:sz w:val="24"/>
          <w:szCs w:val="24"/>
        </w:rPr>
      </w:pPr>
    </w:p>
    <w:p>
      <w:pPr>
        <w:spacing w:line="360" w:lineRule="auto"/>
        <w:rPr>
          <w:sz w:val="24"/>
          <w:szCs w:val="24"/>
        </w:rPr>
      </w:pPr>
      <w:r>
        <w:rPr>
          <w:rFonts w:hint="eastAsia" w:eastAsia="楷体"/>
          <w:b/>
          <w:bCs/>
          <w:sz w:val="24"/>
          <w:szCs w:val="24"/>
        </w:rPr>
        <w:t>【条文说明】</w:t>
      </w:r>
      <w:r>
        <w:rPr>
          <w:rFonts w:hint="eastAsia" w:eastAsia="楷体"/>
          <w:sz w:val="24"/>
          <w:szCs w:val="24"/>
        </w:rPr>
        <w:t>附录B拆分分项能耗比对评价方法示例</w:t>
      </w:r>
    </w:p>
    <w:p>
      <w:pPr>
        <w:spacing w:line="360" w:lineRule="auto"/>
        <w:ind w:firstLine="480" w:firstLineChars="200"/>
        <w:rPr>
          <w:rFonts w:eastAsia="楷体"/>
          <w:sz w:val="24"/>
          <w:szCs w:val="24"/>
        </w:rPr>
      </w:pPr>
      <w:r>
        <w:rPr>
          <w:rFonts w:hint="eastAsia" w:eastAsia="楷体"/>
          <w:sz w:val="24"/>
          <w:szCs w:val="24"/>
        </w:rPr>
        <w:t>本方法示例以冷、热源用能为电力的办公建筑为例，采用室外平均温度与能耗的相关性进行拆分确定能耗基准，该方法为拆分分项能耗比对评价方法的一种。</w:t>
      </w:r>
    </w:p>
    <w:p>
      <w:pPr>
        <w:spacing w:line="360" w:lineRule="auto"/>
        <w:ind w:firstLine="480" w:firstLineChars="200"/>
        <w:rPr>
          <w:rFonts w:eastAsia="楷体"/>
          <w:sz w:val="24"/>
          <w:szCs w:val="24"/>
        </w:rPr>
      </w:pPr>
      <w:r>
        <w:rPr>
          <w:rFonts w:hint="eastAsia" w:eastAsia="楷体"/>
          <w:sz w:val="24"/>
          <w:szCs w:val="24"/>
        </w:rPr>
        <w:t>本方法示例从能耗分析开始，前期还需进行数据调研与校核工作。</w:t>
      </w:r>
    </w:p>
    <w:p>
      <w:pPr>
        <w:spacing w:line="360" w:lineRule="auto"/>
        <w:rPr>
          <w:sz w:val="24"/>
          <w:szCs w:val="24"/>
        </w:rPr>
      </w:pPr>
    </w:p>
    <w:p>
      <w:pPr>
        <w:spacing w:line="360" w:lineRule="auto"/>
        <w:rPr>
          <w:sz w:val="24"/>
          <w:szCs w:val="24"/>
        </w:rPr>
        <w:sectPr>
          <w:pgSz w:w="11906" w:h="16838"/>
          <w:pgMar w:top="1440" w:right="1800" w:bottom="1440" w:left="1800" w:header="851" w:footer="992" w:gutter="0"/>
          <w:cols w:space="425" w:num="1"/>
          <w:docGrid w:type="lines" w:linePitch="312" w:charSpace="0"/>
        </w:sectPr>
      </w:pPr>
    </w:p>
    <w:p>
      <w:pPr>
        <w:pStyle w:val="2"/>
        <w:spacing w:before="0" w:after="156" w:afterLines="50" w:line="360" w:lineRule="auto"/>
        <w:jc w:val="center"/>
        <w:rPr>
          <w:sz w:val="24"/>
          <w:szCs w:val="24"/>
        </w:rPr>
      </w:pPr>
      <w:bookmarkStart w:id="24" w:name="_Toc28354607"/>
      <w:r>
        <w:rPr>
          <w:rFonts w:hint="eastAsia"/>
          <w:sz w:val="24"/>
          <w:szCs w:val="24"/>
        </w:rPr>
        <w:t>附录</w:t>
      </w:r>
      <w:r>
        <w:rPr>
          <w:sz w:val="24"/>
          <w:szCs w:val="24"/>
        </w:rPr>
        <w:t xml:space="preserve">C </w:t>
      </w:r>
      <w:bookmarkStart w:id="25" w:name="_Hlk28273980"/>
      <w:r>
        <w:rPr>
          <w:rFonts w:hint="eastAsia"/>
          <w:sz w:val="24"/>
          <w:szCs w:val="24"/>
        </w:rPr>
        <w:t>基于监测系统的分项能耗</w:t>
      </w:r>
      <w:bookmarkEnd w:id="25"/>
      <w:r>
        <w:rPr>
          <w:rFonts w:hint="eastAsia"/>
          <w:sz w:val="24"/>
          <w:szCs w:val="24"/>
        </w:rPr>
        <w:t>比对评价方法示例</w:t>
      </w:r>
      <w:bookmarkEnd w:id="24"/>
    </w:p>
    <w:p>
      <w:pPr>
        <w:pStyle w:val="20"/>
        <w:numPr>
          <w:ilvl w:val="0"/>
          <w:numId w:val="30"/>
        </w:numPr>
        <w:spacing w:line="360" w:lineRule="auto"/>
        <w:ind w:firstLineChars="0"/>
        <w:rPr>
          <w:sz w:val="24"/>
          <w:szCs w:val="24"/>
        </w:rPr>
      </w:pPr>
      <w:r>
        <w:rPr>
          <w:rFonts w:hint="eastAsia"/>
          <w:sz w:val="24"/>
          <w:szCs w:val="24"/>
        </w:rPr>
        <w:t>能源系统分类采用以下方法：</w:t>
      </w:r>
    </w:p>
    <w:p>
      <w:pPr>
        <w:pStyle w:val="20"/>
        <w:numPr>
          <w:ilvl w:val="0"/>
          <w:numId w:val="31"/>
        </w:numPr>
        <w:spacing w:line="360" w:lineRule="auto"/>
        <w:ind w:firstLineChars="0"/>
        <w:rPr>
          <w:sz w:val="24"/>
          <w:szCs w:val="24"/>
        </w:rPr>
      </w:pPr>
      <w:r>
        <w:rPr>
          <w:rFonts w:hint="eastAsia"/>
          <w:sz w:val="24"/>
          <w:szCs w:val="24"/>
        </w:rPr>
        <w:t>基于建筑能耗监测系统能耗分类特点将分项能耗划分为空调用电、动力用电、照明插座用电和特殊设备用电四大分项，仅对前三项能耗进行评价。</w:t>
      </w:r>
    </w:p>
    <w:p>
      <w:pPr>
        <w:pStyle w:val="20"/>
        <w:numPr>
          <w:ilvl w:val="0"/>
          <w:numId w:val="31"/>
        </w:numPr>
        <w:spacing w:line="360" w:lineRule="auto"/>
        <w:ind w:firstLineChars="0"/>
        <w:rPr>
          <w:sz w:val="24"/>
          <w:szCs w:val="24"/>
        </w:rPr>
      </w:pPr>
      <w:r>
        <w:rPr>
          <w:rFonts w:hint="eastAsia"/>
          <w:sz w:val="24"/>
          <w:szCs w:val="24"/>
        </w:rPr>
        <w:t>统计全部样本的各分项能耗。</w:t>
      </w:r>
    </w:p>
    <w:p>
      <w:pPr>
        <w:pStyle w:val="20"/>
        <w:numPr>
          <w:ilvl w:val="0"/>
          <w:numId w:val="30"/>
        </w:numPr>
        <w:spacing w:line="360" w:lineRule="auto"/>
        <w:ind w:firstLineChars="0"/>
        <w:rPr>
          <w:sz w:val="24"/>
          <w:szCs w:val="24"/>
        </w:rPr>
      </w:pPr>
      <w:r>
        <w:rPr>
          <w:rFonts w:hint="eastAsia"/>
          <w:sz w:val="24"/>
          <w:szCs w:val="24"/>
        </w:rPr>
        <w:t>分项能耗影响因素相关性分析采用以下方法：</w:t>
      </w:r>
    </w:p>
    <w:p>
      <w:pPr>
        <w:pStyle w:val="20"/>
        <w:numPr>
          <w:ilvl w:val="0"/>
          <w:numId w:val="32"/>
        </w:numPr>
        <w:spacing w:line="360" w:lineRule="auto"/>
        <w:ind w:firstLineChars="0"/>
        <w:rPr>
          <w:color w:val="333333"/>
          <w:sz w:val="24"/>
          <w:szCs w:val="24"/>
          <w:shd w:val="clear" w:color="auto" w:fill="FFFFFF"/>
        </w:rPr>
      </w:pPr>
      <w:r>
        <w:rPr>
          <w:rFonts w:hint="eastAsia"/>
          <w:sz w:val="24"/>
          <w:szCs w:val="24"/>
        </w:rPr>
        <w:t>分析分项能耗的基本影响因素</w:t>
      </w:r>
      <w:r>
        <w:rPr>
          <w:rFonts w:hint="eastAsia"/>
          <w:color w:val="333333"/>
          <w:sz w:val="24"/>
          <w:szCs w:val="24"/>
          <w:shd w:val="clear" w:color="auto" w:fill="FFFFFF"/>
        </w:rPr>
        <w:t>。</w:t>
      </w:r>
    </w:p>
    <w:p>
      <w:pPr>
        <w:pStyle w:val="20"/>
        <w:numPr>
          <w:ilvl w:val="0"/>
          <w:numId w:val="32"/>
        </w:numPr>
        <w:spacing w:line="360" w:lineRule="auto"/>
        <w:ind w:firstLineChars="0"/>
        <w:rPr>
          <w:color w:val="333333"/>
          <w:sz w:val="24"/>
          <w:szCs w:val="24"/>
          <w:shd w:val="clear" w:color="auto" w:fill="FFFFFF"/>
        </w:rPr>
      </w:pPr>
      <w:r>
        <w:rPr>
          <w:rFonts w:hint="eastAsia"/>
          <w:sz w:val="24"/>
          <w:szCs w:val="24"/>
        </w:rPr>
        <w:t>采用</w:t>
      </w:r>
      <w:r>
        <w:rPr>
          <w:sz w:val="24"/>
          <w:szCs w:val="24"/>
        </w:rPr>
        <w:t>Pearson</w:t>
      </w:r>
      <w:r>
        <w:rPr>
          <w:rFonts w:hint="eastAsia"/>
          <w:sz w:val="24"/>
          <w:szCs w:val="24"/>
        </w:rPr>
        <w:t>相关系数检验</w:t>
      </w:r>
      <w:r>
        <w:rPr>
          <w:rFonts w:hint="eastAsia"/>
          <w:color w:val="333333"/>
          <w:sz w:val="24"/>
          <w:szCs w:val="24"/>
          <w:shd w:val="clear" w:color="auto" w:fill="FFFFFF"/>
        </w:rPr>
        <w:t>分项能耗指标与各影响因素的相关性，确定各分项能耗的显著影响因素。</w:t>
      </w:r>
    </w:p>
    <w:p>
      <w:pPr>
        <w:pStyle w:val="20"/>
        <w:numPr>
          <w:ilvl w:val="0"/>
          <w:numId w:val="30"/>
        </w:numPr>
        <w:spacing w:line="360" w:lineRule="auto"/>
        <w:ind w:firstLineChars="0"/>
        <w:rPr>
          <w:sz w:val="24"/>
          <w:szCs w:val="24"/>
        </w:rPr>
      </w:pPr>
      <w:r>
        <w:rPr>
          <w:rFonts w:hint="eastAsia"/>
          <w:color w:val="333333"/>
          <w:sz w:val="24"/>
          <w:szCs w:val="24"/>
          <w:shd w:val="clear" w:color="auto" w:fill="FFFFFF"/>
        </w:rPr>
        <w:t>采用聚类分析的方法，根据</w:t>
      </w:r>
      <w:r>
        <w:rPr>
          <w:rFonts w:hint="eastAsia"/>
          <w:sz w:val="24"/>
          <w:szCs w:val="24"/>
        </w:rPr>
        <w:t>气候、建筑本体、建筑服务、能源系统等方面</w:t>
      </w:r>
      <w:r>
        <w:rPr>
          <w:rFonts w:hint="eastAsia"/>
          <w:color w:val="333333"/>
          <w:sz w:val="24"/>
          <w:szCs w:val="24"/>
          <w:shd w:val="clear" w:color="auto" w:fill="FFFFFF"/>
        </w:rPr>
        <w:t>的相似程度对各样本进行分类。</w:t>
      </w:r>
    </w:p>
    <w:p>
      <w:pPr>
        <w:pStyle w:val="20"/>
        <w:numPr>
          <w:ilvl w:val="0"/>
          <w:numId w:val="30"/>
        </w:numPr>
        <w:spacing w:line="360" w:lineRule="auto"/>
        <w:ind w:firstLineChars="0"/>
        <w:rPr>
          <w:sz w:val="24"/>
          <w:szCs w:val="24"/>
        </w:rPr>
      </w:pPr>
      <w:r>
        <w:rPr>
          <w:rFonts w:hint="eastAsia"/>
          <w:sz w:val="24"/>
          <w:szCs w:val="24"/>
        </w:rPr>
        <w:t>分项能耗比对评价指标的确定采用以下方法：</w:t>
      </w:r>
    </w:p>
    <w:p>
      <w:pPr>
        <w:pStyle w:val="20"/>
        <w:numPr>
          <w:ilvl w:val="0"/>
          <w:numId w:val="33"/>
        </w:numPr>
        <w:spacing w:line="360" w:lineRule="auto"/>
        <w:ind w:firstLineChars="0"/>
        <w:rPr>
          <w:sz w:val="24"/>
          <w:szCs w:val="24"/>
        </w:rPr>
      </w:pPr>
      <w:r>
        <w:rPr>
          <w:rFonts w:hint="eastAsia"/>
          <w:sz w:val="24"/>
          <w:szCs w:val="24"/>
        </w:rPr>
        <w:t>确定各分项能耗比对评价指标形式；</w:t>
      </w:r>
    </w:p>
    <w:p>
      <w:pPr>
        <w:pStyle w:val="20"/>
        <w:numPr>
          <w:ilvl w:val="0"/>
          <w:numId w:val="33"/>
        </w:numPr>
        <w:spacing w:line="360" w:lineRule="auto"/>
        <w:ind w:firstLineChars="0"/>
        <w:rPr>
          <w:sz w:val="24"/>
          <w:szCs w:val="24"/>
        </w:rPr>
      </w:pPr>
      <w:r>
        <w:rPr>
          <w:rFonts w:hint="eastAsia"/>
          <w:sz w:val="24"/>
          <w:szCs w:val="24"/>
        </w:rPr>
        <w:t>分别计算各分项能耗不同类别样本的能耗比对评价指标数据，并进行排序，计算评价指标的平均值</w:t>
      </w:r>
      <w:r>
        <w:rPr>
          <w:position w:val="-4"/>
          <w:sz w:val="24"/>
          <w:szCs w:val="24"/>
        </w:rPr>
        <w:object>
          <v:shape id="_x0000_i1073" o:spt="75" type="#_x0000_t75" style="height:14.25pt;width:14.25pt;" o:ole="t" filled="f" o:preferrelative="t" stroked="f" coordsize="21600,21600">
            <v:path/>
            <v:fill on="f" focussize="0,0"/>
            <v:stroke on="f" joinstyle="miter"/>
            <v:imagedata r:id="rId73" o:title=""/>
            <o:lock v:ext="edit" aspectratio="t"/>
            <w10:wrap type="none"/>
            <w10:anchorlock/>
          </v:shape>
          <o:OLEObject Type="Embed" ProgID="Equation.DSMT4" ShapeID="_x0000_i1073" DrawAspect="Content" ObjectID="_1468075773" r:id="rId94">
            <o:LockedField>false</o:LockedField>
          </o:OLEObject>
        </w:object>
      </w:r>
      <w:r>
        <w:rPr>
          <w:rFonts w:hint="eastAsia"/>
          <w:sz w:val="24"/>
          <w:szCs w:val="24"/>
        </w:rPr>
        <w:t>及标准偏差</w:t>
      </w:r>
      <w:r>
        <w:rPr>
          <w:position w:val="-6"/>
          <w:sz w:val="24"/>
          <w:szCs w:val="24"/>
        </w:rPr>
        <w:object>
          <v:shape id="_x0000_i1074" o:spt="75" type="#_x0000_t75" style="height:14.25pt;width:14.25pt;" o:ole="t" filled="f" o:preferrelative="t" stroked="f" coordsize="21600,21600">
            <v:path/>
            <v:fill on="f" focussize="0,0"/>
            <v:stroke on="f" joinstyle="miter"/>
            <v:imagedata r:id="rId75" o:title=""/>
            <o:lock v:ext="edit" aspectratio="t"/>
            <w10:wrap type="none"/>
            <w10:anchorlock/>
          </v:shape>
          <o:OLEObject Type="Embed" ProgID="Equation.DSMT4" ShapeID="_x0000_i1074" DrawAspect="Content" ObjectID="_1468075774" r:id="rId95">
            <o:LockedField>false</o:LockedField>
          </o:OLEObject>
        </w:object>
      </w:r>
      <w:r>
        <w:rPr>
          <w:rFonts w:hint="eastAsia"/>
          <w:sz w:val="24"/>
          <w:szCs w:val="24"/>
        </w:rPr>
        <w:t>，建立评价标准，进行分项能耗比对评价。</w:t>
      </w:r>
    </w:p>
    <w:p>
      <w:pPr>
        <w:spacing w:line="360" w:lineRule="auto"/>
        <w:jc w:val="center"/>
        <w:rPr>
          <w:sz w:val="24"/>
          <w:szCs w:val="24"/>
        </w:rPr>
      </w:pPr>
      <w:r>
        <w:rPr>
          <w:rFonts w:hint="eastAsia"/>
          <w:sz w:val="24"/>
          <w:szCs w:val="24"/>
        </w:rPr>
        <w:t>表</w:t>
      </w:r>
      <w:r>
        <w:rPr>
          <w:sz w:val="24"/>
          <w:szCs w:val="24"/>
        </w:rPr>
        <w:t xml:space="preserve">C.4-1 </w:t>
      </w:r>
      <w:r>
        <w:rPr>
          <w:rFonts w:hint="eastAsia"/>
          <w:sz w:val="24"/>
          <w:szCs w:val="24"/>
        </w:rPr>
        <w:t>基于监测系统的分项能耗比对评价等级分级表</w:t>
      </w:r>
    </w:p>
    <w:tbl>
      <w:tblPr>
        <w:tblStyle w:val="14"/>
        <w:tblW w:w="5000" w:type="pct"/>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1774"/>
        <w:gridCol w:w="2848"/>
        <w:gridCol w:w="177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8"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评价等级</w:t>
            </w:r>
          </w:p>
        </w:tc>
        <w:tc>
          <w:tcPr>
            <w:tcW w:w="1041"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好</w:t>
            </w:r>
          </w:p>
        </w:tc>
        <w:tc>
          <w:tcPr>
            <w:tcW w:w="1671"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一般</w:t>
            </w:r>
          </w:p>
        </w:tc>
        <w:tc>
          <w:tcPr>
            <w:tcW w:w="1040"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差</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8"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单位建筑面积分项能耗</w:t>
            </w:r>
          </w:p>
        </w:tc>
        <w:tc>
          <w:tcPr>
            <w:tcW w:w="1041" w:type="pct"/>
            <w:tcBorders>
              <w:top w:val="single" w:color="auto" w:sz="8" w:space="0"/>
              <w:bottom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75"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75" DrawAspect="Content" ObjectID="_1468075775" r:id="rId96">
                  <o:LockedField>false</o:LockedField>
                </o:OLEObject>
              </w:object>
            </w:r>
          </w:p>
        </w:tc>
        <w:tc>
          <w:tcPr>
            <w:tcW w:w="1671" w:type="pct"/>
            <w:tcBorders>
              <w:top w:val="single" w:color="auto" w:sz="8" w:space="0"/>
              <w:bottom w:val="single" w:color="auto" w:sz="8" w:space="0"/>
            </w:tcBorders>
            <w:vAlign w:val="center"/>
          </w:tcPr>
          <w:p>
            <w:pPr>
              <w:spacing w:line="360" w:lineRule="auto"/>
              <w:ind w:firstLine="0" w:firstLineChars="0"/>
              <w:jc w:val="center"/>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40" w:type="pct"/>
            <w:tcBorders>
              <w:top w:val="single" w:color="auto" w:sz="8" w:space="0"/>
              <w:bottom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76"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76" DrawAspect="Content" ObjectID="_1468075776" r:id="rId97">
                  <o:LockedField>false</o:LockedField>
                </o:OLEObject>
              </w:object>
            </w:r>
          </w:p>
        </w:tc>
      </w:tr>
    </w:tbl>
    <w:p>
      <w:pPr>
        <w:spacing w:line="360" w:lineRule="auto"/>
        <w:rPr>
          <w:rFonts w:eastAsia="楷体"/>
          <w:b/>
          <w:bCs/>
          <w:sz w:val="24"/>
          <w:szCs w:val="24"/>
        </w:rPr>
      </w:pPr>
    </w:p>
    <w:p>
      <w:pPr>
        <w:spacing w:line="360" w:lineRule="auto"/>
        <w:rPr>
          <w:sz w:val="24"/>
          <w:szCs w:val="24"/>
        </w:rPr>
      </w:pPr>
      <w:r>
        <w:rPr>
          <w:rFonts w:hint="eastAsia" w:eastAsia="楷体"/>
          <w:b/>
          <w:bCs/>
          <w:sz w:val="24"/>
          <w:szCs w:val="24"/>
        </w:rPr>
        <w:t>【条文说明】</w:t>
      </w:r>
      <w:r>
        <w:rPr>
          <w:rFonts w:hint="eastAsia" w:eastAsia="楷体"/>
          <w:sz w:val="24"/>
          <w:szCs w:val="24"/>
        </w:rPr>
        <w:t>附录</w:t>
      </w:r>
      <w:r>
        <w:rPr>
          <w:rFonts w:eastAsia="楷体"/>
          <w:sz w:val="24"/>
          <w:szCs w:val="24"/>
        </w:rPr>
        <w:t xml:space="preserve">C </w:t>
      </w:r>
      <w:r>
        <w:rPr>
          <w:rFonts w:hint="eastAsia" w:eastAsia="楷体"/>
          <w:sz w:val="24"/>
          <w:szCs w:val="24"/>
        </w:rPr>
        <w:t>基于监测系统的分项能耗比对评价方法示例</w:t>
      </w:r>
    </w:p>
    <w:p>
      <w:pPr>
        <w:spacing w:line="360" w:lineRule="auto"/>
        <w:ind w:firstLine="480" w:firstLineChars="200"/>
        <w:rPr>
          <w:rFonts w:eastAsia="楷体"/>
          <w:sz w:val="24"/>
          <w:szCs w:val="24"/>
        </w:rPr>
      </w:pPr>
      <w:r>
        <w:rPr>
          <w:rFonts w:hint="eastAsia" w:eastAsia="楷体"/>
          <w:sz w:val="24"/>
          <w:szCs w:val="24"/>
        </w:rPr>
        <w:t>本方法示例以冷、热源用能为电力的办公建筑为例，采用聚类分析法对建筑进行分类，该方法为样本建筑分类方法的一种。</w:t>
      </w:r>
    </w:p>
    <w:p>
      <w:pPr>
        <w:spacing w:line="360" w:lineRule="auto"/>
        <w:ind w:firstLine="480" w:firstLineChars="200"/>
        <w:rPr>
          <w:rFonts w:eastAsia="楷体"/>
          <w:sz w:val="24"/>
          <w:szCs w:val="24"/>
        </w:rPr>
      </w:pPr>
      <w:r>
        <w:rPr>
          <w:rFonts w:hint="eastAsia" w:eastAsia="楷体"/>
          <w:sz w:val="24"/>
          <w:szCs w:val="24"/>
        </w:rPr>
        <w:t>本方法示例从能耗分析开始，前期还需进行数据调研与校核工作。</w:t>
      </w:r>
    </w:p>
    <w:p>
      <w:pPr>
        <w:spacing w:line="360" w:lineRule="auto"/>
        <w:rPr>
          <w:sz w:val="24"/>
          <w:szCs w:val="24"/>
        </w:rPr>
      </w:pPr>
    </w:p>
    <w:p>
      <w:pPr>
        <w:spacing w:line="360" w:lineRule="auto"/>
        <w:rPr>
          <w:sz w:val="24"/>
          <w:szCs w:val="24"/>
        </w:rPr>
      </w:pPr>
    </w:p>
    <w:p>
      <w:pPr>
        <w:spacing w:line="360" w:lineRule="auto"/>
        <w:rPr>
          <w:sz w:val="24"/>
          <w:szCs w:val="24"/>
        </w:rPr>
        <w:sectPr>
          <w:pgSz w:w="11906" w:h="16838"/>
          <w:pgMar w:top="1440" w:right="1800" w:bottom="1440" w:left="1800" w:header="851" w:footer="992" w:gutter="0"/>
          <w:cols w:space="425" w:num="1"/>
          <w:docGrid w:type="lines" w:linePitch="312" w:charSpace="0"/>
        </w:sectPr>
      </w:pPr>
    </w:p>
    <w:p>
      <w:pPr>
        <w:pStyle w:val="2"/>
        <w:spacing w:before="0" w:after="156" w:afterLines="50" w:line="360" w:lineRule="auto"/>
        <w:jc w:val="center"/>
        <w:rPr>
          <w:sz w:val="24"/>
          <w:szCs w:val="24"/>
        </w:rPr>
      </w:pPr>
      <w:bookmarkStart w:id="26" w:name="_Toc28354608"/>
      <w:r>
        <w:rPr>
          <w:rFonts w:hint="eastAsia"/>
          <w:sz w:val="24"/>
          <w:szCs w:val="24"/>
        </w:rPr>
        <w:t>附录</w:t>
      </w:r>
      <w:r>
        <w:rPr>
          <w:sz w:val="24"/>
          <w:szCs w:val="24"/>
        </w:rPr>
        <w:t xml:space="preserve">D </w:t>
      </w:r>
      <w:r>
        <w:rPr>
          <w:rFonts w:hint="eastAsia"/>
          <w:sz w:val="24"/>
          <w:szCs w:val="24"/>
        </w:rPr>
        <w:t>设备能耗比对评价方法示例</w:t>
      </w:r>
      <w:bookmarkEnd w:id="26"/>
    </w:p>
    <w:p>
      <w:pPr>
        <w:pStyle w:val="20"/>
        <w:numPr>
          <w:ilvl w:val="0"/>
          <w:numId w:val="34"/>
        </w:numPr>
        <w:spacing w:line="360" w:lineRule="auto"/>
        <w:ind w:firstLineChars="0"/>
        <w:rPr>
          <w:sz w:val="24"/>
          <w:szCs w:val="24"/>
        </w:rPr>
      </w:pPr>
      <w:r>
        <w:rPr>
          <w:rFonts w:hint="eastAsia"/>
          <w:sz w:val="24"/>
          <w:szCs w:val="24"/>
        </w:rPr>
        <w:t>对样本及用能设备类型进行分类。</w:t>
      </w:r>
    </w:p>
    <w:p>
      <w:pPr>
        <w:pStyle w:val="20"/>
        <w:numPr>
          <w:ilvl w:val="0"/>
          <w:numId w:val="34"/>
        </w:numPr>
        <w:spacing w:line="360" w:lineRule="auto"/>
        <w:ind w:firstLineChars="0"/>
        <w:rPr>
          <w:sz w:val="24"/>
          <w:szCs w:val="24"/>
        </w:rPr>
      </w:pPr>
      <w:r>
        <w:rPr>
          <w:rFonts w:hint="eastAsia"/>
          <w:sz w:val="24"/>
          <w:szCs w:val="24"/>
        </w:rPr>
        <w:t>确定各类样本不同用能设备能耗的评价指标：</w:t>
      </w:r>
    </w:p>
    <w:p>
      <w:pPr>
        <w:pStyle w:val="20"/>
        <w:numPr>
          <w:ilvl w:val="0"/>
          <w:numId w:val="35"/>
        </w:numPr>
        <w:spacing w:line="360" w:lineRule="auto"/>
        <w:ind w:firstLineChars="0"/>
        <w:rPr>
          <w:sz w:val="24"/>
          <w:szCs w:val="24"/>
        </w:rPr>
      </w:pPr>
      <w:r>
        <w:rPr>
          <w:rFonts w:hint="eastAsia"/>
          <w:sz w:val="24"/>
          <w:szCs w:val="24"/>
        </w:rPr>
        <w:t>供暖空调冷热源设备根据设备类型采用制冷机组能效比或热泵能效比。</w:t>
      </w:r>
    </w:p>
    <w:p>
      <w:pPr>
        <w:pStyle w:val="20"/>
        <w:numPr>
          <w:ilvl w:val="0"/>
          <w:numId w:val="35"/>
        </w:numPr>
        <w:spacing w:line="360" w:lineRule="auto"/>
        <w:ind w:firstLineChars="0"/>
        <w:rPr>
          <w:sz w:val="24"/>
          <w:szCs w:val="24"/>
        </w:rPr>
      </w:pPr>
      <w:r>
        <w:rPr>
          <w:rFonts w:hint="eastAsia"/>
          <w:sz w:val="24"/>
          <w:szCs w:val="24"/>
        </w:rPr>
        <w:t>供暖空调输配系统设备采用冷冻侧输配系数、冷却侧排热输配系数。</w:t>
      </w:r>
    </w:p>
    <w:p>
      <w:pPr>
        <w:pStyle w:val="20"/>
        <w:numPr>
          <w:ilvl w:val="0"/>
          <w:numId w:val="35"/>
        </w:numPr>
        <w:spacing w:line="360" w:lineRule="auto"/>
        <w:ind w:firstLineChars="0"/>
        <w:rPr>
          <w:sz w:val="24"/>
          <w:szCs w:val="24"/>
        </w:rPr>
      </w:pPr>
      <w:r>
        <w:rPr>
          <w:rFonts w:hint="eastAsia"/>
          <w:sz w:val="24"/>
          <w:szCs w:val="24"/>
        </w:rPr>
        <w:t>末端设备采用末端设备供冷（热）输配系数、单位面积末端供冷（热）电耗。</w:t>
      </w:r>
    </w:p>
    <w:p>
      <w:pPr>
        <w:pStyle w:val="20"/>
        <w:numPr>
          <w:ilvl w:val="0"/>
          <w:numId w:val="35"/>
        </w:numPr>
        <w:spacing w:line="360" w:lineRule="auto"/>
        <w:ind w:firstLineChars="0"/>
        <w:rPr>
          <w:sz w:val="24"/>
          <w:szCs w:val="24"/>
        </w:rPr>
      </w:pPr>
      <w:r>
        <w:rPr>
          <w:rFonts w:hint="eastAsia"/>
          <w:sz w:val="24"/>
          <w:szCs w:val="24"/>
        </w:rPr>
        <w:t>照明设备采用单位面积一般照明电耗。</w:t>
      </w:r>
    </w:p>
    <w:p>
      <w:pPr>
        <w:pStyle w:val="20"/>
        <w:numPr>
          <w:ilvl w:val="0"/>
          <w:numId w:val="35"/>
        </w:numPr>
        <w:spacing w:line="360" w:lineRule="auto"/>
        <w:ind w:firstLineChars="0"/>
        <w:rPr>
          <w:sz w:val="24"/>
          <w:szCs w:val="24"/>
        </w:rPr>
      </w:pPr>
      <w:r>
        <w:rPr>
          <w:rFonts w:hint="eastAsia"/>
          <w:sz w:val="24"/>
          <w:szCs w:val="24"/>
        </w:rPr>
        <w:t>插座采用单位服务量插座电耗。</w:t>
      </w:r>
    </w:p>
    <w:p>
      <w:pPr>
        <w:pStyle w:val="20"/>
        <w:numPr>
          <w:ilvl w:val="0"/>
          <w:numId w:val="35"/>
        </w:numPr>
        <w:spacing w:line="360" w:lineRule="auto"/>
        <w:ind w:firstLineChars="0"/>
        <w:rPr>
          <w:sz w:val="24"/>
          <w:szCs w:val="24"/>
        </w:rPr>
      </w:pPr>
      <w:r>
        <w:rPr>
          <w:rFonts w:hint="eastAsia"/>
          <w:sz w:val="24"/>
          <w:szCs w:val="24"/>
        </w:rPr>
        <w:t>电梯采用单位服务量电梯电耗。</w:t>
      </w:r>
    </w:p>
    <w:p>
      <w:pPr>
        <w:pStyle w:val="20"/>
        <w:numPr>
          <w:ilvl w:val="0"/>
          <w:numId w:val="35"/>
        </w:numPr>
        <w:spacing w:line="360" w:lineRule="auto"/>
        <w:ind w:firstLineChars="0"/>
        <w:rPr>
          <w:sz w:val="24"/>
          <w:szCs w:val="24"/>
        </w:rPr>
      </w:pPr>
      <w:r>
        <w:rPr>
          <w:rFonts w:hint="eastAsia"/>
          <w:sz w:val="24"/>
          <w:szCs w:val="24"/>
        </w:rPr>
        <w:t>风机采用服务区域单位体积风机电耗。</w:t>
      </w:r>
    </w:p>
    <w:p>
      <w:pPr>
        <w:pStyle w:val="20"/>
        <w:numPr>
          <w:ilvl w:val="0"/>
          <w:numId w:val="35"/>
        </w:numPr>
        <w:spacing w:line="360" w:lineRule="auto"/>
        <w:ind w:firstLineChars="0"/>
        <w:rPr>
          <w:sz w:val="24"/>
          <w:szCs w:val="24"/>
        </w:rPr>
      </w:pPr>
      <w:r>
        <w:rPr>
          <w:rFonts w:hint="eastAsia"/>
          <w:sz w:val="24"/>
          <w:szCs w:val="24"/>
        </w:rPr>
        <w:t>给水泵、排水泵采用单位服务量水泵电耗。</w:t>
      </w:r>
    </w:p>
    <w:p>
      <w:pPr>
        <w:pStyle w:val="20"/>
        <w:numPr>
          <w:ilvl w:val="0"/>
          <w:numId w:val="34"/>
        </w:numPr>
        <w:spacing w:line="360" w:lineRule="auto"/>
        <w:ind w:firstLineChars="0"/>
        <w:rPr>
          <w:sz w:val="24"/>
          <w:szCs w:val="24"/>
        </w:rPr>
      </w:pPr>
      <w:r>
        <w:rPr>
          <w:rFonts w:hint="eastAsia"/>
          <w:sz w:val="24"/>
          <w:szCs w:val="24"/>
        </w:rPr>
        <w:t>同类设备的能效</w:t>
      </w:r>
      <w:r>
        <w:rPr>
          <w:sz w:val="24"/>
          <w:szCs w:val="24"/>
        </w:rPr>
        <w:t>/</w:t>
      </w:r>
      <w:r>
        <w:rPr>
          <w:rFonts w:hint="eastAsia"/>
          <w:sz w:val="24"/>
          <w:szCs w:val="24"/>
        </w:rPr>
        <w:t>能耗比对评价指标数据进行排序，计算能效</w:t>
      </w:r>
      <w:r>
        <w:rPr>
          <w:sz w:val="24"/>
          <w:szCs w:val="24"/>
        </w:rPr>
        <w:t>/</w:t>
      </w:r>
      <w:r>
        <w:rPr>
          <w:rFonts w:hint="eastAsia"/>
          <w:sz w:val="24"/>
          <w:szCs w:val="24"/>
        </w:rPr>
        <w:t>能耗指标的平均值</w:t>
      </w:r>
      <w:r>
        <w:rPr>
          <w:position w:val="-4"/>
          <w:sz w:val="24"/>
          <w:szCs w:val="24"/>
        </w:rPr>
        <w:object>
          <v:shape id="_x0000_i1077" o:spt="75" type="#_x0000_t75" style="height:14.25pt;width:14.25pt;" o:ole="t" filled="f" o:preferrelative="t" stroked="f" coordsize="21600,21600">
            <v:path/>
            <v:fill on="f" focussize="0,0"/>
            <v:stroke on="f" joinstyle="miter"/>
            <v:imagedata r:id="rId73" o:title=""/>
            <o:lock v:ext="edit" aspectratio="t"/>
            <w10:wrap type="none"/>
            <w10:anchorlock/>
          </v:shape>
          <o:OLEObject Type="Embed" ProgID="Equation.DSMT4" ShapeID="_x0000_i1077" DrawAspect="Content" ObjectID="_1468075777" r:id="rId98">
            <o:LockedField>false</o:LockedField>
          </o:OLEObject>
        </w:object>
      </w:r>
      <w:r>
        <w:rPr>
          <w:rFonts w:hint="eastAsia"/>
          <w:sz w:val="24"/>
          <w:szCs w:val="24"/>
        </w:rPr>
        <w:t>及标准偏差</w:t>
      </w:r>
      <w:r>
        <w:rPr>
          <w:position w:val="-6"/>
          <w:sz w:val="24"/>
          <w:szCs w:val="24"/>
        </w:rPr>
        <w:object>
          <v:shape id="_x0000_i1078" o:spt="75" type="#_x0000_t75" style="height:14.25pt;width:14.25pt;" o:ole="t" filled="f" o:preferrelative="t" stroked="f" coordsize="21600,21600">
            <v:path/>
            <v:fill on="f" focussize="0,0"/>
            <v:stroke on="f" joinstyle="miter"/>
            <v:imagedata r:id="rId75" o:title=""/>
            <o:lock v:ext="edit" aspectratio="t"/>
            <w10:wrap type="none"/>
            <w10:anchorlock/>
          </v:shape>
          <o:OLEObject Type="Embed" ProgID="Equation.DSMT4" ShapeID="_x0000_i1078" DrawAspect="Content" ObjectID="_1468075778" r:id="rId99">
            <o:LockedField>false</o:LockedField>
          </o:OLEObject>
        </w:object>
      </w:r>
      <w:r>
        <w:rPr>
          <w:rFonts w:hint="eastAsia"/>
          <w:sz w:val="24"/>
          <w:szCs w:val="24"/>
        </w:rPr>
        <w:t>，建立评价标准，进行设备能耗比对评价。</w:t>
      </w:r>
    </w:p>
    <w:p>
      <w:pPr>
        <w:spacing w:line="360" w:lineRule="auto"/>
        <w:jc w:val="center"/>
        <w:rPr>
          <w:sz w:val="24"/>
          <w:szCs w:val="24"/>
        </w:rPr>
      </w:pPr>
      <w:r>
        <w:rPr>
          <w:rFonts w:hint="eastAsia"/>
          <w:sz w:val="24"/>
          <w:szCs w:val="24"/>
        </w:rPr>
        <w:t>表</w:t>
      </w:r>
      <w:r>
        <w:rPr>
          <w:sz w:val="24"/>
          <w:szCs w:val="24"/>
        </w:rPr>
        <w:t xml:space="preserve">D.3-1 </w:t>
      </w:r>
      <w:r>
        <w:rPr>
          <w:rFonts w:hint="eastAsia"/>
          <w:sz w:val="24"/>
          <w:szCs w:val="24"/>
        </w:rPr>
        <w:t>设备能耗比对评价等级分级表</w:t>
      </w:r>
    </w:p>
    <w:tbl>
      <w:tblPr>
        <w:tblStyle w:val="14"/>
        <w:tblW w:w="5000" w:type="pct"/>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8"/>
        <w:gridCol w:w="106"/>
        <w:gridCol w:w="1467"/>
        <w:gridCol w:w="73"/>
        <w:gridCol w:w="2773"/>
        <w:gridCol w:w="37"/>
        <w:gridCol w:w="173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评价等级</w:t>
            </w:r>
          </w:p>
        </w:tc>
        <w:tc>
          <w:tcPr>
            <w:tcW w:w="923" w:type="pct"/>
            <w:gridSpan w:val="2"/>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好</w:t>
            </w:r>
          </w:p>
        </w:tc>
        <w:tc>
          <w:tcPr>
            <w:tcW w:w="1670" w:type="pct"/>
            <w:gridSpan w:val="2"/>
            <w:tcBorders>
              <w:top w:val="single" w:color="auto" w:sz="8" w:space="0"/>
              <w:bottom w:val="single" w:color="auto" w:sz="8" w:space="0"/>
            </w:tcBorders>
            <w:vAlign w:val="center"/>
          </w:tcPr>
          <w:p>
            <w:pPr>
              <w:spacing w:line="360" w:lineRule="auto"/>
              <w:ind w:firstLine="1200" w:firstLineChars="500"/>
              <w:rPr>
                <w:sz w:val="24"/>
                <w:szCs w:val="24"/>
              </w:rPr>
            </w:pPr>
            <w:r>
              <w:rPr>
                <w:rFonts w:hint="eastAsia"/>
                <w:sz w:val="24"/>
                <w:szCs w:val="24"/>
              </w:rPr>
              <w:t>一般</w:t>
            </w:r>
          </w:p>
        </w:tc>
        <w:tc>
          <w:tcPr>
            <w:tcW w:w="1040" w:type="pct"/>
            <w:gridSpan w:val="2"/>
            <w:tcBorders>
              <w:top w:val="single" w:color="auto" w:sz="8" w:space="0"/>
              <w:bottom w:val="single" w:color="auto" w:sz="8" w:space="0"/>
            </w:tcBorders>
            <w:vAlign w:val="center"/>
          </w:tcPr>
          <w:p>
            <w:pPr>
              <w:spacing w:line="360" w:lineRule="auto"/>
              <w:ind w:firstLine="960" w:firstLineChars="400"/>
              <w:rPr>
                <w:sz w:val="24"/>
                <w:szCs w:val="24"/>
              </w:rPr>
            </w:pPr>
            <w:r>
              <w:rPr>
                <w:rFonts w:hint="eastAsia"/>
                <w:sz w:val="24"/>
                <w:szCs w:val="24"/>
              </w:rPr>
              <w:t>差</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制冷机能效比</w:t>
            </w:r>
          </w:p>
        </w:tc>
        <w:tc>
          <w:tcPr>
            <w:tcW w:w="923" w:type="pct"/>
            <w:gridSpan w:val="2"/>
            <w:tcBorders>
              <w:top w:val="single" w:color="auto" w:sz="8" w:space="0"/>
              <w:bottom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79"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79" DrawAspect="Content" ObjectID="_1468075779" r:id="rId100">
                  <o:LockedField>false</o:LockedField>
                </o:OLEObject>
              </w:object>
            </w:r>
          </w:p>
        </w:tc>
        <w:tc>
          <w:tcPr>
            <w:tcW w:w="1670" w:type="pct"/>
            <w:gridSpan w:val="2"/>
            <w:tcBorders>
              <w:top w:val="single" w:color="auto" w:sz="8" w:space="0"/>
              <w:bottom w:val="single" w:color="auto" w:sz="8" w:space="0"/>
            </w:tcBorders>
            <w:vAlign w:val="center"/>
          </w:tcPr>
          <w:p>
            <w:pPr>
              <w:spacing w:line="360" w:lineRule="auto"/>
              <w:ind w:firstLine="0" w:firstLineChars="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40" w:type="pct"/>
            <w:gridSpan w:val="2"/>
            <w:tcBorders>
              <w:top w:val="single" w:color="auto" w:sz="8" w:space="0"/>
              <w:bottom w:val="single" w:color="auto" w:sz="8" w:space="0"/>
            </w:tcBorders>
            <w:vAlign w:val="center"/>
          </w:tcPr>
          <w:p>
            <w:pPr>
              <w:spacing w:line="360" w:lineRule="auto"/>
              <w:ind w:firstLine="0" w:firstLineChars="0"/>
              <w:rPr>
                <w:sz w:val="24"/>
                <w:szCs w:val="24"/>
              </w:rPr>
            </w:pPr>
            <w:r>
              <w:rPr>
                <w:sz w:val="24"/>
                <w:szCs w:val="24"/>
              </w:rPr>
              <w:t xml:space="preserve">    </w:t>
            </w:r>
            <w:r>
              <w:rPr>
                <w:position w:val="-6"/>
                <w:sz w:val="21"/>
                <w:szCs w:val="24"/>
              </w:rPr>
              <w:object>
                <v:shape id="_x0000_i1080"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80" DrawAspect="Content" ObjectID="_1468075780" r:id="rId101">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热泵能效比</w:t>
            </w:r>
          </w:p>
        </w:tc>
        <w:tc>
          <w:tcPr>
            <w:tcW w:w="923" w:type="pct"/>
            <w:gridSpan w:val="2"/>
            <w:tcBorders>
              <w:top w:val="single" w:color="auto" w:sz="8" w:space="0"/>
              <w:bottom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81"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81" DrawAspect="Content" ObjectID="_1468075781" r:id="rId102">
                  <o:LockedField>false</o:LockedField>
                </o:OLEObject>
              </w:object>
            </w:r>
          </w:p>
        </w:tc>
        <w:tc>
          <w:tcPr>
            <w:tcW w:w="1670" w:type="pct"/>
            <w:gridSpan w:val="2"/>
            <w:tcBorders>
              <w:top w:val="single" w:color="auto" w:sz="8" w:space="0"/>
              <w:bottom w:val="single" w:color="auto" w:sz="8" w:space="0"/>
            </w:tcBorders>
            <w:vAlign w:val="center"/>
          </w:tcPr>
          <w:p>
            <w:pPr>
              <w:spacing w:line="360" w:lineRule="auto"/>
              <w:ind w:firstLine="480" w:firstLineChars="20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40" w:type="pct"/>
            <w:gridSpan w:val="2"/>
            <w:tcBorders>
              <w:top w:val="single" w:color="auto" w:sz="8" w:space="0"/>
              <w:bottom w:val="single" w:color="auto" w:sz="8" w:space="0"/>
            </w:tcBorders>
            <w:vAlign w:val="center"/>
          </w:tcPr>
          <w:p>
            <w:pPr>
              <w:spacing w:line="360" w:lineRule="auto"/>
              <w:ind w:firstLine="420" w:firstLineChars="200"/>
              <w:rPr>
                <w:sz w:val="24"/>
                <w:szCs w:val="24"/>
              </w:rPr>
            </w:pPr>
            <w:r>
              <w:rPr>
                <w:position w:val="-6"/>
                <w:sz w:val="21"/>
                <w:szCs w:val="24"/>
              </w:rPr>
              <w:object>
                <v:shape id="_x0000_i1082"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82" DrawAspect="Content" ObjectID="_1468075782" r:id="rId103">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单位面积末端供冷（热）电耗</w:t>
            </w:r>
          </w:p>
        </w:tc>
        <w:tc>
          <w:tcPr>
            <w:tcW w:w="923" w:type="pct"/>
            <w:gridSpan w:val="2"/>
            <w:tcBorders>
              <w:top w:val="single" w:color="auto" w:sz="8" w:space="0"/>
              <w:bottom w:val="single" w:color="auto" w:sz="8" w:space="0"/>
            </w:tcBorders>
            <w:vAlign w:val="center"/>
          </w:tcPr>
          <w:p>
            <w:pPr>
              <w:spacing w:line="360" w:lineRule="auto"/>
              <w:ind w:firstLine="420" w:firstLineChars="200"/>
              <w:jc w:val="center"/>
              <w:rPr>
                <w:sz w:val="24"/>
                <w:szCs w:val="24"/>
              </w:rPr>
            </w:pPr>
            <w:r>
              <w:rPr>
                <w:position w:val="-6"/>
                <w:sz w:val="21"/>
                <w:szCs w:val="24"/>
              </w:rPr>
              <w:object>
                <v:shape id="_x0000_i1083"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83" DrawAspect="Content" ObjectID="_1468075783" r:id="rId104">
                  <o:LockedField>false</o:LockedField>
                </o:OLEObject>
              </w:object>
            </w:r>
          </w:p>
        </w:tc>
        <w:tc>
          <w:tcPr>
            <w:tcW w:w="1670" w:type="pct"/>
            <w:gridSpan w:val="2"/>
            <w:tcBorders>
              <w:top w:val="single" w:color="auto" w:sz="8" w:space="0"/>
              <w:bottom w:val="single" w:color="auto" w:sz="8" w:space="0"/>
            </w:tcBorders>
            <w:vAlign w:val="center"/>
          </w:tcPr>
          <w:p>
            <w:pPr>
              <w:spacing w:line="360" w:lineRule="auto"/>
              <w:ind w:firstLine="480" w:firstLineChars="20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40" w:type="pct"/>
            <w:gridSpan w:val="2"/>
            <w:tcBorders>
              <w:top w:val="single" w:color="auto" w:sz="8" w:space="0"/>
              <w:bottom w:val="single" w:color="auto" w:sz="8" w:space="0"/>
            </w:tcBorders>
            <w:vAlign w:val="center"/>
          </w:tcPr>
          <w:p>
            <w:pPr>
              <w:spacing w:line="360" w:lineRule="auto"/>
              <w:ind w:firstLine="420" w:firstLineChars="200"/>
              <w:rPr>
                <w:sz w:val="24"/>
                <w:szCs w:val="24"/>
              </w:rPr>
            </w:pPr>
            <w:r>
              <w:rPr>
                <w:position w:val="-6"/>
                <w:sz w:val="21"/>
                <w:szCs w:val="24"/>
              </w:rPr>
              <w:object>
                <v:shape id="_x0000_i1084"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84" DrawAspect="Content" ObjectID="_1468075784" r:id="rId105">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单位面积一般照明电耗</w:t>
            </w:r>
          </w:p>
        </w:tc>
        <w:tc>
          <w:tcPr>
            <w:tcW w:w="923" w:type="pct"/>
            <w:gridSpan w:val="2"/>
            <w:tcBorders>
              <w:top w:val="single" w:color="auto" w:sz="8" w:space="0"/>
              <w:bottom w:val="single" w:color="auto" w:sz="8" w:space="0"/>
            </w:tcBorders>
            <w:vAlign w:val="center"/>
          </w:tcPr>
          <w:p>
            <w:pPr>
              <w:spacing w:line="360" w:lineRule="auto"/>
              <w:ind w:firstLine="420" w:firstLineChars="200"/>
              <w:jc w:val="center"/>
              <w:rPr>
                <w:sz w:val="24"/>
                <w:szCs w:val="24"/>
              </w:rPr>
            </w:pPr>
            <w:r>
              <w:rPr>
                <w:position w:val="-6"/>
                <w:sz w:val="21"/>
                <w:szCs w:val="24"/>
              </w:rPr>
              <w:object>
                <v:shape id="_x0000_i1085"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85" DrawAspect="Content" ObjectID="_1468075785" r:id="rId106">
                  <o:LockedField>false</o:LockedField>
                </o:OLEObject>
              </w:object>
            </w:r>
          </w:p>
        </w:tc>
        <w:tc>
          <w:tcPr>
            <w:tcW w:w="1670" w:type="pct"/>
            <w:gridSpan w:val="2"/>
            <w:tcBorders>
              <w:top w:val="single" w:color="auto" w:sz="8" w:space="0"/>
              <w:bottom w:val="single" w:color="auto" w:sz="8" w:space="0"/>
            </w:tcBorders>
            <w:vAlign w:val="center"/>
          </w:tcPr>
          <w:p>
            <w:pPr>
              <w:spacing w:line="360" w:lineRule="auto"/>
              <w:ind w:firstLine="480" w:firstLineChars="20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40" w:type="pct"/>
            <w:gridSpan w:val="2"/>
            <w:tcBorders>
              <w:top w:val="single" w:color="auto" w:sz="8" w:space="0"/>
              <w:bottom w:val="single" w:color="auto" w:sz="8" w:space="0"/>
            </w:tcBorders>
            <w:vAlign w:val="center"/>
          </w:tcPr>
          <w:p>
            <w:pPr>
              <w:spacing w:line="360" w:lineRule="auto"/>
              <w:ind w:firstLine="420" w:firstLineChars="200"/>
              <w:rPr>
                <w:sz w:val="24"/>
                <w:szCs w:val="24"/>
              </w:rPr>
            </w:pPr>
            <w:r>
              <w:rPr>
                <w:position w:val="-6"/>
                <w:sz w:val="21"/>
                <w:szCs w:val="24"/>
              </w:rPr>
              <w:object>
                <v:shape id="_x0000_i1086"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86" DrawAspect="Content" ObjectID="_1468075786" r:id="rId107">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单位服务量插座电耗</w:t>
            </w:r>
          </w:p>
        </w:tc>
        <w:tc>
          <w:tcPr>
            <w:tcW w:w="923" w:type="pct"/>
            <w:gridSpan w:val="2"/>
            <w:tcBorders>
              <w:top w:val="single" w:color="auto" w:sz="8" w:space="0"/>
              <w:bottom w:val="single" w:color="auto" w:sz="8" w:space="0"/>
            </w:tcBorders>
            <w:vAlign w:val="center"/>
          </w:tcPr>
          <w:p>
            <w:pPr>
              <w:spacing w:line="360" w:lineRule="auto"/>
              <w:ind w:firstLine="420" w:firstLineChars="200"/>
              <w:jc w:val="center"/>
              <w:rPr>
                <w:sz w:val="24"/>
                <w:szCs w:val="24"/>
              </w:rPr>
            </w:pPr>
            <w:r>
              <w:rPr>
                <w:position w:val="-6"/>
                <w:sz w:val="21"/>
                <w:szCs w:val="24"/>
              </w:rPr>
              <w:object>
                <v:shape id="_x0000_i1087"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87" DrawAspect="Content" ObjectID="_1468075787" r:id="rId108">
                  <o:LockedField>false</o:LockedField>
                </o:OLEObject>
              </w:object>
            </w:r>
          </w:p>
        </w:tc>
        <w:tc>
          <w:tcPr>
            <w:tcW w:w="1670" w:type="pct"/>
            <w:gridSpan w:val="2"/>
            <w:tcBorders>
              <w:top w:val="single" w:color="auto" w:sz="8" w:space="0"/>
              <w:bottom w:val="single" w:color="auto" w:sz="8" w:space="0"/>
            </w:tcBorders>
            <w:vAlign w:val="center"/>
          </w:tcPr>
          <w:p>
            <w:pPr>
              <w:spacing w:line="360" w:lineRule="auto"/>
              <w:ind w:firstLine="480" w:firstLineChars="20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40" w:type="pct"/>
            <w:gridSpan w:val="2"/>
            <w:tcBorders>
              <w:top w:val="single" w:color="auto" w:sz="8" w:space="0"/>
              <w:bottom w:val="single" w:color="auto" w:sz="8" w:space="0"/>
            </w:tcBorders>
            <w:vAlign w:val="center"/>
          </w:tcPr>
          <w:p>
            <w:pPr>
              <w:spacing w:line="360" w:lineRule="auto"/>
              <w:ind w:firstLine="420" w:firstLineChars="200"/>
              <w:rPr>
                <w:sz w:val="24"/>
                <w:szCs w:val="24"/>
              </w:rPr>
            </w:pPr>
            <w:r>
              <w:rPr>
                <w:position w:val="-6"/>
                <w:sz w:val="21"/>
                <w:szCs w:val="24"/>
              </w:rPr>
              <w:object>
                <v:shape id="_x0000_i1088"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88" DrawAspect="Content" ObjectID="_1468075788" r:id="rId109">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pct"/>
            <w:tcBorders>
              <w:top w:val="single" w:color="auto" w:sz="8" w:space="0"/>
              <w:bottom w:val="single" w:color="auto" w:sz="8" w:space="0"/>
            </w:tcBorders>
            <w:vAlign w:val="center"/>
          </w:tcPr>
          <w:p>
            <w:pPr>
              <w:spacing w:line="360" w:lineRule="auto"/>
              <w:ind w:firstLine="0" w:firstLineChars="0"/>
              <w:jc w:val="center"/>
              <w:rPr>
                <w:sz w:val="24"/>
                <w:szCs w:val="24"/>
              </w:rPr>
            </w:pPr>
            <w:r>
              <w:rPr>
                <w:rFonts w:hint="eastAsia"/>
                <w:sz w:val="24"/>
                <w:szCs w:val="24"/>
              </w:rPr>
              <w:t>服务区域单位体积风机电耗</w:t>
            </w:r>
          </w:p>
        </w:tc>
        <w:tc>
          <w:tcPr>
            <w:tcW w:w="923" w:type="pct"/>
            <w:gridSpan w:val="2"/>
            <w:tcBorders>
              <w:top w:val="single" w:color="auto" w:sz="8" w:space="0"/>
              <w:bottom w:val="single" w:color="auto" w:sz="8" w:space="0"/>
            </w:tcBorders>
            <w:vAlign w:val="center"/>
          </w:tcPr>
          <w:p>
            <w:pPr>
              <w:spacing w:line="360" w:lineRule="auto"/>
              <w:ind w:firstLine="420" w:firstLineChars="200"/>
              <w:jc w:val="center"/>
              <w:rPr>
                <w:sz w:val="24"/>
                <w:szCs w:val="24"/>
              </w:rPr>
            </w:pPr>
            <w:r>
              <w:rPr>
                <w:position w:val="-6"/>
                <w:sz w:val="21"/>
                <w:szCs w:val="24"/>
              </w:rPr>
              <w:object>
                <v:shape id="_x0000_i1089"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89" DrawAspect="Content" ObjectID="_1468075789" r:id="rId110">
                  <o:LockedField>false</o:LockedField>
                </o:OLEObject>
              </w:object>
            </w:r>
          </w:p>
        </w:tc>
        <w:tc>
          <w:tcPr>
            <w:tcW w:w="1670" w:type="pct"/>
            <w:gridSpan w:val="2"/>
            <w:tcBorders>
              <w:top w:val="single" w:color="auto" w:sz="8" w:space="0"/>
              <w:bottom w:val="single" w:color="auto" w:sz="8" w:space="0"/>
            </w:tcBorders>
            <w:vAlign w:val="center"/>
          </w:tcPr>
          <w:p>
            <w:pPr>
              <w:spacing w:line="360" w:lineRule="auto"/>
              <w:ind w:firstLine="480" w:firstLineChars="20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40" w:type="pct"/>
            <w:gridSpan w:val="2"/>
            <w:tcBorders>
              <w:top w:val="single" w:color="auto" w:sz="8" w:space="0"/>
              <w:bottom w:val="single" w:color="auto" w:sz="8" w:space="0"/>
            </w:tcBorders>
            <w:vAlign w:val="center"/>
          </w:tcPr>
          <w:p>
            <w:pPr>
              <w:spacing w:line="360" w:lineRule="auto"/>
              <w:ind w:firstLine="420" w:firstLineChars="200"/>
              <w:rPr>
                <w:sz w:val="24"/>
                <w:szCs w:val="24"/>
              </w:rPr>
            </w:pPr>
            <w:r>
              <w:rPr>
                <w:position w:val="-6"/>
                <w:sz w:val="21"/>
                <w:szCs w:val="24"/>
              </w:rPr>
              <w:object>
                <v:shape id="_x0000_i1090"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90" DrawAspect="Content" ObjectID="_1468075790" r:id="rId111">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pct"/>
            <w:tcBorders>
              <w:top w:val="single" w:color="auto" w:sz="8" w:space="0"/>
            </w:tcBorders>
            <w:vAlign w:val="center"/>
          </w:tcPr>
          <w:p>
            <w:pPr>
              <w:spacing w:line="360" w:lineRule="auto"/>
              <w:ind w:firstLine="0" w:firstLineChars="0"/>
              <w:jc w:val="center"/>
              <w:rPr>
                <w:sz w:val="24"/>
                <w:szCs w:val="24"/>
              </w:rPr>
            </w:pPr>
            <w:r>
              <w:rPr>
                <w:rFonts w:hint="eastAsia"/>
                <w:sz w:val="24"/>
                <w:szCs w:val="24"/>
              </w:rPr>
              <w:t>单位服务量水泵电耗</w:t>
            </w:r>
          </w:p>
        </w:tc>
        <w:tc>
          <w:tcPr>
            <w:tcW w:w="923" w:type="pct"/>
            <w:gridSpan w:val="2"/>
            <w:tcBorders>
              <w:top w:val="single" w:color="auto" w:sz="8" w:space="0"/>
            </w:tcBorders>
            <w:vAlign w:val="center"/>
          </w:tcPr>
          <w:p>
            <w:pPr>
              <w:spacing w:line="360" w:lineRule="auto"/>
              <w:ind w:firstLine="420" w:firstLineChars="200"/>
              <w:jc w:val="center"/>
              <w:rPr>
                <w:sz w:val="24"/>
                <w:szCs w:val="24"/>
              </w:rPr>
            </w:pPr>
            <w:r>
              <w:rPr>
                <w:position w:val="-6"/>
                <w:sz w:val="21"/>
                <w:szCs w:val="24"/>
              </w:rPr>
              <w:object>
                <v:shape id="_x0000_i1091"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91" DrawAspect="Content" ObjectID="_1468075791" r:id="rId112">
                  <o:LockedField>false</o:LockedField>
                </o:OLEObject>
              </w:object>
            </w:r>
          </w:p>
        </w:tc>
        <w:tc>
          <w:tcPr>
            <w:tcW w:w="1670" w:type="pct"/>
            <w:gridSpan w:val="2"/>
            <w:tcBorders>
              <w:top w:val="single" w:color="auto" w:sz="8" w:space="0"/>
            </w:tcBorders>
            <w:vAlign w:val="center"/>
          </w:tcPr>
          <w:p>
            <w:pPr>
              <w:spacing w:line="360" w:lineRule="auto"/>
              <w:ind w:firstLine="480" w:firstLineChars="20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40" w:type="pct"/>
            <w:gridSpan w:val="2"/>
            <w:tcBorders>
              <w:top w:val="single" w:color="auto" w:sz="8" w:space="0"/>
            </w:tcBorders>
            <w:vAlign w:val="center"/>
          </w:tcPr>
          <w:p>
            <w:pPr>
              <w:spacing w:line="360" w:lineRule="auto"/>
              <w:ind w:firstLine="420" w:firstLineChars="200"/>
              <w:rPr>
                <w:sz w:val="24"/>
                <w:szCs w:val="24"/>
              </w:rPr>
            </w:pPr>
            <w:r>
              <w:rPr>
                <w:position w:val="-6"/>
                <w:sz w:val="21"/>
                <w:szCs w:val="24"/>
              </w:rPr>
              <w:object>
                <v:shape id="_x0000_i1092"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92" DrawAspect="Content" ObjectID="_1468075792" r:id="rId113">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28" w:type="pct"/>
            <w:gridSpan w:val="2"/>
            <w:tcBorders>
              <w:top w:val="single" w:color="auto" w:sz="8" w:space="0"/>
              <w:bottom w:val="single" w:color="auto" w:sz="8" w:space="0"/>
            </w:tcBorders>
            <w:vAlign w:val="center"/>
          </w:tcPr>
          <w:p>
            <w:pPr>
              <w:spacing w:line="360" w:lineRule="auto"/>
              <w:ind w:firstLine="0" w:firstLineChars="0"/>
              <w:jc w:val="center"/>
              <w:rPr>
                <w:i/>
                <w:iCs/>
                <w:sz w:val="24"/>
                <w:szCs w:val="24"/>
              </w:rPr>
            </w:pPr>
            <w:r>
              <w:rPr>
                <w:rFonts w:hint="eastAsia"/>
                <w:sz w:val="24"/>
                <w:szCs w:val="24"/>
              </w:rPr>
              <w:t>冷冻侧输配系数</w:t>
            </w:r>
          </w:p>
        </w:tc>
        <w:tc>
          <w:tcPr>
            <w:tcW w:w="904" w:type="pct"/>
            <w:gridSpan w:val="2"/>
            <w:tcBorders>
              <w:top w:val="single" w:color="auto" w:sz="8" w:space="0"/>
              <w:bottom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93"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93" DrawAspect="Content" ObjectID="_1468075793" r:id="rId114">
                  <o:LockedField>false</o:LockedField>
                </o:OLEObject>
              </w:object>
            </w:r>
          </w:p>
        </w:tc>
        <w:tc>
          <w:tcPr>
            <w:tcW w:w="1649" w:type="pct"/>
            <w:gridSpan w:val="2"/>
            <w:tcBorders>
              <w:top w:val="single" w:color="auto" w:sz="8" w:space="0"/>
              <w:bottom w:val="single" w:color="auto" w:sz="8" w:space="0"/>
            </w:tcBorders>
            <w:vAlign w:val="center"/>
          </w:tcPr>
          <w:p>
            <w:pPr>
              <w:spacing w:line="360" w:lineRule="auto"/>
              <w:ind w:firstLine="0" w:firstLineChars="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19" w:type="pct"/>
            <w:tcBorders>
              <w:top w:val="single" w:color="auto" w:sz="8" w:space="0"/>
              <w:bottom w:val="single" w:color="auto" w:sz="8" w:space="0"/>
            </w:tcBorders>
            <w:vAlign w:val="center"/>
          </w:tcPr>
          <w:p>
            <w:pPr>
              <w:spacing w:line="360" w:lineRule="auto"/>
              <w:ind w:firstLine="0" w:firstLineChars="0"/>
              <w:rPr>
                <w:sz w:val="24"/>
                <w:szCs w:val="24"/>
              </w:rPr>
            </w:pPr>
            <w:r>
              <w:rPr>
                <w:sz w:val="24"/>
                <w:szCs w:val="24"/>
              </w:rPr>
              <w:t xml:space="preserve">   </w:t>
            </w:r>
            <w:r>
              <w:rPr>
                <w:position w:val="-6"/>
                <w:sz w:val="21"/>
                <w:szCs w:val="24"/>
              </w:rPr>
              <w:object>
                <v:shape id="_x0000_i1094"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94" DrawAspect="Content" ObjectID="_1468075794" r:id="rId115">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28" w:type="pct"/>
            <w:gridSpan w:val="2"/>
            <w:tcBorders>
              <w:top w:val="single" w:color="auto" w:sz="8" w:space="0"/>
              <w:bottom w:val="single" w:color="auto" w:sz="8" w:space="0"/>
            </w:tcBorders>
            <w:vAlign w:val="center"/>
          </w:tcPr>
          <w:p>
            <w:pPr>
              <w:spacing w:line="360" w:lineRule="auto"/>
              <w:ind w:firstLine="0" w:firstLineChars="0"/>
              <w:jc w:val="center"/>
              <w:rPr>
                <w:i/>
                <w:iCs/>
                <w:sz w:val="24"/>
                <w:szCs w:val="24"/>
              </w:rPr>
            </w:pPr>
            <w:r>
              <w:rPr>
                <w:rFonts w:hint="eastAsia"/>
                <w:sz w:val="24"/>
                <w:szCs w:val="24"/>
              </w:rPr>
              <w:t>冷却侧排热输配系数</w:t>
            </w:r>
          </w:p>
        </w:tc>
        <w:tc>
          <w:tcPr>
            <w:tcW w:w="904" w:type="pct"/>
            <w:gridSpan w:val="2"/>
            <w:tcBorders>
              <w:top w:val="single" w:color="auto" w:sz="8" w:space="0"/>
              <w:bottom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95"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95" DrawAspect="Content" ObjectID="_1468075795" r:id="rId116">
                  <o:LockedField>false</o:LockedField>
                </o:OLEObject>
              </w:object>
            </w:r>
          </w:p>
        </w:tc>
        <w:tc>
          <w:tcPr>
            <w:tcW w:w="1649" w:type="pct"/>
            <w:gridSpan w:val="2"/>
            <w:tcBorders>
              <w:top w:val="single" w:color="auto" w:sz="8" w:space="0"/>
              <w:bottom w:val="single" w:color="auto" w:sz="8" w:space="0"/>
            </w:tcBorders>
            <w:vAlign w:val="center"/>
          </w:tcPr>
          <w:p>
            <w:pPr>
              <w:spacing w:line="360" w:lineRule="auto"/>
              <w:ind w:firstLine="480" w:firstLineChars="20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19" w:type="pct"/>
            <w:tcBorders>
              <w:top w:val="single" w:color="auto" w:sz="8" w:space="0"/>
              <w:bottom w:val="single" w:color="auto" w:sz="8" w:space="0"/>
            </w:tcBorders>
            <w:vAlign w:val="center"/>
          </w:tcPr>
          <w:p>
            <w:pPr>
              <w:spacing w:line="360" w:lineRule="auto"/>
              <w:ind w:firstLine="420" w:firstLineChars="200"/>
              <w:rPr>
                <w:sz w:val="24"/>
                <w:szCs w:val="24"/>
              </w:rPr>
            </w:pPr>
            <w:r>
              <w:rPr>
                <w:position w:val="-6"/>
                <w:sz w:val="21"/>
                <w:szCs w:val="24"/>
              </w:rPr>
              <w:object>
                <v:shape id="_x0000_i1096"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96" DrawAspect="Content" ObjectID="_1468075796" r:id="rId117">
                  <o:LockedField>false</o:LockedField>
                </o:OLEObject>
              </w:objec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28" w:type="pct"/>
            <w:gridSpan w:val="2"/>
            <w:tcBorders>
              <w:top w:val="single" w:color="auto" w:sz="8" w:space="0"/>
              <w:bottom w:val="single" w:color="auto" w:sz="8" w:space="0"/>
            </w:tcBorders>
            <w:vAlign w:val="center"/>
          </w:tcPr>
          <w:p>
            <w:pPr>
              <w:spacing w:line="360" w:lineRule="auto"/>
              <w:ind w:firstLine="0" w:firstLineChars="0"/>
              <w:jc w:val="center"/>
              <w:rPr>
                <w:i/>
                <w:iCs/>
                <w:sz w:val="24"/>
                <w:szCs w:val="24"/>
              </w:rPr>
            </w:pPr>
            <w:r>
              <w:rPr>
                <w:rFonts w:hint="eastAsia"/>
                <w:sz w:val="24"/>
                <w:szCs w:val="24"/>
              </w:rPr>
              <w:t>末端设备供冷（热）输配系数</w:t>
            </w:r>
          </w:p>
        </w:tc>
        <w:tc>
          <w:tcPr>
            <w:tcW w:w="904" w:type="pct"/>
            <w:gridSpan w:val="2"/>
            <w:tcBorders>
              <w:top w:val="single" w:color="auto" w:sz="8" w:space="0"/>
              <w:bottom w:val="single" w:color="auto" w:sz="8" w:space="0"/>
            </w:tcBorders>
            <w:vAlign w:val="center"/>
          </w:tcPr>
          <w:p>
            <w:pPr>
              <w:spacing w:line="360" w:lineRule="auto"/>
              <w:ind w:firstLine="0" w:firstLineChars="0"/>
              <w:jc w:val="center"/>
              <w:rPr>
                <w:sz w:val="24"/>
                <w:szCs w:val="24"/>
              </w:rPr>
            </w:pPr>
            <w:r>
              <w:rPr>
                <w:position w:val="-6"/>
                <w:sz w:val="21"/>
                <w:szCs w:val="24"/>
              </w:rPr>
              <w:object>
                <v:shape id="_x0000_i1097" o:spt="75" type="#_x0000_t75" style="height:14.25pt;width:43.5pt;" o:ole="t" filled="f" o:preferrelative="t" stroked="f" coordsize="21600,21600">
                  <v:path/>
                  <v:fill on="f" focussize="0,0"/>
                  <v:stroke on="f" joinstyle="miter"/>
                  <v:imagedata r:id="rId81" o:title=""/>
                  <o:lock v:ext="edit" aspectratio="t"/>
                  <w10:wrap type="none"/>
                  <w10:anchorlock/>
                </v:shape>
                <o:OLEObject Type="Embed" ProgID="Equation.DSMT4" ShapeID="_x0000_i1097" DrawAspect="Content" ObjectID="_1468075797" r:id="rId118">
                  <o:LockedField>false</o:LockedField>
                </o:OLEObject>
              </w:object>
            </w:r>
          </w:p>
        </w:tc>
        <w:tc>
          <w:tcPr>
            <w:tcW w:w="1649" w:type="pct"/>
            <w:gridSpan w:val="2"/>
            <w:tcBorders>
              <w:top w:val="single" w:color="auto" w:sz="8" w:space="0"/>
              <w:bottom w:val="single" w:color="auto" w:sz="8" w:space="0"/>
            </w:tcBorders>
            <w:vAlign w:val="center"/>
          </w:tcPr>
          <w:p>
            <w:pPr>
              <w:spacing w:line="360" w:lineRule="auto"/>
              <w:ind w:firstLine="480" w:firstLineChars="200"/>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r>
                  <w:rPr>
                    <w:rFonts w:hint="eastAsia"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ctrlPr>
                      <w:rPr>
                        <w:rFonts w:ascii="Cambria Math" w:hAnsi="Cambria Math"/>
                        <w:i/>
                        <w:sz w:val="24"/>
                        <w:szCs w:val="24"/>
                      </w:rPr>
                    </m:ctrlPr>
                  </m:e>
                </m:acc>
                <m:r>
                  <w:rPr>
                    <w:rFonts w:ascii="Cambria Math" w:hAnsi="Cambria Math"/>
                    <w:sz w:val="24"/>
                    <w:szCs w:val="24"/>
                  </w:rPr>
                  <m:t>+σ</m:t>
                </m:r>
              </m:oMath>
            </m:oMathPara>
          </w:p>
        </w:tc>
        <w:tc>
          <w:tcPr>
            <w:tcW w:w="1019" w:type="pct"/>
            <w:tcBorders>
              <w:top w:val="single" w:color="auto" w:sz="8" w:space="0"/>
              <w:bottom w:val="single" w:color="auto" w:sz="8" w:space="0"/>
            </w:tcBorders>
            <w:vAlign w:val="center"/>
          </w:tcPr>
          <w:p>
            <w:pPr>
              <w:spacing w:line="360" w:lineRule="auto"/>
              <w:ind w:firstLine="420" w:firstLineChars="200"/>
              <w:rPr>
                <w:sz w:val="24"/>
                <w:szCs w:val="24"/>
              </w:rPr>
            </w:pPr>
            <w:r>
              <w:rPr>
                <w:position w:val="-6"/>
                <w:sz w:val="21"/>
                <w:szCs w:val="24"/>
              </w:rPr>
              <w:object>
                <v:shape id="_x0000_i1098" o:spt="75" type="#_x0000_t75" style="height:14.25pt;width:43.5pt;" o:ole="t" filled="f" o:preferrelative="t" stroked="f" coordsize="21600,21600">
                  <v:path/>
                  <v:fill on="f" focussize="0,0"/>
                  <v:stroke on="f" joinstyle="miter"/>
                  <v:imagedata r:id="rId77" o:title=""/>
                  <o:lock v:ext="edit" aspectratio="t"/>
                  <w10:wrap type="none"/>
                  <w10:anchorlock/>
                </v:shape>
                <o:OLEObject Type="Embed" ProgID="Equation.DSMT4" ShapeID="_x0000_i1098" DrawAspect="Content" ObjectID="_1468075798" r:id="rId119">
                  <o:LockedField>false</o:LockedField>
                </o:OLEObject>
              </w:object>
            </w:r>
          </w:p>
        </w:tc>
      </w:tr>
    </w:tbl>
    <w:p>
      <w:pPr>
        <w:spacing w:line="360" w:lineRule="auto"/>
        <w:rPr>
          <w:sz w:val="24"/>
          <w:szCs w:val="24"/>
        </w:rPr>
      </w:pPr>
    </w:p>
    <w:p>
      <w:pPr>
        <w:spacing w:line="360" w:lineRule="auto"/>
        <w:rPr>
          <w:sz w:val="24"/>
          <w:szCs w:val="24"/>
        </w:rPr>
      </w:pPr>
      <w:r>
        <w:rPr>
          <w:rFonts w:hint="eastAsia" w:eastAsia="楷体"/>
          <w:b/>
          <w:bCs/>
          <w:sz w:val="24"/>
          <w:szCs w:val="24"/>
        </w:rPr>
        <w:t>【条文说明】</w:t>
      </w:r>
      <w:r>
        <w:rPr>
          <w:rFonts w:hint="eastAsia" w:eastAsia="楷体"/>
          <w:sz w:val="24"/>
          <w:szCs w:val="24"/>
        </w:rPr>
        <w:t>附录D设备能耗比对评价方法示例</w:t>
      </w:r>
    </w:p>
    <w:p>
      <w:pPr>
        <w:spacing w:line="360" w:lineRule="auto"/>
        <w:ind w:firstLine="480" w:firstLineChars="200"/>
        <w:rPr>
          <w:rFonts w:eastAsia="楷体"/>
          <w:sz w:val="24"/>
          <w:szCs w:val="24"/>
        </w:rPr>
      </w:pPr>
      <w:r>
        <w:rPr>
          <w:rFonts w:hint="eastAsia" w:eastAsia="楷体"/>
          <w:sz w:val="24"/>
          <w:szCs w:val="24"/>
        </w:rPr>
        <w:t>本方法示例从设备分类开始，前期还需进行数据调研与校核工作。</w:t>
      </w:r>
    </w:p>
    <w:p>
      <w:pPr>
        <w:spacing w:line="360" w:lineRule="auto"/>
        <w:rPr>
          <w:sz w:val="24"/>
          <w:szCs w:val="24"/>
        </w:rPr>
        <w:sectPr>
          <w:pgSz w:w="11906" w:h="16838"/>
          <w:pgMar w:top="1440" w:right="1800" w:bottom="1440" w:left="1800" w:header="851" w:footer="992" w:gutter="0"/>
          <w:cols w:space="425" w:num="1"/>
          <w:docGrid w:type="lines" w:linePitch="312" w:charSpace="0"/>
        </w:sectPr>
      </w:pPr>
    </w:p>
    <w:p>
      <w:pPr>
        <w:pStyle w:val="2"/>
        <w:spacing w:before="0" w:after="0" w:line="360" w:lineRule="auto"/>
        <w:jc w:val="center"/>
        <w:rPr>
          <w:color w:val="FF0000"/>
          <w:sz w:val="24"/>
          <w:szCs w:val="24"/>
        </w:rPr>
      </w:pPr>
      <w:bookmarkStart w:id="27" w:name="_Toc28354609"/>
      <w:r>
        <w:rPr>
          <w:rFonts w:hint="eastAsia"/>
          <w:sz w:val="24"/>
          <w:szCs w:val="24"/>
        </w:rPr>
        <w:t>本标准用词说明</w:t>
      </w:r>
      <w:bookmarkEnd w:id="27"/>
    </w:p>
    <w:p>
      <w:pPr>
        <w:tabs>
          <w:tab w:val="left" w:pos="19"/>
        </w:tabs>
        <w:spacing w:line="400" w:lineRule="exact"/>
        <w:rPr>
          <w:b/>
          <w:bCs/>
        </w:rPr>
      </w:pPr>
    </w:p>
    <w:p>
      <w:pPr>
        <w:tabs>
          <w:tab w:val="left" w:pos="19"/>
        </w:tabs>
        <w:spacing w:line="360" w:lineRule="auto"/>
        <w:rPr>
          <w:sz w:val="24"/>
        </w:rPr>
      </w:pPr>
      <w:r>
        <w:rPr>
          <w:b/>
          <w:bCs/>
          <w:sz w:val="24"/>
        </w:rPr>
        <w:t xml:space="preserve">1 </w:t>
      </w:r>
      <w:r>
        <w:rPr>
          <w:sz w:val="24"/>
        </w:rPr>
        <w:t xml:space="preserve"> 为便于在执行本标准条文时区别对待，对要求严格程度不同的用词说明如下：</w:t>
      </w:r>
    </w:p>
    <w:p>
      <w:pPr>
        <w:tabs>
          <w:tab w:val="left" w:pos="19"/>
        </w:tabs>
        <w:spacing w:line="360" w:lineRule="auto"/>
        <w:ind w:firstLine="240" w:firstLineChars="100"/>
        <w:rPr>
          <w:sz w:val="24"/>
        </w:rPr>
      </w:pPr>
      <w:r>
        <w:rPr>
          <w:sz w:val="24"/>
        </w:rPr>
        <w:t>（1）表示很严格，非这样做不可的：</w:t>
      </w:r>
    </w:p>
    <w:p>
      <w:pPr>
        <w:tabs>
          <w:tab w:val="left" w:pos="19"/>
        </w:tabs>
        <w:spacing w:line="360" w:lineRule="auto"/>
        <w:rPr>
          <w:sz w:val="24"/>
        </w:rPr>
      </w:pPr>
      <w:r>
        <w:rPr>
          <w:sz w:val="24"/>
        </w:rPr>
        <w:t xml:space="preserve">     正面词采用“必须</w:t>
      </w:r>
      <w:r>
        <w:rPr>
          <w:spacing w:val="120"/>
          <w:sz w:val="24"/>
        </w:rPr>
        <w:t>”</w:t>
      </w:r>
      <w:r>
        <w:rPr>
          <w:sz w:val="24"/>
        </w:rPr>
        <w:t>，反面词采用“严禁</w:t>
      </w:r>
      <w:r>
        <w:rPr>
          <w:spacing w:val="120"/>
          <w:sz w:val="24"/>
        </w:rPr>
        <w:t>”；</w:t>
      </w:r>
    </w:p>
    <w:p>
      <w:pPr>
        <w:tabs>
          <w:tab w:val="left" w:pos="19"/>
        </w:tabs>
        <w:spacing w:line="360" w:lineRule="auto"/>
        <w:ind w:firstLine="240" w:firstLineChars="100"/>
        <w:rPr>
          <w:sz w:val="24"/>
        </w:rPr>
      </w:pPr>
      <w:r>
        <w:rPr>
          <w:sz w:val="24"/>
        </w:rPr>
        <w:t>（2）表示严格，在正常情况下均应这样做的：</w:t>
      </w:r>
    </w:p>
    <w:p>
      <w:pPr>
        <w:tabs>
          <w:tab w:val="left" w:pos="19"/>
        </w:tabs>
        <w:spacing w:line="360" w:lineRule="auto"/>
        <w:rPr>
          <w:sz w:val="24"/>
        </w:rPr>
      </w:pPr>
      <w:r>
        <w:rPr>
          <w:sz w:val="24"/>
        </w:rPr>
        <w:t xml:space="preserve">     正面词采用“应</w:t>
      </w:r>
      <w:r>
        <w:rPr>
          <w:spacing w:val="120"/>
          <w:sz w:val="24"/>
        </w:rPr>
        <w:t>”</w:t>
      </w:r>
      <w:r>
        <w:rPr>
          <w:sz w:val="24"/>
        </w:rPr>
        <w:t>，反面词采用“不应”或“不得</w:t>
      </w:r>
      <w:r>
        <w:rPr>
          <w:spacing w:val="120"/>
          <w:sz w:val="24"/>
        </w:rPr>
        <w:t>”；</w:t>
      </w:r>
    </w:p>
    <w:p>
      <w:pPr>
        <w:tabs>
          <w:tab w:val="left" w:pos="19"/>
        </w:tabs>
        <w:spacing w:line="360" w:lineRule="auto"/>
        <w:ind w:firstLine="240" w:firstLineChars="100"/>
        <w:rPr>
          <w:sz w:val="24"/>
        </w:rPr>
      </w:pPr>
      <w:r>
        <w:rPr>
          <w:sz w:val="24"/>
        </w:rPr>
        <w:t>（3）表示允许稍有选择，在条件许可时首先这样做的：</w:t>
      </w:r>
    </w:p>
    <w:p>
      <w:pPr>
        <w:tabs>
          <w:tab w:val="left" w:pos="19"/>
        </w:tabs>
        <w:spacing w:line="360" w:lineRule="auto"/>
        <w:ind w:firstLine="600"/>
        <w:rPr>
          <w:spacing w:val="120"/>
          <w:sz w:val="24"/>
        </w:rPr>
      </w:pPr>
      <w:r>
        <w:rPr>
          <w:sz w:val="24"/>
        </w:rPr>
        <w:t>正面词采用“宜</w:t>
      </w:r>
      <w:r>
        <w:rPr>
          <w:spacing w:val="120"/>
          <w:sz w:val="24"/>
        </w:rPr>
        <w:t>”</w:t>
      </w:r>
      <w:r>
        <w:rPr>
          <w:sz w:val="24"/>
        </w:rPr>
        <w:t>，反面词采用“不宜</w:t>
      </w:r>
      <w:r>
        <w:rPr>
          <w:spacing w:val="120"/>
          <w:sz w:val="24"/>
        </w:rPr>
        <w:t>”；</w:t>
      </w:r>
    </w:p>
    <w:p>
      <w:pPr>
        <w:tabs>
          <w:tab w:val="left" w:pos="19"/>
        </w:tabs>
        <w:spacing w:line="360" w:lineRule="auto"/>
        <w:ind w:firstLine="240" w:firstLineChars="100"/>
        <w:rPr>
          <w:spacing w:val="120"/>
          <w:sz w:val="24"/>
        </w:rPr>
      </w:pPr>
      <w:r>
        <w:rPr>
          <w:sz w:val="24"/>
        </w:rPr>
        <w:t>（4）表示有选择，在一定条件下可以这样做的，可采用“可”。</w:t>
      </w:r>
    </w:p>
    <w:p>
      <w:pPr>
        <w:tabs>
          <w:tab w:val="left" w:pos="19"/>
        </w:tabs>
        <w:spacing w:line="360" w:lineRule="auto"/>
        <w:rPr>
          <w:sz w:val="24"/>
        </w:rPr>
      </w:pPr>
      <w:r>
        <w:rPr>
          <w:b/>
          <w:bCs/>
          <w:sz w:val="24"/>
        </w:rPr>
        <w:t>2</w:t>
      </w:r>
      <w:r>
        <w:rPr>
          <w:sz w:val="24"/>
        </w:rPr>
        <w:t xml:space="preserve">  条文中指明应按其他有关标准执行的写法为：“应符合……的规定”或“应按……执行”</w:t>
      </w:r>
      <w:r>
        <w:rPr>
          <w:rFonts w:hint="eastAsia"/>
          <w:sz w:val="24"/>
        </w:rPr>
        <w:t>。</w:t>
      </w:r>
    </w:p>
    <w:p>
      <w:pPr>
        <w:tabs>
          <w:tab w:val="left" w:pos="19"/>
        </w:tabs>
        <w:spacing w:line="360" w:lineRule="auto"/>
        <w:rPr>
          <w:sz w:val="24"/>
        </w:rPr>
      </w:pPr>
    </w:p>
    <w:p>
      <w:pPr>
        <w:spacing w:line="360" w:lineRule="auto"/>
        <w:rPr>
          <w:sz w:val="24"/>
          <w:szCs w:val="24"/>
        </w:rPr>
      </w:pPr>
    </w:p>
    <w:p>
      <w:pPr>
        <w:tabs>
          <w:tab w:val="left" w:pos="5137"/>
        </w:tabs>
        <w:spacing w:line="360" w:lineRule="auto"/>
        <w:rPr>
          <w:sz w:val="24"/>
          <w:szCs w:val="24"/>
        </w:rPr>
        <w:sectPr>
          <w:pgSz w:w="11906" w:h="16838"/>
          <w:pgMar w:top="1440" w:right="1800" w:bottom="1440" w:left="1800" w:header="851" w:footer="992" w:gutter="0"/>
          <w:cols w:space="425" w:num="1"/>
          <w:docGrid w:type="lines" w:linePitch="312" w:charSpace="0"/>
        </w:sectPr>
      </w:pPr>
    </w:p>
    <w:p>
      <w:pPr>
        <w:pStyle w:val="2"/>
        <w:spacing w:before="0" w:after="156" w:afterLines="50" w:line="360" w:lineRule="auto"/>
        <w:jc w:val="center"/>
        <w:rPr>
          <w:sz w:val="24"/>
          <w:szCs w:val="24"/>
        </w:rPr>
      </w:pPr>
      <w:bookmarkStart w:id="28" w:name="_Toc28354610"/>
      <w:r>
        <w:rPr>
          <w:rFonts w:hint="eastAsia"/>
          <w:sz w:val="24"/>
          <w:szCs w:val="24"/>
        </w:rPr>
        <w:t>引用标准名录</w:t>
      </w:r>
      <w:bookmarkEnd w:id="28"/>
    </w:p>
    <w:p>
      <w:pPr>
        <w:pStyle w:val="20"/>
        <w:numPr>
          <w:ilvl w:val="0"/>
          <w:numId w:val="36"/>
        </w:numPr>
        <w:tabs>
          <w:tab w:val="left" w:pos="5137"/>
        </w:tabs>
        <w:spacing w:line="360" w:lineRule="auto"/>
        <w:ind w:firstLineChars="0"/>
        <w:rPr>
          <w:rFonts w:eastAsia="楷体"/>
          <w:sz w:val="24"/>
          <w:szCs w:val="24"/>
        </w:rPr>
      </w:pPr>
      <w:r>
        <w:rPr>
          <w:rFonts w:hint="eastAsia" w:eastAsia="楷体"/>
          <w:sz w:val="24"/>
          <w:szCs w:val="24"/>
        </w:rPr>
        <w:t>《民用建筑能耗标准》GB</w:t>
      </w:r>
      <w:r>
        <w:rPr>
          <w:rFonts w:eastAsia="楷体"/>
          <w:sz w:val="24"/>
          <w:szCs w:val="24"/>
        </w:rPr>
        <w:t>/T</w:t>
      </w:r>
      <w:r>
        <w:rPr>
          <w:rFonts w:hint="eastAsia" w:eastAsia="楷体"/>
          <w:sz w:val="24"/>
          <w:szCs w:val="24"/>
        </w:rPr>
        <w:t xml:space="preserve"> 5</w:t>
      </w:r>
      <w:r>
        <w:rPr>
          <w:rFonts w:eastAsia="楷体"/>
          <w:sz w:val="24"/>
          <w:szCs w:val="24"/>
        </w:rPr>
        <w:t>1161</w:t>
      </w:r>
    </w:p>
    <w:p>
      <w:pPr>
        <w:pStyle w:val="20"/>
        <w:numPr>
          <w:ilvl w:val="0"/>
          <w:numId w:val="36"/>
        </w:numPr>
        <w:tabs>
          <w:tab w:val="left" w:pos="5137"/>
        </w:tabs>
        <w:spacing w:line="360" w:lineRule="auto"/>
        <w:ind w:firstLineChars="0"/>
        <w:rPr>
          <w:rFonts w:eastAsia="楷体"/>
          <w:sz w:val="24"/>
          <w:szCs w:val="24"/>
        </w:rPr>
      </w:pPr>
      <w:r>
        <w:rPr>
          <w:rFonts w:hint="eastAsia" w:eastAsia="楷体"/>
          <w:sz w:val="24"/>
          <w:szCs w:val="24"/>
        </w:rPr>
        <w:t>《综合能耗计算通则》</w:t>
      </w:r>
      <w:r>
        <w:rPr>
          <w:rFonts w:eastAsia="楷体"/>
          <w:sz w:val="24"/>
          <w:szCs w:val="24"/>
        </w:rPr>
        <w:t>GB/T 2589</w:t>
      </w:r>
    </w:p>
    <w:p>
      <w:pPr>
        <w:pStyle w:val="20"/>
        <w:numPr>
          <w:ilvl w:val="0"/>
          <w:numId w:val="36"/>
        </w:numPr>
        <w:tabs>
          <w:tab w:val="left" w:pos="5137"/>
        </w:tabs>
        <w:spacing w:line="360" w:lineRule="auto"/>
        <w:ind w:firstLineChars="0"/>
        <w:rPr>
          <w:rFonts w:eastAsia="楷体"/>
          <w:sz w:val="24"/>
          <w:szCs w:val="24"/>
        </w:rPr>
      </w:pPr>
      <w:r>
        <w:rPr>
          <w:rFonts w:hint="eastAsia" w:eastAsia="楷体"/>
          <w:sz w:val="24"/>
          <w:szCs w:val="24"/>
        </w:rPr>
        <w:t>《建筑能效标识技术标准》J</w:t>
      </w:r>
      <w:r>
        <w:rPr>
          <w:rFonts w:eastAsia="楷体"/>
          <w:sz w:val="24"/>
          <w:szCs w:val="24"/>
        </w:rPr>
        <w:t xml:space="preserve">GJ </w:t>
      </w:r>
      <w:r>
        <w:rPr>
          <w:rFonts w:hint="eastAsia" w:eastAsia="楷体"/>
          <w:sz w:val="24"/>
          <w:szCs w:val="24"/>
        </w:rPr>
        <w:t>/T</w:t>
      </w:r>
      <w:r>
        <w:rPr>
          <w:rFonts w:eastAsia="楷体"/>
          <w:sz w:val="24"/>
          <w:szCs w:val="24"/>
        </w:rPr>
        <w:t>288</w:t>
      </w:r>
    </w:p>
    <w:p>
      <w:pPr>
        <w:tabs>
          <w:tab w:val="left" w:pos="5137"/>
        </w:tabs>
        <w:spacing w:line="360" w:lineRule="auto"/>
        <w:rPr>
          <w:sz w:val="24"/>
          <w:szCs w:val="24"/>
        </w:rPr>
      </w:pPr>
      <w:r>
        <w:rPr>
          <w:sz w:val="24"/>
          <w:szCs w:val="24"/>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A00002EF" w:usb1="420020E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等线 Light">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780850"/>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243"/>
      <w:docPartObj>
        <w:docPartGallery w:val="AutoText"/>
      </w:docPartObj>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6"/>
        <w:numId w:val="1"/>
      </w:numPr>
      <w:pBdr>
        <w:bottom w:val="none" w:color="auto" w:sz="0" w:space="0"/>
      </w:pBdr>
      <w:spacing w:line="300" w:lineRule="auto"/>
      <w:ind w:firstLine="360" w:firstLineChars="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6"/>
        <w:numId w:val="1"/>
      </w:numPr>
      <w:spacing w:line="300" w:lineRule="auto"/>
      <w:ind w:firstLine="36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156"/>
    <w:multiLevelType w:val="multilevel"/>
    <w:tmpl w:val="03144156"/>
    <w:lvl w:ilvl="0" w:tentative="0">
      <w:start w:val="1"/>
      <w:numFmt w:val="decimal"/>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6B8643F"/>
    <w:multiLevelType w:val="multilevel"/>
    <w:tmpl w:val="06B8643F"/>
    <w:lvl w:ilvl="0" w:tentative="0">
      <w:start w:val="3"/>
      <w:numFmt w:val="decimal"/>
      <w:lvlText w:val="%1"/>
      <w:lvlJc w:val="left"/>
      <w:pPr>
        <w:ind w:left="360" w:hanging="360"/>
      </w:pPr>
      <w:rPr>
        <w:rFonts w:hint="default"/>
      </w:rPr>
    </w:lvl>
    <w:lvl w:ilvl="1" w:tentative="0">
      <w:start w:val="1"/>
      <w:numFmt w:val="decimal"/>
      <w:lvlText w:val="%2 "/>
      <w:lvlJc w:val="left"/>
      <w:pPr>
        <w:ind w:left="840" w:hanging="36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2">
    <w:nsid w:val="10E004E1"/>
    <w:multiLevelType w:val="multilevel"/>
    <w:tmpl w:val="10E004E1"/>
    <w:lvl w:ilvl="0" w:tentative="0">
      <w:start w:val="1"/>
      <w:numFmt w:val="decimal"/>
      <w:lvlText w:val="%1 "/>
      <w:lvlJc w:val="left"/>
      <w:pPr>
        <w:ind w:left="840" w:hanging="420"/>
      </w:pPr>
      <w:rPr>
        <w:rFonts w:hint="eastAsia"/>
      </w:r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336407A"/>
    <w:multiLevelType w:val="multilevel"/>
    <w:tmpl w:val="1336407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E62EBE"/>
    <w:multiLevelType w:val="multilevel"/>
    <w:tmpl w:val="16E62EBE"/>
    <w:lvl w:ilvl="0" w:tentative="0">
      <w:start w:val="1"/>
      <w:numFmt w:val="decimal"/>
      <w:lvlText w:val="A.0.%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6369C7"/>
    <w:multiLevelType w:val="multilevel"/>
    <w:tmpl w:val="176369C7"/>
    <w:lvl w:ilvl="0" w:tentative="0">
      <w:start w:val="1"/>
      <w:numFmt w:val="none"/>
      <w:suff w:val="nothing"/>
      <w:lvlText w:val="%1"/>
      <w:lvlJc w:val="left"/>
      <w:rPr>
        <w:rFonts w:hint="default" w:ascii="Times New Roman" w:hAnsi="Times New Roman" w:cs="Times New Roman"/>
        <w:b/>
        <w:i w:val="0"/>
        <w:sz w:val="21"/>
        <w:szCs w:val="21"/>
      </w:rPr>
    </w:lvl>
    <w:lvl w:ilvl="1" w:tentative="0">
      <w:start w:val="3"/>
      <w:numFmt w:val="decimal"/>
      <w:suff w:val="nothing"/>
      <w:lvlText w:val="%1%2　"/>
      <w:lvlJc w:val="center"/>
      <w:pPr>
        <w:ind w:firstLine="288"/>
      </w:pPr>
      <w:rPr>
        <w:rFonts w:hint="eastAsia" w:ascii="黑体" w:hAnsi="Times New Roman" w:eastAsia="黑体"/>
        <w:b w:val="0"/>
        <w:i w:val="0"/>
        <w:sz w:val="21"/>
        <w:szCs w:val="21"/>
      </w:rPr>
    </w:lvl>
    <w:lvl w:ilvl="2" w:tentative="0">
      <w:start w:val="1"/>
      <w:numFmt w:val="decimal"/>
      <w:isLgl/>
      <w:suff w:val="nothing"/>
      <w:lvlText w:val="%1%2.%3　"/>
      <w:lvlJc w:val="center"/>
      <w:pPr>
        <w:ind w:left="57"/>
      </w:pPr>
      <w:rPr>
        <w:rFonts w:hint="eastAsia" w:ascii="黑体" w:hAnsi="Times New Roman" w:eastAsia="黑体"/>
        <w:b w:val="0"/>
        <w:i w:val="0"/>
        <w:sz w:val="21"/>
        <w:szCs w:val="21"/>
      </w:rPr>
    </w:lvl>
    <w:lvl w:ilvl="3" w:tentative="0">
      <w:start w:val="1"/>
      <w:numFmt w:val="decimal"/>
      <w:isLgl/>
      <w:suff w:val="nothing"/>
      <w:lvlText w:val="%1%2.%3.%4　"/>
      <w:lvlJc w:val="left"/>
      <w:rPr>
        <w:rFonts w:hint="eastAsia" w:ascii="黑体" w:hAnsi="Times New Roman" w:eastAsia="黑体"/>
        <w:b w:val="0"/>
        <w:i w:val="0"/>
        <w:sz w:val="21"/>
        <w:szCs w:val="21"/>
      </w:rPr>
    </w:lvl>
    <w:lvl w:ilvl="4" w:tentative="0">
      <w:start w:val="1"/>
      <w:numFmt w:val="decimal"/>
      <w:isLgl/>
      <w:suff w:val="nothing"/>
      <w:lvlText w:val="%1%2.%3.%4.%5　"/>
      <w:lvlJc w:val="left"/>
      <w:rPr>
        <w:rFonts w:hint="eastAsia" w:ascii="黑体" w:hAnsi="Times New Roman" w:eastAsia="黑体"/>
        <w:b w:val="0"/>
        <w:i w:val="0"/>
        <w:sz w:val="21"/>
        <w:szCs w:val="21"/>
      </w:rPr>
    </w:lvl>
    <w:lvl w:ilvl="5" w:tentative="0">
      <w:start w:val="1"/>
      <w:numFmt w:val="decimal"/>
      <w:suff w:val="nothing"/>
      <w:lvlText w:val="%1%2.%3.%4.%5.%6　"/>
      <w:lvlJc w:val="left"/>
      <w:rPr>
        <w:rFonts w:hint="eastAsia" w:ascii="黑体" w:hAnsi="Times New Roman" w:eastAsia="黑体"/>
        <w:b w:val="0"/>
        <w:i w:val="0"/>
        <w:sz w:val="21"/>
        <w:szCs w:val="21"/>
      </w:rPr>
    </w:lvl>
    <w:lvl w:ilvl="6" w:tentative="0">
      <w:start w:val="1"/>
      <w:numFmt w:val="decimal"/>
      <w:suff w:val="nothing"/>
      <w:lvlText w:val="%1%2.%3.%4.%5.%6.%7　"/>
      <w:lvlJc w:val="left"/>
      <w:rPr>
        <w:rFonts w:hint="eastAsia" w:ascii="黑体" w:hAnsi="Times New Roman" w:eastAsia="黑体"/>
        <w:b w:val="0"/>
        <w:i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1A8D43E4"/>
    <w:multiLevelType w:val="multilevel"/>
    <w:tmpl w:val="1A8D43E4"/>
    <w:lvl w:ilvl="0" w:tentative="0">
      <w:start w:val="1"/>
      <w:numFmt w:val="decimal"/>
      <w:lvlText w:val="%1 "/>
      <w:lvlJc w:val="left"/>
      <w:pPr>
        <w:ind w:left="420" w:hanging="420"/>
      </w:pPr>
      <w:rPr>
        <w:rFonts w:hint="eastAsia"/>
      </w:rPr>
    </w:lvl>
    <w:lvl w:ilvl="1" w:tentative="0">
      <w:start w:val="1"/>
      <w:numFmt w:val="decimal"/>
      <w:lvlText w:val="%2 "/>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ED37D5"/>
    <w:multiLevelType w:val="multilevel"/>
    <w:tmpl w:val="28ED37D5"/>
    <w:lvl w:ilvl="0" w:tentative="0">
      <w:start w:val="1"/>
      <w:numFmt w:val="decimal"/>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E6D4698"/>
    <w:multiLevelType w:val="multilevel"/>
    <w:tmpl w:val="2E6D4698"/>
    <w:lvl w:ilvl="0" w:tentative="0">
      <w:start w:val="1"/>
      <w:numFmt w:val="decimal"/>
      <w:lvlText w:val="%1 "/>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2FAE592E"/>
    <w:multiLevelType w:val="multilevel"/>
    <w:tmpl w:val="2FAE592E"/>
    <w:lvl w:ilvl="0" w:tentative="0">
      <w:start w:val="1"/>
      <w:numFmt w:val="decimal"/>
      <w:lvlText w:val="%1 "/>
      <w:lvlJc w:val="left"/>
      <w:pPr>
        <w:ind w:left="420" w:hanging="420"/>
      </w:pPr>
      <w:rPr>
        <w:rFonts w:hint="eastAsia"/>
      </w:rPr>
    </w:lvl>
    <w:lvl w:ilvl="1" w:tentative="0">
      <w:start w:val="1"/>
      <w:numFmt w:val="decimal"/>
      <w:lvlText w:val="%2 "/>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F46529"/>
    <w:multiLevelType w:val="multilevel"/>
    <w:tmpl w:val="36F46529"/>
    <w:lvl w:ilvl="0" w:tentative="0">
      <w:start w:val="1"/>
      <w:numFmt w:val="decimal"/>
      <w:lvlText w:val="%1 "/>
      <w:lvlJc w:val="left"/>
      <w:pPr>
        <w:ind w:left="780" w:hanging="420"/>
      </w:pPr>
      <w:rPr>
        <w:rFonts w:hint="eastAsia"/>
        <w:b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38B36CB5"/>
    <w:multiLevelType w:val="multilevel"/>
    <w:tmpl w:val="38B36CB5"/>
    <w:lvl w:ilvl="0" w:tentative="0">
      <w:start w:val="1"/>
      <w:numFmt w:val="decimal"/>
      <w:lvlText w:val="B.0.%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8C6363A"/>
    <w:multiLevelType w:val="multilevel"/>
    <w:tmpl w:val="38C6363A"/>
    <w:lvl w:ilvl="0" w:tentative="0">
      <w:start w:val="1"/>
      <w:numFmt w:val="decimal"/>
      <w:lvlText w:val="%1 "/>
      <w:lvlJc w:val="left"/>
      <w:pPr>
        <w:ind w:left="420" w:hanging="420"/>
      </w:pPr>
      <w:rPr>
        <w:rFonts w:hint="eastAsia"/>
      </w:rPr>
    </w:lvl>
    <w:lvl w:ilvl="1" w:tentative="0">
      <w:start w:val="1"/>
      <w:numFmt w:val="decimal"/>
      <w:lvlText w:val="%2 "/>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94667C9"/>
    <w:multiLevelType w:val="multilevel"/>
    <w:tmpl w:val="394667C9"/>
    <w:lvl w:ilvl="0" w:tentative="0">
      <w:start w:val="1"/>
      <w:numFmt w:val="decimal"/>
      <w:lvlText w:val="D.0.%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05A7DA4"/>
    <w:multiLevelType w:val="multilevel"/>
    <w:tmpl w:val="405A7DA4"/>
    <w:lvl w:ilvl="0" w:tentative="0">
      <w:start w:val="1"/>
      <w:numFmt w:val="decimal"/>
      <w:lvlText w:val="%1 "/>
      <w:lvlJc w:val="left"/>
      <w:pPr>
        <w:ind w:left="840" w:hanging="420"/>
      </w:pPr>
      <w:rPr>
        <w:rFonts w:hint="eastAsia"/>
      </w:r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24B73E4"/>
    <w:multiLevelType w:val="multilevel"/>
    <w:tmpl w:val="424B73E4"/>
    <w:lvl w:ilvl="0" w:tentative="0">
      <w:start w:val="1"/>
      <w:numFmt w:val="decimal"/>
      <w:lvlText w:val="%1 "/>
      <w:lvlJc w:val="left"/>
      <w:pPr>
        <w:ind w:left="420" w:hanging="420"/>
      </w:pPr>
      <w:rPr>
        <w:rFonts w:hint="eastAsia"/>
      </w:rPr>
    </w:lvl>
    <w:lvl w:ilvl="1" w:tentative="0">
      <w:start w:val="1"/>
      <w:numFmt w:val="decimal"/>
      <w:lvlText w:val="%2 "/>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39B495D"/>
    <w:multiLevelType w:val="multilevel"/>
    <w:tmpl w:val="439B495D"/>
    <w:lvl w:ilvl="0" w:tentative="0">
      <w:start w:val="1"/>
      <w:numFmt w:val="decimal"/>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45355777"/>
    <w:multiLevelType w:val="multilevel"/>
    <w:tmpl w:val="45355777"/>
    <w:lvl w:ilvl="0" w:tentative="0">
      <w:start w:val="1"/>
      <w:numFmt w:val="decimal"/>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8">
    <w:nsid w:val="47926F3C"/>
    <w:multiLevelType w:val="multilevel"/>
    <w:tmpl w:val="47926F3C"/>
    <w:lvl w:ilvl="0" w:tentative="0">
      <w:start w:val="1"/>
      <w:numFmt w:val="decimal"/>
      <w:lvlText w:val="%1 "/>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9">
    <w:nsid w:val="4B345B71"/>
    <w:multiLevelType w:val="multilevel"/>
    <w:tmpl w:val="4B345B71"/>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4C924FB1"/>
    <w:multiLevelType w:val="multilevel"/>
    <w:tmpl w:val="4C924FB1"/>
    <w:lvl w:ilvl="0" w:tentative="0">
      <w:start w:val="1"/>
      <w:numFmt w:val="decimal"/>
      <w:lvlText w:val="C.0.%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D30658B"/>
    <w:multiLevelType w:val="multilevel"/>
    <w:tmpl w:val="4D30658B"/>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4E1128EA"/>
    <w:multiLevelType w:val="multilevel"/>
    <w:tmpl w:val="4E1128EA"/>
    <w:lvl w:ilvl="0" w:tentative="0">
      <w:start w:val="1"/>
      <w:numFmt w:val="decimal"/>
      <w:lvlText w:val="%1 "/>
      <w:lvlJc w:val="left"/>
      <w:pPr>
        <w:ind w:left="780" w:hanging="420"/>
      </w:pPr>
      <w:rPr>
        <w:rFonts w:hint="eastAsia"/>
      </w:rPr>
    </w:lvl>
    <w:lvl w:ilvl="1" w:tentative="0">
      <w:start w:val="1"/>
      <w:numFmt w:val="decimal"/>
      <w:lvlText w:val="%2 "/>
      <w:lvlJc w:val="left"/>
      <w:pPr>
        <w:ind w:left="1200" w:hanging="420"/>
      </w:pPr>
      <w:rPr>
        <w:rFonts w:hint="eastAsia"/>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3">
    <w:nsid w:val="4FCC056C"/>
    <w:multiLevelType w:val="multilevel"/>
    <w:tmpl w:val="4FCC056C"/>
    <w:lvl w:ilvl="0" w:tentative="0">
      <w:start w:val="1"/>
      <w:numFmt w:val="decimal"/>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4">
    <w:nsid w:val="509C279D"/>
    <w:multiLevelType w:val="multilevel"/>
    <w:tmpl w:val="509C279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1DC19F9"/>
    <w:multiLevelType w:val="multilevel"/>
    <w:tmpl w:val="51DC19F9"/>
    <w:lvl w:ilvl="0" w:tentative="0">
      <w:start w:val="8"/>
      <w:numFmt w:val="decimal"/>
      <w:lvlText w:val="%1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3470A26"/>
    <w:multiLevelType w:val="multilevel"/>
    <w:tmpl w:val="53470A26"/>
    <w:lvl w:ilvl="0" w:tentative="0">
      <w:start w:val="1"/>
      <w:numFmt w:val="decimal"/>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3BD3436"/>
    <w:multiLevelType w:val="multilevel"/>
    <w:tmpl w:val="53BD3436"/>
    <w:lvl w:ilvl="0" w:tentative="0">
      <w:start w:val="1"/>
      <w:numFmt w:val="decimal"/>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7D83724"/>
    <w:multiLevelType w:val="multilevel"/>
    <w:tmpl w:val="57D83724"/>
    <w:lvl w:ilvl="0" w:tentative="0">
      <w:start w:val="1"/>
      <w:numFmt w:val="decimal"/>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9">
    <w:nsid w:val="5D8C1BBE"/>
    <w:multiLevelType w:val="multilevel"/>
    <w:tmpl w:val="5D8C1BBE"/>
    <w:lvl w:ilvl="0" w:tentative="0">
      <w:start w:val="1"/>
      <w:numFmt w:val="decimal"/>
      <w:lvlText w:val="%1 "/>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0">
    <w:nsid w:val="62AE7B09"/>
    <w:multiLevelType w:val="multilevel"/>
    <w:tmpl w:val="62AE7B09"/>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67B1455C"/>
    <w:multiLevelType w:val="multilevel"/>
    <w:tmpl w:val="67B1455C"/>
    <w:lvl w:ilvl="0" w:tentative="0">
      <w:start w:val="1"/>
      <w:numFmt w:val="decimal"/>
      <w:lvlText w:val="%1 "/>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2">
    <w:nsid w:val="6EB2681F"/>
    <w:multiLevelType w:val="multilevel"/>
    <w:tmpl w:val="6EB2681F"/>
    <w:lvl w:ilvl="0" w:tentative="0">
      <w:start w:val="1"/>
      <w:numFmt w:val="decimal"/>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3">
    <w:nsid w:val="704138C7"/>
    <w:multiLevelType w:val="multilevel"/>
    <w:tmpl w:val="704138C7"/>
    <w:lvl w:ilvl="0" w:tentative="0">
      <w:start w:val="1"/>
      <w:numFmt w:val="decimal"/>
      <w:lvlText w:val="%1 "/>
      <w:lvlJc w:val="left"/>
      <w:pPr>
        <w:ind w:left="1140" w:hanging="7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70CA3734"/>
    <w:multiLevelType w:val="multilevel"/>
    <w:tmpl w:val="70CA3734"/>
    <w:lvl w:ilvl="0" w:tentative="0">
      <w:start w:val="1"/>
      <w:numFmt w:val="decimal"/>
      <w:lvlText w:val="%1 "/>
      <w:lvlJc w:val="left"/>
      <w:pPr>
        <w:ind w:left="780" w:hanging="420"/>
      </w:pPr>
      <w:rPr>
        <w:rFonts w:hint="eastAsia"/>
        <w:b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5">
    <w:nsid w:val="7C744E79"/>
    <w:multiLevelType w:val="multilevel"/>
    <w:tmpl w:val="7C744E79"/>
    <w:lvl w:ilvl="0" w:tentative="0">
      <w:start w:val="1"/>
      <w:numFmt w:val="decimal"/>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0"/>
  </w:num>
  <w:num w:numId="3">
    <w:abstractNumId w:val="19"/>
  </w:num>
  <w:num w:numId="4">
    <w:abstractNumId w:val="2"/>
  </w:num>
  <w:num w:numId="5">
    <w:abstractNumId w:val="7"/>
  </w:num>
  <w:num w:numId="6">
    <w:abstractNumId w:val="28"/>
  </w:num>
  <w:num w:numId="7">
    <w:abstractNumId w:val="25"/>
  </w:num>
  <w:num w:numId="8">
    <w:abstractNumId w:val="15"/>
  </w:num>
  <w:num w:numId="9">
    <w:abstractNumId w:val="30"/>
  </w:num>
  <w:num w:numId="10">
    <w:abstractNumId w:val="27"/>
  </w:num>
  <w:num w:numId="11">
    <w:abstractNumId w:val="35"/>
  </w:num>
  <w:num w:numId="12">
    <w:abstractNumId w:val="17"/>
  </w:num>
  <w:num w:numId="13">
    <w:abstractNumId w:val="14"/>
  </w:num>
  <w:num w:numId="14">
    <w:abstractNumId w:val="21"/>
  </w:num>
  <w:num w:numId="15">
    <w:abstractNumId w:val="9"/>
  </w:num>
  <w:num w:numId="16">
    <w:abstractNumId w:val="1"/>
  </w:num>
  <w:num w:numId="17">
    <w:abstractNumId w:val="16"/>
  </w:num>
  <w:num w:numId="18">
    <w:abstractNumId w:val="23"/>
  </w:num>
  <w:num w:numId="19">
    <w:abstractNumId w:val="26"/>
  </w:num>
  <w:num w:numId="20">
    <w:abstractNumId w:val="6"/>
  </w:num>
  <w:num w:numId="21">
    <w:abstractNumId w:val="32"/>
  </w:num>
  <w:num w:numId="22">
    <w:abstractNumId w:val="4"/>
  </w:num>
  <w:num w:numId="23">
    <w:abstractNumId w:val="10"/>
  </w:num>
  <w:num w:numId="24">
    <w:abstractNumId w:val="8"/>
  </w:num>
  <w:num w:numId="25">
    <w:abstractNumId w:val="34"/>
  </w:num>
  <w:num w:numId="26">
    <w:abstractNumId w:val="11"/>
  </w:num>
  <w:num w:numId="27">
    <w:abstractNumId w:val="12"/>
  </w:num>
  <w:num w:numId="28">
    <w:abstractNumId w:val="33"/>
  </w:num>
  <w:num w:numId="29">
    <w:abstractNumId w:val="3"/>
  </w:num>
  <w:num w:numId="30">
    <w:abstractNumId w:val="20"/>
  </w:num>
  <w:num w:numId="31">
    <w:abstractNumId w:val="18"/>
  </w:num>
  <w:num w:numId="32">
    <w:abstractNumId w:val="29"/>
  </w:num>
  <w:num w:numId="33">
    <w:abstractNumId w:val="22"/>
  </w:num>
  <w:num w:numId="34">
    <w:abstractNumId w:val="13"/>
  </w:num>
  <w:num w:numId="35">
    <w:abstractNumId w:val="3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59"/>
    <w:rsid w:val="00004C84"/>
    <w:rsid w:val="000109D6"/>
    <w:rsid w:val="000149FA"/>
    <w:rsid w:val="0001633F"/>
    <w:rsid w:val="0002678F"/>
    <w:rsid w:val="000308CD"/>
    <w:rsid w:val="000330D2"/>
    <w:rsid w:val="00040706"/>
    <w:rsid w:val="00040EA2"/>
    <w:rsid w:val="0004370E"/>
    <w:rsid w:val="00045415"/>
    <w:rsid w:val="00054FFF"/>
    <w:rsid w:val="000558A3"/>
    <w:rsid w:val="00060148"/>
    <w:rsid w:val="00062EE5"/>
    <w:rsid w:val="00063C88"/>
    <w:rsid w:val="00063FC0"/>
    <w:rsid w:val="000662D4"/>
    <w:rsid w:val="00067213"/>
    <w:rsid w:val="000672B2"/>
    <w:rsid w:val="00070F24"/>
    <w:rsid w:val="00074E31"/>
    <w:rsid w:val="00093BE7"/>
    <w:rsid w:val="000A1D02"/>
    <w:rsid w:val="000A22E8"/>
    <w:rsid w:val="000A3B75"/>
    <w:rsid w:val="000A6C32"/>
    <w:rsid w:val="000B4AB8"/>
    <w:rsid w:val="000B6CDD"/>
    <w:rsid w:val="000B7FA2"/>
    <w:rsid w:val="000C3B11"/>
    <w:rsid w:val="000D01F2"/>
    <w:rsid w:val="000D4DEC"/>
    <w:rsid w:val="000D4F10"/>
    <w:rsid w:val="000D556F"/>
    <w:rsid w:val="000D55BB"/>
    <w:rsid w:val="000D5910"/>
    <w:rsid w:val="000D7A13"/>
    <w:rsid w:val="000E0F5C"/>
    <w:rsid w:val="000F1F34"/>
    <w:rsid w:val="000F2714"/>
    <w:rsid w:val="000F39E9"/>
    <w:rsid w:val="000F5F72"/>
    <w:rsid w:val="00100AA5"/>
    <w:rsid w:val="00100E94"/>
    <w:rsid w:val="0010198E"/>
    <w:rsid w:val="001021A4"/>
    <w:rsid w:val="00102DA1"/>
    <w:rsid w:val="001060D9"/>
    <w:rsid w:val="00110054"/>
    <w:rsid w:val="00110249"/>
    <w:rsid w:val="00110786"/>
    <w:rsid w:val="00115C8A"/>
    <w:rsid w:val="00116974"/>
    <w:rsid w:val="0012142D"/>
    <w:rsid w:val="00125578"/>
    <w:rsid w:val="00126066"/>
    <w:rsid w:val="00130327"/>
    <w:rsid w:val="00130482"/>
    <w:rsid w:val="00141BE5"/>
    <w:rsid w:val="001433BC"/>
    <w:rsid w:val="00143447"/>
    <w:rsid w:val="00151DF7"/>
    <w:rsid w:val="00155F29"/>
    <w:rsid w:val="0016000E"/>
    <w:rsid w:val="001621A2"/>
    <w:rsid w:val="00162B51"/>
    <w:rsid w:val="00176C9B"/>
    <w:rsid w:val="00184582"/>
    <w:rsid w:val="00184AEC"/>
    <w:rsid w:val="001869C2"/>
    <w:rsid w:val="00190C87"/>
    <w:rsid w:val="00194B9C"/>
    <w:rsid w:val="00196563"/>
    <w:rsid w:val="001A0E5E"/>
    <w:rsid w:val="001A1391"/>
    <w:rsid w:val="001A79FC"/>
    <w:rsid w:val="001B408E"/>
    <w:rsid w:val="001B5904"/>
    <w:rsid w:val="001D40D1"/>
    <w:rsid w:val="001E3538"/>
    <w:rsid w:val="001E7ED1"/>
    <w:rsid w:val="001F1FA1"/>
    <w:rsid w:val="001F2E22"/>
    <w:rsid w:val="001F3292"/>
    <w:rsid w:val="001F664B"/>
    <w:rsid w:val="001F6C09"/>
    <w:rsid w:val="002001D2"/>
    <w:rsid w:val="002078C1"/>
    <w:rsid w:val="00220E65"/>
    <w:rsid w:val="002214FA"/>
    <w:rsid w:val="00224E57"/>
    <w:rsid w:val="002259AD"/>
    <w:rsid w:val="00226DF8"/>
    <w:rsid w:val="0023225D"/>
    <w:rsid w:val="002339B2"/>
    <w:rsid w:val="002341EF"/>
    <w:rsid w:val="00234EC5"/>
    <w:rsid w:val="00234EE3"/>
    <w:rsid w:val="002423AC"/>
    <w:rsid w:val="0024555A"/>
    <w:rsid w:val="00247E06"/>
    <w:rsid w:val="00252BB0"/>
    <w:rsid w:val="002572A3"/>
    <w:rsid w:val="002618BB"/>
    <w:rsid w:val="002724E3"/>
    <w:rsid w:val="00282FE5"/>
    <w:rsid w:val="0028373D"/>
    <w:rsid w:val="00285BF1"/>
    <w:rsid w:val="00286773"/>
    <w:rsid w:val="00286F3F"/>
    <w:rsid w:val="00290FBA"/>
    <w:rsid w:val="002925B9"/>
    <w:rsid w:val="00293CA2"/>
    <w:rsid w:val="002968CB"/>
    <w:rsid w:val="002A3B35"/>
    <w:rsid w:val="002A4095"/>
    <w:rsid w:val="002B446C"/>
    <w:rsid w:val="002B5461"/>
    <w:rsid w:val="002B547D"/>
    <w:rsid w:val="002B554D"/>
    <w:rsid w:val="002B5792"/>
    <w:rsid w:val="002C36CA"/>
    <w:rsid w:val="002C38A5"/>
    <w:rsid w:val="002C45E3"/>
    <w:rsid w:val="002C51B7"/>
    <w:rsid w:val="002C69E2"/>
    <w:rsid w:val="002C7808"/>
    <w:rsid w:val="002C7A5E"/>
    <w:rsid w:val="002D0259"/>
    <w:rsid w:val="002D1553"/>
    <w:rsid w:val="002D4429"/>
    <w:rsid w:val="002D7E25"/>
    <w:rsid w:val="002E0CF5"/>
    <w:rsid w:val="002E3395"/>
    <w:rsid w:val="002E48FD"/>
    <w:rsid w:val="002E7C94"/>
    <w:rsid w:val="002F3C2D"/>
    <w:rsid w:val="002F3CC2"/>
    <w:rsid w:val="0030101D"/>
    <w:rsid w:val="00301095"/>
    <w:rsid w:val="0030438E"/>
    <w:rsid w:val="00306712"/>
    <w:rsid w:val="00307B6B"/>
    <w:rsid w:val="00307F5A"/>
    <w:rsid w:val="003106CA"/>
    <w:rsid w:val="003155AF"/>
    <w:rsid w:val="00316D04"/>
    <w:rsid w:val="00317E28"/>
    <w:rsid w:val="00321882"/>
    <w:rsid w:val="00324C57"/>
    <w:rsid w:val="00344BA9"/>
    <w:rsid w:val="00345811"/>
    <w:rsid w:val="0034632C"/>
    <w:rsid w:val="00354CF3"/>
    <w:rsid w:val="00356067"/>
    <w:rsid w:val="003634FB"/>
    <w:rsid w:val="003643FA"/>
    <w:rsid w:val="0036493E"/>
    <w:rsid w:val="00372E72"/>
    <w:rsid w:val="00383513"/>
    <w:rsid w:val="003879D0"/>
    <w:rsid w:val="00391575"/>
    <w:rsid w:val="00396B0C"/>
    <w:rsid w:val="003A2A12"/>
    <w:rsid w:val="003A3F2D"/>
    <w:rsid w:val="003A72F3"/>
    <w:rsid w:val="003B0A80"/>
    <w:rsid w:val="003C06A2"/>
    <w:rsid w:val="003C1496"/>
    <w:rsid w:val="003C3DF7"/>
    <w:rsid w:val="003C5EFD"/>
    <w:rsid w:val="003C6FB0"/>
    <w:rsid w:val="003D3189"/>
    <w:rsid w:val="003D35F3"/>
    <w:rsid w:val="003E3C69"/>
    <w:rsid w:val="003E4DA5"/>
    <w:rsid w:val="003F0D76"/>
    <w:rsid w:val="003F26CE"/>
    <w:rsid w:val="003F2F65"/>
    <w:rsid w:val="003F5F9B"/>
    <w:rsid w:val="00400636"/>
    <w:rsid w:val="00403073"/>
    <w:rsid w:val="00403677"/>
    <w:rsid w:val="00405AEA"/>
    <w:rsid w:val="00412AA7"/>
    <w:rsid w:val="00416550"/>
    <w:rsid w:val="0041759A"/>
    <w:rsid w:val="00427652"/>
    <w:rsid w:val="00431CB1"/>
    <w:rsid w:val="004351B9"/>
    <w:rsid w:val="00437D08"/>
    <w:rsid w:val="00444047"/>
    <w:rsid w:val="0044641F"/>
    <w:rsid w:val="00447C9F"/>
    <w:rsid w:val="00451CF4"/>
    <w:rsid w:val="00452651"/>
    <w:rsid w:val="00455276"/>
    <w:rsid w:val="00455393"/>
    <w:rsid w:val="00455AD4"/>
    <w:rsid w:val="00460459"/>
    <w:rsid w:val="00466D79"/>
    <w:rsid w:val="004671CC"/>
    <w:rsid w:val="00467A36"/>
    <w:rsid w:val="00474A72"/>
    <w:rsid w:val="00475298"/>
    <w:rsid w:val="00475971"/>
    <w:rsid w:val="00484699"/>
    <w:rsid w:val="00487275"/>
    <w:rsid w:val="004907AC"/>
    <w:rsid w:val="00492EBB"/>
    <w:rsid w:val="0049344C"/>
    <w:rsid w:val="00494099"/>
    <w:rsid w:val="004963FC"/>
    <w:rsid w:val="00496AFE"/>
    <w:rsid w:val="00496BC4"/>
    <w:rsid w:val="004A2F39"/>
    <w:rsid w:val="004A37FD"/>
    <w:rsid w:val="004B1ADC"/>
    <w:rsid w:val="004B21A7"/>
    <w:rsid w:val="004B5A69"/>
    <w:rsid w:val="004B6417"/>
    <w:rsid w:val="004C1D84"/>
    <w:rsid w:val="004C6902"/>
    <w:rsid w:val="004C701C"/>
    <w:rsid w:val="004D02E7"/>
    <w:rsid w:val="004D505E"/>
    <w:rsid w:val="004D7726"/>
    <w:rsid w:val="004E464E"/>
    <w:rsid w:val="004E582B"/>
    <w:rsid w:val="004E65BB"/>
    <w:rsid w:val="004E7B74"/>
    <w:rsid w:val="00500E2F"/>
    <w:rsid w:val="00501336"/>
    <w:rsid w:val="00501BBA"/>
    <w:rsid w:val="00502706"/>
    <w:rsid w:val="00502A7C"/>
    <w:rsid w:val="00507C43"/>
    <w:rsid w:val="005228F6"/>
    <w:rsid w:val="00525CBB"/>
    <w:rsid w:val="00530A88"/>
    <w:rsid w:val="005414CA"/>
    <w:rsid w:val="005416BC"/>
    <w:rsid w:val="005475C9"/>
    <w:rsid w:val="00551AC6"/>
    <w:rsid w:val="005525AF"/>
    <w:rsid w:val="00553EFA"/>
    <w:rsid w:val="00556D48"/>
    <w:rsid w:val="00562E65"/>
    <w:rsid w:val="005717C1"/>
    <w:rsid w:val="00582D30"/>
    <w:rsid w:val="00583C4F"/>
    <w:rsid w:val="005921A3"/>
    <w:rsid w:val="00593CC6"/>
    <w:rsid w:val="0059493A"/>
    <w:rsid w:val="00597C2B"/>
    <w:rsid w:val="005A3C85"/>
    <w:rsid w:val="005B14F6"/>
    <w:rsid w:val="005B16AD"/>
    <w:rsid w:val="005B4FF9"/>
    <w:rsid w:val="005B78C0"/>
    <w:rsid w:val="005B7948"/>
    <w:rsid w:val="005D2295"/>
    <w:rsid w:val="005D6059"/>
    <w:rsid w:val="005D6B9C"/>
    <w:rsid w:val="005D750A"/>
    <w:rsid w:val="005E1F3B"/>
    <w:rsid w:val="005E21A3"/>
    <w:rsid w:val="005E30BD"/>
    <w:rsid w:val="005E318C"/>
    <w:rsid w:val="005E3750"/>
    <w:rsid w:val="005E6B7E"/>
    <w:rsid w:val="005F19A3"/>
    <w:rsid w:val="005F346A"/>
    <w:rsid w:val="005F7DA6"/>
    <w:rsid w:val="0060337F"/>
    <w:rsid w:val="006039C7"/>
    <w:rsid w:val="006124B9"/>
    <w:rsid w:val="00616737"/>
    <w:rsid w:val="00624041"/>
    <w:rsid w:val="0063651C"/>
    <w:rsid w:val="0064154A"/>
    <w:rsid w:val="006419F5"/>
    <w:rsid w:val="00641AB9"/>
    <w:rsid w:val="00650D68"/>
    <w:rsid w:val="0066365E"/>
    <w:rsid w:val="00666527"/>
    <w:rsid w:val="00680417"/>
    <w:rsid w:val="0068102D"/>
    <w:rsid w:val="00685F7B"/>
    <w:rsid w:val="006915FE"/>
    <w:rsid w:val="00697B3B"/>
    <w:rsid w:val="006A25BD"/>
    <w:rsid w:val="006A4435"/>
    <w:rsid w:val="006A6261"/>
    <w:rsid w:val="006A64A4"/>
    <w:rsid w:val="006B3EB1"/>
    <w:rsid w:val="006B5045"/>
    <w:rsid w:val="006C331D"/>
    <w:rsid w:val="006C53FE"/>
    <w:rsid w:val="006C605B"/>
    <w:rsid w:val="006D1914"/>
    <w:rsid w:val="006D1C18"/>
    <w:rsid w:val="006D2122"/>
    <w:rsid w:val="006D2407"/>
    <w:rsid w:val="006D34E7"/>
    <w:rsid w:val="006D489A"/>
    <w:rsid w:val="006E4252"/>
    <w:rsid w:val="006E431B"/>
    <w:rsid w:val="006E5530"/>
    <w:rsid w:val="006E79CD"/>
    <w:rsid w:val="006F26C5"/>
    <w:rsid w:val="006F421D"/>
    <w:rsid w:val="006F44B8"/>
    <w:rsid w:val="006F5BBB"/>
    <w:rsid w:val="006F7226"/>
    <w:rsid w:val="0070157B"/>
    <w:rsid w:val="00705753"/>
    <w:rsid w:val="00706F72"/>
    <w:rsid w:val="00712F7C"/>
    <w:rsid w:val="00721859"/>
    <w:rsid w:val="00721F9F"/>
    <w:rsid w:val="00723A47"/>
    <w:rsid w:val="007256C1"/>
    <w:rsid w:val="00735069"/>
    <w:rsid w:val="00737480"/>
    <w:rsid w:val="00741828"/>
    <w:rsid w:val="007424C9"/>
    <w:rsid w:val="0075695C"/>
    <w:rsid w:val="00761D85"/>
    <w:rsid w:val="007678FD"/>
    <w:rsid w:val="007739A9"/>
    <w:rsid w:val="00774E6B"/>
    <w:rsid w:val="007762C2"/>
    <w:rsid w:val="007810D1"/>
    <w:rsid w:val="00786043"/>
    <w:rsid w:val="007903CB"/>
    <w:rsid w:val="00794665"/>
    <w:rsid w:val="00797118"/>
    <w:rsid w:val="007A57D6"/>
    <w:rsid w:val="007A5FE8"/>
    <w:rsid w:val="007B3929"/>
    <w:rsid w:val="007B4DA3"/>
    <w:rsid w:val="007B744F"/>
    <w:rsid w:val="007B785D"/>
    <w:rsid w:val="007C1C18"/>
    <w:rsid w:val="007C7B3B"/>
    <w:rsid w:val="007D065D"/>
    <w:rsid w:val="007D42BC"/>
    <w:rsid w:val="007D64DE"/>
    <w:rsid w:val="007D6CAF"/>
    <w:rsid w:val="007D748A"/>
    <w:rsid w:val="007D768C"/>
    <w:rsid w:val="007E0186"/>
    <w:rsid w:val="007E17F3"/>
    <w:rsid w:val="007E1A6F"/>
    <w:rsid w:val="007E1C40"/>
    <w:rsid w:val="007E1FAA"/>
    <w:rsid w:val="007E27C5"/>
    <w:rsid w:val="007E56A0"/>
    <w:rsid w:val="007F1418"/>
    <w:rsid w:val="007F3EF6"/>
    <w:rsid w:val="007F773C"/>
    <w:rsid w:val="007F7AB5"/>
    <w:rsid w:val="00800C00"/>
    <w:rsid w:val="00801996"/>
    <w:rsid w:val="008055F7"/>
    <w:rsid w:val="008061B7"/>
    <w:rsid w:val="008067BA"/>
    <w:rsid w:val="008161DC"/>
    <w:rsid w:val="008167B6"/>
    <w:rsid w:val="00822B08"/>
    <w:rsid w:val="0083077B"/>
    <w:rsid w:val="008351AB"/>
    <w:rsid w:val="00840A5A"/>
    <w:rsid w:val="008432E4"/>
    <w:rsid w:val="00843D5F"/>
    <w:rsid w:val="0084530C"/>
    <w:rsid w:val="00845D38"/>
    <w:rsid w:val="0084764D"/>
    <w:rsid w:val="008515FB"/>
    <w:rsid w:val="00861AD3"/>
    <w:rsid w:val="008630D7"/>
    <w:rsid w:val="00863851"/>
    <w:rsid w:val="00882D24"/>
    <w:rsid w:val="00883576"/>
    <w:rsid w:val="00890CE5"/>
    <w:rsid w:val="0089595F"/>
    <w:rsid w:val="00897CC9"/>
    <w:rsid w:val="008A73E6"/>
    <w:rsid w:val="008A7C52"/>
    <w:rsid w:val="008B001B"/>
    <w:rsid w:val="008B077D"/>
    <w:rsid w:val="008B2911"/>
    <w:rsid w:val="008C20C0"/>
    <w:rsid w:val="008C6EFD"/>
    <w:rsid w:val="008D6FA1"/>
    <w:rsid w:val="008E2861"/>
    <w:rsid w:val="008E4C13"/>
    <w:rsid w:val="008E5914"/>
    <w:rsid w:val="008E5A57"/>
    <w:rsid w:val="008F0CD1"/>
    <w:rsid w:val="008F5218"/>
    <w:rsid w:val="00902C21"/>
    <w:rsid w:val="009066FD"/>
    <w:rsid w:val="00907E5E"/>
    <w:rsid w:val="009119E2"/>
    <w:rsid w:val="00916772"/>
    <w:rsid w:val="00921D26"/>
    <w:rsid w:val="00922855"/>
    <w:rsid w:val="0093423B"/>
    <w:rsid w:val="00946C94"/>
    <w:rsid w:val="0094759D"/>
    <w:rsid w:val="00947B02"/>
    <w:rsid w:val="00951A25"/>
    <w:rsid w:val="009567EE"/>
    <w:rsid w:val="00956DE0"/>
    <w:rsid w:val="009617A7"/>
    <w:rsid w:val="00962CBB"/>
    <w:rsid w:val="00966916"/>
    <w:rsid w:val="00967AFF"/>
    <w:rsid w:val="00972843"/>
    <w:rsid w:val="009732A3"/>
    <w:rsid w:val="00974154"/>
    <w:rsid w:val="009743CE"/>
    <w:rsid w:val="00974CCB"/>
    <w:rsid w:val="00981A65"/>
    <w:rsid w:val="0098682B"/>
    <w:rsid w:val="0099526A"/>
    <w:rsid w:val="00995AA4"/>
    <w:rsid w:val="00997A22"/>
    <w:rsid w:val="009B0921"/>
    <w:rsid w:val="009B455B"/>
    <w:rsid w:val="009B4BCC"/>
    <w:rsid w:val="009B6EF3"/>
    <w:rsid w:val="009C101A"/>
    <w:rsid w:val="009C1B7E"/>
    <w:rsid w:val="009D6CF3"/>
    <w:rsid w:val="009E11E2"/>
    <w:rsid w:val="009E5C06"/>
    <w:rsid w:val="009E7853"/>
    <w:rsid w:val="009F1581"/>
    <w:rsid w:val="00A01AF3"/>
    <w:rsid w:val="00A045EF"/>
    <w:rsid w:val="00A06DBB"/>
    <w:rsid w:val="00A10FA6"/>
    <w:rsid w:val="00A1133E"/>
    <w:rsid w:val="00A2441A"/>
    <w:rsid w:val="00A32DAD"/>
    <w:rsid w:val="00A4437C"/>
    <w:rsid w:val="00A5169F"/>
    <w:rsid w:val="00A53189"/>
    <w:rsid w:val="00A5741D"/>
    <w:rsid w:val="00A60105"/>
    <w:rsid w:val="00A634DF"/>
    <w:rsid w:val="00A64531"/>
    <w:rsid w:val="00A724AE"/>
    <w:rsid w:val="00A74DD2"/>
    <w:rsid w:val="00A75239"/>
    <w:rsid w:val="00A84041"/>
    <w:rsid w:val="00A845CB"/>
    <w:rsid w:val="00A919A0"/>
    <w:rsid w:val="00A9703F"/>
    <w:rsid w:val="00AA0571"/>
    <w:rsid w:val="00AA5195"/>
    <w:rsid w:val="00AA5531"/>
    <w:rsid w:val="00AA7C56"/>
    <w:rsid w:val="00AB0D4D"/>
    <w:rsid w:val="00AB2054"/>
    <w:rsid w:val="00AB26F9"/>
    <w:rsid w:val="00AB5892"/>
    <w:rsid w:val="00AC13F9"/>
    <w:rsid w:val="00AC6951"/>
    <w:rsid w:val="00AD0FCC"/>
    <w:rsid w:val="00AD1155"/>
    <w:rsid w:val="00AE1DC8"/>
    <w:rsid w:val="00AE2A38"/>
    <w:rsid w:val="00AE2FED"/>
    <w:rsid w:val="00AE3BC5"/>
    <w:rsid w:val="00AE3F6F"/>
    <w:rsid w:val="00AE4300"/>
    <w:rsid w:val="00AF0DB3"/>
    <w:rsid w:val="00AF7593"/>
    <w:rsid w:val="00B02173"/>
    <w:rsid w:val="00B03318"/>
    <w:rsid w:val="00B0372F"/>
    <w:rsid w:val="00B06D70"/>
    <w:rsid w:val="00B12970"/>
    <w:rsid w:val="00B13708"/>
    <w:rsid w:val="00B16582"/>
    <w:rsid w:val="00B20CB4"/>
    <w:rsid w:val="00B21F27"/>
    <w:rsid w:val="00B24F8F"/>
    <w:rsid w:val="00B3028A"/>
    <w:rsid w:val="00B4042F"/>
    <w:rsid w:val="00B50209"/>
    <w:rsid w:val="00B51727"/>
    <w:rsid w:val="00B61951"/>
    <w:rsid w:val="00B62BEB"/>
    <w:rsid w:val="00B633E3"/>
    <w:rsid w:val="00B63F30"/>
    <w:rsid w:val="00B64783"/>
    <w:rsid w:val="00B6508D"/>
    <w:rsid w:val="00B739D6"/>
    <w:rsid w:val="00B776C8"/>
    <w:rsid w:val="00B77ABF"/>
    <w:rsid w:val="00B82E88"/>
    <w:rsid w:val="00B85852"/>
    <w:rsid w:val="00B878FA"/>
    <w:rsid w:val="00B96245"/>
    <w:rsid w:val="00BA343E"/>
    <w:rsid w:val="00BA392F"/>
    <w:rsid w:val="00BA7F10"/>
    <w:rsid w:val="00BB02F0"/>
    <w:rsid w:val="00BB1820"/>
    <w:rsid w:val="00BB1D88"/>
    <w:rsid w:val="00BB227B"/>
    <w:rsid w:val="00BB5080"/>
    <w:rsid w:val="00BB6458"/>
    <w:rsid w:val="00BC060C"/>
    <w:rsid w:val="00BC1112"/>
    <w:rsid w:val="00BC3763"/>
    <w:rsid w:val="00BD1BE2"/>
    <w:rsid w:val="00BD2917"/>
    <w:rsid w:val="00BD4C7F"/>
    <w:rsid w:val="00BD6705"/>
    <w:rsid w:val="00BE11CC"/>
    <w:rsid w:val="00BE1717"/>
    <w:rsid w:val="00BE2602"/>
    <w:rsid w:val="00BE41E5"/>
    <w:rsid w:val="00BF00D4"/>
    <w:rsid w:val="00BF02B0"/>
    <w:rsid w:val="00C03D5D"/>
    <w:rsid w:val="00C05BBE"/>
    <w:rsid w:val="00C06CB9"/>
    <w:rsid w:val="00C123BF"/>
    <w:rsid w:val="00C13F50"/>
    <w:rsid w:val="00C15695"/>
    <w:rsid w:val="00C168F7"/>
    <w:rsid w:val="00C246D5"/>
    <w:rsid w:val="00C25700"/>
    <w:rsid w:val="00C25FB3"/>
    <w:rsid w:val="00C32B96"/>
    <w:rsid w:val="00C44608"/>
    <w:rsid w:val="00C47E65"/>
    <w:rsid w:val="00C5123C"/>
    <w:rsid w:val="00C53C82"/>
    <w:rsid w:val="00C64177"/>
    <w:rsid w:val="00C65601"/>
    <w:rsid w:val="00C658A6"/>
    <w:rsid w:val="00C66D89"/>
    <w:rsid w:val="00C71BE3"/>
    <w:rsid w:val="00C7363C"/>
    <w:rsid w:val="00C74697"/>
    <w:rsid w:val="00C76AC8"/>
    <w:rsid w:val="00C77D62"/>
    <w:rsid w:val="00C857C0"/>
    <w:rsid w:val="00C87ACB"/>
    <w:rsid w:val="00C90983"/>
    <w:rsid w:val="00C92AC5"/>
    <w:rsid w:val="00CA4EC1"/>
    <w:rsid w:val="00CA65EE"/>
    <w:rsid w:val="00CA67AC"/>
    <w:rsid w:val="00CB0434"/>
    <w:rsid w:val="00CB146B"/>
    <w:rsid w:val="00CC3E87"/>
    <w:rsid w:val="00CC49B0"/>
    <w:rsid w:val="00CC4AF4"/>
    <w:rsid w:val="00CC6FA1"/>
    <w:rsid w:val="00CD2803"/>
    <w:rsid w:val="00CD5355"/>
    <w:rsid w:val="00CE0C23"/>
    <w:rsid w:val="00CE1540"/>
    <w:rsid w:val="00CE19EA"/>
    <w:rsid w:val="00CE3798"/>
    <w:rsid w:val="00CE44D1"/>
    <w:rsid w:val="00CE5A04"/>
    <w:rsid w:val="00CE78EB"/>
    <w:rsid w:val="00CF095E"/>
    <w:rsid w:val="00CF4B63"/>
    <w:rsid w:val="00CF5CEF"/>
    <w:rsid w:val="00D0059B"/>
    <w:rsid w:val="00D02369"/>
    <w:rsid w:val="00D03026"/>
    <w:rsid w:val="00D047C2"/>
    <w:rsid w:val="00D12AD3"/>
    <w:rsid w:val="00D15371"/>
    <w:rsid w:val="00D177CE"/>
    <w:rsid w:val="00D205B5"/>
    <w:rsid w:val="00D212D2"/>
    <w:rsid w:val="00D236E0"/>
    <w:rsid w:val="00D33643"/>
    <w:rsid w:val="00D33F5F"/>
    <w:rsid w:val="00D37487"/>
    <w:rsid w:val="00D43E34"/>
    <w:rsid w:val="00D44997"/>
    <w:rsid w:val="00D44D28"/>
    <w:rsid w:val="00D4721D"/>
    <w:rsid w:val="00D52902"/>
    <w:rsid w:val="00D65E67"/>
    <w:rsid w:val="00D67B76"/>
    <w:rsid w:val="00D716F7"/>
    <w:rsid w:val="00D721F8"/>
    <w:rsid w:val="00D73F98"/>
    <w:rsid w:val="00D77F58"/>
    <w:rsid w:val="00D804CB"/>
    <w:rsid w:val="00D80618"/>
    <w:rsid w:val="00D84404"/>
    <w:rsid w:val="00D844AC"/>
    <w:rsid w:val="00D86E4B"/>
    <w:rsid w:val="00D9370B"/>
    <w:rsid w:val="00D94349"/>
    <w:rsid w:val="00DA313E"/>
    <w:rsid w:val="00DA3D98"/>
    <w:rsid w:val="00DA43FC"/>
    <w:rsid w:val="00DA4FBE"/>
    <w:rsid w:val="00DB0A02"/>
    <w:rsid w:val="00DB1BE8"/>
    <w:rsid w:val="00DB575F"/>
    <w:rsid w:val="00DC049E"/>
    <w:rsid w:val="00DC4442"/>
    <w:rsid w:val="00DD09E0"/>
    <w:rsid w:val="00DD39FF"/>
    <w:rsid w:val="00DD4195"/>
    <w:rsid w:val="00DE4CC4"/>
    <w:rsid w:val="00DF400F"/>
    <w:rsid w:val="00DF5EF8"/>
    <w:rsid w:val="00DF60F5"/>
    <w:rsid w:val="00DF7014"/>
    <w:rsid w:val="00E008DF"/>
    <w:rsid w:val="00E01566"/>
    <w:rsid w:val="00E01BBF"/>
    <w:rsid w:val="00E07E02"/>
    <w:rsid w:val="00E11AB5"/>
    <w:rsid w:val="00E131B5"/>
    <w:rsid w:val="00E139A1"/>
    <w:rsid w:val="00E14AEA"/>
    <w:rsid w:val="00E24E22"/>
    <w:rsid w:val="00E269C9"/>
    <w:rsid w:val="00E40958"/>
    <w:rsid w:val="00E45BEF"/>
    <w:rsid w:val="00E47E43"/>
    <w:rsid w:val="00E5626C"/>
    <w:rsid w:val="00E572C7"/>
    <w:rsid w:val="00E64FCE"/>
    <w:rsid w:val="00E6525E"/>
    <w:rsid w:val="00E652E4"/>
    <w:rsid w:val="00E833C6"/>
    <w:rsid w:val="00E84D3C"/>
    <w:rsid w:val="00E9001B"/>
    <w:rsid w:val="00E9418E"/>
    <w:rsid w:val="00EA0586"/>
    <w:rsid w:val="00EA3C82"/>
    <w:rsid w:val="00EB03CD"/>
    <w:rsid w:val="00EB5D2D"/>
    <w:rsid w:val="00EB7F92"/>
    <w:rsid w:val="00EC1CF4"/>
    <w:rsid w:val="00EC59EB"/>
    <w:rsid w:val="00ED1FFD"/>
    <w:rsid w:val="00ED209F"/>
    <w:rsid w:val="00ED5456"/>
    <w:rsid w:val="00ED63BC"/>
    <w:rsid w:val="00EE4E2C"/>
    <w:rsid w:val="00EE6632"/>
    <w:rsid w:val="00EE689C"/>
    <w:rsid w:val="00EE78E7"/>
    <w:rsid w:val="00EF46E7"/>
    <w:rsid w:val="00F0060F"/>
    <w:rsid w:val="00F12EBD"/>
    <w:rsid w:val="00F13F89"/>
    <w:rsid w:val="00F155D6"/>
    <w:rsid w:val="00F15906"/>
    <w:rsid w:val="00F1603D"/>
    <w:rsid w:val="00F247FB"/>
    <w:rsid w:val="00F263D9"/>
    <w:rsid w:val="00F30C3E"/>
    <w:rsid w:val="00F32308"/>
    <w:rsid w:val="00F3531E"/>
    <w:rsid w:val="00F435A5"/>
    <w:rsid w:val="00F52E23"/>
    <w:rsid w:val="00F542A9"/>
    <w:rsid w:val="00F5509C"/>
    <w:rsid w:val="00F56FB0"/>
    <w:rsid w:val="00F67BC4"/>
    <w:rsid w:val="00F716AA"/>
    <w:rsid w:val="00F72C3D"/>
    <w:rsid w:val="00F74D66"/>
    <w:rsid w:val="00F75F27"/>
    <w:rsid w:val="00F8447B"/>
    <w:rsid w:val="00F90CAA"/>
    <w:rsid w:val="00F90CBB"/>
    <w:rsid w:val="00FA3743"/>
    <w:rsid w:val="00FA4A01"/>
    <w:rsid w:val="00FA67BB"/>
    <w:rsid w:val="00FB0705"/>
    <w:rsid w:val="00FB1C29"/>
    <w:rsid w:val="00FC139A"/>
    <w:rsid w:val="00FC683F"/>
    <w:rsid w:val="00FD2757"/>
    <w:rsid w:val="00FD2BF8"/>
    <w:rsid w:val="00FE19E1"/>
    <w:rsid w:val="00FE4F2D"/>
    <w:rsid w:val="00FE5C30"/>
    <w:rsid w:val="00FF51F4"/>
    <w:rsid w:val="00FF6C1A"/>
    <w:rsid w:val="00FF71B8"/>
    <w:rsid w:val="434C20AD"/>
    <w:rsid w:val="67D6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semiHidden/>
    <w:unhideWhenUsed/>
    <w:uiPriority w:val="99"/>
    <w:pPr>
      <w:jc w:val="left"/>
    </w:pPr>
  </w:style>
  <w:style w:type="paragraph" w:styleId="5">
    <w:name w:val="Plain Text"/>
    <w:basedOn w:val="1"/>
    <w:link w:val="40"/>
    <w:semiHidden/>
    <w:unhideWhenUsed/>
    <w:uiPriority w:val="99"/>
    <w:rPr>
      <w:rFonts w:hAnsi="Courier New" w:cs="Courier New" w:asciiTheme="minorEastAsia" w:eastAsiaTheme="minorEastAsia"/>
    </w:rPr>
  </w:style>
  <w:style w:type="paragraph" w:styleId="6">
    <w:name w:val="Date"/>
    <w:basedOn w:val="1"/>
    <w:next w:val="1"/>
    <w:link w:val="26"/>
    <w:semiHidden/>
    <w:unhideWhenUsed/>
    <w:uiPriority w:val="99"/>
    <w:pPr>
      <w:ind w:left="100" w:leftChars="2500"/>
    </w:pPr>
  </w:style>
  <w:style w:type="paragraph" w:styleId="7">
    <w:name w:val="Balloon Text"/>
    <w:basedOn w:val="1"/>
    <w:link w:val="19"/>
    <w:semiHidden/>
    <w:unhideWhenUsed/>
    <w:uiPriority w:val="99"/>
    <w:rPr>
      <w:sz w:val="18"/>
      <w:szCs w:val="18"/>
    </w:rPr>
  </w:style>
  <w:style w:type="paragraph" w:styleId="8">
    <w:name w:val="footer"/>
    <w:basedOn w:val="1"/>
    <w:link w:val="23"/>
    <w:unhideWhenUsed/>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tabs>
        <w:tab w:val="right" w:leader="dot" w:pos="8296"/>
      </w:tabs>
      <w:spacing w:line="360" w:lineRule="auto"/>
    </w:pPr>
    <w:rPr>
      <w:sz w:val="24"/>
      <w:szCs w:val="24"/>
    </w:rPr>
  </w:style>
  <w:style w:type="paragraph" w:styleId="11">
    <w:name w:val="toc 2"/>
    <w:basedOn w:val="1"/>
    <w:next w:val="1"/>
    <w:unhideWhenUsed/>
    <w:uiPriority w:val="39"/>
    <w:pPr>
      <w:tabs>
        <w:tab w:val="right" w:leader="dot" w:pos="8296"/>
      </w:tabs>
      <w:spacing w:line="360" w:lineRule="auto"/>
      <w:ind w:left="420" w:leftChars="200"/>
    </w:pPr>
    <w:rPr>
      <w:sz w:val="24"/>
      <w:szCs w:val="24"/>
    </w:rPr>
  </w:style>
  <w:style w:type="paragraph" w:styleId="12">
    <w:name w:val="annotation subject"/>
    <w:basedOn w:val="4"/>
    <w:next w:val="4"/>
    <w:link w:val="25"/>
    <w:semiHidden/>
    <w:unhideWhenUsed/>
    <w:uiPriority w:val="99"/>
    <w:rPr>
      <w:b/>
      <w:bCs/>
    </w:rPr>
  </w:style>
  <w:style w:type="table" w:styleId="14">
    <w:name w:val="Table Grid"/>
    <w:basedOn w:val="13"/>
    <w:uiPriority w:val="39"/>
    <w:pPr>
      <w:ind w:firstLine="200" w:firstLineChars="200"/>
      <w:jc w:val="both"/>
    </w:pPr>
    <w:rPr>
      <w:rFonts w:ascii="Times New Roman" w:hAnsi="Times New Roman" w:eastAsia="宋体"/>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uiPriority w:val="0"/>
    <w:rPr>
      <w:b/>
      <w:bCs/>
    </w:rPr>
  </w:style>
  <w:style w:type="character" w:styleId="17">
    <w:name w:val="Hyperlink"/>
    <w:basedOn w:val="15"/>
    <w:unhideWhenUsed/>
    <w:uiPriority w:val="99"/>
    <w:rPr>
      <w:color w:val="0563C1" w:themeColor="hyperlink"/>
      <w:u w:val="single"/>
      <w14:textFill>
        <w14:solidFill>
          <w14:schemeClr w14:val="hlink"/>
        </w14:solidFill>
      </w14:textFill>
    </w:rPr>
  </w:style>
  <w:style w:type="character" w:styleId="18">
    <w:name w:val="annotation reference"/>
    <w:basedOn w:val="15"/>
    <w:semiHidden/>
    <w:unhideWhenUsed/>
    <w:uiPriority w:val="99"/>
    <w:rPr>
      <w:sz w:val="21"/>
      <w:szCs w:val="21"/>
    </w:rPr>
  </w:style>
  <w:style w:type="character" w:customStyle="1" w:styleId="19">
    <w:name w:val="批注框文本 Char"/>
    <w:basedOn w:val="15"/>
    <w:link w:val="7"/>
    <w:semiHidden/>
    <w:uiPriority w:val="99"/>
    <w:rPr>
      <w:rFonts w:ascii="Times New Roman" w:hAnsi="Times New Roman" w:eastAsia="宋体" w:cs="Times New Roman"/>
      <w:kern w:val="0"/>
      <w:sz w:val="18"/>
      <w:szCs w:val="18"/>
    </w:rPr>
  </w:style>
  <w:style w:type="paragraph" w:styleId="20">
    <w:name w:val="List Paragraph"/>
    <w:basedOn w:val="1"/>
    <w:qFormat/>
    <w:uiPriority w:val="34"/>
    <w:pPr>
      <w:ind w:firstLine="420" w:firstLineChars="200"/>
    </w:pPr>
  </w:style>
  <w:style w:type="character" w:customStyle="1" w:styleId="21">
    <w:name w:val="标题 1 Char"/>
    <w:basedOn w:val="15"/>
    <w:link w:val="2"/>
    <w:qFormat/>
    <w:uiPriority w:val="9"/>
    <w:rPr>
      <w:rFonts w:ascii="Times New Roman" w:hAnsi="Times New Roman" w:eastAsia="宋体" w:cs="Times New Roman"/>
      <w:b/>
      <w:bCs/>
      <w:kern w:val="44"/>
      <w:sz w:val="44"/>
      <w:szCs w:val="44"/>
    </w:rPr>
  </w:style>
  <w:style w:type="character" w:customStyle="1" w:styleId="22">
    <w:name w:val="页眉 Char"/>
    <w:basedOn w:val="15"/>
    <w:link w:val="9"/>
    <w:qFormat/>
    <w:uiPriority w:val="99"/>
    <w:rPr>
      <w:rFonts w:ascii="Times New Roman" w:hAnsi="Times New Roman" w:eastAsia="宋体" w:cs="Times New Roman"/>
      <w:kern w:val="0"/>
      <w:sz w:val="18"/>
      <w:szCs w:val="18"/>
    </w:rPr>
  </w:style>
  <w:style w:type="character" w:customStyle="1" w:styleId="23">
    <w:name w:val="页脚 Char"/>
    <w:basedOn w:val="15"/>
    <w:link w:val="8"/>
    <w:qFormat/>
    <w:uiPriority w:val="99"/>
    <w:rPr>
      <w:rFonts w:ascii="Times New Roman" w:hAnsi="Times New Roman" w:eastAsia="宋体" w:cs="Times New Roman"/>
      <w:kern w:val="0"/>
      <w:sz w:val="18"/>
      <w:szCs w:val="18"/>
    </w:rPr>
  </w:style>
  <w:style w:type="character" w:customStyle="1" w:styleId="24">
    <w:name w:val="批注文字 Char"/>
    <w:basedOn w:val="15"/>
    <w:link w:val="4"/>
    <w:semiHidden/>
    <w:uiPriority w:val="99"/>
    <w:rPr>
      <w:rFonts w:ascii="Times New Roman" w:hAnsi="Times New Roman" w:eastAsia="宋体" w:cs="Times New Roman"/>
      <w:kern w:val="0"/>
      <w:szCs w:val="21"/>
    </w:rPr>
  </w:style>
  <w:style w:type="character" w:customStyle="1" w:styleId="25">
    <w:name w:val="批注主题 Char"/>
    <w:basedOn w:val="24"/>
    <w:link w:val="12"/>
    <w:semiHidden/>
    <w:qFormat/>
    <w:uiPriority w:val="99"/>
    <w:rPr>
      <w:rFonts w:ascii="Times New Roman" w:hAnsi="Times New Roman" w:eastAsia="宋体" w:cs="Times New Roman"/>
      <w:b/>
      <w:bCs/>
      <w:kern w:val="0"/>
      <w:szCs w:val="21"/>
    </w:rPr>
  </w:style>
  <w:style w:type="character" w:customStyle="1" w:styleId="26">
    <w:name w:val="日期 Char"/>
    <w:basedOn w:val="15"/>
    <w:link w:val="6"/>
    <w:semiHidden/>
    <w:uiPriority w:val="99"/>
    <w:rPr>
      <w:rFonts w:ascii="Times New Roman" w:hAnsi="Times New Roman" w:eastAsia="宋体" w:cs="Times New Roman"/>
      <w:kern w:val="0"/>
      <w:szCs w:val="21"/>
    </w:rPr>
  </w:style>
  <w:style w:type="paragraph" w:customStyle="1" w:styleId="27">
    <w:name w:val="一级条标题"/>
    <w:next w:val="1"/>
    <w:uiPriority w:val="0"/>
    <w:pPr>
      <w:spacing w:line="360" w:lineRule="auto"/>
      <w:ind w:left="57"/>
      <w:outlineLvl w:val="2"/>
    </w:pPr>
    <w:rPr>
      <w:rFonts w:ascii="Times New Roman" w:hAnsi="Times New Roman" w:eastAsia="黑体" w:cs="Times New Roman"/>
      <w:kern w:val="0"/>
      <w:sz w:val="21"/>
      <w:szCs w:val="21"/>
      <w:lang w:val="en-US" w:eastAsia="zh-CN" w:bidi="ar-SA"/>
    </w:rPr>
  </w:style>
  <w:style w:type="paragraph" w:customStyle="1" w:styleId="28">
    <w:name w:val="二级条标题"/>
    <w:basedOn w:val="27"/>
    <w:next w:val="1"/>
    <w:uiPriority w:val="0"/>
    <w:pPr>
      <w:ind w:left="0"/>
      <w:outlineLvl w:val="3"/>
    </w:pPr>
  </w:style>
  <w:style w:type="paragraph" w:customStyle="1" w:styleId="29">
    <w:name w:val="章标题"/>
    <w:next w:val="1"/>
    <w:uiPriority w:val="0"/>
    <w:pPr>
      <w:spacing w:beforeLines="50" w:afterLines="50" w:line="360" w:lineRule="auto"/>
      <w:ind w:firstLine="200"/>
      <w:jc w:val="center"/>
      <w:outlineLvl w:val="1"/>
    </w:pPr>
    <w:rPr>
      <w:rFonts w:ascii="黑体" w:hAnsi="Times New Roman" w:eastAsia="黑体" w:cs="Times New Roman"/>
      <w:kern w:val="0"/>
      <w:sz w:val="21"/>
      <w:szCs w:val="21"/>
      <w:lang w:val="en-US" w:eastAsia="zh-CN" w:bidi="ar-SA"/>
    </w:rPr>
  </w:style>
  <w:style w:type="paragraph" w:customStyle="1" w:styleId="30">
    <w:name w:val="前言、引言标题"/>
    <w:next w:val="1"/>
    <w:uiPriority w:val="0"/>
    <w:pPr>
      <w:shd w:val="clear" w:color="FFFFFF" w:fill="FFFFFF"/>
      <w:spacing w:before="640" w:after="560" w:line="360" w:lineRule="auto"/>
      <w:jc w:val="center"/>
      <w:outlineLvl w:val="0"/>
    </w:pPr>
    <w:rPr>
      <w:rFonts w:ascii="黑体" w:hAnsi="Times New Roman" w:eastAsia="黑体" w:cs="Times New Roman"/>
      <w:kern w:val="0"/>
      <w:sz w:val="32"/>
      <w:szCs w:val="32"/>
      <w:lang w:val="en-US" w:eastAsia="zh-CN" w:bidi="ar-SA"/>
    </w:rPr>
  </w:style>
  <w:style w:type="paragraph" w:customStyle="1" w:styleId="31">
    <w:name w:val="实施日期"/>
    <w:basedOn w:val="1"/>
    <w:uiPriority w:val="0"/>
    <w:pPr>
      <w:framePr w:w="4000" w:h="473" w:hRule="exact" w:vSpace="180" w:wrap="around" w:vAnchor="margin" w:hAnchor="margin" w:xAlign="right" w:y="13511" w:anchorLock="1"/>
      <w:widowControl/>
      <w:spacing w:line="300" w:lineRule="auto"/>
      <w:ind w:firstLine="200" w:firstLineChars="200"/>
      <w:jc w:val="right"/>
    </w:pPr>
    <w:rPr>
      <w:rFonts w:eastAsia="黑体"/>
      <w:sz w:val="28"/>
      <w:szCs w:val="28"/>
    </w:rPr>
  </w:style>
  <w:style w:type="paragraph" w:customStyle="1" w:styleId="32">
    <w:name w:val="条文"/>
    <w:basedOn w:val="1"/>
    <w:qFormat/>
    <w:uiPriority w:val="0"/>
    <w:pPr>
      <w:spacing w:line="300" w:lineRule="auto"/>
      <w:ind w:firstLine="200" w:firstLineChars="200"/>
    </w:pPr>
    <w:rPr>
      <w:kern w:val="2"/>
      <w:sz w:val="24"/>
    </w:rPr>
  </w:style>
  <w:style w:type="paragraph" w:customStyle="1" w:styleId="33">
    <w:name w:val="说明"/>
    <w:basedOn w:val="1"/>
    <w:qFormat/>
    <w:uiPriority w:val="0"/>
    <w:pPr>
      <w:adjustRightInd w:val="0"/>
      <w:spacing w:line="300" w:lineRule="auto"/>
      <w:ind w:firstLine="200" w:firstLineChars="200"/>
      <w:textAlignment w:val="baseline"/>
    </w:pPr>
    <w:rPr>
      <w:rFonts w:eastAsia="楷体"/>
      <w:sz w:val="24"/>
    </w:rPr>
  </w:style>
  <w:style w:type="character" w:customStyle="1" w:styleId="34">
    <w:name w:val="标题 2 Char"/>
    <w:basedOn w:val="15"/>
    <w:link w:val="3"/>
    <w:uiPriority w:val="9"/>
    <w:rPr>
      <w:rFonts w:asciiTheme="majorHAnsi" w:hAnsiTheme="majorHAnsi" w:eastAsiaTheme="majorEastAsia" w:cstheme="majorBidi"/>
      <w:b/>
      <w:bCs/>
      <w:kern w:val="0"/>
      <w:sz w:val="32"/>
      <w:szCs w:val="32"/>
    </w:rPr>
  </w:style>
  <w:style w:type="paragraph" w:customStyle="1" w:styleId="3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6">
    <w:name w:val="扉页（出版时间地点）"/>
    <w:basedOn w:val="1"/>
    <w:uiPriority w:val="0"/>
    <w:pPr>
      <w:jc w:val="center"/>
    </w:pPr>
    <w:rPr>
      <w:rFonts w:eastAsia="黑体" w:cs="宋体"/>
      <w:kern w:val="2"/>
      <w:szCs w:val="20"/>
    </w:rPr>
  </w:style>
  <w:style w:type="paragraph" w:customStyle="1" w:styleId="37">
    <w:name w:val="标准扉页（福建省工程建设地方标准）"/>
    <w:basedOn w:val="1"/>
    <w:uiPriority w:val="0"/>
    <w:pPr>
      <w:jc w:val="center"/>
    </w:pPr>
    <w:rPr>
      <w:rFonts w:eastAsia="黑体"/>
      <w:kern w:val="2"/>
      <w:sz w:val="28"/>
      <w:szCs w:val="20"/>
    </w:rPr>
  </w:style>
  <w:style w:type="paragraph" w:customStyle="1" w:styleId="38">
    <w:name w:val="标准扉页（标准名称）"/>
    <w:basedOn w:val="1"/>
    <w:uiPriority w:val="0"/>
    <w:pPr>
      <w:jc w:val="center"/>
    </w:pPr>
    <w:rPr>
      <w:rFonts w:eastAsia="黑体"/>
      <w:kern w:val="2"/>
      <w:sz w:val="30"/>
      <w:szCs w:val="20"/>
    </w:rPr>
  </w:style>
  <w:style w:type="paragraph" w:customStyle="1" w:styleId="39">
    <w:name w:val="规程英文名称（封面）"/>
    <w:basedOn w:val="5"/>
    <w:uiPriority w:val="0"/>
    <w:pPr>
      <w:widowControl/>
      <w:snapToGrid w:val="0"/>
      <w:spacing w:line="360" w:lineRule="auto"/>
      <w:ind w:left="178" w:leftChars="85"/>
      <w:jc w:val="center"/>
    </w:pPr>
    <w:rPr>
      <w:rFonts w:ascii="Times New Roman" w:hAnsi="Times New Roman" w:eastAsia="黑体" w:cs="Times New Roman"/>
      <w:sz w:val="44"/>
      <w:szCs w:val="44"/>
    </w:rPr>
  </w:style>
  <w:style w:type="character" w:customStyle="1" w:styleId="40">
    <w:name w:val="纯文本 Char"/>
    <w:basedOn w:val="15"/>
    <w:link w:val="5"/>
    <w:semiHidden/>
    <w:uiPriority w:val="99"/>
    <w:rPr>
      <w:rFonts w:hAnsi="Courier New" w:cs="Courier New" w:asciiTheme="minorEastAsia"/>
      <w:kern w:val="0"/>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oleObject" Target="embeddings/oleObject53.bin"/><Relationship Id="rId97" Type="http://schemas.openxmlformats.org/officeDocument/2006/relationships/oleObject" Target="embeddings/oleObject52.bin"/><Relationship Id="rId96" Type="http://schemas.openxmlformats.org/officeDocument/2006/relationships/oleObject" Target="embeddings/oleObject51.bin"/><Relationship Id="rId95" Type="http://schemas.openxmlformats.org/officeDocument/2006/relationships/oleObject" Target="embeddings/oleObject50.bin"/><Relationship Id="rId94" Type="http://schemas.openxmlformats.org/officeDocument/2006/relationships/oleObject" Target="embeddings/oleObject49.bin"/><Relationship Id="rId93" Type="http://schemas.openxmlformats.org/officeDocument/2006/relationships/oleObject" Target="embeddings/oleObject48.bin"/><Relationship Id="rId92" Type="http://schemas.openxmlformats.org/officeDocument/2006/relationships/oleObject" Target="embeddings/oleObject47.bin"/><Relationship Id="rId91" Type="http://schemas.openxmlformats.org/officeDocument/2006/relationships/oleObject" Target="embeddings/oleObject46.bin"/><Relationship Id="rId90" Type="http://schemas.openxmlformats.org/officeDocument/2006/relationships/oleObject" Target="embeddings/oleObject45.bin"/><Relationship Id="rId9" Type="http://schemas.openxmlformats.org/officeDocument/2006/relationships/footer" Target="footer4.xml"/><Relationship Id="rId89" Type="http://schemas.openxmlformats.org/officeDocument/2006/relationships/oleObject" Target="embeddings/oleObject44.bin"/><Relationship Id="rId88" Type="http://schemas.openxmlformats.org/officeDocument/2006/relationships/oleObject" Target="embeddings/oleObject43.bin"/><Relationship Id="rId87" Type="http://schemas.openxmlformats.org/officeDocument/2006/relationships/oleObject" Target="embeddings/oleObject42.bin"/><Relationship Id="rId86" Type="http://schemas.openxmlformats.org/officeDocument/2006/relationships/oleObject" Target="embeddings/oleObject41.bin"/><Relationship Id="rId85" Type="http://schemas.openxmlformats.org/officeDocument/2006/relationships/oleObject" Target="embeddings/oleObject40.bin"/><Relationship Id="rId84" Type="http://schemas.openxmlformats.org/officeDocument/2006/relationships/oleObject" Target="embeddings/oleObject39.bin"/><Relationship Id="rId83" Type="http://schemas.openxmlformats.org/officeDocument/2006/relationships/oleObject" Target="embeddings/oleObject38.bin"/><Relationship Id="rId82" Type="http://schemas.openxmlformats.org/officeDocument/2006/relationships/oleObject" Target="embeddings/oleObject37.bin"/><Relationship Id="rId81" Type="http://schemas.openxmlformats.org/officeDocument/2006/relationships/image" Target="media/image35.wmf"/><Relationship Id="rId80" Type="http://schemas.openxmlformats.org/officeDocument/2006/relationships/oleObject" Target="embeddings/oleObject36.bin"/><Relationship Id="rId8" Type="http://schemas.openxmlformats.org/officeDocument/2006/relationships/footer" Target="footer3.xml"/><Relationship Id="rId79" Type="http://schemas.openxmlformats.org/officeDocument/2006/relationships/image" Target="media/image34.wmf"/><Relationship Id="rId78" Type="http://schemas.openxmlformats.org/officeDocument/2006/relationships/oleObject" Target="embeddings/oleObject35.bin"/><Relationship Id="rId77" Type="http://schemas.openxmlformats.org/officeDocument/2006/relationships/image" Target="media/image33.wmf"/><Relationship Id="rId76" Type="http://schemas.openxmlformats.org/officeDocument/2006/relationships/oleObject" Target="embeddings/oleObject34.bin"/><Relationship Id="rId75" Type="http://schemas.openxmlformats.org/officeDocument/2006/relationships/image" Target="media/image32.wmf"/><Relationship Id="rId74" Type="http://schemas.openxmlformats.org/officeDocument/2006/relationships/oleObject" Target="embeddings/oleObject33.bin"/><Relationship Id="rId73" Type="http://schemas.openxmlformats.org/officeDocument/2006/relationships/image" Target="media/image31.wmf"/><Relationship Id="rId72" Type="http://schemas.openxmlformats.org/officeDocument/2006/relationships/oleObject" Target="embeddings/oleObject32.bin"/><Relationship Id="rId71" Type="http://schemas.openxmlformats.org/officeDocument/2006/relationships/oleObject" Target="embeddings/oleObject31.bin"/><Relationship Id="rId70" Type="http://schemas.openxmlformats.org/officeDocument/2006/relationships/oleObject" Target="embeddings/oleObject30.bin"/><Relationship Id="rId7" Type="http://schemas.openxmlformats.org/officeDocument/2006/relationships/footer" Target="footer2.xml"/><Relationship Id="rId69" Type="http://schemas.openxmlformats.org/officeDocument/2006/relationships/image" Target="media/image30.wmf"/><Relationship Id="rId68" Type="http://schemas.openxmlformats.org/officeDocument/2006/relationships/oleObject" Target="embeddings/oleObject29.bin"/><Relationship Id="rId67" Type="http://schemas.openxmlformats.org/officeDocument/2006/relationships/image" Target="media/image29.wmf"/><Relationship Id="rId66" Type="http://schemas.openxmlformats.org/officeDocument/2006/relationships/oleObject" Target="embeddings/oleObject28.bin"/><Relationship Id="rId65" Type="http://schemas.openxmlformats.org/officeDocument/2006/relationships/image" Target="media/image28.wmf"/><Relationship Id="rId64" Type="http://schemas.openxmlformats.org/officeDocument/2006/relationships/oleObject" Target="embeddings/oleObject27.bin"/><Relationship Id="rId63" Type="http://schemas.openxmlformats.org/officeDocument/2006/relationships/image" Target="media/image27.wmf"/><Relationship Id="rId62" Type="http://schemas.openxmlformats.org/officeDocument/2006/relationships/oleObject" Target="embeddings/oleObject26.bin"/><Relationship Id="rId61" Type="http://schemas.openxmlformats.org/officeDocument/2006/relationships/image" Target="media/image26.wmf"/><Relationship Id="rId60" Type="http://schemas.openxmlformats.org/officeDocument/2006/relationships/oleObject" Target="embeddings/oleObject25.bin"/><Relationship Id="rId6" Type="http://schemas.openxmlformats.org/officeDocument/2006/relationships/footer" Target="footer1.xml"/><Relationship Id="rId59" Type="http://schemas.openxmlformats.org/officeDocument/2006/relationships/image" Target="media/image25.wmf"/><Relationship Id="rId58" Type="http://schemas.openxmlformats.org/officeDocument/2006/relationships/oleObject" Target="embeddings/oleObject24.bin"/><Relationship Id="rId57" Type="http://schemas.openxmlformats.org/officeDocument/2006/relationships/image" Target="media/image24.wmf"/><Relationship Id="rId56" Type="http://schemas.openxmlformats.org/officeDocument/2006/relationships/oleObject" Target="embeddings/oleObject23.bin"/><Relationship Id="rId55" Type="http://schemas.openxmlformats.org/officeDocument/2006/relationships/image" Target="media/image23.wmf"/><Relationship Id="rId54" Type="http://schemas.openxmlformats.org/officeDocument/2006/relationships/oleObject" Target="embeddings/oleObject22.bin"/><Relationship Id="rId53" Type="http://schemas.openxmlformats.org/officeDocument/2006/relationships/image" Target="media/image22.wmf"/><Relationship Id="rId52" Type="http://schemas.openxmlformats.org/officeDocument/2006/relationships/oleObject" Target="embeddings/oleObject21.bin"/><Relationship Id="rId51" Type="http://schemas.openxmlformats.org/officeDocument/2006/relationships/image" Target="media/image21.png"/><Relationship Id="rId50" Type="http://schemas.openxmlformats.org/officeDocument/2006/relationships/image" Target="media/image20.wmf"/><Relationship Id="rId5" Type="http://schemas.openxmlformats.org/officeDocument/2006/relationships/header" Target="header3.xml"/><Relationship Id="rId49" Type="http://schemas.openxmlformats.org/officeDocument/2006/relationships/oleObject" Target="embeddings/oleObject20.bin"/><Relationship Id="rId48" Type="http://schemas.openxmlformats.org/officeDocument/2006/relationships/image" Target="media/image19.wmf"/><Relationship Id="rId47" Type="http://schemas.openxmlformats.org/officeDocument/2006/relationships/oleObject" Target="embeddings/oleObject19.bin"/><Relationship Id="rId46" Type="http://schemas.openxmlformats.org/officeDocument/2006/relationships/image" Target="media/image18.wmf"/><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image" Target="media/image14.emf"/><Relationship Id="rId37" Type="http://schemas.openxmlformats.org/officeDocument/2006/relationships/image" Target="media/image13.wmf"/><Relationship Id="rId36" Type="http://schemas.openxmlformats.org/officeDocument/2006/relationships/oleObject" Target="embeddings/oleObject14.bin"/><Relationship Id="rId35" Type="http://schemas.openxmlformats.org/officeDocument/2006/relationships/image" Target="media/image12.wmf"/><Relationship Id="rId34" Type="http://schemas.openxmlformats.org/officeDocument/2006/relationships/oleObject" Target="embeddings/oleObject13.bin"/><Relationship Id="rId33" Type="http://schemas.openxmlformats.org/officeDocument/2006/relationships/image" Target="media/image11.wmf"/><Relationship Id="rId32" Type="http://schemas.openxmlformats.org/officeDocument/2006/relationships/oleObject" Target="embeddings/oleObject12.bin"/><Relationship Id="rId31" Type="http://schemas.openxmlformats.org/officeDocument/2006/relationships/image" Target="media/image10.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3" Type="http://schemas.openxmlformats.org/officeDocument/2006/relationships/fontTable" Target="fontTable.xml"/><Relationship Id="rId122" Type="http://schemas.openxmlformats.org/officeDocument/2006/relationships/customXml" Target="../customXml/item2.xml"/><Relationship Id="rId121" Type="http://schemas.openxmlformats.org/officeDocument/2006/relationships/numbering" Target="numbering.xml"/><Relationship Id="rId120" Type="http://schemas.openxmlformats.org/officeDocument/2006/relationships/customXml" Target="../customXml/item1.xml"/><Relationship Id="rId12" Type="http://schemas.openxmlformats.org/officeDocument/2006/relationships/image" Target="media/image1.wmf"/><Relationship Id="rId119" Type="http://schemas.openxmlformats.org/officeDocument/2006/relationships/oleObject" Target="embeddings/oleObject74.bin"/><Relationship Id="rId118" Type="http://schemas.openxmlformats.org/officeDocument/2006/relationships/oleObject" Target="embeddings/oleObject73.bin"/><Relationship Id="rId117" Type="http://schemas.openxmlformats.org/officeDocument/2006/relationships/oleObject" Target="embeddings/oleObject72.bin"/><Relationship Id="rId116" Type="http://schemas.openxmlformats.org/officeDocument/2006/relationships/oleObject" Target="embeddings/oleObject71.bin"/><Relationship Id="rId115" Type="http://schemas.openxmlformats.org/officeDocument/2006/relationships/oleObject" Target="embeddings/oleObject70.bin"/><Relationship Id="rId114" Type="http://schemas.openxmlformats.org/officeDocument/2006/relationships/oleObject" Target="embeddings/oleObject69.bin"/><Relationship Id="rId113" Type="http://schemas.openxmlformats.org/officeDocument/2006/relationships/oleObject" Target="embeddings/oleObject68.bin"/><Relationship Id="rId112" Type="http://schemas.openxmlformats.org/officeDocument/2006/relationships/oleObject" Target="embeddings/oleObject67.bin"/><Relationship Id="rId111" Type="http://schemas.openxmlformats.org/officeDocument/2006/relationships/oleObject" Target="embeddings/oleObject66.bin"/><Relationship Id="rId110" Type="http://schemas.openxmlformats.org/officeDocument/2006/relationships/oleObject" Target="embeddings/oleObject65.bin"/><Relationship Id="rId11" Type="http://schemas.openxmlformats.org/officeDocument/2006/relationships/oleObject" Target="embeddings/oleObject1.bin"/><Relationship Id="rId109" Type="http://schemas.openxmlformats.org/officeDocument/2006/relationships/oleObject" Target="embeddings/oleObject64.bin"/><Relationship Id="rId108" Type="http://schemas.openxmlformats.org/officeDocument/2006/relationships/oleObject" Target="embeddings/oleObject63.bin"/><Relationship Id="rId107" Type="http://schemas.openxmlformats.org/officeDocument/2006/relationships/oleObject" Target="embeddings/oleObject62.bin"/><Relationship Id="rId106" Type="http://schemas.openxmlformats.org/officeDocument/2006/relationships/oleObject" Target="embeddings/oleObject61.bin"/><Relationship Id="rId105" Type="http://schemas.openxmlformats.org/officeDocument/2006/relationships/oleObject" Target="embeddings/oleObject60.bin"/><Relationship Id="rId104" Type="http://schemas.openxmlformats.org/officeDocument/2006/relationships/oleObject" Target="embeddings/oleObject59.bin"/><Relationship Id="rId103" Type="http://schemas.openxmlformats.org/officeDocument/2006/relationships/oleObject" Target="embeddings/oleObject58.bin"/><Relationship Id="rId102" Type="http://schemas.openxmlformats.org/officeDocument/2006/relationships/oleObject" Target="embeddings/oleObject57.bin"/><Relationship Id="rId101" Type="http://schemas.openxmlformats.org/officeDocument/2006/relationships/oleObject" Target="embeddings/oleObject56.bin"/><Relationship Id="rId100" Type="http://schemas.openxmlformats.org/officeDocument/2006/relationships/oleObject" Target="embeddings/oleObject55.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7D778-1EDC-4ED1-BDF5-88D9CC82586E}">
  <ds:schemaRefs/>
</ds:datastoreItem>
</file>

<file path=docProps/app.xml><?xml version="1.0" encoding="utf-8"?>
<Properties xmlns="http://schemas.openxmlformats.org/officeDocument/2006/extended-properties" xmlns:vt="http://schemas.openxmlformats.org/officeDocument/2006/docPropsVTypes">
  <Template>Normal</Template>
  <Pages>31</Pages>
  <Words>2970</Words>
  <Characters>16934</Characters>
  <Lines>141</Lines>
  <Paragraphs>39</Paragraphs>
  <TotalTime>98</TotalTime>
  <ScaleCrop>false</ScaleCrop>
  <LinksUpToDate>false</LinksUpToDate>
  <CharactersWithSpaces>19865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2019-12-27T06:23:00Z</dcterms:created>
  <dc:creator>wei zheng</dc:creator>
  <cp:lastModifiedBy>Administrator</cp:lastModifiedBy>
  <dcterms:modified xsi:type="dcterms:W3CDTF">2020-01-13T06:37:36Z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