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framePr/>
      </w:pP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0"/>
              <w:framePr/>
            </w:pPr>
            <w: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0</wp:posOffset>
                      </wp:positionV>
                      <wp:extent cx="866775" cy="198120"/>
                      <wp:effectExtent l="0" t="0" r="4445" b="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824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WAUky/M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YBSTL8wEAANIDAAAOAAAAAAAAAAEAIAAAACQBAABkcnMvZTJvRG9jLnhtbFBLBQYA&#10;AAAABgAGAFkBAACJBQAAAAA=&#10;">
                      <v:fill on="t" focussize="0,0"/>
                      <v:stroke on="f"/>
                      <v:imagedata o:title=""/>
                      <o:lock v:ext="edit" aspectratio="f"/>
                    </v:rect>
                  </w:pict>
                </mc:Fallback>
              </mc:AlternateContent>
            </w:r>
          </w:p>
        </w:tc>
      </w:tr>
    </w:tbl>
    <w:p>
      <w:pPr>
        <w:pStyle w:val="84"/>
        <w:framePr/>
        <w:rPr>
          <w:rFonts w:hAnsi="黑体"/>
        </w:rPr>
      </w:pPr>
      <w:r>
        <w:rPr>
          <w:rFonts w:hint="eastAsia" w:hAnsi="黑体"/>
        </w:rPr>
        <w:t>T</w:t>
      </w:r>
      <w:r>
        <w:rPr>
          <w:rFonts w:hAnsi="黑体"/>
        </w:rPr>
        <w:t>/</w:t>
      </w:r>
      <w:r>
        <w:rPr>
          <w:rFonts w:hint="eastAsia" w:hAnsi="黑体"/>
        </w:rPr>
        <w:t>CECS 1000X</w:t>
      </w:r>
      <w:r>
        <w:rPr>
          <w:rFonts w:hAnsi="黑体"/>
        </w:rPr>
        <w:t>—</w:t>
      </w:r>
      <w:bookmarkStart w:id="0"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bookmarkEnd w:id="0"/>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2"/>
              <w:framePr/>
            </w:pPr>
            <w:bookmarkStart w:id="1" w:name="DT"/>
            <w:r>
              <mc:AlternateContent>
                <mc:Choice Requires="wps">
                  <w:drawing>
                    <wp:anchor distT="0" distB="0" distL="114300" distR="114300" simplePos="0" relativeHeight="251655168"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6131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Dyy9YAAAAIAQAADwAAAAAAAAABACAAAAAiAAAAZHJzL2Rvd25yZXYueG1sUEsBAhQAFAAAAAgA&#10;h07iQDfHGzLuAQAA0gMAAA4AAAAAAAAAAQAgAAAAJQEAAGRycy9lMm9Eb2MueG1sUEsFBgAAAAAG&#10;AAYAWQEAAIUFAAAAAA==&#10;">
                      <v:fill on="t" focussize="0,0"/>
                      <v:stroke on="f"/>
                      <v:imagedata o:title=""/>
                      <o:lock v:ext="edit" aspectratio="f"/>
                    </v:rect>
                  </w:pict>
                </mc:Fallback>
              </mc:AlternateContent>
            </w:r>
            <w:bookmarkEnd w:id="1"/>
          </w:p>
        </w:tc>
      </w:tr>
    </w:tbl>
    <w:p>
      <w:pPr>
        <w:pStyle w:val="84"/>
        <w:framePr/>
        <w:rPr>
          <w:rFonts w:hAnsi="黑体"/>
        </w:rPr>
      </w:pPr>
    </w:p>
    <w:p>
      <w:pPr>
        <w:pStyle w:val="84"/>
        <w:framePr/>
        <w:rPr>
          <w:rFonts w:hAnsi="黑体"/>
        </w:rPr>
      </w:pPr>
    </w:p>
    <w:p>
      <w:pPr>
        <w:pStyle w:val="69"/>
        <w:framePr/>
      </w:pPr>
      <w:r>
        <w:rPr>
          <w:rFonts w:hint="eastAsia"/>
        </w:rPr>
        <w:t>绿色建材评价  隔墙隔断材料</w:t>
      </w:r>
    </w:p>
    <w:p>
      <w:pPr>
        <w:pStyle w:val="68"/>
        <w:framePr/>
      </w:pPr>
      <w:r>
        <w:t>Assessment standard for green building materials</w:t>
      </w:r>
      <w:r>
        <w:rPr>
          <w:rFonts w:hint="eastAsia"/>
        </w:rPr>
        <w:t>–</w:t>
      </w:r>
      <w:r>
        <w:t>partition wall partition material</w:t>
      </w:r>
    </w:p>
    <w:p>
      <w:pPr>
        <w:pStyle w:val="67"/>
        <w:framePr/>
      </w:pP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66"/>
              <w:framePr/>
            </w:pPr>
            <w:r>
              <mc:AlternateContent>
                <mc:Choice Requires="wps">
                  <w:drawing>
                    <wp:anchor distT="0" distB="0" distL="114300" distR="114300" simplePos="0" relativeHeight="251657216"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926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FapO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m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CFapO4BAADSAwAADgAAAAAAAAABACAAAAAkAQAAZHJzL2Uyb0RvYy54bWxQSwUGAAAAAAYA&#10;BgBZAQAAhAUAAAAA&#10;">
                      <v:fill on="t" focussize="0,0"/>
                      <v:stroke on="f"/>
                      <v:imagedata o:title=""/>
                      <o:lock v:ext="edit" aspectratio="f"/>
                      <w10:anchorlock/>
                    </v:rect>
                  </w:pict>
                </mc:Fallback>
              </mc:AlternateContent>
            </w:r>
            <w:r>
              <mc:AlternateContent>
                <mc:Choice Requires="wps">
                  <w:drawing>
                    <wp:anchor distT="0" distB="0" distL="114300" distR="114300" simplePos="0" relativeHeight="251656192"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6028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4Yvl1gAAAAkBAAAPAAAAAAAAAAEAIAAAACIAAABkcnMvZG93bnJldi54bWxQSwECFAAUAAAACACH&#10;TuJAHzkyPO0BAADSAwAADgAAAAAAAAABACAAAAAlAQAAZHJzL2Uyb0RvYy54bWxQSwUGAAAAAAYA&#10;BgBZAQAAhA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65"/>
              <w:framePr/>
              <w:rPr>
                <w:sz w:val="24"/>
                <w:szCs w:val="24"/>
              </w:rPr>
            </w:pPr>
            <w:r>
              <w:rPr>
                <w:rFonts w:hint="eastAsia"/>
                <w:sz w:val="24"/>
                <w:szCs w:val="24"/>
              </w:rPr>
              <w:t>征求意见稿</w:t>
            </w:r>
          </w:p>
        </w:tc>
      </w:tr>
    </w:tbl>
    <w:p>
      <w:pPr>
        <w:pStyle w:val="120"/>
        <w:framePr w:hAnchor="page" w:x="1366" w:y="14176"/>
      </w:pPr>
      <w:bookmarkStart w:id="2"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5824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h2s81gAAAAsBAAAPAAAAAAAAAAEAIAAAACIAAABkcnMvZG93bnJldi54bWxQSwEC&#10;FAAUAAAACACHTuJAMeBPP70BAABUAwAADgAAAAAAAAABACAAAAAlAQAAZHJzL2Uyb0RvYy54bWxQ&#10;SwUGAAAAAAYABgBZAQAAVAUAAAAA&#10;">
                <v:fill on="f" focussize="0,0"/>
                <v:stroke color="#000000" joinstyle="round"/>
                <v:imagedata o:title=""/>
                <o:lock v:ext="edit" aspectratio="f"/>
                <w10:anchorlock/>
              </v:line>
            </w:pict>
          </mc:Fallback>
        </mc:AlternateContent>
      </w:r>
    </w:p>
    <w:p>
      <w:pPr>
        <w:pStyle w:val="104"/>
        <w:framePr w:hAnchor="page" w:x="6976" w:y="14191"/>
      </w:pPr>
      <w:bookmarkStart w:id="4"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pPr>
        <w:pStyle w:val="126"/>
        <w:framePr/>
      </w:pPr>
      <w:r>
        <w:rPr>
          <w:rFonts w:hint="eastAsia"/>
        </w:rPr>
        <w:t>中国工程建设标准化协会</w:t>
      </w:r>
      <w:r>
        <w:rPr>
          <w:rFonts w:hint="eastAsia" w:ascii="MS Mincho" w:hAnsi="MS Mincho" w:eastAsia="MS Mincho" w:cs="MS Mincho"/>
        </w:rPr>
        <w:t>   </w:t>
      </w:r>
      <w:r>
        <w:rPr>
          <w:rStyle w:val="44"/>
          <w:rFonts w:hint="eastAsia"/>
        </w:rPr>
        <w:t>发布</w:t>
      </w:r>
    </w:p>
    <w:p>
      <w:pPr>
        <w:pStyle w:val="23"/>
        <w:sectPr>
          <w:pgSz w:w="11906" w:h="16838"/>
          <w:pgMar w:top="567" w:right="850" w:bottom="1134" w:left="1418" w:header="0" w:footer="0" w:gutter="0"/>
          <w:pgNumType w:start="1"/>
          <w:cols w:space="720" w:num="1"/>
          <w:docGrid w:type="lines" w:linePitch="312" w:charSpace="0"/>
        </w:sectPr>
      </w:pPr>
      <w:bookmarkStart w:id="55" w:name="_GoBack"/>
      <w:bookmarkEnd w:id="55"/>
      <w:r>
        <mc:AlternateContent>
          <mc:Choice Requires="wps">
            <w:drawing>
              <wp:anchor distT="0" distB="0" distL="114300" distR="114300" simplePos="0" relativeHeight="251662336" behindDoc="0" locked="0" layoutInCell="1" allowOverlap="1">
                <wp:simplePos x="0" y="0"/>
                <wp:positionH relativeFrom="column">
                  <wp:posOffset>-74295</wp:posOffset>
                </wp:positionH>
                <wp:positionV relativeFrom="paragraph">
                  <wp:posOffset>8956040</wp:posOffset>
                </wp:positionV>
                <wp:extent cx="6120130" cy="0"/>
                <wp:effectExtent l="0" t="0" r="33655" b="19050"/>
                <wp:wrapNone/>
                <wp:docPr id="9" name="直线 11"/>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5.85pt;margin-top:705.2pt;height:0pt;width:481.9pt;z-index:251662336;mso-width-relative:page;mso-height-relative:page;" filled="f" stroked="t" coordsize="21600,21600" o:gfxdata="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gmTInYAAAADQEAAA8AAAAAAAAAAQAgAAAAIgAAAGRycy9kb3ducmV2LnhtbFBLAQIU&#10;ABQAAAAIAIdO4kBh99NIugEAAFQDAAAOAAAAAAAAAAEAIAAAACcBAABkcnMvZTJvRG9jLnhtbFBL&#10;BQYAAAAABgAGAFkBAABT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965835</wp:posOffset>
                </wp:positionV>
                <wp:extent cx="6119495" cy="695325"/>
                <wp:effectExtent l="12700" t="5715" r="11430" b="13335"/>
                <wp:wrapNone/>
                <wp:docPr id="2"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37" o:spid="_x0000_s1026" o:spt="202" type="#_x0000_t202" style="position:absolute;left:0pt;margin-left:-0.45pt;margin-top:76.05pt;height:54.75pt;width:481.85pt;z-index:251660288;mso-width-relative:page;mso-height-relative:margin;mso-height-percent:200;" fillcolor="#FFFFFF" filled="t" stroked="t" coordsize="21600,21600" o:gfxdata="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hhI&#10;2dkAAAAJAQAADwAAAAAAAAABACAAAAAiAAAAZHJzL2Rvd25yZXYueG1sUEsBAhQAFAAAAAgAh07i&#10;QOlMLAUhAgAAOgQAAA4AAAAAAAAAAQAgAAAAKAEAAGRycy9lMm9Eb2MueG1sUEsFBgAAAAAGAAYA&#10;WQEAALsFAAAAAA==&#10;">
                <v:fill on="t" focussize="0,0"/>
                <v:stroke color="#FFFFFF" miterlimit="8"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kHiX9cAAAAJAQAADwAAAAAAAAABACAAAAAiAAAAZHJzL2Rvd25yZXYueG1sUEsBAhQA&#10;FAAAAAgAh07iQJFJtw+6AQAAVAMAAA4AAAAAAAAAAQAgAAAAJgEAAGRycy9lMm9Eb2MueG1sUEsF&#10;BgAAAAAGAAYAWQEAAFIFAAAAAA==&#10;">
                <v:fill on="f" focussize="0,0"/>
                <v:stroke color="#000000" joinstyle="round"/>
                <v:imagedata o:title=""/>
                <o:lock v:ext="edit" aspectratio="f"/>
              </v:line>
            </w:pict>
          </mc:Fallback>
        </mc:AlternateContent>
      </w:r>
    </w:p>
    <w:p>
      <w:pPr>
        <w:pStyle w:val="118"/>
      </w:pPr>
      <w:bookmarkStart w:id="7" w:name="_Toc524004770"/>
      <w:bookmarkStart w:id="8" w:name="_Toc533683337"/>
      <w:r>
        <w:rPr>
          <w:rFonts w:hint="eastAsia"/>
        </w:rPr>
        <w:t>前</w:t>
      </w:r>
      <w:bookmarkStart w:id="9" w:name="BKQY"/>
      <w:r>
        <w:rPr>
          <w:rFonts w:hint="eastAsia" w:ascii="MS Mincho" w:hAnsi="MS Mincho" w:eastAsia="MS Mincho" w:cs="MS Mincho"/>
        </w:rPr>
        <w:t>  </w:t>
      </w:r>
      <w:r>
        <w:rPr>
          <w:rFonts w:hint="eastAsia"/>
        </w:rPr>
        <w:t>言</w:t>
      </w:r>
      <w:bookmarkEnd w:id="7"/>
      <w:bookmarkEnd w:id="8"/>
      <w:bookmarkEnd w:id="9"/>
    </w:p>
    <w:p>
      <w:pPr>
        <w:pStyle w:val="23"/>
      </w:pPr>
      <w:r>
        <w:t>本标准按照GB/T 1.1-2009给出的规则起草。</w:t>
      </w:r>
    </w:p>
    <w:p>
      <w:pPr>
        <w:pStyle w:val="23"/>
      </w:pPr>
      <w:r>
        <w:t>本标准按中国工程建设标准化协会《关于印发&lt;中国工程建设标准化协会2017年第三批产品标准试点项目计划&gt;的通知》（建标协字</w:t>
      </w:r>
      <w:r>
        <w:rPr>
          <w:rFonts w:hint="eastAsia"/>
        </w:rPr>
        <w:t>〔2017〕034号</w:t>
      </w:r>
      <w:r>
        <w:t>）的要求制定。</w:t>
      </w:r>
    </w:p>
    <w:p>
      <w:pPr>
        <w:pStyle w:val="23"/>
      </w:pPr>
      <w:r>
        <w:rPr>
          <w:rFonts w:hint="eastAsia"/>
        </w:rPr>
        <w:t>本标准的某些内容可能直接或间接涉及专利，本标准的发布机构不承担识别这些专利的责任。</w:t>
      </w:r>
    </w:p>
    <w:p>
      <w:pPr>
        <w:pStyle w:val="23"/>
      </w:pPr>
      <w:r>
        <w:rPr>
          <w:rFonts w:hint="eastAsia"/>
        </w:rPr>
        <w:t>本标准由中国工程建设标准化协会提出。</w:t>
      </w:r>
    </w:p>
    <w:p>
      <w:pPr>
        <w:pStyle w:val="23"/>
      </w:pPr>
      <w:r>
        <w:t>本标准由中国工程建设标准化协会绿色建筑与生态城区专业委员会归口。</w:t>
      </w:r>
    </w:p>
    <w:p>
      <w:pPr>
        <w:pStyle w:val="23"/>
      </w:pPr>
      <w:r>
        <w:rPr>
          <w:rFonts w:hint="eastAsia"/>
        </w:rPr>
        <w:t>本标准负责起草单位：</w:t>
      </w:r>
    </w:p>
    <w:p>
      <w:pPr>
        <w:pStyle w:val="23"/>
      </w:pPr>
      <w:r>
        <w:rPr>
          <w:rFonts w:hint="eastAsia"/>
        </w:rPr>
        <w:t>本标准参加起草单位：</w:t>
      </w:r>
    </w:p>
    <w:p>
      <w:pPr>
        <w:pStyle w:val="23"/>
      </w:pPr>
      <w:r>
        <w:rPr>
          <w:rFonts w:hint="eastAsia"/>
        </w:rPr>
        <w:t>本标准主要起草人：</w:t>
      </w:r>
    </w:p>
    <w:p>
      <w:pPr>
        <w:pStyle w:val="23"/>
      </w:pPr>
      <w:r>
        <w:rPr>
          <w:rFonts w:hint="eastAsia"/>
        </w:rPr>
        <w:t>本标准主要审查人：</w:t>
      </w:r>
    </w:p>
    <w:p>
      <w:pPr>
        <w:pStyle w:val="23"/>
      </w:pPr>
    </w:p>
    <w:p>
      <w:pPr>
        <w:pStyle w:val="23"/>
        <w:rPr>
          <w:rFonts w:ascii="Times New Roman"/>
        </w:rPr>
      </w:pPr>
    </w:p>
    <w:p>
      <w:pPr>
        <w:pStyle w:val="23"/>
        <w:rPr>
          <w:rFonts w:ascii="Times New Roma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123"/>
        <w:rPr>
          <w:rFonts w:ascii="Times New Roman"/>
        </w:rPr>
      </w:pPr>
      <w:r>
        <w:rPr>
          <w:rFonts w:ascii="Times New Roman"/>
        </w:rPr>
        <w:t>目</w:t>
      </w:r>
      <w:bookmarkStart w:id="10" w:name="BKML"/>
      <w:r>
        <w:rPr>
          <w:rFonts w:ascii="Times New Roman" w:hAnsi="MS Mincho" w:eastAsia="MS Mincho"/>
        </w:rPr>
        <w:t>  </w:t>
      </w:r>
      <w:r>
        <w:rPr>
          <w:rFonts w:ascii="Times New Roman"/>
        </w:rPr>
        <w:t>次</w:t>
      </w:r>
      <w:bookmarkEnd w:id="10"/>
    </w:p>
    <w:p>
      <w:pPr>
        <w:pStyle w:val="19"/>
        <w:spacing w:before="78" w:after="78"/>
        <w:rPr>
          <w:rFonts w:ascii="Times New Roman"/>
          <w:szCs w:val="24"/>
        </w:rPr>
      </w:pPr>
      <w:r>
        <w:rPr>
          <w:rFonts w:ascii="Times New Roman"/>
        </w:rPr>
        <w:fldChar w:fldCharType="begin"/>
      </w:r>
      <w:r>
        <w:rPr>
          <w:rFonts w:ascii="Times New Roman"/>
        </w:rPr>
        <w:instrText xml:space="preserve"> TOC \h \z \t "前言、引言标题,1,参考文献、索引标题,1,章标题,1,参考文献,1,附录标识,1,一级条标题,3" </w:instrText>
      </w:r>
      <w:r>
        <w:rPr>
          <w:rFonts w:ascii="Times New Roman"/>
        </w:rPr>
        <w:fldChar w:fldCharType="separate"/>
      </w:r>
      <w:r>
        <w:fldChar w:fldCharType="begin"/>
      </w:r>
      <w:r>
        <w:instrText xml:space="preserve"> HYPERLINK \l "_Toc533683338" </w:instrText>
      </w:r>
      <w:r>
        <w:fldChar w:fldCharType="separate"/>
      </w:r>
      <w:r>
        <w:rPr>
          <w:rStyle w:val="39"/>
          <w:rFonts w:ascii="Times New Roman"/>
        </w:rPr>
        <w:t>1 范围</w:t>
      </w:r>
      <w:r>
        <w:rPr>
          <w:rFonts w:ascii="Times New Roman"/>
        </w:rPr>
        <w:tab/>
      </w:r>
      <w:r>
        <w:rPr>
          <w:rFonts w:ascii="Times New Roman"/>
        </w:rPr>
        <w:fldChar w:fldCharType="begin"/>
      </w:r>
      <w:r>
        <w:rPr>
          <w:rFonts w:ascii="Times New Roman"/>
        </w:rPr>
        <w:instrText xml:space="preserve"> PAGEREF _Toc533683338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19"/>
        <w:spacing w:before="78" w:after="78"/>
        <w:rPr>
          <w:rFonts w:ascii="Times New Roman"/>
          <w:szCs w:val="24"/>
        </w:rPr>
      </w:pPr>
      <w:r>
        <w:fldChar w:fldCharType="begin"/>
      </w:r>
      <w:r>
        <w:instrText xml:space="preserve"> HYPERLINK \l "_Toc533683339" </w:instrText>
      </w:r>
      <w:r>
        <w:fldChar w:fldCharType="separate"/>
      </w:r>
      <w:r>
        <w:rPr>
          <w:rStyle w:val="39"/>
          <w:rFonts w:ascii="Times New Roman"/>
        </w:rPr>
        <w:t>2 规范性引用文件</w:t>
      </w:r>
      <w:r>
        <w:rPr>
          <w:rFonts w:ascii="Times New Roman"/>
        </w:rPr>
        <w:tab/>
      </w:r>
      <w:r>
        <w:rPr>
          <w:rFonts w:ascii="Times New Roman"/>
        </w:rPr>
        <w:fldChar w:fldCharType="begin"/>
      </w:r>
      <w:r>
        <w:rPr>
          <w:rFonts w:ascii="Times New Roman"/>
        </w:rPr>
        <w:instrText xml:space="preserve"> PAGEREF _Toc533683339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19"/>
        <w:spacing w:before="78" w:after="78"/>
        <w:rPr>
          <w:rFonts w:ascii="Times New Roman"/>
          <w:szCs w:val="24"/>
        </w:rPr>
      </w:pPr>
      <w:r>
        <w:fldChar w:fldCharType="begin"/>
      </w:r>
      <w:r>
        <w:instrText xml:space="preserve"> HYPERLINK \l "_Toc533683340" </w:instrText>
      </w:r>
      <w:r>
        <w:fldChar w:fldCharType="separate"/>
      </w:r>
      <w:r>
        <w:rPr>
          <w:rStyle w:val="39"/>
          <w:rFonts w:ascii="Times New Roman"/>
          <w:bCs/>
        </w:rPr>
        <w:t>3 术语和定义</w:t>
      </w:r>
      <w:r>
        <w:rPr>
          <w:rFonts w:ascii="Times New Roman"/>
        </w:rPr>
        <w:tab/>
      </w:r>
      <w:r>
        <w:rPr>
          <w:rFonts w:ascii="Times New Roman"/>
        </w:rPr>
        <w:fldChar w:fldCharType="begin"/>
      </w:r>
      <w:r>
        <w:rPr>
          <w:rFonts w:ascii="Times New Roman"/>
        </w:rPr>
        <w:instrText xml:space="preserve"> PAGEREF _Toc533683340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19"/>
        <w:spacing w:before="78" w:after="78"/>
        <w:rPr>
          <w:rFonts w:ascii="Times New Roman"/>
          <w:szCs w:val="24"/>
        </w:rPr>
      </w:pPr>
      <w:r>
        <w:fldChar w:fldCharType="begin"/>
      </w:r>
      <w:r>
        <w:instrText xml:space="preserve"> HYPERLINK \l "_Toc533683343" </w:instrText>
      </w:r>
      <w:r>
        <w:fldChar w:fldCharType="separate"/>
      </w:r>
      <w:r>
        <w:rPr>
          <w:rStyle w:val="39"/>
          <w:rFonts w:ascii="Times New Roman"/>
          <w:bCs/>
        </w:rPr>
        <w:t>4 评价要求</w:t>
      </w:r>
      <w:r>
        <w:rPr>
          <w:rFonts w:ascii="Times New Roman"/>
        </w:rPr>
        <w:tab/>
      </w:r>
      <w:r>
        <w:rPr>
          <w:rFonts w:ascii="Times New Roman"/>
        </w:rPr>
        <w:fldChar w:fldCharType="begin"/>
      </w:r>
      <w:r>
        <w:rPr>
          <w:rFonts w:ascii="Times New Roman"/>
        </w:rPr>
        <w:instrText xml:space="preserve"> PAGEREF _Toc533683343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19"/>
        <w:spacing w:before="78" w:after="78"/>
        <w:rPr>
          <w:rFonts w:ascii="Times New Roman"/>
          <w:szCs w:val="24"/>
        </w:rPr>
      </w:pPr>
      <w:r>
        <w:fldChar w:fldCharType="begin"/>
      </w:r>
      <w:r>
        <w:instrText xml:space="preserve"> HYPERLINK \l "_Toc533683350" </w:instrText>
      </w:r>
      <w:r>
        <w:fldChar w:fldCharType="separate"/>
      </w:r>
      <w:r>
        <w:rPr>
          <w:rStyle w:val="39"/>
          <w:rFonts w:ascii="Times New Roman"/>
          <w:bCs/>
        </w:rPr>
        <w:t>5 评价方法</w:t>
      </w:r>
      <w:r>
        <w:rPr>
          <w:rFonts w:ascii="Times New Roman"/>
        </w:rPr>
        <w:tab/>
      </w:r>
      <w:r>
        <w:rPr>
          <w:rFonts w:ascii="Times New Roman"/>
        </w:rPr>
        <w:fldChar w:fldCharType="begin"/>
      </w:r>
      <w:r>
        <w:rPr>
          <w:rFonts w:ascii="Times New Roman"/>
        </w:rPr>
        <w:instrText xml:space="preserve"> PAGEREF _Toc533683350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pPr>
        <w:pStyle w:val="19"/>
        <w:spacing w:before="78" w:after="78"/>
        <w:rPr>
          <w:rFonts w:ascii="Times New Roman"/>
          <w:szCs w:val="24"/>
        </w:rPr>
      </w:pPr>
      <w:r>
        <w:fldChar w:fldCharType="begin"/>
      </w:r>
      <w:r>
        <w:instrText xml:space="preserve"> HYPERLINK \l "_Toc533683353" </w:instrText>
      </w:r>
      <w:r>
        <w:fldChar w:fldCharType="separate"/>
      </w:r>
      <w:r>
        <w:rPr>
          <w:rStyle w:val="39"/>
          <w:rFonts w:ascii="Times New Roman"/>
        </w:rPr>
        <w:t>附录A （规范性附录）</w:t>
      </w:r>
      <w:r>
        <w:rPr>
          <w:rStyle w:val="39"/>
          <w:rFonts w:hint="eastAsia" w:ascii="Times New Roman"/>
        </w:rPr>
        <w:t>隔墙隔断材料</w:t>
      </w:r>
      <w:r>
        <w:rPr>
          <w:rStyle w:val="39"/>
          <w:rFonts w:ascii="Times New Roman"/>
        </w:rPr>
        <w:t>产品部分评价指标计算方法</w:t>
      </w:r>
      <w:r>
        <w:rPr>
          <w:rFonts w:ascii="Times New Roman"/>
        </w:rPr>
        <w:tab/>
      </w:r>
      <w:r>
        <w:rPr>
          <w:rFonts w:ascii="Times New Roman"/>
        </w:rPr>
        <w:fldChar w:fldCharType="begin"/>
      </w:r>
      <w:r>
        <w:rPr>
          <w:rFonts w:ascii="Times New Roman"/>
        </w:rPr>
        <w:instrText xml:space="preserve"> PAGEREF _Toc533683353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pPr>
        <w:pStyle w:val="23"/>
        <w:ind w:firstLine="0" w:firstLineChars="0"/>
      </w:pPr>
      <w:r>
        <w:rPr>
          <w:rFonts w:ascii="Times New Roman"/>
          <w:kern w:val="2"/>
          <w:szCs w:val="21"/>
        </w:rPr>
        <w:fldChar w:fldCharType="end"/>
      </w:r>
    </w:p>
    <w:p>
      <w:pPr>
        <w:pStyle w:val="23"/>
        <w:rPr>
          <w:rFonts w:ascii="Times New Roman"/>
        </w:rPr>
        <w:sectPr>
          <w:pgSz w:w="11906" w:h="16838"/>
          <w:pgMar w:top="567" w:right="1134" w:bottom="1134" w:left="1418" w:header="1418" w:footer="1134" w:gutter="0"/>
          <w:pgNumType w:fmt="upperRoman"/>
          <w:cols w:space="720" w:num="1"/>
          <w:formProt w:val="0"/>
          <w:docGrid w:type="lines" w:linePitch="312" w:charSpace="0"/>
        </w:sectPr>
      </w:pPr>
    </w:p>
    <w:p>
      <w:pPr>
        <w:pStyle w:val="123"/>
        <w:rPr>
          <w:rFonts w:ascii="Times New Roman"/>
        </w:rPr>
      </w:pPr>
      <w:r>
        <w:rPr>
          <w:rFonts w:hint="eastAsia" w:ascii="Times New Roman"/>
        </w:rPr>
        <w:t>Content</w:t>
      </w:r>
    </w:p>
    <w:p>
      <w:pPr>
        <w:pStyle w:val="19"/>
        <w:tabs>
          <w:tab w:val="right" w:leader="dot" w:pos="9354"/>
          <w:tab w:val="clear" w:pos="9241"/>
        </w:tabs>
        <w:spacing w:before="78" w:after="78"/>
        <w:rPr>
          <w:rFonts w:ascii="Times New Roman"/>
        </w:rPr>
      </w:pPr>
      <w:r>
        <w:rPr>
          <w:rFonts w:ascii="Times New Roman"/>
          <w:bCs/>
        </w:rPr>
        <w:t>1  Scope</w:t>
      </w:r>
      <w:r>
        <w:rPr>
          <w:rFonts w:ascii="Times New Roman"/>
          <w:bCs/>
        </w:rPr>
        <w:tab/>
      </w:r>
      <w:r>
        <w:rPr>
          <w:rFonts w:ascii="Times New Roman"/>
          <w:bCs/>
        </w:rPr>
        <w:t>1</w:t>
      </w:r>
    </w:p>
    <w:p>
      <w:pPr>
        <w:pStyle w:val="19"/>
        <w:tabs>
          <w:tab w:val="right" w:leader="dot" w:pos="9354"/>
          <w:tab w:val="clear" w:pos="9241"/>
        </w:tabs>
        <w:spacing w:before="78" w:after="78"/>
        <w:rPr>
          <w:rFonts w:ascii="Times New Roman"/>
          <w:bCs/>
        </w:rPr>
      </w:pPr>
      <w:r>
        <w:rPr>
          <w:rFonts w:ascii="Times New Roman"/>
          <w:bCs/>
        </w:rPr>
        <w:t>2  Normative references</w:t>
      </w:r>
      <w:r>
        <w:rPr>
          <w:rFonts w:ascii="Times New Roman"/>
          <w:bCs/>
        </w:rPr>
        <w:tab/>
      </w:r>
      <w:r>
        <w:rPr>
          <w:rFonts w:hint="eastAsia" w:ascii="Times New Roman"/>
          <w:bCs/>
        </w:rPr>
        <w:t>1</w:t>
      </w:r>
    </w:p>
    <w:p>
      <w:pPr>
        <w:pStyle w:val="19"/>
        <w:tabs>
          <w:tab w:val="right" w:leader="dot" w:pos="9354"/>
          <w:tab w:val="clear" w:pos="9241"/>
        </w:tabs>
        <w:spacing w:before="78" w:after="78"/>
        <w:rPr>
          <w:rFonts w:ascii="Times New Roman"/>
        </w:rPr>
      </w:pPr>
      <w:r>
        <w:rPr>
          <w:rFonts w:ascii="Times New Roman"/>
          <w:bCs/>
        </w:rPr>
        <w:t>3  Terms &amp; definitions</w:t>
      </w:r>
      <w:r>
        <w:rPr>
          <w:rFonts w:ascii="Times New Roman"/>
          <w:bCs/>
        </w:rPr>
        <w:tab/>
      </w:r>
      <w:r>
        <w:rPr>
          <w:rFonts w:ascii="Times New Roman"/>
          <w:bCs/>
        </w:rPr>
        <w:t>2</w:t>
      </w:r>
    </w:p>
    <w:p>
      <w:pPr>
        <w:pStyle w:val="19"/>
        <w:tabs>
          <w:tab w:val="right" w:leader="dot" w:pos="9354"/>
          <w:tab w:val="clear" w:pos="9241"/>
        </w:tabs>
        <w:spacing w:before="78" w:after="78"/>
        <w:rPr>
          <w:rFonts w:ascii="Times New Roman"/>
        </w:rPr>
      </w:pPr>
      <w:r>
        <w:rPr>
          <w:rFonts w:ascii="Times New Roman"/>
          <w:bCs/>
        </w:rPr>
        <w:t>4  Assessment requirement</w:t>
      </w:r>
      <w:r>
        <w:rPr>
          <w:rFonts w:ascii="Times New Roman"/>
          <w:bCs/>
        </w:rPr>
        <w:tab/>
      </w:r>
      <w:r>
        <w:rPr>
          <w:rFonts w:hint="eastAsia" w:ascii="Times New Roman"/>
          <w:bCs/>
        </w:rPr>
        <w:t>2</w:t>
      </w:r>
    </w:p>
    <w:p>
      <w:pPr>
        <w:pStyle w:val="19"/>
        <w:tabs>
          <w:tab w:val="right" w:leader="dot" w:pos="9354"/>
          <w:tab w:val="clear" w:pos="9241"/>
        </w:tabs>
        <w:spacing w:before="78" w:after="78"/>
        <w:rPr>
          <w:rFonts w:ascii="Times New Roman"/>
        </w:rPr>
      </w:pPr>
      <w:r>
        <w:rPr>
          <w:rFonts w:ascii="Times New Roman"/>
          <w:bCs/>
        </w:rPr>
        <w:t>5  Assessment method</w:t>
      </w:r>
      <w:r>
        <w:rPr>
          <w:rFonts w:ascii="Times New Roman"/>
          <w:bCs/>
        </w:rPr>
        <w:tab/>
      </w:r>
      <w:r>
        <w:rPr>
          <w:rFonts w:ascii="Times New Roman"/>
          <w:bCs/>
        </w:rPr>
        <w:t>4</w:t>
      </w:r>
    </w:p>
    <w:p>
      <w:pPr>
        <w:pStyle w:val="19"/>
        <w:tabs>
          <w:tab w:val="right" w:leader="dot" w:pos="9354"/>
          <w:tab w:val="clear" w:pos="9241"/>
        </w:tabs>
        <w:spacing w:before="78" w:after="78"/>
        <w:rPr>
          <w:rFonts w:ascii="Times New Roman"/>
        </w:rPr>
      </w:pPr>
      <w:r>
        <w:rPr>
          <w:rFonts w:hint="eastAsia" w:ascii="Times New Roman"/>
          <w:bCs/>
        </w:rPr>
        <w:t>Appendix A（Normative appendix）Calculation for part of assessment index of Partition wall partition material</w:t>
      </w:r>
      <w:r>
        <w:rPr>
          <w:rFonts w:ascii="Times New Roman"/>
          <w:bCs/>
        </w:rPr>
        <w:tab/>
      </w:r>
      <w:r>
        <w:rPr>
          <w:rFonts w:hint="eastAsia" w:ascii="Times New Roman"/>
          <w:bCs/>
        </w:rPr>
        <w:t>5</w:t>
      </w:r>
    </w:p>
    <w:p>
      <w:pPr>
        <w:pStyle w:val="23"/>
        <w:rPr>
          <w:rFonts w:ascii="Times New Roman"/>
        </w:rPr>
      </w:pPr>
    </w:p>
    <w:p>
      <w:pPr>
        <w:pStyle w:val="23"/>
        <w:sectPr>
          <w:pgSz w:w="11906" w:h="16838"/>
          <w:pgMar w:top="567" w:right="1134" w:bottom="1134" w:left="1418" w:header="1418" w:footer="1134" w:gutter="0"/>
          <w:pgNumType w:fmt="upperRoman"/>
          <w:cols w:space="720" w:num="1"/>
          <w:formProt w:val="0"/>
          <w:docGrid w:type="lines" w:linePitch="312" w:charSpace="0"/>
        </w:sectPr>
      </w:pPr>
    </w:p>
    <w:p>
      <w:pPr>
        <w:pStyle w:val="123"/>
      </w:pPr>
      <w:r>
        <w:rPr>
          <w:rFonts w:hint="eastAsia" w:cs="黑体"/>
          <w:sz w:val="36"/>
          <w:szCs w:val="36"/>
        </w:rPr>
        <w:t>绿色建材评价  隔墙隔断材料</w:t>
      </w:r>
    </w:p>
    <w:p>
      <w:pPr>
        <w:pStyle w:val="116"/>
      </w:pPr>
      <w:bookmarkStart w:id="11" w:name="_Toc533683338"/>
      <w:bookmarkStart w:id="12" w:name="_Toc524004350"/>
      <w:bookmarkStart w:id="13" w:name="_Toc524004771"/>
      <w:r>
        <w:rPr>
          <w:rFonts w:hint="eastAsia"/>
        </w:rPr>
        <w:t>范围</w:t>
      </w:r>
      <w:bookmarkEnd w:id="11"/>
      <w:bookmarkEnd w:id="12"/>
      <w:bookmarkEnd w:id="13"/>
    </w:p>
    <w:p>
      <w:pPr>
        <w:pStyle w:val="23"/>
        <w:rPr>
          <w:rFonts w:ascii="Times New Roman"/>
        </w:rPr>
      </w:pPr>
      <w:r>
        <w:rPr>
          <w:rFonts w:hint="eastAsia" w:ascii="Times New Roman"/>
        </w:rPr>
        <w:t>本标准规定了隔墙隔断材料绿色建材评价的术语和定义、评价要求和评价方法。</w:t>
      </w:r>
    </w:p>
    <w:p>
      <w:pPr>
        <w:pStyle w:val="23"/>
        <w:rPr>
          <w:rFonts w:ascii="Times New Roman"/>
          <w:color w:val="000000"/>
        </w:rPr>
      </w:pPr>
      <w:r>
        <w:rPr>
          <w:rFonts w:hint="eastAsia" w:ascii="Times New Roman"/>
          <w:color w:val="000000"/>
        </w:rPr>
        <w:t>本标准适用于工业建筑和民用建筑用非砌块类、非承重隔墙板和</w:t>
      </w:r>
      <w:r>
        <w:rPr>
          <w:rFonts w:ascii="Times New Roman"/>
          <w:color w:val="000000"/>
        </w:rPr>
        <w:t>骨架隔墙</w:t>
      </w:r>
      <w:r>
        <w:rPr>
          <w:rFonts w:hint="eastAsia" w:ascii="Times New Roman"/>
          <w:color w:val="000000"/>
        </w:rPr>
        <w:t>绿色建材评价，其他隔墙材料可参考本标准。</w:t>
      </w:r>
    </w:p>
    <w:p>
      <w:pPr>
        <w:pStyle w:val="116"/>
      </w:pPr>
      <w:bookmarkStart w:id="14" w:name="_Toc524004351"/>
      <w:bookmarkStart w:id="15" w:name="_Toc524004772"/>
      <w:bookmarkStart w:id="16" w:name="_Toc533683339"/>
      <w:r>
        <w:rPr>
          <w:rFonts w:hint="eastAsia"/>
        </w:rPr>
        <w:t>规范性引用文件</w:t>
      </w:r>
      <w:bookmarkEnd w:id="14"/>
      <w:bookmarkEnd w:id="15"/>
      <w:bookmarkEnd w:id="16"/>
    </w:p>
    <w:p>
      <w:pPr>
        <w:pStyle w:val="23"/>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23"/>
        <w:rPr>
          <w:rFonts w:ascii="Times New Roman"/>
        </w:rPr>
      </w:pPr>
      <w:r>
        <w:rPr>
          <w:rFonts w:hint="eastAsia" w:ascii="Times New Roman"/>
        </w:rPr>
        <w:t>GB/T 19001 质量管理体系 要求</w:t>
      </w:r>
    </w:p>
    <w:p>
      <w:pPr>
        <w:pStyle w:val="23"/>
        <w:rPr>
          <w:rFonts w:ascii="Times New Roman"/>
        </w:rPr>
      </w:pPr>
      <w:r>
        <w:rPr>
          <w:rFonts w:hint="eastAsia" w:ascii="Times New Roman"/>
        </w:rPr>
        <w:t>GB/T 24001 环境管理体系 要求及使用指南</w:t>
      </w:r>
    </w:p>
    <w:p>
      <w:pPr>
        <w:pStyle w:val="23"/>
        <w:rPr>
          <w:rFonts w:ascii="Times New Roman"/>
        </w:rPr>
      </w:pPr>
      <w:r>
        <w:rPr>
          <w:rFonts w:hint="eastAsia" w:ascii="Times New Roman"/>
        </w:rPr>
        <w:t>GB/T 28001 职业健康安全管理体系 要求</w:t>
      </w:r>
    </w:p>
    <w:p>
      <w:pPr>
        <w:pStyle w:val="23"/>
        <w:rPr>
          <w:rFonts w:ascii="Times New Roman"/>
        </w:rPr>
      </w:pPr>
      <w:r>
        <w:rPr>
          <w:rFonts w:hint="eastAsia" w:ascii="Times New Roman"/>
        </w:rPr>
        <w:t>GB/T 2589 综合能耗计算通则</w:t>
      </w:r>
    </w:p>
    <w:p>
      <w:pPr>
        <w:pStyle w:val="23"/>
        <w:rPr>
          <w:rFonts w:ascii="Times New Roman"/>
          <w:color w:val="000000"/>
        </w:rPr>
      </w:pPr>
      <w:r>
        <w:rPr>
          <w:rFonts w:hint="eastAsia" w:ascii="Times New Roman"/>
          <w:color w:val="000000"/>
        </w:rPr>
        <w:t>GB/T 9775 纸面石膏板</w:t>
      </w:r>
    </w:p>
    <w:p>
      <w:pPr>
        <w:pStyle w:val="23"/>
        <w:rPr>
          <w:rFonts w:ascii="Times New Roman"/>
        </w:rPr>
      </w:pPr>
      <w:r>
        <w:rPr>
          <w:rFonts w:hint="eastAsia" w:ascii="Times New Roman"/>
        </w:rPr>
        <w:t>GB/T 9978.1 建筑构件耐火试验方法 第一部分 通用要求</w:t>
      </w:r>
    </w:p>
    <w:p>
      <w:pPr>
        <w:pStyle w:val="23"/>
        <w:rPr>
          <w:rFonts w:ascii="Times New Roman"/>
          <w:color w:val="000000"/>
        </w:rPr>
      </w:pPr>
      <w:r>
        <w:rPr>
          <w:rFonts w:hint="eastAsia" w:ascii="Times New Roman"/>
          <w:color w:val="000000"/>
        </w:rPr>
        <w:t>GB/T 15762 蒸压加气混凝土板</w:t>
      </w:r>
    </w:p>
    <w:p>
      <w:pPr>
        <w:pStyle w:val="23"/>
        <w:rPr>
          <w:rFonts w:ascii="Times New Roman"/>
          <w:color w:val="000000"/>
        </w:rPr>
      </w:pPr>
      <w:r>
        <w:rPr>
          <w:rFonts w:hint="eastAsia" w:ascii="Times New Roman"/>
          <w:color w:val="000000"/>
        </w:rPr>
        <w:t>GB/T 19889.3 声学 建筑和建筑构件隔声测量 第3部分 建筑构件空气隔声的实验室测量</w:t>
      </w:r>
    </w:p>
    <w:p>
      <w:pPr>
        <w:pStyle w:val="23"/>
        <w:rPr>
          <w:rFonts w:ascii="Times New Roman"/>
          <w:color w:val="000000"/>
        </w:rPr>
      </w:pPr>
      <w:r>
        <w:rPr>
          <w:rFonts w:hint="eastAsia" w:ascii="Times New Roman"/>
          <w:color w:val="000000"/>
        </w:rPr>
        <w:t>GB/T 23331 能源管理体系要求及使用指南</w:t>
      </w:r>
    </w:p>
    <w:p>
      <w:pPr>
        <w:pStyle w:val="23"/>
        <w:rPr>
          <w:rFonts w:ascii="Times New Roman"/>
          <w:color w:val="000000"/>
        </w:rPr>
      </w:pPr>
      <w:r>
        <w:rPr>
          <w:rFonts w:hint="eastAsia" w:ascii="Times New Roman"/>
          <w:color w:val="000000"/>
        </w:rPr>
        <w:t>GB/T 23450 建筑隔墙用保温条板</w:t>
      </w:r>
    </w:p>
    <w:p>
      <w:pPr>
        <w:pStyle w:val="23"/>
        <w:rPr>
          <w:rFonts w:ascii="Times New Roman"/>
          <w:color w:val="000000"/>
        </w:rPr>
      </w:pPr>
      <w:r>
        <w:rPr>
          <w:rFonts w:hint="eastAsia" w:ascii="Times New Roman"/>
          <w:color w:val="000000"/>
        </w:rPr>
        <w:t>GB/T 23451 建筑用轻质隔墙条板</w:t>
      </w:r>
    </w:p>
    <w:p>
      <w:pPr>
        <w:pStyle w:val="23"/>
        <w:rPr>
          <w:rFonts w:ascii="Times New Roman"/>
        </w:rPr>
      </w:pPr>
      <w:r>
        <w:rPr>
          <w:rFonts w:hint="eastAsia" w:ascii="Times New Roman"/>
        </w:rPr>
        <w:t>GB/T 24025 环境标志和声明 Ⅲ型环境声明原则和程序</w:t>
      </w:r>
    </w:p>
    <w:p>
      <w:pPr>
        <w:pStyle w:val="2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GB/T 27972 干挂空心陶瓷板</w:t>
      </w:r>
    </w:p>
    <w:p>
      <w:pPr>
        <w:pStyle w:val="23"/>
        <w:rPr>
          <w:rFonts w:ascii="Times New Roman"/>
        </w:rPr>
      </w:pPr>
      <w:r>
        <w:rPr>
          <w:rFonts w:hint="eastAsia" w:ascii="Times New Roman"/>
        </w:rPr>
        <w:t>GB 5085.3 危险废物鉴别标准 浸出毒性鉴别</w:t>
      </w:r>
    </w:p>
    <w:p>
      <w:pPr>
        <w:pStyle w:val="23"/>
        <w:rPr>
          <w:rFonts w:ascii="Times New Roman"/>
        </w:rPr>
      </w:pPr>
      <w:r>
        <w:rPr>
          <w:rFonts w:hint="eastAsia" w:ascii="Times New Roman"/>
        </w:rPr>
        <w:t>GB 6566 建筑材料放射性核素限量</w:t>
      </w:r>
    </w:p>
    <w:p>
      <w:pPr>
        <w:pStyle w:val="23"/>
        <w:rPr>
          <w:rFonts w:ascii="Times New Roman"/>
          <w:color w:val="000000"/>
        </w:rPr>
      </w:pPr>
      <w:r>
        <w:rPr>
          <w:rFonts w:hint="eastAsia" w:ascii="Times New Roman"/>
          <w:color w:val="000000"/>
        </w:rPr>
        <w:t>GB 18597  危险废物贮存污染控制标准</w:t>
      </w:r>
    </w:p>
    <w:p>
      <w:pPr>
        <w:pStyle w:val="23"/>
        <w:rPr>
          <w:rFonts w:ascii="Times New Roman"/>
        </w:rPr>
      </w:pPr>
      <w:r>
        <w:rPr>
          <w:rFonts w:hint="eastAsia" w:ascii="Times New Roman"/>
        </w:rPr>
        <w:t>GB 18599 一般工业固体废物贮存、处置场污染控制标准</w:t>
      </w:r>
    </w:p>
    <w:p>
      <w:pPr>
        <w:pStyle w:val="23"/>
        <w:rPr>
          <w:rFonts w:ascii="Times New Roman"/>
        </w:rPr>
      </w:pPr>
      <w:r>
        <w:rPr>
          <w:rFonts w:hint="eastAsia" w:ascii="Times New Roman"/>
        </w:rPr>
        <w:t>GB 50325 民用建筑工程室内环境污染控制规范</w:t>
      </w:r>
    </w:p>
    <w:p>
      <w:pPr>
        <w:pStyle w:val="23"/>
        <w:rPr>
          <w:rFonts w:ascii="Times New Roman"/>
          <w:color w:val="000000"/>
        </w:rPr>
      </w:pPr>
      <w:r>
        <w:rPr>
          <w:rFonts w:hint="eastAsia" w:ascii="Times New Roman"/>
          <w:color w:val="000000"/>
        </w:rPr>
        <w:t>GB 50574 墙体材料应用统一技术规范</w:t>
      </w:r>
    </w:p>
    <w:p>
      <w:pPr>
        <w:pStyle w:val="23"/>
        <w:rPr>
          <w:rFonts w:ascii="Times New Roman"/>
          <w:color w:val="000000"/>
        </w:rPr>
      </w:pPr>
      <w:r>
        <w:rPr>
          <w:rFonts w:hint="eastAsia" w:ascii="Times New Roman"/>
          <w:color w:val="000000"/>
        </w:rPr>
        <w:t>JG/T 169 建筑隔墙用轻质条板通用技术要求</w:t>
      </w:r>
    </w:p>
    <w:p>
      <w:pPr>
        <w:pStyle w:val="23"/>
        <w:rPr>
          <w:rFonts w:ascii="Times New Roman"/>
          <w:color w:val="000000"/>
        </w:rPr>
      </w:pPr>
      <w:r>
        <w:rPr>
          <w:rFonts w:hint="eastAsia" w:ascii="Times New Roman"/>
          <w:color w:val="000000"/>
        </w:rPr>
        <w:t>JG/T 350 混凝土轻质条板</w:t>
      </w:r>
    </w:p>
    <w:p>
      <w:pPr>
        <w:pStyle w:val="2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JG/T 487 可拆装式隔断墙技术要求</w:t>
      </w:r>
    </w:p>
    <w:p>
      <w:pPr>
        <w:pStyle w:val="23"/>
        <w:rPr>
          <w:rFonts w:ascii="Times New Roman"/>
          <w:color w:val="000000"/>
        </w:rPr>
      </w:pPr>
      <w:r>
        <w:rPr>
          <w:rFonts w:hint="eastAsia" w:ascii="Times New Roman"/>
          <w:color w:val="000000"/>
        </w:rPr>
        <w:t>JG/T 511 建筑用发泡陶瓷保温板</w:t>
      </w:r>
    </w:p>
    <w:p>
      <w:pPr>
        <w:pStyle w:val="2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JG/T 544 轻钢龙骨式复合墙体</w:t>
      </w:r>
    </w:p>
    <w:p>
      <w:pPr>
        <w:pStyle w:val="2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JC/T 558 建筑用轻钢龙骨配件</w:t>
      </w:r>
    </w:p>
    <w:p>
      <w:pPr>
        <w:pStyle w:val="2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JC/T 829 石膏空心条板</w:t>
      </w:r>
    </w:p>
    <w:p>
      <w:pPr>
        <w:pStyle w:val="23"/>
        <w:rPr>
          <w:rFonts w:ascii="Times New Roman"/>
        </w:rPr>
      </w:pPr>
      <w:r>
        <w:rPr>
          <w:rFonts w:hint="eastAsia" w:ascii="Times New Roman"/>
        </w:rPr>
        <w:t>JC/T 2097 工业用微晶板材</w:t>
      </w:r>
    </w:p>
    <w:p>
      <w:pPr>
        <w:pStyle w:val="116"/>
        <w:rPr>
          <w:bCs/>
          <w:color w:val="000000"/>
          <w:szCs w:val="21"/>
        </w:rPr>
      </w:pPr>
      <w:bookmarkStart w:id="17" w:name="_Toc524004352"/>
      <w:bookmarkEnd w:id="17"/>
      <w:bookmarkStart w:id="18" w:name="_Toc511069681"/>
      <w:bookmarkStart w:id="19" w:name="_Toc509139383"/>
      <w:bookmarkStart w:id="20" w:name="_Toc509984954"/>
      <w:bookmarkStart w:id="21" w:name="_Toc533683340"/>
      <w:bookmarkStart w:id="22" w:name="_Toc521666152"/>
      <w:bookmarkStart w:id="23" w:name="_Toc519084143"/>
      <w:bookmarkStart w:id="24" w:name="_Toc524004773"/>
      <w:r>
        <w:rPr>
          <w:rFonts w:hint="eastAsia"/>
          <w:bCs/>
          <w:color w:val="000000"/>
          <w:szCs w:val="21"/>
        </w:rPr>
        <w:t>术语和定义</w:t>
      </w:r>
      <w:bookmarkEnd w:id="18"/>
      <w:bookmarkEnd w:id="19"/>
      <w:bookmarkEnd w:id="20"/>
      <w:bookmarkEnd w:id="21"/>
      <w:bookmarkEnd w:id="22"/>
      <w:bookmarkEnd w:id="23"/>
      <w:bookmarkEnd w:id="24"/>
    </w:p>
    <w:p>
      <w:pPr>
        <w:widowControl/>
        <w:tabs>
          <w:tab w:val="center" w:pos="4201"/>
          <w:tab w:val="right" w:leader="dot" w:pos="9298"/>
        </w:tabs>
        <w:autoSpaceDE w:val="0"/>
        <w:autoSpaceDN w:val="0"/>
        <w:ind w:firstLine="420" w:firstLineChars="200"/>
        <w:rPr>
          <w:color w:val="000000"/>
        </w:rPr>
      </w:pPr>
      <w:r>
        <w:rPr>
          <w:rFonts w:hint="eastAsia"/>
          <w:color w:val="000000"/>
        </w:rPr>
        <w:t>下列术语和</w:t>
      </w:r>
      <w:r>
        <w:rPr>
          <w:rFonts w:hint="eastAsia"/>
          <w:kern w:val="0"/>
          <w:szCs w:val="20"/>
        </w:rPr>
        <w:t>定义</w:t>
      </w:r>
      <w:r>
        <w:rPr>
          <w:rFonts w:hint="eastAsia"/>
          <w:color w:val="000000"/>
        </w:rPr>
        <w:t>适用于本文件。</w:t>
      </w:r>
    </w:p>
    <w:p>
      <w:pPr>
        <w:pStyle w:val="56"/>
        <w:numPr>
          <w:ilvl w:val="1"/>
          <w:numId w:val="3"/>
        </w:numPr>
        <w:rPr>
          <w:color w:val="000000"/>
        </w:rPr>
      </w:pPr>
      <w:bookmarkStart w:id="25" w:name="_Toc533683341"/>
      <w:bookmarkEnd w:id="25"/>
      <w:bookmarkStart w:id="26" w:name="_Toc532906521"/>
      <w:bookmarkEnd w:id="26"/>
      <w:bookmarkStart w:id="27" w:name="_Toc6509"/>
    </w:p>
    <w:p>
      <w:pPr>
        <w:widowControl/>
        <w:tabs>
          <w:tab w:val="center" w:pos="4201"/>
          <w:tab w:val="right" w:leader="dot" w:pos="9298"/>
        </w:tabs>
        <w:autoSpaceDE w:val="0"/>
        <w:autoSpaceDN w:val="0"/>
        <w:ind w:firstLine="420" w:firstLineChars="200"/>
        <w:rPr>
          <w:sz w:val="24"/>
        </w:rPr>
      </w:pPr>
      <w:r>
        <w:rPr>
          <w:rFonts w:hint="eastAsia" w:eastAsia="黑体"/>
        </w:rPr>
        <w:t>绿色建材</w:t>
      </w:r>
      <w:r>
        <w:rPr>
          <w:rFonts w:eastAsia="黑体"/>
        </w:rPr>
        <w:t xml:space="preserve">  green building material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是指在全生命周期内可减少对天然资源消耗和减轻对生态环境影响，具有</w:t>
      </w:r>
      <w:r>
        <w:rPr>
          <w:kern w:val="0"/>
          <w:szCs w:val="20"/>
        </w:rPr>
        <w:t>“</w:t>
      </w:r>
      <w:r>
        <w:rPr>
          <w:rFonts w:hint="eastAsia"/>
          <w:kern w:val="0"/>
          <w:szCs w:val="20"/>
        </w:rPr>
        <w:t>节能、减排、安全、便利和可循环</w:t>
      </w:r>
      <w:r>
        <w:rPr>
          <w:kern w:val="0"/>
          <w:szCs w:val="20"/>
        </w:rPr>
        <w:t>”</w:t>
      </w:r>
      <w:r>
        <w:rPr>
          <w:rFonts w:hint="eastAsia"/>
          <w:kern w:val="0"/>
          <w:szCs w:val="20"/>
        </w:rPr>
        <w:t>特征的建材产品。</w:t>
      </w:r>
    </w:p>
    <w:bookmarkEnd w:id="27"/>
    <w:p>
      <w:pPr>
        <w:pStyle w:val="56"/>
        <w:numPr>
          <w:ilvl w:val="1"/>
          <w:numId w:val="3"/>
        </w:numPr>
        <w:rPr>
          <w:color w:val="000000"/>
        </w:rPr>
      </w:pPr>
      <w:bookmarkStart w:id="28" w:name="_Toc532906522"/>
      <w:bookmarkEnd w:id="28"/>
      <w:bookmarkStart w:id="29" w:name="_Toc533683342"/>
      <w:bookmarkEnd w:id="29"/>
    </w:p>
    <w:p>
      <w:pPr>
        <w:widowControl/>
        <w:tabs>
          <w:tab w:val="center" w:pos="4201"/>
          <w:tab w:val="right" w:leader="dot" w:pos="9298"/>
        </w:tabs>
        <w:autoSpaceDE w:val="0"/>
        <w:autoSpaceDN w:val="0"/>
        <w:ind w:firstLine="420" w:firstLineChars="200"/>
        <w:rPr>
          <w:rFonts w:eastAsia="黑体"/>
        </w:rPr>
      </w:pPr>
      <w:r>
        <w:rPr>
          <w:rFonts w:hint="eastAsia" w:eastAsia="黑体"/>
        </w:rPr>
        <w:t>绿色建材评价 green building material assessment</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依据绿色建材评价技术标准，按照程序和要求对申请开展评价的建材产品进行评价，确认其等级的活动。</w:t>
      </w:r>
    </w:p>
    <w:p>
      <w:pPr>
        <w:pStyle w:val="56"/>
        <w:numPr>
          <w:ilvl w:val="1"/>
          <w:numId w:val="3"/>
        </w:numPr>
        <w:rPr>
          <w:color w:val="000000"/>
        </w:rPr>
      </w:pPr>
    </w:p>
    <w:p>
      <w:pPr>
        <w:widowControl/>
        <w:tabs>
          <w:tab w:val="center" w:pos="4201"/>
          <w:tab w:val="right" w:leader="dot" w:pos="9298"/>
        </w:tabs>
        <w:autoSpaceDE w:val="0"/>
        <w:autoSpaceDN w:val="0"/>
        <w:ind w:firstLine="420" w:firstLineChars="200"/>
        <w:rPr>
          <w:rFonts w:eastAsia="黑体"/>
        </w:rPr>
      </w:pPr>
      <w:r>
        <w:rPr>
          <w:rFonts w:hint="eastAsia" w:eastAsia="黑体"/>
        </w:rPr>
        <w:t xml:space="preserve">评价等级 </w:t>
      </w:r>
      <w:r>
        <w:rPr>
          <w:rFonts w:eastAsia="黑体"/>
        </w:rPr>
        <w:t>assessment level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p>
    <w:p>
      <w:pPr>
        <w:pStyle w:val="56"/>
        <w:numPr>
          <w:ilvl w:val="1"/>
          <w:numId w:val="3"/>
        </w:numPr>
        <w:rPr>
          <w:color w:val="000000"/>
        </w:rPr>
      </w:pPr>
    </w:p>
    <w:p>
      <w:pPr>
        <w:widowControl/>
        <w:tabs>
          <w:tab w:val="center" w:pos="4201"/>
          <w:tab w:val="right" w:leader="dot" w:pos="9298"/>
        </w:tabs>
        <w:autoSpaceDE w:val="0"/>
        <w:autoSpaceDN w:val="0"/>
        <w:ind w:firstLine="420" w:firstLineChars="200"/>
        <w:rPr>
          <w:rFonts w:eastAsia="黑体"/>
        </w:rPr>
      </w:pPr>
      <w:bookmarkStart w:id="30" w:name="_Toc498443809"/>
      <w:r>
        <w:rPr>
          <w:rFonts w:hint="eastAsia" w:eastAsia="黑体"/>
        </w:rPr>
        <w:t xml:space="preserve">环境产品声明 </w:t>
      </w:r>
      <w:bookmarkEnd w:id="30"/>
      <w:r>
        <w:rPr>
          <w:rFonts w:hint="eastAsia" w:eastAsia="黑体"/>
        </w:rPr>
        <w:t>e</w:t>
      </w:r>
      <w:r>
        <w:rPr>
          <w:rFonts w:eastAsia="黑体"/>
        </w:rPr>
        <w:t>nvironmental product</w:t>
      </w:r>
      <w:r>
        <w:rPr>
          <w:rFonts w:hint="eastAsia" w:eastAsia="黑体"/>
        </w:rPr>
        <w:t xml:space="preserve"> declaration</w:t>
      </w:r>
    </w:p>
    <w:p>
      <w:pPr>
        <w:widowControl/>
        <w:tabs>
          <w:tab w:val="center" w:pos="4201"/>
          <w:tab w:val="right" w:leader="dot" w:pos="9298"/>
        </w:tabs>
        <w:autoSpaceDE w:val="0"/>
        <w:autoSpaceDN w:val="0"/>
        <w:ind w:firstLine="420" w:firstLineChars="200"/>
        <w:rPr>
          <w:kern w:val="0"/>
          <w:szCs w:val="20"/>
        </w:rPr>
      </w:pPr>
      <w:r>
        <w:rPr>
          <w:rFonts w:hint="eastAsia" w:hAnsi="宋体"/>
          <w:kern w:val="0"/>
          <w:szCs w:val="20"/>
        </w:rPr>
        <w:t>提供基于预设参数的量化环境数据的环境声明，必要时包括附加环境信息。</w:t>
      </w:r>
    </w:p>
    <w:p>
      <w:pPr>
        <w:pStyle w:val="56"/>
        <w:numPr>
          <w:ilvl w:val="1"/>
          <w:numId w:val="3"/>
        </w:numPr>
        <w:rPr>
          <w:color w:val="000000"/>
        </w:rPr>
      </w:pPr>
    </w:p>
    <w:p>
      <w:pPr>
        <w:widowControl/>
        <w:tabs>
          <w:tab w:val="center" w:pos="4201"/>
          <w:tab w:val="right" w:leader="dot" w:pos="9298"/>
        </w:tabs>
        <w:autoSpaceDE w:val="0"/>
        <w:autoSpaceDN w:val="0"/>
        <w:ind w:firstLine="420" w:firstLineChars="200"/>
        <w:rPr>
          <w:rFonts w:eastAsia="黑体"/>
        </w:rPr>
      </w:pPr>
      <w:r>
        <w:rPr>
          <w:rFonts w:hint="eastAsia" w:eastAsia="黑体"/>
        </w:rPr>
        <w:t>碳足迹 car</w:t>
      </w:r>
      <w:r>
        <w:rPr>
          <w:rFonts w:eastAsia="黑体"/>
        </w:rPr>
        <w:t>b</w:t>
      </w:r>
      <w:r>
        <w:rPr>
          <w:rFonts w:hint="eastAsia" w:eastAsia="黑体"/>
        </w:rPr>
        <w:t>on footprint</w:t>
      </w:r>
    </w:p>
    <w:p>
      <w:pPr>
        <w:widowControl/>
        <w:tabs>
          <w:tab w:val="center" w:pos="4201"/>
          <w:tab w:val="right" w:leader="dot" w:pos="9298"/>
        </w:tabs>
        <w:autoSpaceDE w:val="0"/>
        <w:autoSpaceDN w:val="0"/>
        <w:ind w:firstLine="420" w:firstLineChars="200"/>
        <w:rPr>
          <w:rFonts w:ascii="宋体"/>
          <w:kern w:val="0"/>
        </w:rPr>
      </w:pPr>
      <w:r>
        <w:rPr>
          <w:rFonts w:hint="eastAsia" w:hAnsi="宋体"/>
          <w:kern w:val="0"/>
          <w:szCs w:val="20"/>
        </w:rPr>
        <w:t>用以量化过程、过程系统或产品系统温室气体排放的参数，以表现它们对气候变化的贡献。</w:t>
      </w:r>
    </w:p>
    <w:p>
      <w:pPr>
        <w:pStyle w:val="56"/>
        <w:numPr>
          <w:ilvl w:val="1"/>
          <w:numId w:val="3"/>
        </w:numPr>
        <w:rPr>
          <w:color w:val="000000"/>
        </w:rPr>
      </w:pPr>
    </w:p>
    <w:p>
      <w:pPr>
        <w:widowControl/>
        <w:tabs>
          <w:tab w:val="center" w:pos="4201"/>
          <w:tab w:val="right" w:leader="dot" w:pos="9298"/>
        </w:tabs>
        <w:autoSpaceDE w:val="0"/>
        <w:autoSpaceDN w:val="0"/>
        <w:ind w:firstLine="420" w:firstLineChars="200"/>
        <w:rPr>
          <w:rFonts w:eastAsia="黑体"/>
        </w:rPr>
      </w:pPr>
      <w:r>
        <w:rPr>
          <w:rFonts w:hint="eastAsia" w:eastAsia="黑体"/>
        </w:rPr>
        <w:t>隔墙隔断 p</w:t>
      </w:r>
      <w:r>
        <w:rPr>
          <w:rFonts w:eastAsia="黑体"/>
        </w:rPr>
        <w:t>artition wall partition</w:t>
      </w:r>
    </w:p>
    <w:p>
      <w:pPr>
        <w:widowControl/>
        <w:tabs>
          <w:tab w:val="center" w:pos="4201"/>
          <w:tab w:val="right" w:leader="dot" w:pos="9298"/>
        </w:tabs>
        <w:autoSpaceDE w:val="0"/>
        <w:autoSpaceDN w:val="0"/>
        <w:ind w:firstLine="420" w:firstLineChars="200"/>
        <w:rPr>
          <w:rFonts w:ascii="宋体"/>
          <w:kern w:val="0"/>
        </w:rPr>
      </w:pPr>
      <w:r>
        <w:rPr>
          <w:rFonts w:hint="eastAsia" w:hAnsi="宋体"/>
          <w:kern w:val="0"/>
          <w:szCs w:val="20"/>
        </w:rPr>
        <w:t>由块材，板材和骨架系统等构成的垂直分割建筑物内部空间的非承重墙。</w:t>
      </w:r>
    </w:p>
    <w:p>
      <w:pPr>
        <w:pStyle w:val="116"/>
        <w:numPr>
          <w:ilvl w:val="0"/>
          <w:numId w:val="3"/>
        </w:numPr>
        <w:rPr>
          <w:rFonts w:hAnsi="黑体"/>
          <w:bCs/>
          <w:color w:val="000000"/>
          <w:szCs w:val="21"/>
        </w:rPr>
      </w:pPr>
      <w:bookmarkStart w:id="31" w:name="_Toc504471528"/>
      <w:bookmarkEnd w:id="31"/>
      <w:bookmarkStart w:id="32" w:name="_Toc533683343"/>
      <w:r>
        <w:rPr>
          <w:rFonts w:hint="eastAsia" w:hAnsi="黑体"/>
          <w:bCs/>
          <w:color w:val="000000"/>
          <w:szCs w:val="21"/>
        </w:rPr>
        <w:t>评价要求</w:t>
      </w:r>
      <w:bookmarkEnd w:id="32"/>
    </w:p>
    <w:p>
      <w:pPr>
        <w:pStyle w:val="56"/>
        <w:numPr>
          <w:ilvl w:val="1"/>
          <w:numId w:val="3"/>
        </w:numPr>
        <w:rPr>
          <w:color w:val="000000"/>
        </w:rPr>
      </w:pPr>
      <w:bookmarkStart w:id="33" w:name="_Toc532906527"/>
      <w:bookmarkStart w:id="34" w:name="_Toc533683344"/>
      <w:r>
        <w:rPr>
          <w:rFonts w:hint="eastAsia"/>
          <w:color w:val="000000"/>
        </w:rPr>
        <w:t>一般要求</w:t>
      </w:r>
      <w:bookmarkEnd w:id="33"/>
      <w:bookmarkEnd w:id="34"/>
    </w:p>
    <w:p>
      <w:pPr>
        <w:pStyle w:val="55"/>
        <w:numPr>
          <w:ilvl w:val="0"/>
          <w:numId w:val="0"/>
        </w:numPr>
        <w:adjustRightInd w:val="0"/>
        <w:snapToGrid w:val="0"/>
        <w:spacing w:before="156" w:after="156"/>
        <w:rPr>
          <w:rFonts w:ascii="Times New Roman" w:eastAsia="宋体"/>
        </w:rPr>
      </w:pPr>
      <w:bookmarkStart w:id="35" w:name="_Toc459106415"/>
      <w:bookmarkStart w:id="36" w:name="_Toc462063258"/>
      <w:bookmarkStart w:id="37" w:name="_Toc436234466"/>
      <w:r>
        <w:rPr>
          <w:rFonts w:hint="eastAsia"/>
        </w:rPr>
        <w:t>4.1.1</w:t>
      </w:r>
      <w:r>
        <w:rPr>
          <w:rFonts w:ascii="Times New Roman" w:eastAsia="宋体"/>
        </w:rPr>
        <w:t xml:space="preserve">  </w:t>
      </w:r>
      <w:bookmarkEnd w:id="35"/>
      <w:bookmarkEnd w:id="36"/>
      <w:r>
        <w:rPr>
          <w:rFonts w:hint="eastAsia" w:ascii="宋体" w:eastAsia="宋体"/>
        </w:rPr>
        <w:t>生产企业的污染物排放应符合相关环境保护法律法规、适用的国家或地方污染物排放标准的要求，且近三年无重大环境污染事件和重大安全事故。</w:t>
      </w:r>
    </w:p>
    <w:p>
      <w:pPr>
        <w:pStyle w:val="55"/>
        <w:numPr>
          <w:ilvl w:val="0"/>
          <w:numId w:val="0"/>
        </w:numPr>
        <w:adjustRightInd w:val="0"/>
        <w:snapToGrid w:val="0"/>
        <w:spacing w:before="156" w:after="156"/>
        <w:rPr>
          <w:rFonts w:ascii="Times New Roman" w:eastAsia="宋体"/>
        </w:rPr>
      </w:pPr>
      <w:r>
        <w:rPr>
          <w:rFonts w:hint="eastAsia"/>
        </w:rPr>
        <w:t>4.1.2</w:t>
      </w:r>
      <w:r>
        <w:rPr>
          <w:rFonts w:ascii="Times New Roman" w:eastAsia="宋体"/>
        </w:rPr>
        <w:t xml:space="preserve">  </w:t>
      </w:r>
      <w:r>
        <w:rPr>
          <w:rFonts w:hint="eastAsia" w:ascii="Times New Roman" w:eastAsia="宋体"/>
        </w:rPr>
        <w:t>生产企业应按照GB/T 19001、GB/T 2</w:t>
      </w:r>
      <w:r>
        <w:rPr>
          <w:rFonts w:ascii="Times New Roman" w:eastAsia="宋体"/>
        </w:rPr>
        <w:t>333</w:t>
      </w:r>
      <w:r>
        <w:rPr>
          <w:rFonts w:hint="eastAsia" w:ascii="Times New Roman" w:eastAsia="宋体"/>
        </w:rPr>
        <w:t>1、GB/T 24001、和GB/T 28001分别建立并运行质量管理体系、能源</w:t>
      </w:r>
      <w:r>
        <w:rPr>
          <w:rFonts w:ascii="Times New Roman" w:eastAsia="宋体"/>
        </w:rPr>
        <w:t>管理体系、</w:t>
      </w:r>
      <w:r>
        <w:rPr>
          <w:rFonts w:hint="eastAsia" w:ascii="Times New Roman" w:eastAsia="宋体"/>
        </w:rPr>
        <w:t>环境管理体系和职业健康安全管理体系。</w:t>
      </w:r>
    </w:p>
    <w:p>
      <w:pPr>
        <w:pStyle w:val="55"/>
        <w:numPr>
          <w:ilvl w:val="0"/>
          <w:numId w:val="0"/>
        </w:numPr>
        <w:adjustRightInd w:val="0"/>
        <w:snapToGrid w:val="0"/>
        <w:spacing w:before="156" w:after="156"/>
        <w:rPr>
          <w:rFonts w:ascii="Times New Roman" w:eastAsia="宋体"/>
        </w:rPr>
      </w:pPr>
      <w:r>
        <w:rPr>
          <w:rFonts w:hint="eastAsia"/>
        </w:rPr>
        <w:t>4.1.3</w:t>
      </w:r>
      <w:r>
        <w:rPr>
          <w:rFonts w:ascii="Times New Roman" w:eastAsia="宋体"/>
        </w:rPr>
        <w:t xml:space="preserve"> </w:t>
      </w:r>
      <w:r>
        <w:rPr>
          <w:rFonts w:hint="eastAsia" w:ascii="Times New Roman" w:eastAsia="宋体"/>
        </w:rPr>
        <w:t xml:space="preserve"> </w:t>
      </w:r>
      <w:bookmarkEnd w:id="37"/>
      <w:r>
        <w:rPr>
          <w:rFonts w:hint="eastAsia" w:ascii="Times New Roman" w:eastAsia="宋体"/>
        </w:rPr>
        <w:t>生产企业应采用国家鼓励的先进技术工艺/清洁生产工艺，不应使用国家或有关部门发布的淘汰或禁止的技术、工艺、装备及相关物质。</w:t>
      </w:r>
    </w:p>
    <w:p>
      <w:pPr>
        <w:pStyle w:val="55"/>
        <w:numPr>
          <w:ilvl w:val="0"/>
          <w:numId w:val="0"/>
        </w:numPr>
        <w:adjustRightInd w:val="0"/>
        <w:snapToGrid w:val="0"/>
        <w:spacing w:before="156" w:after="156"/>
        <w:rPr>
          <w:rFonts w:ascii="Times New Roman" w:eastAsia="宋体"/>
          <w:color w:val="000000"/>
        </w:rPr>
      </w:pPr>
      <w:bookmarkStart w:id="38" w:name="_Toc496798695"/>
      <w:bookmarkStart w:id="39" w:name="_Toc462063260"/>
      <w:bookmarkStart w:id="40" w:name="_Toc31135"/>
      <w:bookmarkStart w:id="41" w:name="_Toc532906528"/>
      <w:r>
        <w:t>4.1.</w:t>
      </w:r>
      <w:r>
        <w:rPr>
          <w:rFonts w:hint="eastAsia"/>
        </w:rPr>
        <w:t>4</w:t>
      </w:r>
      <w:r>
        <w:t xml:space="preserve">  </w:t>
      </w:r>
      <w:r>
        <w:rPr>
          <w:rFonts w:hint="eastAsia" w:ascii="Times New Roman" w:eastAsia="宋体"/>
        </w:rPr>
        <w:t>一般固体废物的收集、贮存、处置应符合GB 18599、GB 6566的相关规定。</w:t>
      </w:r>
      <w:r>
        <w:rPr>
          <w:rFonts w:hint="eastAsia" w:ascii="Times New Roman" w:eastAsia="宋体"/>
          <w:color w:val="000000"/>
        </w:rPr>
        <w:t>危险废物的贮存应符合GB 18597的相关规定，后续应交付持有危险废物经营许可证的单位处置。</w:t>
      </w:r>
    </w:p>
    <w:p>
      <w:pPr>
        <w:pStyle w:val="55"/>
        <w:numPr>
          <w:ilvl w:val="0"/>
          <w:numId w:val="0"/>
        </w:numPr>
        <w:adjustRightInd w:val="0"/>
        <w:snapToGrid w:val="0"/>
        <w:spacing w:before="156" w:after="156"/>
        <w:rPr>
          <w:rFonts w:ascii="Times New Roman" w:eastAsia="宋体"/>
          <w:color w:val="000000"/>
        </w:rPr>
      </w:pPr>
      <w:r>
        <w:rPr>
          <w:color w:val="000000"/>
        </w:rPr>
        <w:t>4.1.</w:t>
      </w:r>
      <w:r>
        <w:rPr>
          <w:rFonts w:hint="eastAsia"/>
          <w:color w:val="000000"/>
        </w:rPr>
        <w:t>5</w:t>
      </w:r>
      <w:r>
        <w:rPr>
          <w:color w:val="000000"/>
        </w:rPr>
        <w:t xml:space="preserve">  </w:t>
      </w:r>
      <w:r>
        <w:rPr>
          <w:rFonts w:hint="eastAsia" w:ascii="Times New Roman" w:eastAsia="宋体"/>
          <w:color w:val="000000"/>
        </w:rPr>
        <w:t>隔墙隔断材料的基本性能应符合GB/T 15762、GB/T 23450、GB/T 23451、</w:t>
      </w:r>
      <w:r>
        <w:rPr>
          <w:rFonts w:ascii="Times New Roman" w:eastAsia="宋体"/>
          <w:color w:val="000000"/>
        </w:rPr>
        <w:t>GB/T 27972</w:t>
      </w:r>
      <w:r>
        <w:rPr>
          <w:rFonts w:hint="eastAsia" w:ascii="Times New Roman" w:eastAsia="宋体"/>
          <w:color w:val="000000"/>
        </w:rPr>
        <w:t>、GB/T 9775、GB 50574、JG/T 169、JG/T 350、</w:t>
      </w:r>
      <w:r>
        <w:rPr>
          <w:rFonts w:ascii="Times New Roman" w:eastAsia="宋体"/>
          <w:color w:val="000000"/>
        </w:rPr>
        <w:t>JG/T/487</w:t>
      </w:r>
      <w:r>
        <w:rPr>
          <w:rFonts w:hint="eastAsia" w:ascii="Times New Roman" w:eastAsia="宋体"/>
          <w:color w:val="000000"/>
        </w:rPr>
        <w:t>、JG/T 511、</w:t>
      </w:r>
      <w:r>
        <w:rPr>
          <w:rFonts w:ascii="Times New Roman" w:eastAsia="宋体"/>
          <w:color w:val="000000"/>
        </w:rPr>
        <w:t>JG/T 544</w:t>
      </w:r>
      <w:r>
        <w:rPr>
          <w:rFonts w:hint="eastAsia" w:ascii="Times New Roman" w:eastAsia="宋体"/>
          <w:color w:val="000000"/>
        </w:rPr>
        <w:t>、</w:t>
      </w:r>
      <w:r>
        <w:rPr>
          <w:rFonts w:ascii="Times New Roman" w:eastAsia="宋体"/>
          <w:color w:val="000000"/>
        </w:rPr>
        <w:t>JG/T 558</w:t>
      </w:r>
      <w:r>
        <w:rPr>
          <w:rFonts w:hint="eastAsia" w:ascii="Times New Roman" w:eastAsia="宋体"/>
          <w:color w:val="000000"/>
        </w:rPr>
        <w:t>、JC/T 829、JC/T 2097及其他现行国家和行业相关标准的要求。</w:t>
      </w:r>
    </w:p>
    <w:p>
      <w:pPr>
        <w:widowControl/>
        <w:tabs>
          <w:tab w:val="center" w:pos="4201"/>
          <w:tab w:val="right" w:leader="dot" w:pos="9298"/>
        </w:tabs>
        <w:autoSpaceDE w:val="0"/>
        <w:autoSpaceDN w:val="0"/>
        <w:spacing w:before="156" w:beforeLines="50" w:after="156" w:afterLines="50"/>
        <w:rPr>
          <w:rFonts w:ascii="宋体"/>
          <w:kern w:val="0"/>
          <w:szCs w:val="20"/>
        </w:rPr>
      </w:pPr>
      <w:r>
        <w:rPr>
          <w:rFonts w:hint="eastAsia" w:ascii="黑体" w:eastAsia="黑体"/>
          <w:kern w:val="0"/>
          <w:szCs w:val="21"/>
        </w:rPr>
        <w:t>4.1.6</w:t>
      </w:r>
      <w:r>
        <w:rPr>
          <w:rFonts w:ascii="黑体" w:eastAsia="黑体"/>
          <w:kern w:val="0"/>
          <w:szCs w:val="21"/>
        </w:rPr>
        <w:t xml:space="preserve">  </w:t>
      </w:r>
      <w:r>
        <w:rPr>
          <w:rFonts w:hint="eastAsia" w:ascii="宋体"/>
          <w:kern w:val="0"/>
          <w:szCs w:val="20"/>
        </w:rPr>
        <w:t>隔墙隔断材料应采用标准化设计，</w:t>
      </w:r>
      <w:r>
        <w:rPr>
          <w:rFonts w:hint="eastAsia" w:ascii="宋体"/>
          <w:color w:val="000000" w:themeColor="text1"/>
          <w:kern w:val="0"/>
          <w:szCs w:val="20"/>
          <w14:textFill>
            <w14:solidFill>
              <w14:schemeClr w14:val="tx1"/>
            </w14:solidFill>
          </w14:textFill>
        </w:rPr>
        <w:t>标准化施工</w:t>
      </w:r>
      <w:r>
        <w:rPr>
          <w:rFonts w:ascii="宋体"/>
          <w:kern w:val="0"/>
          <w:szCs w:val="20"/>
        </w:rPr>
        <w:t>，</w:t>
      </w:r>
      <w:r>
        <w:rPr>
          <w:rFonts w:hint="eastAsia" w:ascii="宋体"/>
          <w:kern w:val="0"/>
          <w:szCs w:val="20"/>
        </w:rPr>
        <w:t>兼顾产品使用功能多样性。</w:t>
      </w:r>
    </w:p>
    <w:p>
      <w:pPr>
        <w:pStyle w:val="23"/>
        <w:spacing w:before="156" w:beforeLines="50" w:after="156" w:afterLines="50"/>
        <w:ind w:firstLine="0" w:firstLineChars="0"/>
      </w:pPr>
      <w:r>
        <w:rPr>
          <w:rFonts w:hint="eastAsia" w:ascii="黑体" w:eastAsia="黑体"/>
          <w:szCs w:val="21"/>
        </w:rPr>
        <w:t xml:space="preserve">4.1.7  </w:t>
      </w:r>
      <w:r>
        <w:rPr>
          <w:rFonts w:hint="eastAsia"/>
        </w:rPr>
        <w:t>隔墙隔断材料应满足</w:t>
      </w:r>
      <w:r>
        <w:rPr>
          <w:rFonts w:hint="eastAsia" w:ascii="Times New Roman"/>
          <w:szCs w:val="21"/>
        </w:rPr>
        <w:t xml:space="preserve">GB 6566 </w:t>
      </w:r>
      <w:r>
        <w:rPr>
          <w:rFonts w:hint="eastAsia"/>
        </w:rPr>
        <w:t>的相关规定。</w:t>
      </w:r>
    </w:p>
    <w:p>
      <w:pPr>
        <w:pStyle w:val="56"/>
        <w:numPr>
          <w:ilvl w:val="1"/>
          <w:numId w:val="3"/>
        </w:numPr>
        <w:rPr>
          <w:color w:val="000000"/>
        </w:rPr>
      </w:pPr>
      <w:bookmarkStart w:id="42" w:name="_Toc533683345"/>
      <w:r>
        <w:rPr>
          <w:rFonts w:hint="eastAsia"/>
          <w:color w:val="000000"/>
        </w:rPr>
        <w:t>评价指标要求</w:t>
      </w:r>
      <w:bookmarkEnd w:id="38"/>
      <w:bookmarkEnd w:id="39"/>
      <w:bookmarkEnd w:id="40"/>
      <w:bookmarkEnd w:id="41"/>
      <w:bookmarkEnd w:id="42"/>
    </w:p>
    <w:p>
      <w:pPr>
        <w:pStyle w:val="23"/>
        <w:rPr>
          <w:rFonts w:ascii="Times New Roman"/>
        </w:rPr>
      </w:pPr>
      <w:r>
        <w:rPr>
          <w:rFonts w:hint="eastAsia" w:ascii="Times New Roman"/>
        </w:rPr>
        <w:t>隔墙隔断材料评价指标包括资源属性指标、能源属性指标、环境属性指标和品质属性指标。指标体系由一级指标和二级指标组成。隔墙隔断材料的评价指标要求见表1。</w:t>
      </w:r>
    </w:p>
    <w:p>
      <w:pPr>
        <w:pStyle w:val="116"/>
        <w:numPr>
          <w:ilvl w:val="0"/>
          <w:numId w:val="0"/>
        </w:numPr>
        <w:spacing w:before="156" w:beforeLines="50" w:after="156" w:afterLines="50"/>
        <w:jc w:val="center"/>
        <w:outlineLvl w:val="9"/>
        <w:rPr>
          <w:rFonts w:ascii="Times New Roman"/>
        </w:rPr>
      </w:pPr>
      <w:bookmarkStart w:id="43" w:name="_Toc397433577"/>
      <w:bookmarkStart w:id="44" w:name="_Toc462063261"/>
      <w:bookmarkStart w:id="45" w:name="_Toc397348606"/>
      <w:r>
        <w:rPr>
          <w:rFonts w:hint="eastAsia" w:ascii="Times New Roman"/>
        </w:rPr>
        <w:t>表1  隔墙隔断材料评价指标要求</w:t>
      </w:r>
    </w:p>
    <w:tbl>
      <w:tblPr>
        <w:tblStyle w:val="3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652"/>
        <w:gridCol w:w="2293"/>
        <w:gridCol w:w="991"/>
        <w:gridCol w:w="1416"/>
        <w:gridCol w:w="1355"/>
        <w:gridCol w:w="129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298" w:type="pct"/>
            <w:vMerge w:val="restart"/>
            <w:shd w:val="clear" w:color="auto" w:fill="auto"/>
            <w:vAlign w:val="center"/>
          </w:tcPr>
          <w:p>
            <w:pPr>
              <w:widowControl/>
              <w:jc w:val="center"/>
              <w:rPr>
                <w:color w:val="000000"/>
                <w:kern w:val="0"/>
                <w:sz w:val="18"/>
                <w:szCs w:val="18"/>
              </w:rPr>
            </w:pPr>
            <w:r>
              <w:rPr>
                <w:color w:val="000000"/>
                <w:kern w:val="0"/>
                <w:sz w:val="18"/>
                <w:szCs w:val="18"/>
              </w:rPr>
              <w:t>一级指标</w:t>
            </w:r>
          </w:p>
        </w:tc>
        <w:tc>
          <w:tcPr>
            <w:tcW w:w="2061" w:type="pct"/>
            <w:gridSpan w:val="2"/>
            <w:vMerge w:val="restart"/>
            <w:shd w:val="clear" w:color="auto" w:fill="auto"/>
            <w:vAlign w:val="center"/>
          </w:tcPr>
          <w:p>
            <w:pPr>
              <w:widowControl/>
              <w:jc w:val="center"/>
              <w:rPr>
                <w:color w:val="000000"/>
                <w:kern w:val="0"/>
                <w:sz w:val="18"/>
                <w:szCs w:val="18"/>
              </w:rPr>
            </w:pPr>
            <w:r>
              <w:rPr>
                <w:color w:val="000000"/>
                <w:kern w:val="0"/>
                <w:sz w:val="18"/>
                <w:szCs w:val="18"/>
              </w:rPr>
              <w:t>二级指标</w:t>
            </w:r>
          </w:p>
        </w:tc>
        <w:tc>
          <w:tcPr>
            <w:tcW w:w="518" w:type="pct"/>
            <w:vMerge w:val="restart"/>
            <w:shd w:val="clear" w:color="auto" w:fill="auto"/>
            <w:vAlign w:val="center"/>
          </w:tcPr>
          <w:p>
            <w:pPr>
              <w:widowControl/>
              <w:jc w:val="center"/>
              <w:rPr>
                <w:color w:val="000000"/>
                <w:kern w:val="0"/>
                <w:sz w:val="18"/>
                <w:szCs w:val="18"/>
              </w:rPr>
            </w:pPr>
            <w:r>
              <w:rPr>
                <w:color w:val="000000"/>
                <w:kern w:val="0"/>
                <w:sz w:val="18"/>
                <w:szCs w:val="18"/>
              </w:rPr>
              <w:t>单位</w:t>
            </w:r>
          </w:p>
        </w:tc>
        <w:tc>
          <w:tcPr>
            <w:tcW w:w="2123" w:type="pct"/>
            <w:gridSpan w:val="3"/>
            <w:shd w:val="clear" w:color="auto" w:fill="auto"/>
            <w:vAlign w:val="center"/>
          </w:tcPr>
          <w:p>
            <w:pPr>
              <w:widowControl/>
              <w:jc w:val="center"/>
              <w:rPr>
                <w:color w:val="000000"/>
                <w:kern w:val="0"/>
                <w:sz w:val="18"/>
                <w:szCs w:val="18"/>
              </w:rPr>
            </w:pPr>
            <w:r>
              <w:rPr>
                <w:color w:val="000000"/>
                <w:kern w:val="0"/>
                <w:sz w:val="18"/>
                <w:szCs w:val="18"/>
              </w:rPr>
              <w:t>基准值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98" w:type="pct"/>
            <w:vMerge w:val="continue"/>
            <w:shd w:val="clear" w:color="auto" w:fill="auto"/>
            <w:vAlign w:val="center"/>
          </w:tcPr>
          <w:p>
            <w:pPr>
              <w:jc w:val="center"/>
              <w:rPr>
                <w:sz w:val="18"/>
                <w:szCs w:val="18"/>
              </w:rPr>
            </w:pPr>
          </w:p>
        </w:tc>
        <w:tc>
          <w:tcPr>
            <w:tcW w:w="2061" w:type="pct"/>
            <w:gridSpan w:val="2"/>
            <w:vMerge w:val="continue"/>
            <w:shd w:val="clear" w:color="auto" w:fill="auto"/>
            <w:vAlign w:val="center"/>
          </w:tcPr>
          <w:p>
            <w:pPr>
              <w:jc w:val="center"/>
              <w:rPr>
                <w:sz w:val="18"/>
                <w:szCs w:val="18"/>
              </w:rPr>
            </w:pPr>
          </w:p>
        </w:tc>
        <w:tc>
          <w:tcPr>
            <w:tcW w:w="518" w:type="pct"/>
            <w:vMerge w:val="continue"/>
            <w:shd w:val="clear" w:color="auto" w:fill="auto"/>
            <w:vAlign w:val="center"/>
          </w:tcPr>
          <w:p>
            <w:pPr>
              <w:jc w:val="center"/>
              <w:rPr>
                <w:sz w:val="18"/>
                <w:szCs w:val="18"/>
              </w:rPr>
            </w:pPr>
          </w:p>
        </w:tc>
        <w:tc>
          <w:tcPr>
            <w:tcW w:w="740" w:type="pct"/>
            <w:shd w:val="clear" w:color="auto" w:fill="auto"/>
            <w:vAlign w:val="center"/>
          </w:tcPr>
          <w:p>
            <w:pPr>
              <w:jc w:val="center"/>
              <w:rPr>
                <w:sz w:val="18"/>
                <w:szCs w:val="18"/>
              </w:rPr>
            </w:pPr>
            <w:r>
              <w:rPr>
                <w:color w:val="000000"/>
                <w:kern w:val="0"/>
                <w:sz w:val="18"/>
                <w:szCs w:val="18"/>
              </w:rPr>
              <w:t>一星级</w:t>
            </w:r>
          </w:p>
        </w:tc>
        <w:tc>
          <w:tcPr>
            <w:tcW w:w="708" w:type="pct"/>
            <w:shd w:val="clear" w:color="auto" w:fill="auto"/>
            <w:vAlign w:val="center"/>
          </w:tcPr>
          <w:p>
            <w:pPr>
              <w:jc w:val="center"/>
              <w:rPr>
                <w:sz w:val="18"/>
                <w:szCs w:val="18"/>
              </w:rPr>
            </w:pPr>
            <w:r>
              <w:rPr>
                <w:color w:val="000000"/>
                <w:kern w:val="0"/>
                <w:sz w:val="18"/>
                <w:szCs w:val="18"/>
              </w:rPr>
              <w:t>二星级</w:t>
            </w:r>
          </w:p>
        </w:tc>
        <w:tc>
          <w:tcPr>
            <w:tcW w:w="675" w:type="pct"/>
            <w:shd w:val="clear" w:color="auto" w:fill="auto"/>
            <w:vAlign w:val="center"/>
          </w:tcPr>
          <w:p>
            <w:pPr>
              <w:jc w:val="center"/>
              <w:rPr>
                <w:sz w:val="18"/>
                <w:szCs w:val="18"/>
              </w:rPr>
            </w:pPr>
            <w:r>
              <w:rPr>
                <w:color w:val="000000"/>
                <w:kern w:val="0"/>
                <w:sz w:val="18"/>
                <w:szCs w:val="18"/>
              </w:rPr>
              <w:t>三星级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298" w:type="pct"/>
            <w:vMerge w:val="restart"/>
            <w:shd w:val="clear" w:color="auto" w:fill="auto"/>
            <w:vAlign w:val="center"/>
          </w:tcPr>
          <w:p>
            <w:pPr>
              <w:jc w:val="center"/>
              <w:rPr>
                <w:sz w:val="18"/>
                <w:szCs w:val="18"/>
              </w:rPr>
            </w:pPr>
            <w:r>
              <w:rPr>
                <w:color w:val="000000"/>
                <w:kern w:val="0"/>
                <w:sz w:val="18"/>
                <w:szCs w:val="18"/>
              </w:rPr>
              <w:t>资源属性</w:t>
            </w:r>
          </w:p>
        </w:tc>
        <w:tc>
          <w:tcPr>
            <w:tcW w:w="863" w:type="pct"/>
            <w:vMerge w:val="restart"/>
            <w:shd w:val="clear" w:color="auto" w:fill="auto"/>
            <w:vAlign w:val="center"/>
          </w:tcPr>
          <w:p>
            <w:pPr>
              <w:widowControl/>
              <w:jc w:val="center"/>
              <w:rPr>
                <w:color w:val="000000"/>
                <w:kern w:val="0"/>
                <w:sz w:val="18"/>
                <w:szCs w:val="18"/>
              </w:rPr>
            </w:pPr>
            <w:r>
              <w:rPr>
                <w:color w:val="000000"/>
                <w:sz w:val="18"/>
                <w:szCs w:val="18"/>
              </w:rPr>
              <w:t>生产过程中固体废弃物使用率</w:t>
            </w:r>
          </w:p>
        </w:tc>
        <w:tc>
          <w:tcPr>
            <w:tcW w:w="1198" w:type="pct"/>
            <w:shd w:val="clear" w:color="auto" w:fill="auto"/>
            <w:vAlign w:val="center"/>
          </w:tcPr>
          <w:p>
            <w:pPr>
              <w:widowControl/>
              <w:jc w:val="center"/>
              <w:rPr>
                <w:color w:val="000000"/>
                <w:kern w:val="0"/>
                <w:sz w:val="18"/>
                <w:szCs w:val="18"/>
              </w:rPr>
            </w:pPr>
            <w:r>
              <w:rPr>
                <w:rFonts w:hint="eastAsia"/>
                <w:color w:val="000000"/>
                <w:kern w:val="0"/>
                <w:sz w:val="18"/>
                <w:szCs w:val="18"/>
              </w:rPr>
              <w:t>蒸压加气混凝土板</w:t>
            </w:r>
          </w:p>
        </w:tc>
        <w:tc>
          <w:tcPr>
            <w:tcW w:w="518" w:type="pct"/>
            <w:vMerge w:val="restart"/>
            <w:shd w:val="clear" w:color="auto" w:fill="auto"/>
            <w:vAlign w:val="center"/>
          </w:tcPr>
          <w:p>
            <w:pPr>
              <w:widowControl/>
              <w:jc w:val="center"/>
              <w:rPr>
                <w:color w:val="000000"/>
                <w:kern w:val="0"/>
                <w:sz w:val="18"/>
                <w:szCs w:val="18"/>
              </w:rPr>
            </w:pPr>
            <w:r>
              <w:rPr>
                <w:color w:val="000000"/>
                <w:kern w:val="0"/>
                <w:sz w:val="18"/>
                <w:szCs w:val="18"/>
              </w:rPr>
              <w:t>%</w:t>
            </w:r>
          </w:p>
        </w:tc>
        <w:tc>
          <w:tcPr>
            <w:tcW w:w="740" w:type="pct"/>
            <w:shd w:val="clear" w:color="auto" w:fill="auto"/>
            <w:vAlign w:val="center"/>
          </w:tcPr>
          <w:p>
            <w:pPr>
              <w:widowControl/>
              <w:jc w:val="center"/>
              <w:rPr>
                <w:color w:val="000000"/>
                <w:kern w:val="0"/>
                <w:sz w:val="18"/>
                <w:szCs w:val="18"/>
              </w:rPr>
            </w:pPr>
            <w:r>
              <w:rPr>
                <w:color w:val="000000"/>
                <w:kern w:val="0"/>
                <w:sz w:val="18"/>
                <w:szCs w:val="18"/>
              </w:rPr>
              <w:t>≥30</w:t>
            </w:r>
          </w:p>
        </w:tc>
        <w:tc>
          <w:tcPr>
            <w:tcW w:w="708" w:type="pct"/>
            <w:shd w:val="clear" w:color="auto" w:fill="auto"/>
            <w:vAlign w:val="center"/>
          </w:tcPr>
          <w:p>
            <w:pPr>
              <w:widowControl/>
              <w:jc w:val="center"/>
              <w:rPr>
                <w:color w:val="000000"/>
                <w:kern w:val="0"/>
                <w:sz w:val="18"/>
                <w:szCs w:val="18"/>
              </w:rPr>
            </w:pPr>
            <w:r>
              <w:rPr>
                <w:color w:val="000000"/>
                <w:kern w:val="0"/>
                <w:sz w:val="18"/>
                <w:szCs w:val="18"/>
              </w:rPr>
              <w:t>≥50</w:t>
            </w:r>
          </w:p>
        </w:tc>
        <w:tc>
          <w:tcPr>
            <w:tcW w:w="675" w:type="pct"/>
            <w:shd w:val="clear" w:color="auto" w:fill="auto"/>
            <w:vAlign w:val="center"/>
          </w:tcPr>
          <w:p>
            <w:pPr>
              <w:widowControl/>
              <w:jc w:val="center"/>
              <w:rPr>
                <w:color w:val="000000"/>
                <w:kern w:val="0"/>
                <w:sz w:val="18"/>
                <w:szCs w:val="18"/>
              </w:rPr>
            </w:pPr>
            <w:r>
              <w:rPr>
                <w:color w:val="000000"/>
                <w:kern w:val="0"/>
                <w:sz w:val="18"/>
                <w:szCs w:val="18"/>
              </w:rPr>
              <w:t>≥</w:t>
            </w:r>
            <w:r>
              <w:rPr>
                <w:rFonts w:hint="eastAsia"/>
                <w:color w:val="000000"/>
                <w:kern w:val="0"/>
                <w:sz w:val="18"/>
                <w:szCs w:val="18"/>
              </w:rPr>
              <w:t>7</w:t>
            </w:r>
            <w:r>
              <w:rPr>
                <w:color w:val="000000"/>
                <w:kern w:val="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298" w:type="pct"/>
            <w:vMerge w:val="continue"/>
            <w:shd w:val="clear" w:color="auto" w:fill="auto"/>
            <w:vAlign w:val="center"/>
          </w:tcPr>
          <w:p>
            <w:pPr>
              <w:jc w:val="center"/>
              <w:rPr>
                <w:color w:val="000000"/>
                <w:kern w:val="0"/>
                <w:sz w:val="18"/>
                <w:szCs w:val="18"/>
              </w:rPr>
            </w:pPr>
          </w:p>
        </w:tc>
        <w:tc>
          <w:tcPr>
            <w:tcW w:w="863" w:type="pct"/>
            <w:vMerge w:val="continue"/>
            <w:shd w:val="clear" w:color="auto" w:fill="auto"/>
            <w:vAlign w:val="center"/>
          </w:tcPr>
          <w:p>
            <w:pPr>
              <w:widowControl/>
              <w:jc w:val="center"/>
              <w:rPr>
                <w:color w:val="000000"/>
                <w:sz w:val="18"/>
                <w:szCs w:val="18"/>
              </w:rPr>
            </w:pPr>
          </w:p>
        </w:tc>
        <w:tc>
          <w:tcPr>
            <w:tcW w:w="1198" w:type="pct"/>
            <w:shd w:val="clear" w:color="auto" w:fill="auto"/>
            <w:vAlign w:val="center"/>
          </w:tcPr>
          <w:p>
            <w:pPr>
              <w:widowControl/>
              <w:jc w:val="center"/>
              <w:rPr>
                <w:color w:val="000000"/>
                <w:kern w:val="0"/>
                <w:sz w:val="18"/>
                <w:szCs w:val="18"/>
              </w:rPr>
            </w:pPr>
            <w:r>
              <w:rPr>
                <w:rFonts w:hint="eastAsia"/>
                <w:color w:val="000000"/>
                <w:kern w:val="0"/>
                <w:sz w:val="18"/>
                <w:szCs w:val="18"/>
              </w:rPr>
              <w:t>泡沫陶瓷板</w:t>
            </w:r>
          </w:p>
        </w:tc>
        <w:tc>
          <w:tcPr>
            <w:tcW w:w="518" w:type="pct"/>
            <w:vMerge w:val="continue"/>
            <w:shd w:val="clear" w:color="auto" w:fill="auto"/>
            <w:vAlign w:val="center"/>
          </w:tcPr>
          <w:p>
            <w:pPr>
              <w:widowControl/>
              <w:jc w:val="center"/>
              <w:rPr>
                <w:color w:val="000000"/>
                <w:kern w:val="0"/>
                <w:sz w:val="18"/>
                <w:szCs w:val="18"/>
              </w:rPr>
            </w:pPr>
          </w:p>
        </w:tc>
        <w:tc>
          <w:tcPr>
            <w:tcW w:w="740" w:type="pct"/>
            <w:shd w:val="clear" w:color="auto" w:fill="auto"/>
            <w:vAlign w:val="center"/>
          </w:tcPr>
          <w:p>
            <w:pPr>
              <w:widowControl/>
              <w:jc w:val="center"/>
              <w:rPr>
                <w:color w:val="000000"/>
                <w:kern w:val="0"/>
                <w:sz w:val="18"/>
                <w:szCs w:val="18"/>
              </w:rPr>
            </w:pPr>
            <w:r>
              <w:rPr>
                <w:color w:val="000000"/>
                <w:kern w:val="0"/>
                <w:sz w:val="18"/>
                <w:szCs w:val="18"/>
              </w:rPr>
              <w:t>≥65</w:t>
            </w:r>
          </w:p>
        </w:tc>
        <w:tc>
          <w:tcPr>
            <w:tcW w:w="708" w:type="pct"/>
            <w:shd w:val="clear" w:color="auto" w:fill="auto"/>
            <w:vAlign w:val="center"/>
          </w:tcPr>
          <w:p>
            <w:pPr>
              <w:widowControl/>
              <w:jc w:val="center"/>
              <w:rPr>
                <w:color w:val="000000"/>
                <w:kern w:val="0"/>
                <w:sz w:val="18"/>
                <w:szCs w:val="18"/>
              </w:rPr>
            </w:pPr>
            <w:r>
              <w:rPr>
                <w:color w:val="000000"/>
                <w:kern w:val="0"/>
                <w:sz w:val="18"/>
                <w:szCs w:val="18"/>
              </w:rPr>
              <w:t>≥70</w:t>
            </w:r>
          </w:p>
        </w:tc>
        <w:tc>
          <w:tcPr>
            <w:tcW w:w="675" w:type="pct"/>
            <w:shd w:val="clear" w:color="auto" w:fill="auto"/>
            <w:vAlign w:val="center"/>
          </w:tcPr>
          <w:p>
            <w:pPr>
              <w:widowControl/>
              <w:jc w:val="center"/>
              <w:rPr>
                <w:color w:val="000000"/>
                <w:kern w:val="0"/>
                <w:sz w:val="18"/>
                <w:szCs w:val="18"/>
              </w:rPr>
            </w:pPr>
            <w:r>
              <w:rPr>
                <w:color w:val="000000"/>
                <w:kern w:val="0"/>
                <w:sz w:val="18"/>
                <w:szCs w:val="18"/>
              </w:rPr>
              <w:t>≥75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298" w:type="pct"/>
            <w:vMerge w:val="continue"/>
            <w:shd w:val="clear" w:color="auto" w:fill="auto"/>
            <w:vAlign w:val="center"/>
          </w:tcPr>
          <w:p>
            <w:pPr>
              <w:jc w:val="center"/>
              <w:rPr>
                <w:color w:val="000000"/>
                <w:kern w:val="0"/>
                <w:sz w:val="18"/>
                <w:szCs w:val="18"/>
              </w:rPr>
            </w:pPr>
          </w:p>
        </w:tc>
        <w:tc>
          <w:tcPr>
            <w:tcW w:w="863" w:type="pct"/>
            <w:vMerge w:val="continue"/>
            <w:shd w:val="clear" w:color="auto" w:fill="auto"/>
            <w:vAlign w:val="center"/>
          </w:tcPr>
          <w:p>
            <w:pPr>
              <w:widowControl/>
              <w:jc w:val="center"/>
              <w:rPr>
                <w:color w:val="000000"/>
                <w:sz w:val="18"/>
                <w:szCs w:val="18"/>
              </w:rPr>
            </w:pPr>
          </w:p>
        </w:tc>
        <w:tc>
          <w:tcPr>
            <w:tcW w:w="1198" w:type="pct"/>
            <w:shd w:val="clear" w:color="auto" w:fill="auto"/>
            <w:vAlign w:val="center"/>
          </w:tcPr>
          <w:p>
            <w:pPr>
              <w:widowControl/>
              <w:jc w:val="center"/>
              <w:rPr>
                <w:color w:val="000000"/>
                <w:kern w:val="0"/>
                <w:sz w:val="18"/>
                <w:szCs w:val="18"/>
              </w:rPr>
            </w:pPr>
            <w:r>
              <w:rPr>
                <w:rFonts w:hint="eastAsia"/>
                <w:color w:val="000000"/>
                <w:kern w:val="0"/>
                <w:sz w:val="18"/>
                <w:szCs w:val="18"/>
              </w:rPr>
              <w:t>石膏条板</w:t>
            </w:r>
          </w:p>
        </w:tc>
        <w:tc>
          <w:tcPr>
            <w:tcW w:w="518" w:type="pct"/>
            <w:vMerge w:val="continue"/>
            <w:shd w:val="clear" w:color="auto" w:fill="auto"/>
            <w:vAlign w:val="center"/>
          </w:tcPr>
          <w:p>
            <w:pPr>
              <w:widowControl/>
              <w:jc w:val="center"/>
              <w:rPr>
                <w:color w:val="000000"/>
                <w:kern w:val="0"/>
                <w:sz w:val="18"/>
                <w:szCs w:val="18"/>
              </w:rPr>
            </w:pPr>
          </w:p>
        </w:tc>
        <w:tc>
          <w:tcPr>
            <w:tcW w:w="2123" w:type="pct"/>
            <w:gridSpan w:val="3"/>
            <w:shd w:val="clear" w:color="auto" w:fill="auto"/>
            <w:vAlign w:val="center"/>
          </w:tcPr>
          <w:p>
            <w:pPr>
              <w:widowControl/>
              <w:jc w:val="center"/>
              <w:rPr>
                <w:color w:val="000000"/>
                <w:kern w:val="0"/>
                <w:sz w:val="18"/>
                <w:szCs w:val="18"/>
              </w:rPr>
            </w:pPr>
            <w:r>
              <w:rPr>
                <w:color w:val="000000"/>
                <w:kern w:val="0"/>
                <w:sz w:val="18"/>
                <w:szCs w:val="18"/>
              </w:rPr>
              <w:t>≥95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298" w:type="pct"/>
            <w:vMerge w:val="continue"/>
            <w:shd w:val="clear" w:color="auto" w:fill="auto"/>
            <w:vAlign w:val="center"/>
          </w:tcPr>
          <w:p>
            <w:pPr>
              <w:jc w:val="center"/>
              <w:rPr>
                <w:color w:val="000000"/>
                <w:kern w:val="0"/>
                <w:sz w:val="18"/>
                <w:szCs w:val="18"/>
              </w:rPr>
            </w:pPr>
          </w:p>
        </w:tc>
        <w:tc>
          <w:tcPr>
            <w:tcW w:w="863" w:type="pct"/>
            <w:vMerge w:val="continue"/>
            <w:shd w:val="clear" w:color="auto" w:fill="auto"/>
            <w:vAlign w:val="center"/>
          </w:tcPr>
          <w:p>
            <w:pPr>
              <w:widowControl/>
              <w:jc w:val="center"/>
              <w:rPr>
                <w:color w:val="000000"/>
                <w:sz w:val="18"/>
                <w:szCs w:val="18"/>
              </w:rPr>
            </w:pPr>
          </w:p>
        </w:tc>
        <w:tc>
          <w:tcPr>
            <w:tcW w:w="1198" w:type="pct"/>
            <w:shd w:val="clear" w:color="auto" w:fill="auto"/>
            <w:vAlign w:val="center"/>
          </w:tcPr>
          <w:p>
            <w:pPr>
              <w:widowControl/>
              <w:jc w:val="center"/>
              <w:rPr>
                <w:color w:val="000000"/>
                <w:kern w:val="0"/>
                <w:sz w:val="18"/>
                <w:szCs w:val="18"/>
              </w:rPr>
            </w:pPr>
            <w:r>
              <w:rPr>
                <w:rFonts w:hint="eastAsia"/>
                <w:color w:val="000000"/>
                <w:kern w:val="0"/>
                <w:sz w:val="18"/>
                <w:szCs w:val="18"/>
              </w:rPr>
              <w:t>其他</w:t>
            </w:r>
          </w:p>
        </w:tc>
        <w:tc>
          <w:tcPr>
            <w:tcW w:w="518" w:type="pct"/>
            <w:vMerge w:val="continue"/>
            <w:shd w:val="clear" w:color="auto" w:fill="auto"/>
            <w:vAlign w:val="center"/>
          </w:tcPr>
          <w:p>
            <w:pPr>
              <w:widowControl/>
              <w:jc w:val="center"/>
              <w:rPr>
                <w:color w:val="000000"/>
                <w:kern w:val="0"/>
                <w:sz w:val="18"/>
                <w:szCs w:val="18"/>
              </w:rPr>
            </w:pPr>
          </w:p>
        </w:tc>
        <w:tc>
          <w:tcPr>
            <w:tcW w:w="740" w:type="pct"/>
            <w:shd w:val="clear" w:color="auto" w:fill="auto"/>
            <w:vAlign w:val="center"/>
          </w:tcPr>
          <w:p>
            <w:pPr>
              <w:widowControl/>
              <w:jc w:val="center"/>
              <w:rPr>
                <w:color w:val="000000"/>
                <w:kern w:val="0"/>
                <w:sz w:val="18"/>
                <w:szCs w:val="18"/>
              </w:rPr>
            </w:pPr>
            <w:r>
              <w:rPr>
                <w:color w:val="000000"/>
                <w:kern w:val="0"/>
                <w:sz w:val="18"/>
                <w:szCs w:val="18"/>
              </w:rPr>
              <w:t>≥</w:t>
            </w:r>
            <w:r>
              <w:rPr>
                <w:rFonts w:hint="eastAsia"/>
                <w:color w:val="000000"/>
                <w:kern w:val="0"/>
                <w:sz w:val="18"/>
                <w:szCs w:val="18"/>
              </w:rPr>
              <w:t>20</w:t>
            </w:r>
          </w:p>
        </w:tc>
        <w:tc>
          <w:tcPr>
            <w:tcW w:w="708" w:type="pct"/>
            <w:shd w:val="clear" w:color="auto" w:fill="auto"/>
            <w:vAlign w:val="center"/>
          </w:tcPr>
          <w:p>
            <w:pPr>
              <w:widowControl/>
              <w:jc w:val="center"/>
              <w:rPr>
                <w:color w:val="000000"/>
                <w:kern w:val="0"/>
                <w:sz w:val="18"/>
                <w:szCs w:val="18"/>
              </w:rPr>
            </w:pPr>
            <w:r>
              <w:rPr>
                <w:color w:val="000000"/>
                <w:kern w:val="0"/>
                <w:sz w:val="18"/>
                <w:szCs w:val="18"/>
              </w:rPr>
              <w:t>≥</w:t>
            </w:r>
            <w:r>
              <w:rPr>
                <w:rFonts w:hint="eastAsia"/>
                <w:color w:val="000000"/>
                <w:kern w:val="0"/>
                <w:sz w:val="18"/>
                <w:szCs w:val="18"/>
              </w:rPr>
              <w:t>25</w:t>
            </w:r>
          </w:p>
        </w:tc>
        <w:tc>
          <w:tcPr>
            <w:tcW w:w="675" w:type="pct"/>
            <w:shd w:val="clear" w:color="auto" w:fill="auto"/>
            <w:vAlign w:val="center"/>
          </w:tcPr>
          <w:p>
            <w:pPr>
              <w:widowControl/>
              <w:jc w:val="center"/>
              <w:rPr>
                <w:color w:val="000000"/>
                <w:kern w:val="0"/>
                <w:sz w:val="18"/>
                <w:szCs w:val="18"/>
              </w:rPr>
            </w:pPr>
            <w:r>
              <w:rPr>
                <w:color w:val="000000"/>
                <w:kern w:val="0"/>
                <w:sz w:val="18"/>
                <w:szCs w:val="18"/>
              </w:rPr>
              <w:t>≥</w:t>
            </w:r>
            <w:r>
              <w:rPr>
                <w:rFonts w:hint="eastAsia"/>
                <w:color w:val="000000"/>
                <w:kern w:val="0"/>
                <w:sz w:val="18"/>
                <w:szCs w:val="18"/>
              </w:rPr>
              <w:t>3</w:t>
            </w:r>
            <w:r>
              <w:rPr>
                <w:color w:val="000000"/>
                <w:kern w:val="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98" w:type="pct"/>
            <w:vMerge w:val="continue"/>
            <w:shd w:val="clear" w:color="auto" w:fill="auto"/>
            <w:vAlign w:val="center"/>
          </w:tcPr>
          <w:p>
            <w:pPr>
              <w:jc w:val="center"/>
              <w:rPr>
                <w:sz w:val="18"/>
                <w:szCs w:val="18"/>
              </w:rPr>
            </w:pPr>
          </w:p>
        </w:tc>
        <w:tc>
          <w:tcPr>
            <w:tcW w:w="2061" w:type="pct"/>
            <w:gridSpan w:val="2"/>
            <w:shd w:val="clear" w:color="auto" w:fill="auto"/>
            <w:vAlign w:val="center"/>
          </w:tcPr>
          <w:p>
            <w:pPr>
              <w:widowControl/>
              <w:jc w:val="center"/>
              <w:rPr>
                <w:sz w:val="18"/>
                <w:szCs w:val="18"/>
              </w:rPr>
            </w:pPr>
            <w:r>
              <w:rPr>
                <w:sz w:val="18"/>
                <w:szCs w:val="18"/>
              </w:rPr>
              <w:t>生产废水回收利用率</w:t>
            </w:r>
          </w:p>
        </w:tc>
        <w:tc>
          <w:tcPr>
            <w:tcW w:w="518" w:type="pct"/>
            <w:shd w:val="clear" w:color="auto" w:fill="auto"/>
            <w:vAlign w:val="center"/>
          </w:tcPr>
          <w:p>
            <w:pPr>
              <w:widowControl/>
              <w:jc w:val="center"/>
              <w:rPr>
                <w:color w:val="000000"/>
                <w:kern w:val="0"/>
                <w:sz w:val="18"/>
                <w:szCs w:val="18"/>
              </w:rPr>
            </w:pPr>
            <w:r>
              <w:rPr>
                <w:color w:val="000000"/>
                <w:kern w:val="0"/>
                <w:sz w:val="18"/>
                <w:szCs w:val="18"/>
              </w:rPr>
              <w:t>%</w:t>
            </w:r>
          </w:p>
        </w:tc>
        <w:tc>
          <w:tcPr>
            <w:tcW w:w="1448" w:type="pct"/>
            <w:gridSpan w:val="2"/>
            <w:shd w:val="clear" w:color="auto" w:fill="auto"/>
            <w:vAlign w:val="center"/>
          </w:tcPr>
          <w:p>
            <w:pPr>
              <w:widowControl/>
              <w:jc w:val="center"/>
              <w:rPr>
                <w:color w:val="000000"/>
                <w:kern w:val="0"/>
                <w:sz w:val="18"/>
                <w:szCs w:val="18"/>
              </w:rPr>
            </w:pPr>
            <w:r>
              <w:rPr>
                <w:color w:val="000000"/>
                <w:kern w:val="0"/>
                <w:sz w:val="18"/>
                <w:szCs w:val="18"/>
              </w:rPr>
              <w:t>≥70</w:t>
            </w:r>
          </w:p>
        </w:tc>
        <w:tc>
          <w:tcPr>
            <w:tcW w:w="675" w:type="pct"/>
            <w:shd w:val="clear" w:color="auto" w:fill="auto"/>
            <w:vAlign w:val="center"/>
          </w:tcPr>
          <w:p>
            <w:pPr>
              <w:widowControl/>
              <w:jc w:val="center"/>
              <w:rPr>
                <w:color w:val="000000"/>
                <w:kern w:val="0"/>
                <w:sz w:val="18"/>
                <w:szCs w:val="18"/>
              </w:rPr>
            </w:pPr>
            <w:r>
              <w:rPr>
                <w:color w:val="000000"/>
                <w:kern w:val="0"/>
                <w:sz w:val="18"/>
                <w:szCs w:val="18"/>
              </w:rPr>
              <w:t>≥95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98" w:type="pct"/>
            <w:vMerge w:val="restart"/>
            <w:shd w:val="clear" w:color="auto" w:fill="auto"/>
            <w:vAlign w:val="center"/>
          </w:tcPr>
          <w:p>
            <w:pPr>
              <w:jc w:val="center"/>
              <w:rPr>
                <w:sz w:val="18"/>
                <w:szCs w:val="18"/>
              </w:rPr>
            </w:pPr>
            <w:r>
              <w:rPr>
                <w:sz w:val="18"/>
                <w:szCs w:val="18"/>
              </w:rPr>
              <w:t>能源属性</w:t>
            </w:r>
          </w:p>
        </w:tc>
        <w:tc>
          <w:tcPr>
            <w:tcW w:w="2061" w:type="pct"/>
            <w:gridSpan w:val="2"/>
            <w:shd w:val="clear" w:color="auto" w:fill="auto"/>
            <w:vAlign w:val="center"/>
          </w:tcPr>
          <w:p>
            <w:pPr>
              <w:widowControl/>
              <w:jc w:val="center"/>
              <w:rPr>
                <w:sz w:val="18"/>
                <w:szCs w:val="18"/>
              </w:rPr>
            </w:pPr>
            <w:r>
              <w:rPr>
                <w:color w:val="000000"/>
                <w:kern w:val="0"/>
                <w:sz w:val="18"/>
                <w:szCs w:val="18"/>
              </w:rPr>
              <w:t>原材料本地化程度</w:t>
            </w:r>
          </w:p>
        </w:tc>
        <w:tc>
          <w:tcPr>
            <w:tcW w:w="518" w:type="pct"/>
            <w:shd w:val="clear" w:color="auto" w:fill="auto"/>
            <w:vAlign w:val="center"/>
          </w:tcPr>
          <w:p>
            <w:pPr>
              <w:widowControl/>
              <w:jc w:val="center"/>
              <w:rPr>
                <w:color w:val="000000"/>
                <w:kern w:val="0"/>
                <w:sz w:val="18"/>
                <w:szCs w:val="18"/>
              </w:rPr>
            </w:pPr>
            <w:r>
              <w:rPr>
                <w:color w:val="000000"/>
                <w:kern w:val="0"/>
                <w:sz w:val="18"/>
                <w:szCs w:val="18"/>
              </w:rPr>
              <w:t>%</w:t>
            </w:r>
          </w:p>
        </w:tc>
        <w:tc>
          <w:tcPr>
            <w:tcW w:w="740" w:type="pct"/>
            <w:shd w:val="clear" w:color="auto" w:fill="auto"/>
            <w:vAlign w:val="center"/>
          </w:tcPr>
          <w:p>
            <w:pPr>
              <w:jc w:val="center"/>
              <w:rPr>
                <w:color w:val="000000"/>
                <w:kern w:val="0"/>
                <w:sz w:val="18"/>
                <w:szCs w:val="18"/>
              </w:rPr>
            </w:pPr>
            <w:r>
              <w:rPr>
                <w:color w:val="000000"/>
                <w:kern w:val="0"/>
                <w:sz w:val="18"/>
                <w:szCs w:val="18"/>
              </w:rPr>
              <w:t>≥90</w:t>
            </w:r>
          </w:p>
        </w:tc>
        <w:tc>
          <w:tcPr>
            <w:tcW w:w="1383" w:type="pct"/>
            <w:gridSpan w:val="2"/>
            <w:shd w:val="clear" w:color="auto" w:fill="auto"/>
            <w:vAlign w:val="center"/>
          </w:tcPr>
          <w:p>
            <w:pPr>
              <w:jc w:val="center"/>
              <w:rPr>
                <w:color w:val="000000"/>
                <w:kern w:val="0"/>
                <w:sz w:val="18"/>
                <w:szCs w:val="18"/>
              </w:rPr>
            </w:pPr>
            <w:r>
              <w:rPr>
                <w:color w:val="000000"/>
                <w:kern w:val="0"/>
                <w:sz w:val="18"/>
                <w:szCs w:val="18"/>
              </w:rPr>
              <w:t>≥95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98" w:type="pct"/>
            <w:vMerge w:val="continue"/>
            <w:shd w:val="clear" w:color="auto" w:fill="auto"/>
            <w:vAlign w:val="center"/>
          </w:tcPr>
          <w:p>
            <w:pPr>
              <w:jc w:val="center"/>
              <w:rPr>
                <w:sz w:val="18"/>
                <w:szCs w:val="18"/>
              </w:rPr>
            </w:pPr>
          </w:p>
        </w:tc>
        <w:tc>
          <w:tcPr>
            <w:tcW w:w="2061" w:type="pct"/>
            <w:gridSpan w:val="2"/>
            <w:shd w:val="clear" w:color="auto" w:fill="auto"/>
            <w:vAlign w:val="center"/>
          </w:tcPr>
          <w:p>
            <w:pPr>
              <w:widowControl/>
              <w:jc w:val="center"/>
              <w:rPr>
                <w:color w:val="000000"/>
                <w:kern w:val="0"/>
                <w:sz w:val="18"/>
                <w:szCs w:val="18"/>
              </w:rPr>
            </w:pPr>
            <w:r>
              <w:rPr>
                <w:color w:val="000000"/>
                <w:kern w:val="0"/>
                <w:sz w:val="18"/>
                <w:szCs w:val="18"/>
              </w:rPr>
              <w:t>是否使用清洁能源</w:t>
            </w:r>
          </w:p>
        </w:tc>
        <w:tc>
          <w:tcPr>
            <w:tcW w:w="518" w:type="pct"/>
            <w:shd w:val="clear" w:color="auto" w:fill="auto"/>
            <w:vAlign w:val="center"/>
          </w:tcPr>
          <w:p>
            <w:pPr>
              <w:jc w:val="center"/>
              <w:rPr>
                <w:sz w:val="18"/>
                <w:szCs w:val="18"/>
              </w:rPr>
            </w:pPr>
            <w:r>
              <w:rPr>
                <w:color w:val="000000"/>
                <w:kern w:val="0"/>
                <w:sz w:val="18"/>
                <w:szCs w:val="18"/>
              </w:rPr>
              <w:t>—</w:t>
            </w:r>
          </w:p>
        </w:tc>
        <w:tc>
          <w:tcPr>
            <w:tcW w:w="740" w:type="pct"/>
            <w:shd w:val="clear" w:color="auto" w:fill="auto"/>
            <w:vAlign w:val="center"/>
          </w:tcPr>
          <w:p>
            <w:pPr>
              <w:widowControl/>
              <w:jc w:val="center"/>
              <w:rPr>
                <w:color w:val="000000"/>
                <w:kern w:val="0"/>
                <w:sz w:val="18"/>
                <w:szCs w:val="18"/>
              </w:rPr>
            </w:pPr>
            <w:r>
              <w:rPr>
                <w:color w:val="000000"/>
                <w:kern w:val="0"/>
                <w:sz w:val="18"/>
                <w:szCs w:val="18"/>
              </w:rPr>
              <w:t>——</w:t>
            </w:r>
          </w:p>
        </w:tc>
        <w:tc>
          <w:tcPr>
            <w:tcW w:w="1383" w:type="pct"/>
            <w:gridSpan w:val="2"/>
            <w:shd w:val="clear" w:color="auto" w:fill="auto"/>
            <w:vAlign w:val="center"/>
          </w:tcPr>
          <w:p>
            <w:pPr>
              <w:widowControl/>
              <w:jc w:val="center"/>
              <w:rPr>
                <w:color w:val="000000"/>
                <w:kern w:val="0"/>
                <w:sz w:val="18"/>
                <w:szCs w:val="18"/>
              </w:rPr>
            </w:pPr>
            <w:r>
              <w:rPr>
                <w:color w:val="000000"/>
                <w:kern w:val="0"/>
                <w:sz w:val="18"/>
                <w:szCs w:val="18"/>
              </w:rPr>
              <w:t>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98" w:type="pct"/>
            <w:vMerge w:val="continue"/>
            <w:shd w:val="clear" w:color="auto" w:fill="auto"/>
            <w:vAlign w:val="center"/>
          </w:tcPr>
          <w:p>
            <w:pPr>
              <w:jc w:val="center"/>
              <w:rPr>
                <w:sz w:val="18"/>
                <w:szCs w:val="18"/>
              </w:rPr>
            </w:pPr>
          </w:p>
        </w:tc>
        <w:tc>
          <w:tcPr>
            <w:tcW w:w="863" w:type="pct"/>
            <w:vMerge w:val="restart"/>
            <w:shd w:val="clear" w:color="auto" w:fill="auto"/>
            <w:vAlign w:val="center"/>
          </w:tcPr>
          <w:p>
            <w:pPr>
              <w:widowControl/>
              <w:jc w:val="center"/>
              <w:rPr>
                <w:rFonts w:ascii="宋体"/>
                <w:color w:val="000000"/>
                <w:kern w:val="0"/>
                <w:sz w:val="18"/>
                <w:szCs w:val="18"/>
              </w:rPr>
            </w:pPr>
            <w:r>
              <w:rPr>
                <w:color w:val="000000"/>
                <w:kern w:val="0"/>
                <w:sz w:val="18"/>
                <w:szCs w:val="18"/>
              </w:rPr>
              <w:t>单位产品综合能耗</w:t>
            </w:r>
          </w:p>
        </w:tc>
        <w:tc>
          <w:tcPr>
            <w:tcW w:w="1198" w:type="pct"/>
            <w:shd w:val="clear" w:color="auto" w:fill="auto"/>
            <w:vAlign w:val="center"/>
          </w:tcPr>
          <w:p>
            <w:pPr>
              <w:widowControl/>
              <w:jc w:val="center"/>
              <w:rPr>
                <w:color w:val="000000"/>
                <w:kern w:val="0"/>
                <w:sz w:val="18"/>
                <w:szCs w:val="18"/>
              </w:rPr>
            </w:pPr>
            <w:r>
              <w:rPr>
                <w:rFonts w:hint="eastAsia"/>
                <w:color w:val="000000"/>
                <w:kern w:val="0"/>
                <w:sz w:val="18"/>
                <w:szCs w:val="18"/>
              </w:rPr>
              <w:t>蒸压加气混凝土板</w:t>
            </w:r>
          </w:p>
        </w:tc>
        <w:tc>
          <w:tcPr>
            <w:tcW w:w="518" w:type="pct"/>
            <w:shd w:val="clear" w:color="auto" w:fill="auto"/>
            <w:vAlign w:val="center"/>
          </w:tcPr>
          <w:p>
            <w:pPr>
              <w:jc w:val="center"/>
              <w:rPr>
                <w:color w:val="000000"/>
                <w:kern w:val="0"/>
                <w:sz w:val="18"/>
                <w:szCs w:val="18"/>
              </w:rPr>
            </w:pPr>
            <w:r>
              <w:rPr>
                <w:color w:val="000000"/>
                <w:kern w:val="0"/>
                <w:sz w:val="18"/>
                <w:szCs w:val="18"/>
              </w:rPr>
              <w:t>kgce/m</w:t>
            </w:r>
            <w:r>
              <w:rPr>
                <w:rFonts w:hint="eastAsia"/>
                <w:color w:val="000000"/>
                <w:kern w:val="0"/>
                <w:sz w:val="18"/>
                <w:szCs w:val="18"/>
                <w:vertAlign w:val="superscript"/>
              </w:rPr>
              <w:t>3</w:t>
            </w:r>
          </w:p>
        </w:tc>
        <w:tc>
          <w:tcPr>
            <w:tcW w:w="740" w:type="pct"/>
            <w:shd w:val="clear" w:color="auto" w:fill="auto"/>
            <w:vAlign w:val="center"/>
          </w:tcPr>
          <w:p>
            <w:pPr>
              <w:widowControl/>
              <w:jc w:val="center"/>
              <w:rPr>
                <w:color w:val="000000"/>
                <w:kern w:val="0"/>
                <w:sz w:val="18"/>
                <w:szCs w:val="18"/>
              </w:rPr>
            </w:pPr>
            <w:r>
              <w:rPr>
                <w:color w:val="000000"/>
                <w:kern w:val="0"/>
                <w:sz w:val="18"/>
                <w:szCs w:val="18"/>
              </w:rPr>
              <w:t>≤</w:t>
            </w:r>
            <w:r>
              <w:rPr>
                <w:rFonts w:hint="eastAsia"/>
                <w:color w:val="000000"/>
                <w:kern w:val="0"/>
                <w:sz w:val="18"/>
                <w:szCs w:val="18"/>
              </w:rPr>
              <w:t>2</w:t>
            </w:r>
            <w:r>
              <w:rPr>
                <w:color w:val="000000"/>
                <w:kern w:val="0"/>
                <w:sz w:val="18"/>
                <w:szCs w:val="18"/>
              </w:rPr>
              <w:t>3</w:t>
            </w:r>
          </w:p>
        </w:tc>
        <w:tc>
          <w:tcPr>
            <w:tcW w:w="708" w:type="pct"/>
            <w:shd w:val="clear" w:color="auto" w:fill="auto"/>
            <w:vAlign w:val="center"/>
          </w:tcPr>
          <w:p>
            <w:pPr>
              <w:widowControl/>
              <w:jc w:val="center"/>
              <w:rPr>
                <w:rFonts w:ascii="宋体"/>
                <w:color w:val="000000"/>
                <w:kern w:val="0"/>
                <w:sz w:val="18"/>
                <w:szCs w:val="18"/>
              </w:rPr>
            </w:pPr>
            <w:r>
              <w:rPr>
                <w:color w:val="000000"/>
                <w:kern w:val="0"/>
                <w:sz w:val="18"/>
                <w:szCs w:val="18"/>
              </w:rPr>
              <w:t>≤22</w:t>
            </w:r>
          </w:p>
        </w:tc>
        <w:tc>
          <w:tcPr>
            <w:tcW w:w="675" w:type="pct"/>
            <w:shd w:val="clear" w:color="auto" w:fill="auto"/>
            <w:vAlign w:val="center"/>
          </w:tcPr>
          <w:p>
            <w:pPr>
              <w:widowControl/>
              <w:jc w:val="center"/>
              <w:rPr>
                <w:color w:val="000000"/>
                <w:kern w:val="0"/>
                <w:sz w:val="18"/>
                <w:szCs w:val="18"/>
              </w:rPr>
            </w:pPr>
            <w:r>
              <w:rPr>
                <w:color w:val="000000"/>
                <w:kern w:val="0"/>
                <w:sz w:val="18"/>
                <w:szCs w:val="18"/>
              </w:rPr>
              <w:t>≤21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98" w:type="pct"/>
            <w:vMerge w:val="continue"/>
            <w:shd w:val="clear" w:color="auto" w:fill="auto"/>
            <w:vAlign w:val="center"/>
          </w:tcPr>
          <w:p>
            <w:pPr>
              <w:jc w:val="center"/>
              <w:rPr>
                <w:rFonts w:ascii="宋体"/>
                <w:sz w:val="18"/>
                <w:szCs w:val="18"/>
              </w:rPr>
            </w:pPr>
          </w:p>
        </w:tc>
        <w:tc>
          <w:tcPr>
            <w:tcW w:w="863" w:type="pct"/>
            <w:vMerge w:val="continue"/>
            <w:shd w:val="clear" w:color="auto" w:fill="auto"/>
            <w:vAlign w:val="center"/>
          </w:tcPr>
          <w:p>
            <w:pPr>
              <w:widowControl/>
              <w:jc w:val="center"/>
              <w:rPr>
                <w:rFonts w:ascii="宋体"/>
                <w:color w:val="000000"/>
                <w:kern w:val="0"/>
                <w:sz w:val="18"/>
                <w:szCs w:val="18"/>
              </w:rPr>
            </w:pPr>
          </w:p>
        </w:tc>
        <w:tc>
          <w:tcPr>
            <w:tcW w:w="1198" w:type="pct"/>
            <w:shd w:val="clear" w:color="auto" w:fill="auto"/>
            <w:vAlign w:val="center"/>
          </w:tcPr>
          <w:p>
            <w:pPr>
              <w:widowControl/>
              <w:jc w:val="center"/>
              <w:rPr>
                <w:rFonts w:ascii="宋体"/>
                <w:color w:val="000000"/>
                <w:kern w:val="0"/>
                <w:sz w:val="18"/>
                <w:szCs w:val="18"/>
              </w:rPr>
            </w:pPr>
            <w:r>
              <w:rPr>
                <w:rFonts w:hint="eastAsia" w:ascii="宋体"/>
                <w:color w:val="000000"/>
                <w:kern w:val="0"/>
                <w:sz w:val="18"/>
                <w:szCs w:val="18"/>
              </w:rPr>
              <w:t>泡沫陶瓷板</w:t>
            </w:r>
          </w:p>
        </w:tc>
        <w:tc>
          <w:tcPr>
            <w:tcW w:w="518" w:type="pct"/>
            <w:shd w:val="clear" w:color="auto" w:fill="auto"/>
            <w:vAlign w:val="center"/>
          </w:tcPr>
          <w:p>
            <w:pPr>
              <w:jc w:val="center"/>
              <w:rPr>
                <w:rFonts w:ascii="宋体"/>
                <w:color w:val="000000"/>
                <w:kern w:val="0"/>
                <w:sz w:val="18"/>
                <w:szCs w:val="18"/>
              </w:rPr>
            </w:pPr>
            <w:r>
              <w:rPr>
                <w:color w:val="000000"/>
                <w:kern w:val="0"/>
                <w:sz w:val="18"/>
                <w:szCs w:val="18"/>
              </w:rPr>
              <w:t>kgce/m</w:t>
            </w:r>
            <w:r>
              <w:rPr>
                <w:rFonts w:hint="eastAsia"/>
                <w:color w:val="000000"/>
                <w:kern w:val="0"/>
                <w:sz w:val="18"/>
                <w:szCs w:val="18"/>
                <w:vertAlign w:val="superscript"/>
              </w:rPr>
              <w:t>3</w:t>
            </w:r>
          </w:p>
        </w:tc>
        <w:tc>
          <w:tcPr>
            <w:tcW w:w="740" w:type="pct"/>
            <w:shd w:val="clear" w:color="auto" w:fill="auto"/>
            <w:vAlign w:val="center"/>
          </w:tcPr>
          <w:p>
            <w:pPr>
              <w:widowControl/>
              <w:jc w:val="center"/>
              <w:rPr>
                <w:rFonts w:ascii="宋体"/>
                <w:color w:val="000000"/>
                <w:kern w:val="0"/>
                <w:sz w:val="18"/>
                <w:szCs w:val="18"/>
              </w:rPr>
            </w:pPr>
            <w:r>
              <w:rPr>
                <w:color w:val="000000"/>
                <w:kern w:val="0"/>
                <w:sz w:val="18"/>
                <w:szCs w:val="18"/>
              </w:rPr>
              <w:t>≤155</w:t>
            </w:r>
          </w:p>
        </w:tc>
        <w:tc>
          <w:tcPr>
            <w:tcW w:w="708" w:type="pct"/>
            <w:shd w:val="clear" w:color="auto" w:fill="auto"/>
            <w:vAlign w:val="center"/>
          </w:tcPr>
          <w:p>
            <w:pPr>
              <w:widowControl/>
              <w:jc w:val="center"/>
              <w:rPr>
                <w:rFonts w:ascii="宋体"/>
                <w:color w:val="000000"/>
                <w:kern w:val="0"/>
                <w:sz w:val="18"/>
                <w:szCs w:val="18"/>
              </w:rPr>
            </w:pPr>
            <w:r>
              <w:rPr>
                <w:color w:val="000000"/>
                <w:kern w:val="0"/>
                <w:sz w:val="18"/>
                <w:szCs w:val="18"/>
              </w:rPr>
              <w:t>≤135</w:t>
            </w:r>
          </w:p>
        </w:tc>
        <w:tc>
          <w:tcPr>
            <w:tcW w:w="675" w:type="pct"/>
            <w:shd w:val="clear" w:color="auto" w:fill="auto"/>
            <w:vAlign w:val="center"/>
          </w:tcPr>
          <w:p>
            <w:pPr>
              <w:widowControl/>
              <w:jc w:val="center"/>
              <w:rPr>
                <w:rFonts w:ascii="宋体"/>
                <w:color w:val="000000"/>
                <w:kern w:val="0"/>
                <w:sz w:val="18"/>
                <w:szCs w:val="18"/>
              </w:rPr>
            </w:pPr>
            <w:r>
              <w:rPr>
                <w:color w:val="000000"/>
                <w:kern w:val="0"/>
                <w:sz w:val="18"/>
                <w:szCs w:val="18"/>
              </w:rPr>
              <w:t>≤115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98" w:type="pct"/>
            <w:vMerge w:val="continue"/>
            <w:shd w:val="clear" w:color="auto" w:fill="auto"/>
            <w:vAlign w:val="center"/>
          </w:tcPr>
          <w:p>
            <w:pPr>
              <w:jc w:val="center"/>
              <w:rPr>
                <w:rFonts w:ascii="宋体"/>
                <w:sz w:val="18"/>
                <w:szCs w:val="18"/>
              </w:rPr>
            </w:pPr>
          </w:p>
        </w:tc>
        <w:tc>
          <w:tcPr>
            <w:tcW w:w="863" w:type="pct"/>
            <w:vMerge w:val="continue"/>
            <w:shd w:val="clear" w:color="auto" w:fill="auto"/>
            <w:vAlign w:val="center"/>
          </w:tcPr>
          <w:p>
            <w:pPr>
              <w:widowControl/>
              <w:jc w:val="center"/>
              <w:rPr>
                <w:rFonts w:ascii="宋体"/>
                <w:color w:val="000000"/>
                <w:kern w:val="0"/>
                <w:sz w:val="18"/>
                <w:szCs w:val="18"/>
              </w:rPr>
            </w:pPr>
          </w:p>
        </w:tc>
        <w:tc>
          <w:tcPr>
            <w:tcW w:w="1198" w:type="pct"/>
            <w:shd w:val="clear" w:color="auto" w:fill="auto"/>
            <w:vAlign w:val="center"/>
          </w:tcPr>
          <w:p>
            <w:pPr>
              <w:widowControl/>
              <w:jc w:val="center"/>
              <w:rPr>
                <w:rFonts w:ascii="宋体"/>
                <w:color w:val="000000"/>
                <w:kern w:val="0"/>
                <w:sz w:val="18"/>
                <w:szCs w:val="18"/>
              </w:rPr>
            </w:pPr>
            <w:r>
              <w:rPr>
                <w:rFonts w:hint="eastAsia" w:ascii="宋体"/>
                <w:color w:val="000000"/>
                <w:kern w:val="0"/>
                <w:sz w:val="18"/>
                <w:szCs w:val="18"/>
              </w:rPr>
              <w:t>其他</w:t>
            </w:r>
          </w:p>
        </w:tc>
        <w:tc>
          <w:tcPr>
            <w:tcW w:w="518" w:type="pct"/>
            <w:shd w:val="clear" w:color="auto" w:fill="auto"/>
            <w:vAlign w:val="center"/>
          </w:tcPr>
          <w:p>
            <w:pPr>
              <w:jc w:val="center"/>
              <w:rPr>
                <w:rFonts w:ascii="宋体"/>
                <w:color w:val="000000"/>
                <w:kern w:val="0"/>
                <w:sz w:val="18"/>
                <w:szCs w:val="18"/>
              </w:rPr>
            </w:pPr>
            <w:r>
              <w:rPr>
                <w:rFonts w:hint="eastAsia" w:ascii="宋体"/>
                <w:color w:val="000000"/>
                <w:kern w:val="0"/>
                <w:sz w:val="18"/>
                <w:szCs w:val="18"/>
              </w:rPr>
              <w:t>——</w:t>
            </w:r>
          </w:p>
        </w:tc>
        <w:tc>
          <w:tcPr>
            <w:tcW w:w="740" w:type="pct"/>
            <w:shd w:val="clear" w:color="auto" w:fill="auto"/>
            <w:vAlign w:val="center"/>
          </w:tcPr>
          <w:p>
            <w:pPr>
              <w:widowControl/>
              <w:jc w:val="center"/>
              <w:rPr>
                <w:rFonts w:ascii="宋体"/>
                <w:color w:val="000000"/>
                <w:kern w:val="0"/>
                <w:sz w:val="18"/>
                <w:szCs w:val="18"/>
              </w:rPr>
            </w:pPr>
            <w:r>
              <w:rPr>
                <w:rFonts w:hint="eastAsia" w:ascii="宋体"/>
                <w:color w:val="000000"/>
                <w:kern w:val="0"/>
                <w:sz w:val="18"/>
                <w:szCs w:val="18"/>
              </w:rPr>
              <w:t>——</w:t>
            </w:r>
          </w:p>
        </w:tc>
        <w:tc>
          <w:tcPr>
            <w:tcW w:w="708" w:type="pct"/>
            <w:shd w:val="clear" w:color="auto" w:fill="auto"/>
            <w:vAlign w:val="center"/>
          </w:tcPr>
          <w:p>
            <w:pPr>
              <w:widowControl/>
              <w:jc w:val="center"/>
              <w:rPr>
                <w:rFonts w:ascii="宋体"/>
                <w:color w:val="000000"/>
                <w:kern w:val="0"/>
                <w:sz w:val="18"/>
                <w:szCs w:val="18"/>
              </w:rPr>
            </w:pPr>
            <w:r>
              <w:rPr>
                <w:rFonts w:hint="eastAsia" w:ascii="宋体"/>
                <w:color w:val="000000"/>
                <w:kern w:val="0"/>
                <w:sz w:val="18"/>
                <w:szCs w:val="18"/>
              </w:rPr>
              <w:t>——</w:t>
            </w:r>
          </w:p>
        </w:tc>
        <w:tc>
          <w:tcPr>
            <w:tcW w:w="675" w:type="pct"/>
            <w:shd w:val="clear" w:color="auto" w:fill="auto"/>
            <w:vAlign w:val="center"/>
          </w:tcPr>
          <w:p>
            <w:pPr>
              <w:widowControl/>
              <w:jc w:val="center"/>
              <w:rPr>
                <w:rFonts w:ascii="宋体"/>
                <w:b/>
                <w:color w:val="000000"/>
                <w:kern w:val="0"/>
                <w:sz w:val="18"/>
                <w:szCs w:val="18"/>
              </w:rPr>
            </w:pPr>
            <w:r>
              <w:rPr>
                <w:rFonts w:hint="eastAsia" w:ascii="宋体"/>
                <w:color w:val="000000"/>
                <w:kern w:val="0"/>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298" w:type="pct"/>
            <w:vMerge w:val="restart"/>
            <w:shd w:val="clear" w:color="auto" w:fill="auto"/>
            <w:vAlign w:val="center"/>
          </w:tcPr>
          <w:p>
            <w:pPr>
              <w:jc w:val="center"/>
              <w:rPr>
                <w:sz w:val="18"/>
                <w:szCs w:val="18"/>
              </w:rPr>
            </w:pPr>
            <w:r>
              <w:rPr>
                <w:color w:val="000000"/>
                <w:kern w:val="0"/>
                <w:sz w:val="18"/>
                <w:szCs w:val="18"/>
              </w:rPr>
              <w:t>环境属性</w:t>
            </w:r>
          </w:p>
        </w:tc>
        <w:tc>
          <w:tcPr>
            <w:tcW w:w="2061" w:type="pct"/>
            <w:gridSpan w:val="2"/>
            <w:shd w:val="clear" w:color="auto" w:fill="auto"/>
            <w:vAlign w:val="center"/>
          </w:tcPr>
          <w:p>
            <w:pPr>
              <w:jc w:val="center"/>
              <w:rPr>
                <w:color w:val="000000"/>
                <w:kern w:val="0"/>
                <w:sz w:val="18"/>
                <w:szCs w:val="18"/>
              </w:rPr>
            </w:pPr>
            <w:r>
              <w:rPr>
                <w:color w:val="000000"/>
                <w:kern w:val="0"/>
                <w:sz w:val="18"/>
                <w:szCs w:val="18"/>
              </w:rPr>
              <w:t>生产过程中废弃物回收率</w:t>
            </w:r>
          </w:p>
        </w:tc>
        <w:tc>
          <w:tcPr>
            <w:tcW w:w="518" w:type="pct"/>
            <w:shd w:val="clear" w:color="auto" w:fill="auto"/>
            <w:vAlign w:val="center"/>
          </w:tcPr>
          <w:p>
            <w:pPr>
              <w:jc w:val="center"/>
              <w:rPr>
                <w:sz w:val="18"/>
                <w:szCs w:val="18"/>
              </w:rPr>
            </w:pPr>
            <w:r>
              <w:rPr>
                <w:color w:val="000000"/>
                <w:kern w:val="0"/>
                <w:sz w:val="18"/>
                <w:szCs w:val="18"/>
              </w:rPr>
              <w:t>%</w:t>
            </w:r>
          </w:p>
        </w:tc>
        <w:tc>
          <w:tcPr>
            <w:tcW w:w="2123" w:type="pct"/>
            <w:gridSpan w:val="3"/>
            <w:shd w:val="clear" w:color="auto" w:fill="auto"/>
            <w:vAlign w:val="center"/>
          </w:tcPr>
          <w:p>
            <w:pPr>
              <w:jc w:val="center"/>
              <w:rPr>
                <w:color w:val="000000"/>
                <w:kern w:val="0"/>
                <w:sz w:val="18"/>
                <w:szCs w:val="18"/>
              </w:rPr>
            </w:pPr>
            <w:r>
              <w:rPr>
                <w:color w:val="000000"/>
                <w:kern w:val="0"/>
                <w:sz w:val="18"/>
                <w:szCs w:val="18"/>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298" w:type="pct"/>
            <w:vMerge w:val="continue"/>
            <w:shd w:val="clear" w:color="auto" w:fill="auto"/>
            <w:vAlign w:val="center"/>
          </w:tcPr>
          <w:p>
            <w:pPr>
              <w:jc w:val="center"/>
              <w:rPr>
                <w:sz w:val="18"/>
                <w:szCs w:val="18"/>
              </w:rPr>
            </w:pPr>
          </w:p>
        </w:tc>
        <w:tc>
          <w:tcPr>
            <w:tcW w:w="2061" w:type="pct"/>
            <w:gridSpan w:val="2"/>
            <w:shd w:val="clear" w:color="auto" w:fill="auto"/>
            <w:vAlign w:val="center"/>
          </w:tcPr>
          <w:p>
            <w:pPr>
              <w:jc w:val="center"/>
              <w:rPr>
                <w:color w:val="000000"/>
                <w:kern w:val="0"/>
                <w:sz w:val="18"/>
                <w:szCs w:val="18"/>
              </w:rPr>
            </w:pPr>
            <w:r>
              <w:rPr>
                <w:color w:val="000000"/>
                <w:kern w:val="0"/>
                <w:sz w:val="18"/>
                <w:szCs w:val="18"/>
              </w:rPr>
              <w:t>安装合乎要求的</w:t>
            </w:r>
            <w:r>
              <w:rPr>
                <w:rFonts w:hint="eastAsia"/>
                <w:color w:val="000000"/>
                <w:kern w:val="0"/>
                <w:sz w:val="18"/>
                <w:szCs w:val="18"/>
              </w:rPr>
              <w:t>颗粒物</w:t>
            </w:r>
            <w:r>
              <w:rPr>
                <w:color w:val="000000"/>
                <w:kern w:val="0"/>
                <w:sz w:val="18"/>
                <w:szCs w:val="18"/>
              </w:rPr>
              <w:t>回收装置并正常运转</w:t>
            </w:r>
          </w:p>
        </w:tc>
        <w:tc>
          <w:tcPr>
            <w:tcW w:w="518" w:type="pct"/>
            <w:vMerge w:val="restart"/>
            <w:shd w:val="clear" w:color="auto" w:fill="auto"/>
            <w:vAlign w:val="center"/>
          </w:tcPr>
          <w:p>
            <w:pPr>
              <w:jc w:val="center"/>
              <w:rPr>
                <w:color w:val="000000"/>
                <w:kern w:val="0"/>
                <w:sz w:val="18"/>
                <w:szCs w:val="18"/>
              </w:rPr>
            </w:pPr>
            <w:r>
              <w:rPr>
                <w:color w:val="000000"/>
                <w:kern w:val="0"/>
                <w:sz w:val="18"/>
                <w:szCs w:val="18"/>
              </w:rPr>
              <w:t>—</w:t>
            </w:r>
          </w:p>
        </w:tc>
        <w:tc>
          <w:tcPr>
            <w:tcW w:w="740" w:type="pct"/>
            <w:vMerge w:val="restart"/>
            <w:shd w:val="clear" w:color="auto" w:fill="auto"/>
            <w:vAlign w:val="center"/>
          </w:tcPr>
          <w:p>
            <w:pPr>
              <w:jc w:val="center"/>
              <w:rPr>
                <w:color w:val="000000"/>
                <w:kern w:val="0"/>
                <w:sz w:val="18"/>
                <w:szCs w:val="18"/>
              </w:rPr>
            </w:pPr>
            <w:r>
              <w:rPr>
                <w:rFonts w:hint="eastAsia"/>
                <w:color w:val="000000"/>
                <w:kern w:val="0"/>
                <w:sz w:val="18"/>
                <w:szCs w:val="18"/>
              </w:rPr>
              <w:t>至少符合1项</w:t>
            </w:r>
          </w:p>
        </w:tc>
        <w:tc>
          <w:tcPr>
            <w:tcW w:w="708" w:type="pct"/>
            <w:vMerge w:val="restart"/>
            <w:shd w:val="clear" w:color="auto" w:fill="auto"/>
            <w:vAlign w:val="center"/>
          </w:tcPr>
          <w:p>
            <w:pPr>
              <w:jc w:val="center"/>
              <w:rPr>
                <w:color w:val="000000"/>
                <w:kern w:val="0"/>
                <w:sz w:val="18"/>
                <w:szCs w:val="18"/>
              </w:rPr>
            </w:pPr>
            <w:r>
              <w:rPr>
                <w:rFonts w:hint="eastAsia"/>
                <w:color w:val="000000"/>
                <w:kern w:val="0"/>
                <w:sz w:val="18"/>
                <w:szCs w:val="18"/>
              </w:rPr>
              <w:t>至少符合2项</w:t>
            </w:r>
          </w:p>
        </w:tc>
        <w:tc>
          <w:tcPr>
            <w:tcW w:w="675" w:type="pct"/>
            <w:vMerge w:val="restart"/>
            <w:shd w:val="clear" w:color="auto" w:fill="auto"/>
            <w:vAlign w:val="center"/>
          </w:tcPr>
          <w:p>
            <w:pPr>
              <w:jc w:val="center"/>
              <w:rPr>
                <w:color w:val="000000"/>
                <w:kern w:val="0"/>
                <w:sz w:val="18"/>
                <w:szCs w:val="18"/>
              </w:rPr>
            </w:pPr>
            <w:r>
              <w:rPr>
                <w:rFonts w:hint="eastAsia"/>
                <w:color w:val="000000"/>
                <w:kern w:val="0"/>
                <w:sz w:val="18"/>
                <w:szCs w:val="18"/>
              </w:rPr>
              <w:t>符合3项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298" w:type="pct"/>
            <w:vMerge w:val="continue"/>
            <w:shd w:val="clear" w:color="auto" w:fill="auto"/>
            <w:vAlign w:val="center"/>
          </w:tcPr>
          <w:p>
            <w:pPr>
              <w:jc w:val="center"/>
              <w:rPr>
                <w:sz w:val="18"/>
                <w:szCs w:val="18"/>
              </w:rPr>
            </w:pPr>
          </w:p>
        </w:tc>
        <w:tc>
          <w:tcPr>
            <w:tcW w:w="2061" w:type="pct"/>
            <w:gridSpan w:val="2"/>
            <w:shd w:val="clear" w:color="auto" w:fill="auto"/>
            <w:vAlign w:val="center"/>
          </w:tcPr>
          <w:p>
            <w:pPr>
              <w:jc w:val="center"/>
              <w:rPr>
                <w:color w:val="000000"/>
                <w:kern w:val="0"/>
                <w:sz w:val="18"/>
                <w:szCs w:val="18"/>
              </w:rPr>
            </w:pPr>
            <w:r>
              <w:rPr>
                <w:rFonts w:hint="eastAsia"/>
                <w:color w:val="000000"/>
                <w:kern w:val="0"/>
                <w:sz w:val="18"/>
                <w:szCs w:val="18"/>
              </w:rPr>
              <w:t>安装合乎要求的局部或整体密闭排气收集系统，收集后进入密闭式负压废气处理系统，并正常运转</w:t>
            </w:r>
          </w:p>
        </w:tc>
        <w:tc>
          <w:tcPr>
            <w:tcW w:w="518" w:type="pct"/>
            <w:vMerge w:val="continue"/>
            <w:shd w:val="clear" w:color="auto" w:fill="auto"/>
            <w:vAlign w:val="center"/>
          </w:tcPr>
          <w:p>
            <w:pPr>
              <w:jc w:val="center"/>
              <w:rPr>
                <w:color w:val="000000"/>
                <w:kern w:val="0"/>
                <w:sz w:val="18"/>
                <w:szCs w:val="18"/>
              </w:rPr>
            </w:pPr>
          </w:p>
        </w:tc>
        <w:tc>
          <w:tcPr>
            <w:tcW w:w="740" w:type="pct"/>
            <w:vMerge w:val="continue"/>
            <w:shd w:val="clear" w:color="auto" w:fill="auto"/>
            <w:vAlign w:val="center"/>
          </w:tcPr>
          <w:p>
            <w:pPr>
              <w:jc w:val="center"/>
              <w:rPr>
                <w:color w:val="000000"/>
                <w:kern w:val="0"/>
                <w:sz w:val="18"/>
                <w:szCs w:val="18"/>
              </w:rPr>
            </w:pPr>
          </w:p>
        </w:tc>
        <w:tc>
          <w:tcPr>
            <w:tcW w:w="708" w:type="pct"/>
            <w:vMerge w:val="continue"/>
            <w:shd w:val="clear" w:color="auto" w:fill="auto"/>
            <w:vAlign w:val="center"/>
          </w:tcPr>
          <w:p>
            <w:pPr>
              <w:jc w:val="center"/>
              <w:rPr>
                <w:color w:val="000000"/>
                <w:kern w:val="0"/>
                <w:sz w:val="18"/>
                <w:szCs w:val="18"/>
              </w:rPr>
            </w:pPr>
          </w:p>
        </w:tc>
        <w:tc>
          <w:tcPr>
            <w:tcW w:w="675" w:type="pct"/>
            <w:vMerge w:val="continue"/>
            <w:shd w:val="clear" w:color="auto" w:fill="auto"/>
            <w:vAlign w:val="center"/>
          </w:tcPr>
          <w:p>
            <w:pPr>
              <w:jc w:val="center"/>
              <w:rPr>
                <w:color w:val="000000"/>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298" w:type="pct"/>
            <w:vMerge w:val="continue"/>
            <w:tcBorders>
              <w:bottom w:val="single" w:color="auto" w:sz="4" w:space="0"/>
            </w:tcBorders>
            <w:shd w:val="clear" w:color="auto" w:fill="auto"/>
            <w:vAlign w:val="center"/>
          </w:tcPr>
          <w:p>
            <w:pPr>
              <w:jc w:val="center"/>
              <w:rPr>
                <w:sz w:val="18"/>
                <w:szCs w:val="18"/>
              </w:rPr>
            </w:pPr>
          </w:p>
        </w:tc>
        <w:tc>
          <w:tcPr>
            <w:tcW w:w="2061" w:type="pct"/>
            <w:gridSpan w:val="2"/>
            <w:tcBorders>
              <w:bottom w:val="single" w:color="auto" w:sz="4" w:space="0"/>
            </w:tcBorders>
            <w:shd w:val="clear" w:color="auto" w:fill="auto"/>
            <w:vAlign w:val="center"/>
          </w:tcPr>
          <w:p>
            <w:pPr>
              <w:jc w:val="center"/>
              <w:rPr>
                <w:color w:val="000000"/>
                <w:kern w:val="0"/>
                <w:sz w:val="18"/>
                <w:szCs w:val="18"/>
              </w:rPr>
            </w:pPr>
            <w:r>
              <w:rPr>
                <w:rFonts w:hint="eastAsia"/>
                <w:color w:val="000000"/>
                <w:kern w:val="0"/>
                <w:sz w:val="18"/>
                <w:szCs w:val="18"/>
              </w:rPr>
              <w:t>按照GB/T24025提交隔墙隔断材料的环境产品声明（EPD）和碳足迹报告</w:t>
            </w:r>
          </w:p>
        </w:tc>
        <w:tc>
          <w:tcPr>
            <w:tcW w:w="518" w:type="pct"/>
            <w:vMerge w:val="continue"/>
            <w:shd w:val="clear" w:color="auto" w:fill="auto"/>
            <w:vAlign w:val="center"/>
          </w:tcPr>
          <w:p>
            <w:pPr>
              <w:jc w:val="center"/>
              <w:rPr>
                <w:color w:val="000000"/>
                <w:kern w:val="0"/>
                <w:sz w:val="18"/>
                <w:szCs w:val="18"/>
              </w:rPr>
            </w:pPr>
          </w:p>
        </w:tc>
        <w:tc>
          <w:tcPr>
            <w:tcW w:w="740" w:type="pct"/>
            <w:vMerge w:val="continue"/>
            <w:shd w:val="clear" w:color="auto" w:fill="auto"/>
            <w:vAlign w:val="center"/>
          </w:tcPr>
          <w:p>
            <w:pPr>
              <w:jc w:val="center"/>
              <w:rPr>
                <w:color w:val="000000"/>
                <w:kern w:val="0"/>
                <w:sz w:val="18"/>
                <w:szCs w:val="18"/>
              </w:rPr>
            </w:pPr>
          </w:p>
        </w:tc>
        <w:tc>
          <w:tcPr>
            <w:tcW w:w="708" w:type="pct"/>
            <w:vMerge w:val="continue"/>
            <w:shd w:val="clear" w:color="auto" w:fill="auto"/>
            <w:vAlign w:val="center"/>
          </w:tcPr>
          <w:p>
            <w:pPr>
              <w:jc w:val="center"/>
              <w:rPr>
                <w:color w:val="000000"/>
                <w:kern w:val="0"/>
                <w:sz w:val="18"/>
                <w:szCs w:val="18"/>
              </w:rPr>
            </w:pPr>
          </w:p>
        </w:tc>
        <w:tc>
          <w:tcPr>
            <w:tcW w:w="675" w:type="pct"/>
            <w:vMerge w:val="continue"/>
            <w:shd w:val="clear" w:color="auto" w:fill="auto"/>
            <w:vAlign w:val="center"/>
          </w:tcPr>
          <w:p>
            <w:pPr>
              <w:jc w:val="center"/>
              <w:rPr>
                <w:color w:val="000000"/>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98" w:type="pct"/>
            <w:vMerge w:val="restart"/>
            <w:tcBorders>
              <w:top w:val="single" w:color="auto" w:sz="4" w:space="0"/>
            </w:tcBorders>
            <w:shd w:val="clear" w:color="auto" w:fill="auto"/>
            <w:vAlign w:val="center"/>
          </w:tcPr>
          <w:p>
            <w:pPr>
              <w:jc w:val="center"/>
              <w:rPr>
                <w:rFonts w:ascii="宋体"/>
                <w:color w:val="000000"/>
                <w:kern w:val="0"/>
                <w:sz w:val="18"/>
                <w:szCs w:val="18"/>
              </w:rPr>
            </w:pPr>
            <w:r>
              <w:rPr>
                <w:rFonts w:hint="eastAsia"/>
                <w:color w:val="000000"/>
                <w:kern w:val="0"/>
                <w:sz w:val="18"/>
                <w:szCs w:val="18"/>
              </w:rPr>
              <w:t>品质属性</w:t>
            </w:r>
          </w:p>
        </w:tc>
        <w:tc>
          <w:tcPr>
            <w:tcW w:w="2061" w:type="pct"/>
            <w:gridSpan w:val="2"/>
            <w:tcBorders>
              <w:top w:val="single" w:color="auto" w:sz="4" w:space="0"/>
            </w:tcBorders>
            <w:shd w:val="clear" w:color="auto" w:fill="auto"/>
            <w:vAlign w:val="center"/>
          </w:tcPr>
          <w:p>
            <w:pPr>
              <w:jc w:val="center"/>
              <w:rPr>
                <w:color w:val="000000" w:themeColor="text1"/>
                <w:kern w:val="0"/>
                <w:sz w:val="18"/>
                <w:szCs w:val="18"/>
                <w:vertAlign w:val="superscript"/>
                <w14:textFill>
                  <w14:solidFill>
                    <w14:schemeClr w14:val="tx1"/>
                  </w14:solidFill>
                </w14:textFill>
              </w:rPr>
            </w:pPr>
            <w:r>
              <w:rPr>
                <w:color w:val="000000" w:themeColor="text1"/>
                <w:kern w:val="0"/>
                <w:sz w:val="18"/>
                <w:szCs w:val="18"/>
                <w14:textFill>
                  <w14:solidFill>
                    <w14:schemeClr w14:val="tx1"/>
                  </w14:solidFill>
                </w14:textFill>
              </w:rPr>
              <w:t>甲醛释放限量</w:t>
            </w:r>
            <w:r>
              <w:rPr>
                <w:rFonts w:hint="eastAsia"/>
                <w:color w:val="000000" w:themeColor="text1"/>
                <w:kern w:val="0"/>
                <w:sz w:val="18"/>
                <w:szCs w:val="18"/>
                <w:vertAlign w:val="superscript"/>
                <w14:textFill>
                  <w14:solidFill>
                    <w14:schemeClr w14:val="tx1"/>
                  </w14:solidFill>
                </w14:textFill>
              </w:rPr>
              <w:t>a</w:t>
            </w:r>
          </w:p>
        </w:tc>
        <w:tc>
          <w:tcPr>
            <w:tcW w:w="518" w:type="pct"/>
            <w:shd w:val="clear" w:color="auto" w:fill="auto"/>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mg/m</w:t>
            </w:r>
            <w:r>
              <w:rPr>
                <w:color w:val="000000" w:themeColor="text1"/>
                <w:kern w:val="0"/>
                <w:sz w:val="18"/>
                <w:szCs w:val="18"/>
                <w:vertAlign w:val="superscript"/>
                <w14:textFill>
                  <w14:solidFill>
                    <w14:schemeClr w14:val="tx1"/>
                  </w14:solidFill>
                </w14:textFill>
              </w:rPr>
              <w:t>3</w:t>
            </w:r>
          </w:p>
        </w:tc>
        <w:tc>
          <w:tcPr>
            <w:tcW w:w="740" w:type="pc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0.05</w:t>
            </w:r>
          </w:p>
        </w:tc>
        <w:tc>
          <w:tcPr>
            <w:tcW w:w="708" w:type="pc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0.03</w:t>
            </w:r>
          </w:p>
        </w:tc>
        <w:tc>
          <w:tcPr>
            <w:tcW w:w="675" w:type="pct"/>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不得检出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98" w:type="pct"/>
            <w:vMerge w:val="continue"/>
            <w:shd w:val="clear" w:color="auto" w:fill="auto"/>
            <w:vAlign w:val="center"/>
          </w:tcPr>
          <w:p>
            <w:pPr>
              <w:jc w:val="center"/>
              <w:rPr>
                <w:rFonts w:ascii="宋体"/>
                <w:color w:val="000000"/>
                <w:kern w:val="0"/>
                <w:sz w:val="18"/>
                <w:szCs w:val="18"/>
              </w:rPr>
            </w:pPr>
          </w:p>
        </w:tc>
        <w:tc>
          <w:tcPr>
            <w:tcW w:w="2061" w:type="pct"/>
            <w:gridSpan w:val="2"/>
            <w:shd w:val="clear" w:color="auto" w:fill="auto"/>
            <w:vAlign w:val="center"/>
          </w:tcPr>
          <w:p>
            <w:pPr>
              <w:jc w:val="center"/>
              <w:rPr>
                <w:rFonts w:ascii="宋体"/>
                <w:color w:val="000000"/>
                <w:kern w:val="0"/>
                <w:sz w:val="18"/>
                <w:szCs w:val="18"/>
              </w:rPr>
            </w:pPr>
            <w:r>
              <w:rPr>
                <w:color w:val="000000"/>
                <w:kern w:val="0"/>
                <w:sz w:val="18"/>
                <w:szCs w:val="18"/>
              </w:rPr>
              <w:t>总挥发性有机化合物（TVOC）</w:t>
            </w:r>
            <w:r>
              <w:rPr>
                <w:rFonts w:hint="eastAsia"/>
                <w:color w:val="000000" w:themeColor="text1"/>
                <w:kern w:val="0"/>
                <w:sz w:val="18"/>
                <w:szCs w:val="18"/>
                <w:vertAlign w:val="superscript"/>
                <w14:textFill>
                  <w14:solidFill>
                    <w14:schemeClr w14:val="tx1"/>
                  </w14:solidFill>
                </w14:textFill>
              </w:rPr>
              <w:t>b</w:t>
            </w:r>
          </w:p>
        </w:tc>
        <w:tc>
          <w:tcPr>
            <w:tcW w:w="518" w:type="pct"/>
            <w:shd w:val="clear" w:color="auto" w:fill="auto"/>
            <w:vAlign w:val="center"/>
          </w:tcPr>
          <w:p>
            <w:pPr>
              <w:jc w:val="center"/>
              <w:rPr>
                <w:rFonts w:ascii="宋体"/>
                <w:color w:val="000000"/>
                <w:kern w:val="0"/>
                <w:sz w:val="18"/>
                <w:szCs w:val="18"/>
              </w:rPr>
            </w:pPr>
            <w:r>
              <w:rPr>
                <w:color w:val="000000"/>
                <w:kern w:val="0"/>
                <w:sz w:val="18"/>
                <w:szCs w:val="18"/>
              </w:rPr>
              <w:t>mg/m</w:t>
            </w:r>
            <w:r>
              <w:rPr>
                <w:color w:val="000000"/>
                <w:kern w:val="0"/>
                <w:sz w:val="18"/>
                <w:szCs w:val="18"/>
                <w:vertAlign w:val="superscript"/>
              </w:rPr>
              <w:t>3</w:t>
            </w:r>
          </w:p>
        </w:tc>
        <w:tc>
          <w:tcPr>
            <w:tcW w:w="2123" w:type="pct"/>
            <w:gridSpan w:val="3"/>
            <w:shd w:val="clear" w:color="auto" w:fill="auto"/>
            <w:vAlign w:val="center"/>
          </w:tcPr>
          <w:p>
            <w:pPr>
              <w:widowControl/>
              <w:jc w:val="center"/>
              <w:rPr>
                <w:rFonts w:ascii="宋体"/>
                <w:color w:val="000000"/>
                <w:kern w:val="0"/>
                <w:sz w:val="18"/>
                <w:szCs w:val="18"/>
              </w:rPr>
            </w:pPr>
            <w:r>
              <w:rPr>
                <w:color w:val="000000"/>
                <w:kern w:val="0"/>
                <w:sz w:val="18"/>
                <w:szCs w:val="18"/>
              </w:rPr>
              <w:t>≤0.50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98" w:type="pct"/>
            <w:vMerge w:val="continue"/>
            <w:shd w:val="clear" w:color="auto" w:fill="auto"/>
            <w:vAlign w:val="center"/>
          </w:tcPr>
          <w:p>
            <w:pPr>
              <w:jc w:val="center"/>
              <w:rPr>
                <w:color w:val="000000"/>
                <w:kern w:val="0"/>
                <w:sz w:val="18"/>
                <w:szCs w:val="18"/>
              </w:rPr>
            </w:pPr>
          </w:p>
        </w:tc>
        <w:tc>
          <w:tcPr>
            <w:tcW w:w="2061" w:type="pct"/>
            <w:gridSpan w:val="2"/>
            <w:shd w:val="clear" w:color="auto" w:fill="auto"/>
            <w:vAlign w:val="center"/>
          </w:tcPr>
          <w:p>
            <w:pPr>
              <w:jc w:val="center"/>
              <w:rPr>
                <w:color w:val="000000"/>
                <w:kern w:val="0"/>
                <w:sz w:val="18"/>
                <w:szCs w:val="18"/>
              </w:rPr>
            </w:pPr>
            <w:r>
              <w:rPr>
                <w:color w:val="000000"/>
                <w:kern w:val="0"/>
                <w:sz w:val="18"/>
                <w:szCs w:val="18"/>
              </w:rPr>
              <w:t>产品外观质量指标</w:t>
            </w:r>
          </w:p>
        </w:tc>
        <w:tc>
          <w:tcPr>
            <w:tcW w:w="518" w:type="pct"/>
            <w:shd w:val="clear" w:color="auto" w:fill="auto"/>
            <w:vAlign w:val="center"/>
          </w:tcPr>
          <w:p>
            <w:pPr>
              <w:jc w:val="center"/>
              <w:rPr>
                <w:color w:val="000000"/>
                <w:kern w:val="0"/>
                <w:sz w:val="18"/>
                <w:szCs w:val="18"/>
              </w:rPr>
            </w:pPr>
            <w:r>
              <w:rPr>
                <w:color w:val="000000"/>
                <w:kern w:val="0"/>
                <w:sz w:val="18"/>
                <w:szCs w:val="18"/>
              </w:rPr>
              <w:t>—</w:t>
            </w:r>
          </w:p>
        </w:tc>
        <w:tc>
          <w:tcPr>
            <w:tcW w:w="740" w:type="pct"/>
            <w:shd w:val="clear" w:color="auto" w:fill="auto"/>
            <w:vAlign w:val="center"/>
          </w:tcPr>
          <w:p>
            <w:pPr>
              <w:widowControl/>
              <w:jc w:val="center"/>
              <w:rPr>
                <w:color w:val="000000"/>
                <w:kern w:val="0"/>
                <w:sz w:val="18"/>
                <w:szCs w:val="18"/>
              </w:rPr>
            </w:pPr>
            <w:r>
              <w:rPr>
                <w:color w:val="000000"/>
                <w:kern w:val="0"/>
                <w:sz w:val="18"/>
                <w:szCs w:val="18"/>
              </w:rPr>
              <w:t>——</w:t>
            </w:r>
          </w:p>
        </w:tc>
        <w:tc>
          <w:tcPr>
            <w:tcW w:w="708" w:type="pct"/>
            <w:shd w:val="clear" w:color="auto" w:fill="auto"/>
            <w:vAlign w:val="center"/>
          </w:tcPr>
          <w:p>
            <w:pPr>
              <w:widowControl/>
              <w:jc w:val="center"/>
              <w:rPr>
                <w:color w:val="000000"/>
                <w:kern w:val="0"/>
                <w:sz w:val="18"/>
                <w:szCs w:val="18"/>
              </w:rPr>
            </w:pPr>
            <w:r>
              <w:rPr>
                <w:color w:val="000000"/>
                <w:kern w:val="0"/>
                <w:sz w:val="18"/>
                <w:szCs w:val="18"/>
              </w:rPr>
              <w:t>产品外观质量有一般缺陷并处理达标</w:t>
            </w:r>
          </w:p>
        </w:tc>
        <w:tc>
          <w:tcPr>
            <w:tcW w:w="675" w:type="pct"/>
            <w:shd w:val="clear" w:color="auto" w:fill="auto"/>
            <w:vAlign w:val="center"/>
          </w:tcPr>
          <w:p>
            <w:pPr>
              <w:widowControl/>
              <w:jc w:val="center"/>
              <w:rPr>
                <w:color w:val="000000"/>
                <w:kern w:val="0"/>
                <w:sz w:val="18"/>
                <w:szCs w:val="18"/>
              </w:rPr>
            </w:pPr>
            <w:r>
              <w:rPr>
                <w:color w:val="000000"/>
                <w:kern w:val="0"/>
                <w:sz w:val="18"/>
                <w:szCs w:val="18"/>
              </w:rPr>
              <w:t>产品外观质量无一般缺陷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98" w:type="pct"/>
            <w:vMerge w:val="continue"/>
            <w:shd w:val="clear" w:color="auto" w:fill="auto"/>
            <w:vAlign w:val="center"/>
          </w:tcPr>
          <w:p>
            <w:pPr>
              <w:jc w:val="center"/>
              <w:rPr>
                <w:color w:val="000000"/>
                <w:kern w:val="0"/>
                <w:sz w:val="18"/>
                <w:szCs w:val="18"/>
              </w:rPr>
            </w:pPr>
          </w:p>
        </w:tc>
        <w:tc>
          <w:tcPr>
            <w:tcW w:w="863" w:type="pct"/>
            <w:vMerge w:val="restart"/>
            <w:shd w:val="clear" w:color="auto" w:fill="auto"/>
            <w:vAlign w:val="center"/>
          </w:tcPr>
          <w:p>
            <w:pPr>
              <w:jc w:val="center"/>
              <w:rPr>
                <w:color w:val="000000"/>
                <w:kern w:val="0"/>
                <w:sz w:val="18"/>
                <w:szCs w:val="18"/>
              </w:rPr>
            </w:pPr>
            <w:r>
              <w:rPr>
                <w:color w:val="000000"/>
                <w:kern w:val="0"/>
                <w:sz w:val="18"/>
                <w:szCs w:val="18"/>
              </w:rPr>
              <w:t>放射性核素限量</w:t>
            </w:r>
          </w:p>
        </w:tc>
        <w:tc>
          <w:tcPr>
            <w:tcW w:w="1198" w:type="pct"/>
            <w:shd w:val="clear" w:color="auto" w:fill="auto"/>
            <w:vAlign w:val="center"/>
          </w:tcPr>
          <w:p>
            <w:pPr>
              <w:jc w:val="center"/>
              <w:rPr>
                <w:color w:val="000000"/>
                <w:kern w:val="0"/>
                <w:sz w:val="18"/>
                <w:szCs w:val="18"/>
                <w:vertAlign w:val="subscript"/>
              </w:rPr>
            </w:pPr>
            <w:r>
              <w:rPr>
                <w:color w:val="000000"/>
                <w:kern w:val="0"/>
                <w:sz w:val="18"/>
                <w:szCs w:val="18"/>
              </w:rPr>
              <w:t>内照射指数I</w:t>
            </w:r>
            <w:r>
              <w:rPr>
                <w:color w:val="000000"/>
                <w:kern w:val="0"/>
                <w:sz w:val="18"/>
                <w:szCs w:val="18"/>
                <w:vertAlign w:val="subscript"/>
              </w:rPr>
              <w:t>Ra</w:t>
            </w:r>
          </w:p>
        </w:tc>
        <w:tc>
          <w:tcPr>
            <w:tcW w:w="518" w:type="pct"/>
            <w:shd w:val="clear" w:color="auto" w:fill="auto"/>
            <w:vAlign w:val="center"/>
          </w:tcPr>
          <w:p>
            <w:pPr>
              <w:jc w:val="center"/>
              <w:rPr>
                <w:color w:val="000000"/>
                <w:kern w:val="0"/>
                <w:sz w:val="18"/>
                <w:szCs w:val="18"/>
              </w:rPr>
            </w:pPr>
            <w:r>
              <w:rPr>
                <w:color w:val="000000"/>
                <w:kern w:val="0"/>
                <w:sz w:val="18"/>
                <w:szCs w:val="18"/>
              </w:rPr>
              <w:t>—</w:t>
            </w:r>
          </w:p>
        </w:tc>
        <w:tc>
          <w:tcPr>
            <w:tcW w:w="740" w:type="pct"/>
            <w:shd w:val="clear" w:color="auto" w:fill="auto"/>
            <w:vAlign w:val="center"/>
          </w:tcPr>
          <w:p>
            <w:pPr>
              <w:widowControl/>
              <w:jc w:val="center"/>
              <w:rPr>
                <w:color w:val="000000"/>
                <w:kern w:val="0"/>
                <w:sz w:val="18"/>
                <w:szCs w:val="18"/>
              </w:rPr>
            </w:pPr>
            <w:r>
              <w:rPr>
                <w:color w:val="000000"/>
                <w:kern w:val="0"/>
                <w:sz w:val="18"/>
                <w:szCs w:val="18"/>
              </w:rPr>
              <w:t>≤1.0</w:t>
            </w:r>
          </w:p>
        </w:tc>
        <w:tc>
          <w:tcPr>
            <w:tcW w:w="708" w:type="pct"/>
            <w:shd w:val="clear" w:color="auto" w:fill="auto"/>
            <w:vAlign w:val="center"/>
          </w:tcPr>
          <w:p>
            <w:pPr>
              <w:widowControl/>
              <w:jc w:val="center"/>
              <w:rPr>
                <w:color w:val="000000"/>
                <w:kern w:val="0"/>
                <w:sz w:val="18"/>
                <w:szCs w:val="18"/>
              </w:rPr>
            </w:pPr>
            <w:r>
              <w:rPr>
                <w:color w:val="000000"/>
                <w:kern w:val="0"/>
                <w:sz w:val="18"/>
                <w:szCs w:val="18"/>
              </w:rPr>
              <w:t>≤0.8</w:t>
            </w:r>
          </w:p>
        </w:tc>
        <w:tc>
          <w:tcPr>
            <w:tcW w:w="675" w:type="pct"/>
            <w:shd w:val="clear" w:color="auto" w:fill="auto"/>
            <w:vAlign w:val="center"/>
          </w:tcPr>
          <w:p>
            <w:pPr>
              <w:widowControl/>
              <w:jc w:val="center"/>
              <w:rPr>
                <w:color w:val="000000"/>
                <w:kern w:val="0"/>
                <w:sz w:val="18"/>
                <w:szCs w:val="18"/>
              </w:rPr>
            </w:pPr>
            <w:r>
              <w:rPr>
                <w:color w:val="000000"/>
                <w:kern w:val="0"/>
                <w:sz w:val="18"/>
                <w:szCs w:val="18"/>
              </w:rPr>
              <w:t>≤0.6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98" w:type="pct"/>
            <w:vMerge w:val="continue"/>
            <w:shd w:val="clear" w:color="auto" w:fill="auto"/>
            <w:vAlign w:val="center"/>
          </w:tcPr>
          <w:p>
            <w:pPr>
              <w:jc w:val="center"/>
              <w:rPr>
                <w:color w:val="000000"/>
                <w:kern w:val="0"/>
                <w:sz w:val="18"/>
                <w:szCs w:val="18"/>
              </w:rPr>
            </w:pPr>
          </w:p>
        </w:tc>
        <w:tc>
          <w:tcPr>
            <w:tcW w:w="863" w:type="pct"/>
            <w:vMerge w:val="continue"/>
            <w:shd w:val="clear" w:color="auto" w:fill="auto"/>
            <w:vAlign w:val="center"/>
          </w:tcPr>
          <w:p>
            <w:pPr>
              <w:jc w:val="center"/>
              <w:rPr>
                <w:color w:val="000000"/>
                <w:kern w:val="0"/>
                <w:sz w:val="18"/>
                <w:szCs w:val="18"/>
              </w:rPr>
            </w:pPr>
          </w:p>
        </w:tc>
        <w:tc>
          <w:tcPr>
            <w:tcW w:w="1198" w:type="pct"/>
            <w:shd w:val="clear" w:color="auto" w:fill="auto"/>
            <w:vAlign w:val="center"/>
          </w:tcPr>
          <w:p>
            <w:pPr>
              <w:jc w:val="center"/>
              <w:rPr>
                <w:color w:val="000000"/>
                <w:kern w:val="0"/>
                <w:sz w:val="18"/>
                <w:szCs w:val="18"/>
              </w:rPr>
            </w:pPr>
            <w:r>
              <w:rPr>
                <w:color w:val="000000"/>
                <w:kern w:val="0"/>
                <w:sz w:val="18"/>
                <w:szCs w:val="18"/>
              </w:rPr>
              <w:t>外照射指数Ir</w:t>
            </w:r>
          </w:p>
        </w:tc>
        <w:tc>
          <w:tcPr>
            <w:tcW w:w="518" w:type="pct"/>
            <w:shd w:val="clear" w:color="auto" w:fill="auto"/>
            <w:vAlign w:val="center"/>
          </w:tcPr>
          <w:p>
            <w:pPr>
              <w:jc w:val="center"/>
              <w:rPr>
                <w:color w:val="000000"/>
                <w:kern w:val="0"/>
                <w:sz w:val="18"/>
                <w:szCs w:val="18"/>
              </w:rPr>
            </w:pPr>
            <w:r>
              <w:rPr>
                <w:color w:val="000000"/>
                <w:kern w:val="0"/>
                <w:sz w:val="18"/>
                <w:szCs w:val="18"/>
              </w:rPr>
              <w:t>—</w:t>
            </w:r>
          </w:p>
        </w:tc>
        <w:tc>
          <w:tcPr>
            <w:tcW w:w="740" w:type="pct"/>
            <w:shd w:val="clear" w:color="auto" w:fill="auto"/>
            <w:vAlign w:val="center"/>
          </w:tcPr>
          <w:p>
            <w:pPr>
              <w:widowControl/>
              <w:jc w:val="center"/>
              <w:rPr>
                <w:sz w:val="18"/>
                <w:szCs w:val="18"/>
              </w:rPr>
            </w:pPr>
            <w:r>
              <w:rPr>
                <w:color w:val="000000"/>
                <w:kern w:val="0"/>
                <w:sz w:val="18"/>
                <w:szCs w:val="18"/>
              </w:rPr>
              <w:t>≤1.0</w:t>
            </w:r>
          </w:p>
        </w:tc>
        <w:tc>
          <w:tcPr>
            <w:tcW w:w="708" w:type="pct"/>
            <w:shd w:val="clear" w:color="auto" w:fill="auto"/>
            <w:vAlign w:val="center"/>
          </w:tcPr>
          <w:p>
            <w:pPr>
              <w:widowControl/>
              <w:jc w:val="center"/>
              <w:rPr>
                <w:sz w:val="18"/>
                <w:szCs w:val="18"/>
              </w:rPr>
            </w:pPr>
            <w:r>
              <w:rPr>
                <w:color w:val="000000"/>
                <w:kern w:val="0"/>
                <w:sz w:val="18"/>
                <w:szCs w:val="18"/>
              </w:rPr>
              <w:t>≤0.8</w:t>
            </w:r>
          </w:p>
        </w:tc>
        <w:tc>
          <w:tcPr>
            <w:tcW w:w="675" w:type="pct"/>
            <w:shd w:val="clear" w:color="auto" w:fill="auto"/>
            <w:vAlign w:val="center"/>
          </w:tcPr>
          <w:p>
            <w:pPr>
              <w:widowControl/>
              <w:jc w:val="center"/>
              <w:rPr>
                <w:sz w:val="18"/>
                <w:szCs w:val="18"/>
              </w:rPr>
            </w:pPr>
            <w:r>
              <w:rPr>
                <w:color w:val="000000"/>
                <w:kern w:val="0"/>
                <w:sz w:val="18"/>
                <w:szCs w:val="18"/>
              </w:rPr>
              <w:t>≤0.6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298" w:type="pct"/>
            <w:vMerge w:val="continue"/>
            <w:shd w:val="clear" w:color="auto" w:fill="auto"/>
            <w:vAlign w:val="center"/>
          </w:tcPr>
          <w:p>
            <w:pPr>
              <w:jc w:val="center"/>
              <w:rPr>
                <w:color w:val="000000"/>
                <w:kern w:val="0"/>
                <w:sz w:val="18"/>
                <w:szCs w:val="18"/>
              </w:rPr>
            </w:pPr>
          </w:p>
        </w:tc>
        <w:tc>
          <w:tcPr>
            <w:tcW w:w="863" w:type="pct"/>
            <w:vMerge w:val="restart"/>
            <w:shd w:val="clear" w:color="auto" w:fill="auto"/>
            <w:vAlign w:val="center"/>
          </w:tcPr>
          <w:p>
            <w:pPr>
              <w:jc w:val="center"/>
              <w:rPr>
                <w:color w:val="000000"/>
                <w:kern w:val="0"/>
                <w:sz w:val="18"/>
                <w:szCs w:val="18"/>
              </w:rPr>
            </w:pPr>
            <w:r>
              <w:rPr>
                <w:color w:val="000000"/>
                <w:kern w:val="0"/>
                <w:sz w:val="18"/>
                <w:szCs w:val="18"/>
              </w:rPr>
              <w:t>可浸出</w:t>
            </w:r>
            <w:r>
              <w:rPr>
                <w:rFonts w:hint="eastAsia"/>
                <w:color w:val="000000"/>
                <w:kern w:val="0"/>
                <w:sz w:val="18"/>
                <w:szCs w:val="18"/>
              </w:rPr>
              <w:t>重</w:t>
            </w:r>
            <w:r>
              <w:rPr>
                <w:color w:val="000000"/>
                <w:kern w:val="0"/>
                <w:sz w:val="18"/>
                <w:szCs w:val="18"/>
              </w:rPr>
              <w:t>金属</w:t>
            </w:r>
          </w:p>
        </w:tc>
        <w:tc>
          <w:tcPr>
            <w:tcW w:w="1198" w:type="pct"/>
            <w:shd w:val="clear" w:color="auto" w:fill="auto"/>
            <w:vAlign w:val="center"/>
          </w:tcPr>
          <w:p>
            <w:pPr>
              <w:jc w:val="center"/>
              <w:rPr>
                <w:color w:val="000000"/>
                <w:kern w:val="0"/>
                <w:sz w:val="18"/>
                <w:szCs w:val="18"/>
              </w:rPr>
            </w:pPr>
            <w:r>
              <w:rPr>
                <w:color w:val="000000"/>
                <w:kern w:val="0"/>
                <w:sz w:val="18"/>
                <w:szCs w:val="18"/>
              </w:rPr>
              <w:t>汞（以总汞计）</w:t>
            </w:r>
          </w:p>
        </w:tc>
        <w:tc>
          <w:tcPr>
            <w:tcW w:w="518" w:type="pct"/>
            <w:vMerge w:val="restart"/>
            <w:shd w:val="clear" w:color="auto" w:fill="auto"/>
            <w:vAlign w:val="center"/>
          </w:tcPr>
          <w:p>
            <w:pPr>
              <w:jc w:val="center"/>
              <w:rPr>
                <w:color w:val="000000"/>
                <w:kern w:val="0"/>
                <w:sz w:val="18"/>
                <w:szCs w:val="18"/>
              </w:rPr>
            </w:pPr>
            <w:r>
              <w:rPr>
                <w:color w:val="000000"/>
                <w:kern w:val="0"/>
                <w:sz w:val="18"/>
                <w:szCs w:val="18"/>
              </w:rPr>
              <w:t>mg/L</w:t>
            </w:r>
          </w:p>
        </w:tc>
        <w:tc>
          <w:tcPr>
            <w:tcW w:w="740" w:type="pct"/>
            <w:shd w:val="clear" w:color="auto" w:fill="auto"/>
            <w:vAlign w:val="center"/>
          </w:tcPr>
          <w:p>
            <w:pPr>
              <w:jc w:val="center"/>
              <w:rPr>
                <w:sz w:val="18"/>
                <w:szCs w:val="18"/>
              </w:rPr>
            </w:pPr>
            <w:r>
              <w:rPr>
                <w:color w:val="000000"/>
                <w:kern w:val="0"/>
                <w:sz w:val="18"/>
                <w:szCs w:val="18"/>
              </w:rPr>
              <w:t>——</w:t>
            </w:r>
          </w:p>
        </w:tc>
        <w:tc>
          <w:tcPr>
            <w:tcW w:w="708" w:type="pct"/>
            <w:shd w:val="clear" w:color="auto" w:fill="auto"/>
            <w:vAlign w:val="center"/>
          </w:tcPr>
          <w:p>
            <w:pPr>
              <w:jc w:val="center"/>
              <w:rPr>
                <w:sz w:val="18"/>
                <w:szCs w:val="18"/>
              </w:rPr>
            </w:pPr>
            <w:r>
              <w:rPr>
                <w:color w:val="000000"/>
                <w:kern w:val="0"/>
                <w:sz w:val="18"/>
                <w:szCs w:val="18"/>
              </w:rPr>
              <w:t>——</w:t>
            </w:r>
          </w:p>
        </w:tc>
        <w:tc>
          <w:tcPr>
            <w:tcW w:w="675" w:type="pct"/>
            <w:shd w:val="clear" w:color="auto" w:fill="auto"/>
            <w:vAlign w:val="center"/>
          </w:tcPr>
          <w:p>
            <w:pPr>
              <w:jc w:val="center"/>
              <w:rPr>
                <w:sz w:val="18"/>
                <w:szCs w:val="18"/>
              </w:rPr>
            </w:pPr>
            <w:r>
              <w:rPr>
                <w:color w:val="000000"/>
                <w:kern w:val="0"/>
                <w:sz w:val="18"/>
                <w:szCs w:val="18"/>
              </w:rPr>
              <w:t>≤0.02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298" w:type="pct"/>
            <w:vMerge w:val="continue"/>
            <w:shd w:val="clear" w:color="auto" w:fill="auto"/>
            <w:vAlign w:val="center"/>
          </w:tcPr>
          <w:p>
            <w:pPr>
              <w:jc w:val="center"/>
              <w:rPr>
                <w:color w:val="000000"/>
                <w:kern w:val="0"/>
                <w:sz w:val="18"/>
                <w:szCs w:val="18"/>
              </w:rPr>
            </w:pPr>
          </w:p>
        </w:tc>
        <w:tc>
          <w:tcPr>
            <w:tcW w:w="863" w:type="pct"/>
            <w:vMerge w:val="continue"/>
            <w:shd w:val="clear" w:color="auto" w:fill="auto"/>
            <w:vAlign w:val="center"/>
          </w:tcPr>
          <w:p>
            <w:pPr>
              <w:jc w:val="center"/>
              <w:rPr>
                <w:color w:val="000000"/>
                <w:kern w:val="0"/>
                <w:sz w:val="18"/>
                <w:szCs w:val="18"/>
              </w:rPr>
            </w:pPr>
          </w:p>
        </w:tc>
        <w:tc>
          <w:tcPr>
            <w:tcW w:w="1198" w:type="pct"/>
            <w:shd w:val="clear" w:color="auto" w:fill="auto"/>
            <w:vAlign w:val="center"/>
          </w:tcPr>
          <w:p>
            <w:pPr>
              <w:jc w:val="center"/>
              <w:rPr>
                <w:color w:val="000000"/>
                <w:kern w:val="0"/>
                <w:sz w:val="18"/>
                <w:szCs w:val="18"/>
              </w:rPr>
            </w:pPr>
            <w:r>
              <w:rPr>
                <w:color w:val="000000"/>
                <w:kern w:val="0"/>
                <w:sz w:val="18"/>
                <w:szCs w:val="18"/>
              </w:rPr>
              <w:t>铅（以总铅计）</w:t>
            </w:r>
          </w:p>
        </w:tc>
        <w:tc>
          <w:tcPr>
            <w:tcW w:w="518" w:type="pct"/>
            <w:vMerge w:val="continue"/>
            <w:shd w:val="clear" w:color="auto" w:fill="auto"/>
            <w:vAlign w:val="center"/>
          </w:tcPr>
          <w:p>
            <w:pPr>
              <w:jc w:val="center"/>
              <w:rPr>
                <w:color w:val="000000"/>
                <w:kern w:val="0"/>
                <w:sz w:val="18"/>
                <w:szCs w:val="18"/>
              </w:rPr>
            </w:pPr>
          </w:p>
        </w:tc>
        <w:tc>
          <w:tcPr>
            <w:tcW w:w="740" w:type="pct"/>
            <w:shd w:val="clear" w:color="auto" w:fill="auto"/>
            <w:vAlign w:val="center"/>
          </w:tcPr>
          <w:p>
            <w:pPr>
              <w:jc w:val="center"/>
              <w:rPr>
                <w:color w:val="000000"/>
                <w:kern w:val="0"/>
                <w:sz w:val="18"/>
                <w:szCs w:val="18"/>
              </w:rPr>
            </w:pPr>
            <w:r>
              <w:rPr>
                <w:color w:val="000000"/>
                <w:kern w:val="0"/>
                <w:sz w:val="18"/>
                <w:szCs w:val="18"/>
              </w:rPr>
              <w:t>——</w:t>
            </w:r>
          </w:p>
        </w:tc>
        <w:tc>
          <w:tcPr>
            <w:tcW w:w="708" w:type="pct"/>
            <w:shd w:val="clear" w:color="auto" w:fill="auto"/>
            <w:vAlign w:val="center"/>
          </w:tcPr>
          <w:p>
            <w:pPr>
              <w:jc w:val="center"/>
              <w:rPr>
                <w:color w:val="000000"/>
                <w:kern w:val="0"/>
                <w:sz w:val="18"/>
                <w:szCs w:val="18"/>
              </w:rPr>
            </w:pPr>
            <w:r>
              <w:rPr>
                <w:color w:val="000000"/>
                <w:kern w:val="0"/>
                <w:sz w:val="18"/>
                <w:szCs w:val="18"/>
              </w:rPr>
              <w:t>——</w:t>
            </w:r>
          </w:p>
        </w:tc>
        <w:tc>
          <w:tcPr>
            <w:tcW w:w="675" w:type="pct"/>
            <w:shd w:val="clear" w:color="auto" w:fill="auto"/>
            <w:vAlign w:val="center"/>
          </w:tcPr>
          <w:p>
            <w:pPr>
              <w:jc w:val="center"/>
              <w:rPr>
                <w:color w:val="000000"/>
                <w:kern w:val="0"/>
                <w:sz w:val="18"/>
                <w:szCs w:val="18"/>
              </w:rPr>
            </w:pPr>
            <w:r>
              <w:rPr>
                <w:color w:val="000000"/>
                <w:kern w:val="0"/>
                <w:sz w:val="18"/>
                <w:szCs w:val="18"/>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298" w:type="pct"/>
            <w:vMerge w:val="continue"/>
            <w:shd w:val="clear" w:color="auto" w:fill="auto"/>
            <w:vAlign w:val="center"/>
          </w:tcPr>
          <w:p>
            <w:pPr>
              <w:jc w:val="center"/>
              <w:rPr>
                <w:color w:val="000000"/>
                <w:kern w:val="0"/>
                <w:sz w:val="18"/>
                <w:szCs w:val="18"/>
              </w:rPr>
            </w:pPr>
          </w:p>
        </w:tc>
        <w:tc>
          <w:tcPr>
            <w:tcW w:w="863" w:type="pct"/>
            <w:vMerge w:val="continue"/>
            <w:shd w:val="clear" w:color="auto" w:fill="auto"/>
            <w:vAlign w:val="center"/>
          </w:tcPr>
          <w:p>
            <w:pPr>
              <w:jc w:val="center"/>
              <w:rPr>
                <w:color w:val="000000"/>
                <w:kern w:val="0"/>
                <w:sz w:val="18"/>
                <w:szCs w:val="18"/>
              </w:rPr>
            </w:pPr>
          </w:p>
        </w:tc>
        <w:tc>
          <w:tcPr>
            <w:tcW w:w="1198" w:type="pct"/>
            <w:shd w:val="clear" w:color="auto" w:fill="auto"/>
            <w:vAlign w:val="center"/>
          </w:tcPr>
          <w:p>
            <w:pPr>
              <w:jc w:val="center"/>
              <w:rPr>
                <w:color w:val="000000"/>
                <w:kern w:val="0"/>
                <w:sz w:val="18"/>
                <w:szCs w:val="18"/>
              </w:rPr>
            </w:pPr>
            <w:r>
              <w:rPr>
                <w:color w:val="000000"/>
                <w:kern w:val="0"/>
                <w:sz w:val="18"/>
                <w:szCs w:val="18"/>
              </w:rPr>
              <w:t>砷（以总砷计）</w:t>
            </w:r>
          </w:p>
        </w:tc>
        <w:tc>
          <w:tcPr>
            <w:tcW w:w="518" w:type="pct"/>
            <w:vMerge w:val="continue"/>
            <w:shd w:val="clear" w:color="auto" w:fill="auto"/>
            <w:vAlign w:val="center"/>
          </w:tcPr>
          <w:p>
            <w:pPr>
              <w:jc w:val="center"/>
              <w:rPr>
                <w:color w:val="000000"/>
                <w:kern w:val="0"/>
                <w:sz w:val="18"/>
                <w:szCs w:val="18"/>
              </w:rPr>
            </w:pPr>
          </w:p>
        </w:tc>
        <w:tc>
          <w:tcPr>
            <w:tcW w:w="740" w:type="pct"/>
            <w:shd w:val="clear" w:color="auto" w:fill="auto"/>
            <w:vAlign w:val="center"/>
          </w:tcPr>
          <w:p>
            <w:pPr>
              <w:jc w:val="center"/>
              <w:rPr>
                <w:color w:val="000000"/>
                <w:kern w:val="0"/>
                <w:sz w:val="18"/>
                <w:szCs w:val="18"/>
              </w:rPr>
            </w:pPr>
            <w:r>
              <w:rPr>
                <w:color w:val="000000"/>
                <w:kern w:val="0"/>
                <w:sz w:val="18"/>
                <w:szCs w:val="18"/>
              </w:rPr>
              <w:t>——</w:t>
            </w:r>
          </w:p>
        </w:tc>
        <w:tc>
          <w:tcPr>
            <w:tcW w:w="708" w:type="pct"/>
            <w:shd w:val="clear" w:color="auto" w:fill="auto"/>
            <w:vAlign w:val="center"/>
          </w:tcPr>
          <w:p>
            <w:pPr>
              <w:jc w:val="center"/>
              <w:rPr>
                <w:color w:val="000000"/>
                <w:kern w:val="0"/>
                <w:sz w:val="18"/>
                <w:szCs w:val="18"/>
              </w:rPr>
            </w:pPr>
            <w:r>
              <w:rPr>
                <w:color w:val="000000"/>
                <w:kern w:val="0"/>
                <w:sz w:val="18"/>
                <w:szCs w:val="18"/>
              </w:rPr>
              <w:t>——</w:t>
            </w:r>
          </w:p>
        </w:tc>
        <w:tc>
          <w:tcPr>
            <w:tcW w:w="675" w:type="pct"/>
            <w:shd w:val="clear" w:color="auto" w:fill="auto"/>
            <w:vAlign w:val="center"/>
          </w:tcPr>
          <w:p>
            <w:pPr>
              <w:jc w:val="center"/>
              <w:rPr>
                <w:color w:val="000000"/>
                <w:kern w:val="0"/>
                <w:sz w:val="18"/>
                <w:szCs w:val="18"/>
              </w:rPr>
            </w:pPr>
            <w:r>
              <w:rPr>
                <w:color w:val="000000"/>
                <w:kern w:val="0"/>
                <w:sz w:val="18"/>
                <w:szCs w:val="18"/>
              </w:rPr>
              <w:t>≤0.6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298" w:type="pct"/>
            <w:vMerge w:val="continue"/>
            <w:shd w:val="clear" w:color="auto" w:fill="auto"/>
            <w:vAlign w:val="center"/>
          </w:tcPr>
          <w:p>
            <w:pPr>
              <w:jc w:val="center"/>
              <w:rPr>
                <w:color w:val="000000"/>
                <w:kern w:val="0"/>
                <w:sz w:val="18"/>
                <w:szCs w:val="18"/>
              </w:rPr>
            </w:pPr>
          </w:p>
        </w:tc>
        <w:tc>
          <w:tcPr>
            <w:tcW w:w="863" w:type="pct"/>
            <w:vMerge w:val="continue"/>
            <w:shd w:val="clear" w:color="auto" w:fill="auto"/>
            <w:vAlign w:val="center"/>
          </w:tcPr>
          <w:p>
            <w:pPr>
              <w:jc w:val="center"/>
              <w:rPr>
                <w:color w:val="000000"/>
                <w:kern w:val="0"/>
                <w:sz w:val="18"/>
                <w:szCs w:val="18"/>
              </w:rPr>
            </w:pPr>
          </w:p>
        </w:tc>
        <w:tc>
          <w:tcPr>
            <w:tcW w:w="1198" w:type="pct"/>
            <w:shd w:val="clear" w:color="auto" w:fill="auto"/>
            <w:vAlign w:val="center"/>
          </w:tcPr>
          <w:p>
            <w:pPr>
              <w:jc w:val="center"/>
              <w:rPr>
                <w:color w:val="000000"/>
                <w:kern w:val="0"/>
                <w:sz w:val="18"/>
                <w:szCs w:val="18"/>
              </w:rPr>
            </w:pPr>
            <w:r>
              <w:rPr>
                <w:color w:val="000000"/>
                <w:kern w:val="0"/>
                <w:sz w:val="18"/>
                <w:szCs w:val="18"/>
              </w:rPr>
              <w:t>镉（以总镉计）</w:t>
            </w:r>
          </w:p>
        </w:tc>
        <w:tc>
          <w:tcPr>
            <w:tcW w:w="518" w:type="pct"/>
            <w:vMerge w:val="continue"/>
            <w:shd w:val="clear" w:color="auto" w:fill="auto"/>
            <w:vAlign w:val="center"/>
          </w:tcPr>
          <w:p>
            <w:pPr>
              <w:jc w:val="center"/>
              <w:rPr>
                <w:color w:val="000000"/>
                <w:kern w:val="0"/>
                <w:sz w:val="18"/>
                <w:szCs w:val="18"/>
              </w:rPr>
            </w:pPr>
          </w:p>
        </w:tc>
        <w:tc>
          <w:tcPr>
            <w:tcW w:w="740" w:type="pct"/>
            <w:shd w:val="clear" w:color="auto" w:fill="auto"/>
            <w:vAlign w:val="center"/>
          </w:tcPr>
          <w:p>
            <w:pPr>
              <w:jc w:val="center"/>
              <w:rPr>
                <w:color w:val="000000"/>
                <w:kern w:val="0"/>
                <w:sz w:val="18"/>
                <w:szCs w:val="18"/>
              </w:rPr>
            </w:pPr>
            <w:r>
              <w:rPr>
                <w:color w:val="000000"/>
                <w:kern w:val="0"/>
                <w:sz w:val="18"/>
                <w:szCs w:val="18"/>
              </w:rPr>
              <w:t>——</w:t>
            </w:r>
          </w:p>
        </w:tc>
        <w:tc>
          <w:tcPr>
            <w:tcW w:w="708" w:type="pct"/>
            <w:shd w:val="clear" w:color="auto" w:fill="auto"/>
            <w:vAlign w:val="center"/>
          </w:tcPr>
          <w:p>
            <w:pPr>
              <w:jc w:val="center"/>
              <w:rPr>
                <w:color w:val="000000"/>
                <w:kern w:val="0"/>
                <w:sz w:val="18"/>
                <w:szCs w:val="18"/>
              </w:rPr>
            </w:pPr>
            <w:r>
              <w:rPr>
                <w:color w:val="000000"/>
                <w:kern w:val="0"/>
                <w:sz w:val="18"/>
                <w:szCs w:val="18"/>
              </w:rPr>
              <w:t>——</w:t>
            </w:r>
          </w:p>
        </w:tc>
        <w:tc>
          <w:tcPr>
            <w:tcW w:w="675" w:type="pct"/>
            <w:shd w:val="clear" w:color="auto" w:fill="auto"/>
            <w:vAlign w:val="center"/>
          </w:tcPr>
          <w:p>
            <w:pPr>
              <w:jc w:val="center"/>
              <w:rPr>
                <w:color w:val="000000"/>
                <w:kern w:val="0"/>
                <w:sz w:val="18"/>
                <w:szCs w:val="18"/>
              </w:rPr>
            </w:pPr>
            <w:r>
              <w:rPr>
                <w:color w:val="000000"/>
                <w:kern w:val="0"/>
                <w:sz w:val="18"/>
                <w:szCs w:val="18"/>
              </w:rPr>
              <w:t>≤0.1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298" w:type="pct"/>
            <w:vMerge w:val="continue"/>
            <w:shd w:val="clear" w:color="auto" w:fill="auto"/>
            <w:vAlign w:val="center"/>
          </w:tcPr>
          <w:p>
            <w:pPr>
              <w:jc w:val="center"/>
              <w:rPr>
                <w:color w:val="000000"/>
                <w:kern w:val="0"/>
                <w:sz w:val="18"/>
                <w:szCs w:val="18"/>
              </w:rPr>
            </w:pPr>
          </w:p>
        </w:tc>
        <w:tc>
          <w:tcPr>
            <w:tcW w:w="863" w:type="pct"/>
            <w:vMerge w:val="continue"/>
            <w:shd w:val="clear" w:color="auto" w:fill="auto"/>
            <w:vAlign w:val="center"/>
          </w:tcPr>
          <w:p>
            <w:pPr>
              <w:jc w:val="center"/>
              <w:rPr>
                <w:color w:val="000000"/>
                <w:kern w:val="0"/>
                <w:sz w:val="18"/>
                <w:szCs w:val="18"/>
              </w:rPr>
            </w:pPr>
          </w:p>
        </w:tc>
        <w:tc>
          <w:tcPr>
            <w:tcW w:w="1198" w:type="pct"/>
            <w:shd w:val="clear" w:color="auto" w:fill="auto"/>
            <w:vAlign w:val="center"/>
          </w:tcPr>
          <w:p>
            <w:pPr>
              <w:jc w:val="center"/>
              <w:rPr>
                <w:color w:val="000000"/>
                <w:kern w:val="0"/>
                <w:sz w:val="18"/>
                <w:szCs w:val="18"/>
              </w:rPr>
            </w:pPr>
            <w:r>
              <w:rPr>
                <w:color w:val="000000"/>
                <w:kern w:val="0"/>
                <w:sz w:val="18"/>
                <w:szCs w:val="18"/>
              </w:rPr>
              <w:t>铬（以总铬计）</w:t>
            </w:r>
          </w:p>
        </w:tc>
        <w:tc>
          <w:tcPr>
            <w:tcW w:w="518" w:type="pct"/>
            <w:vMerge w:val="continue"/>
            <w:shd w:val="clear" w:color="auto" w:fill="auto"/>
            <w:vAlign w:val="center"/>
          </w:tcPr>
          <w:p>
            <w:pPr>
              <w:jc w:val="center"/>
              <w:rPr>
                <w:color w:val="000000"/>
                <w:kern w:val="0"/>
                <w:sz w:val="18"/>
                <w:szCs w:val="18"/>
              </w:rPr>
            </w:pPr>
          </w:p>
        </w:tc>
        <w:tc>
          <w:tcPr>
            <w:tcW w:w="740" w:type="pct"/>
            <w:shd w:val="clear" w:color="auto" w:fill="auto"/>
            <w:vAlign w:val="center"/>
          </w:tcPr>
          <w:p>
            <w:pPr>
              <w:jc w:val="center"/>
              <w:rPr>
                <w:color w:val="000000"/>
                <w:kern w:val="0"/>
                <w:sz w:val="18"/>
                <w:szCs w:val="18"/>
              </w:rPr>
            </w:pPr>
            <w:r>
              <w:rPr>
                <w:color w:val="000000"/>
                <w:kern w:val="0"/>
                <w:sz w:val="18"/>
                <w:szCs w:val="18"/>
              </w:rPr>
              <w:t>——</w:t>
            </w:r>
          </w:p>
        </w:tc>
        <w:tc>
          <w:tcPr>
            <w:tcW w:w="708" w:type="pct"/>
            <w:shd w:val="clear" w:color="auto" w:fill="auto"/>
            <w:vAlign w:val="center"/>
          </w:tcPr>
          <w:p>
            <w:pPr>
              <w:jc w:val="center"/>
              <w:rPr>
                <w:color w:val="000000"/>
                <w:kern w:val="0"/>
                <w:sz w:val="18"/>
                <w:szCs w:val="18"/>
              </w:rPr>
            </w:pPr>
            <w:r>
              <w:rPr>
                <w:color w:val="000000"/>
                <w:kern w:val="0"/>
                <w:sz w:val="18"/>
                <w:szCs w:val="18"/>
              </w:rPr>
              <w:t>——</w:t>
            </w:r>
          </w:p>
        </w:tc>
        <w:tc>
          <w:tcPr>
            <w:tcW w:w="675" w:type="pct"/>
            <w:shd w:val="clear" w:color="auto" w:fill="auto"/>
            <w:vAlign w:val="center"/>
          </w:tcPr>
          <w:p>
            <w:pPr>
              <w:jc w:val="center"/>
              <w:rPr>
                <w:color w:val="000000"/>
                <w:kern w:val="0"/>
                <w:sz w:val="18"/>
                <w:szCs w:val="18"/>
              </w:rPr>
            </w:pPr>
            <w:r>
              <w:rPr>
                <w:color w:val="000000"/>
                <w:kern w:val="0"/>
                <w:sz w:val="18"/>
                <w:szCs w:val="18"/>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98" w:type="pct"/>
            <w:vMerge w:val="continue"/>
            <w:shd w:val="clear" w:color="auto" w:fill="auto"/>
            <w:vAlign w:val="center"/>
          </w:tcPr>
          <w:p>
            <w:pPr>
              <w:jc w:val="center"/>
              <w:rPr>
                <w:color w:val="000000"/>
                <w:kern w:val="0"/>
                <w:sz w:val="18"/>
                <w:szCs w:val="18"/>
              </w:rPr>
            </w:pPr>
          </w:p>
        </w:tc>
        <w:tc>
          <w:tcPr>
            <w:tcW w:w="2061" w:type="pct"/>
            <w:gridSpan w:val="2"/>
            <w:shd w:val="clear" w:color="auto" w:fill="auto"/>
            <w:vAlign w:val="center"/>
          </w:tcPr>
          <w:p>
            <w:pPr>
              <w:jc w:val="center"/>
              <w:rPr>
                <w:color w:val="000000"/>
                <w:kern w:val="0"/>
                <w:sz w:val="18"/>
                <w:szCs w:val="18"/>
              </w:rPr>
            </w:pPr>
            <w:r>
              <w:rPr>
                <w:color w:val="000000"/>
                <w:kern w:val="0"/>
                <w:sz w:val="18"/>
                <w:szCs w:val="18"/>
              </w:rPr>
              <w:t>实测强度与设计强度的比值</w:t>
            </w:r>
          </w:p>
        </w:tc>
        <w:tc>
          <w:tcPr>
            <w:tcW w:w="518" w:type="pct"/>
            <w:shd w:val="clear" w:color="auto" w:fill="auto"/>
            <w:vAlign w:val="center"/>
          </w:tcPr>
          <w:p>
            <w:pPr>
              <w:jc w:val="center"/>
              <w:rPr>
                <w:color w:val="000000"/>
                <w:kern w:val="0"/>
                <w:sz w:val="18"/>
                <w:szCs w:val="18"/>
              </w:rPr>
            </w:pPr>
            <w:r>
              <w:rPr>
                <w:color w:val="000000"/>
                <w:kern w:val="0"/>
                <w:sz w:val="18"/>
                <w:szCs w:val="18"/>
              </w:rPr>
              <w:t>—</w:t>
            </w:r>
          </w:p>
        </w:tc>
        <w:tc>
          <w:tcPr>
            <w:tcW w:w="740" w:type="pct"/>
            <w:shd w:val="clear" w:color="auto" w:fill="auto"/>
            <w:vAlign w:val="center"/>
          </w:tcPr>
          <w:p>
            <w:pPr>
              <w:jc w:val="center"/>
              <w:rPr>
                <w:color w:val="000000"/>
                <w:kern w:val="0"/>
                <w:sz w:val="18"/>
                <w:szCs w:val="18"/>
              </w:rPr>
            </w:pPr>
            <w:r>
              <w:rPr>
                <w:color w:val="000000"/>
                <w:kern w:val="0"/>
                <w:sz w:val="18"/>
                <w:szCs w:val="18"/>
              </w:rPr>
              <w:t>≥1.05</w:t>
            </w:r>
          </w:p>
        </w:tc>
        <w:tc>
          <w:tcPr>
            <w:tcW w:w="708" w:type="pct"/>
            <w:shd w:val="clear" w:color="auto" w:fill="auto"/>
            <w:vAlign w:val="center"/>
          </w:tcPr>
          <w:p>
            <w:pPr>
              <w:jc w:val="center"/>
              <w:rPr>
                <w:color w:val="000000"/>
                <w:kern w:val="0"/>
                <w:sz w:val="18"/>
                <w:szCs w:val="18"/>
              </w:rPr>
            </w:pPr>
            <w:r>
              <w:rPr>
                <w:color w:val="000000"/>
                <w:kern w:val="0"/>
                <w:sz w:val="18"/>
                <w:szCs w:val="18"/>
              </w:rPr>
              <w:t>≥1.10</w:t>
            </w:r>
          </w:p>
        </w:tc>
        <w:tc>
          <w:tcPr>
            <w:tcW w:w="675" w:type="pct"/>
            <w:shd w:val="clear" w:color="auto" w:fill="auto"/>
            <w:vAlign w:val="center"/>
          </w:tcPr>
          <w:p>
            <w:pPr>
              <w:jc w:val="center"/>
              <w:rPr>
                <w:color w:val="000000"/>
                <w:sz w:val="18"/>
                <w:szCs w:val="18"/>
              </w:rPr>
            </w:pPr>
            <w:r>
              <w:rPr>
                <w:color w:val="000000"/>
                <w:kern w:val="0"/>
                <w:sz w:val="18"/>
                <w:szCs w:val="18"/>
              </w:rPr>
              <w:t>≥1.15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98" w:type="pct"/>
            <w:vMerge w:val="continue"/>
            <w:shd w:val="clear" w:color="auto" w:fill="auto"/>
            <w:vAlign w:val="center"/>
          </w:tcPr>
          <w:p>
            <w:pPr>
              <w:jc w:val="center"/>
              <w:rPr>
                <w:color w:val="000000"/>
                <w:kern w:val="0"/>
                <w:sz w:val="18"/>
                <w:szCs w:val="18"/>
              </w:rPr>
            </w:pPr>
          </w:p>
        </w:tc>
        <w:tc>
          <w:tcPr>
            <w:tcW w:w="2061" w:type="pct"/>
            <w:gridSpan w:val="2"/>
            <w:shd w:val="clear" w:color="auto" w:fill="auto"/>
            <w:vAlign w:val="center"/>
          </w:tcPr>
          <w:p>
            <w:pPr>
              <w:jc w:val="center"/>
              <w:rPr>
                <w:color w:val="000000"/>
                <w:kern w:val="0"/>
                <w:sz w:val="18"/>
                <w:szCs w:val="18"/>
              </w:rPr>
            </w:pPr>
            <w:r>
              <w:rPr>
                <w:color w:val="000000"/>
                <w:kern w:val="0"/>
                <w:sz w:val="18"/>
                <w:szCs w:val="18"/>
              </w:rPr>
              <w:t>设计密度与实测密度的比值</w:t>
            </w:r>
          </w:p>
        </w:tc>
        <w:tc>
          <w:tcPr>
            <w:tcW w:w="518" w:type="pct"/>
            <w:shd w:val="clear" w:color="auto" w:fill="auto"/>
            <w:vAlign w:val="center"/>
          </w:tcPr>
          <w:p>
            <w:pPr>
              <w:jc w:val="center"/>
              <w:rPr>
                <w:color w:val="000000"/>
                <w:kern w:val="0"/>
                <w:sz w:val="18"/>
                <w:szCs w:val="18"/>
              </w:rPr>
            </w:pPr>
            <w:r>
              <w:rPr>
                <w:color w:val="000000"/>
                <w:kern w:val="0"/>
                <w:sz w:val="18"/>
                <w:szCs w:val="18"/>
              </w:rPr>
              <w:t>—</w:t>
            </w:r>
          </w:p>
        </w:tc>
        <w:tc>
          <w:tcPr>
            <w:tcW w:w="1448" w:type="pct"/>
            <w:gridSpan w:val="2"/>
            <w:shd w:val="clear" w:color="auto" w:fill="auto"/>
            <w:vAlign w:val="center"/>
          </w:tcPr>
          <w:p>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≥1.05</w:t>
            </w:r>
          </w:p>
        </w:tc>
        <w:tc>
          <w:tcPr>
            <w:tcW w:w="675"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98" w:type="pct"/>
            <w:vMerge w:val="continue"/>
            <w:shd w:val="clear" w:color="auto" w:fill="auto"/>
            <w:vAlign w:val="center"/>
          </w:tcPr>
          <w:p>
            <w:pPr>
              <w:jc w:val="center"/>
              <w:rPr>
                <w:color w:val="000000"/>
                <w:kern w:val="0"/>
                <w:sz w:val="18"/>
                <w:szCs w:val="18"/>
              </w:rPr>
            </w:pPr>
          </w:p>
        </w:tc>
        <w:tc>
          <w:tcPr>
            <w:tcW w:w="2061" w:type="pct"/>
            <w:gridSpan w:val="2"/>
            <w:shd w:val="clear" w:color="auto" w:fill="auto"/>
            <w:vAlign w:val="center"/>
          </w:tcPr>
          <w:p>
            <w:pPr>
              <w:jc w:val="center"/>
              <w:rPr>
                <w:color w:val="000000"/>
                <w:kern w:val="0"/>
                <w:sz w:val="18"/>
                <w:szCs w:val="18"/>
              </w:rPr>
            </w:pPr>
            <w:r>
              <w:rPr>
                <w:color w:val="000000"/>
                <w:kern w:val="0"/>
                <w:sz w:val="18"/>
                <w:szCs w:val="18"/>
              </w:rPr>
              <w:t>抗弯承载</w:t>
            </w:r>
          </w:p>
        </w:tc>
        <w:tc>
          <w:tcPr>
            <w:tcW w:w="518" w:type="pct"/>
            <w:shd w:val="clear" w:color="auto" w:fill="auto"/>
            <w:vAlign w:val="center"/>
          </w:tcPr>
          <w:p>
            <w:pPr>
              <w:jc w:val="center"/>
              <w:rPr>
                <w:color w:val="000000"/>
                <w:kern w:val="0"/>
                <w:sz w:val="18"/>
                <w:szCs w:val="18"/>
              </w:rPr>
            </w:pPr>
            <w:r>
              <w:rPr>
                <w:color w:val="000000"/>
                <w:kern w:val="0"/>
                <w:sz w:val="18"/>
                <w:szCs w:val="18"/>
              </w:rPr>
              <w:t>板自重倍数</w:t>
            </w:r>
          </w:p>
        </w:tc>
        <w:tc>
          <w:tcPr>
            <w:tcW w:w="1448" w:type="pct"/>
            <w:gridSpan w:val="2"/>
            <w:shd w:val="clear" w:color="auto" w:fill="auto"/>
            <w:vAlign w:val="center"/>
          </w:tcPr>
          <w:p>
            <w:pPr>
              <w:jc w:val="center"/>
              <w:rPr>
                <w:color w:val="000000"/>
                <w:kern w:val="0"/>
                <w:sz w:val="18"/>
                <w:szCs w:val="18"/>
              </w:rPr>
            </w:pPr>
            <w:r>
              <w:rPr>
                <w:color w:val="000000"/>
                <w:kern w:val="0"/>
                <w:sz w:val="18"/>
                <w:szCs w:val="18"/>
              </w:rPr>
              <w:t>≥1.5</w:t>
            </w:r>
          </w:p>
        </w:tc>
        <w:tc>
          <w:tcPr>
            <w:tcW w:w="675" w:type="pct"/>
            <w:shd w:val="clear" w:color="auto" w:fill="auto"/>
            <w:vAlign w:val="center"/>
          </w:tcPr>
          <w:p>
            <w:pPr>
              <w:jc w:val="center"/>
              <w:rPr>
                <w:color w:val="000000"/>
                <w:kern w:val="0"/>
                <w:sz w:val="18"/>
                <w:szCs w:val="18"/>
              </w:rPr>
            </w:pPr>
            <w:r>
              <w:rPr>
                <w:color w:val="000000"/>
                <w:kern w:val="0"/>
                <w:sz w:val="18"/>
                <w:szCs w:val="18"/>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98" w:type="pct"/>
            <w:vMerge w:val="continue"/>
            <w:shd w:val="clear" w:color="auto" w:fill="auto"/>
            <w:vAlign w:val="center"/>
          </w:tcPr>
          <w:p>
            <w:pPr>
              <w:jc w:val="center"/>
              <w:rPr>
                <w:color w:val="000000"/>
                <w:kern w:val="0"/>
                <w:sz w:val="18"/>
                <w:szCs w:val="18"/>
              </w:rPr>
            </w:pPr>
          </w:p>
        </w:tc>
        <w:tc>
          <w:tcPr>
            <w:tcW w:w="2061" w:type="pct"/>
            <w:gridSpan w:val="2"/>
            <w:shd w:val="clear" w:color="auto" w:fill="auto"/>
            <w:vAlign w:val="center"/>
          </w:tcPr>
          <w:p>
            <w:pPr>
              <w:jc w:val="center"/>
              <w:rPr>
                <w:color w:val="000000"/>
                <w:kern w:val="0"/>
                <w:sz w:val="18"/>
                <w:szCs w:val="18"/>
              </w:rPr>
            </w:pPr>
            <w:r>
              <w:rPr>
                <w:rFonts w:hint="eastAsia"/>
                <w:color w:val="000000"/>
                <w:kern w:val="0"/>
                <w:sz w:val="18"/>
                <w:szCs w:val="18"/>
              </w:rPr>
              <w:t>保温性能</w:t>
            </w:r>
            <w:r>
              <w:rPr>
                <w:rFonts w:hint="eastAsia"/>
                <w:color w:val="000000" w:themeColor="text1"/>
                <w:kern w:val="0"/>
                <w:sz w:val="18"/>
                <w:szCs w:val="18"/>
                <w:vertAlign w:val="superscript"/>
                <w14:textFill>
                  <w14:solidFill>
                    <w14:schemeClr w14:val="tx1"/>
                  </w14:solidFill>
                </w14:textFill>
              </w:rPr>
              <w:t>c</w:t>
            </w:r>
          </w:p>
        </w:tc>
        <w:tc>
          <w:tcPr>
            <w:tcW w:w="518" w:type="pct"/>
            <w:shd w:val="clear" w:color="auto" w:fill="auto"/>
            <w:vAlign w:val="center"/>
          </w:tcPr>
          <w:p>
            <w:pPr>
              <w:jc w:val="center"/>
              <w:rPr>
                <w:color w:val="000000"/>
                <w:kern w:val="0"/>
                <w:sz w:val="18"/>
                <w:szCs w:val="18"/>
              </w:rPr>
            </w:pPr>
            <w:r>
              <w:rPr>
                <w:color w:val="000000"/>
                <w:kern w:val="0"/>
                <w:sz w:val="18"/>
                <w:szCs w:val="18"/>
              </w:rPr>
              <w:t>W/(m</w:t>
            </w:r>
            <w:r>
              <w:rPr>
                <w:color w:val="000000"/>
                <w:kern w:val="0"/>
                <w:sz w:val="18"/>
                <w:szCs w:val="18"/>
                <w:vertAlign w:val="superscript"/>
              </w:rPr>
              <w:t>2</w:t>
            </w:r>
            <w:r>
              <w:rPr>
                <w:color w:val="000000"/>
                <w:kern w:val="0"/>
                <w:sz w:val="18"/>
                <w:szCs w:val="18"/>
              </w:rPr>
              <w:t>·K)</w:t>
            </w:r>
          </w:p>
        </w:tc>
        <w:tc>
          <w:tcPr>
            <w:tcW w:w="740" w:type="pct"/>
            <w:shd w:val="clear" w:color="auto" w:fill="auto"/>
            <w:vAlign w:val="center"/>
          </w:tcPr>
          <w:p>
            <w:pPr>
              <w:jc w:val="center"/>
              <w:rPr>
                <w:color w:val="000000"/>
                <w:kern w:val="0"/>
                <w:sz w:val="18"/>
                <w:szCs w:val="18"/>
              </w:rPr>
            </w:pPr>
            <w:r>
              <w:rPr>
                <w:rFonts w:hint="eastAsia"/>
                <w:color w:val="000000"/>
                <w:kern w:val="0"/>
                <w:sz w:val="18"/>
                <w:szCs w:val="18"/>
              </w:rPr>
              <w:t>满足产品标准相应级别要求</w:t>
            </w:r>
          </w:p>
        </w:tc>
        <w:tc>
          <w:tcPr>
            <w:tcW w:w="1383" w:type="pct"/>
            <w:gridSpan w:val="2"/>
            <w:shd w:val="clear" w:color="auto" w:fill="auto"/>
            <w:vAlign w:val="center"/>
          </w:tcPr>
          <w:p>
            <w:pPr>
              <w:jc w:val="center"/>
              <w:rPr>
                <w:color w:val="000000"/>
                <w:kern w:val="0"/>
                <w:sz w:val="18"/>
                <w:szCs w:val="18"/>
              </w:rPr>
            </w:pPr>
            <w:r>
              <w:rPr>
                <w:rFonts w:hint="eastAsia"/>
                <w:color w:val="000000"/>
                <w:kern w:val="0"/>
                <w:sz w:val="18"/>
                <w:szCs w:val="18"/>
              </w:rPr>
              <w:t>不大于产品标准相应级别指标的95%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98" w:type="pct"/>
            <w:vMerge w:val="continue"/>
            <w:shd w:val="clear" w:color="auto" w:fill="auto"/>
            <w:vAlign w:val="center"/>
          </w:tcPr>
          <w:p>
            <w:pPr>
              <w:jc w:val="center"/>
              <w:rPr>
                <w:color w:val="000000"/>
                <w:kern w:val="0"/>
                <w:sz w:val="18"/>
                <w:szCs w:val="18"/>
              </w:rPr>
            </w:pPr>
          </w:p>
        </w:tc>
        <w:tc>
          <w:tcPr>
            <w:tcW w:w="2061" w:type="pct"/>
            <w:gridSpan w:val="2"/>
            <w:shd w:val="clear" w:color="auto" w:fill="auto"/>
            <w:vAlign w:val="center"/>
          </w:tcPr>
          <w:p>
            <w:pPr>
              <w:jc w:val="center"/>
              <w:rPr>
                <w:color w:val="000000"/>
                <w:kern w:val="0"/>
                <w:sz w:val="18"/>
                <w:szCs w:val="18"/>
              </w:rPr>
            </w:pPr>
            <w:r>
              <w:rPr>
                <w:color w:val="000000"/>
                <w:kern w:val="0"/>
                <w:sz w:val="18"/>
                <w:szCs w:val="18"/>
              </w:rPr>
              <w:t>耐火极限</w:t>
            </w:r>
            <w:r>
              <w:rPr>
                <w:rFonts w:hint="eastAsia"/>
                <w:color w:val="000000" w:themeColor="text1"/>
                <w:kern w:val="0"/>
                <w:sz w:val="18"/>
                <w:szCs w:val="18"/>
                <w:vertAlign w:val="superscript"/>
                <w14:textFill>
                  <w14:solidFill>
                    <w14:schemeClr w14:val="tx1"/>
                  </w14:solidFill>
                </w14:textFill>
              </w:rPr>
              <w:t>c</w:t>
            </w:r>
          </w:p>
        </w:tc>
        <w:tc>
          <w:tcPr>
            <w:tcW w:w="518" w:type="pct"/>
            <w:shd w:val="clear" w:color="auto" w:fill="auto"/>
            <w:vAlign w:val="center"/>
          </w:tcPr>
          <w:p>
            <w:pPr>
              <w:jc w:val="center"/>
              <w:rPr>
                <w:color w:val="000000"/>
                <w:kern w:val="0"/>
                <w:sz w:val="18"/>
                <w:szCs w:val="18"/>
              </w:rPr>
            </w:pPr>
            <w:r>
              <w:rPr>
                <w:color w:val="000000"/>
                <w:kern w:val="0"/>
                <w:sz w:val="18"/>
                <w:szCs w:val="18"/>
              </w:rPr>
              <w:t>h</w:t>
            </w:r>
          </w:p>
        </w:tc>
        <w:tc>
          <w:tcPr>
            <w:tcW w:w="740" w:type="pct"/>
            <w:shd w:val="clear" w:color="auto" w:fill="auto"/>
            <w:vAlign w:val="center"/>
          </w:tcPr>
          <w:p>
            <w:pPr>
              <w:jc w:val="center"/>
              <w:rPr>
                <w:color w:val="000000"/>
                <w:kern w:val="0"/>
                <w:sz w:val="18"/>
                <w:szCs w:val="18"/>
              </w:rPr>
            </w:pPr>
            <w:r>
              <w:rPr>
                <w:color w:val="000000"/>
                <w:kern w:val="0"/>
                <w:sz w:val="18"/>
                <w:szCs w:val="18"/>
              </w:rPr>
              <w:t>≥1.0</w:t>
            </w:r>
          </w:p>
        </w:tc>
        <w:tc>
          <w:tcPr>
            <w:tcW w:w="708" w:type="pct"/>
            <w:shd w:val="clear" w:color="auto" w:fill="auto"/>
            <w:vAlign w:val="center"/>
          </w:tcPr>
          <w:p>
            <w:pPr>
              <w:jc w:val="center"/>
              <w:rPr>
                <w:color w:val="000000"/>
                <w:kern w:val="0"/>
                <w:sz w:val="18"/>
                <w:szCs w:val="18"/>
              </w:rPr>
            </w:pPr>
            <w:r>
              <w:rPr>
                <w:color w:val="000000"/>
                <w:kern w:val="0"/>
                <w:sz w:val="18"/>
                <w:szCs w:val="18"/>
              </w:rPr>
              <w:t>≥1.5</w:t>
            </w:r>
          </w:p>
        </w:tc>
        <w:tc>
          <w:tcPr>
            <w:tcW w:w="675" w:type="pct"/>
            <w:shd w:val="clear" w:color="auto" w:fill="auto"/>
            <w:vAlign w:val="center"/>
          </w:tcPr>
          <w:p>
            <w:pPr>
              <w:jc w:val="center"/>
              <w:rPr>
                <w:color w:val="000000"/>
                <w:kern w:val="0"/>
                <w:sz w:val="18"/>
                <w:szCs w:val="18"/>
              </w:rPr>
            </w:pPr>
            <w:r>
              <w:rPr>
                <w:color w:val="000000"/>
                <w:kern w:val="0"/>
                <w:sz w:val="18"/>
                <w:szCs w:val="18"/>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98" w:type="pct"/>
            <w:vMerge w:val="continue"/>
            <w:shd w:val="clear" w:color="auto" w:fill="auto"/>
            <w:vAlign w:val="center"/>
          </w:tcPr>
          <w:p>
            <w:pPr>
              <w:jc w:val="center"/>
              <w:rPr>
                <w:color w:val="000000"/>
                <w:kern w:val="0"/>
                <w:sz w:val="18"/>
                <w:szCs w:val="18"/>
              </w:rPr>
            </w:pPr>
          </w:p>
        </w:tc>
        <w:tc>
          <w:tcPr>
            <w:tcW w:w="2061" w:type="pct"/>
            <w:gridSpan w:val="2"/>
            <w:shd w:val="clear" w:color="auto" w:fill="auto"/>
            <w:vAlign w:val="center"/>
          </w:tcPr>
          <w:p>
            <w:pPr>
              <w:jc w:val="center"/>
              <w:rPr>
                <w:color w:val="000000"/>
                <w:kern w:val="0"/>
                <w:sz w:val="18"/>
                <w:szCs w:val="18"/>
              </w:rPr>
            </w:pPr>
            <w:r>
              <w:rPr>
                <w:color w:val="000000"/>
                <w:kern w:val="0"/>
                <w:sz w:val="18"/>
                <w:szCs w:val="18"/>
              </w:rPr>
              <w:t>空气声计权隔声量</w:t>
            </w:r>
            <w:r>
              <w:rPr>
                <w:color w:val="000000" w:themeColor="text1"/>
                <w:kern w:val="0"/>
                <w:sz w:val="18"/>
                <w:szCs w:val="18"/>
                <w:vertAlign w:val="superscript"/>
                <w14:textFill>
                  <w14:solidFill>
                    <w14:schemeClr w14:val="tx1"/>
                  </w14:solidFill>
                </w14:textFill>
              </w:rPr>
              <w:t>d</w:t>
            </w:r>
          </w:p>
        </w:tc>
        <w:tc>
          <w:tcPr>
            <w:tcW w:w="518" w:type="pct"/>
            <w:shd w:val="clear" w:color="auto" w:fill="auto"/>
            <w:vAlign w:val="center"/>
          </w:tcPr>
          <w:p>
            <w:pPr>
              <w:jc w:val="center"/>
              <w:rPr>
                <w:color w:val="000000"/>
                <w:kern w:val="0"/>
                <w:sz w:val="18"/>
                <w:szCs w:val="18"/>
              </w:rPr>
            </w:pPr>
            <w:r>
              <w:rPr>
                <w:color w:val="000000"/>
                <w:kern w:val="0"/>
                <w:sz w:val="18"/>
                <w:szCs w:val="18"/>
              </w:rPr>
              <w:t>dB</w:t>
            </w:r>
          </w:p>
        </w:tc>
        <w:tc>
          <w:tcPr>
            <w:tcW w:w="740" w:type="pct"/>
            <w:shd w:val="clear" w:color="auto" w:fill="auto"/>
            <w:vAlign w:val="center"/>
          </w:tcPr>
          <w:p>
            <w:pPr>
              <w:jc w:val="center"/>
              <w:rPr>
                <w:color w:val="000000"/>
                <w:kern w:val="0"/>
                <w:sz w:val="18"/>
                <w:szCs w:val="18"/>
              </w:rPr>
            </w:pPr>
            <w:r>
              <w:rPr>
                <w:color w:val="000000"/>
                <w:kern w:val="0"/>
                <w:sz w:val="18"/>
                <w:szCs w:val="18"/>
              </w:rPr>
              <w:t>≥35</w:t>
            </w:r>
          </w:p>
        </w:tc>
        <w:tc>
          <w:tcPr>
            <w:tcW w:w="708" w:type="pct"/>
            <w:shd w:val="clear" w:color="auto" w:fill="auto"/>
            <w:vAlign w:val="center"/>
          </w:tcPr>
          <w:p>
            <w:pPr>
              <w:jc w:val="center"/>
              <w:rPr>
                <w:color w:val="000000"/>
                <w:kern w:val="0"/>
                <w:sz w:val="18"/>
                <w:szCs w:val="18"/>
              </w:rPr>
            </w:pPr>
            <w:r>
              <w:rPr>
                <w:color w:val="000000"/>
                <w:kern w:val="0"/>
                <w:sz w:val="18"/>
                <w:szCs w:val="18"/>
              </w:rPr>
              <w:t>≥40</w:t>
            </w:r>
          </w:p>
        </w:tc>
        <w:tc>
          <w:tcPr>
            <w:tcW w:w="675" w:type="pct"/>
            <w:shd w:val="clear" w:color="auto" w:fill="auto"/>
            <w:vAlign w:val="center"/>
          </w:tcPr>
          <w:p>
            <w:pPr>
              <w:jc w:val="center"/>
              <w:rPr>
                <w:color w:val="000000"/>
                <w:kern w:val="0"/>
                <w:sz w:val="18"/>
                <w:szCs w:val="18"/>
              </w:rPr>
            </w:pPr>
            <w:r>
              <w:rPr>
                <w:color w:val="000000"/>
                <w:kern w:val="0"/>
                <w:sz w:val="18"/>
                <w:szCs w:val="18"/>
              </w:rPr>
              <w:t>≥45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5000" w:type="pct"/>
            <w:gridSpan w:val="7"/>
            <w:shd w:val="clear" w:color="auto" w:fill="auto"/>
            <w:vAlign w:val="center"/>
          </w:tcPr>
          <w:p>
            <w:pPr>
              <w:ind w:firstLine="480" w:firstLineChars="300"/>
              <w:rPr>
                <w:color w:val="000000"/>
                <w:kern w:val="0"/>
                <w:sz w:val="18"/>
                <w:szCs w:val="18"/>
              </w:rPr>
            </w:pPr>
            <w:r>
              <w:rPr>
                <w:rFonts w:hint="eastAsia"/>
                <w:color w:val="000000"/>
                <w:kern w:val="0"/>
                <w:sz w:val="16"/>
                <w:szCs w:val="18"/>
              </w:rPr>
              <w:t>a，b</w:t>
            </w:r>
            <w:r>
              <w:rPr>
                <w:rFonts w:hint="eastAsia"/>
                <w:color w:val="000000"/>
                <w:kern w:val="0"/>
                <w:sz w:val="18"/>
                <w:szCs w:val="18"/>
              </w:rPr>
              <w:t>除人造木板、粘合木结构材料外，其他材料不要求此项</w:t>
            </w:r>
          </w:p>
          <w:p>
            <w:pPr>
              <w:ind w:firstLine="450" w:firstLineChars="250"/>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c泡沫陶瓷</w:t>
            </w:r>
            <w:r>
              <w:rPr>
                <w:color w:val="000000" w:themeColor="text1"/>
                <w:kern w:val="0"/>
                <w:sz w:val="18"/>
                <w:szCs w:val="18"/>
                <w14:textFill>
                  <w14:solidFill>
                    <w14:schemeClr w14:val="tx1"/>
                  </w14:solidFill>
                </w14:textFill>
              </w:rPr>
              <w:t>板、</w:t>
            </w:r>
            <w:r>
              <w:rPr>
                <w:rFonts w:hint="eastAsia"/>
                <w:color w:val="000000" w:themeColor="text1"/>
                <w:kern w:val="0"/>
                <w:sz w:val="18"/>
                <w:szCs w:val="18"/>
                <w14:textFill>
                  <w14:solidFill>
                    <w14:schemeClr w14:val="tx1"/>
                  </w14:solidFill>
                </w14:textFill>
              </w:rPr>
              <w:t>骨架类隔墙以墙体体系考核</w:t>
            </w:r>
          </w:p>
          <w:p>
            <w:pPr>
              <w:ind w:firstLine="450" w:firstLineChars="250"/>
              <w:rPr>
                <w:color w:val="000000"/>
                <w:kern w:val="0"/>
                <w:sz w:val="18"/>
                <w:szCs w:val="18"/>
              </w:rPr>
            </w:pPr>
            <w:r>
              <w:rPr>
                <w:rFonts w:hint="eastAsia"/>
                <w:color w:val="000000"/>
                <w:kern w:val="0"/>
                <w:sz w:val="18"/>
                <w:szCs w:val="18"/>
              </w:rPr>
              <w:t>d骨架类隔墙以墙体体系考核</w:t>
            </w:r>
          </w:p>
        </w:tc>
      </w:tr>
    </w:tbl>
    <w:p>
      <w:pPr>
        <w:pStyle w:val="23"/>
        <w:ind w:firstLine="0" w:firstLineChars="0"/>
      </w:pPr>
    </w:p>
    <w:bookmarkEnd w:id="43"/>
    <w:bookmarkEnd w:id="44"/>
    <w:bookmarkEnd w:id="45"/>
    <w:p>
      <w:pPr>
        <w:pStyle w:val="116"/>
        <w:numPr>
          <w:ilvl w:val="0"/>
          <w:numId w:val="3"/>
        </w:numPr>
        <w:rPr>
          <w:rFonts w:hAnsi="黑体"/>
          <w:bCs/>
          <w:color w:val="000000"/>
          <w:szCs w:val="21"/>
        </w:rPr>
      </w:pPr>
      <w:bookmarkStart w:id="46" w:name="_Toc459106422"/>
      <w:bookmarkStart w:id="47" w:name="_Toc456611292"/>
      <w:bookmarkStart w:id="48" w:name="_Toc462063266"/>
      <w:bookmarkStart w:id="49" w:name="_Toc533683350"/>
      <w:bookmarkStart w:id="50" w:name="_Toc496798697"/>
      <w:r>
        <w:rPr>
          <w:rFonts w:hint="eastAsia" w:hAnsi="黑体"/>
          <w:bCs/>
          <w:color w:val="000000"/>
          <w:szCs w:val="21"/>
        </w:rPr>
        <w:t>评价方法</w:t>
      </w:r>
      <w:bookmarkEnd w:id="46"/>
      <w:bookmarkEnd w:id="47"/>
      <w:bookmarkEnd w:id="48"/>
      <w:bookmarkEnd w:id="49"/>
      <w:bookmarkEnd w:id="50"/>
    </w:p>
    <w:p>
      <w:pPr>
        <w:pStyle w:val="56"/>
        <w:numPr>
          <w:ilvl w:val="1"/>
          <w:numId w:val="3"/>
        </w:numPr>
        <w:jc w:val="both"/>
        <w:rPr>
          <w:rFonts w:ascii="Times New Roman" w:eastAsia="宋体"/>
          <w:szCs w:val="20"/>
        </w:rPr>
      </w:pPr>
      <w:r>
        <w:rPr>
          <w:rFonts w:hint="eastAsia" w:ascii="Times New Roman" w:eastAsia="宋体"/>
          <w:szCs w:val="20"/>
        </w:rPr>
        <w:t>生产企业应按4.1的规定提供有效期内的第三方环境检测报告、管理体系认证证书、产品形式检验报告、安全生产标准化证书、应用技术文件（如企业标准、企业技术规程、施工应用指南、使用说明书等）等相关证明文件。</w:t>
      </w:r>
    </w:p>
    <w:p>
      <w:pPr>
        <w:pStyle w:val="56"/>
        <w:numPr>
          <w:ilvl w:val="1"/>
          <w:numId w:val="3"/>
        </w:numPr>
        <w:jc w:val="both"/>
        <w:rPr>
          <w:rFonts w:ascii="Times New Roman" w:eastAsia="宋体"/>
          <w:szCs w:val="20"/>
        </w:rPr>
      </w:pPr>
      <w:r>
        <w:rPr>
          <w:rFonts w:hint="eastAsia" w:ascii="Times New Roman" w:eastAsia="宋体"/>
          <w:szCs w:val="20"/>
        </w:rPr>
        <w:t>资源属性中固体废弃物使用率、生产废水回收利用率按附录A的规定进行，生产企业提供由第三方检测机构出具的有效期内的检验报告。</w:t>
      </w:r>
    </w:p>
    <w:p>
      <w:pPr>
        <w:pStyle w:val="56"/>
        <w:numPr>
          <w:ilvl w:val="1"/>
          <w:numId w:val="3"/>
        </w:numPr>
        <w:jc w:val="both"/>
        <w:rPr>
          <w:rFonts w:ascii="Times New Roman" w:eastAsia="宋体"/>
          <w:szCs w:val="20"/>
        </w:rPr>
      </w:pPr>
      <w:r>
        <w:rPr>
          <w:rFonts w:hint="eastAsia" w:ascii="Times New Roman" w:eastAsia="宋体"/>
          <w:szCs w:val="20"/>
        </w:rPr>
        <w:t>能源属性中单位产品综合能耗按GB/T 2589的规定进行，根据生产企业提供的由第三方检测机构出具的有效期内的能源评价报告对单位产品综合能耗进行评价。原材料本地化程度按附录A的规定进行，是否使用清洁能源采用生产现场核查的方式进行。</w:t>
      </w:r>
    </w:p>
    <w:p>
      <w:pPr>
        <w:pStyle w:val="56"/>
        <w:numPr>
          <w:ilvl w:val="1"/>
          <w:numId w:val="3"/>
        </w:numPr>
        <w:jc w:val="both"/>
        <w:rPr>
          <w:rFonts w:ascii="Times New Roman" w:eastAsia="宋体"/>
          <w:szCs w:val="20"/>
        </w:rPr>
      </w:pPr>
      <w:r>
        <w:rPr>
          <w:rFonts w:hint="eastAsia" w:ascii="Times New Roman" w:eastAsia="宋体"/>
          <w:szCs w:val="20"/>
        </w:rPr>
        <w:t>环境属性中的生产过程中废弃物回收率按附录A的规定进行。是否安装颗粒物回收装置及是否安装局部或整体密闭排气收集系统采用现场核查的方式进行。</w:t>
      </w:r>
      <w:r>
        <w:rPr>
          <w:rFonts w:hint="eastAsia" w:ascii="Times New Roman" w:eastAsia="宋体"/>
          <w:color w:val="000000"/>
          <w:szCs w:val="20"/>
        </w:rPr>
        <w:t>环境产品声明（EPD）和碳足迹报告按第三方的EPD和碳足迹报告进行。</w:t>
      </w:r>
      <w:r>
        <w:rPr>
          <w:rFonts w:hint="eastAsia" w:ascii="Times New Roman" w:eastAsia="宋体"/>
          <w:szCs w:val="20"/>
        </w:rPr>
        <w:t>甲醛释放限量和挥发性有机化合物按</w:t>
      </w:r>
      <w:r>
        <w:rPr>
          <w:rFonts w:ascii="Times New Roman" w:eastAsia="宋体"/>
          <w:szCs w:val="20"/>
        </w:rPr>
        <w:t>GB</w:t>
      </w:r>
      <w:r>
        <w:rPr>
          <w:rFonts w:hint="eastAsia" w:ascii="Times New Roman" w:eastAsia="宋体"/>
          <w:szCs w:val="20"/>
        </w:rPr>
        <w:t xml:space="preserve"> 50325的规定进行。</w:t>
      </w:r>
    </w:p>
    <w:p>
      <w:pPr>
        <w:pStyle w:val="56"/>
        <w:jc w:val="both"/>
        <w:rPr>
          <w:rFonts w:ascii="Times New Roman" w:eastAsia="宋体"/>
          <w:szCs w:val="20"/>
        </w:rPr>
      </w:pPr>
      <w:r>
        <w:rPr>
          <w:rFonts w:hint="eastAsia" w:ascii="Times New Roman" w:eastAsia="宋体"/>
          <w:szCs w:val="20"/>
        </w:rPr>
        <w:t>品质属性中产品外观质量指标采用现场核查方式进行。放射性核素限量应由企业提供近一年的产品质量检验报告或按GB 6566的规定进行。可浸出重金属的试验方法应按GB 5085.3的规定进行。实测强度、实测密度应按相应产品标准进行检测。保温性能（导热系数、传热系数）应按GB/T 10294、GB/T 13475的规定进行。耐火极限应按GB/T 9978.1的规定进行。空气声计权隔声量应按GB/T 19889.3的规定进行。</w:t>
      </w:r>
    </w:p>
    <w:p>
      <w:pPr>
        <w:pStyle w:val="56"/>
        <w:jc w:val="both"/>
        <w:rPr>
          <w:rFonts w:ascii="Times New Roman" w:eastAsia="宋体"/>
          <w:szCs w:val="20"/>
        </w:rPr>
      </w:pPr>
      <w:bookmarkStart w:id="51" w:name="_Toc532906532"/>
      <w:r>
        <w:rPr>
          <w:rFonts w:hint="eastAsia" w:ascii="Times New Roman" w:eastAsia="宋体"/>
          <w:szCs w:val="20"/>
        </w:rPr>
        <w:t>采用符合性评价，生产企业满足4</w:t>
      </w:r>
      <w:r>
        <w:rPr>
          <w:rFonts w:ascii="Times New Roman" w:eastAsia="宋体"/>
          <w:szCs w:val="20"/>
        </w:rPr>
        <w:t>.1</w:t>
      </w:r>
      <w:r>
        <w:rPr>
          <w:rFonts w:hint="eastAsia" w:ascii="Times New Roman" w:eastAsia="宋体"/>
          <w:szCs w:val="20"/>
        </w:rPr>
        <w:t>和4..2对某一评价等级的全部要求时，判定评价结果符合该等级规定。</w:t>
      </w:r>
      <w:bookmarkEnd w:id="51"/>
    </w:p>
    <w:p>
      <w:pPr>
        <w:pStyle w:val="23"/>
      </w:pPr>
    </w:p>
    <w:p>
      <w:pPr>
        <w:pStyle w:val="23"/>
        <w:sectPr>
          <w:pgSz w:w="11906" w:h="16838"/>
          <w:pgMar w:top="567" w:right="1134" w:bottom="1134" w:left="1418" w:header="1418" w:footer="1134" w:gutter="0"/>
          <w:pgNumType w:start="1"/>
          <w:cols w:space="720" w:num="1"/>
          <w:formProt w:val="0"/>
          <w:docGrid w:type="lines" w:linePitch="312" w:charSpace="0"/>
        </w:sectPr>
      </w:pPr>
    </w:p>
    <w:p>
      <w:pPr>
        <w:pStyle w:val="94"/>
      </w:pPr>
      <w:r>
        <w:br w:type="textWrapping"/>
      </w:r>
      <w:bookmarkStart w:id="52" w:name="_Toc524004822"/>
      <w:bookmarkStart w:id="53" w:name="_Toc532906533"/>
      <w:bookmarkStart w:id="54" w:name="_Toc533683353"/>
      <w:r>
        <w:rPr>
          <w:rFonts w:hint="eastAsia"/>
        </w:rPr>
        <w:t>（规范性附录）</w:t>
      </w:r>
      <w:r>
        <w:br w:type="textWrapping"/>
      </w:r>
      <w:bookmarkEnd w:id="52"/>
      <w:r>
        <w:rPr>
          <w:rFonts w:hint="eastAsia"/>
        </w:rPr>
        <w:t>隔墙隔断材料产品部分评价指标计算方法</w:t>
      </w:r>
      <w:bookmarkEnd w:id="53"/>
      <w:bookmarkEnd w:id="54"/>
    </w:p>
    <w:p>
      <w:pPr>
        <w:pStyle w:val="78"/>
        <w:spacing w:before="312" w:after="312"/>
        <w:textAlignment w:val="auto"/>
        <w:outlineLvl w:val="2"/>
        <w:rPr>
          <w:rFonts w:hAnsi="黑体"/>
        </w:rPr>
      </w:pPr>
      <w:r>
        <w:rPr>
          <w:rFonts w:hint="eastAsia" w:hAnsi="黑体"/>
        </w:rPr>
        <w:t>固体废弃物使用率</w:t>
      </w:r>
    </w:p>
    <w:p>
      <w:pPr>
        <w:pStyle w:val="23"/>
        <w:spacing w:before="156" w:beforeLines="50" w:after="156" w:afterLines="50"/>
      </w:pPr>
      <w:r>
        <w:rPr>
          <w:rFonts w:hint="eastAsia"/>
        </w:rPr>
        <w:t>固体废弃物占隔墙隔断原材料总量的质量百分比，按式（</w:t>
      </w:r>
      <w:r>
        <w:rPr>
          <w:rFonts w:ascii="Times New Roman"/>
        </w:rPr>
        <w:t>A.1</w:t>
      </w:r>
      <w:r>
        <w:rPr>
          <w:rFonts w:hint="eastAsia"/>
        </w:rPr>
        <w:t>）计算：</w:t>
      </w:r>
    </w:p>
    <w:p>
      <w:pPr>
        <w:pStyle w:val="23"/>
      </w:pPr>
      <m:oMathPara>
        <m:oMath>
          <m:r>
            <w:rPr>
              <w:rFonts w:ascii="Cambria Math" w:hAnsi="Cambria Math"/>
            </w:rPr>
            <m:t xml:space="preserve">                                                                       </m:t>
          </m:r>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C</m:t>
                  </m:r>
                  <m:ctrlPr>
                    <w:rPr>
                      <w:rFonts w:ascii="Cambria Math" w:hAnsi="Cambria Math"/>
                      <w:i/>
                    </w:rPr>
                  </m:ctrlPr>
                </m:sub>
              </m:sSub>
              <m:ctrlPr>
                <w:rPr>
                  <w:rFonts w:ascii="Cambria Math" w:hAnsi="Cambria Math"/>
                  <w:i/>
                </w:rPr>
              </m:ctrlPr>
            </m:den>
          </m:f>
          <m:r>
            <m:rPr>
              <m:sty m:val="p"/>
            </m:rPr>
            <w:rPr>
              <w:rFonts w:ascii="Cambria Math" w:hAnsi="Cambria Math"/>
            </w:rPr>
            <m:t xml:space="preserve">×100%                                                                                 （A.1） </m:t>
          </m:r>
        </m:oMath>
      </m:oMathPara>
    </w:p>
    <w:p>
      <w:pPr>
        <w:pStyle w:val="23"/>
        <w:jc w:val="left"/>
      </w:pPr>
      <w:r>
        <w:rPr>
          <w:rFonts w:hint="eastAsia"/>
        </w:rPr>
        <w:t>式中</w:t>
      </w:r>
      <w:r>
        <w:t>:</w:t>
      </w:r>
    </w:p>
    <w:p>
      <w:pPr>
        <w:pStyle w:val="23"/>
        <w:jc w:val="left"/>
      </w:pPr>
      <w:r>
        <w:rPr>
          <w:rFonts w:ascii="Times New Roman"/>
        </w:rPr>
        <w:t>P</w:t>
      </w:r>
      <w:r>
        <w:rPr>
          <w:rFonts w:ascii="Times New Roman"/>
          <w:vertAlign w:val="subscript"/>
        </w:rPr>
        <w:t>i</w:t>
      </w:r>
      <w:r>
        <w:rPr>
          <w:rFonts w:hint="eastAsia"/>
        </w:rPr>
        <w:t>——企业上一年度平均生产每立方米隔墙隔断材料中固体废弃物占原材料总量的质量百分比</w:t>
      </w:r>
      <w:r>
        <w:t>,</w:t>
      </w:r>
      <w:r>
        <w:rPr>
          <w:rFonts w:ascii="Times New Roman"/>
        </w:rPr>
        <w:t>%</w:t>
      </w:r>
      <w:r>
        <w:rPr>
          <w:rFonts w:hint="eastAsia"/>
        </w:rPr>
        <w:t>；</w:t>
      </w:r>
    </w:p>
    <w:p>
      <w:pPr>
        <w:pStyle w:val="23"/>
        <w:jc w:val="left"/>
      </w:pPr>
      <w:r>
        <w:rPr>
          <w:rFonts w:ascii="Times New Roman"/>
        </w:rPr>
        <w:t>M</w:t>
      </w:r>
      <w:r>
        <w:rPr>
          <w:rFonts w:ascii="Times New Roman"/>
          <w:vertAlign w:val="subscript"/>
        </w:rPr>
        <w:t>i</w:t>
      </w:r>
      <w:r>
        <w:rPr>
          <w:rFonts w:hint="eastAsia"/>
        </w:rPr>
        <w:t>——企业上一年度平均生产每立方米隔墙隔断材料固体废弃物使用量，单位为千克每立方米（</w:t>
      </w:r>
      <w:r>
        <w:rPr>
          <w:rFonts w:ascii="Times New Roman"/>
        </w:rPr>
        <w:t>kg/m</w:t>
      </w:r>
      <w:r>
        <w:rPr>
          <w:rFonts w:ascii="Times New Roman"/>
          <w:vertAlign w:val="superscript"/>
        </w:rPr>
        <w:t>3</w:t>
      </w:r>
      <w:r>
        <w:rPr>
          <w:rFonts w:hint="eastAsia"/>
        </w:rPr>
        <w:t>）；</w:t>
      </w:r>
    </w:p>
    <w:p>
      <w:pPr>
        <w:pStyle w:val="23"/>
        <w:jc w:val="left"/>
      </w:pPr>
      <w:r>
        <w:rPr>
          <w:rFonts w:ascii="Times New Roman"/>
        </w:rPr>
        <w:t>M</w:t>
      </w:r>
      <w:r>
        <w:rPr>
          <w:rFonts w:hint="eastAsia" w:ascii="Times New Roman"/>
          <w:vertAlign w:val="subscript"/>
        </w:rPr>
        <w:t>c</w:t>
      </w:r>
      <w:r>
        <w:rPr>
          <w:rFonts w:hint="eastAsia"/>
        </w:rPr>
        <w:t>——企业上一年度平均生产每立方米隔墙隔断原材料总量，单位为千克每立方米（</w:t>
      </w:r>
      <w:r>
        <w:rPr>
          <w:rFonts w:ascii="Times New Roman"/>
        </w:rPr>
        <w:t>kg/m</w:t>
      </w:r>
      <w:r>
        <w:rPr>
          <w:rFonts w:ascii="Times New Roman"/>
          <w:vertAlign w:val="superscript"/>
        </w:rPr>
        <w:t>3</w:t>
      </w:r>
      <w:r>
        <w:rPr>
          <w:rFonts w:hint="eastAsia"/>
        </w:rPr>
        <w:t>）。</w:t>
      </w:r>
    </w:p>
    <w:p>
      <w:pPr>
        <w:pStyle w:val="78"/>
        <w:spacing w:before="312" w:after="312"/>
        <w:textAlignment w:val="auto"/>
        <w:outlineLvl w:val="2"/>
        <w:rPr>
          <w:rFonts w:hAnsi="黑体"/>
        </w:rPr>
      </w:pPr>
      <w:r>
        <w:rPr>
          <w:rFonts w:hint="eastAsia" w:hAnsi="黑体"/>
        </w:rPr>
        <w:t>废水回收利用率</w:t>
      </w:r>
    </w:p>
    <w:p>
      <w:pPr>
        <w:pStyle w:val="23"/>
        <w:spacing w:before="156" w:beforeLines="50" w:after="156" w:afterLines="50"/>
        <w:rPr>
          <w:rFonts w:ascii="Times New Roman"/>
        </w:rPr>
      </w:pPr>
      <w:r>
        <w:rPr>
          <w:rFonts w:hint="eastAsia"/>
        </w:rPr>
        <w:t>生产隔墙隔断材料采用的废水占产生废水总量的质量百分比，按式（</w:t>
      </w:r>
      <w:r>
        <w:rPr>
          <w:rFonts w:ascii="Times New Roman"/>
        </w:rPr>
        <w:t>A.</w:t>
      </w:r>
      <w:r>
        <w:rPr>
          <w:rFonts w:hint="eastAsia" w:ascii="Times New Roman"/>
        </w:rPr>
        <w:t>2</w:t>
      </w:r>
      <w:r>
        <w:rPr>
          <w:rFonts w:hint="eastAsia"/>
        </w:rPr>
        <w:t>）</w:t>
      </w:r>
      <w:r>
        <w:rPr>
          <w:rFonts w:hint="eastAsia" w:ascii="Times New Roman"/>
        </w:rPr>
        <w:t>计算：</w:t>
      </w:r>
    </w:p>
    <w:p>
      <w:pPr>
        <w:pStyle w:val="23"/>
      </w:pPr>
      <m:oMathPara>
        <m:oMath>
          <m:r>
            <m:rPr>
              <m:sty m:val="p"/>
            </m:rPr>
            <w:rPr>
              <w:rFonts w:ascii="Cambria Math" w:hAnsi="Cambria Math"/>
            </w:rPr>
            <m:t xml:space="preserve">                                                            </m:t>
          </m:r>
          <m:r>
            <w:rPr>
              <w:rFonts w:ascii="Cambria Math" w:hAnsi="Cambria Math"/>
            </w:rPr>
            <m:t xml:space="preserve">         R=</m:t>
          </m:r>
          <m:f>
            <m:fPr>
              <m:ctrlPr>
                <w:rPr>
                  <w:rFonts w:ascii="Cambria Math" w:hAnsi="Cambria Math"/>
                  <w:i/>
                </w:rPr>
              </m:ctrlPr>
            </m:fPr>
            <m:num>
              <m:sSub>
                <m:sSubPr>
                  <m:ctrlPr>
                    <w:rPr>
                      <w:rFonts w:ascii="Cambria Math" w:hAnsi="Cambria Math"/>
                      <w:i/>
                    </w:rPr>
                  </m:ctrlPr>
                </m:sSubPr>
                <m:e>
                  <m:r>
                    <w:rPr>
                      <w:rFonts w:ascii="Cambria Math" w:hAnsi="Cambria Math"/>
                    </w:rPr>
                    <m:t>V</m:t>
                  </m:r>
                  <m:ctrlPr>
                    <w:rPr>
                      <w:rFonts w:ascii="Cambria Math" w:hAnsi="Cambria Math"/>
                      <w:i/>
                    </w:rPr>
                  </m:ctrlPr>
                </m:e>
                <m:sub>
                  <m:r>
                    <w:rPr>
                      <w:rFonts w:ascii="Cambria Math" w:hAnsi="Cambria Math"/>
                    </w:rPr>
                    <m:t>n</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V</m:t>
                  </m:r>
                  <m:ctrlPr>
                    <w:rPr>
                      <w:rFonts w:ascii="Cambria Math" w:hAnsi="Cambria Math"/>
                      <w:i/>
                    </w:rPr>
                  </m:ctrlPr>
                </m:e>
                <m:sub>
                  <m:r>
                    <w:rPr>
                      <w:rFonts w:ascii="Cambria Math" w:hAnsi="Cambria Math"/>
                    </w:rPr>
                    <m:t>t</m:t>
                  </m:r>
                  <m:ctrlPr>
                    <w:rPr>
                      <w:rFonts w:ascii="Cambria Math" w:hAnsi="Cambria Math"/>
                      <w:i/>
                    </w:rPr>
                  </m:ctrlPr>
                </m:sub>
              </m:sSub>
              <m:ctrlPr>
                <w:rPr>
                  <w:rFonts w:ascii="Cambria Math" w:hAnsi="Cambria Math"/>
                  <w:i/>
                </w:rPr>
              </m:ctrlPr>
            </m:den>
          </m:f>
          <m:r>
            <w:rPr>
              <w:rFonts w:ascii="Cambria Math" w:hAnsi="Cambria Math"/>
            </w:rPr>
            <m:t xml:space="preserve">×100%                                                                                       </m:t>
          </m:r>
          <m:r>
            <m:rPr>
              <m:sty m:val="p"/>
            </m:rPr>
            <w:rPr>
              <w:rFonts w:ascii="Cambria Math" w:hAnsi="Cambria Math"/>
            </w:rPr>
            <m:t>（A.2）</m:t>
          </m:r>
        </m:oMath>
      </m:oMathPara>
    </w:p>
    <w:p>
      <w:pPr>
        <w:pStyle w:val="23"/>
        <w:jc w:val="left"/>
      </w:pPr>
      <w:r>
        <w:rPr>
          <w:rFonts w:hint="eastAsia"/>
        </w:rPr>
        <w:t>式中</w:t>
      </w:r>
      <w:r>
        <w:t>:</w:t>
      </w:r>
    </w:p>
    <w:p>
      <w:pPr>
        <w:pStyle w:val="23"/>
        <w:jc w:val="left"/>
      </w:pPr>
      <w:r>
        <w:rPr>
          <w:rFonts w:hint="eastAsia" w:ascii="Times New Roman"/>
        </w:rPr>
        <w:t>R</w:t>
      </w:r>
      <w:r>
        <w:rPr>
          <w:rFonts w:hint="eastAsia"/>
        </w:rPr>
        <w:t>——企业上一年度生产隔墙隔断材料采用的废水占产生废水总量的质量百分比</w:t>
      </w:r>
      <w:r>
        <w:t>,</w:t>
      </w:r>
      <w:r>
        <w:rPr>
          <w:rFonts w:ascii="Times New Roman"/>
        </w:rPr>
        <w:t>%</w:t>
      </w:r>
      <w:r>
        <w:rPr>
          <w:rFonts w:hint="eastAsia"/>
        </w:rPr>
        <w:t>；</w:t>
      </w:r>
    </w:p>
    <w:p>
      <w:pPr>
        <w:pStyle w:val="23"/>
        <w:jc w:val="left"/>
      </w:pPr>
      <w:r>
        <w:rPr>
          <w:rFonts w:hint="eastAsia" w:ascii="Times New Roman"/>
        </w:rPr>
        <w:t>V</w:t>
      </w:r>
      <w:r>
        <w:rPr>
          <w:rFonts w:hint="eastAsia" w:ascii="Times New Roman"/>
          <w:vertAlign w:val="subscript"/>
        </w:rPr>
        <w:t>n</w:t>
      </w:r>
      <w:r>
        <w:rPr>
          <w:rFonts w:hint="eastAsia"/>
        </w:rPr>
        <w:t>——企业上一年度生产隔墙隔断材料采用废水用量，单位为立方米（</w:t>
      </w:r>
      <w:r>
        <w:rPr>
          <w:rFonts w:ascii="Times New Roman"/>
        </w:rPr>
        <w:t>m</w:t>
      </w:r>
      <w:r>
        <w:rPr>
          <w:rFonts w:ascii="Times New Roman"/>
          <w:vertAlign w:val="superscript"/>
        </w:rPr>
        <w:t>3</w:t>
      </w:r>
      <w:r>
        <w:rPr>
          <w:rFonts w:hint="eastAsia"/>
        </w:rPr>
        <w:t>）；</w:t>
      </w:r>
    </w:p>
    <w:p>
      <w:pPr>
        <w:pStyle w:val="23"/>
        <w:jc w:val="left"/>
      </w:pPr>
      <w:r>
        <w:rPr>
          <w:rFonts w:hint="eastAsia" w:ascii="Times New Roman"/>
        </w:rPr>
        <w:t>V</w:t>
      </w:r>
      <w:r>
        <w:rPr>
          <w:rFonts w:hint="eastAsia" w:ascii="Times New Roman"/>
          <w:vertAlign w:val="subscript"/>
        </w:rPr>
        <w:t>t</w:t>
      </w:r>
      <w:r>
        <w:rPr>
          <w:rFonts w:hint="eastAsia"/>
        </w:rPr>
        <w:t>——企业上一年度生产隔墙隔断材料产生废水总量，单位为立方米（</w:t>
      </w:r>
      <w:r>
        <w:rPr>
          <w:rFonts w:ascii="Times New Roman"/>
        </w:rPr>
        <w:t>m</w:t>
      </w:r>
      <w:r>
        <w:rPr>
          <w:rFonts w:ascii="Times New Roman"/>
          <w:vertAlign w:val="superscript"/>
        </w:rPr>
        <w:t>3</w:t>
      </w:r>
      <w:r>
        <w:rPr>
          <w:rFonts w:hint="eastAsia"/>
        </w:rPr>
        <w:t>）。</w:t>
      </w:r>
    </w:p>
    <w:p>
      <w:pPr>
        <w:pStyle w:val="78"/>
        <w:spacing w:before="312" w:after="312"/>
        <w:textAlignment w:val="auto"/>
        <w:outlineLvl w:val="2"/>
        <w:rPr>
          <w:rFonts w:hAnsi="黑体"/>
        </w:rPr>
      </w:pPr>
      <w:r>
        <w:rPr>
          <w:rFonts w:hint="eastAsia" w:hAnsi="黑体"/>
        </w:rPr>
        <w:t>原材料本地化程度</w:t>
      </w:r>
    </w:p>
    <w:p>
      <w:pPr>
        <w:pStyle w:val="23"/>
        <w:spacing w:before="156" w:beforeLines="50" w:after="156" w:afterLines="50"/>
        <w:jc w:val="left"/>
        <w:rPr>
          <w:rFonts w:ascii="Times New Roman"/>
        </w:rPr>
      </w:pPr>
      <w:r>
        <w:rPr>
          <w:rFonts w:hint="eastAsia"/>
        </w:rPr>
        <w:t>以运输距离不大于</w:t>
      </w:r>
      <w:r>
        <w:rPr>
          <w:rFonts w:ascii="Times New Roman"/>
        </w:rPr>
        <w:t>300km</w:t>
      </w:r>
      <w:r>
        <w:rPr>
          <w:rFonts w:hint="eastAsia" w:ascii="Times New Roman"/>
        </w:rPr>
        <w:t>（本地化的运输距离定义）或采用铁路、船舶运输的原材料使用率为计算标准，材料选取主要原材料进行计算。本地化程度按式</w:t>
      </w:r>
      <w:r>
        <w:rPr>
          <w:rFonts w:hint="eastAsia"/>
        </w:rPr>
        <w:t>（</w:t>
      </w:r>
      <w:r>
        <w:rPr>
          <w:rFonts w:ascii="Times New Roman"/>
        </w:rPr>
        <w:t>A.3</w:t>
      </w:r>
      <w:r>
        <w:rPr>
          <w:rFonts w:hint="eastAsia"/>
        </w:rPr>
        <w:t>）</w:t>
      </w:r>
      <w:r>
        <w:rPr>
          <w:rFonts w:hint="eastAsia" w:ascii="Times New Roman"/>
        </w:rPr>
        <w:t>计算：</w:t>
      </w:r>
    </w:p>
    <w:p>
      <w:pPr>
        <w:pStyle w:val="23"/>
        <w:spacing w:before="156" w:beforeLines="50" w:after="156" w:afterLines="50"/>
        <w:jc w:val="left"/>
      </w:pPr>
    </w:p>
    <w:p>
      <w:pPr>
        <w:pStyle w:val="23"/>
        <w:jc w:val="left"/>
      </w:pPr>
      <m:oMathPara>
        <m:oMath>
          <m:r>
            <m:rPr>
              <m:sty m:val="p"/>
            </m:rPr>
            <w:rPr>
              <w:rFonts w:ascii="Cambria Math" w:hAnsi="Cambria Math"/>
            </w:rPr>
            <m:t xml:space="preserve">                                                                  </m:t>
          </m:r>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j</m:t>
              </m:r>
              <m:ctrlPr>
                <w:rPr>
                  <w:rFonts w:ascii="Cambria Math" w:hAnsi="Cambria Math"/>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j</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m:t>
                  </m:r>
                  <m:ctrlPr>
                    <w:rPr>
                      <w:rFonts w:ascii="Cambria Math" w:hAnsi="Cambria Math"/>
                      <w:i/>
                    </w:rPr>
                  </m:ctrlPr>
                </m:sub>
              </m:sSub>
              <m:ctrlPr>
                <w:rPr>
                  <w:rFonts w:ascii="Cambria Math" w:hAnsi="Cambria Math"/>
                  <w:i/>
                </w:rPr>
              </m:ctrlPr>
            </m:den>
          </m:f>
          <m:r>
            <w:rPr>
              <w:rFonts w:ascii="Cambria Math" w:hAnsi="Cambria Math"/>
            </w:rPr>
            <m:t xml:space="preserve">×100%                                                                                        </m:t>
          </m:r>
          <m:r>
            <m:rPr>
              <m:sty m:val="p"/>
            </m:rPr>
            <w:rPr>
              <w:rFonts w:ascii="Cambria Math" w:hAnsi="Cambria Math"/>
            </w:rPr>
            <m:t>（A.</m:t>
          </m:r>
          <m:r>
            <m:rPr>
              <m:sty m:val="p"/>
            </m:rPr>
            <w:rPr>
              <w:rFonts w:hint="eastAsia" w:ascii="Cambria Math" w:hAnsi="Cambria Math"/>
            </w:rPr>
            <m:t>3</m:t>
          </m:r>
          <m:r>
            <m:rPr>
              <m:sty m:val="p"/>
            </m:rPr>
            <w:rPr>
              <w:rFonts w:ascii="Cambria Math" w:hAnsi="Cambria Math"/>
            </w:rPr>
            <m:t>）</m:t>
          </m:r>
        </m:oMath>
      </m:oMathPara>
    </w:p>
    <w:p>
      <w:pPr>
        <w:pStyle w:val="23"/>
        <w:jc w:val="left"/>
      </w:pPr>
      <w:r>
        <w:rPr>
          <w:rFonts w:hint="eastAsia"/>
        </w:rPr>
        <w:t>式中</w:t>
      </w:r>
      <w:r>
        <w:t>:</w:t>
      </w:r>
    </w:p>
    <w:p>
      <w:pPr>
        <w:pStyle w:val="23"/>
        <w:jc w:val="left"/>
      </w:pPr>
      <w:r>
        <w:rPr>
          <w:rFonts w:hint="eastAsia" w:ascii="Times New Roman"/>
        </w:rPr>
        <w:t>T</w:t>
      </w:r>
      <w:r>
        <w:rPr>
          <w:rFonts w:hint="eastAsia" w:ascii="Times New Roman"/>
          <w:vertAlign w:val="subscript"/>
        </w:rPr>
        <w:t>J</w:t>
      </w:r>
      <w:r>
        <w:rPr>
          <w:rFonts w:hint="eastAsia"/>
        </w:rPr>
        <w:t>——原材料本地化程度，</w:t>
      </w:r>
      <w:r>
        <w:rPr>
          <w:rFonts w:ascii="Times New Roman"/>
        </w:rPr>
        <w:t>%</w:t>
      </w:r>
      <w:r>
        <w:rPr>
          <w:rFonts w:hint="eastAsia"/>
        </w:rPr>
        <w:t>；</w:t>
      </w:r>
    </w:p>
    <w:p>
      <w:pPr>
        <w:pStyle w:val="23"/>
        <w:jc w:val="left"/>
      </w:pPr>
      <w:r>
        <w:rPr>
          <w:rFonts w:hint="eastAsia" w:ascii="Times New Roman"/>
        </w:rPr>
        <w:t>N</w:t>
      </w:r>
      <w:r>
        <w:rPr>
          <w:rFonts w:hint="eastAsia" w:ascii="Times New Roman"/>
          <w:vertAlign w:val="subscript"/>
        </w:rPr>
        <w:t>j</w:t>
      </w:r>
      <w:r>
        <w:rPr>
          <w:rFonts w:hint="eastAsia"/>
        </w:rPr>
        <w:t>——企业上一年度内使用的运输距离不大于</w:t>
      </w:r>
      <w:r>
        <w:rPr>
          <w:rFonts w:ascii="Times New Roman"/>
        </w:rPr>
        <w:t>300km</w:t>
      </w:r>
      <w:r>
        <w:rPr>
          <w:rFonts w:hint="eastAsia"/>
        </w:rPr>
        <w:t>或采用铁路、船舶运输的主要原材料总量，单位为吨（</w:t>
      </w:r>
      <w:r>
        <w:rPr>
          <w:rFonts w:ascii="Times New Roman"/>
        </w:rPr>
        <w:t>t</w:t>
      </w:r>
      <w:r>
        <w:rPr>
          <w:rFonts w:hint="eastAsia"/>
        </w:rPr>
        <w:t>）；</w:t>
      </w:r>
    </w:p>
    <w:p>
      <w:pPr>
        <w:pStyle w:val="23"/>
        <w:jc w:val="left"/>
      </w:pPr>
      <w:r>
        <w:rPr>
          <w:rFonts w:hint="eastAsia" w:ascii="Times New Roman"/>
        </w:rPr>
        <w:t>N</w:t>
      </w:r>
      <w:r>
        <w:rPr>
          <w:rFonts w:hint="eastAsia" w:ascii="Times New Roman"/>
          <w:vertAlign w:val="subscript"/>
        </w:rPr>
        <w:t>c</w:t>
      </w:r>
      <w:r>
        <w:rPr>
          <w:rFonts w:hint="eastAsia"/>
        </w:rPr>
        <w:t>——企业上一年度内使用的主要原材料总量，单位为吨（</w:t>
      </w:r>
      <w:r>
        <w:rPr>
          <w:rFonts w:ascii="Times New Roman"/>
        </w:rPr>
        <w:t>t</w:t>
      </w:r>
      <w:r>
        <w:rPr>
          <w:rFonts w:hint="eastAsia"/>
        </w:rPr>
        <w:t>）。</w:t>
      </w:r>
    </w:p>
    <w:p>
      <w:pPr>
        <w:pStyle w:val="78"/>
        <w:spacing w:before="312" w:after="312"/>
        <w:textAlignment w:val="auto"/>
        <w:outlineLvl w:val="2"/>
        <w:rPr>
          <w:rFonts w:hAnsi="黑体"/>
        </w:rPr>
      </w:pPr>
      <w:r>
        <w:rPr>
          <w:rFonts w:hint="eastAsia" w:hAnsi="黑体"/>
        </w:rPr>
        <w:t>生产过程中废弃物回收率</w:t>
      </w:r>
    </w:p>
    <w:p>
      <w:pPr>
        <w:pStyle w:val="23"/>
        <w:spacing w:before="156" w:beforeLines="50" w:after="156" w:afterLines="50"/>
        <w:rPr>
          <w:rFonts w:ascii="Times New Roman"/>
        </w:rPr>
      </w:pPr>
      <w:r>
        <w:rPr>
          <w:rFonts w:hint="eastAsia"/>
        </w:rPr>
        <w:t>生产隔墙隔断材料回收的废弃物使用量占产生废弃物总量的质量百分比，按式（</w:t>
      </w:r>
      <w:r>
        <w:rPr>
          <w:rFonts w:ascii="Times New Roman"/>
        </w:rPr>
        <w:t>A.4</w:t>
      </w:r>
      <w:r>
        <w:rPr>
          <w:rFonts w:hint="eastAsia"/>
        </w:rPr>
        <w:t>）</w:t>
      </w:r>
      <w:r>
        <w:rPr>
          <w:rFonts w:hint="eastAsia" w:ascii="Times New Roman"/>
        </w:rPr>
        <w:t>计算：</w:t>
      </w:r>
    </w:p>
    <w:p>
      <w:pPr>
        <w:pStyle w:val="23"/>
        <w:jc w:val="left"/>
      </w:pPr>
      <m:oMathPara>
        <m:oMath>
          <m:r>
            <m:rPr>
              <m:sty m:val="p"/>
            </m:rPr>
            <w:rPr>
              <w:rFonts w:ascii="Cambria Math" w:hAnsi="Cambria Math"/>
            </w:rPr>
            <m:t xml:space="preserve">                                                                 </m:t>
          </m:r>
          <m:sSub>
            <m:sSubPr>
              <m:ctrlPr>
                <w:rPr>
                  <w:rFonts w:ascii="Cambria Math" w:hAnsi="Cambria Math"/>
                </w:rPr>
              </m:ctrlPr>
            </m:sSubPr>
            <m:e>
              <m:r>
                <w:rPr>
                  <w:rFonts w:ascii="Cambria Math" w:hAnsi="Cambria Math"/>
                </w:rPr>
                <m:t>F</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rPr>
              </m:ctrlPr>
            </m:num>
            <m:den>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C</m:t>
                  </m:r>
                  <m:ctrlPr>
                    <w:rPr>
                      <w:rFonts w:ascii="Cambria Math" w:hAnsi="Cambria Math"/>
                      <w:i/>
                    </w:rPr>
                  </m:ctrlPr>
                </m:sub>
              </m:sSub>
              <m:ctrlPr>
                <w:rPr>
                  <w:rFonts w:ascii="Cambria Math" w:hAnsi="Cambria Math"/>
                </w:rPr>
              </m:ctrlPr>
            </m:den>
          </m:f>
          <m:r>
            <w:rPr>
              <w:rFonts w:ascii="Cambria Math" w:hAnsi="Cambria Math"/>
            </w:rPr>
            <m:t xml:space="preserve">×100%                                                                                         </m:t>
          </m:r>
          <m:r>
            <m:rPr>
              <m:sty m:val="p"/>
            </m:rPr>
            <w:rPr>
              <w:rFonts w:ascii="Cambria Math" w:hAnsi="Cambria Math"/>
            </w:rPr>
            <m:t>（A.4）</m:t>
          </m:r>
        </m:oMath>
      </m:oMathPara>
    </w:p>
    <w:p>
      <w:pPr>
        <w:pStyle w:val="23"/>
        <w:jc w:val="left"/>
      </w:pPr>
      <w:r>
        <w:rPr>
          <w:rFonts w:hint="eastAsia"/>
        </w:rPr>
        <w:t>式中</w:t>
      </w:r>
      <w:r>
        <w:t>:</w:t>
      </w:r>
    </w:p>
    <w:p>
      <w:pPr>
        <w:pStyle w:val="23"/>
        <w:jc w:val="left"/>
      </w:pPr>
      <w:r>
        <w:rPr>
          <w:rFonts w:hint="eastAsia" w:ascii="Times New Roman"/>
        </w:rPr>
        <w:t>F</w:t>
      </w:r>
      <w:r>
        <w:rPr>
          <w:rFonts w:ascii="Times New Roman"/>
          <w:vertAlign w:val="subscript"/>
        </w:rPr>
        <w:t>i</w:t>
      </w:r>
      <w:r>
        <w:rPr>
          <w:rFonts w:hint="eastAsia"/>
        </w:rPr>
        <w:t>——企业上一年度平均生产每立方米隔墙隔断材料中回收的废弃物占产生废弃物总量的质量百分比</w:t>
      </w:r>
      <w:r>
        <w:t>,</w:t>
      </w:r>
      <w:r>
        <w:rPr>
          <w:rFonts w:ascii="Times New Roman"/>
        </w:rPr>
        <w:t>%</w:t>
      </w:r>
      <w:r>
        <w:rPr>
          <w:rFonts w:hint="eastAsia"/>
        </w:rPr>
        <w:t>；</w:t>
      </w:r>
    </w:p>
    <w:p>
      <w:pPr>
        <w:pStyle w:val="23"/>
        <w:jc w:val="left"/>
      </w:pPr>
      <w:r>
        <w:rPr>
          <w:rFonts w:hint="eastAsia" w:ascii="Times New Roman"/>
        </w:rPr>
        <w:t>U</w:t>
      </w:r>
      <w:r>
        <w:rPr>
          <w:rFonts w:ascii="Times New Roman"/>
          <w:vertAlign w:val="subscript"/>
        </w:rPr>
        <w:t>i</w:t>
      </w:r>
      <w:r>
        <w:rPr>
          <w:rFonts w:hint="eastAsia"/>
        </w:rPr>
        <w:t>——企业上一年度平均生产每立方米隔墙隔断材料回收的废弃物使用量，单位为千克每立方米（</w:t>
      </w:r>
      <w:r>
        <w:rPr>
          <w:rFonts w:ascii="Times New Roman"/>
        </w:rPr>
        <w:t>kg/m</w:t>
      </w:r>
      <w:r>
        <w:rPr>
          <w:rFonts w:ascii="Times New Roman"/>
          <w:vertAlign w:val="superscript"/>
        </w:rPr>
        <w:t>3</w:t>
      </w:r>
      <w:r>
        <w:rPr>
          <w:rFonts w:hint="eastAsia"/>
        </w:rPr>
        <w:t>）；</w:t>
      </w:r>
    </w:p>
    <w:p>
      <w:pPr>
        <w:pStyle w:val="23"/>
        <w:jc w:val="left"/>
      </w:pPr>
      <w:r>
        <w:rPr>
          <w:rFonts w:hint="eastAsia" w:ascii="Times New Roman"/>
        </w:rPr>
        <w:t>U</w:t>
      </w:r>
      <w:r>
        <w:rPr>
          <w:rFonts w:hint="eastAsia" w:ascii="Times New Roman"/>
          <w:vertAlign w:val="subscript"/>
        </w:rPr>
        <w:t>c</w:t>
      </w:r>
      <w:r>
        <w:rPr>
          <w:rFonts w:hint="eastAsia"/>
        </w:rPr>
        <w:t>——企业上一年度平均生产每立方米隔墙隔断材料产生的废弃物总量，单位为千克每立方米（</w:t>
      </w:r>
      <w:r>
        <w:rPr>
          <w:rFonts w:ascii="Times New Roman"/>
        </w:rPr>
        <w:t>kg/m</w:t>
      </w:r>
      <w:r>
        <w:rPr>
          <w:rFonts w:ascii="Times New Roman"/>
          <w:vertAlign w:val="superscript"/>
        </w:rPr>
        <w:t>3</w:t>
      </w:r>
      <w:r>
        <w:rPr>
          <w:rFonts w:hint="eastAsia"/>
        </w:rPr>
        <w:t>）。</w:t>
      </w:r>
    </w:p>
    <w:p>
      <w:pPr>
        <w:pStyle w:val="23"/>
        <w:ind w:firstLine="0" w:firstLineChars="0"/>
      </w:pPr>
    </w:p>
    <w:p>
      <w:pPr>
        <w:pStyle w:val="128"/>
      </w:pPr>
    </w:p>
    <w:p>
      <w:pPr>
        <w:pStyle w:val="100"/>
        <w:framePr/>
      </w:pPr>
      <w:r>
        <w:t>_________________________________</w: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S Mincho">
    <w:altName w:val="Kozuka Mincho Pro M"/>
    <w:panose1 w:val="02020609040205080304"/>
    <w:charset w:val="80"/>
    <w:family w:val="moder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5"/>
    </w:pPr>
    <w:r>
      <w:rPr>
        <w:rFonts w:hint="eastAsia"/>
      </w:rPr>
      <w:t>T</w:t>
    </w:r>
    <w:r>
      <w:t>/</w:t>
    </w:r>
    <w:r>
      <w:rPr>
        <w:rFonts w:hint="eastAsia"/>
      </w:rPr>
      <w:t>CECS 1000</w:t>
    </w:r>
    <w:r>
      <w:t>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2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0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8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2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1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5"/>
      <w:suff w:val="nothing"/>
      <w:lvlText w:val="%1.%2.%3　"/>
      <w:lvlJc w:val="left"/>
      <w:pPr>
        <w:ind w:left="993"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37"/>
      <w:suff w:val="space"/>
      <w:lvlText w:val="%1"/>
      <w:lvlJc w:val="left"/>
      <w:pPr>
        <w:ind w:left="623" w:hanging="425"/>
      </w:pPr>
      <w:rPr>
        <w:rFonts w:hint="eastAsia"/>
      </w:rPr>
    </w:lvl>
    <w:lvl w:ilvl="1" w:tentative="0">
      <w:start w:val="1"/>
      <w:numFmt w:val="decimal"/>
      <w:pStyle w:val="9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17"/>
      <w:suff w:val="nothing"/>
      <w:lvlText w:val="%1——"/>
      <w:lvlJc w:val="left"/>
      <w:pPr>
        <w:ind w:left="833" w:hanging="408"/>
      </w:pPr>
      <w:rPr>
        <w:rFonts w:hint="eastAsia"/>
      </w:rPr>
    </w:lvl>
    <w:lvl w:ilvl="1" w:tentative="0">
      <w:start w:val="1"/>
      <w:numFmt w:val="bullet"/>
      <w:pStyle w:val="75"/>
      <w:lvlText w:val=""/>
      <w:lvlJc w:val="left"/>
      <w:pPr>
        <w:tabs>
          <w:tab w:val="left" w:pos="760"/>
        </w:tabs>
        <w:ind w:left="1264" w:hanging="413"/>
      </w:pPr>
      <w:rPr>
        <w:rFonts w:hint="default" w:ascii="Symbol" w:hAnsi="Symbol"/>
        <w:color w:val="auto"/>
      </w:rPr>
    </w:lvl>
    <w:lvl w:ilvl="2" w:tentative="0">
      <w:start w:val="1"/>
      <w:numFmt w:val="bullet"/>
      <w:pStyle w:val="9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3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1"/>
      <w:lvlText w:val="%2)"/>
      <w:lvlJc w:val="left"/>
      <w:pPr>
        <w:tabs>
          <w:tab w:val="left" w:pos="1260"/>
        </w:tabs>
        <w:ind w:left="1259" w:hanging="419"/>
      </w:pPr>
      <w:rPr>
        <w:rFonts w:hint="eastAsia"/>
      </w:rPr>
    </w:lvl>
    <w:lvl w:ilvl="2" w:tentative="0">
      <w:start w:val="1"/>
      <w:numFmt w:val="decimal"/>
      <w:pStyle w:val="9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1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28"/>
      <w:lvlText w:val="%1"/>
      <w:lvlJc w:val="left"/>
      <w:pPr>
        <w:tabs>
          <w:tab w:val="left" w:pos="0"/>
        </w:tabs>
        <w:ind w:left="0" w:hanging="425"/>
      </w:pPr>
      <w:rPr>
        <w:rFonts w:hint="eastAsia"/>
      </w:rPr>
    </w:lvl>
    <w:lvl w:ilvl="1" w:tentative="0">
      <w:start w:val="1"/>
      <w:numFmt w:val="decimal"/>
      <w:pStyle w:val="10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7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63"/>
      <w:lvlText w:val="%1)"/>
      <w:lvlJc w:val="left"/>
      <w:pPr>
        <w:tabs>
          <w:tab w:val="left" w:pos="839"/>
        </w:tabs>
        <w:ind w:left="839" w:hanging="419"/>
      </w:pPr>
      <w:rPr>
        <w:rFonts w:hint="eastAsia" w:ascii="宋体" w:eastAsia="宋体"/>
        <w:b w:val="0"/>
        <w:i w:val="0"/>
        <w:sz w:val="21"/>
      </w:rPr>
    </w:lvl>
    <w:lvl w:ilvl="1" w:tentative="0">
      <w:start w:val="1"/>
      <w:numFmt w:val="decimal"/>
      <w:pStyle w:val="11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8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5"/>
  </w:num>
  <w:num w:numId="4">
    <w:abstractNumId w:val="14"/>
  </w:num>
  <w:num w:numId="5">
    <w:abstractNumId w:val="15"/>
  </w:num>
  <w:num w:numId="6">
    <w:abstractNumId w:val="13"/>
  </w:num>
  <w:num w:numId="7">
    <w:abstractNumId w:val="7"/>
  </w:num>
  <w:num w:numId="8">
    <w:abstractNumId w:val="16"/>
  </w:num>
  <w:num w:numId="9">
    <w:abstractNumId w:val="3"/>
  </w:num>
  <w:num w:numId="10">
    <w:abstractNumId w:val="6"/>
  </w:num>
  <w:num w:numId="11">
    <w:abstractNumId w:val="9"/>
  </w:num>
  <w:num w:numId="12">
    <w:abstractNumId w:val="12"/>
  </w:num>
  <w:num w:numId="13">
    <w:abstractNumId w:val="2"/>
  </w:num>
  <w:num w:numId="14">
    <w:abstractNumId w:val="10"/>
  </w:num>
  <w:num w:numId="15">
    <w:abstractNumId w:val="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40E"/>
    <w:rsid w:val="0000165D"/>
    <w:rsid w:val="0000185F"/>
    <w:rsid w:val="0000586F"/>
    <w:rsid w:val="000062C4"/>
    <w:rsid w:val="00007D81"/>
    <w:rsid w:val="00013D86"/>
    <w:rsid w:val="00013E02"/>
    <w:rsid w:val="00016790"/>
    <w:rsid w:val="0002143C"/>
    <w:rsid w:val="000223C1"/>
    <w:rsid w:val="00023140"/>
    <w:rsid w:val="00025A65"/>
    <w:rsid w:val="00026C31"/>
    <w:rsid w:val="00026DB4"/>
    <w:rsid w:val="00026F4A"/>
    <w:rsid w:val="00027280"/>
    <w:rsid w:val="0002778F"/>
    <w:rsid w:val="00031835"/>
    <w:rsid w:val="000320A7"/>
    <w:rsid w:val="00035925"/>
    <w:rsid w:val="00035BB7"/>
    <w:rsid w:val="0004143F"/>
    <w:rsid w:val="00041E32"/>
    <w:rsid w:val="00044C4D"/>
    <w:rsid w:val="00045517"/>
    <w:rsid w:val="0004726A"/>
    <w:rsid w:val="000607E8"/>
    <w:rsid w:val="000675D0"/>
    <w:rsid w:val="00067CDF"/>
    <w:rsid w:val="00070111"/>
    <w:rsid w:val="0007023F"/>
    <w:rsid w:val="0007120A"/>
    <w:rsid w:val="00073D64"/>
    <w:rsid w:val="00074FBE"/>
    <w:rsid w:val="000805F9"/>
    <w:rsid w:val="00083A09"/>
    <w:rsid w:val="00083AA5"/>
    <w:rsid w:val="0008600B"/>
    <w:rsid w:val="00087643"/>
    <w:rsid w:val="0009005E"/>
    <w:rsid w:val="00091ABD"/>
    <w:rsid w:val="00092857"/>
    <w:rsid w:val="00094427"/>
    <w:rsid w:val="000A1AF7"/>
    <w:rsid w:val="000A20A9"/>
    <w:rsid w:val="000A48B1"/>
    <w:rsid w:val="000B3143"/>
    <w:rsid w:val="000B31A9"/>
    <w:rsid w:val="000C6B05"/>
    <w:rsid w:val="000C6DD6"/>
    <w:rsid w:val="000C73D4"/>
    <w:rsid w:val="000D3D4C"/>
    <w:rsid w:val="000D4F51"/>
    <w:rsid w:val="000D718B"/>
    <w:rsid w:val="000E0C46"/>
    <w:rsid w:val="000E2BCC"/>
    <w:rsid w:val="000F030C"/>
    <w:rsid w:val="000F129C"/>
    <w:rsid w:val="000F2889"/>
    <w:rsid w:val="00100C35"/>
    <w:rsid w:val="00102E6B"/>
    <w:rsid w:val="00105249"/>
    <w:rsid w:val="001056DE"/>
    <w:rsid w:val="001124C0"/>
    <w:rsid w:val="00112A4E"/>
    <w:rsid w:val="001133FD"/>
    <w:rsid w:val="00127A01"/>
    <w:rsid w:val="0013175F"/>
    <w:rsid w:val="00131871"/>
    <w:rsid w:val="00135B28"/>
    <w:rsid w:val="00144DE9"/>
    <w:rsid w:val="0014692F"/>
    <w:rsid w:val="001512B4"/>
    <w:rsid w:val="00153D56"/>
    <w:rsid w:val="00160AAD"/>
    <w:rsid w:val="00161029"/>
    <w:rsid w:val="001620A5"/>
    <w:rsid w:val="00162B1F"/>
    <w:rsid w:val="00164E53"/>
    <w:rsid w:val="00164EF3"/>
    <w:rsid w:val="0016699D"/>
    <w:rsid w:val="00175159"/>
    <w:rsid w:val="00175FB0"/>
    <w:rsid w:val="00176208"/>
    <w:rsid w:val="0018211B"/>
    <w:rsid w:val="001840D3"/>
    <w:rsid w:val="001900F8"/>
    <w:rsid w:val="00191258"/>
    <w:rsid w:val="00192680"/>
    <w:rsid w:val="00193037"/>
    <w:rsid w:val="00193A2C"/>
    <w:rsid w:val="001A288E"/>
    <w:rsid w:val="001B46F8"/>
    <w:rsid w:val="001B58F6"/>
    <w:rsid w:val="001B6DC2"/>
    <w:rsid w:val="001C149C"/>
    <w:rsid w:val="001C21AC"/>
    <w:rsid w:val="001C2D1F"/>
    <w:rsid w:val="001C47BA"/>
    <w:rsid w:val="001C4C75"/>
    <w:rsid w:val="001C59EA"/>
    <w:rsid w:val="001C6DEA"/>
    <w:rsid w:val="001D406C"/>
    <w:rsid w:val="001D41EE"/>
    <w:rsid w:val="001D796F"/>
    <w:rsid w:val="001E0380"/>
    <w:rsid w:val="001E13B1"/>
    <w:rsid w:val="001F3A19"/>
    <w:rsid w:val="001F7C79"/>
    <w:rsid w:val="002066C8"/>
    <w:rsid w:val="00210FBD"/>
    <w:rsid w:val="002125B2"/>
    <w:rsid w:val="00234467"/>
    <w:rsid w:val="00236FE5"/>
    <w:rsid w:val="00237D8D"/>
    <w:rsid w:val="00241DA2"/>
    <w:rsid w:val="00247FEE"/>
    <w:rsid w:val="00250E7D"/>
    <w:rsid w:val="002515C1"/>
    <w:rsid w:val="0025304B"/>
    <w:rsid w:val="0025656A"/>
    <w:rsid w:val="002565D5"/>
    <w:rsid w:val="00261CAE"/>
    <w:rsid w:val="002622C0"/>
    <w:rsid w:val="00262E2F"/>
    <w:rsid w:val="00265FA9"/>
    <w:rsid w:val="0027437F"/>
    <w:rsid w:val="00277432"/>
    <w:rsid w:val="002778AE"/>
    <w:rsid w:val="00281724"/>
    <w:rsid w:val="0028269A"/>
    <w:rsid w:val="00283590"/>
    <w:rsid w:val="00284131"/>
    <w:rsid w:val="00286973"/>
    <w:rsid w:val="00290CBB"/>
    <w:rsid w:val="00293D63"/>
    <w:rsid w:val="00294E70"/>
    <w:rsid w:val="002A0621"/>
    <w:rsid w:val="002A1924"/>
    <w:rsid w:val="002A7420"/>
    <w:rsid w:val="002B0F12"/>
    <w:rsid w:val="002B1308"/>
    <w:rsid w:val="002B4554"/>
    <w:rsid w:val="002B5760"/>
    <w:rsid w:val="002B79C9"/>
    <w:rsid w:val="002C72D8"/>
    <w:rsid w:val="002D11FA"/>
    <w:rsid w:val="002D1D09"/>
    <w:rsid w:val="002E0DDF"/>
    <w:rsid w:val="002E2906"/>
    <w:rsid w:val="002E290B"/>
    <w:rsid w:val="002E5635"/>
    <w:rsid w:val="002E64C3"/>
    <w:rsid w:val="002E6A2C"/>
    <w:rsid w:val="002F18CD"/>
    <w:rsid w:val="002F1A70"/>
    <w:rsid w:val="002F1D8C"/>
    <w:rsid w:val="002F21DA"/>
    <w:rsid w:val="002F578D"/>
    <w:rsid w:val="002F66DE"/>
    <w:rsid w:val="003010DD"/>
    <w:rsid w:val="00301F39"/>
    <w:rsid w:val="00307442"/>
    <w:rsid w:val="00312AC2"/>
    <w:rsid w:val="00323DD7"/>
    <w:rsid w:val="00324EA0"/>
    <w:rsid w:val="00325926"/>
    <w:rsid w:val="00326A54"/>
    <w:rsid w:val="00327A8A"/>
    <w:rsid w:val="00330775"/>
    <w:rsid w:val="00336610"/>
    <w:rsid w:val="00343F73"/>
    <w:rsid w:val="00345060"/>
    <w:rsid w:val="00346284"/>
    <w:rsid w:val="0035032C"/>
    <w:rsid w:val="0035323B"/>
    <w:rsid w:val="00355F26"/>
    <w:rsid w:val="003609D2"/>
    <w:rsid w:val="00363F22"/>
    <w:rsid w:val="00367041"/>
    <w:rsid w:val="00375564"/>
    <w:rsid w:val="00377980"/>
    <w:rsid w:val="00383191"/>
    <w:rsid w:val="00386DED"/>
    <w:rsid w:val="003912E7"/>
    <w:rsid w:val="003916EF"/>
    <w:rsid w:val="00393947"/>
    <w:rsid w:val="003A2275"/>
    <w:rsid w:val="003A6A4F"/>
    <w:rsid w:val="003A7088"/>
    <w:rsid w:val="003B00DF"/>
    <w:rsid w:val="003B0ABD"/>
    <w:rsid w:val="003B1275"/>
    <w:rsid w:val="003B1778"/>
    <w:rsid w:val="003B3BF9"/>
    <w:rsid w:val="003B56F7"/>
    <w:rsid w:val="003C11CB"/>
    <w:rsid w:val="003C2B93"/>
    <w:rsid w:val="003C478B"/>
    <w:rsid w:val="003C75F3"/>
    <w:rsid w:val="003C78A3"/>
    <w:rsid w:val="003E1632"/>
    <w:rsid w:val="003E1867"/>
    <w:rsid w:val="003E5729"/>
    <w:rsid w:val="003F0B56"/>
    <w:rsid w:val="003F1279"/>
    <w:rsid w:val="003F4EE0"/>
    <w:rsid w:val="00402153"/>
    <w:rsid w:val="00402FC1"/>
    <w:rsid w:val="00403130"/>
    <w:rsid w:val="00417CAD"/>
    <w:rsid w:val="00425082"/>
    <w:rsid w:val="00425EE7"/>
    <w:rsid w:val="00431585"/>
    <w:rsid w:val="00431DEB"/>
    <w:rsid w:val="004354EC"/>
    <w:rsid w:val="004362A4"/>
    <w:rsid w:val="004362FD"/>
    <w:rsid w:val="00436B97"/>
    <w:rsid w:val="00437FBF"/>
    <w:rsid w:val="00446B29"/>
    <w:rsid w:val="0045007C"/>
    <w:rsid w:val="00450E3C"/>
    <w:rsid w:val="00453F9A"/>
    <w:rsid w:val="00456449"/>
    <w:rsid w:val="004641CF"/>
    <w:rsid w:val="00471E91"/>
    <w:rsid w:val="00474675"/>
    <w:rsid w:val="0047470C"/>
    <w:rsid w:val="00474BF0"/>
    <w:rsid w:val="00496011"/>
    <w:rsid w:val="004A35F9"/>
    <w:rsid w:val="004B0DE2"/>
    <w:rsid w:val="004B201F"/>
    <w:rsid w:val="004B24C1"/>
    <w:rsid w:val="004C292F"/>
    <w:rsid w:val="004C36BC"/>
    <w:rsid w:val="004C658A"/>
    <w:rsid w:val="004C7AA8"/>
    <w:rsid w:val="004C7D13"/>
    <w:rsid w:val="004D2FFF"/>
    <w:rsid w:val="004E09AC"/>
    <w:rsid w:val="004E450A"/>
    <w:rsid w:val="004E6D2E"/>
    <w:rsid w:val="004E6F4B"/>
    <w:rsid w:val="004E708C"/>
    <w:rsid w:val="005020E5"/>
    <w:rsid w:val="00506812"/>
    <w:rsid w:val="00506F0F"/>
    <w:rsid w:val="00510280"/>
    <w:rsid w:val="00513D73"/>
    <w:rsid w:val="00514A43"/>
    <w:rsid w:val="005174E5"/>
    <w:rsid w:val="0052018E"/>
    <w:rsid w:val="00522393"/>
    <w:rsid w:val="00522620"/>
    <w:rsid w:val="00523FAB"/>
    <w:rsid w:val="00525656"/>
    <w:rsid w:val="00525765"/>
    <w:rsid w:val="00530099"/>
    <w:rsid w:val="00534C02"/>
    <w:rsid w:val="0054264B"/>
    <w:rsid w:val="00543786"/>
    <w:rsid w:val="00550DF2"/>
    <w:rsid w:val="005533D7"/>
    <w:rsid w:val="0056081A"/>
    <w:rsid w:val="00561D6F"/>
    <w:rsid w:val="00565AFE"/>
    <w:rsid w:val="005703DE"/>
    <w:rsid w:val="005712E1"/>
    <w:rsid w:val="00571A32"/>
    <w:rsid w:val="00571E03"/>
    <w:rsid w:val="0058114E"/>
    <w:rsid w:val="00582859"/>
    <w:rsid w:val="0058464E"/>
    <w:rsid w:val="005900A9"/>
    <w:rsid w:val="005919D4"/>
    <w:rsid w:val="00591EA3"/>
    <w:rsid w:val="005963F9"/>
    <w:rsid w:val="005A01CB"/>
    <w:rsid w:val="005A026E"/>
    <w:rsid w:val="005A3BCE"/>
    <w:rsid w:val="005A5589"/>
    <w:rsid w:val="005A58FF"/>
    <w:rsid w:val="005A5EAF"/>
    <w:rsid w:val="005A64C0"/>
    <w:rsid w:val="005B04B9"/>
    <w:rsid w:val="005B3C11"/>
    <w:rsid w:val="005B6431"/>
    <w:rsid w:val="005B76D0"/>
    <w:rsid w:val="005C1C28"/>
    <w:rsid w:val="005C6A8D"/>
    <w:rsid w:val="005C6DB5"/>
    <w:rsid w:val="005D46F7"/>
    <w:rsid w:val="005E19E7"/>
    <w:rsid w:val="005E1B94"/>
    <w:rsid w:val="005F1815"/>
    <w:rsid w:val="005F7727"/>
    <w:rsid w:val="00606718"/>
    <w:rsid w:val="00610F34"/>
    <w:rsid w:val="00614388"/>
    <w:rsid w:val="0061716C"/>
    <w:rsid w:val="006243A1"/>
    <w:rsid w:val="00625D4E"/>
    <w:rsid w:val="00632E56"/>
    <w:rsid w:val="00635CBA"/>
    <w:rsid w:val="00636E62"/>
    <w:rsid w:val="0064338B"/>
    <w:rsid w:val="00646542"/>
    <w:rsid w:val="006504F4"/>
    <w:rsid w:val="006513E9"/>
    <w:rsid w:val="00654BC9"/>
    <w:rsid w:val="006552FD"/>
    <w:rsid w:val="0066142A"/>
    <w:rsid w:val="00662B59"/>
    <w:rsid w:val="00663AF3"/>
    <w:rsid w:val="00666B6C"/>
    <w:rsid w:val="00674D60"/>
    <w:rsid w:val="006757B8"/>
    <w:rsid w:val="00682682"/>
    <w:rsid w:val="00682702"/>
    <w:rsid w:val="00684041"/>
    <w:rsid w:val="006877BF"/>
    <w:rsid w:val="00692368"/>
    <w:rsid w:val="006A2EBC"/>
    <w:rsid w:val="006A3AA6"/>
    <w:rsid w:val="006A429F"/>
    <w:rsid w:val="006A5EA0"/>
    <w:rsid w:val="006A6F8F"/>
    <w:rsid w:val="006A783B"/>
    <w:rsid w:val="006A7B33"/>
    <w:rsid w:val="006B02E3"/>
    <w:rsid w:val="006B1ADF"/>
    <w:rsid w:val="006B3E54"/>
    <w:rsid w:val="006B4E13"/>
    <w:rsid w:val="006B75DD"/>
    <w:rsid w:val="006C29AB"/>
    <w:rsid w:val="006C67E0"/>
    <w:rsid w:val="006C7ABA"/>
    <w:rsid w:val="006D061F"/>
    <w:rsid w:val="006D0D60"/>
    <w:rsid w:val="006D1122"/>
    <w:rsid w:val="006D12FA"/>
    <w:rsid w:val="006D3C00"/>
    <w:rsid w:val="006E219C"/>
    <w:rsid w:val="006E3675"/>
    <w:rsid w:val="006E4A7F"/>
    <w:rsid w:val="006F137A"/>
    <w:rsid w:val="00704DF6"/>
    <w:rsid w:val="0070651C"/>
    <w:rsid w:val="00711659"/>
    <w:rsid w:val="007132A3"/>
    <w:rsid w:val="00716421"/>
    <w:rsid w:val="0072327B"/>
    <w:rsid w:val="00724EFB"/>
    <w:rsid w:val="00734021"/>
    <w:rsid w:val="00735E45"/>
    <w:rsid w:val="007419C3"/>
    <w:rsid w:val="0074440E"/>
    <w:rsid w:val="007467A7"/>
    <w:rsid w:val="007469DD"/>
    <w:rsid w:val="0074741B"/>
    <w:rsid w:val="0074759E"/>
    <w:rsid w:val="007478EA"/>
    <w:rsid w:val="0075415C"/>
    <w:rsid w:val="00757F70"/>
    <w:rsid w:val="00763158"/>
    <w:rsid w:val="00763502"/>
    <w:rsid w:val="00763A24"/>
    <w:rsid w:val="007659BF"/>
    <w:rsid w:val="00772732"/>
    <w:rsid w:val="00780C4F"/>
    <w:rsid w:val="007913AB"/>
    <w:rsid w:val="007913AC"/>
    <w:rsid w:val="007914F7"/>
    <w:rsid w:val="007B0516"/>
    <w:rsid w:val="007B0C23"/>
    <w:rsid w:val="007B1625"/>
    <w:rsid w:val="007B2D52"/>
    <w:rsid w:val="007B706E"/>
    <w:rsid w:val="007B71EB"/>
    <w:rsid w:val="007B7D3B"/>
    <w:rsid w:val="007C09ED"/>
    <w:rsid w:val="007C2637"/>
    <w:rsid w:val="007C4FDE"/>
    <w:rsid w:val="007C6205"/>
    <w:rsid w:val="007C686A"/>
    <w:rsid w:val="007C728E"/>
    <w:rsid w:val="007D2C53"/>
    <w:rsid w:val="007D3D60"/>
    <w:rsid w:val="007E1980"/>
    <w:rsid w:val="007E4B76"/>
    <w:rsid w:val="007E566A"/>
    <w:rsid w:val="007E5EA8"/>
    <w:rsid w:val="007E7C69"/>
    <w:rsid w:val="007F0CF1"/>
    <w:rsid w:val="007F12A5"/>
    <w:rsid w:val="007F4CF1"/>
    <w:rsid w:val="007F73D2"/>
    <w:rsid w:val="007F758D"/>
    <w:rsid w:val="007F7D52"/>
    <w:rsid w:val="00804D60"/>
    <w:rsid w:val="0080654C"/>
    <w:rsid w:val="008071C6"/>
    <w:rsid w:val="00807F95"/>
    <w:rsid w:val="00811134"/>
    <w:rsid w:val="008148E9"/>
    <w:rsid w:val="00817A00"/>
    <w:rsid w:val="00830659"/>
    <w:rsid w:val="00830D6D"/>
    <w:rsid w:val="0083457A"/>
    <w:rsid w:val="00835DB3"/>
    <w:rsid w:val="0083617B"/>
    <w:rsid w:val="008371BD"/>
    <w:rsid w:val="008416BF"/>
    <w:rsid w:val="008420F3"/>
    <w:rsid w:val="00843831"/>
    <w:rsid w:val="008504A8"/>
    <w:rsid w:val="0085282E"/>
    <w:rsid w:val="00852867"/>
    <w:rsid w:val="0085673F"/>
    <w:rsid w:val="008628E2"/>
    <w:rsid w:val="00863C4B"/>
    <w:rsid w:val="00866E98"/>
    <w:rsid w:val="00871039"/>
    <w:rsid w:val="0087198C"/>
    <w:rsid w:val="00872C1F"/>
    <w:rsid w:val="00873163"/>
    <w:rsid w:val="00873B42"/>
    <w:rsid w:val="00875365"/>
    <w:rsid w:val="0088517C"/>
    <w:rsid w:val="008856D8"/>
    <w:rsid w:val="008868C6"/>
    <w:rsid w:val="00892E82"/>
    <w:rsid w:val="0089596E"/>
    <w:rsid w:val="008A2D78"/>
    <w:rsid w:val="008A3517"/>
    <w:rsid w:val="008C1B58"/>
    <w:rsid w:val="008C39AE"/>
    <w:rsid w:val="008C590D"/>
    <w:rsid w:val="008D2A67"/>
    <w:rsid w:val="008D42F3"/>
    <w:rsid w:val="008E031B"/>
    <w:rsid w:val="008E5535"/>
    <w:rsid w:val="008E7029"/>
    <w:rsid w:val="008E7977"/>
    <w:rsid w:val="008E7EF6"/>
    <w:rsid w:val="008F1F98"/>
    <w:rsid w:val="008F50FD"/>
    <w:rsid w:val="008F6758"/>
    <w:rsid w:val="009040DD"/>
    <w:rsid w:val="00905B47"/>
    <w:rsid w:val="00911579"/>
    <w:rsid w:val="0091331C"/>
    <w:rsid w:val="00913A3B"/>
    <w:rsid w:val="009148A7"/>
    <w:rsid w:val="00925F22"/>
    <w:rsid w:val="00926862"/>
    <w:rsid w:val="00926D17"/>
    <w:rsid w:val="009279DE"/>
    <w:rsid w:val="00930116"/>
    <w:rsid w:val="009377AA"/>
    <w:rsid w:val="0094212C"/>
    <w:rsid w:val="009437F0"/>
    <w:rsid w:val="00944D85"/>
    <w:rsid w:val="00954689"/>
    <w:rsid w:val="009617C9"/>
    <w:rsid w:val="00961C93"/>
    <w:rsid w:val="00965324"/>
    <w:rsid w:val="009661A0"/>
    <w:rsid w:val="0097091E"/>
    <w:rsid w:val="009738E4"/>
    <w:rsid w:val="009760D3"/>
    <w:rsid w:val="00976979"/>
    <w:rsid w:val="00977132"/>
    <w:rsid w:val="00981A4B"/>
    <w:rsid w:val="00982501"/>
    <w:rsid w:val="00984F46"/>
    <w:rsid w:val="00987643"/>
    <w:rsid w:val="009877D3"/>
    <w:rsid w:val="00994E8F"/>
    <w:rsid w:val="009951DC"/>
    <w:rsid w:val="009959BB"/>
    <w:rsid w:val="00995DCF"/>
    <w:rsid w:val="00995F87"/>
    <w:rsid w:val="00997158"/>
    <w:rsid w:val="009A2CD5"/>
    <w:rsid w:val="009A3A7C"/>
    <w:rsid w:val="009A6893"/>
    <w:rsid w:val="009B1F31"/>
    <w:rsid w:val="009B2ADB"/>
    <w:rsid w:val="009B4453"/>
    <w:rsid w:val="009B46B1"/>
    <w:rsid w:val="009B603A"/>
    <w:rsid w:val="009C2D0E"/>
    <w:rsid w:val="009C3DAC"/>
    <w:rsid w:val="009C42E0"/>
    <w:rsid w:val="009C7B97"/>
    <w:rsid w:val="009D2E1F"/>
    <w:rsid w:val="009D37F8"/>
    <w:rsid w:val="009D4612"/>
    <w:rsid w:val="009D5362"/>
    <w:rsid w:val="009E0C96"/>
    <w:rsid w:val="009E1415"/>
    <w:rsid w:val="009E4E3A"/>
    <w:rsid w:val="009E5F5F"/>
    <w:rsid w:val="009E6116"/>
    <w:rsid w:val="009E6C75"/>
    <w:rsid w:val="009F1883"/>
    <w:rsid w:val="009F1E24"/>
    <w:rsid w:val="009F2D87"/>
    <w:rsid w:val="00A02CB3"/>
    <w:rsid w:val="00A02E43"/>
    <w:rsid w:val="00A03A37"/>
    <w:rsid w:val="00A065F9"/>
    <w:rsid w:val="00A07F34"/>
    <w:rsid w:val="00A20CBA"/>
    <w:rsid w:val="00A22154"/>
    <w:rsid w:val="00A25C38"/>
    <w:rsid w:val="00A33B92"/>
    <w:rsid w:val="00A33CB5"/>
    <w:rsid w:val="00A36BBE"/>
    <w:rsid w:val="00A4307A"/>
    <w:rsid w:val="00A47EBB"/>
    <w:rsid w:val="00A51CDD"/>
    <w:rsid w:val="00A56753"/>
    <w:rsid w:val="00A6730D"/>
    <w:rsid w:val="00A71625"/>
    <w:rsid w:val="00A71B9B"/>
    <w:rsid w:val="00A72689"/>
    <w:rsid w:val="00A751C7"/>
    <w:rsid w:val="00A75D7D"/>
    <w:rsid w:val="00A83476"/>
    <w:rsid w:val="00A87844"/>
    <w:rsid w:val="00A9549A"/>
    <w:rsid w:val="00AA038C"/>
    <w:rsid w:val="00AA7A09"/>
    <w:rsid w:val="00AB3B50"/>
    <w:rsid w:val="00AC05B1"/>
    <w:rsid w:val="00AC099B"/>
    <w:rsid w:val="00AC5423"/>
    <w:rsid w:val="00AD19FF"/>
    <w:rsid w:val="00AD356C"/>
    <w:rsid w:val="00AD4D47"/>
    <w:rsid w:val="00AD7601"/>
    <w:rsid w:val="00AE1543"/>
    <w:rsid w:val="00AE2914"/>
    <w:rsid w:val="00AE6D15"/>
    <w:rsid w:val="00B04182"/>
    <w:rsid w:val="00B07AE3"/>
    <w:rsid w:val="00B11430"/>
    <w:rsid w:val="00B13597"/>
    <w:rsid w:val="00B22A80"/>
    <w:rsid w:val="00B27FEE"/>
    <w:rsid w:val="00B3482D"/>
    <w:rsid w:val="00B353EB"/>
    <w:rsid w:val="00B439C4"/>
    <w:rsid w:val="00B4492F"/>
    <w:rsid w:val="00B44F93"/>
    <w:rsid w:val="00B4535E"/>
    <w:rsid w:val="00B472F0"/>
    <w:rsid w:val="00B47F67"/>
    <w:rsid w:val="00B52A8C"/>
    <w:rsid w:val="00B6068D"/>
    <w:rsid w:val="00B623D9"/>
    <w:rsid w:val="00B625BF"/>
    <w:rsid w:val="00B631D0"/>
    <w:rsid w:val="00B636A8"/>
    <w:rsid w:val="00B665C6"/>
    <w:rsid w:val="00B74662"/>
    <w:rsid w:val="00B74708"/>
    <w:rsid w:val="00B805AF"/>
    <w:rsid w:val="00B80F40"/>
    <w:rsid w:val="00B8446D"/>
    <w:rsid w:val="00B869EC"/>
    <w:rsid w:val="00B8737C"/>
    <w:rsid w:val="00B877B5"/>
    <w:rsid w:val="00B90611"/>
    <w:rsid w:val="00B92944"/>
    <w:rsid w:val="00B9397A"/>
    <w:rsid w:val="00B9633D"/>
    <w:rsid w:val="00BA2EBE"/>
    <w:rsid w:val="00BA350A"/>
    <w:rsid w:val="00BA6AF2"/>
    <w:rsid w:val="00BB0F28"/>
    <w:rsid w:val="00BB3829"/>
    <w:rsid w:val="00BB458A"/>
    <w:rsid w:val="00BC06C6"/>
    <w:rsid w:val="00BD00D3"/>
    <w:rsid w:val="00BD118F"/>
    <w:rsid w:val="00BD1659"/>
    <w:rsid w:val="00BD3AA9"/>
    <w:rsid w:val="00BD4A18"/>
    <w:rsid w:val="00BD5B15"/>
    <w:rsid w:val="00BD6DB2"/>
    <w:rsid w:val="00BD7234"/>
    <w:rsid w:val="00BE03BD"/>
    <w:rsid w:val="00BE11CF"/>
    <w:rsid w:val="00BE21AB"/>
    <w:rsid w:val="00BE55CB"/>
    <w:rsid w:val="00BF043A"/>
    <w:rsid w:val="00BF617A"/>
    <w:rsid w:val="00C01FCF"/>
    <w:rsid w:val="00C0379D"/>
    <w:rsid w:val="00C03931"/>
    <w:rsid w:val="00C052E0"/>
    <w:rsid w:val="00C05FE3"/>
    <w:rsid w:val="00C111B7"/>
    <w:rsid w:val="00C16FBA"/>
    <w:rsid w:val="00C2136D"/>
    <w:rsid w:val="00C214EE"/>
    <w:rsid w:val="00C2314B"/>
    <w:rsid w:val="00C24971"/>
    <w:rsid w:val="00C262EB"/>
    <w:rsid w:val="00C26BE5"/>
    <w:rsid w:val="00C26E4D"/>
    <w:rsid w:val="00C27909"/>
    <w:rsid w:val="00C27B03"/>
    <w:rsid w:val="00C314E1"/>
    <w:rsid w:val="00C34397"/>
    <w:rsid w:val="00C40637"/>
    <w:rsid w:val="00C4095D"/>
    <w:rsid w:val="00C42C08"/>
    <w:rsid w:val="00C44F17"/>
    <w:rsid w:val="00C55225"/>
    <w:rsid w:val="00C601D2"/>
    <w:rsid w:val="00C65BCC"/>
    <w:rsid w:val="00C66970"/>
    <w:rsid w:val="00C73B28"/>
    <w:rsid w:val="00C81B4C"/>
    <w:rsid w:val="00C82DBF"/>
    <w:rsid w:val="00C8691C"/>
    <w:rsid w:val="00C96E94"/>
    <w:rsid w:val="00CA168A"/>
    <w:rsid w:val="00CA357E"/>
    <w:rsid w:val="00CA36BD"/>
    <w:rsid w:val="00CA44F9"/>
    <w:rsid w:val="00CA4A69"/>
    <w:rsid w:val="00CB10B3"/>
    <w:rsid w:val="00CB5C6B"/>
    <w:rsid w:val="00CC3E0C"/>
    <w:rsid w:val="00CC58D3"/>
    <w:rsid w:val="00CC784D"/>
    <w:rsid w:val="00CD15D7"/>
    <w:rsid w:val="00CD200D"/>
    <w:rsid w:val="00CD54BA"/>
    <w:rsid w:val="00CE2FD6"/>
    <w:rsid w:val="00CF77FE"/>
    <w:rsid w:val="00D0337B"/>
    <w:rsid w:val="00D0402F"/>
    <w:rsid w:val="00D079B2"/>
    <w:rsid w:val="00D114E9"/>
    <w:rsid w:val="00D31EAF"/>
    <w:rsid w:val="00D35A93"/>
    <w:rsid w:val="00D429C6"/>
    <w:rsid w:val="00D43CC4"/>
    <w:rsid w:val="00D47748"/>
    <w:rsid w:val="00D52C2A"/>
    <w:rsid w:val="00D54CC3"/>
    <w:rsid w:val="00D6041A"/>
    <w:rsid w:val="00D633EB"/>
    <w:rsid w:val="00D74718"/>
    <w:rsid w:val="00D7732A"/>
    <w:rsid w:val="00D806A6"/>
    <w:rsid w:val="00D81FC7"/>
    <w:rsid w:val="00D82FF7"/>
    <w:rsid w:val="00D847FE"/>
    <w:rsid w:val="00D85599"/>
    <w:rsid w:val="00D964EA"/>
    <w:rsid w:val="00D966D0"/>
    <w:rsid w:val="00D96F96"/>
    <w:rsid w:val="00DA0BCE"/>
    <w:rsid w:val="00DA0C59"/>
    <w:rsid w:val="00DA3991"/>
    <w:rsid w:val="00DA5CD8"/>
    <w:rsid w:val="00DB0476"/>
    <w:rsid w:val="00DB2B5B"/>
    <w:rsid w:val="00DB7E6C"/>
    <w:rsid w:val="00DD5A29"/>
    <w:rsid w:val="00DD5D9D"/>
    <w:rsid w:val="00DE35CB"/>
    <w:rsid w:val="00DF21E9"/>
    <w:rsid w:val="00DF42C0"/>
    <w:rsid w:val="00DF6F0C"/>
    <w:rsid w:val="00DF73E5"/>
    <w:rsid w:val="00E00F14"/>
    <w:rsid w:val="00E01BDD"/>
    <w:rsid w:val="00E04FD1"/>
    <w:rsid w:val="00E06386"/>
    <w:rsid w:val="00E23D9E"/>
    <w:rsid w:val="00E24EB4"/>
    <w:rsid w:val="00E320ED"/>
    <w:rsid w:val="00E33AFB"/>
    <w:rsid w:val="00E34218"/>
    <w:rsid w:val="00E46282"/>
    <w:rsid w:val="00E5216E"/>
    <w:rsid w:val="00E547EE"/>
    <w:rsid w:val="00E62529"/>
    <w:rsid w:val="00E70AA3"/>
    <w:rsid w:val="00E7301E"/>
    <w:rsid w:val="00E75D30"/>
    <w:rsid w:val="00E77B32"/>
    <w:rsid w:val="00E82344"/>
    <w:rsid w:val="00E82BF8"/>
    <w:rsid w:val="00E84C82"/>
    <w:rsid w:val="00E84D64"/>
    <w:rsid w:val="00E871A4"/>
    <w:rsid w:val="00E87408"/>
    <w:rsid w:val="00E914C4"/>
    <w:rsid w:val="00E934F5"/>
    <w:rsid w:val="00E96961"/>
    <w:rsid w:val="00E96BC2"/>
    <w:rsid w:val="00EA0509"/>
    <w:rsid w:val="00EA66FE"/>
    <w:rsid w:val="00EA72EC"/>
    <w:rsid w:val="00EB11CB"/>
    <w:rsid w:val="00EB275A"/>
    <w:rsid w:val="00EB2971"/>
    <w:rsid w:val="00EB34BE"/>
    <w:rsid w:val="00EB786A"/>
    <w:rsid w:val="00EC1578"/>
    <w:rsid w:val="00EC1C72"/>
    <w:rsid w:val="00EC2129"/>
    <w:rsid w:val="00EC3669"/>
    <w:rsid w:val="00EC3CC9"/>
    <w:rsid w:val="00EC67B3"/>
    <w:rsid w:val="00EC680A"/>
    <w:rsid w:val="00EC702E"/>
    <w:rsid w:val="00EC7730"/>
    <w:rsid w:val="00ED13D8"/>
    <w:rsid w:val="00EE2BED"/>
    <w:rsid w:val="00EE374B"/>
    <w:rsid w:val="00EF0000"/>
    <w:rsid w:val="00EF062D"/>
    <w:rsid w:val="00EF7970"/>
    <w:rsid w:val="00F01028"/>
    <w:rsid w:val="00F0233D"/>
    <w:rsid w:val="00F049D0"/>
    <w:rsid w:val="00F06F46"/>
    <w:rsid w:val="00F10E92"/>
    <w:rsid w:val="00F11BB5"/>
    <w:rsid w:val="00F13A67"/>
    <w:rsid w:val="00F1417B"/>
    <w:rsid w:val="00F214F8"/>
    <w:rsid w:val="00F3077E"/>
    <w:rsid w:val="00F34B99"/>
    <w:rsid w:val="00F44ACD"/>
    <w:rsid w:val="00F474E3"/>
    <w:rsid w:val="00F52DAB"/>
    <w:rsid w:val="00F543F0"/>
    <w:rsid w:val="00F63B02"/>
    <w:rsid w:val="00F66C53"/>
    <w:rsid w:val="00F66ED7"/>
    <w:rsid w:val="00F74B9B"/>
    <w:rsid w:val="00F75CA5"/>
    <w:rsid w:val="00F81D29"/>
    <w:rsid w:val="00F91C4D"/>
    <w:rsid w:val="00F92FD9"/>
    <w:rsid w:val="00F94F5D"/>
    <w:rsid w:val="00FA6684"/>
    <w:rsid w:val="00FA731E"/>
    <w:rsid w:val="00FB2B38"/>
    <w:rsid w:val="00FC0D2A"/>
    <w:rsid w:val="00FC6358"/>
    <w:rsid w:val="00FD25FD"/>
    <w:rsid w:val="00FD320D"/>
    <w:rsid w:val="00FD3F30"/>
    <w:rsid w:val="00FD4D07"/>
    <w:rsid w:val="00FE23DE"/>
    <w:rsid w:val="00FE79F5"/>
    <w:rsid w:val="00FF240B"/>
    <w:rsid w:val="16BA06BF"/>
    <w:rsid w:val="26B13CAC"/>
    <w:rsid w:val="532F75AA"/>
    <w:rsid w:val="53681104"/>
    <w:rsid w:val="5DE913F3"/>
    <w:rsid w:val="6C1D3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name="toc 2"/>
    <w:lsdException w:qFormat="1" w:unhideWhenUsed="0" w:uiPriority="39" w:semiHidden="0" w:name="toc 3"/>
    <w:lsdException w:qFormat="1"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1"/>
    <w:qFormat/>
    <w:uiPriority w:val="0"/>
    <w:pPr>
      <w:keepNext/>
      <w:keepLines/>
      <w:spacing w:before="340" w:after="330" w:line="578" w:lineRule="auto"/>
      <w:outlineLvl w:val="0"/>
    </w:pPr>
    <w:rPr>
      <w:b/>
      <w:bCs/>
      <w:kern w:val="44"/>
      <w:sz w:val="44"/>
      <w:szCs w:val="44"/>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uiPriority w:val="0"/>
    <w:pPr>
      <w:shd w:val="clear" w:color="auto" w:fill="000080"/>
    </w:pPr>
  </w:style>
  <w:style w:type="paragraph" w:styleId="8">
    <w:name w:val="annotation text"/>
    <w:basedOn w:val="1"/>
    <w:link w:val="42"/>
    <w:qFormat/>
    <w:uiPriority w:val="0"/>
    <w:pPr>
      <w:jc w:val="left"/>
    </w:pPr>
  </w:style>
  <w:style w:type="paragraph" w:styleId="9">
    <w:name w:val="index 6"/>
    <w:basedOn w:val="1"/>
    <w:next w:val="1"/>
    <w:uiPriority w:val="0"/>
    <w:pPr>
      <w:ind w:left="1260" w:hanging="210"/>
      <w:jc w:val="left"/>
    </w:pPr>
    <w:rPr>
      <w:rFonts w:ascii="Calibri" w:hAnsi="Calibri"/>
      <w:sz w:val="20"/>
      <w:szCs w:val="20"/>
    </w:rPr>
  </w:style>
  <w:style w:type="paragraph" w:styleId="10">
    <w:name w:val="index 4"/>
    <w:basedOn w:val="1"/>
    <w:next w:val="1"/>
    <w:uiPriority w:val="0"/>
    <w:pPr>
      <w:ind w:left="840" w:hanging="210"/>
      <w:jc w:val="left"/>
    </w:pPr>
    <w:rPr>
      <w:rFonts w:ascii="Calibri" w:hAnsi="Calibri"/>
      <w:sz w:val="20"/>
      <w:szCs w:val="20"/>
    </w:rPr>
  </w:style>
  <w:style w:type="paragraph" w:styleId="11">
    <w:name w:val="toc 5"/>
    <w:basedOn w:val="1"/>
    <w:next w:val="1"/>
    <w:semiHidden/>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50"/>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uiPriority w:val="0"/>
    <w:pPr>
      <w:tabs>
        <w:tab w:val="right" w:leader="dot" w:pos="9299"/>
      </w:tabs>
      <w:jc w:val="left"/>
    </w:pPr>
    <w:rPr>
      <w:rFonts w:ascii="宋体"/>
      <w:szCs w:val="21"/>
    </w:rPr>
  </w:style>
  <w:style w:type="paragraph" w:customStyle="1" w:styleId="23">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uiPriority w:val="0"/>
    <w:pPr>
      <w:ind w:left="1890" w:hanging="210"/>
      <w:jc w:val="left"/>
    </w:pPr>
    <w:rPr>
      <w:rFonts w:ascii="Calibri" w:hAnsi="Calibri"/>
      <w:sz w:val="20"/>
      <w:szCs w:val="20"/>
    </w:rPr>
  </w:style>
  <w:style w:type="paragraph" w:styleId="28">
    <w:name w:val="toc 2"/>
    <w:basedOn w:val="1"/>
    <w:next w:val="1"/>
    <w:semiHidden/>
    <w:qFormat/>
    <w:uiPriority w:val="39"/>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uiPriority w:val="0"/>
    <w:pPr>
      <w:ind w:left="420" w:hanging="210"/>
      <w:jc w:val="left"/>
    </w:pPr>
    <w:rPr>
      <w:rFonts w:ascii="Calibri" w:hAnsi="Calibri"/>
      <w:sz w:val="20"/>
      <w:szCs w:val="20"/>
    </w:rPr>
  </w:style>
  <w:style w:type="paragraph" w:styleId="31">
    <w:name w:val="annotation subject"/>
    <w:basedOn w:val="8"/>
    <w:next w:val="8"/>
    <w:link w:val="49"/>
    <w:qFormat/>
    <w:uiPriority w:val="0"/>
    <w:rPr>
      <w:b/>
      <w:bCs/>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0"/>
    <w:rPr>
      <w:vertAlign w:val="superscript"/>
    </w:rPr>
  </w:style>
  <w:style w:type="character" w:styleId="36">
    <w:name w:val="page number"/>
    <w:uiPriority w:val="0"/>
    <w:rPr>
      <w:rFonts w:ascii="Times New Roman" w:hAnsi="Times New Roman" w:eastAsia="宋体"/>
      <w:sz w:val="18"/>
    </w:rPr>
  </w:style>
  <w:style w:type="character" w:styleId="37">
    <w:name w:val="FollowedHyperlink"/>
    <w:uiPriority w:val="0"/>
    <w:rPr>
      <w:color w:val="800080"/>
      <w:u w:val="single"/>
    </w:rPr>
  </w:style>
  <w:style w:type="character" w:styleId="38">
    <w:name w:val="Emphasis"/>
    <w:qFormat/>
    <w:uiPriority w:val="0"/>
    <w:rPr>
      <w:i/>
      <w:iCs/>
    </w:rPr>
  </w:style>
  <w:style w:type="character" w:styleId="39">
    <w:name w:val="Hyperlink"/>
    <w:uiPriority w:val="99"/>
    <w:rPr>
      <w:color w:val="0000FF"/>
      <w:spacing w:val="0"/>
      <w:w w:val="100"/>
      <w:szCs w:val="21"/>
      <w:u w:val="single"/>
      <w:lang w:val="en-US" w:eastAsia="zh-CN"/>
    </w:rPr>
  </w:style>
  <w:style w:type="character" w:styleId="40">
    <w:name w:val="annotation reference"/>
    <w:uiPriority w:val="0"/>
    <w:rPr>
      <w:sz w:val="21"/>
      <w:szCs w:val="21"/>
    </w:rPr>
  </w:style>
  <w:style w:type="character" w:styleId="41">
    <w:name w:val="footnote reference"/>
    <w:semiHidden/>
    <w:uiPriority w:val="0"/>
    <w:rPr>
      <w:vertAlign w:val="superscript"/>
    </w:rPr>
  </w:style>
  <w:style w:type="character" w:customStyle="1" w:styleId="42">
    <w:name w:val="批注文字 Char"/>
    <w:link w:val="8"/>
    <w:uiPriority w:val="0"/>
    <w:rPr>
      <w:kern w:val="2"/>
      <w:sz w:val="21"/>
      <w:szCs w:val="24"/>
    </w:rPr>
  </w:style>
  <w:style w:type="character" w:customStyle="1" w:styleId="43">
    <w:name w:val="段 Char"/>
    <w:link w:val="23"/>
    <w:qFormat/>
    <w:uiPriority w:val="0"/>
    <w:rPr>
      <w:rFonts w:ascii="宋体"/>
      <w:sz w:val="21"/>
      <w:lang w:val="en-US" w:eastAsia="zh-CN" w:bidi="ar-SA"/>
    </w:rPr>
  </w:style>
  <w:style w:type="character" w:customStyle="1" w:styleId="44">
    <w:name w:val="发布"/>
    <w:qFormat/>
    <w:uiPriority w:val="0"/>
    <w:rPr>
      <w:rFonts w:ascii="黑体" w:eastAsia="黑体"/>
      <w:spacing w:val="85"/>
      <w:w w:val="100"/>
      <w:position w:val="3"/>
      <w:sz w:val="28"/>
      <w:szCs w:val="28"/>
    </w:rPr>
  </w:style>
  <w:style w:type="character" w:customStyle="1" w:styleId="45">
    <w:name w:val="首示例 Char"/>
    <w:link w:val="46"/>
    <w:qFormat/>
    <w:uiPriority w:val="0"/>
    <w:rPr>
      <w:rFonts w:ascii="宋体" w:hAnsi="宋体"/>
      <w:kern w:val="2"/>
      <w:sz w:val="18"/>
      <w:szCs w:val="18"/>
      <w:lang w:val="en-US" w:eastAsia="zh-CN" w:bidi="ar-SA"/>
    </w:rPr>
  </w:style>
  <w:style w:type="paragraph" w:customStyle="1" w:styleId="46">
    <w:name w:val="首示例"/>
    <w:next w:val="23"/>
    <w:link w:val="45"/>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7">
    <w:name w:val="附录公式 Char"/>
    <w:basedOn w:val="43"/>
    <w:link w:val="48"/>
    <w:qFormat/>
    <w:uiPriority w:val="0"/>
    <w:rPr>
      <w:rFonts w:ascii="宋体"/>
      <w:sz w:val="21"/>
      <w:lang w:val="en-US" w:eastAsia="zh-CN" w:bidi="ar-SA"/>
    </w:rPr>
  </w:style>
  <w:style w:type="paragraph" w:customStyle="1" w:styleId="48">
    <w:name w:val="附录公式"/>
    <w:basedOn w:val="23"/>
    <w:next w:val="23"/>
    <w:link w:val="47"/>
    <w:qFormat/>
    <w:uiPriority w:val="0"/>
  </w:style>
  <w:style w:type="character" w:customStyle="1" w:styleId="49">
    <w:name w:val="批注主题 Char"/>
    <w:link w:val="31"/>
    <w:uiPriority w:val="0"/>
    <w:rPr>
      <w:b/>
      <w:bCs/>
      <w:kern w:val="2"/>
      <w:sz w:val="21"/>
      <w:szCs w:val="24"/>
    </w:rPr>
  </w:style>
  <w:style w:type="character" w:customStyle="1" w:styleId="50">
    <w:name w:val="批注框文本 Char"/>
    <w:link w:val="16"/>
    <w:uiPriority w:val="0"/>
    <w:rPr>
      <w:kern w:val="2"/>
      <w:sz w:val="18"/>
      <w:szCs w:val="18"/>
    </w:rPr>
  </w:style>
  <w:style w:type="paragraph" w:customStyle="1" w:styleId="5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2">
    <w:name w:val="五级条标题"/>
    <w:basedOn w:val="53"/>
    <w:next w:val="23"/>
    <w:qFormat/>
    <w:uiPriority w:val="0"/>
    <w:pPr>
      <w:numPr>
        <w:ilvl w:val="5"/>
      </w:numPr>
      <w:outlineLvl w:val="6"/>
    </w:pPr>
  </w:style>
  <w:style w:type="paragraph" w:customStyle="1" w:styleId="53">
    <w:name w:val="四级条标题"/>
    <w:basedOn w:val="54"/>
    <w:next w:val="23"/>
    <w:uiPriority w:val="0"/>
    <w:pPr>
      <w:numPr>
        <w:ilvl w:val="0"/>
        <w:numId w:val="0"/>
      </w:numPr>
      <w:outlineLvl w:val="5"/>
    </w:pPr>
  </w:style>
  <w:style w:type="paragraph" w:customStyle="1" w:styleId="54">
    <w:name w:val="三级条标题"/>
    <w:basedOn w:val="55"/>
    <w:next w:val="23"/>
    <w:qFormat/>
    <w:uiPriority w:val="0"/>
    <w:pPr>
      <w:numPr>
        <w:ilvl w:val="3"/>
      </w:numPr>
      <w:outlineLvl w:val="4"/>
    </w:pPr>
  </w:style>
  <w:style w:type="paragraph" w:customStyle="1" w:styleId="55">
    <w:name w:val="二级条标题"/>
    <w:basedOn w:val="56"/>
    <w:next w:val="23"/>
    <w:qFormat/>
    <w:uiPriority w:val="0"/>
    <w:pPr>
      <w:numPr>
        <w:ilvl w:val="2"/>
      </w:numPr>
      <w:spacing w:before="50" w:after="50"/>
      <w:outlineLvl w:val="3"/>
    </w:pPr>
  </w:style>
  <w:style w:type="paragraph" w:customStyle="1" w:styleId="56">
    <w:name w:val="一级条标题"/>
    <w:next w:val="2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7">
    <w:name w:val="附录二级条标题"/>
    <w:basedOn w:val="1"/>
    <w:next w:val="23"/>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8">
    <w:name w:val="附录四级条标题"/>
    <w:basedOn w:val="59"/>
    <w:next w:val="23"/>
    <w:qFormat/>
    <w:uiPriority w:val="0"/>
    <w:pPr>
      <w:numPr>
        <w:ilvl w:val="5"/>
      </w:numPr>
      <w:tabs>
        <w:tab w:val="left" w:pos="360"/>
      </w:tabs>
      <w:outlineLvl w:val="5"/>
    </w:pPr>
  </w:style>
  <w:style w:type="paragraph" w:customStyle="1" w:styleId="59">
    <w:name w:val="附录三级条标题"/>
    <w:basedOn w:val="57"/>
    <w:next w:val="23"/>
    <w:qFormat/>
    <w:uiPriority w:val="0"/>
    <w:pPr>
      <w:numPr>
        <w:ilvl w:val="4"/>
      </w:numPr>
      <w:outlineLvl w:val="4"/>
    </w:pPr>
  </w:style>
  <w:style w:type="paragraph" w:customStyle="1" w:styleId="60">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61">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6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3">
    <w:name w:val="附录字母编号列项（一级）"/>
    <w:qFormat/>
    <w:uiPriority w:val="0"/>
    <w:pPr>
      <w:numPr>
        <w:ilvl w:val="0"/>
        <w:numId w:val="5"/>
      </w:numPr>
    </w:pPr>
    <w:rPr>
      <w:rFonts w:ascii="宋体" w:hAnsi="Times New Roman" w:eastAsia="宋体" w:cs="Times New Roman"/>
      <w:sz w:val="21"/>
      <w:lang w:val="en-US" w:eastAsia="zh-CN" w:bidi="ar-SA"/>
    </w:rPr>
  </w:style>
  <w:style w:type="paragraph" w:customStyle="1" w:styleId="64">
    <w:name w:val="封面标准文稿编辑信息2"/>
    <w:basedOn w:val="65"/>
    <w:qFormat/>
    <w:uiPriority w:val="0"/>
    <w:pPr>
      <w:framePr w:y="4469"/>
    </w:pPr>
  </w:style>
  <w:style w:type="paragraph" w:customStyle="1" w:styleId="65">
    <w:name w:val="封面标准文稿编辑信息"/>
    <w:basedOn w:val="66"/>
    <w:qFormat/>
    <w:uiPriority w:val="0"/>
    <w:pPr>
      <w:framePr/>
      <w:spacing w:before="180" w:line="180" w:lineRule="exact"/>
    </w:pPr>
    <w:rPr>
      <w:sz w:val="21"/>
    </w:rPr>
  </w:style>
  <w:style w:type="paragraph" w:customStyle="1" w:styleId="66">
    <w:name w:val="封面标准文稿类别"/>
    <w:basedOn w:val="67"/>
    <w:qFormat/>
    <w:uiPriority w:val="0"/>
    <w:pPr>
      <w:framePr/>
      <w:spacing w:after="160" w:line="240" w:lineRule="auto"/>
    </w:pPr>
    <w:rPr>
      <w:sz w:val="24"/>
    </w:rPr>
  </w:style>
  <w:style w:type="paragraph" w:customStyle="1" w:styleId="67">
    <w:name w:val="封面一致性程度标识"/>
    <w:basedOn w:val="68"/>
    <w:qFormat/>
    <w:uiPriority w:val="0"/>
    <w:pPr>
      <w:framePr/>
      <w:spacing w:before="440"/>
    </w:pPr>
    <w:rPr>
      <w:rFonts w:ascii="宋体" w:eastAsia="宋体"/>
    </w:rPr>
  </w:style>
  <w:style w:type="paragraph" w:customStyle="1" w:styleId="68">
    <w:name w:val="封面标准英文名称"/>
    <w:basedOn w:val="69"/>
    <w:qFormat/>
    <w:uiPriority w:val="0"/>
    <w:pPr>
      <w:framePr/>
      <w:spacing w:before="370" w:line="400" w:lineRule="exact"/>
    </w:pPr>
    <w:rPr>
      <w:rFonts w:ascii="Times New Roman"/>
      <w:sz w:val="28"/>
      <w:szCs w:val="28"/>
    </w:rPr>
  </w:style>
  <w:style w:type="paragraph" w:customStyle="1" w:styleId="69">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附录五级条标题"/>
    <w:basedOn w:val="58"/>
    <w:next w:val="23"/>
    <w:qFormat/>
    <w:uiPriority w:val="0"/>
    <w:pPr>
      <w:numPr>
        <w:ilvl w:val="6"/>
      </w:numPr>
      <w:outlineLvl w:val="6"/>
    </w:pPr>
  </w:style>
  <w:style w:type="paragraph" w:customStyle="1" w:styleId="71">
    <w:name w:val="四级无"/>
    <w:basedOn w:val="53"/>
    <w:qFormat/>
    <w:uiPriority w:val="0"/>
    <w:pPr>
      <w:spacing w:before="0" w:beforeLines="0" w:after="0" w:afterLines="0"/>
    </w:pPr>
    <w:rPr>
      <w:rFonts w:ascii="宋体" w:eastAsia="宋体"/>
    </w:rPr>
  </w:style>
  <w:style w:type="paragraph" w:customStyle="1" w:styleId="7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74">
    <w:name w:val="正文表标题"/>
    <w:next w:val="23"/>
    <w:uiPriority w:val="0"/>
    <w:pPr>
      <w:numPr>
        <w:ilvl w:val="0"/>
        <w:numId w:val="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75">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76">
    <w:name w:val="正文公式编号制表符"/>
    <w:basedOn w:val="23"/>
    <w:next w:val="23"/>
    <w:qFormat/>
    <w:uiPriority w:val="0"/>
    <w:pPr>
      <w:ind w:firstLine="0" w:firstLineChars="0"/>
    </w:pPr>
  </w:style>
  <w:style w:type="paragraph" w:customStyle="1" w:styleId="77">
    <w:name w:val="条文脚注"/>
    <w:basedOn w:val="24"/>
    <w:uiPriority w:val="0"/>
    <w:pPr>
      <w:numPr>
        <w:numId w:val="0"/>
      </w:numPr>
      <w:jc w:val="both"/>
    </w:pPr>
  </w:style>
  <w:style w:type="paragraph" w:customStyle="1" w:styleId="78">
    <w:name w:val="附录章标题"/>
    <w:next w:val="23"/>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实施日期"/>
    <w:basedOn w:val="80"/>
    <w:uiPriority w:val="0"/>
    <w:pPr>
      <w:framePr w:vAnchor="page" w:hAnchor="text"/>
      <w:jc w:val="right"/>
    </w:pPr>
  </w:style>
  <w:style w:type="paragraph" w:customStyle="1" w:styleId="80">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示例后文字"/>
    <w:basedOn w:val="23"/>
    <w:next w:val="23"/>
    <w:qFormat/>
    <w:uiPriority w:val="0"/>
    <w:pPr>
      <w:ind w:firstLine="360"/>
    </w:pPr>
    <w:rPr>
      <w:sz w:val="18"/>
    </w:rPr>
  </w:style>
  <w:style w:type="paragraph" w:customStyle="1" w:styleId="82">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3">
    <w:name w:val="附录四级无"/>
    <w:basedOn w:val="58"/>
    <w:qFormat/>
    <w:uiPriority w:val="0"/>
    <w:pPr>
      <w:tabs>
        <w:tab w:val="clear" w:pos="360"/>
      </w:tabs>
      <w:spacing w:before="0" w:beforeLines="0" w:after="0" w:afterLines="0"/>
    </w:pPr>
    <w:rPr>
      <w:rFonts w:ascii="宋体" w:eastAsia="宋体"/>
      <w:szCs w:val="21"/>
    </w:rPr>
  </w:style>
  <w:style w:type="paragraph" w:customStyle="1" w:styleId="8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5">
    <w:name w:val="附录三级无"/>
    <w:basedOn w:val="59"/>
    <w:uiPriority w:val="0"/>
    <w:pPr>
      <w:tabs>
        <w:tab w:val="clear" w:pos="360"/>
      </w:tabs>
      <w:spacing w:before="0" w:beforeLines="0" w:after="0" w:afterLines="0"/>
    </w:pPr>
    <w:rPr>
      <w:rFonts w:ascii="宋体" w:eastAsia="宋体"/>
      <w:szCs w:val="21"/>
    </w:rPr>
  </w:style>
  <w:style w:type="paragraph" w:customStyle="1" w:styleId="86">
    <w:name w:val="其他标准标志"/>
    <w:basedOn w:val="87"/>
    <w:uiPriority w:val="0"/>
    <w:pPr>
      <w:framePr w:w="6101" w:vAnchor="page" w:hAnchor="page" w:x="4673" w:y="942"/>
    </w:pPr>
    <w:rPr>
      <w:w w:val="130"/>
    </w:rPr>
  </w:style>
  <w:style w:type="paragraph" w:customStyle="1" w:styleId="8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8">
    <w:name w:val="注："/>
    <w:next w:val="23"/>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89">
    <w:name w:val="图表脚注说明"/>
    <w:basedOn w:val="1"/>
    <w:qFormat/>
    <w:uiPriority w:val="0"/>
    <w:pPr>
      <w:numPr>
        <w:ilvl w:val="0"/>
        <w:numId w:val="9"/>
      </w:numPr>
    </w:pPr>
    <w:rPr>
      <w:rFonts w:ascii="宋体"/>
      <w:sz w:val="18"/>
      <w:szCs w:val="18"/>
    </w:rPr>
  </w:style>
  <w:style w:type="paragraph" w:customStyle="1" w:styleId="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1">
    <w:name w:val="列项◆（三级）"/>
    <w:basedOn w:val="1"/>
    <w:qFormat/>
    <w:uiPriority w:val="0"/>
    <w:pPr>
      <w:numPr>
        <w:ilvl w:val="2"/>
        <w:numId w:val="7"/>
      </w:numPr>
    </w:pPr>
    <w:rPr>
      <w:rFonts w:ascii="宋体"/>
      <w:szCs w:val="21"/>
    </w:rPr>
  </w:style>
  <w:style w:type="paragraph" w:customStyle="1" w:styleId="92">
    <w:name w:val="参考文献、索引标题"/>
    <w:basedOn w:val="1"/>
    <w:next w:val="23"/>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附录图标题"/>
    <w:basedOn w:val="1"/>
    <w:next w:val="23"/>
    <w:uiPriority w:val="0"/>
    <w:pPr>
      <w:numPr>
        <w:ilvl w:val="1"/>
        <w:numId w:val="10"/>
      </w:numPr>
      <w:tabs>
        <w:tab w:val="left" w:pos="363"/>
      </w:tabs>
      <w:spacing w:before="50" w:beforeLines="50" w:after="50" w:afterLines="50"/>
      <w:ind w:left="0" w:firstLine="0"/>
      <w:jc w:val="center"/>
    </w:pPr>
    <w:rPr>
      <w:rFonts w:ascii="黑体" w:eastAsia="黑体"/>
      <w:szCs w:val="21"/>
    </w:rPr>
  </w:style>
  <w:style w:type="paragraph" w:customStyle="1" w:styleId="94">
    <w:name w:val="附录标识"/>
    <w:basedOn w:val="1"/>
    <w:next w:val="23"/>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5">
    <w:name w:val="附录二级无"/>
    <w:basedOn w:val="57"/>
    <w:uiPriority w:val="0"/>
    <w:pPr>
      <w:tabs>
        <w:tab w:val="clear" w:pos="360"/>
      </w:tabs>
      <w:spacing w:before="0" w:beforeLines="0" w:after="0" w:afterLines="0"/>
    </w:pPr>
    <w:rPr>
      <w:rFonts w:ascii="宋体" w:eastAsia="宋体"/>
      <w:szCs w:val="21"/>
    </w:rPr>
  </w:style>
  <w:style w:type="paragraph" w:customStyle="1" w:styleId="96">
    <w:name w:val="注：（正文）"/>
    <w:basedOn w:val="88"/>
    <w:next w:val="23"/>
    <w:uiPriority w:val="0"/>
  </w:style>
  <w:style w:type="paragraph" w:customStyle="1" w:styleId="97">
    <w:name w:val="编号列项（三级）"/>
    <w:uiPriority w:val="0"/>
    <w:pPr>
      <w:numPr>
        <w:ilvl w:val="2"/>
        <w:numId w:val="11"/>
      </w:numPr>
    </w:pPr>
    <w:rPr>
      <w:rFonts w:ascii="宋体" w:hAnsi="Times New Roman" w:eastAsia="宋体" w:cs="Times New Roman"/>
      <w:sz w:val="21"/>
      <w:lang w:val="en-US" w:eastAsia="zh-CN" w:bidi="ar-SA"/>
    </w:rPr>
  </w:style>
  <w:style w:type="paragraph" w:customStyle="1" w:styleId="98">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9">
    <w:name w:val="标准书眉一"/>
    <w:uiPriority w:val="0"/>
    <w:pPr>
      <w:jc w:val="both"/>
    </w:pPr>
    <w:rPr>
      <w:rFonts w:ascii="Times New Roman" w:hAnsi="Times New Roman" w:eastAsia="宋体" w:cs="Times New Roman"/>
      <w:lang w:val="en-US" w:eastAsia="zh-CN" w:bidi="ar-SA"/>
    </w:rPr>
  </w:style>
  <w:style w:type="paragraph" w:customStyle="1" w:styleId="100">
    <w:name w:val="终结线"/>
    <w:basedOn w:val="1"/>
    <w:qFormat/>
    <w:uiPriority w:val="0"/>
    <w:pPr>
      <w:framePr w:hSpace="181" w:vSpace="181" w:wrap="around" w:vAnchor="text" w:hAnchor="margin" w:xAlign="center" w:y="285"/>
    </w:pPr>
  </w:style>
  <w:style w:type="paragraph" w:customStyle="1" w:styleId="101">
    <w:name w:val="附录一级无"/>
    <w:basedOn w:val="102"/>
    <w:qFormat/>
    <w:uiPriority w:val="0"/>
    <w:pPr>
      <w:spacing w:before="0" w:beforeLines="0" w:after="0" w:afterLines="0"/>
    </w:pPr>
    <w:rPr>
      <w:rFonts w:ascii="宋体" w:eastAsia="宋体"/>
      <w:szCs w:val="21"/>
    </w:rPr>
  </w:style>
  <w:style w:type="paragraph" w:customStyle="1" w:styleId="102">
    <w:name w:val="附录一级条标题"/>
    <w:basedOn w:val="78"/>
    <w:next w:val="23"/>
    <w:qFormat/>
    <w:uiPriority w:val="0"/>
    <w:pPr>
      <w:numPr>
        <w:ilvl w:val="0"/>
        <w:numId w:val="0"/>
      </w:numPr>
      <w:autoSpaceDN w:val="0"/>
      <w:spacing w:before="50" w:beforeLines="50" w:after="50" w:afterLines="50"/>
      <w:outlineLvl w:val="2"/>
    </w:pPr>
  </w:style>
  <w:style w:type="paragraph" w:customStyle="1" w:styleId="103">
    <w:name w:val="图标脚注说明"/>
    <w:basedOn w:val="23"/>
    <w:uiPriority w:val="0"/>
    <w:pPr>
      <w:ind w:left="840" w:hanging="420" w:firstLineChars="0"/>
    </w:pPr>
    <w:rPr>
      <w:sz w:val="18"/>
      <w:szCs w:val="18"/>
    </w:rPr>
  </w:style>
  <w:style w:type="paragraph" w:customStyle="1" w:styleId="104">
    <w:name w:val="其他实施日期"/>
    <w:basedOn w:val="79"/>
    <w:uiPriority w:val="0"/>
    <w:pPr>
      <w:framePr/>
    </w:pPr>
  </w:style>
  <w:style w:type="paragraph" w:customStyle="1" w:styleId="105">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106">
    <w:name w:val="附录五级无"/>
    <w:basedOn w:val="70"/>
    <w:qFormat/>
    <w:uiPriority w:val="0"/>
    <w:pPr>
      <w:tabs>
        <w:tab w:val="clear" w:pos="360"/>
      </w:tabs>
      <w:spacing w:before="0" w:beforeLines="0" w:after="0" w:afterLines="0"/>
    </w:pPr>
    <w:rPr>
      <w:rFonts w:ascii="宋体" w:eastAsia="宋体"/>
      <w:szCs w:val="21"/>
    </w:rPr>
  </w:style>
  <w:style w:type="paragraph" w:customStyle="1" w:styleId="107">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附录表标题"/>
    <w:basedOn w:val="1"/>
    <w:next w:val="23"/>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09">
    <w:name w:val="示例"/>
    <w:next w:val="105"/>
    <w:qFormat/>
    <w:uiPriority w:val="0"/>
    <w:pPr>
      <w:widowControl w:val="0"/>
      <w:numPr>
        <w:ilvl w:val="0"/>
        <w:numId w:val="13"/>
      </w:numPr>
      <w:jc w:val="both"/>
    </w:pPr>
    <w:rPr>
      <w:rFonts w:ascii="宋体" w:hAnsi="Times New Roman" w:eastAsia="宋体" w:cs="Times New Roman"/>
      <w:sz w:val="18"/>
      <w:szCs w:val="18"/>
      <w:lang w:val="en-US" w:eastAsia="zh-CN" w:bidi="ar-SA"/>
    </w:rPr>
  </w:style>
  <w:style w:type="paragraph" w:customStyle="1" w:styleId="110">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封面正文"/>
    <w:qFormat/>
    <w:uiPriority w:val="0"/>
    <w:pPr>
      <w:jc w:val="both"/>
    </w:pPr>
    <w:rPr>
      <w:rFonts w:ascii="Times New Roman" w:hAnsi="Times New Roman" w:eastAsia="宋体" w:cs="Times New Roman"/>
      <w:lang w:val="en-US" w:eastAsia="zh-CN" w:bidi="ar-SA"/>
    </w:rPr>
  </w:style>
  <w:style w:type="paragraph" w:customStyle="1" w:styleId="112">
    <w:name w:val="封面标准英文名称2"/>
    <w:basedOn w:val="68"/>
    <w:qFormat/>
    <w:uiPriority w:val="0"/>
    <w:pPr>
      <w:framePr w:y="4469"/>
    </w:pPr>
  </w:style>
  <w:style w:type="paragraph" w:customStyle="1" w:styleId="113">
    <w:name w:val="五级无"/>
    <w:basedOn w:val="52"/>
    <w:uiPriority w:val="0"/>
    <w:pPr>
      <w:spacing w:before="0" w:beforeLines="0" w:after="0" w:afterLines="0"/>
    </w:pPr>
    <w:rPr>
      <w:rFonts w:ascii="宋体" w:eastAsia="宋体"/>
    </w:rPr>
  </w:style>
  <w:style w:type="paragraph" w:customStyle="1" w:styleId="114">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115">
    <w:name w:val="示例×："/>
    <w:basedOn w:val="116"/>
    <w:qFormat/>
    <w:uiPriority w:val="0"/>
    <w:pPr>
      <w:numPr>
        <w:numId w:val="14"/>
      </w:numPr>
      <w:spacing w:before="0" w:beforeLines="0" w:after="0" w:afterLines="0"/>
      <w:outlineLvl w:val="9"/>
    </w:pPr>
    <w:rPr>
      <w:rFonts w:ascii="宋体" w:eastAsia="宋体"/>
      <w:sz w:val="18"/>
      <w:szCs w:val="18"/>
    </w:rPr>
  </w:style>
  <w:style w:type="paragraph" w:customStyle="1" w:styleId="116">
    <w:name w:val="章标题"/>
    <w:next w:val="23"/>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7">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118">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附录标题"/>
    <w:basedOn w:val="23"/>
    <w:next w:val="23"/>
    <w:qFormat/>
    <w:uiPriority w:val="0"/>
    <w:pPr>
      <w:ind w:firstLine="0" w:firstLineChars="0"/>
      <w:jc w:val="center"/>
    </w:pPr>
    <w:rPr>
      <w:rFonts w:ascii="黑体" w:eastAsia="黑体"/>
    </w:rPr>
  </w:style>
  <w:style w:type="paragraph" w:customStyle="1" w:styleId="120">
    <w:name w:val="其他发布日期"/>
    <w:basedOn w:val="80"/>
    <w:qFormat/>
    <w:uiPriority w:val="0"/>
    <w:pPr>
      <w:framePr w:vAnchor="page" w:hAnchor="text" w:x="1419"/>
    </w:pPr>
  </w:style>
  <w:style w:type="paragraph" w:customStyle="1" w:styleId="121">
    <w:name w:val="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122">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4">
    <w:name w:val="二级无"/>
    <w:basedOn w:val="55"/>
    <w:qFormat/>
    <w:uiPriority w:val="0"/>
    <w:pPr>
      <w:spacing w:before="0" w:beforeLines="0" w:after="0" w:afterLines="0"/>
      <w:ind w:left="0"/>
    </w:pPr>
    <w:rPr>
      <w:rFonts w:ascii="宋体" w:eastAsia="宋体"/>
    </w:rPr>
  </w:style>
  <w:style w:type="paragraph" w:customStyle="1" w:styleId="125">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6">
    <w:name w:val="其他发布部门"/>
    <w:basedOn w:val="98"/>
    <w:qFormat/>
    <w:uiPriority w:val="0"/>
    <w:pPr>
      <w:framePr w:y="15310"/>
      <w:spacing w:line="0" w:lineRule="atLeast"/>
    </w:pPr>
    <w:rPr>
      <w:rFonts w:ascii="黑体" w:eastAsia="黑体"/>
      <w:b w:val="0"/>
    </w:rPr>
  </w:style>
  <w:style w:type="paragraph" w:customStyle="1" w:styleId="127">
    <w:name w:val="标准书眉_偶数页"/>
    <w:basedOn w:val="125"/>
    <w:next w:val="1"/>
    <w:uiPriority w:val="0"/>
    <w:pPr>
      <w:jc w:val="left"/>
    </w:pPr>
  </w:style>
  <w:style w:type="paragraph" w:customStyle="1" w:styleId="128">
    <w:name w:val="附录表标号"/>
    <w:basedOn w:val="1"/>
    <w:next w:val="23"/>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29">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3">
    <w:name w:val="正文图标题"/>
    <w:next w:val="23"/>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一级无"/>
    <w:basedOn w:val="56"/>
    <w:qFormat/>
    <w:uiPriority w:val="0"/>
    <w:pPr>
      <w:spacing w:before="0" w:beforeLines="0" w:after="0" w:afterLines="0"/>
    </w:pPr>
    <w:rPr>
      <w:rFonts w:ascii="宋体" w:eastAsia="宋体"/>
    </w:rPr>
  </w:style>
  <w:style w:type="paragraph" w:customStyle="1" w:styleId="135">
    <w:name w:val="封面一致性程度标识2"/>
    <w:basedOn w:val="67"/>
    <w:qFormat/>
    <w:uiPriority w:val="0"/>
    <w:pPr>
      <w:framePr w:y="4469"/>
    </w:pPr>
  </w:style>
  <w:style w:type="paragraph" w:customStyle="1" w:styleId="136">
    <w:name w:val="字母编号列项（一级）"/>
    <w:uiPriority w:val="0"/>
    <w:pPr>
      <w:numPr>
        <w:ilvl w:val="0"/>
        <w:numId w:val="11"/>
      </w:numPr>
      <w:jc w:val="both"/>
    </w:pPr>
    <w:rPr>
      <w:rFonts w:ascii="宋体" w:hAnsi="Times New Roman" w:eastAsia="宋体" w:cs="Times New Roman"/>
      <w:sz w:val="21"/>
      <w:lang w:val="en-US" w:eastAsia="zh-CN" w:bidi="ar-SA"/>
    </w:rPr>
  </w:style>
  <w:style w:type="paragraph" w:customStyle="1" w:styleId="137">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38">
    <w:name w:val="封面标准文稿类别2"/>
    <w:basedOn w:val="66"/>
    <w:qFormat/>
    <w:uiPriority w:val="0"/>
    <w:pPr>
      <w:framePr w:y="4469"/>
    </w:pPr>
  </w:style>
  <w:style w:type="paragraph" w:customStyle="1" w:styleId="139">
    <w:name w:val="封面标准名称2"/>
    <w:basedOn w:val="69"/>
    <w:qFormat/>
    <w:uiPriority w:val="0"/>
    <w:pPr>
      <w:framePr w:y="4469"/>
      <w:spacing w:before="630" w:beforeLines="630"/>
    </w:pPr>
  </w:style>
  <w:style w:type="paragraph" w:customStyle="1" w:styleId="140">
    <w:name w:val="三级无"/>
    <w:basedOn w:val="54"/>
    <w:qFormat/>
    <w:uiPriority w:val="0"/>
    <w:pPr>
      <w:spacing w:before="0" w:beforeLines="0" w:after="0" w:afterLines="0"/>
    </w:pPr>
    <w:rPr>
      <w:rFonts w:ascii="宋体" w:eastAsia="宋体"/>
    </w:rPr>
  </w:style>
  <w:style w:type="character" w:customStyle="1" w:styleId="141">
    <w:name w:val="标题 1 Char"/>
    <w:link w:val="2"/>
    <w:uiPriority w:val="0"/>
    <w:rPr>
      <w:b/>
      <w:bCs/>
      <w:kern w:val="44"/>
      <w:sz w:val="44"/>
      <w:szCs w:val="44"/>
    </w:rPr>
  </w:style>
  <w:style w:type="paragraph" w:customStyle="1" w:styleId="142">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143">
    <w:name w:val="List Paragraph"/>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3F6B8-43D0-4169-8B38-B992E8B387B0}">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10</Pages>
  <Words>969</Words>
  <Characters>5526</Characters>
  <Lines>46</Lines>
  <Paragraphs>12</Paragraphs>
  <TotalTime>1</TotalTime>
  <ScaleCrop>false</ScaleCrop>
  <LinksUpToDate>false</LinksUpToDate>
  <CharactersWithSpaces>6483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2019-11-11T06:18:00Z</dcterms:created>
  <dc:creator>CNIS</dc:creator>
  <cp:lastModifiedBy>悠哈</cp:lastModifiedBy>
  <cp:lastPrinted>2018-12-29T03:08:00Z</cp:lastPrinted>
  <dcterms:modified xsi:type="dcterms:W3CDTF">2020-06-03T02:39:28Z</dcterms:modified>
  <dc:title>标准名称</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