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color w:val="000000"/>
          <w:sz w:val="28"/>
          <w:szCs w:val="28"/>
        </w:rPr>
        <w:t>既有办公</w:t>
      </w:r>
      <w:r>
        <w:rPr>
          <w:rFonts w:ascii="宋体" w:hAnsi="宋体"/>
          <w:b/>
          <w:color w:val="000000"/>
          <w:sz w:val="28"/>
          <w:szCs w:val="28"/>
        </w:rPr>
        <w:t>建筑通风空调系统节能</w:t>
      </w:r>
      <w:r>
        <w:rPr>
          <w:rFonts w:hint="eastAsia" w:ascii="宋体" w:hAnsi="宋体"/>
          <w:b/>
          <w:color w:val="000000"/>
          <w:sz w:val="28"/>
          <w:szCs w:val="28"/>
        </w:rPr>
        <w:t>调试技术</w:t>
      </w:r>
      <w:r>
        <w:rPr>
          <w:rFonts w:ascii="宋体" w:hAnsi="宋体"/>
          <w:b/>
          <w:color w:val="000000"/>
          <w:sz w:val="28"/>
          <w:szCs w:val="28"/>
        </w:rPr>
        <w:t>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4D6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5FBD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1A2564B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2020-12-01T01:52:46Z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