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240" w:line="320" w:lineRule="atLeast"/>
        <w:rPr>
          <w:rFonts w:eastAsia="黑体"/>
          <w:b/>
          <w:snapToGrid w:val="0"/>
          <w:color w:val="000000"/>
          <w:kern w:val="0"/>
          <w:sz w:val="28"/>
          <w:szCs w:val="28"/>
        </w:rPr>
      </w:pPr>
      <w:r>
        <w:rPr>
          <w:rFonts w:eastAsia="黑体"/>
          <w:b/>
          <w:color w:val="000000"/>
          <w:sz w:val="32"/>
        </w:rPr>
        <w:drawing>
          <wp:inline distT="0" distB="0" distL="0" distR="0">
            <wp:extent cx="1540510" cy="1046480"/>
            <wp:effectExtent l="0" t="0" r="2540" b="1270"/>
            <wp:docPr id="1" name="图片 1"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IM\P-BIM协会标准\P-BIM标准2016年工作\发布\更新\协会商标（黑白）.jpg"/>
                    <pic:cNvPicPr>
                      <a:picLocks noChangeAspect="1" noChangeArrowheads="1"/>
                    </pic:cNvPicPr>
                  </pic:nvPicPr>
                  <pic:blipFill>
                    <a:blip r:embed="rId8">
                      <a:extLst>
                        <a:ext uri="{28A0092B-C50C-407E-A947-70E740481C1C}">
                          <a14:useLocalDpi xmlns:a14="http://schemas.microsoft.com/office/drawing/2010/main" val="0"/>
                        </a:ext>
                      </a:extLst>
                    </a:blip>
                    <a:srcRect l="11160" t="15569" r="13821" b="18562"/>
                    <a:stretch>
                      <a:fillRect/>
                    </a:stretch>
                  </pic:blipFill>
                  <pic:spPr>
                    <a:xfrm>
                      <a:off x="0" y="0"/>
                      <a:ext cx="1540510" cy="1046480"/>
                    </a:xfrm>
                    <a:prstGeom prst="rect">
                      <a:avLst/>
                    </a:prstGeom>
                    <a:noFill/>
                    <a:ln>
                      <a:noFill/>
                    </a:ln>
                  </pic:spPr>
                </pic:pic>
              </a:graphicData>
            </a:graphic>
          </wp:inline>
        </w:drawing>
      </w:r>
    </w:p>
    <w:p>
      <w:pPr>
        <w:adjustRightInd w:val="0"/>
        <w:snapToGrid w:val="0"/>
        <w:spacing w:before="240" w:after="240" w:line="320" w:lineRule="atLeast"/>
        <w:ind w:right="261"/>
        <w:jc w:val="left"/>
        <w:rPr>
          <w:rFonts w:eastAsia="黑体"/>
          <w:b/>
          <w:color w:val="000000"/>
          <w:sz w:val="32"/>
        </w:rPr>
      </w:pPr>
      <w:r>
        <w:rPr>
          <w:rFonts w:hint="eastAsia" w:eastAsia="黑体"/>
          <w:b/>
          <w:color w:val="000000"/>
          <w:sz w:val="32"/>
        </w:rPr>
        <w:t xml:space="preserve">                                                </w:t>
      </w:r>
    </w:p>
    <w:p>
      <w:pPr>
        <w:pStyle w:val="4"/>
        <w:bidi w:val="0"/>
        <w:jc w:val="right"/>
        <w:rPr>
          <w:rFonts w:asciiTheme="majorAscii"/>
        </w:rPr>
      </w:pPr>
      <w:bookmarkStart w:id="0" w:name="_Toc469392173"/>
      <w:bookmarkStart w:id="1" w:name="_Toc469405546"/>
      <w:bookmarkStart w:id="2" w:name="_Toc28532998"/>
      <w:bookmarkStart w:id="3" w:name="_Toc4529"/>
      <w:bookmarkStart w:id="4" w:name="_Toc8479"/>
      <w:r>
        <w:rPr>
          <w:rFonts w:asciiTheme="majorAscii"/>
        </w:rPr>
        <mc:AlternateContent>
          <mc:Choice Requires="wps">
            <w:drawing>
              <wp:anchor distT="0" distB="0" distL="114300" distR="114300" simplePos="0" relativeHeight="251659264" behindDoc="0" locked="0" layoutInCell="1" allowOverlap="1">
                <wp:simplePos x="0" y="0"/>
                <wp:positionH relativeFrom="column">
                  <wp:posOffset>-579120</wp:posOffset>
                </wp:positionH>
                <wp:positionV relativeFrom="paragraph">
                  <wp:posOffset>417830</wp:posOffset>
                </wp:positionV>
                <wp:extent cx="64998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49986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_x0000_s1026" o:spid="_x0000_s1026" o:spt="20" style="position:absolute;left:0pt;margin-left:-45.6pt;margin-top:32.9pt;height:0pt;width:511.8pt;z-index:251659264;mso-width-relative:page;mso-height-relative:page;" filled="f" stroked="t" coordsize="21600,21600" o:gfxdata="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r+mjNgAAAAJAQAADwAAAAAAAAABACAAAAAiAAAAZHJzL2Rvd25yZXYueG1sUEsBAhQA&#10;FAAAAAgAh07iQASOU8DyAQAA0wMAAA4AAAAAAAAAAQAgAAAAJwEAAGRycy9lMm9Eb2MueG1sUEsF&#10;BgAAAAAGAAYAWQEAAIsFAAAAAA==&#10;">
                <v:fill on="f" focussize="0,0"/>
                <v:stroke color="#7D7D7D [3207]" joinstyle="round"/>
                <v:imagedata o:title=""/>
                <o:lock v:ext="edit" aspectratio="f"/>
              </v:line>
            </w:pict>
          </mc:Fallback>
        </mc:AlternateContent>
      </w:r>
      <w:r>
        <w:rPr>
          <w:rFonts w:asciiTheme="majorAscii"/>
        </w:rPr>
        <w:t>T/CECS</w:t>
      </w:r>
      <w:r>
        <w:rPr>
          <w:rFonts w:hint="eastAsia" w:asciiTheme="majorAscii"/>
        </w:rPr>
        <w:t>-</w:t>
      </w:r>
      <w:r>
        <w:rPr>
          <w:rFonts w:asciiTheme="majorAscii"/>
        </w:rPr>
        <w:t xml:space="preserve">  XX-</w:t>
      </w:r>
      <w:bookmarkEnd w:id="0"/>
      <w:bookmarkEnd w:id="1"/>
      <w:r>
        <w:rPr>
          <w:rFonts w:asciiTheme="majorAscii"/>
        </w:rPr>
        <w:t>201X</w:t>
      </w:r>
      <w:bookmarkEnd w:id="2"/>
      <w:bookmarkEnd w:id="3"/>
      <w:bookmarkEnd w:id="4"/>
    </w:p>
    <w:p>
      <w:pPr>
        <w:tabs>
          <w:tab w:val="left" w:pos="6120"/>
        </w:tabs>
        <w:spacing w:before="120" w:after="120"/>
        <w:jc w:val="center"/>
        <w:rPr>
          <w:rFonts w:eastAsia="黑体"/>
          <w:b/>
          <w:color w:val="000000"/>
          <w:sz w:val="44"/>
          <w:szCs w:val="44"/>
        </w:rPr>
      </w:pPr>
    </w:p>
    <w:p>
      <w:pPr>
        <w:tabs>
          <w:tab w:val="left" w:pos="6120"/>
        </w:tabs>
        <w:adjustRightInd w:val="0"/>
        <w:snapToGrid w:val="0"/>
        <w:spacing w:line="288" w:lineRule="auto"/>
        <w:jc w:val="center"/>
        <w:rPr>
          <w:rFonts w:eastAsia="黑体"/>
          <w:b w:val="0"/>
          <w:bCs w:val="0"/>
          <w:color w:val="000000"/>
          <w:spacing w:val="40"/>
          <w:sz w:val="36"/>
          <w:szCs w:val="36"/>
        </w:rPr>
      </w:pPr>
      <w:r>
        <w:rPr>
          <w:rFonts w:eastAsia="黑体"/>
          <w:b w:val="0"/>
          <w:bCs w:val="0"/>
          <w:color w:val="000000"/>
          <w:spacing w:val="40"/>
          <w:sz w:val="36"/>
          <w:szCs w:val="36"/>
        </w:rPr>
        <w:t>中国工程建设</w:t>
      </w:r>
      <w:r>
        <w:rPr>
          <w:rFonts w:hint="eastAsia" w:eastAsia="黑体"/>
          <w:b w:val="0"/>
          <w:bCs w:val="0"/>
          <w:color w:val="000000"/>
          <w:spacing w:val="40"/>
          <w:sz w:val="36"/>
          <w:szCs w:val="36"/>
        </w:rPr>
        <w:t>标准化协会</w:t>
      </w:r>
      <w:r>
        <w:rPr>
          <w:rFonts w:eastAsia="黑体"/>
          <w:b w:val="0"/>
          <w:bCs w:val="0"/>
          <w:color w:val="000000"/>
          <w:spacing w:val="40"/>
          <w:sz w:val="36"/>
          <w:szCs w:val="36"/>
        </w:rPr>
        <w:t>标准</w:t>
      </w:r>
    </w:p>
    <w:p>
      <w:pPr>
        <w:tabs>
          <w:tab w:val="left" w:pos="6120"/>
        </w:tabs>
        <w:adjustRightInd w:val="0"/>
        <w:snapToGrid w:val="0"/>
        <w:jc w:val="center"/>
        <w:rPr>
          <w:rFonts w:ascii="Times New Roman" w:hAnsi="Times New Roman" w:eastAsia="黑体" w:cs="Times New Roman"/>
          <w:sz w:val="32"/>
          <w:szCs w:val="28"/>
        </w:rPr>
      </w:pPr>
      <w:r>
        <w:rPr>
          <w:rFonts w:ascii="Times New Roman" w:hAnsi="Times New Roman" w:eastAsia="黑体" w:cs="Times New Roman"/>
          <w:sz w:val="32"/>
          <w:szCs w:val="28"/>
        </w:rPr>
        <w:t>Standard of China Association for Engineering Construction Standardization (CECS)</w:t>
      </w:r>
    </w:p>
    <w:p>
      <w:pPr>
        <w:tabs>
          <w:tab w:val="left" w:pos="6120"/>
        </w:tabs>
        <w:adjustRightInd w:val="0"/>
        <w:snapToGrid w:val="0"/>
        <w:spacing w:line="300" w:lineRule="auto"/>
        <w:jc w:val="center"/>
        <w:rPr>
          <w:rFonts w:eastAsia="黑体"/>
          <w:color w:val="000000"/>
          <w:sz w:val="28"/>
        </w:rPr>
      </w:pPr>
      <w:r>
        <w:rPr>
          <w:rFonts w:eastAsia="黑体"/>
          <w:color w:val="000000"/>
          <w:sz w:val="28"/>
        </w:rPr>
        <w:t xml:space="preserve"> </w:t>
      </w:r>
    </w:p>
    <w:p>
      <w:pPr>
        <w:tabs>
          <w:tab w:val="left" w:pos="6120"/>
        </w:tabs>
        <w:adjustRightInd w:val="0"/>
        <w:snapToGrid w:val="0"/>
        <w:spacing w:line="300" w:lineRule="auto"/>
        <w:jc w:val="center"/>
        <w:rPr>
          <w:rFonts w:eastAsia="黑体"/>
          <w:color w:val="000000"/>
          <w:sz w:val="32"/>
          <w:szCs w:val="28"/>
        </w:rPr>
      </w:pPr>
    </w:p>
    <w:p>
      <w:pPr>
        <w:tabs>
          <w:tab w:val="left" w:pos="6120"/>
        </w:tabs>
        <w:adjustRightInd w:val="0"/>
        <w:snapToGrid w:val="0"/>
        <w:spacing w:line="300" w:lineRule="auto"/>
        <w:jc w:val="center"/>
        <w:rPr>
          <w:rFonts w:eastAsia="黑体"/>
          <w:color w:val="000000"/>
          <w:sz w:val="32"/>
          <w:szCs w:val="28"/>
        </w:rPr>
      </w:pPr>
    </w:p>
    <w:p>
      <w:pPr>
        <w:autoSpaceDE w:val="0"/>
        <w:autoSpaceDN w:val="0"/>
        <w:adjustRightInd w:val="0"/>
        <w:spacing w:before="4" w:line="264" w:lineRule="auto"/>
        <w:ind w:right="84"/>
        <w:jc w:val="center"/>
        <w:rPr>
          <w:rFonts w:hint="eastAsia" w:ascii="黑体" w:hAnsi="黑体" w:eastAsia="黑体" w:cs="黑体"/>
          <w:color w:val="000000"/>
          <w:sz w:val="48"/>
          <w:szCs w:val="48"/>
        </w:rPr>
      </w:pPr>
      <w:r>
        <w:rPr>
          <w:rFonts w:hint="eastAsia" w:ascii="黑体" w:hAnsi="黑体" w:eastAsia="黑体" w:cs="黑体"/>
          <w:b/>
          <w:bCs/>
          <w:sz w:val="48"/>
          <w:szCs w:val="48"/>
        </w:rPr>
        <w:t>结构工程产品信息模型</w:t>
      </w:r>
    </w:p>
    <w:p>
      <w:pPr>
        <w:autoSpaceDE w:val="0"/>
        <w:autoSpaceDN w:val="0"/>
        <w:adjustRightInd w:val="0"/>
        <w:spacing w:before="4" w:line="264" w:lineRule="auto"/>
        <w:ind w:right="-58"/>
        <w:jc w:val="center"/>
        <w:rPr>
          <w:rFonts w:eastAsia="黑体"/>
          <w:color w:val="000000"/>
          <w:sz w:val="44"/>
          <w:szCs w:val="40"/>
        </w:rPr>
      </w:pPr>
    </w:p>
    <w:p>
      <w:pPr>
        <w:tabs>
          <w:tab w:val="left" w:pos="6120"/>
        </w:tabs>
        <w:spacing w:before="240" w:after="240"/>
        <w:jc w:val="center"/>
        <w:rPr>
          <w:rFonts w:hint="default" w:ascii="Times New Roman" w:hAnsi="Times New Roman" w:cs="Times New Roman"/>
          <w:b w:val="0"/>
          <w:bCs w:val="0"/>
          <w:color w:val="000000"/>
          <w:sz w:val="30"/>
          <w:szCs w:val="30"/>
        </w:rPr>
      </w:pPr>
      <w:r>
        <w:rPr>
          <w:rFonts w:hint="default" w:ascii="Times New Roman" w:hAnsi="Times New Roman" w:cs="Times New Roman"/>
          <w:b w:val="0"/>
          <w:bCs w:val="0"/>
          <w:color w:val="000000"/>
          <w:sz w:val="30"/>
          <w:szCs w:val="30"/>
        </w:rPr>
        <w:t>Product Information Model of Structrual Building and Construction</w:t>
      </w:r>
    </w:p>
    <w:p>
      <w:pPr>
        <w:tabs>
          <w:tab w:val="left" w:pos="6120"/>
        </w:tabs>
        <w:spacing w:before="240" w:after="240"/>
        <w:jc w:val="center"/>
        <w:rPr>
          <w:rFonts w:ascii="等线" w:hAnsi="等线" w:eastAsia="等线"/>
          <w:color w:val="000000"/>
          <w:sz w:val="28"/>
          <w:szCs w:val="36"/>
        </w:rPr>
      </w:pPr>
      <w:r>
        <w:rPr>
          <w:rFonts w:hint="eastAsia" w:ascii="等线" w:hAnsi="等线" w:eastAsia="等线"/>
          <w:color w:val="000000"/>
          <w:sz w:val="40"/>
          <w:szCs w:val="36"/>
        </w:rPr>
        <w:t>（征求意见稿）</w:t>
      </w:r>
    </w:p>
    <w:p>
      <w:pPr>
        <w:tabs>
          <w:tab w:val="left" w:pos="6120"/>
        </w:tabs>
        <w:spacing w:before="240" w:after="240"/>
        <w:jc w:val="center"/>
        <w:rPr>
          <w:rFonts w:eastAsia="Times New Roman"/>
          <w:color w:val="000000"/>
        </w:rPr>
      </w:pPr>
    </w:p>
    <w:p>
      <w:pPr>
        <w:tabs>
          <w:tab w:val="left" w:pos="6120"/>
        </w:tabs>
        <w:spacing w:before="240" w:after="240"/>
        <w:rPr>
          <w:color w:val="000000"/>
        </w:rPr>
      </w:pPr>
    </w:p>
    <w:p>
      <w:pPr>
        <w:tabs>
          <w:tab w:val="left" w:pos="6120"/>
        </w:tabs>
        <w:spacing w:line="320" w:lineRule="atLeast"/>
        <w:rPr>
          <w:rFonts w:eastAsia="Times New Roman"/>
          <w:color w:val="000000"/>
        </w:rPr>
      </w:pPr>
    </w:p>
    <w:p>
      <w:pPr>
        <w:ind w:firstLine="2760" w:firstLineChars="1150"/>
        <w:rPr>
          <w:rFonts w:eastAsia="Times New Roman"/>
        </w:rPr>
      </w:pPr>
    </w:p>
    <w:p>
      <w:pPr>
        <w:ind w:firstLine="2760" w:firstLineChars="1150"/>
        <w:rPr>
          <w:rFonts w:eastAsiaTheme="minorEastAsia"/>
        </w:rPr>
      </w:pPr>
    </w:p>
    <w:p>
      <w:pPr>
        <w:spacing w:line="360" w:lineRule="exact"/>
        <w:ind w:left="2" w:firstLine="2"/>
        <w:rPr>
          <w:rFonts w:eastAsia="黑体"/>
          <w:color w:val="000000"/>
          <w:sz w:val="32"/>
          <w:szCs w:val="28"/>
        </w:rPr>
      </w:pPr>
    </w:p>
    <w:p>
      <w:pPr>
        <w:spacing w:line="360" w:lineRule="exact"/>
        <w:ind w:left="2" w:firstLine="2"/>
        <w:rPr>
          <w:rFonts w:eastAsia="黑体"/>
          <w:color w:val="000000"/>
          <w:sz w:val="32"/>
          <w:szCs w:val="28"/>
        </w:rPr>
        <w:sectPr>
          <w:pgSz w:w="11906" w:h="16838"/>
          <w:pgMar w:top="1440" w:right="1700" w:bottom="1440" w:left="1800" w:header="851" w:footer="992" w:gutter="0"/>
          <w:pgNumType w:start="1"/>
          <w:cols w:space="720" w:num="1"/>
          <w:docGrid w:type="lines" w:linePitch="312" w:charSpace="0"/>
        </w:sectPr>
      </w:pPr>
    </w:p>
    <w:p>
      <w:pPr>
        <w:spacing w:line="360" w:lineRule="exact"/>
        <w:ind w:left="2" w:firstLine="2"/>
        <w:rPr>
          <w:rFonts w:eastAsia="黑体"/>
          <w:color w:val="000000"/>
          <w:sz w:val="32"/>
          <w:szCs w:val="28"/>
        </w:rPr>
      </w:pPr>
    </w:p>
    <w:p>
      <w:pPr>
        <w:bidi w:val="0"/>
        <w:jc w:val="center"/>
        <w:rPr>
          <w:rFonts w:hint="eastAsia" w:ascii="黑体" w:hAnsi="黑体" w:eastAsia="黑体" w:cs="黑体"/>
          <w:sz w:val="32"/>
          <w:szCs w:val="32"/>
        </w:rPr>
      </w:pPr>
      <w:r>
        <w:rPr>
          <w:rFonts w:hint="eastAsia" w:ascii="黑体" w:hAnsi="黑体" w:eastAsia="黑体" w:cs="黑体"/>
          <w:sz w:val="32"/>
          <w:szCs w:val="32"/>
        </w:rPr>
        <w:t>前    言</w:t>
      </w:r>
    </w:p>
    <w:p>
      <w:pPr>
        <w:bidi w:val="0"/>
      </w:pPr>
      <w:r>
        <w:rPr>
          <w:rFonts w:hint="eastAsia"/>
        </w:rPr>
        <w:t>根据中国工程建设标准化协会建筑信息模型专业委员会《标准制修订计划》（信息标委会</w:t>
      </w:r>
      <w:r>
        <w:t>[2017]2号）的要求，编制组经广泛调查研究，认真总结实践经验，结合我国实际情况，参考有关国内外先进标准，并在广泛征求意见的基础上，制定本</w:t>
      </w:r>
      <w:r>
        <w:rPr>
          <w:rFonts w:hint="eastAsia"/>
        </w:rPr>
        <w:t>标准</w:t>
      </w:r>
      <w:r>
        <w:t>。</w:t>
      </w:r>
    </w:p>
    <w:p>
      <w:pPr>
        <w:bidi w:val="0"/>
      </w:pPr>
      <w:r>
        <w:rPr>
          <w:rFonts w:hint="eastAsia"/>
        </w:rPr>
        <w:t>本标准共分为</w:t>
      </w:r>
      <w:r>
        <w:t>7章，主要技术内容包括：总则、术语、基本规定、</w:t>
      </w:r>
      <w:r>
        <w:rPr>
          <w:rFonts w:hint="eastAsia"/>
        </w:rPr>
        <w:t>模型命名、分类与编码</w:t>
      </w:r>
      <w:r>
        <w:t>、</w:t>
      </w:r>
      <w:r>
        <w:rPr>
          <w:rFonts w:hint="eastAsia"/>
        </w:rPr>
        <w:t>几何信息、非</w:t>
      </w:r>
      <w:r>
        <w:t>几何信息</w:t>
      </w:r>
      <w:r>
        <w:rPr>
          <w:rFonts w:hint="eastAsia"/>
        </w:rPr>
        <w:t>、模型交付</w:t>
      </w:r>
      <w:r>
        <w:t>等。</w:t>
      </w:r>
    </w:p>
    <w:p>
      <w:pPr>
        <w:bidi w:val="0"/>
      </w:pPr>
      <w:r>
        <w:rPr>
          <w:rFonts w:hint="eastAsia"/>
        </w:rPr>
        <w:t>请注意本标准的某些内容可能直接或间接涉及专利，本标准的发布机构不承担识别这些专利的责任。</w:t>
      </w:r>
    </w:p>
    <w:p>
      <w:pPr>
        <w:bidi w:val="0"/>
      </w:pPr>
      <w:r>
        <w:rPr>
          <w:rFonts w:hint="eastAsia"/>
        </w:rPr>
        <w:t>本标准由中国工程建设标准化协会建筑信息模型专业委员会归口管理，由住房和城乡建设部科技与产业化发展中心负责具体技术内容的解释。执行过程中如有意见或建议，请寄送解释单位（地址：北京市海淀区三里河路9号</w:t>
      </w:r>
      <w:r>
        <w:t>，邮政编码：100835）。</w:t>
      </w:r>
    </w:p>
    <w:p>
      <w:pPr>
        <w:bidi w:val="0"/>
      </w:pPr>
    </w:p>
    <w:p>
      <w:pPr>
        <w:bidi w:val="0"/>
      </w:pPr>
      <w:r>
        <w:rPr>
          <w:rFonts w:hint="eastAsia"/>
        </w:rPr>
        <w:t>主编单位：住房和城乡建设部科技与产业化发展中心</w:t>
      </w:r>
    </w:p>
    <w:p>
      <w:pPr>
        <w:bidi w:val="0"/>
      </w:pPr>
      <w:r>
        <w:rPr>
          <w:rFonts w:hint="eastAsia"/>
        </w:rPr>
        <w:t>参编单位：**</w:t>
      </w:r>
      <w:r>
        <w:t xml:space="preserve"> </w:t>
      </w:r>
    </w:p>
    <w:p>
      <w:pPr>
        <w:bidi w:val="0"/>
      </w:pPr>
    </w:p>
    <w:p>
      <w:pPr>
        <w:bidi w:val="0"/>
      </w:pPr>
      <w:r>
        <w:rPr>
          <w:rFonts w:hint="eastAsia"/>
        </w:rPr>
        <w:t xml:space="preserve">主要起草人：*** </w:t>
      </w:r>
      <w:r>
        <w:t xml:space="preserve"> </w:t>
      </w:r>
      <w:r>
        <w:rPr>
          <w:rFonts w:hint="eastAsia"/>
        </w:rPr>
        <w:t>***</w:t>
      </w:r>
    </w:p>
    <w:p>
      <w:pPr>
        <w:bidi w:val="0"/>
      </w:pPr>
    </w:p>
    <w:p>
      <w:pPr>
        <w:bidi w:val="0"/>
      </w:pPr>
      <w:r>
        <w:rPr>
          <w:rFonts w:hint="eastAsia"/>
        </w:rPr>
        <w:t>主要审查人：***</w:t>
      </w:r>
      <w:r>
        <w:t xml:space="preserve"> </w:t>
      </w:r>
    </w:p>
    <w:p>
      <w:pPr>
        <w:bidi w:val="0"/>
        <w:sectPr>
          <w:footerReference r:id="rId3" w:type="default"/>
          <w:pgSz w:w="11906" w:h="16838"/>
          <w:pgMar w:top="1440" w:right="1700" w:bottom="1440" w:left="1800" w:header="851" w:footer="992" w:gutter="0"/>
          <w:pgNumType w:start="1"/>
          <w:cols w:space="720" w:num="1"/>
          <w:docGrid w:type="lines" w:linePitch="312" w:charSpace="0"/>
        </w:sectPr>
      </w:pPr>
    </w:p>
    <w:p>
      <w:pPr>
        <w:spacing w:line="240" w:lineRule="auto"/>
        <w:rPr>
          <w:rFonts w:ascii="等线" w:hAnsi="等线" w:eastAsia="等线"/>
          <w:szCs w:val="21"/>
        </w:rPr>
      </w:pPr>
    </w:p>
    <w:p>
      <w:pPr>
        <w:pStyle w:val="14"/>
        <w:tabs>
          <w:tab w:val="right" w:leader="dot" w:pos="8396"/>
        </w:tabs>
        <w:jc w:val="center"/>
        <w:rPr>
          <w:rFonts w:ascii="等线" w:hAnsi="等线" w:eastAsia="等线"/>
          <w:sz w:val="24"/>
          <w:szCs w:val="24"/>
        </w:rPr>
      </w:pPr>
      <w:r>
        <w:rPr>
          <w:rFonts w:hint="eastAsia" w:ascii="等线" w:hAnsi="等线" w:eastAsia="等线"/>
          <w:sz w:val="24"/>
          <w:szCs w:val="24"/>
        </w:rPr>
        <w:t xml:space="preserve">目 </w:t>
      </w:r>
      <w:r>
        <w:rPr>
          <w:rFonts w:ascii="等线" w:hAnsi="等线" w:eastAsia="等线"/>
          <w:sz w:val="24"/>
          <w:szCs w:val="24"/>
        </w:rPr>
        <w:t xml:space="preserve"> </w:t>
      </w:r>
      <w:r>
        <w:rPr>
          <w:rFonts w:hint="eastAsia" w:ascii="等线" w:hAnsi="等线" w:eastAsia="等线"/>
          <w:sz w:val="24"/>
          <w:szCs w:val="24"/>
        </w:rPr>
        <w:t>次</w:t>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"1-2"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_Toc22132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 总则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_Toc22132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_Toc32395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 术语</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_Toc32395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 基本规定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_Toc25777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3.1</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zh-CN"/>
        </w:rPr>
        <w:t>产品信息模型的基本功能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_Toc25777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_Toc9029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3.2产品信息模型的基本要求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_Toc9029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_Toc27135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3.3产品信息模型信息表达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_Toc27135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_Toc5475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 模型命名、分类与编码</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_Toc5475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_Toc16308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4.1产品信息模型的命名规则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_Toc16308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_Toc31162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4.2产品分类与编码规则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_Toc31162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_Toc9580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44"/>
          <w:sz w:val="24"/>
          <w:szCs w:val="24"/>
        </w:rPr>
        <w:t>5 几何信息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_Toc9580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_Toc18170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5.1几何信息一般规定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_Toc18170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_Toc7826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5.2几何信息要求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_Toc7826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_Toc9331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5.3二维图形几何信息要求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_Toc9331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_Toc26752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 非几何信息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_Toc26752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_Toc26684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6.1产品信息模型非几何信息一般规定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_Toc26684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_Toc24204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6.2产品信息模型非几何信息规定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_Toc24204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_Toc20356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6.3模型交付及运维参数的表达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_Toc20356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_Toc9104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 模型交付</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_Toc9104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_Toc2685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7.1产品信息模型提供与校核</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_Toc2685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_Toc25783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7.2产品信息模型的存储与发布</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_Toc25783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_Toc16506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本标准用词说明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_Toc16506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rPr>
          <w:rFonts w:hint="eastAsia" w:ascii="宋体" w:hAnsi="宋体" w:eastAsia="宋体" w:cs="宋体"/>
          <w:b w:val="0"/>
          <w:bCs w:val="0"/>
          <w:sz w:val="24"/>
          <w:szCs w:val="24"/>
        </w:rPr>
        <w:sectPr>
          <w:footerReference r:id="rId4" w:type="default"/>
          <w:pgSz w:w="11906" w:h="16838"/>
          <w:pgMar w:top="1440" w:right="1700" w:bottom="1440" w:left="1800" w:header="851" w:footer="992" w:gutter="0"/>
          <w:pgNumType w:start="1"/>
          <w:cols w:space="720" w:num="1"/>
          <w:docGrid w:type="lines" w:linePitch="312" w:charSpace="0"/>
        </w:sectPr>
      </w:pPr>
      <w:r>
        <w:rPr>
          <w:rFonts w:hint="eastAsia" w:ascii="宋体" w:hAnsi="宋体" w:eastAsia="宋体" w:cs="宋体"/>
          <w:b w:val="0"/>
          <w:bCs w:val="0"/>
          <w:sz w:val="24"/>
          <w:szCs w:val="24"/>
        </w:rPr>
        <w:fldChar w:fldCharType="end"/>
      </w:r>
    </w:p>
    <w:p>
      <w:pPr>
        <w:pStyle w:val="14"/>
        <w:tabs>
          <w:tab w:val="right" w:leader="dot" w:pos="8396"/>
        </w:tabs>
        <w:ind w:left="0" w:leftChars="0" w:firstLine="0" w:firstLineChars="0"/>
        <w:jc w:val="center"/>
        <w:rPr>
          <w:rFonts w:hint="default" w:ascii="Times New Roman" w:hAnsi="Times New Roman" w:eastAsia="等线" w:cs="Times New Roman"/>
          <w:b/>
          <w:bCs/>
          <w:caps w:val="0"/>
          <w:sz w:val="30"/>
          <w:szCs w:val="30"/>
          <w:lang w:val="en-US" w:eastAsia="zh-CN"/>
        </w:rPr>
      </w:pPr>
      <w:bookmarkStart w:id="5" w:name="_Toc28532999"/>
      <w:bookmarkStart w:id="6" w:name="_Toc22132"/>
      <w:bookmarkStart w:id="65" w:name="_GoBack"/>
      <w:bookmarkEnd w:id="65"/>
      <w:r>
        <w:rPr>
          <w:rFonts w:hint="default" w:ascii="Times New Roman" w:hAnsi="Times New Roman" w:eastAsia="等线" w:cs="Times New Roman"/>
          <w:b/>
          <w:bCs/>
          <w:caps w:val="0"/>
          <w:sz w:val="30"/>
          <w:szCs w:val="30"/>
          <w:lang w:val="en-US" w:eastAsia="zh-CN"/>
        </w:rPr>
        <w:t>Contents</w:t>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TOC \o "1-2" \h \z \u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_Toc22132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 Purpose</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_Toc22132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_Toc32395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 Glossary</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_Toc32395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_Toc305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 General Guidelines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_Toc305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_Toc25777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3.1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Basic Functions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_Toc25777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_Toc9029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3.2</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General Requirements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_Toc9029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7</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_Toc27135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3.3Representations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_Toc27135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9</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_Toc5475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4 Naming</w:t>
      </w:r>
      <w:r>
        <w:rPr>
          <w:rFonts w:hint="eastAsia" w:ascii="宋体" w:hAnsi="宋体" w:cs="宋体"/>
          <w:b w:val="0"/>
          <w:bCs w:val="0"/>
          <w:caps w:val="0"/>
          <w:smallCaps w:val="0"/>
          <w:sz w:val="24"/>
          <w:szCs w:val="24"/>
          <w:lang w:eastAsia="zh-CN"/>
        </w:rPr>
        <w:t>、</w:t>
      </w:r>
      <w:r>
        <w:rPr>
          <w:rFonts w:hint="eastAsia" w:ascii="宋体" w:hAnsi="宋体" w:eastAsia="宋体" w:cs="宋体"/>
          <w:b w:val="0"/>
          <w:bCs w:val="0"/>
          <w:caps w:val="0"/>
          <w:smallCaps w:val="0"/>
          <w:sz w:val="24"/>
          <w:szCs w:val="24"/>
        </w:rPr>
        <w:t>Classification and Coding</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_Toc5475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_Toc16308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4.1</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Naming Conventions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_Toc16308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_Toc31162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4.2</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Classification and Coding Rules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_Toc31162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13</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_Toc9580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kern w:val="44"/>
          <w:sz w:val="24"/>
          <w:szCs w:val="24"/>
        </w:rPr>
        <w:t>5 Geometric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_Toc9580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14</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_Toc18170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5.1</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_Toc18170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14</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_Toc7826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5.2</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Requirements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_Toc7826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_Toc9331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5.3</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Requirements for 2D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_Toc9331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_Toc26752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 Non-Geometric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_Toc26752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17</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_Toc26684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6.1</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_Toc26684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17</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_Toc24204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6.2</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Requirements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_Toc24204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18</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_Toc20356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6.3</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Deliverable and Maintenance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_Toc20356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19</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_Toc9104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7 Model Delivery</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_Toc9104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_Toc2685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7.1</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Model Producing and Evaluation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_Toc2685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_Toc25783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7.2</w:t>
      </w:r>
      <w:r>
        <w:rPr>
          <w:rFonts w:hint="eastAsia" w:ascii="宋体" w:hAnsi="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lang w:val="zh-CN"/>
        </w:rPr>
        <w:t>Model Storage and Publishing</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_Toc25783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_Toc16506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Word Usage Explanation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_Toc16506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23</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r>
        <w:rPr>
          <w:rFonts w:hint="eastAsia" w:ascii="宋体" w:hAnsi="宋体" w:eastAsia="宋体" w:cs="宋体"/>
          <w:b w:val="0"/>
          <w:bCs w:val="0"/>
          <w:caps w:val="0"/>
          <w:smallCaps w:val="0"/>
          <w:sz w:val="24"/>
          <w:szCs w:val="24"/>
        </w:rPr>
        <w:fldChar w:fldCharType="end"/>
      </w:r>
    </w:p>
    <w:p>
      <w:r>
        <w:br w:type="page"/>
      </w:r>
    </w:p>
    <w:p>
      <w:pPr>
        <w:pStyle w:val="2"/>
      </w:pPr>
      <w:r>
        <w:t>总则</w:t>
      </w:r>
      <w:bookmarkEnd w:id="5"/>
      <w:bookmarkEnd w:id="6"/>
    </w:p>
    <w:p>
      <w:pPr>
        <w:spacing w:line="480" w:lineRule="auto"/>
        <w:rPr>
          <w:rStyle w:val="35"/>
          <w:rFonts w:hint="default" w:ascii="Times New Roman" w:hAnsi="Times New Roman" w:cs="Times New Roman" w:eastAsiaTheme="majorEastAsia"/>
          <w:b/>
          <w:bCs/>
        </w:rPr>
      </w:pPr>
      <w:bookmarkStart w:id="7" w:name="_Toc28530784"/>
      <w:bookmarkStart w:id="8" w:name="_Toc28533000"/>
      <w:r>
        <w:rPr>
          <w:rStyle w:val="35"/>
          <w:rFonts w:hint="default" w:ascii="Times New Roman" w:hAnsi="Times New Roman" w:cs="Times New Roman" w:eastAsiaTheme="majorEastAsia"/>
          <w:b/>
          <w:bCs/>
        </w:rPr>
        <w:t>1.0.1</w:t>
      </w:r>
      <w:r>
        <w:rPr>
          <w:rStyle w:val="35"/>
          <w:rFonts w:hint="default" w:ascii="Times New Roman" w:hAnsi="Times New Roman" w:cs="Times New Roman" w:eastAsiaTheme="majorEastAsia"/>
          <w:b/>
          <w:bCs/>
          <w:lang w:val="en-US" w:eastAsia="zh-CN"/>
        </w:rPr>
        <w:t xml:space="preserve"> </w:t>
      </w:r>
      <w:r>
        <w:rPr>
          <w:rStyle w:val="35"/>
          <w:rFonts w:hint="default" w:ascii="Times New Roman" w:hAnsi="Times New Roman" w:cs="Times New Roman" w:eastAsiaTheme="majorEastAsia"/>
        </w:rPr>
        <w:t>为规范结构工程产品信息模型的信息标准，推动建筑信息模型标准化，制定本标准。</w:t>
      </w:r>
      <w:bookmarkEnd w:id="7"/>
      <w:bookmarkEnd w:id="8"/>
    </w:p>
    <w:p>
      <w:pPr>
        <w:spacing w:line="480" w:lineRule="auto"/>
        <w:rPr>
          <w:rStyle w:val="35"/>
          <w:rFonts w:asciiTheme="majorEastAsia" w:hAnsiTheme="majorEastAsia" w:eastAsiaTheme="majorEastAsia"/>
          <w:b/>
          <w:bCs/>
        </w:rPr>
      </w:pPr>
      <w:bookmarkStart w:id="9" w:name="_Toc28530785"/>
      <w:bookmarkStart w:id="10" w:name="_Toc28533001"/>
      <w:r>
        <w:rPr>
          <w:rStyle w:val="35"/>
          <w:rFonts w:hint="default" w:ascii="Times New Roman" w:hAnsi="Times New Roman" w:cs="Times New Roman" w:eastAsiaTheme="majorEastAsia"/>
          <w:b/>
          <w:bCs/>
        </w:rPr>
        <w:t>1.0.2</w:t>
      </w:r>
      <w:r>
        <w:rPr>
          <w:rStyle w:val="35"/>
          <w:rFonts w:hint="eastAsia" w:cs="Times New Roman" w:eastAsiaTheme="majorEastAsia"/>
          <w:b/>
          <w:bCs/>
          <w:lang w:val="en-US" w:eastAsia="zh-CN"/>
        </w:rPr>
        <w:t xml:space="preserve"> </w:t>
      </w:r>
      <w:r>
        <w:rPr>
          <w:rStyle w:val="35"/>
          <w:rFonts w:hint="eastAsia" w:asciiTheme="majorEastAsia" w:hAnsiTheme="majorEastAsia" w:eastAsiaTheme="majorEastAsia"/>
        </w:rPr>
        <w:t>本标准适用于结构工程产品信息模型的创建及交付。</w:t>
      </w:r>
      <w:bookmarkEnd w:id="9"/>
      <w:bookmarkEnd w:id="10"/>
    </w:p>
    <w:p>
      <w:pPr>
        <w:spacing w:line="480" w:lineRule="auto"/>
        <w:ind w:firstLine="241"/>
        <w:rPr>
          <w:rStyle w:val="35"/>
          <w:rFonts w:hint="default" w:ascii="Times New Roman" w:hAnsi="Times New Roman" w:cs="Times New Roman" w:eastAsiaTheme="majorEastAsia"/>
          <w:b w:val="0"/>
          <w:bCs w:val="0"/>
          <w:szCs w:val="22"/>
        </w:rPr>
        <w:sectPr>
          <w:footerReference r:id="rId5" w:type="default"/>
          <w:pgSz w:w="11906" w:h="16838"/>
          <w:pgMar w:top="1440" w:right="1700" w:bottom="1440" w:left="1800" w:header="851" w:footer="992" w:gutter="0"/>
          <w:pgNumType w:fmt="decimal" w:start="1"/>
          <w:cols w:space="720" w:num="1"/>
          <w:docGrid w:type="lines" w:linePitch="312" w:charSpace="0"/>
        </w:sectPr>
      </w:pPr>
      <w:bookmarkStart w:id="11" w:name="_Toc28533002"/>
      <w:bookmarkStart w:id="12" w:name="_Toc28530786"/>
      <w:r>
        <w:rPr>
          <w:rStyle w:val="35"/>
          <w:rFonts w:hint="default" w:ascii="Times New Roman" w:hAnsi="Times New Roman" w:cs="Times New Roman" w:eastAsiaTheme="majorEastAsia"/>
          <w:b/>
          <w:bCs/>
          <w:szCs w:val="22"/>
        </w:rPr>
        <w:t>1.0.3</w:t>
      </w:r>
      <w:r>
        <w:rPr>
          <w:rStyle w:val="35"/>
          <w:rFonts w:hint="eastAsia" w:ascii="Times New Roman" w:hAnsi="Times New Roman" w:cs="Times New Roman" w:eastAsiaTheme="majorEastAsia"/>
          <w:b/>
          <w:bCs/>
          <w:szCs w:val="22"/>
          <w:lang w:val="en-US" w:eastAsia="zh-CN"/>
        </w:rPr>
        <w:t xml:space="preserve"> </w:t>
      </w:r>
      <w:r>
        <w:rPr>
          <w:rStyle w:val="35"/>
          <w:rFonts w:hint="eastAsia" w:ascii="Times New Roman" w:hAnsi="Times New Roman" w:cs="Times New Roman" w:eastAsiaTheme="majorEastAsia"/>
          <w:b w:val="0"/>
          <w:bCs w:val="0"/>
          <w:szCs w:val="22"/>
        </w:rPr>
        <w:t>结构工程</w:t>
      </w:r>
      <w:r>
        <w:rPr>
          <w:rStyle w:val="35"/>
          <w:rFonts w:hint="default" w:ascii="Times New Roman" w:hAnsi="Times New Roman" w:cs="Times New Roman" w:eastAsiaTheme="majorEastAsia"/>
          <w:b w:val="0"/>
          <w:bCs w:val="0"/>
          <w:szCs w:val="22"/>
        </w:rPr>
        <w:t>产品</w:t>
      </w:r>
      <w:r>
        <w:rPr>
          <w:rStyle w:val="35"/>
          <w:rFonts w:hint="eastAsia" w:ascii="Times New Roman" w:hAnsi="Times New Roman" w:cs="Times New Roman" w:eastAsiaTheme="majorEastAsia"/>
          <w:b w:val="0"/>
          <w:bCs w:val="0"/>
          <w:szCs w:val="22"/>
        </w:rPr>
        <w:t>信息模型的创建及交付除应符合本标准外，尚应符合国家现行有关标准的规定。</w:t>
      </w:r>
      <w:bookmarkEnd w:id="11"/>
      <w:bookmarkEnd w:id="12"/>
      <w:bookmarkStart w:id="13" w:name="_Toc28533003"/>
    </w:p>
    <w:p>
      <w:pPr>
        <w:pStyle w:val="2"/>
        <w:bidi w:val="0"/>
      </w:pPr>
      <w:bookmarkStart w:id="14" w:name="_Toc32395"/>
      <w:r>
        <w:t>术语</w:t>
      </w:r>
      <w:bookmarkEnd w:id="13"/>
      <w:bookmarkEnd w:id="14"/>
    </w:p>
    <w:p>
      <w:pPr>
        <w:pStyle w:val="4"/>
        <w:bidi w:val="0"/>
        <w:rPr>
          <w:b w:val="0"/>
          <w:bCs w:val="0"/>
        </w:rPr>
      </w:pPr>
      <w:r>
        <w:rPr>
          <w:b/>
          <w:bCs w:val="0"/>
        </w:rPr>
        <w:t>2.0.1</w:t>
      </w:r>
      <w:r>
        <w:rPr>
          <w:b w:val="0"/>
          <w:bCs w:val="0"/>
        </w:rPr>
        <w:t>产品</w:t>
      </w:r>
      <w:r>
        <w:rPr>
          <w:rFonts w:hint="eastAsia"/>
          <w:b w:val="0"/>
          <w:bCs w:val="0"/>
        </w:rPr>
        <w:t>信息</w:t>
      </w:r>
      <w:r>
        <w:rPr>
          <w:b w:val="0"/>
          <w:bCs w:val="0"/>
        </w:rPr>
        <w:t>模型</w:t>
      </w:r>
      <w:r>
        <w:rPr>
          <w:rFonts w:hint="eastAsia"/>
          <w:b w:val="0"/>
          <w:bCs w:val="0"/>
        </w:rPr>
        <w:t xml:space="preserve"> </w:t>
      </w:r>
      <w:r>
        <w:rPr>
          <w:b w:val="0"/>
          <w:bCs w:val="0"/>
        </w:rPr>
        <w:t xml:space="preserve">Product information </w:t>
      </w:r>
      <w:r>
        <w:rPr>
          <w:rFonts w:hint="eastAsia"/>
          <w:b w:val="0"/>
          <w:bCs w:val="0"/>
        </w:rPr>
        <w:t>m</w:t>
      </w:r>
      <w:r>
        <w:rPr>
          <w:b w:val="0"/>
          <w:bCs w:val="0"/>
        </w:rPr>
        <w:t>odeling</w:t>
      </w:r>
    </w:p>
    <w:p>
      <w:pPr>
        <w:rPr>
          <w:rFonts w:ascii="宋体" w:hAnsi="宋体"/>
          <w:szCs w:val="21"/>
        </w:rPr>
      </w:pPr>
      <w:r>
        <w:rPr>
          <w:rFonts w:hint="eastAsia" w:ascii="宋体" w:hAnsi="宋体"/>
          <w:szCs w:val="21"/>
        </w:rPr>
        <w:t>记录或承载产品真实几何和非几何信息的三维模型，它是产品真实信息的数字化表达。</w:t>
      </w:r>
    </w:p>
    <w:p>
      <w:pPr>
        <w:rPr>
          <w:rFonts w:ascii="宋体" w:hAnsi="宋体"/>
          <w:i/>
          <w:iCs/>
          <w:szCs w:val="21"/>
        </w:rPr>
      </w:pPr>
      <w:bookmarkStart w:id="15" w:name="_Hlk15047918"/>
      <w:r>
        <w:rPr>
          <w:rFonts w:hint="eastAsia" w:ascii="宋体" w:hAnsi="宋体"/>
          <w:i/>
          <w:iCs/>
          <w:szCs w:val="21"/>
        </w:rPr>
        <w:t>【条文说明】产品信息模型是为了更好的向受众传递真实产品的信息（性能、适用范围等）。它所承载的信息在设计、施工、运营等阶段中发挥作用。</w:t>
      </w:r>
    </w:p>
    <w:bookmarkEnd w:id="15"/>
    <w:p>
      <w:pPr>
        <w:pStyle w:val="4"/>
        <w:bidi w:val="0"/>
        <w:rPr>
          <w:rFonts w:hint="eastAsia"/>
        </w:rPr>
      </w:pPr>
      <w:r>
        <w:rPr>
          <w:rFonts w:hint="eastAsia"/>
          <w:b/>
          <w:bCs w:val="0"/>
        </w:rPr>
        <w:t>2</w:t>
      </w:r>
      <w:r>
        <w:rPr>
          <w:b/>
          <w:bCs w:val="0"/>
        </w:rPr>
        <w:t>.0.2</w:t>
      </w:r>
      <w:r>
        <w:t xml:space="preserve">系列产品 </w:t>
      </w:r>
      <w:bookmarkStart w:id="16" w:name="_Hlk51492447"/>
      <w:r>
        <w:rPr>
          <w:rFonts w:hint="eastAsia"/>
        </w:rPr>
        <w:t>se</w:t>
      </w:r>
      <w:r>
        <w:t xml:space="preserve">ries of product </w:t>
      </w:r>
      <w:bookmarkEnd w:id="16"/>
    </w:p>
    <w:p>
      <w:pPr>
        <w:rPr>
          <w:rFonts w:ascii="宋体" w:hAnsi="宋体"/>
          <w:szCs w:val="21"/>
        </w:rPr>
      </w:pPr>
      <w:r>
        <w:rPr>
          <w:rFonts w:ascii="宋体" w:hAnsi="宋体"/>
          <w:szCs w:val="21"/>
        </w:rPr>
        <w:t>　系列产品是指互相关联或相似的产品，是按照一定的分类标准对企业生产经营的全部产品进行划分的结果。一个产品系列内往往包括多个产品。</w:t>
      </w:r>
    </w:p>
    <w:p>
      <w:pPr>
        <w:rPr>
          <w:rFonts w:ascii="宋体" w:hAnsi="宋体"/>
          <w:i/>
          <w:iCs/>
          <w:szCs w:val="21"/>
        </w:rPr>
      </w:pPr>
      <w:r>
        <w:rPr>
          <w:rFonts w:hint="eastAsia" w:ascii="宋体" w:hAnsi="宋体"/>
          <w:i/>
          <w:iCs/>
          <w:szCs w:val="21"/>
        </w:rPr>
        <w:t>【条文说明】生产者或使用人在创建和存储产品信息模型的时候没有必要每个产品都建立相应的模型。根据产品信息特征对系列产品做出合理的模型策划。</w:t>
      </w:r>
    </w:p>
    <w:p>
      <w:pPr>
        <w:pStyle w:val="4"/>
        <w:bidi w:val="0"/>
        <w:ind w:firstLine="241"/>
        <w:rPr>
          <w:rFonts w:hint="eastAsia"/>
          <w:b w:val="0"/>
          <w:bCs/>
          <w:lang w:val="en-US"/>
        </w:rPr>
      </w:pPr>
      <w:r>
        <w:rPr>
          <w:rFonts w:hint="eastAsia"/>
          <w:b/>
          <w:bCs w:val="0"/>
          <w:lang w:val="en-US"/>
        </w:rPr>
        <w:t>2.0.3</w:t>
      </w:r>
      <w:r>
        <w:rPr>
          <w:rFonts w:hint="eastAsia"/>
          <w:b w:val="0"/>
          <w:bCs/>
        </w:rPr>
        <w:t>标准产品信息模型</w:t>
      </w:r>
      <w:r>
        <w:rPr>
          <w:rFonts w:hint="eastAsia"/>
          <w:b w:val="0"/>
          <w:bCs/>
          <w:lang w:val="en-US"/>
        </w:rPr>
        <w:t xml:space="preserve"> Standard product modeling</w:t>
      </w:r>
    </w:p>
    <w:p>
      <w:r>
        <w:rPr>
          <w:rFonts w:hint="eastAsia"/>
          <w:lang w:val="zh-CN"/>
        </w:rPr>
        <w:t>经产品信息模型提供人、使用人认可。并形成标准参数项、参数值及标准图形的产品信息模型。</w:t>
      </w:r>
    </w:p>
    <w:p>
      <w:pPr>
        <w:rPr>
          <w:rFonts w:ascii="宋体" w:hAnsi="宋体"/>
          <w:i/>
          <w:iCs/>
          <w:szCs w:val="21"/>
        </w:rPr>
      </w:pPr>
      <w:r>
        <w:rPr>
          <w:rFonts w:hint="eastAsia" w:ascii="宋体" w:hAnsi="宋体"/>
          <w:i/>
          <w:iCs/>
          <w:szCs w:val="21"/>
        </w:rPr>
        <w:t>【条文说明】产品信息模型基于产品性能所能达到的指标、产品信息模型使用人基于所需求的性能指标且这些参数形成双方认同的标准。</w:t>
      </w:r>
    </w:p>
    <w:p>
      <w:pPr>
        <w:pStyle w:val="4"/>
        <w:bidi w:val="0"/>
        <w:ind w:firstLine="241"/>
        <w:rPr>
          <w:rFonts w:hint="eastAsia"/>
          <w:b w:val="0"/>
          <w:bCs/>
          <w:lang w:val="en-US"/>
        </w:rPr>
      </w:pPr>
      <w:r>
        <w:rPr>
          <w:rFonts w:hint="eastAsia"/>
          <w:b/>
          <w:bCs w:val="0"/>
          <w:lang w:val="en-US"/>
        </w:rPr>
        <w:t>2.0.4</w:t>
      </w:r>
      <w:r>
        <w:rPr>
          <w:rFonts w:hint="eastAsia"/>
          <w:b w:val="0"/>
          <w:bCs/>
        </w:rPr>
        <w:t>建筑信息模型</w:t>
      </w:r>
      <w:r>
        <w:rPr>
          <w:rFonts w:hint="eastAsia"/>
          <w:b w:val="0"/>
          <w:bCs/>
          <w:lang w:val="en-US"/>
        </w:rPr>
        <w:t xml:space="preserve"> Building information modeling</w:t>
      </w:r>
    </w:p>
    <w:p>
      <w:pPr>
        <w:rPr>
          <w:rFonts w:ascii="宋体" w:hAnsi="宋体"/>
          <w:szCs w:val="21"/>
        </w:rPr>
      </w:pPr>
      <w:r>
        <w:rPr>
          <w:rFonts w:eastAsia="Times New Roman"/>
          <w:szCs w:val="21"/>
        </w:rPr>
        <w:t xml:space="preserve">  </w:t>
      </w:r>
      <w:r>
        <w:rPr>
          <w:rFonts w:ascii="宋体" w:hAnsi="宋体"/>
          <w:szCs w:val="21"/>
        </w:rPr>
        <w:t>在建设工程及设施全生命期内，对其物理和功能特性进行数字化表达，并依此设计、施工、运营的过程和结果的总称。简称</w:t>
      </w:r>
      <w:r>
        <w:rPr>
          <w:rFonts w:hint="eastAsia" w:ascii="宋体" w:hAnsi="宋体"/>
          <w:szCs w:val="21"/>
        </w:rPr>
        <w:t>B</w:t>
      </w:r>
      <w:r>
        <w:rPr>
          <w:rFonts w:ascii="宋体" w:hAnsi="宋体"/>
          <w:szCs w:val="21"/>
        </w:rPr>
        <w:t>IM模型</w:t>
      </w:r>
      <w:r>
        <w:rPr>
          <w:rFonts w:hint="eastAsia" w:ascii="宋体" w:hAnsi="宋体"/>
          <w:szCs w:val="21"/>
        </w:rPr>
        <w:t>。</w:t>
      </w:r>
    </w:p>
    <w:p>
      <w:pPr>
        <w:pStyle w:val="4"/>
        <w:bidi w:val="0"/>
        <w:ind w:firstLine="241"/>
        <w:rPr>
          <w:rFonts w:hint="eastAsia"/>
          <w:b w:val="0"/>
          <w:bCs/>
        </w:rPr>
      </w:pPr>
      <w:r>
        <w:rPr>
          <w:rFonts w:hint="eastAsia"/>
          <w:b/>
          <w:bCs w:val="0"/>
        </w:rPr>
        <w:t>2.0.5</w:t>
      </w:r>
      <w:r>
        <w:rPr>
          <w:rFonts w:hint="eastAsia"/>
          <w:b w:val="0"/>
          <w:bCs/>
        </w:rPr>
        <w:t>几何信息 Geometric information</w:t>
      </w:r>
    </w:p>
    <w:p>
      <w:pPr>
        <w:rPr>
          <w:lang w:val="zh-CN"/>
        </w:rPr>
      </w:pPr>
      <w:r>
        <w:rPr>
          <w:rFonts w:hint="eastAsia"/>
          <w:lang w:val="zh-CN"/>
        </w:rPr>
        <w:t>表示物体的空间位置及自身形状（如长宽高等）的一组参数，通常还包括物体之间空间相互约束关系，如相连、平行、垂直等。</w:t>
      </w:r>
    </w:p>
    <w:p>
      <w:pPr>
        <w:rPr>
          <w:rFonts w:ascii="宋体" w:hAnsi="宋体"/>
          <w:i/>
          <w:iCs/>
          <w:szCs w:val="21"/>
        </w:rPr>
      </w:pPr>
      <w:r>
        <w:rPr>
          <w:rFonts w:hint="eastAsia" w:ascii="宋体" w:hAnsi="宋体"/>
          <w:i/>
          <w:iCs/>
          <w:szCs w:val="21"/>
        </w:rPr>
        <w:t>【条文解释】本标准中产品信息模型几何信息是指产品外观轮廓、关键构造等信息。如工字钢梁截面尺寸、跨度、坡度、标高、连接都属于几何信息。</w:t>
      </w:r>
    </w:p>
    <w:p>
      <w:pPr>
        <w:rPr>
          <w:rFonts w:ascii="宋体" w:hAnsi="宋体"/>
          <w:i/>
          <w:iCs/>
          <w:szCs w:val="21"/>
        </w:rPr>
      </w:pPr>
    </w:p>
    <w:p>
      <w:pPr>
        <w:pStyle w:val="4"/>
        <w:bidi w:val="0"/>
        <w:ind w:firstLine="241"/>
        <w:rPr>
          <w:rFonts w:hint="eastAsia"/>
          <w:b w:val="0"/>
          <w:bCs/>
          <w:lang w:val="en-US"/>
        </w:rPr>
      </w:pPr>
      <w:r>
        <w:rPr>
          <w:rFonts w:hint="eastAsia"/>
          <w:b/>
          <w:bCs w:val="0"/>
          <w:lang w:val="en-US"/>
        </w:rPr>
        <w:t>2.0.6</w:t>
      </w:r>
      <w:r>
        <w:rPr>
          <w:rFonts w:hint="eastAsia"/>
          <w:b w:val="0"/>
          <w:bCs/>
        </w:rPr>
        <w:t>非几何信息</w:t>
      </w:r>
      <w:r>
        <w:rPr>
          <w:rFonts w:hint="eastAsia"/>
          <w:b w:val="0"/>
          <w:bCs/>
          <w:lang w:val="en-US"/>
        </w:rPr>
        <w:t>·Non-geomettic information</w:t>
      </w:r>
    </w:p>
    <w:p>
      <w:pPr>
        <w:rPr>
          <w:rFonts w:ascii="宋体" w:hAnsi="宋体"/>
          <w:i/>
          <w:iCs/>
          <w:szCs w:val="21"/>
        </w:rPr>
      </w:pPr>
      <w:r>
        <w:rPr>
          <w:rFonts w:hint="eastAsia"/>
          <w:lang w:val="zh-CN"/>
        </w:rPr>
        <w:t>物体除几何信息以外的其它信息，如材质、强度、标号、抗渗等级</w:t>
      </w:r>
      <w:r>
        <w:rPr>
          <w:rFonts w:hint="eastAsia"/>
        </w:rPr>
        <w:t>、防火性能等</w:t>
      </w:r>
      <w:r>
        <w:rPr>
          <w:rFonts w:hint="eastAsia"/>
          <w:lang w:val="zh-CN"/>
        </w:rPr>
        <w:t>。</w:t>
      </w:r>
    </w:p>
    <w:p>
      <w:pPr>
        <w:pStyle w:val="4"/>
        <w:bidi w:val="0"/>
        <w:ind w:firstLine="241"/>
        <w:rPr>
          <w:rFonts w:hint="eastAsia"/>
          <w:b w:val="0"/>
          <w:bCs/>
        </w:rPr>
      </w:pPr>
      <w:r>
        <w:rPr>
          <w:rFonts w:hint="eastAsia"/>
          <w:b/>
          <w:bCs w:val="0"/>
        </w:rPr>
        <w:t>2.0.7</w:t>
      </w:r>
      <w:r>
        <w:rPr>
          <w:rFonts w:hint="eastAsia"/>
          <w:b w:val="0"/>
          <w:bCs/>
        </w:rPr>
        <w:t>行为 Action</w:t>
      </w:r>
    </w:p>
    <w:p>
      <w:pPr>
        <w:rPr>
          <w:lang w:val="zh-CN"/>
        </w:rPr>
      </w:pPr>
      <w:r>
        <w:rPr>
          <w:rFonts w:hint="eastAsia"/>
          <w:lang w:val="zh-CN"/>
        </w:rPr>
        <w:t>工程相关方在工程建设中表现出的工作与活动。</w:t>
      </w:r>
    </w:p>
    <w:p>
      <w:pPr>
        <w:rPr>
          <w:rFonts w:ascii="宋体" w:hAnsi="宋体"/>
          <w:i/>
          <w:iCs/>
          <w:szCs w:val="21"/>
        </w:rPr>
      </w:pPr>
      <w:r>
        <w:rPr>
          <w:rFonts w:hint="eastAsia" w:ascii="宋体" w:hAnsi="宋体"/>
          <w:i/>
          <w:iCs/>
          <w:szCs w:val="21"/>
        </w:rPr>
        <w:t>【条文说明】在本标准中施工图设计、合同签订等活动就是指行为也可以称之为行为动作。</w:t>
      </w:r>
    </w:p>
    <w:p>
      <w:pPr>
        <w:pStyle w:val="4"/>
        <w:bidi w:val="0"/>
        <w:ind w:firstLine="241"/>
        <w:rPr>
          <w:rFonts w:hint="eastAsia"/>
          <w:b w:val="0"/>
          <w:bCs/>
        </w:rPr>
      </w:pPr>
      <w:r>
        <w:rPr>
          <w:rFonts w:hint="eastAsia"/>
          <w:b/>
          <w:bCs w:val="0"/>
        </w:rPr>
        <w:t>2.0.8</w:t>
      </w:r>
      <w:r>
        <w:rPr>
          <w:rFonts w:hint="eastAsia"/>
          <w:b w:val="0"/>
          <w:bCs/>
        </w:rPr>
        <w:t>属性 Property</w:t>
      </w:r>
    </w:p>
    <w:p>
      <w:pPr>
        <w:ind w:firstLine="480" w:firstLineChars="200"/>
        <w:rPr>
          <w:rFonts w:ascii="宋体" w:hAnsi="宋体"/>
          <w:szCs w:val="21"/>
        </w:rPr>
      </w:pPr>
      <w:r>
        <w:rPr>
          <w:rFonts w:ascii="宋体" w:hAnsi="宋体"/>
          <w:szCs w:val="21"/>
        </w:rPr>
        <w:t>建设实体可以测量和检测的物理或理论上的特征。</w:t>
      </w:r>
    </w:p>
    <w:p>
      <w:pPr>
        <w:rPr>
          <w:rFonts w:ascii="宋体" w:hAnsi="宋体"/>
          <w:i/>
          <w:iCs/>
          <w:szCs w:val="21"/>
        </w:rPr>
      </w:pPr>
      <w:r>
        <w:rPr>
          <w:rFonts w:ascii="宋体" w:hAnsi="宋体"/>
          <w:i/>
          <w:iCs/>
          <w:szCs w:val="21"/>
        </w:rPr>
        <w:t>条文说明：如：颜色、宽度、长度、厚度、深度、面积、重量、强度、防火性能、防潮性能等，属性只对特指的建设实体有实际意义。</w:t>
      </w:r>
    </w:p>
    <w:p>
      <w:pPr>
        <w:pStyle w:val="4"/>
        <w:bidi w:val="0"/>
        <w:ind w:firstLine="241"/>
        <w:rPr>
          <w:rFonts w:hint="eastAsia"/>
          <w:b w:val="0"/>
          <w:bCs/>
        </w:rPr>
      </w:pPr>
      <w:r>
        <w:rPr>
          <w:rFonts w:hint="eastAsia"/>
          <w:b/>
          <w:bCs w:val="0"/>
        </w:rPr>
        <w:t>2.0.9</w:t>
      </w:r>
      <w:r>
        <w:rPr>
          <w:rFonts w:hint="eastAsia"/>
          <w:b w:val="0"/>
          <w:bCs/>
        </w:rPr>
        <w:t>参数 Parameter</w:t>
      </w:r>
    </w:p>
    <w:p>
      <w:pPr>
        <w:ind w:firstLine="480" w:firstLineChars="200"/>
        <w:rPr>
          <w:rFonts w:ascii="宋体" w:hAnsi="宋体"/>
          <w:iCs/>
          <w:szCs w:val="21"/>
        </w:rPr>
      </w:pPr>
      <w:r>
        <w:rPr>
          <w:rFonts w:ascii="宋体" w:hAnsi="宋体"/>
          <w:iCs/>
          <w:szCs w:val="21"/>
        </w:rPr>
        <w:t xml:space="preserve"> </w:t>
      </w:r>
      <w:r>
        <w:rPr>
          <w:rFonts w:hint="eastAsia" w:ascii="宋体" w:hAnsi="宋体"/>
          <w:iCs/>
          <w:szCs w:val="21"/>
        </w:rPr>
        <w:t>表示产品某一特征的数据，它是选择、应用产品参考值。</w:t>
      </w:r>
    </w:p>
    <w:p>
      <w:pPr>
        <w:rPr>
          <w:rFonts w:ascii="宋体" w:hAnsi="宋体"/>
          <w:i/>
          <w:iCs/>
          <w:szCs w:val="21"/>
        </w:rPr>
      </w:pPr>
      <w:r>
        <w:rPr>
          <w:rFonts w:hint="eastAsia" w:ascii="宋体" w:hAnsi="宋体"/>
          <w:i/>
          <w:iCs/>
          <w:szCs w:val="21"/>
        </w:rPr>
        <w:t>【条文说明】结构产品性能中型号、规格、强度、密度、防火等级等数据，这些数据为产品的选择、应用提供参考依据。</w:t>
      </w:r>
      <w:bookmarkStart w:id="17" w:name="_Hlk15048042"/>
      <w:r>
        <w:rPr>
          <w:rFonts w:hint="eastAsia" w:ascii="宋体" w:hAnsi="宋体"/>
          <w:i/>
          <w:iCs/>
          <w:szCs w:val="21"/>
        </w:rPr>
        <w:t>本术语参考了名词“数据项”引申意义为“具有参考意义的数据项”</w:t>
      </w:r>
    </w:p>
    <w:bookmarkEnd w:id="17"/>
    <w:p>
      <w:pPr>
        <w:pStyle w:val="4"/>
        <w:bidi w:val="0"/>
        <w:ind w:firstLine="241"/>
        <w:rPr>
          <w:rFonts w:hint="eastAsia"/>
          <w:b/>
          <w:bCs w:val="0"/>
        </w:rPr>
      </w:pPr>
      <w:r>
        <w:rPr>
          <w:rFonts w:hint="eastAsia"/>
          <w:b/>
          <w:bCs w:val="0"/>
        </w:rPr>
        <w:t>2.0.10</w:t>
      </w:r>
      <w:r>
        <w:rPr>
          <w:rFonts w:hint="eastAsia"/>
          <w:b w:val="0"/>
          <w:bCs/>
        </w:rPr>
        <w:t>参数项 Parameter Item</w:t>
      </w:r>
    </w:p>
    <w:p>
      <w:pPr>
        <w:rPr>
          <w:lang w:val="zh-CN"/>
        </w:rPr>
      </w:pPr>
      <w:r>
        <w:rPr>
          <w:rFonts w:hint="eastAsia"/>
          <w:lang w:val="zh-CN"/>
        </w:rPr>
        <w:t>构成产品属性的不可分割的最小单位，具有独立含义。</w:t>
      </w:r>
    </w:p>
    <w:p>
      <w:pPr>
        <w:rPr>
          <w:rFonts w:ascii="宋体" w:hAnsi="宋体"/>
          <w:i/>
          <w:iCs/>
          <w:szCs w:val="21"/>
        </w:rPr>
      </w:pPr>
      <w:r>
        <w:rPr>
          <w:rFonts w:hint="eastAsia" w:ascii="宋体" w:hAnsi="宋体"/>
          <w:i/>
          <w:iCs/>
          <w:szCs w:val="21"/>
        </w:rPr>
        <w:t>【条文说明】工字钢作为一个产品，它有材料强度、截面高度、截面宽度、腹板厚度、平均翼缘厚度等参数。其中“材料强度”、“截面高度”、截面宽度“均为工字钢的参数项。本术语参考了数据元素中的“数据项”这一名词。</w:t>
      </w:r>
    </w:p>
    <w:p>
      <w:pPr>
        <w:pStyle w:val="4"/>
        <w:bidi w:val="0"/>
        <w:ind w:firstLine="241"/>
        <w:rPr>
          <w:rFonts w:hint="eastAsia"/>
          <w:b w:val="0"/>
          <w:bCs/>
        </w:rPr>
      </w:pPr>
      <w:r>
        <w:rPr>
          <w:rFonts w:hint="eastAsia"/>
          <w:b/>
          <w:bCs w:val="0"/>
        </w:rPr>
        <w:t>2.0.11</w:t>
      </w:r>
      <w:r>
        <w:rPr>
          <w:rFonts w:hint="eastAsia"/>
          <w:b w:val="0"/>
          <w:bCs/>
        </w:rPr>
        <w:t>参数值 parameter values</w:t>
      </w:r>
    </w:p>
    <w:p>
      <w:pPr>
        <w:rPr>
          <w:lang w:val="zh-CN"/>
        </w:rPr>
      </w:pPr>
      <w:r>
        <w:rPr>
          <w:rFonts w:hint="eastAsia"/>
          <w:lang w:val="zh-CN"/>
        </w:rPr>
        <w:t>参数的取值，参数值包括参数单位和参数数值，其中当参数取值为字符型的时候没有参数单位。参数值数据类型可以是文字、数字、字母。</w:t>
      </w:r>
    </w:p>
    <w:p>
      <w:pPr>
        <w:rPr>
          <w:rFonts w:ascii="宋体" w:hAnsi="宋体"/>
          <w:i/>
          <w:iCs/>
          <w:szCs w:val="21"/>
        </w:rPr>
      </w:pPr>
      <w:r>
        <w:rPr>
          <w:rFonts w:hint="eastAsia" w:ascii="宋体" w:hAnsi="宋体"/>
          <w:i/>
          <w:iCs/>
          <w:szCs w:val="21"/>
        </w:rPr>
        <w:t>【条文说明】参数的取值可以是数字、文字、范围区间等。详细解释如下：</w:t>
      </w:r>
    </w:p>
    <w:p>
      <w:pPr>
        <w:rPr>
          <w:rFonts w:ascii="宋体" w:hAnsi="宋体"/>
          <w:i/>
          <w:iCs/>
          <w:szCs w:val="21"/>
        </w:rPr>
      </w:pPr>
      <w:r>
        <w:rPr>
          <w:rFonts w:hint="eastAsia" w:ascii="宋体" w:hAnsi="宋体"/>
          <w:i/>
          <w:iCs/>
          <w:szCs w:val="21"/>
        </w:rPr>
        <w:t>如某产品出现如下参数</w:t>
      </w:r>
    </w:p>
    <w:p>
      <w:pPr>
        <w:rPr>
          <w:rFonts w:ascii="宋体" w:hAnsi="宋体"/>
          <w:i/>
          <w:iCs/>
          <w:szCs w:val="21"/>
        </w:rPr>
      </w:pPr>
      <w:r>
        <w:rPr>
          <w:rFonts w:hint="eastAsia" w:ascii="宋体" w:hAnsi="宋体"/>
          <w:i/>
          <w:iCs/>
          <w:szCs w:val="21"/>
        </w:rPr>
        <w:t>产品名称（参数项）：工字型钢</w:t>
      </w:r>
    </w:p>
    <w:p>
      <w:pPr>
        <w:rPr>
          <w:rFonts w:ascii="宋体" w:hAnsi="宋体"/>
          <w:i/>
          <w:iCs/>
          <w:szCs w:val="21"/>
        </w:rPr>
      </w:pPr>
      <w:r>
        <w:rPr>
          <w:rFonts w:hint="eastAsia" w:ascii="宋体" w:hAnsi="宋体"/>
          <w:i/>
          <w:iCs/>
          <w:szCs w:val="21"/>
        </w:rPr>
        <w:t>截面高度h（参数项）：600（参数数值）mm参数值单位</w:t>
      </w:r>
      <w:r>
        <w:rPr>
          <w:rFonts w:ascii="宋体" w:hAnsi="宋体"/>
          <w:i/>
          <w:iCs/>
          <w:szCs w:val="21"/>
        </w:rPr>
        <w:t>)</w:t>
      </w:r>
      <w:r>
        <w:rPr>
          <w:rFonts w:hint="eastAsia" w:ascii="宋体" w:hAnsi="宋体"/>
          <w:i/>
          <w:iCs/>
          <w:szCs w:val="21"/>
        </w:rPr>
        <w:t>，其中“600mm”合并称为参数值</w:t>
      </w:r>
    </w:p>
    <w:p>
      <w:pPr>
        <w:pStyle w:val="4"/>
        <w:bidi w:val="0"/>
        <w:ind w:firstLine="241"/>
        <w:rPr>
          <w:rFonts w:hint="eastAsia"/>
          <w:b/>
          <w:bCs w:val="0"/>
          <w:lang w:val="en-US"/>
        </w:rPr>
      </w:pPr>
      <w:r>
        <w:rPr>
          <w:rFonts w:hint="eastAsia"/>
          <w:b/>
          <w:bCs w:val="0"/>
          <w:lang w:val="en-US"/>
        </w:rPr>
        <w:t>2.0.12</w:t>
      </w:r>
      <w:r>
        <w:rPr>
          <w:rFonts w:hint="eastAsia"/>
          <w:b w:val="0"/>
          <w:bCs/>
        </w:rPr>
        <w:t>产品信息模型提供人</w:t>
      </w:r>
      <w:r>
        <w:rPr>
          <w:rFonts w:hint="eastAsia"/>
          <w:b w:val="0"/>
          <w:bCs/>
          <w:lang w:val="en-US"/>
        </w:rPr>
        <w:t xml:space="preserve"> Product model provider </w:t>
      </w:r>
    </w:p>
    <w:p>
      <w:r>
        <w:rPr>
          <w:rFonts w:hint="eastAsia"/>
          <w:lang w:val="zh-CN"/>
        </w:rPr>
        <w:t>产品信息模型提供人是有权对产品信息模型的几何信息和非几何信息的真实有效性确认的单位或个人。</w:t>
      </w:r>
    </w:p>
    <w:p>
      <w:pPr>
        <w:pStyle w:val="4"/>
        <w:bidi w:val="0"/>
        <w:ind w:firstLine="241"/>
        <w:rPr>
          <w:rFonts w:hint="eastAsia"/>
          <w:b w:val="0"/>
          <w:bCs/>
          <w:lang w:val="en-US"/>
        </w:rPr>
      </w:pPr>
      <w:r>
        <w:rPr>
          <w:rFonts w:hint="eastAsia"/>
          <w:b/>
          <w:bCs w:val="0"/>
          <w:lang w:val="en-US"/>
        </w:rPr>
        <w:t>2.0.13</w:t>
      </w:r>
      <w:r>
        <w:rPr>
          <w:rFonts w:hint="eastAsia"/>
          <w:b w:val="0"/>
          <w:bCs/>
        </w:rPr>
        <w:t>产品信息模型使用人</w:t>
      </w:r>
      <w:r>
        <w:rPr>
          <w:rFonts w:hint="eastAsia"/>
          <w:b w:val="0"/>
          <w:bCs/>
          <w:lang w:val="en-US"/>
        </w:rPr>
        <w:t xml:space="preserve"> Product model user</w:t>
      </w:r>
    </w:p>
    <w:p>
      <w:r>
        <w:rPr>
          <w:rFonts w:hint="eastAsia"/>
          <w:lang w:val="zh-CN"/>
        </w:rPr>
        <w:t>指在工程管理过程中或其它有关产品应用而使用产品信息模型的单位或个人。</w:t>
      </w:r>
    </w:p>
    <w:p>
      <w:pPr>
        <w:rPr>
          <w:rFonts w:ascii="宋体" w:hAnsi="宋体"/>
          <w:i/>
          <w:iCs/>
          <w:szCs w:val="21"/>
        </w:rPr>
      </w:pPr>
      <w:r>
        <w:rPr>
          <w:rFonts w:hint="eastAsia" w:ascii="宋体" w:hAnsi="宋体"/>
          <w:i/>
          <w:iCs/>
          <w:szCs w:val="21"/>
        </w:rPr>
        <w:t>【条文说明】产品信息模型的使用主要是在工程实施管理过程中但不仅限于此。如产品信息模型数据库、产品信息模型发布平台等。</w:t>
      </w:r>
    </w:p>
    <w:p>
      <w:bookmarkStart w:id="18" w:name="_Toc28533004"/>
      <w:r>
        <w:br w:type="page"/>
      </w:r>
    </w:p>
    <w:p>
      <w:pPr>
        <w:pStyle w:val="2"/>
        <w:bidi w:val="0"/>
      </w:pPr>
      <w:bookmarkStart w:id="19" w:name="_Toc305"/>
      <w:r>
        <w:t>基本规定</w:t>
      </w:r>
      <w:bookmarkEnd w:id="18"/>
      <w:bookmarkEnd w:id="19"/>
    </w:p>
    <w:p>
      <w:pPr>
        <w:pStyle w:val="3"/>
        <w:jc w:val="center"/>
        <w:rPr>
          <w:rStyle w:val="35"/>
          <w:rFonts w:ascii="Times New Roman" w:hAnsi="Times New Roman"/>
          <w:bCs w:val="0"/>
          <w:lang w:val="zh-CN"/>
        </w:rPr>
      </w:pPr>
      <w:bookmarkStart w:id="20" w:name="_Toc28533005"/>
      <w:bookmarkStart w:id="21" w:name="_Toc25777"/>
      <w:r>
        <w:rPr>
          <w:rStyle w:val="35"/>
          <w:rFonts w:ascii="Times New Roman" w:hAnsi="Times New Roman"/>
          <w:bCs w:val="0"/>
          <w:lang w:val="zh-CN"/>
        </w:rPr>
        <w:t>3.1</w:t>
      </w:r>
      <w:r>
        <w:rPr>
          <w:rStyle w:val="35"/>
          <w:rFonts w:hint="eastAsia" w:ascii="Times New Roman" w:hAnsi="Times New Roman"/>
          <w:bCs w:val="0"/>
          <w:lang w:val="en-US" w:eastAsia="zh-CN"/>
        </w:rPr>
        <w:t xml:space="preserve"> </w:t>
      </w:r>
      <w:r>
        <w:rPr>
          <w:rStyle w:val="35"/>
          <w:rFonts w:ascii="Times New Roman" w:hAnsi="Times New Roman"/>
          <w:bCs w:val="0"/>
          <w:lang w:val="zh-CN"/>
        </w:rPr>
        <w:t>产品信息模型的基本功能</w:t>
      </w:r>
      <w:bookmarkEnd w:id="20"/>
      <w:bookmarkEnd w:id="21"/>
    </w:p>
    <w:p>
      <w:pPr>
        <w:pStyle w:val="4"/>
        <w:bidi w:val="0"/>
        <w:ind w:firstLine="241"/>
        <w:rPr>
          <w:rFonts w:hint="eastAsia"/>
          <w:b w:val="0"/>
          <w:bCs/>
          <w:lang w:val="en-US"/>
        </w:rPr>
      </w:pPr>
      <w:r>
        <w:rPr>
          <w:rFonts w:hint="eastAsia"/>
          <w:b/>
          <w:bCs w:val="0"/>
          <w:lang w:val="en-US"/>
        </w:rPr>
        <w:t>3.1.1</w:t>
      </w:r>
      <w:r>
        <w:rPr>
          <w:rFonts w:hint="eastAsia"/>
          <w:b/>
          <w:bCs w:val="0"/>
          <w:lang w:val="en-US" w:eastAsia="zh-CN"/>
        </w:rPr>
        <w:t xml:space="preserve"> </w:t>
      </w:r>
      <w:r>
        <w:rPr>
          <w:rFonts w:hint="eastAsia"/>
          <w:b w:val="0"/>
          <w:bCs/>
          <w:lang w:val="en-US"/>
        </w:rPr>
        <w:t>结构工程产品信息模型的信息应满足以下行为需求：</w:t>
      </w:r>
    </w:p>
    <w:p>
      <w:pPr>
        <w:rPr>
          <w:lang w:val="zh-CN"/>
        </w:rPr>
      </w:pPr>
      <w:r>
        <w:rPr>
          <w:rFonts w:hint="eastAsia"/>
          <w:lang w:val="zh-CN"/>
        </w:rPr>
        <w:t>1</w:t>
      </w:r>
      <w:r>
        <w:rPr>
          <w:rFonts w:hint="eastAsia"/>
          <w:lang w:val="en-US" w:eastAsia="zh-CN"/>
        </w:rPr>
        <w:t xml:space="preserve"> </w:t>
      </w:r>
      <w:r>
        <w:rPr>
          <w:rFonts w:hint="eastAsia"/>
          <w:lang w:val="zh-CN"/>
        </w:rPr>
        <w:t>结构工程设计：提供设计所需要的结构力学计算依据，比如材料性能、材料外形尺寸、支座及节点连接形式等；</w:t>
      </w:r>
    </w:p>
    <w:p>
      <w:pPr>
        <w:rPr>
          <w:lang w:val="zh-CN"/>
        </w:rPr>
      </w:pPr>
      <w:r>
        <w:rPr>
          <w:rFonts w:hint="eastAsia"/>
          <w:lang w:val="zh-CN"/>
        </w:rPr>
        <w:t>2</w:t>
      </w:r>
      <w:r>
        <w:rPr>
          <w:rFonts w:hint="eastAsia"/>
          <w:lang w:val="en-US" w:eastAsia="zh-CN"/>
        </w:rPr>
        <w:t xml:space="preserve"> </w:t>
      </w:r>
      <w:r>
        <w:rPr>
          <w:rFonts w:hint="eastAsia"/>
          <w:lang w:val="zh-CN"/>
        </w:rPr>
        <w:t>结构工程施工：结构施工过程中涉及到混凝土浇筑、模板搭建、钢筋制作、装配式混凝土构件预制、钢结构构件工厂加工及现场安装等，结构工程产品应提供相关过程中所需要的信息；</w:t>
      </w:r>
    </w:p>
    <w:p>
      <w:pPr>
        <w:rPr>
          <w:lang w:val="zh-CN"/>
        </w:rPr>
      </w:pPr>
      <w:r>
        <w:rPr>
          <w:rFonts w:hint="eastAsia"/>
          <w:lang w:val="zh-CN"/>
        </w:rPr>
        <w:t>3</w:t>
      </w:r>
      <w:r>
        <w:rPr>
          <w:rFonts w:hint="eastAsia"/>
          <w:lang w:val="en-US" w:eastAsia="zh-CN"/>
        </w:rPr>
        <w:t xml:space="preserve"> </w:t>
      </w:r>
      <w:r>
        <w:rPr>
          <w:rFonts w:hint="eastAsia"/>
          <w:lang w:val="zh-CN"/>
        </w:rPr>
        <w:t>结构工程成本与造价：工程造价相关信息宜按照不同产品的结算要求提供。不同的生产方式有不同的造价（核算、计量）、计价方式。</w:t>
      </w:r>
    </w:p>
    <w:p>
      <w:pPr>
        <w:rPr>
          <w:lang w:val="zh-CN"/>
        </w:rPr>
      </w:pPr>
      <w:r>
        <w:rPr>
          <w:rFonts w:hint="eastAsia"/>
          <w:lang w:val="zh-CN"/>
        </w:rPr>
        <w:t>4</w:t>
      </w:r>
      <w:r>
        <w:rPr>
          <w:rFonts w:hint="eastAsia"/>
          <w:lang w:val="en-US" w:eastAsia="zh-CN"/>
        </w:rPr>
        <w:t xml:space="preserve"> </w:t>
      </w:r>
      <w:r>
        <w:rPr>
          <w:rFonts w:hint="eastAsia"/>
          <w:lang w:val="zh-CN"/>
        </w:rPr>
        <w:t>结构工程验收：应满足相应工程验收标准的要求。</w:t>
      </w:r>
    </w:p>
    <w:p>
      <w:pPr>
        <w:rPr>
          <w:lang w:val="zh-CN"/>
        </w:rPr>
      </w:pPr>
      <w:r>
        <w:rPr>
          <w:rFonts w:hint="eastAsia"/>
          <w:lang w:val="zh-CN"/>
        </w:rPr>
        <w:t>5</w:t>
      </w:r>
      <w:r>
        <w:rPr>
          <w:rFonts w:hint="eastAsia"/>
          <w:lang w:val="en-US" w:eastAsia="zh-CN"/>
        </w:rPr>
        <w:t xml:space="preserve"> </w:t>
      </w:r>
      <w:r>
        <w:rPr>
          <w:rFonts w:hint="eastAsia"/>
          <w:lang w:val="zh-CN"/>
        </w:rPr>
        <w:t>结构工程中涉及到的其它管理行为。</w:t>
      </w:r>
    </w:p>
    <w:p>
      <w:pPr>
        <w:rPr>
          <w:rFonts w:ascii="宋体" w:hAnsi="宋体"/>
          <w:color w:val="000000" w:themeColor="text1"/>
          <w:szCs w:val="21"/>
          <w14:textFill>
            <w14:solidFill>
              <w14:schemeClr w14:val="tx1"/>
            </w14:solidFill>
          </w14:textFill>
        </w:rPr>
      </w:pPr>
    </w:p>
    <w:p>
      <w:pPr>
        <w:rPr>
          <w:rFonts w:ascii="宋体" w:hAnsi="宋体"/>
          <w:i/>
          <w:iCs/>
          <w:szCs w:val="21"/>
        </w:rPr>
      </w:pPr>
      <w:r>
        <w:rPr>
          <w:rFonts w:ascii="宋体" w:hAnsi="宋体"/>
          <w:i/>
          <w:iCs/>
          <w:szCs w:val="21"/>
        </w:rPr>
        <w:t>【条文说明】：</w:t>
      </w:r>
      <w:r>
        <w:rPr>
          <w:rFonts w:hint="eastAsia" w:ascii="宋体" w:hAnsi="宋体"/>
          <w:i/>
          <w:iCs/>
          <w:szCs w:val="21"/>
        </w:rPr>
        <w:t>因装配式工程造价与现场施工工程造价有所不同，又因我国目前尚无装配式造价统一标准，所以本标准建议在实际实施过程中依据当地装配式造价标准和供需双方约定的造价方式。结构工程产品应提供造价所需要的信息。</w:t>
      </w:r>
    </w:p>
    <w:p>
      <w:pPr>
        <w:ind w:firstLine="240" w:firstLineChars="100"/>
        <w:rPr>
          <w:rFonts w:ascii="宋体" w:hAnsi="宋体"/>
          <w:i/>
          <w:iCs/>
          <w:szCs w:val="21"/>
        </w:rPr>
      </w:pPr>
      <w:r>
        <w:rPr>
          <w:rFonts w:hint="eastAsia" w:ascii="宋体" w:hAnsi="宋体"/>
          <w:i/>
          <w:iCs/>
          <w:szCs w:val="21"/>
          <w:lang w:val="zh-CN"/>
        </w:rPr>
        <w:t>结构工程产品计费方式多样，例如钢材板件按吨取费，预制构件按件取费等，所以应根据不同的生产方式、不同的情况提供造价依据。</w:t>
      </w:r>
    </w:p>
    <w:p>
      <w:pPr>
        <w:rPr>
          <w:rFonts w:ascii="宋体" w:hAnsi="宋体"/>
          <w:i/>
          <w:iCs/>
          <w:szCs w:val="21"/>
        </w:rPr>
      </w:pPr>
      <w:r>
        <w:rPr>
          <w:rFonts w:hint="eastAsia" w:ascii="宋体" w:hAnsi="宋体"/>
          <w:i/>
          <w:iCs/>
          <w:szCs w:val="21"/>
        </w:rPr>
        <w:t>结构工程中其它管理行为：比如物流运输、仓储管理、现场布置等。</w:t>
      </w:r>
    </w:p>
    <w:p>
      <w:pPr>
        <w:pStyle w:val="4"/>
        <w:bidi w:val="0"/>
        <w:ind w:firstLine="241"/>
        <w:rPr>
          <w:rFonts w:hint="eastAsia"/>
          <w:b w:val="0"/>
          <w:bCs/>
          <w:lang w:val="en-US"/>
        </w:rPr>
      </w:pPr>
      <w:r>
        <w:rPr>
          <w:rFonts w:hint="eastAsia"/>
          <w:b/>
          <w:bCs w:val="0"/>
          <w:lang w:val="en-US"/>
        </w:rPr>
        <w:t>3.1.2</w:t>
      </w:r>
      <w:r>
        <w:rPr>
          <w:rFonts w:hint="eastAsia"/>
          <w:b/>
          <w:bCs w:val="0"/>
          <w:lang w:val="en-US" w:eastAsia="zh-CN"/>
        </w:rPr>
        <w:t xml:space="preserve"> </w:t>
      </w:r>
      <w:r>
        <w:rPr>
          <w:rFonts w:hint="eastAsia"/>
          <w:b w:val="0"/>
          <w:bCs/>
          <w:lang w:val="en-US"/>
        </w:rPr>
        <w:t>产品信息模型的几何信息和非几何信息的确定应以产品在工程建造过程中应用所涉及到的行为为目标确定。</w:t>
      </w:r>
    </w:p>
    <w:p>
      <w:pPr>
        <w:rPr>
          <w:rFonts w:ascii="宋体" w:hAnsi="宋体"/>
          <w:i/>
          <w:iCs/>
          <w:szCs w:val="21"/>
        </w:rPr>
      </w:pPr>
      <w:r>
        <w:rPr>
          <w:rFonts w:hint="eastAsia" w:ascii="宋体" w:hAnsi="宋体"/>
          <w:i/>
          <w:iCs/>
          <w:szCs w:val="21"/>
        </w:rPr>
        <w:t>【条文说明】比如3</w:t>
      </w:r>
      <w:r>
        <w:rPr>
          <w:rFonts w:ascii="宋体" w:hAnsi="宋体"/>
          <w:i/>
          <w:iCs/>
          <w:szCs w:val="21"/>
        </w:rPr>
        <w:t>.1</w:t>
      </w:r>
      <w:r>
        <w:rPr>
          <w:rFonts w:hint="eastAsia" w:ascii="宋体" w:hAnsi="宋体"/>
          <w:i/>
          <w:iCs/>
          <w:szCs w:val="21"/>
        </w:rPr>
        <w:t>.1规定结构工程中行为，结构工程产品中的信息确定是源于需求。本条规定是为了避免信息缺失与信息过多。没有服务目标的信息是无用信息。</w:t>
      </w:r>
    </w:p>
    <w:p>
      <w:pPr>
        <w:pStyle w:val="4"/>
        <w:bidi w:val="0"/>
        <w:ind w:firstLine="241"/>
        <w:rPr>
          <w:rFonts w:hint="eastAsia"/>
          <w:b w:val="0"/>
          <w:bCs/>
          <w:lang w:val="en-US"/>
        </w:rPr>
      </w:pPr>
      <w:r>
        <w:rPr>
          <w:rFonts w:hint="eastAsia"/>
          <w:b/>
          <w:bCs w:val="0"/>
          <w:lang w:val="en-US"/>
        </w:rPr>
        <w:t>3.1.3</w:t>
      </w:r>
      <w:r>
        <w:rPr>
          <w:rFonts w:hint="eastAsia"/>
          <w:b/>
          <w:bCs w:val="0"/>
          <w:lang w:val="en-US" w:eastAsia="zh-CN"/>
        </w:rPr>
        <w:t xml:space="preserve"> </w:t>
      </w:r>
      <w:r>
        <w:rPr>
          <w:rFonts w:hint="eastAsia"/>
          <w:b w:val="0"/>
          <w:bCs/>
          <w:lang w:val="en-US"/>
        </w:rPr>
        <w:t>产品信息模型的几何信息和非几何信息应满足支撑建筑结构工程设计、施工图深化、节点大样等不同功能、不同深度的建筑信息模型创建和二维图纸的编制。</w:t>
      </w:r>
    </w:p>
    <w:p>
      <w:pPr>
        <w:rPr>
          <w:rFonts w:ascii="宋体" w:hAnsi="宋体"/>
          <w:i/>
          <w:iCs/>
          <w:szCs w:val="21"/>
        </w:rPr>
      </w:pPr>
      <w:r>
        <w:rPr>
          <w:rFonts w:hint="eastAsia" w:ascii="宋体" w:hAnsi="宋体"/>
          <w:i/>
          <w:iCs/>
          <w:szCs w:val="21"/>
        </w:rPr>
        <w:t>【条文说明】结构产品信息模型承载产品的规格、型号等几何信息和密度、耐腐蚀性、防火性能、硬度等非几何信息，这些信息支撑产品信息模型的选择使用。</w:t>
      </w:r>
    </w:p>
    <w:p>
      <w:pPr>
        <w:pStyle w:val="3"/>
        <w:bidi w:val="0"/>
      </w:pPr>
      <w:bookmarkStart w:id="22" w:name="_Toc28533006"/>
      <w:bookmarkStart w:id="23" w:name="_Toc9029"/>
      <w:r>
        <w:rPr>
          <w:rFonts w:hint="default" w:ascii="Times New Roman" w:hAnsi="Times New Roman" w:cs="Times New Roman"/>
        </w:rPr>
        <w:t>3.2</w:t>
      </w:r>
      <w:r>
        <w:t>产品信息模型的基本</w:t>
      </w:r>
      <w:r>
        <w:rPr>
          <w:rFonts w:hint="eastAsia"/>
        </w:rPr>
        <w:t>要求</w:t>
      </w:r>
      <w:bookmarkEnd w:id="22"/>
      <w:bookmarkEnd w:id="23"/>
    </w:p>
    <w:p>
      <w:pPr>
        <w:pStyle w:val="4"/>
        <w:bidi w:val="0"/>
        <w:ind w:firstLine="241"/>
        <w:rPr>
          <w:rFonts w:hint="eastAsia"/>
          <w:b/>
          <w:bCs w:val="0"/>
          <w:lang w:val="en-US"/>
        </w:rPr>
      </w:pPr>
      <w:r>
        <w:rPr>
          <w:rFonts w:hint="eastAsia"/>
          <w:b/>
          <w:bCs w:val="0"/>
          <w:lang w:val="en-US"/>
        </w:rPr>
        <w:t>3.2.1</w:t>
      </w:r>
      <w:r>
        <w:rPr>
          <w:rFonts w:hint="eastAsia"/>
          <w:b/>
          <w:bCs w:val="0"/>
          <w:lang w:val="en-US" w:eastAsia="zh-CN"/>
        </w:rPr>
        <w:t xml:space="preserve"> </w:t>
      </w:r>
      <w:r>
        <w:rPr>
          <w:rFonts w:hint="eastAsia"/>
          <w:b w:val="0"/>
          <w:bCs/>
          <w:lang w:val="en-US"/>
        </w:rPr>
        <w:t>产品信息模型应依据产品实物创建，其几何信息与非几何信息与产品实物一致，不受格式、文件版本等限制。</w:t>
      </w:r>
    </w:p>
    <w:p>
      <w:pPr>
        <w:rPr>
          <w:rFonts w:ascii="宋体" w:hAnsi="宋体"/>
          <w:i/>
          <w:iCs/>
          <w:szCs w:val="21"/>
        </w:rPr>
      </w:pPr>
      <w:r>
        <w:rPr>
          <w:rFonts w:hint="eastAsia" w:ascii="宋体" w:hAnsi="宋体"/>
          <w:i/>
          <w:iCs/>
          <w:szCs w:val="21"/>
        </w:rPr>
        <w:t>【条文说明】：产品信息模型所标称、标识的外观、构造等几何信息和性能指标等非几何信息，是真实产品性能指标、外观形状的反映。产品信息模型可以是不同建模软件创建，但是无论是哪种格式的信息模型其信息标准须满足本标准的规定。</w:t>
      </w:r>
    </w:p>
    <w:p>
      <w:pPr>
        <w:pStyle w:val="4"/>
        <w:bidi w:val="0"/>
        <w:ind w:firstLine="241"/>
        <w:rPr>
          <w:rFonts w:hint="eastAsia"/>
          <w:b w:val="0"/>
          <w:bCs/>
          <w:lang w:val="en-US"/>
        </w:rPr>
      </w:pPr>
      <w:r>
        <w:rPr>
          <w:rFonts w:hint="eastAsia"/>
          <w:b/>
          <w:bCs w:val="0"/>
          <w:lang w:val="en-US"/>
        </w:rPr>
        <w:t>3.2.2</w:t>
      </w:r>
      <w:r>
        <w:rPr>
          <w:rFonts w:hint="eastAsia"/>
          <w:b/>
          <w:bCs w:val="0"/>
          <w:lang w:val="en-US" w:eastAsia="zh-CN"/>
        </w:rPr>
        <w:t xml:space="preserve"> </w:t>
      </w:r>
      <w:r>
        <w:rPr>
          <w:rFonts w:hint="eastAsia"/>
          <w:b w:val="0"/>
          <w:bCs/>
          <w:lang w:val="en-US"/>
        </w:rPr>
        <w:t>产品信息模型应体现以下信息：</w:t>
      </w:r>
    </w:p>
    <w:p>
      <w:pPr>
        <w:rPr>
          <w:lang w:val="zh-CN"/>
        </w:rPr>
      </w:pPr>
      <w:r>
        <w:rPr>
          <w:rFonts w:hint="eastAsia"/>
          <w:lang w:val="zh-CN"/>
        </w:rPr>
        <w:t>1 产品的几何信息，如尺寸大小等。</w:t>
      </w:r>
    </w:p>
    <w:p>
      <w:pPr>
        <w:rPr>
          <w:lang w:val="zh-CN"/>
        </w:rPr>
      </w:pPr>
      <w:r>
        <w:rPr>
          <w:rFonts w:hint="eastAsia"/>
        </w:rPr>
        <w:t xml:space="preserve">2 </w:t>
      </w:r>
      <w:r>
        <w:rPr>
          <w:rFonts w:hint="eastAsia"/>
          <w:lang w:val="zh-CN"/>
        </w:rPr>
        <w:t>结构工程力学计算与验证所需信息；</w:t>
      </w:r>
    </w:p>
    <w:p>
      <w:pPr>
        <w:rPr>
          <w:lang w:val="zh-CN"/>
        </w:rPr>
      </w:pPr>
      <w:r>
        <w:rPr>
          <w:rFonts w:hint="eastAsia"/>
        </w:rPr>
        <w:t xml:space="preserve">3 </w:t>
      </w:r>
      <w:r>
        <w:rPr>
          <w:rFonts w:hint="eastAsia"/>
          <w:lang w:val="zh-CN"/>
        </w:rPr>
        <w:t>结构工程施工及验收所需要的信息；</w:t>
      </w:r>
    </w:p>
    <w:p>
      <w:pPr>
        <w:rPr>
          <w:lang w:val="zh-CN"/>
        </w:rPr>
      </w:pPr>
      <w:r>
        <w:rPr>
          <w:rFonts w:hint="eastAsia"/>
        </w:rPr>
        <w:t>4</w:t>
      </w:r>
      <w:r>
        <w:rPr>
          <w:rFonts w:hint="eastAsia"/>
          <w:lang w:val="zh-CN"/>
        </w:rPr>
        <w:t xml:space="preserve"> 工程的成本与造价预算信息；</w:t>
      </w:r>
    </w:p>
    <w:p>
      <w:pPr>
        <w:rPr>
          <w:lang w:val="zh-CN"/>
        </w:rPr>
      </w:pPr>
      <w:r>
        <w:rPr>
          <w:rFonts w:hint="eastAsia"/>
        </w:rPr>
        <w:t>5</w:t>
      </w:r>
      <w:r>
        <w:rPr>
          <w:rFonts w:hint="eastAsia"/>
          <w:lang w:val="zh-CN"/>
        </w:rPr>
        <w:t xml:space="preserve"> 产品采购、运输相关信息；</w:t>
      </w:r>
    </w:p>
    <w:p>
      <w:pPr>
        <w:rPr>
          <w:lang w:val="zh-CN"/>
        </w:rPr>
      </w:pPr>
      <w:r>
        <w:rPr>
          <w:rFonts w:hint="eastAsia"/>
        </w:rPr>
        <w:t>6</w:t>
      </w:r>
      <w:r>
        <w:rPr>
          <w:rFonts w:hint="eastAsia"/>
          <w:lang w:val="zh-CN"/>
        </w:rPr>
        <w:t xml:space="preserve"> 结构工程管理所需要的其它信息。</w:t>
      </w:r>
    </w:p>
    <w:p>
      <w:pPr>
        <w:rPr>
          <w:i/>
        </w:rPr>
      </w:pPr>
      <w:r>
        <w:rPr>
          <w:rFonts w:hint="eastAsia" w:ascii="宋体" w:hAnsi="宋体"/>
          <w:i/>
          <w:iCs/>
          <w:szCs w:val="21"/>
        </w:rPr>
        <w:t xml:space="preserve"> 【条文说明】：</w:t>
      </w:r>
      <w:bookmarkStart w:id="24" w:name="_Toc5323"/>
      <w:r>
        <w:rPr>
          <w:rStyle w:val="35"/>
          <w:rFonts w:hint="eastAsia"/>
          <w:i/>
          <w:iCs w:val="0"/>
        </w:rPr>
        <w:t>产品信息模型信息应该根据产品在工程应用中涉及到的行为目标来确定。</w:t>
      </w:r>
      <w:bookmarkEnd w:id="24"/>
      <w:r>
        <w:rPr>
          <w:rFonts w:hint="eastAsia"/>
          <w:i/>
        </w:rPr>
        <w:t>如:预应力梁在设计阶段以出图为目标，需要截面尺寸、配筋、编号、材质、张拉方式、空间定位等信息；施工阶段以安装搭建为目标，需要质量检测、运输条件、入场时间、放置场地、张拉配套设备等信息；采购阶段以购买交易为目标，需要有质量特征、厂家信息、价格、产品引用标准、验收标准、计量方式等信息。</w:t>
      </w:r>
    </w:p>
    <w:p>
      <w:pPr>
        <w:rPr>
          <w:rFonts w:ascii="宋体" w:hAnsi="宋体"/>
          <w:i/>
          <w:iCs/>
          <w:szCs w:val="21"/>
        </w:rPr>
      </w:pPr>
    </w:p>
    <w:p>
      <w:pPr>
        <w:pStyle w:val="4"/>
        <w:bidi w:val="0"/>
        <w:ind w:firstLine="241"/>
        <w:rPr>
          <w:rFonts w:hint="eastAsia"/>
          <w:b w:val="0"/>
          <w:bCs/>
          <w:lang w:val="en-US"/>
        </w:rPr>
      </w:pPr>
      <w:r>
        <w:rPr>
          <w:rFonts w:hint="eastAsia"/>
          <w:b/>
          <w:bCs w:val="0"/>
          <w:lang w:val="en-US"/>
        </w:rPr>
        <w:t>3.2.3</w:t>
      </w:r>
      <w:r>
        <w:rPr>
          <w:rFonts w:hint="eastAsia"/>
          <w:b/>
          <w:bCs w:val="0"/>
          <w:lang w:val="en-US" w:eastAsia="zh-CN"/>
        </w:rPr>
        <w:t xml:space="preserve"> </w:t>
      </w:r>
      <w:r>
        <w:rPr>
          <w:rFonts w:hint="eastAsia"/>
          <w:b w:val="0"/>
          <w:bCs/>
          <w:lang w:val="en-US"/>
        </w:rPr>
        <w:t>产品信息模型的真实有效必须通过产品生产制造商认可，且应有产品生产制造商的专属信息，生产制造商信息应体现以下内容：</w:t>
      </w:r>
    </w:p>
    <w:p>
      <w:pPr>
        <w:rPr>
          <w:lang w:val="zh-CN"/>
        </w:rPr>
      </w:pPr>
      <w:r>
        <w:rPr>
          <w:rFonts w:hint="eastAsia"/>
          <w:lang w:val="zh-CN"/>
        </w:rPr>
        <w:t xml:space="preserve">1 </w:t>
      </w:r>
      <w:r>
        <w:rPr>
          <w:lang w:val="zh-CN"/>
        </w:rPr>
        <w:t xml:space="preserve"> </w:t>
      </w:r>
      <w:r>
        <w:rPr>
          <w:rFonts w:hint="eastAsia"/>
          <w:lang w:val="zh-CN"/>
        </w:rPr>
        <w:t>产品生产制造商企业基本信息；</w:t>
      </w:r>
    </w:p>
    <w:p>
      <w:pPr>
        <w:rPr>
          <w:lang w:val="zh-CN"/>
        </w:rPr>
      </w:pPr>
      <w:r>
        <w:rPr>
          <w:rFonts w:hint="eastAsia"/>
          <w:lang w:val="zh-CN"/>
        </w:rPr>
        <w:t xml:space="preserve">2 </w:t>
      </w:r>
      <w:r>
        <w:rPr>
          <w:lang w:val="zh-CN"/>
        </w:rPr>
        <w:t xml:space="preserve"> </w:t>
      </w:r>
      <w:r>
        <w:rPr>
          <w:rFonts w:hint="eastAsia"/>
          <w:lang w:val="zh-CN"/>
        </w:rPr>
        <w:t>涉及到行业认证、自愿性认证、强制性认证等需有相关认证文号；</w:t>
      </w:r>
    </w:p>
    <w:p>
      <w:pPr>
        <w:rPr>
          <w:lang w:val="zh-CN"/>
        </w:rPr>
      </w:pPr>
      <w:r>
        <w:rPr>
          <w:rFonts w:hint="eastAsia"/>
          <w:lang w:val="zh-CN"/>
        </w:rPr>
        <w:t>3</w:t>
      </w:r>
      <w:r>
        <w:rPr>
          <w:lang w:val="zh-CN"/>
        </w:rPr>
        <w:t xml:space="preserve"> </w:t>
      </w:r>
      <w:r>
        <w:rPr>
          <w:rFonts w:hint="eastAsia"/>
          <w:lang w:val="zh-CN"/>
        </w:rPr>
        <w:t xml:space="preserve"> 原材料、原配件配料的相关证明文件。</w:t>
      </w:r>
    </w:p>
    <w:p>
      <w:pPr>
        <w:rPr>
          <w:rFonts w:ascii="宋体" w:hAnsi="宋体"/>
          <w:i/>
          <w:iCs/>
          <w:szCs w:val="21"/>
        </w:rPr>
      </w:pPr>
      <w:r>
        <w:rPr>
          <w:rFonts w:hint="eastAsia" w:ascii="宋体" w:hAnsi="宋体"/>
          <w:i/>
          <w:iCs/>
          <w:szCs w:val="21"/>
        </w:rPr>
        <w:t>【条文说明】产品生产商的基本信息包括营业执照相关合法经营证明。保证产品生产制造的合法性。结构工程产品信息模型应该包含原材料信息。比如：钢材、木材等材料等级、材质等有效证明文件（可查询文号）。</w:t>
      </w:r>
    </w:p>
    <w:p>
      <w:pPr>
        <w:pStyle w:val="4"/>
        <w:bidi w:val="0"/>
        <w:ind w:firstLine="241"/>
        <w:rPr>
          <w:rFonts w:hint="eastAsia"/>
          <w:b w:val="0"/>
          <w:bCs/>
          <w:lang w:val="en-US"/>
        </w:rPr>
      </w:pPr>
      <w:r>
        <w:rPr>
          <w:rFonts w:hint="eastAsia"/>
          <w:b/>
          <w:bCs w:val="0"/>
          <w:lang w:val="en-US"/>
        </w:rPr>
        <w:t>3.2.4</w:t>
      </w:r>
      <w:r>
        <w:rPr>
          <w:rFonts w:hint="eastAsia"/>
          <w:b/>
          <w:bCs w:val="0"/>
          <w:lang w:val="en-US" w:eastAsia="zh-CN"/>
        </w:rPr>
        <w:t xml:space="preserve"> </w:t>
      </w:r>
      <w:r>
        <w:rPr>
          <w:rFonts w:hint="eastAsia"/>
          <w:b w:val="0"/>
          <w:bCs/>
          <w:lang w:val="en-US"/>
        </w:rPr>
        <w:t>产品生产商应严格地区分系列产品参数和当前项目使用产品参数。一个产品信息模型可能代表的是一个产品系列，具体在项目应用中，应加载该项目使用信息。</w:t>
      </w:r>
    </w:p>
    <w:p>
      <w:pPr>
        <w:rPr>
          <w:rFonts w:ascii="宋体" w:hAnsi="宋体" w:cs="宋体"/>
          <w:i/>
          <w:iCs/>
          <w:lang w:val="zh-CN"/>
        </w:rPr>
      </w:pPr>
      <w:r>
        <w:rPr>
          <w:rFonts w:ascii="宋体" w:hAnsi="宋体" w:cs="宋体"/>
          <w:i/>
          <w:iCs/>
          <w:lang w:val="zh-CN"/>
        </w:rPr>
        <w:t>【条文说明】</w:t>
      </w:r>
      <w:r>
        <w:rPr>
          <w:rFonts w:hint="eastAsia" w:ascii="宋体" w:hAnsi="宋体" w:cs="宋体"/>
          <w:i/>
          <w:iCs/>
          <w:lang w:val="zh-CN"/>
        </w:rPr>
        <w:t>产品生产商基于自己的产品，对产品信息模型可以做统一创建及管理。可以将同系列的产品用一个模型表达，但在具体应用过程，所加载的某一具体型号产品的信息应区别于该系列产品信息。</w:t>
      </w:r>
    </w:p>
    <w:p>
      <w:pPr>
        <w:rPr>
          <w:lang w:val="zh-CN"/>
        </w:rPr>
      </w:pPr>
    </w:p>
    <w:p>
      <w:pPr>
        <w:pStyle w:val="4"/>
        <w:bidi w:val="0"/>
        <w:ind w:firstLine="241"/>
        <w:rPr>
          <w:rFonts w:hint="eastAsia"/>
          <w:b/>
          <w:bCs w:val="0"/>
          <w:lang w:val="en-US"/>
        </w:rPr>
      </w:pPr>
      <w:bookmarkStart w:id="25" w:name="_Hlk28521999"/>
      <w:r>
        <w:rPr>
          <w:rFonts w:hint="eastAsia"/>
          <w:b/>
          <w:bCs w:val="0"/>
          <w:lang w:val="zh-CN"/>
        </w:rPr>
        <w:t>3.2.5</w:t>
      </w:r>
      <w:r>
        <w:rPr>
          <w:rFonts w:hint="eastAsia"/>
          <w:b/>
          <w:bCs w:val="0"/>
          <w:lang w:val="en-US" w:eastAsia="zh-CN"/>
        </w:rPr>
        <w:t xml:space="preserve"> </w:t>
      </w:r>
      <w:r>
        <w:rPr>
          <w:rFonts w:hint="eastAsia"/>
          <w:b w:val="0"/>
          <w:bCs/>
          <w:lang w:val="zh-CN"/>
        </w:rPr>
        <w:t>产品信息模型</w:t>
      </w:r>
      <w:r>
        <w:rPr>
          <w:rFonts w:hint="eastAsia"/>
          <w:b w:val="0"/>
          <w:bCs/>
          <w:lang w:val="en-US"/>
        </w:rPr>
        <w:t>的属性信息，可使用文字、文档、多媒体等方式补充和增强信息的表达</w:t>
      </w:r>
      <w:r>
        <w:rPr>
          <w:rFonts w:hint="eastAsia"/>
          <w:b/>
          <w:bCs w:val="0"/>
          <w:lang w:val="en-US"/>
        </w:rPr>
        <w:t>。</w:t>
      </w:r>
    </w:p>
    <w:p>
      <w:pPr>
        <w:rPr>
          <w:rFonts w:eastAsia="Times New Roman"/>
          <w:i/>
          <w:iCs/>
          <w:lang w:val="zh-CN"/>
        </w:rPr>
      </w:pPr>
      <w:bookmarkStart w:id="26" w:name="_Hlk15335785"/>
      <w:r>
        <w:rPr>
          <w:rFonts w:hint="eastAsia" w:ascii="宋体" w:hAnsi="宋体" w:cs="宋体"/>
          <w:i/>
          <w:iCs/>
          <w:lang w:val="zh-CN"/>
        </w:rPr>
        <w:t>【条文说明】：受技术条件的限制及属性传递的需要，产品信息模型所包含的信息不能够全部通过几何图形表达，在这种情况下，可以文字、文档附件、图片等多种形式对属性信息进行补充，并以模型所承载的这些非几何信息作为优先的有效信息。例如：预应力混凝土梁的材质、防护等级、承载能力等信息，均难以或无法用几何信息表达，即可通过文字、图片等加以描述。</w:t>
      </w:r>
    </w:p>
    <w:bookmarkEnd w:id="25"/>
    <w:bookmarkEnd w:id="26"/>
    <w:p>
      <w:pPr>
        <w:rPr>
          <w:rFonts w:ascii="宋体" w:hAnsi="宋体" w:cs="宋体"/>
          <w:lang w:val="zh-CN"/>
        </w:rPr>
      </w:pPr>
    </w:p>
    <w:p>
      <w:pPr>
        <w:rPr>
          <w:lang w:val="zh-CN"/>
        </w:rPr>
      </w:pPr>
    </w:p>
    <w:p>
      <w:pPr>
        <w:pStyle w:val="3"/>
        <w:bidi w:val="0"/>
        <w:rPr>
          <w:lang w:val="zh-CN"/>
        </w:rPr>
      </w:pPr>
      <w:bookmarkStart w:id="27" w:name="_Toc28533007"/>
      <w:bookmarkStart w:id="28" w:name="_Toc27135"/>
      <w:r>
        <w:rPr>
          <w:lang w:val="zh-CN"/>
        </w:rPr>
        <w:t>3.3</w:t>
      </w:r>
      <w:r>
        <w:rPr>
          <w:rFonts w:hint="eastAsia"/>
          <w:lang w:val="zh-CN"/>
        </w:rPr>
        <w:t>产品信息模型信息表达</w:t>
      </w:r>
      <w:bookmarkEnd w:id="27"/>
      <w:bookmarkEnd w:id="28"/>
    </w:p>
    <w:p>
      <w:pPr>
        <w:pStyle w:val="4"/>
        <w:bidi w:val="0"/>
        <w:ind w:firstLine="241"/>
        <w:rPr>
          <w:rFonts w:hint="eastAsia"/>
          <w:b w:val="0"/>
          <w:bCs/>
          <w:lang w:val="zh-CN"/>
        </w:rPr>
      </w:pPr>
      <w:r>
        <w:rPr>
          <w:rFonts w:hint="eastAsia"/>
          <w:b/>
          <w:bCs w:val="0"/>
          <w:lang w:val="zh-CN"/>
        </w:rPr>
        <w:t>3.3.1</w:t>
      </w:r>
      <w:r>
        <w:rPr>
          <w:rFonts w:hint="eastAsia"/>
          <w:b/>
          <w:bCs w:val="0"/>
          <w:lang w:val="en-US" w:eastAsia="zh-CN"/>
        </w:rPr>
        <w:t xml:space="preserve"> </w:t>
      </w:r>
      <w:r>
        <w:rPr>
          <w:rFonts w:hint="eastAsia"/>
          <w:b w:val="0"/>
          <w:bCs/>
          <w:lang w:val="zh-CN"/>
        </w:rPr>
        <w:t>实体产品的属性与产品信息模型关系如下：</w:t>
      </w:r>
    </w:p>
    <w:p>
      <w:r>
        <w:rPr>
          <w:rFonts w:hint="eastAsia"/>
        </w:rPr>
        <w:t>1、产品的性能特点表达由产品信息模型信息的几何信息与非几何信息组成。</w:t>
      </w:r>
    </w:p>
    <w:p>
      <w:r>
        <w:rPr>
          <w:rFonts w:hint="eastAsia"/>
        </w:rPr>
        <w:t>2、产品信息模型由图形、字符组成，同时它们也反应产品的几何信息和非几何信息。</w:t>
      </w:r>
    </w:p>
    <w:p>
      <w:pPr>
        <w:pStyle w:val="4"/>
        <w:bidi w:val="0"/>
        <w:ind w:firstLine="241"/>
        <w:rPr>
          <w:rFonts w:hint="eastAsia"/>
          <w:b w:val="0"/>
          <w:bCs/>
          <w:lang w:val="zh-CN"/>
        </w:rPr>
      </w:pPr>
      <w:r>
        <w:rPr>
          <w:rFonts w:hint="eastAsia"/>
          <w:b/>
          <w:bCs w:val="0"/>
          <w:lang w:val="zh-CN"/>
        </w:rPr>
        <w:t>3.3.2</w:t>
      </w:r>
      <w:r>
        <w:rPr>
          <w:rFonts w:hint="eastAsia"/>
          <w:b/>
          <w:bCs w:val="0"/>
          <w:lang w:val="en-US" w:eastAsia="zh-CN"/>
        </w:rPr>
        <w:t xml:space="preserve"> </w:t>
      </w:r>
      <w:r>
        <w:rPr>
          <w:rFonts w:hint="eastAsia"/>
          <w:b w:val="0"/>
          <w:bCs/>
          <w:lang w:val="zh-CN"/>
        </w:rPr>
        <w:t>产品信息模型中的图形与字符是不可分割的组成部分，它们完整</w:t>
      </w:r>
      <w:r>
        <w:rPr>
          <w:rFonts w:hint="eastAsia"/>
          <w:b w:val="0"/>
          <w:bCs/>
          <w:lang w:val="en-US"/>
        </w:rPr>
        <w:t>地</w:t>
      </w:r>
      <w:r>
        <w:rPr>
          <w:rFonts w:hint="eastAsia"/>
          <w:b w:val="0"/>
          <w:bCs/>
          <w:lang w:val="zh-CN"/>
        </w:rPr>
        <w:t>表达产品的几何信息和非几何信息。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 xml:space="preserve"> 通常几何信息可以在图形文件里体现，非几何信息通过属性文字记录体现。但也有特殊情况，如钢节点焊缝的做法很难在图形上表达。这种情况下就可以用文字说明。</w:t>
      </w:r>
    </w:p>
    <w:p>
      <w:pPr>
        <w:pStyle w:val="4"/>
        <w:bidi w:val="0"/>
        <w:ind w:firstLine="241"/>
        <w:rPr>
          <w:rFonts w:hint="eastAsia"/>
          <w:b w:val="0"/>
          <w:bCs/>
          <w:lang w:val="zh-CN"/>
        </w:rPr>
      </w:pPr>
      <w:r>
        <w:rPr>
          <w:rFonts w:hint="eastAsia"/>
          <w:b/>
          <w:bCs w:val="0"/>
          <w:lang w:val="zh-CN"/>
        </w:rPr>
        <w:t xml:space="preserve"> </w:t>
      </w:r>
      <w:bookmarkStart w:id="29" w:name="_Toc30237"/>
      <w:r>
        <w:rPr>
          <w:rFonts w:hint="eastAsia"/>
          <w:b/>
          <w:bCs w:val="0"/>
          <w:lang w:val="zh-CN"/>
        </w:rPr>
        <w:t>3.3.3</w:t>
      </w:r>
      <w:r>
        <w:rPr>
          <w:rFonts w:hint="eastAsia"/>
          <w:b w:val="0"/>
          <w:bCs/>
          <w:lang w:val="en-US" w:eastAsia="zh-CN"/>
        </w:rPr>
        <w:t xml:space="preserve"> </w:t>
      </w:r>
      <w:r>
        <w:rPr>
          <w:rFonts w:hint="eastAsia"/>
          <w:b w:val="0"/>
          <w:bCs/>
          <w:lang w:val="zh-CN"/>
        </w:rPr>
        <w:t>产品信息模型应该能够映射成二维图形，映射的二维图形参考《房屋建筑统一制图标准》（GB/T 50001</w:t>
      </w:r>
      <w:bookmarkEnd w:id="29"/>
      <w:r>
        <w:rPr>
          <w:rFonts w:hint="eastAsia"/>
          <w:b w:val="0"/>
          <w:bCs/>
          <w:lang w:val="zh-CN"/>
        </w:rPr>
        <w:t xml:space="preserve">）、《建筑结构制图标准》（GB/T50105）、《平法图集》（如16G101系列等）及钢结构、木结构、膜结构等规范规定的制图标准。 </w:t>
      </w:r>
    </w:p>
    <w:p>
      <w:pPr>
        <w:rPr>
          <w:rFonts w:ascii="宋体" w:hAnsi="宋体"/>
          <w:i/>
          <w:iCs/>
          <w:szCs w:val="21"/>
        </w:rPr>
      </w:pPr>
      <w:r>
        <w:rPr>
          <w:rFonts w:ascii="宋体" w:hAnsi="宋体"/>
          <w:i/>
          <w:iCs/>
          <w:szCs w:val="21"/>
        </w:rPr>
        <w:t>【条文说明】：</w:t>
      </w:r>
      <w:r>
        <w:rPr>
          <w:rFonts w:hint="eastAsia" w:ascii="宋体" w:hAnsi="宋体"/>
          <w:i/>
          <w:iCs/>
          <w:szCs w:val="21"/>
        </w:rPr>
        <w:t>本条规定了产品信息模型的构成并阐述了三维图形和二维图形的关系。</w:t>
      </w:r>
    </w:p>
    <w:p>
      <w:pPr>
        <w:rPr>
          <w:rFonts w:ascii="宋体" w:hAnsi="宋体"/>
          <w:i/>
          <w:iCs/>
          <w:szCs w:val="21"/>
        </w:rPr>
      </w:pPr>
      <w:r>
        <w:rPr>
          <w:rFonts w:ascii="宋体" w:hAnsi="宋体"/>
          <w:i/>
          <w:iCs/>
          <w:szCs w:val="21"/>
        </w:rPr>
        <w:t>产品信息模型是可以生成三维及二维图形，并能保持一致，同是产品的真实反映。</w:t>
      </w:r>
      <w:r>
        <w:rPr>
          <w:rFonts w:hint="eastAsia" w:ascii="宋体" w:hAnsi="宋体"/>
          <w:i/>
          <w:iCs/>
          <w:szCs w:val="21"/>
        </w:rPr>
        <w:t>映射的二维图形满足制图标准主要体现在：图例、图样的画法、柱、梁及其连接方式等表示方法、线型比例的使用等。</w:t>
      </w:r>
    </w:p>
    <w:p>
      <w:pPr>
        <w:pStyle w:val="4"/>
        <w:bidi w:val="0"/>
        <w:ind w:firstLine="241"/>
        <w:rPr>
          <w:rFonts w:hint="eastAsia"/>
          <w:b w:val="0"/>
          <w:bCs/>
          <w:lang w:val="zh-CN"/>
        </w:rPr>
      </w:pPr>
      <w:r>
        <w:rPr>
          <w:rFonts w:hint="eastAsia"/>
          <w:b/>
          <w:bCs w:val="0"/>
          <w:lang w:val="zh-CN"/>
        </w:rPr>
        <w:t>3.3.3</w:t>
      </w:r>
      <w:r>
        <w:rPr>
          <w:rFonts w:hint="eastAsia"/>
          <w:b/>
          <w:bCs w:val="0"/>
          <w:lang w:val="en-US" w:eastAsia="zh-CN"/>
        </w:rPr>
        <w:t xml:space="preserve"> </w:t>
      </w:r>
      <w:r>
        <w:rPr>
          <w:rFonts w:hint="eastAsia"/>
          <w:b w:val="0"/>
          <w:bCs/>
          <w:lang w:val="zh-CN"/>
        </w:rPr>
        <w:t>按照产品信息模型的信息类别应该有以下应分类</w:t>
      </w:r>
    </w:p>
    <w:p>
      <w:pPr>
        <w:rPr>
          <w:strike/>
          <w:lang w:val="zh-CN"/>
        </w:rPr>
      </w:pPr>
      <w:r>
        <w:rPr>
          <w:rFonts w:hint="eastAsia"/>
          <w:lang w:val="zh-CN"/>
        </w:rPr>
        <w:t>1 产品本身具备的信息；</w:t>
      </w:r>
    </w:p>
    <w:p>
      <w:pPr>
        <w:rPr>
          <w:strike/>
          <w:lang w:val="zh-CN"/>
        </w:rPr>
      </w:pPr>
      <w:bookmarkStart w:id="30" w:name="_Hlk14526873"/>
      <w:r>
        <w:rPr>
          <w:rFonts w:hint="eastAsia"/>
          <w:lang w:val="zh-CN"/>
        </w:rPr>
        <w:t>2 产品项目应用信息；</w:t>
      </w:r>
    </w:p>
    <w:bookmarkEnd w:id="30"/>
    <w:p>
      <w:pPr>
        <w:rPr>
          <w:lang w:val="zh-CN"/>
        </w:rPr>
      </w:pPr>
      <w:r>
        <w:rPr>
          <w:rFonts w:hint="eastAsia"/>
          <w:lang w:val="zh-CN"/>
        </w:rPr>
        <w:t>3 生产制造商针对系列产品加载的信息。</w:t>
      </w:r>
    </w:p>
    <w:p>
      <w:r>
        <w:rPr>
          <w:rFonts w:hint="eastAsia" w:ascii="宋体" w:hAnsi="宋体"/>
          <w:i/>
          <w:iCs/>
          <w:szCs w:val="21"/>
        </w:rPr>
        <w:t>【条文说明】1、</w:t>
      </w:r>
      <w:r>
        <w:rPr>
          <w:rFonts w:hint="eastAsia"/>
          <w:lang w:val="zh-CN"/>
        </w:rPr>
        <w:t>产品本身具备的信息</w:t>
      </w:r>
      <w:r>
        <w:rPr>
          <w:rFonts w:hint="eastAsia"/>
        </w:rPr>
        <w:t>是指产品自身具备的信息，例如：3D几何信息及拓扑关系；产品指标性能表达；产品厂家、型号和系列的表达；对象之间工程逻辑关系等。此类信息与产品应用场景（项目、过程行为、项目各参与方）无关。</w:t>
      </w:r>
    </w:p>
    <w:p>
      <w:pPr>
        <w:rPr>
          <w:rFonts w:ascii="宋体" w:hAnsi="宋体"/>
          <w:i/>
          <w:iCs/>
          <w:szCs w:val="21"/>
        </w:rPr>
      </w:pPr>
    </w:p>
    <w:p>
      <w:r>
        <w:rPr>
          <w:rFonts w:hint="eastAsia" w:ascii="宋体" w:hAnsi="宋体"/>
          <w:i/>
          <w:iCs/>
          <w:szCs w:val="21"/>
        </w:rPr>
        <w:t>2、</w:t>
      </w:r>
      <w:r>
        <w:rPr>
          <w:rFonts w:hint="eastAsia"/>
          <w:lang w:val="zh-CN"/>
        </w:rPr>
        <w:t>产品项目应用信息</w:t>
      </w:r>
      <w:r>
        <w:rPr>
          <w:rStyle w:val="35"/>
          <w:rFonts w:hint="eastAsia"/>
        </w:rPr>
        <w:t>是产品在特定项目中唯一性信息的表达，</w:t>
      </w:r>
      <w:r>
        <w:rPr>
          <w:rFonts w:hint="eastAsia"/>
        </w:rPr>
        <w:t>例如：产品编号，采购信息，产品生产周期，入场时间，验收合格等信息。此类信息需在产品信息模型中预留参数，待相关工作人员自行填写。</w:t>
      </w:r>
    </w:p>
    <w:p>
      <w:pPr>
        <w:rPr>
          <w:rFonts w:ascii="宋体" w:hAnsi="宋体"/>
          <w:i/>
          <w:iCs/>
          <w:szCs w:val="21"/>
        </w:rPr>
      </w:pPr>
      <w:r>
        <w:rPr>
          <w:rFonts w:hint="eastAsia" w:ascii="宋体" w:hAnsi="宋体"/>
          <w:i/>
          <w:iCs/>
          <w:szCs w:val="21"/>
        </w:rPr>
        <w:t>3、产品生产商为了有效管理产品信息模型，应是从产品整体考虑模型数量。比如：柱、梁有不同的标高、高度、长度等。 在系列产品中这些不同规格的产品一个模型就可以代表。但是具体项目应用中它只能加载相应规格的产品信息（尺寸、表面处理工艺等）。</w:t>
      </w:r>
    </w:p>
    <w:p>
      <w:bookmarkStart w:id="31" w:name="_Toc28533008"/>
      <w:r>
        <w:rPr>
          <w:rFonts w:hint="eastAsia"/>
          <w:lang w:val="en-US" w:eastAsia="zh-CN"/>
        </w:rPr>
        <w:br w:type="page"/>
      </w:r>
    </w:p>
    <w:p>
      <w:pPr>
        <w:pStyle w:val="2"/>
        <w:bidi w:val="0"/>
      </w:pPr>
      <w:r>
        <w:rPr>
          <w:rFonts w:hint="eastAsia"/>
          <w:lang w:val="en-US" w:eastAsia="zh-CN"/>
        </w:rPr>
        <w:t xml:space="preserve"> </w:t>
      </w:r>
      <w:bookmarkStart w:id="32" w:name="_Toc5475"/>
      <w:r>
        <w:t>模型命名、分类与编码</w:t>
      </w:r>
      <w:bookmarkEnd w:id="31"/>
      <w:bookmarkEnd w:id="32"/>
    </w:p>
    <w:p>
      <w:pPr>
        <w:pStyle w:val="3"/>
        <w:bidi w:val="0"/>
        <w:rPr>
          <w:lang w:val="zh-CN"/>
        </w:rPr>
      </w:pPr>
      <w:bookmarkStart w:id="33" w:name="_Toc28533009"/>
      <w:bookmarkStart w:id="34" w:name="_Toc16308"/>
      <w:r>
        <w:rPr>
          <w:lang w:val="zh-CN"/>
        </w:rPr>
        <w:t>4.</w:t>
      </w:r>
      <w:r>
        <w:rPr>
          <w:rFonts w:hint="eastAsia"/>
          <w:lang w:val="zh-CN"/>
        </w:rPr>
        <w:t>1产品信息模型的命名规则</w:t>
      </w:r>
      <w:bookmarkEnd w:id="33"/>
      <w:bookmarkEnd w:id="34"/>
      <w:r>
        <w:rPr>
          <w:lang w:val="zh-CN"/>
        </w:rPr>
        <w:t xml:space="preserve"> </w:t>
      </w:r>
    </w:p>
    <w:p>
      <w:pPr>
        <w:pStyle w:val="4"/>
        <w:bidi w:val="0"/>
        <w:ind w:firstLine="241"/>
        <w:rPr>
          <w:rFonts w:hint="eastAsia"/>
          <w:b/>
          <w:bCs w:val="0"/>
          <w:lang w:val="zh-CN"/>
        </w:rPr>
      </w:pPr>
      <w:r>
        <w:rPr>
          <w:rFonts w:hint="eastAsia"/>
          <w:b/>
          <w:bCs w:val="0"/>
          <w:lang w:val="zh-CN"/>
        </w:rPr>
        <w:t>4.1.1</w:t>
      </w:r>
      <w:r>
        <w:rPr>
          <w:rFonts w:hint="eastAsia"/>
          <w:b/>
          <w:bCs w:val="0"/>
          <w:lang w:val="en-US" w:eastAsia="zh-CN"/>
        </w:rPr>
        <w:t xml:space="preserve"> </w:t>
      </w:r>
      <w:r>
        <w:rPr>
          <w:rFonts w:hint="eastAsia"/>
          <w:b w:val="0"/>
          <w:bCs/>
          <w:lang w:val="zh-CN"/>
        </w:rPr>
        <w:t>产品信息模型命名在工程设计、施工、管理各个环节中应保持一致，产品信息模型命名要有可靠依据。</w:t>
      </w:r>
    </w:p>
    <w:p>
      <w:pPr>
        <w:rPr>
          <w:rFonts w:ascii="宋体" w:hAnsi="宋体"/>
          <w:i/>
          <w:iCs/>
          <w:szCs w:val="21"/>
        </w:rPr>
      </w:pPr>
      <w:r>
        <w:rPr>
          <w:rFonts w:ascii="宋体" w:hAnsi="宋体"/>
          <w:i/>
          <w:iCs/>
          <w:szCs w:val="21"/>
        </w:rPr>
        <w:t>【条文说明】产品在项目中使用的各个环节涉及到产品选型、采购合同、检测与验收。如</w:t>
      </w:r>
      <w:r>
        <w:rPr>
          <w:rFonts w:hint="eastAsia" w:ascii="宋体" w:hAnsi="宋体"/>
          <w:i/>
          <w:iCs/>
          <w:szCs w:val="21"/>
        </w:rPr>
        <w:t>桩基</w:t>
      </w:r>
      <w:r>
        <w:rPr>
          <w:rFonts w:ascii="宋体" w:hAnsi="宋体"/>
          <w:i/>
          <w:iCs/>
          <w:szCs w:val="21"/>
        </w:rPr>
        <w:t>检测报告名称、采购合同使用名称、引用标准使用名称应该保持一致。</w:t>
      </w:r>
    </w:p>
    <w:p>
      <w:pPr>
        <w:pStyle w:val="4"/>
        <w:bidi w:val="0"/>
        <w:ind w:firstLine="241"/>
        <w:rPr>
          <w:rFonts w:hint="eastAsia"/>
          <w:b w:val="0"/>
          <w:bCs/>
          <w:lang w:val="zh-CN"/>
        </w:rPr>
      </w:pPr>
      <w:r>
        <w:rPr>
          <w:rFonts w:hint="eastAsia"/>
          <w:b/>
          <w:bCs w:val="0"/>
          <w:lang w:val="zh-CN"/>
        </w:rPr>
        <w:t>4.1.2</w:t>
      </w:r>
      <w:r>
        <w:rPr>
          <w:rFonts w:hint="eastAsia"/>
          <w:b/>
          <w:bCs w:val="0"/>
          <w:lang w:val="en-US" w:eastAsia="zh-CN"/>
        </w:rPr>
        <w:t xml:space="preserve"> </w:t>
      </w:r>
      <w:r>
        <w:rPr>
          <w:rFonts w:hint="eastAsia"/>
          <w:b w:val="0"/>
          <w:bCs/>
          <w:lang w:val="zh-CN"/>
        </w:rPr>
        <w:t>产品信息模型应该遵循以下原则进行命名，其命名方式及格式应符合该产品标准相关规定。</w:t>
      </w:r>
    </w:p>
    <w:p>
      <w:pPr>
        <w:rPr>
          <w:lang w:val="zh-CN"/>
        </w:rPr>
      </w:pPr>
      <w:r>
        <w:rPr>
          <w:rFonts w:hint="eastAsia"/>
          <w:lang w:val="zh-CN"/>
        </w:rPr>
        <w:t xml:space="preserve">1 </w:t>
      </w:r>
      <w:r>
        <w:t>产品</w:t>
      </w:r>
      <w:r>
        <w:rPr>
          <w:rFonts w:hint="eastAsia" w:ascii="宋体" w:hAnsi="宋体" w:cs="宋体"/>
        </w:rPr>
        <w:t>生产制造、检测应用所引用的</w:t>
      </w:r>
      <w:r>
        <w:t>标准</w:t>
      </w:r>
      <w:r>
        <w:rPr>
          <w:rFonts w:hint="eastAsia"/>
        </w:rPr>
        <w:t>。</w:t>
      </w:r>
    </w:p>
    <w:p>
      <w:pPr>
        <w:rPr>
          <w:lang w:val="zh-CN"/>
        </w:rPr>
      </w:pPr>
      <w:r>
        <w:rPr>
          <w:rFonts w:hint="eastAsia"/>
          <w:lang w:val="zh-CN"/>
        </w:rPr>
        <w:t xml:space="preserve">2 相关标准术语。 </w:t>
      </w:r>
    </w:p>
    <w:p>
      <w:pPr>
        <w:rPr>
          <w:lang w:val="zh-CN"/>
        </w:rPr>
      </w:pPr>
      <w:r>
        <w:rPr>
          <w:rFonts w:hint="eastAsia"/>
          <w:lang w:val="zh-CN"/>
        </w:rPr>
        <w:t>3 图集、规程</w:t>
      </w:r>
    </w:p>
    <w:p>
      <w:pPr>
        <w:rPr>
          <w:rFonts w:ascii="宋体" w:hAnsi="宋体"/>
          <w:i/>
          <w:iCs/>
          <w:szCs w:val="21"/>
        </w:rPr>
      </w:pPr>
      <w:r>
        <w:rPr>
          <w:rFonts w:hint="eastAsia" w:ascii="宋体" w:hAnsi="宋体"/>
          <w:i/>
          <w:iCs/>
          <w:szCs w:val="21"/>
        </w:rPr>
        <w:t>【条文说明】</w:t>
      </w:r>
    </w:p>
    <w:p>
      <w:pPr>
        <w:ind w:firstLine="240" w:firstLineChars="100"/>
        <w:rPr>
          <w:rFonts w:ascii="宋体" w:hAnsi="宋体"/>
          <w:i/>
          <w:iCs/>
          <w:szCs w:val="21"/>
        </w:rPr>
      </w:pPr>
      <w:r>
        <w:rPr>
          <w:rFonts w:hint="eastAsia" w:ascii="宋体" w:hAnsi="宋体"/>
          <w:i/>
          <w:iCs/>
          <w:szCs w:val="21"/>
        </w:rPr>
        <w:t>结构工程产品命名包括原材料名称，比如钢材牌号、木材命名。这类命名应遵守相应材料规范和设计规范。比如《碳素结构钢》（</w:t>
      </w:r>
      <w:r>
        <w:rPr>
          <w:rFonts w:ascii="宋体" w:hAnsi="宋体"/>
          <w:i/>
          <w:iCs/>
          <w:szCs w:val="21"/>
        </w:rPr>
        <w:t>GB</w:t>
      </w:r>
      <w:r>
        <w:rPr>
          <w:rFonts w:hint="eastAsia" w:ascii="宋体" w:hAnsi="宋体"/>
          <w:i/>
          <w:iCs/>
          <w:szCs w:val="21"/>
        </w:rPr>
        <w:t>/</w:t>
      </w:r>
      <w:r>
        <w:rPr>
          <w:rFonts w:ascii="宋体" w:hAnsi="宋体"/>
          <w:i/>
          <w:iCs/>
          <w:szCs w:val="21"/>
        </w:rPr>
        <w:t>T700）</w:t>
      </w:r>
      <w:r>
        <w:rPr>
          <w:rFonts w:hint="eastAsia" w:ascii="宋体" w:hAnsi="宋体"/>
          <w:i/>
          <w:iCs/>
          <w:szCs w:val="21"/>
        </w:rPr>
        <w:t>；另一类是成品，比如梁、板、柱这类产品命名应参考相应的设计规范及图集，比如《平法图集》（16</w:t>
      </w:r>
      <w:r>
        <w:rPr>
          <w:rFonts w:ascii="宋体" w:hAnsi="宋体"/>
          <w:i/>
          <w:iCs/>
          <w:szCs w:val="21"/>
        </w:rPr>
        <w:t>G101</w:t>
      </w:r>
      <w:r>
        <w:rPr>
          <w:rFonts w:hint="eastAsia" w:ascii="宋体" w:hAnsi="宋体"/>
          <w:i/>
          <w:iCs/>
          <w:szCs w:val="21"/>
        </w:rPr>
        <w:t>）。</w:t>
      </w:r>
    </w:p>
    <w:p>
      <w:pPr>
        <w:rPr>
          <w:rFonts w:ascii="宋体" w:hAnsi="宋体"/>
          <w:i/>
          <w:iCs/>
          <w:szCs w:val="21"/>
        </w:rPr>
      </w:pPr>
      <w:r>
        <w:rPr>
          <w:rFonts w:ascii="宋体" w:hAnsi="宋体"/>
          <w:i/>
          <w:iCs/>
          <w:szCs w:val="21"/>
        </w:rPr>
        <w:t xml:space="preserve"> </w:t>
      </w:r>
    </w:p>
    <w:p>
      <w:pPr>
        <w:pStyle w:val="4"/>
        <w:bidi w:val="0"/>
        <w:ind w:firstLine="241"/>
        <w:rPr>
          <w:rFonts w:hint="eastAsia"/>
          <w:b w:val="0"/>
          <w:bCs/>
          <w:lang w:val="zh-CN"/>
        </w:rPr>
      </w:pPr>
      <w:r>
        <w:rPr>
          <w:rFonts w:hint="eastAsia"/>
          <w:b/>
          <w:bCs w:val="0"/>
          <w:lang w:val="zh-CN"/>
        </w:rPr>
        <w:t>4.1.3</w:t>
      </w:r>
      <w:r>
        <w:rPr>
          <w:rFonts w:hint="eastAsia"/>
          <w:b/>
          <w:bCs w:val="0"/>
          <w:lang w:val="en-US" w:eastAsia="zh-CN"/>
        </w:rPr>
        <w:t xml:space="preserve"> </w:t>
      </w:r>
      <w:r>
        <w:rPr>
          <w:rFonts w:hint="eastAsia"/>
          <w:b w:val="0"/>
          <w:bCs/>
          <w:lang w:val="zh-CN"/>
        </w:rPr>
        <w:t>结构工程产品原材料命名应遵守以下原则：</w:t>
      </w:r>
    </w:p>
    <w:p>
      <w:pPr>
        <w:rPr>
          <w:lang w:val="zh-CN"/>
        </w:rPr>
      </w:pPr>
      <w:r>
        <w:rPr>
          <w:rFonts w:hint="eastAsia"/>
          <w:lang w:val="zh-CN"/>
        </w:rPr>
        <w:t>1</w:t>
      </w:r>
      <w:r>
        <w:rPr>
          <w:lang w:val="zh-CN"/>
        </w:rPr>
        <w:t xml:space="preserve">  混凝土钢筋</w:t>
      </w:r>
      <w:r>
        <w:rPr>
          <w:rFonts w:hint="eastAsia"/>
          <w:lang w:val="zh-CN"/>
        </w:rPr>
        <w:t>牌号命名应参考《混凝土结构成型钢筋应用技术规程》（J</w:t>
      </w:r>
      <w:r>
        <w:rPr>
          <w:lang w:val="zh-CN"/>
        </w:rPr>
        <w:t>GJ366</w:t>
      </w:r>
      <w:r>
        <w:rPr>
          <w:rFonts w:hint="eastAsia"/>
          <w:lang w:val="zh-CN"/>
        </w:rPr>
        <w:t>）且应与检测报告对应名称一致。</w:t>
      </w:r>
    </w:p>
    <w:p>
      <w:pPr>
        <w:rPr>
          <w:lang w:val="zh-CN"/>
        </w:rPr>
      </w:pPr>
      <w:r>
        <w:rPr>
          <w:rFonts w:hint="eastAsia"/>
          <w:lang w:val="zh-CN"/>
        </w:rPr>
        <w:t>2</w:t>
      </w:r>
      <w:r>
        <w:rPr>
          <w:lang w:val="zh-CN"/>
        </w:rPr>
        <w:t xml:space="preserve">  </w:t>
      </w:r>
      <w:r>
        <w:rPr>
          <w:rFonts w:hint="eastAsia"/>
          <w:lang w:val="zh-CN"/>
        </w:rPr>
        <w:t>钢材牌号及命名应参考《</w:t>
      </w:r>
      <w:r>
        <w:rPr>
          <w:lang w:val="zh-CN"/>
        </w:rPr>
        <w:t>钢结构设计标准</w:t>
      </w:r>
      <w:r>
        <w:rPr>
          <w:rFonts w:hint="eastAsia"/>
          <w:lang w:val="zh-CN"/>
        </w:rPr>
        <w:t>》（G</w:t>
      </w:r>
      <w:r>
        <w:rPr>
          <w:lang w:val="zh-CN"/>
        </w:rPr>
        <w:t>B50017</w:t>
      </w:r>
      <w:r>
        <w:rPr>
          <w:rFonts w:hint="eastAsia"/>
          <w:lang w:val="zh-CN"/>
        </w:rPr>
        <w:t>）且应钢材牌号与检测报告对应名称一致。</w:t>
      </w:r>
    </w:p>
    <w:p>
      <w:pPr>
        <w:rPr>
          <w:lang w:val="zh-CN"/>
        </w:rPr>
      </w:pPr>
      <w:r>
        <w:rPr>
          <w:rFonts w:hint="eastAsia"/>
          <w:lang w:val="zh-CN"/>
        </w:rPr>
        <w:t>3</w:t>
      </w:r>
      <w:r>
        <w:rPr>
          <w:lang w:val="zh-CN"/>
        </w:rPr>
        <w:t xml:space="preserve">  </w:t>
      </w:r>
      <w:r>
        <w:rPr>
          <w:rFonts w:hint="eastAsia"/>
          <w:lang w:val="zh-CN"/>
        </w:rPr>
        <w:t>木结构原料命名应参考《木结构设计标准》（</w:t>
      </w:r>
      <w:bookmarkStart w:id="35" w:name="_Hlk29042066"/>
      <w:r>
        <w:rPr>
          <w:rFonts w:hint="eastAsia"/>
          <w:lang w:val="zh-CN"/>
        </w:rPr>
        <w:t>G</w:t>
      </w:r>
      <w:r>
        <w:rPr>
          <w:lang w:val="zh-CN"/>
        </w:rPr>
        <w:t>B50005</w:t>
      </w:r>
      <w:bookmarkEnd w:id="35"/>
      <w:r>
        <w:rPr>
          <w:rFonts w:hint="eastAsia"/>
          <w:lang w:val="zh-CN"/>
        </w:rPr>
        <w:t>）且应与木材检测报告对应名称一致</w:t>
      </w:r>
    </w:p>
    <w:p>
      <w:pPr>
        <w:pStyle w:val="4"/>
        <w:bidi w:val="0"/>
        <w:ind w:firstLine="241"/>
        <w:rPr>
          <w:rFonts w:hint="eastAsia"/>
          <w:b w:val="0"/>
          <w:bCs/>
          <w:lang w:val="zh-CN"/>
        </w:rPr>
      </w:pPr>
      <w:r>
        <w:rPr>
          <w:rFonts w:hint="eastAsia"/>
          <w:b/>
          <w:bCs w:val="0"/>
          <w:lang w:val="zh-CN"/>
        </w:rPr>
        <w:t>4.1.4</w:t>
      </w:r>
      <w:r>
        <w:rPr>
          <w:rFonts w:hint="eastAsia"/>
          <w:b/>
          <w:bCs w:val="0"/>
          <w:lang w:val="en-US" w:eastAsia="zh-CN"/>
        </w:rPr>
        <w:t xml:space="preserve"> </w:t>
      </w:r>
      <w:r>
        <w:rPr>
          <w:rFonts w:hint="eastAsia"/>
          <w:b w:val="0"/>
          <w:bCs/>
          <w:lang w:val="zh-CN"/>
        </w:rPr>
        <w:t>产品命名包括产品本身命名和产品关键部件命名，命名方式及格式应该符合该部件的相关标准或产品标准对该部件的规定。</w:t>
      </w:r>
    </w:p>
    <w:p>
      <w:pPr>
        <w:rPr>
          <w:i/>
          <w:iCs/>
        </w:rPr>
      </w:pPr>
      <w:r>
        <w:rPr>
          <w:rFonts w:ascii="宋体" w:hAnsi="宋体"/>
          <w:i/>
          <w:iCs/>
          <w:szCs w:val="21"/>
        </w:rPr>
        <w:t>【条文说明】</w:t>
      </w:r>
      <w:r>
        <w:rPr>
          <w:rFonts w:hint="eastAsia" w:ascii="宋体" w:hAnsi="宋体"/>
          <w:i/>
          <w:iCs/>
          <w:szCs w:val="21"/>
        </w:rPr>
        <w:t>如：装配式墙模型包括墙体、保温、模板、模板支撑、预埋吊钉、预埋螺母、预埋木方等，这些组成部分同样也有相应的标准命名。产品信息模型要遵守相应规范对产品信息模型命名。</w:t>
      </w:r>
    </w:p>
    <w:p>
      <w:pPr>
        <w:pStyle w:val="4"/>
        <w:bidi w:val="0"/>
        <w:ind w:firstLine="241"/>
        <w:rPr>
          <w:rFonts w:hint="eastAsia"/>
          <w:b w:val="0"/>
          <w:bCs/>
          <w:lang w:val="zh-CN"/>
        </w:rPr>
      </w:pPr>
      <w:r>
        <w:rPr>
          <w:rFonts w:hint="eastAsia"/>
          <w:b/>
          <w:bCs w:val="0"/>
          <w:lang w:val="zh-CN"/>
        </w:rPr>
        <w:t>4.1.5</w:t>
      </w:r>
      <w:r>
        <w:rPr>
          <w:rFonts w:hint="eastAsia"/>
          <w:b/>
          <w:bCs w:val="0"/>
          <w:lang w:val="en-US" w:eastAsia="zh-CN"/>
        </w:rPr>
        <w:t xml:space="preserve"> </w:t>
      </w:r>
      <w:r>
        <w:rPr>
          <w:rFonts w:hint="eastAsia"/>
          <w:b w:val="0"/>
          <w:bCs/>
          <w:lang w:val="zh-CN"/>
        </w:rPr>
        <w:t>产品信息模型命名不宜与产品应用所在的位置、系统等其它因素进行关联，如果确实需要进行关联应有统一规定。</w:t>
      </w:r>
    </w:p>
    <w:p>
      <w:pPr>
        <w:rPr>
          <w:rFonts w:ascii="宋体" w:hAnsi="宋体"/>
          <w:i/>
          <w:iCs/>
          <w:szCs w:val="21"/>
        </w:rPr>
      </w:pPr>
      <w:bookmarkStart w:id="36" w:name="_Hlk14611147"/>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：为了保障产品信息模型的命名不产生歧义、最大限度的与管理行为匹配。产品信息模型的命名不宜掺杂其它含义。如产品“外墙</w:t>
      </w:r>
      <w:r>
        <w:rPr>
          <w:rFonts w:ascii="宋体" w:hAnsi="宋体"/>
          <w:i/>
          <w:iCs/>
          <w:szCs w:val="21"/>
        </w:rPr>
        <w:t>_</w:t>
      </w:r>
      <w:r>
        <w:rPr>
          <w:rFonts w:hint="eastAsia" w:ascii="宋体" w:hAnsi="宋体"/>
          <w:i/>
          <w:iCs/>
          <w:szCs w:val="21"/>
        </w:rPr>
        <w:t>檩条”，“外墙”是部位。“地下一层_框架柱1”，“地下一层”是产品所在的位置。</w:t>
      </w:r>
    </w:p>
    <w:bookmarkEnd w:id="36"/>
    <w:p>
      <w:pPr>
        <w:pStyle w:val="4"/>
        <w:bidi w:val="0"/>
        <w:ind w:firstLine="241"/>
        <w:rPr>
          <w:rFonts w:hint="eastAsia"/>
          <w:b/>
          <w:bCs w:val="0"/>
          <w:lang w:val="zh-CN"/>
        </w:rPr>
      </w:pPr>
      <w:r>
        <w:rPr>
          <w:rFonts w:hint="eastAsia"/>
          <w:b/>
          <w:bCs w:val="0"/>
          <w:lang w:val="zh-CN"/>
        </w:rPr>
        <w:t>4.1.6</w:t>
      </w:r>
      <w:r>
        <w:rPr>
          <w:rFonts w:hint="eastAsia"/>
          <w:b/>
          <w:bCs w:val="0"/>
          <w:lang w:val="en-US" w:eastAsia="zh-CN"/>
        </w:rPr>
        <w:t xml:space="preserve"> </w:t>
      </w:r>
      <w:r>
        <w:rPr>
          <w:rFonts w:hint="eastAsia"/>
          <w:b w:val="0"/>
          <w:bCs/>
          <w:lang w:val="zh-CN"/>
        </w:rPr>
        <w:t>产品信息模型命名必须符合该产品标准相关规定，且应该符合其命名方式及格式。</w:t>
      </w:r>
    </w:p>
    <w:p>
      <w:pPr>
        <w:rPr>
          <w:i/>
          <w:iCs/>
          <w:lang w:val="zh-CN"/>
        </w:rPr>
      </w:pPr>
      <w:r>
        <w:rPr>
          <w:rFonts w:hint="eastAsia"/>
          <w:i/>
          <w:iCs/>
          <w:lang w:val="zh-CN"/>
        </w:rPr>
        <w:t>【条文说明】相关标准一般都注明命名格式，产品信息模型命名格式应以此类规定为准。</w:t>
      </w:r>
    </w:p>
    <w:p>
      <w:pPr>
        <w:pStyle w:val="4"/>
        <w:bidi w:val="0"/>
        <w:ind w:firstLine="241"/>
        <w:rPr>
          <w:rFonts w:hint="eastAsia" w:eastAsia="宋体"/>
          <w:b w:val="0"/>
          <w:bCs/>
          <w:lang w:val="zh-CN" w:eastAsia="zh-CN"/>
        </w:rPr>
      </w:pPr>
      <w:r>
        <w:rPr>
          <w:rFonts w:hint="eastAsia"/>
          <w:b/>
          <w:bCs w:val="0"/>
          <w:lang w:val="zh-CN"/>
        </w:rPr>
        <w:t>4.1.7</w:t>
      </w:r>
      <w:r>
        <w:rPr>
          <w:rFonts w:hint="eastAsia"/>
          <w:b w:val="0"/>
          <w:bCs/>
          <w:lang w:val="en-US" w:eastAsia="zh-CN"/>
        </w:rPr>
        <w:t xml:space="preserve"> </w:t>
      </w:r>
      <w:r>
        <w:rPr>
          <w:rFonts w:hint="eastAsia"/>
          <w:b w:val="0"/>
          <w:bCs/>
          <w:lang w:val="zh-CN"/>
        </w:rPr>
        <w:t>产品信息模型的名称命名格式应符合下列要求</w:t>
      </w:r>
      <w:r>
        <w:rPr>
          <w:rFonts w:hint="eastAsia"/>
          <w:b w:val="0"/>
          <w:bCs/>
          <w:lang w:val="en-US" w:eastAsia="zh-CN"/>
        </w:rPr>
        <w:t xml:space="preserve"> </w:t>
      </w:r>
    </w:p>
    <w:p>
      <w:pPr>
        <w:rPr>
          <w:lang w:val="zh-CN"/>
        </w:rPr>
      </w:pPr>
      <w:r>
        <w:rPr>
          <w:rFonts w:hint="eastAsia"/>
          <w:lang w:val="zh-CN"/>
        </w:rPr>
        <w:t>1、模型单元名称应使用汉字、英文字符、数字、下划线“_”、连字符“-”和井字符“#”的组合，但汉字与英文字符不得混用。</w:t>
      </w:r>
    </w:p>
    <w:p>
      <w:pPr>
        <w:rPr>
          <w:lang w:val="zh-CN"/>
        </w:rPr>
      </w:pPr>
      <w:r>
        <w:rPr>
          <w:rFonts w:hint="eastAsia"/>
          <w:lang w:val="zh-CN"/>
        </w:rPr>
        <w:t>2、字段内部组合宜使用连字符“-”，字段之间宜使用下划线“_”分隔。</w:t>
      </w:r>
    </w:p>
    <w:p>
      <w:pPr>
        <w:rPr>
          <w:lang w:val="zh-CN"/>
        </w:rPr>
      </w:pPr>
      <w:r>
        <w:rPr>
          <w:rFonts w:hint="eastAsia"/>
          <w:lang w:val="zh-CN"/>
        </w:rPr>
        <w:t>3、各字符之间、符号之间、字符与符号之间均不宜留空格。</w:t>
      </w:r>
    </w:p>
    <w:p>
      <w:pPr>
        <w:rPr>
          <w:lang w:val="zh-CN"/>
        </w:rPr>
      </w:pPr>
      <w:r>
        <w:rPr>
          <w:rFonts w:hint="eastAsia"/>
          <w:lang w:val="zh-CN"/>
        </w:rPr>
        <w:t>4、在同一工程中，应使用统一的文件命名格式，文件名称应自始至终保持不变，且不得同时使用中文和英文的命名格式。</w:t>
      </w:r>
    </w:p>
    <w:p>
      <w:pPr>
        <w:rPr>
          <w:i/>
          <w:iCs/>
          <w:lang w:val="zh-CN"/>
        </w:rPr>
      </w:pPr>
      <w:r>
        <w:rPr>
          <w:rFonts w:hint="eastAsia"/>
          <w:i/>
          <w:iCs/>
          <w:lang w:val="zh-CN"/>
        </w:rPr>
        <w:t>【条文说明】模型单元名称格式应使用较少类型的符号，以避免混乱的命名符号。</w:t>
      </w:r>
    </w:p>
    <w:p>
      <w:pPr>
        <w:pStyle w:val="4"/>
        <w:bidi w:val="0"/>
        <w:ind w:firstLine="241"/>
        <w:rPr>
          <w:rFonts w:hint="eastAsia"/>
          <w:b w:val="0"/>
          <w:bCs/>
          <w:lang w:val="zh-CN"/>
        </w:rPr>
      </w:pPr>
      <w:r>
        <w:rPr>
          <w:rFonts w:hint="eastAsia"/>
          <w:b/>
          <w:bCs w:val="0"/>
          <w:lang w:val="zh-CN"/>
        </w:rPr>
        <w:t>4.1.8</w:t>
      </w:r>
      <w:r>
        <w:rPr>
          <w:rFonts w:hint="eastAsia"/>
          <w:b/>
          <w:bCs w:val="0"/>
          <w:lang w:val="en-US" w:eastAsia="zh-CN"/>
        </w:rPr>
        <w:t xml:space="preserve"> </w:t>
      </w:r>
      <w:r>
        <w:rPr>
          <w:rFonts w:hint="eastAsia"/>
          <w:b w:val="0"/>
          <w:bCs/>
          <w:lang w:val="zh-CN"/>
        </w:rPr>
        <w:t>产品信息模型命名严禁出现以下情况</w:t>
      </w:r>
    </w:p>
    <w:p>
      <w:pPr>
        <w:rPr>
          <w:lang w:val="zh-CN"/>
        </w:rPr>
      </w:pPr>
      <w:r>
        <w:rPr>
          <w:rFonts w:hint="eastAsia"/>
          <w:lang w:val="zh-CN"/>
        </w:rPr>
        <w:t xml:space="preserve">1 </w:t>
      </w:r>
      <w:r>
        <w:rPr>
          <w:lang w:val="zh-CN"/>
        </w:rPr>
        <w:t xml:space="preserve"> </w:t>
      </w:r>
      <w:r>
        <w:rPr>
          <w:rFonts w:hint="eastAsia"/>
          <w:lang w:val="zh-CN"/>
        </w:rPr>
        <w:t>产品、原材料及产品信息模型命名与检验报告不符；</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其它含有行政许可、强制认证的产品信息模型命名与相关标准、检测报告等不相符；</w:t>
      </w:r>
    </w:p>
    <w:p>
      <w:pPr>
        <w:rPr>
          <w:rFonts w:ascii="宋体" w:hAnsi="宋体"/>
          <w:i/>
          <w:iCs/>
          <w:szCs w:val="21"/>
        </w:rPr>
      </w:pPr>
      <w:r>
        <w:rPr>
          <w:rFonts w:hint="eastAsia" w:ascii="宋体" w:hAnsi="宋体"/>
          <w:i/>
          <w:iCs/>
          <w:szCs w:val="21"/>
        </w:rPr>
        <w:t>【条文说明】结构工程涉及到现场检验，复检。检验对象名称不一致将判定检验报告无效。</w:t>
      </w:r>
    </w:p>
    <w:p>
      <w:pPr>
        <w:pStyle w:val="3"/>
        <w:bidi w:val="0"/>
        <w:rPr>
          <w:lang w:val="zh-CN"/>
        </w:rPr>
      </w:pPr>
      <w:bookmarkStart w:id="37" w:name="_Toc28533010"/>
      <w:bookmarkStart w:id="38" w:name="_Toc31162"/>
      <w:r>
        <w:rPr>
          <w:lang w:val="zh-CN"/>
        </w:rPr>
        <w:t>4.</w:t>
      </w:r>
      <w:r>
        <w:rPr>
          <w:rFonts w:hint="eastAsia"/>
          <w:lang w:val="zh-CN"/>
        </w:rPr>
        <w:t>2产品分类与编码规则</w:t>
      </w:r>
      <w:bookmarkEnd w:id="37"/>
      <w:bookmarkEnd w:id="38"/>
    </w:p>
    <w:p>
      <w:pPr>
        <w:pStyle w:val="4"/>
        <w:bidi w:val="0"/>
        <w:ind w:firstLine="241"/>
        <w:rPr>
          <w:rFonts w:hint="eastAsia"/>
          <w:b w:val="0"/>
          <w:bCs/>
          <w:lang w:val="zh-CN"/>
        </w:rPr>
      </w:pPr>
      <w:r>
        <w:rPr>
          <w:rFonts w:hint="eastAsia"/>
          <w:b/>
          <w:bCs w:val="0"/>
          <w:lang w:val="zh-CN"/>
        </w:rPr>
        <w:t>4.2.1</w:t>
      </w:r>
      <w:r>
        <w:rPr>
          <w:rFonts w:hint="eastAsia"/>
          <w:b/>
          <w:bCs w:val="0"/>
          <w:lang w:val="en-US" w:eastAsia="zh-CN"/>
        </w:rPr>
        <w:t xml:space="preserve"> </w:t>
      </w:r>
      <w:r>
        <w:rPr>
          <w:rFonts w:hint="eastAsia"/>
          <w:b w:val="0"/>
          <w:bCs/>
          <w:lang w:val="zh-CN"/>
        </w:rPr>
        <w:t>结构工程产品预制钢筋产品形状代码应参考《混凝土结构用成型钢筋制品》（GB/T29733）</w:t>
      </w:r>
    </w:p>
    <w:p>
      <w:pPr>
        <w:pStyle w:val="4"/>
        <w:bidi w:val="0"/>
        <w:ind w:firstLine="241"/>
        <w:rPr>
          <w:rFonts w:hint="eastAsia"/>
          <w:b w:val="0"/>
          <w:bCs/>
          <w:lang w:val="zh-CN"/>
        </w:rPr>
      </w:pPr>
      <w:bookmarkStart w:id="39" w:name="_Hlk14615529"/>
      <w:r>
        <w:rPr>
          <w:rFonts w:hint="eastAsia"/>
          <w:b/>
          <w:bCs w:val="0"/>
          <w:lang w:val="zh-CN"/>
        </w:rPr>
        <w:t>4.2.2</w:t>
      </w:r>
      <w:r>
        <w:rPr>
          <w:rFonts w:hint="eastAsia"/>
          <w:b/>
          <w:bCs w:val="0"/>
          <w:lang w:val="en-US" w:eastAsia="zh-CN"/>
        </w:rPr>
        <w:t xml:space="preserve"> </w:t>
      </w:r>
      <w:r>
        <w:rPr>
          <w:rFonts w:hint="eastAsia"/>
          <w:b w:val="0"/>
          <w:bCs/>
          <w:lang w:val="zh-CN"/>
        </w:rPr>
        <w:t>钢结构、木结构、膜结构等结构产品存储和应用中涉及到分类或编码应参考《建筑信息模型分类和编码标准》GB/T51269。</w:t>
      </w:r>
    </w:p>
    <w:p>
      <w:pPr>
        <w:rPr>
          <w:i/>
          <w:iCs/>
          <w:lang w:val="zh-CN"/>
        </w:rPr>
      </w:pPr>
      <w:bookmarkStart w:id="40" w:name="_Hlk14615026"/>
      <w:r>
        <w:rPr>
          <w:rFonts w:hint="eastAsia" w:ascii="宋体" w:hAnsi="宋体"/>
          <w:i/>
          <w:iCs/>
          <w:color w:val="FF0000"/>
          <w:szCs w:val="21"/>
        </w:rPr>
        <w:t xml:space="preserve"> </w:t>
      </w:r>
      <w:r>
        <w:rPr>
          <w:rFonts w:hint="eastAsia"/>
          <w:i/>
          <w:iCs/>
          <w:lang w:val="zh-CN"/>
        </w:rPr>
        <w:t>【条文说明】混凝土装配式构件（包括混凝土预制产品）属于非标产品，很难进行编码。本标准推荐依据上述标准规定的代码。在数据库存储或项目使用中自行编码。其它形式的结构产品可参考G</w:t>
      </w:r>
      <w:r>
        <w:rPr>
          <w:i/>
          <w:iCs/>
          <w:lang w:val="zh-CN"/>
        </w:rPr>
        <w:t>B51269</w:t>
      </w:r>
      <w:r>
        <w:rPr>
          <w:rFonts w:hint="eastAsia"/>
          <w:i/>
          <w:iCs/>
          <w:lang w:val="zh-CN"/>
        </w:rPr>
        <w:t>。</w:t>
      </w:r>
    </w:p>
    <w:p>
      <w:pPr>
        <w:rPr>
          <w:rFonts w:ascii="宋体" w:hAnsi="宋体"/>
          <w:color w:val="FF0000"/>
          <w:szCs w:val="21"/>
        </w:rPr>
      </w:pPr>
    </w:p>
    <w:bookmarkEnd w:id="39"/>
    <w:bookmarkEnd w:id="40"/>
    <w:p>
      <w:pPr>
        <w:rPr>
          <w:rFonts w:eastAsia="黑体"/>
          <w:b/>
          <w:bCs/>
          <w:kern w:val="44"/>
          <w:sz w:val="28"/>
          <w:szCs w:val="44"/>
        </w:rPr>
      </w:pPr>
      <w:bookmarkStart w:id="41" w:name="_Toc28533011"/>
      <w:r>
        <w:rPr>
          <w:rFonts w:eastAsia="黑体"/>
          <w:b/>
          <w:bCs/>
          <w:kern w:val="44"/>
          <w:sz w:val="28"/>
          <w:szCs w:val="44"/>
        </w:rPr>
        <w:br w:type="page"/>
      </w:r>
    </w:p>
    <w:p>
      <w:pPr>
        <w:keepNext/>
        <w:keepLines/>
        <w:numPr>
          <w:ilvl w:val="0"/>
          <w:numId w:val="1"/>
        </w:numPr>
        <w:jc w:val="center"/>
        <w:outlineLvl w:val="0"/>
        <w:rPr>
          <w:rFonts w:eastAsia="黑体"/>
          <w:b/>
          <w:bCs/>
          <w:kern w:val="44"/>
          <w:sz w:val="28"/>
          <w:szCs w:val="44"/>
        </w:rPr>
      </w:pPr>
      <w:bookmarkStart w:id="42" w:name="_Toc9580"/>
      <w:r>
        <w:rPr>
          <w:rFonts w:eastAsia="黑体"/>
          <w:b/>
          <w:bCs/>
          <w:kern w:val="44"/>
          <w:sz w:val="28"/>
          <w:szCs w:val="44"/>
        </w:rPr>
        <w:t>几何信息</w:t>
      </w:r>
      <w:bookmarkEnd w:id="41"/>
      <w:bookmarkEnd w:id="42"/>
    </w:p>
    <w:p>
      <w:pPr>
        <w:keepNext/>
        <w:keepLines/>
        <w:spacing w:before="260" w:after="260" w:line="416" w:lineRule="auto"/>
        <w:jc w:val="center"/>
        <w:outlineLvl w:val="1"/>
        <w:rPr>
          <w:rFonts w:ascii="Cambria" w:hAnsi="Cambria" w:eastAsia="Times New Roman"/>
          <w:b/>
          <w:sz w:val="24"/>
          <w:szCs w:val="32"/>
          <w:lang w:val="zh-CN"/>
        </w:rPr>
      </w:pPr>
      <w:bookmarkStart w:id="43" w:name="_Toc28533012"/>
      <w:bookmarkStart w:id="44" w:name="_Toc18170"/>
      <w:r>
        <w:rPr>
          <w:rFonts w:hint="eastAsia" w:ascii="Cambria" w:hAnsi="Cambria" w:eastAsia="Times New Roman"/>
          <w:b/>
          <w:sz w:val="24"/>
          <w:szCs w:val="32"/>
          <w:lang w:val="zh-CN"/>
        </w:rPr>
        <w:t>5</w:t>
      </w:r>
      <w:r>
        <w:rPr>
          <w:rFonts w:ascii="Cambria" w:hAnsi="Cambria" w:eastAsia="Times New Roman"/>
          <w:b/>
          <w:sz w:val="24"/>
          <w:szCs w:val="32"/>
          <w:lang w:val="zh-CN"/>
        </w:rPr>
        <w:t>.1</w:t>
      </w:r>
      <w:r>
        <w:rPr>
          <w:rFonts w:hint="eastAsia" w:ascii="宋体" w:hAnsi="宋体" w:cs="宋体"/>
          <w:b/>
          <w:sz w:val="24"/>
          <w:szCs w:val="32"/>
          <w:lang w:val="zh-CN"/>
        </w:rPr>
        <w:t>几何信息一般规定</w:t>
      </w:r>
      <w:bookmarkEnd w:id="43"/>
      <w:bookmarkEnd w:id="44"/>
    </w:p>
    <w:p>
      <w:pPr>
        <w:pStyle w:val="4"/>
        <w:bidi w:val="0"/>
        <w:ind w:firstLine="241"/>
        <w:rPr>
          <w:rFonts w:hint="eastAsia"/>
          <w:b w:val="0"/>
          <w:bCs/>
          <w:lang w:val="zh-CN"/>
        </w:rPr>
      </w:pPr>
      <w:r>
        <w:rPr>
          <w:rFonts w:hint="eastAsia"/>
          <w:b/>
          <w:bCs w:val="0"/>
          <w:lang w:val="zh-CN"/>
        </w:rPr>
        <w:t>5.1.1</w:t>
      </w:r>
      <w:r>
        <w:rPr>
          <w:rFonts w:hint="eastAsia"/>
          <w:b/>
          <w:bCs w:val="0"/>
          <w:lang w:val="en-US" w:eastAsia="zh-CN"/>
        </w:rPr>
        <w:t xml:space="preserve"> </w:t>
      </w:r>
      <w:r>
        <w:rPr>
          <w:rFonts w:hint="eastAsia"/>
          <w:b w:val="0"/>
          <w:bCs/>
          <w:lang w:val="zh-CN"/>
        </w:rPr>
        <w:t>结构工程产品信息模型应该具有的几何信息至少应该从以下几个方面考虑</w:t>
      </w:r>
    </w:p>
    <w:p>
      <w:r>
        <w:rPr>
          <w:rFonts w:hint="eastAsia"/>
        </w:rPr>
        <w:t>1</w:t>
      </w:r>
      <w:r>
        <w:rPr>
          <w:rFonts w:hint="eastAsia"/>
          <w:lang w:val="en-US" w:eastAsia="zh-CN"/>
        </w:rPr>
        <w:t xml:space="preserve"> </w:t>
      </w:r>
      <w:r>
        <w:rPr>
          <w:rFonts w:hint="eastAsia"/>
        </w:rPr>
        <w:t>有可以满足结构工程设计所需要的产品几何形体，比如梁、板、的外观几何形体；</w:t>
      </w:r>
    </w:p>
    <w:p>
      <w:r>
        <w:rPr>
          <w:rFonts w:hint="eastAsia"/>
        </w:rPr>
        <w:t>2</w:t>
      </w:r>
      <w:r>
        <w:rPr>
          <w:rFonts w:hint="eastAsia"/>
          <w:lang w:val="en-US" w:eastAsia="zh-CN"/>
        </w:rPr>
        <w:t xml:space="preserve"> </w:t>
      </w:r>
      <w:r>
        <w:rPr>
          <w:rFonts w:hint="eastAsia"/>
        </w:rPr>
        <w:t>有可以满足结构产品安装的工艺工法。比如结构件的连接工艺等；</w:t>
      </w:r>
    </w:p>
    <w:p>
      <w:r>
        <w:rPr>
          <w:rFonts w:hint="eastAsia"/>
        </w:rPr>
        <w:t>3</w:t>
      </w:r>
      <w:r>
        <w:rPr>
          <w:rFonts w:hint="eastAsia"/>
          <w:lang w:val="en-US" w:eastAsia="zh-CN"/>
        </w:rPr>
        <w:t xml:space="preserve"> </w:t>
      </w:r>
      <w:r>
        <w:rPr>
          <w:rFonts w:hint="eastAsia"/>
        </w:rPr>
        <w:t>有材料厚度、制造工艺的表现等可以满足结构工程产品质量判定依据。</w:t>
      </w:r>
    </w:p>
    <w:p>
      <w:pPr>
        <w:pStyle w:val="4"/>
        <w:bidi w:val="0"/>
        <w:ind w:firstLine="241"/>
        <w:rPr>
          <w:rFonts w:hint="eastAsia"/>
          <w:b w:val="0"/>
          <w:bCs/>
          <w:lang w:val="zh-CN"/>
        </w:rPr>
      </w:pPr>
      <w:r>
        <w:rPr>
          <w:rFonts w:hint="eastAsia"/>
          <w:b/>
          <w:bCs w:val="0"/>
          <w:lang w:val="zh-CN"/>
        </w:rPr>
        <w:t>5.1.2</w:t>
      </w:r>
      <w:r>
        <w:rPr>
          <w:rFonts w:hint="eastAsia"/>
          <w:b/>
          <w:bCs w:val="0"/>
          <w:lang w:val="en-US" w:eastAsia="zh-CN"/>
        </w:rPr>
        <w:t xml:space="preserve"> </w:t>
      </w:r>
      <w:r>
        <w:rPr>
          <w:rFonts w:hint="eastAsia"/>
          <w:b w:val="0"/>
          <w:bCs/>
          <w:lang w:val="zh-CN"/>
        </w:rPr>
        <w:t>产品信息模型尺寸代号、外观标识等几何信息表达应该有相关说明。其表达方式应符合引用相关图集。</w:t>
      </w:r>
    </w:p>
    <w:p>
      <w:pPr>
        <w:rPr>
          <w:rFonts w:ascii="宋体" w:hAnsi="宋体"/>
          <w:i/>
          <w:szCs w:val="21"/>
        </w:rPr>
      </w:pPr>
      <w:r>
        <w:rPr>
          <w:rFonts w:hint="eastAsia" w:ascii="宋体" w:hAnsi="宋体"/>
          <w:i/>
          <w:szCs w:val="21"/>
        </w:rPr>
        <w:t>【条文说明】产品相关标准、图集，涉及到产品本身关键尺寸。这些尺寸的表示方法应该与之一致。如长度</w:t>
      </w:r>
      <w:r>
        <w:rPr>
          <w:rFonts w:ascii="宋体" w:hAnsi="宋体"/>
          <w:i/>
          <w:szCs w:val="21"/>
        </w:rPr>
        <w:t>L(</w:t>
      </w:r>
      <w:r>
        <w:rPr>
          <w:rFonts w:hint="eastAsia" w:ascii="宋体" w:hAnsi="宋体"/>
          <w:i/>
          <w:szCs w:val="21"/>
        </w:rPr>
        <w:t>L</w:t>
      </w:r>
      <w:r>
        <w:rPr>
          <w:rFonts w:ascii="宋体" w:hAnsi="宋体"/>
          <w:i/>
          <w:szCs w:val="21"/>
        </w:rPr>
        <w:t>1</w:t>
      </w:r>
      <w:r>
        <w:rPr>
          <w:rFonts w:hint="eastAsia" w:ascii="宋体" w:hAnsi="宋体"/>
          <w:i/>
          <w:szCs w:val="21"/>
        </w:rPr>
        <w:t>、L</w:t>
      </w:r>
      <w:r>
        <w:rPr>
          <w:rFonts w:ascii="宋体" w:hAnsi="宋体"/>
          <w:i/>
          <w:szCs w:val="21"/>
        </w:rPr>
        <w:t>2</w:t>
      </w:r>
      <w:r>
        <w:rPr>
          <w:rFonts w:hint="eastAsia" w:ascii="宋体" w:hAnsi="宋体"/>
          <w:i/>
          <w:szCs w:val="21"/>
        </w:rPr>
        <w:t>、</w:t>
      </w:r>
      <w:r>
        <w:rPr>
          <w:rFonts w:ascii="宋体" w:hAnsi="宋体"/>
          <w:i/>
          <w:szCs w:val="21"/>
        </w:rPr>
        <w:t>……)</w:t>
      </w:r>
      <w:r>
        <w:rPr>
          <w:rFonts w:hint="eastAsia" w:ascii="宋体" w:hAnsi="宋体"/>
          <w:i/>
          <w:szCs w:val="21"/>
        </w:rPr>
        <w:t>。宽W（W</w:t>
      </w:r>
      <w:r>
        <w:rPr>
          <w:rFonts w:ascii="宋体" w:hAnsi="宋体"/>
          <w:i/>
          <w:szCs w:val="21"/>
        </w:rPr>
        <w:t>1</w:t>
      </w:r>
      <w:r>
        <w:rPr>
          <w:rFonts w:hint="eastAsia" w:ascii="宋体" w:hAnsi="宋体"/>
          <w:i/>
          <w:szCs w:val="21"/>
        </w:rPr>
        <w:t>、W</w:t>
      </w:r>
      <w:r>
        <w:rPr>
          <w:rFonts w:ascii="宋体" w:hAnsi="宋体"/>
          <w:i/>
          <w:szCs w:val="21"/>
        </w:rPr>
        <w:t>2</w:t>
      </w:r>
      <w:r>
        <w:rPr>
          <w:rFonts w:hint="eastAsia" w:ascii="宋体" w:hAnsi="宋体"/>
          <w:i/>
          <w:szCs w:val="21"/>
        </w:rPr>
        <w:t>、</w:t>
      </w:r>
      <w:r>
        <w:rPr>
          <w:rFonts w:ascii="宋体" w:hAnsi="宋体"/>
          <w:i/>
          <w:szCs w:val="21"/>
        </w:rPr>
        <w:t>……</w:t>
      </w:r>
      <w:r>
        <w:rPr>
          <w:rFonts w:hint="eastAsia" w:ascii="宋体" w:hAnsi="宋体"/>
          <w:i/>
          <w:szCs w:val="21"/>
        </w:rPr>
        <w:t>），高</w:t>
      </w:r>
      <w:r>
        <w:rPr>
          <w:rFonts w:ascii="宋体" w:hAnsi="宋体"/>
          <w:i/>
          <w:szCs w:val="21"/>
        </w:rPr>
        <w:t>H(h1</w:t>
      </w:r>
      <w:r>
        <w:rPr>
          <w:rFonts w:hint="eastAsia" w:ascii="宋体" w:hAnsi="宋体"/>
          <w:i/>
          <w:szCs w:val="21"/>
        </w:rPr>
        <w:t>、h</w:t>
      </w:r>
      <w:r>
        <w:rPr>
          <w:rFonts w:ascii="宋体" w:hAnsi="宋体"/>
          <w:i/>
          <w:szCs w:val="21"/>
        </w:rPr>
        <w:t>2……)</w:t>
      </w:r>
      <w:r>
        <w:rPr>
          <w:rFonts w:hint="eastAsia" w:ascii="宋体" w:hAnsi="宋体"/>
          <w:i/>
          <w:szCs w:val="21"/>
        </w:rPr>
        <w:t>。</w:t>
      </w:r>
    </w:p>
    <w:p>
      <w:pPr>
        <w:rPr>
          <w:rFonts w:ascii="宋体" w:hAnsi="宋体"/>
          <w:i/>
          <w:szCs w:val="21"/>
        </w:rPr>
      </w:pPr>
      <w:r>
        <w:rPr>
          <w:rFonts w:hint="eastAsia" w:ascii="宋体" w:hAnsi="宋体"/>
          <w:i/>
          <w:szCs w:val="21"/>
        </w:rPr>
        <w:t xml:space="preserve"> </w:t>
      </w:r>
      <w:r>
        <w:rPr>
          <w:rFonts w:ascii="宋体" w:hAnsi="宋体"/>
          <w:i/>
          <w:szCs w:val="21"/>
        </w:rPr>
        <w:t xml:space="preserve"> </w:t>
      </w:r>
      <w:r>
        <w:rPr>
          <w:rStyle w:val="35"/>
          <w:rFonts w:hint="eastAsia"/>
          <w:i/>
        </w:rPr>
        <w:t>混凝土结构工程参考16</w:t>
      </w:r>
      <w:r>
        <w:rPr>
          <w:rStyle w:val="35"/>
          <w:i/>
        </w:rPr>
        <w:t>G101</w:t>
      </w:r>
      <w:r>
        <w:rPr>
          <w:rStyle w:val="35"/>
          <w:rFonts w:hint="eastAsia"/>
          <w:i/>
        </w:rPr>
        <w:t>、钢结构工程参考《钢结构施工图参数表示方法制图规则和构造详图》08SG115-1、木结构工程产品参考《木结构建筑》（14J924）及其它相关图集</w:t>
      </w:r>
    </w:p>
    <w:p>
      <w:pPr>
        <w:pStyle w:val="4"/>
        <w:bidi w:val="0"/>
        <w:ind w:firstLine="241"/>
        <w:rPr>
          <w:rFonts w:hint="eastAsia"/>
          <w:b/>
          <w:bCs w:val="0"/>
          <w:lang w:val="zh-CN"/>
        </w:rPr>
      </w:pPr>
      <w:r>
        <w:rPr>
          <w:rFonts w:hint="eastAsia"/>
          <w:b/>
          <w:bCs w:val="0"/>
          <w:lang w:val="zh-CN"/>
        </w:rPr>
        <w:t>5.1.3</w:t>
      </w:r>
      <w:r>
        <w:rPr>
          <w:rFonts w:hint="eastAsia"/>
          <w:b/>
          <w:bCs w:val="0"/>
          <w:lang w:val="en-US" w:eastAsia="zh-CN"/>
        </w:rPr>
        <w:t xml:space="preserve"> </w:t>
      </w:r>
      <w:r>
        <w:rPr>
          <w:rFonts w:hint="eastAsia"/>
          <w:b w:val="0"/>
          <w:bCs/>
          <w:lang w:val="zh-CN"/>
        </w:rPr>
        <w:t>结构工程产品信息模型几何精度不应低于结构工程专业相关验收规范及其它标准、规范中涉及的“允许偏差规定”。</w:t>
      </w:r>
    </w:p>
    <w:p>
      <w:pPr>
        <w:rPr>
          <w:i/>
          <w:iCs/>
          <w:lang w:val="zh-CN"/>
        </w:rPr>
      </w:pPr>
      <w:r>
        <w:rPr>
          <w:rFonts w:hint="eastAsia"/>
          <w:i/>
          <w:iCs/>
          <w:lang w:val="zh-CN"/>
        </w:rPr>
        <w:t xml:space="preserve">【条文说明】 </w:t>
      </w:r>
      <w:bookmarkStart w:id="45" w:name="_Hlk14616306"/>
      <w:r>
        <w:rPr>
          <w:rFonts w:hint="eastAsia"/>
          <w:i/>
          <w:iCs/>
          <w:lang w:val="zh-CN"/>
        </w:rPr>
        <w:t>结构工程相关验收规范如：《木结构工程施工质量验收规范》（</w:t>
      </w:r>
      <w:r>
        <w:rPr>
          <w:i/>
          <w:iCs/>
          <w:lang w:val="zh-CN"/>
        </w:rPr>
        <w:t>GB50206</w:t>
      </w:r>
      <w:r>
        <w:rPr>
          <w:rFonts w:hint="eastAsia"/>
          <w:i/>
          <w:iCs/>
          <w:lang w:val="zh-CN"/>
        </w:rPr>
        <w:t>）、《建混凝土结构工程施工质量验收规范》（G</w:t>
      </w:r>
      <w:r>
        <w:rPr>
          <w:i/>
          <w:iCs/>
          <w:lang w:val="zh-CN"/>
        </w:rPr>
        <w:t>B50204</w:t>
      </w:r>
      <w:r>
        <w:rPr>
          <w:rFonts w:hint="eastAsia"/>
          <w:i/>
          <w:iCs/>
          <w:lang w:val="zh-CN"/>
        </w:rPr>
        <w:t>）、《砌体结构工程施工质量验收规范》（G</w:t>
      </w:r>
      <w:r>
        <w:rPr>
          <w:i/>
          <w:iCs/>
          <w:lang w:val="zh-CN"/>
        </w:rPr>
        <w:t>B5020</w:t>
      </w:r>
      <w:r>
        <w:rPr>
          <w:rFonts w:hint="eastAsia"/>
          <w:i/>
          <w:iCs/>
          <w:lang w:val="zh-CN"/>
        </w:rPr>
        <w:t>3）等。产品信息模型在数值和图形表达精度上应参照相应规定。</w:t>
      </w:r>
    </w:p>
    <w:bookmarkEnd w:id="45"/>
    <w:p>
      <w:pPr>
        <w:pStyle w:val="3"/>
        <w:bidi w:val="0"/>
        <w:rPr>
          <w:lang w:val="zh-CN"/>
        </w:rPr>
      </w:pPr>
      <w:bookmarkStart w:id="46" w:name="_Toc28533013"/>
      <w:bookmarkStart w:id="47" w:name="_Toc7826"/>
      <w:r>
        <w:rPr>
          <w:lang w:val="zh-CN"/>
        </w:rPr>
        <w:t>5.</w:t>
      </w:r>
      <w:r>
        <w:rPr>
          <w:rFonts w:hint="eastAsia"/>
          <w:lang w:val="zh-CN"/>
        </w:rPr>
        <w:t>2几何信息要求</w:t>
      </w:r>
      <w:bookmarkEnd w:id="46"/>
      <w:bookmarkEnd w:id="47"/>
    </w:p>
    <w:p>
      <w:pPr>
        <w:pStyle w:val="4"/>
        <w:bidi w:val="0"/>
        <w:ind w:firstLine="241"/>
        <w:rPr>
          <w:rFonts w:hint="eastAsia"/>
          <w:b w:val="0"/>
          <w:bCs/>
          <w:lang w:val="zh-CN"/>
        </w:rPr>
      </w:pPr>
      <w:r>
        <w:rPr>
          <w:rFonts w:hint="eastAsia"/>
          <w:b/>
          <w:bCs w:val="0"/>
          <w:lang w:val="zh-CN"/>
        </w:rPr>
        <w:t>5.2.1</w:t>
      </w:r>
      <w:r>
        <w:rPr>
          <w:rFonts w:hint="eastAsia"/>
          <w:b/>
          <w:bCs w:val="0"/>
          <w:lang w:val="en-US" w:eastAsia="zh-CN"/>
        </w:rPr>
        <w:t xml:space="preserve"> </w:t>
      </w:r>
      <w:r>
        <w:rPr>
          <w:rFonts w:hint="eastAsia"/>
          <w:b w:val="0"/>
          <w:bCs/>
          <w:lang w:val="zh-CN"/>
        </w:rPr>
        <w:t>产品信息模型应提供产品设计、施工安装所需要的长度、宽度、直径、角度等信息</w:t>
      </w:r>
    </w:p>
    <w:p>
      <w:pPr>
        <w:rPr>
          <w:rFonts w:ascii="宋体" w:hAnsi="宋体"/>
          <w:i/>
          <w:iCs/>
          <w:szCs w:val="21"/>
        </w:rPr>
      </w:pPr>
      <w:r>
        <w:rPr>
          <w:rFonts w:hint="eastAsia" w:ascii="宋体" w:hAnsi="宋体"/>
          <w:i/>
          <w:iCs/>
          <w:szCs w:val="21"/>
        </w:rPr>
        <w:t>【条文说明】在设计安装过程中力学计算、图形表达大多是以直径、截面积为计算基准，所以结构工程产品信息模型应提供相应信息。</w:t>
      </w:r>
    </w:p>
    <w:p>
      <w:pPr>
        <w:pStyle w:val="4"/>
        <w:bidi w:val="0"/>
        <w:ind w:firstLine="241"/>
        <w:rPr>
          <w:rFonts w:hint="eastAsia"/>
          <w:b w:val="0"/>
          <w:bCs/>
          <w:lang w:val="zh-CN"/>
        </w:rPr>
      </w:pPr>
      <w:r>
        <w:rPr>
          <w:rFonts w:hint="eastAsia"/>
          <w:b/>
          <w:bCs w:val="0"/>
          <w:lang w:val="zh-CN"/>
        </w:rPr>
        <w:t>5.2.2</w:t>
      </w:r>
      <w:r>
        <w:rPr>
          <w:rFonts w:hint="eastAsia"/>
          <w:b w:val="0"/>
          <w:bCs/>
          <w:lang w:val="en-US" w:eastAsia="zh-CN"/>
        </w:rPr>
        <w:t xml:space="preserve"> </w:t>
      </w:r>
      <w:r>
        <w:rPr>
          <w:rFonts w:hint="eastAsia"/>
          <w:b w:val="0"/>
          <w:bCs/>
          <w:lang w:val="zh-CN"/>
        </w:rPr>
        <w:t>连接件的几何信息应遵守以下规定：</w:t>
      </w:r>
    </w:p>
    <w:p>
      <w:pPr>
        <w:rPr>
          <w:lang w:val="zh-CN"/>
        </w:rPr>
      </w:pPr>
      <w:r>
        <w:rPr>
          <w:rFonts w:hint="eastAsia"/>
          <w:lang w:val="zh-CN"/>
        </w:rPr>
        <w:t>1</w:t>
      </w:r>
      <w:r>
        <w:rPr>
          <w:lang w:val="zh-CN"/>
        </w:rPr>
        <w:t xml:space="preserve"> </w:t>
      </w:r>
      <w:r>
        <w:rPr>
          <w:rFonts w:hint="eastAsia"/>
          <w:lang w:val="zh-CN"/>
        </w:rPr>
        <w:t>木结构连接件的几何信息应参考《木结构设计标准》（G</w:t>
      </w:r>
      <w:r>
        <w:rPr>
          <w:lang w:val="zh-CN"/>
        </w:rPr>
        <w:t>B50005</w:t>
      </w:r>
      <w:r>
        <w:rPr>
          <w:rFonts w:hint="eastAsia"/>
          <w:lang w:val="zh-CN"/>
        </w:rPr>
        <w:t>）规定的图形、符号表达方式；</w:t>
      </w:r>
    </w:p>
    <w:p>
      <w:pPr>
        <w:rPr>
          <w:lang w:val="zh-CN"/>
        </w:rPr>
      </w:pPr>
      <w:r>
        <w:rPr>
          <w:rFonts w:hint="eastAsia"/>
          <w:lang w:val="zh-CN"/>
        </w:rPr>
        <w:t>2</w:t>
      </w:r>
      <w:r>
        <w:rPr>
          <w:lang w:val="zh-CN"/>
        </w:rPr>
        <w:t xml:space="preserve"> </w:t>
      </w:r>
      <w:r>
        <w:rPr>
          <w:rFonts w:hint="eastAsia"/>
          <w:lang w:val="zh-CN"/>
        </w:rPr>
        <w:t>钢结构连接件及连接节点的几何信息应参考钢结构连接施工参考《钢结构连接施工图示》（1</w:t>
      </w:r>
      <w:r>
        <w:rPr>
          <w:lang w:val="zh-CN"/>
        </w:rPr>
        <w:t>5G909-1</w:t>
      </w:r>
      <w:r>
        <w:rPr>
          <w:rFonts w:hint="eastAsia"/>
          <w:lang w:val="zh-CN"/>
        </w:rPr>
        <w:t>）、《钢结构设计标准》（</w:t>
      </w:r>
      <w:r>
        <w:rPr>
          <w:lang w:val="zh-CN"/>
        </w:rPr>
        <w:t>GB50017</w:t>
      </w:r>
      <w:r>
        <w:rPr>
          <w:rFonts w:hint="eastAsia"/>
          <w:lang w:val="zh-CN"/>
        </w:rPr>
        <w:t>）；</w:t>
      </w:r>
    </w:p>
    <w:p>
      <w:pPr>
        <w:rPr>
          <w:lang w:val="zh-CN"/>
        </w:rPr>
      </w:pPr>
      <w:r>
        <w:rPr>
          <w:rFonts w:hint="eastAsia"/>
          <w:lang w:val="zh-CN"/>
        </w:rPr>
        <w:t>3</w:t>
      </w:r>
      <w:r>
        <w:rPr>
          <w:lang w:val="zh-CN"/>
        </w:rPr>
        <w:t xml:space="preserve"> </w:t>
      </w:r>
      <w:r>
        <w:rPr>
          <w:rFonts w:hint="eastAsia"/>
          <w:lang w:val="zh-CN"/>
        </w:rPr>
        <w:t>其它结构形式应该参考相应的设计规范、施工及验收规范。</w:t>
      </w:r>
    </w:p>
    <w:p>
      <w:pPr>
        <w:rPr>
          <w:i/>
          <w:iCs/>
          <w:lang w:val="zh-CN"/>
        </w:rPr>
      </w:pPr>
      <w:r>
        <w:rPr>
          <w:rFonts w:hint="eastAsia"/>
          <w:i/>
          <w:iCs/>
          <w:lang w:val="zh-CN"/>
        </w:rPr>
        <w:t>【条文说明】结构工程中连接件、连接节点是非常重要的部分，往往要求其强度等同于母材或主体材料。所以结构工程产品信息模型中关于连接件、连接点需要严格的按照规范表达。</w:t>
      </w:r>
    </w:p>
    <w:p>
      <w:pPr>
        <w:pStyle w:val="4"/>
        <w:bidi w:val="0"/>
        <w:ind w:firstLine="241"/>
        <w:rPr>
          <w:rFonts w:hint="eastAsia"/>
          <w:b/>
          <w:bCs w:val="0"/>
          <w:lang w:val="zh-CN"/>
        </w:rPr>
      </w:pPr>
      <w:r>
        <w:rPr>
          <w:rFonts w:hint="eastAsia"/>
          <w:b/>
          <w:bCs w:val="0"/>
          <w:lang w:val="zh-CN"/>
        </w:rPr>
        <w:t>5.2.3 装配式结构工程产品应有运输、存放、吊装等相关的几何信息</w:t>
      </w:r>
    </w:p>
    <w:p>
      <w:pPr>
        <w:rPr>
          <w:rFonts w:ascii="宋体" w:hAnsi="宋体"/>
          <w:i/>
          <w:iCs/>
          <w:szCs w:val="21"/>
        </w:rPr>
      </w:pPr>
      <w:r>
        <w:rPr>
          <w:rFonts w:ascii="宋体" w:hAnsi="宋体"/>
          <w:i/>
          <w:iCs/>
          <w:szCs w:val="21"/>
        </w:rPr>
        <w:t>【条文说明】</w:t>
      </w:r>
      <w:r>
        <w:rPr>
          <w:rStyle w:val="35"/>
          <w:rFonts w:hint="eastAsia"/>
          <w:i/>
          <w:iCs w:val="0"/>
        </w:rPr>
        <w:t>装配式结构工程产品的吊装施工、仓储存放都有严格的规定。产品信息模型应有吊装定位、吊具等几何信息表达。同样，仓储过程中要表达产品叠压可支撑部位等信息。</w:t>
      </w:r>
    </w:p>
    <w:p>
      <w:pPr>
        <w:pStyle w:val="4"/>
        <w:bidi w:val="0"/>
        <w:ind w:firstLine="241"/>
        <w:rPr>
          <w:rFonts w:hint="eastAsia"/>
          <w:b w:val="0"/>
          <w:bCs/>
          <w:lang w:val="zh-CN"/>
        </w:rPr>
      </w:pPr>
      <w:r>
        <w:rPr>
          <w:rFonts w:hint="eastAsia"/>
          <w:b/>
          <w:bCs w:val="0"/>
          <w:lang w:val="zh-CN"/>
        </w:rPr>
        <w:t>5.2.4</w:t>
      </w:r>
      <w:r>
        <w:rPr>
          <w:rFonts w:hint="eastAsia"/>
          <w:b/>
          <w:bCs w:val="0"/>
          <w:lang w:val="en-US" w:eastAsia="zh-CN"/>
        </w:rPr>
        <w:t xml:space="preserve"> </w:t>
      </w:r>
      <w:r>
        <w:rPr>
          <w:rFonts w:hint="eastAsia"/>
          <w:b w:val="0"/>
          <w:bCs/>
          <w:lang w:val="zh-CN"/>
        </w:rPr>
        <w:t>装配式结构工程产品应有预留预埋、开孔等几何信息，其表示方法遵守《装配式混凝土建筑技术标准》（GB/T51231）、《装配式木结构建筑技术标准》（GB/T51233）、《装配式钢结构建筑技术标准》（GB/T51232）。</w:t>
      </w:r>
    </w:p>
    <w:p>
      <w:pPr>
        <w:rPr>
          <w:i/>
          <w:iCs/>
          <w:lang w:val="zh-CN"/>
        </w:rPr>
      </w:pPr>
      <w:r>
        <w:rPr>
          <w:rFonts w:hint="eastAsia"/>
          <w:i/>
          <w:iCs/>
          <w:lang w:val="zh-CN"/>
        </w:rPr>
        <w:t>【条文说明】装配式结构产品中涉及配合建筑、机电等专业的预留预埋件。比如穿墙管线、预埋管线等。其位置要严格遵守结构规程相关规定。所以结构工程产品信息模型必须在图形中表示。</w:t>
      </w:r>
    </w:p>
    <w:p>
      <w:pPr>
        <w:pStyle w:val="4"/>
        <w:rPr>
          <w:rStyle w:val="35"/>
          <w:b w:val="0"/>
          <w:bCs w:val="0"/>
        </w:rPr>
      </w:pPr>
      <w:r>
        <w:rPr>
          <w:rStyle w:val="35"/>
        </w:rPr>
        <w:t>5.</w:t>
      </w:r>
      <w:r>
        <w:rPr>
          <w:rStyle w:val="35"/>
          <w:rFonts w:hint="eastAsia"/>
        </w:rPr>
        <w:t>2</w:t>
      </w:r>
      <w:r>
        <w:rPr>
          <w:rStyle w:val="35"/>
        </w:rPr>
        <w:t>.</w:t>
      </w:r>
      <w:r>
        <w:rPr>
          <w:rStyle w:val="35"/>
          <w:rFonts w:hint="eastAsia"/>
        </w:rPr>
        <w:t>5</w:t>
      </w:r>
      <w:r>
        <w:rPr>
          <w:rStyle w:val="35"/>
          <w:b w:val="0"/>
          <w:bCs w:val="0"/>
        </w:rPr>
        <w:t xml:space="preserve"> </w:t>
      </w:r>
      <w:r>
        <w:rPr>
          <w:rStyle w:val="35"/>
          <w:rFonts w:hint="eastAsia"/>
          <w:b w:val="0"/>
          <w:bCs w:val="0"/>
        </w:rPr>
        <w:t>结构工程产品设计制作应遵守《建筑模数协调标准》（GB/T 50002），产品信息模型的表达同样应遵守该标准。</w:t>
      </w:r>
    </w:p>
    <w:p>
      <w:pPr>
        <w:rPr>
          <w:i/>
          <w:iCs/>
        </w:rPr>
      </w:pPr>
      <w:r>
        <w:rPr>
          <w:rFonts w:ascii="宋体" w:hAnsi="宋体"/>
          <w:i/>
          <w:iCs/>
          <w:szCs w:val="21"/>
        </w:rPr>
        <w:t>【条文说明】</w:t>
      </w:r>
      <w:r>
        <w:rPr>
          <w:rFonts w:hint="eastAsia" w:ascii="宋体" w:hAnsi="宋体"/>
          <w:i/>
          <w:iCs/>
          <w:szCs w:val="21"/>
        </w:rPr>
        <w:t>为了标准化产品（标准化安装、连接），结构产品应遵守模数协调标准。</w:t>
      </w:r>
    </w:p>
    <w:p>
      <w:pPr>
        <w:pStyle w:val="3"/>
        <w:bidi w:val="0"/>
      </w:pPr>
      <w:bookmarkStart w:id="48" w:name="_Toc28533014"/>
      <w:bookmarkStart w:id="49" w:name="_Toc9331"/>
      <w:r>
        <w:t>5.3二维图形</w:t>
      </w:r>
      <w:r>
        <w:rPr>
          <w:rFonts w:hint="eastAsia"/>
        </w:rPr>
        <w:t>几何信息</w:t>
      </w:r>
      <w:r>
        <w:t>要求</w:t>
      </w:r>
      <w:bookmarkEnd w:id="48"/>
      <w:bookmarkEnd w:id="49"/>
    </w:p>
    <w:p>
      <w:pPr>
        <w:pStyle w:val="4"/>
        <w:bidi w:val="0"/>
        <w:ind w:firstLine="241"/>
        <w:rPr>
          <w:rFonts w:hint="eastAsia"/>
          <w:b/>
          <w:bCs w:val="0"/>
          <w:lang w:val="zh-CN"/>
        </w:rPr>
      </w:pPr>
      <w:r>
        <w:rPr>
          <w:rFonts w:hint="eastAsia"/>
          <w:b/>
          <w:bCs w:val="0"/>
          <w:lang w:val="zh-CN"/>
        </w:rPr>
        <w:t>5.3.1</w:t>
      </w:r>
      <w:r>
        <w:rPr>
          <w:rFonts w:hint="eastAsia"/>
          <w:b/>
          <w:bCs w:val="0"/>
          <w:lang w:val="en-US" w:eastAsia="zh-CN"/>
        </w:rPr>
        <w:t xml:space="preserve"> </w:t>
      </w:r>
      <w:r>
        <w:rPr>
          <w:rFonts w:hint="eastAsia"/>
          <w:b w:val="0"/>
          <w:bCs/>
          <w:lang w:val="zh-CN"/>
        </w:rPr>
        <w:t>产品信息模型映射生成的二维图形的几何信息应满足空间布置、材料拼装等需求。</w:t>
      </w:r>
    </w:p>
    <w:p>
      <w:pPr>
        <w:rPr>
          <w:i/>
          <w:iCs/>
          <w:lang w:val="zh-CN"/>
        </w:rPr>
      </w:pPr>
      <w:r>
        <w:rPr>
          <w:rFonts w:hint="eastAsia"/>
          <w:i/>
          <w:iCs/>
          <w:lang w:val="zh-CN"/>
        </w:rPr>
        <w:t>【条文说明】产品信息模型真实反映外观几何信息（平面、剖面、侧面）可以为合理空间、平面布局提供依据。材料规格、材质信息有助于材料的切割、拼装布置。</w:t>
      </w:r>
    </w:p>
    <w:p>
      <w:pPr>
        <w:pStyle w:val="4"/>
        <w:bidi w:val="0"/>
        <w:ind w:firstLine="241"/>
        <w:rPr>
          <w:rFonts w:hint="eastAsia"/>
          <w:b w:val="0"/>
          <w:bCs/>
          <w:lang w:val="zh-CN"/>
        </w:rPr>
      </w:pPr>
      <w:r>
        <w:rPr>
          <w:rFonts w:hint="eastAsia"/>
          <w:b/>
          <w:bCs w:val="0"/>
          <w:lang w:val="zh-CN"/>
        </w:rPr>
        <w:t>5.3.2</w:t>
      </w:r>
      <w:r>
        <w:rPr>
          <w:rFonts w:hint="eastAsia"/>
          <w:b w:val="0"/>
          <w:bCs/>
          <w:lang w:val="zh-CN"/>
        </w:rPr>
        <w:t>产品信息模型生成的二维图形深化设计、预留预埋等设计安装需求。</w:t>
      </w:r>
    </w:p>
    <w:p>
      <w:pPr>
        <w:rPr>
          <w:rFonts w:ascii="黑体" w:hAnsi="黑体"/>
        </w:rPr>
      </w:pPr>
      <w:bookmarkStart w:id="50" w:name="_Toc28533015"/>
      <w:r>
        <w:rPr>
          <w:rFonts w:ascii="黑体" w:hAnsi="黑体"/>
        </w:rPr>
        <w:br w:type="page"/>
      </w:r>
    </w:p>
    <w:p>
      <w:pPr>
        <w:pStyle w:val="2"/>
        <w:ind w:left="322"/>
        <w:rPr>
          <w:rFonts w:ascii="黑体" w:hAnsi="黑体"/>
        </w:rPr>
      </w:pPr>
      <w:bookmarkStart w:id="51" w:name="_Toc26752"/>
      <w:r>
        <w:rPr>
          <w:rFonts w:ascii="黑体" w:hAnsi="黑体"/>
        </w:rPr>
        <w:t>非几何信息</w:t>
      </w:r>
      <w:bookmarkEnd w:id="50"/>
      <w:bookmarkEnd w:id="51"/>
    </w:p>
    <w:p>
      <w:pPr>
        <w:keepNext/>
        <w:keepLines/>
        <w:spacing w:before="260" w:after="260" w:line="416" w:lineRule="auto"/>
        <w:jc w:val="center"/>
        <w:outlineLvl w:val="1"/>
        <w:rPr>
          <w:rFonts w:ascii="Cambria" w:hAnsi="Cambria" w:eastAsia="Times New Roman"/>
          <w:b/>
          <w:bCs/>
          <w:sz w:val="24"/>
          <w:szCs w:val="32"/>
          <w:lang w:val="zh-CN"/>
        </w:rPr>
      </w:pPr>
      <w:bookmarkStart w:id="52" w:name="_Toc28533016"/>
      <w:bookmarkStart w:id="53" w:name="_Toc26684"/>
      <w:r>
        <w:rPr>
          <w:rFonts w:hint="eastAsia" w:ascii="Cambria" w:hAnsi="Cambria" w:eastAsia="Times New Roman"/>
          <w:b/>
          <w:bCs/>
          <w:sz w:val="24"/>
          <w:szCs w:val="32"/>
          <w:lang w:val="zh-CN"/>
        </w:rPr>
        <w:t>6</w:t>
      </w:r>
      <w:r>
        <w:rPr>
          <w:rFonts w:ascii="Cambria" w:hAnsi="Cambria" w:eastAsia="Times New Roman"/>
          <w:b/>
          <w:bCs/>
          <w:sz w:val="24"/>
          <w:szCs w:val="32"/>
          <w:lang w:val="zh-CN"/>
        </w:rPr>
        <w:t>.1</w:t>
      </w:r>
      <w:r>
        <w:rPr>
          <w:rFonts w:hint="eastAsia" w:ascii="宋体" w:hAnsi="宋体" w:cs="宋体"/>
          <w:b/>
          <w:bCs/>
          <w:sz w:val="24"/>
          <w:szCs w:val="32"/>
          <w:lang w:val="zh-CN"/>
        </w:rPr>
        <w:t>产品信息模型非几何信息一般规定</w:t>
      </w:r>
      <w:bookmarkEnd w:id="52"/>
      <w:bookmarkEnd w:id="53"/>
    </w:p>
    <w:p>
      <w:pPr>
        <w:pStyle w:val="4"/>
        <w:bidi w:val="0"/>
        <w:ind w:firstLine="241"/>
        <w:rPr>
          <w:rFonts w:hint="eastAsia"/>
          <w:b w:val="0"/>
          <w:bCs/>
          <w:lang w:val="zh-CN"/>
        </w:rPr>
      </w:pPr>
      <w:r>
        <w:rPr>
          <w:rFonts w:hint="eastAsia"/>
          <w:b/>
          <w:bCs w:val="0"/>
          <w:lang w:val="zh-CN"/>
        </w:rPr>
        <w:t>6.1.1</w:t>
      </w:r>
      <w:r>
        <w:rPr>
          <w:rFonts w:hint="eastAsia"/>
          <w:b/>
          <w:bCs w:val="0"/>
          <w:lang w:val="en-US" w:eastAsia="zh-CN"/>
        </w:rPr>
        <w:t xml:space="preserve"> </w:t>
      </w:r>
      <w:r>
        <w:rPr>
          <w:rFonts w:hint="eastAsia"/>
          <w:b w:val="0"/>
          <w:bCs/>
          <w:lang w:val="zh-CN"/>
        </w:rPr>
        <w:t>每类产品属性信息应有固定的参数项，参数值由生产制造商确定和认可。固定参数项目包括相同参数名、参数项数量。</w:t>
      </w:r>
    </w:p>
    <w:p>
      <w:pPr>
        <w:rPr>
          <w:i/>
          <w:iCs/>
          <w:lang w:val="zh-CN"/>
        </w:rPr>
      </w:pPr>
      <w:r>
        <w:rPr>
          <w:rFonts w:hint="eastAsia"/>
          <w:i/>
          <w:iCs/>
          <w:lang w:val="zh-CN"/>
        </w:rPr>
        <w:t>【条文说明】产品信息模型在工程建设管理活动中所需要的参数项（也可以认为是参数条目数量）应该是固定的。如：加气混凝土砌块涉及到的参数项有尺寸规格、容重、抗压强度、传热系数、燃烧性能等，一旦将这些条目固定下来，所有加气混凝土砌块的参数项目应是同样的。</w:t>
      </w:r>
    </w:p>
    <w:p>
      <w:pPr>
        <w:pStyle w:val="4"/>
        <w:bidi w:val="0"/>
        <w:ind w:firstLine="241"/>
        <w:rPr>
          <w:rFonts w:hint="eastAsia"/>
          <w:b w:val="0"/>
          <w:bCs/>
          <w:lang w:val="zh-CN"/>
        </w:rPr>
      </w:pPr>
      <w:r>
        <w:rPr>
          <w:rFonts w:hint="eastAsia"/>
          <w:b/>
          <w:bCs w:val="0"/>
          <w:lang w:val="zh-CN"/>
        </w:rPr>
        <w:t>6.1.2</w:t>
      </w:r>
      <w:r>
        <w:rPr>
          <w:rFonts w:hint="eastAsia"/>
          <w:b/>
          <w:bCs w:val="0"/>
          <w:lang w:val="en-US" w:eastAsia="zh-CN"/>
        </w:rPr>
        <w:t xml:space="preserve"> </w:t>
      </w:r>
      <w:r>
        <w:rPr>
          <w:rFonts w:hint="eastAsia"/>
          <w:b w:val="0"/>
          <w:bCs/>
          <w:lang w:val="zh-CN"/>
        </w:rPr>
        <w:t>产品信息模型的非几何信息表达方法要遵循以下两个点，其标准表达方式应符合结构工程设计、验收所引用标准。</w:t>
      </w:r>
    </w:p>
    <w:p>
      <w:pPr>
        <w:rPr>
          <w:iCs/>
          <w:lang w:val="zh-CN"/>
        </w:rPr>
      </w:pPr>
      <w:r>
        <w:rPr>
          <w:rFonts w:hint="eastAsia"/>
          <w:iCs/>
          <w:lang w:val="zh-CN"/>
        </w:rPr>
        <w:t>1 非几何信息的参数值单位标准化；</w:t>
      </w:r>
    </w:p>
    <w:p>
      <w:pPr>
        <w:rPr>
          <w:i/>
          <w:lang w:val="zh-CN"/>
        </w:rPr>
      </w:pPr>
      <w:r>
        <w:rPr>
          <w:rFonts w:hint="eastAsia"/>
          <w:i/>
          <w:lang w:val="zh-CN"/>
        </w:rPr>
        <w:t>【条文说明】不同产品、不同应用场合有不同的表示方法，如钢筋、钢材的重量在设计中按千克，在工程量结算中按吨取费，所以不同模型参数的单位应与应用场景相符。</w:t>
      </w:r>
    </w:p>
    <w:p>
      <w:pPr>
        <w:rPr>
          <w:i/>
          <w:lang w:val="zh-CN"/>
        </w:rPr>
      </w:pPr>
    </w:p>
    <w:p>
      <w:pPr>
        <w:rPr>
          <w:iCs/>
          <w:lang w:val="zh-CN"/>
        </w:rPr>
      </w:pPr>
      <w:r>
        <w:rPr>
          <w:rFonts w:hint="eastAsia"/>
          <w:iCs/>
          <w:lang w:val="zh-CN"/>
        </w:rPr>
        <w:t>2 非几何信息的参数值数字精度标准化。</w:t>
      </w:r>
    </w:p>
    <w:p>
      <w:pPr>
        <w:rPr>
          <w:i/>
          <w:iCs/>
          <w:lang w:val="zh-CN"/>
        </w:rPr>
      </w:pPr>
      <w:r>
        <w:rPr>
          <w:rFonts w:hint="eastAsia"/>
          <w:i/>
          <w:iCs/>
          <w:lang w:val="zh-CN"/>
        </w:rPr>
        <w:t>【条文说明】非几何信息精度是指精确小数据点后几位。如：重量一般是小数点后面三位，延长米是小数点后面两位。</w:t>
      </w:r>
    </w:p>
    <w:p>
      <w:pPr>
        <w:pStyle w:val="4"/>
        <w:rPr>
          <w:b w:val="0"/>
          <w:bCs w:val="0"/>
          <w:iCs/>
          <w:sz w:val="21"/>
        </w:rPr>
      </w:pPr>
      <w:r>
        <w:rPr>
          <w:rStyle w:val="35"/>
          <w:rFonts w:hint="eastAsia"/>
        </w:rPr>
        <w:t>6</w:t>
      </w:r>
      <w:r>
        <w:rPr>
          <w:rStyle w:val="35"/>
        </w:rPr>
        <w:t>.1.3</w:t>
      </w:r>
      <w:r>
        <w:rPr>
          <w:rStyle w:val="35"/>
          <w:b w:val="0"/>
          <w:bCs w:val="0"/>
        </w:rPr>
        <w:t xml:space="preserve"> 产品的非几何信息</w:t>
      </w:r>
      <w:r>
        <w:rPr>
          <w:rStyle w:val="35"/>
          <w:rFonts w:hint="eastAsia"/>
          <w:b w:val="0"/>
          <w:bCs w:val="0"/>
        </w:rPr>
        <w:t>标准</w:t>
      </w:r>
      <w:r>
        <w:rPr>
          <w:rStyle w:val="35"/>
          <w:b w:val="0"/>
          <w:bCs w:val="0"/>
        </w:rPr>
        <w:t>表示</w:t>
      </w:r>
      <w:r>
        <w:rPr>
          <w:rStyle w:val="35"/>
          <w:rFonts w:hint="eastAsia"/>
          <w:b w:val="0"/>
          <w:bCs w:val="0"/>
        </w:rPr>
        <w:t>方法，应参考结构工程设计规范、验收规范等要求。</w:t>
      </w:r>
    </w:p>
    <w:p>
      <w:pPr>
        <w:rPr>
          <w:i/>
          <w:iCs/>
          <w:lang w:val="zh-CN"/>
        </w:rPr>
      </w:pPr>
      <w:r>
        <w:rPr>
          <w:rFonts w:hint="eastAsia"/>
          <w:i/>
          <w:iCs/>
          <w:lang w:val="zh-CN"/>
        </w:rPr>
        <w:t>【条文说明】结构工程设计过程中力学计算其表达方法都是统一规定。如不同标号的钢筋表达方式不同。结构产品信息模型表达方法应遵守统一表达规定。</w:t>
      </w:r>
    </w:p>
    <w:p>
      <w:pPr>
        <w:pStyle w:val="3"/>
        <w:bidi w:val="0"/>
        <w:rPr>
          <w:lang w:val="zh-CN"/>
        </w:rPr>
      </w:pPr>
      <w:bookmarkStart w:id="54" w:name="_Toc28533017"/>
      <w:bookmarkStart w:id="55" w:name="_Toc24204"/>
      <w:r>
        <w:rPr>
          <w:lang w:val="zh-CN"/>
        </w:rPr>
        <w:t>6.2</w:t>
      </w:r>
      <w:r>
        <w:rPr>
          <w:rFonts w:hint="eastAsia"/>
          <w:lang w:val="zh-CN"/>
        </w:rPr>
        <w:t>产品信息模型非几何信息规定</w:t>
      </w:r>
      <w:bookmarkEnd w:id="54"/>
      <w:bookmarkEnd w:id="55"/>
    </w:p>
    <w:p>
      <w:pPr>
        <w:pStyle w:val="4"/>
        <w:bidi w:val="0"/>
        <w:ind w:firstLine="241"/>
        <w:rPr>
          <w:rFonts w:hint="eastAsia" w:eastAsia="宋体"/>
          <w:b/>
          <w:bCs w:val="0"/>
          <w:lang w:val="en-US" w:eastAsia="zh-CN"/>
        </w:rPr>
      </w:pPr>
      <w:r>
        <w:rPr>
          <w:rFonts w:hint="eastAsia"/>
          <w:b/>
          <w:bCs w:val="0"/>
          <w:lang w:val="zh-CN"/>
        </w:rPr>
        <w:t>6.2.1</w:t>
      </w:r>
      <w:r>
        <w:rPr>
          <w:rFonts w:hint="eastAsia"/>
          <w:b/>
          <w:bCs w:val="0"/>
          <w:lang w:val="en-US" w:eastAsia="zh-CN"/>
        </w:rPr>
        <w:t xml:space="preserve"> </w:t>
      </w:r>
      <w:r>
        <w:rPr>
          <w:rFonts w:hint="eastAsia"/>
          <w:b w:val="0"/>
          <w:bCs/>
          <w:lang w:val="zh-CN"/>
        </w:rPr>
        <w:t>结构工程产品信息模型至少应具有以下非几何信息</w:t>
      </w:r>
      <w:r>
        <w:rPr>
          <w:rFonts w:hint="eastAsia"/>
          <w:b w:val="0"/>
          <w:bCs/>
          <w:lang w:val="en-US" w:eastAsia="zh-CN"/>
        </w:rPr>
        <w:t xml:space="preserve"> </w:t>
      </w:r>
    </w:p>
    <w:p>
      <w:pPr>
        <w:rPr>
          <w:lang w:val="zh-CN"/>
        </w:rPr>
      </w:pPr>
      <w:r>
        <w:rPr>
          <w:rFonts w:hint="eastAsia"/>
          <w:lang w:val="zh-CN"/>
        </w:rPr>
        <w:t>1 产品生产制造、检测、验收所引用的标准；</w:t>
      </w:r>
    </w:p>
    <w:p>
      <w:pPr>
        <w:rPr>
          <w:lang w:val="zh-CN"/>
        </w:rPr>
      </w:pPr>
      <w:r>
        <w:rPr>
          <w:rFonts w:hint="eastAsia"/>
          <w:lang w:val="zh-CN"/>
        </w:rPr>
        <w:t>2</w:t>
      </w:r>
      <w:r>
        <w:rPr>
          <w:lang w:val="zh-CN"/>
        </w:rPr>
        <w:t xml:space="preserve"> </w:t>
      </w:r>
      <w:r>
        <w:rPr>
          <w:rFonts w:hint="eastAsia"/>
          <w:lang w:val="zh-CN"/>
        </w:rPr>
        <w:t>承重的结构产品需要有承载能力设计值限值；</w:t>
      </w:r>
    </w:p>
    <w:p>
      <w:pPr>
        <w:rPr>
          <w:lang w:val="zh-CN"/>
        </w:rPr>
      </w:pPr>
      <w:r>
        <w:rPr>
          <w:rFonts w:hint="eastAsia"/>
          <w:lang w:val="zh-CN"/>
        </w:rPr>
        <w:t>3</w:t>
      </w:r>
      <w:r>
        <w:rPr>
          <w:lang w:val="zh-CN"/>
        </w:rPr>
        <w:t xml:space="preserve"> </w:t>
      </w:r>
      <w:r>
        <w:rPr>
          <w:rFonts w:hint="eastAsia"/>
          <w:lang w:val="zh-CN"/>
        </w:rPr>
        <w:t>结构工程所参考的气象值；</w:t>
      </w:r>
    </w:p>
    <w:p>
      <w:pPr>
        <w:rPr>
          <w:lang w:val="zh-CN"/>
        </w:rPr>
      </w:pPr>
      <w:r>
        <w:rPr>
          <w:rFonts w:hint="eastAsia"/>
          <w:lang w:val="zh-CN"/>
        </w:rPr>
        <w:t>4</w:t>
      </w:r>
      <w:r>
        <w:rPr>
          <w:lang w:val="zh-CN"/>
        </w:rPr>
        <w:t xml:space="preserve"> </w:t>
      </w:r>
      <w:r>
        <w:rPr>
          <w:rFonts w:hint="eastAsia"/>
          <w:lang w:val="zh-CN"/>
        </w:rPr>
        <w:t>结构产品所适用的地质条件；</w:t>
      </w:r>
    </w:p>
    <w:p>
      <w:pPr>
        <w:rPr>
          <w:lang w:val="zh-CN"/>
        </w:rPr>
      </w:pPr>
      <w:r>
        <w:rPr>
          <w:rFonts w:hint="eastAsia"/>
          <w:lang w:val="zh-CN"/>
        </w:rPr>
        <w:t>5</w:t>
      </w:r>
      <w:r>
        <w:rPr>
          <w:lang w:val="zh-CN"/>
        </w:rPr>
        <w:t xml:space="preserve"> </w:t>
      </w:r>
      <w:r>
        <w:rPr>
          <w:rFonts w:hint="eastAsia"/>
          <w:lang w:val="zh-CN"/>
        </w:rPr>
        <w:t>主要原材料的强度等级；</w:t>
      </w:r>
    </w:p>
    <w:p>
      <w:pPr>
        <w:rPr>
          <w:lang w:val="zh-CN"/>
        </w:rPr>
      </w:pPr>
      <w:r>
        <w:rPr>
          <w:rFonts w:hint="eastAsia"/>
          <w:lang w:val="zh-CN"/>
        </w:rPr>
        <w:t>6</w:t>
      </w:r>
      <w:r>
        <w:rPr>
          <w:lang w:val="zh-CN"/>
        </w:rPr>
        <w:t xml:space="preserve"> </w:t>
      </w:r>
      <w:r>
        <w:rPr>
          <w:rFonts w:hint="eastAsia"/>
          <w:lang w:val="zh-CN"/>
        </w:rPr>
        <w:t>符合相应标准的其它条件；</w:t>
      </w:r>
    </w:p>
    <w:p>
      <w:pPr>
        <w:rPr>
          <w:rFonts w:ascii="宋体" w:hAnsi="宋体"/>
          <w:i/>
          <w:iCs/>
          <w:szCs w:val="21"/>
        </w:rPr>
      </w:pPr>
      <w:r>
        <w:rPr>
          <w:rFonts w:ascii="宋体" w:hAnsi="宋体"/>
          <w:i/>
          <w:iCs/>
          <w:szCs w:val="21"/>
        </w:rPr>
        <w:t>【条文说明】产品选型所使用参数应该根据相关设计规范计算。被使用产品应该标明参数值。如：</w:t>
      </w:r>
      <w:r>
        <w:rPr>
          <w:rFonts w:hint="eastAsia" w:ascii="宋体" w:hAnsi="宋体"/>
          <w:i/>
          <w:iCs/>
          <w:szCs w:val="21"/>
        </w:rPr>
        <w:t>钢结构节点须注明钢材牌号</w:t>
      </w:r>
      <w:r>
        <w:rPr>
          <w:rFonts w:ascii="宋体" w:hAnsi="宋体"/>
          <w:i/>
          <w:iCs/>
          <w:szCs w:val="21"/>
        </w:rPr>
        <w:t>。</w:t>
      </w:r>
    </w:p>
    <w:p>
      <w:pPr>
        <w:pStyle w:val="4"/>
        <w:bidi w:val="0"/>
        <w:ind w:firstLine="241"/>
        <w:rPr>
          <w:rFonts w:hint="eastAsia" w:eastAsia="宋体"/>
          <w:b w:val="0"/>
          <w:bCs/>
          <w:lang w:val="zh-CN" w:eastAsia="zh-CN"/>
        </w:rPr>
      </w:pPr>
      <w:r>
        <w:rPr>
          <w:rFonts w:hint="eastAsia"/>
          <w:b/>
          <w:bCs w:val="0"/>
          <w:lang w:val="zh-CN"/>
        </w:rPr>
        <w:t xml:space="preserve">6.2.2 </w:t>
      </w:r>
      <w:r>
        <w:rPr>
          <w:rFonts w:hint="eastAsia"/>
          <w:b w:val="0"/>
          <w:bCs/>
          <w:lang w:val="zh-CN"/>
        </w:rPr>
        <w:t>钢结构产品除了具备以上信息还要具备</w:t>
      </w:r>
      <w:r>
        <w:rPr>
          <w:rFonts w:hint="eastAsia"/>
          <w:b w:val="0"/>
          <w:bCs/>
          <w:lang w:val="en-US" w:eastAsia="zh-CN"/>
        </w:rPr>
        <w:t xml:space="preserve"> </w:t>
      </w:r>
    </w:p>
    <w:p>
      <w:pPr>
        <w:rPr>
          <w:lang w:val="zh-CN"/>
        </w:rPr>
      </w:pPr>
      <w:r>
        <w:rPr>
          <w:rFonts w:hint="eastAsia"/>
          <w:lang w:val="zh-CN"/>
        </w:rPr>
        <w:t>1</w:t>
      </w:r>
      <w:r>
        <w:rPr>
          <w:lang w:val="zh-CN"/>
        </w:rPr>
        <w:t xml:space="preserve"> </w:t>
      </w:r>
      <w:r>
        <w:rPr>
          <w:rFonts w:hint="eastAsia"/>
          <w:lang w:val="zh-CN"/>
        </w:rPr>
        <w:t>材料选择标准（包括连接材料、连接方式）；</w:t>
      </w:r>
    </w:p>
    <w:p>
      <w:pPr>
        <w:rPr>
          <w:lang w:val="zh-CN"/>
        </w:rPr>
      </w:pPr>
      <w:r>
        <w:rPr>
          <w:rFonts w:hint="eastAsia"/>
          <w:lang w:val="zh-CN"/>
        </w:rPr>
        <w:t>2</w:t>
      </w:r>
      <w:r>
        <w:rPr>
          <w:lang w:val="zh-CN"/>
        </w:rPr>
        <w:t xml:space="preserve"> </w:t>
      </w:r>
      <w:r>
        <w:rPr>
          <w:rFonts w:hint="eastAsia"/>
          <w:lang w:val="zh-CN"/>
        </w:rPr>
        <w:t>钢结构防护要求及标准</w:t>
      </w:r>
    </w:p>
    <w:p>
      <w:pPr>
        <w:pStyle w:val="4"/>
        <w:rPr>
          <w:rStyle w:val="35"/>
          <w:b w:val="0"/>
          <w:bCs/>
          <w:iCs w:val="0"/>
        </w:rPr>
      </w:pPr>
      <w:r>
        <w:rPr>
          <w:rFonts w:hint="eastAsia"/>
          <w:b/>
          <w:bCs w:val="0"/>
          <w:lang w:val="zh-CN"/>
        </w:rPr>
        <w:t>6.2.3</w:t>
      </w:r>
      <w:r>
        <w:rPr>
          <w:rFonts w:hint="eastAsia"/>
          <w:b/>
          <w:bCs w:val="0"/>
          <w:lang w:val="en-US" w:eastAsia="zh-CN"/>
        </w:rPr>
        <w:t xml:space="preserve"> </w:t>
      </w:r>
      <w:r>
        <w:rPr>
          <w:rFonts w:hint="eastAsia"/>
          <w:b w:val="0"/>
          <w:bCs/>
          <w:lang w:val="zh-CN"/>
        </w:rPr>
        <w:t>木结构工程产品除满足6.2.1和6.2.2外还应有防虫、防潮、防腐等木质产品所需要</w:t>
      </w:r>
      <w:r>
        <w:rPr>
          <w:rStyle w:val="35"/>
          <w:rFonts w:hint="eastAsia"/>
          <w:b w:val="0"/>
          <w:bCs/>
          <w:iCs w:val="0"/>
        </w:rPr>
        <w:t>的其它防护需求。</w:t>
      </w:r>
    </w:p>
    <w:p>
      <w:pPr>
        <w:pStyle w:val="4"/>
        <w:bidi w:val="0"/>
        <w:ind w:firstLine="241"/>
        <w:rPr>
          <w:rFonts w:hint="eastAsia"/>
          <w:b w:val="0"/>
          <w:bCs/>
          <w:lang w:val="zh-CN"/>
        </w:rPr>
      </w:pPr>
      <w:r>
        <w:rPr>
          <w:rFonts w:hint="eastAsia"/>
          <w:b/>
          <w:bCs w:val="0"/>
          <w:lang w:val="zh-CN"/>
        </w:rPr>
        <w:t>6.2.4</w:t>
      </w:r>
      <w:r>
        <w:rPr>
          <w:rFonts w:hint="eastAsia"/>
          <w:b/>
          <w:bCs w:val="0"/>
          <w:lang w:val="en-US" w:eastAsia="zh-CN"/>
        </w:rPr>
        <w:t xml:space="preserve"> </w:t>
      </w:r>
      <w:r>
        <w:rPr>
          <w:rFonts w:hint="eastAsia"/>
          <w:b w:val="0"/>
          <w:bCs/>
          <w:lang w:val="zh-CN"/>
        </w:rPr>
        <w:t>结构工程产品信息模型应有力学计算所需要的信息，比如材料等级、结构连接等。</w:t>
      </w:r>
    </w:p>
    <w:p>
      <w:pPr>
        <w:pStyle w:val="4"/>
        <w:bidi w:val="0"/>
        <w:ind w:firstLine="241"/>
        <w:rPr>
          <w:rFonts w:hint="eastAsia"/>
          <w:b w:val="0"/>
          <w:bCs/>
          <w:lang w:val="zh-CN"/>
        </w:rPr>
      </w:pPr>
      <w:r>
        <w:rPr>
          <w:rFonts w:hint="eastAsia"/>
          <w:b/>
          <w:bCs w:val="0"/>
          <w:lang w:val="zh-CN"/>
        </w:rPr>
        <w:t xml:space="preserve">6.2.5 </w:t>
      </w:r>
      <w:r>
        <w:rPr>
          <w:rFonts w:hint="eastAsia"/>
          <w:b w:val="0"/>
          <w:bCs/>
          <w:lang w:val="zh-CN"/>
        </w:rPr>
        <w:t>结构工程产品信息模型非几何信息在工程经济管理中应从以下几个方面考虑。</w:t>
      </w:r>
    </w:p>
    <w:p>
      <w:pPr>
        <w:rPr>
          <w:iCs/>
        </w:rPr>
      </w:pPr>
      <w:r>
        <w:rPr>
          <w:iCs/>
        </w:rPr>
        <w:t>1  产品信息模型的采购信息包括</w:t>
      </w:r>
      <w:r>
        <w:rPr>
          <w:rFonts w:hint="eastAsia"/>
          <w:iCs/>
        </w:rPr>
        <w:t>产品供需双方选择、产品采购合同签订涉及的条款。</w:t>
      </w:r>
    </w:p>
    <w:p>
      <w:pPr>
        <w:rPr>
          <w:i/>
          <w:iCs/>
          <w:lang w:val="zh-CN"/>
        </w:rPr>
      </w:pPr>
      <w:r>
        <w:rPr>
          <w:rFonts w:hint="eastAsia"/>
          <w:i/>
          <w:iCs/>
          <w:lang w:val="zh-CN"/>
        </w:rPr>
        <w:t>【条文说明】在产品采购行为中涉及到供应商及产品的选择及采购合同条款（标的物描述、交付标准、交付方式等条款），产品信息模型信息应该涉及到这方面。</w:t>
      </w:r>
    </w:p>
    <w:p>
      <w:r>
        <w:rPr>
          <w:rFonts w:hint="eastAsia"/>
        </w:rPr>
        <w:t>2产品信息模型应有支模型信息应该有支撑产品成本、合约、造价使用的信息。产品计价应满足《建设工程人工材料设备机械数据标准》（</w:t>
      </w:r>
      <w:r>
        <w:t>GB/T50851</w:t>
      </w:r>
      <w:r>
        <w:rPr>
          <w:rFonts w:hint="eastAsia"/>
        </w:rPr>
        <w:t>）相关规定。</w:t>
      </w:r>
    </w:p>
    <w:p>
      <w:pPr>
        <w:rPr>
          <w:rFonts w:ascii="宋体" w:hAnsi="宋体"/>
          <w:i/>
          <w:iCs/>
          <w:szCs w:val="21"/>
        </w:rPr>
      </w:pPr>
      <w:r>
        <w:rPr>
          <w:rFonts w:hint="eastAsia" w:ascii="宋体" w:hAnsi="宋体"/>
          <w:i/>
          <w:iCs/>
          <w:szCs w:val="21"/>
        </w:rPr>
        <w:t>【条文说明】成本合约信息包括供应边界，集成产品主要构成清单及配件清单要在产品信息模型信息中体现出来。比如：钢结构楼梯满足造价至少应有品种、规格、表面处理、防火、防水性能等信息。</w:t>
      </w:r>
    </w:p>
    <w:p>
      <w:pPr>
        <w:rPr>
          <w:iCs/>
        </w:rPr>
      </w:pPr>
      <w:bookmarkStart w:id="56" w:name="_Hlk14529409"/>
      <w:bookmarkStart w:id="57" w:name="OLE_LINK1"/>
      <w:r>
        <w:rPr>
          <w:rFonts w:hint="eastAsia"/>
          <w:iCs/>
        </w:rPr>
        <w:t>3</w:t>
      </w:r>
      <w:r>
        <w:rPr>
          <w:iCs/>
        </w:rPr>
        <w:t xml:space="preserve"> </w:t>
      </w:r>
      <w:r>
        <w:rPr>
          <w:rFonts w:hint="eastAsia"/>
          <w:iCs/>
        </w:rPr>
        <w:t>产品信息模型信息应该有产品生产制造、交付所使用的标准、规程、条例、法规等依据文件及其文件编号，强制性条款必须有相应的有效文号。</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采购过程中涉及到对采购对象的约定，</w:t>
      </w:r>
      <w:r>
        <w:rPr>
          <w:rFonts w:ascii="宋体" w:hAnsi="宋体"/>
          <w:i/>
          <w:iCs/>
          <w:szCs w:val="21"/>
        </w:rPr>
        <w:t>涉及到的合同约定项如产品引用标准、强制标准，</w:t>
      </w:r>
      <w:r>
        <w:rPr>
          <w:rFonts w:hint="eastAsia" w:ascii="宋体" w:hAnsi="宋体"/>
          <w:i/>
          <w:iCs/>
          <w:szCs w:val="21"/>
        </w:rPr>
        <w:t>属地管理条例等。如：消防产品准入手续及相关证明</w:t>
      </w:r>
      <w:bookmarkEnd w:id="56"/>
      <w:bookmarkEnd w:id="57"/>
    </w:p>
    <w:p>
      <w:pPr>
        <w:pStyle w:val="4"/>
        <w:rPr>
          <w:rStyle w:val="35"/>
          <w:b w:val="0"/>
          <w:bCs w:val="0"/>
        </w:rPr>
      </w:pPr>
      <w:r>
        <w:rPr>
          <w:rStyle w:val="35"/>
        </w:rPr>
        <w:t>6.2.</w:t>
      </w:r>
      <w:r>
        <w:rPr>
          <w:rStyle w:val="35"/>
          <w:rFonts w:hint="eastAsia"/>
        </w:rPr>
        <w:t>6</w:t>
      </w:r>
      <w:r>
        <w:rPr>
          <w:rStyle w:val="35"/>
          <w:b w:val="0"/>
          <w:bCs w:val="0"/>
        </w:rPr>
        <w:t xml:space="preserve"> </w:t>
      </w:r>
      <w:r>
        <w:rPr>
          <w:rStyle w:val="35"/>
          <w:rFonts w:hint="eastAsia"/>
          <w:b w:val="0"/>
          <w:bCs w:val="0"/>
        </w:rPr>
        <w:t>建筑工程产品信息模型应具有产品可适应安装环境、工作环境等非几何信息。</w:t>
      </w:r>
    </w:p>
    <w:p>
      <w:pPr>
        <w:rPr>
          <w:i/>
          <w:iCs/>
        </w:rPr>
      </w:pPr>
      <w:r>
        <w:rPr>
          <w:rFonts w:hint="eastAsia"/>
          <w:i/>
          <w:iCs/>
          <w:lang w:val="zh-CN"/>
        </w:rPr>
        <w:t>【条文说明】建筑工程产品涉及到抗冻性、破坏强度、室外风速、环境温度等信息，产品信息模型具备这些信息便于设计、安装。</w:t>
      </w:r>
      <w:r>
        <w:rPr>
          <w:rFonts w:hint="eastAsia"/>
          <w:i/>
          <w:iCs/>
        </w:rPr>
        <w:t>如自粘式防水卷材在铺贴时对环境温度是有要求的。</w:t>
      </w:r>
    </w:p>
    <w:p>
      <w:pPr>
        <w:pStyle w:val="3"/>
        <w:bidi w:val="0"/>
        <w:rPr>
          <w:lang w:val="zh-CN"/>
        </w:rPr>
      </w:pPr>
      <w:bookmarkStart w:id="58" w:name="_Toc28533018"/>
      <w:bookmarkStart w:id="59" w:name="_Toc20356"/>
      <w:r>
        <w:rPr>
          <w:lang w:val="zh-CN"/>
        </w:rPr>
        <w:t>6.</w:t>
      </w:r>
      <w:r>
        <w:rPr>
          <w:rFonts w:hint="eastAsia"/>
          <w:lang w:val="zh-CN"/>
        </w:rPr>
        <w:t>3模型交付及运维参数的表达</w:t>
      </w:r>
      <w:bookmarkEnd w:id="58"/>
      <w:bookmarkEnd w:id="59"/>
      <w:bookmarkStart w:id="60" w:name="_Hlk14556442"/>
    </w:p>
    <w:p>
      <w:pPr>
        <w:pStyle w:val="4"/>
        <w:bidi w:val="0"/>
        <w:ind w:firstLine="241"/>
        <w:rPr>
          <w:rFonts w:hint="eastAsia"/>
          <w:b w:val="0"/>
          <w:bCs/>
          <w:lang w:val="zh-CN"/>
        </w:rPr>
      </w:pPr>
      <w:r>
        <w:rPr>
          <w:rFonts w:hint="eastAsia"/>
          <w:b/>
          <w:bCs w:val="0"/>
          <w:lang w:val="zh-CN"/>
        </w:rPr>
        <w:t>6.3.1</w:t>
      </w:r>
      <w:r>
        <w:rPr>
          <w:rFonts w:hint="eastAsia"/>
          <w:b w:val="0"/>
          <w:bCs/>
          <w:lang w:val="zh-CN"/>
        </w:rPr>
        <w:t>产品信息模型应有产品交付资料索引信息，具体参考JGJ/T185《建筑工程资料管理规程》等相关标准、规范。</w:t>
      </w:r>
    </w:p>
    <w:p>
      <w:pPr>
        <w:rPr>
          <w:i/>
          <w:iCs/>
          <w:lang w:val="zh-CN"/>
        </w:rPr>
      </w:pPr>
      <w:r>
        <w:rPr>
          <w:rFonts w:hint="eastAsia"/>
          <w:i/>
          <w:iCs/>
          <w:lang w:val="zh-CN"/>
        </w:rPr>
        <w:t>【条文说明】产品交付资料包括产品合格证、说明书、装配图纸等按规定必须的资料。</w:t>
      </w:r>
    </w:p>
    <w:p>
      <w:pPr>
        <w:pStyle w:val="4"/>
        <w:bidi w:val="0"/>
        <w:ind w:firstLine="241"/>
        <w:rPr>
          <w:rFonts w:hint="eastAsia"/>
          <w:b w:val="0"/>
          <w:bCs/>
          <w:lang w:val="zh-CN"/>
        </w:rPr>
      </w:pPr>
      <w:r>
        <w:rPr>
          <w:rFonts w:hint="eastAsia"/>
          <w:b/>
          <w:bCs w:val="0"/>
          <w:lang w:val="zh-CN"/>
        </w:rPr>
        <w:t>6.3.2</w:t>
      </w:r>
      <w:r>
        <w:rPr>
          <w:rFonts w:hint="eastAsia"/>
          <w:b w:val="0"/>
          <w:bCs/>
          <w:lang w:val="zh-CN"/>
        </w:rPr>
        <w:t>产品信息模型必须要的产品强制信息清单。</w:t>
      </w:r>
    </w:p>
    <w:p>
      <w:pPr>
        <w:rPr>
          <w:i/>
          <w:iCs/>
          <w:lang w:val="zh-CN"/>
        </w:rPr>
      </w:pPr>
      <w:r>
        <w:rPr>
          <w:rFonts w:hint="eastAsia"/>
          <w:i/>
          <w:iCs/>
          <w:lang w:val="zh-CN"/>
        </w:rPr>
        <w:t>【条文说明】防火材料上必须使用具有相应防火等级，且经消防部门认可的产品</w:t>
      </w:r>
    </w:p>
    <w:p>
      <w:pPr>
        <w:rPr>
          <w:lang w:val="zh-CN"/>
        </w:rPr>
      </w:pPr>
    </w:p>
    <w:bookmarkEnd w:id="60"/>
    <w:p>
      <w:r>
        <w:br w:type="page"/>
      </w:r>
    </w:p>
    <w:p>
      <w:pPr>
        <w:pStyle w:val="2"/>
        <w:bidi w:val="0"/>
      </w:pPr>
      <w:bookmarkStart w:id="61" w:name="_Toc9104"/>
      <w:r>
        <w:t>模型</w:t>
      </w:r>
      <w:r>
        <w:rPr>
          <w:rFonts w:hint="eastAsia"/>
        </w:rPr>
        <w:t>交付</w:t>
      </w:r>
      <w:bookmarkEnd w:id="61"/>
    </w:p>
    <w:p>
      <w:pPr>
        <w:pStyle w:val="3"/>
        <w:bidi w:val="0"/>
        <w:rPr>
          <w:lang w:val="zh-CN"/>
        </w:rPr>
      </w:pPr>
      <w:bookmarkStart w:id="62" w:name="_Toc2685"/>
      <w:r>
        <w:rPr>
          <w:lang w:val="zh-CN"/>
        </w:rPr>
        <w:t>7.1</w:t>
      </w:r>
      <w:r>
        <w:rPr>
          <w:rFonts w:hint="eastAsia"/>
          <w:lang w:val="zh-CN"/>
        </w:rPr>
        <w:t>产品信息模型提供与校核</w:t>
      </w:r>
      <w:bookmarkEnd w:id="62"/>
    </w:p>
    <w:p>
      <w:pPr>
        <w:pStyle w:val="4"/>
        <w:bidi w:val="0"/>
        <w:ind w:firstLine="241"/>
        <w:rPr>
          <w:rFonts w:hint="eastAsia"/>
          <w:b w:val="0"/>
          <w:bCs/>
          <w:lang w:val="zh-CN"/>
        </w:rPr>
      </w:pPr>
      <w:r>
        <w:rPr>
          <w:rFonts w:hint="eastAsia"/>
          <w:b/>
          <w:bCs w:val="0"/>
          <w:lang w:val="zh-CN"/>
        </w:rPr>
        <w:t>7</w:t>
      </w:r>
      <w:r>
        <w:rPr>
          <w:rFonts w:hint="eastAsia"/>
          <w:b/>
          <w:bCs w:val="0"/>
          <w:lang w:val="zh-CN" w:eastAsia="zh-CN"/>
        </w:rPr>
        <w:t>.1.</w:t>
      </w:r>
      <w:r>
        <w:rPr>
          <w:rFonts w:hint="eastAsia"/>
          <w:b/>
          <w:bCs w:val="0"/>
          <w:lang w:val="zh-CN"/>
        </w:rPr>
        <w:t>1</w:t>
      </w:r>
      <w:r>
        <w:rPr>
          <w:rFonts w:hint="eastAsia"/>
          <w:b/>
          <w:bCs w:val="0"/>
          <w:lang w:val="en-US" w:eastAsia="zh-CN"/>
        </w:rPr>
        <w:t xml:space="preserve"> </w:t>
      </w:r>
      <w:r>
        <w:rPr>
          <w:rFonts w:hint="eastAsia"/>
          <w:b w:val="0"/>
          <w:bCs/>
          <w:lang w:val="zh-CN" w:eastAsia="zh-CN"/>
        </w:rPr>
        <w:t>产品信息模型的</w:t>
      </w:r>
      <w:r>
        <w:rPr>
          <w:rFonts w:hint="eastAsia"/>
          <w:b w:val="0"/>
          <w:bCs/>
          <w:lang w:val="zh-CN"/>
        </w:rPr>
        <w:t>提供</w:t>
      </w:r>
      <w:r>
        <w:rPr>
          <w:rFonts w:hint="eastAsia"/>
          <w:b w:val="0"/>
          <w:bCs/>
          <w:lang w:val="zh-CN" w:eastAsia="zh-CN"/>
        </w:rPr>
        <w:t>人应是产品生产制造商</w:t>
      </w:r>
      <w:r>
        <w:rPr>
          <w:rFonts w:hint="eastAsia"/>
          <w:b w:val="0"/>
          <w:bCs/>
          <w:lang w:val="zh-CN"/>
        </w:rPr>
        <w:t>。且对产品参数的真实有效负责。</w:t>
      </w:r>
    </w:p>
    <w:p>
      <w:pPr>
        <w:rPr>
          <w:i/>
          <w:iCs/>
          <w:lang w:val="zh-CN"/>
        </w:rPr>
      </w:pPr>
      <w:r>
        <w:rPr>
          <w:rFonts w:hint="eastAsia"/>
          <w:i/>
          <w:iCs/>
          <w:lang w:val="zh-CN"/>
        </w:rPr>
        <w:t>【条文说明】产品制造生产商应对产品的指标性能自测或委托专业检测机构按规定检测，所以产品生产制造商应是产品性能指标信息真实性的唯一负责人。</w:t>
      </w:r>
    </w:p>
    <w:p>
      <w:pPr>
        <w:pStyle w:val="4"/>
        <w:bidi w:val="0"/>
        <w:ind w:firstLine="241"/>
        <w:rPr>
          <w:rFonts w:hint="eastAsia" w:eastAsia="宋体"/>
          <w:b w:val="0"/>
          <w:bCs/>
          <w:lang w:val="en-US" w:eastAsia="zh-CN"/>
        </w:rPr>
      </w:pPr>
      <w:r>
        <w:rPr>
          <w:rFonts w:hint="eastAsia"/>
          <w:b/>
          <w:bCs w:val="0"/>
          <w:lang w:val="zh-CN"/>
        </w:rPr>
        <w:t>7</w:t>
      </w:r>
      <w:r>
        <w:rPr>
          <w:rFonts w:hint="eastAsia"/>
          <w:b/>
          <w:bCs w:val="0"/>
          <w:lang w:val="zh-CN" w:eastAsia="zh-CN"/>
        </w:rPr>
        <w:t>.1.</w:t>
      </w:r>
      <w:r>
        <w:rPr>
          <w:rFonts w:hint="eastAsia"/>
          <w:b/>
          <w:bCs w:val="0"/>
          <w:lang w:val="zh-CN"/>
        </w:rPr>
        <w:t>2</w:t>
      </w:r>
      <w:r>
        <w:rPr>
          <w:rFonts w:hint="eastAsia"/>
          <w:b/>
          <w:bCs w:val="0"/>
          <w:lang w:val="en-US" w:eastAsia="zh-CN"/>
        </w:rPr>
        <w:t xml:space="preserve"> </w:t>
      </w:r>
      <w:r>
        <w:rPr>
          <w:rFonts w:hint="eastAsia"/>
          <w:b w:val="0"/>
          <w:bCs/>
          <w:lang w:val="zh-CN" w:eastAsia="zh-CN"/>
        </w:rPr>
        <w:t>产品信息模型的</w:t>
      </w:r>
      <w:r>
        <w:rPr>
          <w:rFonts w:hint="eastAsia"/>
          <w:b w:val="0"/>
          <w:bCs/>
          <w:lang w:val="zh-CN"/>
        </w:rPr>
        <w:t>使用人有以下情况</w:t>
      </w:r>
      <w:r>
        <w:rPr>
          <w:rFonts w:hint="eastAsia"/>
          <w:b w:val="0"/>
          <w:bCs/>
          <w:lang w:val="en-US" w:eastAsia="zh-CN"/>
        </w:rPr>
        <w:t xml:space="preserve"> </w:t>
      </w:r>
    </w:p>
    <w:p>
      <w:pPr>
        <w:rPr>
          <w:lang w:val="zh-CN"/>
        </w:rPr>
      </w:pPr>
      <w:r>
        <w:rPr>
          <w:rFonts w:hint="eastAsia"/>
          <w:lang w:val="zh-CN"/>
        </w:rPr>
        <w:t>1</w:t>
      </w:r>
      <w:r>
        <w:rPr>
          <w:rFonts w:hint="eastAsia"/>
          <w:lang w:val="en-US" w:eastAsia="zh-CN"/>
        </w:rPr>
        <w:t xml:space="preserve"> </w:t>
      </w:r>
      <w:r>
        <w:rPr>
          <w:rFonts w:hint="eastAsia"/>
          <w:lang w:val="zh-CN"/>
        </w:rPr>
        <w:t>产品直接使用人</w:t>
      </w:r>
    </w:p>
    <w:p>
      <w:pPr>
        <w:rPr>
          <w:i/>
          <w:iCs/>
          <w:lang w:val="zh-CN"/>
        </w:rPr>
      </w:pPr>
      <w:r>
        <w:rPr>
          <w:rFonts w:hint="eastAsia"/>
          <w:i/>
          <w:iCs/>
          <w:lang w:val="zh-CN"/>
        </w:rPr>
        <w:t>【条文说明】直接使用人是指在工程项目中直接应用，如施工总包单位、项目建设单位等。</w:t>
      </w:r>
    </w:p>
    <w:p>
      <w:pPr>
        <w:rPr>
          <w:lang w:val="zh-CN"/>
        </w:rPr>
      </w:pPr>
      <w:r>
        <w:rPr>
          <w:rFonts w:hint="eastAsia"/>
          <w:lang w:val="zh-CN"/>
        </w:rPr>
        <w:t>2</w:t>
      </w:r>
      <w:r>
        <w:rPr>
          <w:rFonts w:hint="eastAsia"/>
          <w:lang w:val="en-US" w:eastAsia="zh-CN"/>
        </w:rPr>
        <w:t xml:space="preserve"> </w:t>
      </w:r>
      <w:r>
        <w:rPr>
          <w:rFonts w:hint="eastAsia"/>
          <w:lang w:val="zh-CN"/>
        </w:rPr>
        <w:t>产品集成单位或个人等间接使用人。</w:t>
      </w:r>
    </w:p>
    <w:p>
      <w:pPr>
        <w:rPr>
          <w:i/>
          <w:iCs/>
          <w:lang w:val="zh-CN"/>
        </w:rPr>
      </w:pPr>
      <w:r>
        <w:rPr>
          <w:rFonts w:hint="eastAsia"/>
          <w:i/>
          <w:iCs/>
          <w:lang w:val="zh-CN"/>
        </w:rPr>
        <w:t>【条文说明】间接使用人是指非直接在工程项目中应用，用于产品集成或其它用途。</w:t>
      </w:r>
    </w:p>
    <w:p>
      <w:pPr>
        <w:rPr>
          <w:lang w:val="zh-CN"/>
        </w:rPr>
      </w:pPr>
      <w:r>
        <w:rPr>
          <w:rFonts w:hint="eastAsia"/>
          <w:lang w:val="zh-CN"/>
        </w:rPr>
        <w:t>3</w:t>
      </w:r>
      <w:r>
        <w:rPr>
          <w:rFonts w:hint="eastAsia"/>
          <w:lang w:val="en-US" w:eastAsia="zh-CN"/>
        </w:rPr>
        <w:t xml:space="preserve"> </w:t>
      </w:r>
      <w:r>
        <w:rPr>
          <w:rFonts w:hint="eastAsia"/>
          <w:lang w:val="zh-CN"/>
        </w:rPr>
        <w:t>产品发布平台所有人。</w:t>
      </w:r>
    </w:p>
    <w:p>
      <w:pPr>
        <w:rPr>
          <w:i/>
          <w:lang w:val="zh-CN"/>
        </w:rPr>
      </w:pPr>
      <w:r>
        <w:rPr>
          <w:rFonts w:hint="eastAsia"/>
          <w:i/>
          <w:lang w:val="zh-CN"/>
        </w:rPr>
        <w:t>【条文说明】产品发布平台是指产品公共、私有数据库。</w:t>
      </w:r>
    </w:p>
    <w:p>
      <w:pPr>
        <w:pStyle w:val="4"/>
        <w:bidi w:val="0"/>
        <w:ind w:firstLine="241"/>
        <w:rPr>
          <w:rFonts w:hint="eastAsia"/>
          <w:b w:val="0"/>
          <w:bCs/>
          <w:lang w:val="zh-CN"/>
        </w:rPr>
      </w:pPr>
      <w:r>
        <w:rPr>
          <w:rFonts w:hint="eastAsia"/>
          <w:b/>
          <w:bCs w:val="0"/>
          <w:lang w:val="zh-CN"/>
        </w:rPr>
        <w:t>7.1.3</w:t>
      </w:r>
      <w:r>
        <w:rPr>
          <w:rFonts w:hint="eastAsia"/>
          <w:b/>
          <w:bCs w:val="0"/>
          <w:lang w:val="en-US" w:eastAsia="zh-CN"/>
        </w:rPr>
        <w:t xml:space="preserve"> </w:t>
      </w:r>
      <w:r>
        <w:rPr>
          <w:rFonts w:hint="eastAsia"/>
          <w:b w:val="0"/>
          <w:bCs/>
          <w:lang w:val="zh-CN"/>
        </w:rPr>
        <w:t>产品信息模型提供人和接受人应共同确认产品信息模型几何信息和非几何信息的完整度，形成标准产品信息模型。</w:t>
      </w:r>
    </w:p>
    <w:p>
      <w:pPr>
        <w:rPr>
          <w:rFonts w:ascii="宋体" w:hAnsi="宋体"/>
          <w:i/>
          <w:iCs/>
          <w:szCs w:val="21"/>
        </w:rPr>
      </w:pPr>
      <w:r>
        <w:rPr>
          <w:rFonts w:hint="eastAsia" w:ascii="宋体" w:hAnsi="宋体"/>
          <w:i/>
          <w:iCs/>
          <w:szCs w:val="21"/>
        </w:rPr>
        <w:t>【条文说明】产品信息模型的使用人可以根据应用需求要求提供人补充模型信息</w:t>
      </w:r>
    </w:p>
    <w:p>
      <w:pPr>
        <w:pStyle w:val="4"/>
        <w:bidi w:val="0"/>
        <w:ind w:firstLine="241"/>
        <w:rPr>
          <w:rFonts w:hint="eastAsia"/>
          <w:b w:val="0"/>
          <w:bCs/>
          <w:lang w:val="zh-CN" w:eastAsia="zh-CN"/>
        </w:rPr>
      </w:pPr>
      <w:r>
        <w:rPr>
          <w:rFonts w:hint="eastAsia"/>
          <w:b/>
          <w:bCs w:val="0"/>
          <w:lang w:val="zh-CN"/>
        </w:rPr>
        <w:t>7</w:t>
      </w:r>
      <w:r>
        <w:rPr>
          <w:rFonts w:hint="eastAsia"/>
          <w:b/>
          <w:bCs w:val="0"/>
          <w:lang w:val="zh-CN" w:eastAsia="zh-CN"/>
        </w:rPr>
        <w:t>.1.</w:t>
      </w:r>
      <w:r>
        <w:rPr>
          <w:rFonts w:hint="eastAsia"/>
          <w:b/>
          <w:bCs w:val="0"/>
          <w:lang w:val="zh-CN"/>
        </w:rPr>
        <w:t>4</w:t>
      </w:r>
      <w:r>
        <w:rPr>
          <w:rFonts w:hint="eastAsia"/>
          <w:b/>
          <w:bCs w:val="0"/>
          <w:lang w:val="en-US" w:eastAsia="zh-CN"/>
        </w:rPr>
        <w:t xml:space="preserve"> </w:t>
      </w:r>
      <w:r>
        <w:rPr>
          <w:rFonts w:hint="eastAsia"/>
          <w:b w:val="0"/>
          <w:bCs/>
          <w:lang w:val="zh-CN" w:eastAsia="zh-CN"/>
        </w:rPr>
        <w:t>对产品信息的确认应有相应的确认标识。并作为该产品</w:t>
      </w:r>
      <w:r>
        <w:rPr>
          <w:rFonts w:hint="eastAsia"/>
          <w:b w:val="0"/>
          <w:bCs/>
          <w:lang w:val="zh-CN"/>
        </w:rPr>
        <w:t>信息模型必要的属性信息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产品生产商对产品所能满足该产品标明的功能及参数等信息应有明确确认。比如：模型交付给使用方应有书面确认文件，模型交付数据库应有确认标识。</w:t>
      </w:r>
    </w:p>
    <w:p>
      <w:pPr>
        <w:pStyle w:val="3"/>
        <w:bidi w:val="0"/>
        <w:rPr>
          <w:lang w:val="zh-CN"/>
        </w:rPr>
      </w:pPr>
      <w:bookmarkStart w:id="63" w:name="_Toc25783"/>
      <w:r>
        <w:rPr>
          <w:lang w:val="zh-CN"/>
        </w:rPr>
        <w:t>7</w:t>
      </w:r>
      <w:r>
        <w:rPr>
          <w:rFonts w:hint="eastAsia"/>
          <w:lang w:val="zh-CN"/>
        </w:rPr>
        <w:t>.</w:t>
      </w:r>
      <w:r>
        <w:rPr>
          <w:lang w:val="zh-CN"/>
        </w:rPr>
        <w:t>2</w:t>
      </w:r>
      <w:r>
        <w:rPr>
          <w:rFonts w:hint="eastAsia"/>
          <w:lang w:val="zh-CN"/>
        </w:rPr>
        <w:t>产品信息模型的存储与发布</w:t>
      </w:r>
      <w:bookmarkEnd w:id="63"/>
    </w:p>
    <w:p>
      <w:pPr>
        <w:pStyle w:val="4"/>
        <w:bidi w:val="0"/>
        <w:ind w:firstLine="241"/>
        <w:rPr>
          <w:rFonts w:hint="eastAsia"/>
          <w:b w:val="0"/>
          <w:bCs/>
          <w:lang w:val="zh-CN"/>
        </w:rPr>
      </w:pPr>
      <w:r>
        <w:rPr>
          <w:rFonts w:hint="eastAsia"/>
          <w:b/>
          <w:bCs w:val="0"/>
          <w:lang w:val="zh-CN"/>
        </w:rPr>
        <w:t>7.2.1</w:t>
      </w:r>
      <w:r>
        <w:rPr>
          <w:rFonts w:hint="eastAsia"/>
          <w:b/>
          <w:bCs w:val="0"/>
          <w:lang w:val="en-US" w:eastAsia="zh-CN"/>
        </w:rPr>
        <w:t xml:space="preserve"> </w:t>
      </w:r>
      <w:r>
        <w:rPr>
          <w:rFonts w:hint="eastAsia"/>
          <w:b w:val="0"/>
          <w:bCs/>
          <w:lang w:val="zh-CN"/>
        </w:rPr>
        <w:t>产品信息模型的校核应满足本标准7.1.有关规定。</w:t>
      </w:r>
    </w:p>
    <w:p>
      <w:pPr>
        <w:rPr>
          <w:rFonts w:ascii="宋体" w:hAnsi="宋体"/>
          <w:i/>
          <w:iCs/>
          <w:szCs w:val="21"/>
        </w:rPr>
      </w:pPr>
      <w:r>
        <w:rPr>
          <w:rFonts w:hint="eastAsia" w:ascii="宋体" w:hAnsi="宋体"/>
          <w:i/>
          <w:iCs/>
          <w:szCs w:val="21"/>
        </w:rPr>
        <w:t>【条文说明】产品信息模型的校核是指产品信息模型使用方和产品信息模型提供方共同认可产品信息的有效性和可用性。</w:t>
      </w: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.2.2</w:t>
      </w:r>
      <w:r>
        <w:rPr>
          <w:rFonts w:hint="eastAsia"/>
          <w:b/>
          <w:bCs/>
          <w:iCs/>
          <w:szCs w:val="32"/>
          <w:lang w:val="en-US" w:eastAsia="zh-CN"/>
        </w:rPr>
        <w:t xml:space="preserve"> </w:t>
      </w:r>
      <w:r>
        <w:rPr>
          <w:rFonts w:hint="eastAsia"/>
          <w:bCs/>
          <w:iCs/>
          <w:szCs w:val="32"/>
          <w:lang w:val="zh-CN"/>
        </w:rPr>
        <w:t>存储在固定地址的产品信息模型所承载的信息，一旦发布后，所有使用方应该访问的是标准模型。其本身信息不应该因应用环境、应用方的改变而改变。</w:t>
      </w:r>
    </w:p>
    <w:p>
      <w:pPr>
        <w:rPr>
          <w:rFonts w:ascii="宋体" w:hAnsi="宋体"/>
          <w:i/>
          <w:iCs/>
          <w:szCs w:val="21"/>
        </w:rPr>
      </w:pPr>
      <w:r>
        <w:rPr>
          <w:rFonts w:hint="eastAsia" w:ascii="宋体" w:hAnsi="宋体"/>
          <w:i/>
          <w:iCs/>
          <w:szCs w:val="21"/>
        </w:rPr>
        <w:t>【条文说明】产品信息无论是设计、施工、项目运营任何一方应用在不同的项目环境都应该保证信息一致。</w:t>
      </w: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.2.3</w:t>
      </w:r>
      <w:r>
        <w:rPr>
          <w:rFonts w:hint="eastAsia"/>
          <w:bCs/>
          <w:iCs/>
          <w:szCs w:val="32"/>
          <w:lang w:val="zh-CN"/>
        </w:rPr>
        <w:t xml:space="preserve"> 产品信息模型应该有固定的物理存储地址。且存放的是标准产品信息模型。</w:t>
      </w:r>
    </w:p>
    <w:p>
      <w:pPr>
        <w:rPr>
          <w:rFonts w:ascii="宋体" w:hAnsi="宋体"/>
          <w:i/>
          <w:iCs/>
          <w:szCs w:val="21"/>
        </w:rPr>
      </w:pPr>
      <w:r>
        <w:rPr>
          <w:rFonts w:hint="eastAsia" w:ascii="宋体" w:hAnsi="宋体"/>
          <w:i/>
          <w:iCs/>
          <w:szCs w:val="21"/>
        </w:rPr>
        <w:t>【条文说明】本条规定主要基于以下原因：</w:t>
      </w:r>
    </w:p>
    <w:p>
      <w:pPr>
        <w:rPr>
          <w:rFonts w:ascii="宋体" w:hAnsi="宋体"/>
          <w:i/>
          <w:szCs w:val="21"/>
        </w:rPr>
      </w:pPr>
      <w:r>
        <w:rPr>
          <w:rFonts w:hint="eastAsia" w:ascii="宋体" w:hAnsi="宋体"/>
          <w:i/>
          <w:szCs w:val="21"/>
        </w:rPr>
        <w:t>1、按项目实际情况任何建模软件很难加载产品信息模型的所有信息。所以在使用过程中，无法完全加载所有信息的情况下，以存储模型为标准模型。</w:t>
      </w:r>
    </w:p>
    <w:p>
      <w:pPr>
        <w:rPr>
          <w:rFonts w:ascii="宋体" w:hAnsi="宋体"/>
          <w:i/>
          <w:szCs w:val="21"/>
        </w:rPr>
      </w:pPr>
      <w:r>
        <w:rPr>
          <w:rFonts w:hint="eastAsia" w:ascii="宋体" w:hAnsi="宋体"/>
          <w:i/>
          <w:szCs w:val="21"/>
        </w:rPr>
        <w:t>2、产品信息模型的信息完整性、正确性很难一次性达到要求、模型会有更新要求。产品信息模型信息在逐步完善的过程中以存储模型为准，并可以实现应用中的产品信息模型信息同步。</w:t>
      </w:r>
    </w:p>
    <w:p>
      <w:pPr>
        <w:rPr>
          <w:rFonts w:ascii="宋体" w:hAnsi="宋体"/>
          <w:i/>
          <w:szCs w:val="21"/>
        </w:rPr>
      </w:pPr>
      <w:r>
        <w:rPr>
          <w:rFonts w:hint="eastAsia" w:ascii="宋体" w:hAnsi="宋体"/>
          <w:i/>
          <w:szCs w:val="21"/>
        </w:rPr>
        <w:t>3、产品信息模型存在产品本身信息和项目应用信息，而项目应用信息需要提供人和接受人针对具体项目另行确认。</w:t>
      </w: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 xml:space="preserve">.2.4 </w:t>
      </w:r>
      <w:r>
        <w:rPr>
          <w:rFonts w:hint="eastAsia"/>
          <w:bCs/>
          <w:iCs/>
          <w:szCs w:val="32"/>
          <w:lang w:val="zh-CN"/>
        </w:rPr>
        <w:t>产品信息模型存放应不仅限于产品本身信息，还应该有产品信息模型提供方的企业信息、产品应用的辅助信息等。</w:t>
      </w:r>
    </w:p>
    <w:p>
      <w:pPr>
        <w:rPr>
          <w:rFonts w:ascii="宋体" w:hAnsi="宋体"/>
          <w:i/>
          <w:iCs/>
          <w:szCs w:val="21"/>
        </w:rPr>
      </w:pPr>
      <w:r>
        <w:rPr>
          <w:rFonts w:hint="eastAsia" w:ascii="宋体" w:hAnsi="宋体"/>
          <w:i/>
          <w:iCs/>
          <w:szCs w:val="21"/>
        </w:rPr>
        <w:t>【条文说明】产品的合法化应该包括产品本身的合法和产品信息模型提供方（企业）的合法性，所以这两类信息均应该出在产品信息模型存储地址。</w:t>
      </w:r>
    </w:p>
    <w:p>
      <w:pPr>
        <w:rPr>
          <w:rFonts w:ascii="宋体" w:hAnsi="宋体"/>
          <w:i/>
          <w:iCs/>
          <w:szCs w:val="21"/>
        </w:rPr>
      </w:pPr>
      <w:r>
        <w:rPr>
          <w:rFonts w:hint="eastAsia" w:ascii="宋体" w:hAnsi="宋体"/>
          <w:i/>
          <w:iCs/>
          <w:szCs w:val="21"/>
        </w:rPr>
        <w:t>产品应用辅助信息是指产品应用说明，包括图片、视频、文字等信息。</w:t>
      </w:r>
    </w:p>
    <w:p>
      <w:pPr>
        <w:rPr>
          <w:rFonts w:ascii="宋体" w:hAnsi="宋体"/>
          <w:i/>
          <w:iCs/>
          <w:szCs w:val="21"/>
        </w:rPr>
      </w:pP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 xml:space="preserve">.2.5  </w:t>
      </w:r>
      <w:r>
        <w:rPr>
          <w:rFonts w:hint="eastAsia"/>
          <w:bCs/>
          <w:iCs/>
          <w:szCs w:val="32"/>
          <w:lang w:val="zh-CN"/>
        </w:rPr>
        <w:t>产品信息模型几何信息和非几何信息的格式和完整度不应该受到任何格式、版本和限制。</w:t>
      </w:r>
    </w:p>
    <w:p>
      <w:pPr>
        <w:rPr>
          <w:rFonts w:ascii="宋体" w:hAnsi="宋体"/>
          <w:i/>
          <w:iCs/>
          <w:szCs w:val="21"/>
        </w:rPr>
      </w:pPr>
      <w:r>
        <w:rPr>
          <w:rFonts w:hint="eastAsia" w:ascii="宋体" w:hAnsi="宋体"/>
          <w:i/>
          <w:iCs/>
          <w:szCs w:val="21"/>
        </w:rPr>
        <w:t>【条文说明】产品信息模型所要承载的信息与模型模式、版本无关。无论用什么软件创建产品信息模型都需要遵守产品所要求的几何信息和非几何信息。</w:t>
      </w: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 xml:space="preserve">.2.6 </w:t>
      </w:r>
      <w:r>
        <w:rPr>
          <w:rFonts w:hint="eastAsia"/>
          <w:bCs/>
          <w:iCs/>
          <w:szCs w:val="32"/>
          <w:lang w:val="zh-CN"/>
        </w:rPr>
        <w:t xml:space="preserve"> 产品信息模型可以根据实际需要由相关单位提供不同格式、不同版本。</w:t>
      </w:r>
    </w:p>
    <w:p>
      <w:pPr>
        <w:rPr>
          <w:rFonts w:ascii="宋体" w:hAnsi="宋体"/>
          <w:i/>
          <w:iCs/>
          <w:szCs w:val="21"/>
        </w:rPr>
      </w:pPr>
      <w:r>
        <w:rPr>
          <w:rFonts w:hint="eastAsia" w:ascii="宋体" w:hAnsi="宋体"/>
          <w:i/>
          <w:iCs/>
          <w:szCs w:val="21"/>
        </w:rPr>
        <w:t>【条文说明】存放在物理地址的产品信息模型以根据实际需要创建不同格式、不同版本。如建模软件可以是Revit、Rhion、Catia等它们的格式和版本都可以不一样，但所加载的信息前提条件必须是真实有效。</w:t>
      </w: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 xml:space="preserve">.2.7  </w:t>
      </w:r>
      <w:r>
        <w:rPr>
          <w:rFonts w:hint="eastAsia"/>
          <w:bCs/>
          <w:iCs/>
          <w:szCs w:val="32"/>
          <w:lang w:val="zh-CN"/>
        </w:rPr>
        <w:t>产品信息模型由于文件体量的原因导致相应的建筑信息模型运行困难，应建立标准产品信息模型的轻量化模型。</w:t>
      </w:r>
    </w:p>
    <w:p>
      <w:pPr>
        <w:rPr>
          <w:rFonts w:ascii="宋体" w:hAnsi="宋体"/>
          <w:i/>
          <w:iCs/>
          <w:szCs w:val="21"/>
        </w:rPr>
      </w:pPr>
      <w:r>
        <w:rPr>
          <w:rFonts w:hint="eastAsia" w:ascii="宋体" w:hAnsi="宋体"/>
          <w:i/>
          <w:iCs/>
          <w:szCs w:val="21"/>
        </w:rPr>
        <w:t>【条文说明】产品信息模型在创建项目信息模型过程中会用重复使用。如果单个文件体量大势必会造成整个建筑信息模型运行困难。所以有必要建立与标准模型相对应的轻量化模型。</w:t>
      </w: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 xml:space="preserve">.2.8  </w:t>
      </w:r>
      <w:r>
        <w:rPr>
          <w:rFonts w:hint="eastAsia"/>
          <w:bCs/>
          <w:iCs/>
          <w:szCs w:val="32"/>
          <w:lang w:val="zh-CN"/>
        </w:rPr>
        <w:t>轻量化模型必须满足几点：</w:t>
      </w:r>
    </w:p>
    <w:p>
      <w:pPr>
        <w:rPr>
          <w:lang w:val="zh-CN"/>
        </w:rPr>
      </w:pPr>
      <w:r>
        <w:rPr>
          <w:rFonts w:hint="eastAsia"/>
          <w:lang w:val="zh-CN"/>
        </w:rPr>
        <w:t>1</w:t>
      </w:r>
      <w:r>
        <w:rPr>
          <w:rFonts w:hint="eastAsia"/>
          <w:lang w:val="en-US" w:eastAsia="zh-CN"/>
        </w:rPr>
        <w:t xml:space="preserve"> </w:t>
      </w:r>
      <w:r>
        <w:rPr>
          <w:rFonts w:hint="eastAsia"/>
          <w:lang w:val="zh-CN"/>
        </w:rPr>
        <w:t>轻量化模型根据实际情况可以不完全加载产品信息，但加载的模型信息必须符合标准模型。</w:t>
      </w:r>
    </w:p>
    <w:p>
      <w:pPr>
        <w:rPr>
          <w:lang w:val="zh-CN"/>
        </w:rPr>
      </w:pPr>
      <w:r>
        <w:rPr>
          <w:rFonts w:hint="eastAsia"/>
          <w:lang w:val="zh-CN"/>
        </w:rPr>
        <w:t>2</w:t>
      </w:r>
      <w:r>
        <w:rPr>
          <w:rFonts w:hint="eastAsia"/>
          <w:lang w:val="en-US" w:eastAsia="zh-CN"/>
        </w:rPr>
        <w:t xml:space="preserve"> </w:t>
      </w:r>
      <w:r>
        <w:rPr>
          <w:rFonts w:hint="eastAsia"/>
          <w:lang w:val="zh-CN"/>
        </w:rPr>
        <w:t>轻量化模型满足产品占位、操作所需空间等信息。</w:t>
      </w:r>
    </w:p>
    <w:p>
      <w:pPr>
        <w:rPr>
          <w:lang w:val="zh-CN"/>
        </w:rPr>
      </w:pPr>
      <w:r>
        <w:rPr>
          <w:rFonts w:hint="eastAsia"/>
          <w:lang w:val="zh-CN"/>
        </w:rPr>
        <w:t>3、轻量化模型满足不同功能建筑信息模型创建的其它信息。</w:t>
      </w:r>
    </w:p>
    <w:p>
      <w:pPr>
        <w:keepNext/>
        <w:keepLines/>
        <w:spacing w:before="260" w:after="260" w:line="416" w:lineRule="auto"/>
        <w:outlineLvl w:val="2"/>
        <w:rPr>
          <w:bCs/>
          <w:iCs/>
          <w:szCs w:val="32"/>
          <w:lang w:val="zh-CN"/>
        </w:rPr>
      </w:pPr>
      <w:r>
        <w:rPr>
          <w:b/>
          <w:bCs/>
          <w:iCs/>
          <w:szCs w:val="32"/>
          <w:lang w:val="zh-CN"/>
        </w:rPr>
        <w:t>7</w:t>
      </w:r>
      <w:r>
        <w:rPr>
          <w:rFonts w:hint="eastAsia"/>
          <w:b/>
          <w:bCs/>
          <w:iCs/>
          <w:szCs w:val="32"/>
          <w:lang w:val="zh-CN"/>
        </w:rPr>
        <w:t>.2.9</w:t>
      </w:r>
      <w:r>
        <w:rPr>
          <w:rFonts w:hint="eastAsia"/>
          <w:b/>
          <w:bCs/>
          <w:iCs/>
          <w:szCs w:val="32"/>
          <w:lang w:val="en-US" w:eastAsia="zh-CN"/>
        </w:rPr>
        <w:t xml:space="preserve"> </w:t>
      </w:r>
      <w:r>
        <w:rPr>
          <w:rFonts w:hint="eastAsia"/>
          <w:bCs/>
          <w:iCs/>
          <w:szCs w:val="32"/>
          <w:lang w:val="zh-CN"/>
        </w:rPr>
        <w:t>针对每种产品信息模型应建立信息更新制度。</w:t>
      </w:r>
    </w:p>
    <w:p>
      <w:pPr>
        <w:rPr>
          <w:rFonts w:ascii="宋体" w:hAnsi="宋体"/>
          <w:i/>
          <w:iCs/>
          <w:szCs w:val="21"/>
        </w:rPr>
      </w:pPr>
      <w:r>
        <w:rPr>
          <w:rFonts w:hint="eastAsia" w:ascii="宋体" w:hAnsi="宋体"/>
          <w:i/>
          <w:iCs/>
          <w:szCs w:val="21"/>
        </w:rPr>
        <w:t>【条文说明】产品信息模型更新的原因有产品资质更新、产品信息模型提供方资料更新、产品本身的参数更新。</w:t>
      </w:r>
    </w:p>
    <w:p>
      <w:pPr>
        <w:pStyle w:val="2"/>
        <w:numPr>
          <w:numId w:val="0"/>
        </w:numPr>
        <w:bidi w:val="0"/>
        <w:ind w:leftChars="75"/>
        <w:jc w:val="center"/>
      </w:pPr>
      <w:bookmarkStart w:id="64" w:name="_Toc16506"/>
      <w:r>
        <w:t>本标准用词说明</w:t>
      </w:r>
      <w:bookmarkEnd w:id="64"/>
    </w:p>
    <w:p>
      <w:pPr>
        <w:rPr>
          <w:rFonts w:ascii="宋体" w:hAnsi="宋体"/>
          <w:szCs w:val="21"/>
        </w:rPr>
      </w:pPr>
      <w:r>
        <w:rPr>
          <w:rFonts w:eastAsia="Times New Roman"/>
          <w:szCs w:val="21"/>
        </w:rPr>
        <w:t xml:space="preserve">1  </w:t>
      </w:r>
      <w:r>
        <w:rPr>
          <w:rFonts w:ascii="宋体" w:hAnsi="宋体"/>
          <w:szCs w:val="21"/>
        </w:rPr>
        <w:t>为便于在执行本标准条文时区别对待，对要求严格程度不同的用词说明如下：</w:t>
      </w:r>
    </w:p>
    <w:p>
      <w:pPr>
        <w:numPr>
          <w:ilvl w:val="0"/>
          <w:numId w:val="3"/>
        </w:numPr>
        <w:spacing w:line="240" w:lineRule="auto"/>
        <w:ind w:left="840"/>
        <w:rPr>
          <w:rFonts w:ascii="宋体" w:hAnsi="宋体"/>
          <w:szCs w:val="21"/>
        </w:rPr>
      </w:pPr>
      <w:r>
        <w:rPr>
          <w:rFonts w:ascii="宋体" w:hAnsi="宋体"/>
          <w:szCs w:val="21"/>
        </w:rPr>
        <w:t>表示很严格，非这样做不可的用词：</w:t>
      </w:r>
    </w:p>
    <w:p>
      <w:pPr>
        <w:ind w:left="420" w:firstLine="420"/>
        <w:rPr>
          <w:rFonts w:ascii="宋体" w:hAnsi="宋体"/>
          <w:szCs w:val="21"/>
        </w:rPr>
      </w:pPr>
      <w:r>
        <w:rPr>
          <w:rFonts w:ascii="宋体" w:hAnsi="宋体"/>
          <w:szCs w:val="21"/>
        </w:rPr>
        <w:t>正面词采用“必须”，反面词采用“严禁”；</w:t>
      </w:r>
    </w:p>
    <w:p>
      <w:pPr>
        <w:numPr>
          <w:ilvl w:val="0"/>
          <w:numId w:val="3"/>
        </w:numPr>
        <w:spacing w:line="240" w:lineRule="auto"/>
        <w:ind w:left="840"/>
        <w:rPr>
          <w:rFonts w:ascii="宋体" w:hAnsi="宋体"/>
          <w:szCs w:val="21"/>
        </w:rPr>
      </w:pPr>
      <w:r>
        <w:rPr>
          <w:rFonts w:ascii="宋体" w:hAnsi="宋体"/>
          <w:szCs w:val="21"/>
        </w:rPr>
        <w:t>表示严格，在正常情况均应这样做的用词：</w:t>
      </w:r>
    </w:p>
    <w:p>
      <w:pPr>
        <w:ind w:left="420" w:firstLine="420"/>
        <w:rPr>
          <w:rFonts w:ascii="宋体" w:hAnsi="宋体"/>
          <w:szCs w:val="21"/>
        </w:rPr>
      </w:pPr>
      <w:r>
        <w:rPr>
          <w:rFonts w:ascii="宋体" w:hAnsi="宋体"/>
          <w:szCs w:val="21"/>
        </w:rPr>
        <w:t>正面词采用“应”，反面词采用“不应”或“不得”；</w:t>
      </w:r>
    </w:p>
    <w:p>
      <w:pPr>
        <w:numPr>
          <w:ilvl w:val="0"/>
          <w:numId w:val="3"/>
        </w:numPr>
        <w:spacing w:line="240" w:lineRule="auto"/>
        <w:ind w:left="840"/>
        <w:rPr>
          <w:rFonts w:ascii="宋体" w:hAnsi="宋体"/>
          <w:szCs w:val="21"/>
        </w:rPr>
      </w:pPr>
      <w:r>
        <w:rPr>
          <w:rFonts w:ascii="宋体" w:hAnsi="宋体"/>
          <w:szCs w:val="21"/>
        </w:rPr>
        <w:t>表示允许稍有选择，在条件许可时首先应这样做的用词：</w:t>
      </w:r>
    </w:p>
    <w:p>
      <w:pPr>
        <w:ind w:left="420" w:firstLine="420"/>
        <w:rPr>
          <w:rFonts w:ascii="宋体" w:hAnsi="宋体"/>
          <w:szCs w:val="21"/>
        </w:rPr>
      </w:pPr>
      <w:r>
        <w:rPr>
          <w:rFonts w:ascii="宋体" w:hAnsi="宋体"/>
          <w:szCs w:val="21"/>
        </w:rPr>
        <w:t>正面词采用“宜”，反面词采用“不宜”；</w:t>
      </w:r>
    </w:p>
    <w:p>
      <w:pPr>
        <w:numPr>
          <w:ilvl w:val="0"/>
          <w:numId w:val="3"/>
        </w:numPr>
        <w:spacing w:line="240" w:lineRule="auto"/>
        <w:ind w:left="840"/>
        <w:rPr>
          <w:rFonts w:ascii="宋体" w:hAnsi="宋体"/>
          <w:szCs w:val="21"/>
        </w:rPr>
      </w:pPr>
      <w:r>
        <w:rPr>
          <w:rFonts w:ascii="宋体" w:hAnsi="宋体"/>
          <w:szCs w:val="21"/>
        </w:rPr>
        <w:t>表示有选择，在一定条件下可以这样做的用词，采用“可”。</w:t>
      </w:r>
    </w:p>
    <w:p>
      <w:pPr>
        <w:rPr>
          <w:rFonts w:hint="eastAsia" w:ascii="宋体" w:hAnsi="宋体"/>
          <w:szCs w:val="21"/>
        </w:rPr>
      </w:pPr>
      <w:r>
        <w:rPr>
          <w:rFonts w:eastAsia="Times New Roman"/>
          <w:szCs w:val="21"/>
        </w:rPr>
        <w:t xml:space="preserve">2  </w:t>
      </w:r>
      <w:r>
        <w:rPr>
          <w:rFonts w:ascii="宋体" w:hAnsi="宋体"/>
          <w:szCs w:val="21"/>
        </w:rPr>
        <w:t>条文中指明应按其他有关标准执行的写法为“应符合……的规定”或“应按……执行”。</w:t>
      </w:r>
    </w:p>
    <w:sectPr>
      <w:footerReference r:id="rId6" w:type="default"/>
      <w:pgSz w:w="11906" w:h="16838"/>
      <w:pgMar w:top="1440" w:right="17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汉仪中黑简">
    <w:panose1 w:val="02010600000101010101"/>
    <w:charset w:val="86"/>
    <w:family w:val="auto"/>
    <w:pitch w:val="default"/>
    <w:sig w:usb0="00000001" w:usb1="080E0800" w:usb2="00000002" w:usb3="00000000" w:csb0="00040000" w:csb1="00000000"/>
  </w:font>
  <w:font w:name="米开软笔行楷">
    <w:panose1 w:val="03000600000000000000"/>
    <w:charset w:val="86"/>
    <w:family w:val="auto"/>
    <w:pitch w:val="default"/>
    <w:sig w:usb0="00000283" w:usb1="180F1C1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93847"/>
    <w:multiLevelType w:val="multilevel"/>
    <w:tmpl w:val="5AA93847"/>
    <w:lvl w:ilvl="0" w:tentative="0">
      <w:start w:val="1"/>
      <w:numFmt w:val="decimal"/>
      <w:lvlText w:val="%1)"/>
      <w:lvlJc w:val="left"/>
      <w:pPr>
        <w:ind w:left="227" w:hanging="227"/>
      </w:pPr>
      <w:rPr>
        <w:rFonts w:ascii="宋体" w:hAnsi="宋体" w:eastAsia="宋体"/>
        <w:sz w:val="21"/>
        <w:szCs w:val="21"/>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
    <w:nsid w:val="687C1E26"/>
    <w:multiLevelType w:val="multilevel"/>
    <w:tmpl w:val="687C1E26"/>
    <w:lvl w:ilvl="0" w:tentative="0">
      <w:start w:val="1"/>
      <w:numFmt w:val="decimal"/>
      <w:pStyle w:val="2"/>
      <w:lvlText w:val="%1"/>
      <w:lvlJc w:val="left"/>
      <w:pPr>
        <w:ind w:left="420" w:hanging="420"/>
      </w:pPr>
      <w:rPr>
        <w:rFonts w:hint="default"/>
      </w:rPr>
    </w:lvl>
    <w:lvl w:ilvl="1" w:tentative="0">
      <w:start w:val="0"/>
      <w:numFmt w:val="decimal"/>
      <w:isLgl/>
      <w:lvlText w:val="%1.%2"/>
      <w:lvlJc w:val="left"/>
      <w:pPr>
        <w:ind w:left="525" w:hanging="52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4"/>
      <w:suff w:val="nothing"/>
      <w:lvlText w:val="%1%2　"/>
      <w:lvlJc w:val="left"/>
      <w:pPr>
        <w:ind w:left="0" w:firstLine="0"/>
      </w:pPr>
      <w:rPr>
        <w:rFonts w:hint="eastAsia" w:ascii="黑体" w:hAnsi="Times New Roman" w:eastAsia="黑体"/>
        <w:b w:val="0"/>
        <w:i w:val="0"/>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5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46"/>
    <w:rsid w:val="000004C2"/>
    <w:rsid w:val="00000E61"/>
    <w:rsid w:val="000025E5"/>
    <w:rsid w:val="00003D71"/>
    <w:rsid w:val="000042B1"/>
    <w:rsid w:val="00004768"/>
    <w:rsid w:val="00004E34"/>
    <w:rsid w:val="00006ABC"/>
    <w:rsid w:val="00007671"/>
    <w:rsid w:val="00010211"/>
    <w:rsid w:val="00010D3D"/>
    <w:rsid w:val="00014DC5"/>
    <w:rsid w:val="00015BB2"/>
    <w:rsid w:val="00016140"/>
    <w:rsid w:val="000168A9"/>
    <w:rsid w:val="00016C75"/>
    <w:rsid w:val="00017388"/>
    <w:rsid w:val="0001740D"/>
    <w:rsid w:val="000179E6"/>
    <w:rsid w:val="00020A03"/>
    <w:rsid w:val="000211EC"/>
    <w:rsid w:val="00021FA8"/>
    <w:rsid w:val="0002273D"/>
    <w:rsid w:val="00022BE4"/>
    <w:rsid w:val="000242EC"/>
    <w:rsid w:val="00024410"/>
    <w:rsid w:val="0002543F"/>
    <w:rsid w:val="00025912"/>
    <w:rsid w:val="00025C52"/>
    <w:rsid w:val="00026198"/>
    <w:rsid w:val="00026880"/>
    <w:rsid w:val="0002695C"/>
    <w:rsid w:val="0003032D"/>
    <w:rsid w:val="00030DF8"/>
    <w:rsid w:val="00031150"/>
    <w:rsid w:val="00032167"/>
    <w:rsid w:val="000326F5"/>
    <w:rsid w:val="000335F1"/>
    <w:rsid w:val="000338AC"/>
    <w:rsid w:val="00033F6D"/>
    <w:rsid w:val="0003401A"/>
    <w:rsid w:val="000346D9"/>
    <w:rsid w:val="00035458"/>
    <w:rsid w:val="000355EC"/>
    <w:rsid w:val="000364E5"/>
    <w:rsid w:val="00036761"/>
    <w:rsid w:val="00036A4B"/>
    <w:rsid w:val="00037E6E"/>
    <w:rsid w:val="00040279"/>
    <w:rsid w:val="00040CD5"/>
    <w:rsid w:val="00041682"/>
    <w:rsid w:val="000438F2"/>
    <w:rsid w:val="00044BAB"/>
    <w:rsid w:val="00045263"/>
    <w:rsid w:val="00045A03"/>
    <w:rsid w:val="00046497"/>
    <w:rsid w:val="0004767F"/>
    <w:rsid w:val="00050150"/>
    <w:rsid w:val="00051490"/>
    <w:rsid w:val="00051674"/>
    <w:rsid w:val="00052BBD"/>
    <w:rsid w:val="00053D35"/>
    <w:rsid w:val="00054A53"/>
    <w:rsid w:val="00055ED0"/>
    <w:rsid w:val="00055F2D"/>
    <w:rsid w:val="000567A2"/>
    <w:rsid w:val="00056AD0"/>
    <w:rsid w:val="000579C1"/>
    <w:rsid w:val="000579F8"/>
    <w:rsid w:val="00057AD5"/>
    <w:rsid w:val="0006028D"/>
    <w:rsid w:val="0006045B"/>
    <w:rsid w:val="00060BA9"/>
    <w:rsid w:val="00061F29"/>
    <w:rsid w:val="0006353B"/>
    <w:rsid w:val="0006392A"/>
    <w:rsid w:val="00063BFE"/>
    <w:rsid w:val="00064E8A"/>
    <w:rsid w:val="0006667E"/>
    <w:rsid w:val="00066C74"/>
    <w:rsid w:val="00067600"/>
    <w:rsid w:val="00067D6A"/>
    <w:rsid w:val="000705A4"/>
    <w:rsid w:val="00070B51"/>
    <w:rsid w:val="000710B1"/>
    <w:rsid w:val="0007150F"/>
    <w:rsid w:val="00074708"/>
    <w:rsid w:val="00074AE9"/>
    <w:rsid w:val="00074BAA"/>
    <w:rsid w:val="000754F0"/>
    <w:rsid w:val="0007678D"/>
    <w:rsid w:val="00077231"/>
    <w:rsid w:val="00077A8A"/>
    <w:rsid w:val="000815CF"/>
    <w:rsid w:val="00082A8A"/>
    <w:rsid w:val="00082E14"/>
    <w:rsid w:val="0008501D"/>
    <w:rsid w:val="00085197"/>
    <w:rsid w:val="00086679"/>
    <w:rsid w:val="00087376"/>
    <w:rsid w:val="00087A54"/>
    <w:rsid w:val="000904C0"/>
    <w:rsid w:val="0009187C"/>
    <w:rsid w:val="00092196"/>
    <w:rsid w:val="00092470"/>
    <w:rsid w:val="00092D15"/>
    <w:rsid w:val="00093274"/>
    <w:rsid w:val="00093AD9"/>
    <w:rsid w:val="00094839"/>
    <w:rsid w:val="000953F9"/>
    <w:rsid w:val="00095EAF"/>
    <w:rsid w:val="00096FA8"/>
    <w:rsid w:val="00097E32"/>
    <w:rsid w:val="000A0C11"/>
    <w:rsid w:val="000A10A8"/>
    <w:rsid w:val="000A1210"/>
    <w:rsid w:val="000A1C93"/>
    <w:rsid w:val="000A230A"/>
    <w:rsid w:val="000A2852"/>
    <w:rsid w:val="000A2A6F"/>
    <w:rsid w:val="000A2F6B"/>
    <w:rsid w:val="000A3512"/>
    <w:rsid w:val="000A3760"/>
    <w:rsid w:val="000A3B4A"/>
    <w:rsid w:val="000A3D69"/>
    <w:rsid w:val="000A4539"/>
    <w:rsid w:val="000A45D6"/>
    <w:rsid w:val="000A655D"/>
    <w:rsid w:val="000A6A5C"/>
    <w:rsid w:val="000A730D"/>
    <w:rsid w:val="000A7B58"/>
    <w:rsid w:val="000B0359"/>
    <w:rsid w:val="000B0E65"/>
    <w:rsid w:val="000B5989"/>
    <w:rsid w:val="000B7471"/>
    <w:rsid w:val="000C15FE"/>
    <w:rsid w:val="000C1794"/>
    <w:rsid w:val="000C3ED5"/>
    <w:rsid w:val="000C4629"/>
    <w:rsid w:val="000C5096"/>
    <w:rsid w:val="000C50AA"/>
    <w:rsid w:val="000C522F"/>
    <w:rsid w:val="000C53E6"/>
    <w:rsid w:val="000C72BB"/>
    <w:rsid w:val="000C74A4"/>
    <w:rsid w:val="000D16AF"/>
    <w:rsid w:val="000D28CF"/>
    <w:rsid w:val="000D4247"/>
    <w:rsid w:val="000D60D8"/>
    <w:rsid w:val="000D621A"/>
    <w:rsid w:val="000E2144"/>
    <w:rsid w:val="000E443D"/>
    <w:rsid w:val="000E4E18"/>
    <w:rsid w:val="000E5014"/>
    <w:rsid w:val="000E5016"/>
    <w:rsid w:val="000E6064"/>
    <w:rsid w:val="000E688B"/>
    <w:rsid w:val="000E6A4C"/>
    <w:rsid w:val="000F0B10"/>
    <w:rsid w:val="000F10DC"/>
    <w:rsid w:val="000F1109"/>
    <w:rsid w:val="000F1A51"/>
    <w:rsid w:val="000F35F9"/>
    <w:rsid w:val="000F3A4F"/>
    <w:rsid w:val="000F5C3B"/>
    <w:rsid w:val="000F7086"/>
    <w:rsid w:val="00100274"/>
    <w:rsid w:val="00100BCC"/>
    <w:rsid w:val="00102AFA"/>
    <w:rsid w:val="00103CBB"/>
    <w:rsid w:val="00104865"/>
    <w:rsid w:val="00104AA1"/>
    <w:rsid w:val="0010526A"/>
    <w:rsid w:val="00106558"/>
    <w:rsid w:val="00106803"/>
    <w:rsid w:val="00107758"/>
    <w:rsid w:val="001103B6"/>
    <w:rsid w:val="001137C2"/>
    <w:rsid w:val="00115088"/>
    <w:rsid w:val="001156DF"/>
    <w:rsid w:val="00116021"/>
    <w:rsid w:val="00117212"/>
    <w:rsid w:val="0011738D"/>
    <w:rsid w:val="00120BA1"/>
    <w:rsid w:val="00121543"/>
    <w:rsid w:val="00122A0E"/>
    <w:rsid w:val="001231D0"/>
    <w:rsid w:val="00123951"/>
    <w:rsid w:val="00125A8C"/>
    <w:rsid w:val="001261B6"/>
    <w:rsid w:val="0012711D"/>
    <w:rsid w:val="0012786E"/>
    <w:rsid w:val="00127FB3"/>
    <w:rsid w:val="00130BC0"/>
    <w:rsid w:val="00131365"/>
    <w:rsid w:val="0013195C"/>
    <w:rsid w:val="0013201D"/>
    <w:rsid w:val="001333ED"/>
    <w:rsid w:val="00134634"/>
    <w:rsid w:val="00136276"/>
    <w:rsid w:val="0013758C"/>
    <w:rsid w:val="001377C7"/>
    <w:rsid w:val="00137A66"/>
    <w:rsid w:val="001406B2"/>
    <w:rsid w:val="0014163F"/>
    <w:rsid w:val="00141856"/>
    <w:rsid w:val="001431A3"/>
    <w:rsid w:val="001438FF"/>
    <w:rsid w:val="00143950"/>
    <w:rsid w:val="00143A5E"/>
    <w:rsid w:val="00144790"/>
    <w:rsid w:val="001451A0"/>
    <w:rsid w:val="00145CF7"/>
    <w:rsid w:val="00145D34"/>
    <w:rsid w:val="001467EE"/>
    <w:rsid w:val="00147AB7"/>
    <w:rsid w:val="001500EB"/>
    <w:rsid w:val="00151A5D"/>
    <w:rsid w:val="001520D4"/>
    <w:rsid w:val="00152FBC"/>
    <w:rsid w:val="001536BC"/>
    <w:rsid w:val="001538A4"/>
    <w:rsid w:val="001552FC"/>
    <w:rsid w:val="00155624"/>
    <w:rsid w:val="0015563D"/>
    <w:rsid w:val="001559E9"/>
    <w:rsid w:val="001603CA"/>
    <w:rsid w:val="00161036"/>
    <w:rsid w:val="001616F2"/>
    <w:rsid w:val="00162AC4"/>
    <w:rsid w:val="00162B50"/>
    <w:rsid w:val="00163832"/>
    <w:rsid w:val="00165C2B"/>
    <w:rsid w:val="00165EF8"/>
    <w:rsid w:val="00166B6F"/>
    <w:rsid w:val="00167694"/>
    <w:rsid w:val="0016779F"/>
    <w:rsid w:val="001679EC"/>
    <w:rsid w:val="0017084B"/>
    <w:rsid w:val="00170DA0"/>
    <w:rsid w:val="00170F1F"/>
    <w:rsid w:val="001714C4"/>
    <w:rsid w:val="0017162D"/>
    <w:rsid w:val="00173084"/>
    <w:rsid w:val="00173A52"/>
    <w:rsid w:val="00173FDE"/>
    <w:rsid w:val="001763B0"/>
    <w:rsid w:val="001769D6"/>
    <w:rsid w:val="00177A04"/>
    <w:rsid w:val="001807B2"/>
    <w:rsid w:val="00181C4A"/>
    <w:rsid w:val="001829D2"/>
    <w:rsid w:val="001843BB"/>
    <w:rsid w:val="00185AE2"/>
    <w:rsid w:val="00186BBE"/>
    <w:rsid w:val="001877DB"/>
    <w:rsid w:val="00187A7B"/>
    <w:rsid w:val="00190133"/>
    <w:rsid w:val="00191491"/>
    <w:rsid w:val="0019187B"/>
    <w:rsid w:val="00191CA6"/>
    <w:rsid w:val="00191EC0"/>
    <w:rsid w:val="00193FD2"/>
    <w:rsid w:val="00194D35"/>
    <w:rsid w:val="00195CF1"/>
    <w:rsid w:val="00196956"/>
    <w:rsid w:val="001971A8"/>
    <w:rsid w:val="001976A7"/>
    <w:rsid w:val="001A04CB"/>
    <w:rsid w:val="001A1663"/>
    <w:rsid w:val="001A1B15"/>
    <w:rsid w:val="001A2EF9"/>
    <w:rsid w:val="001A4EAF"/>
    <w:rsid w:val="001A52D2"/>
    <w:rsid w:val="001A5CC5"/>
    <w:rsid w:val="001A6442"/>
    <w:rsid w:val="001A65E7"/>
    <w:rsid w:val="001A7015"/>
    <w:rsid w:val="001A7428"/>
    <w:rsid w:val="001A7673"/>
    <w:rsid w:val="001A7AE7"/>
    <w:rsid w:val="001B044D"/>
    <w:rsid w:val="001B07E4"/>
    <w:rsid w:val="001B103E"/>
    <w:rsid w:val="001B14BB"/>
    <w:rsid w:val="001B36C3"/>
    <w:rsid w:val="001B3809"/>
    <w:rsid w:val="001B3819"/>
    <w:rsid w:val="001B3FA1"/>
    <w:rsid w:val="001B4381"/>
    <w:rsid w:val="001B4CF9"/>
    <w:rsid w:val="001B51B4"/>
    <w:rsid w:val="001B5971"/>
    <w:rsid w:val="001B5B08"/>
    <w:rsid w:val="001B5D9E"/>
    <w:rsid w:val="001B6BFB"/>
    <w:rsid w:val="001B6C80"/>
    <w:rsid w:val="001B6CC1"/>
    <w:rsid w:val="001B6F9B"/>
    <w:rsid w:val="001B7925"/>
    <w:rsid w:val="001C0024"/>
    <w:rsid w:val="001C0B09"/>
    <w:rsid w:val="001C10B2"/>
    <w:rsid w:val="001C1EE2"/>
    <w:rsid w:val="001C250A"/>
    <w:rsid w:val="001C572A"/>
    <w:rsid w:val="001D1126"/>
    <w:rsid w:val="001D11EE"/>
    <w:rsid w:val="001D1EB4"/>
    <w:rsid w:val="001D26A5"/>
    <w:rsid w:val="001D4B1D"/>
    <w:rsid w:val="001D4B46"/>
    <w:rsid w:val="001D5110"/>
    <w:rsid w:val="001D74F0"/>
    <w:rsid w:val="001E08A4"/>
    <w:rsid w:val="001E0E05"/>
    <w:rsid w:val="001E1E57"/>
    <w:rsid w:val="001E351A"/>
    <w:rsid w:val="001E3B1F"/>
    <w:rsid w:val="001E3EF5"/>
    <w:rsid w:val="001E4272"/>
    <w:rsid w:val="001E6376"/>
    <w:rsid w:val="001E6757"/>
    <w:rsid w:val="001E7092"/>
    <w:rsid w:val="001E75DB"/>
    <w:rsid w:val="001F0248"/>
    <w:rsid w:val="001F1F85"/>
    <w:rsid w:val="001F265C"/>
    <w:rsid w:val="001F28C0"/>
    <w:rsid w:val="001F29F5"/>
    <w:rsid w:val="001F2DF9"/>
    <w:rsid w:val="001F38CC"/>
    <w:rsid w:val="001F4741"/>
    <w:rsid w:val="001F5BFB"/>
    <w:rsid w:val="001F5F9F"/>
    <w:rsid w:val="001F6266"/>
    <w:rsid w:val="001F6AD5"/>
    <w:rsid w:val="00200EB7"/>
    <w:rsid w:val="00201749"/>
    <w:rsid w:val="00203721"/>
    <w:rsid w:val="0020415A"/>
    <w:rsid w:val="00205166"/>
    <w:rsid w:val="00205657"/>
    <w:rsid w:val="00206DE0"/>
    <w:rsid w:val="00207589"/>
    <w:rsid w:val="002078F6"/>
    <w:rsid w:val="00207F29"/>
    <w:rsid w:val="00210718"/>
    <w:rsid w:val="00210CF2"/>
    <w:rsid w:val="00211D1D"/>
    <w:rsid w:val="00212483"/>
    <w:rsid w:val="00212583"/>
    <w:rsid w:val="002127D9"/>
    <w:rsid w:val="00213EA0"/>
    <w:rsid w:val="002141B7"/>
    <w:rsid w:val="002144AA"/>
    <w:rsid w:val="002145A7"/>
    <w:rsid w:val="00215313"/>
    <w:rsid w:val="00216A58"/>
    <w:rsid w:val="00223858"/>
    <w:rsid w:val="00224754"/>
    <w:rsid w:val="00225640"/>
    <w:rsid w:val="0022778C"/>
    <w:rsid w:val="0022793A"/>
    <w:rsid w:val="002279E3"/>
    <w:rsid w:val="00231A7A"/>
    <w:rsid w:val="00231B12"/>
    <w:rsid w:val="00231C36"/>
    <w:rsid w:val="00232D77"/>
    <w:rsid w:val="0023318A"/>
    <w:rsid w:val="0023321A"/>
    <w:rsid w:val="0023337F"/>
    <w:rsid w:val="00236E8A"/>
    <w:rsid w:val="002378BA"/>
    <w:rsid w:val="002379B7"/>
    <w:rsid w:val="00242854"/>
    <w:rsid w:val="002428A1"/>
    <w:rsid w:val="00243A5B"/>
    <w:rsid w:val="00243B4E"/>
    <w:rsid w:val="00243BB2"/>
    <w:rsid w:val="00244965"/>
    <w:rsid w:val="00244EE1"/>
    <w:rsid w:val="00244FDB"/>
    <w:rsid w:val="00245002"/>
    <w:rsid w:val="00245A21"/>
    <w:rsid w:val="00245E0D"/>
    <w:rsid w:val="00245EAF"/>
    <w:rsid w:val="00250031"/>
    <w:rsid w:val="00250036"/>
    <w:rsid w:val="002505B9"/>
    <w:rsid w:val="00250F3C"/>
    <w:rsid w:val="002526ED"/>
    <w:rsid w:val="00252D0F"/>
    <w:rsid w:val="0025416C"/>
    <w:rsid w:val="002561C4"/>
    <w:rsid w:val="002568BB"/>
    <w:rsid w:val="0026132F"/>
    <w:rsid w:val="00261E93"/>
    <w:rsid w:val="00262D60"/>
    <w:rsid w:val="00263638"/>
    <w:rsid w:val="0026363E"/>
    <w:rsid w:val="00263876"/>
    <w:rsid w:val="002640A7"/>
    <w:rsid w:val="00264B9A"/>
    <w:rsid w:val="002656A9"/>
    <w:rsid w:val="00267487"/>
    <w:rsid w:val="00267E8C"/>
    <w:rsid w:val="0027077D"/>
    <w:rsid w:val="00271493"/>
    <w:rsid w:val="00271680"/>
    <w:rsid w:val="00273246"/>
    <w:rsid w:val="00273E40"/>
    <w:rsid w:val="0027554F"/>
    <w:rsid w:val="00276A2B"/>
    <w:rsid w:val="00276BC4"/>
    <w:rsid w:val="00277273"/>
    <w:rsid w:val="002807CF"/>
    <w:rsid w:val="00280E26"/>
    <w:rsid w:val="00281DC9"/>
    <w:rsid w:val="002821BA"/>
    <w:rsid w:val="00282AD4"/>
    <w:rsid w:val="00282FC0"/>
    <w:rsid w:val="00283871"/>
    <w:rsid w:val="002856E5"/>
    <w:rsid w:val="0028731E"/>
    <w:rsid w:val="002874B0"/>
    <w:rsid w:val="00290139"/>
    <w:rsid w:val="002935FF"/>
    <w:rsid w:val="00293802"/>
    <w:rsid w:val="00294C14"/>
    <w:rsid w:val="002972AA"/>
    <w:rsid w:val="0029755C"/>
    <w:rsid w:val="002979DB"/>
    <w:rsid w:val="002A1652"/>
    <w:rsid w:val="002A1C78"/>
    <w:rsid w:val="002A1D0E"/>
    <w:rsid w:val="002A37F6"/>
    <w:rsid w:val="002A4901"/>
    <w:rsid w:val="002A56E0"/>
    <w:rsid w:val="002A5F49"/>
    <w:rsid w:val="002A6A0A"/>
    <w:rsid w:val="002A7B6C"/>
    <w:rsid w:val="002B0863"/>
    <w:rsid w:val="002B1F22"/>
    <w:rsid w:val="002B1F92"/>
    <w:rsid w:val="002B2391"/>
    <w:rsid w:val="002B2F62"/>
    <w:rsid w:val="002B5B86"/>
    <w:rsid w:val="002B5BCF"/>
    <w:rsid w:val="002B62CA"/>
    <w:rsid w:val="002B6534"/>
    <w:rsid w:val="002B71D1"/>
    <w:rsid w:val="002B769B"/>
    <w:rsid w:val="002C0AD7"/>
    <w:rsid w:val="002C0F61"/>
    <w:rsid w:val="002C1D14"/>
    <w:rsid w:val="002C270E"/>
    <w:rsid w:val="002C274F"/>
    <w:rsid w:val="002C35F1"/>
    <w:rsid w:val="002C3852"/>
    <w:rsid w:val="002C3BEB"/>
    <w:rsid w:val="002C3DD1"/>
    <w:rsid w:val="002C3F13"/>
    <w:rsid w:val="002C4041"/>
    <w:rsid w:val="002C48A8"/>
    <w:rsid w:val="002C504D"/>
    <w:rsid w:val="002C6C82"/>
    <w:rsid w:val="002C6CD0"/>
    <w:rsid w:val="002C7783"/>
    <w:rsid w:val="002C7AB5"/>
    <w:rsid w:val="002D0038"/>
    <w:rsid w:val="002D1632"/>
    <w:rsid w:val="002D1CF8"/>
    <w:rsid w:val="002D1E2B"/>
    <w:rsid w:val="002D1F84"/>
    <w:rsid w:val="002D26E9"/>
    <w:rsid w:val="002D27B8"/>
    <w:rsid w:val="002D3E66"/>
    <w:rsid w:val="002D3F2B"/>
    <w:rsid w:val="002D4509"/>
    <w:rsid w:val="002D4933"/>
    <w:rsid w:val="002D5810"/>
    <w:rsid w:val="002D65B0"/>
    <w:rsid w:val="002D6C57"/>
    <w:rsid w:val="002E08C5"/>
    <w:rsid w:val="002E1B09"/>
    <w:rsid w:val="002E1F4C"/>
    <w:rsid w:val="002E3131"/>
    <w:rsid w:val="002E348F"/>
    <w:rsid w:val="002E41D0"/>
    <w:rsid w:val="002E4655"/>
    <w:rsid w:val="002E5348"/>
    <w:rsid w:val="002E70BF"/>
    <w:rsid w:val="002E7A4D"/>
    <w:rsid w:val="002F020B"/>
    <w:rsid w:val="002F2378"/>
    <w:rsid w:val="002F308C"/>
    <w:rsid w:val="002F3423"/>
    <w:rsid w:val="002F35C1"/>
    <w:rsid w:val="002F3BF1"/>
    <w:rsid w:val="002F4AAB"/>
    <w:rsid w:val="002F527B"/>
    <w:rsid w:val="002F76DC"/>
    <w:rsid w:val="00300DF4"/>
    <w:rsid w:val="00301713"/>
    <w:rsid w:val="003017CE"/>
    <w:rsid w:val="00301EE5"/>
    <w:rsid w:val="003026B4"/>
    <w:rsid w:val="0030409C"/>
    <w:rsid w:val="00304F7E"/>
    <w:rsid w:val="00305309"/>
    <w:rsid w:val="003064A0"/>
    <w:rsid w:val="0030683C"/>
    <w:rsid w:val="00306F2E"/>
    <w:rsid w:val="003071A7"/>
    <w:rsid w:val="003077BB"/>
    <w:rsid w:val="00311732"/>
    <w:rsid w:val="00311BA4"/>
    <w:rsid w:val="0031285C"/>
    <w:rsid w:val="00313137"/>
    <w:rsid w:val="003134F9"/>
    <w:rsid w:val="0031358D"/>
    <w:rsid w:val="00314FEF"/>
    <w:rsid w:val="00315190"/>
    <w:rsid w:val="00315E0A"/>
    <w:rsid w:val="00316234"/>
    <w:rsid w:val="00316549"/>
    <w:rsid w:val="003168EE"/>
    <w:rsid w:val="00316C01"/>
    <w:rsid w:val="00316E3A"/>
    <w:rsid w:val="00317974"/>
    <w:rsid w:val="00317AE2"/>
    <w:rsid w:val="00320402"/>
    <w:rsid w:val="00320DE2"/>
    <w:rsid w:val="00320E5D"/>
    <w:rsid w:val="0032244A"/>
    <w:rsid w:val="003247C0"/>
    <w:rsid w:val="00330DA3"/>
    <w:rsid w:val="00330EEF"/>
    <w:rsid w:val="00331443"/>
    <w:rsid w:val="003329C8"/>
    <w:rsid w:val="00333962"/>
    <w:rsid w:val="00334490"/>
    <w:rsid w:val="00334751"/>
    <w:rsid w:val="00335276"/>
    <w:rsid w:val="00335713"/>
    <w:rsid w:val="00336287"/>
    <w:rsid w:val="00337EA7"/>
    <w:rsid w:val="003419E0"/>
    <w:rsid w:val="003421DD"/>
    <w:rsid w:val="00342999"/>
    <w:rsid w:val="00342AD4"/>
    <w:rsid w:val="00343C40"/>
    <w:rsid w:val="0034490A"/>
    <w:rsid w:val="003457DB"/>
    <w:rsid w:val="00346068"/>
    <w:rsid w:val="00346498"/>
    <w:rsid w:val="003500C1"/>
    <w:rsid w:val="003501BF"/>
    <w:rsid w:val="0035022B"/>
    <w:rsid w:val="0035083A"/>
    <w:rsid w:val="00350867"/>
    <w:rsid w:val="0035095D"/>
    <w:rsid w:val="00350E76"/>
    <w:rsid w:val="0035456E"/>
    <w:rsid w:val="0035611F"/>
    <w:rsid w:val="00356434"/>
    <w:rsid w:val="00356A13"/>
    <w:rsid w:val="00356FB4"/>
    <w:rsid w:val="00357E84"/>
    <w:rsid w:val="0036043B"/>
    <w:rsid w:val="00360884"/>
    <w:rsid w:val="003610BA"/>
    <w:rsid w:val="003611EE"/>
    <w:rsid w:val="0036171A"/>
    <w:rsid w:val="00361C0F"/>
    <w:rsid w:val="00361FC5"/>
    <w:rsid w:val="00362B92"/>
    <w:rsid w:val="00362D6D"/>
    <w:rsid w:val="00366C60"/>
    <w:rsid w:val="003704DB"/>
    <w:rsid w:val="0037087D"/>
    <w:rsid w:val="00370A0B"/>
    <w:rsid w:val="003714D3"/>
    <w:rsid w:val="00372283"/>
    <w:rsid w:val="003726A6"/>
    <w:rsid w:val="0037599C"/>
    <w:rsid w:val="00375F30"/>
    <w:rsid w:val="00376A52"/>
    <w:rsid w:val="003774AA"/>
    <w:rsid w:val="00382FCB"/>
    <w:rsid w:val="00383354"/>
    <w:rsid w:val="00384EE6"/>
    <w:rsid w:val="003862B8"/>
    <w:rsid w:val="00387978"/>
    <w:rsid w:val="00387FEF"/>
    <w:rsid w:val="003908E9"/>
    <w:rsid w:val="00391DD3"/>
    <w:rsid w:val="00392025"/>
    <w:rsid w:val="00392F0D"/>
    <w:rsid w:val="00393098"/>
    <w:rsid w:val="00393608"/>
    <w:rsid w:val="00393993"/>
    <w:rsid w:val="00393D8A"/>
    <w:rsid w:val="003941D8"/>
    <w:rsid w:val="003944DB"/>
    <w:rsid w:val="0039466F"/>
    <w:rsid w:val="0039505C"/>
    <w:rsid w:val="00395470"/>
    <w:rsid w:val="00395961"/>
    <w:rsid w:val="00396763"/>
    <w:rsid w:val="00396BC6"/>
    <w:rsid w:val="003978A7"/>
    <w:rsid w:val="00397E16"/>
    <w:rsid w:val="003A2513"/>
    <w:rsid w:val="003A2BD0"/>
    <w:rsid w:val="003A3528"/>
    <w:rsid w:val="003A3B8A"/>
    <w:rsid w:val="003A3DE8"/>
    <w:rsid w:val="003A6401"/>
    <w:rsid w:val="003B1C1E"/>
    <w:rsid w:val="003B2050"/>
    <w:rsid w:val="003B2C6B"/>
    <w:rsid w:val="003B708E"/>
    <w:rsid w:val="003C00A0"/>
    <w:rsid w:val="003C18D6"/>
    <w:rsid w:val="003C2939"/>
    <w:rsid w:val="003C2E27"/>
    <w:rsid w:val="003C327B"/>
    <w:rsid w:val="003C375C"/>
    <w:rsid w:val="003C4646"/>
    <w:rsid w:val="003C53AA"/>
    <w:rsid w:val="003C6198"/>
    <w:rsid w:val="003C6EA1"/>
    <w:rsid w:val="003C7C3F"/>
    <w:rsid w:val="003C7FE9"/>
    <w:rsid w:val="003D056B"/>
    <w:rsid w:val="003D290A"/>
    <w:rsid w:val="003D2BF4"/>
    <w:rsid w:val="003D2DAD"/>
    <w:rsid w:val="003D37B8"/>
    <w:rsid w:val="003D4180"/>
    <w:rsid w:val="003D444B"/>
    <w:rsid w:val="003D50AA"/>
    <w:rsid w:val="003D6014"/>
    <w:rsid w:val="003D7216"/>
    <w:rsid w:val="003D7364"/>
    <w:rsid w:val="003D7B58"/>
    <w:rsid w:val="003E1405"/>
    <w:rsid w:val="003E1A84"/>
    <w:rsid w:val="003E2650"/>
    <w:rsid w:val="003E540F"/>
    <w:rsid w:val="003E60EC"/>
    <w:rsid w:val="003E6B5A"/>
    <w:rsid w:val="003E7580"/>
    <w:rsid w:val="003F0717"/>
    <w:rsid w:val="003F083F"/>
    <w:rsid w:val="003F29F4"/>
    <w:rsid w:val="003F2AF6"/>
    <w:rsid w:val="003F30C2"/>
    <w:rsid w:val="003F3D4E"/>
    <w:rsid w:val="003F59B5"/>
    <w:rsid w:val="0040095D"/>
    <w:rsid w:val="004010A0"/>
    <w:rsid w:val="00401B1C"/>
    <w:rsid w:val="0040250F"/>
    <w:rsid w:val="00403B64"/>
    <w:rsid w:val="00404251"/>
    <w:rsid w:val="00404340"/>
    <w:rsid w:val="004054AB"/>
    <w:rsid w:val="00406E20"/>
    <w:rsid w:val="00410C32"/>
    <w:rsid w:val="00411B98"/>
    <w:rsid w:val="00412844"/>
    <w:rsid w:val="00413541"/>
    <w:rsid w:val="0041440D"/>
    <w:rsid w:val="00416CC4"/>
    <w:rsid w:val="00420CD7"/>
    <w:rsid w:val="0042117A"/>
    <w:rsid w:val="0042130A"/>
    <w:rsid w:val="004214B4"/>
    <w:rsid w:val="00421A64"/>
    <w:rsid w:val="00421C03"/>
    <w:rsid w:val="00421D7D"/>
    <w:rsid w:val="00422479"/>
    <w:rsid w:val="004241D6"/>
    <w:rsid w:val="00425E8A"/>
    <w:rsid w:val="00426413"/>
    <w:rsid w:val="00426435"/>
    <w:rsid w:val="00426680"/>
    <w:rsid w:val="00427518"/>
    <w:rsid w:val="00432DA9"/>
    <w:rsid w:val="00436170"/>
    <w:rsid w:val="004367C8"/>
    <w:rsid w:val="00436E3D"/>
    <w:rsid w:val="00441516"/>
    <w:rsid w:val="004430B5"/>
    <w:rsid w:val="0044499C"/>
    <w:rsid w:val="00445756"/>
    <w:rsid w:val="0044585B"/>
    <w:rsid w:val="00446803"/>
    <w:rsid w:val="004470E6"/>
    <w:rsid w:val="004474AB"/>
    <w:rsid w:val="00447B7D"/>
    <w:rsid w:val="00450A03"/>
    <w:rsid w:val="00450E4D"/>
    <w:rsid w:val="0045106F"/>
    <w:rsid w:val="00452E53"/>
    <w:rsid w:val="00453122"/>
    <w:rsid w:val="004538F6"/>
    <w:rsid w:val="00454256"/>
    <w:rsid w:val="004547ED"/>
    <w:rsid w:val="00454E60"/>
    <w:rsid w:val="00455A4A"/>
    <w:rsid w:val="00456722"/>
    <w:rsid w:val="00462B0D"/>
    <w:rsid w:val="00464823"/>
    <w:rsid w:val="004650E0"/>
    <w:rsid w:val="004651E8"/>
    <w:rsid w:val="00465733"/>
    <w:rsid w:val="00466717"/>
    <w:rsid w:val="004673D5"/>
    <w:rsid w:val="00467D57"/>
    <w:rsid w:val="00467DB3"/>
    <w:rsid w:val="004706AA"/>
    <w:rsid w:val="00470728"/>
    <w:rsid w:val="00471BE0"/>
    <w:rsid w:val="004721AC"/>
    <w:rsid w:val="00472B4F"/>
    <w:rsid w:val="004731E1"/>
    <w:rsid w:val="00473329"/>
    <w:rsid w:val="00475DE3"/>
    <w:rsid w:val="004773D5"/>
    <w:rsid w:val="004774C2"/>
    <w:rsid w:val="00480C68"/>
    <w:rsid w:val="00481153"/>
    <w:rsid w:val="00482499"/>
    <w:rsid w:val="00483229"/>
    <w:rsid w:val="00483685"/>
    <w:rsid w:val="0048519A"/>
    <w:rsid w:val="00485212"/>
    <w:rsid w:val="00485FC1"/>
    <w:rsid w:val="00490584"/>
    <w:rsid w:val="0049167C"/>
    <w:rsid w:val="004920D2"/>
    <w:rsid w:val="00492133"/>
    <w:rsid w:val="0049338B"/>
    <w:rsid w:val="004937D4"/>
    <w:rsid w:val="00497782"/>
    <w:rsid w:val="004A0AAA"/>
    <w:rsid w:val="004A1AE2"/>
    <w:rsid w:val="004A2774"/>
    <w:rsid w:val="004A403F"/>
    <w:rsid w:val="004A548E"/>
    <w:rsid w:val="004A5BAE"/>
    <w:rsid w:val="004A6311"/>
    <w:rsid w:val="004A67DE"/>
    <w:rsid w:val="004A77F9"/>
    <w:rsid w:val="004B0E13"/>
    <w:rsid w:val="004B12D6"/>
    <w:rsid w:val="004B2669"/>
    <w:rsid w:val="004B2FC0"/>
    <w:rsid w:val="004B49E7"/>
    <w:rsid w:val="004B548B"/>
    <w:rsid w:val="004B5B54"/>
    <w:rsid w:val="004B72F7"/>
    <w:rsid w:val="004B7901"/>
    <w:rsid w:val="004B7C20"/>
    <w:rsid w:val="004C02F0"/>
    <w:rsid w:val="004C16B7"/>
    <w:rsid w:val="004C1E7F"/>
    <w:rsid w:val="004C27E8"/>
    <w:rsid w:val="004C3C1E"/>
    <w:rsid w:val="004C4F80"/>
    <w:rsid w:val="004C7059"/>
    <w:rsid w:val="004C7332"/>
    <w:rsid w:val="004C74D0"/>
    <w:rsid w:val="004C7CC7"/>
    <w:rsid w:val="004D0FC9"/>
    <w:rsid w:val="004D100E"/>
    <w:rsid w:val="004D1506"/>
    <w:rsid w:val="004D2424"/>
    <w:rsid w:val="004D524A"/>
    <w:rsid w:val="004D5770"/>
    <w:rsid w:val="004D6D5F"/>
    <w:rsid w:val="004E1EB0"/>
    <w:rsid w:val="004E26FC"/>
    <w:rsid w:val="004E2721"/>
    <w:rsid w:val="004E2F43"/>
    <w:rsid w:val="004E3123"/>
    <w:rsid w:val="004E33D9"/>
    <w:rsid w:val="004E4D9C"/>
    <w:rsid w:val="004E5EBA"/>
    <w:rsid w:val="004E606B"/>
    <w:rsid w:val="004E6FF9"/>
    <w:rsid w:val="004E7043"/>
    <w:rsid w:val="004F0630"/>
    <w:rsid w:val="004F15B9"/>
    <w:rsid w:val="004F346E"/>
    <w:rsid w:val="004F3DAD"/>
    <w:rsid w:val="004F4BF6"/>
    <w:rsid w:val="004F5BBB"/>
    <w:rsid w:val="004F5C24"/>
    <w:rsid w:val="004F67C4"/>
    <w:rsid w:val="004F7993"/>
    <w:rsid w:val="004F79A1"/>
    <w:rsid w:val="005002D1"/>
    <w:rsid w:val="00500A81"/>
    <w:rsid w:val="00501950"/>
    <w:rsid w:val="00504173"/>
    <w:rsid w:val="00504572"/>
    <w:rsid w:val="00504A31"/>
    <w:rsid w:val="0050527C"/>
    <w:rsid w:val="00505EC6"/>
    <w:rsid w:val="0051011A"/>
    <w:rsid w:val="005122A5"/>
    <w:rsid w:val="0051374F"/>
    <w:rsid w:val="00514527"/>
    <w:rsid w:val="00514B30"/>
    <w:rsid w:val="00514D30"/>
    <w:rsid w:val="005155DF"/>
    <w:rsid w:val="00520A21"/>
    <w:rsid w:val="00522073"/>
    <w:rsid w:val="005224D6"/>
    <w:rsid w:val="00522578"/>
    <w:rsid w:val="00522817"/>
    <w:rsid w:val="00522AFA"/>
    <w:rsid w:val="00522D12"/>
    <w:rsid w:val="00523149"/>
    <w:rsid w:val="00523C0A"/>
    <w:rsid w:val="005243EB"/>
    <w:rsid w:val="00524510"/>
    <w:rsid w:val="00524EBD"/>
    <w:rsid w:val="00524ED9"/>
    <w:rsid w:val="0052536A"/>
    <w:rsid w:val="00531536"/>
    <w:rsid w:val="00531F60"/>
    <w:rsid w:val="00533705"/>
    <w:rsid w:val="005341FA"/>
    <w:rsid w:val="00534EB6"/>
    <w:rsid w:val="005365F3"/>
    <w:rsid w:val="00536ECD"/>
    <w:rsid w:val="0054108D"/>
    <w:rsid w:val="00541427"/>
    <w:rsid w:val="0054354F"/>
    <w:rsid w:val="0054463C"/>
    <w:rsid w:val="00545951"/>
    <w:rsid w:val="00545CA2"/>
    <w:rsid w:val="00546877"/>
    <w:rsid w:val="00547115"/>
    <w:rsid w:val="00547A08"/>
    <w:rsid w:val="00547BE7"/>
    <w:rsid w:val="00547FD7"/>
    <w:rsid w:val="0055224E"/>
    <w:rsid w:val="00552D48"/>
    <w:rsid w:val="00552E0A"/>
    <w:rsid w:val="0055486D"/>
    <w:rsid w:val="00555082"/>
    <w:rsid w:val="005601F6"/>
    <w:rsid w:val="005608E0"/>
    <w:rsid w:val="0056146E"/>
    <w:rsid w:val="00562DA3"/>
    <w:rsid w:val="00565E9A"/>
    <w:rsid w:val="00567D50"/>
    <w:rsid w:val="00567D77"/>
    <w:rsid w:val="0057038F"/>
    <w:rsid w:val="005708EE"/>
    <w:rsid w:val="00570AA2"/>
    <w:rsid w:val="005717F4"/>
    <w:rsid w:val="00571AE3"/>
    <w:rsid w:val="005729EA"/>
    <w:rsid w:val="0057303C"/>
    <w:rsid w:val="005734D9"/>
    <w:rsid w:val="0057352A"/>
    <w:rsid w:val="00573992"/>
    <w:rsid w:val="005767B2"/>
    <w:rsid w:val="00581013"/>
    <w:rsid w:val="005824C7"/>
    <w:rsid w:val="00582E78"/>
    <w:rsid w:val="0058388D"/>
    <w:rsid w:val="00585418"/>
    <w:rsid w:val="00585A40"/>
    <w:rsid w:val="00586815"/>
    <w:rsid w:val="00587F21"/>
    <w:rsid w:val="005906F0"/>
    <w:rsid w:val="00591129"/>
    <w:rsid w:val="00592B0F"/>
    <w:rsid w:val="005946FB"/>
    <w:rsid w:val="005947F7"/>
    <w:rsid w:val="00594E24"/>
    <w:rsid w:val="00595400"/>
    <w:rsid w:val="00595654"/>
    <w:rsid w:val="00595EF0"/>
    <w:rsid w:val="00596611"/>
    <w:rsid w:val="00597FDF"/>
    <w:rsid w:val="005A2BD9"/>
    <w:rsid w:val="005A46DA"/>
    <w:rsid w:val="005A63DE"/>
    <w:rsid w:val="005A6EA9"/>
    <w:rsid w:val="005A785E"/>
    <w:rsid w:val="005A793A"/>
    <w:rsid w:val="005A7E59"/>
    <w:rsid w:val="005B0BC5"/>
    <w:rsid w:val="005B0D85"/>
    <w:rsid w:val="005B0EB1"/>
    <w:rsid w:val="005B12E9"/>
    <w:rsid w:val="005B1642"/>
    <w:rsid w:val="005B164D"/>
    <w:rsid w:val="005B1B2D"/>
    <w:rsid w:val="005B33A7"/>
    <w:rsid w:val="005B3BB1"/>
    <w:rsid w:val="005B4EBB"/>
    <w:rsid w:val="005B575D"/>
    <w:rsid w:val="005B5808"/>
    <w:rsid w:val="005B6A30"/>
    <w:rsid w:val="005C0060"/>
    <w:rsid w:val="005C28B8"/>
    <w:rsid w:val="005C2B32"/>
    <w:rsid w:val="005C38AB"/>
    <w:rsid w:val="005C49D0"/>
    <w:rsid w:val="005C6829"/>
    <w:rsid w:val="005C74E8"/>
    <w:rsid w:val="005C7F69"/>
    <w:rsid w:val="005D1034"/>
    <w:rsid w:val="005D24DF"/>
    <w:rsid w:val="005D2AEF"/>
    <w:rsid w:val="005D3E00"/>
    <w:rsid w:val="005D4C06"/>
    <w:rsid w:val="005D653D"/>
    <w:rsid w:val="005D6707"/>
    <w:rsid w:val="005D6A90"/>
    <w:rsid w:val="005D792F"/>
    <w:rsid w:val="005E0F6E"/>
    <w:rsid w:val="005E2957"/>
    <w:rsid w:val="005E2F8D"/>
    <w:rsid w:val="005E4ECC"/>
    <w:rsid w:val="005E5F75"/>
    <w:rsid w:val="005F0664"/>
    <w:rsid w:val="005F101F"/>
    <w:rsid w:val="005F1447"/>
    <w:rsid w:val="005F15B8"/>
    <w:rsid w:val="005F2483"/>
    <w:rsid w:val="005F6164"/>
    <w:rsid w:val="005F670D"/>
    <w:rsid w:val="005F6794"/>
    <w:rsid w:val="005F6A95"/>
    <w:rsid w:val="005F7398"/>
    <w:rsid w:val="005F77B4"/>
    <w:rsid w:val="00601070"/>
    <w:rsid w:val="00601939"/>
    <w:rsid w:val="00601CDE"/>
    <w:rsid w:val="00602080"/>
    <w:rsid w:val="00603B60"/>
    <w:rsid w:val="00604F0A"/>
    <w:rsid w:val="00605D4D"/>
    <w:rsid w:val="0060607B"/>
    <w:rsid w:val="0061160C"/>
    <w:rsid w:val="00611666"/>
    <w:rsid w:val="00611FD2"/>
    <w:rsid w:val="00613489"/>
    <w:rsid w:val="00613D38"/>
    <w:rsid w:val="006147EB"/>
    <w:rsid w:val="00616357"/>
    <w:rsid w:val="00617DDF"/>
    <w:rsid w:val="00620229"/>
    <w:rsid w:val="00620AF5"/>
    <w:rsid w:val="00620E8E"/>
    <w:rsid w:val="006212D6"/>
    <w:rsid w:val="0062203A"/>
    <w:rsid w:val="00622900"/>
    <w:rsid w:val="006238B0"/>
    <w:rsid w:val="0062486C"/>
    <w:rsid w:val="0062548D"/>
    <w:rsid w:val="00626115"/>
    <w:rsid w:val="0062649F"/>
    <w:rsid w:val="006264C6"/>
    <w:rsid w:val="006270EE"/>
    <w:rsid w:val="00627F7A"/>
    <w:rsid w:val="00630B8C"/>
    <w:rsid w:val="006315BE"/>
    <w:rsid w:val="00631754"/>
    <w:rsid w:val="0063254F"/>
    <w:rsid w:val="00633E9E"/>
    <w:rsid w:val="0063456A"/>
    <w:rsid w:val="0063463E"/>
    <w:rsid w:val="00635973"/>
    <w:rsid w:val="00636828"/>
    <w:rsid w:val="00636FDE"/>
    <w:rsid w:val="00637121"/>
    <w:rsid w:val="0063766E"/>
    <w:rsid w:val="00637AF0"/>
    <w:rsid w:val="00641BDB"/>
    <w:rsid w:val="00645262"/>
    <w:rsid w:val="0064629C"/>
    <w:rsid w:val="00647F80"/>
    <w:rsid w:val="006519C6"/>
    <w:rsid w:val="00652203"/>
    <w:rsid w:val="006523D5"/>
    <w:rsid w:val="0065260F"/>
    <w:rsid w:val="00652FC6"/>
    <w:rsid w:val="00653425"/>
    <w:rsid w:val="00654812"/>
    <w:rsid w:val="00655D6D"/>
    <w:rsid w:val="00656BEA"/>
    <w:rsid w:val="00660100"/>
    <w:rsid w:val="00660371"/>
    <w:rsid w:val="0066162A"/>
    <w:rsid w:val="00661757"/>
    <w:rsid w:val="00663304"/>
    <w:rsid w:val="00663393"/>
    <w:rsid w:val="00663589"/>
    <w:rsid w:val="00664AA3"/>
    <w:rsid w:val="00664E6C"/>
    <w:rsid w:val="00672605"/>
    <w:rsid w:val="006730D0"/>
    <w:rsid w:val="00673613"/>
    <w:rsid w:val="006743C4"/>
    <w:rsid w:val="00674701"/>
    <w:rsid w:val="0067547D"/>
    <w:rsid w:val="006757C6"/>
    <w:rsid w:val="00675DD1"/>
    <w:rsid w:val="006760E7"/>
    <w:rsid w:val="00676380"/>
    <w:rsid w:val="006776BF"/>
    <w:rsid w:val="00680188"/>
    <w:rsid w:val="006812F5"/>
    <w:rsid w:val="00681B27"/>
    <w:rsid w:val="00682253"/>
    <w:rsid w:val="0068245A"/>
    <w:rsid w:val="00682557"/>
    <w:rsid w:val="00682677"/>
    <w:rsid w:val="00682EEB"/>
    <w:rsid w:val="00684AAC"/>
    <w:rsid w:val="0068517A"/>
    <w:rsid w:val="00685D53"/>
    <w:rsid w:val="006862AB"/>
    <w:rsid w:val="00686306"/>
    <w:rsid w:val="00686581"/>
    <w:rsid w:val="00686AC6"/>
    <w:rsid w:val="00686F37"/>
    <w:rsid w:val="00690AF7"/>
    <w:rsid w:val="00690B3D"/>
    <w:rsid w:val="00691948"/>
    <w:rsid w:val="00691E54"/>
    <w:rsid w:val="0069276F"/>
    <w:rsid w:val="00692929"/>
    <w:rsid w:val="00692E70"/>
    <w:rsid w:val="006935B4"/>
    <w:rsid w:val="006936F9"/>
    <w:rsid w:val="0069463D"/>
    <w:rsid w:val="0069530F"/>
    <w:rsid w:val="00695363"/>
    <w:rsid w:val="0069590C"/>
    <w:rsid w:val="0069625B"/>
    <w:rsid w:val="006970ED"/>
    <w:rsid w:val="0069781C"/>
    <w:rsid w:val="006A03C8"/>
    <w:rsid w:val="006A0C59"/>
    <w:rsid w:val="006A0FC7"/>
    <w:rsid w:val="006A19C1"/>
    <w:rsid w:val="006A1E82"/>
    <w:rsid w:val="006A26A3"/>
    <w:rsid w:val="006A2995"/>
    <w:rsid w:val="006A2B5E"/>
    <w:rsid w:val="006A3863"/>
    <w:rsid w:val="006A3B69"/>
    <w:rsid w:val="006A4006"/>
    <w:rsid w:val="006A60E0"/>
    <w:rsid w:val="006B4476"/>
    <w:rsid w:val="006B482F"/>
    <w:rsid w:val="006B4B7D"/>
    <w:rsid w:val="006B51F9"/>
    <w:rsid w:val="006B5D15"/>
    <w:rsid w:val="006B6BE3"/>
    <w:rsid w:val="006C0BBD"/>
    <w:rsid w:val="006C0CC1"/>
    <w:rsid w:val="006C0F1F"/>
    <w:rsid w:val="006C2883"/>
    <w:rsid w:val="006C39F3"/>
    <w:rsid w:val="006C59DB"/>
    <w:rsid w:val="006C6838"/>
    <w:rsid w:val="006C721A"/>
    <w:rsid w:val="006C79DF"/>
    <w:rsid w:val="006D0C44"/>
    <w:rsid w:val="006D122B"/>
    <w:rsid w:val="006D1DDF"/>
    <w:rsid w:val="006D31DF"/>
    <w:rsid w:val="006D4836"/>
    <w:rsid w:val="006D6BF9"/>
    <w:rsid w:val="006E2D55"/>
    <w:rsid w:val="006E30F1"/>
    <w:rsid w:val="006E3814"/>
    <w:rsid w:val="006E49E2"/>
    <w:rsid w:val="006E5C6E"/>
    <w:rsid w:val="006E5D06"/>
    <w:rsid w:val="006F0B49"/>
    <w:rsid w:val="006F0DDE"/>
    <w:rsid w:val="006F1995"/>
    <w:rsid w:val="006F22E0"/>
    <w:rsid w:val="006F23BA"/>
    <w:rsid w:val="006F3920"/>
    <w:rsid w:val="006F3A69"/>
    <w:rsid w:val="006F6277"/>
    <w:rsid w:val="006F6A1E"/>
    <w:rsid w:val="006F71A2"/>
    <w:rsid w:val="006F71A7"/>
    <w:rsid w:val="00704D2A"/>
    <w:rsid w:val="0070712D"/>
    <w:rsid w:val="0071098F"/>
    <w:rsid w:val="007112C3"/>
    <w:rsid w:val="00711477"/>
    <w:rsid w:val="007116D0"/>
    <w:rsid w:val="00712239"/>
    <w:rsid w:val="00713D56"/>
    <w:rsid w:val="00713E93"/>
    <w:rsid w:val="00713EDC"/>
    <w:rsid w:val="00715514"/>
    <w:rsid w:val="00715648"/>
    <w:rsid w:val="00716F80"/>
    <w:rsid w:val="00717214"/>
    <w:rsid w:val="00717D6C"/>
    <w:rsid w:val="00720493"/>
    <w:rsid w:val="0072192A"/>
    <w:rsid w:val="00723CB9"/>
    <w:rsid w:val="00723DCD"/>
    <w:rsid w:val="007241E7"/>
    <w:rsid w:val="00725933"/>
    <w:rsid w:val="007308EB"/>
    <w:rsid w:val="007311EE"/>
    <w:rsid w:val="00731239"/>
    <w:rsid w:val="0073156F"/>
    <w:rsid w:val="00731686"/>
    <w:rsid w:val="00731F7B"/>
    <w:rsid w:val="00732484"/>
    <w:rsid w:val="00734CF3"/>
    <w:rsid w:val="00740FFC"/>
    <w:rsid w:val="00741B1E"/>
    <w:rsid w:val="007447A3"/>
    <w:rsid w:val="00745072"/>
    <w:rsid w:val="007457FF"/>
    <w:rsid w:val="00745C7B"/>
    <w:rsid w:val="00747387"/>
    <w:rsid w:val="00747AFD"/>
    <w:rsid w:val="007516C2"/>
    <w:rsid w:val="00753A2D"/>
    <w:rsid w:val="00753CBA"/>
    <w:rsid w:val="007540FB"/>
    <w:rsid w:val="0075739B"/>
    <w:rsid w:val="007600FD"/>
    <w:rsid w:val="00760567"/>
    <w:rsid w:val="00762160"/>
    <w:rsid w:val="00762571"/>
    <w:rsid w:val="00763123"/>
    <w:rsid w:val="0076390E"/>
    <w:rsid w:val="00763FD3"/>
    <w:rsid w:val="007641D0"/>
    <w:rsid w:val="00765019"/>
    <w:rsid w:val="00765184"/>
    <w:rsid w:val="00765411"/>
    <w:rsid w:val="0076705B"/>
    <w:rsid w:val="00767D1D"/>
    <w:rsid w:val="00767FCE"/>
    <w:rsid w:val="007709D7"/>
    <w:rsid w:val="00770AA1"/>
    <w:rsid w:val="00770B96"/>
    <w:rsid w:val="007712B7"/>
    <w:rsid w:val="00772A87"/>
    <w:rsid w:val="00773435"/>
    <w:rsid w:val="007744EB"/>
    <w:rsid w:val="00774B68"/>
    <w:rsid w:val="0077799C"/>
    <w:rsid w:val="00777AB5"/>
    <w:rsid w:val="00780283"/>
    <w:rsid w:val="0078077F"/>
    <w:rsid w:val="00781813"/>
    <w:rsid w:val="00782011"/>
    <w:rsid w:val="007839BB"/>
    <w:rsid w:val="00784285"/>
    <w:rsid w:val="00784EC0"/>
    <w:rsid w:val="0078517A"/>
    <w:rsid w:val="00785289"/>
    <w:rsid w:val="0078607E"/>
    <w:rsid w:val="007875AC"/>
    <w:rsid w:val="007876D3"/>
    <w:rsid w:val="00787D38"/>
    <w:rsid w:val="00790A1C"/>
    <w:rsid w:val="007910CD"/>
    <w:rsid w:val="00791742"/>
    <w:rsid w:val="00792FD5"/>
    <w:rsid w:val="0079323F"/>
    <w:rsid w:val="00793F68"/>
    <w:rsid w:val="00795362"/>
    <w:rsid w:val="0079541D"/>
    <w:rsid w:val="00795F9A"/>
    <w:rsid w:val="007962D6"/>
    <w:rsid w:val="00796ABD"/>
    <w:rsid w:val="0079719B"/>
    <w:rsid w:val="00797EAA"/>
    <w:rsid w:val="007A0C20"/>
    <w:rsid w:val="007A205E"/>
    <w:rsid w:val="007A4049"/>
    <w:rsid w:val="007A448C"/>
    <w:rsid w:val="007A7E49"/>
    <w:rsid w:val="007B0765"/>
    <w:rsid w:val="007B0F1B"/>
    <w:rsid w:val="007B1919"/>
    <w:rsid w:val="007B1BB2"/>
    <w:rsid w:val="007B2628"/>
    <w:rsid w:val="007B4928"/>
    <w:rsid w:val="007B5414"/>
    <w:rsid w:val="007B5ACD"/>
    <w:rsid w:val="007B5BBB"/>
    <w:rsid w:val="007B70FE"/>
    <w:rsid w:val="007C1A20"/>
    <w:rsid w:val="007C2832"/>
    <w:rsid w:val="007C4498"/>
    <w:rsid w:val="007C5914"/>
    <w:rsid w:val="007C6935"/>
    <w:rsid w:val="007C6E29"/>
    <w:rsid w:val="007C7EE1"/>
    <w:rsid w:val="007D09A4"/>
    <w:rsid w:val="007D189B"/>
    <w:rsid w:val="007D2D6E"/>
    <w:rsid w:val="007D321C"/>
    <w:rsid w:val="007D377F"/>
    <w:rsid w:val="007D44FE"/>
    <w:rsid w:val="007D5E69"/>
    <w:rsid w:val="007D7257"/>
    <w:rsid w:val="007D7F8E"/>
    <w:rsid w:val="007E1DF7"/>
    <w:rsid w:val="007E354A"/>
    <w:rsid w:val="007E3819"/>
    <w:rsid w:val="007E3FB0"/>
    <w:rsid w:val="007E4726"/>
    <w:rsid w:val="007E6205"/>
    <w:rsid w:val="007E7D69"/>
    <w:rsid w:val="007F06BE"/>
    <w:rsid w:val="007F0902"/>
    <w:rsid w:val="007F154B"/>
    <w:rsid w:val="007F1BB3"/>
    <w:rsid w:val="007F2143"/>
    <w:rsid w:val="007F23AF"/>
    <w:rsid w:val="007F3EC9"/>
    <w:rsid w:val="007F3ED4"/>
    <w:rsid w:val="007F4879"/>
    <w:rsid w:val="007F5388"/>
    <w:rsid w:val="007F688E"/>
    <w:rsid w:val="007F6CB9"/>
    <w:rsid w:val="008007FE"/>
    <w:rsid w:val="00800FB9"/>
    <w:rsid w:val="00801215"/>
    <w:rsid w:val="008027FA"/>
    <w:rsid w:val="008029F6"/>
    <w:rsid w:val="00802CC5"/>
    <w:rsid w:val="00802D7B"/>
    <w:rsid w:val="00804CF1"/>
    <w:rsid w:val="00804E1D"/>
    <w:rsid w:val="00805C60"/>
    <w:rsid w:val="00805DFC"/>
    <w:rsid w:val="00811F1D"/>
    <w:rsid w:val="00811F39"/>
    <w:rsid w:val="0081295B"/>
    <w:rsid w:val="00812D1A"/>
    <w:rsid w:val="00813890"/>
    <w:rsid w:val="00813F22"/>
    <w:rsid w:val="0081411A"/>
    <w:rsid w:val="0081444D"/>
    <w:rsid w:val="008153D3"/>
    <w:rsid w:val="00815FB7"/>
    <w:rsid w:val="008203CE"/>
    <w:rsid w:val="00820A8A"/>
    <w:rsid w:val="00821189"/>
    <w:rsid w:val="00821792"/>
    <w:rsid w:val="00822C1C"/>
    <w:rsid w:val="00823944"/>
    <w:rsid w:val="008242DC"/>
    <w:rsid w:val="00825637"/>
    <w:rsid w:val="00827897"/>
    <w:rsid w:val="008305C2"/>
    <w:rsid w:val="00831890"/>
    <w:rsid w:val="008325D5"/>
    <w:rsid w:val="00832F44"/>
    <w:rsid w:val="008333A8"/>
    <w:rsid w:val="008357D3"/>
    <w:rsid w:val="00836CF1"/>
    <w:rsid w:val="00837C8D"/>
    <w:rsid w:val="00840462"/>
    <w:rsid w:val="00840F68"/>
    <w:rsid w:val="00841C38"/>
    <w:rsid w:val="0084301B"/>
    <w:rsid w:val="008431AB"/>
    <w:rsid w:val="008431C3"/>
    <w:rsid w:val="00843553"/>
    <w:rsid w:val="00845F8D"/>
    <w:rsid w:val="008461E2"/>
    <w:rsid w:val="00846B34"/>
    <w:rsid w:val="008472AE"/>
    <w:rsid w:val="00847C88"/>
    <w:rsid w:val="0085182C"/>
    <w:rsid w:val="008539D6"/>
    <w:rsid w:val="00855519"/>
    <w:rsid w:val="00857789"/>
    <w:rsid w:val="0086123D"/>
    <w:rsid w:val="008622E6"/>
    <w:rsid w:val="00863432"/>
    <w:rsid w:val="00863777"/>
    <w:rsid w:val="00864295"/>
    <w:rsid w:val="008648FF"/>
    <w:rsid w:val="0086603D"/>
    <w:rsid w:val="008661CC"/>
    <w:rsid w:val="00866C51"/>
    <w:rsid w:val="00867DF9"/>
    <w:rsid w:val="00871299"/>
    <w:rsid w:val="0087188C"/>
    <w:rsid w:val="00871B0F"/>
    <w:rsid w:val="008735C8"/>
    <w:rsid w:val="00874851"/>
    <w:rsid w:val="00875BD6"/>
    <w:rsid w:val="00876286"/>
    <w:rsid w:val="0087644E"/>
    <w:rsid w:val="008764FB"/>
    <w:rsid w:val="008773D5"/>
    <w:rsid w:val="0088052F"/>
    <w:rsid w:val="00880966"/>
    <w:rsid w:val="00880D0B"/>
    <w:rsid w:val="00880D7B"/>
    <w:rsid w:val="0088344A"/>
    <w:rsid w:val="00884F17"/>
    <w:rsid w:val="00885135"/>
    <w:rsid w:val="008858DF"/>
    <w:rsid w:val="00887C5C"/>
    <w:rsid w:val="008904EE"/>
    <w:rsid w:val="008913D8"/>
    <w:rsid w:val="00891FF8"/>
    <w:rsid w:val="0089391F"/>
    <w:rsid w:val="00893C09"/>
    <w:rsid w:val="00894D16"/>
    <w:rsid w:val="00894DCB"/>
    <w:rsid w:val="00896886"/>
    <w:rsid w:val="00896AB4"/>
    <w:rsid w:val="0089777F"/>
    <w:rsid w:val="008A3B39"/>
    <w:rsid w:val="008A3BE2"/>
    <w:rsid w:val="008A42DE"/>
    <w:rsid w:val="008A4819"/>
    <w:rsid w:val="008A4AF2"/>
    <w:rsid w:val="008A5969"/>
    <w:rsid w:val="008A5DF9"/>
    <w:rsid w:val="008A67A0"/>
    <w:rsid w:val="008B06CF"/>
    <w:rsid w:val="008B148D"/>
    <w:rsid w:val="008B270E"/>
    <w:rsid w:val="008B2B4E"/>
    <w:rsid w:val="008B2B7C"/>
    <w:rsid w:val="008B2D4C"/>
    <w:rsid w:val="008B483E"/>
    <w:rsid w:val="008B5045"/>
    <w:rsid w:val="008B56A6"/>
    <w:rsid w:val="008B6E08"/>
    <w:rsid w:val="008C08C7"/>
    <w:rsid w:val="008C0FFA"/>
    <w:rsid w:val="008C2DF0"/>
    <w:rsid w:val="008C38E4"/>
    <w:rsid w:val="008C3B65"/>
    <w:rsid w:val="008C3F00"/>
    <w:rsid w:val="008C4178"/>
    <w:rsid w:val="008C485C"/>
    <w:rsid w:val="008C49BD"/>
    <w:rsid w:val="008C4D94"/>
    <w:rsid w:val="008C570E"/>
    <w:rsid w:val="008C593C"/>
    <w:rsid w:val="008C5D43"/>
    <w:rsid w:val="008C6BFF"/>
    <w:rsid w:val="008C6C5C"/>
    <w:rsid w:val="008C6D49"/>
    <w:rsid w:val="008C70C3"/>
    <w:rsid w:val="008C77AB"/>
    <w:rsid w:val="008D162A"/>
    <w:rsid w:val="008D2249"/>
    <w:rsid w:val="008D2670"/>
    <w:rsid w:val="008D2756"/>
    <w:rsid w:val="008D2A91"/>
    <w:rsid w:val="008D3E49"/>
    <w:rsid w:val="008D433E"/>
    <w:rsid w:val="008D436F"/>
    <w:rsid w:val="008D4607"/>
    <w:rsid w:val="008D58F9"/>
    <w:rsid w:val="008D5D87"/>
    <w:rsid w:val="008D6214"/>
    <w:rsid w:val="008D6C44"/>
    <w:rsid w:val="008E0B77"/>
    <w:rsid w:val="008E0ED1"/>
    <w:rsid w:val="008E129E"/>
    <w:rsid w:val="008E146D"/>
    <w:rsid w:val="008E21DA"/>
    <w:rsid w:val="008E24BA"/>
    <w:rsid w:val="008E33B9"/>
    <w:rsid w:val="008E3E89"/>
    <w:rsid w:val="008E44D1"/>
    <w:rsid w:val="008E4822"/>
    <w:rsid w:val="008E4E58"/>
    <w:rsid w:val="008E4E5C"/>
    <w:rsid w:val="008E5431"/>
    <w:rsid w:val="008E57CD"/>
    <w:rsid w:val="008E6414"/>
    <w:rsid w:val="008E6434"/>
    <w:rsid w:val="008F0DB3"/>
    <w:rsid w:val="008F1CC7"/>
    <w:rsid w:val="008F3534"/>
    <w:rsid w:val="008F4D35"/>
    <w:rsid w:val="008F61EE"/>
    <w:rsid w:val="008F637E"/>
    <w:rsid w:val="008F6642"/>
    <w:rsid w:val="008F7FA8"/>
    <w:rsid w:val="00900B08"/>
    <w:rsid w:val="00901F86"/>
    <w:rsid w:val="00903659"/>
    <w:rsid w:val="0090459B"/>
    <w:rsid w:val="00904E24"/>
    <w:rsid w:val="00904E6B"/>
    <w:rsid w:val="009050F0"/>
    <w:rsid w:val="0090521C"/>
    <w:rsid w:val="00905490"/>
    <w:rsid w:val="00905E22"/>
    <w:rsid w:val="00905F16"/>
    <w:rsid w:val="00907557"/>
    <w:rsid w:val="00911D10"/>
    <w:rsid w:val="00913789"/>
    <w:rsid w:val="00914B07"/>
    <w:rsid w:val="00915DE1"/>
    <w:rsid w:val="009160B9"/>
    <w:rsid w:val="009214EA"/>
    <w:rsid w:val="009218AB"/>
    <w:rsid w:val="00922107"/>
    <w:rsid w:val="00923415"/>
    <w:rsid w:val="009238D6"/>
    <w:rsid w:val="00924787"/>
    <w:rsid w:val="00926957"/>
    <w:rsid w:val="00927C8F"/>
    <w:rsid w:val="00930E68"/>
    <w:rsid w:val="009311D9"/>
    <w:rsid w:val="00934F50"/>
    <w:rsid w:val="009354C9"/>
    <w:rsid w:val="00940924"/>
    <w:rsid w:val="009414AA"/>
    <w:rsid w:val="00942509"/>
    <w:rsid w:val="009437F8"/>
    <w:rsid w:val="00943846"/>
    <w:rsid w:val="00943B7D"/>
    <w:rsid w:val="00943BFE"/>
    <w:rsid w:val="0094436E"/>
    <w:rsid w:val="009445CD"/>
    <w:rsid w:val="009448E7"/>
    <w:rsid w:val="00944D2C"/>
    <w:rsid w:val="00945378"/>
    <w:rsid w:val="009460CC"/>
    <w:rsid w:val="009464E2"/>
    <w:rsid w:val="00946EAF"/>
    <w:rsid w:val="009518A1"/>
    <w:rsid w:val="00951979"/>
    <w:rsid w:val="00952705"/>
    <w:rsid w:val="00953828"/>
    <w:rsid w:val="00954B9B"/>
    <w:rsid w:val="00960161"/>
    <w:rsid w:val="00962556"/>
    <w:rsid w:val="0096269E"/>
    <w:rsid w:val="00963275"/>
    <w:rsid w:val="00964BD6"/>
    <w:rsid w:val="009657CD"/>
    <w:rsid w:val="00965BBD"/>
    <w:rsid w:val="009668E1"/>
    <w:rsid w:val="009677BD"/>
    <w:rsid w:val="00972C56"/>
    <w:rsid w:val="009738E3"/>
    <w:rsid w:val="00974954"/>
    <w:rsid w:val="00974A0F"/>
    <w:rsid w:val="00976746"/>
    <w:rsid w:val="00977A16"/>
    <w:rsid w:val="00977DDE"/>
    <w:rsid w:val="0098080D"/>
    <w:rsid w:val="00980F2B"/>
    <w:rsid w:val="00980F9A"/>
    <w:rsid w:val="009817E1"/>
    <w:rsid w:val="00981CDF"/>
    <w:rsid w:val="00982829"/>
    <w:rsid w:val="00982B58"/>
    <w:rsid w:val="00985061"/>
    <w:rsid w:val="00985787"/>
    <w:rsid w:val="00985A2C"/>
    <w:rsid w:val="00985DBF"/>
    <w:rsid w:val="00987564"/>
    <w:rsid w:val="00987FC5"/>
    <w:rsid w:val="0099236D"/>
    <w:rsid w:val="00992BE0"/>
    <w:rsid w:val="0099318F"/>
    <w:rsid w:val="00993D86"/>
    <w:rsid w:val="00993ECD"/>
    <w:rsid w:val="00996A6C"/>
    <w:rsid w:val="00996C8C"/>
    <w:rsid w:val="00996D69"/>
    <w:rsid w:val="00997498"/>
    <w:rsid w:val="009976F1"/>
    <w:rsid w:val="009A112F"/>
    <w:rsid w:val="009A3158"/>
    <w:rsid w:val="009A383D"/>
    <w:rsid w:val="009A3AD6"/>
    <w:rsid w:val="009A42B8"/>
    <w:rsid w:val="009A5046"/>
    <w:rsid w:val="009A527F"/>
    <w:rsid w:val="009A54C8"/>
    <w:rsid w:val="009A556F"/>
    <w:rsid w:val="009A5575"/>
    <w:rsid w:val="009B0B0F"/>
    <w:rsid w:val="009B0E0A"/>
    <w:rsid w:val="009B1A1C"/>
    <w:rsid w:val="009B1AD8"/>
    <w:rsid w:val="009B226C"/>
    <w:rsid w:val="009B347E"/>
    <w:rsid w:val="009B3563"/>
    <w:rsid w:val="009B387A"/>
    <w:rsid w:val="009B49E2"/>
    <w:rsid w:val="009B5A8B"/>
    <w:rsid w:val="009B5F3C"/>
    <w:rsid w:val="009B7489"/>
    <w:rsid w:val="009B7972"/>
    <w:rsid w:val="009B7CCF"/>
    <w:rsid w:val="009C00F8"/>
    <w:rsid w:val="009C10AA"/>
    <w:rsid w:val="009C1D18"/>
    <w:rsid w:val="009C2EE6"/>
    <w:rsid w:val="009C37EE"/>
    <w:rsid w:val="009C3839"/>
    <w:rsid w:val="009C3944"/>
    <w:rsid w:val="009C4CBA"/>
    <w:rsid w:val="009C4F03"/>
    <w:rsid w:val="009C5149"/>
    <w:rsid w:val="009D0D8D"/>
    <w:rsid w:val="009D1689"/>
    <w:rsid w:val="009D1C2B"/>
    <w:rsid w:val="009D1C89"/>
    <w:rsid w:val="009D2348"/>
    <w:rsid w:val="009D27E9"/>
    <w:rsid w:val="009D2F98"/>
    <w:rsid w:val="009D385E"/>
    <w:rsid w:val="009D47EF"/>
    <w:rsid w:val="009D6A12"/>
    <w:rsid w:val="009E0FF3"/>
    <w:rsid w:val="009E199B"/>
    <w:rsid w:val="009E1CFD"/>
    <w:rsid w:val="009E1F67"/>
    <w:rsid w:val="009E2597"/>
    <w:rsid w:val="009E39CA"/>
    <w:rsid w:val="009E3D78"/>
    <w:rsid w:val="009E3F80"/>
    <w:rsid w:val="009E6861"/>
    <w:rsid w:val="009E6898"/>
    <w:rsid w:val="009E749E"/>
    <w:rsid w:val="009F00DE"/>
    <w:rsid w:val="009F25E3"/>
    <w:rsid w:val="009F42FF"/>
    <w:rsid w:val="009F49FB"/>
    <w:rsid w:val="009F4F48"/>
    <w:rsid w:val="009F5120"/>
    <w:rsid w:val="009F595F"/>
    <w:rsid w:val="009F60BA"/>
    <w:rsid w:val="009F6229"/>
    <w:rsid w:val="009F7950"/>
    <w:rsid w:val="00A00F41"/>
    <w:rsid w:val="00A0180B"/>
    <w:rsid w:val="00A01A0F"/>
    <w:rsid w:val="00A01C42"/>
    <w:rsid w:val="00A0293E"/>
    <w:rsid w:val="00A0374C"/>
    <w:rsid w:val="00A03F4F"/>
    <w:rsid w:val="00A069A1"/>
    <w:rsid w:val="00A07247"/>
    <w:rsid w:val="00A11285"/>
    <w:rsid w:val="00A119BB"/>
    <w:rsid w:val="00A11A5D"/>
    <w:rsid w:val="00A11D8B"/>
    <w:rsid w:val="00A121C8"/>
    <w:rsid w:val="00A127AB"/>
    <w:rsid w:val="00A12C2E"/>
    <w:rsid w:val="00A131C2"/>
    <w:rsid w:val="00A137F6"/>
    <w:rsid w:val="00A13956"/>
    <w:rsid w:val="00A141E1"/>
    <w:rsid w:val="00A14822"/>
    <w:rsid w:val="00A14DC2"/>
    <w:rsid w:val="00A1533E"/>
    <w:rsid w:val="00A15458"/>
    <w:rsid w:val="00A16EED"/>
    <w:rsid w:val="00A17363"/>
    <w:rsid w:val="00A20525"/>
    <w:rsid w:val="00A21061"/>
    <w:rsid w:val="00A21897"/>
    <w:rsid w:val="00A22448"/>
    <w:rsid w:val="00A2495E"/>
    <w:rsid w:val="00A24D3E"/>
    <w:rsid w:val="00A26A27"/>
    <w:rsid w:val="00A2724C"/>
    <w:rsid w:val="00A27B33"/>
    <w:rsid w:val="00A30333"/>
    <w:rsid w:val="00A31817"/>
    <w:rsid w:val="00A3195B"/>
    <w:rsid w:val="00A31CAC"/>
    <w:rsid w:val="00A33DB5"/>
    <w:rsid w:val="00A3405C"/>
    <w:rsid w:val="00A3482A"/>
    <w:rsid w:val="00A379B4"/>
    <w:rsid w:val="00A37A58"/>
    <w:rsid w:val="00A37A7F"/>
    <w:rsid w:val="00A37F0B"/>
    <w:rsid w:val="00A400B7"/>
    <w:rsid w:val="00A40823"/>
    <w:rsid w:val="00A417D6"/>
    <w:rsid w:val="00A41A30"/>
    <w:rsid w:val="00A43E51"/>
    <w:rsid w:val="00A44931"/>
    <w:rsid w:val="00A454E5"/>
    <w:rsid w:val="00A4741A"/>
    <w:rsid w:val="00A5056E"/>
    <w:rsid w:val="00A50B4E"/>
    <w:rsid w:val="00A52240"/>
    <w:rsid w:val="00A52785"/>
    <w:rsid w:val="00A52A86"/>
    <w:rsid w:val="00A52FCA"/>
    <w:rsid w:val="00A5378E"/>
    <w:rsid w:val="00A53842"/>
    <w:rsid w:val="00A53B8A"/>
    <w:rsid w:val="00A563C0"/>
    <w:rsid w:val="00A57634"/>
    <w:rsid w:val="00A577E9"/>
    <w:rsid w:val="00A61263"/>
    <w:rsid w:val="00A62BF2"/>
    <w:rsid w:val="00A634C7"/>
    <w:rsid w:val="00A6480D"/>
    <w:rsid w:val="00A64E71"/>
    <w:rsid w:val="00A651C1"/>
    <w:rsid w:val="00A66B26"/>
    <w:rsid w:val="00A67288"/>
    <w:rsid w:val="00A701C9"/>
    <w:rsid w:val="00A7045D"/>
    <w:rsid w:val="00A718B0"/>
    <w:rsid w:val="00A71B80"/>
    <w:rsid w:val="00A7278D"/>
    <w:rsid w:val="00A7366F"/>
    <w:rsid w:val="00A742B9"/>
    <w:rsid w:val="00A752C8"/>
    <w:rsid w:val="00A76F0B"/>
    <w:rsid w:val="00A77835"/>
    <w:rsid w:val="00A80207"/>
    <w:rsid w:val="00A81222"/>
    <w:rsid w:val="00A83E63"/>
    <w:rsid w:val="00A8413F"/>
    <w:rsid w:val="00A8464A"/>
    <w:rsid w:val="00A84A30"/>
    <w:rsid w:val="00A85548"/>
    <w:rsid w:val="00A868E4"/>
    <w:rsid w:val="00A86CAC"/>
    <w:rsid w:val="00A87029"/>
    <w:rsid w:val="00A90419"/>
    <w:rsid w:val="00A90966"/>
    <w:rsid w:val="00A90BEC"/>
    <w:rsid w:val="00A9250C"/>
    <w:rsid w:val="00A9290C"/>
    <w:rsid w:val="00A9339B"/>
    <w:rsid w:val="00A93E2D"/>
    <w:rsid w:val="00A94B16"/>
    <w:rsid w:val="00A965DA"/>
    <w:rsid w:val="00A9758C"/>
    <w:rsid w:val="00A97999"/>
    <w:rsid w:val="00A97EF3"/>
    <w:rsid w:val="00AA03CE"/>
    <w:rsid w:val="00AA0EEA"/>
    <w:rsid w:val="00AA1A51"/>
    <w:rsid w:val="00AA1C3C"/>
    <w:rsid w:val="00AA1F16"/>
    <w:rsid w:val="00AA1FA6"/>
    <w:rsid w:val="00AA2408"/>
    <w:rsid w:val="00AA2622"/>
    <w:rsid w:val="00AA4203"/>
    <w:rsid w:val="00AA53BE"/>
    <w:rsid w:val="00AA5B68"/>
    <w:rsid w:val="00AA621C"/>
    <w:rsid w:val="00AA7334"/>
    <w:rsid w:val="00AB02F1"/>
    <w:rsid w:val="00AB3BAC"/>
    <w:rsid w:val="00AB46C3"/>
    <w:rsid w:val="00AB4B08"/>
    <w:rsid w:val="00AB541B"/>
    <w:rsid w:val="00AB57E9"/>
    <w:rsid w:val="00AB6473"/>
    <w:rsid w:val="00AB651D"/>
    <w:rsid w:val="00AB75D1"/>
    <w:rsid w:val="00AB7A05"/>
    <w:rsid w:val="00AB7D00"/>
    <w:rsid w:val="00AC0207"/>
    <w:rsid w:val="00AC28F8"/>
    <w:rsid w:val="00AC3166"/>
    <w:rsid w:val="00AC3547"/>
    <w:rsid w:val="00AC44CC"/>
    <w:rsid w:val="00AC4535"/>
    <w:rsid w:val="00AC5185"/>
    <w:rsid w:val="00AC5B51"/>
    <w:rsid w:val="00AC5C92"/>
    <w:rsid w:val="00AC634D"/>
    <w:rsid w:val="00AC68BB"/>
    <w:rsid w:val="00AC6B58"/>
    <w:rsid w:val="00AC757D"/>
    <w:rsid w:val="00AC7C62"/>
    <w:rsid w:val="00AC7EFE"/>
    <w:rsid w:val="00AD0F26"/>
    <w:rsid w:val="00AD1283"/>
    <w:rsid w:val="00AD2806"/>
    <w:rsid w:val="00AD342D"/>
    <w:rsid w:val="00AD53F4"/>
    <w:rsid w:val="00AD6AD4"/>
    <w:rsid w:val="00AD7B6A"/>
    <w:rsid w:val="00AE069F"/>
    <w:rsid w:val="00AE0CF1"/>
    <w:rsid w:val="00AE0DE4"/>
    <w:rsid w:val="00AE1C37"/>
    <w:rsid w:val="00AE2688"/>
    <w:rsid w:val="00AE32E0"/>
    <w:rsid w:val="00AE334A"/>
    <w:rsid w:val="00AE35FA"/>
    <w:rsid w:val="00AE37DF"/>
    <w:rsid w:val="00AE3EDF"/>
    <w:rsid w:val="00AE4AAE"/>
    <w:rsid w:val="00AE4E60"/>
    <w:rsid w:val="00AE50DE"/>
    <w:rsid w:val="00AE6569"/>
    <w:rsid w:val="00AE786F"/>
    <w:rsid w:val="00AF0BDE"/>
    <w:rsid w:val="00AF129D"/>
    <w:rsid w:val="00AF22F3"/>
    <w:rsid w:val="00AF35C1"/>
    <w:rsid w:val="00AF36E6"/>
    <w:rsid w:val="00AF41FA"/>
    <w:rsid w:val="00AF42AA"/>
    <w:rsid w:val="00AF4F72"/>
    <w:rsid w:val="00AF6B52"/>
    <w:rsid w:val="00AF784E"/>
    <w:rsid w:val="00AF7EBF"/>
    <w:rsid w:val="00AF7FA2"/>
    <w:rsid w:val="00B00A53"/>
    <w:rsid w:val="00B01D51"/>
    <w:rsid w:val="00B01F44"/>
    <w:rsid w:val="00B0399A"/>
    <w:rsid w:val="00B04179"/>
    <w:rsid w:val="00B0458B"/>
    <w:rsid w:val="00B04A35"/>
    <w:rsid w:val="00B04D18"/>
    <w:rsid w:val="00B06A45"/>
    <w:rsid w:val="00B10142"/>
    <w:rsid w:val="00B10657"/>
    <w:rsid w:val="00B106A3"/>
    <w:rsid w:val="00B11521"/>
    <w:rsid w:val="00B129B1"/>
    <w:rsid w:val="00B1342E"/>
    <w:rsid w:val="00B1418C"/>
    <w:rsid w:val="00B14468"/>
    <w:rsid w:val="00B14B73"/>
    <w:rsid w:val="00B161BC"/>
    <w:rsid w:val="00B16B02"/>
    <w:rsid w:val="00B17E4E"/>
    <w:rsid w:val="00B21212"/>
    <w:rsid w:val="00B22292"/>
    <w:rsid w:val="00B23D9E"/>
    <w:rsid w:val="00B24E11"/>
    <w:rsid w:val="00B25D25"/>
    <w:rsid w:val="00B26974"/>
    <w:rsid w:val="00B26D58"/>
    <w:rsid w:val="00B27992"/>
    <w:rsid w:val="00B31781"/>
    <w:rsid w:val="00B321FA"/>
    <w:rsid w:val="00B326C6"/>
    <w:rsid w:val="00B32A69"/>
    <w:rsid w:val="00B32E01"/>
    <w:rsid w:val="00B35581"/>
    <w:rsid w:val="00B357BA"/>
    <w:rsid w:val="00B35939"/>
    <w:rsid w:val="00B3771A"/>
    <w:rsid w:val="00B37B39"/>
    <w:rsid w:val="00B37F84"/>
    <w:rsid w:val="00B40043"/>
    <w:rsid w:val="00B40C32"/>
    <w:rsid w:val="00B419C1"/>
    <w:rsid w:val="00B4302F"/>
    <w:rsid w:val="00B43211"/>
    <w:rsid w:val="00B435EC"/>
    <w:rsid w:val="00B4406B"/>
    <w:rsid w:val="00B44765"/>
    <w:rsid w:val="00B448C7"/>
    <w:rsid w:val="00B45727"/>
    <w:rsid w:val="00B4773E"/>
    <w:rsid w:val="00B5643E"/>
    <w:rsid w:val="00B56946"/>
    <w:rsid w:val="00B569AB"/>
    <w:rsid w:val="00B569D9"/>
    <w:rsid w:val="00B579DE"/>
    <w:rsid w:val="00B609B4"/>
    <w:rsid w:val="00B60E61"/>
    <w:rsid w:val="00B624D1"/>
    <w:rsid w:val="00B63091"/>
    <w:rsid w:val="00B6362E"/>
    <w:rsid w:val="00B63910"/>
    <w:rsid w:val="00B63CD5"/>
    <w:rsid w:val="00B642A9"/>
    <w:rsid w:val="00B65A3B"/>
    <w:rsid w:val="00B66EF2"/>
    <w:rsid w:val="00B7075F"/>
    <w:rsid w:val="00B70A88"/>
    <w:rsid w:val="00B7269C"/>
    <w:rsid w:val="00B7326F"/>
    <w:rsid w:val="00B7351B"/>
    <w:rsid w:val="00B743A0"/>
    <w:rsid w:val="00B74669"/>
    <w:rsid w:val="00B74A54"/>
    <w:rsid w:val="00B75E02"/>
    <w:rsid w:val="00B7656D"/>
    <w:rsid w:val="00B76D49"/>
    <w:rsid w:val="00B771C3"/>
    <w:rsid w:val="00B83288"/>
    <w:rsid w:val="00B8351C"/>
    <w:rsid w:val="00B839CC"/>
    <w:rsid w:val="00B84E81"/>
    <w:rsid w:val="00B8501C"/>
    <w:rsid w:val="00B86642"/>
    <w:rsid w:val="00B86828"/>
    <w:rsid w:val="00B86C5A"/>
    <w:rsid w:val="00B877AF"/>
    <w:rsid w:val="00B879E7"/>
    <w:rsid w:val="00B919D1"/>
    <w:rsid w:val="00B91D1E"/>
    <w:rsid w:val="00B923C5"/>
    <w:rsid w:val="00B926DE"/>
    <w:rsid w:val="00B93E95"/>
    <w:rsid w:val="00B942B0"/>
    <w:rsid w:val="00B94A99"/>
    <w:rsid w:val="00B94C31"/>
    <w:rsid w:val="00B95205"/>
    <w:rsid w:val="00B9561F"/>
    <w:rsid w:val="00B95B9B"/>
    <w:rsid w:val="00B96215"/>
    <w:rsid w:val="00B9652D"/>
    <w:rsid w:val="00B96D22"/>
    <w:rsid w:val="00BA0534"/>
    <w:rsid w:val="00BA05A5"/>
    <w:rsid w:val="00BA1540"/>
    <w:rsid w:val="00BA21E2"/>
    <w:rsid w:val="00BA4999"/>
    <w:rsid w:val="00BA4FC8"/>
    <w:rsid w:val="00BA5265"/>
    <w:rsid w:val="00BA53FB"/>
    <w:rsid w:val="00BA5420"/>
    <w:rsid w:val="00BA5E8B"/>
    <w:rsid w:val="00BB2018"/>
    <w:rsid w:val="00BB253B"/>
    <w:rsid w:val="00BB26A3"/>
    <w:rsid w:val="00BB2C57"/>
    <w:rsid w:val="00BB2E0C"/>
    <w:rsid w:val="00BB3684"/>
    <w:rsid w:val="00BB5533"/>
    <w:rsid w:val="00BB57B6"/>
    <w:rsid w:val="00BC1ED6"/>
    <w:rsid w:val="00BC2365"/>
    <w:rsid w:val="00BC367F"/>
    <w:rsid w:val="00BC3935"/>
    <w:rsid w:val="00BC3A7A"/>
    <w:rsid w:val="00BC63B4"/>
    <w:rsid w:val="00BC67C1"/>
    <w:rsid w:val="00BC6C0E"/>
    <w:rsid w:val="00BC73FE"/>
    <w:rsid w:val="00BD11B7"/>
    <w:rsid w:val="00BD14ED"/>
    <w:rsid w:val="00BD175B"/>
    <w:rsid w:val="00BD1C84"/>
    <w:rsid w:val="00BD1CCE"/>
    <w:rsid w:val="00BD1E0F"/>
    <w:rsid w:val="00BD1E5D"/>
    <w:rsid w:val="00BD244E"/>
    <w:rsid w:val="00BD288A"/>
    <w:rsid w:val="00BD30A4"/>
    <w:rsid w:val="00BD3A91"/>
    <w:rsid w:val="00BD43A7"/>
    <w:rsid w:val="00BD5EF8"/>
    <w:rsid w:val="00BD6752"/>
    <w:rsid w:val="00BD70D2"/>
    <w:rsid w:val="00BE0151"/>
    <w:rsid w:val="00BE1002"/>
    <w:rsid w:val="00BE21F2"/>
    <w:rsid w:val="00BE2C34"/>
    <w:rsid w:val="00BE2C96"/>
    <w:rsid w:val="00BE3073"/>
    <w:rsid w:val="00BE4B80"/>
    <w:rsid w:val="00BE5598"/>
    <w:rsid w:val="00BE5B31"/>
    <w:rsid w:val="00BE7077"/>
    <w:rsid w:val="00BF016D"/>
    <w:rsid w:val="00BF21C6"/>
    <w:rsid w:val="00BF3273"/>
    <w:rsid w:val="00BF33A9"/>
    <w:rsid w:val="00BF3589"/>
    <w:rsid w:val="00BF5FB4"/>
    <w:rsid w:val="00C00040"/>
    <w:rsid w:val="00C00671"/>
    <w:rsid w:val="00C0085D"/>
    <w:rsid w:val="00C02CB3"/>
    <w:rsid w:val="00C02EDF"/>
    <w:rsid w:val="00C02FFB"/>
    <w:rsid w:val="00C04027"/>
    <w:rsid w:val="00C042D8"/>
    <w:rsid w:val="00C04488"/>
    <w:rsid w:val="00C05FB7"/>
    <w:rsid w:val="00C06382"/>
    <w:rsid w:val="00C06611"/>
    <w:rsid w:val="00C07B6E"/>
    <w:rsid w:val="00C07C3D"/>
    <w:rsid w:val="00C10386"/>
    <w:rsid w:val="00C104A2"/>
    <w:rsid w:val="00C10B54"/>
    <w:rsid w:val="00C124C7"/>
    <w:rsid w:val="00C12750"/>
    <w:rsid w:val="00C14546"/>
    <w:rsid w:val="00C165F5"/>
    <w:rsid w:val="00C16CE8"/>
    <w:rsid w:val="00C16F9D"/>
    <w:rsid w:val="00C22BA8"/>
    <w:rsid w:val="00C243BF"/>
    <w:rsid w:val="00C25750"/>
    <w:rsid w:val="00C27EAD"/>
    <w:rsid w:val="00C31231"/>
    <w:rsid w:val="00C317DF"/>
    <w:rsid w:val="00C3235D"/>
    <w:rsid w:val="00C3270C"/>
    <w:rsid w:val="00C32B50"/>
    <w:rsid w:val="00C34A66"/>
    <w:rsid w:val="00C3593D"/>
    <w:rsid w:val="00C36A8C"/>
    <w:rsid w:val="00C36DEC"/>
    <w:rsid w:val="00C4145D"/>
    <w:rsid w:val="00C41704"/>
    <w:rsid w:val="00C43F79"/>
    <w:rsid w:val="00C443D1"/>
    <w:rsid w:val="00C446C5"/>
    <w:rsid w:val="00C45826"/>
    <w:rsid w:val="00C509BE"/>
    <w:rsid w:val="00C52338"/>
    <w:rsid w:val="00C53571"/>
    <w:rsid w:val="00C53C6D"/>
    <w:rsid w:val="00C53DB4"/>
    <w:rsid w:val="00C54704"/>
    <w:rsid w:val="00C55292"/>
    <w:rsid w:val="00C552AC"/>
    <w:rsid w:val="00C556D8"/>
    <w:rsid w:val="00C60E4F"/>
    <w:rsid w:val="00C60FE1"/>
    <w:rsid w:val="00C6168E"/>
    <w:rsid w:val="00C619C2"/>
    <w:rsid w:val="00C62F20"/>
    <w:rsid w:val="00C649D1"/>
    <w:rsid w:val="00C65666"/>
    <w:rsid w:val="00C65B60"/>
    <w:rsid w:val="00C65CFD"/>
    <w:rsid w:val="00C66577"/>
    <w:rsid w:val="00C674A5"/>
    <w:rsid w:val="00C70FE3"/>
    <w:rsid w:val="00C71368"/>
    <w:rsid w:val="00C76C86"/>
    <w:rsid w:val="00C77467"/>
    <w:rsid w:val="00C778ED"/>
    <w:rsid w:val="00C77E6D"/>
    <w:rsid w:val="00C80998"/>
    <w:rsid w:val="00C8139E"/>
    <w:rsid w:val="00C81E9C"/>
    <w:rsid w:val="00C82309"/>
    <w:rsid w:val="00C8329D"/>
    <w:rsid w:val="00C851A1"/>
    <w:rsid w:val="00C8532F"/>
    <w:rsid w:val="00C85CA6"/>
    <w:rsid w:val="00C86016"/>
    <w:rsid w:val="00C86AE3"/>
    <w:rsid w:val="00C9298C"/>
    <w:rsid w:val="00C94233"/>
    <w:rsid w:val="00C96755"/>
    <w:rsid w:val="00C97D3F"/>
    <w:rsid w:val="00CA0F20"/>
    <w:rsid w:val="00CA2A2D"/>
    <w:rsid w:val="00CA4635"/>
    <w:rsid w:val="00CA4F24"/>
    <w:rsid w:val="00CA6069"/>
    <w:rsid w:val="00CA6227"/>
    <w:rsid w:val="00CA7C2B"/>
    <w:rsid w:val="00CB30DD"/>
    <w:rsid w:val="00CB5E95"/>
    <w:rsid w:val="00CB66C8"/>
    <w:rsid w:val="00CB70C2"/>
    <w:rsid w:val="00CB7295"/>
    <w:rsid w:val="00CB77DA"/>
    <w:rsid w:val="00CC044D"/>
    <w:rsid w:val="00CC0BD1"/>
    <w:rsid w:val="00CC0C71"/>
    <w:rsid w:val="00CC1388"/>
    <w:rsid w:val="00CC2292"/>
    <w:rsid w:val="00CC2CAF"/>
    <w:rsid w:val="00CC2EC9"/>
    <w:rsid w:val="00CC3669"/>
    <w:rsid w:val="00CC3ABF"/>
    <w:rsid w:val="00CC5C7A"/>
    <w:rsid w:val="00CC79D0"/>
    <w:rsid w:val="00CD09F0"/>
    <w:rsid w:val="00CD4D28"/>
    <w:rsid w:val="00CD56DB"/>
    <w:rsid w:val="00CD6010"/>
    <w:rsid w:val="00CD640E"/>
    <w:rsid w:val="00CD697E"/>
    <w:rsid w:val="00CE0E14"/>
    <w:rsid w:val="00CE1B72"/>
    <w:rsid w:val="00CE1E4C"/>
    <w:rsid w:val="00CE271E"/>
    <w:rsid w:val="00CE2CB6"/>
    <w:rsid w:val="00CE3CFB"/>
    <w:rsid w:val="00CE3DE2"/>
    <w:rsid w:val="00CE4A0E"/>
    <w:rsid w:val="00CE4A69"/>
    <w:rsid w:val="00CE51F3"/>
    <w:rsid w:val="00CE54A8"/>
    <w:rsid w:val="00CE54E7"/>
    <w:rsid w:val="00CE5801"/>
    <w:rsid w:val="00CE66A3"/>
    <w:rsid w:val="00CE7B3D"/>
    <w:rsid w:val="00CF01D0"/>
    <w:rsid w:val="00CF1F9B"/>
    <w:rsid w:val="00CF23A6"/>
    <w:rsid w:val="00CF4EAF"/>
    <w:rsid w:val="00CF614C"/>
    <w:rsid w:val="00CF7AB3"/>
    <w:rsid w:val="00D004E2"/>
    <w:rsid w:val="00D006DF"/>
    <w:rsid w:val="00D00EBC"/>
    <w:rsid w:val="00D01E2B"/>
    <w:rsid w:val="00D03103"/>
    <w:rsid w:val="00D0556B"/>
    <w:rsid w:val="00D0567E"/>
    <w:rsid w:val="00D059B3"/>
    <w:rsid w:val="00D05E96"/>
    <w:rsid w:val="00D079B6"/>
    <w:rsid w:val="00D10A1D"/>
    <w:rsid w:val="00D10B3C"/>
    <w:rsid w:val="00D10F2D"/>
    <w:rsid w:val="00D11213"/>
    <w:rsid w:val="00D115E6"/>
    <w:rsid w:val="00D11CC2"/>
    <w:rsid w:val="00D13058"/>
    <w:rsid w:val="00D130F0"/>
    <w:rsid w:val="00D133BB"/>
    <w:rsid w:val="00D13570"/>
    <w:rsid w:val="00D1509A"/>
    <w:rsid w:val="00D15661"/>
    <w:rsid w:val="00D16D66"/>
    <w:rsid w:val="00D20863"/>
    <w:rsid w:val="00D21212"/>
    <w:rsid w:val="00D220B1"/>
    <w:rsid w:val="00D2249B"/>
    <w:rsid w:val="00D22602"/>
    <w:rsid w:val="00D22EC3"/>
    <w:rsid w:val="00D231D1"/>
    <w:rsid w:val="00D234F4"/>
    <w:rsid w:val="00D23F14"/>
    <w:rsid w:val="00D242EA"/>
    <w:rsid w:val="00D24BBB"/>
    <w:rsid w:val="00D24CD8"/>
    <w:rsid w:val="00D2564E"/>
    <w:rsid w:val="00D25C40"/>
    <w:rsid w:val="00D26F46"/>
    <w:rsid w:val="00D27243"/>
    <w:rsid w:val="00D273FC"/>
    <w:rsid w:val="00D307B6"/>
    <w:rsid w:val="00D30AEC"/>
    <w:rsid w:val="00D312D1"/>
    <w:rsid w:val="00D313CD"/>
    <w:rsid w:val="00D31594"/>
    <w:rsid w:val="00D31A3F"/>
    <w:rsid w:val="00D31D80"/>
    <w:rsid w:val="00D32016"/>
    <w:rsid w:val="00D325F4"/>
    <w:rsid w:val="00D331C9"/>
    <w:rsid w:val="00D33CF8"/>
    <w:rsid w:val="00D33EAA"/>
    <w:rsid w:val="00D33EBD"/>
    <w:rsid w:val="00D345A2"/>
    <w:rsid w:val="00D35446"/>
    <w:rsid w:val="00D36501"/>
    <w:rsid w:val="00D37B9D"/>
    <w:rsid w:val="00D41116"/>
    <w:rsid w:val="00D41B10"/>
    <w:rsid w:val="00D42406"/>
    <w:rsid w:val="00D42990"/>
    <w:rsid w:val="00D431F3"/>
    <w:rsid w:val="00D43830"/>
    <w:rsid w:val="00D443E9"/>
    <w:rsid w:val="00D44AB9"/>
    <w:rsid w:val="00D45176"/>
    <w:rsid w:val="00D4575A"/>
    <w:rsid w:val="00D46705"/>
    <w:rsid w:val="00D47ACC"/>
    <w:rsid w:val="00D52F3C"/>
    <w:rsid w:val="00D53A97"/>
    <w:rsid w:val="00D55BFE"/>
    <w:rsid w:val="00D55EF3"/>
    <w:rsid w:val="00D5602D"/>
    <w:rsid w:val="00D56849"/>
    <w:rsid w:val="00D60762"/>
    <w:rsid w:val="00D61014"/>
    <w:rsid w:val="00D61188"/>
    <w:rsid w:val="00D61959"/>
    <w:rsid w:val="00D61AED"/>
    <w:rsid w:val="00D6443B"/>
    <w:rsid w:val="00D65846"/>
    <w:rsid w:val="00D658E0"/>
    <w:rsid w:val="00D671FF"/>
    <w:rsid w:val="00D679C1"/>
    <w:rsid w:val="00D67AAA"/>
    <w:rsid w:val="00D7084B"/>
    <w:rsid w:val="00D70FCD"/>
    <w:rsid w:val="00D7107C"/>
    <w:rsid w:val="00D71CA1"/>
    <w:rsid w:val="00D724AF"/>
    <w:rsid w:val="00D72EDB"/>
    <w:rsid w:val="00D7318A"/>
    <w:rsid w:val="00D7323F"/>
    <w:rsid w:val="00D74560"/>
    <w:rsid w:val="00D7461E"/>
    <w:rsid w:val="00D7466D"/>
    <w:rsid w:val="00D74D00"/>
    <w:rsid w:val="00D76701"/>
    <w:rsid w:val="00D76D41"/>
    <w:rsid w:val="00D776A3"/>
    <w:rsid w:val="00D77BD3"/>
    <w:rsid w:val="00D8003E"/>
    <w:rsid w:val="00D8139D"/>
    <w:rsid w:val="00D81677"/>
    <w:rsid w:val="00D82E96"/>
    <w:rsid w:val="00D84BCA"/>
    <w:rsid w:val="00D86084"/>
    <w:rsid w:val="00D86760"/>
    <w:rsid w:val="00D868FD"/>
    <w:rsid w:val="00D903F3"/>
    <w:rsid w:val="00D90D82"/>
    <w:rsid w:val="00D91C08"/>
    <w:rsid w:val="00D91D37"/>
    <w:rsid w:val="00D9323B"/>
    <w:rsid w:val="00D942BC"/>
    <w:rsid w:val="00D947CE"/>
    <w:rsid w:val="00D9590E"/>
    <w:rsid w:val="00D96A15"/>
    <w:rsid w:val="00D96D1F"/>
    <w:rsid w:val="00DA0F78"/>
    <w:rsid w:val="00DA1BB2"/>
    <w:rsid w:val="00DA52F1"/>
    <w:rsid w:val="00DA5520"/>
    <w:rsid w:val="00DA6B4A"/>
    <w:rsid w:val="00DA74D6"/>
    <w:rsid w:val="00DA7E7E"/>
    <w:rsid w:val="00DB04AE"/>
    <w:rsid w:val="00DB08BC"/>
    <w:rsid w:val="00DB2243"/>
    <w:rsid w:val="00DB26B6"/>
    <w:rsid w:val="00DB482D"/>
    <w:rsid w:val="00DB4D3D"/>
    <w:rsid w:val="00DB61BA"/>
    <w:rsid w:val="00DB6B0B"/>
    <w:rsid w:val="00DB6B32"/>
    <w:rsid w:val="00DB6C77"/>
    <w:rsid w:val="00DB7016"/>
    <w:rsid w:val="00DC25B7"/>
    <w:rsid w:val="00DC3005"/>
    <w:rsid w:val="00DC361E"/>
    <w:rsid w:val="00DC42F6"/>
    <w:rsid w:val="00DC4382"/>
    <w:rsid w:val="00DC4C00"/>
    <w:rsid w:val="00DC59D7"/>
    <w:rsid w:val="00DC5CF4"/>
    <w:rsid w:val="00DC66AE"/>
    <w:rsid w:val="00DC6759"/>
    <w:rsid w:val="00DC6CA3"/>
    <w:rsid w:val="00DC7048"/>
    <w:rsid w:val="00DD09F3"/>
    <w:rsid w:val="00DD1E2E"/>
    <w:rsid w:val="00DD2ADF"/>
    <w:rsid w:val="00DD3010"/>
    <w:rsid w:val="00DD4E44"/>
    <w:rsid w:val="00DD51E3"/>
    <w:rsid w:val="00DD560E"/>
    <w:rsid w:val="00DD59CC"/>
    <w:rsid w:val="00DD7B7E"/>
    <w:rsid w:val="00DD7C7A"/>
    <w:rsid w:val="00DE0E88"/>
    <w:rsid w:val="00DE1D27"/>
    <w:rsid w:val="00DE2D28"/>
    <w:rsid w:val="00DE5387"/>
    <w:rsid w:val="00DE5F47"/>
    <w:rsid w:val="00DE6706"/>
    <w:rsid w:val="00DF399A"/>
    <w:rsid w:val="00DF4000"/>
    <w:rsid w:val="00DF5496"/>
    <w:rsid w:val="00DF550F"/>
    <w:rsid w:val="00DF5908"/>
    <w:rsid w:val="00E001DE"/>
    <w:rsid w:val="00E00D6E"/>
    <w:rsid w:val="00E017FF"/>
    <w:rsid w:val="00E0215F"/>
    <w:rsid w:val="00E041D0"/>
    <w:rsid w:val="00E07A8B"/>
    <w:rsid w:val="00E07EE9"/>
    <w:rsid w:val="00E10434"/>
    <w:rsid w:val="00E107BE"/>
    <w:rsid w:val="00E10B4E"/>
    <w:rsid w:val="00E130ED"/>
    <w:rsid w:val="00E131B7"/>
    <w:rsid w:val="00E134B5"/>
    <w:rsid w:val="00E1419C"/>
    <w:rsid w:val="00E14422"/>
    <w:rsid w:val="00E14708"/>
    <w:rsid w:val="00E17EED"/>
    <w:rsid w:val="00E17F88"/>
    <w:rsid w:val="00E20EC9"/>
    <w:rsid w:val="00E20F57"/>
    <w:rsid w:val="00E2220C"/>
    <w:rsid w:val="00E22569"/>
    <w:rsid w:val="00E22EF6"/>
    <w:rsid w:val="00E234E4"/>
    <w:rsid w:val="00E240A3"/>
    <w:rsid w:val="00E247D3"/>
    <w:rsid w:val="00E26E44"/>
    <w:rsid w:val="00E27554"/>
    <w:rsid w:val="00E30D26"/>
    <w:rsid w:val="00E30F47"/>
    <w:rsid w:val="00E31D8A"/>
    <w:rsid w:val="00E32A8F"/>
    <w:rsid w:val="00E33D58"/>
    <w:rsid w:val="00E33FE4"/>
    <w:rsid w:val="00E3754C"/>
    <w:rsid w:val="00E37818"/>
    <w:rsid w:val="00E4017C"/>
    <w:rsid w:val="00E4269B"/>
    <w:rsid w:val="00E43BEC"/>
    <w:rsid w:val="00E44013"/>
    <w:rsid w:val="00E463C3"/>
    <w:rsid w:val="00E46CEC"/>
    <w:rsid w:val="00E46ECA"/>
    <w:rsid w:val="00E500F4"/>
    <w:rsid w:val="00E50AD0"/>
    <w:rsid w:val="00E50CBC"/>
    <w:rsid w:val="00E51528"/>
    <w:rsid w:val="00E520AA"/>
    <w:rsid w:val="00E5390B"/>
    <w:rsid w:val="00E53FE2"/>
    <w:rsid w:val="00E542AB"/>
    <w:rsid w:val="00E549A1"/>
    <w:rsid w:val="00E54F03"/>
    <w:rsid w:val="00E54F22"/>
    <w:rsid w:val="00E55457"/>
    <w:rsid w:val="00E567A5"/>
    <w:rsid w:val="00E61378"/>
    <w:rsid w:val="00E61935"/>
    <w:rsid w:val="00E627EE"/>
    <w:rsid w:val="00E63054"/>
    <w:rsid w:val="00E63CF7"/>
    <w:rsid w:val="00E64142"/>
    <w:rsid w:val="00E6437A"/>
    <w:rsid w:val="00E649AB"/>
    <w:rsid w:val="00E64E34"/>
    <w:rsid w:val="00E66CC6"/>
    <w:rsid w:val="00E671C1"/>
    <w:rsid w:val="00E70145"/>
    <w:rsid w:val="00E70766"/>
    <w:rsid w:val="00E707A2"/>
    <w:rsid w:val="00E70907"/>
    <w:rsid w:val="00E71EFE"/>
    <w:rsid w:val="00E72CCB"/>
    <w:rsid w:val="00E73D72"/>
    <w:rsid w:val="00E74408"/>
    <w:rsid w:val="00E74777"/>
    <w:rsid w:val="00E7581C"/>
    <w:rsid w:val="00E75AE9"/>
    <w:rsid w:val="00E774D5"/>
    <w:rsid w:val="00E776D5"/>
    <w:rsid w:val="00E77D27"/>
    <w:rsid w:val="00E8126D"/>
    <w:rsid w:val="00E81449"/>
    <w:rsid w:val="00E81582"/>
    <w:rsid w:val="00E82773"/>
    <w:rsid w:val="00E82A8E"/>
    <w:rsid w:val="00E83A5B"/>
    <w:rsid w:val="00E855D3"/>
    <w:rsid w:val="00E8648A"/>
    <w:rsid w:val="00E900B8"/>
    <w:rsid w:val="00E906CB"/>
    <w:rsid w:val="00E90BBC"/>
    <w:rsid w:val="00E912EC"/>
    <w:rsid w:val="00E930C0"/>
    <w:rsid w:val="00E95B59"/>
    <w:rsid w:val="00E96B15"/>
    <w:rsid w:val="00EA0ABC"/>
    <w:rsid w:val="00EA0C23"/>
    <w:rsid w:val="00EA1297"/>
    <w:rsid w:val="00EA1685"/>
    <w:rsid w:val="00EA2A4C"/>
    <w:rsid w:val="00EA2FD7"/>
    <w:rsid w:val="00EA3A89"/>
    <w:rsid w:val="00EA3CD7"/>
    <w:rsid w:val="00EA4EC0"/>
    <w:rsid w:val="00EA5883"/>
    <w:rsid w:val="00EA5D05"/>
    <w:rsid w:val="00EA7246"/>
    <w:rsid w:val="00EB0206"/>
    <w:rsid w:val="00EB0A99"/>
    <w:rsid w:val="00EB170D"/>
    <w:rsid w:val="00EB2F32"/>
    <w:rsid w:val="00EB38E4"/>
    <w:rsid w:val="00EB6167"/>
    <w:rsid w:val="00EB6FC7"/>
    <w:rsid w:val="00EB7778"/>
    <w:rsid w:val="00EC09D4"/>
    <w:rsid w:val="00EC126E"/>
    <w:rsid w:val="00EC161F"/>
    <w:rsid w:val="00EC1B6A"/>
    <w:rsid w:val="00EC1E0A"/>
    <w:rsid w:val="00EC2CDF"/>
    <w:rsid w:val="00EC300B"/>
    <w:rsid w:val="00EC3BF2"/>
    <w:rsid w:val="00EC4FD0"/>
    <w:rsid w:val="00EC5205"/>
    <w:rsid w:val="00EC5A57"/>
    <w:rsid w:val="00EC6B26"/>
    <w:rsid w:val="00EC7FE4"/>
    <w:rsid w:val="00ED06A6"/>
    <w:rsid w:val="00ED09FD"/>
    <w:rsid w:val="00ED1DF9"/>
    <w:rsid w:val="00ED2365"/>
    <w:rsid w:val="00ED23CC"/>
    <w:rsid w:val="00ED2C26"/>
    <w:rsid w:val="00ED359C"/>
    <w:rsid w:val="00ED3DA1"/>
    <w:rsid w:val="00ED44C8"/>
    <w:rsid w:val="00ED5710"/>
    <w:rsid w:val="00ED612F"/>
    <w:rsid w:val="00ED7316"/>
    <w:rsid w:val="00EE08F9"/>
    <w:rsid w:val="00EE2B09"/>
    <w:rsid w:val="00EE2DF9"/>
    <w:rsid w:val="00EE35B1"/>
    <w:rsid w:val="00EE442C"/>
    <w:rsid w:val="00EE447A"/>
    <w:rsid w:val="00EE555E"/>
    <w:rsid w:val="00EE7896"/>
    <w:rsid w:val="00EF0778"/>
    <w:rsid w:val="00EF19B4"/>
    <w:rsid w:val="00EF1E77"/>
    <w:rsid w:val="00EF2218"/>
    <w:rsid w:val="00EF2E23"/>
    <w:rsid w:val="00EF3708"/>
    <w:rsid w:val="00EF3FEB"/>
    <w:rsid w:val="00EF50CD"/>
    <w:rsid w:val="00EF51E3"/>
    <w:rsid w:val="00EF5B15"/>
    <w:rsid w:val="00EF6019"/>
    <w:rsid w:val="00F00190"/>
    <w:rsid w:val="00F0040F"/>
    <w:rsid w:val="00F0056E"/>
    <w:rsid w:val="00F0149D"/>
    <w:rsid w:val="00F0176F"/>
    <w:rsid w:val="00F02272"/>
    <w:rsid w:val="00F03402"/>
    <w:rsid w:val="00F04008"/>
    <w:rsid w:val="00F048A6"/>
    <w:rsid w:val="00F06D9A"/>
    <w:rsid w:val="00F06DDE"/>
    <w:rsid w:val="00F07F7B"/>
    <w:rsid w:val="00F1121E"/>
    <w:rsid w:val="00F11728"/>
    <w:rsid w:val="00F12F13"/>
    <w:rsid w:val="00F138F0"/>
    <w:rsid w:val="00F13ADB"/>
    <w:rsid w:val="00F140E4"/>
    <w:rsid w:val="00F14D71"/>
    <w:rsid w:val="00F15660"/>
    <w:rsid w:val="00F15EA0"/>
    <w:rsid w:val="00F16A7F"/>
    <w:rsid w:val="00F16BB0"/>
    <w:rsid w:val="00F16ED7"/>
    <w:rsid w:val="00F1745C"/>
    <w:rsid w:val="00F17735"/>
    <w:rsid w:val="00F17ABC"/>
    <w:rsid w:val="00F17D92"/>
    <w:rsid w:val="00F20DE9"/>
    <w:rsid w:val="00F221B2"/>
    <w:rsid w:val="00F229A3"/>
    <w:rsid w:val="00F239A8"/>
    <w:rsid w:val="00F23E51"/>
    <w:rsid w:val="00F24265"/>
    <w:rsid w:val="00F254E2"/>
    <w:rsid w:val="00F25ED0"/>
    <w:rsid w:val="00F25F8F"/>
    <w:rsid w:val="00F26527"/>
    <w:rsid w:val="00F2726F"/>
    <w:rsid w:val="00F308A3"/>
    <w:rsid w:val="00F30F46"/>
    <w:rsid w:val="00F317B9"/>
    <w:rsid w:val="00F31FC5"/>
    <w:rsid w:val="00F32688"/>
    <w:rsid w:val="00F32B58"/>
    <w:rsid w:val="00F3363A"/>
    <w:rsid w:val="00F33A9A"/>
    <w:rsid w:val="00F34077"/>
    <w:rsid w:val="00F34197"/>
    <w:rsid w:val="00F34BCF"/>
    <w:rsid w:val="00F40496"/>
    <w:rsid w:val="00F4199E"/>
    <w:rsid w:val="00F42101"/>
    <w:rsid w:val="00F42B52"/>
    <w:rsid w:val="00F43984"/>
    <w:rsid w:val="00F4568F"/>
    <w:rsid w:val="00F45FF2"/>
    <w:rsid w:val="00F46CD9"/>
    <w:rsid w:val="00F46D0B"/>
    <w:rsid w:val="00F47359"/>
    <w:rsid w:val="00F47554"/>
    <w:rsid w:val="00F478EB"/>
    <w:rsid w:val="00F47A32"/>
    <w:rsid w:val="00F517FA"/>
    <w:rsid w:val="00F53208"/>
    <w:rsid w:val="00F5335C"/>
    <w:rsid w:val="00F53A48"/>
    <w:rsid w:val="00F53C10"/>
    <w:rsid w:val="00F540C6"/>
    <w:rsid w:val="00F54326"/>
    <w:rsid w:val="00F548BF"/>
    <w:rsid w:val="00F555FF"/>
    <w:rsid w:val="00F55F8C"/>
    <w:rsid w:val="00F56414"/>
    <w:rsid w:val="00F567E0"/>
    <w:rsid w:val="00F5727B"/>
    <w:rsid w:val="00F57519"/>
    <w:rsid w:val="00F6054A"/>
    <w:rsid w:val="00F60FF4"/>
    <w:rsid w:val="00F61C67"/>
    <w:rsid w:val="00F6378F"/>
    <w:rsid w:val="00F64845"/>
    <w:rsid w:val="00F64A0E"/>
    <w:rsid w:val="00F66D7C"/>
    <w:rsid w:val="00F711B7"/>
    <w:rsid w:val="00F7189A"/>
    <w:rsid w:val="00F72150"/>
    <w:rsid w:val="00F72AE6"/>
    <w:rsid w:val="00F73AE1"/>
    <w:rsid w:val="00F75352"/>
    <w:rsid w:val="00F7656D"/>
    <w:rsid w:val="00F76E99"/>
    <w:rsid w:val="00F77DD3"/>
    <w:rsid w:val="00F77E6D"/>
    <w:rsid w:val="00F77E76"/>
    <w:rsid w:val="00F81AA5"/>
    <w:rsid w:val="00F82401"/>
    <w:rsid w:val="00F82D79"/>
    <w:rsid w:val="00F8445B"/>
    <w:rsid w:val="00F8485F"/>
    <w:rsid w:val="00F84CCA"/>
    <w:rsid w:val="00F85835"/>
    <w:rsid w:val="00F85A0C"/>
    <w:rsid w:val="00F86D6B"/>
    <w:rsid w:val="00F87038"/>
    <w:rsid w:val="00F90E86"/>
    <w:rsid w:val="00F91002"/>
    <w:rsid w:val="00F922A8"/>
    <w:rsid w:val="00F92711"/>
    <w:rsid w:val="00F941E9"/>
    <w:rsid w:val="00F94A36"/>
    <w:rsid w:val="00F95E5F"/>
    <w:rsid w:val="00F9688D"/>
    <w:rsid w:val="00F968FC"/>
    <w:rsid w:val="00F96AB5"/>
    <w:rsid w:val="00F96DF4"/>
    <w:rsid w:val="00F975DA"/>
    <w:rsid w:val="00FA153F"/>
    <w:rsid w:val="00FA51B3"/>
    <w:rsid w:val="00FA52B9"/>
    <w:rsid w:val="00FA53CA"/>
    <w:rsid w:val="00FA69D8"/>
    <w:rsid w:val="00FA7049"/>
    <w:rsid w:val="00FB0CE5"/>
    <w:rsid w:val="00FB10B3"/>
    <w:rsid w:val="00FB20FE"/>
    <w:rsid w:val="00FB462A"/>
    <w:rsid w:val="00FB5602"/>
    <w:rsid w:val="00FB5CD4"/>
    <w:rsid w:val="00FB5CEF"/>
    <w:rsid w:val="00FB6703"/>
    <w:rsid w:val="00FB67BB"/>
    <w:rsid w:val="00FB6DFA"/>
    <w:rsid w:val="00FB781F"/>
    <w:rsid w:val="00FB7F57"/>
    <w:rsid w:val="00FC0522"/>
    <w:rsid w:val="00FC0FFD"/>
    <w:rsid w:val="00FC261F"/>
    <w:rsid w:val="00FC2960"/>
    <w:rsid w:val="00FC3F53"/>
    <w:rsid w:val="00FC609C"/>
    <w:rsid w:val="00FC63C6"/>
    <w:rsid w:val="00FC6BF1"/>
    <w:rsid w:val="00FC745B"/>
    <w:rsid w:val="00FD1C61"/>
    <w:rsid w:val="00FD2624"/>
    <w:rsid w:val="00FD2963"/>
    <w:rsid w:val="00FD2D04"/>
    <w:rsid w:val="00FD35EC"/>
    <w:rsid w:val="00FD3D4A"/>
    <w:rsid w:val="00FD4A33"/>
    <w:rsid w:val="00FD4F6E"/>
    <w:rsid w:val="00FD53B1"/>
    <w:rsid w:val="00FD70F8"/>
    <w:rsid w:val="00FD7411"/>
    <w:rsid w:val="00FE0711"/>
    <w:rsid w:val="00FE1123"/>
    <w:rsid w:val="00FE2D5E"/>
    <w:rsid w:val="00FE366F"/>
    <w:rsid w:val="00FE47C2"/>
    <w:rsid w:val="00FE6423"/>
    <w:rsid w:val="00FE7B0B"/>
    <w:rsid w:val="00FF02ED"/>
    <w:rsid w:val="00FF0F77"/>
    <w:rsid w:val="00FF1B95"/>
    <w:rsid w:val="00FF20C3"/>
    <w:rsid w:val="00FF24A2"/>
    <w:rsid w:val="00FF2A41"/>
    <w:rsid w:val="00FF30BA"/>
    <w:rsid w:val="00FF49AF"/>
    <w:rsid w:val="00FF5133"/>
    <w:rsid w:val="00FF7868"/>
    <w:rsid w:val="00FF795C"/>
    <w:rsid w:val="01F77C61"/>
    <w:rsid w:val="030D6A99"/>
    <w:rsid w:val="03FB6375"/>
    <w:rsid w:val="049B0949"/>
    <w:rsid w:val="0B227A31"/>
    <w:rsid w:val="0C6B0087"/>
    <w:rsid w:val="0D0D5519"/>
    <w:rsid w:val="180B37D4"/>
    <w:rsid w:val="196754D0"/>
    <w:rsid w:val="1A6419F3"/>
    <w:rsid w:val="1BF053FD"/>
    <w:rsid w:val="1D5633EA"/>
    <w:rsid w:val="20D537AF"/>
    <w:rsid w:val="22847CFA"/>
    <w:rsid w:val="29FE3D55"/>
    <w:rsid w:val="3592195C"/>
    <w:rsid w:val="3674174E"/>
    <w:rsid w:val="3DC74AC0"/>
    <w:rsid w:val="3DE93D3D"/>
    <w:rsid w:val="3F8635B9"/>
    <w:rsid w:val="42A641AB"/>
    <w:rsid w:val="43887478"/>
    <w:rsid w:val="43D4094B"/>
    <w:rsid w:val="44037C29"/>
    <w:rsid w:val="4953475B"/>
    <w:rsid w:val="4A5859B8"/>
    <w:rsid w:val="4BDD0E14"/>
    <w:rsid w:val="4D772631"/>
    <w:rsid w:val="4E3A12A3"/>
    <w:rsid w:val="507F4F5B"/>
    <w:rsid w:val="51517061"/>
    <w:rsid w:val="53561CE3"/>
    <w:rsid w:val="536B42C0"/>
    <w:rsid w:val="548569D5"/>
    <w:rsid w:val="553B3121"/>
    <w:rsid w:val="57DC0154"/>
    <w:rsid w:val="59B948AB"/>
    <w:rsid w:val="5D8A1489"/>
    <w:rsid w:val="5EF12A1C"/>
    <w:rsid w:val="6D396FD8"/>
    <w:rsid w:val="71265797"/>
    <w:rsid w:val="76055E41"/>
    <w:rsid w:val="763F707A"/>
    <w:rsid w:val="7A672688"/>
    <w:rsid w:val="7B2A523F"/>
    <w:rsid w:val="7ED3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41" w:firstLineChars="75"/>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keepLines/>
      <w:numPr>
        <w:ilvl w:val="0"/>
        <w:numId w:val="1"/>
      </w:numPr>
      <w:jc w:val="center"/>
      <w:outlineLvl w:val="0"/>
    </w:pPr>
    <w:rPr>
      <w:rFonts w:eastAsia="黑体"/>
      <w:b/>
      <w:bCs/>
      <w:kern w:val="44"/>
      <w:sz w:val="32"/>
      <w:szCs w:val="44"/>
    </w:rPr>
  </w:style>
  <w:style w:type="paragraph" w:styleId="3">
    <w:name w:val="heading 2"/>
    <w:basedOn w:val="1"/>
    <w:next w:val="1"/>
    <w:link w:val="39"/>
    <w:qFormat/>
    <w:uiPriority w:val="0"/>
    <w:pPr>
      <w:keepNext/>
      <w:keepLines/>
      <w:spacing w:before="260" w:after="260" w:line="416" w:lineRule="auto"/>
      <w:jc w:val="center"/>
      <w:outlineLvl w:val="1"/>
    </w:pPr>
    <w:rPr>
      <w:rFonts w:ascii="Cambria" w:hAnsi="Cambria"/>
      <w:b/>
      <w:bCs/>
      <w:sz w:val="24"/>
      <w:szCs w:val="32"/>
    </w:rPr>
  </w:style>
  <w:style w:type="paragraph" w:styleId="4">
    <w:name w:val="heading 3"/>
    <w:basedOn w:val="1"/>
    <w:next w:val="1"/>
    <w:link w:val="40"/>
    <w:unhideWhenUsed/>
    <w:qFormat/>
    <w:uiPriority w:val="0"/>
    <w:pPr>
      <w:keepNext/>
      <w:keepLines/>
      <w:spacing w:before="260" w:after="260" w:line="416" w:lineRule="auto"/>
      <w:outlineLvl w:val="2"/>
    </w:pPr>
    <w:rPr>
      <w:bCs/>
      <w:sz w:val="24"/>
      <w:szCs w:val="32"/>
      <w:lang w:val="zh-CN"/>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rFonts w:asciiTheme="minorHAnsi" w:hAnsiTheme="minorHAnsi" w:cstheme="minorHAnsi"/>
      <w:sz w:val="18"/>
      <w:szCs w:val="18"/>
    </w:rPr>
  </w:style>
  <w:style w:type="paragraph" w:styleId="6">
    <w:name w:val="Normal Indent"/>
    <w:basedOn w:val="1"/>
    <w:qFormat/>
    <w:uiPriority w:val="0"/>
    <w:pPr>
      <w:spacing w:line="240" w:lineRule="auto"/>
      <w:ind w:firstLine="420"/>
    </w:pPr>
    <w:rPr>
      <w:szCs w:val="20"/>
    </w:r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Document Map"/>
    <w:basedOn w:val="1"/>
    <w:link w:val="41"/>
    <w:qFormat/>
    <w:uiPriority w:val="0"/>
    <w:pPr>
      <w:spacing w:line="240" w:lineRule="auto"/>
    </w:pPr>
    <w:rPr>
      <w:rFonts w:ascii="宋体" w:hAnsi="Calibri"/>
      <w:kern w:val="0"/>
      <w:sz w:val="18"/>
      <w:szCs w:val="20"/>
    </w:rPr>
  </w:style>
  <w:style w:type="paragraph" w:styleId="9">
    <w:name w:val="annotation text"/>
    <w:basedOn w:val="1"/>
    <w:link w:val="42"/>
    <w:qFormat/>
    <w:uiPriority w:val="0"/>
    <w:pPr>
      <w:jc w:val="left"/>
    </w:pPr>
  </w:style>
  <w:style w:type="paragraph" w:styleId="10">
    <w:name w:val="List 2"/>
    <w:basedOn w:val="1"/>
    <w:qFormat/>
    <w:uiPriority w:val="0"/>
    <w:pPr>
      <w:spacing w:line="240" w:lineRule="auto"/>
      <w:ind w:left="100" w:leftChars="200" w:hanging="200" w:hangingChars="200"/>
    </w:pPr>
  </w:style>
  <w:style w:type="paragraph" w:styleId="11">
    <w:name w:val="toc 5"/>
    <w:basedOn w:val="1"/>
    <w:next w:val="1"/>
    <w:qFormat/>
    <w:uiPriority w:val="39"/>
    <w:pPr>
      <w:ind w:left="840"/>
      <w:jc w:val="left"/>
    </w:pPr>
    <w:rPr>
      <w:rFonts w:asciiTheme="minorHAnsi" w:hAnsiTheme="minorHAnsi" w:cstheme="minorHAnsi"/>
      <w:sz w:val="18"/>
      <w:szCs w:val="18"/>
    </w:rPr>
  </w:style>
  <w:style w:type="paragraph" w:styleId="12">
    <w:name w:val="toc 3"/>
    <w:basedOn w:val="13"/>
    <w:next w:val="1"/>
    <w:qFormat/>
    <w:uiPriority w:val="39"/>
    <w:pPr>
      <w:ind w:left="420"/>
    </w:pPr>
    <w:rPr>
      <w:i/>
      <w:iCs/>
      <w:smallCaps w:val="0"/>
    </w:rPr>
  </w:style>
  <w:style w:type="paragraph" w:styleId="13">
    <w:name w:val="toc 2"/>
    <w:basedOn w:val="14"/>
    <w:next w:val="1"/>
    <w:qFormat/>
    <w:uiPriority w:val="39"/>
    <w:pPr>
      <w:spacing w:before="0" w:after="0"/>
      <w:ind w:left="210"/>
    </w:pPr>
    <w:rPr>
      <w:b w:val="0"/>
      <w:bCs w:val="0"/>
      <w:caps w:val="0"/>
      <w:smallCaps/>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Plain Text"/>
    <w:basedOn w:val="1"/>
    <w:link w:val="43"/>
    <w:qFormat/>
    <w:uiPriority w:val="0"/>
    <w:rPr>
      <w:rFonts w:ascii="宋体" w:hAnsi="Courier New"/>
      <w:szCs w:val="21"/>
    </w:rPr>
  </w:style>
  <w:style w:type="paragraph" w:styleId="16">
    <w:name w:val="toc 8"/>
    <w:basedOn w:val="1"/>
    <w:next w:val="1"/>
    <w:qFormat/>
    <w:uiPriority w:val="39"/>
    <w:pPr>
      <w:ind w:left="1470"/>
      <w:jc w:val="left"/>
    </w:pPr>
    <w:rPr>
      <w:rFonts w:asciiTheme="minorHAnsi" w:hAnsiTheme="minorHAnsi" w:cstheme="minorHAnsi"/>
      <w:sz w:val="18"/>
      <w:szCs w:val="18"/>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7"/>
    <w:qFormat/>
    <w:uiPriority w:val="0"/>
    <w:pPr>
      <w:tabs>
        <w:tab w:val="center" w:pos="4153"/>
        <w:tab w:val="right" w:pos="8306"/>
      </w:tabs>
      <w:snapToGrid w:val="0"/>
      <w:jc w:val="center"/>
    </w:pPr>
    <w:rPr>
      <w:sz w:val="18"/>
      <w:szCs w:val="18"/>
    </w:rPr>
  </w:style>
  <w:style w:type="paragraph" w:styleId="21">
    <w:name w:val="toc 4"/>
    <w:basedOn w:val="1"/>
    <w:next w:val="1"/>
    <w:qFormat/>
    <w:uiPriority w:val="39"/>
    <w:pPr>
      <w:ind w:left="630"/>
      <w:jc w:val="left"/>
    </w:pPr>
    <w:rPr>
      <w:rFonts w:asciiTheme="minorHAnsi" w:hAnsiTheme="minorHAnsi" w:cstheme="minorHAnsi"/>
      <w:sz w:val="18"/>
      <w:szCs w:val="18"/>
    </w:rPr>
  </w:style>
  <w:style w:type="paragraph" w:styleId="22">
    <w:name w:val="Subtitle"/>
    <w:basedOn w:val="1"/>
    <w:next w:val="1"/>
    <w:link w:val="48"/>
    <w:qFormat/>
    <w:uiPriority w:val="0"/>
    <w:pPr>
      <w:jc w:val="center"/>
      <w:outlineLvl w:val="1"/>
    </w:pPr>
    <w:rPr>
      <w:rFonts w:ascii="Cambria" w:hAnsi="Cambria" w:eastAsia="黑体"/>
      <w:bCs/>
      <w:kern w:val="28"/>
      <w:sz w:val="28"/>
      <w:szCs w:val="32"/>
    </w:rPr>
  </w:style>
  <w:style w:type="paragraph" w:styleId="23">
    <w:name w:val="toc 6"/>
    <w:basedOn w:val="1"/>
    <w:next w:val="1"/>
    <w:qFormat/>
    <w:uiPriority w:val="39"/>
    <w:pPr>
      <w:ind w:left="1050"/>
      <w:jc w:val="left"/>
    </w:pPr>
    <w:rPr>
      <w:rFonts w:asciiTheme="minorHAnsi" w:hAnsiTheme="minorHAnsi" w:cstheme="minorHAnsi"/>
      <w:sz w:val="18"/>
      <w:szCs w:val="18"/>
    </w:rPr>
  </w:style>
  <w:style w:type="paragraph" w:styleId="24">
    <w:name w:val="toc 9"/>
    <w:basedOn w:val="1"/>
    <w:next w:val="1"/>
    <w:qFormat/>
    <w:uiPriority w:val="39"/>
    <w:pPr>
      <w:ind w:left="1680"/>
      <w:jc w:val="left"/>
    </w:pPr>
    <w:rPr>
      <w:rFonts w:asciiTheme="minorHAnsi" w:hAnsiTheme="minorHAnsi" w:cstheme="minorHAnsi"/>
      <w:sz w:val="18"/>
      <w:szCs w:val="18"/>
    </w:rPr>
  </w:style>
  <w:style w:type="paragraph" w:styleId="25">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 w:val="24"/>
      <w:lang w:val="zh-CN"/>
    </w:rPr>
  </w:style>
  <w:style w:type="paragraph" w:styleId="26">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27">
    <w:name w:val="Title"/>
    <w:basedOn w:val="1"/>
    <w:next w:val="1"/>
    <w:link w:val="50"/>
    <w:qFormat/>
    <w:uiPriority w:val="0"/>
    <w:pPr>
      <w:spacing w:before="240" w:after="60"/>
      <w:jc w:val="center"/>
      <w:outlineLvl w:val="0"/>
    </w:pPr>
    <w:rPr>
      <w:rFonts w:ascii="Cambria" w:hAnsi="Cambria"/>
      <w:b/>
      <w:bCs/>
      <w:sz w:val="32"/>
      <w:szCs w:val="32"/>
    </w:rPr>
  </w:style>
  <w:style w:type="paragraph" w:styleId="28">
    <w:name w:val="annotation subject"/>
    <w:basedOn w:val="9"/>
    <w:next w:val="9"/>
    <w:link w:val="51"/>
    <w:qFormat/>
    <w:uiPriority w:val="0"/>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0"/>
    <w:rPr>
      <w:rFonts w:eastAsia="黑体"/>
      <w:bCs/>
      <w:sz w:val="21"/>
    </w:rPr>
  </w:style>
  <w:style w:type="character" w:styleId="33">
    <w:name w:val="page number"/>
    <w:basedOn w:val="31"/>
    <w:qFormat/>
    <w:uiPriority w:val="0"/>
  </w:style>
  <w:style w:type="character" w:styleId="34">
    <w:name w:val="FollowedHyperlink"/>
    <w:qFormat/>
    <w:uiPriority w:val="99"/>
    <w:rPr>
      <w:color w:val="954F72"/>
      <w:u w:val="single"/>
    </w:rPr>
  </w:style>
  <w:style w:type="character" w:styleId="35">
    <w:name w:val="Emphasis"/>
    <w:qFormat/>
    <w:uiPriority w:val="0"/>
    <w:rPr>
      <w:rFonts w:eastAsia="宋体"/>
      <w:iCs/>
      <w:sz w:val="21"/>
    </w:rPr>
  </w:style>
  <w:style w:type="character" w:styleId="36">
    <w:name w:val="Hyperlink"/>
    <w:qFormat/>
    <w:uiPriority w:val="99"/>
    <w:rPr>
      <w:rFonts w:ascii="Times New Roman" w:hAnsi="Times New Roman" w:eastAsia="宋体"/>
      <w:color w:val="auto"/>
      <w:spacing w:val="0"/>
      <w:w w:val="100"/>
      <w:position w:val="0"/>
      <w:sz w:val="21"/>
      <w:u w:val="none"/>
      <w:vertAlign w:val="baseline"/>
    </w:rPr>
  </w:style>
  <w:style w:type="character" w:styleId="37">
    <w:name w:val="annotation reference"/>
    <w:qFormat/>
    <w:uiPriority w:val="0"/>
    <w:rPr>
      <w:sz w:val="21"/>
      <w:szCs w:val="21"/>
    </w:rPr>
  </w:style>
  <w:style w:type="character" w:customStyle="1" w:styleId="38">
    <w:name w:val="标题 1 字符"/>
    <w:link w:val="2"/>
    <w:qFormat/>
    <w:uiPriority w:val="0"/>
    <w:rPr>
      <w:rFonts w:eastAsia="黑体"/>
      <w:b/>
      <w:bCs/>
      <w:kern w:val="44"/>
      <w:sz w:val="32"/>
      <w:szCs w:val="44"/>
    </w:rPr>
  </w:style>
  <w:style w:type="character" w:customStyle="1" w:styleId="39">
    <w:name w:val="标题 2 字符"/>
    <w:link w:val="3"/>
    <w:semiHidden/>
    <w:qFormat/>
    <w:uiPriority w:val="0"/>
    <w:rPr>
      <w:rFonts w:ascii="Cambria" w:hAnsi="Cambria" w:eastAsia="宋体" w:cs="Times New Roman"/>
      <w:b/>
      <w:bCs/>
      <w:kern w:val="2"/>
      <w:sz w:val="24"/>
      <w:szCs w:val="32"/>
    </w:rPr>
  </w:style>
  <w:style w:type="character" w:customStyle="1" w:styleId="40">
    <w:name w:val="标题 3 字符"/>
    <w:basedOn w:val="31"/>
    <w:link w:val="4"/>
    <w:qFormat/>
    <w:uiPriority w:val="0"/>
    <w:rPr>
      <w:rFonts w:eastAsia="宋体"/>
      <w:bCs/>
      <w:kern w:val="2"/>
      <w:sz w:val="24"/>
      <w:szCs w:val="32"/>
      <w:lang w:val="zh-CN" w:eastAsia="zh-CN"/>
    </w:rPr>
  </w:style>
  <w:style w:type="character" w:customStyle="1" w:styleId="41">
    <w:name w:val="文档结构图 字符"/>
    <w:link w:val="8"/>
    <w:qFormat/>
    <w:uiPriority w:val="0"/>
    <w:rPr>
      <w:rFonts w:ascii="宋体" w:hAnsi="Calibri"/>
      <w:sz w:val="18"/>
    </w:rPr>
  </w:style>
  <w:style w:type="character" w:customStyle="1" w:styleId="42">
    <w:name w:val="批注文字 字符"/>
    <w:link w:val="9"/>
    <w:qFormat/>
    <w:uiPriority w:val="0"/>
    <w:rPr>
      <w:kern w:val="2"/>
      <w:sz w:val="21"/>
      <w:szCs w:val="24"/>
    </w:rPr>
  </w:style>
  <w:style w:type="character" w:customStyle="1" w:styleId="43">
    <w:name w:val="纯文本 字符"/>
    <w:link w:val="15"/>
    <w:qFormat/>
    <w:uiPriority w:val="0"/>
    <w:rPr>
      <w:rFonts w:ascii="宋体" w:hAnsi="Courier New" w:cs="Courier New"/>
      <w:kern w:val="2"/>
      <w:sz w:val="21"/>
      <w:szCs w:val="21"/>
    </w:rPr>
  </w:style>
  <w:style w:type="character" w:customStyle="1" w:styleId="44">
    <w:name w:val="日期 字符"/>
    <w:link w:val="17"/>
    <w:qFormat/>
    <w:uiPriority w:val="0"/>
    <w:rPr>
      <w:kern w:val="2"/>
      <w:sz w:val="21"/>
      <w:szCs w:val="24"/>
    </w:rPr>
  </w:style>
  <w:style w:type="character" w:customStyle="1" w:styleId="45">
    <w:name w:val="批注框文本 字符"/>
    <w:link w:val="18"/>
    <w:qFormat/>
    <w:uiPriority w:val="0"/>
    <w:rPr>
      <w:kern w:val="2"/>
      <w:sz w:val="18"/>
      <w:szCs w:val="18"/>
    </w:rPr>
  </w:style>
  <w:style w:type="character" w:customStyle="1" w:styleId="46">
    <w:name w:val="页脚 字符"/>
    <w:link w:val="19"/>
    <w:qFormat/>
    <w:uiPriority w:val="99"/>
    <w:rPr>
      <w:kern w:val="2"/>
      <w:sz w:val="18"/>
      <w:szCs w:val="18"/>
    </w:rPr>
  </w:style>
  <w:style w:type="character" w:customStyle="1" w:styleId="47">
    <w:name w:val="页眉 字符"/>
    <w:link w:val="20"/>
    <w:qFormat/>
    <w:uiPriority w:val="0"/>
    <w:rPr>
      <w:kern w:val="2"/>
      <w:sz w:val="18"/>
      <w:szCs w:val="18"/>
    </w:rPr>
  </w:style>
  <w:style w:type="character" w:customStyle="1" w:styleId="48">
    <w:name w:val="副标题 字符"/>
    <w:link w:val="22"/>
    <w:qFormat/>
    <w:uiPriority w:val="0"/>
    <w:rPr>
      <w:rFonts w:ascii="Cambria" w:hAnsi="Cambria" w:eastAsia="黑体"/>
      <w:bCs/>
      <w:kern w:val="28"/>
      <w:sz w:val="28"/>
      <w:szCs w:val="32"/>
    </w:rPr>
  </w:style>
  <w:style w:type="character" w:customStyle="1" w:styleId="49">
    <w:name w:val="HTML 预设格式 字符"/>
    <w:basedOn w:val="31"/>
    <w:link w:val="25"/>
    <w:qFormat/>
    <w:uiPriority w:val="99"/>
    <w:rPr>
      <w:rFonts w:ascii="Arial" w:hAnsi="Arial"/>
      <w:sz w:val="24"/>
      <w:szCs w:val="24"/>
      <w:lang w:val="zh-CN" w:eastAsia="zh-CN"/>
    </w:rPr>
  </w:style>
  <w:style w:type="character" w:customStyle="1" w:styleId="50">
    <w:name w:val="标题 字符"/>
    <w:link w:val="27"/>
    <w:qFormat/>
    <w:uiPriority w:val="0"/>
    <w:rPr>
      <w:rFonts w:ascii="Cambria" w:hAnsi="Cambria" w:cs="Times New Roman"/>
      <w:b/>
      <w:bCs/>
      <w:kern w:val="2"/>
      <w:sz w:val="32"/>
      <w:szCs w:val="32"/>
    </w:rPr>
  </w:style>
  <w:style w:type="character" w:customStyle="1" w:styleId="51">
    <w:name w:val="批注主题 字符"/>
    <w:link w:val="28"/>
    <w:qFormat/>
    <w:uiPriority w:val="0"/>
    <w:rPr>
      <w:b/>
      <w:bCs/>
      <w:kern w:val="2"/>
      <w:sz w:val="21"/>
      <w:szCs w:val="24"/>
    </w:rPr>
  </w:style>
  <w:style w:type="paragraph" w:customStyle="1" w:styleId="52">
    <w:name w:val="封面正文"/>
    <w:qFormat/>
    <w:uiPriority w:val="0"/>
    <w:pPr>
      <w:jc w:val="both"/>
    </w:pPr>
    <w:rPr>
      <w:rFonts w:ascii="Times New Roman" w:hAnsi="Times New Roman" w:eastAsia="宋体" w:cs="Times New Roman"/>
      <w:lang w:val="en-US" w:eastAsia="zh-CN" w:bidi="ar-SA"/>
    </w:rPr>
  </w:style>
  <w:style w:type="paragraph" w:customStyle="1" w:styleId="5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55">
    <w:name w:val="一级条标题"/>
    <w:basedOn w:val="54"/>
    <w:next w:val="1"/>
    <w:qFormat/>
    <w:uiPriority w:val="0"/>
    <w:pPr>
      <w:numPr>
        <w:ilvl w:val="2"/>
      </w:numPr>
      <w:spacing w:beforeLines="0" w:afterLines="0"/>
      <w:outlineLvl w:val="2"/>
    </w:pPr>
  </w:style>
  <w:style w:type="paragraph" w:customStyle="1" w:styleId="56">
    <w:name w:val="二级条标题"/>
    <w:basedOn w:val="55"/>
    <w:next w:val="1"/>
    <w:qFormat/>
    <w:uiPriority w:val="0"/>
    <w:pPr>
      <w:numPr>
        <w:ilvl w:val="3"/>
      </w:numPr>
      <w:outlineLvl w:val="3"/>
    </w:pPr>
  </w:style>
  <w:style w:type="paragraph" w:customStyle="1" w:styleId="57">
    <w:name w:val="三级条标题"/>
    <w:basedOn w:val="56"/>
    <w:next w:val="1"/>
    <w:qFormat/>
    <w:uiPriority w:val="0"/>
    <w:pPr>
      <w:numPr>
        <w:ilvl w:val="4"/>
      </w:numPr>
      <w:tabs>
        <w:tab w:val="left" w:pos="360"/>
      </w:tabs>
      <w:outlineLvl w:val="4"/>
    </w:pPr>
  </w:style>
  <w:style w:type="paragraph" w:customStyle="1" w:styleId="58">
    <w:name w:val="四级条标题"/>
    <w:basedOn w:val="57"/>
    <w:next w:val="1"/>
    <w:qFormat/>
    <w:uiPriority w:val="0"/>
    <w:pPr>
      <w:numPr>
        <w:ilvl w:val="5"/>
      </w:numPr>
      <w:outlineLvl w:val="5"/>
    </w:pPr>
  </w:style>
  <w:style w:type="paragraph" w:customStyle="1" w:styleId="59">
    <w:name w:val="五级条标题"/>
    <w:basedOn w:val="58"/>
    <w:next w:val="1"/>
    <w:qFormat/>
    <w:uiPriority w:val="0"/>
    <w:pPr>
      <w:numPr>
        <w:ilvl w:val="6"/>
      </w:numPr>
      <w:outlineLvl w:val="6"/>
    </w:p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表题与图题"/>
    <w:next w:val="1"/>
    <w:qFormat/>
    <w:uiPriority w:val="0"/>
    <w:pPr>
      <w:spacing w:line="400" w:lineRule="exact"/>
    </w:pPr>
    <w:rPr>
      <w:rFonts w:ascii="Times New Roman" w:hAnsi="Times New Roman" w:eastAsia="宋体" w:cs="Times New Roman"/>
      <w:sz w:val="22"/>
      <w:lang w:val="en-US" w:eastAsia="zh-CN" w:bidi="ar-SA"/>
    </w:rPr>
  </w:style>
  <w:style w:type="paragraph" w:customStyle="1" w:styleId="62">
    <w:name w:val="样式 首行缩进:  0.77 厘米 底端: (单实线 自动设置  1.5 磅 行宽)"/>
    <w:basedOn w:val="1"/>
    <w:qFormat/>
    <w:uiPriority w:val="0"/>
    <w:pPr>
      <w:ind w:firstLine="435"/>
    </w:pPr>
    <w:rPr>
      <w:rFonts w:cs="宋体"/>
      <w:szCs w:val="20"/>
    </w:rPr>
  </w:style>
  <w:style w:type="paragraph" w:styleId="6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2"/>
    <w:next w:val="1"/>
    <w:qFormat/>
    <w:uiPriority w:val="39"/>
    <w:pPr>
      <w:widowControl/>
      <w:numPr>
        <w:numId w:val="0"/>
      </w:numPr>
      <w:spacing w:before="480" w:line="276" w:lineRule="auto"/>
      <w:jc w:val="left"/>
      <w:outlineLvl w:val="9"/>
    </w:pPr>
    <w:rPr>
      <w:rFonts w:ascii="Cambria" w:hAnsi="Cambria" w:eastAsia="宋体"/>
      <w:color w:val="365F91"/>
      <w:kern w:val="0"/>
      <w:szCs w:val="28"/>
    </w:rPr>
  </w:style>
  <w:style w:type="character" w:customStyle="1" w:styleId="65">
    <w:name w:val="文档结构图 Char1"/>
    <w:qFormat/>
    <w:uiPriority w:val="0"/>
    <w:rPr>
      <w:rFonts w:ascii="宋体"/>
      <w:kern w:val="2"/>
      <w:sz w:val="18"/>
      <w:szCs w:val="18"/>
    </w:rPr>
  </w:style>
  <w:style w:type="paragraph" w:customStyle="1" w:styleId="66">
    <w:name w:val="样式 标题 2 + 居中"/>
    <w:basedOn w:val="3"/>
    <w:qFormat/>
    <w:uiPriority w:val="0"/>
    <w:pPr>
      <w:keepNext w:val="0"/>
      <w:keepLines w:val="0"/>
      <w:spacing w:before="0" w:after="0" w:line="300" w:lineRule="auto"/>
      <w:ind w:left="851" w:hanging="567"/>
      <w:jc w:val="left"/>
    </w:pPr>
    <w:rPr>
      <w:rFonts w:ascii="Arial" w:hAnsi="Arial" w:eastAsia="黑体"/>
      <w:b w:val="0"/>
      <w:bCs w:val="0"/>
      <w:sz w:val="28"/>
      <w:szCs w:val="20"/>
    </w:rPr>
  </w:style>
  <w:style w:type="paragraph" w:customStyle="1" w:styleId="67">
    <w:name w:val="规范标题1"/>
    <w:basedOn w:val="2"/>
    <w:qFormat/>
    <w:uiPriority w:val="0"/>
    <w:pPr>
      <w:pageBreakBefore/>
      <w:numPr>
        <w:numId w:val="0"/>
      </w:numPr>
      <w:spacing w:before="340" w:after="330" w:line="300" w:lineRule="auto"/>
      <w:ind w:left="425" w:hanging="425"/>
    </w:pPr>
    <w:rPr>
      <w:rFonts w:ascii="黑体" w:hAnsi="宋体"/>
      <w:bCs w:val="0"/>
      <w:szCs w:val="20"/>
    </w:rPr>
  </w:style>
  <w:style w:type="character" w:customStyle="1" w:styleId="68">
    <w:name w:val="fbrown fontnor"/>
    <w:basedOn w:val="31"/>
    <w:qFormat/>
    <w:uiPriority w:val="0"/>
  </w:style>
  <w:style w:type="table" w:customStyle="1" w:styleId="69">
    <w:name w:val="网格型1"/>
    <w:basedOn w:val="29"/>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2">
    <w:name w:val="font6"/>
    <w:basedOn w:val="1"/>
    <w:qFormat/>
    <w:uiPriority w:val="0"/>
    <w:pPr>
      <w:widowControl/>
      <w:spacing w:before="100" w:beforeAutospacing="1" w:after="100" w:afterAutospacing="1" w:line="240" w:lineRule="auto"/>
      <w:jc w:val="left"/>
    </w:pPr>
    <w:rPr>
      <w:rFonts w:ascii="宋体" w:hAnsi="宋体" w:cs="宋体"/>
      <w:color w:val="0D0D0D"/>
      <w:kern w:val="0"/>
      <w:sz w:val="20"/>
      <w:szCs w:val="20"/>
    </w:rPr>
  </w:style>
  <w:style w:type="paragraph" w:customStyle="1" w:styleId="73">
    <w:name w:val="font7"/>
    <w:basedOn w:val="1"/>
    <w:qFormat/>
    <w:uiPriority w:val="0"/>
    <w:pPr>
      <w:widowControl/>
      <w:spacing w:before="100" w:beforeAutospacing="1" w:after="100" w:afterAutospacing="1" w:line="240" w:lineRule="auto"/>
      <w:jc w:val="left"/>
    </w:pPr>
    <w:rPr>
      <w:rFonts w:ascii="宋体" w:hAnsi="宋体" w:cs="宋体"/>
      <w:b/>
      <w:bCs/>
      <w:color w:val="0D0D0D"/>
      <w:kern w:val="0"/>
      <w:sz w:val="22"/>
      <w:szCs w:val="22"/>
    </w:rPr>
  </w:style>
  <w:style w:type="paragraph" w:customStyle="1" w:styleId="74">
    <w:name w:val="font8"/>
    <w:basedOn w:val="1"/>
    <w:qFormat/>
    <w:uiPriority w:val="0"/>
    <w:pPr>
      <w:widowControl/>
      <w:spacing w:before="100" w:beforeAutospacing="1" w:after="100" w:afterAutospacing="1" w:line="240" w:lineRule="auto"/>
      <w:jc w:val="left"/>
    </w:pPr>
    <w:rPr>
      <w:color w:val="0D0D0D"/>
      <w:kern w:val="0"/>
      <w:sz w:val="20"/>
      <w:szCs w:val="20"/>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color w:val="0D0D0D"/>
      <w:kern w:val="0"/>
      <w:sz w:val="20"/>
      <w:szCs w:val="20"/>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D0D0D"/>
      <w:kern w:val="0"/>
      <w:sz w:val="24"/>
    </w:rPr>
  </w:style>
  <w:style w:type="paragraph" w:customStyle="1" w:styleId="77">
    <w:name w:val="xl80"/>
    <w:basedOn w:val="1"/>
    <w:qFormat/>
    <w:uiPriority w:val="0"/>
    <w:pPr>
      <w:widowControl/>
      <w:spacing w:before="100" w:beforeAutospacing="1" w:after="100" w:afterAutospacing="1" w:line="240" w:lineRule="auto"/>
      <w:jc w:val="left"/>
      <w:textAlignment w:val="top"/>
    </w:pPr>
    <w:rPr>
      <w:color w:val="0D0D0D"/>
      <w:kern w:val="0"/>
      <w:sz w:val="20"/>
      <w:szCs w:val="20"/>
    </w:rPr>
  </w:style>
  <w:style w:type="paragraph" w:customStyle="1" w:styleId="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79">
    <w:name w:val="xl82"/>
    <w:basedOn w:val="1"/>
    <w:qFormat/>
    <w:uiPriority w:val="0"/>
    <w:pPr>
      <w:widowControl/>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80">
    <w:name w:val="xl83"/>
    <w:basedOn w:val="1"/>
    <w:qFormat/>
    <w:uiPriority w:val="0"/>
    <w:pPr>
      <w:widowControl/>
      <w:spacing w:before="100" w:beforeAutospacing="1" w:after="100" w:afterAutospacing="1" w:line="240" w:lineRule="auto"/>
      <w:jc w:val="left"/>
    </w:pPr>
    <w:rPr>
      <w:rFonts w:ascii="宋体" w:hAnsi="宋体" w:cs="宋体"/>
      <w:color w:val="0D0D0D"/>
      <w:kern w:val="0"/>
      <w:sz w:val="24"/>
    </w:rPr>
  </w:style>
  <w:style w:type="paragraph" w:customStyle="1" w:styleId="81">
    <w:name w:val="xl84"/>
    <w:basedOn w:val="1"/>
    <w:qFormat/>
    <w:uiPriority w:val="0"/>
    <w:pPr>
      <w:widowControl/>
      <w:spacing w:before="100" w:beforeAutospacing="1" w:after="100" w:afterAutospacing="1" w:line="240" w:lineRule="auto"/>
      <w:jc w:val="left"/>
      <w:textAlignment w:val="bottom"/>
    </w:pPr>
    <w:rPr>
      <w:rFonts w:ascii="宋体" w:hAnsi="宋体" w:cs="宋体"/>
      <w:color w:val="0D0D0D"/>
      <w:kern w:val="0"/>
      <w:sz w:val="20"/>
      <w:szCs w:val="20"/>
    </w:rPr>
  </w:style>
  <w:style w:type="paragraph" w:customStyle="1" w:styleId="82">
    <w:name w:val="xl85"/>
    <w:basedOn w:val="1"/>
    <w:qFormat/>
    <w:uiPriority w:val="0"/>
    <w:pPr>
      <w:widowControl/>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83">
    <w:name w:val="xl86"/>
    <w:basedOn w:val="1"/>
    <w:qFormat/>
    <w:uiPriority w:val="0"/>
    <w:pPr>
      <w:widowControl/>
      <w:spacing w:before="100" w:beforeAutospacing="1" w:after="100" w:afterAutospacing="1" w:line="240" w:lineRule="auto"/>
      <w:jc w:val="left"/>
      <w:textAlignment w:val="bottom"/>
    </w:pPr>
    <w:rPr>
      <w:rFonts w:ascii="Arial" w:hAnsi="Arial" w:cs="Arial"/>
      <w:color w:val="0D0D0D"/>
      <w:kern w:val="0"/>
      <w:sz w:val="20"/>
      <w:szCs w:val="20"/>
    </w:rPr>
  </w:style>
  <w:style w:type="paragraph" w:customStyle="1" w:styleId="84">
    <w:name w:val="xl87"/>
    <w:basedOn w:val="1"/>
    <w:qFormat/>
    <w:uiPriority w:val="0"/>
    <w:pPr>
      <w:widowControl/>
      <w:spacing w:before="100" w:beforeAutospacing="1" w:after="100" w:afterAutospacing="1" w:line="240" w:lineRule="auto"/>
      <w:jc w:val="left"/>
      <w:textAlignment w:val="top"/>
    </w:pPr>
    <w:rPr>
      <w:rFonts w:ascii="Arial" w:hAnsi="Arial" w:cs="Arial"/>
      <w:color w:val="0D0D0D"/>
      <w:kern w:val="0"/>
      <w:sz w:val="20"/>
      <w:szCs w:val="20"/>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color w:val="0D0D0D"/>
      <w:kern w:val="0"/>
      <w:sz w:val="20"/>
      <w:szCs w:val="20"/>
    </w:rPr>
  </w:style>
  <w:style w:type="paragraph" w:customStyle="1" w:styleId="8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8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9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5">
    <w:name w:val="实施日期"/>
    <w:basedOn w:val="88"/>
    <w:qFormat/>
    <w:uiPriority w:val="0"/>
    <w:pPr>
      <w:framePr w:hSpace="0" w:xAlign="right"/>
      <w:jc w:val="right"/>
    </w:pPr>
  </w:style>
  <w:style w:type="paragraph" w:customStyle="1" w:styleId="9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xl66"/>
    <w:basedOn w:val="1"/>
    <w:qFormat/>
    <w:uiPriority w:val="0"/>
    <w:pPr>
      <w:widowControl/>
      <w:spacing w:before="100" w:beforeAutospacing="1" w:after="100" w:afterAutospacing="1" w:line="240" w:lineRule="auto"/>
      <w:jc w:val="left"/>
      <w:textAlignment w:val="top"/>
    </w:pPr>
    <w:rPr>
      <w:kern w:val="0"/>
      <w:sz w:val="20"/>
      <w:szCs w:val="20"/>
    </w:rPr>
  </w:style>
  <w:style w:type="character" w:customStyle="1" w:styleId="98">
    <w:name w:val="hps"/>
    <w:qFormat/>
    <w:uiPriority w:val="0"/>
    <w:rPr>
      <w:rFonts w:cs="Times New Roman"/>
    </w:rPr>
  </w:style>
  <w:style w:type="character" w:customStyle="1" w:styleId="99">
    <w:name w:val="short_text"/>
    <w:qFormat/>
    <w:uiPriority w:val="0"/>
    <w:rPr>
      <w:rFonts w:cs="Times New Roman"/>
    </w:rPr>
  </w:style>
  <w:style w:type="character" w:customStyle="1" w:styleId="100">
    <w:name w:val="apple-style-span"/>
    <w:qFormat/>
    <w:uiPriority w:val="0"/>
    <w:rPr>
      <w:rFonts w:cs="Times New Roman"/>
    </w:rPr>
  </w:style>
  <w:style w:type="paragraph" w:customStyle="1" w:styleId="101">
    <w:name w:val="Char2"/>
    <w:basedOn w:val="1"/>
    <w:qFormat/>
    <w:uiPriority w:val="0"/>
    <w:pPr>
      <w:spacing w:line="240" w:lineRule="auto"/>
    </w:pPr>
    <w:rPr>
      <w:rFonts w:ascii="Tahoma" w:hAnsi="Tahoma"/>
      <w:sz w:val="24"/>
      <w:szCs w:val="20"/>
    </w:rPr>
  </w:style>
  <w:style w:type="paragraph" w:customStyle="1" w:styleId="102">
    <w:name w:val="ordinary-output"/>
    <w:basedOn w:val="1"/>
    <w:qFormat/>
    <w:uiPriority w:val="0"/>
    <w:pPr>
      <w:widowControl/>
      <w:spacing w:before="100" w:beforeAutospacing="1" w:after="68" w:line="299" w:lineRule="atLeast"/>
      <w:jc w:val="left"/>
    </w:pPr>
    <w:rPr>
      <w:rFonts w:ascii="宋体" w:hAnsi="宋体" w:cs="宋体"/>
      <w:color w:val="333333"/>
      <w:kern w:val="0"/>
      <w:sz w:val="19"/>
      <w:szCs w:val="19"/>
    </w:rPr>
  </w:style>
  <w:style w:type="character" w:customStyle="1" w:styleId="103">
    <w:name w:val="high-light-bg4"/>
    <w:qFormat/>
    <w:uiPriority w:val="0"/>
  </w:style>
  <w:style w:type="character" w:customStyle="1" w:styleId="104">
    <w:name w:val="def"/>
    <w:qFormat/>
    <w:uiPriority w:val="0"/>
  </w:style>
  <w:style w:type="character" w:customStyle="1" w:styleId="105">
    <w:name w:val="highlight1"/>
    <w:qFormat/>
    <w:uiPriority w:val="0"/>
    <w:rPr>
      <w:shd w:val="clear" w:color="auto" w:fill="D6EBF9"/>
    </w:rPr>
  </w:style>
  <w:style w:type="paragraph" w:customStyle="1" w:styleId="106">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107">
    <w:name w:val="high-light"/>
    <w:qFormat/>
    <w:uiPriority w:val="0"/>
  </w:style>
  <w:style w:type="paragraph" w:customStyle="1" w:styleId="108">
    <w:name w:val="tgt2"/>
    <w:basedOn w:val="1"/>
    <w:qFormat/>
    <w:uiPriority w:val="0"/>
    <w:pPr>
      <w:widowControl/>
      <w:spacing w:after="136"/>
      <w:jc w:val="left"/>
    </w:pPr>
    <w:rPr>
      <w:rFonts w:ascii="宋体" w:hAnsi="宋体" w:cs="宋体"/>
      <w:b/>
      <w:bCs/>
      <w:kern w:val="0"/>
      <w:sz w:val="36"/>
      <w:szCs w:val="36"/>
    </w:rPr>
  </w:style>
  <w:style w:type="character" w:customStyle="1" w:styleId="109">
    <w:name w:val="apple-converted-space"/>
    <w:qFormat/>
    <w:uiPriority w:val="0"/>
  </w:style>
  <w:style w:type="paragraph" w:customStyle="1" w:styleId="110">
    <w:name w:val="font0"/>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11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4"/>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11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20"/>
      <w:szCs w:val="20"/>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left"/>
      <w:textAlignment w:val="top"/>
    </w:pPr>
    <w:rPr>
      <w:rFonts w:ascii="宋体" w:hAnsi="宋体" w:cs="宋体"/>
      <w:kern w:val="0"/>
      <w:sz w:val="20"/>
      <w:szCs w:val="20"/>
    </w:rPr>
  </w:style>
  <w:style w:type="paragraph" w:customStyle="1" w:styleId="115">
    <w:name w:val="xl69"/>
    <w:basedOn w:val="1"/>
    <w:qFormat/>
    <w:uiPriority w:val="0"/>
    <w:pPr>
      <w:widowControl/>
      <w:shd w:val="clear" w:color="000000" w:fill="92D050"/>
      <w:spacing w:before="100" w:beforeAutospacing="1" w:after="100" w:afterAutospacing="1" w:line="240" w:lineRule="auto"/>
      <w:jc w:val="left"/>
    </w:pPr>
    <w:rPr>
      <w:rFonts w:ascii="宋体" w:hAnsi="宋体" w:cs="宋体"/>
      <w:kern w:val="0"/>
      <w:sz w:val="24"/>
    </w:rPr>
  </w:style>
  <w:style w:type="paragraph" w:customStyle="1" w:styleId="116">
    <w:name w:val="font9"/>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17">
    <w:name w:val="font10"/>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1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24"/>
    </w:rPr>
  </w:style>
  <w:style w:type="paragraph" w:customStyle="1" w:styleId="126">
    <w:name w:val="xl188"/>
    <w:basedOn w:val="1"/>
    <w:qFormat/>
    <w:uiPriority w:val="0"/>
    <w:pPr>
      <w:widowControl/>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7">
    <w:name w:val="xl189"/>
    <w:basedOn w:val="1"/>
    <w:qFormat/>
    <w:uiPriority w:val="0"/>
    <w:pPr>
      <w:widowControl/>
      <w:shd w:val="clear" w:color="000000" w:fill="FFFFFF"/>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8">
    <w:name w:val="xl190"/>
    <w:basedOn w:val="1"/>
    <w:qFormat/>
    <w:uiPriority w:val="0"/>
    <w:pPr>
      <w:widowControl/>
      <w:shd w:val="clear" w:color="000000" w:fill="95B3D7"/>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9">
    <w:name w:val="xl191"/>
    <w:basedOn w:val="1"/>
    <w:qFormat/>
    <w:uiPriority w:val="0"/>
    <w:pPr>
      <w:widowControl/>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0">
    <w:name w:val="xl192"/>
    <w:basedOn w:val="1"/>
    <w:qFormat/>
    <w:uiPriority w:val="0"/>
    <w:pPr>
      <w:widowControl/>
      <w:shd w:val="clear" w:color="000000" w:fill="FFFF00"/>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1">
    <w:name w:val="xl193"/>
    <w:basedOn w:val="1"/>
    <w:qFormat/>
    <w:uiPriority w:val="0"/>
    <w:pPr>
      <w:widowControl/>
      <w:shd w:val="clear" w:color="000000" w:fill="FFFF00"/>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2">
    <w:name w:val="xl194"/>
    <w:basedOn w:val="1"/>
    <w:qFormat/>
    <w:uiPriority w:val="0"/>
    <w:pPr>
      <w:widowControl/>
      <w:shd w:val="clear" w:color="000000" w:fill="FFFF00"/>
      <w:spacing w:before="100" w:beforeAutospacing="1" w:after="100" w:afterAutospacing="1" w:line="240" w:lineRule="auto"/>
      <w:jc w:val="left"/>
      <w:textAlignment w:val="top"/>
    </w:pPr>
    <w:rPr>
      <w:rFonts w:ascii="华文细黑" w:hAnsi="华文细黑" w:eastAsia="华文细黑" w:cs="宋体"/>
      <w:kern w:val="0"/>
      <w:sz w:val="24"/>
    </w:rPr>
  </w:style>
  <w:style w:type="paragraph" w:customStyle="1" w:styleId="13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华文细黑" w:hAnsi="华文细黑" w:eastAsia="华文细黑" w:cs="宋体"/>
      <w:kern w:val="0"/>
      <w:sz w:val="24"/>
    </w:rPr>
  </w:style>
  <w:style w:type="paragraph" w:customStyle="1" w:styleId="13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华文细黑" w:hAnsi="华文细黑" w:eastAsia="华文细黑" w:cs="宋体"/>
      <w:kern w:val="0"/>
      <w:sz w:val="24"/>
    </w:rPr>
  </w:style>
  <w:style w:type="paragraph" w:customStyle="1" w:styleId="13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8">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4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41">
    <w:name w:val="xl89"/>
    <w:basedOn w:val="1"/>
    <w:qFormat/>
    <w:uiPriority w:val="0"/>
    <w:pPr>
      <w:widowControl/>
      <w:spacing w:before="100" w:beforeAutospacing="1" w:after="100" w:afterAutospacing="1" w:line="240" w:lineRule="auto"/>
      <w:jc w:val="center"/>
      <w:textAlignment w:val="top"/>
    </w:pPr>
    <w:rPr>
      <w:kern w:val="0"/>
      <w:sz w:val="24"/>
    </w:rPr>
  </w:style>
  <w:style w:type="paragraph" w:customStyle="1" w:styleId="142">
    <w:name w:val="xl90"/>
    <w:basedOn w:val="1"/>
    <w:qFormat/>
    <w:uiPriority w:val="0"/>
    <w:pPr>
      <w:widowControl/>
      <w:spacing w:before="100" w:beforeAutospacing="1" w:after="100" w:afterAutospacing="1" w:line="240" w:lineRule="auto"/>
      <w:jc w:val="left"/>
      <w:textAlignment w:val="top"/>
    </w:pPr>
    <w:rPr>
      <w:kern w:val="0"/>
      <w:sz w:val="24"/>
    </w:r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4"/>
    </w:rPr>
  </w:style>
  <w:style w:type="paragraph" w:customStyle="1" w:styleId="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4"/>
    </w:rPr>
  </w:style>
  <w:style w:type="paragraph" w:customStyle="1" w:styleId="145">
    <w:name w:val="xl93"/>
    <w:basedOn w:val="1"/>
    <w:qFormat/>
    <w:uiPriority w:val="0"/>
    <w:pPr>
      <w:widowControl/>
      <w:spacing w:before="100" w:beforeAutospacing="1" w:after="100" w:afterAutospacing="1" w:line="240" w:lineRule="auto"/>
      <w:jc w:val="left"/>
    </w:pPr>
    <w:rPr>
      <w:kern w:val="0"/>
      <w:sz w:val="24"/>
    </w:rPr>
  </w:style>
  <w:style w:type="paragraph" w:customStyle="1" w:styleId="14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kern w:val="0"/>
      <w:sz w:val="24"/>
    </w:rPr>
  </w:style>
  <w:style w:type="paragraph" w:styleId="147">
    <w:name w:val="List Paragraph"/>
    <w:basedOn w:val="1"/>
    <w:qFormat/>
    <w:uiPriority w:val="34"/>
    <w:pPr>
      <w:spacing w:line="240" w:lineRule="auto"/>
      <w:ind w:firstLine="420" w:firstLineChars="200"/>
    </w:pPr>
    <w:rPr>
      <w:rFonts w:asciiTheme="minorHAnsi" w:hAnsiTheme="minorHAnsi" w:eastAsiaTheme="minorEastAsia" w:cstheme="minorBidi"/>
      <w:szCs w:val="22"/>
    </w:rPr>
  </w:style>
  <w:style w:type="character" w:customStyle="1" w:styleId="148">
    <w:name w:val="明显参考1"/>
    <w:basedOn w:val="31"/>
    <w:qFormat/>
    <w:uiPriority w:val="32"/>
    <w:rPr>
      <w:b/>
      <w:bCs/>
      <w:smallCaps/>
      <w:color w:val="DDDDDD" w:themeColor="accent1"/>
      <w:spacing w:val="5"/>
      <w14:textFill>
        <w14:solidFill>
          <w14:schemeClr w14:val="accent1"/>
        </w14:solidFill>
      </w14:textFill>
    </w:rPr>
  </w:style>
  <w:style w:type="character" w:customStyle="1" w:styleId="149">
    <w:name w:val="未处理的提及1"/>
    <w:basedOn w:val="31"/>
    <w:semiHidden/>
    <w:unhideWhenUsed/>
    <w:qFormat/>
    <w:uiPriority w:val="99"/>
    <w:rPr>
      <w:color w:val="605E5C"/>
      <w:shd w:val="clear" w:color="auto" w:fill="E1DFDD"/>
    </w:rPr>
  </w:style>
  <w:style w:type="paragraph" w:customStyle="1" w:styleId="150">
    <w:name w:val="表格正文"/>
    <w:basedOn w:val="1"/>
    <w:link w:val="151"/>
    <w:qFormat/>
    <w:uiPriority w:val="0"/>
    <w:pPr>
      <w:widowControl/>
      <w:spacing w:line="240" w:lineRule="auto"/>
      <w:ind w:left="31" w:leftChars="15"/>
      <w:jc w:val="left"/>
    </w:pPr>
    <w:rPr>
      <w:rFonts w:ascii="宋体" w:hAnsi="宋体" w:cs="Arial Unicode MS"/>
      <w:color w:val="000000"/>
      <w:kern w:val="0"/>
      <w:szCs w:val="21"/>
      <w:lang w:val="zh-CN"/>
    </w:rPr>
  </w:style>
  <w:style w:type="character" w:customStyle="1" w:styleId="151">
    <w:name w:val="表格正文 Char"/>
    <w:link w:val="150"/>
    <w:qFormat/>
    <w:uiPriority w:val="0"/>
    <w:rPr>
      <w:rFonts w:ascii="宋体" w:hAnsi="宋体" w:cs="Arial Unicode MS"/>
      <w:color w:val="000000"/>
      <w:sz w:val="21"/>
      <w:szCs w:val="21"/>
      <w:lang w:val="zh-CN"/>
    </w:rPr>
  </w:style>
  <w:style w:type="paragraph" w:customStyle="1" w:styleId="152">
    <w:name w:val="TOC 标题2"/>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A6A6A6" w:themeColor="accent1" w:themeShade="BF"/>
      <w:kern w:val="0"/>
      <w:sz w:val="32"/>
      <w:szCs w:val="32"/>
    </w:rPr>
  </w:style>
  <w:style w:type="character" w:customStyle="1" w:styleId="153">
    <w:name w:val="style7"/>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6CE27-9C26-4D4F-BE1B-78B530907D57}">
  <ds:schemaRefs/>
</ds:datastoreItem>
</file>

<file path=docProps/app.xml><?xml version="1.0" encoding="utf-8"?>
<Properties xmlns="http://schemas.openxmlformats.org/officeDocument/2006/extended-properties" xmlns:vt="http://schemas.openxmlformats.org/officeDocument/2006/docPropsVTypes">
  <Template>Normal</Template>
  <Pages>26</Pages>
  <Words>10818</Words>
  <Characters>12207</Characters>
  <Lines>97</Lines>
  <Paragraphs>27</Paragraphs>
  <TotalTime>8</TotalTime>
  <ScaleCrop>false</ScaleCrop>
  <LinksUpToDate>false</LinksUpToDate>
  <CharactersWithSpaces>14963</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2020-07-05T02:49:00Z</dcterms:created>
  <dc:creator>罗文斌</dc:creator>
  <cp:lastModifiedBy>水酒</cp:lastModifiedBy>
  <cp:lastPrinted>2010-12-08T04:12:00Z</cp:lastPrinted>
  <dcterms:modified xsi:type="dcterms:W3CDTF">2020-12-27T06:38:06Z</dcterms:modified>
  <dc:title>建筑产品基础数据规范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