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346DDA" w:rsidRPr="00346DDA">
        <w:rPr>
          <w:rFonts w:ascii="宋体" w:hAnsi="宋体" w:hint="eastAsia"/>
          <w:b/>
          <w:sz w:val="28"/>
          <w:szCs w:val="32"/>
        </w:rPr>
        <w:t>改性蒸压加气混凝土墙体自保温系统应用技术规程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31B" w:rsidRDefault="005C531B" w:rsidP="00892971">
      <w:r>
        <w:separator/>
      </w:r>
    </w:p>
  </w:endnote>
  <w:endnote w:type="continuationSeparator" w:id="0">
    <w:p w:rsidR="005C531B" w:rsidRDefault="005C531B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31B" w:rsidRDefault="005C531B" w:rsidP="00892971">
      <w:r>
        <w:separator/>
      </w:r>
    </w:p>
  </w:footnote>
  <w:footnote w:type="continuationSeparator" w:id="0">
    <w:p w:rsidR="005C531B" w:rsidRDefault="005C531B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46DDA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C531B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0FF1D8C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>ANNA</Company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ANNA</cp:lastModifiedBy>
  <cp:revision>4</cp:revision>
  <dcterms:created xsi:type="dcterms:W3CDTF">2021-02-24T07:38:00Z</dcterms:created>
  <dcterms:modified xsi:type="dcterms:W3CDTF">2021-02-24T07:38:00Z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