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BFC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6510EF3" w14:textId="3861F82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11F27" w:rsidRPr="00B11F27">
        <w:rPr>
          <w:rFonts w:ascii="宋体" w:hAnsi="宋体" w:hint="eastAsia"/>
          <w:b/>
          <w:sz w:val="28"/>
          <w:szCs w:val="32"/>
        </w:rPr>
        <w:t>城市轨道交通建筑绿色设计标准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EB77730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1033"/>
        <w:gridCol w:w="2036"/>
        <w:gridCol w:w="728"/>
        <w:gridCol w:w="1971"/>
      </w:tblGrid>
      <w:tr w:rsidR="002F4528" w14:paraId="55A804F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06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66CF2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CEF" w14:textId="4ADEFEB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E4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1C3C" w14:textId="67DE9083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B3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11AE" w14:textId="605AF038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962381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A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CE0" w14:textId="1BBE6D23" w:rsidR="002F4528" w:rsidRDefault="002F4528" w:rsidP="00593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79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E5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105D" w14:paraId="4AB15E2F" w14:textId="77777777" w:rsidTr="00EF008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414" w14:textId="77777777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9E8" w14:textId="53A9D41B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16A" w14:textId="24FCE4A5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修改建议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396" w14:textId="77777777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A105D" w14:paraId="3D02EBFD" w14:textId="77777777" w:rsidTr="00712A2C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FDD" w14:textId="41B45DE6" w:rsidR="00FA105D" w:rsidRDefault="00FA105D" w:rsidP="00091296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20A1" w14:textId="5EC65661" w:rsidR="00FA105D" w:rsidRDefault="00091296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见下文举例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5326" w14:textId="4CAC1D78" w:rsidR="00FA105D" w:rsidRPr="00FE4A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A5AF" w14:textId="58F8679F" w:rsidR="00FA105D" w:rsidRPr="00FE4A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:rsidRPr="00411138" w14:paraId="67FF4CF1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257" w14:textId="7B5655E8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14B" w14:textId="72D548CA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6DBE" w14:textId="75D12069" w:rsidR="00FA105D" w:rsidRPr="00411138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F91" w14:textId="1E1063C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14:paraId="313758F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FA3" w14:textId="68C401A6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CDC" w14:textId="7B32D937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E43F" w14:textId="0D9A8026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B2B" w14:textId="3A2A8E1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14:paraId="2D10C89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973" w14:textId="65C754ED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733" w14:textId="7F406DF5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050" w14:textId="48A8653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73D" w14:textId="42802215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2C38F915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598" w14:textId="3F43047B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5204" w14:textId="7CCF7EDE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4F93" w14:textId="07B66F10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85D" w14:textId="757E41FD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68AAFB73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D73" w14:textId="60DAF46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642" w14:textId="3DC59B13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0A9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D17" w14:textId="090FCA03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91296" w14:paraId="733B64BE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0B3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5CA5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9EE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A032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91296" w14:paraId="5371C74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094A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3859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675A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A4D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7A147973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888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397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497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930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1B8F1A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E63D670" w14:textId="4E6D518E" w:rsidR="002F4528" w:rsidRDefault="002F4528" w:rsidP="002B4822">
      <w:pPr>
        <w:snapToGrid w:val="0"/>
        <w:spacing w:line="300" w:lineRule="auto"/>
      </w:pPr>
    </w:p>
    <w:p w14:paraId="38958613" w14:textId="5B456024" w:rsidR="002B4822" w:rsidRDefault="002B4822" w:rsidP="002B4822">
      <w:pPr>
        <w:snapToGrid w:val="0"/>
        <w:spacing w:line="300" w:lineRule="auto"/>
      </w:pPr>
    </w:p>
    <w:p w14:paraId="0F862BBC" w14:textId="5C540DB0" w:rsidR="002B4822" w:rsidRPr="002E0F90" w:rsidRDefault="002B4822" w:rsidP="002B4822">
      <w:pPr>
        <w:snapToGrid w:val="0"/>
        <w:spacing w:line="300" w:lineRule="auto"/>
        <w:rPr>
          <w:b/>
          <w:bCs/>
          <w:sz w:val="28"/>
          <w:szCs w:val="28"/>
        </w:rPr>
      </w:pPr>
      <w:r w:rsidRPr="002E0F90">
        <w:rPr>
          <w:rFonts w:hint="eastAsia"/>
          <w:b/>
          <w:bCs/>
          <w:sz w:val="28"/>
          <w:szCs w:val="28"/>
        </w:rPr>
        <w:t>举例</w:t>
      </w:r>
    </w:p>
    <w:p w14:paraId="1F9E00DE" w14:textId="7DF41D94" w:rsidR="002B4822" w:rsidRPr="002E0F90" w:rsidRDefault="002B4822" w:rsidP="002B4822">
      <w:pPr>
        <w:snapToGrid w:val="0"/>
        <w:spacing w:line="300" w:lineRule="auto"/>
        <w:rPr>
          <w:b/>
          <w:bCs/>
          <w:sz w:val="24"/>
          <w:szCs w:val="24"/>
        </w:rPr>
      </w:pPr>
      <w:r w:rsidRPr="002E0F90">
        <w:rPr>
          <w:rFonts w:hint="eastAsia"/>
          <w:b/>
          <w:bCs/>
          <w:sz w:val="24"/>
          <w:szCs w:val="24"/>
        </w:rPr>
        <w:t>1</w:t>
      </w:r>
      <w:r w:rsidRPr="002E0F90">
        <w:rPr>
          <w:rFonts w:hint="eastAsia"/>
          <w:b/>
          <w:bCs/>
          <w:sz w:val="24"/>
          <w:szCs w:val="24"/>
        </w:rPr>
        <w:t>、</w:t>
      </w:r>
      <w:r w:rsidR="002E0F90" w:rsidRPr="002E0F90">
        <w:rPr>
          <w:rFonts w:hint="eastAsia"/>
          <w:b/>
          <w:bCs/>
          <w:sz w:val="24"/>
          <w:szCs w:val="24"/>
        </w:rPr>
        <w:t>举例</w:t>
      </w:r>
      <w:r w:rsidRPr="002E0F90">
        <w:rPr>
          <w:rFonts w:hint="eastAsia"/>
          <w:b/>
          <w:bCs/>
          <w:sz w:val="24"/>
          <w:szCs w:val="24"/>
        </w:rPr>
        <w:t>征求意见稿条文内容</w:t>
      </w:r>
    </w:p>
    <w:p w14:paraId="393B0C2B" w14:textId="0F6CA49C" w:rsidR="002E0F90" w:rsidRDefault="002E0F90" w:rsidP="002E0F90">
      <w:pPr>
        <w:pStyle w:val="3"/>
        <w:numPr>
          <w:ilvl w:val="0"/>
          <w:numId w:val="0"/>
        </w:numPr>
      </w:pPr>
      <w:r>
        <w:rPr>
          <w:rFonts w:hint="eastAsia"/>
        </w:rPr>
        <w:t>3</w:t>
      </w:r>
      <w:r>
        <w:t>.5.9</w:t>
      </w:r>
      <w:r>
        <w:rPr>
          <w:rFonts w:hint="eastAsia"/>
        </w:rPr>
        <w:t>针对冷却塔，应能监测下列参数：</w:t>
      </w:r>
    </w:p>
    <w:p w14:paraId="294EA211" w14:textId="77777777" w:rsidR="002E0F90" w:rsidRDefault="002E0F90" w:rsidP="002E0F90">
      <w:pPr>
        <w:numPr>
          <w:ilvl w:val="0"/>
          <w:numId w:val="2"/>
        </w:numPr>
        <w:spacing w:line="360" w:lineRule="auto"/>
        <w:rPr>
          <w:szCs w:val="32"/>
        </w:rPr>
      </w:pPr>
      <w:r>
        <w:rPr>
          <w:rFonts w:hint="eastAsia"/>
        </w:rPr>
        <w:t>风机的启停、手自动和故障状态；</w:t>
      </w:r>
      <w:r>
        <w:rPr>
          <w:szCs w:val="32"/>
        </w:rPr>
        <w:t xml:space="preserve"> </w:t>
      </w:r>
    </w:p>
    <w:p w14:paraId="48AC34DA" w14:textId="77777777" w:rsidR="002E0F90" w:rsidRPr="00C21793" w:rsidRDefault="002E0F90" w:rsidP="002E0F90">
      <w:pPr>
        <w:numPr>
          <w:ilvl w:val="0"/>
          <w:numId w:val="2"/>
        </w:numPr>
        <w:spacing w:line="360" w:lineRule="auto"/>
        <w:rPr>
          <w:szCs w:val="32"/>
        </w:rPr>
      </w:pPr>
      <w:r>
        <w:rPr>
          <w:rFonts w:hint="eastAsia"/>
        </w:rPr>
        <w:t>进出塔水温；</w:t>
      </w:r>
    </w:p>
    <w:p w14:paraId="11745E66" w14:textId="77777777" w:rsidR="002E0F90" w:rsidRDefault="002E0F90" w:rsidP="002E0F90">
      <w:pPr>
        <w:numPr>
          <w:ilvl w:val="0"/>
          <w:numId w:val="2"/>
        </w:numPr>
        <w:spacing w:line="360" w:lineRule="auto"/>
        <w:rPr>
          <w:szCs w:val="32"/>
        </w:rPr>
      </w:pPr>
      <w:r>
        <w:rPr>
          <w:rFonts w:hint="eastAsia"/>
        </w:rPr>
        <w:t>逼近度；</w:t>
      </w:r>
    </w:p>
    <w:p w14:paraId="3856224E" w14:textId="77777777" w:rsidR="002E0F90" w:rsidRDefault="002E0F90" w:rsidP="002E0F9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风机变频器的频率或档位；</w:t>
      </w:r>
    </w:p>
    <w:p w14:paraId="5B6EED77" w14:textId="77777777" w:rsidR="002E0F90" w:rsidRDefault="002E0F90" w:rsidP="002E0F9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冷却塔风机电流、电压及功率；</w:t>
      </w:r>
    </w:p>
    <w:p w14:paraId="4998D3FC" w14:textId="77777777" w:rsidR="002E0F90" w:rsidRDefault="002E0F90" w:rsidP="002E0F9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集水盘液位。</w:t>
      </w:r>
    </w:p>
    <w:p w14:paraId="7BCBE0BF" w14:textId="7E7AA693" w:rsidR="00692B75" w:rsidRDefault="00692B75" w:rsidP="00692B75">
      <w:pPr>
        <w:pStyle w:val="3"/>
        <w:numPr>
          <w:ilvl w:val="0"/>
          <w:numId w:val="0"/>
        </w:numPr>
      </w:pPr>
      <w:r>
        <w:rPr>
          <w:rFonts w:hint="eastAsia"/>
        </w:rPr>
        <w:t>3</w:t>
      </w:r>
      <w:r>
        <w:t>.1.2</w:t>
      </w:r>
      <w:r>
        <w:rPr>
          <w:rFonts w:hint="eastAsia"/>
        </w:rPr>
        <w:t>高效机房系统的设计性能指标应包括下列内容：</w:t>
      </w:r>
    </w:p>
    <w:p w14:paraId="5779EE21" w14:textId="77777777" w:rsidR="00692B75" w:rsidRDefault="00692B75" w:rsidP="00692B75">
      <w:pPr>
        <w:pStyle w:val="ac"/>
        <w:numPr>
          <w:ilvl w:val="0"/>
          <w:numId w:val="3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制冷机房系统设计综合能效比（</w:t>
      </w:r>
      <w:proofErr w:type="spellStart"/>
      <w:r>
        <w:rPr>
          <w:i/>
          <w:iCs/>
          <w:color w:val="000000"/>
        </w:rPr>
        <w:t>EER</w:t>
      </w:r>
      <w:r>
        <w:rPr>
          <w:i/>
          <w:iCs/>
          <w:color w:val="000000"/>
          <w:vertAlign w:val="subscript"/>
        </w:rPr>
        <w:t>ad</w:t>
      </w:r>
      <w:proofErr w:type="spellEnd"/>
      <w:r>
        <w:rPr>
          <w:rFonts w:hint="eastAsia"/>
          <w:color w:val="000000"/>
        </w:rPr>
        <w:t>）；</w:t>
      </w:r>
    </w:p>
    <w:p w14:paraId="7BB153CF" w14:textId="77777777" w:rsidR="00692B75" w:rsidRDefault="00692B75" w:rsidP="00692B75">
      <w:pPr>
        <w:pStyle w:val="ac"/>
        <w:numPr>
          <w:ilvl w:val="0"/>
          <w:numId w:val="3"/>
        </w:numPr>
        <w:ind w:firstLineChars="0"/>
        <w:rPr>
          <w:color w:val="000000"/>
        </w:rPr>
      </w:pPr>
      <w:r>
        <w:rPr>
          <w:rFonts w:hint="eastAsia"/>
          <w:color w:val="000000"/>
        </w:rPr>
        <w:t>附属设备</w:t>
      </w:r>
      <w:r>
        <w:rPr>
          <w:rFonts w:cs="宋体"/>
        </w:rPr>
        <w:t>综合</w:t>
      </w:r>
      <w:r>
        <w:rPr>
          <w:rFonts w:cs="宋体" w:hint="eastAsia"/>
        </w:rPr>
        <w:t>耗电比预设值</w:t>
      </w:r>
      <w:r>
        <w:rPr>
          <w:rFonts w:hint="eastAsia"/>
          <w:color w:val="000000"/>
        </w:rPr>
        <w:t>（</w:t>
      </w:r>
      <w:proofErr w:type="spellStart"/>
      <w:r>
        <w:rPr>
          <w:i/>
          <w:iCs/>
          <w:color w:val="000000"/>
        </w:rPr>
        <w:t>λ</w:t>
      </w:r>
      <w:r>
        <w:rPr>
          <w:i/>
          <w:iCs/>
          <w:color w:val="000000"/>
          <w:vertAlign w:val="subscript"/>
        </w:rPr>
        <w:t>ap</w:t>
      </w:r>
      <w:proofErr w:type="spellEnd"/>
      <w:r>
        <w:rPr>
          <w:rFonts w:hint="eastAsia"/>
          <w:color w:val="000000"/>
        </w:rPr>
        <w:t>）；</w:t>
      </w:r>
    </w:p>
    <w:p w14:paraId="5CE914A6" w14:textId="77777777" w:rsidR="00692B75" w:rsidRDefault="00692B75" w:rsidP="00692B75">
      <w:pPr>
        <w:pStyle w:val="ac"/>
        <w:numPr>
          <w:ilvl w:val="0"/>
          <w:numId w:val="3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冷水机组</w:t>
      </w:r>
      <w:r>
        <w:rPr>
          <w:rFonts w:cs="宋体"/>
        </w:rPr>
        <w:t>设计综合</w:t>
      </w:r>
      <w:r>
        <w:rPr>
          <w:rFonts w:cs="宋体" w:hint="eastAsia"/>
        </w:rPr>
        <w:t>性能系数（</w:t>
      </w:r>
      <w:proofErr w:type="spellStart"/>
      <w:r>
        <w:rPr>
          <w:i/>
        </w:rPr>
        <w:t>COP</w:t>
      </w:r>
      <w:r w:rsidRPr="00897777">
        <w:rPr>
          <w:i/>
          <w:iCs/>
          <w:vertAlign w:val="subscript"/>
        </w:rPr>
        <w:t>ad</w:t>
      </w:r>
      <w:proofErr w:type="spellEnd"/>
      <w:r>
        <w:rPr>
          <w:rFonts w:cs="宋体" w:hint="eastAsia"/>
        </w:rPr>
        <w:t>）</w:t>
      </w:r>
      <w:r>
        <w:rPr>
          <w:rFonts w:hint="eastAsia"/>
          <w:color w:val="000000"/>
        </w:rPr>
        <w:t>；</w:t>
      </w:r>
    </w:p>
    <w:p w14:paraId="74CA063C" w14:textId="77777777" w:rsidR="00692B75" w:rsidRDefault="00692B75" w:rsidP="00692B75">
      <w:pPr>
        <w:pStyle w:val="ac"/>
        <w:numPr>
          <w:ilvl w:val="0"/>
          <w:numId w:val="3"/>
        </w:numPr>
        <w:ind w:firstLineChars="0"/>
      </w:pPr>
      <w:r>
        <w:t>冷冻水输送系数（</w:t>
      </w:r>
      <w:proofErr w:type="spellStart"/>
      <w:r w:rsidRPr="004A0DB9">
        <w:rPr>
          <w:i/>
          <w:iCs/>
        </w:rPr>
        <w:t>WHF</w:t>
      </w:r>
      <w:r w:rsidRPr="004A0DB9">
        <w:rPr>
          <w:i/>
          <w:iCs/>
          <w:vertAlign w:val="subscript"/>
        </w:rPr>
        <w:t>chw</w:t>
      </w:r>
      <w:proofErr w:type="spellEnd"/>
      <w:r>
        <w:t>）；</w:t>
      </w:r>
    </w:p>
    <w:p w14:paraId="055E1526" w14:textId="77777777" w:rsidR="00692B75" w:rsidRPr="00C21793" w:rsidRDefault="00692B75" w:rsidP="00692B75">
      <w:pPr>
        <w:pStyle w:val="ac"/>
        <w:numPr>
          <w:ilvl w:val="0"/>
          <w:numId w:val="3"/>
        </w:numPr>
        <w:ind w:firstLineChars="0"/>
        <w:rPr>
          <w:color w:val="000000"/>
        </w:rPr>
      </w:pPr>
      <w:r>
        <w:t>冷却水输送系数（</w:t>
      </w:r>
      <w:proofErr w:type="spellStart"/>
      <w:r w:rsidRPr="004A0DB9">
        <w:rPr>
          <w:i/>
          <w:iCs/>
        </w:rPr>
        <w:t>WHF</w:t>
      </w:r>
      <w:r w:rsidRPr="004A0DB9">
        <w:rPr>
          <w:i/>
          <w:iCs/>
          <w:vertAlign w:val="subscript"/>
        </w:rPr>
        <w:t>cw</w:t>
      </w:r>
      <w:proofErr w:type="spellEnd"/>
      <w:r>
        <w:t>）</w:t>
      </w:r>
      <w:r>
        <w:rPr>
          <w:rFonts w:hint="eastAsia"/>
        </w:rPr>
        <w:t>；</w:t>
      </w:r>
    </w:p>
    <w:p w14:paraId="055E1545" w14:textId="77777777" w:rsidR="00692B75" w:rsidRDefault="00692B75" w:rsidP="00692B75">
      <w:pPr>
        <w:pStyle w:val="ac"/>
        <w:numPr>
          <w:ilvl w:val="0"/>
          <w:numId w:val="3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冷却塔耗电比。</w:t>
      </w:r>
    </w:p>
    <w:p w14:paraId="2469632B" w14:textId="77777777" w:rsidR="002B4822" w:rsidRDefault="002B4822" w:rsidP="002B4822">
      <w:pPr>
        <w:snapToGrid w:val="0"/>
        <w:spacing w:line="300" w:lineRule="auto"/>
        <w:rPr>
          <w:rFonts w:hint="eastAsia"/>
        </w:rPr>
      </w:pPr>
    </w:p>
    <w:p w14:paraId="12032871" w14:textId="5F0070DB" w:rsidR="002B4822" w:rsidRPr="002E0F90" w:rsidRDefault="002B4822" w:rsidP="002B4822">
      <w:pPr>
        <w:snapToGrid w:val="0"/>
        <w:spacing w:line="300" w:lineRule="auto"/>
        <w:rPr>
          <w:b/>
          <w:bCs/>
          <w:sz w:val="24"/>
          <w:szCs w:val="24"/>
        </w:rPr>
      </w:pPr>
      <w:r w:rsidRPr="002E0F90">
        <w:rPr>
          <w:b/>
          <w:bCs/>
          <w:sz w:val="24"/>
          <w:szCs w:val="24"/>
        </w:rPr>
        <w:t>2</w:t>
      </w:r>
      <w:r w:rsidRPr="002E0F90">
        <w:rPr>
          <w:rFonts w:hint="eastAsia"/>
          <w:b/>
          <w:bCs/>
          <w:sz w:val="24"/>
          <w:szCs w:val="24"/>
        </w:rPr>
        <w:t>、征求意见表填表示例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2764"/>
        <w:gridCol w:w="2764"/>
        <w:gridCol w:w="1971"/>
      </w:tblGrid>
      <w:tr w:rsidR="002B4822" w14:paraId="1D43D535" w14:textId="77777777" w:rsidTr="00CD415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8FA" w14:textId="77777777" w:rsidR="002B4822" w:rsidRDefault="002B4822" w:rsidP="00CD41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B0E" w14:textId="77777777" w:rsidR="002B4822" w:rsidRDefault="002B4822" w:rsidP="00CD41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A8ED" w14:textId="77777777" w:rsidR="002B4822" w:rsidRDefault="002B4822" w:rsidP="00CD41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修改建议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7B38" w14:textId="77777777" w:rsidR="002B4822" w:rsidRDefault="002B4822" w:rsidP="00CD41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E0F90" w:rsidRPr="002E0F90" w14:paraId="7C8B6B74" w14:textId="77777777" w:rsidTr="00CD415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F21" w14:textId="21F4746D" w:rsidR="002E0F90" w:rsidRPr="002E0F90" w:rsidRDefault="002E0F90" w:rsidP="002E0F9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E0F90">
              <w:rPr>
                <w:rFonts w:ascii="楷体_GB2312" w:eastAsia="楷体_GB2312" w:hint="eastAsia"/>
                <w:bCs/>
                <w:sz w:val="24"/>
              </w:rPr>
              <w:t>3</w:t>
            </w:r>
            <w:r w:rsidRPr="002E0F90">
              <w:rPr>
                <w:rFonts w:ascii="楷体_GB2312" w:eastAsia="楷体_GB2312"/>
                <w:bCs/>
                <w:sz w:val="24"/>
              </w:rPr>
              <w:t>.5.9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1CC3" w14:textId="6F31EEB1" w:rsidR="002E0F90" w:rsidRPr="002E0F90" w:rsidRDefault="002E0F90" w:rsidP="002E0F90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 w:rsidRPr="002E0F90">
              <w:rPr>
                <w:rFonts w:ascii="楷体_GB2312" w:eastAsia="楷体_GB2312" w:hint="eastAsia"/>
                <w:bCs/>
                <w:sz w:val="24"/>
              </w:rPr>
              <w:t>冷却塔监测功能增加室外温湿度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4A3" w14:textId="712CEE26" w:rsidR="002E0F90" w:rsidRPr="002E0F90" w:rsidRDefault="002E0F90" w:rsidP="002E0F9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E0F90">
              <w:rPr>
                <w:rFonts w:ascii="楷体_GB2312" w:eastAsia="楷体_GB2312" w:hint="eastAsia"/>
                <w:bCs/>
                <w:sz w:val="24"/>
              </w:rPr>
              <w:t>增加：7.室外干湿球温度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A4FE" w14:textId="11BA2484" w:rsidR="002E0F90" w:rsidRPr="002E0F90" w:rsidRDefault="002E0F90" w:rsidP="002E0F9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E0F90">
              <w:rPr>
                <w:rFonts w:ascii="楷体_GB2312" w:eastAsia="楷体_GB2312" w:hint="eastAsia"/>
                <w:bCs/>
                <w:sz w:val="24"/>
              </w:rPr>
              <w:t>便于观察</w:t>
            </w:r>
            <w:r>
              <w:rPr>
                <w:rFonts w:ascii="楷体_GB2312" w:eastAsia="楷体_GB2312" w:hint="eastAsia"/>
                <w:bCs/>
                <w:sz w:val="24"/>
              </w:rPr>
              <w:t>确定</w:t>
            </w:r>
            <w:r w:rsidRPr="002E0F90">
              <w:rPr>
                <w:rFonts w:ascii="楷体_GB2312" w:eastAsia="楷体_GB2312" w:hint="eastAsia"/>
                <w:bCs/>
                <w:sz w:val="24"/>
              </w:rPr>
              <w:t>低湿球温度(过渡季和冬季)的优化控制</w:t>
            </w:r>
          </w:p>
        </w:tc>
      </w:tr>
      <w:tr w:rsidR="002E0F90" w:rsidRPr="002E0F90" w14:paraId="79D69B4C" w14:textId="77777777" w:rsidTr="00CD415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B5F" w14:textId="36CC1A34" w:rsidR="002E0F90" w:rsidRPr="002E0F90" w:rsidRDefault="00490E27" w:rsidP="002E0F90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3</w:t>
            </w:r>
            <w:r>
              <w:rPr>
                <w:rFonts w:ascii="楷体_GB2312" w:eastAsia="楷体_GB2312"/>
                <w:bCs/>
                <w:sz w:val="24"/>
              </w:rPr>
              <w:t>.1.2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CED4" w14:textId="3DA0BAB0" w:rsidR="002E0F90" w:rsidRPr="002E0F90" w:rsidRDefault="00490E27" w:rsidP="002E0F90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统一冷冻水和冷水的描述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366" w14:textId="4610C86C" w:rsidR="002E0F90" w:rsidRPr="002E0F90" w:rsidRDefault="00490E27" w:rsidP="002E0F90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 w:rsidRPr="00490E27">
              <w:rPr>
                <w:rFonts w:ascii="楷体_GB2312" w:eastAsia="楷体_GB2312" w:hint="eastAsia"/>
                <w:bCs/>
                <w:sz w:val="24"/>
              </w:rPr>
              <w:t>建议调整为“冷水输送系统”（建议将全文中125处“冷冻水”均调整为“冷水”）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55C" w14:textId="429BD616" w:rsidR="002E0F90" w:rsidRPr="002E0F90" w:rsidRDefault="00490E27" w:rsidP="002E0F90">
            <w:pPr>
              <w:jc w:val="center"/>
              <w:rPr>
                <w:rFonts w:ascii="楷体_GB2312" w:eastAsia="楷体_GB2312" w:hint="eastAsia"/>
                <w:bCs/>
                <w:sz w:val="24"/>
              </w:rPr>
            </w:pPr>
            <w:r w:rsidRPr="00490E27">
              <w:rPr>
                <w:rFonts w:ascii="楷体_GB2312" w:eastAsia="楷体_GB2312" w:hint="eastAsia"/>
                <w:bCs/>
                <w:sz w:val="24"/>
              </w:rPr>
              <w:t>根据《供暖通风与空气调节术语标准》（GB/T 50155-2015）中的7.1.7</w:t>
            </w:r>
          </w:p>
        </w:tc>
      </w:tr>
    </w:tbl>
    <w:p w14:paraId="2B38771F" w14:textId="77777777" w:rsidR="002B4822" w:rsidRDefault="002B4822" w:rsidP="002B4822">
      <w:pPr>
        <w:snapToGrid w:val="0"/>
        <w:spacing w:line="300" w:lineRule="auto"/>
        <w:rPr>
          <w:rFonts w:hint="eastAsia"/>
        </w:rPr>
      </w:pPr>
    </w:p>
    <w:sectPr w:rsidR="002B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AFC3" w14:textId="77777777" w:rsidR="00DB5972" w:rsidRDefault="00DB5972" w:rsidP="00892971">
      <w:r>
        <w:separator/>
      </w:r>
    </w:p>
  </w:endnote>
  <w:endnote w:type="continuationSeparator" w:id="0">
    <w:p w14:paraId="2C34B8CD" w14:textId="77777777" w:rsidR="00DB5972" w:rsidRDefault="00DB597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099F" w14:textId="77777777" w:rsidR="00DB5972" w:rsidRDefault="00DB5972" w:rsidP="00892971">
      <w:r>
        <w:separator/>
      </w:r>
    </w:p>
  </w:footnote>
  <w:footnote w:type="continuationSeparator" w:id="0">
    <w:p w14:paraId="56B0352D" w14:textId="77777777" w:rsidR="00DB5972" w:rsidRDefault="00DB5972" w:rsidP="0089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47E9"/>
    <w:multiLevelType w:val="multilevel"/>
    <w:tmpl w:val="192547E9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pStyle w:val="2"/>
      <w:lvlText w:val="%1.%2."/>
      <w:lvlJc w:val="left"/>
      <w:pPr>
        <w:ind w:left="5813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lvlText w:val="%1.%2.%3.%4."/>
      <w:lvlJc w:val="left"/>
      <w:pPr>
        <w:ind w:left="1419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1" w15:restartNumberingAfterBreak="0">
    <w:nsid w:val="3BAF772A"/>
    <w:multiLevelType w:val="multilevel"/>
    <w:tmpl w:val="3BAF772A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21024C3"/>
    <w:multiLevelType w:val="multilevel"/>
    <w:tmpl w:val="421024C3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hint="default"/>
        <w:b/>
        <w:i w:val="0"/>
        <w:sz w:val="24"/>
      </w:rPr>
    </w:lvl>
    <w:lvl w:ilvl="1">
      <w:numFmt w:val="bullet"/>
      <w:lvlText w:val="•"/>
      <w:lvlJc w:val="left"/>
      <w:pPr>
        <w:ind w:left="126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296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2D7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4822"/>
    <w:rsid w:val="002B706C"/>
    <w:rsid w:val="002B7782"/>
    <w:rsid w:val="002C04FC"/>
    <w:rsid w:val="002C36A1"/>
    <w:rsid w:val="002C6012"/>
    <w:rsid w:val="002D19BA"/>
    <w:rsid w:val="002D2E5C"/>
    <w:rsid w:val="002E0911"/>
    <w:rsid w:val="002E0F90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1138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E27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0770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3470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2B75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17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98F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B740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179E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2F2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1F27"/>
    <w:rsid w:val="00B17F58"/>
    <w:rsid w:val="00B217F4"/>
    <w:rsid w:val="00B22CA5"/>
    <w:rsid w:val="00B26999"/>
    <w:rsid w:val="00B310A4"/>
    <w:rsid w:val="00B3390D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489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5972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B72DA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0E7D"/>
    <w:rsid w:val="00FA105D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E4A5D"/>
    <w:rsid w:val="00FE5AD7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B64A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0F90"/>
    <w:pPr>
      <w:keepNext/>
      <w:keepLines/>
      <w:numPr>
        <w:numId w:val="1"/>
      </w:numPr>
      <w:spacing w:before="120" w:after="12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0F90"/>
    <w:pPr>
      <w:keepNext/>
      <w:keepLines/>
      <w:numPr>
        <w:ilvl w:val="1"/>
        <w:numId w:val="1"/>
      </w:numPr>
      <w:spacing w:before="60" w:after="60" w:line="360" w:lineRule="auto"/>
      <w:ind w:left="0"/>
      <w:outlineLvl w:val="1"/>
    </w:pPr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0F90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kern w:val="0"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E0F9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eastAsia="宋体" w:hAnsi="Times New Roman" w:cstheme="majorBidi"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34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3470"/>
    <w:rPr>
      <w:kern w:val="2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4A5D"/>
    <w:pPr>
      <w:widowControl/>
      <w:spacing w:before="75" w:after="30" w:line="360" w:lineRule="auto"/>
      <w:ind w:firstLineChars="200" w:firstLine="200"/>
    </w:pPr>
    <w:rPr>
      <w:rFonts w:ascii="Times New Roman" w:eastAsia="宋体" w:hAnsi="Times New Roman" w:cs="Times New Roman"/>
      <w:bCs/>
      <w:color w:val="0070C0"/>
      <w:kern w:val="0"/>
      <w:sz w:val="28"/>
      <w:szCs w:val="24"/>
    </w:rPr>
  </w:style>
  <w:style w:type="character" w:customStyle="1" w:styleId="aa">
    <w:name w:val="批注文字 字符"/>
    <w:basedOn w:val="a0"/>
    <w:link w:val="a9"/>
    <w:uiPriority w:val="99"/>
    <w:rsid w:val="00FE4A5D"/>
    <w:rPr>
      <w:rFonts w:ascii="Times New Roman" w:eastAsia="宋体" w:hAnsi="Times New Roman" w:cs="Times New Roman"/>
      <w:bCs/>
      <w:color w:val="0070C0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FE4A5D"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2E0F90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E0F90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2E0F90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2E0F90"/>
    <w:rPr>
      <w:rFonts w:ascii="Times New Roman" w:eastAsia="宋体" w:hAnsi="Times New Roman" w:cstheme="majorBidi"/>
      <w:bCs/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92B75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ad">
    <w:name w:val="列表段落 字符"/>
    <w:link w:val="ac"/>
    <w:uiPriority w:val="34"/>
    <w:qFormat/>
    <w:rsid w:val="00692B75"/>
    <w:rPr>
      <w:rFonts w:ascii="Times New Roman" w:eastAsia="宋体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cheng</cp:lastModifiedBy>
  <cp:revision>12</cp:revision>
  <dcterms:created xsi:type="dcterms:W3CDTF">2021-06-09T01:22:00Z</dcterms:created>
  <dcterms:modified xsi:type="dcterms:W3CDTF">2022-01-24T03:43:00Z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