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12" w:lineRule="auto"/>
        <w:rPr>
          <w:rFonts w:hint="default" w:ascii="Times New Roman" w:hAnsi="Times New Roman" w:eastAsiaTheme="minorEastAsia"/>
          <w:color w:val="auto"/>
          <w:highlight w:val="none"/>
          <w:lang w:val="en-US" w:eastAsia="zh-CN"/>
        </w:rPr>
      </w:pPr>
      <w:bookmarkStart w:id="0" w:name="_Toc29699"/>
      <w:bookmarkStart w:id="1" w:name="_Toc40342596"/>
      <w:bookmarkStart w:id="2" w:name="_Toc4630"/>
      <w:bookmarkStart w:id="3" w:name="_Toc14354"/>
      <w:bookmarkStart w:id="4" w:name="_Toc25810"/>
      <w:bookmarkStart w:id="5" w:name="_Toc87457108"/>
      <w:bookmarkStart w:id="6" w:name="_Toc87457732"/>
      <w:bookmarkStart w:id="7" w:name="_Toc9840"/>
      <w:bookmarkStart w:id="8" w:name="_Toc87450041"/>
      <w:bookmarkStart w:id="9" w:name="_Toc40341873"/>
      <w:bookmarkStart w:id="10" w:name="_Toc19636"/>
      <w:bookmarkStart w:id="11" w:name="_Toc30048"/>
      <w:bookmarkStart w:id="12" w:name="_Toc16587"/>
      <w:bookmarkStart w:id="13" w:name="_Toc26606"/>
      <w:r>
        <w:rPr>
          <w:rFonts w:hint="eastAsia" w:ascii="Times New Roman" w:hAnsi="Times New Roman"/>
          <w:color w:val="auto"/>
          <w:highlight w:val="none"/>
          <w:lang w:val="en-US" w:eastAsia="zh-CN"/>
        </w:rPr>
        <w:t xml:space="preserve">                                     </w:t>
      </w:r>
    </w:p>
    <w:p>
      <w:pPr>
        <w:snapToGrid w:val="0"/>
        <w:spacing w:line="312" w:lineRule="auto"/>
        <w:rPr>
          <w:rFonts w:hint="default" w:ascii="Times New Roman" w:hAnsi="Times New Roman" w:eastAsiaTheme="minorEastAsia"/>
          <w:color w:val="auto"/>
          <w:highlight w:val="none"/>
          <w:lang w:val="en-US" w:eastAsia="zh-CN"/>
        </w:rPr>
      </w:pPr>
      <w:r>
        <w:rPr>
          <w:rFonts w:hint="eastAsia" w:ascii="Times New Roman" w:hAnsi="Times New Roman" w:cs="宋体"/>
          <w:b/>
          <w:bCs/>
          <w:color w:val="auto"/>
          <w:kern w:val="0"/>
          <w:sz w:val="24"/>
          <w:highlight w:val="none"/>
        </w:rPr>
        <w:t xml:space="preserve">  </w:t>
      </w:r>
      <w:r>
        <w:rPr>
          <w:color w:val="auto"/>
          <w:highlight w:val="none"/>
        </w:rPr>
        <w:drawing>
          <wp:inline distT="0" distB="0" distL="114300" distR="114300">
            <wp:extent cx="1359535" cy="693420"/>
            <wp:effectExtent l="0" t="0" r="12065"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rcRect b="3534"/>
                    <a:stretch>
                      <a:fillRect/>
                    </a:stretch>
                  </pic:blipFill>
                  <pic:spPr>
                    <a:xfrm>
                      <a:off x="0" y="0"/>
                      <a:ext cx="1359535" cy="693420"/>
                    </a:xfrm>
                    <a:prstGeom prst="rect">
                      <a:avLst/>
                    </a:prstGeom>
                    <a:noFill/>
                    <a:ln>
                      <a:noFill/>
                    </a:ln>
                  </pic:spPr>
                </pic:pic>
              </a:graphicData>
            </a:graphic>
          </wp:inline>
        </w:drawing>
      </w:r>
      <w:r>
        <w:rPr>
          <w:rFonts w:hint="eastAsia" w:ascii="Times New Roman" w:hAnsi="Times New Roman" w:cs="宋体"/>
          <w:b/>
          <w:bCs/>
          <w:color w:val="auto"/>
          <w:kern w:val="0"/>
          <w:sz w:val="24"/>
          <w:highlight w:val="none"/>
        </w:rPr>
        <w:t xml:space="preserve">                          </w:t>
      </w:r>
      <w:r>
        <w:rPr>
          <w:rFonts w:ascii="Times New Roman" w:hAnsi="Times New Roman"/>
          <w:color w:val="auto"/>
          <w:sz w:val="28"/>
          <w:szCs w:val="28"/>
          <w:highlight w:val="none"/>
        </w:rPr>
        <w:t>T/CECS</w:t>
      </w:r>
      <w:r>
        <w:rPr>
          <w:rFonts w:hint="eastAsia" w:ascii="Times New Roman" w:hAnsi="Times New Roman"/>
          <w:color w:val="auto"/>
          <w:sz w:val="28"/>
          <w:szCs w:val="28"/>
          <w:highlight w:val="none"/>
        </w:rPr>
        <w:t>xxx-20</w:t>
      </w:r>
      <w:r>
        <w:rPr>
          <w:rFonts w:hint="eastAsia" w:ascii="Times New Roman" w:hAnsi="Times New Roman"/>
          <w:color w:val="auto"/>
          <w:sz w:val="28"/>
          <w:szCs w:val="28"/>
          <w:highlight w:val="none"/>
          <w:lang w:val="en-US" w:eastAsia="zh-CN"/>
        </w:rPr>
        <w:t>2</w:t>
      </w:r>
      <w:r>
        <w:rPr>
          <w:rFonts w:hint="eastAsia" w:ascii="Times New Roman" w:hAnsi="Times New Roman"/>
          <w:color w:val="auto"/>
          <w:sz w:val="28"/>
          <w:szCs w:val="28"/>
          <w:highlight w:val="none"/>
        </w:rPr>
        <w:t>x</w:t>
      </w:r>
    </w:p>
    <w:p>
      <w:pPr>
        <w:snapToGrid w:val="0"/>
        <w:spacing w:line="312" w:lineRule="auto"/>
        <w:rPr>
          <w:rFonts w:ascii="Times New Roman" w:hAnsi="Times New Roman"/>
          <w:color w:val="auto"/>
          <w:sz w:val="36"/>
          <w:szCs w:val="36"/>
          <w:highlight w:val="none"/>
        </w:rPr>
      </w:pPr>
      <w:r>
        <w:rPr>
          <w:rFonts w:ascii="Times New Roman" w:hAnsi="Times New Roman"/>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143500" cy="0"/>
                <wp:effectExtent l="0" t="0" r="0" b="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0pt;margin-top:0pt;height:0pt;width:405pt;z-index:251661312;mso-width-relative:page;mso-height-relative:page;" filled="f" stroked="t" coordsize="21600,21600" o:gfxdata="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mHqG9AAAAACAQAA&#10;DwAAAAAAAAABACAAAAAiAAAAZHJzL2Rvd25yZXYueG1sUEsBAhQAFAAAAAgAh07iQOlLEiXoAQAA&#10;uAMAAA4AAAAAAAAAAQAgAAAAHwEAAGRycy9lMm9Eb2MueG1sUEsFBgAAAAAGAAYAWQEAAHkFAAAA&#10;AA==&#10;">
                <v:fill on="f" focussize="0,0"/>
                <v:stroke color="#000000" joinstyle="round"/>
                <v:imagedata o:title=""/>
                <o:lock v:ext="edit" aspectratio="f"/>
              </v:line>
            </w:pict>
          </mc:Fallback>
        </mc:AlternateContent>
      </w:r>
    </w:p>
    <w:p>
      <w:pPr>
        <w:snapToGrid w:val="0"/>
        <w:spacing w:line="312" w:lineRule="auto"/>
        <w:jc w:val="center"/>
        <w:rPr>
          <w:rFonts w:ascii="Times New Roman" w:hAnsi="Times New Roman"/>
          <w:color w:val="auto"/>
          <w:sz w:val="36"/>
          <w:szCs w:val="36"/>
          <w:highlight w:val="none"/>
        </w:rPr>
      </w:pPr>
    </w:p>
    <w:p>
      <w:pPr>
        <w:snapToGrid w:val="0"/>
        <w:spacing w:line="312" w:lineRule="auto"/>
        <w:jc w:val="center"/>
        <w:rPr>
          <w:rFonts w:ascii="Times New Roman" w:hAnsi="Times New Roman"/>
          <w:color w:val="auto"/>
          <w:sz w:val="36"/>
          <w:szCs w:val="36"/>
          <w:highlight w:val="none"/>
        </w:rPr>
      </w:pPr>
      <w:r>
        <w:rPr>
          <w:rFonts w:hint="eastAsia" w:ascii="Times New Roman" w:hAnsi="Times New Roman"/>
          <w:color w:val="auto"/>
          <w:sz w:val="36"/>
          <w:szCs w:val="36"/>
          <w:highlight w:val="none"/>
        </w:rPr>
        <w:t>中 国 工 程 建 设 标 准 化 协 会 标 准</w:t>
      </w:r>
    </w:p>
    <w:p>
      <w:pPr>
        <w:snapToGrid w:val="0"/>
        <w:spacing w:line="312" w:lineRule="auto"/>
        <w:jc w:val="both"/>
        <w:rPr>
          <w:rFonts w:ascii="Times New Roman" w:hAnsi="Times New Roman"/>
          <w:color w:val="auto"/>
          <w:sz w:val="44"/>
          <w:szCs w:val="44"/>
          <w:highlight w:val="none"/>
        </w:rPr>
      </w:pPr>
    </w:p>
    <w:p>
      <w:pPr>
        <w:snapToGrid w:val="0"/>
        <w:spacing w:line="312" w:lineRule="auto"/>
        <w:jc w:val="center"/>
        <w:rPr>
          <w:rFonts w:ascii="Times New Roman" w:hAnsi="Times New Roman"/>
          <w:color w:val="auto"/>
          <w:sz w:val="44"/>
          <w:szCs w:val="44"/>
          <w:highlight w:val="none"/>
        </w:rPr>
      </w:pPr>
    </w:p>
    <w:p>
      <w:pPr>
        <w:pStyle w:val="27"/>
        <w:widowControl w:val="0"/>
        <w:shd w:val="clear" w:color="auto" w:fill="FFFFFF"/>
        <w:snapToGrid w:val="0"/>
        <w:spacing w:before="0" w:beforeAutospacing="0" w:after="0" w:line="312" w:lineRule="auto"/>
        <w:jc w:val="center"/>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防沉降井盖</w:t>
      </w:r>
      <w:r>
        <w:rPr>
          <w:rFonts w:hint="eastAsia" w:ascii="黑体" w:hAnsi="黑体" w:eastAsia="黑体" w:cs="黑体"/>
          <w:color w:val="auto"/>
          <w:sz w:val="52"/>
          <w:szCs w:val="52"/>
          <w:highlight w:val="none"/>
          <w:lang w:eastAsia="zh-CN"/>
        </w:rPr>
        <w:t>安装</w:t>
      </w:r>
      <w:r>
        <w:rPr>
          <w:rFonts w:hint="eastAsia" w:ascii="黑体" w:hAnsi="黑体" w:eastAsia="黑体" w:cs="黑体"/>
          <w:color w:val="auto"/>
          <w:sz w:val="52"/>
          <w:szCs w:val="52"/>
          <w:highlight w:val="none"/>
          <w:lang w:val="en-US" w:eastAsia="zh-CN"/>
        </w:rPr>
        <w:t>及验收</w:t>
      </w:r>
      <w:r>
        <w:rPr>
          <w:rFonts w:hint="eastAsia" w:ascii="黑体" w:hAnsi="黑体" w:eastAsia="黑体" w:cs="黑体"/>
          <w:color w:val="auto"/>
          <w:sz w:val="52"/>
          <w:szCs w:val="52"/>
          <w:highlight w:val="none"/>
        </w:rPr>
        <w:t>技术规程</w:t>
      </w:r>
    </w:p>
    <w:p>
      <w:pPr>
        <w:pStyle w:val="27"/>
        <w:widowControl w:val="0"/>
        <w:shd w:val="clear" w:color="auto" w:fill="FFFFFF"/>
        <w:snapToGrid w:val="0"/>
        <w:spacing w:before="0" w:beforeAutospacing="0" w:after="0" w:line="312" w:lineRule="auto"/>
        <w:jc w:val="center"/>
        <w:rPr>
          <w:rFonts w:hint="default" w:ascii="Arial" w:hAnsi="Arial" w:cs="Arial"/>
          <w:i w:val="0"/>
          <w:iCs w:val="0"/>
          <w:caps w:val="0"/>
          <w:color w:val="auto"/>
          <w:spacing w:val="0"/>
          <w:sz w:val="14"/>
          <w:szCs w:val="14"/>
          <w:highlight w:val="none"/>
        </w:rPr>
      </w:pPr>
      <w:r>
        <w:rPr>
          <w:rFonts w:hint="default" w:ascii="Arial" w:hAnsi="Arial" w:eastAsia="宋体" w:cs="Arial"/>
          <w:i w:val="0"/>
          <w:iCs w:val="0"/>
          <w:caps w:val="0"/>
          <w:color w:val="auto"/>
          <w:spacing w:val="0"/>
          <w:kern w:val="0"/>
          <w:sz w:val="28"/>
          <w:szCs w:val="28"/>
          <w:highlight w:val="none"/>
          <w:shd w:val="clear" w:fill="FFFFFF"/>
          <w:lang w:val="en-US" w:eastAsia="zh-CN" w:bidi="ar"/>
        </w:rPr>
        <w:pict>
          <v:shape id="_x0000_i1025" o:spt="201" type="#_x0000_t201" style="height:0pt;width:0.05pt;" filled="f" coordsize="21600,21600">
            <v:path/>
            <v:fill on="f" focussize="0,0"/>
            <v:stroke/>
            <v:imagedata o:title=""/>
            <o:lock v:ext="edit" aspectratio="t"/>
            <w10:wrap type="none"/>
            <w10:anchorlock/>
          </v:shape>
        </w:pict>
      </w:r>
      <w:r>
        <w:rPr>
          <w:rFonts w:hint="default" w:ascii="Arial" w:hAnsi="Arial" w:eastAsia="宋体" w:cs="Arial"/>
          <w:i w:val="0"/>
          <w:iCs w:val="0"/>
          <w:caps w:val="0"/>
          <w:color w:val="auto"/>
          <w:spacing w:val="0"/>
          <w:kern w:val="0"/>
          <w:sz w:val="14"/>
          <w:szCs w:val="14"/>
          <w:highlight w:val="none"/>
          <w:u w:val="none"/>
          <w:shd w:val="clear" w:fill="FFFFFF"/>
          <w:lang w:val="en-US" w:eastAsia="zh-CN" w:bidi="ar"/>
        </w:rPr>
        <w:fldChar w:fldCharType="begin"/>
      </w:r>
      <w:r>
        <w:rPr>
          <w:rFonts w:hint="default" w:ascii="Arial" w:hAnsi="Arial" w:eastAsia="宋体" w:cs="Arial"/>
          <w:i w:val="0"/>
          <w:iCs w:val="0"/>
          <w:caps w:val="0"/>
          <w:color w:val="auto"/>
          <w:spacing w:val="0"/>
          <w:kern w:val="0"/>
          <w:sz w:val="14"/>
          <w:szCs w:val="14"/>
          <w:highlight w:val="none"/>
          <w:u w:val="none"/>
          <w:shd w:val="clear" w:fill="FFFFFF"/>
          <w:lang w:val="en-US" w:eastAsia="zh-CN" w:bidi="ar"/>
        </w:rPr>
        <w:instrText xml:space="preserve"> HYPERLINK "https://fanyi.baidu.com/" \l "##" </w:instrText>
      </w:r>
      <w:r>
        <w:rPr>
          <w:rFonts w:hint="default" w:ascii="Arial" w:hAnsi="Arial" w:eastAsia="宋体" w:cs="Arial"/>
          <w:i w:val="0"/>
          <w:iCs w:val="0"/>
          <w:caps w:val="0"/>
          <w:color w:val="auto"/>
          <w:spacing w:val="0"/>
          <w:kern w:val="0"/>
          <w:sz w:val="14"/>
          <w:szCs w:val="14"/>
          <w:highlight w:val="none"/>
          <w:u w:val="none"/>
          <w:shd w:val="clear" w:fill="FFFFFF"/>
          <w:lang w:val="en-US" w:eastAsia="zh-CN" w:bidi="ar"/>
        </w:rPr>
        <w:fldChar w:fldCharType="separate"/>
      </w:r>
      <w:r>
        <w:rPr>
          <w:rFonts w:hint="default" w:ascii="Arial" w:hAnsi="Arial" w:eastAsia="宋体" w:cs="Arial"/>
          <w:i w:val="0"/>
          <w:iCs w:val="0"/>
          <w:caps w:val="0"/>
          <w:color w:val="auto"/>
          <w:spacing w:val="0"/>
          <w:kern w:val="0"/>
          <w:sz w:val="14"/>
          <w:szCs w:val="14"/>
          <w:highlight w:val="none"/>
          <w:u w:val="none"/>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ind w:left="84" w:right="108" w:firstLine="0"/>
        <w:jc w:val="left"/>
        <w:rPr>
          <w:rFonts w:hint="default" w:ascii="Arial" w:hAnsi="Arial" w:cs="Arial"/>
          <w:i w:val="0"/>
          <w:iCs w:val="0"/>
          <w:caps w:val="0"/>
          <w:color w:val="auto"/>
          <w:spacing w:val="0"/>
          <w:sz w:val="14"/>
          <w:szCs w:val="14"/>
          <w:highlight w:val="none"/>
        </w:rPr>
      </w:pPr>
      <w:r>
        <w:rPr>
          <w:rFonts w:hint="default" w:ascii="Arial" w:hAnsi="Arial" w:eastAsia="宋体" w:cs="Arial"/>
          <w:i w:val="0"/>
          <w:iCs w:val="0"/>
          <w:caps w:val="0"/>
          <w:color w:val="auto"/>
          <w:spacing w:val="0"/>
          <w:kern w:val="0"/>
          <w:sz w:val="14"/>
          <w:szCs w:val="14"/>
          <w:highlight w:val="none"/>
          <w:u w:val="none"/>
          <w:shd w:val="clear" w:fill="FFFFFF"/>
          <w:lang w:val="en-US" w:eastAsia="zh-CN" w:bidi="ar"/>
        </w:rPr>
        <w:fldChar w:fldCharType="begin"/>
      </w:r>
      <w:r>
        <w:rPr>
          <w:rFonts w:hint="default" w:ascii="Arial" w:hAnsi="Arial" w:eastAsia="宋体" w:cs="Arial"/>
          <w:i w:val="0"/>
          <w:iCs w:val="0"/>
          <w:caps w:val="0"/>
          <w:color w:val="auto"/>
          <w:spacing w:val="0"/>
          <w:kern w:val="0"/>
          <w:sz w:val="14"/>
          <w:szCs w:val="14"/>
          <w:highlight w:val="none"/>
          <w:u w:val="none"/>
          <w:shd w:val="clear" w:fill="FFFFFF"/>
          <w:lang w:val="en-US" w:eastAsia="zh-CN" w:bidi="ar"/>
        </w:rPr>
        <w:instrText xml:space="preserve"> HYPERLINK "javascript:void(0);" \o "添加到收藏夹" </w:instrText>
      </w:r>
      <w:r>
        <w:rPr>
          <w:rFonts w:hint="default" w:ascii="Arial" w:hAnsi="Arial" w:eastAsia="宋体" w:cs="Arial"/>
          <w:i w:val="0"/>
          <w:iCs w:val="0"/>
          <w:caps w:val="0"/>
          <w:color w:val="auto"/>
          <w:spacing w:val="0"/>
          <w:kern w:val="0"/>
          <w:sz w:val="14"/>
          <w:szCs w:val="14"/>
          <w:highlight w:val="none"/>
          <w:u w:val="none"/>
          <w:shd w:val="clear" w:fill="FFFFFF"/>
          <w:lang w:val="en-US" w:eastAsia="zh-CN" w:bidi="ar"/>
        </w:rPr>
        <w:fldChar w:fldCharType="separate"/>
      </w:r>
      <w:r>
        <w:rPr>
          <w:rFonts w:hint="default" w:ascii="Arial" w:hAnsi="Arial" w:eastAsia="宋体" w:cs="Arial"/>
          <w:i w:val="0"/>
          <w:iCs w:val="0"/>
          <w:caps w:val="0"/>
          <w:color w:val="auto"/>
          <w:spacing w:val="0"/>
          <w:kern w:val="0"/>
          <w:sz w:val="14"/>
          <w:szCs w:val="14"/>
          <w:highlight w:val="none"/>
          <w:u w:val="none"/>
          <w:shd w:val="clear" w:fill="FFFFFF"/>
          <w:lang w:val="en-US" w:eastAsia="zh-CN" w:bidi="ar"/>
        </w:rPr>
        <w:fldChar w:fldCharType="end"/>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color w:val="auto"/>
          <w:sz w:val="28"/>
          <w:szCs w:val="28"/>
          <w:highlight w:val="none"/>
        </w:rPr>
      </w:pPr>
      <w:r>
        <w:rPr>
          <w:rFonts w:hint="default" w:ascii="Arial" w:hAnsi="Arial" w:cs="Arial"/>
          <w:i w:val="0"/>
          <w:iCs w:val="0"/>
          <w:caps w:val="0"/>
          <w:color w:val="auto"/>
          <w:spacing w:val="0"/>
          <w:sz w:val="28"/>
          <w:szCs w:val="28"/>
          <w:highlight w:val="none"/>
          <w:shd w:val="clear" w:fill="F0F0F0"/>
        </w:rPr>
        <w:t>Technical specification for installation and acceptance of anti settlement well cover</w:t>
      </w:r>
    </w:p>
    <w:p>
      <w:pPr>
        <w:snapToGrid w:val="0"/>
        <w:spacing w:line="312" w:lineRule="auto"/>
        <w:jc w:val="center"/>
        <w:rPr>
          <w:color w:val="auto"/>
          <w:sz w:val="36"/>
          <w:szCs w:val="36"/>
          <w:highlight w:val="none"/>
        </w:rPr>
      </w:pPr>
    </w:p>
    <w:p>
      <w:pPr>
        <w:snapToGrid w:val="0"/>
        <w:spacing w:line="312" w:lineRule="auto"/>
        <w:jc w:val="center"/>
        <w:rPr>
          <w:rFonts w:ascii="Times New Roman" w:hAnsi="Times New Roman"/>
          <w:color w:val="auto"/>
          <w:highlight w:val="none"/>
        </w:rPr>
      </w:pPr>
      <w:r>
        <w:rPr>
          <w:rFonts w:hint="eastAsia" w:ascii="Times New Roman" w:hAnsi="Times New Roman"/>
          <w:color w:val="auto"/>
          <w:sz w:val="28"/>
          <w:szCs w:val="28"/>
          <w:highlight w:val="none"/>
        </w:rPr>
        <w:t>（</w:t>
      </w:r>
      <w:r>
        <w:rPr>
          <w:rFonts w:hint="eastAsia" w:ascii="Times New Roman" w:hAnsi="Times New Roman"/>
          <w:b/>
          <w:color w:val="auto"/>
          <w:sz w:val="28"/>
          <w:szCs w:val="28"/>
          <w:highlight w:val="none"/>
        </w:rPr>
        <w:t>征求意见稿</w:t>
      </w:r>
      <w:r>
        <w:rPr>
          <w:rFonts w:hint="eastAsia" w:ascii="Times New Roman" w:hAnsi="Times New Roman"/>
          <w:color w:val="auto"/>
          <w:sz w:val="28"/>
          <w:szCs w:val="28"/>
          <w:highlight w:val="none"/>
        </w:rPr>
        <w:t>）</w:t>
      </w:r>
    </w:p>
    <w:p>
      <w:pPr>
        <w:snapToGrid w:val="0"/>
        <w:spacing w:line="312" w:lineRule="auto"/>
        <w:jc w:val="center"/>
        <w:rPr>
          <w:rFonts w:ascii="Times New Roman" w:hAnsi="Times New Roman"/>
          <w:color w:val="auto"/>
          <w:sz w:val="28"/>
          <w:szCs w:val="28"/>
          <w:highlight w:val="none"/>
        </w:rPr>
      </w:pPr>
      <w:r>
        <w:rPr>
          <w:rFonts w:hint="eastAsia" w:ascii="Times New Roman" w:hAnsi="Times New Roman"/>
          <w:color w:val="auto"/>
          <w:sz w:val="28"/>
          <w:szCs w:val="28"/>
          <w:highlight w:val="none"/>
        </w:rPr>
        <w:t>（提交反馈意见时，请将有关专利连同支持性文件一并附上）</w:t>
      </w:r>
    </w:p>
    <w:p>
      <w:pPr>
        <w:snapToGrid w:val="0"/>
        <w:spacing w:line="312" w:lineRule="auto"/>
        <w:rPr>
          <w:rFonts w:ascii="Times New Roman" w:hAnsi="Times New Roman"/>
          <w:color w:val="auto"/>
          <w:highlight w:val="none"/>
        </w:rPr>
      </w:pPr>
    </w:p>
    <w:p>
      <w:pPr>
        <w:snapToGrid w:val="0"/>
        <w:spacing w:line="312" w:lineRule="auto"/>
        <w:rPr>
          <w:rFonts w:ascii="Times New Roman" w:hAnsi="Times New Roman"/>
          <w:color w:val="auto"/>
          <w:highlight w:val="none"/>
        </w:rPr>
      </w:pPr>
    </w:p>
    <w:p>
      <w:pPr>
        <w:snapToGrid w:val="0"/>
        <w:spacing w:line="312" w:lineRule="auto"/>
        <w:rPr>
          <w:rFonts w:ascii="Times New Roman" w:hAnsi="Times New Roman"/>
          <w:color w:val="auto"/>
          <w:highlight w:val="none"/>
        </w:rPr>
      </w:pPr>
    </w:p>
    <w:p>
      <w:pPr>
        <w:snapToGrid w:val="0"/>
        <w:spacing w:line="312" w:lineRule="auto"/>
        <w:rPr>
          <w:rFonts w:ascii="Times New Roman" w:hAnsi="Times New Roman"/>
          <w:color w:val="auto"/>
          <w:highlight w:val="none"/>
        </w:rPr>
      </w:pPr>
    </w:p>
    <w:p>
      <w:pPr>
        <w:snapToGrid w:val="0"/>
        <w:spacing w:line="312" w:lineRule="auto"/>
        <w:rPr>
          <w:rFonts w:ascii="Times New Roman" w:hAnsi="Times New Roman"/>
          <w:color w:val="auto"/>
          <w:highlight w:val="none"/>
        </w:rPr>
      </w:pPr>
    </w:p>
    <w:p>
      <w:pPr>
        <w:snapToGrid w:val="0"/>
        <w:spacing w:line="312" w:lineRule="auto"/>
        <w:rPr>
          <w:rFonts w:ascii="Times New Roman" w:hAnsi="Times New Roman"/>
          <w:color w:val="auto"/>
          <w:highlight w:val="none"/>
        </w:rPr>
      </w:pPr>
    </w:p>
    <w:p>
      <w:pPr>
        <w:snapToGrid w:val="0"/>
        <w:spacing w:line="312" w:lineRule="auto"/>
        <w:rPr>
          <w:rFonts w:ascii="Times New Roman" w:hAnsi="Times New Roman"/>
          <w:color w:val="auto"/>
          <w:highlight w:val="none"/>
        </w:rPr>
      </w:pPr>
    </w:p>
    <w:p>
      <w:pPr>
        <w:snapToGrid w:val="0"/>
        <w:spacing w:line="312" w:lineRule="auto"/>
        <w:jc w:val="center"/>
        <w:rPr>
          <w:rFonts w:ascii="Times New Roman" w:hAnsi="Times New Roman"/>
          <w:color w:val="auto"/>
          <w:sz w:val="30"/>
          <w:szCs w:val="30"/>
          <w:highlight w:val="none"/>
        </w:rPr>
      </w:pPr>
    </w:p>
    <w:p>
      <w:pPr>
        <w:snapToGrid w:val="0"/>
        <w:spacing w:line="312" w:lineRule="auto"/>
        <w:jc w:val="center"/>
        <w:rPr>
          <w:rFonts w:ascii="Times New Roman" w:hAnsi="Times New Roman"/>
          <w:color w:val="auto"/>
          <w:sz w:val="28"/>
          <w:szCs w:val="28"/>
          <w:highlight w:val="none"/>
        </w:rPr>
        <w:sectPr>
          <w:footerReference r:id="rId6" w:type="first"/>
          <w:footerReference r:id="rId4" w:type="default"/>
          <w:headerReference r:id="rId3" w:type="even"/>
          <w:footerReference r:id="rId5" w:type="even"/>
          <w:pgSz w:w="11907" w:h="16840"/>
          <w:pgMar w:top="1440" w:right="1797" w:bottom="1440" w:left="1797" w:header="851" w:footer="992" w:gutter="0"/>
          <w:pgBorders>
            <w:top w:val="none" w:sz="0" w:space="0"/>
            <w:left w:val="none" w:sz="0" w:space="0"/>
            <w:bottom w:val="none" w:sz="0" w:space="0"/>
            <w:right w:val="none" w:sz="0" w:space="0"/>
          </w:pgBorders>
          <w:pgNumType w:fmt="upperRoman"/>
          <w:cols w:space="720" w:num="1"/>
          <w:titlePg/>
          <w:docGrid w:type="lines" w:linePitch="312" w:charSpace="0"/>
        </w:sectPr>
      </w:pPr>
      <w:r>
        <w:rPr>
          <w:rFonts w:hint="eastAsia" w:ascii="Times New Roman" w:hAnsi="Times New Roman"/>
          <w:color w:val="auto"/>
          <w:sz w:val="30"/>
          <w:szCs w:val="30"/>
          <w:highlight w:val="none"/>
        </w:rPr>
        <w:t>XXX出版社</w:t>
      </w:r>
    </w:p>
    <w:p>
      <w:pPr>
        <w:spacing w:line="360" w:lineRule="auto"/>
        <w:jc w:val="center"/>
        <w:rPr>
          <w:rFonts w:ascii="Times New Roman" w:hAnsi="Times New Roman" w:eastAsia="宋体" w:cs="Times New Roman"/>
          <w:color w:val="auto"/>
          <w:sz w:val="28"/>
          <w:szCs w:val="22"/>
          <w:highlight w:val="none"/>
        </w:rPr>
      </w:pPr>
      <w:r>
        <w:rPr>
          <w:rFonts w:hint="eastAsia" w:ascii="Times New Roman" w:hAnsi="Times New Roman" w:eastAsia="宋体" w:cs="Times New Roman"/>
          <w:color w:val="auto"/>
          <w:sz w:val="28"/>
          <w:szCs w:val="22"/>
          <w:highlight w:val="none"/>
        </w:rPr>
        <w:t>中 国 工 程 建 设 标 准 化 协 会 标 准</w:t>
      </w:r>
    </w:p>
    <w:p>
      <w:pPr>
        <w:snapToGrid w:val="0"/>
        <w:spacing w:line="312" w:lineRule="auto"/>
        <w:jc w:val="center"/>
        <w:rPr>
          <w:rFonts w:ascii="Times New Roman" w:hAnsi="Times New Roman"/>
          <w:color w:val="auto"/>
          <w:sz w:val="36"/>
          <w:szCs w:val="36"/>
          <w:highlight w:val="none"/>
        </w:rPr>
      </w:pPr>
    </w:p>
    <w:p>
      <w:pPr>
        <w:snapToGrid w:val="0"/>
        <w:spacing w:line="312" w:lineRule="auto"/>
        <w:jc w:val="center"/>
        <w:rPr>
          <w:rFonts w:ascii="Times New Roman" w:hAnsi="Times New Roman"/>
          <w:color w:val="auto"/>
          <w:sz w:val="44"/>
          <w:szCs w:val="44"/>
          <w:highlight w:val="none"/>
        </w:rPr>
      </w:pPr>
    </w:p>
    <w:p>
      <w:pPr>
        <w:snapToGrid w:val="0"/>
        <w:spacing w:line="312" w:lineRule="auto"/>
        <w:jc w:val="center"/>
        <w:rPr>
          <w:rFonts w:ascii="Times New Roman" w:hAnsi="Times New Roman" w:eastAsia="宋体"/>
          <w:color w:val="auto"/>
          <w:sz w:val="28"/>
          <w:szCs w:val="28"/>
          <w:highlight w:val="none"/>
        </w:rPr>
      </w:pPr>
      <w:r>
        <w:rPr>
          <w:rFonts w:ascii="Times New Roman" w:hAnsi="Times New Roman" w:eastAsia="宋体" w:cs="宋体"/>
          <w:color w:val="auto"/>
          <w:kern w:val="0"/>
          <w:sz w:val="28"/>
          <w:szCs w:val="28"/>
          <w:highlight w:val="none"/>
        </w:rPr>
        <w:t xml:space="preserve"> </w:t>
      </w:r>
    </w:p>
    <w:p>
      <w:pPr>
        <w:pStyle w:val="27"/>
        <w:widowControl w:val="0"/>
        <w:shd w:val="clear" w:color="auto" w:fill="FFFFFF"/>
        <w:snapToGrid w:val="0"/>
        <w:spacing w:before="0" w:beforeAutospacing="0" w:after="0" w:line="480" w:lineRule="auto"/>
        <w:jc w:val="center"/>
        <w:rPr>
          <w:rFonts w:hint="eastAsia" w:ascii="黑体" w:hAnsi="黑体" w:eastAsia="黑体" w:cs="黑体"/>
          <w:color w:val="auto"/>
          <w:sz w:val="44"/>
          <w:szCs w:val="44"/>
          <w:highlight w:val="none"/>
        </w:rPr>
      </w:pPr>
      <w:r>
        <w:rPr>
          <w:rFonts w:hint="eastAsia" w:ascii="黑体" w:hAnsi="黑体" w:eastAsia="黑体" w:cs="黑体"/>
          <w:color w:val="auto"/>
          <w:sz w:val="44"/>
          <w:szCs w:val="44"/>
          <w:highlight w:val="none"/>
        </w:rPr>
        <w:t>防沉降井盖</w:t>
      </w:r>
      <w:r>
        <w:rPr>
          <w:rFonts w:hint="eastAsia" w:ascii="黑体" w:hAnsi="黑体" w:eastAsia="黑体" w:cs="黑体"/>
          <w:color w:val="auto"/>
          <w:sz w:val="44"/>
          <w:szCs w:val="44"/>
          <w:highlight w:val="none"/>
          <w:lang w:eastAsia="zh-CN"/>
        </w:rPr>
        <w:t>安装</w:t>
      </w:r>
      <w:r>
        <w:rPr>
          <w:rFonts w:hint="eastAsia" w:ascii="黑体" w:hAnsi="黑体" w:eastAsia="黑体" w:cs="黑体"/>
          <w:color w:val="auto"/>
          <w:sz w:val="44"/>
          <w:szCs w:val="44"/>
          <w:highlight w:val="none"/>
          <w:lang w:val="en-US" w:eastAsia="zh-CN"/>
        </w:rPr>
        <w:t>及验收</w:t>
      </w:r>
      <w:r>
        <w:rPr>
          <w:rFonts w:hint="eastAsia" w:ascii="黑体" w:hAnsi="黑体" w:eastAsia="黑体" w:cs="黑体"/>
          <w:color w:val="auto"/>
          <w:sz w:val="44"/>
          <w:szCs w:val="44"/>
          <w:highlight w:val="none"/>
        </w:rPr>
        <w:t>技术规程</w:t>
      </w:r>
    </w:p>
    <w:p>
      <w:pPr>
        <w:pStyle w:val="28"/>
        <w:spacing w:before="156" w:after="156"/>
        <w:rPr>
          <w:rFonts w:hint="default" w:eastAsia="宋体"/>
          <w:color w:val="auto"/>
          <w:sz w:val="32"/>
          <w:szCs w:val="32"/>
          <w:highlight w:val="none"/>
        </w:rPr>
      </w:pPr>
      <w:r>
        <w:rPr>
          <w:rFonts w:hint="default" w:eastAsia="宋体"/>
          <w:color w:val="auto"/>
          <w:sz w:val="32"/>
          <w:szCs w:val="32"/>
          <w:highlight w:val="none"/>
        </w:rPr>
        <w:t>Technical specification for installation and acceptance of anti settlement well cover</w:t>
      </w:r>
    </w:p>
    <w:p>
      <w:pPr>
        <w:spacing w:line="360" w:lineRule="auto"/>
        <w:jc w:val="center"/>
        <w:rPr>
          <w:rFonts w:hint="eastAsia" w:ascii="Times New Roman" w:hAnsi="Times New Roman" w:eastAsia="宋体" w:cs="Times New Roman"/>
          <w:b/>
          <w:color w:val="auto"/>
          <w:sz w:val="24"/>
          <w:highlight w:val="none"/>
          <w:lang w:val="en-US" w:eastAsia="zh-CN"/>
        </w:rPr>
      </w:pPr>
      <w:r>
        <w:rPr>
          <w:rFonts w:ascii="Times New Roman" w:hAnsi="Times New Roman" w:eastAsia="宋体" w:cs="Times New Roman"/>
          <w:b/>
          <w:color w:val="auto"/>
          <w:sz w:val="24"/>
          <w:highlight w:val="none"/>
        </w:rPr>
        <w:t xml:space="preserve">T/CECS </w:t>
      </w:r>
      <w:r>
        <w:rPr>
          <w:rFonts w:hint="eastAsia" w:ascii="Times New Roman" w:hAnsi="Times New Roman" w:eastAsia="宋体" w:cs="Times New Roman"/>
          <w:b/>
          <w:color w:val="auto"/>
          <w:sz w:val="24"/>
          <w:highlight w:val="none"/>
        </w:rPr>
        <w:t>xxx－202</w:t>
      </w:r>
      <w:r>
        <w:rPr>
          <w:rFonts w:hint="eastAsia" w:ascii="Times New Roman" w:hAnsi="Times New Roman" w:eastAsia="宋体" w:cs="Times New Roman"/>
          <w:b/>
          <w:color w:val="auto"/>
          <w:sz w:val="24"/>
          <w:highlight w:val="none"/>
          <w:lang w:val="en-US" w:eastAsia="zh-CN"/>
        </w:rPr>
        <w:t>x</w:t>
      </w:r>
    </w:p>
    <w:p>
      <w:pPr>
        <w:snapToGrid w:val="0"/>
        <w:spacing w:line="312" w:lineRule="auto"/>
        <w:ind w:firstLine="1600" w:firstLineChars="500"/>
        <w:rPr>
          <w:rFonts w:ascii="Times New Roman" w:hAnsi="Times New Roman"/>
          <w:color w:val="auto"/>
          <w:sz w:val="32"/>
          <w:szCs w:val="32"/>
          <w:highlight w:val="none"/>
        </w:rPr>
      </w:pPr>
    </w:p>
    <w:p>
      <w:pPr>
        <w:snapToGrid w:val="0"/>
        <w:spacing w:line="312" w:lineRule="auto"/>
        <w:ind w:firstLine="1600" w:firstLineChars="500"/>
        <w:rPr>
          <w:rFonts w:ascii="Times New Roman" w:hAnsi="Times New Roman"/>
          <w:color w:val="auto"/>
          <w:sz w:val="32"/>
          <w:szCs w:val="32"/>
          <w:highlight w:val="none"/>
        </w:rPr>
      </w:pPr>
    </w:p>
    <w:p>
      <w:pPr>
        <w:snapToGrid w:val="0"/>
        <w:spacing w:line="312" w:lineRule="auto"/>
        <w:ind w:firstLine="1600" w:firstLineChars="500"/>
        <w:rPr>
          <w:rFonts w:ascii="Times New Roman" w:hAnsi="Times New Roman"/>
          <w:color w:val="auto"/>
          <w:sz w:val="32"/>
          <w:szCs w:val="32"/>
          <w:highlight w:val="none"/>
        </w:rPr>
      </w:pPr>
    </w:p>
    <w:p>
      <w:pPr>
        <w:snapToGrid w:val="0"/>
        <w:spacing w:line="312" w:lineRule="auto"/>
        <w:ind w:firstLine="1400" w:firstLineChars="500"/>
        <w:rPr>
          <w:rFonts w:ascii="Times New Roman" w:hAnsi="Times New Roman"/>
          <w:color w:val="auto"/>
          <w:sz w:val="28"/>
          <w:szCs w:val="28"/>
          <w:highlight w:val="none"/>
        </w:rPr>
      </w:pPr>
      <w:r>
        <w:rPr>
          <w:rFonts w:hint="eastAsia" w:ascii="Times New Roman" w:hAnsi="Times New Roman"/>
          <w:color w:val="auto"/>
          <w:sz w:val="28"/>
          <w:szCs w:val="28"/>
          <w:highlight w:val="none"/>
        </w:rPr>
        <w:t>主编单位：江苏佳通新材料科技开发有限公司</w:t>
      </w:r>
    </w:p>
    <w:p>
      <w:pPr>
        <w:snapToGrid w:val="0"/>
        <w:spacing w:line="312" w:lineRule="auto"/>
        <w:ind w:firstLine="2800" w:firstLineChars="1000"/>
        <w:rPr>
          <w:rFonts w:ascii="Times New Roman" w:hAnsi="Times New Roman"/>
          <w:color w:val="auto"/>
          <w:sz w:val="28"/>
          <w:szCs w:val="28"/>
          <w:highlight w:val="none"/>
        </w:rPr>
      </w:pPr>
      <w:r>
        <w:rPr>
          <w:rFonts w:hint="eastAsia" w:ascii="Times New Roman" w:hAnsi="Times New Roman"/>
          <w:color w:val="auto"/>
          <w:sz w:val="28"/>
          <w:szCs w:val="28"/>
          <w:highlight w:val="none"/>
          <w:lang w:eastAsia="zh-CN"/>
        </w:rPr>
        <w:t>中国市政工程中南设计研究总院有限公司</w:t>
      </w:r>
    </w:p>
    <w:p>
      <w:pPr>
        <w:snapToGrid w:val="0"/>
        <w:spacing w:line="312" w:lineRule="auto"/>
        <w:ind w:firstLine="1400" w:firstLineChars="500"/>
        <w:rPr>
          <w:rFonts w:ascii="Times New Roman" w:hAnsi="Times New Roman"/>
          <w:color w:val="auto"/>
          <w:sz w:val="28"/>
          <w:szCs w:val="28"/>
          <w:highlight w:val="none"/>
        </w:rPr>
      </w:pPr>
      <w:r>
        <w:rPr>
          <w:rFonts w:hint="eastAsia" w:ascii="Times New Roman" w:hAnsi="Times New Roman"/>
          <w:color w:val="auto"/>
          <w:sz w:val="28"/>
          <w:szCs w:val="28"/>
          <w:highlight w:val="none"/>
        </w:rPr>
        <w:t>批准单位：中国工程建设标准化协会</w:t>
      </w:r>
    </w:p>
    <w:p>
      <w:pPr>
        <w:snapToGrid w:val="0"/>
        <w:spacing w:line="312" w:lineRule="auto"/>
        <w:ind w:firstLine="1400" w:firstLineChars="500"/>
        <w:rPr>
          <w:rFonts w:ascii="Times New Roman" w:hAnsi="Times New Roman"/>
          <w:color w:val="auto"/>
          <w:sz w:val="28"/>
          <w:szCs w:val="28"/>
          <w:highlight w:val="none"/>
        </w:rPr>
      </w:pPr>
      <w:r>
        <w:rPr>
          <w:rFonts w:hint="eastAsia" w:ascii="Times New Roman" w:hAnsi="Times New Roman"/>
          <w:color w:val="auto"/>
          <w:sz w:val="28"/>
          <w:szCs w:val="28"/>
          <w:highlight w:val="none"/>
        </w:rPr>
        <w:t>施行日期：</w:t>
      </w:r>
      <w:r>
        <w:rPr>
          <w:rFonts w:ascii="Times New Roman" w:hAnsi="Times New Roman"/>
          <w:color w:val="auto"/>
          <w:sz w:val="28"/>
          <w:szCs w:val="28"/>
          <w:highlight w:val="none"/>
        </w:rPr>
        <w:t>20</w:t>
      </w:r>
      <w:r>
        <w:rPr>
          <w:rFonts w:hint="eastAsia" w:ascii="Times New Roman" w:hAnsi="Times New Roman"/>
          <w:color w:val="auto"/>
          <w:sz w:val="28"/>
          <w:szCs w:val="28"/>
          <w:highlight w:val="none"/>
        </w:rPr>
        <w:t>2</w:t>
      </w:r>
      <w:r>
        <w:rPr>
          <w:rFonts w:ascii="Times New Roman" w:hAnsi="Times New Roman"/>
          <w:color w:val="auto"/>
          <w:sz w:val="28"/>
          <w:szCs w:val="28"/>
          <w:highlight w:val="none"/>
        </w:rPr>
        <w:t>X</w:t>
      </w:r>
      <w:r>
        <w:rPr>
          <w:rFonts w:hint="eastAsia" w:ascii="Times New Roman" w:hAnsi="Times New Roman"/>
          <w:color w:val="auto"/>
          <w:sz w:val="28"/>
          <w:szCs w:val="28"/>
          <w:highlight w:val="none"/>
        </w:rPr>
        <w:t>年</w:t>
      </w:r>
      <w:r>
        <w:rPr>
          <w:rFonts w:ascii="Times New Roman" w:hAnsi="Times New Roman"/>
          <w:color w:val="auto"/>
          <w:sz w:val="28"/>
          <w:szCs w:val="28"/>
          <w:highlight w:val="none"/>
        </w:rPr>
        <w:t>XX</w:t>
      </w:r>
      <w:r>
        <w:rPr>
          <w:rFonts w:hint="eastAsia" w:ascii="Times New Roman" w:hAnsi="Times New Roman"/>
          <w:color w:val="auto"/>
          <w:sz w:val="28"/>
          <w:szCs w:val="28"/>
          <w:highlight w:val="none"/>
        </w:rPr>
        <w:t>月</w:t>
      </w:r>
      <w:r>
        <w:rPr>
          <w:rFonts w:ascii="Times New Roman" w:hAnsi="Times New Roman"/>
          <w:color w:val="auto"/>
          <w:sz w:val="28"/>
          <w:szCs w:val="28"/>
          <w:highlight w:val="none"/>
        </w:rPr>
        <w:t>XX</w:t>
      </w:r>
      <w:r>
        <w:rPr>
          <w:rFonts w:hint="eastAsia" w:ascii="Times New Roman" w:hAnsi="Times New Roman"/>
          <w:color w:val="auto"/>
          <w:sz w:val="28"/>
          <w:szCs w:val="28"/>
          <w:highlight w:val="none"/>
        </w:rPr>
        <w:t>日</w:t>
      </w:r>
    </w:p>
    <w:p>
      <w:pPr>
        <w:snapToGrid w:val="0"/>
        <w:spacing w:line="312" w:lineRule="auto"/>
        <w:rPr>
          <w:rFonts w:ascii="Times New Roman" w:hAnsi="Times New Roman"/>
          <w:color w:val="auto"/>
          <w:highlight w:val="none"/>
        </w:rPr>
      </w:pPr>
    </w:p>
    <w:p>
      <w:pPr>
        <w:snapToGrid w:val="0"/>
        <w:spacing w:line="312" w:lineRule="auto"/>
        <w:rPr>
          <w:rFonts w:ascii="Times New Roman" w:hAnsi="Times New Roman"/>
          <w:color w:val="auto"/>
          <w:highlight w:val="none"/>
        </w:rPr>
      </w:pPr>
    </w:p>
    <w:p>
      <w:pPr>
        <w:snapToGrid w:val="0"/>
        <w:spacing w:line="312" w:lineRule="auto"/>
        <w:jc w:val="both"/>
        <w:rPr>
          <w:rFonts w:ascii="Times New Roman" w:hAnsi="Times New Roman"/>
          <w:color w:val="auto"/>
          <w:sz w:val="30"/>
          <w:szCs w:val="30"/>
          <w:highlight w:val="none"/>
        </w:rPr>
      </w:pPr>
    </w:p>
    <w:p>
      <w:pPr>
        <w:snapToGrid w:val="0"/>
        <w:spacing w:line="312" w:lineRule="auto"/>
        <w:jc w:val="center"/>
        <w:rPr>
          <w:rFonts w:ascii="Times New Roman" w:hAnsi="Times New Roman"/>
          <w:color w:val="auto"/>
          <w:sz w:val="30"/>
          <w:szCs w:val="30"/>
          <w:highlight w:val="none"/>
        </w:rPr>
      </w:pPr>
    </w:p>
    <w:p>
      <w:pPr>
        <w:snapToGrid w:val="0"/>
        <w:spacing w:line="312" w:lineRule="auto"/>
        <w:jc w:val="center"/>
        <w:rPr>
          <w:rFonts w:ascii="Times New Roman" w:hAnsi="Times New Roman"/>
          <w:color w:val="auto"/>
          <w:sz w:val="30"/>
          <w:szCs w:val="30"/>
          <w:highlight w:val="none"/>
        </w:rPr>
      </w:pPr>
    </w:p>
    <w:p>
      <w:pPr>
        <w:snapToGrid w:val="0"/>
        <w:spacing w:line="312" w:lineRule="auto"/>
        <w:jc w:val="center"/>
        <w:rPr>
          <w:rFonts w:ascii="Times New Roman" w:hAnsi="Times New Roman"/>
          <w:color w:val="auto"/>
          <w:sz w:val="30"/>
          <w:szCs w:val="30"/>
          <w:highlight w:val="none"/>
        </w:rPr>
      </w:pPr>
    </w:p>
    <w:p>
      <w:pPr>
        <w:snapToGrid w:val="0"/>
        <w:spacing w:line="312" w:lineRule="auto"/>
        <w:jc w:val="center"/>
        <w:rPr>
          <w:rFonts w:ascii="Times New Roman" w:hAnsi="Times New Roman"/>
          <w:color w:val="auto"/>
          <w:sz w:val="30"/>
          <w:szCs w:val="30"/>
          <w:highlight w:val="none"/>
        </w:rPr>
      </w:pPr>
    </w:p>
    <w:p>
      <w:pPr>
        <w:snapToGrid w:val="0"/>
        <w:spacing w:line="312" w:lineRule="auto"/>
        <w:jc w:val="center"/>
        <w:rPr>
          <w:rFonts w:ascii="Times New Roman" w:hAnsi="Times New Roman"/>
          <w:color w:val="auto"/>
          <w:sz w:val="30"/>
          <w:szCs w:val="30"/>
          <w:highlight w:val="none"/>
        </w:rPr>
      </w:pPr>
    </w:p>
    <w:p>
      <w:pPr>
        <w:snapToGrid w:val="0"/>
        <w:spacing w:line="312" w:lineRule="auto"/>
        <w:jc w:val="center"/>
        <w:rPr>
          <w:rFonts w:ascii="Times New Roman" w:hAnsi="Times New Roman"/>
          <w:color w:val="auto"/>
          <w:sz w:val="30"/>
          <w:szCs w:val="30"/>
          <w:highlight w:val="none"/>
        </w:rPr>
      </w:pPr>
    </w:p>
    <w:p>
      <w:pPr>
        <w:snapToGrid w:val="0"/>
        <w:spacing w:line="312" w:lineRule="auto"/>
        <w:jc w:val="center"/>
        <w:rPr>
          <w:rFonts w:ascii="Times New Roman" w:hAnsi="Times New Roman"/>
          <w:color w:val="auto"/>
          <w:sz w:val="30"/>
          <w:szCs w:val="30"/>
          <w:highlight w:val="none"/>
        </w:rPr>
      </w:pPr>
      <w:r>
        <w:rPr>
          <w:rFonts w:hint="eastAsia" w:ascii="Times New Roman" w:hAnsi="Times New Roman"/>
          <w:color w:val="auto"/>
          <w:sz w:val="30"/>
          <w:szCs w:val="30"/>
          <w:highlight w:val="none"/>
        </w:rPr>
        <w:t xml:space="preserve">中 国 </w:t>
      </w:r>
      <w:r>
        <w:rPr>
          <w:rFonts w:hint="eastAsia" w:ascii="Times New Roman" w:hAnsi="Times New Roman"/>
          <w:color w:val="auto"/>
          <w:sz w:val="30"/>
          <w:szCs w:val="30"/>
          <w:highlight w:val="none"/>
          <w:lang w:val="en-US" w:eastAsia="zh-CN"/>
        </w:rPr>
        <w:t>X X</w:t>
      </w:r>
      <w:r>
        <w:rPr>
          <w:rFonts w:hint="eastAsia" w:ascii="Times New Roman" w:hAnsi="Times New Roman"/>
          <w:color w:val="auto"/>
          <w:sz w:val="30"/>
          <w:szCs w:val="30"/>
          <w:highlight w:val="none"/>
        </w:rPr>
        <w:t>出 版 社</w:t>
      </w:r>
    </w:p>
    <w:p>
      <w:pPr>
        <w:snapToGrid w:val="0"/>
        <w:spacing w:line="312" w:lineRule="auto"/>
        <w:jc w:val="center"/>
        <w:rPr>
          <w:rFonts w:ascii="Times New Roman" w:hAnsi="Times New Roman"/>
          <w:color w:val="auto"/>
          <w:sz w:val="28"/>
          <w:szCs w:val="28"/>
          <w:highlight w:val="none"/>
        </w:rPr>
      </w:pPr>
      <w:r>
        <w:rPr>
          <w:rFonts w:ascii="Times New Roman" w:hAnsi="Times New Roman"/>
          <w:color w:val="auto"/>
          <w:sz w:val="28"/>
          <w:szCs w:val="28"/>
          <w:highlight w:val="none"/>
        </w:rPr>
        <w:t>20</w:t>
      </w:r>
      <w:r>
        <w:rPr>
          <w:rFonts w:hint="eastAsia" w:ascii="Times New Roman" w:hAnsi="Times New Roman"/>
          <w:color w:val="auto"/>
          <w:sz w:val="28"/>
          <w:szCs w:val="28"/>
          <w:highlight w:val="none"/>
        </w:rPr>
        <w:t>2</w:t>
      </w:r>
      <w:r>
        <w:rPr>
          <w:rFonts w:ascii="Times New Roman" w:hAnsi="Times New Roman"/>
          <w:color w:val="auto"/>
          <w:sz w:val="28"/>
          <w:szCs w:val="28"/>
          <w:highlight w:val="none"/>
        </w:rPr>
        <w:t>X</w:t>
      </w:r>
      <w:r>
        <w:rPr>
          <w:rFonts w:hint="eastAsia" w:ascii="Times New Roman" w:hAnsi="Times New Roman"/>
          <w:color w:val="auto"/>
          <w:sz w:val="28"/>
          <w:szCs w:val="28"/>
          <w:highlight w:val="none"/>
        </w:rPr>
        <w:t>年  北</w:t>
      </w:r>
      <w:r>
        <w:rPr>
          <w:rFonts w:hint="eastAsia" w:ascii="Times New Roman" w:hAnsi="Times New Roman"/>
          <w:color w:val="auto"/>
          <w:sz w:val="28"/>
          <w:szCs w:val="28"/>
          <w:highlight w:val="none"/>
          <w:lang w:val="en-US" w:eastAsia="zh-CN"/>
        </w:rPr>
        <w:t xml:space="preserve">  </w:t>
      </w:r>
      <w:r>
        <w:rPr>
          <w:rFonts w:hint="eastAsia" w:ascii="Times New Roman" w:hAnsi="Times New Roman"/>
          <w:color w:val="auto"/>
          <w:sz w:val="28"/>
          <w:szCs w:val="28"/>
          <w:highlight w:val="none"/>
        </w:rPr>
        <w:t>京</w:t>
      </w:r>
    </w:p>
    <w:p>
      <w:pPr>
        <w:pStyle w:val="3"/>
        <w:pageBreakBefore w:val="0"/>
        <w:kinsoku/>
        <w:wordWrap/>
        <w:overflowPunct/>
        <w:topLinePunct w:val="0"/>
        <w:bidi w:val="0"/>
        <w:adjustRightInd w:val="0"/>
        <w:snapToGrid w:val="0"/>
        <w:spacing w:before="0" w:after="0" w:line="360" w:lineRule="auto"/>
        <w:ind w:left="0" w:leftChars="0" w:right="0" w:rightChars="0"/>
        <w:textAlignment w:val="auto"/>
        <w:rPr>
          <w:color w:val="auto"/>
          <w:sz w:val="30"/>
          <w:szCs w:val="30"/>
          <w:highlight w:val="none"/>
        </w:rPr>
        <w:sectPr>
          <w:footerReference r:id="rId9" w:type="first"/>
          <w:footerReference r:id="rId7" w:type="default"/>
          <w:footerReference r:id="rId8" w:type="even"/>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titlePg/>
          <w:docGrid w:type="lines" w:linePitch="312" w:charSpace="0"/>
        </w:sectPr>
      </w:pPr>
      <w:bookmarkStart w:id="14" w:name="_Toc5018"/>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Pr>
        <w:pStyle w:val="3"/>
        <w:pageBreakBefore w:val="0"/>
        <w:kinsoku/>
        <w:wordWrap/>
        <w:overflowPunct/>
        <w:topLinePunct w:val="0"/>
        <w:bidi w:val="0"/>
        <w:adjustRightInd w:val="0"/>
        <w:snapToGrid w:val="0"/>
        <w:spacing w:before="0" w:after="0" w:line="360" w:lineRule="auto"/>
        <w:ind w:left="0" w:leftChars="0" w:right="0" w:rightChars="0"/>
        <w:textAlignment w:val="auto"/>
        <w:rPr>
          <w:color w:val="auto"/>
          <w:sz w:val="30"/>
          <w:szCs w:val="30"/>
          <w:highlight w:val="none"/>
        </w:rPr>
      </w:pPr>
      <w:bookmarkStart w:id="15" w:name="_Toc2494"/>
      <w:bookmarkStart w:id="16" w:name="_Toc6257"/>
      <w:bookmarkStart w:id="17" w:name="_Toc29383"/>
      <w:bookmarkStart w:id="18" w:name="_Toc18340"/>
      <w:bookmarkStart w:id="19" w:name="_Toc15810"/>
      <w:bookmarkStart w:id="20" w:name="_Toc19665"/>
      <w:bookmarkStart w:id="21" w:name="_Toc12800"/>
      <w:bookmarkStart w:id="22" w:name="_Toc11491"/>
      <w:bookmarkStart w:id="23" w:name="_Toc29367066"/>
      <w:r>
        <w:rPr>
          <w:color w:val="auto"/>
          <w:sz w:val="30"/>
          <w:szCs w:val="30"/>
          <w:highlight w:val="none"/>
        </w:rPr>
        <w:t xml:space="preserve">前 </w:t>
      </w:r>
      <w:r>
        <w:rPr>
          <w:rFonts w:hint="eastAsia"/>
          <w:color w:val="auto"/>
          <w:sz w:val="30"/>
          <w:szCs w:val="30"/>
          <w:highlight w:val="none"/>
        </w:rPr>
        <w:t xml:space="preserve">  </w:t>
      </w:r>
      <w:r>
        <w:rPr>
          <w:color w:val="auto"/>
          <w:sz w:val="30"/>
          <w:szCs w:val="30"/>
          <w:highlight w:val="none"/>
        </w:rPr>
        <w:t xml:space="preserve"> 言</w:t>
      </w:r>
      <w:bookmarkEnd w:id="15"/>
      <w:bookmarkEnd w:id="16"/>
      <w:bookmarkEnd w:id="17"/>
      <w:bookmarkEnd w:id="18"/>
      <w:bookmarkEnd w:id="19"/>
      <w:bookmarkEnd w:id="20"/>
      <w:bookmarkEnd w:id="21"/>
      <w:bookmarkEnd w:id="22"/>
    </w:p>
    <w:p>
      <w:pPr>
        <w:pageBreakBefore w:val="0"/>
        <w:kinsoku/>
        <w:wordWrap/>
        <w:overflowPunct/>
        <w:topLinePunct w:val="0"/>
        <w:bidi w:val="0"/>
        <w:adjustRightInd w:val="0"/>
        <w:snapToGrid w:val="0"/>
        <w:spacing w:line="360" w:lineRule="auto"/>
        <w:ind w:left="0" w:leftChars="0" w:right="0" w:rightChars="0" w:firstLine="480" w:firstLineChars="200"/>
        <w:textAlignment w:val="auto"/>
        <w:rPr>
          <w:color w:val="auto"/>
          <w:sz w:val="24"/>
          <w:szCs w:val="24"/>
          <w:highlight w:val="none"/>
        </w:rPr>
      </w:pPr>
      <w:r>
        <w:rPr>
          <w:color w:val="auto"/>
          <w:sz w:val="24"/>
          <w:szCs w:val="24"/>
          <w:highlight w:val="none"/>
        </w:rPr>
        <w:t>根据中国工程建设标准化协会《关于印发</w:t>
      </w:r>
      <w:r>
        <w:rPr>
          <w:rFonts w:hint="eastAsia"/>
          <w:color w:val="auto"/>
          <w:sz w:val="24"/>
          <w:szCs w:val="24"/>
          <w:highlight w:val="none"/>
        </w:rPr>
        <w:t>﹤2021年第二批协会标准制订、修订计划﹥</w:t>
      </w:r>
      <w:r>
        <w:rPr>
          <w:color w:val="auto"/>
          <w:sz w:val="24"/>
          <w:szCs w:val="24"/>
          <w:highlight w:val="none"/>
        </w:rPr>
        <w:t>的通知》（建标协字</w:t>
      </w:r>
      <w:r>
        <w:rPr>
          <w:rFonts w:hint="eastAsia"/>
          <w:color w:val="auto"/>
          <w:sz w:val="24"/>
          <w:szCs w:val="24"/>
          <w:highlight w:val="none"/>
        </w:rPr>
        <w:t>〔2021〕20号</w:t>
      </w:r>
      <w:r>
        <w:rPr>
          <w:color w:val="auto"/>
          <w:sz w:val="24"/>
          <w:szCs w:val="24"/>
          <w:highlight w:val="none"/>
        </w:rPr>
        <w:t>）的要求，编制组经</w:t>
      </w:r>
      <w:r>
        <w:rPr>
          <w:rFonts w:hint="eastAsia"/>
          <w:color w:val="auto"/>
          <w:sz w:val="24"/>
          <w:szCs w:val="24"/>
          <w:highlight w:val="none"/>
          <w:lang w:val="en-US" w:eastAsia="zh-CN"/>
        </w:rPr>
        <w:t>深入</w:t>
      </w:r>
      <w:r>
        <w:rPr>
          <w:color w:val="auto"/>
          <w:sz w:val="24"/>
          <w:szCs w:val="24"/>
          <w:highlight w:val="none"/>
        </w:rPr>
        <w:t>调查研究，认真总结实践经验，</w:t>
      </w:r>
      <w:r>
        <w:rPr>
          <w:rFonts w:hint="eastAsia"/>
          <w:color w:val="auto"/>
          <w:sz w:val="24"/>
          <w:szCs w:val="24"/>
          <w:highlight w:val="none"/>
          <w:lang w:val="en-US" w:eastAsia="zh-CN"/>
        </w:rPr>
        <w:t>采用最新科技成果，</w:t>
      </w:r>
      <w:r>
        <w:rPr>
          <w:rFonts w:hint="eastAsia"/>
          <w:color w:val="auto"/>
          <w:sz w:val="24"/>
          <w:szCs w:val="24"/>
          <w:highlight w:val="none"/>
        </w:rPr>
        <w:t>参考国内外先进标准</w:t>
      </w:r>
      <w:r>
        <w:rPr>
          <w:color w:val="auto"/>
          <w:sz w:val="24"/>
          <w:szCs w:val="24"/>
          <w:highlight w:val="none"/>
        </w:rPr>
        <w:t>，并</w:t>
      </w:r>
      <w:r>
        <w:rPr>
          <w:rFonts w:hint="eastAsia"/>
          <w:color w:val="auto"/>
          <w:sz w:val="24"/>
          <w:szCs w:val="24"/>
          <w:highlight w:val="none"/>
        </w:rPr>
        <w:t>在</w:t>
      </w:r>
      <w:r>
        <w:rPr>
          <w:color w:val="auto"/>
          <w:sz w:val="24"/>
          <w:szCs w:val="24"/>
          <w:highlight w:val="none"/>
        </w:rPr>
        <w:t>广泛征求意见</w:t>
      </w:r>
      <w:r>
        <w:rPr>
          <w:rFonts w:hint="eastAsia"/>
          <w:color w:val="auto"/>
          <w:sz w:val="24"/>
          <w:szCs w:val="24"/>
          <w:highlight w:val="none"/>
        </w:rPr>
        <w:t>的基础上</w:t>
      </w:r>
      <w:r>
        <w:rPr>
          <w:color w:val="auto"/>
          <w:sz w:val="24"/>
          <w:szCs w:val="24"/>
          <w:highlight w:val="none"/>
        </w:rPr>
        <w:t>，制定本</w:t>
      </w:r>
      <w:r>
        <w:rPr>
          <w:rFonts w:hint="eastAsia"/>
          <w:color w:val="auto"/>
          <w:sz w:val="24"/>
          <w:szCs w:val="24"/>
          <w:highlight w:val="none"/>
        </w:rPr>
        <w:t>规程</w:t>
      </w:r>
      <w:r>
        <w:rPr>
          <w:color w:val="auto"/>
          <w:sz w:val="24"/>
          <w:szCs w:val="24"/>
          <w:highlight w:val="none"/>
        </w:rPr>
        <w:t>。</w:t>
      </w:r>
    </w:p>
    <w:p>
      <w:pPr>
        <w:pageBreakBefore w:val="0"/>
        <w:kinsoku/>
        <w:wordWrap/>
        <w:overflowPunct/>
        <w:topLinePunct w:val="0"/>
        <w:bidi w:val="0"/>
        <w:adjustRightInd w:val="0"/>
        <w:snapToGrid w:val="0"/>
        <w:spacing w:line="360" w:lineRule="auto"/>
        <w:ind w:left="0" w:leftChars="0" w:right="0" w:rightChars="0" w:firstLine="480" w:firstLineChars="200"/>
        <w:textAlignment w:val="auto"/>
        <w:rPr>
          <w:color w:val="auto"/>
          <w:sz w:val="24"/>
          <w:szCs w:val="24"/>
          <w:highlight w:val="none"/>
        </w:rPr>
      </w:pPr>
      <w:r>
        <w:rPr>
          <w:rFonts w:hint="eastAsia" w:hAnsi="宋体"/>
          <w:color w:val="auto"/>
          <w:sz w:val="24"/>
          <w:szCs w:val="24"/>
          <w:highlight w:val="none"/>
          <w:lang w:eastAsia="zh-CN"/>
        </w:rPr>
        <w:t>本</w:t>
      </w:r>
      <w:r>
        <w:rPr>
          <w:rFonts w:hint="eastAsia" w:hAnsi="宋体"/>
          <w:color w:val="auto"/>
          <w:sz w:val="24"/>
          <w:szCs w:val="24"/>
          <w:highlight w:val="none"/>
          <w:lang w:val="en-US" w:eastAsia="zh-CN"/>
        </w:rPr>
        <w:t>规程</w:t>
      </w:r>
      <w:r>
        <w:rPr>
          <w:rFonts w:hint="eastAsia" w:hAnsi="宋体"/>
          <w:color w:val="auto"/>
          <w:sz w:val="24"/>
          <w:szCs w:val="24"/>
          <w:highlight w:val="none"/>
          <w:lang w:eastAsia="zh-CN"/>
        </w:rPr>
        <w:t>共分</w:t>
      </w:r>
      <w:r>
        <w:rPr>
          <w:rFonts w:hint="eastAsia" w:hAnsi="宋体"/>
          <w:color w:val="auto"/>
          <w:sz w:val="24"/>
          <w:szCs w:val="24"/>
          <w:highlight w:val="none"/>
          <w:lang w:val="en-US" w:eastAsia="zh-CN"/>
        </w:rPr>
        <w:t>5章和6个附录，主要内容包括</w:t>
      </w:r>
      <w:r>
        <w:rPr>
          <w:color w:val="auto"/>
          <w:sz w:val="24"/>
          <w:szCs w:val="24"/>
          <w:highlight w:val="none"/>
        </w:rPr>
        <w:t>总则</w:t>
      </w:r>
      <w:r>
        <w:rPr>
          <w:rFonts w:hint="eastAsia"/>
          <w:color w:val="auto"/>
          <w:sz w:val="24"/>
          <w:szCs w:val="24"/>
          <w:highlight w:val="none"/>
          <w:lang w:eastAsia="zh-CN"/>
        </w:rPr>
        <w:t>、</w:t>
      </w:r>
      <w:r>
        <w:rPr>
          <w:color w:val="auto"/>
          <w:sz w:val="24"/>
          <w:szCs w:val="24"/>
          <w:highlight w:val="none"/>
        </w:rPr>
        <w:t>术语</w:t>
      </w:r>
      <w:r>
        <w:rPr>
          <w:rFonts w:hint="eastAsia"/>
          <w:color w:val="auto"/>
          <w:sz w:val="24"/>
          <w:szCs w:val="24"/>
          <w:highlight w:val="none"/>
          <w:lang w:eastAsia="zh-CN"/>
        </w:rPr>
        <w:t>、</w:t>
      </w:r>
      <w:r>
        <w:rPr>
          <w:rFonts w:hint="eastAsia"/>
          <w:color w:val="auto"/>
          <w:sz w:val="24"/>
          <w:szCs w:val="24"/>
          <w:highlight w:val="none"/>
          <w:lang w:val="en-US" w:eastAsia="zh-CN"/>
        </w:rPr>
        <w:t>设计</w:t>
      </w:r>
      <w:r>
        <w:rPr>
          <w:rFonts w:hint="eastAsia"/>
          <w:color w:val="auto"/>
          <w:sz w:val="24"/>
          <w:szCs w:val="24"/>
          <w:highlight w:val="none"/>
          <w:lang w:eastAsia="zh-CN"/>
        </w:rPr>
        <w:t>、施工、</w:t>
      </w:r>
      <w:r>
        <w:rPr>
          <w:rFonts w:hint="eastAsia"/>
          <w:color w:val="auto"/>
          <w:sz w:val="24"/>
          <w:szCs w:val="24"/>
          <w:highlight w:val="none"/>
          <w:lang w:val="en-US" w:eastAsia="zh-CN"/>
        </w:rPr>
        <w:t>井周铺面养护</w:t>
      </w:r>
      <w:r>
        <w:rPr>
          <w:rFonts w:hint="eastAsia"/>
          <w:color w:val="auto"/>
          <w:sz w:val="24"/>
          <w:szCs w:val="24"/>
          <w:highlight w:val="none"/>
          <w:lang w:eastAsia="zh-CN"/>
        </w:rPr>
        <w:t>、</w:t>
      </w:r>
      <w:r>
        <w:rPr>
          <w:rFonts w:hint="eastAsia"/>
          <w:color w:val="auto"/>
          <w:sz w:val="24"/>
          <w:szCs w:val="24"/>
          <w:highlight w:val="none"/>
        </w:rPr>
        <w:t>质量验收</w:t>
      </w:r>
      <w:r>
        <w:rPr>
          <w:rFonts w:hint="eastAsia"/>
          <w:color w:val="auto"/>
          <w:sz w:val="24"/>
          <w:szCs w:val="24"/>
          <w:highlight w:val="none"/>
          <w:lang w:eastAsia="zh-CN"/>
        </w:rPr>
        <w:t>等</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本规程某些内容可能涉及《一种抗变形防沉降的道路宽边井圈结构及其实施方法》</w:t>
      </w:r>
      <w:r>
        <w:rPr>
          <w:rFonts w:hint="eastAsia" w:ascii="宋体" w:hAnsi="宋体" w:eastAsia="宋体" w:cs="宋体"/>
          <w:color w:val="auto"/>
          <w:sz w:val="24"/>
          <w:szCs w:val="24"/>
          <w:highlight w:val="none"/>
          <w:lang w:val="en-US" w:eastAsia="zh-CN"/>
        </w:rPr>
        <w:t>(ZL201910332110.0)及《一种道路面层局部缺陷处置设备》(ZL202020104007.9)</w:t>
      </w:r>
      <w:r>
        <w:rPr>
          <w:rFonts w:hint="eastAsia"/>
          <w:color w:val="auto"/>
          <w:sz w:val="24"/>
          <w:szCs w:val="24"/>
          <w:highlight w:val="none"/>
          <w:lang w:val="en-US" w:eastAsia="zh-CN"/>
        </w:rPr>
        <w:t>等专利的使用。涉及专利的具体技术问题，使用者可直接与专利持有人江苏佳通新材料科技开发有限公司协商处理。除上述专利外，本规程的某些内容仍可能涉及相关专利，本规程的发布机构不承担识别这些专利的责任。</w:t>
      </w:r>
    </w:p>
    <w:p>
      <w:pPr>
        <w:pageBreakBefore w:val="0"/>
        <w:kinsoku/>
        <w:wordWrap/>
        <w:overflowPunct/>
        <w:topLinePunct w:val="0"/>
        <w:bidi w:val="0"/>
        <w:adjustRightInd w:val="0"/>
        <w:snapToGrid w:val="0"/>
        <w:spacing w:line="360" w:lineRule="auto"/>
        <w:ind w:left="0" w:leftChars="0" w:right="0" w:rightChars="0" w:firstLine="480" w:firstLineChars="200"/>
        <w:textAlignment w:val="auto"/>
        <w:rPr>
          <w:color w:val="auto"/>
          <w:sz w:val="24"/>
          <w:szCs w:val="24"/>
          <w:highlight w:val="none"/>
        </w:rPr>
      </w:pPr>
      <w:r>
        <w:rPr>
          <w:rFonts w:hint="eastAsia" w:asciiTheme="majorEastAsia" w:hAnsiTheme="majorEastAsia" w:eastAsiaTheme="majorEastAsia" w:cstheme="majorEastAsia"/>
          <w:color w:val="auto"/>
          <w:sz w:val="24"/>
          <w:szCs w:val="24"/>
          <w:highlight w:val="none"/>
        </w:rPr>
        <w:t>本</w:t>
      </w:r>
      <w:r>
        <w:rPr>
          <w:rFonts w:hint="eastAsia" w:asciiTheme="majorEastAsia" w:hAnsiTheme="majorEastAsia" w:eastAsiaTheme="majorEastAsia" w:cstheme="majorEastAsia"/>
          <w:color w:val="auto"/>
          <w:sz w:val="24"/>
          <w:szCs w:val="24"/>
          <w:highlight w:val="none"/>
          <w:lang w:val="en-US" w:eastAsia="zh-CN"/>
        </w:rPr>
        <w:t>规程</w:t>
      </w:r>
      <w:r>
        <w:rPr>
          <w:rFonts w:hint="eastAsia" w:asciiTheme="majorEastAsia" w:hAnsiTheme="majorEastAsia" w:eastAsiaTheme="majorEastAsia" w:cstheme="majorEastAsia"/>
          <w:color w:val="auto"/>
          <w:sz w:val="24"/>
          <w:szCs w:val="24"/>
          <w:highlight w:val="none"/>
        </w:rPr>
        <w:t>由中国工程建设标准化协会建筑与市政工程产品应用分会归口管理，由</w:t>
      </w:r>
      <w:r>
        <w:rPr>
          <w:rFonts w:hint="eastAsia" w:asciiTheme="majorEastAsia" w:hAnsiTheme="majorEastAsia" w:eastAsiaTheme="majorEastAsia" w:cstheme="majorEastAsia"/>
          <w:color w:val="auto"/>
          <w:sz w:val="24"/>
          <w:szCs w:val="24"/>
          <w:highlight w:val="none"/>
          <w:lang w:val="en-US" w:eastAsia="zh-CN"/>
        </w:rPr>
        <w:t>江苏佳通新材料科技开发有限公司</w:t>
      </w:r>
      <w:r>
        <w:rPr>
          <w:rFonts w:hint="eastAsia" w:asciiTheme="majorEastAsia" w:hAnsiTheme="majorEastAsia" w:eastAsiaTheme="majorEastAsia" w:cstheme="majorEastAsia"/>
          <w:color w:val="auto"/>
          <w:sz w:val="24"/>
          <w:szCs w:val="24"/>
          <w:highlight w:val="none"/>
        </w:rPr>
        <w:t>负责具体技术内容的解释。在执行过程中如有意见或建议，请寄送江苏佳通新材料科技开发有限公司（地址：江苏省昆山市黄河南路323号1402室，邮政编码：215300）。</w:t>
      </w:r>
    </w:p>
    <w:p>
      <w:pPr>
        <w:pageBreakBefore w:val="0"/>
        <w:kinsoku/>
        <w:wordWrap/>
        <w:overflowPunct/>
        <w:topLinePunct w:val="0"/>
        <w:bidi w:val="0"/>
        <w:adjustRightInd w:val="0"/>
        <w:snapToGrid w:val="0"/>
        <w:spacing w:line="360" w:lineRule="auto"/>
        <w:ind w:left="0" w:leftChars="0" w:right="0" w:rightChars="0" w:firstLine="422" w:firstLineChars="200"/>
        <w:textAlignment w:val="auto"/>
        <w:rPr>
          <w:color w:val="auto"/>
          <w:sz w:val="28"/>
          <w:szCs w:val="32"/>
          <w:highlight w:val="none"/>
        </w:rPr>
      </w:pPr>
      <w:r>
        <w:rPr>
          <w:b/>
          <w:color w:val="auto"/>
          <w:highlight w:val="none"/>
        </w:rPr>
        <w:t>主编单位</w:t>
      </w:r>
      <w:r>
        <w:rPr>
          <w:rFonts w:hint="eastAsia"/>
          <w:b/>
          <w:color w:val="auto"/>
          <w:highlight w:val="none"/>
        </w:rPr>
        <w:t xml:space="preserve">：  </w:t>
      </w:r>
      <w:r>
        <w:rPr>
          <w:rFonts w:hint="eastAsia"/>
          <w:color w:val="auto"/>
          <w:highlight w:val="none"/>
        </w:rPr>
        <w:t>××××××</w:t>
      </w:r>
    </w:p>
    <w:p>
      <w:pPr>
        <w:pageBreakBefore w:val="0"/>
        <w:kinsoku/>
        <w:wordWrap/>
        <w:overflowPunct/>
        <w:topLinePunct w:val="0"/>
        <w:bidi w:val="0"/>
        <w:adjustRightInd w:val="0"/>
        <w:snapToGrid w:val="0"/>
        <w:spacing w:line="360" w:lineRule="auto"/>
        <w:ind w:left="0" w:leftChars="0" w:right="0" w:rightChars="0" w:firstLine="420" w:firstLineChars="200"/>
        <w:textAlignment w:val="auto"/>
        <w:rPr>
          <w:color w:val="auto"/>
          <w:highlight w:val="none"/>
        </w:rPr>
      </w:pPr>
      <w:r>
        <w:rPr>
          <w:rFonts w:hint="eastAsia"/>
          <w:color w:val="auto"/>
          <w:highlight w:val="none"/>
        </w:rPr>
        <w:t xml:space="preserve">            ××××××</w:t>
      </w:r>
    </w:p>
    <w:p>
      <w:pPr>
        <w:pageBreakBefore w:val="0"/>
        <w:kinsoku/>
        <w:wordWrap/>
        <w:overflowPunct/>
        <w:topLinePunct w:val="0"/>
        <w:bidi w:val="0"/>
        <w:adjustRightInd w:val="0"/>
        <w:snapToGrid w:val="0"/>
        <w:spacing w:line="360" w:lineRule="auto"/>
        <w:ind w:left="0" w:leftChars="0" w:right="0" w:rightChars="0" w:firstLine="422" w:firstLineChars="200"/>
        <w:textAlignment w:val="auto"/>
        <w:rPr>
          <w:color w:val="auto"/>
          <w:highlight w:val="none"/>
        </w:rPr>
      </w:pPr>
      <w:r>
        <w:rPr>
          <w:b/>
          <w:color w:val="auto"/>
          <w:highlight w:val="none"/>
        </w:rPr>
        <w:t>参编单位</w:t>
      </w:r>
      <w:r>
        <w:rPr>
          <w:rFonts w:hint="eastAsia"/>
          <w:b/>
          <w:color w:val="auto"/>
          <w:highlight w:val="none"/>
        </w:rPr>
        <w:t>：</w:t>
      </w:r>
      <w:r>
        <w:rPr>
          <w:rFonts w:hint="eastAsia"/>
          <w:color w:val="auto"/>
          <w:highlight w:val="none"/>
        </w:rPr>
        <w:t xml:space="preserve"> ××××××××××××××</w:t>
      </w:r>
    </w:p>
    <w:p>
      <w:pPr>
        <w:pageBreakBefore w:val="0"/>
        <w:kinsoku/>
        <w:wordWrap/>
        <w:overflowPunct/>
        <w:topLinePunct w:val="0"/>
        <w:bidi w:val="0"/>
        <w:adjustRightInd w:val="0"/>
        <w:snapToGrid w:val="0"/>
        <w:spacing w:line="360" w:lineRule="auto"/>
        <w:ind w:left="0" w:leftChars="0" w:right="0" w:rightChars="0" w:firstLine="1680" w:firstLineChars="800"/>
        <w:textAlignment w:val="auto"/>
        <w:rPr>
          <w:color w:val="auto"/>
          <w:highlight w:val="none"/>
        </w:rPr>
      </w:pPr>
      <w:r>
        <w:rPr>
          <w:rFonts w:hint="eastAsia"/>
          <w:color w:val="auto"/>
          <w:highlight w:val="none"/>
        </w:rPr>
        <w:t>××××××××××××××</w:t>
      </w:r>
    </w:p>
    <w:p>
      <w:pPr>
        <w:pageBreakBefore w:val="0"/>
        <w:kinsoku/>
        <w:wordWrap/>
        <w:overflowPunct/>
        <w:topLinePunct w:val="0"/>
        <w:bidi w:val="0"/>
        <w:adjustRightInd w:val="0"/>
        <w:snapToGrid w:val="0"/>
        <w:spacing w:line="360" w:lineRule="auto"/>
        <w:ind w:left="0" w:leftChars="0" w:right="0" w:rightChars="0" w:firstLine="1680" w:firstLineChars="800"/>
        <w:textAlignment w:val="auto"/>
        <w:rPr>
          <w:color w:val="auto"/>
          <w:highlight w:val="none"/>
        </w:rPr>
      </w:pPr>
      <w:r>
        <w:rPr>
          <w:rFonts w:hint="eastAsia"/>
          <w:color w:val="auto"/>
          <w:highlight w:val="none"/>
        </w:rPr>
        <w:t>××××××××××××××</w:t>
      </w:r>
    </w:p>
    <w:p>
      <w:pPr>
        <w:pageBreakBefore w:val="0"/>
        <w:kinsoku/>
        <w:wordWrap/>
        <w:overflowPunct/>
        <w:topLinePunct w:val="0"/>
        <w:bidi w:val="0"/>
        <w:adjustRightInd w:val="0"/>
        <w:snapToGrid w:val="0"/>
        <w:spacing w:line="360" w:lineRule="auto"/>
        <w:ind w:left="0" w:leftChars="0" w:right="0" w:rightChars="0" w:firstLine="1680" w:firstLineChars="800"/>
        <w:textAlignment w:val="auto"/>
        <w:rPr>
          <w:color w:val="auto"/>
          <w:highlight w:val="none"/>
        </w:rPr>
      </w:pPr>
      <w:r>
        <w:rPr>
          <w:rFonts w:hint="eastAsia"/>
          <w:color w:val="auto"/>
          <w:highlight w:val="none"/>
        </w:rPr>
        <w:t>××××××××××××××</w:t>
      </w:r>
    </w:p>
    <w:p>
      <w:pPr>
        <w:pageBreakBefore w:val="0"/>
        <w:kinsoku/>
        <w:wordWrap/>
        <w:overflowPunct/>
        <w:topLinePunct w:val="0"/>
        <w:bidi w:val="0"/>
        <w:adjustRightInd w:val="0"/>
        <w:snapToGrid w:val="0"/>
        <w:spacing w:line="360" w:lineRule="auto"/>
        <w:ind w:left="0" w:leftChars="0" w:right="0" w:rightChars="0" w:firstLine="1680" w:firstLineChars="800"/>
        <w:textAlignment w:val="auto"/>
        <w:rPr>
          <w:color w:val="auto"/>
          <w:highlight w:val="none"/>
        </w:rPr>
      </w:pPr>
      <w:r>
        <w:rPr>
          <w:rFonts w:hint="eastAsia"/>
          <w:color w:val="auto"/>
          <w:highlight w:val="none"/>
        </w:rPr>
        <w:t>××××××××××××××</w:t>
      </w:r>
    </w:p>
    <w:p>
      <w:pPr>
        <w:pageBreakBefore w:val="0"/>
        <w:kinsoku/>
        <w:wordWrap/>
        <w:overflowPunct/>
        <w:topLinePunct w:val="0"/>
        <w:bidi w:val="0"/>
        <w:adjustRightInd w:val="0"/>
        <w:snapToGrid w:val="0"/>
        <w:spacing w:line="360" w:lineRule="auto"/>
        <w:ind w:left="0" w:leftChars="0" w:right="0" w:rightChars="0" w:firstLine="422" w:firstLineChars="200"/>
        <w:textAlignment w:val="auto"/>
        <w:rPr>
          <w:color w:val="auto"/>
          <w:highlight w:val="none"/>
        </w:rPr>
      </w:pPr>
      <w:r>
        <w:rPr>
          <w:b/>
          <w:color w:val="auto"/>
          <w:highlight w:val="none"/>
        </w:rPr>
        <w:t>主要起草人</w:t>
      </w:r>
      <w:r>
        <w:rPr>
          <w:rFonts w:hint="eastAsia"/>
          <w:b/>
          <w:color w:val="auto"/>
          <w:highlight w:val="none"/>
        </w:rPr>
        <w:t>：</w:t>
      </w:r>
      <w:r>
        <w:rPr>
          <w:rFonts w:hint="eastAsia"/>
          <w:bCs/>
          <w:color w:val="auto"/>
          <w:highlight w:val="none"/>
        </w:rPr>
        <w:t>×××</w:t>
      </w:r>
      <w:r>
        <w:rPr>
          <w:rFonts w:hint="eastAsia"/>
          <w:color w:val="auto"/>
          <w:highlight w:val="none"/>
        </w:rPr>
        <w:t xml:space="preserve">  </w:t>
      </w:r>
      <w:r>
        <w:rPr>
          <w:rFonts w:hint="eastAsia"/>
          <w:bCs/>
          <w:color w:val="auto"/>
          <w:highlight w:val="none"/>
        </w:rPr>
        <w:t>×××</w:t>
      </w:r>
    </w:p>
    <w:p>
      <w:pPr>
        <w:pageBreakBefore w:val="0"/>
        <w:kinsoku/>
        <w:wordWrap/>
        <w:overflowPunct/>
        <w:topLinePunct w:val="0"/>
        <w:bidi w:val="0"/>
        <w:adjustRightInd w:val="0"/>
        <w:snapToGrid w:val="0"/>
        <w:spacing w:line="360" w:lineRule="auto"/>
        <w:ind w:left="0" w:leftChars="0" w:right="0" w:rightChars="0" w:firstLine="1680" w:firstLineChars="800"/>
        <w:textAlignment w:val="auto"/>
        <w:rPr>
          <w:color w:val="auto"/>
          <w:highlight w:val="none"/>
        </w:rPr>
      </w:pPr>
      <w:r>
        <w:rPr>
          <w:rFonts w:hint="eastAsia"/>
          <w:color w:val="auto"/>
          <w:highlight w:val="none"/>
        </w:rPr>
        <w:t>×××  ×××  ×××  ×××  ×××</w:t>
      </w:r>
    </w:p>
    <w:p>
      <w:pPr>
        <w:pageBreakBefore w:val="0"/>
        <w:kinsoku/>
        <w:wordWrap/>
        <w:overflowPunct/>
        <w:topLinePunct w:val="0"/>
        <w:bidi w:val="0"/>
        <w:adjustRightInd w:val="0"/>
        <w:snapToGrid w:val="0"/>
        <w:spacing w:line="360" w:lineRule="auto"/>
        <w:ind w:left="0" w:leftChars="0" w:right="0" w:rightChars="0" w:firstLine="1680" w:firstLineChars="800"/>
        <w:textAlignment w:val="auto"/>
        <w:rPr>
          <w:color w:val="auto"/>
          <w:highlight w:val="none"/>
        </w:rPr>
      </w:pPr>
      <w:r>
        <w:rPr>
          <w:rFonts w:hint="eastAsia"/>
          <w:color w:val="auto"/>
          <w:highlight w:val="none"/>
        </w:rPr>
        <w:t>×××  ×××  ×××  ×××  ×××</w:t>
      </w:r>
    </w:p>
    <w:p>
      <w:pPr>
        <w:pageBreakBefore w:val="0"/>
        <w:kinsoku/>
        <w:wordWrap/>
        <w:overflowPunct/>
        <w:topLinePunct w:val="0"/>
        <w:bidi w:val="0"/>
        <w:adjustRightInd w:val="0"/>
        <w:snapToGrid w:val="0"/>
        <w:spacing w:line="360" w:lineRule="auto"/>
        <w:ind w:left="0" w:leftChars="0" w:right="0" w:rightChars="0" w:firstLine="422" w:firstLineChars="200"/>
        <w:jc w:val="left"/>
        <w:textAlignment w:val="auto"/>
        <w:rPr>
          <w:bCs/>
          <w:color w:val="auto"/>
          <w:highlight w:val="none"/>
        </w:rPr>
      </w:pPr>
      <w:r>
        <w:rPr>
          <w:b/>
          <w:color w:val="auto"/>
          <w:highlight w:val="none"/>
        </w:rPr>
        <w:t>主要审查人</w:t>
      </w:r>
      <w:r>
        <w:rPr>
          <w:rFonts w:hint="eastAsia"/>
          <w:b/>
          <w:color w:val="auto"/>
          <w:highlight w:val="none"/>
        </w:rPr>
        <w:t>：</w:t>
      </w:r>
      <w:r>
        <w:rPr>
          <w:rFonts w:hint="eastAsia"/>
          <w:bCs/>
          <w:color w:val="auto"/>
          <w:highlight w:val="none"/>
        </w:rPr>
        <w:t>×××</w:t>
      </w:r>
      <w:r>
        <w:rPr>
          <w:bCs/>
          <w:color w:val="auto"/>
          <w:highlight w:val="none"/>
        </w:rPr>
        <w:t xml:space="preserve">  </w:t>
      </w:r>
      <w:r>
        <w:rPr>
          <w:rFonts w:hint="eastAsia"/>
          <w:color w:val="auto"/>
          <w:highlight w:val="none"/>
        </w:rPr>
        <w:t>×××  ×××  ×××  ×××</w:t>
      </w:r>
    </w:p>
    <w:p>
      <w:pPr>
        <w:pageBreakBefore w:val="0"/>
        <w:kinsoku/>
        <w:wordWrap/>
        <w:overflowPunct/>
        <w:topLinePunct w:val="0"/>
        <w:bidi w:val="0"/>
        <w:adjustRightInd w:val="0"/>
        <w:snapToGrid w:val="0"/>
        <w:spacing w:line="360" w:lineRule="auto"/>
        <w:ind w:left="0" w:leftChars="0" w:right="0" w:rightChars="0"/>
        <w:jc w:val="left"/>
        <w:textAlignment w:val="auto"/>
        <w:rPr>
          <w:rFonts w:hint="default" w:ascii="Times New Roman" w:hAnsi="Times New Roman" w:eastAsiaTheme="minorEastAsia"/>
          <w:color w:val="auto"/>
          <w:highlight w:val="none"/>
          <w:lang w:val="en-US" w:eastAsia="zh-CN"/>
        </w:rPr>
        <w:sectPr>
          <w:footerReference r:id="rId11" w:type="firs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9"/>
        <w:pageBreakBefore w:val="0"/>
        <w:tabs>
          <w:tab w:val="right" w:leader="dot" w:pos="8958"/>
          <w:tab w:val="clear" w:pos="9241"/>
        </w:tabs>
        <w:kinsoku/>
        <w:wordWrap/>
        <w:overflowPunct/>
        <w:topLinePunct w:val="0"/>
        <w:bidi w:val="0"/>
        <w:adjustRightInd w:val="0"/>
        <w:snapToGrid w:val="0"/>
        <w:spacing w:before="0" w:beforeLines="0" w:after="0" w:afterLines="0" w:line="360" w:lineRule="auto"/>
        <w:ind w:left="0" w:leftChars="0" w:right="0" w:rightChars="0"/>
        <w:jc w:val="center"/>
        <w:textAlignment w:val="auto"/>
        <w:rPr>
          <w:rFonts w:hint="eastAsia" w:ascii="宋体" w:hAnsi="宋体" w:eastAsia="宋体" w:cs="宋体"/>
          <w:color w:val="auto"/>
          <w:sz w:val="24"/>
          <w:szCs w:val="24"/>
        </w:rPr>
      </w:pPr>
      <w:r>
        <w:rPr>
          <w:rFonts w:hint="eastAsia" w:ascii="宋体" w:hAnsi="宋体" w:eastAsia="宋体" w:cs="宋体"/>
          <w:b w:val="0"/>
          <w:bCs/>
          <w:color w:val="auto"/>
          <w:kern w:val="0"/>
          <w:sz w:val="30"/>
          <w:szCs w:val="30"/>
          <w:highlight w:val="none"/>
        </w:rPr>
        <w:t>目   次</w:t>
      </w:r>
      <w:r>
        <w:rPr>
          <w:color w:val="auto"/>
          <w:sz w:val="24"/>
          <w:szCs w:val="24"/>
          <w:highlight w:val="none"/>
        </w:rPr>
        <w:fldChar w:fldCharType="begin"/>
      </w:r>
      <w:r>
        <w:rPr>
          <w:color w:val="auto"/>
          <w:sz w:val="24"/>
          <w:szCs w:val="24"/>
          <w:highlight w:val="none"/>
        </w:rPr>
        <w:instrText xml:space="preserve">TOC \o "1-3" \h \u </w:instrText>
      </w:r>
      <w:r>
        <w:rPr>
          <w:color w:val="auto"/>
          <w:sz w:val="24"/>
          <w:szCs w:val="24"/>
          <w:highlight w:val="none"/>
        </w:rPr>
        <w:fldChar w:fldCharType="separate"/>
      </w:r>
    </w:p>
    <w:p>
      <w:pPr>
        <w:pStyle w:val="9"/>
        <w:tabs>
          <w:tab w:val="right" w:leader="dot" w:pos="8550"/>
          <w:tab w:val="clear" w:pos="924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_Toc16124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  总 则</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_Toc16124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9"/>
        <w:tabs>
          <w:tab w:val="right" w:leader="dot" w:pos="8550"/>
          <w:tab w:val="clear" w:pos="924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_Toc21068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  术 语</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_Toc21068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9"/>
        <w:tabs>
          <w:tab w:val="right" w:leader="dot" w:pos="8550"/>
          <w:tab w:val="clear" w:pos="924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_Toc3786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xml:space="preserve">3 </w:t>
      </w:r>
      <w:r>
        <w:rPr>
          <w:rFonts w:hint="eastAsia" w:ascii="宋体" w:hAnsi="宋体" w:eastAsia="宋体" w:cs="宋体"/>
          <w:color w:val="auto"/>
          <w:sz w:val="24"/>
          <w:szCs w:val="24"/>
          <w:highlight w:val="none"/>
          <w:lang w:eastAsia="zh-CN"/>
        </w:rPr>
        <w:t>设计</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_Toc3786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_Toc3764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3.1  防沉降井盖选型</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_Toc3764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_Toc25784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3.2  井体及井周构造</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_Toc25784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_Toc16279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3.3  新建、改扩建工程卸载板、盖座</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_Toc16279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12</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_Toc15784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3.4  井盖更换及维修</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_Toc15784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14</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_Toc26389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3.5  井周铺面加固</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_Toc26389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9"/>
        <w:tabs>
          <w:tab w:val="right" w:leader="dot" w:pos="8550"/>
          <w:tab w:val="clear" w:pos="924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_Toc20705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4  施  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_Toc20705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19</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_Toc11895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4.1  施工准备</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_Toc11895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19</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_Toc28982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4.2  新建、改扩建工程</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_Toc28982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_Toc12410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4.3  井盖更换及维修</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_Toc12410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_Toc11509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4.4  井周铺面注浆加固</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_Toc11509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_Toc1052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4.5  井周铺面养生</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_Toc1052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28</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9"/>
        <w:tabs>
          <w:tab w:val="right" w:leader="dot" w:pos="8550"/>
          <w:tab w:val="clear" w:pos="924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_Toc26257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5 质量验收</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_Toc26257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30</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9"/>
        <w:tabs>
          <w:tab w:val="right" w:leader="dot" w:pos="8550"/>
          <w:tab w:val="clear" w:pos="924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_Toc24166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附录A：井周铺面注浆加固记录表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_Toc24166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9"/>
        <w:tabs>
          <w:tab w:val="right" w:leader="dot" w:pos="8550"/>
          <w:tab w:val="clear" w:pos="924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_Toc21624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附录B</w:t>
      </w:r>
      <w:r>
        <w:rPr>
          <w:rFonts w:hint="eastAsia"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防沉降井盖施工质量验收记录表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_Toc21624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9"/>
        <w:tabs>
          <w:tab w:val="right" w:leader="dot" w:pos="8550"/>
          <w:tab w:val="clear" w:pos="924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_Toc26624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附录C：井周加固铺面浆液主要性能检测方法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_Toc26624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9"/>
        <w:tabs>
          <w:tab w:val="right" w:leader="dot" w:pos="8550"/>
          <w:tab w:val="clear" w:pos="924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_Toc24798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附录D：井周加固铺面压实度检测及计算方法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_Toc24798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40</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9"/>
        <w:tabs>
          <w:tab w:val="right" w:leader="dot" w:pos="8550"/>
          <w:tab w:val="clear" w:pos="924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_Toc24014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附录E：井周加固铺面劈裂及冻融残余强度试验方法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_Toc24014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42</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9"/>
        <w:tabs>
          <w:tab w:val="right" w:leader="dot" w:pos="8550"/>
          <w:tab w:val="clear" w:pos="924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_Toc27285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附录F：井周加固铺面稳定度及流值试验方法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_Toc27285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44</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9"/>
        <w:tabs>
          <w:tab w:val="right" w:leader="dot" w:pos="8550"/>
          <w:tab w:val="clear" w:pos="924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_Toc19181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本规程用词说明</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_Toc19181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9"/>
        <w:tabs>
          <w:tab w:val="right" w:leader="dot" w:pos="8550"/>
          <w:tab w:val="clear" w:pos="924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_Toc8583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引用标准名录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_Toc8583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ind w:left="0" w:leftChars="0" w:firstLine="0" w:firstLineChars="0"/>
        <w:rPr>
          <w:color w:val="auto"/>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_Toc21442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条文说</w:t>
      </w:r>
      <w:r>
        <w:rPr>
          <w:rFonts w:hint="eastAsia" w:ascii="宋体" w:hAnsi="宋体" w:eastAsia="宋体" w:cs="宋体"/>
          <w:color w:val="auto"/>
          <w:sz w:val="24"/>
          <w:szCs w:val="24"/>
          <w:highlight w:val="none"/>
          <w:lang w:val="en-US" w:eastAsia="zh-CN"/>
        </w:rPr>
        <w:t>明</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_Toc21442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highlight w:val="none"/>
        </w:rPr>
        <w:fldChar w:fldCharType="end"/>
      </w:r>
    </w:p>
    <w:p>
      <w:pPr>
        <w:pStyle w:val="9"/>
        <w:pageBreakBefore w:val="0"/>
        <w:tabs>
          <w:tab w:val="right" w:leader="dot" w:pos="8958"/>
          <w:tab w:val="clear" w:pos="9241"/>
        </w:tabs>
        <w:kinsoku/>
        <w:wordWrap/>
        <w:overflowPunct/>
        <w:topLinePunct w:val="0"/>
        <w:bidi w:val="0"/>
        <w:adjustRightInd w:val="0"/>
        <w:snapToGrid w:val="0"/>
        <w:spacing w:before="0" w:beforeLines="0" w:after="0" w:afterLines="0" w:line="360" w:lineRule="auto"/>
        <w:ind w:left="0" w:leftChars="0" w:right="0" w:rightChars="0"/>
        <w:jc w:val="center"/>
        <w:textAlignment w:val="auto"/>
        <w:rPr>
          <w:color w:val="auto"/>
          <w:szCs w:val="24"/>
          <w:highlight w:val="none"/>
        </w:rPr>
      </w:pPr>
      <w:r>
        <w:rPr>
          <w:color w:val="auto"/>
          <w:szCs w:val="24"/>
          <w:highlight w:val="none"/>
        </w:rPr>
        <w:fldChar w:fldCharType="end"/>
      </w:r>
      <w:bookmarkEnd w:id="23"/>
      <w:bookmarkStart w:id="24" w:name="_Toc5877_WPSOffice_Level1"/>
      <w:bookmarkStart w:id="25" w:name="_Toc31633"/>
      <w:bookmarkStart w:id="26" w:name="_Toc11690"/>
      <w:bookmarkStart w:id="27" w:name="_Toc32407"/>
      <w:bookmarkStart w:id="28" w:name="_Toc27167"/>
      <w:bookmarkStart w:id="29" w:name="_Toc17842"/>
    </w:p>
    <w:p>
      <w:pPr>
        <w:pStyle w:val="9"/>
        <w:pageBreakBefore w:val="0"/>
        <w:tabs>
          <w:tab w:val="right" w:leader="dot" w:pos="8958"/>
          <w:tab w:val="clear" w:pos="9241"/>
        </w:tabs>
        <w:kinsoku/>
        <w:wordWrap/>
        <w:overflowPunct/>
        <w:topLinePunct w:val="0"/>
        <w:bidi w:val="0"/>
        <w:adjustRightInd w:val="0"/>
        <w:snapToGrid w:val="0"/>
        <w:spacing w:before="0" w:beforeLines="0" w:after="0" w:afterLines="0" w:line="360" w:lineRule="auto"/>
        <w:ind w:left="0" w:leftChars="0" w:right="0" w:right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color w:val="auto"/>
          <w:kern w:val="0"/>
          <w:sz w:val="30"/>
          <w:szCs w:val="30"/>
          <w:highlight w:val="none"/>
        </w:rPr>
        <w:t>Contents</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p>
    <w:p>
      <w:pPr>
        <w:pStyle w:val="9"/>
        <w:tabs>
          <w:tab w:val="right" w:leader="dot" w:pos="8550"/>
          <w:tab w:val="clear" w:pos="9241"/>
        </w:tabs>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_Toc30606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 xml:space="preserve">1  </w:t>
      </w:r>
      <w:r>
        <w:rPr>
          <w:rFonts w:hint="eastAsia" w:ascii="宋体" w:hAnsi="宋体" w:eastAsia="宋体" w:cs="宋体"/>
          <w:color w:val="auto"/>
          <w:sz w:val="24"/>
          <w:szCs w:val="24"/>
          <w:highlight w:val="none"/>
        </w:rPr>
        <w:t>General Provisions</w:t>
      </w:r>
      <w:r>
        <w:rPr>
          <w:rFonts w:hint="eastAsia" w:ascii="宋体" w:hAnsi="宋体" w:eastAsia="宋体" w:cs="宋体"/>
          <w:b w:val="0"/>
          <w:bCs w:val="0"/>
          <w:color w:val="auto"/>
          <w:sz w:val="24"/>
          <w:szCs w:val="24"/>
          <w:highlight w:val="none"/>
        </w:rPr>
        <w:tab/>
      </w:r>
      <w:r>
        <w:rPr>
          <w:rFonts w:hint="eastAsia"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fldChar w:fldCharType="end"/>
      </w:r>
    </w:p>
    <w:p>
      <w:pPr>
        <w:pStyle w:val="9"/>
        <w:tabs>
          <w:tab w:val="right" w:leader="dot" w:pos="8550"/>
          <w:tab w:val="clear" w:pos="9241"/>
        </w:tabs>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_Toc23185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 xml:space="preserve">2  </w:t>
      </w:r>
      <w:r>
        <w:rPr>
          <w:rFonts w:hint="eastAsia" w:ascii="宋体" w:hAnsi="宋体" w:eastAsia="宋体" w:cs="宋体"/>
          <w:color w:val="auto"/>
          <w:sz w:val="24"/>
          <w:szCs w:val="24"/>
          <w:highlight w:val="none"/>
        </w:rPr>
        <w:t>Terms</w:t>
      </w:r>
      <w:r>
        <w:rPr>
          <w:rFonts w:hint="eastAsia" w:ascii="宋体" w:hAnsi="宋体" w:eastAsia="宋体" w:cs="宋体"/>
          <w:b w:val="0"/>
          <w:bCs w:val="0"/>
          <w:color w:val="auto"/>
          <w:sz w:val="24"/>
          <w:szCs w:val="24"/>
          <w:highlight w:val="none"/>
        </w:rPr>
        <w:tab/>
      </w:r>
      <w:r>
        <w:rPr>
          <w:rFonts w:hint="eastAsia"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fldChar w:fldCharType="end"/>
      </w:r>
    </w:p>
    <w:p>
      <w:pPr>
        <w:pStyle w:val="9"/>
        <w:tabs>
          <w:tab w:val="right" w:leader="dot" w:pos="8550"/>
          <w:tab w:val="clear" w:pos="9241"/>
        </w:tabs>
        <w:spacing w:line="360" w:lineRule="auto"/>
        <w:rPr>
          <w:rFonts w:hint="eastAsia"/>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_Toc24882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xml:space="preserve">3 </w:t>
      </w:r>
      <w:r>
        <w:rPr>
          <w:rFonts w:hint="eastAsia"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Design</w:t>
      </w:r>
      <w:r>
        <w:rPr>
          <w:rFonts w:hint="eastAsia" w:ascii="宋体" w:hAnsi="宋体" w:eastAsia="宋体" w:cs="宋体"/>
          <w:color w:val="auto"/>
          <w:sz w:val="24"/>
          <w:szCs w:val="24"/>
          <w:highlight w:val="none"/>
        </w:rPr>
        <w:tab/>
      </w:r>
      <w:r>
        <w:rPr>
          <w:rFonts w:hint="eastAsia"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_Toc30222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3.1  Selection of anti settlement manhole cover</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_Toc30669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3.2  WWell body and surrounding structure</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_Toc12702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3.3  Unloading plate and cover seat of new construction, reconstruction and expansion project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2</w:t>
      </w:r>
    </w:p>
    <w:p>
      <w:pPr>
        <w:pStyle w:val="10"/>
        <w:tabs>
          <w:tab w:val="right" w:leader="dot" w:pos="855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_Toc26994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 xml:space="preserve">3.4  Well cover replacement and maintenance </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_Toc26994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_Toc6641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3.5  Reinforcement design of shaft pavement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_Toc6641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9"/>
        <w:tabs>
          <w:tab w:val="right" w:leader="dot" w:pos="8550"/>
          <w:tab w:val="clear" w:pos="9241"/>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_Toc8751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Construction</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_Toc8751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_Toc5944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4.1  Construction preparation</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_Toc5944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_Toc15878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4.2  New construction, reconstruction and expansion projects</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1</w:t>
      </w:r>
    </w:p>
    <w:p>
      <w:pPr>
        <w:pStyle w:val="10"/>
        <w:tabs>
          <w:tab w:val="right" w:leader="dot" w:pos="855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_Toc27215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4.3  Well cover replacement and maintenance</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_Toc27215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_Toc11276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4.4  Grouting reinforcement of shaft pavement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_Toc11276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0"/>
        <w:tabs>
          <w:tab w:val="right" w:leader="dot" w:pos="855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HYPERLINK \l _Toc22777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val="en-US" w:eastAsia="zh-CN"/>
        </w:rPr>
        <w:t xml:space="preserve">  Pavement curing around the well</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PAGEREF _Toc22777 \h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fldChar w:fldCharType="end"/>
      </w:r>
    </w:p>
    <w:p>
      <w:pPr>
        <w:pStyle w:val="9"/>
        <w:tabs>
          <w:tab w:val="right" w:leader="dot" w:pos="8550"/>
          <w:tab w:val="clear" w:pos="9241"/>
        </w:tabs>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_Toc14232 </w:instrText>
      </w:r>
      <w:r>
        <w:rPr>
          <w:rFonts w:hint="eastAsia" w:ascii="宋体" w:hAnsi="宋体" w:eastAsia="宋体" w:cs="宋体"/>
          <w:b w:val="0"/>
          <w:bCs w:val="0"/>
          <w:color w:val="auto"/>
          <w:sz w:val="24"/>
          <w:szCs w:val="24"/>
          <w:highlight w:val="none"/>
        </w:rPr>
        <w:fldChar w:fldCharType="separate"/>
      </w:r>
      <w:r>
        <w:rPr>
          <w:rFonts w:hint="eastAsia"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Quality acceptance</w:t>
      </w:r>
      <w:r>
        <w:rPr>
          <w:rFonts w:hint="eastAsia" w:ascii="宋体" w:hAnsi="宋体" w:eastAsia="宋体" w:cs="宋体"/>
          <w:b w:val="0"/>
          <w:bCs w:val="0"/>
          <w:color w:val="auto"/>
          <w:sz w:val="24"/>
          <w:szCs w:val="24"/>
          <w:highlight w:val="none"/>
        </w:rPr>
        <w:tab/>
      </w:r>
      <w:r>
        <w:rPr>
          <w:rFonts w:hint="eastAsia"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fldChar w:fldCharType="end"/>
      </w:r>
      <w:r>
        <w:rPr>
          <w:rFonts w:hint="eastAsia" w:hAnsi="宋体" w:eastAsia="宋体" w:cs="宋体"/>
          <w:b w:val="0"/>
          <w:bCs w:val="0"/>
          <w:color w:val="auto"/>
          <w:sz w:val="24"/>
          <w:szCs w:val="24"/>
          <w:highlight w:val="none"/>
          <w:lang w:val="en-US" w:eastAsia="zh-CN"/>
        </w:rPr>
        <w:t>0</w:t>
      </w:r>
    </w:p>
    <w:p>
      <w:pPr>
        <w:pStyle w:val="9"/>
        <w:tabs>
          <w:tab w:val="right" w:leader="dot" w:pos="8550"/>
          <w:tab w:val="clear" w:pos="9241"/>
        </w:tabs>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_Toc18063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Appendix A: Grouting record form of reinforcement pavement around the well</w:t>
      </w:r>
      <w:r>
        <w:rPr>
          <w:rFonts w:hint="eastAsia" w:ascii="宋体" w:hAnsi="宋体" w:eastAsia="宋体" w:cs="宋体"/>
          <w:b w:val="0"/>
          <w:bCs w:val="0"/>
          <w:color w:val="auto"/>
          <w:sz w:val="24"/>
          <w:szCs w:val="24"/>
          <w:highlight w:val="none"/>
        </w:rPr>
        <w:tab/>
      </w:r>
      <w:r>
        <w:rPr>
          <w:rFonts w:hint="eastAsia"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fldChar w:fldCharType="end"/>
      </w:r>
      <w:r>
        <w:rPr>
          <w:rFonts w:hint="eastAsia" w:hAnsi="宋体" w:eastAsia="宋体" w:cs="宋体"/>
          <w:b w:val="0"/>
          <w:bCs w:val="0"/>
          <w:color w:val="auto"/>
          <w:sz w:val="24"/>
          <w:szCs w:val="24"/>
          <w:highlight w:val="none"/>
          <w:lang w:val="en-US" w:eastAsia="zh-CN"/>
        </w:rPr>
        <w:t>5</w:t>
      </w:r>
    </w:p>
    <w:p>
      <w:pPr>
        <w:pStyle w:val="9"/>
        <w:tabs>
          <w:tab w:val="right" w:leader="dot" w:pos="8550"/>
          <w:tab w:val="clear" w:pos="9241"/>
        </w:tabs>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_Toc32689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Appendix B：Quality acceptance record of construction inspection lot of anti settlement well cover</w:t>
      </w:r>
      <w:r>
        <w:rPr>
          <w:rFonts w:hint="eastAsia" w:ascii="宋体" w:hAnsi="宋体" w:eastAsia="宋体" w:cs="宋体"/>
          <w:b w:val="0"/>
          <w:bCs w:val="0"/>
          <w:color w:val="auto"/>
          <w:sz w:val="24"/>
          <w:szCs w:val="24"/>
          <w:highlight w:val="none"/>
        </w:rPr>
        <w:tab/>
      </w:r>
      <w:r>
        <w:rPr>
          <w:rFonts w:hint="eastAsia"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fldChar w:fldCharType="end"/>
      </w:r>
      <w:r>
        <w:rPr>
          <w:rFonts w:hint="eastAsia" w:hAnsi="宋体" w:eastAsia="宋体" w:cs="宋体"/>
          <w:b w:val="0"/>
          <w:bCs w:val="0"/>
          <w:color w:val="auto"/>
          <w:sz w:val="24"/>
          <w:szCs w:val="24"/>
          <w:highlight w:val="none"/>
          <w:lang w:val="en-US" w:eastAsia="zh-CN"/>
        </w:rPr>
        <w:t>6</w:t>
      </w:r>
    </w:p>
    <w:p>
      <w:pPr>
        <w:pStyle w:val="9"/>
        <w:tabs>
          <w:tab w:val="right" w:leader="dot" w:pos="8550"/>
          <w:tab w:val="clear" w:pos="9241"/>
        </w:tabs>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_Toc29168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 xml:space="preserve">Appendix </w:t>
      </w:r>
      <w:r>
        <w:rPr>
          <w:rFonts w:hint="eastAsia" w:hAnsi="宋体" w:eastAsia="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 xml:space="preserve"> : Main performance test methods of pavement slurry around well reinforcement</w:t>
      </w:r>
      <w:r>
        <w:rPr>
          <w:rFonts w:hint="eastAsia" w:ascii="宋体" w:hAnsi="宋体" w:eastAsia="宋体" w:cs="宋体"/>
          <w:b w:val="0"/>
          <w:bCs w:val="0"/>
          <w:color w:val="auto"/>
          <w:sz w:val="24"/>
          <w:szCs w:val="24"/>
          <w:highlight w:val="none"/>
        </w:rPr>
        <w:tab/>
      </w:r>
      <w:r>
        <w:rPr>
          <w:rFonts w:hint="eastAsia"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fldChar w:fldCharType="end"/>
      </w:r>
      <w:r>
        <w:rPr>
          <w:rFonts w:hint="eastAsia" w:hAnsi="宋体" w:eastAsia="宋体" w:cs="宋体"/>
          <w:b w:val="0"/>
          <w:bCs w:val="0"/>
          <w:color w:val="auto"/>
          <w:sz w:val="24"/>
          <w:szCs w:val="24"/>
          <w:highlight w:val="none"/>
          <w:lang w:val="en-US" w:eastAsia="zh-CN"/>
        </w:rPr>
        <w:t>7</w:t>
      </w:r>
    </w:p>
    <w:p>
      <w:pPr>
        <w:pStyle w:val="9"/>
        <w:tabs>
          <w:tab w:val="right" w:leader="dot" w:pos="8550"/>
          <w:tab w:val="clear" w:pos="9241"/>
        </w:tabs>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_Toc23535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 xml:space="preserve">Appendix </w:t>
      </w:r>
      <w:r>
        <w:rPr>
          <w:rFonts w:hint="eastAsia" w:hAnsi="宋体" w:eastAsia="宋体" w:cs="宋体"/>
          <w:color w:val="auto"/>
          <w:sz w:val="24"/>
          <w:szCs w:val="24"/>
          <w:highlight w:val="none"/>
          <w:lang w:val="en-US" w:eastAsia="zh-CN"/>
        </w:rPr>
        <w:t>D</w:t>
      </w:r>
      <w:r>
        <w:rPr>
          <w:rFonts w:hint="eastAsia" w:ascii="宋体" w:hAnsi="宋体" w:eastAsia="宋体" w:cs="宋体"/>
          <w:color w:val="auto"/>
          <w:sz w:val="24"/>
          <w:szCs w:val="24"/>
          <w:highlight w:val="none"/>
          <w:lang w:val="en-US" w:eastAsia="zh-CN"/>
        </w:rPr>
        <w:t xml:space="preserve"> : Density detection and calculation method of reinforced pavement around the well</w:t>
      </w:r>
      <w:r>
        <w:rPr>
          <w:rFonts w:hint="eastAsia" w:ascii="宋体" w:hAnsi="宋体" w:eastAsia="宋体" w:cs="宋体"/>
          <w:b w:val="0"/>
          <w:bCs w:val="0"/>
          <w:color w:val="auto"/>
          <w:sz w:val="24"/>
          <w:szCs w:val="24"/>
          <w:highlight w:val="none"/>
        </w:rPr>
        <w:tab/>
      </w:r>
      <w:r>
        <w:rPr>
          <w:rFonts w:hint="eastAsia" w:hAnsi="宋体" w:eastAsia="宋体" w:cs="宋体"/>
          <w:b w:val="0"/>
          <w:bCs w:val="0"/>
          <w:color w:val="auto"/>
          <w:sz w:val="24"/>
          <w:szCs w:val="24"/>
          <w:highlight w:val="none"/>
          <w:lang w:val="en-US" w:eastAsia="zh-CN"/>
        </w:rPr>
        <w:t>40</w:t>
      </w:r>
      <w:r>
        <w:rPr>
          <w:rFonts w:hint="eastAsia" w:ascii="宋体" w:hAnsi="宋体" w:eastAsia="宋体" w:cs="宋体"/>
          <w:b w:val="0"/>
          <w:bCs w:val="0"/>
          <w:color w:val="auto"/>
          <w:sz w:val="24"/>
          <w:szCs w:val="24"/>
          <w:highlight w:val="none"/>
        </w:rPr>
        <w:fldChar w:fldCharType="end"/>
      </w:r>
    </w:p>
    <w:p>
      <w:pPr>
        <w:pStyle w:val="9"/>
        <w:tabs>
          <w:tab w:val="right" w:leader="dot" w:pos="8550"/>
          <w:tab w:val="clear" w:pos="9241"/>
        </w:tabs>
        <w:spacing w:line="360" w:lineRule="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_Toc13387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 xml:space="preserve">Appendix </w:t>
      </w:r>
      <w:r>
        <w:rPr>
          <w:rFonts w:hint="eastAsia" w:hAnsi="宋体" w:eastAsia="宋体" w:cs="宋体"/>
          <w:color w:val="auto"/>
          <w:sz w:val="24"/>
          <w:szCs w:val="24"/>
          <w:highlight w:val="none"/>
          <w:lang w:val="en-US" w:eastAsia="zh-CN"/>
        </w:rPr>
        <w:t>E</w:t>
      </w:r>
      <w:r>
        <w:rPr>
          <w:rFonts w:hint="eastAsia" w:ascii="宋体" w:hAnsi="宋体" w:eastAsia="宋体" w:cs="宋体"/>
          <w:color w:val="auto"/>
          <w:sz w:val="24"/>
          <w:szCs w:val="24"/>
          <w:highlight w:val="none"/>
          <w:lang w:val="en-US" w:eastAsia="zh-CN"/>
        </w:rPr>
        <w:t xml:space="preserve"> : Test Method for freeze-thaw splitting strength of reinforced pavement around wells</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end"/>
      </w:r>
      <w:r>
        <w:rPr>
          <w:rFonts w:hint="eastAsia" w:hAnsi="宋体" w:eastAsia="宋体" w:cs="宋体"/>
          <w:b w:val="0"/>
          <w:bCs w:val="0"/>
          <w:color w:val="auto"/>
          <w:sz w:val="24"/>
          <w:szCs w:val="24"/>
          <w:highlight w:val="none"/>
          <w:lang w:val="en-US" w:eastAsia="zh-CN"/>
        </w:rPr>
        <w:t>42</w:t>
      </w:r>
    </w:p>
    <w:p>
      <w:pPr>
        <w:pStyle w:val="9"/>
        <w:tabs>
          <w:tab w:val="right" w:leader="dot" w:pos="8550"/>
          <w:tab w:val="clear" w:pos="9241"/>
        </w:tabs>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_Toc6431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 xml:space="preserve">Appendix </w:t>
      </w:r>
      <w:r>
        <w:rPr>
          <w:rFonts w:hint="eastAsia" w:hAnsi="宋体" w:eastAsia="宋体" w:cs="宋体"/>
          <w:color w:val="auto"/>
          <w:sz w:val="24"/>
          <w:szCs w:val="24"/>
          <w:highlight w:val="none"/>
          <w:lang w:val="en-US" w:eastAsia="zh-CN"/>
        </w:rPr>
        <w:t>F</w:t>
      </w:r>
      <w:r>
        <w:rPr>
          <w:rFonts w:hint="eastAsia" w:ascii="宋体" w:hAnsi="宋体" w:eastAsia="宋体" w:cs="宋体"/>
          <w:color w:val="auto"/>
          <w:sz w:val="24"/>
          <w:szCs w:val="24"/>
          <w:highlight w:val="none"/>
          <w:lang w:val="en-US" w:eastAsia="zh-CN"/>
        </w:rPr>
        <w:t xml:space="preserve"> : Test Method for stability and flow value of reinforced pavement around the well</w:t>
      </w:r>
      <w:r>
        <w:rPr>
          <w:rFonts w:hint="eastAsia" w:ascii="宋体" w:hAnsi="宋体" w:eastAsia="宋体" w:cs="宋体"/>
          <w:b w:val="0"/>
          <w:bCs w:val="0"/>
          <w:color w:val="auto"/>
          <w:sz w:val="24"/>
          <w:szCs w:val="24"/>
          <w:highlight w:val="none"/>
        </w:rPr>
        <w:tab/>
      </w:r>
      <w:r>
        <w:rPr>
          <w:rFonts w:hint="eastAsia"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fldChar w:fldCharType="end"/>
      </w:r>
      <w:r>
        <w:rPr>
          <w:rFonts w:hint="eastAsia" w:hAnsi="宋体" w:eastAsia="宋体" w:cs="宋体"/>
          <w:b w:val="0"/>
          <w:bCs w:val="0"/>
          <w:color w:val="auto"/>
          <w:sz w:val="24"/>
          <w:szCs w:val="24"/>
          <w:highlight w:val="none"/>
          <w:lang w:val="en-US" w:eastAsia="zh-CN"/>
        </w:rPr>
        <w:t>4</w:t>
      </w:r>
    </w:p>
    <w:p>
      <w:pPr>
        <w:pStyle w:val="9"/>
        <w:tabs>
          <w:tab w:val="right" w:leader="dot" w:pos="8550"/>
          <w:tab w:val="clear" w:pos="9241"/>
        </w:tabs>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_Toc19990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Description of words</w:t>
      </w:r>
      <w:r>
        <w:rPr>
          <w:rFonts w:hint="eastAsia" w:ascii="宋体" w:hAnsi="宋体" w:eastAsia="宋体" w:cs="宋体"/>
          <w:b w:val="0"/>
          <w:bCs w:val="0"/>
          <w:color w:val="auto"/>
          <w:sz w:val="24"/>
          <w:szCs w:val="24"/>
          <w:highlight w:val="none"/>
        </w:rPr>
        <w:tab/>
      </w:r>
      <w:r>
        <w:rPr>
          <w:rFonts w:hint="eastAsia"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fldChar w:fldCharType="end"/>
      </w:r>
      <w:r>
        <w:rPr>
          <w:rFonts w:hint="eastAsia" w:hAnsi="宋体" w:eastAsia="宋体" w:cs="宋体"/>
          <w:b w:val="0"/>
          <w:bCs w:val="0"/>
          <w:color w:val="auto"/>
          <w:sz w:val="24"/>
          <w:szCs w:val="24"/>
          <w:highlight w:val="none"/>
          <w:lang w:val="en-US" w:eastAsia="zh-CN"/>
        </w:rPr>
        <w:t>5</w:t>
      </w:r>
    </w:p>
    <w:p>
      <w:pPr>
        <w:pStyle w:val="9"/>
        <w:tabs>
          <w:tab w:val="right" w:leader="dot" w:pos="8550"/>
          <w:tab w:val="clear" w:pos="9241"/>
        </w:tabs>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_Toc15688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List of referenced standards</w:t>
      </w:r>
      <w:r>
        <w:rPr>
          <w:rFonts w:hint="eastAsia" w:ascii="宋体" w:hAnsi="宋体" w:eastAsia="宋体" w:cs="宋体"/>
          <w:b w:val="0"/>
          <w:bCs w:val="0"/>
          <w:color w:val="auto"/>
          <w:sz w:val="24"/>
          <w:szCs w:val="24"/>
          <w:highlight w:val="none"/>
        </w:rPr>
        <w:tab/>
      </w:r>
      <w:r>
        <w:rPr>
          <w:rFonts w:hint="eastAsia"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fldChar w:fldCharType="end"/>
      </w:r>
      <w:r>
        <w:rPr>
          <w:rFonts w:hint="eastAsia" w:hAnsi="宋体" w:eastAsia="宋体" w:cs="宋体"/>
          <w:b w:val="0"/>
          <w:bCs w:val="0"/>
          <w:color w:val="auto"/>
          <w:sz w:val="24"/>
          <w:szCs w:val="24"/>
          <w:highlight w:val="none"/>
          <w:lang w:val="en-US" w:eastAsia="zh-CN"/>
        </w:rPr>
        <w:t>6</w:t>
      </w:r>
    </w:p>
    <w:p>
      <w:pPr>
        <w:pStyle w:val="10"/>
        <w:tabs>
          <w:tab w:val="right" w:leader="dot" w:pos="8550"/>
        </w:tabs>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_Toc23586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Attachment: Description of articles</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lang w:val="en-US" w:eastAsia="zh-CN"/>
        </w:rPr>
        <w:t>7</w:t>
      </w:r>
    </w:p>
    <w:p>
      <w:pPr>
        <w:pStyle w:val="9"/>
        <w:pageBreakBefore w:val="0"/>
        <w:tabs>
          <w:tab w:val="right" w:leader="dot" w:pos="8958"/>
          <w:tab w:val="clear" w:pos="9241"/>
        </w:tabs>
        <w:kinsoku/>
        <w:wordWrap/>
        <w:overflowPunct/>
        <w:topLinePunct w:val="0"/>
        <w:bidi w:val="0"/>
        <w:adjustRightInd w:val="0"/>
        <w:snapToGrid w:val="0"/>
        <w:spacing w:before="0" w:beforeLines="0" w:after="0" w:afterLines="0" w:line="360" w:lineRule="auto"/>
        <w:ind w:left="0" w:leftChars="0" w:right="0" w:rightChars="0"/>
        <w:jc w:val="both"/>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fldChar w:fldCharType="end"/>
      </w:r>
      <w:bookmarkEnd w:id="24"/>
      <w:bookmarkEnd w:id="25"/>
      <w:bookmarkEnd w:id="26"/>
      <w:bookmarkEnd w:id="27"/>
      <w:bookmarkEnd w:id="28"/>
      <w:bookmarkEnd w:id="29"/>
      <w:bookmarkStart w:id="30" w:name="_Toc6085"/>
      <w:bookmarkStart w:id="31" w:name="_Toc20516"/>
      <w:bookmarkStart w:id="32" w:name="_Toc9399"/>
      <w:bookmarkStart w:id="33" w:name="_Toc6305"/>
      <w:bookmarkStart w:id="34" w:name="_Toc30946"/>
      <w:bookmarkStart w:id="35" w:name="_Toc14951"/>
      <w:bookmarkStart w:id="36" w:name="_Toc8913"/>
      <w:bookmarkStart w:id="37" w:name="_Toc10562"/>
      <w:bookmarkStart w:id="38" w:name="_Toc19904"/>
    </w:p>
    <w:p>
      <w:pPr>
        <w:pStyle w:val="2"/>
        <w:adjustRightInd w:val="0"/>
        <w:snapToGrid w:val="0"/>
        <w:spacing w:before="240" w:beforeLines="100" w:after="240" w:afterLines="100" w:line="360" w:lineRule="auto"/>
        <w:rPr>
          <w:rFonts w:hint="eastAsia" w:ascii="宋体" w:hAnsi="宋体" w:eastAsia="宋体" w:cs="宋体"/>
          <w:color w:val="auto"/>
          <w:sz w:val="30"/>
          <w:szCs w:val="30"/>
          <w:highlight w:val="none"/>
        </w:rPr>
        <w:sectPr>
          <w:footerReference r:id="rId12" w:type="default"/>
          <w:pgSz w:w="11910" w:h="16840"/>
          <w:pgMar w:top="1500" w:right="1680" w:bottom="1320" w:left="1680" w:header="0" w:footer="1128" w:gutter="0"/>
          <w:pgNumType w:start="1"/>
          <w:cols w:space="720" w:num="1"/>
        </w:sectPr>
      </w:pPr>
      <w:bookmarkStart w:id="39" w:name="_Toc16124"/>
    </w:p>
    <w:p>
      <w:pPr>
        <w:pStyle w:val="2"/>
        <w:adjustRightInd w:val="0"/>
        <w:snapToGrid w:val="0"/>
        <w:spacing w:before="240" w:beforeLines="100" w:after="240" w:afterLines="100" w:line="360" w:lineRule="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1  总 则</w:t>
      </w:r>
      <w:bookmarkEnd w:id="30"/>
      <w:bookmarkEnd w:id="31"/>
      <w:bookmarkEnd w:id="39"/>
    </w:p>
    <w:p>
      <w:pPr>
        <w:widowControl/>
        <w:spacing w:line="360" w:lineRule="auto"/>
        <w:jc w:val="left"/>
        <w:rPr>
          <w:color w:val="auto"/>
          <w:sz w:val="24"/>
          <w:highlight w:val="none"/>
        </w:rPr>
      </w:pPr>
      <w:r>
        <w:rPr>
          <w:rFonts w:hint="eastAsia" w:ascii="宋体" w:hAnsi="宋体" w:eastAsia="宋体" w:cs="宋体"/>
          <w:b/>
          <w:bCs/>
          <w:color w:val="auto"/>
          <w:sz w:val="24"/>
          <w:highlight w:val="none"/>
        </w:rPr>
        <w:t xml:space="preserve">1.0.1 </w:t>
      </w:r>
      <w:r>
        <w:rPr>
          <w:rFonts w:hint="eastAsia" w:ascii="宋体" w:hAnsi="宋体" w:eastAsia="宋体" w:cs="宋体"/>
          <w:color w:val="auto"/>
          <w:kern w:val="0"/>
          <w:sz w:val="24"/>
          <w:highlight w:val="none"/>
          <w:lang w:bidi="ar"/>
        </w:rPr>
        <w:t xml:space="preserve"> </w:t>
      </w:r>
      <w:r>
        <w:rPr>
          <w:rFonts w:ascii="宋体" w:hAnsi="宋体" w:eastAsia="宋体" w:cs="宋体"/>
          <w:color w:val="auto"/>
          <w:kern w:val="0"/>
          <w:sz w:val="24"/>
          <w:highlight w:val="none"/>
          <w:lang w:bidi="ar"/>
        </w:rPr>
        <w:t>为规范防沉降井盖工程</w:t>
      </w:r>
      <w:r>
        <w:rPr>
          <w:rFonts w:hint="eastAsia" w:ascii="宋体" w:hAnsi="宋体" w:eastAsia="宋体" w:cs="宋体"/>
          <w:color w:val="auto"/>
          <w:kern w:val="0"/>
          <w:sz w:val="24"/>
          <w:highlight w:val="none"/>
          <w:lang w:val="en-US" w:eastAsia="zh-CN" w:bidi="ar"/>
        </w:rPr>
        <w:t>技术的</w:t>
      </w:r>
      <w:r>
        <w:rPr>
          <w:rFonts w:ascii="宋体" w:hAnsi="宋体" w:eastAsia="宋体" w:cs="宋体"/>
          <w:color w:val="auto"/>
          <w:kern w:val="0"/>
          <w:sz w:val="24"/>
          <w:highlight w:val="none"/>
          <w:lang w:bidi="ar"/>
        </w:rPr>
        <w:t>应用,做到技术先进、安全可靠、经济合理、</w:t>
      </w:r>
      <w:r>
        <w:rPr>
          <w:rFonts w:hint="eastAsia" w:ascii="宋体" w:hAnsi="宋体" w:eastAsia="宋体" w:cs="宋体"/>
          <w:color w:val="auto"/>
          <w:kern w:val="0"/>
          <w:sz w:val="24"/>
          <w:highlight w:val="none"/>
          <w:lang w:val="en-US" w:eastAsia="zh-CN" w:bidi="ar"/>
        </w:rPr>
        <w:t>环保节能、</w:t>
      </w:r>
      <w:r>
        <w:rPr>
          <w:rFonts w:ascii="宋体" w:hAnsi="宋体" w:eastAsia="宋体" w:cs="宋体"/>
          <w:color w:val="auto"/>
          <w:kern w:val="0"/>
          <w:sz w:val="24"/>
          <w:highlight w:val="none"/>
          <w:lang w:bidi="ar"/>
        </w:rPr>
        <w:t>维护管理方便</w:t>
      </w:r>
      <w:r>
        <w:rPr>
          <w:rFonts w:hint="eastAsia" w:ascii="宋体" w:hAnsi="宋体" w:eastAsia="宋体" w:cs="宋体"/>
          <w:color w:val="auto"/>
          <w:kern w:val="0"/>
          <w:sz w:val="24"/>
          <w:highlight w:val="none"/>
          <w:lang w:bidi="ar"/>
        </w:rPr>
        <w:t>，</w:t>
      </w:r>
      <w:r>
        <w:rPr>
          <w:rFonts w:hint="eastAsia"/>
          <w:color w:val="auto"/>
          <w:sz w:val="24"/>
          <w:highlight w:val="none"/>
        </w:rPr>
        <w:t>制定本规程。</w:t>
      </w:r>
    </w:p>
    <w:p>
      <w:pPr>
        <w:pStyle w:val="4"/>
        <w:spacing w:line="360" w:lineRule="auto"/>
        <w:rPr>
          <w:rFonts w:hint="eastAsia" w:eastAsia="楷体"/>
          <w:color w:val="auto"/>
          <w:szCs w:val="21"/>
          <w:highlight w:val="none"/>
          <w:lang w:val="en-US" w:eastAsia="zh-CN"/>
        </w:rPr>
      </w:pPr>
      <w:r>
        <w:rPr>
          <w:rFonts w:eastAsia="楷体"/>
          <w:color w:val="auto"/>
          <w:szCs w:val="21"/>
          <w:highlight w:val="none"/>
        </w:rPr>
        <w:t>【</w:t>
      </w:r>
      <w:r>
        <w:rPr>
          <w:rFonts w:hint="eastAsia" w:eastAsia="楷体"/>
          <w:color w:val="auto"/>
          <w:szCs w:val="21"/>
          <w:highlight w:val="none"/>
        </w:rPr>
        <w:t>条文</w:t>
      </w:r>
      <w:r>
        <w:rPr>
          <w:rFonts w:eastAsia="楷体"/>
          <w:color w:val="auto"/>
          <w:szCs w:val="21"/>
          <w:highlight w:val="none"/>
        </w:rPr>
        <w:t>说明】</w:t>
      </w:r>
      <w:r>
        <w:rPr>
          <w:rFonts w:hint="eastAsia" w:eastAsia="楷体"/>
          <w:color w:val="auto"/>
          <w:szCs w:val="21"/>
          <w:highlight w:val="none"/>
          <w:lang w:val="en-US" w:eastAsia="zh-CN"/>
        </w:rPr>
        <w:t xml:space="preserve"> </w:t>
      </w:r>
      <w:r>
        <w:rPr>
          <w:rFonts w:hint="eastAsia" w:eastAsia="楷体"/>
          <w:color w:val="auto"/>
          <w:szCs w:val="21"/>
          <w:highlight w:val="none"/>
        </w:rPr>
        <w:t>本规程所指防沉降井盖</w:t>
      </w:r>
      <w:r>
        <w:rPr>
          <w:rFonts w:hint="eastAsia" w:eastAsia="楷体"/>
          <w:color w:val="auto"/>
          <w:szCs w:val="21"/>
          <w:highlight w:val="none"/>
          <w:lang w:val="en-US" w:eastAsia="zh-CN"/>
        </w:rPr>
        <w:t>工程技术是以</w:t>
      </w:r>
      <w:r>
        <w:rPr>
          <w:rFonts w:hint="eastAsia" w:eastAsia="楷体"/>
          <w:color w:val="auto"/>
          <w:szCs w:val="21"/>
          <w:highlight w:val="none"/>
        </w:rPr>
        <w:t>防沉降井盖产品为核心</w:t>
      </w:r>
      <w:r>
        <w:rPr>
          <w:rFonts w:hint="eastAsia" w:eastAsia="楷体"/>
          <w:color w:val="auto"/>
          <w:szCs w:val="21"/>
          <w:highlight w:val="none"/>
          <w:lang w:eastAsia="zh-CN"/>
        </w:rPr>
        <w:t>，</w:t>
      </w:r>
      <w:r>
        <w:rPr>
          <w:rFonts w:hint="eastAsia" w:eastAsia="楷体"/>
          <w:color w:val="auto"/>
          <w:szCs w:val="21"/>
          <w:highlight w:val="none"/>
          <w:lang w:val="en-US" w:eastAsia="zh-CN"/>
        </w:rPr>
        <w:t>包括井周铺面和井周其他结构、部件</w:t>
      </w:r>
      <w:r>
        <w:rPr>
          <w:rFonts w:hint="eastAsia" w:eastAsia="楷体"/>
          <w:color w:val="auto"/>
          <w:szCs w:val="21"/>
          <w:highlight w:val="none"/>
        </w:rPr>
        <w:t>的防沉降井盖结构体系</w:t>
      </w:r>
      <w:r>
        <w:rPr>
          <w:rFonts w:hint="eastAsia" w:eastAsia="楷体"/>
          <w:color w:val="auto"/>
          <w:szCs w:val="21"/>
          <w:highlight w:val="none"/>
          <w:lang w:val="en-US" w:eastAsia="zh-CN"/>
        </w:rPr>
        <w:t>的</w:t>
      </w:r>
      <w:r>
        <w:rPr>
          <w:rFonts w:hint="eastAsia" w:eastAsia="楷体"/>
          <w:color w:val="auto"/>
          <w:szCs w:val="21"/>
          <w:highlight w:val="none"/>
        </w:rPr>
        <w:t>设计、施工和验收。</w:t>
      </w:r>
    </w:p>
    <w:p>
      <w:pPr>
        <w:pStyle w:val="4"/>
        <w:spacing w:line="360" w:lineRule="auto"/>
        <w:ind w:firstLine="420" w:firstLineChars="200"/>
        <w:rPr>
          <w:rFonts w:hint="eastAsia" w:eastAsia="楷体"/>
          <w:color w:val="auto"/>
          <w:szCs w:val="21"/>
          <w:highlight w:val="none"/>
          <w:lang w:val="en-US" w:eastAsia="zh-CN"/>
        </w:rPr>
      </w:pPr>
      <w:r>
        <w:rPr>
          <w:rFonts w:hint="eastAsia" w:eastAsia="楷体"/>
          <w:color w:val="auto"/>
          <w:szCs w:val="21"/>
          <w:highlight w:val="none"/>
          <w:lang w:val="en-US" w:eastAsia="zh-CN"/>
        </w:rPr>
        <w:t>防沉降井盖是用以解决井盖沉降问题的技术产品，其结构体系</w:t>
      </w:r>
      <w:r>
        <w:rPr>
          <w:rFonts w:hint="eastAsia" w:eastAsia="楷体"/>
          <w:color w:val="auto"/>
          <w:szCs w:val="21"/>
          <w:highlight w:val="none"/>
        </w:rPr>
        <w:t>与传统窄边井盖和普通的宽边井盖结构存在本质区别</w:t>
      </w:r>
      <w:r>
        <w:rPr>
          <w:rFonts w:hint="eastAsia" w:eastAsia="楷体"/>
          <w:color w:val="auto"/>
          <w:szCs w:val="21"/>
          <w:highlight w:val="none"/>
          <w:lang w:eastAsia="zh-CN"/>
        </w:rPr>
        <w:t>，</w:t>
      </w:r>
      <w:r>
        <w:rPr>
          <w:rFonts w:hint="eastAsia" w:eastAsia="楷体"/>
          <w:color w:val="auto"/>
          <w:szCs w:val="21"/>
          <w:highlight w:val="none"/>
          <w:lang w:val="en-US" w:eastAsia="zh-CN"/>
        </w:rPr>
        <w:t>对解决井盖和井周沉降具有显著的效果。铺面工程常见的井盖、井体会影响铺面结构的局部强度和连续性，因此传统井盖及其周边铺面结构早期沉降变形病害高发。传统</w:t>
      </w:r>
      <w:r>
        <w:rPr>
          <w:rFonts w:hint="eastAsia" w:eastAsia="楷体"/>
          <w:color w:val="auto"/>
          <w:szCs w:val="21"/>
          <w:highlight w:val="none"/>
        </w:rPr>
        <w:t>窄边</w:t>
      </w:r>
      <w:r>
        <w:rPr>
          <w:rFonts w:hint="eastAsia" w:eastAsia="楷体"/>
          <w:color w:val="auto"/>
          <w:szCs w:val="21"/>
          <w:highlight w:val="none"/>
          <w:lang w:val="en-US" w:eastAsia="zh-CN"/>
        </w:rPr>
        <w:t>和</w:t>
      </w:r>
      <w:r>
        <w:rPr>
          <w:rFonts w:hint="eastAsia" w:eastAsia="楷体"/>
          <w:color w:val="auto"/>
          <w:szCs w:val="21"/>
          <w:highlight w:val="none"/>
        </w:rPr>
        <w:t>普通的宽边井盖</w:t>
      </w:r>
      <w:r>
        <w:rPr>
          <w:rFonts w:hint="eastAsia" w:eastAsia="楷体"/>
          <w:color w:val="auto"/>
          <w:szCs w:val="21"/>
          <w:highlight w:val="none"/>
          <w:lang w:val="en-US" w:eastAsia="zh-CN"/>
        </w:rPr>
        <w:t>及井周铺面建成三年内，显著的沉降变形和次生、伴生病害发生率可达60%以上。近年来，防沉降井盖在解决和降低井周病害方面发挥出越来越大的作用。以符合</w:t>
      </w:r>
      <w:r>
        <w:rPr>
          <w:rFonts w:hint="eastAsia" w:eastAsia="楷体"/>
          <w:color w:val="auto"/>
          <w:szCs w:val="21"/>
          <w:highlight w:val="none"/>
        </w:rPr>
        <w:t>中国建设标准化协会标准《防沉降井盖》T/CECSxxxx</w:t>
      </w:r>
      <w:r>
        <w:rPr>
          <w:rFonts w:hint="eastAsia" w:eastAsia="楷体"/>
          <w:color w:val="auto"/>
          <w:szCs w:val="21"/>
          <w:highlight w:val="none"/>
          <w:lang w:val="en-US" w:eastAsia="zh-CN"/>
        </w:rPr>
        <w:t>产品标准规定的防沉降井盖产品为例，其防沉降井盖结构体系可将病害发生率降低80%以上，并使相似运营条件下的沉降变形量至少减少80%。</w:t>
      </w:r>
    </w:p>
    <w:p>
      <w:pPr>
        <w:widowControl/>
        <w:spacing w:line="360" w:lineRule="auto"/>
        <w:ind w:left="0" w:leftChars="0" w:firstLine="420" w:firstLineChars="200"/>
        <w:rPr>
          <w:rFonts w:hint="default" w:eastAsia="楷体"/>
          <w:color w:val="auto"/>
          <w:szCs w:val="21"/>
          <w:highlight w:val="none"/>
          <w:lang w:val="en-US" w:eastAsia="zh-CN"/>
        </w:rPr>
      </w:pPr>
      <w:r>
        <w:rPr>
          <w:rFonts w:hint="eastAsia" w:eastAsia="楷体"/>
          <w:color w:val="auto"/>
          <w:szCs w:val="21"/>
          <w:highlight w:val="none"/>
          <w:lang w:val="en-US" w:eastAsia="zh-CN"/>
        </w:rPr>
        <w:t>本规程包含</w:t>
      </w:r>
      <w:r>
        <w:rPr>
          <w:rFonts w:hint="eastAsia" w:eastAsia="楷体"/>
          <w:color w:val="auto"/>
          <w:szCs w:val="21"/>
          <w:highlight w:val="none"/>
        </w:rPr>
        <w:t>防沉降井盖</w:t>
      </w:r>
      <w:r>
        <w:rPr>
          <w:rFonts w:hint="eastAsia" w:eastAsia="楷体"/>
          <w:color w:val="auto"/>
          <w:szCs w:val="21"/>
          <w:highlight w:val="none"/>
          <w:lang w:val="en-US" w:eastAsia="zh-CN"/>
        </w:rPr>
        <w:t>结构体系</w:t>
      </w:r>
      <w:r>
        <w:rPr>
          <w:rFonts w:hint="eastAsia" w:eastAsia="楷体"/>
          <w:color w:val="auto"/>
          <w:szCs w:val="21"/>
          <w:highlight w:val="none"/>
        </w:rPr>
        <w:t>的</w:t>
      </w:r>
      <w:r>
        <w:rPr>
          <w:rFonts w:hint="eastAsia" w:eastAsia="楷体"/>
          <w:color w:val="auto"/>
          <w:szCs w:val="21"/>
          <w:highlight w:val="none"/>
          <w:lang w:eastAsia="zh-CN"/>
        </w:rPr>
        <w:t>选型</w:t>
      </w:r>
      <w:r>
        <w:rPr>
          <w:rFonts w:hint="eastAsia" w:eastAsia="楷体"/>
          <w:color w:val="auto"/>
          <w:szCs w:val="21"/>
          <w:highlight w:val="none"/>
        </w:rPr>
        <w:t>设计、施工、验收</w:t>
      </w:r>
      <w:r>
        <w:rPr>
          <w:rFonts w:hint="eastAsia" w:eastAsia="楷体"/>
          <w:color w:val="auto"/>
          <w:szCs w:val="21"/>
          <w:highlight w:val="none"/>
          <w:lang w:val="en-US" w:eastAsia="zh-CN"/>
        </w:rPr>
        <w:t>全过程</w:t>
      </w:r>
      <w:r>
        <w:rPr>
          <w:rFonts w:hint="eastAsia" w:eastAsia="楷体"/>
          <w:color w:val="auto"/>
          <w:szCs w:val="21"/>
          <w:highlight w:val="none"/>
          <w:lang w:eastAsia="zh-CN"/>
        </w:rPr>
        <w:t>，</w:t>
      </w:r>
      <w:r>
        <w:rPr>
          <w:rFonts w:hint="eastAsia" w:eastAsia="楷体"/>
          <w:color w:val="auto"/>
          <w:szCs w:val="21"/>
          <w:highlight w:val="none"/>
          <w:lang w:val="en-US" w:eastAsia="zh-CN"/>
        </w:rPr>
        <w:t>为技术应用提供完整的参考依据。结构体系纳入了直接影响或有效改善井周及井盖沉降变形的防沉降井盖产品、井周加固铺面、卸载板及井周其他结构或部件；选型和结构组合设计均基于该结构体系，并考虑了井体洞口对施工的影响及井周铺装结构缺陷绕井周分布的范围（约0.25m内）特征；施工工艺充分考虑井孔和井体对施工效率和质量的影响，建议采用逆做法，引入了井周加固工艺，可提高井周铺面施工效率和井周铺面质量，并增加结构体系的整体性。此外，规程还根据</w:t>
      </w:r>
      <w:r>
        <w:rPr>
          <w:rFonts w:hint="eastAsia" w:eastAsia="楷体"/>
          <w:color w:val="auto"/>
          <w:szCs w:val="21"/>
          <w:highlight w:val="none"/>
        </w:rPr>
        <w:t>防沉降井盖</w:t>
      </w:r>
      <w:r>
        <w:rPr>
          <w:rFonts w:hint="eastAsia" w:eastAsia="楷体"/>
          <w:color w:val="auto"/>
          <w:szCs w:val="21"/>
          <w:highlight w:val="none"/>
          <w:lang w:val="en-US" w:eastAsia="zh-CN"/>
        </w:rPr>
        <w:t>结构体系提出了包括井周铺面压实度、稳定度及流值、劈裂及冻融残余强度、渗水系数等在内</w:t>
      </w:r>
      <w:r>
        <w:rPr>
          <w:rFonts w:hint="eastAsia" w:eastAsia="楷体"/>
          <w:color w:val="auto"/>
          <w:szCs w:val="21"/>
          <w:highlight w:val="none"/>
        </w:rPr>
        <w:t>的</w:t>
      </w:r>
      <w:r>
        <w:rPr>
          <w:rFonts w:hint="eastAsia" w:eastAsia="楷体"/>
          <w:color w:val="auto"/>
          <w:szCs w:val="21"/>
          <w:highlight w:val="none"/>
          <w:lang w:val="en-US" w:eastAsia="zh-CN"/>
        </w:rPr>
        <w:t>性能指标和相应的质量</w:t>
      </w:r>
      <w:r>
        <w:rPr>
          <w:rFonts w:hint="eastAsia" w:eastAsia="楷体"/>
          <w:color w:val="auto"/>
          <w:szCs w:val="21"/>
          <w:highlight w:val="none"/>
        </w:rPr>
        <w:t>控制</w:t>
      </w:r>
      <w:r>
        <w:rPr>
          <w:rFonts w:hint="eastAsia" w:eastAsia="楷体"/>
          <w:color w:val="auto"/>
          <w:szCs w:val="21"/>
          <w:highlight w:val="none"/>
          <w:lang w:val="en-US" w:eastAsia="zh-CN"/>
        </w:rPr>
        <w:t>要求。</w:t>
      </w:r>
    </w:p>
    <w:p>
      <w:pPr>
        <w:pStyle w:val="4"/>
        <w:spacing w:line="360" w:lineRule="auto"/>
        <w:ind w:firstLine="420" w:firstLineChars="200"/>
        <w:rPr>
          <w:rFonts w:hint="eastAsia" w:eastAsia="楷体"/>
          <w:color w:val="auto"/>
          <w:szCs w:val="21"/>
          <w:highlight w:val="none"/>
        </w:rPr>
      </w:pPr>
      <w:r>
        <w:rPr>
          <w:rFonts w:hint="eastAsia" w:eastAsia="楷体"/>
          <w:color w:val="auto"/>
          <w:szCs w:val="21"/>
          <w:highlight w:val="none"/>
          <w:lang w:val="en-US" w:eastAsia="zh-CN"/>
        </w:rPr>
        <w:t>按本规程设计、施工的井盖及周边道路结构的承载能力、稳定性和耐久性显著提高。本规程施工工艺使</w:t>
      </w:r>
      <w:r>
        <w:rPr>
          <w:rFonts w:hint="eastAsia" w:eastAsia="楷体"/>
          <w:color w:val="auto"/>
          <w:szCs w:val="21"/>
          <w:highlight w:val="none"/>
        </w:rPr>
        <w:t>施工更为简便、合理，安装精准度更高，井盖顶面与</w:t>
      </w:r>
      <w:r>
        <w:rPr>
          <w:rFonts w:hint="eastAsia" w:eastAsia="楷体"/>
          <w:color w:val="auto"/>
          <w:szCs w:val="21"/>
          <w:highlight w:val="none"/>
          <w:lang w:eastAsia="zh-CN"/>
        </w:rPr>
        <w:t>井周</w:t>
      </w:r>
      <w:r>
        <w:rPr>
          <w:rFonts w:hint="eastAsia" w:eastAsia="楷体"/>
          <w:color w:val="auto"/>
          <w:szCs w:val="21"/>
          <w:highlight w:val="none"/>
        </w:rPr>
        <w:t>的衔接更平顺</w:t>
      </w:r>
      <w:r>
        <w:rPr>
          <w:rFonts w:hint="eastAsia" w:eastAsia="楷体"/>
          <w:color w:val="auto"/>
          <w:szCs w:val="21"/>
          <w:highlight w:val="none"/>
          <w:lang w:eastAsia="zh-CN"/>
        </w:rPr>
        <w:t>；</w:t>
      </w:r>
      <w:r>
        <w:rPr>
          <w:rFonts w:hint="eastAsia" w:eastAsia="楷体"/>
          <w:color w:val="auto"/>
          <w:szCs w:val="21"/>
          <w:highlight w:val="none"/>
        </w:rPr>
        <w:t>同时</w:t>
      </w:r>
      <w:r>
        <w:rPr>
          <w:rFonts w:hint="eastAsia" w:eastAsia="楷体"/>
          <w:color w:val="auto"/>
          <w:szCs w:val="21"/>
          <w:highlight w:val="none"/>
          <w:lang w:eastAsia="zh-CN"/>
        </w:rPr>
        <w:t>，</w:t>
      </w:r>
      <w:r>
        <w:rPr>
          <w:rFonts w:hint="eastAsia" w:eastAsia="楷体"/>
          <w:color w:val="auto"/>
          <w:szCs w:val="21"/>
          <w:highlight w:val="none"/>
          <w:lang w:val="en-US" w:eastAsia="zh-CN"/>
        </w:rPr>
        <w:t>本规程</w:t>
      </w:r>
      <w:r>
        <w:rPr>
          <w:rFonts w:hint="eastAsia" w:eastAsia="楷体"/>
          <w:color w:val="auto"/>
          <w:szCs w:val="21"/>
          <w:highlight w:val="none"/>
        </w:rPr>
        <w:t>提出的配套结构组合、安装和井周铺面注浆加固工艺能够确保井盖及周边结构的稳定和耐久，有效降低井盖及井周的持续变形、下沉、异响等病害发生，长期运行后“路框差”</w:t>
      </w:r>
      <w:r>
        <w:rPr>
          <w:rFonts w:hint="eastAsia" w:eastAsia="楷体"/>
          <w:color w:val="auto"/>
          <w:szCs w:val="21"/>
          <w:highlight w:val="none"/>
          <w:lang w:eastAsia="zh-CN"/>
        </w:rPr>
        <w:t>变化</w:t>
      </w:r>
      <w:r>
        <w:rPr>
          <w:rFonts w:hint="eastAsia" w:eastAsia="楷体"/>
          <w:color w:val="auto"/>
          <w:szCs w:val="21"/>
          <w:highlight w:val="none"/>
        </w:rPr>
        <w:t>更小</w:t>
      </w:r>
      <w:r>
        <w:rPr>
          <w:rFonts w:hint="eastAsia" w:eastAsia="楷体"/>
          <w:color w:val="auto"/>
          <w:szCs w:val="21"/>
          <w:highlight w:val="none"/>
          <w:lang w:eastAsia="zh-CN"/>
        </w:rPr>
        <w:t>，</w:t>
      </w:r>
      <w:r>
        <w:rPr>
          <w:rFonts w:hint="eastAsia" w:eastAsia="楷体"/>
          <w:color w:val="auto"/>
          <w:szCs w:val="21"/>
          <w:highlight w:val="none"/>
        </w:rPr>
        <w:t>提高行车舒适性和安全性，消除井盖扰民隐患。</w:t>
      </w:r>
    </w:p>
    <w:p>
      <w:pPr>
        <w:pStyle w:val="4"/>
        <w:spacing w:line="360" w:lineRule="auto"/>
        <w:ind w:firstLine="420" w:firstLineChars="200"/>
        <w:rPr>
          <w:rFonts w:hint="eastAsia" w:ascii="宋体" w:hAnsi="宋体" w:eastAsia="宋体" w:cs="宋体"/>
          <w:b/>
          <w:bCs/>
          <w:color w:val="auto"/>
          <w:sz w:val="24"/>
          <w:highlight w:val="none"/>
        </w:rPr>
      </w:pPr>
      <w:r>
        <w:rPr>
          <w:rFonts w:hint="eastAsia" w:eastAsia="楷体"/>
          <w:color w:val="auto"/>
          <w:szCs w:val="21"/>
          <w:highlight w:val="none"/>
        </w:rPr>
        <w:t>防沉降井盖结构体系采用与</w:t>
      </w:r>
      <w:r>
        <w:rPr>
          <w:rFonts w:hint="eastAsia" w:eastAsia="楷体"/>
          <w:color w:val="auto"/>
          <w:szCs w:val="21"/>
          <w:highlight w:val="none"/>
          <w:lang w:val="en-US" w:eastAsia="zh-CN"/>
        </w:rPr>
        <w:t>整体工程</w:t>
      </w:r>
      <w:r>
        <w:rPr>
          <w:rFonts w:hint="eastAsia" w:eastAsia="楷体"/>
          <w:color w:val="auto"/>
          <w:szCs w:val="21"/>
          <w:highlight w:val="none"/>
        </w:rPr>
        <w:t>一致的设计</w:t>
      </w:r>
      <w:r>
        <w:rPr>
          <w:rFonts w:hint="eastAsia" w:eastAsia="楷体"/>
          <w:color w:val="auto"/>
          <w:szCs w:val="21"/>
          <w:highlight w:val="none"/>
          <w:lang w:eastAsia="zh-CN"/>
        </w:rPr>
        <w:t>工作</w:t>
      </w:r>
      <w:r>
        <w:rPr>
          <w:rFonts w:hint="eastAsia" w:eastAsia="楷体"/>
          <w:color w:val="auto"/>
          <w:szCs w:val="21"/>
          <w:highlight w:val="none"/>
        </w:rPr>
        <w:t>年限，使用寿命与</w:t>
      </w:r>
      <w:r>
        <w:rPr>
          <w:rFonts w:hint="eastAsia" w:eastAsia="楷体"/>
          <w:color w:val="auto"/>
          <w:szCs w:val="21"/>
          <w:highlight w:val="none"/>
          <w:lang w:eastAsia="zh-CN"/>
        </w:rPr>
        <w:t>工程</w:t>
      </w:r>
      <w:r>
        <w:rPr>
          <w:rFonts w:hint="eastAsia" w:eastAsia="楷体"/>
          <w:color w:val="auto"/>
          <w:szCs w:val="21"/>
          <w:highlight w:val="none"/>
          <w:lang w:val="en-US" w:eastAsia="zh-CN"/>
        </w:rPr>
        <w:t>的</w:t>
      </w:r>
      <w:r>
        <w:rPr>
          <w:rFonts w:hint="eastAsia" w:eastAsia="楷体"/>
          <w:color w:val="auto"/>
          <w:szCs w:val="21"/>
          <w:highlight w:val="none"/>
        </w:rPr>
        <w:t>设计</w:t>
      </w:r>
      <w:r>
        <w:rPr>
          <w:rFonts w:hint="eastAsia" w:eastAsia="楷体"/>
          <w:color w:val="auto"/>
          <w:szCs w:val="21"/>
          <w:highlight w:val="none"/>
          <w:lang w:eastAsia="zh-CN"/>
        </w:rPr>
        <w:t>工作</w:t>
      </w:r>
      <w:r>
        <w:rPr>
          <w:rFonts w:hint="eastAsia" w:eastAsia="楷体"/>
          <w:color w:val="auto"/>
          <w:szCs w:val="21"/>
          <w:highlight w:val="none"/>
        </w:rPr>
        <w:t>年限</w:t>
      </w:r>
      <w:r>
        <w:rPr>
          <w:rFonts w:hint="eastAsia" w:eastAsia="楷体"/>
          <w:color w:val="auto"/>
          <w:szCs w:val="21"/>
          <w:highlight w:val="none"/>
          <w:lang w:val="en-US" w:eastAsia="zh-CN"/>
        </w:rPr>
        <w:t>一致</w:t>
      </w:r>
      <w:r>
        <w:rPr>
          <w:rFonts w:hint="eastAsia" w:eastAsia="楷体"/>
          <w:color w:val="auto"/>
          <w:szCs w:val="21"/>
          <w:highlight w:val="none"/>
          <w:lang w:eastAsia="zh-CN"/>
        </w:rPr>
        <w:t>，</w:t>
      </w:r>
      <w:r>
        <w:rPr>
          <w:rFonts w:hint="eastAsia" w:eastAsia="楷体"/>
          <w:color w:val="auto"/>
          <w:szCs w:val="21"/>
          <w:highlight w:val="none"/>
        </w:rPr>
        <w:t>保障城市交通通畅，</w:t>
      </w:r>
      <w:r>
        <w:rPr>
          <w:rFonts w:hint="eastAsia" w:eastAsia="楷体"/>
          <w:color w:val="auto"/>
          <w:szCs w:val="21"/>
          <w:highlight w:val="none"/>
          <w:lang w:val="en-US" w:eastAsia="zh-CN"/>
        </w:rPr>
        <w:t>持续</w:t>
      </w:r>
      <w:r>
        <w:rPr>
          <w:rFonts w:hint="eastAsia" w:eastAsia="楷体"/>
          <w:color w:val="auto"/>
          <w:szCs w:val="21"/>
          <w:highlight w:val="none"/>
        </w:rPr>
        <w:t>创造社会效益和经济效益</w:t>
      </w:r>
      <w:r>
        <w:rPr>
          <w:rFonts w:hint="eastAsia" w:eastAsia="楷体"/>
          <w:color w:val="auto"/>
          <w:szCs w:val="21"/>
          <w:highlight w:val="none"/>
          <w:lang w:eastAsia="zh-CN"/>
        </w:rPr>
        <w:t>。</w:t>
      </w:r>
      <w:r>
        <w:rPr>
          <w:rFonts w:hint="eastAsia" w:eastAsia="楷体"/>
          <w:color w:val="auto"/>
          <w:szCs w:val="21"/>
          <w:highlight w:val="none"/>
        </w:rPr>
        <w:t>在设计</w:t>
      </w:r>
      <w:r>
        <w:rPr>
          <w:rFonts w:hint="eastAsia" w:eastAsia="楷体"/>
          <w:color w:val="auto"/>
          <w:szCs w:val="21"/>
          <w:highlight w:val="none"/>
          <w:lang w:eastAsia="zh-CN"/>
        </w:rPr>
        <w:t>工作</w:t>
      </w:r>
      <w:r>
        <w:rPr>
          <w:rFonts w:hint="eastAsia" w:eastAsia="楷体"/>
          <w:color w:val="auto"/>
          <w:szCs w:val="21"/>
          <w:highlight w:val="none"/>
        </w:rPr>
        <w:t>年限内井盖基本无需维修，显著节约</w:t>
      </w:r>
      <w:r>
        <w:rPr>
          <w:rFonts w:hint="eastAsia" w:eastAsia="楷体"/>
          <w:color w:val="auto"/>
          <w:szCs w:val="21"/>
          <w:highlight w:val="none"/>
          <w:lang w:val="en-US" w:eastAsia="zh-CN"/>
        </w:rPr>
        <w:t>运营维护</w:t>
      </w:r>
      <w:r>
        <w:rPr>
          <w:rFonts w:hint="eastAsia" w:eastAsia="楷体"/>
          <w:color w:val="auto"/>
          <w:szCs w:val="21"/>
          <w:highlight w:val="none"/>
        </w:rPr>
        <w:t>成本</w:t>
      </w:r>
      <w:r>
        <w:rPr>
          <w:rFonts w:hint="eastAsia" w:eastAsia="楷体"/>
          <w:color w:val="auto"/>
          <w:szCs w:val="21"/>
          <w:highlight w:val="none"/>
          <w:lang w:eastAsia="zh-CN"/>
        </w:rPr>
        <w:t>，</w:t>
      </w:r>
      <w:r>
        <w:rPr>
          <w:rFonts w:hint="eastAsia" w:eastAsia="楷体"/>
          <w:color w:val="auto"/>
          <w:szCs w:val="21"/>
          <w:highlight w:val="none"/>
          <w:lang w:val="en-US" w:eastAsia="zh-CN"/>
        </w:rPr>
        <w:t>并</w:t>
      </w:r>
      <w:r>
        <w:rPr>
          <w:rFonts w:hint="eastAsia" w:eastAsia="楷体"/>
          <w:color w:val="auto"/>
          <w:szCs w:val="21"/>
          <w:highlight w:val="none"/>
        </w:rPr>
        <w:t>有利于节能减排，符合可持续发展战略。</w:t>
      </w:r>
    </w:p>
    <w:p>
      <w:pPr>
        <w:adjustRightInd w:val="0"/>
        <w:snapToGrid w:val="0"/>
        <w:spacing w:line="360" w:lineRule="auto"/>
        <w:rPr>
          <w:color w:val="auto"/>
          <w:sz w:val="24"/>
          <w:highlight w:val="none"/>
        </w:rPr>
      </w:pPr>
      <w:r>
        <w:rPr>
          <w:rFonts w:hint="eastAsia" w:ascii="宋体" w:hAnsi="宋体" w:eastAsia="宋体" w:cs="宋体"/>
          <w:b/>
          <w:bCs/>
          <w:color w:val="auto"/>
          <w:sz w:val="24"/>
          <w:highlight w:val="none"/>
        </w:rPr>
        <w:t>1.0.2</w:t>
      </w:r>
      <w:r>
        <w:rPr>
          <w:rFonts w:hint="eastAsia"/>
          <w:color w:val="auto"/>
          <w:sz w:val="24"/>
          <w:highlight w:val="none"/>
        </w:rPr>
        <w:t xml:space="preserve">  本规程适用于有防沉降功能要求的市政、公路、港口、码头、机场新建、改建、扩建及养护工程的防沉降井盖</w:t>
      </w:r>
      <w:r>
        <w:rPr>
          <w:rFonts w:hint="eastAsia"/>
          <w:color w:val="auto"/>
          <w:sz w:val="24"/>
          <w:highlight w:val="none"/>
          <w:lang w:eastAsia="zh-CN"/>
        </w:rPr>
        <w:t>选型</w:t>
      </w:r>
      <w:r>
        <w:rPr>
          <w:rFonts w:hint="eastAsia"/>
          <w:color w:val="auto"/>
          <w:sz w:val="24"/>
          <w:highlight w:val="none"/>
        </w:rPr>
        <w:t>设计、施工及验收。</w:t>
      </w:r>
    </w:p>
    <w:p>
      <w:pPr>
        <w:adjustRightInd w:val="0"/>
        <w:snapToGrid w:val="0"/>
        <w:spacing w:line="360" w:lineRule="auto"/>
        <w:ind w:firstLine="0" w:firstLineChars="0"/>
        <w:rPr>
          <w:rFonts w:hint="default" w:eastAsia="楷体"/>
          <w:color w:val="auto"/>
          <w:szCs w:val="21"/>
          <w:highlight w:val="none"/>
          <w:lang w:val="en-US"/>
        </w:rPr>
      </w:pPr>
      <w:r>
        <w:rPr>
          <w:rFonts w:eastAsia="楷体"/>
          <w:color w:val="auto"/>
          <w:szCs w:val="21"/>
          <w:highlight w:val="none"/>
        </w:rPr>
        <w:t>【</w:t>
      </w:r>
      <w:r>
        <w:rPr>
          <w:rFonts w:hint="eastAsia" w:eastAsia="楷体"/>
          <w:color w:val="auto"/>
          <w:szCs w:val="21"/>
          <w:highlight w:val="none"/>
        </w:rPr>
        <w:t>条文</w:t>
      </w:r>
      <w:r>
        <w:rPr>
          <w:rFonts w:eastAsia="楷体"/>
          <w:color w:val="auto"/>
          <w:szCs w:val="21"/>
          <w:highlight w:val="none"/>
        </w:rPr>
        <w:t>说明】</w:t>
      </w:r>
      <w:r>
        <w:rPr>
          <w:rFonts w:hint="eastAsia" w:eastAsia="楷体"/>
          <w:color w:val="auto"/>
          <w:szCs w:val="21"/>
          <w:highlight w:val="none"/>
        </w:rPr>
        <w:t>防沉降井盖结构体系可满足在中、重</w:t>
      </w:r>
      <w:r>
        <w:rPr>
          <w:rFonts w:hint="eastAsia" w:eastAsia="楷体"/>
          <w:color w:val="auto"/>
          <w:szCs w:val="21"/>
          <w:highlight w:val="none"/>
          <w:lang w:eastAsia="zh-CN"/>
        </w:rPr>
        <w:t>、</w:t>
      </w:r>
      <w:r>
        <w:rPr>
          <w:rFonts w:hint="eastAsia" w:eastAsia="楷体"/>
          <w:color w:val="auto"/>
          <w:szCs w:val="21"/>
          <w:highlight w:val="none"/>
        </w:rPr>
        <w:t>特重或</w:t>
      </w:r>
      <w:r>
        <w:rPr>
          <w:rFonts w:hint="eastAsia" w:eastAsia="楷体"/>
          <w:color w:val="auto"/>
          <w:szCs w:val="21"/>
          <w:highlight w:val="none"/>
          <w:lang w:eastAsia="zh-CN"/>
        </w:rPr>
        <w:t>极重</w:t>
      </w:r>
      <w:r>
        <w:rPr>
          <w:rFonts w:hint="eastAsia" w:eastAsia="楷体"/>
          <w:color w:val="auto"/>
          <w:szCs w:val="21"/>
          <w:highlight w:val="none"/>
        </w:rPr>
        <w:t>交通长期荷载作用下的道路或场站沉降、变形或破坏的控制要求，因此适用于各等级公路、城市道路、市政场站或其他交通设施的新建、改建、扩建及</w:t>
      </w:r>
      <w:r>
        <w:rPr>
          <w:rFonts w:hint="eastAsia" w:eastAsia="楷体"/>
          <w:color w:val="auto"/>
          <w:szCs w:val="21"/>
          <w:highlight w:val="none"/>
          <w:lang w:eastAsia="zh-CN"/>
        </w:rPr>
        <w:t>其</w:t>
      </w:r>
      <w:r>
        <w:rPr>
          <w:rFonts w:hint="eastAsia" w:eastAsia="楷体"/>
          <w:color w:val="auto"/>
          <w:szCs w:val="21"/>
          <w:highlight w:val="none"/>
        </w:rPr>
        <w:t>养护改善工程。防沉降井盖及其结构体系，</w:t>
      </w:r>
      <w:r>
        <w:rPr>
          <w:rFonts w:hint="eastAsia" w:eastAsia="楷体"/>
          <w:color w:val="auto"/>
          <w:szCs w:val="21"/>
          <w:highlight w:val="none"/>
          <w:lang w:eastAsia="zh-CN"/>
        </w:rPr>
        <w:t>须</w:t>
      </w:r>
      <w:r>
        <w:rPr>
          <w:rFonts w:hint="eastAsia" w:eastAsia="楷体"/>
          <w:color w:val="auto"/>
          <w:szCs w:val="21"/>
          <w:highlight w:val="none"/>
        </w:rPr>
        <w:t>根据市政、公路、港口、码头、机场等工程类型，按工程实际需求和设计承载能力选取。</w:t>
      </w:r>
      <w:r>
        <w:rPr>
          <w:rFonts w:hint="eastAsia" w:eastAsia="楷体"/>
          <w:color w:val="auto"/>
          <w:szCs w:val="21"/>
          <w:highlight w:val="none"/>
          <w:lang w:val="en-US" w:eastAsia="zh-CN"/>
        </w:rPr>
        <w:t>抗震应符合现行国家标准《建筑与市政工程抗震通用规范》GB 55002的规定。</w:t>
      </w:r>
    </w:p>
    <w:p>
      <w:pPr>
        <w:adjustRightInd w:val="0"/>
        <w:snapToGrid w:val="0"/>
        <w:spacing w:line="360" w:lineRule="auto"/>
        <w:rPr>
          <w:color w:val="auto"/>
          <w:sz w:val="24"/>
          <w:highlight w:val="none"/>
        </w:rPr>
      </w:pPr>
      <w:r>
        <w:rPr>
          <w:rFonts w:hint="eastAsia" w:ascii="宋体" w:hAnsi="宋体" w:eastAsia="宋体" w:cs="宋体"/>
          <w:b/>
          <w:bCs/>
          <w:color w:val="auto"/>
          <w:sz w:val="24"/>
          <w:highlight w:val="none"/>
        </w:rPr>
        <w:t xml:space="preserve">1.0.3  </w:t>
      </w:r>
      <w:r>
        <w:rPr>
          <w:rFonts w:hint="eastAsia"/>
          <w:color w:val="auto"/>
          <w:sz w:val="24"/>
          <w:highlight w:val="none"/>
        </w:rPr>
        <w:t>防沉降井盖的应用除应执行本规程外，尚应符合国家现行有关标准的规定。</w:t>
      </w:r>
    </w:p>
    <w:p>
      <w:pPr>
        <w:spacing w:line="360" w:lineRule="auto"/>
        <w:rPr>
          <w:rFonts w:eastAsia="楷体"/>
          <w:color w:val="auto"/>
          <w:szCs w:val="21"/>
          <w:highlight w:val="none"/>
        </w:rPr>
      </w:pPr>
      <w:r>
        <w:rPr>
          <w:rFonts w:eastAsia="楷体"/>
          <w:color w:val="auto"/>
          <w:szCs w:val="21"/>
          <w:highlight w:val="none"/>
        </w:rPr>
        <w:t>【</w:t>
      </w:r>
      <w:r>
        <w:rPr>
          <w:rFonts w:hint="eastAsia" w:eastAsia="楷体"/>
          <w:color w:val="auto"/>
          <w:szCs w:val="21"/>
          <w:highlight w:val="none"/>
        </w:rPr>
        <w:t>条文</w:t>
      </w:r>
      <w:r>
        <w:rPr>
          <w:rFonts w:eastAsia="楷体"/>
          <w:color w:val="auto"/>
          <w:szCs w:val="21"/>
          <w:highlight w:val="none"/>
        </w:rPr>
        <w:t>说明】</w:t>
      </w:r>
      <w:r>
        <w:rPr>
          <w:rFonts w:hint="eastAsia" w:eastAsia="楷体"/>
          <w:color w:val="auto"/>
          <w:szCs w:val="21"/>
          <w:highlight w:val="none"/>
        </w:rPr>
        <w:t>本条明确了本规程在应用中与其他标准、规范的关系及衔接原则。如现行中国建设标准化协会标准《防沉降井盖》T/CECSxxxx与本规程密切相关，在执行本规程的同时，尚应遵守该标准的要求。</w:t>
      </w:r>
    </w:p>
    <w:p>
      <w:pPr>
        <w:adjustRightInd w:val="0"/>
        <w:snapToGrid w:val="0"/>
        <w:spacing w:line="360" w:lineRule="auto"/>
        <w:rPr>
          <w:rFonts w:ascii="Times New Roman" w:hAnsi="Times New Roman"/>
          <w:color w:val="auto"/>
          <w:highlight w:val="none"/>
        </w:rPr>
        <w:sectPr>
          <w:footerReference r:id="rId13" w:type="default"/>
          <w:pgSz w:w="11910" w:h="16840"/>
          <w:pgMar w:top="1500" w:right="1680" w:bottom="1320" w:left="1680" w:header="0" w:footer="1128" w:gutter="0"/>
          <w:pgNumType w:start="1"/>
          <w:cols w:space="720" w:num="1"/>
        </w:sectPr>
      </w:pPr>
    </w:p>
    <w:p>
      <w:pPr>
        <w:pStyle w:val="2"/>
        <w:adjustRightInd w:val="0"/>
        <w:snapToGrid w:val="0"/>
        <w:spacing w:before="240" w:beforeLines="100" w:after="240" w:afterLines="100" w:line="360" w:lineRule="auto"/>
        <w:rPr>
          <w:rFonts w:ascii="宋体" w:hAnsi="宋体" w:eastAsia="宋体" w:cs="宋体"/>
          <w:color w:val="auto"/>
          <w:sz w:val="30"/>
          <w:szCs w:val="30"/>
          <w:highlight w:val="none"/>
        </w:rPr>
      </w:pPr>
      <w:bookmarkStart w:id="40" w:name="_bookmark1"/>
      <w:bookmarkEnd w:id="40"/>
      <w:bookmarkStart w:id="41" w:name="_Toc11445"/>
      <w:bookmarkStart w:id="42" w:name="_Toc27785"/>
      <w:bookmarkStart w:id="43" w:name="_Toc20189"/>
      <w:bookmarkStart w:id="44" w:name="_Toc21068"/>
      <w:bookmarkStart w:id="45" w:name="_Toc21416"/>
      <w:bookmarkStart w:id="46" w:name="_Toc6544"/>
      <w:bookmarkStart w:id="47" w:name="_Toc28961"/>
      <w:bookmarkStart w:id="48" w:name="_Toc3835"/>
      <w:bookmarkStart w:id="49" w:name="_Toc9604"/>
      <w:bookmarkStart w:id="50" w:name="_Toc15327"/>
      <w:r>
        <w:rPr>
          <w:rFonts w:hint="eastAsia" w:ascii="宋体" w:hAnsi="宋体" w:eastAsia="宋体" w:cs="宋体"/>
          <w:color w:val="auto"/>
          <w:sz w:val="30"/>
          <w:szCs w:val="30"/>
          <w:highlight w:val="none"/>
        </w:rPr>
        <w:t>2  术 语</w:t>
      </w:r>
      <w:bookmarkEnd w:id="41"/>
      <w:bookmarkEnd w:id="42"/>
      <w:bookmarkEnd w:id="43"/>
      <w:bookmarkEnd w:id="44"/>
      <w:bookmarkEnd w:id="45"/>
      <w:bookmarkEnd w:id="46"/>
      <w:bookmarkEnd w:id="47"/>
      <w:bookmarkEnd w:id="48"/>
      <w:bookmarkEnd w:id="49"/>
      <w:bookmarkEnd w:id="50"/>
    </w:p>
    <w:p>
      <w:pPr>
        <w:pStyle w:val="18"/>
        <w:adjustRightInd w:val="0"/>
        <w:snapToGrid w:val="0"/>
        <w:spacing w:line="360" w:lineRule="auto"/>
        <w:ind w:firstLine="0" w:firstLineChars="0"/>
        <w:rPr>
          <w:rFonts w:hAnsi="宋体" w:cs="宋体"/>
          <w:color w:val="auto"/>
          <w:sz w:val="24"/>
          <w:szCs w:val="24"/>
          <w:highlight w:val="none"/>
        </w:rPr>
      </w:pPr>
      <w:r>
        <w:rPr>
          <w:rFonts w:hint="eastAsia" w:ascii="Times New Roman" w:hAnsi="宋体"/>
          <w:b/>
          <w:bCs/>
          <w:color w:val="auto"/>
          <w:kern w:val="2"/>
          <w:sz w:val="24"/>
          <w:szCs w:val="24"/>
          <w:highlight w:val="none"/>
        </w:rPr>
        <w:t xml:space="preserve">2.0.1 </w:t>
      </w:r>
      <w:r>
        <w:rPr>
          <w:rFonts w:hint="eastAsia" w:hAnsi="宋体" w:cs="宋体"/>
          <w:color w:val="auto"/>
          <w:sz w:val="24"/>
          <w:szCs w:val="24"/>
          <w:highlight w:val="none"/>
        </w:rPr>
        <w:t xml:space="preserve"> 防沉降井盖结构体系    anti settlement well cover system</w:t>
      </w:r>
    </w:p>
    <w:p>
      <w:pPr>
        <w:pStyle w:val="18"/>
        <w:adjustRightInd w:val="0"/>
        <w:snapToGrid w:val="0"/>
        <w:spacing w:line="360" w:lineRule="auto"/>
        <w:ind w:firstLine="480"/>
        <w:rPr>
          <w:rFonts w:hint="eastAsia" w:ascii="Times New Roman"/>
          <w:color w:val="auto"/>
          <w:sz w:val="24"/>
          <w:szCs w:val="24"/>
          <w:highlight w:val="none"/>
        </w:rPr>
      </w:pPr>
      <w:r>
        <w:rPr>
          <w:rFonts w:hint="eastAsia" w:ascii="Times New Roman"/>
          <w:color w:val="auto"/>
          <w:sz w:val="24"/>
          <w:szCs w:val="24"/>
          <w:highlight w:val="none"/>
        </w:rPr>
        <w:t>以防沉降井盖产品为核心的道路或场站工程的局部结构组合。</w:t>
      </w:r>
      <w:r>
        <w:rPr>
          <w:rFonts w:ascii="Times New Roman"/>
          <w:color w:val="auto"/>
          <w:sz w:val="24"/>
          <w:szCs w:val="24"/>
          <w:highlight w:val="none"/>
        </w:rPr>
        <w:t>由</w:t>
      </w:r>
      <w:r>
        <w:rPr>
          <w:rFonts w:hint="eastAsia" w:ascii="Times New Roman"/>
          <w:color w:val="auto"/>
          <w:sz w:val="24"/>
          <w:szCs w:val="24"/>
          <w:highlight w:val="none"/>
        </w:rPr>
        <w:t>防沉降井盖产品</w:t>
      </w:r>
      <w:r>
        <w:rPr>
          <w:rFonts w:ascii="Times New Roman"/>
          <w:color w:val="auto"/>
          <w:sz w:val="24"/>
          <w:szCs w:val="24"/>
          <w:highlight w:val="none"/>
        </w:rPr>
        <w:t>、井周加固铺面</w:t>
      </w:r>
      <w:r>
        <w:rPr>
          <w:rFonts w:hint="eastAsia" w:ascii="Times New Roman"/>
          <w:color w:val="auto"/>
          <w:sz w:val="24"/>
          <w:szCs w:val="24"/>
          <w:highlight w:val="none"/>
        </w:rPr>
        <w:t>、卸载板及井周其他结构或部件</w:t>
      </w:r>
      <w:r>
        <w:rPr>
          <w:rFonts w:ascii="Times New Roman"/>
          <w:color w:val="auto"/>
          <w:sz w:val="24"/>
          <w:szCs w:val="24"/>
          <w:highlight w:val="none"/>
        </w:rPr>
        <w:t>组成</w:t>
      </w:r>
      <w:r>
        <w:rPr>
          <w:rFonts w:hint="eastAsia" w:ascii="Times New Roman"/>
          <w:color w:val="auto"/>
          <w:sz w:val="24"/>
          <w:szCs w:val="24"/>
          <w:highlight w:val="none"/>
        </w:rPr>
        <w:t>。</w:t>
      </w:r>
    </w:p>
    <w:p>
      <w:pPr>
        <w:pStyle w:val="18"/>
        <w:adjustRightInd w:val="0"/>
        <w:snapToGrid w:val="0"/>
        <w:spacing w:line="360" w:lineRule="auto"/>
        <w:ind w:firstLine="0" w:firstLineChars="0"/>
        <w:rPr>
          <w:rFonts w:eastAsia="楷体"/>
          <w:color w:val="auto"/>
          <w:szCs w:val="21"/>
          <w:highlight w:val="none"/>
        </w:rPr>
      </w:pPr>
      <w:r>
        <w:rPr>
          <w:rFonts w:eastAsia="楷体"/>
          <w:color w:val="auto"/>
          <w:szCs w:val="21"/>
          <w:highlight w:val="none"/>
        </w:rPr>
        <w:t>【</w:t>
      </w:r>
      <w:r>
        <w:rPr>
          <w:rFonts w:hint="eastAsia" w:eastAsia="楷体"/>
          <w:color w:val="auto"/>
          <w:szCs w:val="21"/>
          <w:highlight w:val="none"/>
        </w:rPr>
        <w:t>条文</w:t>
      </w:r>
      <w:r>
        <w:rPr>
          <w:rFonts w:eastAsia="楷体"/>
          <w:color w:val="auto"/>
          <w:szCs w:val="21"/>
          <w:highlight w:val="none"/>
        </w:rPr>
        <w:t>说明】</w:t>
      </w:r>
      <w:r>
        <w:rPr>
          <w:rFonts w:hint="eastAsia" w:eastAsia="楷体"/>
          <w:color w:val="auto"/>
          <w:szCs w:val="21"/>
          <w:highlight w:val="none"/>
        </w:rPr>
        <w:t>防沉降井盖</w:t>
      </w:r>
      <w:r>
        <w:rPr>
          <w:rFonts w:hint="eastAsia" w:eastAsia="楷体"/>
          <w:color w:val="auto"/>
          <w:szCs w:val="21"/>
          <w:highlight w:val="none"/>
          <w:lang w:eastAsia="zh-CN"/>
        </w:rPr>
        <w:t>结构</w:t>
      </w:r>
      <w:r>
        <w:rPr>
          <w:rFonts w:hint="eastAsia" w:eastAsia="楷体"/>
          <w:color w:val="auto"/>
          <w:szCs w:val="21"/>
          <w:highlight w:val="none"/>
        </w:rPr>
        <w:t>体系应具备防沉降功能，可消除或延缓</w:t>
      </w:r>
      <w:r>
        <w:rPr>
          <w:rFonts w:hint="eastAsia" w:eastAsia="楷体"/>
          <w:color w:val="auto"/>
          <w:szCs w:val="21"/>
          <w:highlight w:val="none"/>
          <w:lang w:eastAsia="zh-CN"/>
        </w:rPr>
        <w:t>工程使用</w:t>
      </w:r>
      <w:r>
        <w:rPr>
          <w:rFonts w:hint="eastAsia" w:eastAsia="楷体"/>
          <w:color w:val="auto"/>
          <w:szCs w:val="21"/>
          <w:highlight w:val="none"/>
        </w:rPr>
        <w:t>后"路框差"增大。防沉降井盖产品作为道路或场站工程的局部构件，其功能的发挥除受井盖产品自身</w:t>
      </w:r>
      <w:r>
        <w:rPr>
          <w:rFonts w:hint="eastAsia" w:eastAsia="楷体"/>
          <w:color w:val="auto"/>
          <w:szCs w:val="21"/>
          <w:highlight w:val="none"/>
          <w:lang w:eastAsia="zh-CN"/>
        </w:rPr>
        <w:t>质量</w:t>
      </w:r>
      <w:r>
        <w:rPr>
          <w:rFonts w:hint="eastAsia" w:eastAsia="楷体"/>
          <w:color w:val="auto"/>
          <w:szCs w:val="21"/>
          <w:highlight w:val="none"/>
        </w:rPr>
        <w:t>影响外，还需依托于井</w:t>
      </w:r>
      <w:r>
        <w:rPr>
          <w:rFonts w:hint="eastAsia" w:eastAsia="楷体"/>
          <w:color w:val="auto"/>
          <w:szCs w:val="21"/>
          <w:highlight w:val="none"/>
          <w:lang w:eastAsia="zh-CN"/>
        </w:rPr>
        <w:t>周</w:t>
      </w:r>
      <w:r>
        <w:rPr>
          <w:rFonts w:hint="eastAsia" w:eastAsia="楷体"/>
          <w:color w:val="auto"/>
          <w:szCs w:val="21"/>
          <w:highlight w:val="none"/>
        </w:rPr>
        <w:t>工程结构</w:t>
      </w:r>
      <w:r>
        <w:rPr>
          <w:rFonts w:hint="eastAsia" w:eastAsia="楷体"/>
          <w:color w:val="auto"/>
          <w:szCs w:val="21"/>
          <w:highlight w:val="none"/>
          <w:lang w:eastAsia="zh-CN"/>
        </w:rPr>
        <w:t>的</w:t>
      </w:r>
      <w:r>
        <w:rPr>
          <w:rFonts w:hint="eastAsia" w:eastAsia="楷体"/>
          <w:color w:val="auto"/>
          <w:szCs w:val="21"/>
          <w:highlight w:val="none"/>
        </w:rPr>
        <w:t>组合。因此，本规程要求将井盖产品、</w:t>
      </w:r>
      <w:r>
        <w:rPr>
          <w:rFonts w:hint="eastAsia" w:eastAsia="楷体"/>
          <w:color w:val="auto"/>
          <w:szCs w:val="21"/>
          <w:highlight w:val="none"/>
          <w:lang w:eastAsia="zh-CN"/>
        </w:rPr>
        <w:t>井周加固铺面、卸载板及井周其他结构或部件</w:t>
      </w:r>
      <w:r>
        <w:rPr>
          <w:rFonts w:hint="eastAsia" w:eastAsia="楷体"/>
          <w:color w:val="auto"/>
          <w:szCs w:val="21"/>
          <w:highlight w:val="none"/>
        </w:rPr>
        <w:t>作为体系综合考虑。体系中各结构或构件的材料性能、选型、设计和施工质量均会对防沉降功能产生影响。</w:t>
      </w:r>
    </w:p>
    <w:p>
      <w:pPr>
        <w:pStyle w:val="18"/>
        <w:adjustRightInd w:val="0"/>
        <w:snapToGrid w:val="0"/>
        <w:spacing w:line="360" w:lineRule="auto"/>
        <w:ind w:firstLine="0" w:firstLineChars="0"/>
        <w:rPr>
          <w:rFonts w:hAnsi="宋体" w:cs="宋体"/>
          <w:color w:val="auto"/>
          <w:sz w:val="24"/>
          <w:szCs w:val="24"/>
          <w:highlight w:val="none"/>
        </w:rPr>
      </w:pPr>
      <w:r>
        <w:rPr>
          <w:rFonts w:hint="eastAsia" w:ascii="Times New Roman" w:hAnsi="宋体"/>
          <w:b/>
          <w:bCs/>
          <w:color w:val="auto"/>
          <w:kern w:val="2"/>
          <w:sz w:val="24"/>
          <w:szCs w:val="24"/>
          <w:highlight w:val="none"/>
        </w:rPr>
        <w:t>2.0.2</w:t>
      </w:r>
      <w:r>
        <w:rPr>
          <w:rFonts w:hint="eastAsia" w:hAnsi="宋体" w:cs="宋体"/>
          <w:color w:val="auto"/>
          <w:sz w:val="24"/>
          <w:szCs w:val="24"/>
          <w:highlight w:val="none"/>
        </w:rPr>
        <w:t xml:space="preserve">  路框差  height difference between road and well frame</w:t>
      </w:r>
    </w:p>
    <w:p>
      <w:pPr>
        <w:pStyle w:val="18"/>
        <w:adjustRightInd w:val="0"/>
        <w:snapToGrid w:val="0"/>
        <w:spacing w:line="360" w:lineRule="auto"/>
        <w:ind w:firstLine="480" w:firstLineChars="0"/>
        <w:rPr>
          <w:rFonts w:hAnsi="宋体" w:cs="宋体"/>
          <w:color w:val="auto"/>
          <w:sz w:val="24"/>
          <w:szCs w:val="24"/>
          <w:highlight w:val="none"/>
        </w:rPr>
      </w:pPr>
      <w:r>
        <w:rPr>
          <w:rFonts w:hint="eastAsia" w:hAnsi="宋体" w:cs="宋体"/>
          <w:color w:val="auto"/>
          <w:sz w:val="24"/>
          <w:szCs w:val="24"/>
          <w:highlight w:val="none"/>
        </w:rPr>
        <w:t xml:space="preserve">井盖传载板与道路衔接位置路面的相对高差（高或低）。 </w:t>
      </w:r>
    </w:p>
    <w:p>
      <w:pPr>
        <w:pStyle w:val="18"/>
        <w:adjustRightInd w:val="0"/>
        <w:snapToGrid w:val="0"/>
        <w:spacing w:line="360" w:lineRule="auto"/>
        <w:ind w:firstLine="0" w:firstLineChars="0"/>
        <w:rPr>
          <w:rFonts w:hAnsi="宋体" w:cs="宋体"/>
          <w:color w:val="auto"/>
          <w:sz w:val="24"/>
          <w:szCs w:val="24"/>
          <w:highlight w:val="none"/>
        </w:rPr>
      </w:pPr>
      <w:r>
        <w:rPr>
          <w:rFonts w:eastAsia="楷体"/>
          <w:color w:val="auto"/>
          <w:szCs w:val="21"/>
          <w:highlight w:val="none"/>
        </w:rPr>
        <w:t>【</w:t>
      </w:r>
      <w:r>
        <w:rPr>
          <w:rFonts w:hint="eastAsia" w:eastAsia="楷体"/>
          <w:color w:val="auto"/>
          <w:szCs w:val="21"/>
          <w:highlight w:val="none"/>
        </w:rPr>
        <w:t>条文</w:t>
      </w:r>
      <w:r>
        <w:rPr>
          <w:rFonts w:eastAsia="楷体"/>
          <w:color w:val="auto"/>
          <w:szCs w:val="21"/>
          <w:highlight w:val="none"/>
        </w:rPr>
        <w:t>说明】</w:t>
      </w:r>
      <w:r>
        <w:rPr>
          <w:rFonts w:hint="eastAsia" w:eastAsia="楷体"/>
          <w:color w:val="auto"/>
          <w:szCs w:val="21"/>
          <w:highlight w:val="none"/>
        </w:rPr>
        <w:t>“路框差”是指检查井井盖顶面与井周路面之间的高差或不平整度，包括道路施工完成时及工程正常使用周期内井周道路（含井盖）的不平整度，</w:t>
      </w:r>
      <w:r>
        <w:rPr>
          <w:rFonts w:hint="eastAsia" w:eastAsia="楷体"/>
          <w:color w:val="auto"/>
          <w:szCs w:val="21"/>
          <w:highlight w:val="none"/>
          <w:lang w:eastAsia="zh-CN"/>
        </w:rPr>
        <w:t>“路框差”中的“</w:t>
      </w:r>
      <w:r>
        <w:rPr>
          <w:rFonts w:hint="eastAsia" w:eastAsia="楷体"/>
          <w:color w:val="auto"/>
          <w:szCs w:val="21"/>
          <w:highlight w:val="none"/>
        </w:rPr>
        <w:t>框</w:t>
      </w:r>
      <w:r>
        <w:rPr>
          <w:rFonts w:hint="eastAsia" w:eastAsia="楷体"/>
          <w:color w:val="auto"/>
          <w:szCs w:val="21"/>
          <w:highlight w:val="none"/>
          <w:lang w:eastAsia="zh-CN"/>
        </w:rPr>
        <w:t>”</w:t>
      </w:r>
      <w:r>
        <w:rPr>
          <w:rFonts w:hint="eastAsia" w:eastAsia="楷体"/>
          <w:color w:val="auto"/>
          <w:szCs w:val="21"/>
          <w:highlight w:val="none"/>
        </w:rPr>
        <w:t>即为防沉降井盖传载板。</w:t>
      </w:r>
    </w:p>
    <w:p>
      <w:pPr>
        <w:pStyle w:val="18"/>
        <w:adjustRightInd w:val="0"/>
        <w:snapToGrid w:val="0"/>
        <w:spacing w:line="360" w:lineRule="auto"/>
        <w:ind w:firstLine="0" w:firstLineChars="0"/>
        <w:rPr>
          <w:rFonts w:hAnsi="宋体" w:cs="宋体"/>
          <w:color w:val="auto"/>
          <w:sz w:val="24"/>
          <w:szCs w:val="24"/>
          <w:highlight w:val="none"/>
        </w:rPr>
      </w:pPr>
      <w:r>
        <w:rPr>
          <w:rFonts w:hint="eastAsia" w:ascii="Times New Roman" w:hAnsi="宋体"/>
          <w:b/>
          <w:bCs/>
          <w:color w:val="auto"/>
          <w:kern w:val="2"/>
          <w:sz w:val="24"/>
          <w:szCs w:val="24"/>
          <w:highlight w:val="none"/>
        </w:rPr>
        <w:t xml:space="preserve">2.0.3 </w:t>
      </w:r>
      <w:r>
        <w:rPr>
          <w:rFonts w:hint="eastAsia" w:hAnsi="宋体" w:cs="宋体"/>
          <w:color w:val="auto"/>
          <w:sz w:val="24"/>
          <w:szCs w:val="24"/>
          <w:highlight w:val="none"/>
        </w:rPr>
        <w:t xml:space="preserve"> 防沉降井盖    anti settlement well cover</w:t>
      </w:r>
    </w:p>
    <w:p>
      <w:pPr>
        <w:pStyle w:val="18"/>
        <w:adjustRightInd w:val="0"/>
        <w:snapToGrid w:val="0"/>
        <w:spacing w:line="360" w:lineRule="auto"/>
        <w:ind w:firstLine="480"/>
        <w:rPr>
          <w:rFonts w:ascii="Times New Roman"/>
          <w:color w:val="auto"/>
          <w:sz w:val="24"/>
          <w:szCs w:val="24"/>
          <w:highlight w:val="none"/>
        </w:rPr>
      </w:pPr>
      <w:r>
        <w:rPr>
          <w:rFonts w:hint="eastAsia" w:ascii="Times New Roman"/>
          <w:color w:val="auto"/>
          <w:sz w:val="24"/>
          <w:szCs w:val="24"/>
          <w:highlight w:val="none"/>
        </w:rPr>
        <w:t>防沉降井盖结构体系中有利于</w:t>
      </w:r>
      <w:r>
        <w:rPr>
          <w:rFonts w:ascii="Times New Roman"/>
          <w:color w:val="auto"/>
          <w:sz w:val="24"/>
          <w:szCs w:val="24"/>
          <w:highlight w:val="none"/>
        </w:rPr>
        <w:t>减小"路框差"</w:t>
      </w:r>
      <w:r>
        <w:rPr>
          <w:rFonts w:hint="eastAsia" w:ascii="Times New Roman"/>
          <w:color w:val="auto"/>
          <w:sz w:val="24"/>
          <w:szCs w:val="24"/>
          <w:highlight w:val="none"/>
        </w:rPr>
        <w:t>的</w:t>
      </w:r>
      <w:r>
        <w:rPr>
          <w:rFonts w:ascii="Times New Roman"/>
          <w:color w:val="auto"/>
          <w:sz w:val="24"/>
          <w:szCs w:val="24"/>
          <w:highlight w:val="none"/>
        </w:rPr>
        <w:t>检查井</w:t>
      </w:r>
      <w:r>
        <w:rPr>
          <w:rFonts w:hint="eastAsia" w:ascii="Times New Roman"/>
          <w:color w:val="auto"/>
          <w:sz w:val="24"/>
          <w:szCs w:val="24"/>
          <w:highlight w:val="none"/>
          <w:lang w:val="en-US" w:eastAsia="zh-CN"/>
        </w:rPr>
        <w:t>井</w:t>
      </w:r>
      <w:r>
        <w:rPr>
          <w:rFonts w:ascii="Times New Roman"/>
          <w:color w:val="auto"/>
          <w:sz w:val="24"/>
          <w:szCs w:val="24"/>
          <w:highlight w:val="none"/>
        </w:rPr>
        <w:t>盖</w:t>
      </w:r>
      <w:r>
        <w:rPr>
          <w:rFonts w:hint="eastAsia" w:ascii="Times New Roman"/>
          <w:color w:val="auto"/>
          <w:sz w:val="24"/>
          <w:szCs w:val="24"/>
          <w:highlight w:val="none"/>
        </w:rPr>
        <w:t>产品，</w:t>
      </w:r>
      <w:r>
        <w:rPr>
          <w:rFonts w:ascii="Times New Roman"/>
          <w:color w:val="auto"/>
          <w:sz w:val="24"/>
          <w:szCs w:val="24"/>
          <w:highlight w:val="none"/>
        </w:rPr>
        <w:t>由井盖盖体、井圈</w:t>
      </w:r>
      <w:r>
        <w:rPr>
          <w:rFonts w:hint="eastAsia" w:ascii="Times New Roman"/>
          <w:color w:val="auto"/>
          <w:sz w:val="24"/>
          <w:szCs w:val="24"/>
          <w:highlight w:val="none"/>
        </w:rPr>
        <w:t>组成。</w:t>
      </w:r>
    </w:p>
    <w:p>
      <w:pPr>
        <w:pStyle w:val="18"/>
        <w:adjustRightInd w:val="0"/>
        <w:snapToGrid w:val="0"/>
        <w:spacing w:line="360" w:lineRule="auto"/>
        <w:ind w:firstLine="0" w:firstLineChars="0"/>
        <w:rPr>
          <w:rFonts w:eastAsia="楷体"/>
          <w:color w:val="auto"/>
          <w:szCs w:val="21"/>
          <w:highlight w:val="none"/>
        </w:rPr>
      </w:pPr>
      <w:r>
        <w:rPr>
          <w:rFonts w:eastAsia="楷体"/>
          <w:color w:val="auto"/>
          <w:szCs w:val="21"/>
          <w:highlight w:val="none"/>
        </w:rPr>
        <w:t>【</w:t>
      </w:r>
      <w:r>
        <w:rPr>
          <w:rFonts w:hint="eastAsia" w:eastAsia="楷体"/>
          <w:color w:val="auto"/>
          <w:szCs w:val="21"/>
          <w:highlight w:val="none"/>
        </w:rPr>
        <w:t>条文</w:t>
      </w:r>
      <w:r>
        <w:rPr>
          <w:rFonts w:eastAsia="楷体"/>
          <w:color w:val="auto"/>
          <w:szCs w:val="21"/>
          <w:highlight w:val="none"/>
        </w:rPr>
        <w:t>说明】</w:t>
      </w:r>
      <w:r>
        <w:rPr>
          <w:rFonts w:hint="eastAsia" w:eastAsia="楷体"/>
          <w:color w:val="auto"/>
          <w:szCs w:val="21"/>
          <w:highlight w:val="none"/>
        </w:rPr>
        <w:t>防沉降井盖是按中国建设标准化协会《防沉降井盖》T/CECSxxxx产品标准制造</w:t>
      </w:r>
      <w:r>
        <w:rPr>
          <w:rFonts w:hint="eastAsia" w:eastAsia="楷体"/>
          <w:color w:val="auto"/>
          <w:szCs w:val="21"/>
          <w:highlight w:val="none"/>
          <w:lang w:eastAsia="zh-CN"/>
        </w:rPr>
        <w:t>的井盖产品</w:t>
      </w:r>
      <w:r>
        <w:rPr>
          <w:rFonts w:hint="eastAsia" w:eastAsia="楷体"/>
          <w:color w:val="auto"/>
          <w:szCs w:val="21"/>
          <w:highlight w:val="none"/>
        </w:rPr>
        <w:t>，</w:t>
      </w:r>
      <w:r>
        <w:rPr>
          <w:rFonts w:hint="eastAsia" w:eastAsia="楷体"/>
          <w:color w:val="auto"/>
          <w:szCs w:val="21"/>
          <w:highlight w:val="none"/>
          <w:lang w:eastAsia="zh-CN"/>
        </w:rPr>
        <w:t>其构造</w:t>
      </w:r>
      <w:r>
        <w:rPr>
          <w:rFonts w:hint="eastAsia" w:eastAsia="楷体"/>
          <w:color w:val="auto"/>
          <w:szCs w:val="21"/>
          <w:highlight w:val="none"/>
        </w:rPr>
        <w:t>汲取了国内、外井盖产品的先进经验及最新科技成果</w:t>
      </w:r>
      <w:r>
        <w:rPr>
          <w:rFonts w:hint="eastAsia" w:eastAsia="楷体"/>
          <w:color w:val="auto"/>
          <w:szCs w:val="21"/>
          <w:highlight w:val="none"/>
          <w:lang w:eastAsia="zh-CN"/>
        </w:rPr>
        <w:t>。</w:t>
      </w:r>
      <w:r>
        <w:rPr>
          <w:rFonts w:hint="eastAsia" w:eastAsia="楷体"/>
          <w:color w:val="auto"/>
          <w:szCs w:val="21"/>
          <w:highlight w:val="none"/>
        </w:rPr>
        <w:t>为适应现场施工工艺增设了注浆孔、引流排气孔、气液流动孔等构造，使井盖产品既满足承载能力的要求，又提高现场施工效率、利于施工质量控制。</w:t>
      </w:r>
    </w:p>
    <w:p>
      <w:pPr>
        <w:pStyle w:val="18"/>
        <w:adjustRightInd w:val="0"/>
        <w:snapToGrid w:val="0"/>
        <w:spacing w:line="360" w:lineRule="auto"/>
        <w:ind w:firstLine="0" w:firstLineChars="0"/>
        <w:rPr>
          <w:rFonts w:hAnsi="宋体" w:cs="宋体"/>
          <w:color w:val="auto"/>
          <w:sz w:val="24"/>
          <w:szCs w:val="24"/>
          <w:highlight w:val="none"/>
        </w:rPr>
      </w:pPr>
      <w:r>
        <w:rPr>
          <w:rFonts w:hint="eastAsia" w:ascii="Times New Roman" w:hAnsi="宋体"/>
          <w:b/>
          <w:bCs/>
          <w:color w:val="auto"/>
          <w:kern w:val="2"/>
          <w:sz w:val="24"/>
          <w:szCs w:val="24"/>
          <w:highlight w:val="none"/>
        </w:rPr>
        <w:t xml:space="preserve">2.0.4  </w:t>
      </w:r>
      <w:r>
        <w:rPr>
          <w:rFonts w:hint="eastAsia" w:hAnsi="宋体" w:cs="宋体"/>
          <w:color w:val="auto"/>
          <w:sz w:val="24"/>
          <w:szCs w:val="24"/>
          <w:highlight w:val="none"/>
        </w:rPr>
        <w:t>井盖传载板 flange face of Well cover</w:t>
      </w:r>
    </w:p>
    <w:p>
      <w:pPr>
        <w:pStyle w:val="18"/>
        <w:adjustRightInd w:val="0"/>
        <w:snapToGrid w:val="0"/>
        <w:spacing w:line="360" w:lineRule="auto"/>
        <w:ind w:firstLineChars="0"/>
        <w:rPr>
          <w:rFonts w:hAnsi="宋体" w:cs="宋体"/>
          <w:color w:val="auto"/>
          <w:sz w:val="24"/>
          <w:szCs w:val="24"/>
          <w:highlight w:val="none"/>
        </w:rPr>
      </w:pPr>
      <w:r>
        <w:rPr>
          <w:rFonts w:hint="eastAsia" w:hAnsi="宋体" w:cs="宋体"/>
          <w:color w:val="auto"/>
          <w:sz w:val="24"/>
          <w:szCs w:val="24"/>
          <w:highlight w:val="none"/>
        </w:rPr>
        <w:t>井圈筒体顶部，顶面与道路面层齐平，并与井圈筒体联接的环形板。</w:t>
      </w:r>
    </w:p>
    <w:p>
      <w:pPr>
        <w:pStyle w:val="18"/>
        <w:adjustRightInd w:val="0"/>
        <w:snapToGrid w:val="0"/>
        <w:spacing w:line="360" w:lineRule="auto"/>
        <w:ind w:firstLine="0" w:firstLineChars="0"/>
        <w:rPr>
          <w:rFonts w:eastAsia="楷体"/>
          <w:color w:val="auto"/>
          <w:szCs w:val="21"/>
          <w:highlight w:val="none"/>
        </w:rPr>
      </w:pPr>
      <w:r>
        <w:rPr>
          <w:rFonts w:eastAsia="楷体"/>
          <w:color w:val="auto"/>
          <w:szCs w:val="21"/>
          <w:highlight w:val="none"/>
        </w:rPr>
        <w:t>【</w:t>
      </w:r>
      <w:r>
        <w:rPr>
          <w:rFonts w:hint="eastAsia" w:eastAsia="楷体"/>
          <w:color w:val="auto"/>
          <w:szCs w:val="21"/>
          <w:highlight w:val="none"/>
        </w:rPr>
        <w:t>条文</w:t>
      </w:r>
      <w:r>
        <w:rPr>
          <w:rFonts w:eastAsia="楷体"/>
          <w:color w:val="auto"/>
          <w:szCs w:val="21"/>
          <w:highlight w:val="none"/>
        </w:rPr>
        <w:t>说明】</w:t>
      </w:r>
      <w:r>
        <w:rPr>
          <w:rFonts w:hint="eastAsia" w:eastAsia="楷体"/>
          <w:color w:val="auto"/>
          <w:szCs w:val="21"/>
          <w:highlight w:val="none"/>
        </w:rPr>
        <w:t>用于传递井盖车载至井周道路结构、盖座或卸载板。</w:t>
      </w:r>
    </w:p>
    <w:p>
      <w:pPr>
        <w:pStyle w:val="18"/>
        <w:adjustRightInd w:val="0"/>
        <w:snapToGrid w:val="0"/>
        <w:spacing w:line="360" w:lineRule="auto"/>
        <w:ind w:firstLine="0" w:firstLineChars="0"/>
        <w:rPr>
          <w:rFonts w:hAnsi="宋体" w:cs="宋体"/>
          <w:color w:val="auto"/>
          <w:sz w:val="24"/>
          <w:szCs w:val="24"/>
          <w:highlight w:val="none"/>
        </w:rPr>
      </w:pPr>
      <w:r>
        <w:rPr>
          <w:rFonts w:hint="eastAsia" w:ascii="Times New Roman" w:hAnsi="宋体"/>
          <w:b/>
          <w:bCs/>
          <w:color w:val="auto"/>
          <w:kern w:val="2"/>
          <w:sz w:val="24"/>
          <w:szCs w:val="24"/>
          <w:highlight w:val="none"/>
        </w:rPr>
        <w:t xml:space="preserve">2.0.5  </w:t>
      </w:r>
      <w:r>
        <w:rPr>
          <w:rFonts w:hint="eastAsia" w:hAnsi="宋体" w:cs="宋体"/>
          <w:color w:val="auto"/>
          <w:sz w:val="24"/>
          <w:szCs w:val="24"/>
          <w:highlight w:val="none"/>
        </w:rPr>
        <w:t>井圈筒体  well ring barrel</w:t>
      </w:r>
    </w:p>
    <w:p>
      <w:pPr>
        <w:pStyle w:val="18"/>
        <w:adjustRightInd w:val="0"/>
        <w:snapToGrid w:val="0"/>
        <w:spacing w:line="360" w:lineRule="auto"/>
        <w:ind w:firstLine="480" w:firstLineChars="0"/>
        <w:rPr>
          <w:rFonts w:hAnsi="宋体" w:cs="宋体"/>
          <w:color w:val="auto"/>
          <w:sz w:val="24"/>
          <w:szCs w:val="24"/>
          <w:highlight w:val="none"/>
        </w:rPr>
      </w:pPr>
      <w:r>
        <w:rPr>
          <w:rFonts w:hint="eastAsia" w:ascii="Times New Roman"/>
          <w:color w:val="auto"/>
          <w:sz w:val="24"/>
          <w:szCs w:val="24"/>
          <w:highlight w:val="none"/>
        </w:rPr>
        <w:t>井盖传载板</w:t>
      </w:r>
      <w:r>
        <w:rPr>
          <w:rFonts w:hint="eastAsia" w:hAnsi="宋体" w:cs="宋体"/>
          <w:color w:val="auto"/>
          <w:sz w:val="24"/>
          <w:szCs w:val="24"/>
          <w:highlight w:val="none"/>
        </w:rPr>
        <w:t>下方插入井孔、卸载板或其它道路结构层的圆环形或矩形筒体。</w:t>
      </w:r>
    </w:p>
    <w:p>
      <w:pPr>
        <w:pStyle w:val="18"/>
        <w:adjustRightInd w:val="0"/>
        <w:snapToGrid w:val="0"/>
        <w:spacing w:line="360" w:lineRule="auto"/>
        <w:ind w:firstLine="0" w:firstLineChars="0"/>
        <w:rPr>
          <w:rFonts w:hAnsi="宋体" w:cs="宋体"/>
          <w:color w:val="auto"/>
          <w:sz w:val="24"/>
          <w:szCs w:val="24"/>
          <w:highlight w:val="none"/>
        </w:rPr>
      </w:pPr>
      <w:r>
        <w:rPr>
          <w:rFonts w:eastAsia="楷体"/>
          <w:color w:val="auto"/>
          <w:szCs w:val="21"/>
          <w:highlight w:val="none"/>
        </w:rPr>
        <w:t>【</w:t>
      </w:r>
      <w:r>
        <w:rPr>
          <w:rFonts w:hint="eastAsia" w:eastAsia="楷体"/>
          <w:color w:val="auto"/>
          <w:szCs w:val="21"/>
          <w:highlight w:val="none"/>
        </w:rPr>
        <w:t>条文</w:t>
      </w:r>
      <w:r>
        <w:rPr>
          <w:rFonts w:eastAsia="楷体"/>
          <w:color w:val="auto"/>
          <w:szCs w:val="21"/>
          <w:highlight w:val="none"/>
        </w:rPr>
        <w:t>说明】</w:t>
      </w:r>
      <w:r>
        <w:rPr>
          <w:rFonts w:hint="eastAsia" w:eastAsia="楷体"/>
          <w:color w:val="auto"/>
          <w:szCs w:val="21"/>
          <w:highlight w:val="none"/>
        </w:rPr>
        <w:t>辅助防沉降井盖平面定位，传递车辆水平荷载。</w:t>
      </w:r>
      <w:r>
        <w:rPr>
          <w:rFonts w:hint="eastAsia" w:hAnsi="宋体" w:cs="宋体"/>
          <w:color w:val="auto"/>
          <w:sz w:val="24"/>
          <w:szCs w:val="24"/>
          <w:highlight w:val="none"/>
        </w:rPr>
        <w:t xml:space="preserve">  </w:t>
      </w:r>
    </w:p>
    <w:p>
      <w:pPr>
        <w:pStyle w:val="18"/>
        <w:adjustRightInd w:val="0"/>
        <w:snapToGrid w:val="0"/>
        <w:spacing w:line="360" w:lineRule="auto"/>
        <w:ind w:firstLine="0" w:firstLineChars="0"/>
        <w:rPr>
          <w:rFonts w:hAnsi="宋体" w:cs="宋体"/>
          <w:color w:val="auto"/>
          <w:sz w:val="24"/>
          <w:szCs w:val="24"/>
          <w:highlight w:val="none"/>
        </w:rPr>
      </w:pPr>
      <w:r>
        <w:rPr>
          <w:rFonts w:hint="eastAsia" w:ascii="Times New Roman" w:hAnsi="宋体"/>
          <w:b/>
          <w:bCs/>
          <w:color w:val="auto"/>
          <w:kern w:val="2"/>
          <w:sz w:val="24"/>
          <w:szCs w:val="24"/>
          <w:highlight w:val="none"/>
        </w:rPr>
        <w:t>2.0.6</w:t>
      </w:r>
      <w:r>
        <w:rPr>
          <w:rFonts w:hint="eastAsia" w:hAnsi="宋体" w:cs="宋体"/>
          <w:color w:val="auto"/>
          <w:sz w:val="24"/>
          <w:szCs w:val="24"/>
          <w:highlight w:val="none"/>
        </w:rPr>
        <w:t xml:space="preserve">  注浆孔  grouting hole</w:t>
      </w:r>
    </w:p>
    <w:p>
      <w:pPr>
        <w:pStyle w:val="19"/>
        <w:widowControl/>
        <w:adjustRightInd w:val="0"/>
        <w:snapToGrid w:val="0"/>
        <w:ind w:firstLine="0" w:firstLineChars="0"/>
        <w:rPr>
          <w:rFonts w:ascii="宋体" w:hAnsi="宋体" w:eastAsia="宋体"/>
          <w:bCs/>
          <w:color w:val="auto"/>
          <w:kern w:val="2"/>
          <w:szCs w:val="24"/>
          <w:highlight w:val="none"/>
        </w:rPr>
      </w:pPr>
      <w:r>
        <w:rPr>
          <w:rFonts w:hint="eastAsia" w:ascii="宋体" w:hAnsi="宋体" w:eastAsia="宋体"/>
          <w:color w:val="auto"/>
          <w:szCs w:val="24"/>
          <w:highlight w:val="none"/>
        </w:rPr>
        <w:t xml:space="preserve">    </w:t>
      </w:r>
      <w:r>
        <w:rPr>
          <w:rFonts w:hint="eastAsia" w:ascii="Times New Roman"/>
          <w:color w:val="auto"/>
          <w:szCs w:val="24"/>
          <w:highlight w:val="none"/>
        </w:rPr>
        <w:t>井盖传载板</w:t>
      </w:r>
      <w:r>
        <w:rPr>
          <w:rFonts w:hint="eastAsia" w:ascii="宋体" w:hAnsi="宋体" w:eastAsia="宋体"/>
          <w:color w:val="auto"/>
          <w:kern w:val="2"/>
          <w:szCs w:val="24"/>
          <w:highlight w:val="none"/>
        </w:rPr>
        <w:t>上设置的孔洞，</w:t>
      </w:r>
      <w:r>
        <w:rPr>
          <w:rFonts w:hint="eastAsia" w:ascii="宋体" w:hAnsi="宋体" w:eastAsia="宋体"/>
          <w:color w:val="auto"/>
          <w:kern w:val="2"/>
          <w:szCs w:val="24"/>
          <w:highlight w:val="none"/>
          <w:lang w:eastAsia="zh-CN"/>
        </w:rPr>
        <w:t>位于</w:t>
      </w:r>
      <w:r>
        <w:rPr>
          <w:rFonts w:hint="eastAsia" w:ascii="宋体" w:hAnsi="宋体" w:eastAsia="宋体"/>
          <w:color w:val="auto"/>
          <w:kern w:val="2"/>
          <w:szCs w:val="24"/>
          <w:highlight w:val="none"/>
        </w:rPr>
        <w:t>两个区隔肋间平面的下部。注浆时</w:t>
      </w:r>
      <w:r>
        <w:rPr>
          <w:rFonts w:hint="eastAsia" w:ascii="宋体" w:hAnsi="宋体" w:eastAsia="宋体"/>
          <w:color w:val="auto"/>
          <w:szCs w:val="24"/>
          <w:highlight w:val="none"/>
        </w:rPr>
        <w:t>联</w:t>
      </w:r>
      <w:r>
        <w:rPr>
          <w:rFonts w:hint="eastAsia" w:ascii="宋体" w:hAnsi="宋体" w:eastAsia="宋体"/>
          <w:color w:val="auto"/>
          <w:kern w:val="2"/>
          <w:szCs w:val="24"/>
          <w:highlight w:val="none"/>
        </w:rPr>
        <w:t>接注浆管路。</w:t>
      </w:r>
    </w:p>
    <w:p>
      <w:pPr>
        <w:pStyle w:val="18"/>
        <w:adjustRightInd w:val="0"/>
        <w:snapToGrid w:val="0"/>
        <w:spacing w:line="360" w:lineRule="auto"/>
        <w:ind w:firstLine="0" w:firstLineChars="0"/>
        <w:rPr>
          <w:rFonts w:hAnsi="宋体" w:cs="宋体"/>
          <w:color w:val="auto"/>
          <w:sz w:val="24"/>
          <w:szCs w:val="24"/>
          <w:highlight w:val="none"/>
        </w:rPr>
      </w:pPr>
      <w:r>
        <w:rPr>
          <w:rFonts w:hint="eastAsia" w:ascii="Times New Roman" w:hAnsi="宋体"/>
          <w:b/>
          <w:bCs/>
          <w:color w:val="auto"/>
          <w:kern w:val="2"/>
          <w:sz w:val="24"/>
          <w:szCs w:val="24"/>
          <w:highlight w:val="none"/>
        </w:rPr>
        <w:t xml:space="preserve">2.0.7 </w:t>
      </w:r>
      <w:r>
        <w:rPr>
          <w:rFonts w:hint="eastAsia" w:hAnsi="宋体" w:cs="宋体"/>
          <w:color w:val="auto"/>
          <w:sz w:val="24"/>
          <w:szCs w:val="24"/>
          <w:highlight w:val="none"/>
        </w:rPr>
        <w:t xml:space="preserve"> 引流排气孔  vent</w:t>
      </w:r>
    </w:p>
    <w:p>
      <w:pPr>
        <w:pStyle w:val="18"/>
        <w:adjustRightInd w:val="0"/>
        <w:snapToGrid w:val="0"/>
        <w:spacing w:line="360" w:lineRule="auto"/>
        <w:ind w:firstLine="0" w:firstLineChars="0"/>
        <w:rPr>
          <w:rFonts w:hAnsi="宋体" w:cs="宋体"/>
          <w:color w:val="auto"/>
          <w:sz w:val="24"/>
          <w:highlight w:val="none"/>
        </w:rPr>
      </w:pPr>
      <w:r>
        <w:rPr>
          <w:rFonts w:hint="eastAsia" w:hAnsi="宋体" w:cs="宋体"/>
          <w:color w:val="auto"/>
          <w:sz w:val="24"/>
          <w:szCs w:val="24"/>
          <w:highlight w:val="none"/>
        </w:rPr>
        <w:t xml:space="preserve">    井盖传载板上设置的孔洞，</w:t>
      </w:r>
      <w:r>
        <w:rPr>
          <w:rFonts w:hint="eastAsia" w:ascii="Times New Roman"/>
          <w:color w:val="auto"/>
          <w:sz w:val="24"/>
          <w:szCs w:val="24"/>
          <w:highlight w:val="none"/>
        </w:rPr>
        <w:t>位于</w:t>
      </w:r>
      <w:r>
        <w:rPr>
          <w:rFonts w:hint="eastAsia" w:hAnsi="宋体" w:cs="宋体"/>
          <w:bCs/>
          <w:color w:val="auto"/>
          <w:kern w:val="2"/>
          <w:sz w:val="24"/>
          <w:szCs w:val="24"/>
          <w:highlight w:val="none"/>
        </w:rPr>
        <w:t>两个区隔肋间平面上部</w:t>
      </w:r>
      <w:r>
        <w:rPr>
          <w:rFonts w:hint="eastAsia" w:hAnsi="宋体" w:cs="宋体" w:eastAsiaTheme="minorEastAsia"/>
          <w:bCs/>
          <w:color w:val="auto"/>
          <w:kern w:val="2"/>
          <w:sz w:val="24"/>
          <w:szCs w:val="24"/>
          <w:highlight w:val="none"/>
          <w:lang w:eastAsia="zh-CN"/>
        </w:rPr>
        <w:t>。</w:t>
      </w:r>
      <w:r>
        <w:rPr>
          <w:rFonts w:hint="eastAsia" w:hAnsi="宋体" w:cs="宋体"/>
          <w:color w:val="auto"/>
          <w:sz w:val="24"/>
          <w:szCs w:val="24"/>
          <w:highlight w:val="none"/>
        </w:rPr>
        <w:t>引导浆液流动和排除注浆过程中铺筑层内的气体、水或稀浆等流体的孔洞。</w:t>
      </w:r>
      <w:r>
        <w:rPr>
          <w:rFonts w:hint="eastAsia" w:hAnsi="宋体" w:cs="宋体"/>
          <w:color w:val="auto"/>
          <w:sz w:val="24"/>
          <w:highlight w:val="none"/>
        </w:rPr>
        <w:t xml:space="preserve"> </w:t>
      </w:r>
    </w:p>
    <w:p>
      <w:pPr>
        <w:pStyle w:val="18"/>
        <w:adjustRightInd w:val="0"/>
        <w:snapToGrid w:val="0"/>
        <w:spacing w:line="360" w:lineRule="auto"/>
        <w:ind w:firstLine="0" w:firstLineChars="0"/>
        <w:rPr>
          <w:rFonts w:hAnsi="宋体" w:cs="宋体"/>
          <w:color w:val="auto"/>
          <w:sz w:val="24"/>
          <w:szCs w:val="24"/>
          <w:highlight w:val="none"/>
        </w:rPr>
      </w:pPr>
      <w:r>
        <w:rPr>
          <w:rFonts w:hint="eastAsia" w:ascii="Times New Roman" w:hAnsi="宋体"/>
          <w:b/>
          <w:bCs/>
          <w:color w:val="auto"/>
          <w:kern w:val="2"/>
          <w:sz w:val="24"/>
          <w:szCs w:val="24"/>
          <w:highlight w:val="none"/>
        </w:rPr>
        <w:t>2.0.8</w:t>
      </w:r>
      <w:r>
        <w:rPr>
          <w:rFonts w:hint="eastAsia" w:hAnsi="宋体" w:cs="宋体"/>
          <w:color w:val="auto"/>
          <w:sz w:val="24"/>
          <w:szCs w:val="24"/>
          <w:highlight w:val="none"/>
        </w:rPr>
        <w:t xml:space="preserve">  井周加固铺面  reinforced pavement around the well</w:t>
      </w:r>
    </w:p>
    <w:p>
      <w:pPr>
        <w:pStyle w:val="18"/>
        <w:adjustRightInd w:val="0"/>
        <w:snapToGrid w:val="0"/>
        <w:spacing w:line="360" w:lineRule="auto"/>
        <w:ind w:firstLine="0" w:firstLineChars="0"/>
        <w:rPr>
          <w:rFonts w:hAnsi="宋体"/>
          <w:bCs/>
          <w:color w:val="auto"/>
          <w:kern w:val="2"/>
          <w:szCs w:val="24"/>
          <w:highlight w:val="none"/>
        </w:rPr>
      </w:pPr>
      <w:r>
        <w:rPr>
          <w:rFonts w:hint="eastAsia" w:hAnsi="宋体" w:cs="宋体"/>
          <w:color w:val="auto"/>
          <w:sz w:val="24"/>
          <w:szCs w:val="24"/>
          <w:highlight w:val="none"/>
        </w:rPr>
        <w:t xml:space="preserve">    </w:t>
      </w:r>
      <w:r>
        <w:rPr>
          <w:rFonts w:hint="eastAsia" w:ascii="Times New Roman"/>
          <w:color w:val="auto"/>
          <w:sz w:val="24"/>
          <w:szCs w:val="24"/>
          <w:highlight w:val="none"/>
        </w:rPr>
        <w:t>通过加固作业形成的浆液与沥青混凝土的复合结构体，位于井圈结构主体周围，分布深度范围为路表（井盖传载板底部）至卸载板、盖座或</w:t>
      </w:r>
      <w:r>
        <w:rPr>
          <w:rFonts w:hint="eastAsia" w:ascii="Times New Roman"/>
          <w:color w:val="auto"/>
          <w:sz w:val="24"/>
          <w:szCs w:val="24"/>
          <w:highlight w:val="none"/>
          <w:lang w:val="en-US" w:eastAsia="zh-CN"/>
        </w:rPr>
        <w:t>其它结构</w:t>
      </w:r>
      <w:r>
        <w:rPr>
          <w:rFonts w:hint="eastAsia" w:ascii="Times New Roman"/>
          <w:color w:val="auto"/>
          <w:sz w:val="24"/>
          <w:szCs w:val="24"/>
          <w:highlight w:val="none"/>
        </w:rPr>
        <w:t xml:space="preserve">基层等顶面。   </w:t>
      </w:r>
    </w:p>
    <w:p>
      <w:pPr>
        <w:pStyle w:val="19"/>
        <w:widowControl/>
        <w:adjustRightInd w:val="0"/>
        <w:snapToGrid w:val="0"/>
        <w:ind w:firstLine="0" w:firstLineChars="0"/>
        <w:rPr>
          <w:rFonts w:ascii="宋体" w:hAnsi="宋体" w:eastAsia="宋体"/>
          <w:color w:val="auto"/>
          <w:szCs w:val="24"/>
          <w:highlight w:val="none"/>
        </w:rPr>
      </w:pPr>
      <w:r>
        <w:rPr>
          <w:rFonts w:hint="eastAsia" w:ascii="Times New Roman" w:hAnsi="宋体" w:eastAsia="宋体" w:cs="Times New Roman"/>
          <w:b/>
          <w:bCs/>
          <w:color w:val="auto"/>
          <w:kern w:val="2"/>
          <w:szCs w:val="24"/>
          <w:highlight w:val="none"/>
        </w:rPr>
        <w:t>2.0.9</w:t>
      </w:r>
      <w:r>
        <w:rPr>
          <w:rFonts w:hint="eastAsia" w:ascii="宋体" w:hAnsi="宋体" w:eastAsia="宋体"/>
          <w:b/>
          <w:bCs/>
          <w:color w:val="auto"/>
          <w:szCs w:val="24"/>
          <w:highlight w:val="none"/>
        </w:rPr>
        <w:t xml:space="preserve">  </w:t>
      </w:r>
      <w:r>
        <w:rPr>
          <w:rFonts w:hint="eastAsia" w:ascii="宋体" w:hAnsi="宋体" w:eastAsia="宋体"/>
          <w:color w:val="auto"/>
          <w:szCs w:val="24"/>
          <w:highlight w:val="none"/>
        </w:rPr>
        <w:t>注浆孔道  grouting duct</w:t>
      </w:r>
    </w:p>
    <w:p>
      <w:pPr>
        <w:pStyle w:val="19"/>
        <w:widowControl/>
        <w:adjustRightInd w:val="0"/>
        <w:snapToGrid w:val="0"/>
        <w:ind w:firstLine="480"/>
        <w:rPr>
          <w:rFonts w:hAnsi="宋体"/>
          <w:color w:val="auto"/>
          <w:szCs w:val="24"/>
          <w:highlight w:val="none"/>
        </w:rPr>
      </w:pPr>
      <w:r>
        <w:rPr>
          <w:rFonts w:hint="eastAsia"/>
          <w:bCs/>
          <w:color w:val="auto"/>
          <w:kern w:val="2"/>
          <w:szCs w:val="24"/>
          <w:highlight w:val="none"/>
        </w:rPr>
        <w:t>注浆孔下方，</w:t>
      </w:r>
      <w:r>
        <w:rPr>
          <w:rFonts w:hint="eastAsia" w:eastAsiaTheme="minorEastAsia"/>
          <w:bCs/>
          <w:color w:val="auto"/>
          <w:kern w:val="2"/>
          <w:szCs w:val="24"/>
          <w:highlight w:val="none"/>
        </w:rPr>
        <w:t>扩大、控制注浆深度和浆液水平扩散范围</w:t>
      </w:r>
      <w:r>
        <w:rPr>
          <w:rFonts w:hint="eastAsia"/>
          <w:bCs/>
          <w:color w:val="auto"/>
          <w:kern w:val="2"/>
          <w:szCs w:val="24"/>
          <w:highlight w:val="none"/>
        </w:rPr>
        <w:t>的孔道，</w:t>
      </w:r>
      <w:r>
        <w:rPr>
          <w:rFonts w:hint="eastAsia" w:hAnsi="宋体"/>
          <w:color w:val="auto"/>
          <w:szCs w:val="24"/>
          <w:highlight w:val="none"/>
        </w:rPr>
        <w:t>穿入或穿透沥青面层。</w:t>
      </w:r>
    </w:p>
    <w:p>
      <w:pPr>
        <w:pStyle w:val="19"/>
        <w:widowControl/>
        <w:adjustRightInd w:val="0"/>
        <w:snapToGrid w:val="0"/>
        <w:ind w:firstLine="0" w:firstLineChars="0"/>
        <w:rPr>
          <w:rFonts w:hint="eastAsia" w:eastAsia="楷体"/>
          <w:color w:val="auto"/>
          <w:szCs w:val="21"/>
          <w:highlight w:val="none"/>
        </w:rPr>
      </w:pPr>
      <w:r>
        <w:rPr>
          <w:rFonts w:eastAsia="楷体"/>
          <w:color w:val="auto"/>
          <w:szCs w:val="21"/>
          <w:highlight w:val="none"/>
        </w:rPr>
        <w:t>【</w:t>
      </w:r>
      <w:r>
        <w:rPr>
          <w:rFonts w:hint="eastAsia" w:eastAsia="楷体"/>
          <w:color w:val="auto"/>
          <w:szCs w:val="21"/>
          <w:highlight w:val="none"/>
          <w:lang w:eastAsia="zh-CN"/>
        </w:rPr>
        <w:t>条文</w:t>
      </w:r>
      <w:r>
        <w:rPr>
          <w:rFonts w:eastAsia="楷体"/>
          <w:color w:val="auto"/>
          <w:szCs w:val="21"/>
          <w:highlight w:val="none"/>
        </w:rPr>
        <w:t>说明】</w:t>
      </w:r>
      <w:r>
        <w:rPr>
          <w:rFonts w:hint="eastAsia" w:eastAsia="楷体"/>
          <w:color w:val="auto"/>
          <w:szCs w:val="21"/>
          <w:highlight w:val="none"/>
        </w:rPr>
        <w:t>在沥青混凝土层采用引孔方法形成。</w:t>
      </w:r>
    </w:p>
    <w:p>
      <w:pPr>
        <w:pStyle w:val="19"/>
        <w:widowControl/>
        <w:adjustRightInd w:val="0"/>
        <w:snapToGrid w:val="0"/>
        <w:ind w:firstLine="0" w:firstLineChars="0"/>
        <w:rPr>
          <w:rFonts w:hAnsi="宋体"/>
          <w:color w:val="auto"/>
          <w:szCs w:val="24"/>
          <w:highlight w:val="none"/>
        </w:rPr>
      </w:pPr>
      <w:r>
        <w:rPr>
          <w:rFonts w:hint="eastAsia" w:ascii="Times New Roman" w:hAnsi="宋体" w:eastAsia="宋体" w:cs="Times New Roman"/>
          <w:b/>
          <w:bCs/>
          <w:color w:val="auto"/>
          <w:kern w:val="2"/>
          <w:szCs w:val="24"/>
          <w:highlight w:val="none"/>
        </w:rPr>
        <w:t>2.0.10</w:t>
      </w:r>
      <w:r>
        <w:rPr>
          <w:rFonts w:hint="eastAsia" w:hAnsi="宋体"/>
          <w:color w:val="auto"/>
          <w:szCs w:val="24"/>
          <w:highlight w:val="none"/>
        </w:rPr>
        <w:t xml:space="preserve">  卸载板  </w:t>
      </w:r>
      <w:r>
        <w:rPr>
          <w:rFonts w:hint="eastAsia" w:ascii="宋体" w:hAnsi="宋体" w:eastAsia="宋体"/>
          <w:color w:val="auto"/>
          <w:szCs w:val="24"/>
          <w:highlight w:val="none"/>
        </w:rPr>
        <w:t>unloading board</w:t>
      </w:r>
    </w:p>
    <w:p>
      <w:pPr>
        <w:pStyle w:val="19"/>
        <w:widowControl/>
        <w:adjustRightInd w:val="0"/>
        <w:snapToGrid w:val="0"/>
        <w:ind w:firstLine="480"/>
        <w:rPr>
          <w:rFonts w:hAnsi="宋体"/>
          <w:color w:val="auto"/>
          <w:szCs w:val="24"/>
          <w:highlight w:val="none"/>
        </w:rPr>
      </w:pPr>
      <w:r>
        <w:rPr>
          <w:rFonts w:hint="eastAsia" w:hAnsi="宋体"/>
          <w:color w:val="auto"/>
          <w:szCs w:val="24"/>
          <w:highlight w:val="none"/>
        </w:rPr>
        <w:t>井体上方传递车辆荷载至</w:t>
      </w:r>
      <w:r>
        <w:rPr>
          <w:rFonts w:hint="eastAsia" w:hAnsi="宋体"/>
          <w:color w:val="auto"/>
          <w:szCs w:val="24"/>
          <w:highlight w:val="none"/>
          <w:lang w:val="en-US" w:eastAsia="zh-CN"/>
        </w:rPr>
        <w:t>井周</w:t>
      </w:r>
      <w:r>
        <w:rPr>
          <w:rFonts w:hint="eastAsia" w:hAnsi="宋体"/>
          <w:color w:val="auto"/>
          <w:szCs w:val="24"/>
          <w:highlight w:val="none"/>
        </w:rPr>
        <w:t>结构层、保护井体、协调井体与</w:t>
      </w:r>
      <w:r>
        <w:rPr>
          <w:rFonts w:hint="eastAsia" w:hAnsi="宋体"/>
          <w:color w:val="auto"/>
          <w:szCs w:val="24"/>
          <w:highlight w:val="none"/>
          <w:lang w:val="en-US" w:eastAsia="zh-CN"/>
        </w:rPr>
        <w:t>井周结构</w:t>
      </w:r>
      <w:r>
        <w:rPr>
          <w:rFonts w:hint="eastAsia" w:hAnsi="宋体"/>
          <w:color w:val="auto"/>
          <w:szCs w:val="24"/>
          <w:highlight w:val="none"/>
        </w:rPr>
        <w:t>不均匀沉降的钢筋混凝土板。根据卸载板与井体结构位置关系，分为密贴式和分离式。</w:t>
      </w:r>
    </w:p>
    <w:p>
      <w:pPr>
        <w:pStyle w:val="19"/>
        <w:widowControl/>
        <w:adjustRightInd w:val="0"/>
        <w:snapToGrid w:val="0"/>
        <w:ind w:firstLine="0" w:firstLineChars="0"/>
        <w:rPr>
          <w:rFonts w:ascii="宋体" w:hAnsi="宋体" w:eastAsia="宋体"/>
          <w:color w:val="auto"/>
          <w:szCs w:val="24"/>
          <w:highlight w:val="none"/>
        </w:rPr>
      </w:pPr>
      <w:r>
        <w:rPr>
          <w:rFonts w:hint="eastAsia" w:ascii="Times New Roman" w:hAnsi="宋体" w:eastAsia="宋体" w:cs="Times New Roman"/>
          <w:b/>
          <w:bCs/>
          <w:color w:val="auto"/>
          <w:kern w:val="2"/>
          <w:szCs w:val="24"/>
          <w:highlight w:val="none"/>
        </w:rPr>
        <w:t>2.0.11</w:t>
      </w:r>
      <w:r>
        <w:rPr>
          <w:rFonts w:hint="eastAsia" w:hAnsi="宋体"/>
          <w:color w:val="auto"/>
          <w:szCs w:val="24"/>
          <w:highlight w:val="none"/>
        </w:rPr>
        <w:t xml:space="preserve">  </w:t>
      </w:r>
      <w:r>
        <w:rPr>
          <w:rFonts w:hint="eastAsia" w:cs="Times New Roman"/>
          <w:bCs/>
          <w:color w:val="auto"/>
          <w:kern w:val="2"/>
          <w:szCs w:val="24"/>
          <w:highlight w:val="none"/>
        </w:rPr>
        <w:t xml:space="preserve">盖座  </w:t>
      </w:r>
      <w:r>
        <w:rPr>
          <w:rFonts w:hint="eastAsia" w:ascii="宋体" w:hAnsi="宋体" w:eastAsia="宋体"/>
          <w:color w:val="auto"/>
          <w:szCs w:val="24"/>
          <w:highlight w:val="none"/>
        </w:rPr>
        <w:t>cover seat</w:t>
      </w:r>
    </w:p>
    <w:p>
      <w:pPr>
        <w:pStyle w:val="19"/>
        <w:widowControl/>
        <w:adjustRightInd w:val="0"/>
        <w:snapToGrid w:val="0"/>
        <w:ind w:firstLine="480"/>
        <w:rPr>
          <w:rFonts w:hAnsi="宋体"/>
          <w:color w:val="auto"/>
          <w:szCs w:val="24"/>
          <w:highlight w:val="none"/>
        </w:rPr>
      </w:pPr>
      <w:r>
        <w:rPr>
          <w:rFonts w:hint="eastAsia" w:hAnsi="宋体"/>
          <w:color w:val="auto"/>
          <w:szCs w:val="24"/>
          <w:highlight w:val="none"/>
        </w:rPr>
        <w:t>井体上方加固井口并调整井孔形状、尺寸的预制钢筋混凝土构件。</w:t>
      </w:r>
    </w:p>
    <w:p>
      <w:pPr>
        <w:pStyle w:val="19"/>
        <w:widowControl/>
        <w:adjustRightInd w:val="0"/>
        <w:snapToGrid w:val="0"/>
        <w:ind w:firstLine="0" w:firstLineChars="0"/>
        <w:rPr>
          <w:rFonts w:ascii="宋体" w:hAnsi="宋体" w:eastAsia="宋体"/>
          <w:color w:val="auto"/>
          <w:szCs w:val="24"/>
          <w:highlight w:val="none"/>
        </w:rPr>
      </w:pPr>
      <w:r>
        <w:rPr>
          <w:rFonts w:hint="eastAsia" w:ascii="Times New Roman" w:hAnsi="宋体" w:eastAsia="宋体" w:cs="Times New Roman"/>
          <w:b/>
          <w:bCs/>
          <w:color w:val="auto"/>
          <w:kern w:val="2"/>
          <w:szCs w:val="24"/>
          <w:highlight w:val="none"/>
        </w:rPr>
        <w:t>2.0.12</w:t>
      </w:r>
      <w:r>
        <w:rPr>
          <w:rFonts w:hint="eastAsia" w:hAnsi="宋体"/>
          <w:color w:val="auto"/>
          <w:szCs w:val="24"/>
          <w:highlight w:val="none"/>
        </w:rPr>
        <w:t xml:space="preserve">  </w:t>
      </w:r>
      <w:r>
        <w:rPr>
          <w:rFonts w:hint="eastAsia" w:cs="Times New Roman"/>
          <w:bCs/>
          <w:color w:val="auto"/>
          <w:kern w:val="2"/>
          <w:szCs w:val="24"/>
          <w:highlight w:val="none"/>
        </w:rPr>
        <w:t xml:space="preserve">调节环  </w:t>
      </w:r>
      <w:r>
        <w:rPr>
          <w:rFonts w:hint="eastAsia" w:ascii="宋体" w:hAnsi="宋体" w:eastAsia="宋体"/>
          <w:color w:val="auto"/>
          <w:szCs w:val="24"/>
          <w:highlight w:val="none"/>
        </w:rPr>
        <w:t>adjusting ring</w:t>
      </w:r>
    </w:p>
    <w:p>
      <w:pPr>
        <w:pStyle w:val="19"/>
        <w:widowControl/>
        <w:adjustRightInd w:val="0"/>
        <w:snapToGrid w:val="0"/>
        <w:ind w:firstLine="0" w:firstLineChars="0"/>
        <w:rPr>
          <w:rFonts w:hAnsi="宋体"/>
          <w:color w:val="auto"/>
          <w:szCs w:val="24"/>
          <w:highlight w:val="none"/>
        </w:rPr>
      </w:pPr>
      <w:r>
        <w:rPr>
          <w:rFonts w:hint="eastAsia" w:ascii="宋体" w:hAnsi="宋体" w:eastAsia="宋体"/>
          <w:color w:val="auto"/>
          <w:szCs w:val="24"/>
          <w:highlight w:val="none"/>
        </w:rPr>
        <w:t xml:space="preserve">    </w:t>
      </w:r>
      <w:r>
        <w:rPr>
          <w:rFonts w:hint="eastAsia" w:hAnsi="宋体"/>
          <w:color w:val="auto"/>
          <w:szCs w:val="24"/>
          <w:highlight w:val="none"/>
        </w:rPr>
        <w:t>井体上方调节井孔尺寸，辅助防沉降井盖安装的环状钢筋混凝土或金属构件。</w:t>
      </w:r>
    </w:p>
    <w:p>
      <w:pPr>
        <w:pStyle w:val="19"/>
        <w:widowControl/>
        <w:adjustRightInd w:val="0"/>
        <w:snapToGrid w:val="0"/>
        <w:ind w:firstLine="0" w:firstLineChars="0"/>
        <w:rPr>
          <w:rFonts w:ascii="宋体" w:hAnsi="宋体" w:eastAsia="宋体"/>
          <w:bCs/>
          <w:color w:val="auto"/>
          <w:kern w:val="2"/>
          <w:szCs w:val="24"/>
          <w:highlight w:val="none"/>
        </w:rPr>
      </w:pPr>
      <w:r>
        <w:rPr>
          <w:rFonts w:hint="eastAsia" w:ascii="Times New Roman" w:hAnsi="宋体" w:eastAsia="宋体" w:cs="Times New Roman"/>
          <w:b/>
          <w:bCs/>
          <w:color w:val="auto"/>
          <w:kern w:val="2"/>
          <w:szCs w:val="24"/>
          <w:highlight w:val="none"/>
        </w:rPr>
        <w:t xml:space="preserve">2.0.13 </w:t>
      </w:r>
      <w:r>
        <w:rPr>
          <w:rFonts w:hint="eastAsia" w:ascii="宋体" w:hAnsi="宋体" w:eastAsia="宋体"/>
          <w:bCs/>
          <w:color w:val="auto"/>
          <w:kern w:val="2"/>
          <w:szCs w:val="24"/>
          <w:highlight w:val="none"/>
        </w:rPr>
        <w:t xml:space="preserve"> 止水密封圈  water stop sealing ring</w:t>
      </w:r>
    </w:p>
    <w:p>
      <w:pPr>
        <w:pStyle w:val="19"/>
        <w:widowControl/>
        <w:ind w:firstLine="0" w:firstLineChars="0"/>
        <w:rPr>
          <w:rFonts w:ascii="宋体" w:hAnsi="宋体"/>
          <w:color w:val="auto"/>
          <w:szCs w:val="24"/>
          <w:highlight w:val="none"/>
        </w:rPr>
      </w:pPr>
      <w:r>
        <w:rPr>
          <w:rFonts w:hint="eastAsia" w:ascii="宋体" w:hAnsi="宋体" w:eastAsia="宋体"/>
          <w:bCs/>
          <w:color w:val="auto"/>
          <w:kern w:val="2"/>
          <w:szCs w:val="24"/>
          <w:highlight w:val="none"/>
        </w:rPr>
        <w:t xml:space="preserve">   安装于</w:t>
      </w:r>
      <w:r>
        <w:rPr>
          <w:rFonts w:hint="eastAsia" w:cs="Times New Roman"/>
          <w:bCs/>
          <w:color w:val="auto"/>
          <w:kern w:val="2"/>
          <w:szCs w:val="24"/>
          <w:highlight w:val="none"/>
        </w:rPr>
        <w:t>井圈筒体</w:t>
      </w:r>
      <w:r>
        <w:rPr>
          <w:rFonts w:ascii="宋体" w:hAnsi="宋体"/>
          <w:color w:val="auto"/>
          <w:szCs w:val="24"/>
          <w:highlight w:val="none"/>
        </w:rPr>
        <w:t>底部与</w:t>
      </w:r>
      <w:r>
        <w:rPr>
          <w:rFonts w:hint="eastAsia" w:ascii="宋体" w:hAnsi="宋体"/>
          <w:color w:val="auto"/>
          <w:szCs w:val="24"/>
          <w:highlight w:val="none"/>
        </w:rPr>
        <w:t>检查井孔</w:t>
      </w:r>
      <w:r>
        <w:rPr>
          <w:rFonts w:ascii="宋体" w:hAnsi="宋体"/>
          <w:color w:val="auto"/>
          <w:szCs w:val="24"/>
          <w:highlight w:val="none"/>
        </w:rPr>
        <w:t>侧壁</w:t>
      </w:r>
      <w:r>
        <w:rPr>
          <w:rFonts w:hint="eastAsia" w:ascii="宋体" w:hAnsi="宋体"/>
          <w:color w:val="auto"/>
          <w:szCs w:val="24"/>
          <w:highlight w:val="none"/>
        </w:rPr>
        <w:t>的缝隙处，防止注浆浆液流失的弹性或刚性构件。</w:t>
      </w:r>
    </w:p>
    <w:p>
      <w:pPr>
        <w:pStyle w:val="19"/>
        <w:widowControl/>
        <w:ind w:firstLine="0" w:firstLineChars="0"/>
        <w:rPr>
          <w:rFonts w:ascii="宋体" w:hAnsi="宋体" w:eastAsia="宋体"/>
          <w:b/>
          <w:bCs/>
          <w:color w:val="auto"/>
          <w:szCs w:val="24"/>
          <w:highlight w:val="none"/>
        </w:rPr>
      </w:pPr>
      <w:r>
        <w:rPr>
          <w:rFonts w:eastAsia="楷体"/>
          <w:color w:val="auto"/>
          <w:szCs w:val="21"/>
          <w:highlight w:val="none"/>
        </w:rPr>
        <w:t>【</w:t>
      </w:r>
      <w:r>
        <w:rPr>
          <w:rFonts w:hint="eastAsia" w:eastAsia="楷体"/>
          <w:color w:val="auto"/>
          <w:szCs w:val="21"/>
          <w:highlight w:val="none"/>
          <w:lang w:eastAsia="zh-CN"/>
        </w:rPr>
        <w:t>条文</w:t>
      </w:r>
      <w:r>
        <w:rPr>
          <w:rFonts w:eastAsia="楷体"/>
          <w:color w:val="auto"/>
          <w:szCs w:val="21"/>
          <w:highlight w:val="none"/>
        </w:rPr>
        <w:t>说明】</w:t>
      </w:r>
      <w:r>
        <w:rPr>
          <w:rFonts w:hint="eastAsia" w:eastAsia="楷体"/>
          <w:color w:val="auto"/>
          <w:szCs w:val="21"/>
          <w:highlight w:val="none"/>
        </w:rPr>
        <w:t>材质可选用</w:t>
      </w:r>
      <w:r>
        <w:rPr>
          <w:rFonts w:hint="eastAsia" w:eastAsia="楷体" w:asciiTheme="minorHAnsi" w:hAnsiTheme="minorHAnsi"/>
          <w:color w:val="auto"/>
          <w:szCs w:val="21"/>
          <w:highlight w:val="none"/>
        </w:rPr>
        <w:t>水泥砂浆或橡胶圈等</w:t>
      </w:r>
      <w:r>
        <w:rPr>
          <w:rFonts w:hint="eastAsia" w:eastAsia="楷体"/>
          <w:color w:val="auto"/>
          <w:szCs w:val="21"/>
          <w:highlight w:val="none"/>
        </w:rPr>
        <w:t>。</w:t>
      </w:r>
      <w:r>
        <w:rPr>
          <w:rFonts w:ascii="宋体" w:hAnsi="宋体" w:eastAsia="宋体"/>
          <w:b/>
          <w:bCs/>
          <w:color w:val="auto"/>
          <w:szCs w:val="24"/>
          <w:highlight w:val="none"/>
        </w:rPr>
        <w:t xml:space="preserve"> </w:t>
      </w:r>
    </w:p>
    <w:p>
      <w:pPr>
        <w:pStyle w:val="19"/>
        <w:widowControl/>
        <w:adjustRightInd w:val="0"/>
        <w:snapToGrid w:val="0"/>
        <w:ind w:firstLine="0" w:firstLineChars="0"/>
        <w:rPr>
          <w:rFonts w:ascii="宋体" w:hAnsi="宋体" w:eastAsia="宋体"/>
          <w:color w:val="auto"/>
          <w:szCs w:val="24"/>
          <w:highlight w:val="none"/>
        </w:rPr>
      </w:pPr>
      <w:r>
        <w:rPr>
          <w:rFonts w:hint="eastAsia" w:ascii="Times New Roman" w:hAnsi="宋体" w:eastAsia="宋体" w:cs="Times New Roman"/>
          <w:b/>
          <w:bCs/>
          <w:color w:val="auto"/>
          <w:kern w:val="2"/>
          <w:szCs w:val="24"/>
          <w:highlight w:val="none"/>
        </w:rPr>
        <w:t>2.0.14</w:t>
      </w:r>
      <w:r>
        <w:rPr>
          <w:rFonts w:hint="eastAsia" w:hAnsi="宋体"/>
          <w:color w:val="auto"/>
          <w:szCs w:val="24"/>
          <w:highlight w:val="none"/>
        </w:rPr>
        <w:t xml:space="preserve">  </w:t>
      </w:r>
      <w:r>
        <w:rPr>
          <w:rFonts w:hint="eastAsia" w:cs="Times New Roman"/>
          <w:bCs/>
          <w:color w:val="auto"/>
          <w:kern w:val="2"/>
          <w:szCs w:val="24"/>
          <w:highlight w:val="none"/>
        </w:rPr>
        <w:t xml:space="preserve">沉降协调带  </w:t>
      </w:r>
      <w:r>
        <w:rPr>
          <w:rFonts w:hint="eastAsia" w:ascii="宋体" w:hAnsi="宋体" w:eastAsia="宋体"/>
          <w:bCs/>
          <w:color w:val="auto"/>
          <w:kern w:val="2"/>
          <w:szCs w:val="24"/>
          <w:highlight w:val="none"/>
        </w:rPr>
        <w:t>settlement coordination zone</w:t>
      </w:r>
    </w:p>
    <w:p>
      <w:pPr>
        <w:pStyle w:val="19"/>
        <w:widowControl/>
        <w:adjustRightInd w:val="0"/>
        <w:snapToGrid w:val="0"/>
        <w:ind w:firstLine="0" w:firstLineChars="0"/>
        <w:rPr>
          <w:rFonts w:ascii="Times New Roman" w:hAnsi="宋体" w:eastAsia="宋体" w:cs="Times New Roman"/>
          <w:b/>
          <w:bCs/>
          <w:color w:val="auto"/>
          <w:kern w:val="2"/>
          <w:szCs w:val="24"/>
          <w:highlight w:val="none"/>
        </w:rPr>
      </w:pPr>
      <w:r>
        <w:rPr>
          <w:rFonts w:hint="eastAsia" w:ascii="宋体" w:hAnsi="宋体" w:eastAsia="宋体"/>
          <w:color w:val="auto"/>
          <w:szCs w:val="24"/>
          <w:highlight w:val="none"/>
        </w:rPr>
        <w:t xml:space="preserve">    协调井体与道路结构的不均匀沉降变形的弹性止水</w:t>
      </w:r>
      <w:r>
        <w:rPr>
          <w:rFonts w:hint="eastAsia" w:ascii="宋体" w:hAnsi="宋体" w:eastAsia="宋体"/>
          <w:color w:val="auto"/>
          <w:szCs w:val="24"/>
          <w:highlight w:val="none"/>
          <w:lang w:val="en-US" w:eastAsia="zh-CN"/>
        </w:rPr>
        <w:t>带</w:t>
      </w:r>
      <w:r>
        <w:rPr>
          <w:rFonts w:hint="eastAsia" w:ascii="宋体" w:hAnsi="宋体" w:eastAsia="宋体"/>
          <w:color w:val="auto"/>
          <w:szCs w:val="24"/>
          <w:highlight w:val="none"/>
        </w:rPr>
        <w:t>。位于卸载板与井体间，环绕井口。</w:t>
      </w:r>
    </w:p>
    <w:p>
      <w:pPr>
        <w:pStyle w:val="19"/>
        <w:widowControl/>
        <w:adjustRightInd w:val="0"/>
        <w:snapToGrid w:val="0"/>
        <w:ind w:firstLine="0" w:firstLineChars="0"/>
        <w:rPr>
          <w:rFonts w:ascii="宋体" w:hAnsi="宋体" w:eastAsia="宋体"/>
          <w:color w:val="auto"/>
          <w:szCs w:val="24"/>
          <w:highlight w:val="none"/>
        </w:rPr>
      </w:pPr>
      <w:r>
        <w:rPr>
          <w:rFonts w:hint="eastAsia" w:ascii="Times New Roman" w:hAnsi="宋体" w:eastAsia="宋体" w:cs="Times New Roman"/>
          <w:b/>
          <w:bCs/>
          <w:color w:val="auto"/>
          <w:kern w:val="2"/>
          <w:szCs w:val="24"/>
          <w:highlight w:val="none"/>
        </w:rPr>
        <w:t>2.0.15</w:t>
      </w:r>
      <w:r>
        <w:rPr>
          <w:rFonts w:hint="eastAsia" w:hAnsi="宋体"/>
          <w:color w:val="auto"/>
          <w:szCs w:val="24"/>
          <w:highlight w:val="none"/>
        </w:rPr>
        <w:t xml:space="preserve">  </w:t>
      </w:r>
      <w:r>
        <w:rPr>
          <w:rFonts w:hint="eastAsia" w:cs="Times New Roman"/>
          <w:bCs/>
          <w:color w:val="auto"/>
          <w:kern w:val="2"/>
          <w:szCs w:val="24"/>
          <w:highlight w:val="none"/>
        </w:rPr>
        <w:t xml:space="preserve">分离带  </w:t>
      </w:r>
      <w:r>
        <w:rPr>
          <w:rFonts w:hint="eastAsia" w:ascii="宋体" w:hAnsi="宋体" w:eastAsia="宋体"/>
          <w:bCs/>
          <w:color w:val="auto"/>
          <w:kern w:val="2"/>
          <w:szCs w:val="24"/>
          <w:highlight w:val="none"/>
        </w:rPr>
        <w:t>separation zone</w:t>
      </w:r>
      <w:r>
        <w:rPr>
          <w:rFonts w:hint="eastAsia" w:ascii="宋体" w:hAnsi="宋体" w:eastAsia="宋体"/>
          <w:color w:val="auto"/>
          <w:szCs w:val="24"/>
          <w:highlight w:val="none"/>
        </w:rPr>
        <w:t xml:space="preserve">    </w:t>
      </w:r>
    </w:p>
    <w:p>
      <w:pPr>
        <w:pStyle w:val="19"/>
        <w:widowControl/>
        <w:adjustRightInd w:val="0"/>
        <w:snapToGrid w:val="0"/>
        <w:ind w:firstLine="480"/>
        <w:rPr>
          <w:rFonts w:ascii="宋体" w:hAnsi="宋体" w:eastAsia="宋体"/>
          <w:color w:val="auto"/>
          <w:szCs w:val="24"/>
          <w:highlight w:val="none"/>
        </w:rPr>
      </w:pPr>
      <w:r>
        <w:rPr>
          <w:rFonts w:hint="eastAsia" w:ascii="宋体" w:hAnsi="宋体" w:eastAsia="宋体"/>
          <w:color w:val="auto"/>
          <w:szCs w:val="24"/>
          <w:highlight w:val="none"/>
        </w:rPr>
        <w:t>卸载板下方，环绕井体外围，消除或减少井体与</w:t>
      </w:r>
      <w:r>
        <w:rPr>
          <w:rFonts w:hint="eastAsia" w:ascii="宋体" w:hAnsi="宋体" w:eastAsia="宋体"/>
          <w:color w:val="auto"/>
          <w:szCs w:val="24"/>
          <w:highlight w:val="none"/>
          <w:lang w:val="en-US" w:eastAsia="zh-CN"/>
        </w:rPr>
        <w:t>井周</w:t>
      </w:r>
      <w:r>
        <w:rPr>
          <w:rFonts w:hint="eastAsia" w:ascii="宋体" w:hAnsi="宋体" w:eastAsia="宋体"/>
          <w:color w:val="auto"/>
          <w:szCs w:val="24"/>
          <w:highlight w:val="none"/>
        </w:rPr>
        <w:t>结构沉降差</w:t>
      </w:r>
      <w:r>
        <w:rPr>
          <w:rFonts w:hint="eastAsia" w:ascii="宋体" w:hAnsi="宋体" w:eastAsia="宋体"/>
          <w:color w:val="auto"/>
          <w:szCs w:val="24"/>
          <w:highlight w:val="none"/>
          <w:lang w:val="en-US" w:eastAsia="zh-CN"/>
        </w:rPr>
        <w:t>应力</w:t>
      </w:r>
      <w:r>
        <w:rPr>
          <w:rFonts w:hint="eastAsia" w:ascii="宋体" w:hAnsi="宋体" w:eastAsia="宋体"/>
          <w:color w:val="auto"/>
          <w:szCs w:val="24"/>
          <w:highlight w:val="none"/>
        </w:rPr>
        <w:t>的构件。由混凝土和弹性材料组成。</w:t>
      </w:r>
    </w:p>
    <w:p>
      <w:pPr>
        <w:pStyle w:val="19"/>
        <w:widowControl/>
        <w:adjustRightInd w:val="0"/>
        <w:snapToGrid w:val="0"/>
        <w:ind w:firstLine="0" w:firstLineChars="0"/>
        <w:rPr>
          <w:rFonts w:ascii="宋体" w:hAnsi="宋体" w:eastAsia="宋体"/>
          <w:color w:val="auto"/>
          <w:szCs w:val="24"/>
          <w:highlight w:val="none"/>
        </w:rPr>
      </w:pPr>
      <w:r>
        <w:rPr>
          <w:rFonts w:hint="eastAsia" w:ascii="Times New Roman" w:hAnsi="宋体" w:eastAsia="宋体" w:cs="Times New Roman"/>
          <w:b/>
          <w:bCs/>
          <w:color w:val="auto"/>
          <w:kern w:val="2"/>
          <w:szCs w:val="24"/>
          <w:highlight w:val="none"/>
        </w:rPr>
        <w:t xml:space="preserve">2.0.16 </w:t>
      </w:r>
      <w:r>
        <w:rPr>
          <w:rFonts w:hint="eastAsia" w:ascii="宋体" w:hAnsi="宋体" w:eastAsia="宋体"/>
          <w:b/>
          <w:bCs/>
          <w:color w:val="auto"/>
          <w:szCs w:val="24"/>
          <w:highlight w:val="none"/>
        </w:rPr>
        <w:t xml:space="preserve"> </w:t>
      </w:r>
      <w:r>
        <w:rPr>
          <w:rFonts w:hint="eastAsia" w:ascii="宋体" w:hAnsi="宋体" w:eastAsia="宋体"/>
          <w:color w:val="auto"/>
          <w:szCs w:val="24"/>
          <w:highlight w:val="none"/>
        </w:rPr>
        <w:t>护筒  casing</w:t>
      </w:r>
    </w:p>
    <w:p>
      <w:pPr>
        <w:pStyle w:val="19"/>
        <w:widowControl/>
        <w:adjustRightInd w:val="0"/>
        <w:snapToGrid w:val="0"/>
        <w:ind w:firstLine="480"/>
        <w:rPr>
          <w:rFonts w:cs="Times New Roman"/>
          <w:bCs/>
          <w:color w:val="auto"/>
          <w:kern w:val="2"/>
          <w:szCs w:val="24"/>
          <w:highlight w:val="none"/>
        </w:rPr>
      </w:pPr>
      <w:r>
        <w:rPr>
          <w:rFonts w:hint="eastAsia" w:cs="Times New Roman"/>
          <w:bCs/>
          <w:color w:val="auto"/>
          <w:kern w:val="2"/>
          <w:szCs w:val="24"/>
          <w:highlight w:val="none"/>
        </w:rPr>
        <w:t>安装防沉降井盖铺筑沥青时，放置于井室上方，防止沥青混合料掉入井室的筒状辅助工具。</w:t>
      </w:r>
    </w:p>
    <w:p>
      <w:pPr>
        <w:pStyle w:val="19"/>
        <w:widowControl/>
        <w:adjustRightInd w:val="0"/>
        <w:snapToGrid w:val="0"/>
        <w:ind w:firstLine="0" w:firstLineChars="0"/>
        <w:rPr>
          <w:rFonts w:ascii="宋体" w:hAnsi="宋体" w:eastAsia="宋体"/>
          <w:color w:val="auto"/>
          <w:szCs w:val="24"/>
          <w:highlight w:val="none"/>
        </w:rPr>
      </w:pPr>
      <w:r>
        <w:rPr>
          <w:rFonts w:hint="eastAsia" w:ascii="Times New Roman" w:hAnsi="宋体" w:eastAsia="宋体" w:cs="Times New Roman"/>
          <w:b/>
          <w:bCs/>
          <w:color w:val="auto"/>
          <w:kern w:val="2"/>
          <w:szCs w:val="24"/>
          <w:highlight w:val="none"/>
        </w:rPr>
        <w:t>2.0.17</w:t>
      </w:r>
      <w:r>
        <w:rPr>
          <w:rFonts w:hint="eastAsia" w:ascii="宋体" w:hAnsi="宋体" w:eastAsia="宋体"/>
          <w:color w:val="auto"/>
          <w:szCs w:val="24"/>
          <w:highlight w:val="none"/>
        </w:rPr>
        <w:t xml:space="preserve"> 道路检查井逆筑法 construction of road inspection well by reverse construction method</w:t>
      </w:r>
    </w:p>
    <w:p>
      <w:pPr>
        <w:pStyle w:val="19"/>
        <w:widowControl/>
        <w:adjustRightInd w:val="0"/>
        <w:snapToGrid w:val="0"/>
        <w:ind w:firstLine="480"/>
        <w:rPr>
          <w:rFonts w:ascii="宋体" w:hAnsi="宋体" w:eastAsia="宋体"/>
          <w:color w:val="auto"/>
          <w:szCs w:val="24"/>
          <w:highlight w:val="none"/>
        </w:rPr>
      </w:pPr>
      <w:r>
        <w:rPr>
          <w:rFonts w:hint="eastAsia" w:ascii="宋体" w:hAnsi="宋体" w:eastAsia="宋体"/>
          <w:color w:val="auto"/>
          <w:szCs w:val="24"/>
          <w:highlight w:val="none"/>
        </w:rPr>
        <w:t>管线检查井施工到管道上部一定高度，用工具盖板将井口盖住，连续整体施工全部或部分上部结构层后，在</w:t>
      </w:r>
      <w:r>
        <w:rPr>
          <w:rFonts w:hint="eastAsia" w:ascii="宋体" w:hAnsi="宋体" w:eastAsia="宋体"/>
          <w:color w:val="auto"/>
          <w:szCs w:val="24"/>
          <w:highlight w:val="none"/>
          <w:lang w:eastAsia="zh-CN"/>
        </w:rPr>
        <w:t>井体</w:t>
      </w:r>
      <w:r>
        <w:rPr>
          <w:rFonts w:hint="eastAsia" w:ascii="宋体" w:hAnsi="宋体" w:eastAsia="宋体"/>
          <w:color w:val="auto"/>
          <w:szCs w:val="24"/>
          <w:highlight w:val="none"/>
        </w:rPr>
        <w:t>位置开挖并取出工具盖板，接高井体至设计</w:t>
      </w:r>
      <w:r>
        <w:rPr>
          <w:rFonts w:hint="eastAsia" w:ascii="宋体" w:hAnsi="宋体" w:eastAsia="宋体"/>
          <w:color w:val="auto"/>
          <w:szCs w:val="24"/>
          <w:highlight w:val="none"/>
          <w:lang w:eastAsia="zh-CN"/>
        </w:rPr>
        <w:t>高程</w:t>
      </w:r>
      <w:r>
        <w:rPr>
          <w:rFonts w:hint="eastAsia" w:ascii="宋体" w:hAnsi="宋体" w:eastAsia="宋体"/>
          <w:color w:val="auto"/>
          <w:szCs w:val="24"/>
          <w:highlight w:val="none"/>
        </w:rPr>
        <w:t>的道路检查井修筑工艺。</w:t>
      </w:r>
    </w:p>
    <w:p>
      <w:pPr>
        <w:spacing w:line="360" w:lineRule="auto"/>
        <w:jc w:val="left"/>
        <w:rPr>
          <w:rFonts w:eastAsia="楷体"/>
          <w:color w:val="auto"/>
          <w:szCs w:val="21"/>
          <w:highlight w:val="none"/>
        </w:rPr>
      </w:pPr>
      <w:r>
        <w:rPr>
          <w:rFonts w:eastAsia="楷体"/>
          <w:color w:val="auto"/>
          <w:szCs w:val="21"/>
          <w:highlight w:val="none"/>
        </w:rPr>
        <w:t>【</w:t>
      </w:r>
      <w:r>
        <w:rPr>
          <w:rFonts w:hint="eastAsia" w:eastAsia="楷体"/>
          <w:color w:val="auto"/>
          <w:szCs w:val="21"/>
          <w:highlight w:val="none"/>
        </w:rPr>
        <w:t>条文</w:t>
      </w:r>
      <w:r>
        <w:rPr>
          <w:rFonts w:eastAsia="楷体"/>
          <w:color w:val="auto"/>
          <w:szCs w:val="21"/>
          <w:highlight w:val="none"/>
        </w:rPr>
        <w:t>说明】</w:t>
      </w:r>
      <w:r>
        <w:rPr>
          <w:rFonts w:hint="eastAsia" w:eastAsia="楷体"/>
          <w:color w:val="auto"/>
          <w:szCs w:val="21"/>
          <w:highlight w:val="none"/>
        </w:rPr>
        <w:t>适用于承受中、重、特</w:t>
      </w:r>
      <w:r>
        <w:rPr>
          <w:rFonts w:hint="eastAsia" w:eastAsia="楷体"/>
          <w:color w:val="auto"/>
          <w:szCs w:val="21"/>
          <w:highlight w:val="none"/>
          <w:lang w:eastAsia="zh-CN"/>
        </w:rPr>
        <w:t>重、极重</w:t>
      </w:r>
      <w:r>
        <w:rPr>
          <w:rFonts w:hint="eastAsia" w:eastAsia="楷体"/>
          <w:color w:val="auto"/>
          <w:szCs w:val="21"/>
          <w:highlight w:val="none"/>
        </w:rPr>
        <w:t>交通或对</w:t>
      </w:r>
      <w:r>
        <w:rPr>
          <w:rFonts w:hint="eastAsia" w:eastAsia="楷体"/>
          <w:color w:val="auto"/>
          <w:szCs w:val="21"/>
          <w:highlight w:val="none"/>
          <w:lang w:val="en-US" w:eastAsia="zh-CN"/>
        </w:rPr>
        <w:t>井周</w:t>
      </w:r>
      <w:r>
        <w:rPr>
          <w:rFonts w:hint="eastAsia" w:eastAsia="楷体"/>
          <w:color w:val="auto"/>
          <w:szCs w:val="21"/>
          <w:highlight w:val="none"/>
        </w:rPr>
        <w:t>结构压实度有特定要求的道路或场站工程检查井</w:t>
      </w:r>
      <w:r>
        <w:rPr>
          <w:rFonts w:hint="eastAsia" w:eastAsia="楷体"/>
          <w:color w:val="auto"/>
          <w:szCs w:val="21"/>
          <w:highlight w:val="none"/>
          <w:lang w:eastAsia="zh-CN"/>
        </w:rPr>
        <w:t>井体施工及</w:t>
      </w:r>
      <w:r>
        <w:rPr>
          <w:rFonts w:hint="eastAsia" w:eastAsia="楷体"/>
          <w:color w:val="auto"/>
          <w:szCs w:val="21"/>
          <w:highlight w:val="none"/>
        </w:rPr>
        <w:t>周边层状结构铺筑。与常规铺筑方法相比，通过调整检查井与其他结构的施工顺序，先整体铺筑层状结构，再</w:t>
      </w:r>
      <w:r>
        <w:rPr>
          <w:rFonts w:hint="eastAsia" w:eastAsia="楷体"/>
          <w:color w:val="auto"/>
          <w:szCs w:val="21"/>
          <w:highlight w:val="none"/>
          <w:lang w:eastAsia="zh-CN"/>
        </w:rPr>
        <w:t>反</w:t>
      </w:r>
      <w:r>
        <w:rPr>
          <w:rFonts w:hint="eastAsia" w:eastAsia="楷体"/>
          <w:color w:val="auto"/>
          <w:szCs w:val="21"/>
          <w:highlight w:val="none"/>
        </w:rPr>
        <w:t>开挖</w:t>
      </w:r>
      <w:r>
        <w:rPr>
          <w:rFonts w:hint="eastAsia" w:eastAsia="楷体"/>
          <w:color w:val="auto"/>
          <w:szCs w:val="21"/>
          <w:highlight w:val="none"/>
          <w:lang w:eastAsia="zh-CN"/>
        </w:rPr>
        <w:t>施工检查井</w:t>
      </w:r>
      <w:r>
        <w:rPr>
          <w:rFonts w:hint="eastAsia" w:eastAsia="楷体"/>
          <w:color w:val="auto"/>
          <w:szCs w:val="21"/>
          <w:highlight w:val="none"/>
        </w:rPr>
        <w:t>上部</w:t>
      </w:r>
      <w:r>
        <w:rPr>
          <w:rFonts w:hint="eastAsia" w:eastAsia="楷体"/>
          <w:color w:val="auto"/>
          <w:szCs w:val="21"/>
          <w:highlight w:val="none"/>
          <w:lang w:eastAsia="zh-CN"/>
        </w:rPr>
        <w:t>结构，</w:t>
      </w:r>
      <w:r>
        <w:rPr>
          <w:rFonts w:hint="eastAsia" w:eastAsia="楷体"/>
          <w:color w:val="auto"/>
          <w:szCs w:val="21"/>
          <w:highlight w:val="none"/>
        </w:rPr>
        <w:t>消除井体</w:t>
      </w:r>
      <w:r>
        <w:rPr>
          <w:rFonts w:hint="eastAsia" w:eastAsia="楷体"/>
          <w:color w:val="auto"/>
          <w:szCs w:val="21"/>
          <w:highlight w:val="none"/>
          <w:lang w:eastAsia="zh-CN"/>
        </w:rPr>
        <w:t>、井</w:t>
      </w:r>
      <w:r>
        <w:rPr>
          <w:rFonts w:hint="eastAsia" w:eastAsia="楷体"/>
          <w:color w:val="auto"/>
          <w:szCs w:val="21"/>
          <w:highlight w:val="none"/>
        </w:rPr>
        <w:t>口等对大型机械一体化施工效率和工程质量的不利影响，保证井周结构质量与正常部位一致，并避免铺筑施工中的井体损坏。</w:t>
      </w: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spacing w:line="360" w:lineRule="auto"/>
        <w:jc w:val="center"/>
        <w:rPr>
          <w:rFonts w:hint="eastAsia" w:eastAsia="楷体"/>
          <w:color w:val="auto"/>
          <w:szCs w:val="21"/>
          <w:highlight w:val="none"/>
          <w:lang w:val="en-US" w:eastAsia="zh-CN"/>
        </w:rPr>
      </w:pPr>
    </w:p>
    <w:p>
      <w:pPr>
        <w:pStyle w:val="2"/>
        <w:keepNext/>
        <w:keepLines/>
        <w:pageBreakBefore w:val="0"/>
        <w:widowControl w:val="0"/>
        <w:kinsoku/>
        <w:wordWrap/>
        <w:overflowPunct/>
        <w:topLinePunct w:val="0"/>
        <w:autoSpaceDE/>
        <w:autoSpaceDN/>
        <w:bidi w:val="0"/>
        <w:adjustRightInd w:val="0"/>
        <w:snapToGrid w:val="0"/>
        <w:spacing w:before="0" w:beforeLines="100" w:after="0" w:afterLines="100" w:line="360" w:lineRule="auto"/>
        <w:ind w:left="0" w:leftChars="0" w:right="0" w:rightChars="0"/>
        <w:jc w:val="center"/>
        <w:textAlignment w:val="auto"/>
        <w:rPr>
          <w:rFonts w:hint="eastAsia" w:ascii="宋体" w:hAnsi="宋体" w:eastAsia="宋体" w:cs="宋体"/>
          <w:color w:val="auto"/>
          <w:sz w:val="30"/>
          <w:szCs w:val="30"/>
          <w:highlight w:val="none"/>
          <w:lang w:val="en-US" w:eastAsia="zh-CN"/>
        </w:rPr>
      </w:pPr>
      <w:bookmarkStart w:id="51" w:name="_Toc3786"/>
      <w:r>
        <w:rPr>
          <w:rFonts w:hint="eastAsia" w:ascii="宋体" w:hAnsi="宋体" w:eastAsia="宋体" w:cs="宋体"/>
          <w:color w:val="auto"/>
          <w:sz w:val="30"/>
          <w:szCs w:val="30"/>
          <w:highlight w:val="none"/>
        </w:rPr>
        <w:t xml:space="preserve">3 </w:t>
      </w:r>
      <w:bookmarkEnd w:id="32"/>
      <w:bookmarkEnd w:id="33"/>
      <w:bookmarkEnd w:id="34"/>
      <w:bookmarkEnd w:id="35"/>
      <w:bookmarkEnd w:id="36"/>
      <w:bookmarkEnd w:id="37"/>
      <w:bookmarkEnd w:id="38"/>
      <w:r>
        <w:rPr>
          <w:rFonts w:hint="eastAsia" w:ascii="宋体" w:hAnsi="宋体" w:eastAsia="宋体" w:cs="宋体"/>
          <w:color w:val="auto"/>
          <w:sz w:val="30"/>
          <w:szCs w:val="30"/>
          <w:highlight w:val="none"/>
          <w:lang w:eastAsia="zh-CN"/>
        </w:rPr>
        <w:t>设计</w:t>
      </w:r>
      <w:bookmarkEnd w:id="51"/>
    </w:p>
    <w:p>
      <w:pPr>
        <w:pStyle w:val="3"/>
        <w:pageBreakBefore w:val="0"/>
        <w:kinsoku/>
        <w:wordWrap/>
        <w:overflowPunct/>
        <w:topLinePunct w:val="0"/>
        <w:bidi w:val="0"/>
        <w:adjustRightInd w:val="0"/>
        <w:snapToGrid w:val="0"/>
        <w:spacing w:before="0" w:after="0" w:line="360" w:lineRule="auto"/>
        <w:ind w:left="0" w:leftChars="0" w:right="0" w:rightChars="0"/>
        <w:textAlignment w:val="auto"/>
        <w:rPr>
          <w:rFonts w:hint="eastAsia"/>
          <w:color w:val="auto"/>
          <w:sz w:val="24"/>
          <w:szCs w:val="24"/>
          <w:highlight w:val="none"/>
          <w:lang w:val="en-US" w:eastAsia="zh-CN"/>
        </w:rPr>
      </w:pPr>
      <w:bookmarkStart w:id="52" w:name="_Toc28118"/>
      <w:bookmarkStart w:id="53" w:name="_Toc11799"/>
      <w:bookmarkStart w:id="54" w:name="_Toc22593"/>
      <w:bookmarkStart w:id="55" w:name="_Toc13794"/>
      <w:bookmarkStart w:id="56" w:name="_Toc4869"/>
      <w:bookmarkStart w:id="57" w:name="_Toc20502"/>
      <w:bookmarkStart w:id="58" w:name="_Toc27898"/>
      <w:bookmarkStart w:id="59" w:name="_Toc3764"/>
      <w:r>
        <w:rPr>
          <w:rFonts w:hint="eastAsia"/>
          <w:color w:val="auto"/>
          <w:sz w:val="24"/>
          <w:szCs w:val="24"/>
          <w:highlight w:val="none"/>
          <w:lang w:val="en-US" w:eastAsia="zh-CN"/>
        </w:rPr>
        <w:t xml:space="preserve">3.1  </w:t>
      </w:r>
      <w:bookmarkEnd w:id="52"/>
      <w:bookmarkEnd w:id="53"/>
      <w:bookmarkEnd w:id="54"/>
      <w:bookmarkEnd w:id="55"/>
      <w:bookmarkEnd w:id="56"/>
      <w:bookmarkEnd w:id="57"/>
      <w:bookmarkEnd w:id="58"/>
      <w:r>
        <w:rPr>
          <w:rFonts w:hint="eastAsia"/>
          <w:color w:val="auto"/>
          <w:sz w:val="24"/>
          <w:szCs w:val="24"/>
          <w:highlight w:val="none"/>
          <w:lang w:val="en-US" w:eastAsia="zh-CN"/>
        </w:rPr>
        <w:t>防沉降井盖选型</w:t>
      </w:r>
      <w:bookmarkEnd w:id="59"/>
    </w:p>
    <w:p>
      <w:pPr>
        <w:pageBreakBefore w:val="0"/>
        <w:tabs>
          <w:tab w:val="right" w:leader="dot" w:pos="8306"/>
        </w:tabs>
        <w:kinsoku/>
        <w:wordWrap/>
        <w:overflowPunct/>
        <w:topLinePunct w:val="0"/>
        <w:bidi w:val="0"/>
        <w:adjustRightInd w:val="0"/>
        <w:snapToGrid w:val="0"/>
        <w:spacing w:line="360" w:lineRule="auto"/>
        <w:ind w:left="0" w:leftChars="0" w:right="0" w:rightChars="0"/>
        <w:jc w:val="left"/>
        <w:textAlignment w:val="auto"/>
        <w:rPr>
          <w:rFonts w:hint="eastAsia"/>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3.1.1</w:t>
      </w:r>
      <w:r>
        <w:rPr>
          <w:rFonts w:hint="eastAsia"/>
          <w:color w:val="auto"/>
          <w:sz w:val="24"/>
          <w:highlight w:val="none"/>
          <w:lang w:val="en-US" w:eastAsia="zh-CN"/>
        </w:rPr>
        <w:t xml:space="preserve">  对路框差要求较高的工程，宜采用防沉降井盖，并对井周配套构造进行设计。</w:t>
      </w:r>
    </w:p>
    <w:p>
      <w:pPr>
        <w:pageBreakBefore w:val="0"/>
        <w:tabs>
          <w:tab w:val="right" w:leader="dot" w:pos="8306"/>
        </w:tabs>
        <w:kinsoku/>
        <w:wordWrap/>
        <w:overflowPunct/>
        <w:topLinePunct w:val="0"/>
        <w:bidi w:val="0"/>
        <w:adjustRightInd w:val="0"/>
        <w:snapToGrid w:val="0"/>
        <w:spacing w:line="360" w:lineRule="auto"/>
        <w:ind w:left="0" w:leftChars="0" w:right="0" w:rightChars="0"/>
        <w:jc w:val="left"/>
        <w:textAlignment w:val="auto"/>
        <w:rPr>
          <w:rFonts w:hint="eastAsia"/>
          <w:color w:val="auto"/>
          <w:sz w:val="24"/>
          <w:highlight w:val="none"/>
          <w:lang w:val="en-US" w:eastAsia="zh-CN"/>
        </w:rPr>
      </w:pPr>
      <w:r>
        <w:rPr>
          <w:rFonts w:eastAsia="楷体"/>
          <w:color w:val="auto"/>
          <w:szCs w:val="21"/>
          <w:highlight w:val="none"/>
        </w:rPr>
        <w:t>【</w:t>
      </w:r>
      <w:r>
        <w:rPr>
          <w:rFonts w:hint="eastAsia" w:eastAsia="楷体"/>
          <w:color w:val="auto"/>
          <w:szCs w:val="21"/>
          <w:highlight w:val="none"/>
          <w:lang w:eastAsia="zh-CN"/>
        </w:rPr>
        <w:t>条文</w:t>
      </w:r>
      <w:r>
        <w:rPr>
          <w:rFonts w:eastAsia="楷体"/>
          <w:color w:val="auto"/>
          <w:szCs w:val="21"/>
          <w:highlight w:val="none"/>
        </w:rPr>
        <w:t>说明】</w:t>
      </w:r>
      <w:r>
        <w:rPr>
          <w:rFonts w:hint="eastAsia" w:eastAsia="楷体"/>
          <w:color w:val="auto"/>
          <w:szCs w:val="21"/>
          <w:highlight w:val="none"/>
          <w:lang w:val="en-US" w:eastAsia="zh-CN"/>
        </w:rPr>
        <w:t>功能管线的检查井位于车载区、对运行平整度要求较高的工程，宜采用防沉降井盖，适用本技术规程。为了实现井盖的防沉降功能与工程设计工作年限相适应，宜对防沉降井盖结构体系进行设计。</w:t>
      </w:r>
    </w:p>
    <w:p>
      <w:pPr>
        <w:pageBreakBefore w:val="0"/>
        <w:tabs>
          <w:tab w:val="right" w:leader="dot" w:pos="8306"/>
        </w:tabs>
        <w:kinsoku/>
        <w:wordWrap/>
        <w:overflowPunct/>
        <w:topLinePunct w:val="0"/>
        <w:bidi w:val="0"/>
        <w:adjustRightInd w:val="0"/>
        <w:snapToGrid w:val="0"/>
        <w:spacing w:line="360" w:lineRule="auto"/>
        <w:ind w:left="0" w:leftChars="0" w:right="0" w:rightChars="0"/>
        <w:jc w:val="left"/>
        <w:textAlignment w:val="auto"/>
        <w:rPr>
          <w:rFonts w:hint="eastAsia" w:eastAsia="楷体"/>
          <w:color w:val="auto"/>
          <w:szCs w:val="21"/>
          <w:highlight w:val="none"/>
          <w:lang w:val="en-US" w:eastAsia="zh-CN"/>
        </w:rPr>
      </w:pPr>
      <w:r>
        <w:rPr>
          <w:rFonts w:hint="eastAsia"/>
          <w:b/>
          <w:bCs/>
          <w:color w:val="auto"/>
          <w:sz w:val="24"/>
          <w:highlight w:val="none"/>
          <w:lang w:val="en-US" w:eastAsia="zh-CN"/>
        </w:rPr>
        <w:t>3.1.2</w:t>
      </w:r>
      <w:r>
        <w:rPr>
          <w:rFonts w:hint="eastAsia"/>
          <w:color w:val="auto"/>
          <w:sz w:val="24"/>
          <w:highlight w:val="none"/>
          <w:lang w:val="en-US" w:eastAsia="zh-CN"/>
        </w:rPr>
        <w:t xml:space="preserve">  防沉降井盖结构体系的设计工作年限不低于相应工程结构的设计工作年限。</w:t>
      </w:r>
      <w:r>
        <w:rPr>
          <w:rFonts w:eastAsia="楷体"/>
          <w:color w:val="auto"/>
          <w:szCs w:val="21"/>
          <w:highlight w:val="none"/>
        </w:rPr>
        <w:t>【</w:t>
      </w:r>
      <w:r>
        <w:rPr>
          <w:rFonts w:hint="eastAsia" w:eastAsia="楷体"/>
          <w:color w:val="auto"/>
          <w:szCs w:val="21"/>
          <w:highlight w:val="none"/>
          <w:lang w:eastAsia="zh-CN"/>
        </w:rPr>
        <w:t>条文</w:t>
      </w:r>
      <w:r>
        <w:rPr>
          <w:rFonts w:eastAsia="楷体"/>
          <w:color w:val="auto"/>
          <w:szCs w:val="21"/>
          <w:highlight w:val="none"/>
        </w:rPr>
        <w:t>说明】</w:t>
      </w:r>
      <w:r>
        <w:rPr>
          <w:rFonts w:hint="eastAsia" w:eastAsia="楷体"/>
          <w:color w:val="auto"/>
          <w:szCs w:val="21"/>
          <w:highlight w:val="none"/>
          <w:lang w:val="en-US" w:eastAsia="zh-CN"/>
        </w:rPr>
        <w:t>防沉降井盖设计工作年限不低于相应工程的面层设计工作年限。例如，《城镇道路路面设计规范》CJJ 169-2012规定：沥青混凝土面层主干路、次干路的设计工作年限为15年，支路的设计工作年限为10年；水泥混凝土面层主干路的设计工作年限为30年，次干路、支路的设计工作年限为20年。路面使用周期内无需对检查井盖进行专项维修、保养，实现一次性投入，设计工作年限内受益。</w:t>
      </w:r>
    </w:p>
    <w:p>
      <w:pPr>
        <w:pageBreakBefore w:val="0"/>
        <w:tabs>
          <w:tab w:val="right" w:leader="dot" w:pos="8306"/>
        </w:tabs>
        <w:kinsoku/>
        <w:wordWrap/>
        <w:overflowPunct/>
        <w:topLinePunct w:val="0"/>
        <w:bidi w:val="0"/>
        <w:adjustRightInd w:val="0"/>
        <w:snapToGrid w:val="0"/>
        <w:spacing w:line="360" w:lineRule="auto"/>
        <w:ind w:left="0" w:leftChars="0" w:right="0" w:rightChars="0"/>
        <w:jc w:val="left"/>
        <w:textAlignment w:val="auto"/>
        <w:rPr>
          <w:rFonts w:hint="eastAsia"/>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3.1.3  </w:t>
      </w:r>
      <w:r>
        <w:rPr>
          <w:rFonts w:ascii="Times New Roman" w:hAnsi="Times New Roman" w:eastAsia="宋体" w:cs="Times New Roman"/>
          <w:color w:val="auto"/>
          <w:sz w:val="24"/>
          <w:highlight w:val="none"/>
        </w:rPr>
        <w:t>防沉降井盖</w:t>
      </w:r>
      <w:r>
        <w:rPr>
          <w:rFonts w:hint="eastAsia" w:ascii="Times New Roman" w:hAnsi="Times New Roman" w:eastAsia="宋体" w:cs="Times New Roman"/>
          <w:color w:val="auto"/>
          <w:sz w:val="24"/>
          <w:highlight w:val="none"/>
          <w:lang w:eastAsia="zh-CN"/>
        </w:rPr>
        <w:t>选型代号及主要技术参数应符合</w:t>
      </w:r>
      <w:r>
        <w:rPr>
          <w:rFonts w:hint="eastAsia" w:ascii="宋体" w:hAnsi="宋体" w:eastAsia="宋体" w:cs="宋体"/>
          <w:color w:val="auto"/>
          <w:sz w:val="24"/>
          <w:highlight w:val="none"/>
          <w:lang w:eastAsia="zh-CN"/>
        </w:rPr>
        <w:t>现行国家标准</w:t>
      </w:r>
      <w:r>
        <w:rPr>
          <w:rFonts w:hint="eastAsia" w:eastAsia="宋体" w:cs="Times New Roman"/>
          <w:color w:val="auto"/>
          <w:sz w:val="24"/>
          <w:highlight w:val="none"/>
          <w:lang w:val="en-US" w:eastAsia="zh-CN"/>
        </w:rPr>
        <w:t>《检查井盖》GB/T 23858及</w:t>
      </w:r>
      <w:r>
        <w:rPr>
          <w:rFonts w:hint="eastAsia" w:ascii="Times New Roman" w:hAnsi="Times New Roman" w:eastAsia="宋体" w:cs="Times New Roman"/>
          <w:color w:val="auto"/>
          <w:sz w:val="24"/>
          <w:highlight w:val="none"/>
          <w:lang w:eastAsia="zh-CN"/>
        </w:rPr>
        <w:t>现行</w:t>
      </w:r>
      <w:r>
        <w:rPr>
          <w:rFonts w:hint="eastAsia" w:ascii="宋体" w:hAnsi="宋体" w:eastAsia="宋体" w:cs="宋体"/>
          <w:color w:val="auto"/>
          <w:sz w:val="24"/>
          <w:szCs w:val="24"/>
          <w:highlight w:val="none"/>
          <w:lang w:val="en-US" w:eastAsia="zh-CN"/>
        </w:rPr>
        <w:t>中国建设标准化协会标准《防沉降井盖》T/CECSxxxx的规定。</w:t>
      </w:r>
    </w:p>
    <w:p>
      <w:pPr>
        <w:spacing w:line="360" w:lineRule="auto"/>
        <w:rPr>
          <w:rFonts w:ascii="Times New Roman" w:hAnsi="Times New Roman" w:eastAsia="宋体" w:cs="Times New Roman"/>
          <w:color w:val="auto"/>
          <w:sz w:val="24"/>
          <w:highlight w:val="none"/>
        </w:rPr>
      </w:pPr>
      <w:r>
        <w:rPr>
          <w:rFonts w:hint="eastAsia" w:ascii="Times New Roman" w:hAnsi="宋体" w:eastAsia="宋体" w:cs="Times New Roman"/>
          <w:b/>
          <w:bCs/>
          <w:color w:val="auto"/>
          <w:kern w:val="2"/>
          <w:sz w:val="24"/>
          <w:szCs w:val="24"/>
          <w:highlight w:val="none"/>
          <w:lang w:val="en-US" w:eastAsia="zh-CN" w:bidi="ar-SA"/>
        </w:rPr>
        <w:t xml:space="preserve">3.1.4  </w:t>
      </w:r>
      <w:r>
        <w:rPr>
          <w:rFonts w:ascii="Times New Roman" w:hAnsi="Times New Roman" w:eastAsia="宋体" w:cs="Times New Roman"/>
          <w:color w:val="auto"/>
          <w:sz w:val="24"/>
          <w:highlight w:val="none"/>
        </w:rPr>
        <w:t>防沉降井盖盖体</w:t>
      </w:r>
      <w:r>
        <w:rPr>
          <w:rFonts w:hint="eastAsia" w:ascii="Times New Roman" w:hAnsi="Times New Roman" w:eastAsia="宋体" w:cs="Times New Roman"/>
          <w:color w:val="auto"/>
          <w:sz w:val="24"/>
          <w:highlight w:val="none"/>
          <w:lang w:eastAsia="zh-CN"/>
        </w:rPr>
        <w:t>材质</w:t>
      </w:r>
      <w:r>
        <w:rPr>
          <w:rFonts w:hint="eastAsia" w:ascii="Times New Roman" w:hAnsi="Times New Roman" w:eastAsia="宋体" w:cs="Times New Roman"/>
          <w:color w:val="auto"/>
          <w:sz w:val="24"/>
          <w:highlight w:val="none"/>
          <w:lang w:val="en-US" w:eastAsia="zh-CN"/>
        </w:rPr>
        <w:t>可选用</w:t>
      </w:r>
      <w:r>
        <w:rPr>
          <w:rFonts w:ascii="Times New Roman" w:hAnsi="Times New Roman" w:eastAsia="宋体" w:cs="Times New Roman"/>
          <w:color w:val="auto"/>
          <w:sz w:val="24"/>
          <w:highlight w:val="none"/>
        </w:rPr>
        <w:t>球墨铸铁、铸铁、钢纤维混凝土</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防沉降井盖井圈</w:t>
      </w:r>
      <w:r>
        <w:rPr>
          <w:rFonts w:hint="eastAsia" w:ascii="Times New Roman" w:hAnsi="Times New Roman" w:eastAsia="宋体" w:cs="Times New Roman"/>
          <w:color w:val="auto"/>
          <w:sz w:val="24"/>
          <w:highlight w:val="none"/>
          <w:lang w:eastAsia="zh-CN"/>
        </w:rPr>
        <w:t>材质</w:t>
      </w:r>
      <w:r>
        <w:rPr>
          <w:rFonts w:hint="eastAsia" w:ascii="Times New Roman" w:hAnsi="Times New Roman" w:eastAsia="宋体" w:cs="Times New Roman"/>
          <w:color w:val="auto"/>
          <w:sz w:val="24"/>
          <w:highlight w:val="none"/>
          <w:lang w:val="en-US" w:eastAsia="zh-CN"/>
        </w:rPr>
        <w:t>可选用</w:t>
      </w:r>
      <w:r>
        <w:rPr>
          <w:rFonts w:ascii="Times New Roman" w:hAnsi="Times New Roman" w:eastAsia="宋体" w:cs="Times New Roman"/>
          <w:color w:val="auto"/>
          <w:sz w:val="24"/>
          <w:highlight w:val="none"/>
        </w:rPr>
        <w:t>铸铁、球墨铸铁。</w:t>
      </w:r>
    </w:p>
    <w:p>
      <w:pPr>
        <w:pageBreakBefore w:val="0"/>
        <w:tabs>
          <w:tab w:val="right" w:leader="dot" w:pos="8306"/>
        </w:tabs>
        <w:kinsoku/>
        <w:wordWrap/>
        <w:overflowPunct/>
        <w:topLinePunct w:val="0"/>
        <w:bidi w:val="0"/>
        <w:adjustRightInd w:val="0"/>
        <w:snapToGrid w:val="0"/>
        <w:spacing w:line="360" w:lineRule="auto"/>
        <w:ind w:left="0" w:leftChars="0" w:right="0" w:rightChars="0"/>
        <w:jc w:val="left"/>
        <w:textAlignment w:val="auto"/>
        <w:rPr>
          <w:rFonts w:hint="eastAsia" w:eastAsia="楷体"/>
          <w:color w:val="auto"/>
          <w:szCs w:val="21"/>
          <w:highlight w:val="none"/>
          <w:lang w:eastAsia="zh-CN"/>
        </w:rPr>
      </w:pPr>
      <w:r>
        <w:rPr>
          <w:rFonts w:eastAsia="楷体"/>
          <w:color w:val="auto"/>
          <w:szCs w:val="21"/>
          <w:highlight w:val="none"/>
        </w:rPr>
        <w:t>【</w:t>
      </w:r>
      <w:r>
        <w:rPr>
          <w:rFonts w:hint="eastAsia" w:eastAsia="楷体"/>
          <w:color w:val="auto"/>
          <w:szCs w:val="21"/>
          <w:highlight w:val="none"/>
          <w:lang w:eastAsia="zh-CN"/>
        </w:rPr>
        <w:t>条文</w:t>
      </w:r>
      <w:r>
        <w:rPr>
          <w:rFonts w:eastAsia="楷体"/>
          <w:color w:val="auto"/>
          <w:szCs w:val="21"/>
          <w:highlight w:val="none"/>
        </w:rPr>
        <w:t>说明】</w:t>
      </w:r>
      <w:r>
        <w:rPr>
          <w:rFonts w:hint="eastAsia" w:eastAsia="楷体"/>
          <w:color w:val="auto"/>
          <w:szCs w:val="21"/>
          <w:highlight w:val="none"/>
          <w:lang w:val="en-US" w:eastAsia="zh-CN"/>
        </w:rPr>
        <w:t>防沉降井盖除上述材料外，在取得可靠使用经验、科学实践及论证基础上，也可选择其它材质。</w:t>
      </w:r>
    </w:p>
    <w:p>
      <w:pPr>
        <w:spacing w:line="360" w:lineRule="auto"/>
        <w:jc w:val="center"/>
        <w:rPr>
          <w:rFonts w:hint="default" w:ascii="黑体" w:hAnsi="Times New Roman" w:eastAsia="宋体" w:cs="Times New Roman"/>
          <w:color w:val="auto"/>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3.1.5  </w:t>
      </w:r>
      <w:r>
        <w:rPr>
          <w:rFonts w:hint="eastAsia" w:ascii="宋体" w:hAnsi="宋体" w:eastAsia="宋体" w:cs="宋体"/>
          <w:color w:val="auto"/>
          <w:sz w:val="24"/>
          <w:highlight w:val="none"/>
        </w:rPr>
        <w:t>防沉降井盖承载</w:t>
      </w:r>
      <w:r>
        <w:rPr>
          <w:rFonts w:hint="eastAsia" w:ascii="宋体" w:hAnsi="宋体" w:eastAsia="宋体" w:cs="宋体"/>
          <w:color w:val="auto"/>
          <w:sz w:val="24"/>
          <w:highlight w:val="none"/>
          <w:lang w:eastAsia="zh-CN"/>
        </w:rPr>
        <w:t>能</w:t>
      </w:r>
      <w:r>
        <w:rPr>
          <w:rFonts w:hint="eastAsia" w:ascii="宋体" w:hAnsi="宋体" w:eastAsia="宋体" w:cs="宋体"/>
          <w:color w:val="auto"/>
          <w:sz w:val="24"/>
          <w:highlight w:val="none"/>
        </w:rPr>
        <w:t>力</w:t>
      </w:r>
      <w:r>
        <w:rPr>
          <w:rFonts w:hint="eastAsia" w:ascii="宋体" w:hAnsi="宋体" w:eastAsia="宋体" w:cs="宋体"/>
          <w:color w:val="auto"/>
          <w:sz w:val="24"/>
          <w:highlight w:val="none"/>
          <w:lang w:eastAsia="zh-CN"/>
        </w:rPr>
        <w:t>等级</w:t>
      </w:r>
      <w:r>
        <w:rPr>
          <w:rFonts w:hint="eastAsia" w:ascii="宋体" w:hAnsi="宋体" w:eastAsia="宋体" w:cs="宋体"/>
          <w:color w:val="auto"/>
          <w:sz w:val="24"/>
          <w:highlight w:val="none"/>
        </w:rPr>
        <w:t>分为</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级，高承载</w:t>
      </w:r>
      <w:r>
        <w:rPr>
          <w:rFonts w:hint="eastAsia" w:ascii="宋体" w:hAnsi="宋体" w:eastAsia="宋体" w:cs="宋体"/>
          <w:color w:val="auto"/>
          <w:sz w:val="24"/>
          <w:highlight w:val="none"/>
          <w:lang w:eastAsia="zh-CN"/>
        </w:rPr>
        <w:t>能</w:t>
      </w:r>
      <w:r>
        <w:rPr>
          <w:rFonts w:hint="eastAsia" w:ascii="宋体" w:hAnsi="宋体" w:eastAsia="宋体" w:cs="宋体"/>
          <w:color w:val="auto"/>
          <w:sz w:val="24"/>
          <w:highlight w:val="none"/>
        </w:rPr>
        <w:t>力等级</w:t>
      </w:r>
      <w:r>
        <w:rPr>
          <w:rFonts w:hint="eastAsia" w:ascii="宋体" w:hAnsi="宋体" w:eastAsia="宋体" w:cs="宋体"/>
          <w:color w:val="auto"/>
          <w:sz w:val="24"/>
          <w:highlight w:val="none"/>
          <w:lang w:val="en-US" w:eastAsia="zh-CN"/>
        </w:rPr>
        <w:t>防沉降</w:t>
      </w:r>
      <w:r>
        <w:rPr>
          <w:rFonts w:hint="eastAsia" w:ascii="宋体" w:hAnsi="宋体" w:eastAsia="宋体" w:cs="宋体"/>
          <w:color w:val="auto"/>
          <w:sz w:val="24"/>
          <w:highlight w:val="none"/>
        </w:rPr>
        <w:t>井盖可用于低等级适用场所。不同承载能力等级</w:t>
      </w:r>
      <w:r>
        <w:rPr>
          <w:rFonts w:hint="eastAsia" w:ascii="宋体" w:hAnsi="宋体" w:eastAsia="宋体" w:cs="宋体"/>
          <w:color w:val="auto"/>
          <w:sz w:val="24"/>
          <w:highlight w:val="none"/>
          <w:lang w:val="en-US" w:eastAsia="zh-CN"/>
        </w:rPr>
        <w:t>防沉降</w:t>
      </w:r>
      <w:r>
        <w:rPr>
          <w:rFonts w:hint="eastAsia" w:ascii="宋体" w:hAnsi="宋体" w:eastAsia="宋体" w:cs="宋体"/>
          <w:color w:val="auto"/>
          <w:sz w:val="24"/>
          <w:highlight w:val="none"/>
        </w:rPr>
        <w:t>井盖适用场所应符合表3.</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的规定。</w:t>
      </w:r>
      <w:r>
        <w:rPr>
          <w:rFonts w:hint="eastAsia" w:ascii="黑体" w:hAnsi="Times New Roman" w:eastAsia="黑体" w:cs="Times New Roman"/>
          <w:color w:val="auto"/>
          <w:highlight w:val="none"/>
        </w:rPr>
        <w:t xml:space="preserve">                           </w:t>
      </w:r>
      <w:r>
        <w:rPr>
          <w:rFonts w:hint="eastAsia" w:ascii="宋体" w:hAnsi="宋体" w:eastAsia="宋体" w:cs="宋体"/>
          <w:b/>
          <w:bCs/>
          <w:color w:val="auto"/>
          <w:highlight w:val="none"/>
        </w:rPr>
        <w:t>表3.</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6</w:t>
      </w:r>
      <w:r>
        <w:rPr>
          <w:rFonts w:hint="eastAsia" w:ascii="宋体" w:hAnsi="宋体" w:eastAsia="宋体" w:cs="宋体"/>
          <w:b/>
          <w:bCs/>
          <w:color w:val="auto"/>
          <w:highlight w:val="none"/>
        </w:rPr>
        <w:t xml:space="preserve">  承载能力</w:t>
      </w:r>
      <w:r>
        <w:rPr>
          <w:rFonts w:hint="eastAsia" w:ascii="宋体" w:hAnsi="宋体" w:eastAsia="宋体" w:cs="宋体"/>
          <w:b/>
          <w:bCs/>
          <w:color w:val="auto"/>
          <w:highlight w:val="none"/>
          <w:lang w:val="en-US" w:eastAsia="zh-CN"/>
        </w:rPr>
        <w:t>等级</w:t>
      </w:r>
      <w:r>
        <w:rPr>
          <w:rFonts w:hint="eastAsia" w:ascii="宋体" w:hAnsi="宋体" w:eastAsia="宋体" w:cs="宋体"/>
          <w:b/>
          <w:bCs/>
          <w:color w:val="auto"/>
          <w:highlight w:val="none"/>
        </w:rPr>
        <w:t>和适用场所</w:t>
      </w:r>
    </w:p>
    <w:tbl>
      <w:tblPr>
        <w:tblStyle w:val="13"/>
        <w:tblW w:w="4997"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516"/>
        <w:gridCol w:w="1170"/>
        <w:gridCol w:w="6155"/>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516" w:type="dxa"/>
            <w:vAlign w:val="center"/>
          </w:tcPr>
          <w:p>
            <w:pPr>
              <w:spacing w:before="100" w:beforeAutospacing="1" w:after="100" w:afterAutospacing="1" w:line="240" w:lineRule="auto"/>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防沉降井盖</w:t>
            </w:r>
            <w:r>
              <w:rPr>
                <w:rFonts w:ascii="Times New Roman" w:hAnsi="Times New Roman" w:cs="Times New Roman"/>
                <w:color w:val="auto"/>
                <w:szCs w:val="21"/>
                <w:highlight w:val="none"/>
              </w:rPr>
              <w:t>承载能力</w:t>
            </w:r>
            <w:r>
              <w:rPr>
                <w:rFonts w:hint="eastAsia" w:ascii="Times New Roman" w:hAnsi="Times New Roman" w:cs="Times New Roman"/>
                <w:color w:val="auto"/>
                <w:szCs w:val="21"/>
                <w:highlight w:val="none"/>
              </w:rPr>
              <w:t>等级</w:t>
            </w:r>
          </w:p>
        </w:tc>
        <w:tc>
          <w:tcPr>
            <w:tcW w:w="1170" w:type="dxa"/>
            <w:vAlign w:val="center"/>
          </w:tcPr>
          <w:p>
            <w:pPr>
              <w:spacing w:before="100" w:beforeAutospacing="1" w:after="100" w:afterAutospacing="1" w:line="240" w:lineRule="auto"/>
              <w:jc w:val="center"/>
              <w:rPr>
                <w:rFonts w:hint="eastAsia" w:ascii="Times New Roman" w:hAnsi="Times New Roman" w:cs="Times New Roman" w:eastAsiaTheme="minorEastAsia"/>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承载能力（kN）</w:t>
            </w:r>
          </w:p>
        </w:tc>
        <w:tc>
          <w:tcPr>
            <w:tcW w:w="6155" w:type="dxa"/>
            <w:vAlign w:val="center"/>
          </w:tcPr>
          <w:p>
            <w:pPr>
              <w:spacing w:before="100" w:beforeAutospacing="1" w:after="100" w:afterAutospacing="1" w:line="240" w:lineRule="auto"/>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适用场所</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1516" w:type="dxa"/>
            <w:vAlign w:val="center"/>
          </w:tcPr>
          <w:p>
            <w:pPr>
              <w:spacing w:before="100" w:beforeAutospacing="1" w:after="100" w:afterAutospacing="1" w:line="240" w:lineRule="auto"/>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B125</w:t>
            </w:r>
          </w:p>
        </w:tc>
        <w:tc>
          <w:tcPr>
            <w:tcW w:w="1170" w:type="dxa"/>
            <w:vAlign w:val="center"/>
          </w:tcPr>
          <w:p>
            <w:pPr>
              <w:spacing w:before="100" w:beforeAutospacing="1" w:after="100" w:afterAutospacing="1" w:line="240" w:lineRule="auto"/>
              <w:jc w:val="center"/>
              <w:rPr>
                <w:rFonts w:hint="default" w:ascii="Times New Roman" w:hAnsi="Times New Roman" w:cs="Times New Roman" w:eastAsiaTheme="minorEastAsia"/>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125</w:t>
            </w:r>
          </w:p>
        </w:tc>
        <w:tc>
          <w:tcPr>
            <w:tcW w:w="6155" w:type="dxa"/>
            <w:vAlign w:val="center"/>
          </w:tcPr>
          <w:p>
            <w:pPr>
              <w:spacing w:before="100" w:beforeAutospacing="1" w:after="100" w:afterAutospacing="1" w:line="240" w:lineRule="auto"/>
              <w:rPr>
                <w:rFonts w:hint="default" w:ascii="Times New Roman" w:hAnsi="Times New Roman" w:cs="Times New Roman" w:eastAsiaTheme="minorEastAsia"/>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人行道、非机动车道、小车停车场及地下停车场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1516" w:type="dxa"/>
            <w:vAlign w:val="center"/>
          </w:tcPr>
          <w:p>
            <w:pPr>
              <w:spacing w:before="100" w:beforeAutospacing="1" w:after="100" w:afterAutospacing="1" w:line="240" w:lineRule="auto"/>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C250</w:t>
            </w:r>
          </w:p>
        </w:tc>
        <w:tc>
          <w:tcPr>
            <w:tcW w:w="1170" w:type="dxa"/>
            <w:vAlign w:val="center"/>
          </w:tcPr>
          <w:p>
            <w:pPr>
              <w:spacing w:before="100" w:beforeAutospacing="1" w:after="100" w:afterAutospacing="1" w:line="240" w:lineRule="auto"/>
              <w:jc w:val="center"/>
              <w:rPr>
                <w:rFonts w:hint="default" w:ascii="Times New Roman" w:hAnsi="Times New Roman" w:cs="Times New Roman" w:eastAsiaTheme="minorEastAsia"/>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250</w:t>
            </w:r>
          </w:p>
        </w:tc>
        <w:tc>
          <w:tcPr>
            <w:tcW w:w="6155" w:type="dxa"/>
            <w:vAlign w:val="center"/>
          </w:tcPr>
          <w:p>
            <w:pPr>
              <w:spacing w:before="100" w:beforeAutospacing="1" w:after="100" w:afterAutospacing="1" w:line="240" w:lineRule="auto"/>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住宅小区、胡同小巷、仅有轻型机动车或小车行驶或停泊区域</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516" w:type="dxa"/>
            <w:vAlign w:val="center"/>
          </w:tcPr>
          <w:p>
            <w:pPr>
              <w:spacing w:before="100" w:beforeAutospacing="1" w:after="100" w:afterAutospacing="1" w:line="240" w:lineRule="auto"/>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D400</w:t>
            </w:r>
          </w:p>
        </w:tc>
        <w:tc>
          <w:tcPr>
            <w:tcW w:w="1170" w:type="dxa"/>
            <w:vAlign w:val="center"/>
          </w:tcPr>
          <w:p>
            <w:pPr>
              <w:spacing w:before="100" w:beforeAutospacing="1" w:after="100" w:afterAutospacing="1" w:line="240" w:lineRule="auto"/>
              <w:jc w:val="center"/>
              <w:rPr>
                <w:rFonts w:hint="default" w:ascii="Times New Roman" w:hAnsi="Times New Roman" w:cs="Times New Roman" w:eastAsiaTheme="minorEastAsia"/>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400</w:t>
            </w:r>
          </w:p>
        </w:tc>
        <w:tc>
          <w:tcPr>
            <w:tcW w:w="6155" w:type="dxa"/>
            <w:vAlign w:val="center"/>
          </w:tcPr>
          <w:p>
            <w:pPr>
              <w:spacing w:before="100" w:beforeAutospacing="1" w:after="100" w:afterAutospacing="1" w:line="240" w:lineRule="auto"/>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大型机动车地面停车场、城市主路、公路、高等级公路、高速公路等区域</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516" w:type="dxa"/>
            <w:vAlign w:val="center"/>
          </w:tcPr>
          <w:p>
            <w:pPr>
              <w:spacing w:before="100" w:beforeAutospacing="1" w:after="100" w:afterAutospacing="1" w:line="240" w:lineRule="auto"/>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E600</w:t>
            </w:r>
          </w:p>
        </w:tc>
        <w:tc>
          <w:tcPr>
            <w:tcW w:w="1170" w:type="dxa"/>
            <w:vAlign w:val="center"/>
          </w:tcPr>
          <w:p>
            <w:pPr>
              <w:spacing w:before="100" w:beforeAutospacing="1" w:after="100" w:afterAutospacing="1" w:line="240" w:lineRule="auto"/>
              <w:jc w:val="center"/>
              <w:rPr>
                <w:rFonts w:hint="default" w:ascii="Times New Roman" w:hAnsi="Times New Roman" w:cs="Times New Roman" w:eastAsiaTheme="minorEastAsia"/>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600</w:t>
            </w:r>
          </w:p>
        </w:tc>
        <w:tc>
          <w:tcPr>
            <w:tcW w:w="6155" w:type="dxa"/>
            <w:vAlign w:val="center"/>
          </w:tcPr>
          <w:p>
            <w:pPr>
              <w:spacing w:before="100" w:beforeAutospacing="1" w:after="100" w:afterAutospacing="1" w:line="240" w:lineRule="auto"/>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货运站</w:t>
            </w:r>
            <w:r>
              <w:rPr>
                <w:rFonts w:hint="eastAsia"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码头</w:t>
            </w:r>
            <w:r>
              <w:rPr>
                <w:rFonts w:hint="eastAsia" w:ascii="Times New Roman" w:hAnsi="Times New Roman" w:cs="Times New Roman"/>
                <w:color w:val="auto"/>
                <w:kern w:val="0"/>
                <w:szCs w:val="21"/>
                <w:highlight w:val="none"/>
              </w:rPr>
              <w:t>、机场</w:t>
            </w:r>
            <w:r>
              <w:rPr>
                <w:rFonts w:ascii="Times New Roman" w:hAnsi="Times New Roman" w:cs="Times New Roman"/>
                <w:color w:val="auto"/>
                <w:kern w:val="0"/>
                <w:szCs w:val="21"/>
                <w:highlight w:val="none"/>
              </w:rPr>
              <w:t>等区域</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516" w:type="dxa"/>
            <w:vAlign w:val="center"/>
          </w:tcPr>
          <w:p>
            <w:pPr>
              <w:spacing w:before="100" w:beforeAutospacing="1" w:after="100" w:afterAutospacing="1" w:line="240" w:lineRule="auto"/>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F900</w:t>
            </w:r>
          </w:p>
        </w:tc>
        <w:tc>
          <w:tcPr>
            <w:tcW w:w="1170" w:type="dxa"/>
            <w:vAlign w:val="center"/>
          </w:tcPr>
          <w:p>
            <w:pPr>
              <w:spacing w:before="100" w:beforeAutospacing="1" w:after="100" w:afterAutospacing="1" w:line="240" w:lineRule="auto"/>
              <w:jc w:val="center"/>
              <w:rPr>
                <w:rFonts w:hint="default" w:eastAsiaTheme="minorEastAsia"/>
                <w:color w:val="auto"/>
                <w:highlight w:val="none"/>
                <w:lang w:val="en-US" w:eastAsia="zh-CN"/>
              </w:rPr>
            </w:pPr>
            <w:r>
              <w:rPr>
                <w:rFonts w:hint="eastAsia"/>
                <w:color w:val="auto"/>
                <w:highlight w:val="none"/>
                <w:lang w:val="en-US" w:eastAsia="zh-CN"/>
              </w:rPr>
              <w:t>900</w:t>
            </w:r>
          </w:p>
        </w:tc>
        <w:tc>
          <w:tcPr>
            <w:tcW w:w="6155" w:type="dxa"/>
            <w:vAlign w:val="center"/>
          </w:tcPr>
          <w:p>
            <w:pPr>
              <w:spacing w:before="100" w:beforeAutospacing="1" w:after="100" w:afterAutospacing="1" w:line="240" w:lineRule="auto"/>
              <w:rPr>
                <w:rFonts w:hint="eastAsia" w:ascii="Times New Roman" w:hAnsi="Times New Roman" w:cs="Times New Roman" w:eastAsiaTheme="minorEastAsia"/>
                <w:color w:val="auto"/>
                <w:kern w:val="0"/>
                <w:szCs w:val="21"/>
                <w:highlight w:val="none"/>
                <w:lang w:eastAsia="zh-CN"/>
              </w:rPr>
            </w:pPr>
            <w:r>
              <w:rPr>
                <w:color w:val="auto"/>
                <w:highlight w:val="none"/>
              </w:rPr>
              <w:t>机场跑道</w:t>
            </w:r>
            <w:r>
              <w:rPr>
                <w:rFonts w:hint="eastAsia"/>
                <w:color w:val="auto"/>
                <w:highlight w:val="none"/>
                <w:lang w:eastAsia="zh-CN"/>
              </w:rPr>
              <w:t>等区域</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8841" w:type="dxa"/>
            <w:gridSpan w:val="3"/>
            <w:vAlign w:val="center"/>
          </w:tcPr>
          <w:p>
            <w:pPr>
              <w:tabs>
                <w:tab w:val="left" w:pos="2331"/>
              </w:tabs>
              <w:spacing w:before="100" w:beforeAutospacing="1" w:after="100" w:afterAutospacing="1" w:line="240" w:lineRule="auto"/>
              <w:jc w:val="both"/>
              <w:rPr>
                <w:color w:val="auto"/>
                <w:highlight w:val="none"/>
              </w:rPr>
            </w:pPr>
            <w:r>
              <w:rPr>
                <w:rFonts w:hint="eastAsia"/>
                <w:color w:val="auto"/>
                <w:highlight w:val="none"/>
              </w:rPr>
              <w:t>注：F900钢纤维混凝土井盖不宜用于机场跑道。</w:t>
            </w:r>
          </w:p>
        </w:tc>
      </w:tr>
    </w:tbl>
    <w:p>
      <w:pPr>
        <w:pStyle w:val="18"/>
        <w:keepNext w:val="0"/>
        <w:keepLines w:val="0"/>
        <w:pageBreakBefore w:val="0"/>
        <w:widowControl/>
        <w:shd w:val="clear" w:color="auto" w:fill="FFFFFF"/>
        <w:kinsoku/>
        <w:wordWrap/>
        <w:overflowPunct/>
        <w:topLinePunct w:val="0"/>
        <w:autoSpaceDE w:val="0"/>
        <w:autoSpaceDN w:val="0"/>
        <w:bidi w:val="0"/>
        <w:adjustRightInd/>
        <w:snapToGrid/>
        <w:spacing w:before="0" w:beforeLines="50" w:line="360" w:lineRule="auto"/>
        <w:ind w:left="0" w:leftChars="0" w:firstLine="0" w:firstLineChars="0"/>
        <w:textAlignment w:val="auto"/>
        <w:rPr>
          <w:rFonts w:hint="default" w:ascii="Times New Roman" w:hAnsi="宋体" w:eastAsia="宋体" w:cs="Times New Roman"/>
          <w:b/>
          <w:bCs/>
          <w:color w:val="auto"/>
          <w:kern w:val="2"/>
          <w:sz w:val="24"/>
          <w:szCs w:val="24"/>
          <w:highlight w:val="none"/>
          <w:lang w:val="en-US" w:eastAsia="zh-CN" w:bidi="ar-SA"/>
        </w:rPr>
      </w:pPr>
      <w:bookmarkStart w:id="60" w:name="_Toc13563"/>
      <w:bookmarkStart w:id="61" w:name="_Toc5161"/>
      <w:bookmarkStart w:id="62" w:name="_Toc2117"/>
      <w:bookmarkStart w:id="63" w:name="_Toc30260"/>
      <w:bookmarkStart w:id="64" w:name="_Toc24194"/>
      <w:bookmarkStart w:id="65" w:name="_Toc31487"/>
      <w:bookmarkStart w:id="66" w:name="_Toc9946"/>
      <w:r>
        <w:rPr>
          <w:rFonts w:eastAsia="楷体"/>
          <w:color w:val="auto"/>
          <w:szCs w:val="21"/>
          <w:highlight w:val="none"/>
        </w:rPr>
        <w:t>【</w:t>
      </w:r>
      <w:r>
        <w:rPr>
          <w:rFonts w:hint="eastAsia" w:eastAsia="楷体"/>
          <w:color w:val="auto"/>
          <w:szCs w:val="21"/>
          <w:highlight w:val="none"/>
          <w:lang w:eastAsia="zh-CN"/>
        </w:rPr>
        <w:t>条文</w:t>
      </w:r>
      <w:r>
        <w:rPr>
          <w:rFonts w:eastAsia="楷体"/>
          <w:color w:val="auto"/>
          <w:szCs w:val="21"/>
          <w:highlight w:val="none"/>
        </w:rPr>
        <w:t>说明】</w:t>
      </w:r>
      <w:r>
        <w:rPr>
          <w:rFonts w:hint="eastAsia" w:eastAsia="楷体"/>
          <w:color w:val="auto"/>
          <w:szCs w:val="21"/>
          <w:highlight w:val="none"/>
        </w:rPr>
        <w:t>防沉降井盖承载</w:t>
      </w:r>
      <w:r>
        <w:rPr>
          <w:rFonts w:hint="eastAsia" w:eastAsia="楷体"/>
          <w:color w:val="auto"/>
          <w:szCs w:val="21"/>
          <w:highlight w:val="none"/>
          <w:lang w:eastAsia="zh-CN"/>
        </w:rPr>
        <w:t>能</w:t>
      </w:r>
      <w:r>
        <w:rPr>
          <w:rFonts w:hint="eastAsia" w:eastAsia="楷体"/>
          <w:color w:val="auto"/>
          <w:szCs w:val="21"/>
          <w:highlight w:val="none"/>
        </w:rPr>
        <w:t>力</w:t>
      </w:r>
      <w:r>
        <w:rPr>
          <w:rFonts w:hint="eastAsia" w:eastAsia="楷体"/>
          <w:color w:val="auto"/>
          <w:szCs w:val="21"/>
          <w:highlight w:val="none"/>
          <w:lang w:eastAsia="zh-CN"/>
        </w:rPr>
        <w:t>等级</w:t>
      </w:r>
      <w:r>
        <w:rPr>
          <w:rFonts w:hint="eastAsia" w:eastAsia="楷体"/>
          <w:color w:val="auto"/>
          <w:szCs w:val="21"/>
          <w:highlight w:val="none"/>
          <w:lang w:val="en-US" w:eastAsia="zh-CN"/>
        </w:rPr>
        <w:t>与现行国家标准《检查井盖》GB/T 23858中的井盖</w:t>
      </w:r>
      <w:r>
        <w:rPr>
          <w:rFonts w:hint="eastAsia" w:eastAsia="楷体"/>
          <w:color w:val="auto"/>
          <w:szCs w:val="21"/>
          <w:highlight w:val="none"/>
        </w:rPr>
        <w:t>承载</w:t>
      </w:r>
      <w:r>
        <w:rPr>
          <w:rFonts w:hint="eastAsia" w:eastAsia="楷体"/>
          <w:color w:val="auto"/>
          <w:szCs w:val="21"/>
          <w:highlight w:val="none"/>
          <w:lang w:eastAsia="zh-CN"/>
        </w:rPr>
        <w:t>能</w:t>
      </w:r>
      <w:r>
        <w:rPr>
          <w:rFonts w:hint="eastAsia" w:eastAsia="楷体"/>
          <w:color w:val="auto"/>
          <w:szCs w:val="21"/>
          <w:highlight w:val="none"/>
        </w:rPr>
        <w:t>力</w:t>
      </w:r>
      <w:r>
        <w:rPr>
          <w:rFonts w:hint="eastAsia" w:eastAsia="楷体"/>
          <w:color w:val="auto"/>
          <w:szCs w:val="21"/>
          <w:highlight w:val="none"/>
          <w:lang w:eastAsia="zh-CN"/>
        </w:rPr>
        <w:t>等级</w:t>
      </w:r>
      <w:r>
        <w:rPr>
          <w:rFonts w:hint="eastAsia" w:eastAsia="楷体"/>
          <w:color w:val="auto"/>
          <w:szCs w:val="21"/>
          <w:highlight w:val="none"/>
          <w:lang w:val="en-US" w:eastAsia="zh-CN"/>
        </w:rPr>
        <w:t>一致，其中A15级的井盖承载能力较低，无防沉降功能要求，故本规程中未做要求。</w:t>
      </w:r>
    </w:p>
    <w:p>
      <w:pPr>
        <w:pStyle w:val="18"/>
        <w:keepNext w:val="0"/>
        <w:keepLines w:val="0"/>
        <w:pageBreakBefore w:val="0"/>
        <w:widowControl/>
        <w:shd w:val="clear" w:color="auto" w:fill="FFFFFF"/>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Times New Roman" w:hAnsi="Times New Roman" w:cs="Times New Roman"/>
          <w:b w:val="0"/>
          <w:bCs w:val="0"/>
          <w:color w:val="auto"/>
          <w:kern w:val="2"/>
          <w:sz w:val="24"/>
          <w:szCs w:val="24"/>
          <w:highlight w:val="none"/>
          <w:lang w:val="en-US" w:eastAsia="zh-CN" w:bidi="ar-SA"/>
        </w:rPr>
      </w:pPr>
      <w:r>
        <w:rPr>
          <w:rFonts w:hint="eastAsia" w:ascii="Times New Roman" w:hAnsi="宋体" w:eastAsia="宋体" w:cs="Times New Roman"/>
          <w:b/>
          <w:bCs/>
          <w:color w:val="auto"/>
          <w:kern w:val="2"/>
          <w:sz w:val="24"/>
          <w:szCs w:val="24"/>
          <w:highlight w:val="none"/>
          <w:lang w:val="en-US" w:eastAsia="zh-CN" w:bidi="ar-SA"/>
        </w:rPr>
        <w:t>3.1.</w:t>
      </w:r>
      <w:r>
        <w:rPr>
          <w:rFonts w:hint="eastAsia" w:hAnsi="宋体" w:cs="Times New Roman"/>
          <w:b/>
          <w:bCs/>
          <w:color w:val="auto"/>
          <w:kern w:val="2"/>
          <w:sz w:val="24"/>
          <w:szCs w:val="24"/>
          <w:highlight w:val="none"/>
          <w:lang w:val="en-US" w:eastAsia="zh-CN" w:bidi="ar-SA"/>
        </w:rPr>
        <w:t>6</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hAnsi="宋体" w:eastAsia="宋体" w:cs="Times New Roman"/>
          <w:b w:val="0"/>
          <w:bCs w:val="0"/>
          <w:color w:val="auto"/>
          <w:kern w:val="2"/>
          <w:sz w:val="24"/>
          <w:szCs w:val="24"/>
          <w:highlight w:val="none"/>
          <w:lang w:val="en-US" w:eastAsia="zh-CN" w:bidi="ar-SA"/>
        </w:rPr>
        <w:t>城镇道路养护工程中</w:t>
      </w:r>
      <w:r>
        <w:rPr>
          <w:rFonts w:hint="eastAsia" w:hAnsi="宋体" w:cs="Times New Roman"/>
          <w:b w:val="0"/>
          <w:bCs w:val="0"/>
          <w:color w:val="auto"/>
          <w:kern w:val="2"/>
          <w:sz w:val="24"/>
          <w:szCs w:val="24"/>
          <w:highlight w:val="none"/>
          <w:lang w:val="en-US" w:eastAsia="zh-CN" w:bidi="ar-SA"/>
        </w:rPr>
        <w:t>原有</w:t>
      </w:r>
      <w:r>
        <w:rPr>
          <w:rFonts w:hint="eastAsia" w:ascii="Times New Roman" w:hAnsi="Times New Roman" w:cs="Times New Roman" w:eastAsiaTheme="minorEastAsia"/>
          <w:b w:val="0"/>
          <w:bCs w:val="0"/>
          <w:color w:val="auto"/>
          <w:kern w:val="2"/>
          <w:sz w:val="24"/>
          <w:szCs w:val="24"/>
          <w:highlight w:val="none"/>
          <w:lang w:val="en-US" w:eastAsia="zh-CN" w:bidi="ar-SA"/>
        </w:rPr>
        <w:t>传统宽边井</w:t>
      </w:r>
      <w:r>
        <w:rPr>
          <w:rFonts w:hint="eastAsia" w:cs="Times New Roman"/>
          <w:b w:val="0"/>
          <w:bCs w:val="0"/>
          <w:color w:val="auto"/>
          <w:kern w:val="2"/>
          <w:sz w:val="24"/>
          <w:szCs w:val="24"/>
          <w:highlight w:val="none"/>
          <w:lang w:val="en-US" w:eastAsia="zh-CN" w:bidi="ar-SA"/>
        </w:rPr>
        <w:t>盖，井盖外观无破损的，检查其质量符合现行国家标准</w:t>
      </w:r>
      <w:r>
        <w:rPr>
          <w:rFonts w:hint="eastAsia" w:hAnsi="宋体" w:cs="宋体"/>
          <w:color w:val="auto"/>
          <w:sz w:val="24"/>
          <w:szCs w:val="24"/>
          <w:highlight w:val="none"/>
        </w:rPr>
        <w:t>《钢纤维混凝土检查井盖》GB</w:t>
      </w:r>
      <w:r>
        <w:rPr>
          <w:rFonts w:hint="eastAsia" w:hAnsi="宋体" w:cs="宋体"/>
          <w:color w:val="auto"/>
          <w:sz w:val="24"/>
          <w:szCs w:val="24"/>
          <w:highlight w:val="none"/>
          <w:lang w:val="en-US" w:eastAsia="zh-CN"/>
        </w:rPr>
        <w:t xml:space="preserve"> </w:t>
      </w:r>
      <w:r>
        <w:rPr>
          <w:rFonts w:hint="eastAsia" w:hAnsi="宋体" w:cs="宋体"/>
          <w:color w:val="auto"/>
          <w:sz w:val="24"/>
          <w:szCs w:val="24"/>
          <w:highlight w:val="none"/>
        </w:rPr>
        <w:t>26537</w:t>
      </w:r>
      <w:r>
        <w:rPr>
          <w:rFonts w:hint="eastAsia" w:hAnsi="宋体" w:cs="宋体"/>
          <w:color w:val="auto"/>
          <w:sz w:val="24"/>
          <w:szCs w:val="24"/>
          <w:highlight w:val="none"/>
          <w:lang w:eastAsia="zh-CN"/>
        </w:rPr>
        <w:t>及行业标准</w:t>
      </w:r>
      <w:r>
        <w:rPr>
          <w:rFonts w:hint="eastAsia" w:hAnsi="宋体" w:cs="宋体"/>
          <w:color w:val="auto"/>
          <w:sz w:val="24"/>
          <w:szCs w:val="24"/>
          <w:highlight w:val="none"/>
        </w:rPr>
        <w:t>《铸铁检查井盖》CJ/T511</w:t>
      </w:r>
      <w:r>
        <w:rPr>
          <w:rFonts w:hint="eastAsia" w:hAnsi="宋体" w:cs="宋体"/>
          <w:color w:val="auto"/>
          <w:sz w:val="24"/>
          <w:szCs w:val="24"/>
          <w:highlight w:val="none"/>
          <w:lang w:val="en-US" w:eastAsia="zh-CN"/>
        </w:rPr>
        <w:t>规定</w:t>
      </w:r>
      <w:r>
        <w:rPr>
          <w:rFonts w:hint="eastAsia" w:hAnsi="宋体" w:cs="宋体"/>
          <w:color w:val="auto"/>
          <w:sz w:val="24"/>
          <w:szCs w:val="24"/>
          <w:highlight w:val="none"/>
          <w:lang w:eastAsia="zh-CN"/>
        </w:rPr>
        <w:t>的，</w:t>
      </w:r>
      <w:r>
        <w:rPr>
          <w:rFonts w:hint="eastAsia" w:ascii="Times New Roman" w:hAnsi="Times New Roman" w:cs="Times New Roman"/>
          <w:b w:val="0"/>
          <w:bCs w:val="0"/>
          <w:color w:val="auto"/>
          <w:kern w:val="2"/>
          <w:sz w:val="24"/>
          <w:szCs w:val="24"/>
          <w:highlight w:val="none"/>
          <w:lang w:val="en-US" w:eastAsia="zh-CN" w:bidi="ar-SA"/>
        </w:rPr>
        <w:t>可</w:t>
      </w:r>
      <w:r>
        <w:rPr>
          <w:rFonts w:hint="eastAsia" w:ascii="Times New Roman" w:cs="Times New Roman"/>
          <w:b w:val="0"/>
          <w:bCs w:val="0"/>
          <w:color w:val="auto"/>
          <w:kern w:val="2"/>
          <w:sz w:val="24"/>
          <w:szCs w:val="24"/>
          <w:highlight w:val="none"/>
          <w:lang w:val="en-US" w:eastAsia="zh-CN" w:bidi="ar-SA"/>
        </w:rPr>
        <w:t>利用原有井盖</w:t>
      </w:r>
      <w:r>
        <w:rPr>
          <w:rFonts w:hint="eastAsia" w:ascii="Times New Roman" w:hAnsi="Times New Roman" w:cs="Times New Roman"/>
          <w:b w:val="0"/>
          <w:bCs w:val="0"/>
          <w:color w:val="auto"/>
          <w:kern w:val="2"/>
          <w:sz w:val="24"/>
          <w:szCs w:val="24"/>
          <w:highlight w:val="none"/>
          <w:lang w:val="en-US" w:eastAsia="zh-CN" w:bidi="ar-SA"/>
        </w:rPr>
        <w:t>进行防沉降改造设计。</w:t>
      </w:r>
    </w:p>
    <w:p>
      <w:pPr>
        <w:adjustRightInd w:val="0"/>
        <w:snapToGrid w:val="0"/>
        <w:spacing w:line="360" w:lineRule="auto"/>
        <w:rPr>
          <w:rFonts w:hint="eastAsia" w:eastAsia="楷体"/>
          <w:color w:val="auto"/>
          <w:szCs w:val="21"/>
          <w:highlight w:val="none"/>
          <w:lang w:val="en-US" w:eastAsia="zh-CN"/>
        </w:rPr>
      </w:pPr>
      <w:r>
        <w:rPr>
          <w:rFonts w:eastAsia="楷体"/>
          <w:color w:val="auto"/>
          <w:szCs w:val="21"/>
          <w:highlight w:val="none"/>
        </w:rPr>
        <w:t>【</w:t>
      </w:r>
      <w:r>
        <w:rPr>
          <w:rFonts w:hint="eastAsia" w:eastAsia="楷体"/>
          <w:color w:val="auto"/>
          <w:szCs w:val="21"/>
          <w:highlight w:val="none"/>
          <w:lang w:eastAsia="zh-CN"/>
        </w:rPr>
        <w:t>条文</w:t>
      </w:r>
      <w:r>
        <w:rPr>
          <w:rFonts w:eastAsia="楷体"/>
          <w:color w:val="auto"/>
          <w:szCs w:val="21"/>
          <w:highlight w:val="none"/>
        </w:rPr>
        <w:t>说明】</w:t>
      </w:r>
      <w:r>
        <w:rPr>
          <w:rFonts w:hint="eastAsia" w:eastAsia="楷体"/>
          <w:color w:val="auto"/>
          <w:szCs w:val="21"/>
          <w:highlight w:val="none"/>
        </w:rPr>
        <w:t>传统宽边井盖的防沉降养护改造也可参照本规程进行防沉降养护改造。传统宽边井盖是指井盖传载板位于沥青顶面、井盖车辆荷载通过井盖传载板传递至沥青混凝土及下部结构、未对井周沥青混凝土铺面采取注浆等加固措施的宽边井盖；防沉降养护改造指将下沉变形的传统宽边井盖调平、对宽边井盖构造进行局部改造、并对井周进行注浆加固等防沉降处理。</w:t>
      </w:r>
    </w:p>
    <w:p>
      <w:pPr>
        <w:pStyle w:val="3"/>
        <w:keepNext/>
        <w:keepLines/>
        <w:pageBreakBefore w:val="0"/>
        <w:widowControl w:val="0"/>
        <w:kinsoku/>
        <w:wordWrap/>
        <w:overflowPunct/>
        <w:topLinePunct w:val="0"/>
        <w:autoSpaceDE/>
        <w:autoSpaceDN/>
        <w:bidi w:val="0"/>
        <w:adjustRightInd w:val="0"/>
        <w:snapToGrid w:val="0"/>
        <w:spacing w:before="0" w:beforeLines="50" w:after="0" w:line="360" w:lineRule="auto"/>
        <w:ind w:left="0" w:leftChars="0" w:right="0" w:rightChars="0"/>
        <w:jc w:val="center"/>
        <w:textAlignment w:val="auto"/>
        <w:rPr>
          <w:rFonts w:hint="eastAsia"/>
          <w:color w:val="auto"/>
          <w:sz w:val="24"/>
          <w:szCs w:val="24"/>
          <w:highlight w:val="none"/>
          <w:lang w:val="en-US" w:eastAsia="zh-CN"/>
        </w:rPr>
      </w:pPr>
      <w:bookmarkStart w:id="67" w:name="_Toc25784"/>
      <w:r>
        <w:rPr>
          <w:rFonts w:hint="eastAsia"/>
          <w:color w:val="auto"/>
          <w:sz w:val="24"/>
          <w:szCs w:val="24"/>
          <w:highlight w:val="none"/>
          <w:lang w:val="en-US" w:eastAsia="zh-CN"/>
        </w:rPr>
        <w:t>3.2  井体及井周构造</w:t>
      </w:r>
      <w:bookmarkEnd w:id="67"/>
    </w:p>
    <w:p>
      <w:pPr>
        <w:tabs>
          <w:tab w:val="right" w:leader="dot" w:pos="8306"/>
        </w:tabs>
        <w:adjustRightInd w:val="0"/>
        <w:snapToGrid w:val="0"/>
        <w:spacing w:line="360" w:lineRule="auto"/>
        <w:jc w:val="left"/>
        <w:rPr>
          <w:rFonts w:hint="eastAsia" w:eastAsiaTheme="minorEastAsia"/>
          <w:color w:val="auto"/>
          <w:sz w:val="24"/>
          <w:highlight w:val="none"/>
          <w:lang w:eastAsia="zh-CN"/>
        </w:rPr>
      </w:pPr>
      <w:r>
        <w:rPr>
          <w:rFonts w:hint="eastAsia" w:ascii="Times New Roman" w:hAnsi="宋体" w:eastAsia="宋体" w:cs="Times New Roman"/>
          <w:b/>
          <w:bCs/>
          <w:color w:val="auto"/>
          <w:sz w:val="24"/>
          <w:highlight w:val="none"/>
        </w:rPr>
        <w:t>3.</w:t>
      </w:r>
      <w:r>
        <w:rPr>
          <w:rFonts w:hint="eastAsia" w:ascii="Times New Roman" w:hAnsi="宋体" w:eastAsia="宋体" w:cs="Times New Roman"/>
          <w:b/>
          <w:bCs/>
          <w:color w:val="auto"/>
          <w:sz w:val="24"/>
          <w:highlight w:val="none"/>
          <w:lang w:val="en-US" w:eastAsia="zh-CN"/>
        </w:rPr>
        <w:t>2</w:t>
      </w:r>
      <w:r>
        <w:rPr>
          <w:rFonts w:hint="eastAsia" w:ascii="Times New Roman" w:hAnsi="宋体" w:eastAsia="宋体" w:cs="Times New Roman"/>
          <w:b/>
          <w:bCs/>
          <w:color w:val="auto"/>
          <w:sz w:val="24"/>
          <w:highlight w:val="none"/>
        </w:rPr>
        <w:t>.1</w:t>
      </w:r>
      <w:r>
        <w:rPr>
          <w:rFonts w:hint="eastAsia"/>
          <w:color w:val="auto"/>
          <w:sz w:val="24"/>
          <w:highlight w:val="none"/>
        </w:rPr>
        <w:t xml:space="preserve">  检查井地基承载力及井体结构应符合现行的国家标准要求，并符合现行《室外排水设计标准》GB</w:t>
      </w:r>
      <w:r>
        <w:rPr>
          <w:rFonts w:hint="eastAsia"/>
          <w:color w:val="auto"/>
          <w:sz w:val="24"/>
          <w:highlight w:val="none"/>
          <w:lang w:val="en-US" w:eastAsia="zh-CN"/>
        </w:rPr>
        <w:t xml:space="preserve"> </w:t>
      </w:r>
      <w:r>
        <w:rPr>
          <w:rFonts w:hint="eastAsia"/>
          <w:color w:val="auto"/>
          <w:sz w:val="24"/>
          <w:highlight w:val="none"/>
        </w:rPr>
        <w:t>50014相关规定</w:t>
      </w:r>
      <w:r>
        <w:rPr>
          <w:rFonts w:hint="eastAsia"/>
          <w:color w:val="auto"/>
          <w:sz w:val="24"/>
          <w:highlight w:val="none"/>
          <w:lang w:eastAsia="zh-CN"/>
        </w:rPr>
        <w:t>。</w:t>
      </w:r>
    </w:p>
    <w:p>
      <w:pPr>
        <w:bidi w:val="0"/>
        <w:spacing w:line="360" w:lineRule="auto"/>
        <w:rPr>
          <w:rFonts w:hint="eastAsia"/>
          <w:b w:val="0"/>
          <w:color w:val="auto"/>
          <w:highlight w:val="none"/>
          <w:lang w:val="en-US" w:eastAsia="zh-CN"/>
        </w:rPr>
      </w:pPr>
      <w:bookmarkStart w:id="68" w:name="_Toc3002"/>
      <w:bookmarkStart w:id="69" w:name="_Toc31817"/>
      <w:r>
        <w:rPr>
          <w:rFonts w:hint="eastAsia" w:ascii="Times New Roman" w:hAnsi="宋体" w:eastAsia="宋体" w:cs="Times New Roman"/>
          <w:b/>
          <w:bCs/>
          <w:color w:val="auto"/>
          <w:sz w:val="24"/>
          <w:highlight w:val="none"/>
        </w:rPr>
        <w:t>3.</w:t>
      </w:r>
      <w:r>
        <w:rPr>
          <w:rFonts w:hint="eastAsia" w:ascii="Times New Roman" w:hAnsi="宋体" w:eastAsia="宋体" w:cs="Times New Roman"/>
          <w:b/>
          <w:bCs/>
          <w:color w:val="auto"/>
          <w:sz w:val="24"/>
          <w:highlight w:val="none"/>
          <w:lang w:val="en-US" w:eastAsia="zh-CN"/>
        </w:rPr>
        <w:t>2</w:t>
      </w:r>
      <w:r>
        <w:rPr>
          <w:rFonts w:hint="eastAsia" w:ascii="Times New Roman" w:hAnsi="宋体" w:eastAsia="宋体" w:cs="Times New Roman"/>
          <w:b/>
          <w:bCs/>
          <w:color w:val="auto"/>
          <w:sz w:val="24"/>
          <w:highlight w:val="none"/>
        </w:rPr>
        <w:t>.2</w:t>
      </w:r>
      <w:r>
        <w:rPr>
          <w:rFonts w:hint="eastAsia"/>
          <w:color w:val="auto"/>
        </w:rPr>
        <w:t xml:space="preserve">  </w:t>
      </w:r>
      <w:r>
        <w:rPr>
          <w:rFonts w:hint="eastAsia"/>
          <w:color w:val="auto"/>
          <w:sz w:val="24"/>
          <w:highlight w:val="none"/>
        </w:rPr>
        <w:t>井周回填包括</w:t>
      </w:r>
      <w:r>
        <w:rPr>
          <w:rFonts w:hint="eastAsia"/>
          <w:color w:val="auto"/>
          <w:sz w:val="24"/>
          <w:highlight w:val="none"/>
          <w:lang w:val="en-US" w:eastAsia="zh-CN"/>
        </w:rPr>
        <w:t>检查井基坑、</w:t>
      </w:r>
      <w:r>
        <w:rPr>
          <w:rFonts w:hint="eastAsia"/>
          <w:color w:val="auto"/>
          <w:sz w:val="24"/>
          <w:highlight w:val="none"/>
          <w:lang w:eastAsia="zh-CN"/>
        </w:rPr>
        <w:t>路基</w:t>
      </w:r>
      <w:r>
        <w:rPr>
          <w:rFonts w:hint="eastAsia"/>
          <w:color w:val="auto"/>
          <w:sz w:val="24"/>
          <w:highlight w:val="none"/>
          <w:lang w:val="en-US" w:eastAsia="zh-CN"/>
        </w:rPr>
        <w:t>及</w:t>
      </w:r>
      <w:r>
        <w:rPr>
          <w:rFonts w:hint="eastAsia"/>
          <w:color w:val="auto"/>
          <w:sz w:val="24"/>
          <w:highlight w:val="none"/>
        </w:rPr>
        <w:t>基层三部分</w:t>
      </w:r>
      <w:r>
        <w:rPr>
          <w:rFonts w:hint="eastAsia"/>
          <w:color w:val="auto"/>
          <w:sz w:val="24"/>
          <w:highlight w:val="none"/>
          <w:lang w:eastAsia="zh-CN"/>
        </w:rPr>
        <w:t>（图</w:t>
      </w:r>
      <w:r>
        <w:rPr>
          <w:rFonts w:hint="eastAsia"/>
          <w:color w:val="auto"/>
          <w:sz w:val="24"/>
          <w:highlight w:val="none"/>
          <w:lang w:val="en-US" w:eastAsia="zh-CN"/>
        </w:rPr>
        <w:t>3.2.2</w:t>
      </w:r>
      <w:r>
        <w:rPr>
          <w:rFonts w:hint="eastAsia"/>
          <w:color w:val="auto"/>
          <w:sz w:val="24"/>
          <w:highlight w:val="none"/>
          <w:lang w:eastAsia="zh-CN"/>
        </w:rPr>
        <w:t>）</w:t>
      </w:r>
      <w:r>
        <w:rPr>
          <w:rFonts w:hint="eastAsia"/>
          <w:color w:val="auto"/>
          <w:sz w:val="24"/>
          <w:highlight w:val="none"/>
        </w:rPr>
        <w:t>。</w:t>
      </w:r>
      <w:r>
        <w:rPr>
          <w:rFonts w:hint="eastAsia"/>
          <w:color w:val="auto"/>
          <w:sz w:val="24"/>
          <w:highlight w:val="none"/>
          <w:lang w:eastAsia="zh-CN"/>
        </w:rPr>
        <w:t>检查井基坑及</w:t>
      </w:r>
      <w:r>
        <w:rPr>
          <w:rFonts w:hint="eastAsia"/>
          <w:color w:val="auto"/>
          <w:sz w:val="24"/>
          <w:highlight w:val="none"/>
        </w:rPr>
        <w:t>井周</w:t>
      </w:r>
      <w:r>
        <w:rPr>
          <w:rFonts w:hint="eastAsia"/>
          <w:color w:val="auto"/>
          <w:sz w:val="24"/>
          <w:highlight w:val="none"/>
          <w:lang w:eastAsia="zh-CN"/>
        </w:rPr>
        <w:t>路基</w:t>
      </w:r>
      <w:r>
        <w:rPr>
          <w:rFonts w:hint="eastAsia"/>
          <w:color w:val="auto"/>
          <w:sz w:val="24"/>
          <w:highlight w:val="none"/>
        </w:rPr>
        <w:t>可采用中粗砂、砂石料等符合要求的材料进行换填，压实度应符合《城市道路</w:t>
      </w:r>
      <w:r>
        <w:rPr>
          <w:rFonts w:hint="eastAsia"/>
          <w:color w:val="auto"/>
          <w:sz w:val="24"/>
          <w:highlight w:val="none"/>
          <w:lang w:eastAsia="zh-CN"/>
        </w:rPr>
        <w:t>工程</w:t>
      </w:r>
      <w:r>
        <w:rPr>
          <w:rFonts w:hint="eastAsia"/>
          <w:color w:val="auto"/>
          <w:sz w:val="24"/>
          <w:highlight w:val="none"/>
        </w:rPr>
        <w:t xml:space="preserve">设计规范》CJJ </w:t>
      </w:r>
      <w:r>
        <w:rPr>
          <w:rFonts w:hint="eastAsia"/>
          <w:color w:val="auto"/>
          <w:sz w:val="24"/>
          <w:highlight w:val="none"/>
          <w:lang w:val="en-US" w:eastAsia="zh-CN"/>
        </w:rPr>
        <w:t>37</w:t>
      </w:r>
      <w:r>
        <w:rPr>
          <w:rFonts w:hint="eastAsia"/>
          <w:color w:val="auto"/>
          <w:sz w:val="24"/>
          <w:highlight w:val="none"/>
        </w:rPr>
        <w:t>及《给水排水管道工程施工及验收规范》GB50268管道回填相关要求。井周道路基层压实度</w:t>
      </w:r>
      <w:r>
        <w:rPr>
          <w:rFonts w:hint="eastAsia"/>
          <w:color w:val="auto"/>
          <w:sz w:val="24"/>
          <w:highlight w:val="none"/>
          <w:lang w:eastAsia="zh-CN"/>
        </w:rPr>
        <w:t>应符合</w:t>
      </w:r>
      <w:r>
        <w:rPr>
          <w:rFonts w:hint="eastAsia"/>
          <w:color w:val="auto"/>
          <w:sz w:val="24"/>
          <w:highlight w:val="none"/>
        </w:rPr>
        <w:t>《城镇道路路面设计规范》CJJ 169相关规定；</w:t>
      </w:r>
      <w:r>
        <w:rPr>
          <w:rFonts w:hint="eastAsia"/>
          <w:color w:val="auto"/>
          <w:sz w:val="24"/>
          <w:highlight w:val="none"/>
          <w:lang w:val="en-US" w:eastAsia="zh-CN"/>
        </w:rPr>
        <w:t>井周结构质量应与正常部位一致，宜采用道路检查井逆筑法工艺施工。</w:t>
      </w:r>
      <w:bookmarkEnd w:id="68"/>
      <w:bookmarkEnd w:id="69"/>
    </w:p>
    <w:p>
      <w:pPr>
        <w:jc w:val="center"/>
        <w:rPr>
          <w:rFonts w:hint="eastAsia"/>
          <w:color w:val="auto"/>
          <w:highlight w:val="none"/>
          <w:lang w:eastAsia="zh-CN"/>
        </w:rPr>
      </w:pPr>
      <w:r>
        <w:drawing>
          <wp:inline distT="0" distB="0" distL="114300" distR="114300">
            <wp:extent cx="3162300" cy="2971800"/>
            <wp:effectExtent l="0" t="0" r="762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9"/>
                    <a:srcRect t="1481"/>
                    <a:stretch>
                      <a:fillRect/>
                    </a:stretch>
                  </pic:blipFill>
                  <pic:spPr>
                    <a:xfrm>
                      <a:off x="0" y="0"/>
                      <a:ext cx="3162300" cy="2971800"/>
                    </a:xfrm>
                    <a:prstGeom prst="rect">
                      <a:avLst/>
                    </a:prstGeom>
                    <a:noFill/>
                    <a:ln>
                      <a:noFill/>
                    </a:ln>
                  </pic:spPr>
                </pic:pic>
              </a:graphicData>
            </a:graphic>
          </wp:inline>
        </w:drawing>
      </w:r>
    </w:p>
    <w:p>
      <w:pPr>
        <w:spacing w:line="360" w:lineRule="auto"/>
        <w:jc w:val="center"/>
        <w:rPr>
          <w:rFonts w:hint="eastAsia"/>
          <w:color w:val="auto"/>
          <w:highlight w:val="none"/>
          <w:lang w:eastAsia="zh-CN"/>
        </w:rPr>
      </w:pPr>
      <w:r>
        <w:rPr>
          <w:rFonts w:hint="eastAsia" w:ascii="宋体" w:hAnsi="宋体" w:cs="宋体"/>
          <w:b/>
          <w:bCs/>
          <w:color w:val="auto"/>
          <w:highlight w:val="none"/>
          <w:lang w:val="en-US" w:eastAsia="zh-CN"/>
        </w:rPr>
        <w:t xml:space="preserve"> 图3.2.2  </w:t>
      </w:r>
      <w:r>
        <w:rPr>
          <w:rFonts w:hint="eastAsia" w:ascii="宋体" w:hAnsi="宋体" w:cs="宋体"/>
          <w:b/>
          <w:bCs/>
          <w:color w:val="auto"/>
          <w:highlight w:val="none"/>
          <w:lang w:eastAsia="zh-CN"/>
        </w:rPr>
        <w:t>检查井基坑、井周结构示意图</w:t>
      </w:r>
    </w:p>
    <w:p>
      <w:pPr>
        <w:numPr>
          <w:ilvl w:val="0"/>
          <w:numId w:val="2"/>
        </w:numPr>
        <w:spacing w:line="360" w:lineRule="auto"/>
        <w:ind w:left="470" w:leftChars="0" w:firstLine="0" w:firstLineChars="0"/>
        <w:jc w:val="center"/>
        <w:rPr>
          <w:rFonts w:hint="eastAsia"/>
          <w:color w:val="auto"/>
          <w:sz w:val="18"/>
          <w:szCs w:val="18"/>
          <w:highlight w:val="none"/>
          <w:lang w:val="en-US" w:eastAsia="zh-CN"/>
        </w:rPr>
      </w:pPr>
      <w:r>
        <w:rPr>
          <w:rFonts w:hint="eastAsia"/>
          <w:color w:val="auto"/>
          <w:sz w:val="18"/>
          <w:szCs w:val="18"/>
          <w:highlight w:val="none"/>
          <w:lang w:val="en-US" w:eastAsia="zh-CN"/>
        </w:rPr>
        <w:t>检查井基础</w:t>
      </w:r>
      <w:r>
        <w:rPr>
          <w:rFonts w:hint="eastAsia"/>
          <w:color w:val="auto"/>
          <w:sz w:val="18"/>
          <w:szCs w:val="18"/>
          <w:highlight w:val="none"/>
        </w:rPr>
        <w:t>；</w:t>
      </w:r>
      <w:r>
        <w:rPr>
          <w:rFonts w:hint="eastAsia"/>
          <w:color w:val="auto"/>
          <w:sz w:val="18"/>
          <w:szCs w:val="18"/>
          <w:highlight w:val="none"/>
          <w:lang w:val="en-US" w:eastAsia="zh-CN"/>
        </w:rPr>
        <w:t>2-管道；3</w:t>
      </w:r>
      <w:r>
        <w:rPr>
          <w:rFonts w:hint="eastAsia"/>
          <w:color w:val="auto"/>
          <w:sz w:val="18"/>
          <w:szCs w:val="18"/>
          <w:highlight w:val="none"/>
        </w:rPr>
        <w:t>-</w:t>
      </w:r>
      <w:r>
        <w:rPr>
          <w:rFonts w:hint="eastAsia"/>
          <w:color w:val="auto"/>
          <w:sz w:val="18"/>
          <w:szCs w:val="18"/>
          <w:highlight w:val="none"/>
          <w:lang w:val="en-US" w:eastAsia="zh-CN"/>
        </w:rPr>
        <w:t>井体</w:t>
      </w:r>
      <w:r>
        <w:rPr>
          <w:rFonts w:hint="eastAsia"/>
          <w:color w:val="auto"/>
          <w:sz w:val="18"/>
          <w:szCs w:val="18"/>
          <w:highlight w:val="none"/>
        </w:rPr>
        <w:t>；</w:t>
      </w:r>
      <w:r>
        <w:rPr>
          <w:rFonts w:hint="eastAsia"/>
          <w:color w:val="auto"/>
          <w:sz w:val="18"/>
          <w:szCs w:val="18"/>
          <w:highlight w:val="none"/>
          <w:lang w:val="en-US" w:eastAsia="zh-CN"/>
        </w:rPr>
        <w:t>4-卸载板</w:t>
      </w:r>
      <w:r>
        <w:rPr>
          <w:rFonts w:hint="eastAsia"/>
          <w:color w:val="auto"/>
          <w:sz w:val="18"/>
          <w:szCs w:val="18"/>
          <w:highlight w:val="none"/>
        </w:rPr>
        <w:t>；</w:t>
      </w:r>
      <w:r>
        <w:rPr>
          <w:rFonts w:hint="eastAsia"/>
          <w:color w:val="auto"/>
          <w:sz w:val="18"/>
          <w:szCs w:val="18"/>
          <w:highlight w:val="none"/>
          <w:lang w:val="en-US" w:eastAsia="zh-CN"/>
        </w:rPr>
        <w:t>5</w:t>
      </w:r>
      <w:r>
        <w:rPr>
          <w:rFonts w:hint="eastAsia"/>
          <w:color w:val="auto"/>
          <w:sz w:val="18"/>
          <w:szCs w:val="18"/>
          <w:highlight w:val="none"/>
        </w:rPr>
        <w:t>-</w:t>
      </w:r>
      <w:r>
        <w:rPr>
          <w:rFonts w:hint="eastAsia"/>
          <w:color w:val="auto"/>
          <w:sz w:val="18"/>
          <w:szCs w:val="18"/>
          <w:highlight w:val="none"/>
          <w:lang w:val="en-US" w:eastAsia="zh-CN"/>
        </w:rPr>
        <w:t>防沉降井盖、6</w:t>
      </w:r>
      <w:r>
        <w:rPr>
          <w:rFonts w:hint="eastAsia"/>
          <w:color w:val="auto"/>
          <w:sz w:val="18"/>
          <w:szCs w:val="18"/>
          <w:highlight w:val="none"/>
        </w:rPr>
        <w:t>-</w:t>
      </w:r>
      <w:r>
        <w:rPr>
          <w:rFonts w:hint="eastAsia"/>
          <w:color w:val="auto"/>
          <w:sz w:val="18"/>
          <w:szCs w:val="18"/>
          <w:highlight w:val="none"/>
          <w:lang w:val="en-US" w:eastAsia="zh-CN"/>
        </w:rPr>
        <w:t>面层结构；7</w:t>
      </w:r>
      <w:r>
        <w:rPr>
          <w:rFonts w:hint="eastAsia"/>
          <w:color w:val="auto"/>
          <w:sz w:val="18"/>
          <w:szCs w:val="18"/>
          <w:highlight w:val="none"/>
        </w:rPr>
        <w:t>-</w:t>
      </w:r>
      <w:r>
        <w:rPr>
          <w:rFonts w:hint="eastAsia"/>
          <w:color w:val="auto"/>
          <w:sz w:val="18"/>
          <w:szCs w:val="18"/>
          <w:highlight w:val="none"/>
          <w:lang w:val="en-US" w:eastAsia="zh-CN"/>
        </w:rPr>
        <w:t>基层；8-路基；</w:t>
      </w:r>
    </w:p>
    <w:p>
      <w:pPr>
        <w:numPr>
          <w:ilvl w:val="0"/>
          <w:numId w:val="0"/>
        </w:numPr>
        <w:spacing w:line="360" w:lineRule="auto"/>
        <w:ind w:left="470" w:leftChars="0"/>
        <w:jc w:val="center"/>
        <w:rPr>
          <w:rFonts w:hint="default"/>
          <w:color w:val="auto"/>
          <w:sz w:val="18"/>
          <w:szCs w:val="18"/>
          <w:highlight w:val="none"/>
          <w:lang w:val="en-US" w:eastAsia="zh-CN"/>
        </w:rPr>
      </w:pPr>
      <w:r>
        <w:rPr>
          <w:rFonts w:hint="eastAsia"/>
          <w:color w:val="auto"/>
          <w:sz w:val="18"/>
          <w:szCs w:val="18"/>
          <w:highlight w:val="none"/>
          <w:lang w:val="en-US" w:eastAsia="zh-CN"/>
        </w:rPr>
        <w:t>9-检查井基坑；10-天然地基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eastAsia="楷体"/>
          <w:color w:val="auto"/>
          <w:szCs w:val="21"/>
          <w:highlight w:val="none"/>
          <w:lang w:val="en-US" w:eastAsia="zh-CN"/>
        </w:rPr>
      </w:pPr>
      <w:r>
        <w:rPr>
          <w:rFonts w:eastAsia="楷体"/>
          <w:color w:val="auto"/>
          <w:szCs w:val="21"/>
          <w:highlight w:val="none"/>
        </w:rPr>
        <w:t>【</w:t>
      </w:r>
      <w:r>
        <w:rPr>
          <w:rFonts w:hint="eastAsia" w:eastAsia="楷体"/>
          <w:color w:val="auto"/>
          <w:szCs w:val="21"/>
          <w:highlight w:val="none"/>
          <w:lang w:eastAsia="zh-CN"/>
        </w:rPr>
        <w:t>条文</w:t>
      </w:r>
      <w:r>
        <w:rPr>
          <w:rFonts w:eastAsia="楷体"/>
          <w:color w:val="auto"/>
          <w:szCs w:val="21"/>
          <w:highlight w:val="none"/>
        </w:rPr>
        <w:t>说明】</w:t>
      </w:r>
      <w:r>
        <w:rPr>
          <w:rFonts w:hint="eastAsia" w:eastAsia="楷体"/>
          <w:color w:val="auto"/>
          <w:szCs w:val="21"/>
          <w:highlight w:val="none"/>
          <w:lang w:val="en-US" w:eastAsia="zh-CN"/>
        </w:rPr>
        <w:t xml:space="preserve"> 井体及井周结构宜采用道路检查井逆筑法施工，流程如下：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楷体" w:hAnsi="楷体" w:eastAsia="楷体" w:cs="楷体"/>
          <w:b w:val="0"/>
          <w:color w:val="auto"/>
          <w:sz w:val="21"/>
          <w:szCs w:val="21"/>
          <w:highlight w:val="none"/>
          <w:lang w:val="en-US" w:eastAsia="zh-CN"/>
        </w:rPr>
      </w:pPr>
      <w:r>
        <w:rPr>
          <w:rFonts w:hint="eastAsia" w:eastAsia="楷体"/>
          <w:color w:val="auto"/>
          <w:szCs w:val="21"/>
          <w:highlight w:val="none"/>
          <w:lang w:val="en-US" w:eastAsia="zh-CN"/>
        </w:rPr>
        <w:t xml:space="preserve">1  </w:t>
      </w:r>
      <w:r>
        <w:rPr>
          <w:rFonts w:hint="eastAsia" w:ascii="楷体" w:hAnsi="楷体" w:eastAsia="楷体" w:cs="楷体"/>
          <w:b w:val="0"/>
          <w:color w:val="auto"/>
          <w:sz w:val="21"/>
          <w:szCs w:val="21"/>
          <w:highlight w:val="none"/>
          <w:lang w:val="en-US" w:eastAsia="zh-CN"/>
        </w:rPr>
        <w:t>当管顶与井周结构层底间距超过600mm时，井体施作至井周结构层底下方300mm 左右；当管顶与井周结构层底间距不足600mm时，井体施作至高出管顶300mm～500mm。回填井周及管道沟槽（图1）；</w:t>
      </w:r>
    </w:p>
    <w:p>
      <w:pPr>
        <w:numPr>
          <w:ilvl w:val="0"/>
          <w:numId w:val="0"/>
        </w:numPr>
        <w:spacing w:line="360" w:lineRule="auto"/>
        <w:jc w:val="center"/>
        <w:rPr>
          <w:rFonts w:hint="eastAsia" w:eastAsia="楷体"/>
          <w:color w:val="auto"/>
          <w:szCs w:val="21"/>
          <w:highlight w:val="none"/>
          <w:lang w:val="en-US" w:eastAsia="zh-CN"/>
        </w:rPr>
      </w:pPr>
      <w:r>
        <w:rPr>
          <w:color w:val="auto"/>
          <w:highlight w:val="none"/>
        </w:rPr>
        <w:drawing>
          <wp:inline distT="0" distB="0" distL="114300" distR="114300">
            <wp:extent cx="5474335" cy="2776220"/>
            <wp:effectExtent l="0" t="0" r="12065" b="1270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0"/>
                    <a:srcRect b="5204"/>
                    <a:stretch>
                      <a:fillRect/>
                    </a:stretch>
                  </pic:blipFill>
                  <pic:spPr>
                    <a:xfrm>
                      <a:off x="0" y="0"/>
                      <a:ext cx="5474335" cy="2776220"/>
                    </a:xfrm>
                    <a:prstGeom prst="rect">
                      <a:avLst/>
                    </a:prstGeom>
                    <a:noFill/>
                    <a:ln>
                      <a:noFill/>
                    </a:ln>
                  </pic:spPr>
                </pic:pic>
              </a:graphicData>
            </a:graphic>
          </wp:inline>
        </w:drawing>
      </w:r>
    </w:p>
    <w:p>
      <w:pPr>
        <w:numPr>
          <w:ilvl w:val="0"/>
          <w:numId w:val="0"/>
        </w:numPr>
        <w:spacing w:line="360" w:lineRule="auto"/>
        <w:jc w:val="center"/>
        <w:rPr>
          <w:rFonts w:hint="default" w:eastAsia="楷体"/>
          <w:b/>
          <w:bCs/>
          <w:color w:val="auto"/>
          <w:szCs w:val="21"/>
          <w:highlight w:val="none"/>
          <w:lang w:val="en-US" w:eastAsia="zh-CN"/>
        </w:rPr>
      </w:pPr>
      <w:r>
        <w:rPr>
          <w:rFonts w:hint="eastAsia" w:eastAsia="楷体"/>
          <w:b/>
          <w:bCs/>
          <w:color w:val="auto"/>
          <w:szCs w:val="21"/>
          <w:highlight w:val="none"/>
          <w:lang w:val="en-US" w:eastAsia="zh-CN"/>
        </w:rPr>
        <w:t>图1  砌筑井体下部示意图</w:t>
      </w:r>
    </w:p>
    <w:p>
      <w:pPr>
        <w:numPr>
          <w:ilvl w:val="0"/>
          <w:numId w:val="0"/>
        </w:numPr>
        <w:spacing w:line="360" w:lineRule="auto"/>
        <w:jc w:val="center"/>
        <w:rPr>
          <w:rFonts w:hint="eastAsia" w:eastAsia="楷体"/>
          <w:color w:val="auto"/>
          <w:szCs w:val="21"/>
          <w:highlight w:val="none"/>
          <w:lang w:val="en-US" w:eastAsia="zh-CN"/>
        </w:rPr>
      </w:pPr>
      <w:r>
        <w:rPr>
          <w:rFonts w:hint="eastAsia" w:eastAsia="楷体"/>
          <w:color w:val="auto"/>
          <w:szCs w:val="21"/>
          <w:highlight w:val="none"/>
          <w:lang w:val="en-US" w:eastAsia="zh-CN"/>
        </w:rPr>
        <w:t>1-天然地基；2-井周基坑回填层；3-井体；4-管道回填、5-管道、6-检查井基础</w:t>
      </w:r>
    </w:p>
    <w:p>
      <w:pPr>
        <w:numPr>
          <w:ilvl w:val="0"/>
          <w:numId w:val="0"/>
        </w:numPr>
        <w:spacing w:line="360" w:lineRule="auto"/>
        <w:ind w:firstLine="420" w:firstLineChars="200"/>
        <w:rPr>
          <w:rFonts w:hint="eastAsia" w:eastAsia="楷体"/>
          <w:color w:val="auto"/>
          <w:szCs w:val="21"/>
          <w:highlight w:val="none"/>
          <w:lang w:val="en-US" w:eastAsia="zh-CN"/>
        </w:rPr>
      </w:pPr>
      <w:r>
        <w:rPr>
          <w:rFonts w:hint="eastAsia" w:eastAsia="楷体"/>
          <w:color w:val="auto"/>
          <w:szCs w:val="21"/>
          <w:highlight w:val="none"/>
          <w:lang w:val="en-US" w:eastAsia="zh-CN"/>
        </w:rPr>
        <w:t>2  井口临时覆盖工具盖板，将防沉降井盖插入工具盖板孔口（图2）；</w:t>
      </w:r>
    </w:p>
    <w:p>
      <w:pPr>
        <w:numPr>
          <w:ilvl w:val="0"/>
          <w:numId w:val="0"/>
        </w:numPr>
        <w:spacing w:line="360" w:lineRule="auto"/>
        <w:jc w:val="center"/>
        <w:rPr>
          <w:rFonts w:hint="eastAsia" w:eastAsia="楷体"/>
          <w:color w:val="auto"/>
          <w:szCs w:val="21"/>
          <w:highlight w:val="none"/>
          <w:lang w:val="en-US" w:eastAsia="zh-CN"/>
        </w:rPr>
      </w:pPr>
      <w:r>
        <w:rPr>
          <w:color w:val="auto"/>
          <w:highlight w:val="none"/>
        </w:rPr>
        <w:drawing>
          <wp:inline distT="0" distB="0" distL="114300" distR="114300">
            <wp:extent cx="5472430" cy="2645410"/>
            <wp:effectExtent l="0" t="0" r="13970" b="635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21"/>
                    <a:srcRect t="6573" b="5089"/>
                    <a:stretch>
                      <a:fillRect/>
                    </a:stretch>
                  </pic:blipFill>
                  <pic:spPr>
                    <a:xfrm>
                      <a:off x="0" y="0"/>
                      <a:ext cx="5472430" cy="2645410"/>
                    </a:xfrm>
                    <a:prstGeom prst="rect">
                      <a:avLst/>
                    </a:prstGeom>
                    <a:noFill/>
                    <a:ln>
                      <a:noFill/>
                    </a:ln>
                  </pic:spPr>
                </pic:pic>
              </a:graphicData>
            </a:graphic>
          </wp:inline>
        </w:drawing>
      </w:r>
    </w:p>
    <w:p>
      <w:pPr>
        <w:numPr>
          <w:ilvl w:val="0"/>
          <w:numId w:val="0"/>
        </w:numPr>
        <w:spacing w:line="360" w:lineRule="auto"/>
        <w:jc w:val="center"/>
        <w:rPr>
          <w:rFonts w:hint="default" w:eastAsia="楷体"/>
          <w:b/>
          <w:bCs/>
          <w:color w:val="auto"/>
          <w:szCs w:val="21"/>
          <w:highlight w:val="none"/>
          <w:lang w:val="en-US" w:eastAsia="zh-CN"/>
        </w:rPr>
      </w:pPr>
      <w:r>
        <w:rPr>
          <w:rFonts w:hint="eastAsia" w:eastAsia="楷体"/>
          <w:b/>
          <w:bCs/>
          <w:color w:val="auto"/>
          <w:szCs w:val="21"/>
          <w:highlight w:val="none"/>
          <w:lang w:val="en-US" w:eastAsia="zh-CN"/>
        </w:rPr>
        <w:t>图2  放置工具盖板示意图</w:t>
      </w:r>
    </w:p>
    <w:p>
      <w:pPr>
        <w:numPr>
          <w:ilvl w:val="0"/>
          <w:numId w:val="3"/>
        </w:numPr>
        <w:spacing w:line="360" w:lineRule="auto"/>
        <w:jc w:val="center"/>
        <w:rPr>
          <w:rFonts w:hint="eastAsia" w:eastAsia="楷体"/>
          <w:color w:val="auto"/>
          <w:szCs w:val="21"/>
          <w:highlight w:val="none"/>
          <w:lang w:val="en-US" w:eastAsia="zh-CN"/>
        </w:rPr>
      </w:pPr>
      <w:r>
        <w:rPr>
          <w:rFonts w:hint="eastAsia" w:eastAsia="楷体"/>
          <w:color w:val="auto"/>
          <w:szCs w:val="21"/>
          <w:highlight w:val="none"/>
          <w:lang w:val="en-US" w:eastAsia="zh-CN"/>
        </w:rPr>
        <w:t>天然地基；2-井周基坑回填层；3-井体；4-防沉降井盖；5-工具盖板；6-管道回填；</w:t>
      </w:r>
    </w:p>
    <w:p>
      <w:pPr>
        <w:numPr>
          <w:ilvl w:val="0"/>
          <w:numId w:val="0"/>
        </w:numPr>
        <w:spacing w:line="360" w:lineRule="auto"/>
        <w:jc w:val="center"/>
        <w:rPr>
          <w:rFonts w:hint="eastAsia" w:eastAsia="楷体"/>
          <w:color w:val="auto"/>
          <w:szCs w:val="21"/>
          <w:highlight w:val="none"/>
          <w:lang w:val="en-US" w:eastAsia="zh-CN"/>
        </w:rPr>
      </w:pPr>
      <w:r>
        <w:rPr>
          <w:rFonts w:hint="eastAsia" w:eastAsia="楷体"/>
          <w:color w:val="auto"/>
          <w:szCs w:val="21"/>
          <w:highlight w:val="none"/>
          <w:lang w:val="en-US" w:eastAsia="zh-CN"/>
        </w:rPr>
        <w:t>7-管道；8-检查井基础；</w:t>
      </w:r>
    </w:p>
    <w:p>
      <w:pPr>
        <w:numPr>
          <w:ilvl w:val="0"/>
          <w:numId w:val="0"/>
        </w:numPr>
        <w:spacing w:line="360" w:lineRule="auto"/>
        <w:ind w:firstLine="420" w:firstLineChars="200"/>
        <w:rPr>
          <w:rFonts w:hint="eastAsia" w:eastAsia="楷体"/>
          <w:color w:val="auto"/>
          <w:szCs w:val="21"/>
          <w:highlight w:val="none"/>
          <w:lang w:val="en-US" w:eastAsia="zh-CN"/>
        </w:rPr>
      </w:pPr>
      <w:r>
        <w:rPr>
          <w:rFonts w:hint="eastAsia" w:eastAsia="楷体"/>
          <w:color w:val="auto"/>
          <w:szCs w:val="21"/>
          <w:highlight w:val="none"/>
          <w:lang w:val="en-US" w:eastAsia="zh-CN"/>
        </w:rPr>
        <w:t>3  分层铺筑结构层，高度至少达到卸载板板底高程（图3）；</w:t>
      </w:r>
    </w:p>
    <w:p>
      <w:pPr>
        <w:numPr>
          <w:ilvl w:val="0"/>
          <w:numId w:val="0"/>
        </w:numPr>
        <w:spacing w:line="360" w:lineRule="auto"/>
        <w:jc w:val="center"/>
        <w:rPr>
          <w:rFonts w:hint="eastAsia" w:eastAsia="楷体"/>
          <w:color w:val="auto"/>
          <w:szCs w:val="21"/>
          <w:highlight w:val="none"/>
          <w:lang w:val="en-US" w:eastAsia="zh-CN"/>
        </w:rPr>
      </w:pPr>
      <w:r>
        <w:rPr>
          <w:color w:val="auto"/>
          <w:highlight w:val="none"/>
        </w:rPr>
        <w:drawing>
          <wp:inline distT="0" distB="0" distL="114300" distR="114300">
            <wp:extent cx="3793490" cy="3522345"/>
            <wp:effectExtent l="0" t="0" r="1270" b="13335"/>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2"/>
                    <a:stretch>
                      <a:fillRect/>
                    </a:stretch>
                  </pic:blipFill>
                  <pic:spPr>
                    <a:xfrm>
                      <a:off x="0" y="0"/>
                      <a:ext cx="3793490" cy="3522345"/>
                    </a:xfrm>
                    <a:prstGeom prst="rect">
                      <a:avLst/>
                    </a:prstGeom>
                    <a:noFill/>
                    <a:ln>
                      <a:noFill/>
                    </a:ln>
                  </pic:spPr>
                </pic:pic>
              </a:graphicData>
            </a:graphic>
          </wp:inline>
        </w:drawing>
      </w:r>
    </w:p>
    <w:p>
      <w:pPr>
        <w:numPr>
          <w:ilvl w:val="0"/>
          <w:numId w:val="0"/>
        </w:numPr>
        <w:spacing w:line="360" w:lineRule="auto"/>
        <w:jc w:val="center"/>
        <w:rPr>
          <w:rFonts w:hint="default" w:eastAsia="楷体"/>
          <w:b/>
          <w:bCs/>
          <w:color w:val="auto"/>
          <w:szCs w:val="21"/>
          <w:highlight w:val="none"/>
          <w:lang w:val="en-US" w:eastAsia="zh-CN"/>
        </w:rPr>
      </w:pPr>
      <w:r>
        <w:rPr>
          <w:rFonts w:hint="eastAsia" w:eastAsia="楷体"/>
          <w:b/>
          <w:bCs/>
          <w:color w:val="auto"/>
          <w:szCs w:val="21"/>
          <w:highlight w:val="none"/>
          <w:lang w:val="en-US" w:eastAsia="zh-CN"/>
        </w:rPr>
        <w:t>图3  分层填筑结构层示意图</w:t>
      </w:r>
    </w:p>
    <w:p>
      <w:pPr>
        <w:numPr>
          <w:ilvl w:val="0"/>
          <w:numId w:val="4"/>
        </w:numPr>
        <w:spacing w:line="360" w:lineRule="auto"/>
        <w:jc w:val="center"/>
        <w:rPr>
          <w:rFonts w:hint="eastAsia" w:eastAsia="楷体"/>
          <w:color w:val="auto"/>
          <w:szCs w:val="21"/>
          <w:highlight w:val="none"/>
          <w:lang w:val="en-US" w:eastAsia="zh-CN"/>
        </w:rPr>
      </w:pPr>
      <w:r>
        <w:rPr>
          <w:rFonts w:hint="eastAsia" w:eastAsia="楷体"/>
          <w:color w:val="auto"/>
          <w:szCs w:val="21"/>
          <w:highlight w:val="none"/>
          <w:lang w:val="en-US" w:eastAsia="zh-CN"/>
        </w:rPr>
        <w:t>井周基坑回填层；2-天然地基；3-路基；4-井体；5-防沉降井盖；6-工具盖板；</w:t>
      </w:r>
    </w:p>
    <w:p>
      <w:pPr>
        <w:numPr>
          <w:ilvl w:val="0"/>
          <w:numId w:val="0"/>
        </w:numPr>
        <w:spacing w:line="360" w:lineRule="auto"/>
        <w:jc w:val="center"/>
        <w:rPr>
          <w:rFonts w:hint="eastAsia" w:eastAsia="楷体"/>
          <w:color w:val="auto"/>
          <w:szCs w:val="21"/>
          <w:highlight w:val="none"/>
          <w:lang w:val="en-US" w:eastAsia="zh-CN"/>
        </w:rPr>
      </w:pPr>
      <w:r>
        <w:rPr>
          <w:rFonts w:hint="eastAsia" w:eastAsia="楷体"/>
          <w:color w:val="auto"/>
          <w:szCs w:val="21"/>
          <w:highlight w:val="none"/>
          <w:lang w:val="en-US" w:eastAsia="zh-CN"/>
        </w:rPr>
        <w:t>7-管道回填；8-管道、9-检查井基础；</w:t>
      </w:r>
    </w:p>
    <w:p>
      <w:pPr>
        <w:numPr>
          <w:ilvl w:val="0"/>
          <w:numId w:val="0"/>
        </w:numPr>
        <w:spacing w:line="360" w:lineRule="auto"/>
        <w:ind w:firstLine="420" w:firstLineChars="200"/>
        <w:rPr>
          <w:rFonts w:hint="eastAsia" w:eastAsia="楷体"/>
          <w:color w:val="auto"/>
          <w:szCs w:val="21"/>
          <w:highlight w:val="none"/>
          <w:lang w:val="en-US" w:eastAsia="zh-CN"/>
        </w:rPr>
      </w:pPr>
      <w:r>
        <w:rPr>
          <w:rFonts w:hint="eastAsia" w:eastAsia="楷体"/>
          <w:color w:val="auto"/>
          <w:szCs w:val="21"/>
          <w:highlight w:val="none"/>
          <w:lang w:val="en-US" w:eastAsia="zh-CN"/>
        </w:rPr>
        <w:t>4  反开挖，并将工具盖板取出（图4）；</w:t>
      </w:r>
    </w:p>
    <w:p>
      <w:pPr>
        <w:numPr>
          <w:ilvl w:val="0"/>
          <w:numId w:val="0"/>
        </w:numPr>
        <w:spacing w:line="360" w:lineRule="auto"/>
        <w:jc w:val="center"/>
        <w:rPr>
          <w:rFonts w:hint="eastAsia" w:eastAsia="楷体"/>
          <w:color w:val="auto"/>
          <w:szCs w:val="21"/>
          <w:highlight w:val="none"/>
          <w:lang w:val="en-US" w:eastAsia="zh-CN"/>
        </w:rPr>
      </w:pPr>
      <w:r>
        <w:rPr>
          <w:color w:val="auto"/>
          <w:highlight w:val="none"/>
        </w:rPr>
        <w:drawing>
          <wp:inline distT="0" distB="0" distL="114300" distR="114300">
            <wp:extent cx="3623310" cy="3078480"/>
            <wp:effectExtent l="0" t="0" r="3810" b="0"/>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23"/>
                    <a:stretch>
                      <a:fillRect/>
                    </a:stretch>
                  </pic:blipFill>
                  <pic:spPr>
                    <a:xfrm>
                      <a:off x="0" y="0"/>
                      <a:ext cx="3623310" cy="3078480"/>
                    </a:xfrm>
                    <a:prstGeom prst="rect">
                      <a:avLst/>
                    </a:prstGeom>
                    <a:noFill/>
                    <a:ln>
                      <a:noFill/>
                    </a:ln>
                  </pic:spPr>
                </pic:pic>
              </a:graphicData>
            </a:graphic>
          </wp:inline>
        </w:drawing>
      </w:r>
    </w:p>
    <w:p>
      <w:pPr>
        <w:numPr>
          <w:ilvl w:val="0"/>
          <w:numId w:val="0"/>
        </w:numPr>
        <w:spacing w:line="360" w:lineRule="auto"/>
        <w:jc w:val="center"/>
        <w:rPr>
          <w:rFonts w:hint="eastAsia" w:eastAsia="楷体"/>
          <w:b/>
          <w:bCs/>
          <w:color w:val="auto"/>
          <w:szCs w:val="21"/>
          <w:highlight w:val="none"/>
          <w:lang w:val="en-US" w:eastAsia="zh-CN"/>
        </w:rPr>
      </w:pPr>
      <w:r>
        <w:rPr>
          <w:rFonts w:hint="eastAsia" w:eastAsia="楷体"/>
          <w:b/>
          <w:bCs/>
          <w:color w:val="auto"/>
          <w:szCs w:val="21"/>
          <w:highlight w:val="none"/>
          <w:lang w:val="en-US" w:eastAsia="zh-CN"/>
        </w:rPr>
        <w:t>图4  反开挖取出工具盖板示意图</w:t>
      </w:r>
    </w:p>
    <w:p>
      <w:pPr>
        <w:numPr>
          <w:ilvl w:val="0"/>
          <w:numId w:val="0"/>
        </w:numPr>
        <w:spacing w:line="360" w:lineRule="auto"/>
        <w:jc w:val="center"/>
        <w:rPr>
          <w:rFonts w:hint="eastAsia" w:eastAsia="楷体"/>
          <w:color w:val="auto"/>
          <w:szCs w:val="21"/>
          <w:highlight w:val="none"/>
          <w:lang w:val="en-US" w:eastAsia="zh-CN"/>
        </w:rPr>
      </w:pPr>
      <w:r>
        <w:rPr>
          <w:rFonts w:hint="eastAsia" w:eastAsia="楷体"/>
          <w:color w:val="auto"/>
          <w:szCs w:val="21"/>
          <w:highlight w:val="none"/>
          <w:lang w:val="en-US" w:eastAsia="zh-CN"/>
        </w:rPr>
        <w:t>1-井周基坑回填层；2-天然地基；3-路基；4-井体；5-管道回填；6-管道；7-检查井基础</w:t>
      </w:r>
    </w:p>
    <w:p>
      <w:pPr>
        <w:numPr>
          <w:ilvl w:val="0"/>
          <w:numId w:val="0"/>
        </w:numPr>
        <w:spacing w:line="360" w:lineRule="auto"/>
        <w:ind w:firstLine="420" w:firstLineChars="200"/>
        <w:rPr>
          <w:rFonts w:hint="default" w:eastAsia="楷体"/>
          <w:color w:val="auto"/>
          <w:szCs w:val="21"/>
          <w:highlight w:val="none"/>
          <w:lang w:val="en-US" w:eastAsia="zh-CN"/>
        </w:rPr>
      </w:pPr>
      <w:r>
        <w:rPr>
          <w:rFonts w:hint="eastAsia" w:eastAsia="楷体"/>
          <w:color w:val="auto"/>
          <w:szCs w:val="21"/>
          <w:highlight w:val="none"/>
          <w:lang w:val="en-US" w:eastAsia="zh-CN"/>
        </w:rPr>
        <w:t>5  将井体接高至设计高程（图5）。井体接高可采用现场砌筑或井段预制拼装。</w:t>
      </w:r>
    </w:p>
    <w:p>
      <w:pPr>
        <w:numPr>
          <w:ilvl w:val="0"/>
          <w:numId w:val="0"/>
        </w:numPr>
        <w:spacing w:line="360" w:lineRule="auto"/>
        <w:jc w:val="center"/>
        <w:rPr>
          <w:rFonts w:hint="eastAsia" w:eastAsia="楷体"/>
          <w:color w:val="auto"/>
          <w:szCs w:val="21"/>
          <w:highlight w:val="none"/>
          <w:lang w:val="en-US" w:eastAsia="zh-CN"/>
        </w:rPr>
      </w:pPr>
      <w:r>
        <w:rPr>
          <w:color w:val="auto"/>
          <w:highlight w:val="none"/>
        </w:rPr>
        <w:drawing>
          <wp:inline distT="0" distB="0" distL="114300" distR="114300">
            <wp:extent cx="3272790" cy="2877185"/>
            <wp:effectExtent l="0" t="0" r="3810" b="18415"/>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24"/>
                    <a:stretch>
                      <a:fillRect/>
                    </a:stretch>
                  </pic:blipFill>
                  <pic:spPr>
                    <a:xfrm>
                      <a:off x="0" y="0"/>
                      <a:ext cx="3272790" cy="2877185"/>
                    </a:xfrm>
                    <a:prstGeom prst="rect">
                      <a:avLst/>
                    </a:prstGeom>
                    <a:noFill/>
                    <a:ln>
                      <a:noFill/>
                    </a:ln>
                  </pic:spPr>
                </pic:pic>
              </a:graphicData>
            </a:graphic>
          </wp:inline>
        </w:drawing>
      </w:r>
    </w:p>
    <w:p>
      <w:pPr>
        <w:numPr>
          <w:ilvl w:val="0"/>
          <w:numId w:val="0"/>
        </w:numPr>
        <w:spacing w:line="360" w:lineRule="auto"/>
        <w:jc w:val="center"/>
        <w:rPr>
          <w:rFonts w:hint="default" w:eastAsia="楷体"/>
          <w:b/>
          <w:bCs/>
          <w:color w:val="auto"/>
          <w:szCs w:val="21"/>
          <w:highlight w:val="none"/>
          <w:lang w:val="en-US" w:eastAsia="zh-CN"/>
        </w:rPr>
      </w:pPr>
      <w:r>
        <w:rPr>
          <w:rFonts w:hint="eastAsia" w:eastAsia="楷体"/>
          <w:b/>
          <w:bCs/>
          <w:color w:val="auto"/>
          <w:szCs w:val="21"/>
          <w:highlight w:val="none"/>
          <w:lang w:val="en-US" w:eastAsia="zh-CN"/>
        </w:rPr>
        <w:t>图5  接高井体示意图</w:t>
      </w:r>
    </w:p>
    <w:p>
      <w:pPr>
        <w:numPr>
          <w:ilvl w:val="0"/>
          <w:numId w:val="0"/>
        </w:numPr>
        <w:spacing w:line="36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eastAsia="楷体"/>
          <w:color w:val="auto"/>
          <w:szCs w:val="21"/>
          <w:highlight w:val="none"/>
          <w:lang w:val="en-US" w:eastAsia="zh-CN"/>
        </w:rPr>
        <w:t>1-井周基坑回填层；2-天然地基；3-路基；4-井体；5-井周回填；6-管道回填；</w:t>
      </w:r>
    </w:p>
    <w:p>
      <w:pPr>
        <w:numPr>
          <w:ilvl w:val="0"/>
          <w:numId w:val="0"/>
        </w:numPr>
        <w:spacing w:line="36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eastAsia="楷体"/>
          <w:color w:val="auto"/>
          <w:szCs w:val="21"/>
          <w:highlight w:val="none"/>
          <w:lang w:val="en-US" w:eastAsia="zh-CN"/>
        </w:rPr>
        <w:t>7-管道；8-检查井基础</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楷体" w:hAnsi="楷体" w:eastAsia="楷体" w:cs="楷体"/>
          <w:b w:val="0"/>
          <w:bCs w:val="0"/>
          <w:color w:val="auto"/>
          <w:kern w:val="0"/>
          <w:sz w:val="21"/>
          <w:szCs w:val="21"/>
          <w:highlight w:val="none"/>
          <w:lang w:val="en-US" w:eastAsia="zh-CN" w:bidi="ar-SA"/>
        </w:rPr>
      </w:pPr>
      <w:r>
        <w:rPr>
          <w:rFonts w:hint="eastAsia" w:ascii="楷体" w:hAnsi="楷体" w:eastAsia="楷体" w:cs="楷体"/>
          <w:b w:val="0"/>
          <w:bCs w:val="0"/>
          <w:color w:val="auto"/>
          <w:kern w:val="0"/>
          <w:sz w:val="21"/>
          <w:szCs w:val="21"/>
          <w:highlight w:val="none"/>
          <w:lang w:val="en-US" w:eastAsia="zh-CN" w:bidi="ar-SA"/>
        </w:rPr>
        <w:t>6  工具盖板为钢筋混凝土预制构件或金属构件，在</w:t>
      </w:r>
      <w:r>
        <w:rPr>
          <w:rFonts w:hint="eastAsia" w:eastAsia="楷体"/>
          <w:color w:val="auto"/>
          <w:szCs w:val="21"/>
          <w:highlight w:val="none"/>
          <w:lang w:val="en-US" w:eastAsia="zh-CN"/>
        </w:rPr>
        <w:t>道路检查井逆筑法施工中使用。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楷体" w:hAnsi="楷体" w:eastAsia="楷体" w:cs="楷体"/>
          <w:color w:val="auto"/>
          <w:sz w:val="21"/>
          <w:szCs w:val="21"/>
          <w:highlight w:val="none"/>
          <w:lang w:val="en-US" w:eastAsia="zh-CN"/>
        </w:rPr>
      </w:pPr>
      <w:r>
        <w:rPr>
          <w:rFonts w:hint="eastAsia" w:ascii="楷体" w:hAnsi="楷体" w:eastAsia="楷体" w:cs="楷体"/>
          <w:b w:val="0"/>
          <w:bCs w:val="0"/>
          <w:color w:val="auto"/>
          <w:kern w:val="0"/>
          <w:sz w:val="21"/>
          <w:szCs w:val="21"/>
          <w:highlight w:val="none"/>
          <w:lang w:val="en-US" w:eastAsia="zh-CN" w:bidi="ar-SA"/>
        </w:rPr>
        <w:t>检查井下部井体完成后，将其盖在井口，进行上部结构的填筑。</w:t>
      </w:r>
      <w:r>
        <w:rPr>
          <w:rFonts w:hint="eastAsia" w:eastAsia="楷体"/>
          <w:color w:val="auto"/>
          <w:szCs w:val="21"/>
          <w:highlight w:val="none"/>
          <w:lang w:val="en-US" w:eastAsia="zh-CN"/>
        </w:rPr>
        <w:t>重复使用的工具盖板无需开孔；后期需作为卸载板中心的钢筋混凝土工具盖板应按防沉降井盖筒体尺寸和位置预留孔洞，钢筋端部预留机械接口。此工具盖板方便井周道路结构层与正常路段机械一体化施工，提高施工效率，确保井周结构质量。将作为卸载板中心的钢筋混凝土工具盖板</w:t>
      </w:r>
      <w:r>
        <w:rPr>
          <w:rFonts w:hint="eastAsia" w:ascii="楷体" w:hAnsi="楷体" w:eastAsia="楷体" w:cs="楷体"/>
          <w:b w:val="0"/>
          <w:color w:val="auto"/>
          <w:sz w:val="21"/>
          <w:szCs w:val="21"/>
          <w:highlight w:val="none"/>
          <w:lang w:val="en-US" w:eastAsia="zh-CN"/>
        </w:rPr>
        <w:t>，</w:t>
      </w:r>
      <w:r>
        <w:rPr>
          <w:rFonts w:hint="eastAsia" w:ascii="楷体" w:hAnsi="楷体" w:eastAsia="楷体" w:cs="楷体"/>
          <w:b w:val="0"/>
          <w:bCs w:val="0"/>
          <w:color w:val="auto"/>
          <w:kern w:val="0"/>
          <w:sz w:val="21"/>
          <w:szCs w:val="21"/>
          <w:highlight w:val="none"/>
          <w:lang w:val="en-US" w:eastAsia="zh-CN" w:bidi="ar-SA"/>
        </w:rPr>
        <w:t>应符合下列要求：</w:t>
      </w:r>
    </w:p>
    <w:p>
      <w:pPr>
        <w:spacing w:line="360" w:lineRule="auto"/>
        <w:ind w:firstLine="843" w:firstLineChars="400"/>
        <w:rPr>
          <w:rFonts w:hint="eastAsia" w:ascii="楷体" w:hAnsi="楷体" w:eastAsia="楷体" w:cs="楷体"/>
          <w:color w:val="auto"/>
          <w:sz w:val="21"/>
          <w:szCs w:val="21"/>
          <w:highlight w:val="none"/>
          <w:lang w:val="en-US" w:eastAsia="zh-CN"/>
        </w:rPr>
      </w:pPr>
      <w:r>
        <w:rPr>
          <w:rFonts w:hint="eastAsia" w:ascii="楷体" w:hAnsi="楷体" w:eastAsia="楷体" w:cs="楷体"/>
          <w:b/>
          <w:bCs/>
          <w:color w:val="auto"/>
          <w:sz w:val="21"/>
          <w:szCs w:val="21"/>
          <w:highlight w:val="none"/>
          <w:lang w:val="en-US" w:eastAsia="zh-CN"/>
        </w:rPr>
        <w:t xml:space="preserve">1）  </w:t>
      </w:r>
      <w:r>
        <w:rPr>
          <w:rFonts w:hint="eastAsia" w:ascii="楷体" w:hAnsi="楷体" w:eastAsia="楷体" w:cs="楷体"/>
          <w:color w:val="auto"/>
          <w:sz w:val="21"/>
          <w:szCs w:val="21"/>
          <w:highlight w:val="none"/>
          <w:lang w:val="en-US" w:eastAsia="zh-CN"/>
        </w:rPr>
        <w:t>工具盖板的厚度、配筋与卸载板协同，平面尺寸比井体平面外形尺寸大50mm～</w:t>
      </w:r>
    </w:p>
    <w:p>
      <w:pPr>
        <w:spacing w:line="360" w:lineRule="auto"/>
        <w:ind w:firstLine="1470" w:firstLineChars="700"/>
        <w:rPr>
          <w:rFonts w:hint="eastAsia" w:ascii="楷体" w:hAnsi="楷体" w:eastAsia="楷体" w:cs="楷体"/>
          <w:color w:val="auto"/>
          <w:sz w:val="21"/>
          <w:szCs w:val="21"/>
          <w:highlight w:val="none"/>
          <w:lang w:val="en-US" w:eastAsia="zh-CN"/>
        </w:rPr>
      </w:pPr>
      <w:r>
        <w:rPr>
          <w:rFonts w:hint="eastAsia" w:ascii="楷体" w:hAnsi="楷体" w:eastAsia="楷体" w:cs="楷体"/>
          <w:color w:val="auto"/>
          <w:sz w:val="21"/>
          <w:szCs w:val="21"/>
          <w:highlight w:val="none"/>
          <w:lang w:val="en-US" w:eastAsia="zh-CN"/>
        </w:rPr>
        <w:t>100mm；</w:t>
      </w:r>
    </w:p>
    <w:p>
      <w:pPr>
        <w:spacing w:line="360" w:lineRule="auto"/>
        <w:ind w:firstLine="843" w:firstLineChars="400"/>
        <w:rPr>
          <w:rFonts w:hint="eastAsia" w:ascii="楷体" w:hAnsi="楷体" w:eastAsia="楷体" w:cs="楷体"/>
          <w:color w:val="auto"/>
          <w:sz w:val="21"/>
          <w:szCs w:val="21"/>
          <w:highlight w:val="none"/>
          <w:lang w:val="en-US" w:eastAsia="zh-CN"/>
        </w:rPr>
      </w:pPr>
      <w:r>
        <w:rPr>
          <w:rFonts w:hint="eastAsia" w:ascii="楷体" w:hAnsi="楷体" w:eastAsia="楷体" w:cs="楷体"/>
          <w:b/>
          <w:bCs/>
          <w:color w:val="auto"/>
          <w:sz w:val="21"/>
          <w:szCs w:val="21"/>
          <w:highlight w:val="none"/>
          <w:lang w:val="en-US" w:eastAsia="zh-CN"/>
        </w:rPr>
        <w:t xml:space="preserve">2）  </w:t>
      </w:r>
      <w:r>
        <w:rPr>
          <w:rFonts w:hint="eastAsia" w:ascii="楷体" w:hAnsi="楷体" w:eastAsia="楷体" w:cs="楷体"/>
          <w:color w:val="auto"/>
          <w:sz w:val="21"/>
          <w:szCs w:val="21"/>
          <w:highlight w:val="none"/>
          <w:lang w:val="en-US" w:eastAsia="zh-CN"/>
        </w:rPr>
        <w:t>工具盖板上设置的预留孔孔径、孔位与卸载板的孔径、孔位一致；</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843" w:firstLineChars="400"/>
        <w:jc w:val="left"/>
        <w:textAlignment w:val="auto"/>
        <w:rPr>
          <w:rFonts w:hint="eastAsia" w:ascii="楷体" w:hAnsi="楷体" w:eastAsia="楷体" w:cs="楷体"/>
          <w:color w:val="auto"/>
          <w:sz w:val="21"/>
          <w:szCs w:val="21"/>
          <w:highlight w:val="none"/>
          <w:lang w:val="en-US" w:eastAsia="zh-CN"/>
        </w:rPr>
      </w:pPr>
      <w:r>
        <w:rPr>
          <w:rFonts w:hint="eastAsia" w:ascii="楷体" w:hAnsi="楷体" w:eastAsia="楷体" w:cs="楷体"/>
          <w:b/>
          <w:bCs/>
          <w:color w:val="auto"/>
          <w:sz w:val="21"/>
          <w:szCs w:val="21"/>
          <w:highlight w:val="none"/>
          <w:lang w:val="en-US" w:eastAsia="zh-CN"/>
        </w:rPr>
        <w:t xml:space="preserve">3）  </w:t>
      </w:r>
      <w:r>
        <w:rPr>
          <w:rFonts w:hint="eastAsia" w:ascii="楷体" w:hAnsi="楷体" w:eastAsia="楷体" w:cs="楷体"/>
          <w:color w:val="auto"/>
          <w:sz w:val="21"/>
          <w:szCs w:val="21"/>
          <w:highlight w:val="none"/>
          <w:lang w:val="en-US" w:eastAsia="zh-CN"/>
        </w:rPr>
        <w:t>钢筋接头采用机械联接；侧面留设抗剪凹凸槽或毛面处理。</w:t>
      </w:r>
    </w:p>
    <w:p>
      <w:pPr>
        <w:spacing w:line="360" w:lineRule="auto"/>
        <w:ind w:firstLine="843" w:firstLineChars="400"/>
        <w:rPr>
          <w:rFonts w:hint="eastAsia" w:ascii="楷体" w:hAnsi="楷体" w:eastAsia="楷体" w:cs="楷体"/>
          <w:color w:val="auto"/>
          <w:sz w:val="21"/>
          <w:szCs w:val="21"/>
          <w:highlight w:val="none"/>
          <w:lang w:val="en-US" w:eastAsia="zh-CN"/>
        </w:rPr>
      </w:pPr>
      <w:r>
        <w:rPr>
          <w:rFonts w:hint="eastAsia" w:ascii="楷体" w:hAnsi="楷体" w:eastAsia="楷体" w:cs="楷体"/>
          <w:b/>
          <w:bCs/>
          <w:color w:val="auto"/>
          <w:sz w:val="21"/>
          <w:szCs w:val="21"/>
          <w:highlight w:val="none"/>
          <w:lang w:val="en-US" w:eastAsia="zh-CN"/>
        </w:rPr>
        <w:t xml:space="preserve">4）  </w:t>
      </w:r>
      <w:r>
        <w:rPr>
          <w:rFonts w:hint="eastAsia" w:ascii="楷体" w:hAnsi="楷体" w:eastAsia="楷体" w:cs="楷体"/>
          <w:color w:val="auto"/>
          <w:sz w:val="21"/>
          <w:szCs w:val="21"/>
          <w:highlight w:val="none"/>
          <w:lang w:val="en-US" w:eastAsia="zh-CN"/>
        </w:rPr>
        <w:t>工具盖板预留孔洞尺寸</w:t>
      </w:r>
      <w:r>
        <w:rPr>
          <w:rFonts w:hint="default" w:ascii="楷体" w:hAnsi="楷体" w:eastAsia="楷体" w:cs="楷体"/>
          <w:color w:val="auto"/>
          <w:sz w:val="21"/>
          <w:szCs w:val="21"/>
          <w:highlight w:val="none"/>
          <w:lang w:val="en-US" w:eastAsia="zh-CN"/>
        </w:rPr>
        <w:t>r</w:t>
      </w:r>
      <w:r>
        <w:rPr>
          <w:rFonts w:hint="eastAsia" w:ascii="楷体" w:hAnsi="楷体" w:eastAsia="楷体" w:cs="楷体"/>
          <w:color w:val="auto"/>
          <w:sz w:val="21"/>
          <w:szCs w:val="21"/>
          <w:highlight w:val="none"/>
          <w:lang w:val="en-US" w:eastAsia="zh-CN"/>
        </w:rPr>
        <w:t>、长度a、宽度c、厚度h。（图8）</w:t>
      </w:r>
    </w:p>
    <w:p>
      <w:pPr>
        <w:spacing w:line="360" w:lineRule="auto"/>
        <w:ind w:left="1260" w:leftChars="400" w:hanging="420" w:hangingChars="200"/>
        <w:jc w:val="center"/>
        <w:rPr>
          <w:rFonts w:hint="eastAsia" w:ascii="楷体" w:hAnsi="楷体" w:eastAsia="楷体" w:cs="楷体"/>
          <w:color w:val="auto"/>
          <w:sz w:val="21"/>
          <w:szCs w:val="21"/>
          <w:highlight w:val="none"/>
          <w:lang w:val="en-US" w:eastAsia="zh-CN"/>
        </w:rPr>
      </w:pPr>
      <w:r>
        <w:rPr>
          <w:color w:val="auto"/>
          <w:highlight w:val="none"/>
        </w:rPr>
        <w:drawing>
          <wp:inline distT="0" distB="0" distL="114300" distR="114300">
            <wp:extent cx="3788410" cy="1741805"/>
            <wp:effectExtent l="0" t="0" r="2540" b="1079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5"/>
                    <a:stretch>
                      <a:fillRect/>
                    </a:stretch>
                  </pic:blipFill>
                  <pic:spPr>
                    <a:xfrm>
                      <a:off x="0" y="0"/>
                      <a:ext cx="3788410" cy="1741805"/>
                    </a:xfrm>
                    <a:prstGeom prst="rect">
                      <a:avLst/>
                    </a:prstGeom>
                    <a:noFill/>
                    <a:ln>
                      <a:noFill/>
                    </a:ln>
                  </pic:spPr>
                </pic:pic>
              </a:graphicData>
            </a:graphic>
          </wp:inline>
        </w:drawing>
      </w:r>
    </w:p>
    <w:p>
      <w:pPr>
        <w:numPr>
          <w:ilvl w:val="0"/>
          <w:numId w:val="0"/>
        </w:numPr>
        <w:spacing w:line="360" w:lineRule="auto"/>
        <w:jc w:val="center"/>
        <w:rPr>
          <w:rFonts w:hint="default" w:eastAsia="楷体"/>
          <w:b/>
          <w:bCs/>
          <w:color w:val="auto"/>
          <w:szCs w:val="21"/>
          <w:highlight w:val="none"/>
          <w:lang w:val="en-US" w:eastAsia="zh-CN"/>
        </w:rPr>
      </w:pPr>
      <w:r>
        <w:rPr>
          <w:rFonts w:hint="eastAsia" w:eastAsia="楷体"/>
          <w:b/>
          <w:bCs/>
          <w:color w:val="auto"/>
          <w:szCs w:val="21"/>
          <w:highlight w:val="none"/>
          <w:lang w:val="en-US" w:eastAsia="zh-CN"/>
        </w:rPr>
        <w:t>图6  工具盖板大样图</w:t>
      </w:r>
    </w:p>
    <w:p>
      <w:pPr>
        <w:spacing w:line="360" w:lineRule="auto"/>
        <w:ind w:left="1260" w:leftChars="400" w:hanging="420" w:hangingChars="200"/>
        <w:jc w:val="center"/>
        <w:rPr>
          <w:rFonts w:hint="eastAsia"/>
          <w:color w:val="auto"/>
          <w:sz w:val="18"/>
          <w:szCs w:val="18"/>
          <w:highlight w:val="none"/>
          <w:lang w:val="en-US" w:eastAsia="zh-CN"/>
        </w:rPr>
      </w:pPr>
      <w:r>
        <w:rPr>
          <w:rFonts w:hint="eastAsia" w:ascii="楷体" w:hAnsi="楷体" w:eastAsia="楷体" w:cs="楷体"/>
          <w:color w:val="auto"/>
          <w:sz w:val="21"/>
          <w:szCs w:val="21"/>
          <w:highlight w:val="none"/>
          <w:lang w:val="en-US" w:eastAsia="zh-CN"/>
        </w:rPr>
        <w:t>1-防沉降井盖；2-工具盖板；3-预留钢筋机械接头</w:t>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before="0" w:line="360" w:lineRule="auto"/>
        <w:jc w:val="left"/>
        <w:textAlignment w:val="auto"/>
        <w:rPr>
          <w:rFonts w:hint="eastAsia" w:ascii="Times New Roman" w:hAnsi="宋体" w:eastAsia="宋体" w:cs="Times New Roman"/>
          <w:b/>
          <w:bCs/>
          <w:color w:val="auto"/>
          <w:sz w:val="24"/>
          <w:highlight w:val="none"/>
        </w:rPr>
      </w:pPr>
    </w:p>
    <w:p>
      <w:pPr>
        <w:keepNext w:val="0"/>
        <w:keepLines w:val="0"/>
        <w:pageBreakBefore w:val="0"/>
        <w:widowControl w:val="0"/>
        <w:tabs>
          <w:tab w:val="right" w:leader="dot" w:pos="8306"/>
        </w:tabs>
        <w:kinsoku/>
        <w:wordWrap/>
        <w:overflowPunct/>
        <w:topLinePunct w:val="0"/>
        <w:autoSpaceDE/>
        <w:autoSpaceDN/>
        <w:bidi w:val="0"/>
        <w:adjustRightInd w:val="0"/>
        <w:snapToGrid w:val="0"/>
        <w:spacing w:before="0" w:line="360" w:lineRule="auto"/>
        <w:jc w:val="left"/>
        <w:textAlignment w:val="auto"/>
        <w:rPr>
          <w:rFonts w:hint="eastAsia"/>
          <w:color w:val="auto"/>
          <w:sz w:val="24"/>
          <w:highlight w:val="none"/>
          <w:lang w:val="en-US" w:eastAsia="zh-CN"/>
        </w:rPr>
      </w:pPr>
      <w:r>
        <w:rPr>
          <w:rFonts w:hint="eastAsia" w:ascii="Times New Roman" w:hAnsi="宋体" w:eastAsia="宋体" w:cs="Times New Roman"/>
          <w:b/>
          <w:bCs/>
          <w:color w:val="auto"/>
          <w:sz w:val="24"/>
          <w:highlight w:val="none"/>
        </w:rPr>
        <w:t>3.</w:t>
      </w:r>
      <w:r>
        <w:rPr>
          <w:rFonts w:hint="eastAsia" w:ascii="Times New Roman" w:hAnsi="宋体" w:eastAsia="宋体" w:cs="Times New Roman"/>
          <w:b/>
          <w:bCs/>
          <w:color w:val="auto"/>
          <w:sz w:val="24"/>
          <w:highlight w:val="none"/>
          <w:lang w:val="en-US" w:eastAsia="zh-CN"/>
        </w:rPr>
        <w:t>2</w:t>
      </w:r>
      <w:r>
        <w:rPr>
          <w:rFonts w:hint="eastAsia" w:ascii="Times New Roman" w:hAnsi="宋体" w:eastAsia="宋体" w:cs="Times New Roman"/>
          <w:b/>
          <w:bCs/>
          <w:color w:val="auto"/>
          <w:sz w:val="24"/>
          <w:highlight w:val="none"/>
        </w:rPr>
        <w:t>.</w:t>
      </w:r>
      <w:r>
        <w:rPr>
          <w:rFonts w:hint="eastAsia" w:ascii="Times New Roman" w:hAnsi="宋体" w:eastAsia="宋体" w:cs="Times New Roman"/>
          <w:b/>
          <w:bCs/>
          <w:color w:val="auto"/>
          <w:sz w:val="24"/>
          <w:highlight w:val="none"/>
          <w:lang w:val="en-US" w:eastAsia="zh-CN"/>
        </w:rPr>
        <w:t>3</w:t>
      </w:r>
      <w:r>
        <w:rPr>
          <w:rFonts w:hint="eastAsia"/>
          <w:color w:val="auto"/>
        </w:rPr>
        <w:t xml:space="preserve">  </w:t>
      </w:r>
      <w:r>
        <w:rPr>
          <w:rFonts w:hint="eastAsia"/>
          <w:color w:val="auto"/>
          <w:sz w:val="24"/>
          <w:highlight w:val="none"/>
          <w:lang w:val="en-US" w:eastAsia="zh-CN"/>
        </w:rPr>
        <w:t>根据结构及检查井井底地基情况，宜评估工后沉降量，采取减小沉降差的工程措施，检查井与井周结构的沉降差宜小于变形协调带的调节高度。</w:t>
      </w:r>
    </w:p>
    <w:p>
      <w:pPr>
        <w:tabs>
          <w:tab w:val="right" w:leader="dot" w:pos="8306"/>
        </w:tabs>
        <w:adjustRightInd w:val="0"/>
        <w:snapToGrid w:val="0"/>
        <w:spacing w:line="360" w:lineRule="auto"/>
        <w:jc w:val="left"/>
        <w:rPr>
          <w:rFonts w:hint="default"/>
          <w:color w:val="FF0000"/>
          <w:sz w:val="24"/>
          <w:highlight w:val="none"/>
          <w:lang w:val="en-US" w:eastAsia="zh-CN"/>
        </w:rPr>
      </w:pPr>
      <w:r>
        <w:rPr>
          <w:rFonts w:hint="eastAsia" w:ascii="楷体" w:hAnsi="楷体" w:eastAsia="楷体" w:cs="楷体"/>
          <w:color w:val="auto"/>
          <w:sz w:val="21"/>
          <w:szCs w:val="21"/>
          <w:highlight w:val="none"/>
        </w:rPr>
        <w:t>【</w:t>
      </w:r>
      <w:r>
        <w:rPr>
          <w:rFonts w:hint="eastAsia" w:ascii="楷体" w:hAnsi="楷体" w:eastAsia="楷体" w:cs="楷体"/>
          <w:color w:val="auto"/>
          <w:sz w:val="21"/>
          <w:szCs w:val="21"/>
          <w:highlight w:val="none"/>
          <w:lang w:eastAsia="zh-CN"/>
        </w:rPr>
        <w:t>条文</w:t>
      </w:r>
      <w:r>
        <w:rPr>
          <w:rFonts w:hint="eastAsia" w:ascii="楷体" w:hAnsi="楷体" w:eastAsia="楷体" w:cs="楷体"/>
          <w:color w:val="auto"/>
          <w:sz w:val="21"/>
          <w:szCs w:val="21"/>
          <w:highlight w:val="none"/>
        </w:rPr>
        <w:t>说明】</w:t>
      </w:r>
      <w:r>
        <w:rPr>
          <w:rFonts w:hint="eastAsia" w:ascii="楷体" w:hAnsi="楷体" w:eastAsia="楷体" w:cs="楷体"/>
          <w:color w:val="auto"/>
          <w:sz w:val="21"/>
          <w:szCs w:val="21"/>
          <w:highlight w:val="none"/>
          <w:lang w:eastAsia="zh-CN"/>
        </w:rPr>
        <w:t>对下部局部存在的软弱土层进行下卧层承载力及沉降验算，必要时采用加固措施。</w:t>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before="0" w:line="360" w:lineRule="auto"/>
        <w:jc w:val="left"/>
        <w:textAlignment w:val="auto"/>
        <w:rPr>
          <w:rFonts w:hint="eastAsia"/>
          <w:color w:val="auto"/>
          <w:sz w:val="24"/>
          <w:highlight w:val="none"/>
          <w:lang w:val="en-US" w:eastAsia="zh-CN"/>
        </w:rPr>
      </w:pPr>
      <w:r>
        <w:rPr>
          <w:rFonts w:hint="eastAsia" w:ascii="Times New Roman" w:hAnsi="宋体" w:eastAsia="宋体" w:cs="Times New Roman"/>
          <w:b/>
          <w:bCs/>
          <w:color w:val="auto"/>
          <w:sz w:val="24"/>
          <w:highlight w:val="none"/>
        </w:rPr>
        <w:t>3.</w:t>
      </w:r>
      <w:r>
        <w:rPr>
          <w:rFonts w:hint="eastAsia" w:ascii="Times New Roman" w:hAnsi="宋体" w:eastAsia="宋体" w:cs="Times New Roman"/>
          <w:b/>
          <w:bCs/>
          <w:color w:val="auto"/>
          <w:sz w:val="24"/>
          <w:highlight w:val="none"/>
          <w:lang w:val="en-US" w:eastAsia="zh-CN"/>
        </w:rPr>
        <w:t>2</w:t>
      </w:r>
      <w:r>
        <w:rPr>
          <w:rFonts w:hint="eastAsia" w:ascii="Times New Roman" w:hAnsi="宋体" w:eastAsia="宋体" w:cs="Times New Roman"/>
          <w:b/>
          <w:bCs/>
          <w:color w:val="auto"/>
          <w:sz w:val="24"/>
          <w:highlight w:val="none"/>
        </w:rPr>
        <w:t>.</w:t>
      </w:r>
      <w:r>
        <w:rPr>
          <w:rFonts w:hint="eastAsia" w:ascii="Times New Roman" w:hAnsi="宋体" w:eastAsia="宋体" w:cs="Times New Roman"/>
          <w:b/>
          <w:bCs/>
          <w:color w:val="auto"/>
          <w:sz w:val="24"/>
          <w:highlight w:val="none"/>
          <w:lang w:val="en-US" w:eastAsia="zh-CN"/>
        </w:rPr>
        <w:t>4</w:t>
      </w:r>
      <w:r>
        <w:rPr>
          <w:rFonts w:hint="eastAsia" w:ascii="Times New Roman" w:hAnsi="宋体" w:eastAsia="宋体" w:cs="Times New Roman"/>
          <w:b/>
          <w:bCs/>
          <w:color w:val="auto"/>
          <w:sz w:val="24"/>
          <w:highlight w:val="none"/>
        </w:rPr>
        <w:t xml:space="preserve"> </w:t>
      </w:r>
      <w:r>
        <w:rPr>
          <w:rFonts w:hint="eastAsia"/>
          <w:color w:val="auto"/>
          <w:sz w:val="24"/>
          <w:highlight w:val="none"/>
        </w:rPr>
        <w:t xml:space="preserve"> </w:t>
      </w:r>
      <w:r>
        <w:rPr>
          <w:rFonts w:hint="eastAsia"/>
          <w:color w:val="auto"/>
          <w:sz w:val="24"/>
          <w:highlight w:val="none"/>
          <w:lang w:val="en-US" w:eastAsia="zh-CN"/>
        </w:rPr>
        <w:t>根据检查井地基条件，可采取地基加固、加强井管连接、柔性连接等措施，</w:t>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before="0" w:line="360" w:lineRule="auto"/>
        <w:jc w:val="left"/>
        <w:textAlignment w:val="auto"/>
        <w:rPr>
          <w:rFonts w:hint="eastAsia"/>
          <w:color w:val="auto"/>
          <w:sz w:val="24"/>
          <w:highlight w:val="none"/>
          <w:lang w:val="en-US" w:eastAsia="zh-CN"/>
        </w:rPr>
      </w:pPr>
      <w:r>
        <w:rPr>
          <w:rFonts w:hint="eastAsia"/>
          <w:color w:val="auto"/>
          <w:sz w:val="24"/>
          <w:highlight w:val="none"/>
          <w:lang w:eastAsia="zh-CN"/>
        </w:rPr>
        <w:t>减小不均匀沉降对管道、井周结构造成不利影响。</w:t>
      </w:r>
      <w:r>
        <w:rPr>
          <w:rFonts w:hint="eastAsia"/>
          <w:color w:val="auto"/>
          <w:sz w:val="24"/>
          <w:highlight w:val="none"/>
          <w:lang w:val="en-US" w:eastAsia="zh-CN"/>
        </w:rPr>
        <w:t xml:space="preserve">  </w:t>
      </w:r>
    </w:p>
    <w:p>
      <w:pPr>
        <w:tabs>
          <w:tab w:val="right" w:leader="dot" w:pos="8306"/>
        </w:tabs>
        <w:adjustRightInd w:val="0"/>
        <w:snapToGrid w:val="0"/>
        <w:spacing w:line="360" w:lineRule="auto"/>
        <w:jc w:val="left"/>
        <w:rPr>
          <w:rFonts w:hint="eastAsia" w:ascii="楷体" w:hAnsi="楷体" w:eastAsia="楷体" w:cs="楷体"/>
          <w:color w:val="auto"/>
          <w:sz w:val="21"/>
          <w:szCs w:val="21"/>
          <w:highlight w:val="none"/>
        </w:rPr>
      </w:pPr>
      <w:r>
        <w:rPr>
          <w:rFonts w:hint="eastAsia" w:ascii="楷体" w:hAnsi="楷体" w:eastAsia="楷体" w:cs="楷体"/>
          <w:color w:val="auto"/>
          <w:sz w:val="21"/>
          <w:szCs w:val="21"/>
          <w:highlight w:val="none"/>
        </w:rPr>
        <w:t>【</w:t>
      </w:r>
      <w:r>
        <w:rPr>
          <w:rFonts w:hint="eastAsia" w:ascii="楷体" w:hAnsi="楷体" w:eastAsia="楷体" w:cs="楷体"/>
          <w:color w:val="auto"/>
          <w:sz w:val="21"/>
          <w:szCs w:val="21"/>
          <w:highlight w:val="none"/>
          <w:lang w:eastAsia="zh-CN"/>
        </w:rPr>
        <w:t>条文</w:t>
      </w:r>
      <w:r>
        <w:rPr>
          <w:rFonts w:hint="eastAsia" w:ascii="楷体" w:hAnsi="楷体" w:eastAsia="楷体" w:cs="楷体"/>
          <w:color w:val="auto"/>
          <w:sz w:val="21"/>
          <w:szCs w:val="21"/>
          <w:highlight w:val="none"/>
        </w:rPr>
        <w:t>说明】</w:t>
      </w:r>
    </w:p>
    <w:p>
      <w:pPr>
        <w:tabs>
          <w:tab w:val="right" w:leader="dot" w:pos="8306"/>
        </w:tabs>
        <w:adjustRightInd w:val="0"/>
        <w:snapToGrid w:val="0"/>
        <w:spacing w:line="360" w:lineRule="auto"/>
        <w:ind w:firstLine="422" w:firstLineChars="200"/>
        <w:jc w:val="left"/>
        <w:rPr>
          <w:rFonts w:hint="eastAsia" w:ascii="楷体" w:hAnsi="楷体" w:eastAsia="楷体" w:cs="楷体"/>
          <w:color w:val="auto"/>
          <w:sz w:val="21"/>
          <w:szCs w:val="21"/>
          <w:highlight w:val="none"/>
          <w:lang w:val="en-US" w:eastAsia="zh-CN"/>
        </w:rPr>
      </w:pPr>
      <w:r>
        <w:rPr>
          <w:rFonts w:hint="eastAsia" w:ascii="楷体" w:hAnsi="楷体" w:eastAsia="楷体" w:cs="楷体"/>
          <w:b/>
          <w:bCs/>
          <w:color w:val="auto"/>
          <w:sz w:val="21"/>
          <w:szCs w:val="21"/>
          <w:highlight w:val="none"/>
          <w:lang w:val="en-US" w:eastAsia="zh-CN"/>
        </w:rPr>
        <w:t xml:space="preserve">1 </w:t>
      </w:r>
      <w:r>
        <w:rPr>
          <w:rFonts w:hint="eastAsia" w:ascii="楷体" w:hAnsi="楷体" w:eastAsia="楷体" w:cs="楷体"/>
          <w:color w:val="auto"/>
          <w:sz w:val="21"/>
          <w:szCs w:val="21"/>
          <w:highlight w:val="none"/>
          <w:lang w:val="en-US" w:eastAsia="zh-CN"/>
        </w:rPr>
        <w:t xml:space="preserve"> 对极重交通、特重交通、重交通道路，井底地基承载力特征值＜80kPa时，宜对井底地基进行处理，处理方法可采用换填、压密注浆加固、桩基加固等。</w:t>
      </w:r>
    </w:p>
    <w:p>
      <w:pPr>
        <w:numPr>
          <w:ilvl w:val="0"/>
          <w:numId w:val="0"/>
        </w:numPr>
        <w:tabs>
          <w:tab w:val="right" w:leader="dot" w:pos="8306"/>
        </w:tabs>
        <w:adjustRightInd w:val="0"/>
        <w:snapToGrid w:val="0"/>
        <w:spacing w:line="360" w:lineRule="auto"/>
        <w:ind w:firstLine="422" w:firstLineChars="200"/>
        <w:jc w:val="left"/>
        <w:rPr>
          <w:rFonts w:hint="eastAsia" w:ascii="楷体" w:hAnsi="楷体" w:eastAsia="楷体" w:cs="楷体"/>
          <w:color w:val="auto"/>
          <w:sz w:val="21"/>
          <w:szCs w:val="21"/>
          <w:highlight w:val="none"/>
          <w:lang w:val="en-US" w:eastAsia="zh-CN"/>
        </w:rPr>
      </w:pPr>
      <w:r>
        <w:rPr>
          <w:rFonts w:hint="eastAsia" w:ascii="楷体" w:hAnsi="楷体" w:eastAsia="楷体" w:cs="楷体"/>
          <w:b/>
          <w:bCs/>
          <w:color w:val="auto"/>
          <w:sz w:val="21"/>
          <w:szCs w:val="21"/>
          <w:highlight w:val="none"/>
          <w:lang w:val="en-US" w:eastAsia="zh-CN"/>
        </w:rPr>
        <w:t xml:space="preserve">2 </w:t>
      </w:r>
      <w:r>
        <w:rPr>
          <w:rFonts w:hint="eastAsia" w:ascii="楷体" w:hAnsi="楷体" w:eastAsia="楷体" w:cs="楷体"/>
          <w:color w:val="auto"/>
          <w:sz w:val="21"/>
          <w:szCs w:val="21"/>
          <w:highlight w:val="none"/>
          <w:lang w:val="en-US" w:eastAsia="zh-CN"/>
        </w:rPr>
        <w:t xml:space="preserve"> 井管连接</w:t>
      </w:r>
      <w:r>
        <w:rPr>
          <w:rFonts w:hint="eastAsia" w:ascii="楷体" w:hAnsi="楷体" w:eastAsia="楷体" w:cs="楷体"/>
          <w:color w:val="auto"/>
          <w:sz w:val="21"/>
          <w:szCs w:val="21"/>
          <w:highlight w:val="none"/>
        </w:rPr>
        <w:t>处</w:t>
      </w:r>
      <w:r>
        <w:rPr>
          <w:rFonts w:hint="eastAsia" w:ascii="楷体" w:hAnsi="楷体" w:eastAsia="楷体" w:cs="楷体"/>
          <w:color w:val="auto"/>
          <w:sz w:val="21"/>
          <w:szCs w:val="21"/>
          <w:highlight w:val="none"/>
          <w:lang w:val="en-US" w:eastAsia="zh-CN"/>
        </w:rPr>
        <w:t>可</w:t>
      </w:r>
      <w:r>
        <w:rPr>
          <w:rFonts w:hint="eastAsia" w:ascii="楷体" w:hAnsi="楷体" w:eastAsia="楷体" w:cs="楷体"/>
          <w:color w:val="auto"/>
          <w:sz w:val="21"/>
          <w:szCs w:val="21"/>
          <w:highlight w:val="none"/>
        </w:rPr>
        <w:t>采取</w:t>
      </w:r>
      <w:r>
        <w:rPr>
          <w:rFonts w:hint="eastAsia" w:ascii="楷体" w:hAnsi="楷体" w:eastAsia="楷体" w:cs="楷体"/>
          <w:color w:val="auto"/>
          <w:sz w:val="21"/>
          <w:szCs w:val="21"/>
          <w:highlight w:val="none"/>
          <w:lang w:val="en-US" w:eastAsia="zh-CN"/>
        </w:rPr>
        <w:t>减小</w:t>
      </w:r>
      <w:r>
        <w:rPr>
          <w:rFonts w:hint="eastAsia" w:ascii="楷体" w:hAnsi="楷体" w:eastAsia="楷体" w:cs="楷体"/>
          <w:color w:val="auto"/>
          <w:sz w:val="21"/>
          <w:szCs w:val="21"/>
          <w:highlight w:val="none"/>
        </w:rPr>
        <w:t>不均匀沉降的措施</w:t>
      </w:r>
      <w:r>
        <w:rPr>
          <w:rFonts w:hint="eastAsia" w:ascii="楷体" w:hAnsi="楷体" w:eastAsia="楷体" w:cs="楷体"/>
          <w:color w:val="auto"/>
          <w:sz w:val="21"/>
          <w:szCs w:val="21"/>
          <w:highlight w:val="none"/>
          <w:lang w:eastAsia="zh-CN"/>
        </w:rPr>
        <w:t>有</w:t>
      </w:r>
      <w:r>
        <w:rPr>
          <w:rFonts w:hint="eastAsia" w:ascii="楷体" w:hAnsi="楷体" w:eastAsia="楷体" w:cs="楷体"/>
          <w:color w:val="auto"/>
          <w:sz w:val="21"/>
          <w:szCs w:val="21"/>
          <w:highlight w:val="none"/>
          <w:lang w:val="en-US" w:eastAsia="zh-CN"/>
        </w:rPr>
        <w:t>检查井与管渠局部基础连续、井管连接部位局部加强等</w:t>
      </w:r>
      <w:r>
        <w:rPr>
          <w:rFonts w:hint="eastAsia" w:ascii="楷体" w:hAnsi="楷体" w:eastAsia="楷体" w:cs="楷体"/>
          <w:color w:val="auto"/>
          <w:sz w:val="21"/>
          <w:szCs w:val="21"/>
          <w:highlight w:val="none"/>
        </w:rPr>
        <w:t>（图</w:t>
      </w:r>
      <w:r>
        <w:rPr>
          <w:rFonts w:hint="eastAsia" w:ascii="楷体" w:hAnsi="楷体" w:eastAsia="楷体" w:cs="楷体"/>
          <w:color w:val="auto"/>
          <w:sz w:val="21"/>
          <w:szCs w:val="21"/>
          <w:highlight w:val="none"/>
          <w:lang w:val="en-US" w:eastAsia="zh-CN"/>
        </w:rPr>
        <w:t>7</w:t>
      </w:r>
      <w:r>
        <w:rPr>
          <w:rFonts w:hint="eastAsia" w:ascii="楷体" w:hAnsi="楷体" w:eastAsia="楷体" w:cs="楷体"/>
          <w:color w:val="auto"/>
          <w:sz w:val="21"/>
          <w:szCs w:val="21"/>
          <w:highlight w:val="none"/>
        </w:rPr>
        <w:t>）</w:t>
      </w:r>
      <w:r>
        <w:rPr>
          <w:rFonts w:hint="eastAsia" w:ascii="楷体" w:hAnsi="楷体" w:eastAsia="楷体" w:cs="楷体"/>
          <w:color w:val="auto"/>
          <w:sz w:val="21"/>
          <w:szCs w:val="21"/>
          <w:highlight w:val="none"/>
          <w:lang w:val="en-US" w:eastAsia="zh-CN"/>
        </w:rPr>
        <w:t>。</w:t>
      </w:r>
    </w:p>
    <w:p>
      <w:pPr>
        <w:tabs>
          <w:tab w:val="right" w:leader="dot" w:pos="8306"/>
        </w:tabs>
        <w:adjustRightInd w:val="0"/>
        <w:snapToGrid w:val="0"/>
        <w:spacing w:line="360" w:lineRule="auto"/>
        <w:ind w:firstLine="420" w:firstLineChars="200"/>
        <w:jc w:val="center"/>
        <w:rPr>
          <w:color w:val="auto"/>
          <w:highlight w:val="none"/>
        </w:rPr>
      </w:pPr>
      <w:r>
        <w:rPr>
          <w:color w:val="auto"/>
          <w:highlight w:val="none"/>
        </w:rPr>
        <w:drawing>
          <wp:inline distT="0" distB="0" distL="114300" distR="114300">
            <wp:extent cx="4803775" cy="3543300"/>
            <wp:effectExtent l="0" t="0" r="1587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6"/>
                    <a:srcRect t="1386" b="2790"/>
                    <a:stretch>
                      <a:fillRect/>
                    </a:stretch>
                  </pic:blipFill>
                  <pic:spPr>
                    <a:xfrm>
                      <a:off x="0" y="0"/>
                      <a:ext cx="4803775" cy="3543300"/>
                    </a:xfrm>
                    <a:prstGeom prst="rect">
                      <a:avLst/>
                    </a:prstGeom>
                    <a:noFill/>
                    <a:ln>
                      <a:noFill/>
                    </a:ln>
                  </pic:spPr>
                </pic:pic>
              </a:graphicData>
            </a:graphic>
          </wp:inline>
        </w:drawing>
      </w:r>
    </w:p>
    <w:p>
      <w:pPr>
        <w:tabs>
          <w:tab w:val="right" w:leader="dot" w:pos="8306"/>
        </w:tabs>
        <w:adjustRightInd w:val="0"/>
        <w:snapToGrid w:val="0"/>
        <w:spacing w:line="360" w:lineRule="auto"/>
        <w:ind w:firstLine="422" w:firstLineChars="200"/>
        <w:jc w:val="center"/>
        <w:rPr>
          <w:rFonts w:hint="default"/>
          <w:b/>
          <w:bCs/>
          <w:color w:val="auto"/>
          <w:highlight w:val="none"/>
          <w:lang w:val="en-US"/>
        </w:rPr>
      </w:pPr>
      <w:r>
        <w:rPr>
          <w:rFonts w:hint="eastAsia" w:ascii="楷体" w:hAnsi="楷体" w:eastAsia="楷体" w:cs="楷体"/>
          <w:b/>
          <w:bCs/>
          <w:color w:val="auto"/>
          <w:sz w:val="21"/>
          <w:szCs w:val="21"/>
          <w:highlight w:val="none"/>
        </w:rPr>
        <w:t>图</w:t>
      </w:r>
      <w:r>
        <w:rPr>
          <w:rFonts w:hint="eastAsia" w:ascii="楷体" w:hAnsi="楷体" w:eastAsia="楷体" w:cs="楷体"/>
          <w:b/>
          <w:bCs/>
          <w:color w:val="auto"/>
          <w:sz w:val="21"/>
          <w:szCs w:val="21"/>
          <w:highlight w:val="none"/>
          <w:lang w:val="en-US" w:eastAsia="zh-CN"/>
        </w:rPr>
        <w:t>7  井管连接示意图</w:t>
      </w:r>
    </w:p>
    <w:p>
      <w:pPr>
        <w:tabs>
          <w:tab w:val="right" w:leader="dot" w:pos="8306"/>
        </w:tabs>
        <w:adjustRightInd w:val="0"/>
        <w:snapToGrid w:val="0"/>
        <w:spacing w:line="360" w:lineRule="auto"/>
        <w:ind w:firstLine="420" w:firstLineChars="200"/>
        <w:jc w:val="center"/>
        <w:rPr>
          <w:rFonts w:hint="default" w:ascii="楷体" w:hAnsi="楷体" w:eastAsia="楷体" w:cs="楷体"/>
          <w:color w:val="auto"/>
          <w:sz w:val="21"/>
          <w:szCs w:val="21"/>
          <w:highlight w:val="none"/>
          <w:lang w:val="en-US" w:eastAsia="zh-CN"/>
        </w:rPr>
      </w:pPr>
      <w:r>
        <w:rPr>
          <w:rFonts w:hint="eastAsia" w:ascii="楷体" w:hAnsi="楷体" w:eastAsia="楷体" w:cs="楷体"/>
          <w:b w:val="0"/>
          <w:bCs w:val="0"/>
          <w:color w:val="auto"/>
          <w:sz w:val="21"/>
          <w:szCs w:val="21"/>
          <w:highlight w:val="none"/>
          <w:lang w:val="en-US" w:eastAsia="zh-CN"/>
        </w:rPr>
        <w:t>1-混凝土包裹；2-包裹混凝土配筋；3-井壁；4-检查井、管渠局部连续基础；5管道</w:t>
      </w:r>
    </w:p>
    <w:p>
      <w:pPr>
        <w:numPr>
          <w:ilvl w:val="0"/>
          <w:numId w:val="0"/>
        </w:numPr>
        <w:tabs>
          <w:tab w:val="right" w:leader="dot" w:pos="8306"/>
        </w:tabs>
        <w:adjustRightInd w:val="0"/>
        <w:snapToGrid w:val="0"/>
        <w:spacing w:line="360" w:lineRule="auto"/>
        <w:ind w:firstLine="420" w:firstLineChars="200"/>
        <w:jc w:val="left"/>
        <w:rPr>
          <w:rFonts w:hint="eastAsia" w:ascii="楷体" w:hAnsi="楷体" w:eastAsia="楷体" w:cs="楷体"/>
          <w:color w:val="auto"/>
          <w:sz w:val="21"/>
          <w:szCs w:val="21"/>
          <w:highlight w:val="none"/>
          <w:lang w:val="en-US" w:eastAsia="zh-CN"/>
        </w:rPr>
      </w:pPr>
      <w:r>
        <w:rPr>
          <w:rFonts w:hint="eastAsia" w:ascii="楷体" w:hAnsi="楷体" w:eastAsia="楷体" w:cs="楷体"/>
          <w:color w:val="auto"/>
          <w:sz w:val="21"/>
          <w:szCs w:val="21"/>
          <w:highlight w:val="none"/>
          <w:lang w:val="en-US" w:eastAsia="zh-CN"/>
        </w:rPr>
        <w:t>3  井管联接处应采取适应变形的措施，包括井管联接处设置止水橡胶圈</w:t>
      </w:r>
      <w:r>
        <w:rPr>
          <w:rFonts w:hint="eastAsia" w:ascii="楷体" w:hAnsi="楷体" w:eastAsia="楷体" w:cs="楷体"/>
          <w:color w:val="auto"/>
          <w:sz w:val="21"/>
          <w:szCs w:val="21"/>
          <w:highlight w:val="none"/>
          <w:lang w:eastAsia="zh-CN"/>
        </w:rPr>
        <w:t>、连</w:t>
      </w:r>
      <w:r>
        <w:rPr>
          <w:rFonts w:hint="eastAsia" w:ascii="楷体" w:hAnsi="楷体" w:eastAsia="楷体" w:cs="楷体"/>
          <w:color w:val="auto"/>
          <w:sz w:val="21"/>
          <w:szCs w:val="21"/>
          <w:highlight w:val="none"/>
          <w:lang w:val="en-US" w:eastAsia="zh-CN"/>
        </w:rPr>
        <w:t>接短管、柔性管接头联接等</w:t>
      </w:r>
      <w:r>
        <w:rPr>
          <w:rFonts w:hint="eastAsia" w:ascii="楷体" w:hAnsi="楷体" w:eastAsia="楷体" w:cs="楷体"/>
          <w:color w:val="auto"/>
          <w:sz w:val="21"/>
          <w:szCs w:val="21"/>
          <w:highlight w:val="none"/>
        </w:rPr>
        <w:t>（图</w:t>
      </w:r>
      <w:r>
        <w:rPr>
          <w:rFonts w:hint="eastAsia" w:ascii="楷体" w:hAnsi="楷体" w:eastAsia="楷体" w:cs="楷体"/>
          <w:color w:val="auto"/>
          <w:sz w:val="21"/>
          <w:szCs w:val="21"/>
          <w:highlight w:val="none"/>
          <w:lang w:val="en-US" w:eastAsia="zh-CN"/>
        </w:rPr>
        <w:t>8</w:t>
      </w:r>
      <w:r>
        <w:rPr>
          <w:rFonts w:hint="eastAsia" w:ascii="楷体" w:hAnsi="楷体" w:eastAsia="楷体" w:cs="楷体"/>
          <w:color w:val="auto"/>
          <w:sz w:val="21"/>
          <w:szCs w:val="21"/>
          <w:highlight w:val="none"/>
        </w:rPr>
        <w:t>）。</w:t>
      </w:r>
    </w:p>
    <w:p>
      <w:pPr>
        <w:tabs>
          <w:tab w:val="right" w:leader="dot" w:pos="8306"/>
        </w:tabs>
        <w:adjustRightInd w:val="0"/>
        <w:snapToGrid w:val="0"/>
        <w:spacing w:line="360" w:lineRule="auto"/>
        <w:ind w:firstLine="420" w:firstLineChars="200"/>
        <w:jc w:val="center"/>
        <w:rPr>
          <w:rFonts w:hint="eastAsia" w:ascii="楷体" w:hAnsi="楷体" w:eastAsia="楷体" w:cs="楷体"/>
          <w:color w:val="auto"/>
          <w:sz w:val="21"/>
          <w:szCs w:val="21"/>
          <w:highlight w:val="none"/>
        </w:rPr>
      </w:pPr>
      <w:r>
        <w:drawing>
          <wp:inline distT="0" distB="0" distL="114300" distR="114300">
            <wp:extent cx="2452370" cy="1971040"/>
            <wp:effectExtent l="0" t="0" r="1270" b="1016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7"/>
                    <a:stretch>
                      <a:fillRect/>
                    </a:stretch>
                  </pic:blipFill>
                  <pic:spPr>
                    <a:xfrm>
                      <a:off x="0" y="0"/>
                      <a:ext cx="2452370" cy="1971040"/>
                    </a:xfrm>
                    <a:prstGeom prst="rect">
                      <a:avLst/>
                    </a:prstGeom>
                    <a:noFill/>
                    <a:ln>
                      <a:noFill/>
                    </a:ln>
                  </pic:spPr>
                </pic:pic>
              </a:graphicData>
            </a:graphic>
          </wp:inline>
        </w:drawing>
      </w:r>
    </w:p>
    <w:p>
      <w:pPr>
        <w:tabs>
          <w:tab w:val="right" w:leader="dot" w:pos="8306"/>
        </w:tabs>
        <w:adjustRightInd w:val="0"/>
        <w:snapToGrid w:val="0"/>
        <w:spacing w:line="360" w:lineRule="auto"/>
        <w:ind w:firstLine="422" w:firstLineChars="200"/>
        <w:jc w:val="center"/>
        <w:rPr>
          <w:rFonts w:hint="default" w:ascii="楷体" w:hAnsi="楷体" w:eastAsia="楷体" w:cs="楷体"/>
          <w:b/>
          <w:bCs/>
          <w:color w:val="auto"/>
          <w:sz w:val="21"/>
          <w:szCs w:val="21"/>
          <w:highlight w:val="none"/>
          <w:lang w:val="en-US" w:eastAsia="zh-CN"/>
        </w:rPr>
      </w:pPr>
      <w:r>
        <w:rPr>
          <w:rFonts w:hint="eastAsia" w:ascii="楷体" w:hAnsi="楷体" w:eastAsia="楷体" w:cs="楷体"/>
          <w:b/>
          <w:bCs/>
          <w:color w:val="auto"/>
          <w:sz w:val="21"/>
          <w:szCs w:val="21"/>
          <w:highlight w:val="none"/>
          <w:lang w:val="en-US" w:eastAsia="zh-CN"/>
        </w:rPr>
        <w:t>图8  井管连接示意图</w:t>
      </w:r>
    </w:p>
    <w:p>
      <w:pPr>
        <w:numPr>
          <w:ilvl w:val="0"/>
          <w:numId w:val="5"/>
        </w:numPr>
        <w:tabs>
          <w:tab w:val="right" w:leader="dot" w:pos="8306"/>
        </w:tabs>
        <w:adjustRightInd w:val="0"/>
        <w:snapToGrid w:val="0"/>
        <w:spacing w:line="360" w:lineRule="auto"/>
        <w:jc w:val="center"/>
        <w:rPr>
          <w:rFonts w:hint="eastAsia" w:ascii="楷体" w:hAnsi="楷体" w:eastAsia="楷体" w:cs="楷体"/>
          <w:b w:val="0"/>
          <w:bCs w:val="0"/>
          <w:color w:val="auto"/>
          <w:sz w:val="21"/>
          <w:szCs w:val="21"/>
          <w:highlight w:val="none"/>
          <w:lang w:val="en-US" w:eastAsia="zh-CN"/>
        </w:rPr>
      </w:pPr>
      <w:r>
        <w:rPr>
          <w:rFonts w:hint="eastAsia" w:ascii="楷体" w:hAnsi="楷体" w:eastAsia="楷体" w:cs="楷体"/>
          <w:b w:val="0"/>
          <w:bCs w:val="0"/>
          <w:color w:val="auto"/>
          <w:sz w:val="21"/>
          <w:szCs w:val="21"/>
          <w:highlight w:val="none"/>
          <w:lang w:val="en-US" w:eastAsia="zh-CN"/>
        </w:rPr>
        <w:t>检查井基础；2-混凝土包裹；3-井体；4-遇水膨胀密封橡胶圈；5-连接短管；6-管道；</w:t>
      </w:r>
    </w:p>
    <w:p>
      <w:pPr>
        <w:numPr>
          <w:ilvl w:val="0"/>
          <w:numId w:val="6"/>
        </w:numPr>
        <w:tabs>
          <w:tab w:val="right" w:leader="dot" w:pos="8306"/>
        </w:tabs>
        <w:adjustRightInd w:val="0"/>
        <w:snapToGrid w:val="0"/>
        <w:spacing w:line="360" w:lineRule="auto"/>
        <w:jc w:val="center"/>
        <w:rPr>
          <w:rFonts w:hint="eastAsia" w:ascii="楷体" w:hAnsi="楷体" w:eastAsia="楷体" w:cs="楷体"/>
          <w:b w:val="0"/>
          <w:bCs w:val="0"/>
          <w:color w:val="auto"/>
          <w:sz w:val="21"/>
          <w:szCs w:val="21"/>
          <w:highlight w:val="none"/>
          <w:lang w:val="en-US" w:eastAsia="zh-CN"/>
        </w:rPr>
      </w:pPr>
      <w:r>
        <w:rPr>
          <w:rFonts w:hint="eastAsia" w:ascii="楷体" w:hAnsi="楷体" w:eastAsia="楷体" w:cs="楷体"/>
          <w:b w:val="0"/>
          <w:bCs w:val="0"/>
          <w:color w:val="auto"/>
          <w:sz w:val="21"/>
          <w:szCs w:val="21"/>
          <w:highlight w:val="none"/>
          <w:lang w:val="en-US" w:eastAsia="zh-CN"/>
        </w:rPr>
        <w:t>管道基础；8-柔性管接头联接</w:t>
      </w:r>
    </w:p>
    <w:p>
      <w:pPr>
        <w:numPr>
          <w:ilvl w:val="0"/>
          <w:numId w:val="0"/>
        </w:numPr>
        <w:tabs>
          <w:tab w:val="right" w:leader="dot" w:pos="8306"/>
        </w:tabs>
        <w:adjustRightInd w:val="0"/>
        <w:snapToGrid w:val="0"/>
        <w:spacing w:line="360" w:lineRule="auto"/>
        <w:ind w:firstLine="420" w:firstLineChars="200"/>
        <w:jc w:val="both"/>
        <w:rPr>
          <w:rFonts w:hint="default" w:ascii="楷体" w:hAnsi="楷体" w:eastAsia="楷体" w:cs="楷体"/>
          <w:b w:val="0"/>
          <w:bCs w:val="0"/>
          <w:color w:val="auto"/>
          <w:sz w:val="21"/>
          <w:szCs w:val="21"/>
          <w:highlight w:val="none"/>
          <w:lang w:val="en-US" w:eastAsia="zh-CN"/>
        </w:rPr>
      </w:pPr>
      <w:r>
        <w:rPr>
          <w:rFonts w:hint="eastAsia" w:ascii="楷体" w:hAnsi="楷体" w:eastAsia="楷体" w:cs="楷体"/>
          <w:color w:val="auto"/>
          <w:sz w:val="21"/>
          <w:szCs w:val="21"/>
          <w:highlight w:val="none"/>
          <w:lang w:val="en-US" w:eastAsia="zh-CN"/>
        </w:rPr>
        <w:t>4  软土、黄土、膨胀土、冻土、红黏土、盐渍土等特殊土地区的路基，应查明特殊土的分布范围与地层特征，特殊土的物理、力学和水力特性，以及道路沿线的水文与地质条件，合理确定路基处理或处治的方案，使其具有良好的抗变形能力和稳定性</w:t>
      </w:r>
      <w:r>
        <w:rPr>
          <w:rFonts w:hint="eastAsia" w:ascii="楷体" w:hAnsi="楷体" w:eastAsia="楷体" w:cs="楷体"/>
          <w:color w:val="auto"/>
          <w:sz w:val="21"/>
          <w:szCs w:val="21"/>
          <w:highlight w:val="none"/>
        </w:rPr>
        <w:t>。</w:t>
      </w:r>
    </w:p>
    <w:p>
      <w:pPr>
        <w:pStyle w:val="3"/>
        <w:keepNext/>
        <w:keepLines/>
        <w:pageBreakBefore w:val="0"/>
        <w:widowControl w:val="0"/>
        <w:kinsoku/>
        <w:wordWrap/>
        <w:overflowPunct/>
        <w:topLinePunct w:val="0"/>
        <w:autoSpaceDE/>
        <w:autoSpaceDN/>
        <w:bidi w:val="0"/>
        <w:adjustRightInd w:val="0"/>
        <w:snapToGrid w:val="0"/>
        <w:spacing w:before="0" w:beforeLines="50" w:after="0" w:line="360" w:lineRule="auto"/>
        <w:ind w:left="0" w:leftChars="0" w:right="0" w:rightChars="0"/>
        <w:jc w:val="center"/>
        <w:textAlignment w:val="auto"/>
        <w:rPr>
          <w:rFonts w:hint="eastAsia" w:ascii="Times New Roman"/>
          <w:color w:val="auto"/>
          <w:sz w:val="24"/>
          <w:szCs w:val="24"/>
          <w:highlight w:val="none"/>
          <w:lang w:val="en-US" w:eastAsia="zh-CN"/>
        </w:rPr>
      </w:pPr>
      <w:bookmarkStart w:id="70" w:name="_Toc16279"/>
      <w:r>
        <w:rPr>
          <w:rFonts w:hint="eastAsia"/>
          <w:color w:val="auto"/>
          <w:sz w:val="24"/>
          <w:szCs w:val="24"/>
          <w:highlight w:val="none"/>
          <w:lang w:val="en-US" w:eastAsia="zh-CN"/>
        </w:rPr>
        <w:t xml:space="preserve">3.3  </w:t>
      </w:r>
      <w:r>
        <w:rPr>
          <w:rFonts w:hint="eastAsia" w:ascii="Times New Roman"/>
          <w:color w:val="auto"/>
          <w:sz w:val="24"/>
          <w:szCs w:val="24"/>
          <w:highlight w:val="none"/>
          <w:lang w:val="en-US" w:eastAsia="zh-CN"/>
        </w:rPr>
        <w:t>新建、改扩建工程</w:t>
      </w:r>
      <w:r>
        <w:rPr>
          <w:rFonts w:hint="eastAsia"/>
          <w:color w:val="auto"/>
          <w:sz w:val="24"/>
          <w:szCs w:val="24"/>
          <w:highlight w:val="none"/>
          <w:lang w:val="en-US" w:eastAsia="zh-CN"/>
        </w:rPr>
        <w:t>卸载板</w:t>
      </w:r>
      <w:bookmarkEnd w:id="60"/>
      <w:bookmarkEnd w:id="61"/>
      <w:r>
        <w:rPr>
          <w:rFonts w:hint="eastAsia"/>
          <w:color w:val="auto"/>
          <w:sz w:val="24"/>
          <w:szCs w:val="24"/>
          <w:highlight w:val="none"/>
          <w:lang w:val="en-US" w:eastAsia="zh-CN"/>
        </w:rPr>
        <w:t>、</w:t>
      </w:r>
      <w:r>
        <w:rPr>
          <w:rFonts w:hint="eastAsia" w:ascii="Times New Roman"/>
          <w:color w:val="auto"/>
          <w:sz w:val="24"/>
          <w:szCs w:val="24"/>
          <w:highlight w:val="none"/>
          <w:lang w:val="en-US" w:eastAsia="zh-CN"/>
        </w:rPr>
        <w:t>盖座</w:t>
      </w:r>
      <w:bookmarkEnd w:id="62"/>
      <w:bookmarkEnd w:id="63"/>
      <w:bookmarkEnd w:id="64"/>
      <w:bookmarkEnd w:id="65"/>
      <w:bookmarkEnd w:id="66"/>
      <w:bookmarkEnd w:id="70"/>
    </w:p>
    <w:p>
      <w:pPr>
        <w:pageBreakBefore w:val="0"/>
        <w:tabs>
          <w:tab w:val="right" w:leader="dot" w:pos="8306"/>
        </w:tabs>
        <w:kinsoku/>
        <w:wordWrap/>
        <w:overflowPunct/>
        <w:topLinePunct w:val="0"/>
        <w:bidi w:val="0"/>
        <w:adjustRightInd w:val="0"/>
        <w:snapToGrid w:val="0"/>
        <w:spacing w:line="360" w:lineRule="auto"/>
        <w:ind w:left="0" w:leftChars="0" w:right="0" w:rightChars="0"/>
        <w:jc w:val="left"/>
        <w:textAlignment w:val="auto"/>
        <w:rPr>
          <w:rFonts w:hint="eastAsia"/>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3.3.1 </w:t>
      </w:r>
      <w:r>
        <w:rPr>
          <w:rFonts w:hint="eastAsia" w:ascii="Times New Roman" w:hAnsi="宋体" w:eastAsia="宋体" w:cs="Times New Roman"/>
          <w:b w:val="0"/>
          <w:bCs w:val="0"/>
          <w:color w:val="auto"/>
          <w:kern w:val="2"/>
          <w:sz w:val="24"/>
          <w:szCs w:val="24"/>
          <w:highlight w:val="none"/>
          <w:lang w:val="en-US" w:eastAsia="zh-CN" w:bidi="ar-SA"/>
        </w:rPr>
        <w:t xml:space="preserve"> 防沉降井盖井周配套构造应进行</w:t>
      </w:r>
      <w:r>
        <w:rPr>
          <w:rFonts w:hint="eastAsia"/>
          <w:color w:val="auto"/>
          <w:sz w:val="24"/>
          <w:highlight w:val="none"/>
          <w:lang w:val="en-US" w:eastAsia="zh-CN"/>
        </w:rPr>
        <w:t>卸载板、盖座设计，并应符合现行国家标准规定。具备条件的工程，宜优先设置卸载板。</w:t>
      </w:r>
    </w:p>
    <w:p>
      <w:pPr>
        <w:pageBreakBefore w:val="0"/>
        <w:tabs>
          <w:tab w:val="right" w:leader="dot" w:pos="8306"/>
        </w:tabs>
        <w:kinsoku/>
        <w:wordWrap/>
        <w:overflowPunct/>
        <w:topLinePunct w:val="0"/>
        <w:bidi w:val="0"/>
        <w:adjustRightInd w:val="0"/>
        <w:snapToGrid w:val="0"/>
        <w:spacing w:line="360" w:lineRule="auto"/>
        <w:ind w:left="0" w:leftChars="0" w:right="0" w:rightChars="0"/>
        <w:jc w:val="left"/>
        <w:textAlignment w:val="auto"/>
        <w:rPr>
          <w:rFonts w:hint="eastAsia"/>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3.3.2</w:t>
      </w:r>
      <w:r>
        <w:rPr>
          <w:rFonts w:hint="eastAsia"/>
          <w:color w:val="auto"/>
          <w:sz w:val="24"/>
          <w:highlight w:val="none"/>
          <w:lang w:val="en-US" w:eastAsia="zh-CN"/>
        </w:rPr>
        <w:t xml:space="preserve">  卸载板及盖座一般为现浇或预制钢筋混凝土构件，混凝土强度等级不应低于C30及井周结构混凝土强度。其抗折强度等级、抗渗等级、抗冻等级及所用材料应符合现行国家标准规定。</w:t>
      </w:r>
    </w:p>
    <w:p>
      <w:pPr>
        <w:pageBreakBefore w:val="0"/>
        <w:tabs>
          <w:tab w:val="right" w:leader="dot" w:pos="8306"/>
        </w:tabs>
        <w:kinsoku/>
        <w:wordWrap/>
        <w:overflowPunct/>
        <w:topLinePunct w:val="0"/>
        <w:bidi w:val="0"/>
        <w:adjustRightInd w:val="0"/>
        <w:snapToGrid w:val="0"/>
        <w:spacing w:line="360" w:lineRule="auto"/>
        <w:ind w:left="0" w:leftChars="0" w:right="0" w:rightChars="0"/>
        <w:jc w:val="left"/>
        <w:textAlignment w:val="auto"/>
        <w:rPr>
          <w:rFonts w:hint="eastAsia"/>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3.3.3</w:t>
      </w:r>
      <w:r>
        <w:rPr>
          <w:rFonts w:hint="eastAsia"/>
          <w:color w:val="auto"/>
          <w:sz w:val="24"/>
          <w:highlight w:val="none"/>
          <w:lang w:val="en-US" w:eastAsia="zh-CN"/>
        </w:rPr>
        <w:t xml:space="preserve">  卸载板及盖座预留的井孔尺寸大于防沉降井盖筒体尺寸10mm～15mm。</w:t>
      </w:r>
    </w:p>
    <w:p>
      <w:pPr>
        <w:pageBreakBefore w:val="0"/>
        <w:tabs>
          <w:tab w:val="right" w:leader="dot" w:pos="8306"/>
        </w:tabs>
        <w:kinsoku/>
        <w:wordWrap/>
        <w:overflowPunct/>
        <w:topLinePunct w:val="0"/>
        <w:bidi w:val="0"/>
        <w:adjustRightInd w:val="0"/>
        <w:snapToGrid w:val="0"/>
        <w:spacing w:line="360" w:lineRule="auto"/>
        <w:ind w:left="0" w:leftChars="0" w:right="0" w:rightChars="0"/>
        <w:jc w:val="left"/>
        <w:textAlignment w:val="auto"/>
        <w:rPr>
          <w:rFonts w:hint="default" w:ascii="楷体" w:hAnsi="楷体" w:eastAsia="楷体" w:cs="楷体"/>
          <w:color w:val="auto"/>
          <w:sz w:val="21"/>
          <w:szCs w:val="21"/>
          <w:highlight w:val="none"/>
          <w:lang w:val="en-US" w:eastAsia="zh-CN"/>
        </w:rPr>
      </w:pPr>
      <w:r>
        <w:rPr>
          <w:rFonts w:hint="eastAsia" w:ascii="楷体" w:hAnsi="楷体" w:eastAsia="楷体" w:cs="楷体"/>
          <w:color w:val="auto"/>
          <w:sz w:val="21"/>
          <w:szCs w:val="21"/>
          <w:highlight w:val="none"/>
        </w:rPr>
        <w:t>【</w:t>
      </w:r>
      <w:r>
        <w:rPr>
          <w:rFonts w:hint="eastAsia" w:ascii="楷体" w:hAnsi="楷体" w:eastAsia="楷体" w:cs="楷体"/>
          <w:color w:val="auto"/>
          <w:sz w:val="21"/>
          <w:szCs w:val="21"/>
          <w:highlight w:val="none"/>
          <w:lang w:eastAsia="zh-CN"/>
        </w:rPr>
        <w:t>条文</w:t>
      </w:r>
      <w:r>
        <w:rPr>
          <w:rFonts w:hint="eastAsia" w:ascii="楷体" w:hAnsi="楷体" w:eastAsia="楷体" w:cs="楷体"/>
          <w:color w:val="auto"/>
          <w:sz w:val="21"/>
          <w:szCs w:val="21"/>
          <w:highlight w:val="none"/>
        </w:rPr>
        <w:t>说明】</w:t>
      </w:r>
      <w:r>
        <w:rPr>
          <w:rFonts w:hint="eastAsia" w:ascii="楷体" w:hAnsi="楷体" w:eastAsia="楷体" w:cs="楷体"/>
          <w:color w:val="auto"/>
          <w:sz w:val="21"/>
          <w:szCs w:val="21"/>
          <w:highlight w:val="none"/>
          <w:lang w:val="en-US" w:eastAsia="zh-CN"/>
        </w:rPr>
        <w:t>井孔尺寸宽裕度小于井圈筒体尺寸10mm时，井圈筒体插入井孔较为困难；井孔尺寸大于井圈筒体尺寸15mm，防沉降井盖安装时沥青混合料易掉入井室内，影响施工质量，增加施工难度。故要求井孔尺寸大于井圈筒体尺寸10mm～15mm，预留合理的安装间隙。</w:t>
      </w:r>
    </w:p>
    <w:p>
      <w:pPr>
        <w:pageBreakBefore w:val="0"/>
        <w:tabs>
          <w:tab w:val="right" w:leader="dot" w:pos="8306"/>
        </w:tabs>
        <w:kinsoku/>
        <w:wordWrap/>
        <w:overflowPunct/>
        <w:topLinePunct w:val="0"/>
        <w:bidi w:val="0"/>
        <w:adjustRightInd w:val="0"/>
        <w:snapToGrid w:val="0"/>
        <w:spacing w:line="360" w:lineRule="auto"/>
        <w:ind w:left="0" w:leftChars="0" w:right="0" w:rightChars="0"/>
        <w:jc w:val="left"/>
        <w:textAlignment w:val="auto"/>
        <w:rPr>
          <w:rFonts w:hint="default"/>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3.3.4  </w:t>
      </w:r>
      <w:r>
        <w:rPr>
          <w:rFonts w:hint="eastAsia" w:ascii="Times New Roman" w:hAnsi="宋体" w:eastAsia="宋体" w:cs="Times New Roman"/>
          <w:b w:val="0"/>
          <w:bCs w:val="0"/>
          <w:color w:val="auto"/>
          <w:kern w:val="2"/>
          <w:sz w:val="24"/>
          <w:szCs w:val="24"/>
          <w:highlight w:val="none"/>
          <w:lang w:val="en-US" w:eastAsia="zh-CN" w:bidi="ar-SA"/>
        </w:rPr>
        <w:t>新建、改扩建工程，</w:t>
      </w:r>
      <w:r>
        <w:rPr>
          <w:rFonts w:hint="eastAsia"/>
          <w:b w:val="0"/>
          <w:bCs w:val="0"/>
          <w:color w:val="auto"/>
          <w:sz w:val="24"/>
          <w:highlight w:val="none"/>
          <w:lang w:val="en-US" w:eastAsia="zh-CN"/>
        </w:rPr>
        <w:t>卸载板应设置</w:t>
      </w:r>
      <w:r>
        <w:rPr>
          <w:rFonts w:hint="eastAsia"/>
          <w:color w:val="auto"/>
          <w:sz w:val="24"/>
          <w:highlight w:val="none"/>
          <w:lang w:val="en-US" w:eastAsia="zh-CN"/>
        </w:rPr>
        <w:t xml:space="preserve">在道路基层或底基层中。   </w:t>
      </w:r>
    </w:p>
    <w:p>
      <w:pPr>
        <w:pageBreakBefore w:val="0"/>
        <w:tabs>
          <w:tab w:val="right" w:leader="dot" w:pos="8306"/>
        </w:tabs>
        <w:kinsoku/>
        <w:wordWrap/>
        <w:overflowPunct/>
        <w:topLinePunct w:val="0"/>
        <w:bidi w:val="0"/>
        <w:adjustRightInd w:val="0"/>
        <w:snapToGrid w:val="0"/>
        <w:spacing w:line="360" w:lineRule="auto"/>
        <w:ind w:left="0" w:leftChars="0" w:right="0" w:rightChars="0"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val="0"/>
          <w:bCs w:val="0"/>
          <w:color w:val="auto"/>
          <w:kern w:val="2"/>
          <w:sz w:val="24"/>
          <w:szCs w:val="24"/>
          <w:highlight w:val="none"/>
          <w:lang w:val="en-US" w:eastAsia="zh-CN" w:bidi="ar-SA"/>
        </w:rPr>
        <w:t xml:space="preserve"> 1  极重交通、</w:t>
      </w:r>
      <w:r>
        <w:rPr>
          <w:rFonts w:hint="eastAsia" w:ascii="宋体" w:hAnsi="宋体" w:eastAsia="宋体" w:cs="宋体"/>
          <w:color w:val="auto"/>
          <w:sz w:val="24"/>
          <w:szCs w:val="24"/>
          <w:highlight w:val="none"/>
          <w:lang w:val="en-US" w:eastAsia="zh-CN"/>
        </w:rPr>
        <w:t>特重交通</w:t>
      </w:r>
      <w:r>
        <w:rPr>
          <w:rFonts w:hint="eastAsia" w:ascii="Times New Roman" w:hAnsi="宋体" w:eastAsia="宋体" w:cs="Times New Roman"/>
          <w:b/>
          <w:bCs/>
          <w:color w:val="auto"/>
          <w:kern w:val="2"/>
          <w:sz w:val="24"/>
          <w:szCs w:val="24"/>
          <w:highlight w:val="none"/>
          <w:lang w:val="en-US" w:eastAsia="zh-CN" w:bidi="ar-SA"/>
        </w:rPr>
        <w:t>、</w:t>
      </w:r>
      <w:r>
        <w:rPr>
          <w:rFonts w:hint="eastAsia" w:ascii="宋体" w:hAnsi="宋体" w:eastAsia="宋体" w:cs="宋体"/>
          <w:color w:val="auto"/>
          <w:sz w:val="24"/>
          <w:szCs w:val="24"/>
          <w:highlight w:val="none"/>
          <w:lang w:val="en-US" w:eastAsia="zh-CN"/>
        </w:rPr>
        <w:t>重交通道路或软土路基及检查井与井周结构沉降差大于50mm的宜采用分离式卸载板，</w:t>
      </w:r>
      <w:r>
        <w:rPr>
          <w:rFonts w:hint="eastAsia"/>
          <w:color w:val="auto"/>
          <w:sz w:val="24"/>
          <w:highlight w:val="none"/>
          <w:lang w:val="en-US" w:eastAsia="zh-CN"/>
        </w:rPr>
        <w:t>卸载板与井周结构搭接宽度</w:t>
      </w:r>
      <w:r>
        <w:rPr>
          <w:rFonts w:hint="default" w:ascii="Times New Roman" w:hAnsi="Times New Roman" w:cs="Times New Roman"/>
          <w:i/>
          <w:iCs/>
          <w:color w:val="auto"/>
          <w:sz w:val="24"/>
          <w:highlight w:val="none"/>
          <w:lang w:val="en-US" w:eastAsia="zh-CN"/>
        </w:rPr>
        <w:t>b</w:t>
      </w:r>
      <w:r>
        <w:rPr>
          <w:rFonts w:hint="eastAsia"/>
          <w:color w:val="auto"/>
          <w:sz w:val="24"/>
          <w:highlight w:val="none"/>
          <w:lang w:val="en-US" w:eastAsia="zh-CN"/>
        </w:rPr>
        <w:t>不小于1.0m，厚度</w:t>
      </w:r>
      <w:r>
        <w:rPr>
          <w:rFonts w:hint="default" w:ascii="Times New Roman" w:hAnsi="Times New Roman" w:cs="Times New Roman"/>
          <w:i/>
          <w:iCs/>
          <w:color w:val="auto"/>
          <w:sz w:val="24"/>
          <w:highlight w:val="none"/>
          <w:lang w:val="en-US" w:eastAsia="zh-CN"/>
        </w:rPr>
        <w:t>h</w:t>
      </w:r>
      <w:r>
        <w:rPr>
          <w:rFonts w:hint="eastAsia"/>
          <w:color w:val="auto"/>
          <w:sz w:val="24"/>
          <w:highlight w:val="none"/>
          <w:lang w:val="en-US" w:eastAsia="zh-CN"/>
        </w:rPr>
        <w:t>不小于250mm。</w:t>
      </w:r>
      <w:r>
        <w:rPr>
          <w:rFonts w:hint="eastAsia" w:ascii="宋体" w:hAnsi="宋体" w:eastAsia="宋体" w:cs="宋体"/>
          <w:color w:val="auto"/>
          <w:sz w:val="24"/>
          <w:szCs w:val="24"/>
          <w:highlight w:val="none"/>
          <w:lang w:val="en-US" w:eastAsia="zh-CN"/>
        </w:rPr>
        <w:t>宜设置沉降协调带及分离带，分离带顶面高出井体150mm～300mm（图3.3.4-1、图3.3.4-2）。</w:t>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color w:val="auto"/>
          <w:highlight w:val="none"/>
        </w:rPr>
      </w:pPr>
      <w:r>
        <w:rPr>
          <w:color w:val="auto"/>
        </w:rPr>
        <w:drawing>
          <wp:inline distT="0" distB="0" distL="114300" distR="114300">
            <wp:extent cx="5784850" cy="2326005"/>
            <wp:effectExtent l="0" t="0" r="6350" b="571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8"/>
                    <a:srcRect t="9625" b="6978"/>
                    <a:stretch>
                      <a:fillRect/>
                    </a:stretch>
                  </pic:blipFill>
                  <pic:spPr>
                    <a:xfrm>
                      <a:off x="0" y="0"/>
                      <a:ext cx="5784850" cy="2326005"/>
                    </a:xfrm>
                    <a:prstGeom prst="rect">
                      <a:avLst/>
                    </a:prstGeom>
                    <a:noFill/>
                    <a:ln>
                      <a:noFill/>
                    </a:ln>
                  </pic:spPr>
                </pic:pic>
              </a:graphicData>
            </a:graphic>
          </wp:inline>
        </w:drawing>
      </w:r>
    </w:p>
    <w:p>
      <w:pPr>
        <w:pStyle w:val="18"/>
        <w:keepLines w:val="0"/>
        <w:numPr>
          <w:ilvl w:val="0"/>
          <w:numId w:val="0"/>
        </w:numPr>
        <w:kinsoku/>
        <w:wordWrap/>
        <w:overflowPunct/>
        <w:topLinePunct w:val="0"/>
        <w:bidi w:val="0"/>
        <w:adjustRightInd w:val="0"/>
        <w:snapToGrid w:val="0"/>
        <w:spacing w:beforeAutospacing="0" w:afterAutospacing="0" w:line="360" w:lineRule="auto"/>
        <w:jc w:val="center"/>
        <w:textAlignment w:val="auto"/>
        <w:rPr>
          <w:rFonts w:hint="eastAsia"/>
          <w:color w:val="auto"/>
          <w:sz w:val="18"/>
          <w:szCs w:val="18"/>
          <w:highlight w:val="none"/>
        </w:rPr>
      </w:pPr>
      <w:r>
        <w:rPr>
          <w:rFonts w:hint="eastAsia" w:ascii="宋体" w:hAnsi="宋体" w:eastAsia="宋体" w:cs="宋体"/>
          <w:b/>
          <w:bCs/>
          <w:color w:val="auto"/>
          <w:highlight w:val="none"/>
          <w:lang w:eastAsia="zh-CN"/>
        </w:rPr>
        <w:t>图</w:t>
      </w:r>
      <w:r>
        <w:rPr>
          <w:rFonts w:hint="eastAsia" w:ascii="宋体" w:hAnsi="宋体" w:eastAsia="宋体" w:cs="宋体"/>
          <w:b/>
          <w:bCs/>
          <w:color w:val="auto"/>
          <w:highlight w:val="none"/>
          <w:lang w:val="en-US" w:eastAsia="zh-CN"/>
        </w:rPr>
        <w:t>3.</w:t>
      </w:r>
      <w:r>
        <w:rPr>
          <w:rFonts w:hint="eastAsia" w:hAnsi="宋体" w:cs="宋体"/>
          <w:b/>
          <w:bCs/>
          <w:color w:val="auto"/>
          <w:highlight w:val="none"/>
          <w:lang w:val="en-US" w:eastAsia="zh-CN"/>
        </w:rPr>
        <w:t>3</w:t>
      </w:r>
      <w:r>
        <w:rPr>
          <w:rFonts w:hint="eastAsia" w:ascii="宋体" w:hAnsi="宋体" w:eastAsia="宋体" w:cs="宋体"/>
          <w:b/>
          <w:bCs/>
          <w:color w:val="auto"/>
          <w:highlight w:val="none"/>
          <w:lang w:val="en-US" w:eastAsia="zh-CN"/>
        </w:rPr>
        <w:t>.</w:t>
      </w:r>
      <w:r>
        <w:rPr>
          <w:rFonts w:hint="eastAsia" w:hAnsi="宋体" w:cs="宋体"/>
          <w:b/>
          <w:bCs/>
          <w:color w:val="auto"/>
          <w:highlight w:val="none"/>
          <w:lang w:val="en-US" w:eastAsia="zh-CN"/>
        </w:rPr>
        <w:t>4</w:t>
      </w:r>
      <w:r>
        <w:rPr>
          <w:rFonts w:hint="eastAsia" w:ascii="宋体" w:hAnsi="宋体" w:eastAsia="宋体" w:cs="宋体"/>
          <w:b/>
          <w:bCs/>
          <w:color w:val="auto"/>
          <w:highlight w:val="none"/>
          <w:lang w:val="en-US" w:eastAsia="zh-CN"/>
        </w:rPr>
        <w:t>-1  分离式卸载板</w:t>
      </w:r>
      <w:r>
        <w:rPr>
          <w:rFonts w:hint="eastAsia" w:ascii="宋体" w:hAnsi="宋体" w:eastAsia="宋体" w:cs="宋体"/>
          <w:b/>
          <w:bCs/>
          <w:color w:val="auto"/>
          <w:kern w:val="2"/>
          <w:sz w:val="21"/>
          <w:szCs w:val="24"/>
          <w:highlight w:val="none"/>
          <w:lang w:val="en-US" w:eastAsia="zh-CN" w:bidi="ar-SA"/>
        </w:rPr>
        <w:t>（底基层）</w:t>
      </w:r>
    </w:p>
    <w:p>
      <w:pPr>
        <w:pStyle w:val="18"/>
        <w:keepLines w:val="0"/>
        <w:numPr>
          <w:ilvl w:val="0"/>
          <w:numId w:val="7"/>
        </w:numPr>
        <w:kinsoku/>
        <w:wordWrap/>
        <w:overflowPunct/>
        <w:topLinePunct w:val="0"/>
        <w:bidi w:val="0"/>
        <w:adjustRightInd w:val="0"/>
        <w:snapToGrid w:val="0"/>
        <w:spacing w:beforeAutospacing="0" w:afterAutospacing="0" w:line="360" w:lineRule="auto"/>
        <w:jc w:val="center"/>
        <w:textAlignment w:val="auto"/>
        <w:rPr>
          <w:rFonts w:hint="eastAsia"/>
          <w:color w:val="auto"/>
          <w:sz w:val="18"/>
          <w:szCs w:val="18"/>
          <w:highlight w:val="none"/>
        </w:rPr>
      </w:pPr>
      <w:r>
        <w:rPr>
          <w:rFonts w:hint="eastAsia"/>
          <w:color w:val="auto"/>
          <w:sz w:val="18"/>
          <w:szCs w:val="18"/>
          <w:highlight w:val="none"/>
          <w:lang w:val="en-US" w:eastAsia="zh-CN"/>
        </w:rPr>
        <w:t>井体</w:t>
      </w:r>
      <w:r>
        <w:rPr>
          <w:rFonts w:hint="eastAsia"/>
          <w:color w:val="auto"/>
          <w:sz w:val="18"/>
          <w:szCs w:val="18"/>
          <w:highlight w:val="none"/>
        </w:rPr>
        <w:t>；2-</w:t>
      </w:r>
      <w:r>
        <w:rPr>
          <w:rFonts w:hint="eastAsia"/>
          <w:color w:val="auto"/>
          <w:sz w:val="18"/>
          <w:szCs w:val="18"/>
          <w:highlight w:val="none"/>
          <w:lang w:val="en-US" w:eastAsia="zh-CN"/>
        </w:rPr>
        <w:t>沉降协调带</w:t>
      </w:r>
      <w:r>
        <w:rPr>
          <w:rFonts w:hint="eastAsia"/>
          <w:color w:val="auto"/>
          <w:sz w:val="18"/>
          <w:szCs w:val="18"/>
          <w:highlight w:val="none"/>
        </w:rPr>
        <w:t>；3-</w:t>
      </w:r>
      <w:r>
        <w:rPr>
          <w:rFonts w:hint="eastAsia"/>
          <w:color w:val="auto"/>
          <w:sz w:val="18"/>
          <w:szCs w:val="18"/>
          <w:highlight w:val="none"/>
          <w:lang w:val="en-US" w:eastAsia="zh-CN"/>
        </w:rPr>
        <w:t>卸载板</w:t>
      </w:r>
      <w:r>
        <w:rPr>
          <w:rFonts w:hint="eastAsia"/>
          <w:color w:val="auto"/>
          <w:sz w:val="18"/>
          <w:szCs w:val="18"/>
          <w:highlight w:val="none"/>
        </w:rPr>
        <w:t>；4-</w:t>
      </w:r>
      <w:r>
        <w:rPr>
          <w:rFonts w:hint="eastAsia"/>
          <w:color w:val="auto"/>
          <w:sz w:val="18"/>
          <w:szCs w:val="18"/>
          <w:highlight w:val="none"/>
          <w:lang w:val="en-US" w:eastAsia="zh-CN"/>
        </w:rPr>
        <w:t>止水密封圈</w:t>
      </w:r>
      <w:r>
        <w:rPr>
          <w:rFonts w:hint="eastAsia"/>
          <w:color w:val="auto"/>
          <w:sz w:val="18"/>
          <w:szCs w:val="18"/>
          <w:highlight w:val="none"/>
        </w:rPr>
        <w:t>；5-</w:t>
      </w:r>
      <w:r>
        <w:rPr>
          <w:rFonts w:hint="eastAsia"/>
          <w:color w:val="auto"/>
          <w:sz w:val="18"/>
          <w:szCs w:val="18"/>
          <w:highlight w:val="none"/>
          <w:lang w:val="en-US" w:eastAsia="zh-CN"/>
        </w:rPr>
        <w:t>井圈筒体</w:t>
      </w:r>
      <w:r>
        <w:rPr>
          <w:rFonts w:hint="eastAsia"/>
          <w:color w:val="auto"/>
          <w:sz w:val="18"/>
          <w:szCs w:val="18"/>
          <w:highlight w:val="none"/>
        </w:rPr>
        <w:t>；</w:t>
      </w:r>
      <w:r>
        <w:rPr>
          <w:rFonts w:hint="eastAsia"/>
          <w:color w:val="auto"/>
          <w:sz w:val="18"/>
          <w:szCs w:val="18"/>
          <w:highlight w:val="none"/>
          <w:lang w:val="en-US" w:eastAsia="zh-CN"/>
        </w:rPr>
        <w:t>6</w:t>
      </w:r>
      <w:r>
        <w:rPr>
          <w:rFonts w:hint="eastAsia"/>
          <w:color w:val="auto"/>
          <w:sz w:val="18"/>
          <w:szCs w:val="18"/>
          <w:highlight w:val="none"/>
        </w:rPr>
        <w:t>-</w:t>
      </w:r>
      <w:r>
        <w:rPr>
          <w:rFonts w:hint="eastAsia"/>
          <w:color w:val="auto"/>
          <w:sz w:val="18"/>
          <w:szCs w:val="18"/>
          <w:highlight w:val="none"/>
          <w:lang w:val="en-US" w:eastAsia="zh-CN"/>
        </w:rPr>
        <w:t>井圈</w:t>
      </w:r>
      <w:r>
        <w:rPr>
          <w:rFonts w:hint="eastAsia"/>
          <w:color w:val="auto"/>
          <w:sz w:val="18"/>
          <w:szCs w:val="18"/>
          <w:highlight w:val="none"/>
        </w:rPr>
        <w:t>；</w:t>
      </w:r>
      <w:r>
        <w:rPr>
          <w:rFonts w:hint="eastAsia"/>
          <w:color w:val="auto"/>
          <w:sz w:val="18"/>
          <w:szCs w:val="18"/>
          <w:highlight w:val="none"/>
          <w:lang w:val="en-US" w:eastAsia="zh-CN"/>
        </w:rPr>
        <w:t>7</w:t>
      </w:r>
      <w:r>
        <w:rPr>
          <w:rFonts w:hint="eastAsia"/>
          <w:color w:val="auto"/>
          <w:sz w:val="18"/>
          <w:szCs w:val="18"/>
          <w:highlight w:val="none"/>
        </w:rPr>
        <w:t>-</w:t>
      </w:r>
      <w:r>
        <w:rPr>
          <w:rFonts w:hint="eastAsia"/>
          <w:color w:val="auto"/>
          <w:sz w:val="18"/>
          <w:szCs w:val="18"/>
          <w:highlight w:val="none"/>
          <w:lang w:val="en-US" w:eastAsia="zh-CN"/>
        </w:rPr>
        <w:t>井盖盖体</w:t>
      </w:r>
      <w:r>
        <w:rPr>
          <w:rFonts w:hint="eastAsia"/>
          <w:color w:val="auto"/>
          <w:sz w:val="18"/>
          <w:szCs w:val="18"/>
          <w:highlight w:val="none"/>
        </w:rPr>
        <w:t>；</w:t>
      </w:r>
      <w:r>
        <w:rPr>
          <w:rFonts w:hint="eastAsia"/>
          <w:color w:val="auto"/>
          <w:sz w:val="18"/>
          <w:szCs w:val="18"/>
          <w:highlight w:val="none"/>
          <w:lang w:val="en-US" w:eastAsia="zh-CN"/>
        </w:rPr>
        <w:t>8</w:t>
      </w:r>
      <w:r>
        <w:rPr>
          <w:rFonts w:hint="eastAsia"/>
          <w:color w:val="auto"/>
          <w:sz w:val="18"/>
          <w:szCs w:val="18"/>
          <w:highlight w:val="none"/>
        </w:rPr>
        <w:t>-</w:t>
      </w:r>
      <w:r>
        <w:rPr>
          <w:rFonts w:hint="eastAsia"/>
          <w:color w:val="auto"/>
          <w:sz w:val="18"/>
          <w:szCs w:val="18"/>
          <w:highlight w:val="none"/>
          <w:lang w:val="en-US" w:eastAsia="zh-CN"/>
        </w:rPr>
        <w:t>井周加固铺面</w:t>
      </w:r>
      <w:r>
        <w:rPr>
          <w:rFonts w:hint="eastAsia"/>
          <w:color w:val="auto"/>
          <w:sz w:val="18"/>
          <w:szCs w:val="18"/>
          <w:highlight w:val="none"/>
        </w:rPr>
        <w:t>；</w:t>
      </w:r>
    </w:p>
    <w:p>
      <w:pPr>
        <w:pStyle w:val="18"/>
        <w:keepLines w:val="0"/>
        <w:numPr>
          <w:ilvl w:val="0"/>
          <w:numId w:val="0"/>
        </w:numPr>
        <w:kinsoku/>
        <w:wordWrap/>
        <w:overflowPunct/>
        <w:topLinePunct w:val="0"/>
        <w:bidi w:val="0"/>
        <w:adjustRightInd w:val="0"/>
        <w:snapToGrid w:val="0"/>
        <w:spacing w:beforeAutospacing="0" w:afterAutospacing="0" w:line="36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9</w:t>
      </w:r>
      <w:r>
        <w:rPr>
          <w:rFonts w:hint="eastAsia"/>
          <w:color w:val="auto"/>
          <w:sz w:val="18"/>
          <w:szCs w:val="18"/>
          <w:highlight w:val="none"/>
        </w:rPr>
        <w:t>-</w:t>
      </w:r>
      <w:r>
        <w:rPr>
          <w:rFonts w:hint="eastAsia"/>
          <w:color w:val="auto"/>
          <w:sz w:val="18"/>
          <w:szCs w:val="18"/>
          <w:highlight w:val="none"/>
          <w:lang w:val="en-US" w:eastAsia="zh-CN"/>
        </w:rPr>
        <w:t>沥青混凝土</w:t>
      </w:r>
      <w:r>
        <w:rPr>
          <w:rFonts w:hint="eastAsia"/>
          <w:color w:val="auto"/>
          <w:sz w:val="18"/>
          <w:szCs w:val="18"/>
          <w:highlight w:val="none"/>
        </w:rPr>
        <w:t>；</w:t>
      </w:r>
      <w:r>
        <w:rPr>
          <w:rFonts w:hint="eastAsia"/>
          <w:color w:val="auto"/>
          <w:sz w:val="18"/>
          <w:szCs w:val="18"/>
          <w:highlight w:val="none"/>
          <w:lang w:val="en-US" w:eastAsia="zh-CN"/>
        </w:rPr>
        <w:t>10</w:t>
      </w:r>
      <w:r>
        <w:rPr>
          <w:rFonts w:hint="eastAsia"/>
          <w:color w:val="auto"/>
          <w:sz w:val="18"/>
          <w:szCs w:val="18"/>
          <w:highlight w:val="none"/>
        </w:rPr>
        <w:t>-</w:t>
      </w:r>
      <w:r>
        <w:rPr>
          <w:rFonts w:hint="eastAsia"/>
          <w:color w:val="auto"/>
          <w:sz w:val="18"/>
          <w:szCs w:val="18"/>
          <w:highlight w:val="none"/>
          <w:lang w:val="en-US" w:eastAsia="zh-CN"/>
        </w:rPr>
        <w:t>井周结构；</w:t>
      </w:r>
      <w:r>
        <w:rPr>
          <w:rFonts w:hint="eastAsia"/>
          <w:color w:val="auto"/>
          <w:sz w:val="18"/>
          <w:szCs w:val="18"/>
          <w:highlight w:val="none"/>
        </w:rPr>
        <w:t>1</w:t>
      </w:r>
      <w:r>
        <w:rPr>
          <w:rFonts w:hint="eastAsia"/>
          <w:color w:val="auto"/>
          <w:sz w:val="18"/>
          <w:szCs w:val="18"/>
          <w:highlight w:val="none"/>
          <w:lang w:val="en-US" w:eastAsia="zh-CN"/>
        </w:rPr>
        <w:t>1</w:t>
      </w:r>
      <w:r>
        <w:rPr>
          <w:color w:val="auto"/>
          <w:sz w:val="18"/>
          <w:szCs w:val="18"/>
          <w:highlight w:val="none"/>
        </w:rPr>
        <w:t>-</w:t>
      </w:r>
      <w:r>
        <w:rPr>
          <w:rFonts w:hint="eastAsia"/>
          <w:color w:val="auto"/>
          <w:sz w:val="18"/>
          <w:szCs w:val="18"/>
          <w:highlight w:val="none"/>
          <w:lang w:val="en-US" w:eastAsia="zh-CN"/>
        </w:rPr>
        <w:t>分离带</w:t>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color w:val="auto"/>
          <w:highlight w:val="none"/>
        </w:rPr>
      </w:pPr>
      <w:r>
        <w:rPr>
          <w:color w:val="auto"/>
        </w:rPr>
        <w:drawing>
          <wp:inline distT="0" distB="0" distL="114300" distR="114300">
            <wp:extent cx="5298440" cy="2047240"/>
            <wp:effectExtent l="0" t="0" r="5080" b="1016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9"/>
                    <a:stretch>
                      <a:fillRect/>
                    </a:stretch>
                  </pic:blipFill>
                  <pic:spPr>
                    <a:xfrm>
                      <a:off x="0" y="0"/>
                      <a:ext cx="5298440" cy="2047240"/>
                    </a:xfrm>
                    <a:prstGeom prst="rect">
                      <a:avLst/>
                    </a:prstGeom>
                    <a:noFill/>
                    <a:ln>
                      <a:noFill/>
                    </a:ln>
                  </pic:spPr>
                </pic:pic>
              </a:graphicData>
            </a:graphic>
          </wp:inline>
        </w:drawing>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eastAsia="zh-CN"/>
        </w:rPr>
        <w:t>图</w:t>
      </w:r>
      <w:r>
        <w:rPr>
          <w:rFonts w:hint="eastAsia" w:ascii="宋体" w:hAnsi="宋体" w:eastAsia="宋体" w:cs="宋体"/>
          <w:b/>
          <w:bCs/>
          <w:color w:val="auto"/>
          <w:highlight w:val="none"/>
          <w:lang w:val="en-US" w:eastAsia="zh-CN"/>
        </w:rPr>
        <w:t>3.3.4-2   分离式卸载板（基层）</w:t>
      </w:r>
    </w:p>
    <w:p>
      <w:pPr>
        <w:pStyle w:val="18"/>
        <w:keepLines w:val="0"/>
        <w:numPr>
          <w:ilvl w:val="0"/>
          <w:numId w:val="0"/>
        </w:numPr>
        <w:kinsoku/>
        <w:wordWrap/>
        <w:overflowPunct/>
        <w:topLinePunct w:val="0"/>
        <w:bidi w:val="0"/>
        <w:adjustRightInd w:val="0"/>
        <w:snapToGrid w:val="0"/>
        <w:spacing w:beforeAutospacing="0" w:afterAutospacing="0" w:line="360" w:lineRule="auto"/>
        <w:jc w:val="center"/>
        <w:textAlignment w:val="auto"/>
        <w:rPr>
          <w:rFonts w:hint="eastAsia"/>
          <w:color w:val="auto"/>
          <w:sz w:val="18"/>
          <w:szCs w:val="18"/>
          <w:highlight w:val="none"/>
        </w:rPr>
      </w:pPr>
      <w:r>
        <w:rPr>
          <w:rFonts w:hint="eastAsia"/>
          <w:color w:val="auto"/>
          <w:sz w:val="18"/>
          <w:szCs w:val="18"/>
          <w:highlight w:val="none"/>
          <w:lang w:val="en-US" w:eastAsia="zh-CN"/>
        </w:rPr>
        <w:t>1-井体</w:t>
      </w:r>
      <w:r>
        <w:rPr>
          <w:rFonts w:hint="eastAsia"/>
          <w:color w:val="auto"/>
          <w:sz w:val="18"/>
          <w:szCs w:val="18"/>
          <w:highlight w:val="none"/>
        </w:rPr>
        <w:t>；2-</w:t>
      </w:r>
      <w:r>
        <w:rPr>
          <w:rFonts w:hint="eastAsia"/>
          <w:color w:val="auto"/>
          <w:sz w:val="18"/>
          <w:szCs w:val="18"/>
          <w:highlight w:val="none"/>
          <w:lang w:val="en-US" w:eastAsia="zh-CN"/>
        </w:rPr>
        <w:t>沉降协调带</w:t>
      </w:r>
      <w:r>
        <w:rPr>
          <w:rFonts w:hint="eastAsia"/>
          <w:color w:val="auto"/>
          <w:sz w:val="18"/>
          <w:szCs w:val="18"/>
          <w:highlight w:val="none"/>
        </w:rPr>
        <w:t>；3-</w:t>
      </w:r>
      <w:r>
        <w:rPr>
          <w:rFonts w:hint="eastAsia"/>
          <w:color w:val="auto"/>
          <w:sz w:val="18"/>
          <w:szCs w:val="18"/>
          <w:highlight w:val="none"/>
          <w:lang w:val="en-US" w:eastAsia="zh-CN"/>
        </w:rPr>
        <w:t>卸载板</w:t>
      </w:r>
      <w:r>
        <w:rPr>
          <w:rFonts w:hint="eastAsia"/>
          <w:color w:val="auto"/>
          <w:sz w:val="18"/>
          <w:szCs w:val="18"/>
          <w:highlight w:val="none"/>
        </w:rPr>
        <w:t>；4-</w:t>
      </w:r>
      <w:r>
        <w:rPr>
          <w:rFonts w:hint="eastAsia"/>
          <w:color w:val="auto"/>
          <w:sz w:val="18"/>
          <w:szCs w:val="18"/>
          <w:highlight w:val="none"/>
          <w:lang w:val="en-US" w:eastAsia="zh-CN"/>
        </w:rPr>
        <w:t>止水密封圈</w:t>
      </w:r>
      <w:r>
        <w:rPr>
          <w:rFonts w:hint="eastAsia"/>
          <w:color w:val="auto"/>
          <w:sz w:val="18"/>
          <w:szCs w:val="18"/>
          <w:highlight w:val="none"/>
        </w:rPr>
        <w:t>；5-</w:t>
      </w:r>
      <w:r>
        <w:rPr>
          <w:rFonts w:hint="eastAsia"/>
          <w:color w:val="auto"/>
          <w:sz w:val="18"/>
          <w:szCs w:val="18"/>
          <w:highlight w:val="none"/>
          <w:lang w:val="en-US" w:eastAsia="zh-CN"/>
        </w:rPr>
        <w:t>井圈</w:t>
      </w:r>
      <w:r>
        <w:rPr>
          <w:rFonts w:hint="eastAsia"/>
          <w:color w:val="auto"/>
          <w:sz w:val="18"/>
          <w:szCs w:val="18"/>
          <w:highlight w:val="none"/>
        </w:rPr>
        <w:t>；6-</w:t>
      </w:r>
      <w:r>
        <w:rPr>
          <w:rFonts w:hint="eastAsia"/>
          <w:color w:val="auto"/>
          <w:sz w:val="18"/>
          <w:szCs w:val="18"/>
          <w:highlight w:val="none"/>
          <w:lang w:val="en-US" w:eastAsia="zh-CN"/>
        </w:rPr>
        <w:t>井盖盖体</w:t>
      </w:r>
      <w:r>
        <w:rPr>
          <w:rFonts w:hint="eastAsia"/>
          <w:color w:val="auto"/>
          <w:sz w:val="18"/>
          <w:szCs w:val="18"/>
          <w:highlight w:val="none"/>
        </w:rPr>
        <w:t>；7-</w:t>
      </w:r>
      <w:r>
        <w:rPr>
          <w:rFonts w:hint="eastAsia"/>
          <w:color w:val="auto"/>
          <w:sz w:val="18"/>
          <w:szCs w:val="18"/>
          <w:highlight w:val="none"/>
          <w:lang w:val="en-US" w:eastAsia="zh-CN"/>
        </w:rPr>
        <w:t>井周加固铺面</w:t>
      </w:r>
      <w:r>
        <w:rPr>
          <w:rFonts w:hint="eastAsia"/>
          <w:color w:val="auto"/>
          <w:sz w:val="18"/>
          <w:szCs w:val="18"/>
          <w:highlight w:val="none"/>
        </w:rPr>
        <w:t>；</w:t>
      </w:r>
    </w:p>
    <w:p>
      <w:pPr>
        <w:pStyle w:val="18"/>
        <w:keepLines w:val="0"/>
        <w:numPr>
          <w:ilvl w:val="0"/>
          <w:numId w:val="0"/>
        </w:numPr>
        <w:kinsoku/>
        <w:wordWrap/>
        <w:overflowPunct/>
        <w:topLinePunct w:val="0"/>
        <w:bidi w:val="0"/>
        <w:adjustRightInd w:val="0"/>
        <w:snapToGrid w:val="0"/>
        <w:spacing w:beforeAutospacing="0" w:afterAutospacing="0" w:line="360" w:lineRule="auto"/>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8</w:t>
      </w:r>
      <w:r>
        <w:rPr>
          <w:rFonts w:hint="eastAsia"/>
          <w:color w:val="auto"/>
          <w:sz w:val="18"/>
          <w:szCs w:val="18"/>
          <w:highlight w:val="none"/>
        </w:rPr>
        <w:t>-</w:t>
      </w:r>
      <w:r>
        <w:rPr>
          <w:rFonts w:hint="eastAsia"/>
          <w:color w:val="auto"/>
          <w:sz w:val="18"/>
          <w:szCs w:val="18"/>
          <w:highlight w:val="none"/>
          <w:lang w:val="en-US" w:eastAsia="zh-CN"/>
        </w:rPr>
        <w:t>沥青混凝土</w:t>
      </w:r>
      <w:r>
        <w:rPr>
          <w:rFonts w:hint="eastAsia"/>
          <w:color w:val="auto"/>
          <w:sz w:val="18"/>
          <w:szCs w:val="18"/>
          <w:highlight w:val="none"/>
        </w:rPr>
        <w:t>；</w:t>
      </w:r>
      <w:r>
        <w:rPr>
          <w:rFonts w:hint="eastAsia"/>
          <w:color w:val="auto"/>
          <w:sz w:val="18"/>
          <w:szCs w:val="18"/>
          <w:highlight w:val="none"/>
          <w:lang w:val="en-US" w:eastAsia="zh-CN"/>
        </w:rPr>
        <w:t>9</w:t>
      </w:r>
      <w:r>
        <w:rPr>
          <w:rFonts w:hint="eastAsia"/>
          <w:color w:val="auto"/>
          <w:sz w:val="18"/>
          <w:szCs w:val="18"/>
          <w:highlight w:val="none"/>
        </w:rPr>
        <w:t>-</w:t>
      </w:r>
      <w:r>
        <w:rPr>
          <w:rFonts w:hint="eastAsia"/>
          <w:color w:val="auto"/>
          <w:sz w:val="18"/>
          <w:szCs w:val="18"/>
          <w:highlight w:val="none"/>
          <w:lang w:val="en-US" w:eastAsia="zh-CN"/>
        </w:rPr>
        <w:t>井周结构；</w:t>
      </w:r>
      <w:r>
        <w:rPr>
          <w:rFonts w:hint="eastAsia"/>
          <w:color w:val="auto"/>
          <w:sz w:val="18"/>
          <w:szCs w:val="18"/>
          <w:highlight w:val="none"/>
        </w:rPr>
        <w:t>10</w:t>
      </w:r>
      <w:r>
        <w:rPr>
          <w:color w:val="auto"/>
          <w:sz w:val="18"/>
          <w:szCs w:val="18"/>
          <w:highlight w:val="none"/>
        </w:rPr>
        <w:t>-</w:t>
      </w:r>
      <w:r>
        <w:rPr>
          <w:rFonts w:hint="eastAsia"/>
          <w:color w:val="auto"/>
          <w:sz w:val="18"/>
          <w:szCs w:val="18"/>
          <w:highlight w:val="none"/>
          <w:lang w:val="en-US" w:eastAsia="zh-CN"/>
        </w:rPr>
        <w:t>分离带</w:t>
      </w:r>
    </w:p>
    <w:p>
      <w:pPr>
        <w:pageBreakBefore w:val="0"/>
        <w:tabs>
          <w:tab w:val="right" w:leader="dot" w:pos="8306"/>
        </w:tabs>
        <w:kinsoku/>
        <w:wordWrap/>
        <w:overflowPunct/>
        <w:topLinePunct w:val="0"/>
        <w:bidi w:val="0"/>
        <w:adjustRightInd w:val="0"/>
        <w:snapToGrid w:val="0"/>
        <w:spacing w:line="360" w:lineRule="auto"/>
        <w:ind w:left="0" w:leftChars="0" w:right="0" w:rightChars="0" w:firstLine="482" w:firstLineChars="200"/>
        <w:jc w:val="left"/>
        <w:textAlignment w:val="auto"/>
        <w:rPr>
          <w:color w:val="auto"/>
          <w:highlight w:val="none"/>
        </w:rPr>
      </w:pPr>
      <w:r>
        <w:rPr>
          <w:rFonts w:hint="eastAsia" w:ascii="Times New Roman" w:hAnsi="宋体" w:eastAsia="宋体" w:cs="Times New Roman"/>
          <w:b/>
          <w:bCs/>
          <w:color w:val="auto"/>
          <w:kern w:val="2"/>
          <w:sz w:val="24"/>
          <w:szCs w:val="24"/>
          <w:highlight w:val="none"/>
          <w:lang w:val="en-US" w:eastAsia="zh-CN" w:bidi="ar-SA"/>
        </w:rPr>
        <w:t xml:space="preserve">2 </w:t>
      </w:r>
      <w:r>
        <w:rPr>
          <w:rFonts w:hint="eastAsia"/>
          <w:color w:val="auto"/>
          <w:sz w:val="24"/>
          <w:highlight w:val="none"/>
          <w:lang w:val="en-US" w:eastAsia="zh-CN"/>
        </w:rPr>
        <w:t xml:space="preserve"> 中交通、轻交通的道路工程</w:t>
      </w:r>
      <w:r>
        <w:rPr>
          <w:rFonts w:hint="eastAsia" w:ascii="宋体" w:hAnsi="宋体" w:eastAsia="宋体" w:cs="宋体"/>
          <w:color w:val="auto"/>
          <w:sz w:val="24"/>
          <w:szCs w:val="24"/>
          <w:highlight w:val="none"/>
          <w:lang w:val="en-US" w:eastAsia="zh-CN"/>
        </w:rPr>
        <w:t>及检查井与井周结构沉降差小于50mm的</w:t>
      </w:r>
      <w:r>
        <w:rPr>
          <w:rFonts w:hint="eastAsia"/>
          <w:color w:val="auto"/>
          <w:sz w:val="24"/>
          <w:highlight w:val="none"/>
          <w:lang w:val="en-US" w:eastAsia="zh-CN"/>
        </w:rPr>
        <w:t>宜采用密贴式卸载板（图</w:t>
      </w:r>
      <w:r>
        <w:rPr>
          <w:rFonts w:hint="eastAsia" w:ascii="宋体" w:hAnsi="宋体" w:eastAsia="宋体" w:cs="宋体"/>
          <w:color w:val="auto"/>
          <w:sz w:val="24"/>
          <w:szCs w:val="24"/>
          <w:highlight w:val="none"/>
          <w:lang w:val="en-US" w:eastAsia="zh-CN"/>
        </w:rPr>
        <w:t>3.3.4-3、图3.3.4-4</w:t>
      </w:r>
      <w:r>
        <w:rPr>
          <w:rFonts w:hint="eastAsia"/>
          <w:color w:val="auto"/>
          <w:sz w:val="24"/>
          <w:highlight w:val="none"/>
          <w:lang w:val="en-US" w:eastAsia="zh-CN"/>
        </w:rPr>
        <w:t>）。卸载板与井周结构搭接宽度</w:t>
      </w:r>
      <w:r>
        <w:rPr>
          <w:rFonts w:hint="default" w:ascii="Times New Roman" w:hAnsi="Times New Roman" w:cs="Times New Roman"/>
          <w:i/>
          <w:iCs/>
          <w:color w:val="auto"/>
          <w:sz w:val="24"/>
          <w:highlight w:val="none"/>
          <w:lang w:val="en-US" w:eastAsia="zh-CN"/>
        </w:rPr>
        <w:t>b</w:t>
      </w:r>
      <w:r>
        <w:rPr>
          <w:rFonts w:hint="eastAsia"/>
          <w:color w:val="auto"/>
          <w:sz w:val="24"/>
          <w:highlight w:val="none"/>
          <w:lang w:val="en-US" w:eastAsia="zh-CN"/>
        </w:rPr>
        <w:t>不小于0.75m，厚度</w:t>
      </w:r>
      <w:r>
        <w:rPr>
          <w:rFonts w:hint="eastAsia" w:ascii="Times New Roman" w:hAnsi="Times New Roman" w:cs="Times New Roman"/>
          <w:i/>
          <w:iCs/>
          <w:color w:val="auto"/>
          <w:sz w:val="24"/>
          <w:highlight w:val="none"/>
          <w:lang w:val="en-US" w:eastAsia="zh-CN"/>
        </w:rPr>
        <w:t>h</w:t>
      </w:r>
      <w:r>
        <w:rPr>
          <w:rFonts w:hint="eastAsia"/>
          <w:color w:val="auto"/>
          <w:sz w:val="24"/>
          <w:highlight w:val="none"/>
          <w:lang w:val="en-US" w:eastAsia="zh-CN"/>
        </w:rPr>
        <w:t>不小于200mm。</w:t>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color w:val="auto"/>
          <w:highlight w:val="none"/>
        </w:rPr>
      </w:pPr>
      <w:r>
        <w:drawing>
          <wp:inline distT="0" distB="0" distL="114300" distR="114300">
            <wp:extent cx="5003165" cy="1821815"/>
            <wp:effectExtent l="0" t="0" r="10795"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0"/>
                    <a:srcRect t="9580" b="9580"/>
                    <a:stretch>
                      <a:fillRect/>
                    </a:stretch>
                  </pic:blipFill>
                  <pic:spPr>
                    <a:xfrm>
                      <a:off x="0" y="0"/>
                      <a:ext cx="5003165" cy="1821815"/>
                    </a:xfrm>
                    <a:prstGeom prst="rect">
                      <a:avLst/>
                    </a:prstGeom>
                    <a:noFill/>
                    <a:ln>
                      <a:noFill/>
                    </a:ln>
                  </pic:spPr>
                </pic:pic>
              </a:graphicData>
            </a:graphic>
          </wp:inline>
        </w:drawing>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eastAsia="zh-CN"/>
        </w:rPr>
        <w:t>图</w:t>
      </w:r>
      <w:r>
        <w:rPr>
          <w:rFonts w:hint="eastAsia" w:ascii="宋体" w:hAnsi="宋体" w:eastAsia="宋体" w:cs="宋体"/>
          <w:b/>
          <w:bCs/>
          <w:color w:val="auto"/>
          <w:highlight w:val="none"/>
          <w:lang w:val="en-US" w:eastAsia="zh-CN"/>
        </w:rPr>
        <w:t>3.3.4-3  密贴式卸载板（底基层）</w:t>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1-井体</w:t>
      </w:r>
      <w:r>
        <w:rPr>
          <w:rFonts w:hint="eastAsia"/>
          <w:color w:val="auto"/>
          <w:sz w:val="18"/>
          <w:szCs w:val="18"/>
          <w:highlight w:val="none"/>
        </w:rPr>
        <w:t>；2-</w:t>
      </w:r>
      <w:r>
        <w:rPr>
          <w:rFonts w:hint="eastAsia"/>
          <w:color w:val="auto"/>
          <w:sz w:val="18"/>
          <w:szCs w:val="18"/>
          <w:highlight w:val="none"/>
          <w:lang w:val="en-US" w:eastAsia="zh-CN"/>
        </w:rPr>
        <w:t>卸载板</w:t>
      </w:r>
      <w:r>
        <w:rPr>
          <w:rFonts w:hint="eastAsia"/>
          <w:color w:val="auto"/>
          <w:sz w:val="18"/>
          <w:szCs w:val="18"/>
          <w:highlight w:val="none"/>
        </w:rPr>
        <w:t>；</w:t>
      </w:r>
      <w:r>
        <w:rPr>
          <w:rFonts w:hint="eastAsia"/>
          <w:color w:val="auto"/>
          <w:sz w:val="18"/>
          <w:szCs w:val="18"/>
          <w:highlight w:val="none"/>
          <w:lang w:val="en-US" w:eastAsia="zh-CN"/>
        </w:rPr>
        <w:t>3</w:t>
      </w:r>
      <w:r>
        <w:rPr>
          <w:rFonts w:hint="eastAsia"/>
          <w:color w:val="auto"/>
          <w:sz w:val="18"/>
          <w:szCs w:val="18"/>
          <w:highlight w:val="none"/>
        </w:rPr>
        <w:t>-</w:t>
      </w:r>
      <w:r>
        <w:rPr>
          <w:rFonts w:hint="eastAsia"/>
          <w:color w:val="auto"/>
          <w:sz w:val="18"/>
          <w:szCs w:val="18"/>
          <w:highlight w:val="none"/>
          <w:lang w:val="en-US" w:eastAsia="zh-CN"/>
        </w:rPr>
        <w:t>止水密封圈</w:t>
      </w:r>
      <w:r>
        <w:rPr>
          <w:rFonts w:hint="eastAsia"/>
          <w:color w:val="auto"/>
          <w:sz w:val="18"/>
          <w:szCs w:val="18"/>
          <w:highlight w:val="none"/>
        </w:rPr>
        <w:t>；</w:t>
      </w:r>
      <w:r>
        <w:rPr>
          <w:rFonts w:hint="eastAsia"/>
          <w:color w:val="auto"/>
          <w:sz w:val="18"/>
          <w:szCs w:val="18"/>
          <w:highlight w:val="none"/>
          <w:lang w:val="en-US" w:eastAsia="zh-CN"/>
        </w:rPr>
        <w:t>4</w:t>
      </w:r>
      <w:r>
        <w:rPr>
          <w:rFonts w:hint="eastAsia"/>
          <w:color w:val="auto"/>
          <w:sz w:val="18"/>
          <w:szCs w:val="18"/>
          <w:highlight w:val="none"/>
        </w:rPr>
        <w:t>-</w:t>
      </w:r>
      <w:r>
        <w:rPr>
          <w:rFonts w:hint="eastAsia"/>
          <w:color w:val="auto"/>
          <w:sz w:val="18"/>
          <w:szCs w:val="18"/>
          <w:highlight w:val="none"/>
          <w:lang w:val="en-US" w:eastAsia="zh-CN"/>
        </w:rPr>
        <w:t>井圈</w:t>
      </w:r>
      <w:r>
        <w:rPr>
          <w:rFonts w:hint="eastAsia"/>
          <w:color w:val="auto"/>
          <w:sz w:val="18"/>
          <w:szCs w:val="18"/>
          <w:highlight w:val="none"/>
        </w:rPr>
        <w:t>；</w:t>
      </w:r>
      <w:r>
        <w:rPr>
          <w:rFonts w:hint="eastAsia"/>
          <w:color w:val="auto"/>
          <w:sz w:val="18"/>
          <w:szCs w:val="18"/>
          <w:highlight w:val="none"/>
          <w:lang w:val="en-US" w:eastAsia="zh-CN"/>
        </w:rPr>
        <w:t>5</w:t>
      </w:r>
      <w:r>
        <w:rPr>
          <w:rFonts w:hint="eastAsia"/>
          <w:color w:val="auto"/>
          <w:sz w:val="18"/>
          <w:szCs w:val="18"/>
          <w:highlight w:val="none"/>
        </w:rPr>
        <w:t>-</w:t>
      </w:r>
      <w:r>
        <w:rPr>
          <w:rFonts w:hint="eastAsia"/>
          <w:color w:val="auto"/>
          <w:sz w:val="18"/>
          <w:szCs w:val="18"/>
          <w:highlight w:val="none"/>
          <w:lang w:val="en-US" w:eastAsia="zh-CN"/>
        </w:rPr>
        <w:t>井盖盖体</w:t>
      </w:r>
      <w:r>
        <w:rPr>
          <w:rFonts w:hint="eastAsia"/>
          <w:color w:val="auto"/>
          <w:sz w:val="18"/>
          <w:szCs w:val="18"/>
          <w:highlight w:val="none"/>
        </w:rPr>
        <w:t>；</w:t>
      </w:r>
      <w:r>
        <w:rPr>
          <w:rFonts w:hint="eastAsia"/>
          <w:color w:val="auto"/>
          <w:sz w:val="18"/>
          <w:szCs w:val="18"/>
          <w:highlight w:val="none"/>
          <w:lang w:val="en-US" w:eastAsia="zh-CN"/>
        </w:rPr>
        <w:t>6</w:t>
      </w:r>
      <w:r>
        <w:rPr>
          <w:rFonts w:hint="eastAsia"/>
          <w:color w:val="auto"/>
          <w:sz w:val="18"/>
          <w:szCs w:val="18"/>
          <w:highlight w:val="none"/>
        </w:rPr>
        <w:t>-</w:t>
      </w:r>
      <w:r>
        <w:rPr>
          <w:rFonts w:hint="eastAsia"/>
          <w:color w:val="auto"/>
          <w:sz w:val="18"/>
          <w:szCs w:val="18"/>
          <w:highlight w:val="none"/>
          <w:lang w:val="en-US" w:eastAsia="zh-CN"/>
        </w:rPr>
        <w:t>井周加固铺面</w:t>
      </w:r>
      <w:r>
        <w:rPr>
          <w:rFonts w:hint="eastAsia"/>
          <w:color w:val="auto"/>
          <w:sz w:val="18"/>
          <w:szCs w:val="18"/>
          <w:highlight w:val="none"/>
        </w:rPr>
        <w:t>；</w:t>
      </w:r>
      <w:r>
        <w:rPr>
          <w:rFonts w:hint="eastAsia"/>
          <w:color w:val="auto"/>
          <w:sz w:val="18"/>
          <w:szCs w:val="18"/>
          <w:highlight w:val="none"/>
          <w:lang w:val="en-US" w:eastAsia="zh-CN"/>
        </w:rPr>
        <w:t>7</w:t>
      </w:r>
      <w:r>
        <w:rPr>
          <w:rFonts w:hint="eastAsia"/>
          <w:color w:val="auto"/>
          <w:sz w:val="18"/>
          <w:szCs w:val="18"/>
          <w:highlight w:val="none"/>
        </w:rPr>
        <w:t>-</w:t>
      </w:r>
      <w:r>
        <w:rPr>
          <w:rFonts w:hint="eastAsia"/>
          <w:color w:val="auto"/>
          <w:sz w:val="18"/>
          <w:szCs w:val="18"/>
          <w:highlight w:val="none"/>
          <w:lang w:val="en-US" w:eastAsia="zh-CN"/>
        </w:rPr>
        <w:t>沥青混凝土；8-井周结构</w:t>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color w:val="auto"/>
          <w:highlight w:val="none"/>
        </w:rPr>
      </w:pPr>
      <w:r>
        <w:rPr>
          <w:color w:val="auto"/>
        </w:rPr>
        <w:drawing>
          <wp:inline distT="0" distB="0" distL="114300" distR="114300">
            <wp:extent cx="5327015" cy="2061845"/>
            <wp:effectExtent l="0" t="0" r="6985" b="1079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1"/>
                    <a:stretch>
                      <a:fillRect/>
                    </a:stretch>
                  </pic:blipFill>
                  <pic:spPr>
                    <a:xfrm>
                      <a:off x="0" y="0"/>
                      <a:ext cx="5327015" cy="2061845"/>
                    </a:xfrm>
                    <a:prstGeom prst="rect">
                      <a:avLst/>
                    </a:prstGeom>
                    <a:noFill/>
                    <a:ln>
                      <a:noFill/>
                    </a:ln>
                  </pic:spPr>
                </pic:pic>
              </a:graphicData>
            </a:graphic>
          </wp:inline>
        </w:drawing>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rFonts w:hint="eastAsia"/>
          <w:color w:val="auto"/>
          <w:highlight w:val="none"/>
          <w:lang w:val="en-US" w:eastAsia="zh-CN"/>
        </w:rPr>
      </w:pPr>
      <w:r>
        <w:rPr>
          <w:rFonts w:hint="eastAsia" w:ascii="宋体" w:hAnsi="宋体" w:eastAsia="宋体" w:cs="宋体"/>
          <w:b/>
          <w:bCs/>
          <w:color w:val="auto"/>
          <w:highlight w:val="none"/>
          <w:lang w:eastAsia="zh-CN"/>
        </w:rPr>
        <w:t>图</w:t>
      </w:r>
      <w:r>
        <w:rPr>
          <w:rFonts w:hint="eastAsia" w:ascii="宋体" w:hAnsi="宋体" w:eastAsia="宋体" w:cs="宋体"/>
          <w:b/>
          <w:bCs/>
          <w:color w:val="auto"/>
          <w:highlight w:val="none"/>
          <w:lang w:val="en-US" w:eastAsia="zh-CN"/>
        </w:rPr>
        <w:t>3.3.4-4  密贴式卸载板（基层）</w:t>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1-井体</w:t>
      </w:r>
      <w:r>
        <w:rPr>
          <w:rFonts w:hint="eastAsia"/>
          <w:color w:val="auto"/>
          <w:sz w:val="18"/>
          <w:szCs w:val="18"/>
          <w:highlight w:val="none"/>
        </w:rPr>
        <w:t>；2-</w:t>
      </w:r>
      <w:r>
        <w:rPr>
          <w:rFonts w:hint="eastAsia"/>
          <w:color w:val="auto"/>
          <w:sz w:val="18"/>
          <w:szCs w:val="18"/>
          <w:highlight w:val="none"/>
          <w:lang w:val="en-US" w:eastAsia="zh-CN"/>
        </w:rPr>
        <w:t>卸载板</w:t>
      </w:r>
      <w:r>
        <w:rPr>
          <w:rFonts w:hint="eastAsia"/>
          <w:color w:val="auto"/>
          <w:sz w:val="18"/>
          <w:szCs w:val="18"/>
          <w:highlight w:val="none"/>
        </w:rPr>
        <w:t>；</w:t>
      </w:r>
      <w:r>
        <w:rPr>
          <w:rFonts w:hint="eastAsia"/>
          <w:color w:val="auto"/>
          <w:sz w:val="18"/>
          <w:szCs w:val="18"/>
          <w:highlight w:val="none"/>
          <w:lang w:val="en-US" w:eastAsia="zh-CN"/>
        </w:rPr>
        <w:t>3</w:t>
      </w:r>
      <w:r>
        <w:rPr>
          <w:rFonts w:hint="eastAsia"/>
          <w:color w:val="auto"/>
          <w:sz w:val="18"/>
          <w:szCs w:val="18"/>
          <w:highlight w:val="none"/>
        </w:rPr>
        <w:t>-</w:t>
      </w:r>
      <w:r>
        <w:rPr>
          <w:rFonts w:hint="eastAsia"/>
          <w:color w:val="auto"/>
          <w:sz w:val="18"/>
          <w:szCs w:val="18"/>
          <w:highlight w:val="none"/>
          <w:lang w:val="en-US" w:eastAsia="zh-CN"/>
        </w:rPr>
        <w:t>止水密封圈</w:t>
      </w:r>
      <w:r>
        <w:rPr>
          <w:rFonts w:hint="eastAsia"/>
          <w:color w:val="auto"/>
          <w:sz w:val="18"/>
          <w:szCs w:val="18"/>
          <w:highlight w:val="none"/>
        </w:rPr>
        <w:t>；</w:t>
      </w:r>
      <w:r>
        <w:rPr>
          <w:rFonts w:hint="eastAsia"/>
          <w:color w:val="auto"/>
          <w:sz w:val="18"/>
          <w:szCs w:val="18"/>
          <w:highlight w:val="none"/>
          <w:lang w:val="en-US" w:eastAsia="zh-CN"/>
        </w:rPr>
        <w:t>4</w:t>
      </w:r>
      <w:r>
        <w:rPr>
          <w:rFonts w:hint="eastAsia"/>
          <w:color w:val="auto"/>
          <w:sz w:val="18"/>
          <w:szCs w:val="18"/>
          <w:highlight w:val="none"/>
        </w:rPr>
        <w:t>-</w:t>
      </w:r>
      <w:r>
        <w:rPr>
          <w:rFonts w:hint="eastAsia"/>
          <w:color w:val="auto"/>
          <w:sz w:val="18"/>
          <w:szCs w:val="18"/>
          <w:highlight w:val="none"/>
          <w:lang w:val="en-US" w:eastAsia="zh-CN"/>
        </w:rPr>
        <w:t>井圈</w:t>
      </w:r>
      <w:r>
        <w:rPr>
          <w:rFonts w:hint="eastAsia"/>
          <w:color w:val="auto"/>
          <w:sz w:val="18"/>
          <w:szCs w:val="18"/>
          <w:highlight w:val="none"/>
        </w:rPr>
        <w:t>；</w:t>
      </w:r>
      <w:r>
        <w:rPr>
          <w:rFonts w:hint="eastAsia"/>
          <w:color w:val="auto"/>
          <w:sz w:val="18"/>
          <w:szCs w:val="18"/>
          <w:highlight w:val="none"/>
          <w:lang w:val="en-US" w:eastAsia="zh-CN"/>
        </w:rPr>
        <w:t>5</w:t>
      </w:r>
      <w:r>
        <w:rPr>
          <w:rFonts w:hint="eastAsia"/>
          <w:color w:val="auto"/>
          <w:sz w:val="18"/>
          <w:szCs w:val="18"/>
          <w:highlight w:val="none"/>
        </w:rPr>
        <w:t>-</w:t>
      </w:r>
      <w:r>
        <w:rPr>
          <w:rFonts w:hint="eastAsia"/>
          <w:color w:val="auto"/>
          <w:sz w:val="18"/>
          <w:szCs w:val="18"/>
          <w:highlight w:val="none"/>
          <w:lang w:val="en-US" w:eastAsia="zh-CN"/>
        </w:rPr>
        <w:t>井盖盖体</w:t>
      </w:r>
      <w:r>
        <w:rPr>
          <w:rFonts w:hint="eastAsia"/>
          <w:color w:val="auto"/>
          <w:sz w:val="18"/>
          <w:szCs w:val="18"/>
          <w:highlight w:val="none"/>
        </w:rPr>
        <w:t>；</w:t>
      </w:r>
      <w:r>
        <w:rPr>
          <w:rFonts w:hint="eastAsia"/>
          <w:color w:val="auto"/>
          <w:sz w:val="18"/>
          <w:szCs w:val="18"/>
          <w:highlight w:val="none"/>
          <w:lang w:val="en-US" w:eastAsia="zh-CN"/>
        </w:rPr>
        <w:t>6</w:t>
      </w:r>
      <w:r>
        <w:rPr>
          <w:rFonts w:hint="eastAsia"/>
          <w:color w:val="auto"/>
          <w:sz w:val="18"/>
          <w:szCs w:val="18"/>
          <w:highlight w:val="none"/>
        </w:rPr>
        <w:t>-</w:t>
      </w:r>
      <w:r>
        <w:rPr>
          <w:rFonts w:hint="eastAsia"/>
          <w:color w:val="auto"/>
          <w:sz w:val="18"/>
          <w:szCs w:val="18"/>
          <w:highlight w:val="none"/>
          <w:lang w:val="en-US" w:eastAsia="zh-CN"/>
        </w:rPr>
        <w:t>井周加固铺面</w:t>
      </w:r>
      <w:r>
        <w:rPr>
          <w:rFonts w:hint="eastAsia"/>
          <w:color w:val="auto"/>
          <w:sz w:val="18"/>
          <w:szCs w:val="18"/>
          <w:highlight w:val="none"/>
        </w:rPr>
        <w:t>；</w:t>
      </w:r>
      <w:r>
        <w:rPr>
          <w:rFonts w:hint="eastAsia"/>
          <w:color w:val="auto"/>
          <w:sz w:val="18"/>
          <w:szCs w:val="18"/>
          <w:highlight w:val="none"/>
          <w:lang w:val="en-US" w:eastAsia="zh-CN"/>
        </w:rPr>
        <w:t>7</w:t>
      </w:r>
      <w:r>
        <w:rPr>
          <w:rFonts w:hint="eastAsia"/>
          <w:color w:val="auto"/>
          <w:sz w:val="18"/>
          <w:szCs w:val="18"/>
          <w:highlight w:val="none"/>
        </w:rPr>
        <w:t>-</w:t>
      </w:r>
      <w:r>
        <w:rPr>
          <w:rFonts w:hint="eastAsia"/>
          <w:color w:val="auto"/>
          <w:sz w:val="18"/>
          <w:szCs w:val="18"/>
          <w:highlight w:val="none"/>
          <w:lang w:val="en-US" w:eastAsia="zh-CN"/>
        </w:rPr>
        <w:t>沥青混凝土；8-井周结构</w:t>
      </w:r>
    </w:p>
    <w:p>
      <w:pPr>
        <w:pageBreakBefore w:val="0"/>
        <w:tabs>
          <w:tab w:val="right" w:leader="dot" w:pos="8306"/>
        </w:tabs>
        <w:kinsoku/>
        <w:wordWrap/>
        <w:overflowPunct/>
        <w:topLinePunct w:val="0"/>
        <w:bidi w:val="0"/>
        <w:adjustRightInd w:val="0"/>
        <w:snapToGrid w:val="0"/>
        <w:spacing w:line="360" w:lineRule="auto"/>
        <w:ind w:left="0" w:leftChars="0" w:right="0" w:rightChars="0" w:firstLine="482" w:firstLineChars="200"/>
        <w:jc w:val="both"/>
        <w:textAlignment w:val="auto"/>
        <w:rPr>
          <w:color w:val="auto"/>
          <w:highlight w:val="none"/>
        </w:rPr>
      </w:pPr>
      <w:r>
        <w:rPr>
          <w:rFonts w:hint="eastAsia" w:ascii="Times New Roman" w:hAnsi="宋体" w:eastAsia="宋体" w:cs="Times New Roman"/>
          <w:b/>
          <w:bCs/>
          <w:color w:val="auto"/>
          <w:kern w:val="2"/>
          <w:sz w:val="24"/>
          <w:szCs w:val="24"/>
          <w:highlight w:val="none"/>
          <w:lang w:val="en-US" w:eastAsia="zh-CN" w:bidi="ar-SA"/>
        </w:rPr>
        <w:t>3</w:t>
      </w:r>
      <w:r>
        <w:rPr>
          <w:rFonts w:hint="eastAsia"/>
          <w:color w:val="auto"/>
          <w:sz w:val="24"/>
          <w:highlight w:val="none"/>
          <w:lang w:val="en-US" w:eastAsia="zh-CN"/>
        </w:rPr>
        <w:t xml:space="preserve"> 非机动车道，井孔尺寸大于防沉降井盖井圈筒体尺寸150mm以上宜采用盖座（图3.3.4-5），盖座外形尺寸与井体外形尺寸相同，厚度</w:t>
      </w:r>
      <w:r>
        <w:rPr>
          <w:rFonts w:hint="eastAsia" w:ascii="Times New Roman" w:hAnsi="Times New Roman" w:cs="Times New Roman"/>
          <w:i/>
          <w:iCs/>
          <w:color w:val="auto"/>
          <w:sz w:val="24"/>
          <w:highlight w:val="none"/>
          <w:lang w:val="en-US" w:eastAsia="zh-CN"/>
        </w:rPr>
        <w:t>h</w:t>
      </w:r>
      <w:r>
        <w:rPr>
          <w:rFonts w:hint="eastAsia"/>
          <w:color w:val="auto"/>
          <w:sz w:val="24"/>
          <w:highlight w:val="none"/>
          <w:lang w:val="en-US" w:eastAsia="zh-CN"/>
        </w:rPr>
        <w:t>不小于180mm。</w:t>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color w:val="auto"/>
          <w:highlight w:val="none"/>
        </w:rPr>
      </w:pPr>
      <w:r>
        <w:rPr>
          <w:color w:val="auto"/>
        </w:rPr>
        <w:drawing>
          <wp:inline distT="0" distB="0" distL="114300" distR="114300">
            <wp:extent cx="5476240" cy="1800225"/>
            <wp:effectExtent l="0" t="0" r="10160" b="1333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32"/>
                    <a:stretch>
                      <a:fillRect/>
                    </a:stretch>
                  </pic:blipFill>
                  <pic:spPr>
                    <a:xfrm>
                      <a:off x="0" y="0"/>
                      <a:ext cx="5476240" cy="1800225"/>
                    </a:xfrm>
                    <a:prstGeom prst="rect">
                      <a:avLst/>
                    </a:prstGeom>
                    <a:noFill/>
                    <a:ln>
                      <a:noFill/>
                    </a:ln>
                  </pic:spPr>
                </pic:pic>
              </a:graphicData>
            </a:graphic>
          </wp:inline>
        </w:drawing>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图</w:t>
      </w:r>
      <w:r>
        <w:rPr>
          <w:rFonts w:hint="eastAsia" w:ascii="宋体" w:hAnsi="宋体" w:eastAsia="宋体" w:cs="宋体"/>
          <w:b/>
          <w:bCs/>
          <w:color w:val="auto"/>
          <w:sz w:val="21"/>
          <w:szCs w:val="21"/>
          <w:highlight w:val="none"/>
          <w:lang w:val="en-US" w:eastAsia="zh-CN"/>
        </w:rPr>
        <w:t xml:space="preserve">3.3.4-5  </w:t>
      </w:r>
      <w:r>
        <w:rPr>
          <w:rFonts w:hint="eastAsia" w:ascii="宋体" w:hAnsi="宋体" w:eastAsia="宋体" w:cs="宋体"/>
          <w:b/>
          <w:bCs/>
          <w:color w:val="auto"/>
          <w:highlight w:val="none"/>
          <w:lang w:val="en-US" w:eastAsia="zh-CN"/>
        </w:rPr>
        <w:t>盖座示意图</w:t>
      </w:r>
    </w:p>
    <w:p>
      <w:pPr>
        <w:pStyle w:val="18"/>
        <w:keepLines w:val="0"/>
        <w:numPr>
          <w:ilvl w:val="0"/>
          <w:numId w:val="8"/>
        </w:numPr>
        <w:kinsoku/>
        <w:wordWrap/>
        <w:overflowPunct/>
        <w:topLinePunct w:val="0"/>
        <w:bidi w:val="0"/>
        <w:adjustRightInd w:val="0"/>
        <w:snapToGrid w:val="0"/>
        <w:spacing w:beforeAutospacing="0" w:afterAutospacing="0" w:line="360"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井体</w:t>
      </w:r>
      <w:r>
        <w:rPr>
          <w:rFonts w:hint="eastAsia"/>
          <w:color w:val="auto"/>
          <w:sz w:val="18"/>
          <w:szCs w:val="18"/>
          <w:highlight w:val="none"/>
        </w:rPr>
        <w:t>；2-</w:t>
      </w:r>
      <w:r>
        <w:rPr>
          <w:rFonts w:hint="eastAsia"/>
          <w:color w:val="auto"/>
          <w:sz w:val="18"/>
          <w:szCs w:val="18"/>
          <w:highlight w:val="none"/>
          <w:lang w:val="en-US" w:eastAsia="zh-CN"/>
        </w:rPr>
        <w:t>盖座</w:t>
      </w:r>
      <w:r>
        <w:rPr>
          <w:rFonts w:hint="eastAsia"/>
          <w:color w:val="auto"/>
          <w:sz w:val="18"/>
          <w:szCs w:val="18"/>
          <w:highlight w:val="none"/>
        </w:rPr>
        <w:t>；</w:t>
      </w:r>
      <w:r>
        <w:rPr>
          <w:rFonts w:hint="eastAsia"/>
          <w:color w:val="auto"/>
          <w:sz w:val="18"/>
          <w:szCs w:val="18"/>
          <w:highlight w:val="none"/>
          <w:lang w:val="en-US" w:eastAsia="zh-CN"/>
        </w:rPr>
        <w:t>3</w:t>
      </w:r>
      <w:r>
        <w:rPr>
          <w:rFonts w:hint="eastAsia"/>
          <w:color w:val="auto"/>
          <w:sz w:val="18"/>
          <w:szCs w:val="18"/>
          <w:highlight w:val="none"/>
        </w:rPr>
        <w:t>-</w:t>
      </w:r>
      <w:r>
        <w:rPr>
          <w:rFonts w:hint="eastAsia"/>
          <w:color w:val="auto"/>
          <w:sz w:val="18"/>
          <w:szCs w:val="18"/>
          <w:highlight w:val="none"/>
          <w:lang w:val="en-US" w:eastAsia="zh-CN"/>
        </w:rPr>
        <w:t>止水密封圈</w:t>
      </w:r>
      <w:r>
        <w:rPr>
          <w:rFonts w:hint="eastAsia"/>
          <w:color w:val="auto"/>
          <w:sz w:val="18"/>
          <w:szCs w:val="18"/>
          <w:highlight w:val="none"/>
        </w:rPr>
        <w:t>；</w:t>
      </w:r>
      <w:r>
        <w:rPr>
          <w:rFonts w:hint="eastAsia"/>
          <w:color w:val="auto"/>
          <w:sz w:val="18"/>
          <w:szCs w:val="18"/>
          <w:highlight w:val="none"/>
          <w:lang w:val="en-US" w:eastAsia="zh-CN"/>
        </w:rPr>
        <w:t>4</w:t>
      </w:r>
      <w:r>
        <w:rPr>
          <w:rFonts w:hint="eastAsia"/>
          <w:color w:val="auto"/>
          <w:sz w:val="18"/>
          <w:szCs w:val="18"/>
          <w:highlight w:val="none"/>
        </w:rPr>
        <w:t>-</w:t>
      </w:r>
      <w:r>
        <w:rPr>
          <w:rFonts w:hint="eastAsia"/>
          <w:color w:val="auto"/>
          <w:sz w:val="18"/>
          <w:szCs w:val="18"/>
          <w:highlight w:val="none"/>
          <w:lang w:val="en-US" w:eastAsia="zh-CN"/>
        </w:rPr>
        <w:t>井圈</w:t>
      </w:r>
      <w:r>
        <w:rPr>
          <w:rFonts w:hint="eastAsia"/>
          <w:color w:val="auto"/>
          <w:sz w:val="18"/>
          <w:szCs w:val="18"/>
          <w:highlight w:val="none"/>
        </w:rPr>
        <w:t>；</w:t>
      </w:r>
      <w:r>
        <w:rPr>
          <w:rFonts w:hint="eastAsia"/>
          <w:color w:val="auto"/>
          <w:sz w:val="18"/>
          <w:szCs w:val="18"/>
          <w:highlight w:val="none"/>
          <w:lang w:val="en-US" w:eastAsia="zh-CN"/>
        </w:rPr>
        <w:t>5</w:t>
      </w:r>
      <w:r>
        <w:rPr>
          <w:rFonts w:hint="eastAsia"/>
          <w:color w:val="auto"/>
          <w:sz w:val="18"/>
          <w:szCs w:val="18"/>
          <w:highlight w:val="none"/>
        </w:rPr>
        <w:t>-</w:t>
      </w:r>
      <w:r>
        <w:rPr>
          <w:rFonts w:hint="eastAsia"/>
          <w:color w:val="auto"/>
          <w:sz w:val="18"/>
          <w:szCs w:val="18"/>
          <w:highlight w:val="none"/>
          <w:lang w:val="en-US" w:eastAsia="zh-CN"/>
        </w:rPr>
        <w:t>井盖盖体</w:t>
      </w:r>
      <w:r>
        <w:rPr>
          <w:rFonts w:hint="eastAsia"/>
          <w:color w:val="auto"/>
          <w:sz w:val="18"/>
          <w:szCs w:val="18"/>
          <w:highlight w:val="none"/>
        </w:rPr>
        <w:t>；</w:t>
      </w:r>
      <w:r>
        <w:rPr>
          <w:rFonts w:hint="eastAsia"/>
          <w:color w:val="auto"/>
          <w:sz w:val="18"/>
          <w:szCs w:val="18"/>
          <w:highlight w:val="none"/>
          <w:lang w:val="en-US" w:eastAsia="zh-CN"/>
        </w:rPr>
        <w:t>6</w:t>
      </w:r>
      <w:r>
        <w:rPr>
          <w:rFonts w:hint="eastAsia"/>
          <w:color w:val="auto"/>
          <w:sz w:val="18"/>
          <w:szCs w:val="18"/>
          <w:highlight w:val="none"/>
        </w:rPr>
        <w:t>-</w:t>
      </w:r>
      <w:r>
        <w:rPr>
          <w:rFonts w:hint="eastAsia"/>
          <w:color w:val="auto"/>
          <w:sz w:val="18"/>
          <w:szCs w:val="18"/>
          <w:highlight w:val="none"/>
          <w:lang w:val="en-US" w:eastAsia="zh-CN"/>
        </w:rPr>
        <w:t>井周加固铺面</w:t>
      </w:r>
      <w:r>
        <w:rPr>
          <w:rFonts w:hint="eastAsia"/>
          <w:color w:val="auto"/>
          <w:sz w:val="18"/>
          <w:szCs w:val="18"/>
          <w:highlight w:val="none"/>
        </w:rPr>
        <w:t>；</w:t>
      </w:r>
    </w:p>
    <w:p>
      <w:pPr>
        <w:pStyle w:val="18"/>
        <w:keepLines w:val="0"/>
        <w:numPr>
          <w:ilvl w:val="0"/>
          <w:numId w:val="0"/>
        </w:numPr>
        <w:kinsoku/>
        <w:wordWrap/>
        <w:overflowPunct/>
        <w:topLinePunct w:val="0"/>
        <w:bidi w:val="0"/>
        <w:adjustRightInd w:val="0"/>
        <w:snapToGrid w:val="0"/>
        <w:spacing w:beforeAutospacing="0" w:afterAutospacing="0" w:line="360"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7</w:t>
      </w:r>
      <w:r>
        <w:rPr>
          <w:rFonts w:hint="eastAsia"/>
          <w:color w:val="auto"/>
          <w:sz w:val="18"/>
          <w:szCs w:val="18"/>
          <w:highlight w:val="none"/>
        </w:rPr>
        <w:t>-</w:t>
      </w:r>
      <w:r>
        <w:rPr>
          <w:rFonts w:hint="eastAsia"/>
          <w:color w:val="auto"/>
          <w:sz w:val="18"/>
          <w:szCs w:val="18"/>
          <w:highlight w:val="none"/>
          <w:lang w:val="en-US" w:eastAsia="zh-CN"/>
        </w:rPr>
        <w:t>沥青混凝土；8-井周结构</w:t>
      </w:r>
    </w:p>
    <w:p>
      <w:pPr>
        <w:tabs>
          <w:tab w:val="right" w:leader="dot" w:pos="8306"/>
        </w:tabs>
        <w:adjustRightInd w:val="0"/>
        <w:snapToGrid w:val="0"/>
        <w:spacing w:line="360" w:lineRule="auto"/>
        <w:jc w:val="left"/>
        <w:rPr>
          <w:rFonts w:hint="eastAsia" w:ascii="楷体" w:hAnsi="楷体" w:eastAsia="楷体" w:cs="楷体"/>
          <w:color w:val="auto"/>
          <w:sz w:val="21"/>
          <w:szCs w:val="21"/>
          <w:highlight w:val="none"/>
          <w:lang w:val="en-US" w:eastAsia="zh-CN"/>
        </w:rPr>
      </w:pPr>
      <w:r>
        <w:rPr>
          <w:rFonts w:hint="eastAsia" w:ascii="楷体" w:hAnsi="楷体" w:eastAsia="楷体" w:cs="楷体"/>
          <w:color w:val="auto"/>
          <w:sz w:val="21"/>
          <w:szCs w:val="21"/>
          <w:highlight w:val="none"/>
        </w:rPr>
        <w:t>【</w:t>
      </w:r>
      <w:r>
        <w:rPr>
          <w:rFonts w:hint="eastAsia" w:ascii="楷体" w:hAnsi="楷体" w:eastAsia="楷体" w:cs="楷体"/>
          <w:color w:val="auto"/>
          <w:sz w:val="21"/>
          <w:szCs w:val="21"/>
          <w:highlight w:val="none"/>
          <w:lang w:eastAsia="zh-CN"/>
        </w:rPr>
        <w:t>条文</w:t>
      </w:r>
      <w:r>
        <w:rPr>
          <w:rFonts w:hint="eastAsia" w:ascii="楷体" w:hAnsi="楷体" w:eastAsia="楷体" w:cs="楷体"/>
          <w:color w:val="auto"/>
          <w:sz w:val="21"/>
          <w:szCs w:val="21"/>
          <w:highlight w:val="none"/>
        </w:rPr>
        <w:t>说明】</w:t>
      </w:r>
      <w:r>
        <w:rPr>
          <w:rFonts w:hint="eastAsia" w:ascii="楷体" w:hAnsi="楷体" w:eastAsia="楷体" w:cs="楷体"/>
          <w:color w:val="auto"/>
          <w:sz w:val="21"/>
          <w:szCs w:val="21"/>
          <w:highlight w:val="none"/>
          <w:lang w:val="en-US" w:eastAsia="zh-CN"/>
        </w:rPr>
        <w:t>1软土地基指工程结构下卧层地基承载力＜80</w:t>
      </w:r>
      <w:r>
        <w:rPr>
          <w:rFonts w:hint="default"/>
          <w:color w:val="auto"/>
          <w:sz w:val="24"/>
          <w:szCs w:val="24"/>
          <w:highlight w:val="none"/>
          <w:lang w:val="en-US" w:eastAsia="zh-CN"/>
        </w:rPr>
        <w:t>kPa</w:t>
      </w:r>
      <w:r>
        <w:rPr>
          <w:rFonts w:hint="eastAsia" w:ascii="楷体" w:hAnsi="楷体" w:eastAsia="楷体" w:cs="楷体"/>
          <w:color w:val="auto"/>
          <w:sz w:val="21"/>
          <w:szCs w:val="21"/>
          <w:highlight w:val="none"/>
          <w:lang w:val="en-US" w:eastAsia="zh-CN"/>
        </w:rPr>
        <w:t>，工后沉降较大的地基；</w:t>
      </w:r>
    </w:p>
    <w:p>
      <w:pPr>
        <w:tabs>
          <w:tab w:val="right" w:leader="dot" w:pos="8306"/>
        </w:tabs>
        <w:adjustRightInd w:val="0"/>
        <w:snapToGrid w:val="0"/>
        <w:spacing w:line="360" w:lineRule="auto"/>
        <w:jc w:val="left"/>
        <w:rPr>
          <w:rFonts w:hint="default" w:ascii="楷体" w:hAnsi="楷体" w:eastAsia="楷体" w:cs="楷体"/>
          <w:color w:val="auto"/>
          <w:sz w:val="21"/>
          <w:szCs w:val="21"/>
          <w:highlight w:val="none"/>
          <w:lang w:val="en-US" w:eastAsia="zh-CN"/>
        </w:rPr>
      </w:pPr>
      <w:r>
        <w:rPr>
          <w:rFonts w:hint="eastAsia" w:ascii="楷体" w:hAnsi="楷体" w:eastAsia="楷体" w:cs="楷体"/>
          <w:color w:val="auto"/>
          <w:sz w:val="21"/>
          <w:szCs w:val="21"/>
          <w:highlight w:val="none"/>
          <w:lang w:val="en-US" w:eastAsia="zh-CN"/>
        </w:rPr>
        <w:t xml:space="preserve">            2 井周分离带由水泥混凝土和柔性材料构成。</w:t>
      </w:r>
    </w:p>
    <w:p>
      <w:pPr>
        <w:pStyle w:val="3"/>
        <w:keepNext/>
        <w:keepLines/>
        <w:pageBreakBefore w:val="0"/>
        <w:widowControl w:val="0"/>
        <w:kinsoku/>
        <w:wordWrap/>
        <w:overflowPunct/>
        <w:topLinePunct w:val="0"/>
        <w:autoSpaceDE/>
        <w:autoSpaceDN/>
        <w:bidi w:val="0"/>
        <w:adjustRightInd w:val="0"/>
        <w:snapToGrid w:val="0"/>
        <w:spacing w:before="0" w:beforeLines="50" w:after="0" w:line="360" w:lineRule="auto"/>
        <w:ind w:left="0" w:leftChars="0" w:right="0" w:rightChars="0"/>
        <w:jc w:val="center"/>
        <w:textAlignment w:val="auto"/>
        <w:rPr>
          <w:rFonts w:hint="eastAsia" w:ascii="Times New Roman" w:hAnsi="宋体" w:eastAsia="宋体" w:cs="Times New Roman"/>
          <w:b/>
          <w:bCs/>
          <w:color w:val="auto"/>
          <w:kern w:val="2"/>
          <w:sz w:val="24"/>
          <w:szCs w:val="24"/>
          <w:highlight w:val="none"/>
          <w:lang w:val="en-US" w:eastAsia="zh-CN" w:bidi="ar-SA"/>
        </w:rPr>
      </w:pPr>
      <w:bookmarkStart w:id="71" w:name="_Toc15784"/>
      <w:r>
        <w:rPr>
          <w:rFonts w:hint="eastAsia"/>
          <w:color w:val="auto"/>
          <w:sz w:val="24"/>
          <w:szCs w:val="24"/>
          <w:highlight w:val="none"/>
          <w:lang w:val="en-US" w:eastAsia="zh-CN"/>
        </w:rPr>
        <w:t xml:space="preserve">3.4  </w:t>
      </w:r>
      <w:r>
        <w:rPr>
          <w:rFonts w:hint="eastAsia"/>
          <w:color w:val="auto"/>
          <w:sz w:val="24"/>
          <w:highlight w:val="none"/>
          <w:lang w:val="en-US" w:eastAsia="zh-CN"/>
        </w:rPr>
        <w:t>井盖更换及维修</w:t>
      </w:r>
      <w:bookmarkEnd w:id="71"/>
    </w:p>
    <w:p>
      <w:pPr>
        <w:pageBreakBefore w:val="0"/>
        <w:tabs>
          <w:tab w:val="right" w:leader="dot" w:pos="8306"/>
        </w:tabs>
        <w:kinsoku/>
        <w:wordWrap/>
        <w:overflowPunct/>
        <w:topLinePunct w:val="0"/>
        <w:bidi w:val="0"/>
        <w:adjustRightInd w:val="0"/>
        <w:snapToGrid w:val="0"/>
        <w:spacing w:line="360" w:lineRule="auto"/>
        <w:ind w:left="0" w:leftChars="0" w:right="0" w:rightChars="0"/>
        <w:jc w:val="left"/>
        <w:textAlignment w:val="auto"/>
        <w:rPr>
          <w:rFonts w:hint="eastAsia"/>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3.4.1  </w:t>
      </w:r>
      <w:r>
        <w:rPr>
          <w:rFonts w:hint="eastAsia"/>
          <w:color w:val="auto"/>
          <w:sz w:val="24"/>
          <w:highlight w:val="none"/>
          <w:lang w:val="en-US" w:eastAsia="zh-CN"/>
        </w:rPr>
        <w:t>井盖更换维修工程</w:t>
      </w:r>
      <w:r>
        <w:rPr>
          <w:rFonts w:hint="eastAsia" w:ascii="Times New Roman" w:hAnsi="宋体" w:eastAsia="宋体" w:cs="Times New Roman"/>
          <w:b w:val="0"/>
          <w:bCs w:val="0"/>
          <w:color w:val="auto"/>
          <w:kern w:val="2"/>
          <w:sz w:val="24"/>
          <w:szCs w:val="24"/>
          <w:highlight w:val="none"/>
          <w:lang w:val="en-US" w:eastAsia="zh-CN" w:bidi="ar-SA"/>
        </w:rPr>
        <w:t>，</w:t>
      </w:r>
      <w:r>
        <w:rPr>
          <w:rFonts w:hint="eastAsia"/>
          <w:b w:val="0"/>
          <w:bCs w:val="0"/>
          <w:color w:val="auto"/>
          <w:sz w:val="24"/>
          <w:highlight w:val="none"/>
          <w:lang w:val="en-US" w:eastAsia="zh-CN"/>
        </w:rPr>
        <w:t>应根据工程荷载情况、基层条件及井孔尺寸等因素，</w:t>
      </w:r>
      <w:r>
        <w:rPr>
          <w:rFonts w:hint="eastAsia"/>
          <w:color w:val="auto"/>
          <w:sz w:val="24"/>
          <w:highlight w:val="none"/>
          <w:lang w:val="en-US" w:eastAsia="zh-CN"/>
        </w:rPr>
        <w:t>在井体上方设置</w:t>
      </w:r>
      <w:r>
        <w:rPr>
          <w:rFonts w:hint="eastAsia"/>
          <w:b w:val="0"/>
          <w:bCs w:val="0"/>
          <w:color w:val="auto"/>
          <w:sz w:val="24"/>
          <w:highlight w:val="none"/>
          <w:lang w:val="en-US" w:eastAsia="zh-CN"/>
        </w:rPr>
        <w:t>卸载板、调节环或直接更换防沉降井盖</w:t>
      </w:r>
      <w:r>
        <w:rPr>
          <w:rFonts w:hint="eastAsia"/>
          <w:color w:val="auto"/>
          <w:sz w:val="24"/>
          <w:highlight w:val="none"/>
          <w:lang w:val="en-US" w:eastAsia="zh-CN"/>
        </w:rPr>
        <w:t>。</w:t>
      </w:r>
    </w:p>
    <w:p>
      <w:pPr>
        <w:pageBreakBefore w:val="0"/>
        <w:tabs>
          <w:tab w:val="right" w:leader="dot" w:pos="8306"/>
        </w:tabs>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color w:val="auto"/>
          <w:sz w:val="24"/>
          <w:highlight w:val="none"/>
          <w:lang w:val="en-US" w:eastAsia="zh-CN"/>
        </w:rPr>
      </w:pPr>
      <w:r>
        <w:rPr>
          <w:rFonts w:hint="eastAsia"/>
          <w:color w:val="auto"/>
          <w:sz w:val="24"/>
          <w:highlight w:val="none"/>
          <w:lang w:val="en-US" w:eastAsia="zh-CN"/>
        </w:rPr>
        <w:t>1  井周有较大范围破损的宜采用密贴式卸载板（图3.4.1-1），卸载板与井周道路结构搭接宽度</w:t>
      </w:r>
      <w:r>
        <w:rPr>
          <w:rFonts w:hint="eastAsia" w:ascii="Times New Roman" w:hAnsi="Times New Roman" w:cs="Times New Roman"/>
          <w:i/>
          <w:iCs/>
          <w:color w:val="auto"/>
          <w:sz w:val="24"/>
          <w:highlight w:val="none"/>
          <w:lang w:val="en-US" w:eastAsia="zh-CN"/>
        </w:rPr>
        <w:t>b</w:t>
      </w:r>
      <w:r>
        <w:rPr>
          <w:rFonts w:hint="eastAsia"/>
          <w:color w:val="auto"/>
          <w:sz w:val="24"/>
          <w:highlight w:val="none"/>
          <w:lang w:val="en-US" w:eastAsia="zh-CN"/>
        </w:rPr>
        <w:t>不小于0.5m，厚度</w:t>
      </w:r>
      <w:r>
        <w:rPr>
          <w:rFonts w:hint="eastAsia" w:ascii="Times New Roman" w:hAnsi="Times New Roman" w:cs="Times New Roman"/>
          <w:i/>
          <w:iCs/>
          <w:color w:val="auto"/>
          <w:sz w:val="24"/>
          <w:highlight w:val="none"/>
          <w:lang w:val="en-US" w:eastAsia="zh-CN"/>
        </w:rPr>
        <w:t>h</w:t>
      </w:r>
      <w:r>
        <w:rPr>
          <w:rFonts w:hint="eastAsia"/>
          <w:color w:val="auto"/>
          <w:sz w:val="24"/>
          <w:highlight w:val="none"/>
          <w:lang w:val="en-US" w:eastAsia="zh-CN"/>
        </w:rPr>
        <w:t>不小于200mm。</w:t>
      </w:r>
    </w:p>
    <w:p>
      <w:pPr>
        <w:pageBreakBefore w:val="0"/>
        <w:tabs>
          <w:tab w:val="right" w:leader="dot" w:pos="8306"/>
        </w:tabs>
        <w:kinsoku/>
        <w:wordWrap/>
        <w:overflowPunct/>
        <w:topLinePunct w:val="0"/>
        <w:bidi w:val="0"/>
        <w:adjustRightInd w:val="0"/>
        <w:snapToGrid w:val="0"/>
        <w:spacing w:line="360" w:lineRule="auto"/>
        <w:ind w:right="0" w:rightChars="0"/>
        <w:jc w:val="center"/>
        <w:textAlignment w:val="auto"/>
        <w:rPr>
          <w:color w:val="auto"/>
          <w:highlight w:val="none"/>
        </w:rPr>
      </w:pPr>
      <w:r>
        <w:rPr>
          <w:color w:val="auto"/>
        </w:rPr>
        <w:drawing>
          <wp:inline distT="0" distB="0" distL="114300" distR="114300">
            <wp:extent cx="5473700" cy="1755775"/>
            <wp:effectExtent l="0" t="0" r="12700" b="1206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33"/>
                    <a:stretch>
                      <a:fillRect/>
                    </a:stretch>
                  </pic:blipFill>
                  <pic:spPr>
                    <a:xfrm>
                      <a:off x="0" y="0"/>
                      <a:ext cx="5473700" cy="1755775"/>
                    </a:xfrm>
                    <a:prstGeom prst="rect">
                      <a:avLst/>
                    </a:prstGeom>
                    <a:noFill/>
                    <a:ln>
                      <a:noFill/>
                    </a:ln>
                  </pic:spPr>
                </pic:pic>
              </a:graphicData>
            </a:graphic>
          </wp:inline>
        </w:drawing>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rFonts w:hint="eastAsia"/>
          <w:color w:val="auto"/>
          <w:highlight w:val="none"/>
          <w:lang w:val="en-US" w:eastAsia="zh-CN"/>
        </w:rPr>
      </w:pPr>
      <w:r>
        <w:rPr>
          <w:rFonts w:hint="eastAsia" w:ascii="宋体" w:hAnsi="宋体" w:eastAsia="宋体" w:cs="宋体"/>
          <w:b/>
          <w:bCs/>
          <w:color w:val="auto"/>
          <w:highlight w:val="none"/>
          <w:lang w:eastAsia="zh-CN"/>
        </w:rPr>
        <w:t>图</w:t>
      </w:r>
      <w:r>
        <w:rPr>
          <w:rFonts w:hint="eastAsia" w:ascii="宋体" w:hAnsi="宋体" w:eastAsia="宋体" w:cs="宋体"/>
          <w:b/>
          <w:bCs/>
          <w:color w:val="auto"/>
          <w:highlight w:val="none"/>
          <w:lang w:val="en-US" w:eastAsia="zh-CN"/>
        </w:rPr>
        <w:t>3.4.1-1  密贴式卸载板示意图</w:t>
      </w:r>
    </w:p>
    <w:p>
      <w:pPr>
        <w:pageBreakBefore w:val="0"/>
        <w:numPr>
          <w:ilvl w:val="0"/>
          <w:numId w:val="9"/>
        </w:numPr>
        <w:tabs>
          <w:tab w:val="right" w:leader="dot" w:pos="8306"/>
        </w:tabs>
        <w:kinsoku/>
        <w:wordWrap/>
        <w:overflowPunct/>
        <w:topLinePunct w:val="0"/>
        <w:bidi w:val="0"/>
        <w:adjustRightInd w:val="0"/>
        <w:snapToGrid w:val="0"/>
        <w:spacing w:line="360" w:lineRule="auto"/>
        <w:ind w:left="0" w:leftChars="0" w:right="0" w:right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井体</w:t>
      </w:r>
      <w:r>
        <w:rPr>
          <w:rFonts w:hint="eastAsia"/>
          <w:color w:val="auto"/>
          <w:sz w:val="18"/>
          <w:szCs w:val="18"/>
          <w:highlight w:val="none"/>
        </w:rPr>
        <w:t>；2-</w:t>
      </w:r>
      <w:r>
        <w:rPr>
          <w:rFonts w:hint="eastAsia"/>
          <w:color w:val="auto"/>
          <w:sz w:val="18"/>
          <w:szCs w:val="18"/>
          <w:highlight w:val="none"/>
          <w:lang w:val="en-US" w:eastAsia="zh-CN"/>
        </w:rPr>
        <w:t>卸载板</w:t>
      </w:r>
      <w:r>
        <w:rPr>
          <w:rFonts w:hint="eastAsia"/>
          <w:color w:val="auto"/>
          <w:sz w:val="18"/>
          <w:szCs w:val="18"/>
          <w:highlight w:val="none"/>
        </w:rPr>
        <w:t>；</w:t>
      </w:r>
      <w:r>
        <w:rPr>
          <w:rFonts w:hint="eastAsia"/>
          <w:color w:val="auto"/>
          <w:sz w:val="18"/>
          <w:szCs w:val="18"/>
          <w:highlight w:val="none"/>
          <w:lang w:val="en-US" w:eastAsia="zh-CN"/>
        </w:rPr>
        <w:t>3</w:t>
      </w:r>
      <w:r>
        <w:rPr>
          <w:rFonts w:hint="eastAsia"/>
          <w:color w:val="auto"/>
          <w:sz w:val="18"/>
          <w:szCs w:val="18"/>
          <w:highlight w:val="none"/>
        </w:rPr>
        <w:t>-</w:t>
      </w:r>
      <w:r>
        <w:rPr>
          <w:rFonts w:hint="eastAsia"/>
          <w:color w:val="auto"/>
          <w:sz w:val="18"/>
          <w:szCs w:val="18"/>
          <w:highlight w:val="none"/>
          <w:lang w:val="en-US" w:eastAsia="zh-CN"/>
        </w:rPr>
        <w:t>止水密封圈</w:t>
      </w:r>
      <w:r>
        <w:rPr>
          <w:rFonts w:hint="eastAsia"/>
          <w:color w:val="auto"/>
          <w:sz w:val="18"/>
          <w:szCs w:val="18"/>
          <w:highlight w:val="none"/>
        </w:rPr>
        <w:t>；</w:t>
      </w:r>
      <w:r>
        <w:rPr>
          <w:rFonts w:hint="eastAsia"/>
          <w:color w:val="auto"/>
          <w:sz w:val="18"/>
          <w:szCs w:val="18"/>
          <w:highlight w:val="none"/>
          <w:lang w:val="en-US" w:eastAsia="zh-CN"/>
        </w:rPr>
        <w:t>4</w:t>
      </w:r>
      <w:r>
        <w:rPr>
          <w:rFonts w:hint="eastAsia"/>
          <w:color w:val="auto"/>
          <w:sz w:val="18"/>
          <w:szCs w:val="18"/>
          <w:highlight w:val="none"/>
        </w:rPr>
        <w:t>-</w:t>
      </w:r>
      <w:r>
        <w:rPr>
          <w:rFonts w:hint="eastAsia"/>
          <w:color w:val="auto"/>
          <w:sz w:val="18"/>
          <w:szCs w:val="18"/>
          <w:highlight w:val="none"/>
          <w:lang w:val="en-US" w:eastAsia="zh-CN"/>
        </w:rPr>
        <w:t>井盖传载板</w:t>
      </w:r>
      <w:r>
        <w:rPr>
          <w:rFonts w:hint="eastAsia"/>
          <w:color w:val="auto"/>
          <w:sz w:val="18"/>
          <w:szCs w:val="18"/>
          <w:highlight w:val="none"/>
        </w:rPr>
        <w:t>；</w:t>
      </w:r>
      <w:r>
        <w:rPr>
          <w:rFonts w:hint="eastAsia"/>
          <w:color w:val="auto"/>
          <w:sz w:val="18"/>
          <w:szCs w:val="18"/>
          <w:highlight w:val="none"/>
          <w:lang w:val="en-US" w:eastAsia="zh-CN"/>
        </w:rPr>
        <w:t>5</w:t>
      </w:r>
      <w:r>
        <w:rPr>
          <w:rFonts w:hint="eastAsia"/>
          <w:color w:val="auto"/>
          <w:sz w:val="18"/>
          <w:szCs w:val="18"/>
          <w:highlight w:val="none"/>
        </w:rPr>
        <w:t>-</w:t>
      </w:r>
      <w:r>
        <w:rPr>
          <w:rFonts w:hint="eastAsia"/>
          <w:color w:val="auto"/>
          <w:sz w:val="18"/>
          <w:szCs w:val="18"/>
          <w:highlight w:val="none"/>
          <w:lang w:val="en-US" w:eastAsia="zh-CN"/>
        </w:rPr>
        <w:t>井盖盖体</w:t>
      </w:r>
      <w:r>
        <w:rPr>
          <w:rFonts w:hint="eastAsia"/>
          <w:color w:val="auto"/>
          <w:sz w:val="18"/>
          <w:szCs w:val="18"/>
          <w:highlight w:val="none"/>
        </w:rPr>
        <w:t>；</w:t>
      </w:r>
      <w:r>
        <w:rPr>
          <w:rFonts w:hint="eastAsia"/>
          <w:color w:val="auto"/>
          <w:sz w:val="18"/>
          <w:szCs w:val="18"/>
          <w:highlight w:val="none"/>
          <w:lang w:val="en-US" w:eastAsia="zh-CN"/>
        </w:rPr>
        <w:t>6</w:t>
      </w:r>
      <w:r>
        <w:rPr>
          <w:rFonts w:hint="eastAsia"/>
          <w:color w:val="auto"/>
          <w:sz w:val="18"/>
          <w:szCs w:val="18"/>
          <w:highlight w:val="none"/>
        </w:rPr>
        <w:t>-</w:t>
      </w:r>
      <w:r>
        <w:rPr>
          <w:rFonts w:hint="eastAsia"/>
          <w:color w:val="auto"/>
          <w:sz w:val="18"/>
          <w:szCs w:val="18"/>
          <w:highlight w:val="none"/>
          <w:lang w:val="en-US" w:eastAsia="zh-CN"/>
        </w:rPr>
        <w:t>井周加固铺面</w:t>
      </w:r>
      <w:r>
        <w:rPr>
          <w:rFonts w:hint="eastAsia"/>
          <w:color w:val="auto"/>
          <w:sz w:val="18"/>
          <w:szCs w:val="18"/>
          <w:highlight w:val="none"/>
        </w:rPr>
        <w:t>；</w:t>
      </w:r>
      <w:r>
        <w:rPr>
          <w:rFonts w:hint="eastAsia"/>
          <w:color w:val="auto"/>
          <w:sz w:val="18"/>
          <w:szCs w:val="18"/>
          <w:highlight w:val="none"/>
          <w:lang w:val="en-US" w:eastAsia="zh-CN"/>
        </w:rPr>
        <w:t>7</w:t>
      </w:r>
      <w:r>
        <w:rPr>
          <w:rFonts w:hint="eastAsia"/>
          <w:color w:val="auto"/>
          <w:sz w:val="18"/>
          <w:szCs w:val="18"/>
          <w:highlight w:val="none"/>
        </w:rPr>
        <w:t>-</w:t>
      </w:r>
      <w:r>
        <w:rPr>
          <w:rFonts w:hint="eastAsia"/>
          <w:color w:val="auto"/>
          <w:sz w:val="18"/>
          <w:szCs w:val="18"/>
          <w:highlight w:val="none"/>
          <w:lang w:val="en-US" w:eastAsia="zh-CN"/>
        </w:rPr>
        <w:t>沥青混凝土；</w:t>
      </w:r>
    </w:p>
    <w:p>
      <w:pPr>
        <w:pageBreakBefore w:val="0"/>
        <w:numPr>
          <w:ilvl w:val="0"/>
          <w:numId w:val="0"/>
        </w:numPr>
        <w:tabs>
          <w:tab w:val="right" w:leader="dot" w:pos="8306"/>
        </w:tabs>
        <w:kinsoku/>
        <w:wordWrap/>
        <w:overflowPunct/>
        <w:topLinePunct w:val="0"/>
        <w:bidi w:val="0"/>
        <w:adjustRightInd w:val="0"/>
        <w:snapToGrid w:val="0"/>
        <w:spacing w:line="360" w:lineRule="auto"/>
        <w:ind w:right="0" w:right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8-井周结构；9-混凝土垫层</w:t>
      </w:r>
    </w:p>
    <w:p>
      <w:pPr>
        <w:pageBreakBefore w:val="0"/>
        <w:tabs>
          <w:tab w:val="right" w:leader="dot" w:pos="8306"/>
        </w:tabs>
        <w:kinsoku/>
        <w:wordWrap/>
        <w:overflowPunct/>
        <w:topLinePunct w:val="0"/>
        <w:bidi w:val="0"/>
        <w:adjustRightInd w:val="0"/>
        <w:snapToGrid w:val="0"/>
        <w:spacing w:line="360" w:lineRule="auto"/>
        <w:ind w:left="0" w:leftChars="0" w:right="0" w:rightChars="0" w:firstLine="480" w:firstLineChars="200"/>
        <w:jc w:val="left"/>
        <w:textAlignment w:val="auto"/>
        <w:rPr>
          <w:rFonts w:hint="eastAsia"/>
          <w:color w:val="auto"/>
          <w:sz w:val="18"/>
          <w:szCs w:val="18"/>
          <w:highlight w:val="none"/>
          <w:lang w:val="en-US" w:eastAsia="zh-CN"/>
        </w:rPr>
      </w:pPr>
      <w:r>
        <w:rPr>
          <w:rFonts w:hint="eastAsia"/>
          <w:color w:val="auto"/>
          <w:sz w:val="24"/>
          <w:highlight w:val="none"/>
          <w:lang w:val="en-US" w:eastAsia="zh-CN"/>
        </w:rPr>
        <w:t>2  井周破损范围较小、沉降稳定，井孔尺寸大于防沉降井盖井圈筒体尺寸50mm～200mm的，宜设置钢筋混凝土调节环（图3.4.1-2）或金属调节环（图3.4.1-3），调节环内径尺寸大于防沉降井盖筒体尺寸10mm～15mm。</w:t>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rFonts w:hint="eastAsia"/>
          <w:color w:val="auto"/>
          <w:sz w:val="18"/>
          <w:szCs w:val="18"/>
          <w:highlight w:val="none"/>
          <w:lang w:val="en-US" w:eastAsia="zh-CN"/>
        </w:rPr>
      </w:pPr>
      <w:r>
        <w:rPr>
          <w:color w:val="auto"/>
        </w:rPr>
        <w:drawing>
          <wp:inline distT="0" distB="0" distL="114300" distR="114300">
            <wp:extent cx="5478145" cy="1899920"/>
            <wp:effectExtent l="0" t="0" r="8255" b="508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34"/>
                    <a:stretch>
                      <a:fillRect/>
                    </a:stretch>
                  </pic:blipFill>
                  <pic:spPr>
                    <a:xfrm>
                      <a:off x="0" y="0"/>
                      <a:ext cx="5478145" cy="1899920"/>
                    </a:xfrm>
                    <a:prstGeom prst="rect">
                      <a:avLst/>
                    </a:prstGeom>
                    <a:noFill/>
                    <a:ln>
                      <a:noFill/>
                    </a:ln>
                  </pic:spPr>
                </pic:pic>
              </a:graphicData>
            </a:graphic>
          </wp:inline>
        </w:drawing>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图</w:t>
      </w:r>
      <w:r>
        <w:rPr>
          <w:rFonts w:hint="eastAsia" w:ascii="宋体" w:hAnsi="宋体" w:eastAsia="宋体" w:cs="宋体"/>
          <w:b/>
          <w:bCs/>
          <w:color w:val="auto"/>
          <w:sz w:val="21"/>
          <w:szCs w:val="21"/>
          <w:highlight w:val="none"/>
          <w:lang w:val="en-US" w:eastAsia="zh-CN"/>
        </w:rPr>
        <w:t>3.4.1-2 钢筋混凝土调节环示意图</w:t>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1-井体</w:t>
      </w:r>
      <w:r>
        <w:rPr>
          <w:rFonts w:hint="eastAsia"/>
          <w:color w:val="auto"/>
          <w:sz w:val="18"/>
          <w:szCs w:val="18"/>
          <w:highlight w:val="none"/>
        </w:rPr>
        <w:t>；2-</w:t>
      </w:r>
      <w:r>
        <w:rPr>
          <w:rFonts w:hint="eastAsia"/>
          <w:color w:val="auto"/>
          <w:sz w:val="18"/>
          <w:szCs w:val="18"/>
          <w:highlight w:val="none"/>
          <w:lang w:eastAsia="zh-CN"/>
        </w:rPr>
        <w:t>钢筋</w:t>
      </w:r>
      <w:r>
        <w:rPr>
          <w:rFonts w:hint="eastAsia"/>
          <w:color w:val="auto"/>
          <w:sz w:val="18"/>
          <w:szCs w:val="18"/>
          <w:highlight w:val="none"/>
          <w:lang w:val="en-US" w:eastAsia="zh-CN"/>
        </w:rPr>
        <w:t>混凝土调节环</w:t>
      </w:r>
      <w:r>
        <w:rPr>
          <w:rFonts w:hint="eastAsia"/>
          <w:color w:val="auto"/>
          <w:sz w:val="18"/>
          <w:szCs w:val="18"/>
          <w:highlight w:val="none"/>
        </w:rPr>
        <w:t>；</w:t>
      </w:r>
      <w:r>
        <w:rPr>
          <w:rFonts w:hint="eastAsia"/>
          <w:color w:val="auto"/>
          <w:sz w:val="18"/>
          <w:szCs w:val="18"/>
          <w:highlight w:val="none"/>
          <w:lang w:val="en-US" w:eastAsia="zh-CN"/>
        </w:rPr>
        <w:t>3</w:t>
      </w:r>
      <w:r>
        <w:rPr>
          <w:rFonts w:hint="eastAsia"/>
          <w:color w:val="auto"/>
          <w:sz w:val="18"/>
          <w:szCs w:val="18"/>
          <w:highlight w:val="none"/>
        </w:rPr>
        <w:t>-</w:t>
      </w:r>
      <w:r>
        <w:rPr>
          <w:rFonts w:hint="eastAsia"/>
          <w:color w:val="auto"/>
          <w:sz w:val="18"/>
          <w:szCs w:val="18"/>
          <w:highlight w:val="none"/>
          <w:lang w:val="en-US" w:eastAsia="zh-CN"/>
        </w:rPr>
        <w:t>止水密封圈</w:t>
      </w:r>
      <w:r>
        <w:rPr>
          <w:rFonts w:hint="eastAsia"/>
          <w:color w:val="auto"/>
          <w:sz w:val="18"/>
          <w:szCs w:val="18"/>
          <w:highlight w:val="none"/>
        </w:rPr>
        <w:t>；</w:t>
      </w:r>
      <w:r>
        <w:rPr>
          <w:rFonts w:hint="eastAsia"/>
          <w:color w:val="auto"/>
          <w:sz w:val="18"/>
          <w:szCs w:val="18"/>
          <w:highlight w:val="none"/>
          <w:lang w:val="en-US" w:eastAsia="zh-CN"/>
        </w:rPr>
        <w:t>4</w:t>
      </w:r>
      <w:r>
        <w:rPr>
          <w:rFonts w:hint="eastAsia"/>
          <w:color w:val="auto"/>
          <w:sz w:val="18"/>
          <w:szCs w:val="18"/>
          <w:highlight w:val="none"/>
        </w:rPr>
        <w:t>-</w:t>
      </w:r>
      <w:r>
        <w:rPr>
          <w:rFonts w:hint="eastAsia"/>
          <w:color w:val="auto"/>
          <w:sz w:val="18"/>
          <w:szCs w:val="18"/>
          <w:highlight w:val="none"/>
          <w:lang w:val="en-US" w:eastAsia="zh-CN"/>
        </w:rPr>
        <w:t>井圈</w:t>
      </w:r>
      <w:r>
        <w:rPr>
          <w:rFonts w:hint="eastAsia"/>
          <w:color w:val="auto"/>
          <w:sz w:val="18"/>
          <w:szCs w:val="18"/>
          <w:highlight w:val="none"/>
        </w:rPr>
        <w:t>；</w:t>
      </w:r>
      <w:r>
        <w:rPr>
          <w:rFonts w:hint="eastAsia"/>
          <w:color w:val="auto"/>
          <w:sz w:val="18"/>
          <w:szCs w:val="18"/>
          <w:highlight w:val="none"/>
          <w:lang w:val="en-US" w:eastAsia="zh-CN"/>
        </w:rPr>
        <w:t>5</w:t>
      </w:r>
      <w:r>
        <w:rPr>
          <w:rFonts w:hint="eastAsia"/>
          <w:color w:val="auto"/>
          <w:sz w:val="18"/>
          <w:szCs w:val="18"/>
          <w:highlight w:val="none"/>
        </w:rPr>
        <w:t>-</w:t>
      </w:r>
      <w:r>
        <w:rPr>
          <w:rFonts w:hint="eastAsia"/>
          <w:color w:val="auto"/>
          <w:sz w:val="18"/>
          <w:szCs w:val="18"/>
          <w:highlight w:val="none"/>
          <w:lang w:val="en-US" w:eastAsia="zh-CN"/>
        </w:rPr>
        <w:t>井盖盖体</w:t>
      </w:r>
      <w:r>
        <w:rPr>
          <w:rFonts w:hint="eastAsia"/>
          <w:color w:val="auto"/>
          <w:sz w:val="18"/>
          <w:szCs w:val="18"/>
          <w:highlight w:val="none"/>
        </w:rPr>
        <w:t>；</w:t>
      </w:r>
      <w:r>
        <w:rPr>
          <w:rFonts w:hint="eastAsia"/>
          <w:color w:val="auto"/>
          <w:sz w:val="18"/>
          <w:szCs w:val="18"/>
          <w:highlight w:val="none"/>
          <w:lang w:val="en-US" w:eastAsia="zh-CN"/>
        </w:rPr>
        <w:t>6</w:t>
      </w:r>
      <w:r>
        <w:rPr>
          <w:rFonts w:hint="eastAsia"/>
          <w:color w:val="auto"/>
          <w:sz w:val="18"/>
          <w:szCs w:val="18"/>
          <w:highlight w:val="none"/>
        </w:rPr>
        <w:t>-</w:t>
      </w:r>
      <w:r>
        <w:rPr>
          <w:rFonts w:hint="eastAsia"/>
          <w:color w:val="auto"/>
          <w:sz w:val="18"/>
          <w:szCs w:val="18"/>
          <w:highlight w:val="none"/>
          <w:lang w:val="en-US" w:eastAsia="zh-CN"/>
        </w:rPr>
        <w:t>井周加固铺面</w:t>
      </w:r>
      <w:r>
        <w:rPr>
          <w:rFonts w:hint="eastAsia"/>
          <w:color w:val="auto"/>
          <w:sz w:val="18"/>
          <w:szCs w:val="18"/>
          <w:highlight w:val="none"/>
        </w:rPr>
        <w:t>；</w:t>
      </w:r>
    </w:p>
    <w:p>
      <w:pPr>
        <w:pStyle w:val="18"/>
        <w:keepLines w:val="0"/>
        <w:numPr>
          <w:ilvl w:val="0"/>
          <w:numId w:val="0"/>
        </w:numPr>
        <w:kinsoku/>
        <w:wordWrap/>
        <w:overflowPunct/>
        <w:topLinePunct w:val="0"/>
        <w:bidi w:val="0"/>
        <w:adjustRightInd w:val="0"/>
        <w:snapToGrid w:val="0"/>
        <w:spacing w:beforeAutospacing="0" w:afterAutospacing="0" w:line="360" w:lineRule="auto"/>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7</w:t>
      </w:r>
      <w:r>
        <w:rPr>
          <w:rFonts w:hint="eastAsia"/>
          <w:color w:val="auto"/>
          <w:sz w:val="18"/>
          <w:szCs w:val="18"/>
          <w:highlight w:val="none"/>
        </w:rPr>
        <w:t>-</w:t>
      </w:r>
      <w:r>
        <w:rPr>
          <w:rFonts w:hint="eastAsia"/>
          <w:color w:val="auto"/>
          <w:sz w:val="18"/>
          <w:szCs w:val="18"/>
          <w:highlight w:val="none"/>
          <w:lang w:val="en-US" w:eastAsia="zh-CN"/>
        </w:rPr>
        <w:t>沥青混凝土；8-井周结构</w:t>
      </w:r>
    </w:p>
    <w:p>
      <w:pPr>
        <w:pStyle w:val="18"/>
        <w:keepLines w:val="0"/>
        <w:numPr>
          <w:ilvl w:val="0"/>
          <w:numId w:val="0"/>
        </w:numPr>
        <w:kinsoku/>
        <w:wordWrap/>
        <w:overflowPunct/>
        <w:topLinePunct w:val="0"/>
        <w:bidi w:val="0"/>
        <w:adjustRightInd w:val="0"/>
        <w:snapToGrid w:val="0"/>
        <w:spacing w:beforeAutospacing="0" w:afterAutospacing="0" w:line="360" w:lineRule="auto"/>
        <w:jc w:val="center"/>
        <w:textAlignment w:val="auto"/>
        <w:rPr>
          <w:rFonts w:hint="eastAsia"/>
          <w:color w:val="auto"/>
          <w:sz w:val="18"/>
          <w:szCs w:val="18"/>
          <w:highlight w:val="none"/>
          <w:lang w:val="en-US" w:eastAsia="zh-CN"/>
        </w:rPr>
      </w:pPr>
      <w:r>
        <w:rPr>
          <w:color w:val="auto"/>
        </w:rPr>
        <w:drawing>
          <wp:inline distT="0" distB="0" distL="114300" distR="114300">
            <wp:extent cx="5479415" cy="1858010"/>
            <wp:effectExtent l="0" t="0" r="6985" b="127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35"/>
                    <a:stretch>
                      <a:fillRect/>
                    </a:stretch>
                  </pic:blipFill>
                  <pic:spPr>
                    <a:xfrm>
                      <a:off x="0" y="0"/>
                      <a:ext cx="5479415" cy="1858010"/>
                    </a:xfrm>
                    <a:prstGeom prst="rect">
                      <a:avLst/>
                    </a:prstGeom>
                    <a:noFill/>
                    <a:ln>
                      <a:noFill/>
                    </a:ln>
                  </pic:spPr>
                </pic:pic>
              </a:graphicData>
            </a:graphic>
          </wp:inline>
        </w:drawing>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图</w:t>
      </w:r>
      <w:r>
        <w:rPr>
          <w:rFonts w:hint="eastAsia" w:ascii="宋体" w:hAnsi="宋体" w:eastAsia="宋体" w:cs="宋体"/>
          <w:b/>
          <w:bCs/>
          <w:color w:val="auto"/>
          <w:sz w:val="21"/>
          <w:szCs w:val="21"/>
          <w:highlight w:val="none"/>
          <w:lang w:val="en-US" w:eastAsia="zh-CN"/>
        </w:rPr>
        <w:t>3.4.1-3 金属调节环示意图</w:t>
      </w:r>
    </w:p>
    <w:p>
      <w:pPr>
        <w:pStyle w:val="18"/>
        <w:keepLines w:val="0"/>
        <w:numPr>
          <w:ilvl w:val="0"/>
          <w:numId w:val="10"/>
        </w:numPr>
        <w:kinsoku/>
        <w:wordWrap/>
        <w:overflowPunct/>
        <w:topLinePunct w:val="0"/>
        <w:bidi w:val="0"/>
        <w:adjustRightInd w:val="0"/>
        <w:snapToGrid w:val="0"/>
        <w:spacing w:beforeAutospacing="0" w:afterAutospacing="0" w:line="360" w:lineRule="auto"/>
        <w:jc w:val="center"/>
        <w:textAlignment w:val="auto"/>
        <w:rPr>
          <w:rFonts w:hint="eastAsia"/>
          <w:color w:val="auto"/>
          <w:sz w:val="18"/>
          <w:szCs w:val="18"/>
          <w:highlight w:val="none"/>
        </w:rPr>
      </w:pPr>
      <w:r>
        <w:rPr>
          <w:rFonts w:hint="eastAsia"/>
          <w:color w:val="auto"/>
          <w:sz w:val="18"/>
          <w:szCs w:val="18"/>
          <w:highlight w:val="none"/>
          <w:lang w:val="en-US" w:eastAsia="zh-CN"/>
        </w:rPr>
        <w:t>井体</w:t>
      </w:r>
      <w:r>
        <w:rPr>
          <w:rFonts w:hint="eastAsia"/>
          <w:color w:val="auto"/>
          <w:sz w:val="18"/>
          <w:szCs w:val="18"/>
          <w:highlight w:val="none"/>
        </w:rPr>
        <w:t>；</w:t>
      </w:r>
      <w:r>
        <w:rPr>
          <w:rFonts w:hint="eastAsia"/>
          <w:color w:val="auto"/>
          <w:sz w:val="18"/>
          <w:szCs w:val="18"/>
          <w:highlight w:val="none"/>
          <w:lang w:val="en-US" w:eastAsia="zh-CN"/>
        </w:rPr>
        <w:t>2</w:t>
      </w:r>
      <w:r>
        <w:rPr>
          <w:rFonts w:hint="eastAsia"/>
          <w:color w:val="auto"/>
          <w:sz w:val="18"/>
          <w:szCs w:val="18"/>
          <w:highlight w:val="none"/>
        </w:rPr>
        <w:t>-</w:t>
      </w:r>
      <w:r>
        <w:rPr>
          <w:rFonts w:hint="eastAsia"/>
          <w:color w:val="auto"/>
          <w:sz w:val="18"/>
          <w:szCs w:val="18"/>
          <w:highlight w:val="none"/>
          <w:lang w:val="en-US" w:eastAsia="zh-CN"/>
        </w:rPr>
        <w:t>盖座</w:t>
      </w:r>
      <w:r>
        <w:rPr>
          <w:rFonts w:hint="eastAsia"/>
          <w:color w:val="auto"/>
          <w:sz w:val="18"/>
          <w:szCs w:val="18"/>
          <w:highlight w:val="none"/>
        </w:rPr>
        <w:t>；</w:t>
      </w:r>
      <w:r>
        <w:rPr>
          <w:rFonts w:hint="eastAsia"/>
          <w:color w:val="auto"/>
          <w:sz w:val="18"/>
          <w:szCs w:val="18"/>
          <w:highlight w:val="none"/>
          <w:lang w:val="en-US" w:eastAsia="zh-CN"/>
        </w:rPr>
        <w:t>3</w:t>
      </w:r>
      <w:r>
        <w:rPr>
          <w:rFonts w:hint="eastAsia"/>
          <w:color w:val="auto"/>
          <w:sz w:val="18"/>
          <w:szCs w:val="18"/>
          <w:highlight w:val="none"/>
        </w:rPr>
        <w:t>-</w:t>
      </w:r>
      <w:r>
        <w:rPr>
          <w:rFonts w:hint="eastAsia"/>
          <w:color w:val="auto"/>
          <w:sz w:val="18"/>
          <w:szCs w:val="18"/>
          <w:highlight w:val="none"/>
          <w:lang w:val="en-US" w:eastAsia="zh-CN"/>
        </w:rPr>
        <w:t>止水密封圈</w:t>
      </w:r>
      <w:r>
        <w:rPr>
          <w:rFonts w:hint="eastAsia"/>
          <w:color w:val="auto"/>
          <w:sz w:val="18"/>
          <w:szCs w:val="18"/>
          <w:highlight w:val="none"/>
        </w:rPr>
        <w:t>；</w:t>
      </w:r>
      <w:r>
        <w:rPr>
          <w:rFonts w:hint="eastAsia"/>
          <w:color w:val="auto"/>
          <w:sz w:val="18"/>
          <w:szCs w:val="18"/>
          <w:highlight w:val="none"/>
          <w:lang w:val="en-US" w:eastAsia="zh-CN"/>
        </w:rPr>
        <w:t>4</w:t>
      </w:r>
      <w:r>
        <w:rPr>
          <w:rFonts w:hint="eastAsia"/>
          <w:color w:val="auto"/>
          <w:sz w:val="18"/>
          <w:szCs w:val="18"/>
          <w:highlight w:val="none"/>
        </w:rPr>
        <w:t>-</w:t>
      </w:r>
      <w:r>
        <w:rPr>
          <w:rFonts w:hint="eastAsia"/>
          <w:color w:val="auto"/>
          <w:sz w:val="18"/>
          <w:szCs w:val="18"/>
          <w:highlight w:val="none"/>
          <w:lang w:val="en-US" w:eastAsia="zh-CN"/>
        </w:rPr>
        <w:t>金属调节环</w:t>
      </w:r>
      <w:r>
        <w:rPr>
          <w:rFonts w:hint="eastAsia"/>
          <w:color w:val="auto"/>
          <w:sz w:val="18"/>
          <w:szCs w:val="18"/>
          <w:highlight w:val="none"/>
        </w:rPr>
        <w:t>；</w:t>
      </w:r>
      <w:r>
        <w:rPr>
          <w:rFonts w:hint="eastAsia"/>
          <w:color w:val="auto"/>
          <w:sz w:val="18"/>
          <w:szCs w:val="18"/>
          <w:highlight w:val="none"/>
          <w:lang w:val="en-US" w:eastAsia="zh-CN"/>
        </w:rPr>
        <w:t>5</w:t>
      </w:r>
      <w:r>
        <w:rPr>
          <w:rFonts w:hint="eastAsia"/>
          <w:color w:val="auto"/>
          <w:sz w:val="18"/>
          <w:szCs w:val="18"/>
          <w:highlight w:val="none"/>
        </w:rPr>
        <w:t>-</w:t>
      </w:r>
      <w:r>
        <w:rPr>
          <w:rFonts w:hint="eastAsia"/>
          <w:color w:val="auto"/>
          <w:sz w:val="18"/>
          <w:szCs w:val="18"/>
          <w:highlight w:val="none"/>
          <w:lang w:val="en-US" w:eastAsia="zh-CN"/>
        </w:rPr>
        <w:t>井圈</w:t>
      </w:r>
      <w:r>
        <w:rPr>
          <w:rFonts w:hint="eastAsia"/>
          <w:color w:val="auto"/>
          <w:sz w:val="18"/>
          <w:szCs w:val="18"/>
          <w:highlight w:val="none"/>
        </w:rPr>
        <w:t>；</w:t>
      </w:r>
      <w:r>
        <w:rPr>
          <w:rFonts w:hint="eastAsia"/>
          <w:color w:val="auto"/>
          <w:sz w:val="18"/>
          <w:szCs w:val="18"/>
          <w:highlight w:val="none"/>
          <w:lang w:val="en-US" w:eastAsia="zh-CN"/>
        </w:rPr>
        <w:t>6</w:t>
      </w:r>
      <w:r>
        <w:rPr>
          <w:rFonts w:hint="eastAsia"/>
          <w:color w:val="auto"/>
          <w:sz w:val="18"/>
          <w:szCs w:val="18"/>
          <w:highlight w:val="none"/>
        </w:rPr>
        <w:t>-</w:t>
      </w:r>
      <w:r>
        <w:rPr>
          <w:rFonts w:hint="eastAsia"/>
          <w:color w:val="auto"/>
          <w:sz w:val="18"/>
          <w:szCs w:val="18"/>
          <w:highlight w:val="none"/>
          <w:lang w:val="en-US" w:eastAsia="zh-CN"/>
        </w:rPr>
        <w:t>井盖盖体</w:t>
      </w:r>
      <w:r>
        <w:rPr>
          <w:rFonts w:hint="eastAsia"/>
          <w:color w:val="auto"/>
          <w:sz w:val="18"/>
          <w:szCs w:val="18"/>
          <w:highlight w:val="none"/>
        </w:rPr>
        <w:t>；</w:t>
      </w:r>
      <w:r>
        <w:rPr>
          <w:rFonts w:hint="eastAsia"/>
          <w:color w:val="auto"/>
          <w:sz w:val="18"/>
          <w:szCs w:val="18"/>
          <w:highlight w:val="none"/>
          <w:lang w:val="en-US" w:eastAsia="zh-CN"/>
        </w:rPr>
        <w:t>7</w:t>
      </w:r>
      <w:r>
        <w:rPr>
          <w:rFonts w:hint="eastAsia"/>
          <w:color w:val="auto"/>
          <w:sz w:val="18"/>
          <w:szCs w:val="18"/>
          <w:highlight w:val="none"/>
        </w:rPr>
        <w:t>-</w:t>
      </w:r>
      <w:r>
        <w:rPr>
          <w:rFonts w:hint="eastAsia"/>
          <w:color w:val="auto"/>
          <w:sz w:val="18"/>
          <w:szCs w:val="18"/>
          <w:highlight w:val="none"/>
          <w:lang w:val="en-US" w:eastAsia="zh-CN"/>
        </w:rPr>
        <w:t>井周加固铺面</w:t>
      </w:r>
      <w:r>
        <w:rPr>
          <w:rFonts w:hint="eastAsia"/>
          <w:color w:val="auto"/>
          <w:sz w:val="18"/>
          <w:szCs w:val="18"/>
          <w:highlight w:val="none"/>
        </w:rPr>
        <w:t>；</w:t>
      </w:r>
    </w:p>
    <w:p>
      <w:pPr>
        <w:pStyle w:val="18"/>
        <w:keepLines w:val="0"/>
        <w:numPr>
          <w:ilvl w:val="0"/>
          <w:numId w:val="0"/>
        </w:numPr>
        <w:kinsoku/>
        <w:wordWrap/>
        <w:overflowPunct/>
        <w:topLinePunct w:val="0"/>
        <w:bidi w:val="0"/>
        <w:adjustRightInd w:val="0"/>
        <w:snapToGrid w:val="0"/>
        <w:spacing w:beforeAutospacing="0" w:afterAutospacing="0" w:line="360" w:lineRule="auto"/>
        <w:jc w:val="center"/>
        <w:textAlignment w:val="auto"/>
        <w:rPr>
          <w:rFonts w:hint="eastAsia"/>
          <w:color w:val="auto"/>
          <w:sz w:val="24"/>
          <w:highlight w:val="none"/>
          <w:lang w:val="en-US" w:eastAsia="zh-CN"/>
        </w:rPr>
      </w:pPr>
      <w:r>
        <w:rPr>
          <w:rFonts w:hint="eastAsia"/>
          <w:color w:val="auto"/>
          <w:sz w:val="18"/>
          <w:szCs w:val="18"/>
          <w:highlight w:val="none"/>
          <w:lang w:val="en-US" w:eastAsia="zh-CN"/>
        </w:rPr>
        <w:t>8</w:t>
      </w:r>
      <w:r>
        <w:rPr>
          <w:rFonts w:hint="eastAsia"/>
          <w:color w:val="auto"/>
          <w:sz w:val="18"/>
          <w:szCs w:val="18"/>
          <w:highlight w:val="none"/>
        </w:rPr>
        <w:t>-</w:t>
      </w:r>
      <w:r>
        <w:rPr>
          <w:rFonts w:hint="eastAsia"/>
          <w:color w:val="auto"/>
          <w:sz w:val="18"/>
          <w:szCs w:val="18"/>
          <w:highlight w:val="none"/>
          <w:lang w:val="en-US" w:eastAsia="zh-CN"/>
        </w:rPr>
        <w:t>沥青混凝土；9-井周结构</w:t>
      </w:r>
    </w:p>
    <w:p>
      <w:pPr>
        <w:pageBreakBefore w:val="0"/>
        <w:tabs>
          <w:tab w:val="right" w:leader="dot" w:pos="8306"/>
        </w:tabs>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color w:val="auto"/>
          <w:sz w:val="24"/>
          <w:highlight w:val="none"/>
          <w:lang w:val="en-US" w:eastAsia="zh-CN"/>
        </w:rPr>
      </w:pPr>
      <w:r>
        <w:rPr>
          <w:rFonts w:hint="eastAsia"/>
          <w:color w:val="auto"/>
          <w:sz w:val="24"/>
          <w:highlight w:val="none"/>
          <w:lang w:val="en-US" w:eastAsia="zh-CN"/>
        </w:rPr>
        <w:t>3  井周破损范围较小，井周结构沉降稳定，井孔尺寸小于防沉降井盖井圈筒体尺寸时，可将井孔扩大，并直接安装防沉降井盖（图3.4.1-4）。</w:t>
      </w:r>
    </w:p>
    <w:p>
      <w:pPr>
        <w:pageBreakBefore w:val="0"/>
        <w:tabs>
          <w:tab w:val="right" w:leader="dot" w:pos="8306"/>
        </w:tabs>
        <w:kinsoku/>
        <w:wordWrap/>
        <w:overflowPunct/>
        <w:topLinePunct w:val="0"/>
        <w:bidi w:val="0"/>
        <w:adjustRightInd w:val="0"/>
        <w:snapToGrid w:val="0"/>
        <w:spacing w:line="360" w:lineRule="auto"/>
        <w:ind w:right="0" w:rightChars="0"/>
        <w:jc w:val="center"/>
        <w:textAlignment w:val="auto"/>
        <w:rPr>
          <w:rFonts w:hint="eastAsia"/>
          <w:color w:val="auto"/>
          <w:sz w:val="24"/>
          <w:highlight w:val="none"/>
          <w:lang w:val="en-US" w:eastAsia="zh-CN"/>
        </w:rPr>
      </w:pPr>
      <w:r>
        <w:rPr>
          <w:color w:val="auto"/>
        </w:rPr>
        <w:drawing>
          <wp:inline distT="0" distB="0" distL="114300" distR="114300">
            <wp:extent cx="5477510" cy="1736725"/>
            <wp:effectExtent l="0" t="0" r="8890" b="635"/>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36"/>
                    <a:stretch>
                      <a:fillRect/>
                    </a:stretch>
                  </pic:blipFill>
                  <pic:spPr>
                    <a:xfrm>
                      <a:off x="0" y="0"/>
                      <a:ext cx="5477510" cy="1736725"/>
                    </a:xfrm>
                    <a:prstGeom prst="rect">
                      <a:avLst/>
                    </a:prstGeom>
                    <a:noFill/>
                    <a:ln>
                      <a:noFill/>
                    </a:ln>
                  </pic:spPr>
                </pic:pic>
              </a:graphicData>
            </a:graphic>
          </wp:inline>
        </w:drawing>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图3.4.1-4  井孔扩大示意图</w:t>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1-井体</w:t>
      </w:r>
      <w:r>
        <w:rPr>
          <w:rFonts w:hint="eastAsia"/>
          <w:color w:val="auto"/>
          <w:sz w:val="18"/>
          <w:szCs w:val="18"/>
          <w:highlight w:val="none"/>
        </w:rPr>
        <w:t>；</w:t>
      </w:r>
      <w:r>
        <w:rPr>
          <w:rFonts w:hint="eastAsia"/>
          <w:color w:val="auto"/>
          <w:sz w:val="18"/>
          <w:szCs w:val="18"/>
          <w:highlight w:val="none"/>
          <w:lang w:val="en-US" w:eastAsia="zh-CN"/>
        </w:rPr>
        <w:t>2</w:t>
      </w:r>
      <w:r>
        <w:rPr>
          <w:rFonts w:hint="eastAsia"/>
          <w:color w:val="auto"/>
          <w:sz w:val="18"/>
          <w:szCs w:val="18"/>
          <w:highlight w:val="none"/>
        </w:rPr>
        <w:t>-</w:t>
      </w:r>
      <w:r>
        <w:rPr>
          <w:rFonts w:hint="eastAsia"/>
          <w:color w:val="auto"/>
          <w:sz w:val="18"/>
          <w:szCs w:val="18"/>
          <w:highlight w:val="none"/>
          <w:lang w:val="en-US" w:eastAsia="zh-CN"/>
        </w:rPr>
        <w:t>止水密封圈</w:t>
      </w:r>
      <w:r>
        <w:rPr>
          <w:rFonts w:hint="eastAsia"/>
          <w:color w:val="auto"/>
          <w:sz w:val="18"/>
          <w:szCs w:val="18"/>
          <w:highlight w:val="none"/>
        </w:rPr>
        <w:t>；</w:t>
      </w:r>
      <w:r>
        <w:rPr>
          <w:rFonts w:hint="eastAsia"/>
          <w:color w:val="auto"/>
          <w:sz w:val="18"/>
          <w:szCs w:val="18"/>
          <w:highlight w:val="none"/>
          <w:lang w:val="en-US" w:eastAsia="zh-CN"/>
        </w:rPr>
        <w:t>3</w:t>
      </w:r>
      <w:r>
        <w:rPr>
          <w:rFonts w:hint="eastAsia"/>
          <w:color w:val="auto"/>
          <w:sz w:val="18"/>
          <w:szCs w:val="18"/>
          <w:highlight w:val="none"/>
        </w:rPr>
        <w:t>-</w:t>
      </w:r>
      <w:r>
        <w:rPr>
          <w:rFonts w:hint="eastAsia"/>
          <w:color w:val="auto"/>
          <w:sz w:val="18"/>
          <w:szCs w:val="18"/>
          <w:highlight w:val="none"/>
          <w:lang w:val="en-US" w:eastAsia="zh-CN"/>
        </w:rPr>
        <w:t>盖座</w:t>
      </w:r>
      <w:r>
        <w:rPr>
          <w:rFonts w:hint="eastAsia"/>
          <w:color w:val="auto"/>
          <w:sz w:val="18"/>
          <w:szCs w:val="18"/>
          <w:highlight w:val="none"/>
        </w:rPr>
        <w:t>；</w:t>
      </w:r>
      <w:r>
        <w:rPr>
          <w:rFonts w:hint="eastAsia"/>
          <w:color w:val="auto"/>
          <w:sz w:val="18"/>
          <w:szCs w:val="18"/>
          <w:highlight w:val="none"/>
          <w:lang w:val="en-US" w:eastAsia="zh-CN"/>
        </w:rPr>
        <w:t>4</w:t>
      </w:r>
      <w:r>
        <w:rPr>
          <w:rFonts w:hint="eastAsia"/>
          <w:color w:val="auto"/>
          <w:sz w:val="18"/>
          <w:szCs w:val="18"/>
          <w:highlight w:val="none"/>
        </w:rPr>
        <w:t>-</w:t>
      </w:r>
      <w:r>
        <w:rPr>
          <w:rFonts w:hint="eastAsia"/>
          <w:color w:val="auto"/>
          <w:sz w:val="18"/>
          <w:szCs w:val="18"/>
          <w:highlight w:val="none"/>
          <w:lang w:val="en-US" w:eastAsia="zh-CN"/>
        </w:rPr>
        <w:t>井盖传载板</w:t>
      </w:r>
      <w:r>
        <w:rPr>
          <w:rFonts w:hint="eastAsia"/>
          <w:color w:val="auto"/>
          <w:sz w:val="18"/>
          <w:szCs w:val="18"/>
          <w:highlight w:val="none"/>
        </w:rPr>
        <w:t>；</w:t>
      </w:r>
      <w:r>
        <w:rPr>
          <w:rFonts w:hint="eastAsia"/>
          <w:color w:val="auto"/>
          <w:sz w:val="18"/>
          <w:szCs w:val="18"/>
          <w:highlight w:val="none"/>
          <w:lang w:val="en-US" w:eastAsia="zh-CN"/>
        </w:rPr>
        <w:t>5-井盖盖体</w:t>
      </w:r>
      <w:r>
        <w:rPr>
          <w:rFonts w:hint="eastAsia"/>
          <w:color w:val="auto"/>
          <w:sz w:val="18"/>
          <w:szCs w:val="18"/>
          <w:highlight w:val="none"/>
        </w:rPr>
        <w:t>；</w:t>
      </w:r>
      <w:r>
        <w:rPr>
          <w:rFonts w:hint="eastAsia"/>
          <w:color w:val="auto"/>
          <w:sz w:val="18"/>
          <w:szCs w:val="18"/>
          <w:highlight w:val="none"/>
          <w:lang w:val="en-US" w:eastAsia="zh-CN"/>
        </w:rPr>
        <w:t>6-井周加固铺面</w:t>
      </w:r>
      <w:r>
        <w:rPr>
          <w:rFonts w:hint="eastAsia"/>
          <w:color w:val="auto"/>
          <w:sz w:val="18"/>
          <w:szCs w:val="18"/>
          <w:highlight w:val="none"/>
        </w:rPr>
        <w:t>；</w:t>
      </w:r>
    </w:p>
    <w:p>
      <w:pPr>
        <w:pStyle w:val="18"/>
        <w:keepLines w:val="0"/>
        <w:numPr>
          <w:ilvl w:val="0"/>
          <w:numId w:val="0"/>
        </w:numPr>
        <w:kinsoku/>
        <w:wordWrap/>
        <w:overflowPunct/>
        <w:topLinePunct w:val="0"/>
        <w:bidi w:val="0"/>
        <w:adjustRightInd w:val="0"/>
        <w:snapToGrid w:val="0"/>
        <w:spacing w:beforeAutospacing="0" w:afterAutospacing="0" w:line="360" w:lineRule="auto"/>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7</w:t>
      </w:r>
      <w:r>
        <w:rPr>
          <w:rFonts w:hint="eastAsia"/>
          <w:color w:val="auto"/>
          <w:sz w:val="18"/>
          <w:szCs w:val="18"/>
          <w:highlight w:val="none"/>
        </w:rPr>
        <w:t>-</w:t>
      </w:r>
      <w:r>
        <w:rPr>
          <w:rFonts w:hint="eastAsia"/>
          <w:color w:val="auto"/>
          <w:sz w:val="18"/>
          <w:szCs w:val="18"/>
          <w:highlight w:val="none"/>
          <w:lang w:val="en-US" w:eastAsia="zh-CN"/>
        </w:rPr>
        <w:t>沥青混凝土；8-井周结构</w:t>
      </w:r>
    </w:p>
    <w:p>
      <w:pPr>
        <w:pStyle w:val="18"/>
        <w:keepLines w:val="0"/>
        <w:numPr>
          <w:ilvl w:val="0"/>
          <w:numId w:val="0"/>
        </w:numPr>
        <w:kinsoku/>
        <w:wordWrap/>
        <w:overflowPunct/>
        <w:topLinePunct w:val="0"/>
        <w:bidi w:val="0"/>
        <w:adjustRightInd w:val="0"/>
        <w:snapToGrid w:val="0"/>
        <w:spacing w:beforeAutospacing="0" w:afterAutospacing="0" w:line="360" w:lineRule="auto"/>
        <w:jc w:val="both"/>
        <w:textAlignment w:val="auto"/>
        <w:rPr>
          <w:rFonts w:hint="eastAsia"/>
          <w:color w:val="auto"/>
          <w:sz w:val="18"/>
          <w:szCs w:val="18"/>
          <w:highlight w:val="none"/>
          <w:lang w:val="en-US" w:eastAsia="zh-CN"/>
        </w:rPr>
      </w:pPr>
      <w:r>
        <w:rPr>
          <w:rFonts w:hint="eastAsia" w:ascii="楷体" w:hAnsi="楷体" w:eastAsia="楷体" w:cs="楷体"/>
          <w:color w:val="auto"/>
          <w:sz w:val="21"/>
          <w:szCs w:val="21"/>
          <w:highlight w:val="none"/>
        </w:rPr>
        <w:t>【</w:t>
      </w:r>
      <w:r>
        <w:rPr>
          <w:rFonts w:hint="eastAsia" w:ascii="楷体" w:hAnsi="楷体" w:eastAsia="楷体" w:cs="楷体"/>
          <w:color w:val="auto"/>
          <w:sz w:val="21"/>
          <w:szCs w:val="21"/>
          <w:highlight w:val="none"/>
          <w:lang w:eastAsia="zh-CN"/>
        </w:rPr>
        <w:t>条文</w:t>
      </w:r>
      <w:r>
        <w:rPr>
          <w:rFonts w:hint="eastAsia" w:ascii="楷体" w:hAnsi="楷体" w:eastAsia="楷体" w:cs="楷体"/>
          <w:color w:val="auto"/>
          <w:sz w:val="21"/>
          <w:szCs w:val="21"/>
          <w:highlight w:val="none"/>
        </w:rPr>
        <w:t>说明】</w:t>
      </w:r>
      <w:r>
        <w:rPr>
          <w:rFonts w:hint="eastAsia" w:ascii="楷体" w:hAnsi="楷体" w:eastAsia="楷体" w:cs="楷体"/>
          <w:color w:val="auto"/>
          <w:sz w:val="21"/>
          <w:szCs w:val="21"/>
          <w:highlight w:val="none"/>
          <w:lang w:val="en-US" w:eastAsia="zh-CN"/>
        </w:rPr>
        <w:t>井周有较大范围破损指井体以外150mm范围面层及基层破损。</w:t>
      </w:r>
    </w:p>
    <w:p>
      <w:pPr>
        <w:pageBreakBefore w:val="0"/>
        <w:kinsoku/>
        <w:wordWrap/>
        <w:overflowPunct/>
        <w:topLinePunct w:val="0"/>
        <w:bidi w:val="0"/>
        <w:adjustRightInd w:val="0"/>
        <w:snapToGrid w:val="0"/>
        <w:spacing w:line="360" w:lineRule="auto"/>
        <w:ind w:right="0" w:rightChars="0"/>
        <w:textAlignment w:val="auto"/>
        <w:rPr>
          <w:rFonts w:hint="eastAsia" w:ascii="Times New Roman"/>
          <w:color w:val="auto"/>
          <w:sz w:val="24"/>
          <w:szCs w:val="24"/>
          <w:highlight w:val="none"/>
          <w:lang w:eastAsia="zh-CN"/>
        </w:rPr>
      </w:pPr>
      <w:r>
        <w:rPr>
          <w:rFonts w:hint="eastAsia" w:ascii="Times New Roman" w:hAnsi="宋体" w:eastAsia="宋体" w:cs="Times New Roman"/>
          <w:b/>
          <w:bCs/>
          <w:color w:val="auto"/>
          <w:kern w:val="2"/>
          <w:sz w:val="24"/>
          <w:szCs w:val="24"/>
          <w:highlight w:val="none"/>
          <w:lang w:val="en-US" w:eastAsia="zh-CN" w:bidi="ar-SA"/>
        </w:rPr>
        <w:t xml:space="preserve">3.4.2 </w:t>
      </w:r>
      <w:r>
        <w:rPr>
          <w:rFonts w:hint="eastAsia" w:ascii="Times New Roman" w:hAnsi="Times New Roman" w:cs="Times New Roman"/>
          <w:b w:val="0"/>
          <w:bCs w:val="0"/>
          <w:color w:val="auto"/>
          <w:kern w:val="2"/>
          <w:sz w:val="24"/>
          <w:szCs w:val="24"/>
          <w:highlight w:val="none"/>
          <w:lang w:val="en-US" w:eastAsia="zh-CN" w:bidi="ar-SA"/>
        </w:rPr>
        <w:t xml:space="preserve"> 传统宽边井盖防沉降功能改造内容为井盖调平、井周注浆加固</w:t>
      </w:r>
      <w:r>
        <w:rPr>
          <w:rFonts w:hint="eastAsia"/>
          <w:color w:val="auto"/>
          <w:sz w:val="24"/>
          <w:highlight w:val="none"/>
          <w:lang w:eastAsia="zh-CN"/>
        </w:rPr>
        <w:t>构造。</w:t>
      </w:r>
      <w:r>
        <w:rPr>
          <w:rFonts w:hint="eastAsia"/>
          <w:color w:val="auto"/>
          <w:sz w:val="24"/>
          <w:highlight w:val="none"/>
          <w:lang w:val="en-US" w:eastAsia="zh-CN"/>
        </w:rPr>
        <w:t>加固改造包括对传统宽边井盖结构</w:t>
      </w:r>
      <w:r>
        <w:rPr>
          <w:rFonts w:hint="eastAsia"/>
          <w:color w:val="auto"/>
          <w:sz w:val="24"/>
          <w:highlight w:val="none"/>
          <w:lang w:eastAsia="zh-CN"/>
        </w:rPr>
        <w:t>进行局部改造，</w:t>
      </w:r>
      <w:r>
        <w:rPr>
          <w:rFonts w:hint="eastAsia"/>
          <w:color w:val="auto"/>
          <w:sz w:val="24"/>
          <w:highlight w:val="none"/>
          <w:lang w:val="en-US" w:eastAsia="zh-CN"/>
        </w:rPr>
        <w:t>均匀布设4～6组注浆孔、引流排气孔，</w:t>
      </w:r>
      <w:r>
        <w:rPr>
          <w:rFonts w:hint="eastAsia" w:hAnsi="宋体" w:cs="宋体"/>
          <w:color w:val="auto"/>
          <w:sz w:val="24"/>
          <w:szCs w:val="24"/>
          <w:highlight w:val="none"/>
        </w:rPr>
        <w:t>注</w:t>
      </w:r>
      <w:r>
        <w:rPr>
          <w:rFonts w:hint="eastAsia" w:ascii="Times New Roman"/>
          <w:color w:val="auto"/>
          <w:sz w:val="24"/>
          <w:szCs w:val="24"/>
          <w:highlight w:val="none"/>
        </w:rPr>
        <w:t>浆孔、引流排气孔宜对称分布在</w:t>
      </w:r>
      <w:r>
        <w:rPr>
          <w:rFonts w:hint="eastAsia" w:ascii="Times New Roman"/>
          <w:color w:val="auto"/>
          <w:sz w:val="24"/>
          <w:szCs w:val="24"/>
          <w:highlight w:val="none"/>
          <w:lang w:eastAsia="zh-CN"/>
        </w:rPr>
        <w:t>加劲</w:t>
      </w:r>
      <w:r>
        <w:rPr>
          <w:rFonts w:hint="eastAsia" w:ascii="Times New Roman"/>
          <w:color w:val="auto"/>
          <w:sz w:val="24"/>
          <w:szCs w:val="24"/>
          <w:highlight w:val="none"/>
        </w:rPr>
        <w:t>肋两侧25mm范围内</w:t>
      </w:r>
      <w:r>
        <w:rPr>
          <w:rFonts w:hint="eastAsia" w:ascii="Times New Roman"/>
          <w:color w:val="auto"/>
          <w:sz w:val="24"/>
          <w:szCs w:val="24"/>
          <w:highlight w:val="none"/>
          <w:lang w:eastAsia="zh-CN"/>
        </w:rPr>
        <w:t>，</w:t>
      </w:r>
      <w:r>
        <w:rPr>
          <w:rFonts w:hint="eastAsia"/>
          <w:color w:val="auto"/>
          <w:sz w:val="24"/>
          <w:highlight w:val="none"/>
          <w:lang w:val="en-US" w:eastAsia="zh-CN"/>
        </w:rPr>
        <w:t>增加的</w:t>
      </w:r>
      <w:r>
        <w:rPr>
          <w:rFonts w:ascii="Times New Roman"/>
          <w:color w:val="auto"/>
          <w:sz w:val="24"/>
          <w:szCs w:val="24"/>
          <w:highlight w:val="none"/>
        </w:rPr>
        <w:t>注浆孔</w:t>
      </w:r>
      <w:r>
        <w:rPr>
          <w:rFonts w:hint="eastAsia" w:ascii="Times New Roman"/>
          <w:color w:val="auto"/>
          <w:sz w:val="24"/>
          <w:szCs w:val="24"/>
          <w:highlight w:val="none"/>
          <w:lang w:eastAsia="zh-CN"/>
        </w:rPr>
        <w:t>、</w:t>
      </w:r>
      <w:r>
        <w:rPr>
          <w:rFonts w:hint="eastAsia" w:ascii="Times New Roman"/>
          <w:color w:val="auto"/>
          <w:sz w:val="24"/>
          <w:szCs w:val="24"/>
          <w:highlight w:val="none"/>
        </w:rPr>
        <w:t>引流</w:t>
      </w:r>
      <w:r>
        <w:rPr>
          <w:rFonts w:ascii="Times New Roman"/>
          <w:color w:val="auto"/>
          <w:sz w:val="24"/>
          <w:szCs w:val="24"/>
          <w:highlight w:val="none"/>
        </w:rPr>
        <w:t>排气孔间距</w:t>
      </w:r>
      <w:r>
        <w:rPr>
          <w:rFonts w:ascii="Times New Roman"/>
          <w:i/>
          <w:iCs/>
          <w:color w:val="auto"/>
          <w:kern w:val="2"/>
          <w:sz w:val="24"/>
          <w:szCs w:val="24"/>
          <w:highlight w:val="none"/>
        </w:rPr>
        <w:t>d</w:t>
      </w:r>
      <w:r>
        <w:rPr>
          <w:rFonts w:hint="eastAsia" w:ascii="Times New Roman"/>
          <w:color w:val="auto"/>
          <w:sz w:val="24"/>
          <w:szCs w:val="24"/>
          <w:highlight w:val="none"/>
          <w:lang w:eastAsia="zh-CN"/>
        </w:rPr>
        <w:t>宜为</w:t>
      </w:r>
      <w:r>
        <w:rPr>
          <w:rFonts w:hint="eastAsia" w:ascii="Times New Roman"/>
          <w:color w:val="auto"/>
          <w:sz w:val="24"/>
          <w:szCs w:val="24"/>
          <w:highlight w:val="none"/>
          <w:lang w:val="en-US" w:eastAsia="zh-CN"/>
        </w:rPr>
        <w:t>20mm～50mm</w:t>
      </w:r>
      <w:r>
        <w:rPr>
          <w:rFonts w:hint="eastAsia" w:ascii="Times New Roman"/>
          <w:color w:val="auto"/>
          <w:sz w:val="24"/>
          <w:szCs w:val="24"/>
          <w:highlight w:val="none"/>
        </w:rPr>
        <w:t>（</w:t>
      </w:r>
      <w:r>
        <w:rPr>
          <w:rFonts w:ascii="Times New Roman"/>
          <w:color w:val="auto"/>
          <w:sz w:val="24"/>
          <w:szCs w:val="24"/>
          <w:highlight w:val="none"/>
        </w:rPr>
        <w:t>图</w:t>
      </w:r>
      <w:r>
        <w:rPr>
          <w:rFonts w:hint="eastAsia" w:ascii="Times New Roman"/>
          <w:color w:val="auto"/>
          <w:sz w:val="24"/>
          <w:szCs w:val="24"/>
          <w:highlight w:val="none"/>
          <w:lang w:val="en-US" w:eastAsia="zh-CN"/>
        </w:rPr>
        <w:t>3.4.2-1</w:t>
      </w:r>
      <w:r>
        <w:rPr>
          <w:rFonts w:hint="eastAsia" w:ascii="Times New Roman"/>
          <w:color w:val="auto"/>
          <w:sz w:val="24"/>
          <w:szCs w:val="24"/>
          <w:highlight w:val="none"/>
        </w:rPr>
        <w:t>）</w:t>
      </w:r>
      <w:r>
        <w:rPr>
          <w:rFonts w:hint="eastAsia" w:ascii="Times New Roman"/>
          <w:color w:val="auto"/>
          <w:sz w:val="24"/>
          <w:szCs w:val="24"/>
          <w:highlight w:val="none"/>
          <w:lang w:eastAsia="zh-CN"/>
        </w:rPr>
        <w:t>；对井周铺面进行注浆加固</w:t>
      </w:r>
      <w:r>
        <w:rPr>
          <w:rFonts w:hint="eastAsia" w:ascii="Times New Roman"/>
          <w:color w:val="auto"/>
          <w:sz w:val="24"/>
          <w:szCs w:val="24"/>
          <w:highlight w:val="none"/>
        </w:rPr>
        <w:t>（</w:t>
      </w:r>
      <w:r>
        <w:rPr>
          <w:rFonts w:ascii="Times New Roman"/>
          <w:color w:val="auto"/>
          <w:sz w:val="24"/>
          <w:szCs w:val="24"/>
          <w:highlight w:val="none"/>
        </w:rPr>
        <w:t>图</w:t>
      </w:r>
      <w:r>
        <w:rPr>
          <w:rFonts w:hint="eastAsia" w:ascii="Times New Roman"/>
          <w:color w:val="auto"/>
          <w:sz w:val="24"/>
          <w:szCs w:val="24"/>
          <w:highlight w:val="none"/>
          <w:lang w:val="en-US" w:eastAsia="zh-CN"/>
        </w:rPr>
        <w:t>3.4.2-2</w:t>
      </w:r>
      <w:r>
        <w:rPr>
          <w:rFonts w:hint="eastAsia" w:ascii="Times New Roman"/>
          <w:color w:val="auto"/>
          <w:sz w:val="24"/>
          <w:szCs w:val="24"/>
          <w:highlight w:val="none"/>
        </w:rPr>
        <w:t>）</w:t>
      </w:r>
      <w:r>
        <w:rPr>
          <w:rFonts w:hint="eastAsia" w:ascii="Times New Roman"/>
          <w:color w:val="auto"/>
          <w:sz w:val="24"/>
          <w:szCs w:val="24"/>
          <w:highlight w:val="none"/>
          <w:lang w:eastAsia="zh-CN"/>
        </w:rPr>
        <w:t>。</w:t>
      </w:r>
    </w:p>
    <w:p>
      <w:pPr>
        <w:pageBreakBefore w:val="0"/>
        <w:kinsoku/>
        <w:wordWrap/>
        <w:overflowPunct/>
        <w:topLinePunct w:val="0"/>
        <w:bidi w:val="0"/>
        <w:adjustRightInd w:val="0"/>
        <w:snapToGrid w:val="0"/>
        <w:spacing w:line="360" w:lineRule="auto"/>
        <w:ind w:right="0" w:rightChars="0"/>
        <w:jc w:val="center"/>
        <w:textAlignment w:val="auto"/>
        <w:rPr>
          <w:color w:val="auto"/>
          <w:highlight w:val="none"/>
        </w:rPr>
      </w:pPr>
      <w:r>
        <w:rPr>
          <w:color w:val="auto"/>
          <w:highlight w:val="none"/>
        </w:rPr>
        <w:drawing>
          <wp:inline distT="0" distB="0" distL="114300" distR="114300">
            <wp:extent cx="3301365" cy="2178685"/>
            <wp:effectExtent l="0" t="0" r="5715" b="63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37"/>
                    <a:srcRect t="2475" b="3713"/>
                    <a:stretch>
                      <a:fillRect/>
                    </a:stretch>
                  </pic:blipFill>
                  <pic:spPr>
                    <a:xfrm>
                      <a:off x="0" y="0"/>
                      <a:ext cx="3301365" cy="2178685"/>
                    </a:xfrm>
                    <a:prstGeom prst="rect">
                      <a:avLst/>
                    </a:prstGeom>
                    <a:noFill/>
                    <a:ln>
                      <a:noFill/>
                    </a:ln>
                  </pic:spPr>
                </pic:pic>
              </a:graphicData>
            </a:graphic>
          </wp:inline>
        </w:drawing>
      </w:r>
    </w:p>
    <w:p>
      <w:pPr>
        <w:numPr>
          <w:ilvl w:val="0"/>
          <w:numId w:val="0"/>
        </w:numPr>
        <w:tabs>
          <w:tab w:val="right" w:leader="dot" w:pos="8306"/>
        </w:tabs>
        <w:adjustRightInd w:val="0"/>
        <w:snapToGrid w:val="0"/>
        <w:spacing w:line="360" w:lineRule="auto"/>
        <w:jc w:val="center"/>
        <w:rPr>
          <w:rFonts w:hint="default"/>
          <w:b/>
          <w:color w:val="auto"/>
          <w:sz w:val="30"/>
          <w:szCs w:val="30"/>
          <w:highlight w:val="none"/>
          <w:lang w:val="en-US"/>
        </w:rPr>
      </w:pPr>
      <w:r>
        <w:rPr>
          <w:rFonts w:hint="eastAsia"/>
          <w:b/>
          <w:bCs/>
          <w:color w:val="auto"/>
          <w:sz w:val="21"/>
          <w:szCs w:val="21"/>
          <w:highlight w:val="none"/>
          <w:lang w:val="en-US" w:eastAsia="zh-CN"/>
        </w:rPr>
        <w:t>图</w:t>
      </w:r>
      <w:r>
        <w:rPr>
          <w:rFonts w:hint="eastAsia"/>
          <w:b/>
          <w:bCs/>
          <w:color w:val="auto"/>
          <w:sz w:val="21"/>
          <w:szCs w:val="21"/>
          <w:highlight w:val="none"/>
        </w:rPr>
        <w:t>3</w:t>
      </w:r>
      <w:r>
        <w:rPr>
          <w:b/>
          <w:bCs/>
          <w:color w:val="auto"/>
          <w:sz w:val="21"/>
          <w:szCs w:val="21"/>
          <w:highlight w:val="none"/>
        </w:rPr>
        <w:t>.</w:t>
      </w:r>
      <w:r>
        <w:rPr>
          <w:rFonts w:hint="eastAsia"/>
          <w:b/>
          <w:bCs/>
          <w:color w:val="auto"/>
          <w:sz w:val="21"/>
          <w:szCs w:val="21"/>
          <w:highlight w:val="none"/>
          <w:lang w:val="en-US" w:eastAsia="zh-CN"/>
        </w:rPr>
        <w:t>4</w:t>
      </w:r>
      <w:r>
        <w:rPr>
          <w:b/>
          <w:bCs/>
          <w:color w:val="auto"/>
          <w:sz w:val="21"/>
          <w:szCs w:val="21"/>
          <w:highlight w:val="none"/>
        </w:rPr>
        <w:t>.</w:t>
      </w:r>
      <w:r>
        <w:rPr>
          <w:rFonts w:hint="eastAsia"/>
          <w:b/>
          <w:bCs/>
          <w:color w:val="auto"/>
          <w:sz w:val="21"/>
          <w:szCs w:val="21"/>
          <w:highlight w:val="none"/>
          <w:lang w:val="en-US" w:eastAsia="zh-CN"/>
        </w:rPr>
        <w:t>2-1</w:t>
      </w:r>
    </w:p>
    <w:p>
      <w:pPr>
        <w:numPr>
          <w:ilvl w:val="0"/>
          <w:numId w:val="0"/>
        </w:numPr>
        <w:tabs>
          <w:tab w:val="right" w:leader="dot" w:pos="8306"/>
        </w:tabs>
        <w:adjustRightInd w:val="0"/>
        <w:snapToGrid w:val="0"/>
        <w:spacing w:line="360" w:lineRule="auto"/>
        <w:jc w:val="center"/>
        <w:rPr>
          <w:rFonts w:hint="eastAsia"/>
          <w:color w:val="auto"/>
          <w:highlight w:val="none"/>
          <w:lang w:eastAsia="zh-CN"/>
        </w:rPr>
      </w:pPr>
      <w:r>
        <w:rPr>
          <w:rFonts w:hint="eastAsia"/>
          <w:b w:val="0"/>
          <w:bCs w:val="0"/>
          <w:color w:val="auto"/>
          <w:sz w:val="21"/>
          <w:szCs w:val="21"/>
          <w:highlight w:val="none"/>
          <w:lang w:val="en-US" w:eastAsia="zh-CN"/>
        </w:rPr>
        <w:t>1-注浆孔；2-引流排气孔；3-井盖宽边</w:t>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color w:val="auto"/>
          <w:highlight w:val="none"/>
        </w:rPr>
      </w:pPr>
      <w:r>
        <w:rPr>
          <w:color w:val="auto"/>
        </w:rPr>
        <w:drawing>
          <wp:inline distT="0" distB="0" distL="114300" distR="114300">
            <wp:extent cx="5476875" cy="1995170"/>
            <wp:effectExtent l="0" t="0" r="9525"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8"/>
                    <a:stretch>
                      <a:fillRect/>
                    </a:stretch>
                  </pic:blipFill>
                  <pic:spPr>
                    <a:xfrm>
                      <a:off x="0" y="0"/>
                      <a:ext cx="5476875" cy="1995170"/>
                    </a:xfrm>
                    <a:prstGeom prst="rect">
                      <a:avLst/>
                    </a:prstGeom>
                    <a:noFill/>
                    <a:ln>
                      <a:noFill/>
                    </a:ln>
                  </pic:spPr>
                </pic:pic>
              </a:graphicData>
            </a:graphic>
          </wp:inline>
        </w:drawing>
      </w:r>
    </w:p>
    <w:p>
      <w:pPr>
        <w:pageBreakBefore w:val="0"/>
        <w:tabs>
          <w:tab w:val="right" w:leader="dot" w:pos="8306"/>
        </w:tabs>
        <w:kinsoku/>
        <w:wordWrap/>
        <w:overflowPunct/>
        <w:topLinePunct w:val="0"/>
        <w:bidi w:val="0"/>
        <w:adjustRightInd w:val="0"/>
        <w:snapToGrid w:val="0"/>
        <w:spacing w:line="360" w:lineRule="auto"/>
        <w:ind w:left="0" w:leftChars="0" w:right="0" w:rightChars="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图</w:t>
      </w:r>
      <w:r>
        <w:rPr>
          <w:rFonts w:hint="eastAsia" w:ascii="宋体" w:hAnsi="宋体" w:eastAsia="宋体" w:cs="宋体"/>
          <w:b/>
          <w:bCs/>
          <w:color w:val="auto"/>
          <w:sz w:val="21"/>
          <w:szCs w:val="21"/>
          <w:highlight w:val="none"/>
          <w:lang w:val="en-US" w:eastAsia="zh-CN"/>
        </w:rPr>
        <w:t>3.3.2-2  井周注浆加固剖面示意图</w:t>
      </w:r>
    </w:p>
    <w:p>
      <w:pPr>
        <w:pStyle w:val="18"/>
        <w:keepLines w:val="0"/>
        <w:numPr>
          <w:ilvl w:val="0"/>
          <w:numId w:val="0"/>
        </w:numPr>
        <w:kinsoku/>
        <w:wordWrap/>
        <w:overflowPunct/>
        <w:topLinePunct w:val="0"/>
        <w:bidi w:val="0"/>
        <w:adjustRightInd w:val="0"/>
        <w:snapToGrid w:val="0"/>
        <w:spacing w:beforeAutospacing="0" w:afterAutospacing="0" w:line="360"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1-井体</w:t>
      </w:r>
      <w:r>
        <w:rPr>
          <w:rFonts w:hint="eastAsia"/>
          <w:color w:val="auto"/>
          <w:sz w:val="18"/>
          <w:szCs w:val="18"/>
          <w:highlight w:val="none"/>
        </w:rPr>
        <w:t>；2-</w:t>
      </w:r>
      <w:r>
        <w:rPr>
          <w:rFonts w:hint="eastAsia"/>
          <w:color w:val="auto"/>
          <w:sz w:val="18"/>
          <w:szCs w:val="18"/>
          <w:highlight w:val="none"/>
          <w:lang w:eastAsia="zh-CN"/>
        </w:rPr>
        <w:t>卸载板或</w:t>
      </w:r>
      <w:r>
        <w:rPr>
          <w:rFonts w:hint="eastAsia"/>
          <w:color w:val="auto"/>
          <w:sz w:val="18"/>
          <w:szCs w:val="18"/>
          <w:highlight w:val="none"/>
          <w:lang w:val="en-US" w:eastAsia="zh-CN"/>
        </w:rPr>
        <w:t>盖座</w:t>
      </w:r>
      <w:r>
        <w:rPr>
          <w:rFonts w:hint="eastAsia"/>
          <w:color w:val="auto"/>
          <w:sz w:val="18"/>
          <w:szCs w:val="18"/>
          <w:highlight w:val="none"/>
        </w:rPr>
        <w:t>；</w:t>
      </w:r>
      <w:r>
        <w:rPr>
          <w:rFonts w:hint="eastAsia"/>
          <w:color w:val="auto"/>
          <w:sz w:val="18"/>
          <w:szCs w:val="18"/>
          <w:highlight w:val="none"/>
          <w:lang w:val="en-US" w:eastAsia="zh-CN"/>
        </w:rPr>
        <w:t>3</w:t>
      </w:r>
      <w:r>
        <w:rPr>
          <w:rFonts w:hint="eastAsia"/>
          <w:color w:val="auto"/>
          <w:sz w:val="18"/>
          <w:szCs w:val="18"/>
          <w:highlight w:val="none"/>
        </w:rPr>
        <w:t>-</w:t>
      </w:r>
      <w:r>
        <w:rPr>
          <w:rFonts w:hint="eastAsia"/>
          <w:color w:val="auto"/>
          <w:sz w:val="18"/>
          <w:szCs w:val="18"/>
          <w:highlight w:val="none"/>
          <w:lang w:val="en-US" w:eastAsia="zh-CN"/>
        </w:rPr>
        <w:t>止水密封圈</w:t>
      </w:r>
      <w:r>
        <w:rPr>
          <w:rFonts w:hint="eastAsia"/>
          <w:color w:val="auto"/>
          <w:sz w:val="18"/>
          <w:szCs w:val="18"/>
          <w:highlight w:val="none"/>
        </w:rPr>
        <w:t>；</w:t>
      </w:r>
      <w:r>
        <w:rPr>
          <w:rFonts w:hint="eastAsia"/>
          <w:color w:val="auto"/>
          <w:sz w:val="18"/>
          <w:szCs w:val="18"/>
          <w:highlight w:val="none"/>
          <w:lang w:val="en-US" w:eastAsia="zh-CN"/>
        </w:rPr>
        <w:t>4</w:t>
      </w:r>
      <w:r>
        <w:rPr>
          <w:rFonts w:hint="eastAsia"/>
          <w:color w:val="auto"/>
          <w:sz w:val="18"/>
          <w:szCs w:val="18"/>
          <w:highlight w:val="none"/>
        </w:rPr>
        <w:t>-</w:t>
      </w:r>
      <w:r>
        <w:rPr>
          <w:rFonts w:hint="eastAsia"/>
          <w:color w:val="auto"/>
          <w:sz w:val="18"/>
          <w:szCs w:val="18"/>
          <w:highlight w:val="none"/>
          <w:lang w:val="en-US" w:eastAsia="zh-CN"/>
        </w:rPr>
        <w:t>井盖传载板</w:t>
      </w:r>
      <w:r>
        <w:rPr>
          <w:rFonts w:hint="eastAsia"/>
          <w:color w:val="auto"/>
          <w:sz w:val="18"/>
          <w:szCs w:val="18"/>
          <w:highlight w:val="none"/>
        </w:rPr>
        <w:t>；</w:t>
      </w:r>
      <w:r>
        <w:rPr>
          <w:rFonts w:hint="eastAsia"/>
          <w:color w:val="auto"/>
          <w:sz w:val="18"/>
          <w:szCs w:val="18"/>
          <w:highlight w:val="none"/>
          <w:lang w:val="en-US" w:eastAsia="zh-CN"/>
        </w:rPr>
        <w:t>5</w:t>
      </w:r>
      <w:r>
        <w:rPr>
          <w:rFonts w:hint="eastAsia"/>
          <w:color w:val="auto"/>
          <w:sz w:val="18"/>
          <w:szCs w:val="18"/>
          <w:highlight w:val="none"/>
        </w:rPr>
        <w:t>-</w:t>
      </w:r>
      <w:r>
        <w:rPr>
          <w:rFonts w:hint="eastAsia"/>
          <w:color w:val="auto"/>
          <w:sz w:val="18"/>
          <w:szCs w:val="18"/>
          <w:highlight w:val="none"/>
          <w:lang w:val="en-US" w:eastAsia="zh-CN"/>
        </w:rPr>
        <w:t>注浆孔</w:t>
      </w:r>
      <w:r>
        <w:rPr>
          <w:rFonts w:hint="eastAsia"/>
          <w:color w:val="auto"/>
          <w:sz w:val="18"/>
          <w:szCs w:val="18"/>
          <w:highlight w:val="none"/>
        </w:rPr>
        <w:t>；</w:t>
      </w:r>
      <w:r>
        <w:rPr>
          <w:rFonts w:hint="eastAsia"/>
          <w:color w:val="auto"/>
          <w:sz w:val="18"/>
          <w:szCs w:val="18"/>
          <w:highlight w:val="none"/>
          <w:lang w:val="en-US" w:eastAsia="zh-CN"/>
        </w:rPr>
        <w:t>6</w:t>
      </w:r>
      <w:r>
        <w:rPr>
          <w:rFonts w:hint="eastAsia"/>
          <w:color w:val="auto"/>
          <w:sz w:val="18"/>
          <w:szCs w:val="18"/>
          <w:highlight w:val="none"/>
        </w:rPr>
        <w:t>-</w:t>
      </w:r>
      <w:r>
        <w:rPr>
          <w:rFonts w:hint="eastAsia"/>
          <w:color w:val="auto"/>
          <w:sz w:val="18"/>
          <w:szCs w:val="18"/>
          <w:highlight w:val="none"/>
          <w:lang w:val="en-US" w:eastAsia="zh-CN"/>
        </w:rPr>
        <w:t>传统宽边井盖</w:t>
      </w:r>
      <w:r>
        <w:rPr>
          <w:rFonts w:hint="eastAsia"/>
          <w:color w:val="auto"/>
          <w:sz w:val="18"/>
          <w:szCs w:val="18"/>
          <w:highlight w:val="none"/>
        </w:rPr>
        <w:t>；</w:t>
      </w:r>
    </w:p>
    <w:p>
      <w:pPr>
        <w:pStyle w:val="18"/>
        <w:keepLines w:val="0"/>
        <w:numPr>
          <w:ilvl w:val="0"/>
          <w:numId w:val="0"/>
        </w:numPr>
        <w:kinsoku/>
        <w:wordWrap/>
        <w:overflowPunct/>
        <w:topLinePunct w:val="0"/>
        <w:bidi w:val="0"/>
        <w:adjustRightInd w:val="0"/>
        <w:snapToGrid w:val="0"/>
        <w:spacing w:beforeAutospacing="0" w:afterAutospacing="0" w:line="360"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7</w:t>
      </w:r>
      <w:r>
        <w:rPr>
          <w:rFonts w:hint="eastAsia"/>
          <w:color w:val="auto"/>
          <w:sz w:val="18"/>
          <w:szCs w:val="18"/>
          <w:highlight w:val="none"/>
        </w:rPr>
        <w:t>-</w:t>
      </w:r>
      <w:r>
        <w:rPr>
          <w:rFonts w:hint="eastAsia"/>
          <w:color w:val="auto"/>
          <w:sz w:val="18"/>
          <w:szCs w:val="18"/>
          <w:highlight w:val="none"/>
          <w:lang w:val="en-US" w:eastAsia="zh-CN"/>
        </w:rPr>
        <w:t>引流排气孔；8</w:t>
      </w:r>
      <w:r>
        <w:rPr>
          <w:rFonts w:hint="eastAsia"/>
          <w:color w:val="auto"/>
          <w:sz w:val="18"/>
          <w:szCs w:val="18"/>
          <w:highlight w:val="none"/>
        </w:rPr>
        <w:t>-</w:t>
      </w:r>
      <w:r>
        <w:rPr>
          <w:rFonts w:hint="eastAsia"/>
          <w:color w:val="auto"/>
          <w:sz w:val="18"/>
          <w:szCs w:val="18"/>
          <w:highlight w:val="none"/>
          <w:lang w:val="en-US" w:eastAsia="zh-CN"/>
        </w:rPr>
        <w:t>注浆孔道</w:t>
      </w:r>
      <w:r>
        <w:rPr>
          <w:rFonts w:hint="eastAsia"/>
          <w:color w:val="auto"/>
          <w:sz w:val="18"/>
          <w:szCs w:val="18"/>
          <w:highlight w:val="none"/>
        </w:rPr>
        <w:t>；</w:t>
      </w:r>
      <w:r>
        <w:rPr>
          <w:rFonts w:hint="eastAsia"/>
          <w:color w:val="auto"/>
          <w:sz w:val="18"/>
          <w:szCs w:val="18"/>
          <w:highlight w:val="none"/>
          <w:lang w:val="en-US" w:eastAsia="zh-CN"/>
        </w:rPr>
        <w:t>9</w:t>
      </w:r>
      <w:r>
        <w:rPr>
          <w:rFonts w:hint="eastAsia"/>
          <w:color w:val="auto"/>
          <w:sz w:val="18"/>
          <w:szCs w:val="18"/>
          <w:highlight w:val="none"/>
        </w:rPr>
        <w:t>-</w:t>
      </w:r>
      <w:r>
        <w:rPr>
          <w:rFonts w:hint="eastAsia"/>
          <w:color w:val="auto"/>
          <w:sz w:val="18"/>
          <w:szCs w:val="18"/>
          <w:highlight w:val="none"/>
          <w:lang w:val="en-US" w:eastAsia="zh-CN"/>
        </w:rPr>
        <w:t>井周加固铺面</w:t>
      </w:r>
      <w:r>
        <w:rPr>
          <w:rFonts w:hint="eastAsia"/>
          <w:color w:val="auto"/>
          <w:sz w:val="18"/>
          <w:szCs w:val="18"/>
          <w:highlight w:val="none"/>
        </w:rPr>
        <w:t>；</w:t>
      </w:r>
      <w:r>
        <w:rPr>
          <w:rFonts w:hint="eastAsia"/>
          <w:color w:val="auto"/>
          <w:sz w:val="18"/>
          <w:szCs w:val="18"/>
          <w:highlight w:val="none"/>
          <w:lang w:val="en-US" w:eastAsia="zh-CN"/>
        </w:rPr>
        <w:t>10</w:t>
      </w:r>
      <w:r>
        <w:rPr>
          <w:rFonts w:hint="eastAsia"/>
          <w:color w:val="auto"/>
          <w:sz w:val="18"/>
          <w:szCs w:val="18"/>
          <w:highlight w:val="none"/>
        </w:rPr>
        <w:t>-</w:t>
      </w:r>
      <w:r>
        <w:rPr>
          <w:rFonts w:hint="eastAsia"/>
          <w:color w:val="auto"/>
          <w:sz w:val="18"/>
          <w:szCs w:val="18"/>
          <w:highlight w:val="none"/>
          <w:lang w:val="en-US" w:eastAsia="zh-CN"/>
        </w:rPr>
        <w:t>沥青混凝土</w:t>
      </w:r>
      <w:r>
        <w:rPr>
          <w:rFonts w:hint="eastAsia"/>
          <w:color w:val="auto"/>
          <w:sz w:val="18"/>
          <w:szCs w:val="18"/>
          <w:highlight w:val="none"/>
        </w:rPr>
        <w:t>；</w:t>
      </w:r>
      <w:r>
        <w:rPr>
          <w:rFonts w:hint="eastAsia"/>
          <w:color w:val="auto"/>
          <w:sz w:val="18"/>
          <w:szCs w:val="18"/>
          <w:highlight w:val="none"/>
          <w:lang w:val="en-US" w:eastAsia="zh-CN"/>
        </w:rPr>
        <w:t>11-井周结构</w:t>
      </w:r>
    </w:p>
    <w:p>
      <w:pPr>
        <w:pStyle w:val="3"/>
        <w:keepNext/>
        <w:keepLines/>
        <w:pageBreakBefore w:val="0"/>
        <w:widowControl w:val="0"/>
        <w:kinsoku/>
        <w:wordWrap/>
        <w:overflowPunct/>
        <w:topLinePunct w:val="0"/>
        <w:autoSpaceDE/>
        <w:autoSpaceDN/>
        <w:bidi w:val="0"/>
        <w:adjustRightInd w:val="0"/>
        <w:snapToGrid w:val="0"/>
        <w:spacing w:before="0" w:beforeLines="50" w:after="0" w:line="360" w:lineRule="auto"/>
        <w:ind w:left="0" w:leftChars="0" w:right="0" w:rightChars="0"/>
        <w:jc w:val="center"/>
        <w:textAlignment w:val="auto"/>
        <w:rPr>
          <w:rFonts w:hint="eastAsia"/>
          <w:color w:val="auto"/>
          <w:sz w:val="24"/>
          <w:szCs w:val="24"/>
          <w:highlight w:val="none"/>
          <w:lang w:val="en-US" w:eastAsia="zh-CN"/>
        </w:rPr>
      </w:pPr>
      <w:bookmarkStart w:id="72" w:name="_Toc26389"/>
      <w:r>
        <w:rPr>
          <w:rFonts w:hint="eastAsia"/>
          <w:color w:val="auto"/>
          <w:sz w:val="24"/>
          <w:szCs w:val="24"/>
          <w:highlight w:val="none"/>
          <w:lang w:val="en-US" w:eastAsia="zh-CN"/>
        </w:rPr>
        <w:t>3.5  井周铺面加固</w:t>
      </w:r>
      <w:bookmarkEnd w:id="72"/>
    </w:p>
    <w:p>
      <w:pPr>
        <w:pageBreakBefore w:val="0"/>
        <w:tabs>
          <w:tab w:val="right" w:leader="dot" w:pos="8306"/>
        </w:tabs>
        <w:kinsoku/>
        <w:wordWrap/>
        <w:overflowPunct/>
        <w:topLinePunct w:val="0"/>
        <w:bidi w:val="0"/>
        <w:adjustRightInd w:val="0"/>
        <w:snapToGrid w:val="0"/>
        <w:spacing w:line="360" w:lineRule="auto"/>
        <w:ind w:left="0" w:leftChars="0" w:right="0" w:rightChars="0"/>
        <w:jc w:val="both"/>
        <w:textAlignment w:val="auto"/>
        <w:rPr>
          <w:rFonts w:hint="eastAsia"/>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3.5.1  </w:t>
      </w:r>
      <w:r>
        <w:rPr>
          <w:rFonts w:hint="eastAsia"/>
          <w:color w:val="auto"/>
          <w:sz w:val="24"/>
          <w:highlight w:val="none"/>
          <w:lang w:val="en-US" w:eastAsia="zh-CN"/>
        </w:rPr>
        <w:t>井周铺面应进行注浆加固设计。</w:t>
      </w:r>
    </w:p>
    <w:p>
      <w:pPr>
        <w:pageBreakBefore w:val="0"/>
        <w:tabs>
          <w:tab w:val="right" w:leader="dot" w:pos="8306"/>
        </w:tabs>
        <w:kinsoku/>
        <w:wordWrap/>
        <w:overflowPunct/>
        <w:topLinePunct w:val="0"/>
        <w:bidi w:val="0"/>
        <w:adjustRightInd w:val="0"/>
        <w:snapToGrid w:val="0"/>
        <w:spacing w:line="360" w:lineRule="auto"/>
        <w:ind w:left="0" w:leftChars="0" w:right="0" w:rightChars="0"/>
        <w:jc w:val="both"/>
        <w:textAlignment w:val="auto"/>
        <w:rPr>
          <w:rFonts w:hint="default" w:cs="宋体"/>
          <w:color w:val="auto"/>
          <w:highlight w:val="none"/>
          <w:lang w:val="en-US" w:eastAsia="zh-CN"/>
        </w:rPr>
      </w:pPr>
      <w:r>
        <w:rPr>
          <w:rFonts w:hint="eastAsia"/>
          <w:b/>
          <w:bCs/>
          <w:color w:val="auto"/>
          <w:sz w:val="24"/>
          <w:highlight w:val="none"/>
          <w:lang w:val="en-US" w:eastAsia="zh-CN"/>
        </w:rPr>
        <w:t>3.5.2</w:t>
      </w:r>
      <w:r>
        <w:rPr>
          <w:rFonts w:hint="eastAsia"/>
          <w:color w:val="auto"/>
          <w:sz w:val="24"/>
          <w:highlight w:val="none"/>
          <w:lang w:val="en-US" w:eastAsia="zh-CN"/>
        </w:rPr>
        <w:t xml:space="preserve">  注浆材料宜选用硅酸盐类水泥材料，水泥强度等级不宜低于42.5级，注浆施工用水的PH值不宜小于4.0。</w:t>
      </w:r>
      <w:r>
        <w:rPr>
          <w:rFonts w:hint="eastAsia"/>
          <w:bCs/>
          <w:color w:val="auto"/>
          <w:sz w:val="24"/>
          <w:highlight w:val="none"/>
          <w:lang w:val="en-US" w:eastAsia="zh-CN"/>
        </w:rPr>
        <w:t>注浆浆液性能应根据井周铺面沥青混凝土的孔隙率及所选择的注浆设备等因素，通过室内浆液性能试验和现场注浆工艺验证确定，水灰比可采用0.5：1.0～1.0：1.0。水泥基注浆浆液主要性能指标应符合表3.5.2的要求。</w:t>
      </w:r>
    </w:p>
    <w:p>
      <w:pPr>
        <w:pStyle w:val="5"/>
        <w:pageBreakBefore w:val="0"/>
        <w:kinsoku/>
        <w:wordWrap/>
        <w:overflowPunct/>
        <w:topLinePunct w:val="0"/>
        <w:bidi w:val="0"/>
        <w:adjustRightInd w:val="0"/>
        <w:snapToGrid w:val="0"/>
        <w:spacing w:before="0" w:line="360" w:lineRule="auto"/>
        <w:ind w:left="0" w:leftChars="0" w:right="0" w:rightChars="0"/>
        <w:jc w:val="center"/>
        <w:textAlignment w:val="auto"/>
        <w:rPr>
          <w:rFonts w:hint="default" w:cs="宋体"/>
          <w:b/>
          <w:bCs/>
          <w:color w:val="auto"/>
          <w:sz w:val="21"/>
          <w:szCs w:val="21"/>
          <w:highlight w:val="none"/>
          <w:lang w:val="en-US" w:eastAsia="zh-CN"/>
        </w:rPr>
      </w:pPr>
      <w:r>
        <w:rPr>
          <w:rFonts w:hint="eastAsia" w:cs="宋体"/>
          <w:b/>
          <w:bCs/>
          <w:color w:val="auto"/>
          <w:sz w:val="21"/>
          <w:szCs w:val="21"/>
          <w:highlight w:val="none"/>
          <w:lang w:val="en-US" w:eastAsia="zh-CN"/>
        </w:rPr>
        <w:t>表3.5.2水泥基注浆浆液主要性能指标</w:t>
      </w:r>
    </w:p>
    <w:tbl>
      <w:tblPr>
        <w:tblStyle w:val="12"/>
        <w:tblW w:w="0" w:type="auto"/>
        <w:tblInd w:w="57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551"/>
        <w:gridCol w:w="2597"/>
        <w:gridCol w:w="407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4" w:hRule="atLeast"/>
        </w:trPr>
        <w:tc>
          <w:tcPr>
            <w:tcW w:w="155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项目 </w:t>
            </w:r>
          </w:p>
        </w:tc>
        <w:tc>
          <w:tcPr>
            <w:tcW w:w="25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指标要求</w:t>
            </w:r>
          </w:p>
        </w:tc>
        <w:tc>
          <w:tcPr>
            <w:tcW w:w="407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试验方法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155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密度</w:t>
            </w:r>
          </w:p>
        </w:tc>
        <w:tc>
          <w:tcPr>
            <w:tcW w:w="25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1.60</w:t>
            </w:r>
            <w:r>
              <w:rPr>
                <w:rFonts w:hint="eastAsia" w:ascii="宋体" w:hAnsi="宋体" w:eastAsia="宋体" w:cs="宋体"/>
                <w:color w:val="auto"/>
                <w:sz w:val="21"/>
                <w:szCs w:val="21"/>
                <w:highlight w:val="none"/>
                <w:lang w:val="en-US" w:eastAsia="zh-CN"/>
              </w:rPr>
              <w:t>g/cm</w:t>
            </w:r>
            <w:r>
              <w:rPr>
                <w:rFonts w:hint="eastAsia" w:ascii="宋体" w:hAnsi="宋体" w:eastAsia="宋体" w:cs="宋体"/>
                <w:color w:val="auto"/>
                <w:sz w:val="21"/>
                <w:szCs w:val="21"/>
                <w:highlight w:val="none"/>
                <w:vertAlign w:val="superscript"/>
                <w:lang w:val="en-US" w:eastAsia="zh-CN"/>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none"/>
                <w:lang w:val="en-US" w:eastAsia="zh-CN" w:bidi="ar"/>
              </w:rPr>
              <w:t>2.00</w:t>
            </w:r>
            <w:r>
              <w:rPr>
                <w:rFonts w:hint="eastAsia" w:ascii="宋体" w:hAnsi="宋体" w:eastAsia="宋体" w:cs="宋体"/>
                <w:color w:val="auto"/>
                <w:sz w:val="21"/>
                <w:szCs w:val="21"/>
                <w:highlight w:val="none"/>
                <w:lang w:val="en-US" w:eastAsia="zh-CN"/>
              </w:rPr>
              <w:t>g/cm</w:t>
            </w:r>
            <w:r>
              <w:rPr>
                <w:rFonts w:hint="eastAsia" w:ascii="宋体" w:hAnsi="宋体" w:eastAsia="宋体" w:cs="宋体"/>
                <w:color w:val="auto"/>
                <w:sz w:val="21"/>
                <w:szCs w:val="21"/>
                <w:highlight w:val="none"/>
                <w:vertAlign w:val="superscript"/>
                <w:lang w:val="en-US" w:eastAsia="zh-CN"/>
              </w:rPr>
              <w:t>3</w:t>
            </w:r>
          </w:p>
        </w:tc>
        <w:tc>
          <w:tcPr>
            <w:tcW w:w="4078"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《建筑砂浆基本性能试验方法标准》</w:t>
            </w:r>
          </w:p>
          <w:p>
            <w:pPr>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JGJ/T 70-2009第5章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155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流动度</w:t>
            </w:r>
          </w:p>
        </w:tc>
        <w:tc>
          <w:tcPr>
            <w:tcW w:w="25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color w:val="auto"/>
                <w:sz w:val="21"/>
                <w:szCs w:val="21"/>
                <w:highlight w:val="none"/>
                <w:lang w:val="en-US" w:eastAsia="zh-CN"/>
              </w:rPr>
              <w:t>初始流动度在10s～20s</w:t>
            </w:r>
          </w:p>
        </w:tc>
        <w:tc>
          <w:tcPr>
            <w:tcW w:w="4078" w:type="dxa"/>
            <w:tcBorders>
              <w:tl2br w:val="nil"/>
              <w:tr2bl w:val="nil"/>
            </w:tcBorders>
            <w:shd w:val="clear" w:color="auto" w:fill="auto"/>
            <w:vAlign w:val="center"/>
          </w:tcPr>
          <w:p>
            <w:pPr>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《公路工程水泥及水泥混凝土试验规程》</w:t>
            </w:r>
          </w:p>
          <w:p>
            <w:pPr>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JTG 3420-2020（T0507-2005）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8" w:hRule="atLeast"/>
        </w:trPr>
        <w:tc>
          <w:tcPr>
            <w:tcW w:w="155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稳定性</w:t>
            </w:r>
          </w:p>
        </w:tc>
        <w:tc>
          <w:tcPr>
            <w:tcW w:w="25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color w:val="auto"/>
                <w:sz w:val="21"/>
                <w:szCs w:val="21"/>
                <w:highlight w:val="none"/>
                <w:lang w:val="en-US" w:eastAsia="zh-CN"/>
              </w:rPr>
              <w:t>不大于0.1g／cm</w:t>
            </w:r>
            <w:r>
              <w:rPr>
                <w:rFonts w:hint="eastAsia" w:ascii="宋体" w:hAnsi="宋体" w:eastAsia="宋体" w:cs="宋体"/>
                <w:color w:val="auto"/>
                <w:sz w:val="21"/>
                <w:szCs w:val="21"/>
                <w:highlight w:val="none"/>
                <w:vertAlign w:val="superscript"/>
                <w:lang w:val="en-US" w:eastAsia="zh-CN"/>
              </w:rPr>
              <w:t>3</w:t>
            </w:r>
          </w:p>
        </w:tc>
        <w:tc>
          <w:tcPr>
            <w:tcW w:w="407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见附录C</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551" w:type="dxa"/>
            <w:tcBorders>
              <w:tl2br w:val="nil"/>
              <w:tr2bl w:val="nil"/>
            </w:tcBorders>
            <w:shd w:val="clear" w:color="auto" w:fill="auto"/>
            <w:noWrap/>
            <w:vAlign w:val="center"/>
          </w:tcPr>
          <w:p>
            <w:pPr>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干表观密度</w:t>
            </w:r>
          </w:p>
        </w:tc>
        <w:tc>
          <w:tcPr>
            <w:tcW w:w="259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i w:val="0"/>
                <w:iCs/>
                <w:color w:val="auto"/>
                <w:kern w:val="2"/>
                <w:sz w:val="21"/>
                <w:szCs w:val="21"/>
                <w:highlight w:val="none"/>
                <w:lang w:val="en-US" w:eastAsia="zh-CN" w:bidi="ar-SA"/>
              </w:rPr>
              <w:t>按实测</w:t>
            </w:r>
          </w:p>
        </w:tc>
        <w:tc>
          <w:tcPr>
            <w:tcW w:w="4078" w:type="dxa"/>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21"/>
                <w:szCs w:val="21"/>
                <w:highlight w:val="none"/>
                <w:u w:val="none"/>
                <w:lang w:val="en-US"/>
              </w:rPr>
            </w:pPr>
          </w:p>
        </w:tc>
      </w:tr>
    </w:tbl>
    <w:p>
      <w:pPr>
        <w:keepNext w:val="0"/>
        <w:keepLines w:val="0"/>
        <w:pageBreakBefore w:val="0"/>
        <w:widowControl w:val="0"/>
        <w:tabs>
          <w:tab w:val="right" w:leader="dot" w:pos="8306"/>
        </w:tabs>
        <w:kinsoku/>
        <w:wordWrap/>
        <w:overflowPunct/>
        <w:topLinePunct w:val="0"/>
        <w:autoSpaceDE/>
        <w:autoSpaceDN/>
        <w:bidi w:val="0"/>
        <w:adjustRightInd w:val="0"/>
        <w:snapToGrid w:val="0"/>
        <w:spacing w:before="0" w:beforeLines="50" w:line="360" w:lineRule="auto"/>
        <w:ind w:left="0" w:leftChars="0" w:right="0" w:rightChars="0"/>
        <w:jc w:val="both"/>
        <w:textAlignment w:val="auto"/>
        <w:rPr>
          <w:rFonts w:hint="default" w:eastAsia="楷体"/>
          <w:color w:val="auto"/>
          <w:szCs w:val="21"/>
          <w:highlight w:val="none"/>
          <w:lang w:val="en-US" w:eastAsia="zh-CN"/>
        </w:rPr>
      </w:pPr>
      <w:r>
        <w:rPr>
          <w:rFonts w:hint="eastAsia" w:eastAsia="楷体"/>
          <w:color w:val="auto"/>
          <w:szCs w:val="21"/>
          <w:highlight w:val="none"/>
          <w:lang w:val="en-US" w:eastAsia="zh-CN"/>
        </w:rPr>
        <w:t>【条文说明】流动度中的保留值为30min，不小于30s。砂浆干表观密度为井周加固铺面压实度检测的重要参数，取试验实际值。</w:t>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before="0" w:line="360" w:lineRule="auto"/>
        <w:ind w:left="0" w:leftChars="0" w:right="0" w:rightChars="0"/>
        <w:jc w:val="both"/>
        <w:textAlignment w:val="auto"/>
        <w:rPr>
          <w:rFonts w:hint="eastAsia"/>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3.5.3  </w:t>
      </w:r>
      <w:r>
        <w:rPr>
          <w:rFonts w:hint="eastAsia"/>
          <w:color w:val="auto"/>
          <w:sz w:val="24"/>
          <w:highlight w:val="none"/>
          <w:lang w:val="en-US" w:eastAsia="zh-CN"/>
        </w:rPr>
        <w:t>井周加固铺面应设置于井盖传载板下部及周边150mm～250mm范围内、覆盖面层结构厚度。</w:t>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before="0" w:line="360" w:lineRule="auto"/>
        <w:ind w:left="0" w:leftChars="0" w:right="0" w:rightChars="0"/>
        <w:jc w:val="both"/>
        <w:textAlignment w:val="auto"/>
        <w:rPr>
          <w:rFonts w:hint="default" w:eastAsia="楷体"/>
          <w:color w:val="auto"/>
          <w:sz w:val="24"/>
          <w:highlight w:val="none"/>
          <w:lang w:val="en-US" w:eastAsia="zh-CN"/>
        </w:rPr>
      </w:pPr>
      <w:r>
        <w:rPr>
          <w:rFonts w:eastAsia="楷体"/>
          <w:color w:val="auto"/>
          <w:szCs w:val="21"/>
          <w:highlight w:val="none"/>
        </w:rPr>
        <w:t>【</w:t>
      </w:r>
      <w:r>
        <w:rPr>
          <w:rFonts w:hint="eastAsia" w:eastAsia="楷体"/>
          <w:color w:val="auto"/>
          <w:szCs w:val="21"/>
          <w:highlight w:val="none"/>
          <w:lang w:eastAsia="zh-CN"/>
        </w:rPr>
        <w:t>条文</w:t>
      </w:r>
      <w:r>
        <w:rPr>
          <w:rFonts w:eastAsia="楷体"/>
          <w:color w:val="auto"/>
          <w:szCs w:val="21"/>
          <w:highlight w:val="none"/>
        </w:rPr>
        <w:t>说明】</w:t>
      </w:r>
      <w:r>
        <w:rPr>
          <w:rFonts w:hint="eastAsia" w:eastAsia="楷体"/>
          <w:color w:val="auto"/>
          <w:szCs w:val="21"/>
          <w:highlight w:val="none"/>
          <w:lang w:val="en-US" w:eastAsia="zh-CN"/>
        </w:rPr>
        <w:t>新建、改建、扩建工程中，面层结构厚度指沥青混凝土的厚度，根据工程等级等因素不同，厚度一般为80mm～180mm。井盖更换、维修养护工程中，面层结构厚度指井周破除后，填筑的全部沥青混凝土厚度，一般为80mm～500mm。</w:t>
      </w:r>
    </w:p>
    <w:p>
      <w:pPr>
        <w:pageBreakBefore w:val="0"/>
        <w:tabs>
          <w:tab w:val="right" w:leader="dot" w:pos="8306"/>
        </w:tabs>
        <w:kinsoku/>
        <w:wordWrap/>
        <w:overflowPunct/>
        <w:topLinePunct w:val="0"/>
        <w:bidi w:val="0"/>
        <w:adjustRightInd w:val="0"/>
        <w:snapToGrid w:val="0"/>
        <w:spacing w:line="360" w:lineRule="auto"/>
        <w:ind w:left="0" w:leftChars="0" w:right="0" w:rightChars="0"/>
        <w:jc w:val="both"/>
        <w:textAlignment w:val="auto"/>
        <w:rPr>
          <w:rFonts w:hint="eastAsia"/>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3.5.4 </w:t>
      </w:r>
      <w:r>
        <w:rPr>
          <w:rFonts w:hint="eastAsia"/>
          <w:color w:val="auto"/>
          <w:sz w:val="24"/>
          <w:highlight w:val="none"/>
          <w:lang w:val="en-US" w:eastAsia="zh-CN"/>
        </w:rPr>
        <w:t xml:space="preserve"> 井周加固铺面质量应符合</w:t>
      </w:r>
      <w:r>
        <w:rPr>
          <w:rFonts w:hint="eastAsia" w:ascii="宋体" w:hAnsi="宋体" w:eastAsia="宋体" w:cs="宋体"/>
          <w:color w:val="auto"/>
          <w:sz w:val="24"/>
          <w:szCs w:val="24"/>
          <w:highlight w:val="none"/>
          <w:lang w:val="en-US" w:eastAsia="zh-CN"/>
        </w:rPr>
        <w:t>现行《公路沥青路面施工技术规范》JTG F40、《城镇道路工程施工与质量验收规范》CJJ 1及</w:t>
      </w:r>
      <w:r>
        <w:rPr>
          <w:rFonts w:hint="eastAsia"/>
          <w:color w:val="auto"/>
          <w:sz w:val="24"/>
          <w:highlight w:val="none"/>
          <w:lang w:val="en-US" w:eastAsia="zh-CN"/>
        </w:rPr>
        <w:t>本规程6.0.5～6.0.9的规定。</w:t>
      </w:r>
      <w:bookmarkStart w:id="73" w:name="_Toc30549"/>
      <w:bookmarkStart w:id="74" w:name="_Toc12609"/>
      <w:bookmarkStart w:id="75" w:name="_Toc28319"/>
      <w:bookmarkStart w:id="76" w:name="_Toc2449"/>
      <w:bookmarkStart w:id="77" w:name="_Toc22917"/>
      <w:bookmarkStart w:id="78" w:name="_Toc23716"/>
      <w:bookmarkStart w:id="79" w:name="_Toc1176"/>
    </w:p>
    <w:p>
      <w:pPr>
        <w:pageBreakBefore w:val="0"/>
        <w:tabs>
          <w:tab w:val="right" w:leader="dot" w:pos="8306"/>
        </w:tabs>
        <w:kinsoku/>
        <w:wordWrap/>
        <w:overflowPunct/>
        <w:topLinePunct w:val="0"/>
        <w:bidi w:val="0"/>
        <w:adjustRightInd w:val="0"/>
        <w:snapToGrid w:val="0"/>
        <w:spacing w:line="360" w:lineRule="auto"/>
        <w:ind w:left="0" w:leftChars="0" w:right="0" w:rightChars="0"/>
        <w:jc w:val="both"/>
        <w:textAlignment w:val="auto"/>
        <w:rPr>
          <w:rFonts w:hint="eastAsia" w:eastAsia="楷体"/>
          <w:color w:val="auto"/>
          <w:szCs w:val="21"/>
          <w:highlight w:val="none"/>
          <w:lang w:val="en-US" w:eastAsia="zh-CN"/>
        </w:rPr>
      </w:pPr>
      <w:r>
        <w:rPr>
          <w:rFonts w:eastAsia="楷体"/>
          <w:color w:val="auto"/>
          <w:szCs w:val="21"/>
          <w:highlight w:val="none"/>
        </w:rPr>
        <w:t>【</w:t>
      </w:r>
      <w:r>
        <w:rPr>
          <w:rFonts w:hint="eastAsia" w:eastAsia="楷体"/>
          <w:color w:val="auto"/>
          <w:szCs w:val="21"/>
          <w:highlight w:val="none"/>
          <w:lang w:eastAsia="zh-CN"/>
        </w:rPr>
        <w:t>条文</w:t>
      </w:r>
      <w:r>
        <w:rPr>
          <w:rFonts w:eastAsia="楷体"/>
          <w:color w:val="auto"/>
          <w:szCs w:val="21"/>
          <w:highlight w:val="none"/>
        </w:rPr>
        <w:t>说明】</w:t>
      </w:r>
      <w:r>
        <w:rPr>
          <w:rFonts w:hint="eastAsia" w:eastAsia="楷体"/>
          <w:color w:val="auto"/>
          <w:szCs w:val="21"/>
          <w:highlight w:val="none"/>
          <w:lang w:val="en-US" w:eastAsia="zh-CN"/>
        </w:rPr>
        <w:t>井周铺面采用注浆方式进行加固。井周铺面为沥青混凝土时，注浆加固后的井周加固铺面质量应符合现行《公路沥青路面施工技术规范》JTG F40的规定；井周铺面为水泥混凝土时，注浆加固后的井周加固铺面质量应符合现行《城镇道路工程施工与质量验收规范》CJJ 1的规定。广场、停车场的料石、预制混凝土砌块等面层井周铺面加固不适用本规程。</w:t>
      </w:r>
    </w:p>
    <w:p>
      <w:pPr>
        <w:rPr>
          <w:rFonts w:hint="eastAsia" w:eastAsia="楷体"/>
          <w:color w:val="auto"/>
          <w:szCs w:val="21"/>
          <w:highlight w:val="none"/>
          <w:lang w:val="en-US" w:eastAsia="zh-CN"/>
        </w:rPr>
      </w:pPr>
      <w:r>
        <w:rPr>
          <w:rFonts w:hint="eastAsia" w:eastAsia="楷体"/>
          <w:color w:val="auto"/>
          <w:szCs w:val="21"/>
          <w:highlight w:val="none"/>
          <w:lang w:val="en-US" w:eastAsia="zh-CN"/>
        </w:rPr>
        <w:br w:type="page"/>
      </w:r>
    </w:p>
    <w:p>
      <w:pPr>
        <w:pStyle w:val="2"/>
        <w:keepNext/>
        <w:keepLines/>
        <w:pageBreakBefore w:val="0"/>
        <w:widowControl w:val="0"/>
        <w:kinsoku/>
        <w:wordWrap/>
        <w:overflowPunct/>
        <w:topLinePunct w:val="0"/>
        <w:autoSpaceDE/>
        <w:autoSpaceDN/>
        <w:bidi w:val="0"/>
        <w:adjustRightInd w:val="0"/>
        <w:snapToGrid w:val="0"/>
        <w:spacing w:before="0" w:beforeLines="100" w:after="0" w:afterLines="100" w:line="360" w:lineRule="auto"/>
        <w:ind w:left="0" w:leftChars="0" w:right="0" w:rightChars="0"/>
        <w:jc w:val="center"/>
        <w:textAlignment w:val="auto"/>
        <w:rPr>
          <w:rFonts w:hint="eastAsia" w:ascii="宋体" w:hAnsi="宋体" w:eastAsia="宋体" w:cs="宋体"/>
          <w:color w:val="auto"/>
          <w:sz w:val="30"/>
          <w:szCs w:val="30"/>
          <w:highlight w:val="none"/>
          <w:lang w:val="en-US" w:eastAsia="zh-CN"/>
        </w:rPr>
      </w:pPr>
      <w:bookmarkStart w:id="80" w:name="_Toc20705"/>
      <w:r>
        <w:rPr>
          <w:rFonts w:hint="eastAsia" w:ascii="宋体" w:hAnsi="宋体" w:eastAsia="宋体" w:cs="宋体"/>
          <w:color w:val="auto"/>
          <w:sz w:val="30"/>
          <w:szCs w:val="30"/>
          <w:highlight w:val="none"/>
          <w:lang w:val="en-US" w:eastAsia="zh-CN"/>
        </w:rPr>
        <w:t>4  施  工</w:t>
      </w:r>
      <w:bookmarkEnd w:id="73"/>
      <w:bookmarkEnd w:id="74"/>
      <w:bookmarkEnd w:id="75"/>
      <w:bookmarkEnd w:id="76"/>
      <w:bookmarkEnd w:id="77"/>
      <w:bookmarkEnd w:id="78"/>
      <w:bookmarkEnd w:id="79"/>
      <w:bookmarkEnd w:id="80"/>
    </w:p>
    <w:p>
      <w:pPr>
        <w:pStyle w:val="3"/>
        <w:pageBreakBefore w:val="0"/>
        <w:kinsoku/>
        <w:wordWrap/>
        <w:overflowPunct/>
        <w:topLinePunct w:val="0"/>
        <w:bidi w:val="0"/>
        <w:adjustRightInd w:val="0"/>
        <w:snapToGrid w:val="0"/>
        <w:spacing w:before="0" w:after="0" w:line="360" w:lineRule="auto"/>
        <w:ind w:left="0" w:leftChars="0" w:right="0" w:rightChars="0"/>
        <w:textAlignment w:val="auto"/>
        <w:rPr>
          <w:rFonts w:hint="default"/>
          <w:color w:val="auto"/>
          <w:sz w:val="24"/>
          <w:szCs w:val="24"/>
          <w:highlight w:val="none"/>
          <w:lang w:val="en-US" w:eastAsia="zh-CN"/>
        </w:rPr>
      </w:pPr>
      <w:bookmarkStart w:id="81" w:name="_Toc12238"/>
      <w:bookmarkStart w:id="82" w:name="_Toc30571"/>
      <w:bookmarkStart w:id="83" w:name="_Toc838"/>
      <w:bookmarkStart w:id="84" w:name="_Toc1937"/>
      <w:bookmarkStart w:id="85" w:name="_Toc26040"/>
      <w:bookmarkStart w:id="86" w:name="_Toc11895"/>
      <w:bookmarkStart w:id="87" w:name="_Toc932"/>
      <w:r>
        <w:rPr>
          <w:rFonts w:hint="eastAsia"/>
          <w:color w:val="auto"/>
          <w:sz w:val="24"/>
          <w:szCs w:val="24"/>
          <w:highlight w:val="none"/>
          <w:lang w:val="en-US" w:eastAsia="zh-CN"/>
        </w:rPr>
        <w:t>4.1  施工准备</w:t>
      </w:r>
      <w:bookmarkEnd w:id="81"/>
      <w:bookmarkEnd w:id="82"/>
      <w:bookmarkEnd w:id="83"/>
      <w:bookmarkEnd w:id="84"/>
      <w:bookmarkEnd w:id="85"/>
      <w:bookmarkEnd w:id="86"/>
      <w:bookmarkEnd w:id="87"/>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4.1.1</w:t>
      </w:r>
      <w:r>
        <w:rPr>
          <w:rFonts w:hint="eastAsia" w:ascii="宋体" w:hAnsi="宋体" w:eastAsia="宋体"/>
          <w:bCs/>
          <w:color w:val="auto"/>
          <w:sz w:val="24"/>
          <w:highlight w:val="none"/>
          <w:lang w:val="en-US" w:eastAsia="zh-CN"/>
        </w:rPr>
        <w:t xml:space="preserve">  </w:t>
      </w:r>
      <w:r>
        <w:rPr>
          <w:rFonts w:hint="eastAsia"/>
          <w:color w:val="auto"/>
          <w:sz w:val="24"/>
          <w:szCs w:val="24"/>
          <w:highlight w:val="none"/>
          <w:lang w:val="en-US" w:eastAsia="zh-CN"/>
        </w:rPr>
        <w:t>防沉降井盖施工前，</w:t>
      </w:r>
      <w:r>
        <w:rPr>
          <w:rFonts w:hint="eastAsia" w:ascii="Times New Roman" w:hAnsi="宋体" w:eastAsia="宋体" w:cs="Times New Roman"/>
          <w:b w:val="0"/>
          <w:bCs w:val="0"/>
          <w:color w:val="auto"/>
          <w:kern w:val="2"/>
          <w:sz w:val="24"/>
          <w:szCs w:val="24"/>
          <w:highlight w:val="none"/>
          <w:lang w:val="en-US" w:eastAsia="zh-CN" w:bidi="ar-SA"/>
        </w:rPr>
        <w:t>井周配套构造</w:t>
      </w:r>
      <w:r>
        <w:rPr>
          <w:rFonts w:hint="eastAsia"/>
          <w:color w:val="auto"/>
          <w:sz w:val="24"/>
          <w:highlight w:val="none"/>
          <w:lang w:val="en-US" w:eastAsia="zh-CN"/>
        </w:rPr>
        <w:t>应按下列要求施工并验收合格。</w:t>
      </w:r>
    </w:p>
    <w:p>
      <w:pPr>
        <w:spacing w:line="360" w:lineRule="auto"/>
        <w:ind w:firstLine="482" w:firstLineChars="200"/>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1  </w:t>
      </w:r>
      <w:r>
        <w:rPr>
          <w:rFonts w:hint="eastAsia" w:ascii="宋体" w:hAnsi="宋体" w:eastAsia="宋体" w:cs="宋体"/>
          <w:color w:val="auto"/>
          <w:sz w:val="24"/>
          <w:szCs w:val="24"/>
          <w:highlight w:val="none"/>
          <w:lang w:val="en-US" w:eastAsia="zh-CN"/>
        </w:rPr>
        <w:t>检查井地基与基础应符合现行国家标准《建筑与市政地基基础通用规范》</w:t>
      </w:r>
      <w:r>
        <w:rPr>
          <w:rFonts w:hint="eastAsia"/>
          <w:b w:val="0"/>
          <w:color w:val="auto"/>
          <w:sz w:val="24"/>
          <w:highlight w:val="none"/>
          <w:lang w:val="en-US" w:eastAsia="zh-CN"/>
        </w:rPr>
        <w:t>GB 55003及</w:t>
      </w:r>
      <w:r>
        <w:rPr>
          <w:rFonts w:hint="eastAsia" w:ascii="宋体" w:hAnsi="宋体" w:eastAsia="宋体" w:cs="宋体"/>
          <w:color w:val="auto"/>
          <w:sz w:val="24"/>
          <w:szCs w:val="24"/>
          <w:highlight w:val="none"/>
          <w:lang w:val="en-US" w:eastAsia="zh-CN"/>
        </w:rPr>
        <w:t>《给水排水构筑物工程施工及验收规范》</w:t>
      </w:r>
      <w:r>
        <w:rPr>
          <w:b w:val="0"/>
          <w:color w:val="auto"/>
          <w:sz w:val="24"/>
          <w:highlight w:val="none"/>
        </w:rPr>
        <w:t>GB</w:t>
      </w:r>
      <w:r>
        <w:rPr>
          <w:rFonts w:hint="eastAsia"/>
          <w:b w:val="0"/>
          <w:color w:val="auto"/>
          <w:sz w:val="24"/>
          <w:highlight w:val="none"/>
          <w:lang w:val="en-US" w:eastAsia="zh-CN"/>
        </w:rPr>
        <w:t xml:space="preserve"> </w:t>
      </w:r>
      <w:r>
        <w:rPr>
          <w:b w:val="0"/>
          <w:color w:val="auto"/>
          <w:sz w:val="24"/>
          <w:highlight w:val="none"/>
        </w:rPr>
        <w:t>50</w:t>
      </w:r>
      <w:r>
        <w:rPr>
          <w:rFonts w:hint="eastAsia"/>
          <w:b w:val="0"/>
          <w:color w:val="auto"/>
          <w:sz w:val="24"/>
          <w:highlight w:val="none"/>
          <w:lang w:val="en-US" w:eastAsia="zh-CN"/>
        </w:rPr>
        <w:t>141的</w:t>
      </w:r>
      <w:r>
        <w:rPr>
          <w:rFonts w:hint="eastAsia"/>
          <w:b w:val="0"/>
          <w:color w:val="auto"/>
          <w:sz w:val="24"/>
          <w:highlight w:val="none"/>
        </w:rPr>
        <w:t>相关要求</w:t>
      </w:r>
      <w:r>
        <w:rPr>
          <w:rFonts w:hint="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b w:val="0"/>
          <w:color w:val="auto"/>
          <w:sz w:val="24"/>
          <w:highlight w:val="none"/>
          <w:lang w:val="en-US" w:eastAsia="zh-CN"/>
        </w:rPr>
      </w:pPr>
      <w:r>
        <w:rPr>
          <w:rFonts w:hint="eastAsia" w:ascii="Times New Roman" w:hAnsi="宋体" w:eastAsia="宋体" w:cs="Times New Roman"/>
          <w:b/>
          <w:bCs/>
          <w:color w:val="auto"/>
          <w:sz w:val="24"/>
          <w:highlight w:val="none"/>
          <w:lang w:val="en-US" w:eastAsia="zh-CN"/>
        </w:rPr>
        <w:t xml:space="preserve">2  </w:t>
      </w:r>
      <w:r>
        <w:rPr>
          <w:rFonts w:hint="eastAsia" w:ascii="宋体" w:hAnsi="宋体" w:eastAsia="宋体" w:cs="宋体"/>
          <w:color w:val="auto"/>
          <w:sz w:val="24"/>
          <w:szCs w:val="24"/>
          <w:highlight w:val="none"/>
          <w:lang w:val="en-US" w:eastAsia="zh-CN"/>
        </w:rPr>
        <w:t>井管连接处理应满足设计要求及现行</w:t>
      </w:r>
      <w:r>
        <w:rPr>
          <w:rFonts w:hint="eastAsia"/>
          <w:b w:val="0"/>
          <w:color w:val="auto"/>
          <w:sz w:val="24"/>
          <w:highlight w:val="none"/>
        </w:rPr>
        <w:t>《给水排水管道工程施工及验收规范》</w:t>
      </w:r>
      <w:r>
        <w:rPr>
          <w:b w:val="0"/>
          <w:color w:val="auto"/>
          <w:sz w:val="24"/>
          <w:highlight w:val="none"/>
        </w:rPr>
        <w:t>GB50268</w:t>
      </w:r>
      <w:r>
        <w:rPr>
          <w:rFonts w:hint="eastAsia"/>
          <w:b w:val="0"/>
          <w:color w:val="auto"/>
          <w:sz w:val="24"/>
          <w:highlight w:val="none"/>
          <w:lang w:val="en-US" w:eastAsia="zh-CN"/>
        </w:rPr>
        <w:t>的规定；</w:t>
      </w:r>
    </w:p>
    <w:p>
      <w:pPr>
        <w:keepNext w:val="0"/>
        <w:keepLines w:val="0"/>
        <w:pageBreakBefore w:val="0"/>
        <w:widowControl w:val="0"/>
        <w:kinsoku/>
        <w:wordWrap/>
        <w:overflowPunct/>
        <w:topLinePunct w:val="0"/>
        <w:autoSpaceDE/>
        <w:autoSpaceDN/>
        <w:bidi w:val="0"/>
        <w:adjustRightInd w:val="0"/>
        <w:snapToGrid w:val="0"/>
        <w:spacing w:line="360" w:lineRule="auto"/>
        <w:ind w:left="479" w:leftChars="228" w:right="0" w:rightChars="0" w:firstLine="0" w:firstLineChars="0"/>
        <w:jc w:val="left"/>
        <w:textAlignment w:val="auto"/>
        <w:rPr>
          <w:rFonts w:hint="eastAsia"/>
          <w:b w:val="0"/>
          <w:color w:val="auto"/>
          <w:sz w:val="24"/>
          <w:highlight w:val="none"/>
          <w:lang w:val="en-US" w:eastAsia="zh-CN"/>
        </w:rPr>
      </w:pPr>
      <w:r>
        <w:rPr>
          <w:rFonts w:hint="eastAsia" w:ascii="Times New Roman" w:hAnsi="宋体" w:eastAsia="宋体" w:cs="Times New Roman"/>
          <w:b/>
          <w:bCs/>
          <w:color w:val="auto"/>
          <w:sz w:val="24"/>
          <w:highlight w:val="none"/>
          <w:lang w:val="en-US" w:eastAsia="zh-CN"/>
        </w:rPr>
        <w:t xml:space="preserve">3 </w:t>
      </w:r>
      <w:r>
        <w:rPr>
          <w:rFonts w:hint="eastAsia"/>
          <w:b w:val="0"/>
          <w:color w:val="auto"/>
          <w:sz w:val="24"/>
          <w:highlight w:val="none"/>
          <w:lang w:val="en-US" w:eastAsia="zh-CN"/>
        </w:rPr>
        <w:t xml:space="preserve"> 井体及井周结构施工应符合设计要求，井周结构质量满足工程结构设计要</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left"/>
        <w:textAlignment w:val="auto"/>
        <w:rPr>
          <w:rFonts w:hint="eastAsia"/>
          <w:b w:val="0"/>
          <w:color w:val="auto"/>
          <w:sz w:val="24"/>
          <w:highlight w:val="none"/>
          <w:lang w:val="en-US" w:eastAsia="zh-CN"/>
        </w:rPr>
      </w:pPr>
      <w:r>
        <w:rPr>
          <w:rFonts w:hint="eastAsia"/>
          <w:b w:val="0"/>
          <w:color w:val="auto"/>
          <w:sz w:val="24"/>
          <w:highlight w:val="none"/>
          <w:lang w:val="en-US" w:eastAsia="zh-CN"/>
        </w:rPr>
        <w:t>求；</w:t>
      </w:r>
    </w:p>
    <w:p>
      <w:pPr>
        <w:keepNext w:val="0"/>
        <w:keepLines w:val="0"/>
        <w:pageBreakBefore w:val="0"/>
        <w:widowControl w:val="0"/>
        <w:kinsoku/>
        <w:wordWrap/>
        <w:overflowPunct/>
        <w:topLinePunct w:val="0"/>
        <w:autoSpaceDE/>
        <w:autoSpaceDN/>
        <w:bidi w:val="0"/>
        <w:adjustRightInd w:val="0"/>
        <w:snapToGrid w:val="0"/>
        <w:spacing w:line="360" w:lineRule="auto"/>
        <w:ind w:left="479" w:leftChars="228" w:right="0" w:rightChars="0" w:firstLine="0" w:firstLineChars="0"/>
        <w:jc w:val="left"/>
        <w:textAlignment w:val="auto"/>
        <w:rPr>
          <w:rFonts w:hint="eastAsia"/>
          <w:b w:val="0"/>
          <w:color w:val="auto"/>
          <w:sz w:val="24"/>
          <w:highlight w:val="none"/>
          <w:lang w:val="en-US" w:eastAsia="zh-CN"/>
        </w:rPr>
      </w:pPr>
      <w:r>
        <w:rPr>
          <w:rFonts w:hint="eastAsia" w:ascii="Times New Roman" w:hAnsi="宋体" w:eastAsia="宋体" w:cs="Times New Roman"/>
          <w:b/>
          <w:bCs/>
          <w:color w:val="auto"/>
          <w:sz w:val="24"/>
          <w:highlight w:val="none"/>
          <w:lang w:val="en-US" w:eastAsia="zh-CN"/>
        </w:rPr>
        <w:t>4</w:t>
      </w:r>
      <w:r>
        <w:rPr>
          <w:rFonts w:hint="eastAsia"/>
          <w:b w:val="0"/>
          <w:color w:val="auto"/>
          <w:sz w:val="24"/>
          <w:highlight w:val="none"/>
          <w:lang w:val="en-US" w:eastAsia="zh-CN"/>
        </w:rPr>
        <w:t xml:space="preserve">  卸载板的施工应满足设计要求及现行《混凝土结构工程施工规范》GB 50666</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left"/>
        <w:textAlignment w:val="auto"/>
        <w:rPr>
          <w:rFonts w:eastAsia="楷体"/>
          <w:color w:val="auto"/>
          <w:szCs w:val="21"/>
          <w:highlight w:val="none"/>
        </w:rPr>
      </w:pPr>
      <w:r>
        <w:rPr>
          <w:rFonts w:hint="eastAsia"/>
          <w:b w:val="0"/>
          <w:color w:val="auto"/>
          <w:sz w:val="24"/>
          <w:highlight w:val="none"/>
          <w:lang w:val="en-US" w:eastAsia="zh-CN"/>
        </w:rPr>
        <w:t>的要求。</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left"/>
        <w:textAlignment w:val="auto"/>
        <w:rPr>
          <w:rFonts w:hint="eastAsia" w:eastAsia="楷体"/>
          <w:color w:val="auto"/>
          <w:szCs w:val="21"/>
          <w:highlight w:val="none"/>
          <w:lang w:val="en-US" w:eastAsia="zh-CN"/>
        </w:rPr>
      </w:pPr>
      <w:r>
        <w:rPr>
          <w:rFonts w:eastAsia="楷体"/>
          <w:color w:val="auto"/>
          <w:szCs w:val="21"/>
          <w:highlight w:val="none"/>
        </w:rPr>
        <w:t>【</w:t>
      </w:r>
      <w:r>
        <w:rPr>
          <w:rFonts w:hint="eastAsia" w:eastAsia="楷体"/>
          <w:color w:val="auto"/>
          <w:szCs w:val="21"/>
          <w:highlight w:val="none"/>
          <w:lang w:eastAsia="zh-CN"/>
        </w:rPr>
        <w:t>条文</w:t>
      </w:r>
      <w:r>
        <w:rPr>
          <w:rFonts w:eastAsia="楷体"/>
          <w:color w:val="auto"/>
          <w:szCs w:val="21"/>
          <w:highlight w:val="none"/>
        </w:rPr>
        <w:t>说明】</w:t>
      </w:r>
      <w:r>
        <w:rPr>
          <w:rFonts w:hint="eastAsia" w:eastAsia="楷体"/>
          <w:color w:val="auto"/>
          <w:szCs w:val="21"/>
          <w:highlight w:val="none"/>
          <w:lang w:val="en-US" w:eastAsia="zh-CN"/>
        </w:rPr>
        <w:t>4.1.1 本条对井周配套结构应验收的项目及质量要求作出了规定。</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left"/>
        <w:textAlignment w:val="auto"/>
        <w:rPr>
          <w:rFonts w:hint="eastAsia" w:ascii="楷体" w:hAnsi="楷体" w:eastAsia="楷体" w:cs="楷体"/>
          <w:b w:val="0"/>
          <w:color w:val="auto"/>
          <w:sz w:val="21"/>
          <w:szCs w:val="21"/>
          <w:highlight w:val="none"/>
          <w:lang w:val="en-US" w:eastAsia="zh-CN"/>
        </w:rPr>
      </w:pPr>
      <w:r>
        <w:rPr>
          <w:rFonts w:hint="eastAsia" w:eastAsia="楷体"/>
          <w:color w:val="auto"/>
          <w:szCs w:val="21"/>
          <w:highlight w:val="none"/>
          <w:lang w:val="en-US" w:eastAsia="zh-CN"/>
        </w:rPr>
        <w:t xml:space="preserve">2  </w:t>
      </w:r>
      <w:r>
        <w:rPr>
          <w:rFonts w:hint="eastAsia" w:ascii="楷体" w:hAnsi="楷体" w:eastAsia="楷体" w:cs="楷体"/>
          <w:b w:val="0"/>
          <w:color w:val="auto"/>
          <w:sz w:val="21"/>
          <w:szCs w:val="21"/>
          <w:highlight w:val="none"/>
          <w:lang w:val="en-US" w:eastAsia="zh-CN"/>
        </w:rPr>
        <w:t>检查井与管道连接的细部处理是质量控制关键点，应严格按设计及有关施工验收规范要求实施，避免质量隐患。</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eastAsia="楷体"/>
          <w:color w:val="auto"/>
          <w:szCs w:val="21"/>
          <w:highlight w:val="none"/>
          <w:lang w:val="en-US" w:eastAsia="zh-CN"/>
        </w:rPr>
      </w:pPr>
      <w:r>
        <w:rPr>
          <w:rFonts w:hint="eastAsia" w:eastAsia="楷体"/>
          <w:color w:val="auto"/>
          <w:szCs w:val="21"/>
          <w:highlight w:val="none"/>
          <w:lang w:val="en-US" w:eastAsia="zh-CN"/>
        </w:rPr>
        <w:t>4  卸载板施工包括分离式卸载板与密贴式卸载板。</w:t>
      </w:r>
    </w:p>
    <w:p>
      <w:pPr>
        <w:keepNext w:val="0"/>
        <w:keepLines w:val="0"/>
        <w:pageBreakBefore w:val="0"/>
        <w:widowControl w:val="0"/>
        <w:kinsoku/>
        <w:wordWrap/>
        <w:overflowPunct/>
        <w:topLinePunct w:val="0"/>
        <w:autoSpaceDE/>
        <w:autoSpaceDN/>
        <w:bidi w:val="0"/>
        <w:adjustRightInd w:val="0"/>
        <w:snapToGrid w:val="0"/>
        <w:spacing w:line="360" w:lineRule="auto"/>
        <w:ind w:firstLine="840" w:firstLineChars="400"/>
        <w:jc w:val="left"/>
        <w:textAlignment w:val="auto"/>
        <w:rPr>
          <w:rFonts w:hint="eastAsia" w:eastAsia="楷体"/>
          <w:color w:val="auto"/>
          <w:szCs w:val="21"/>
          <w:highlight w:val="none"/>
          <w:lang w:val="en-US" w:eastAsia="zh-CN"/>
        </w:rPr>
      </w:pPr>
      <w:r>
        <w:rPr>
          <w:rFonts w:hint="eastAsia" w:eastAsia="楷体"/>
          <w:color w:val="auto"/>
          <w:szCs w:val="21"/>
          <w:highlight w:val="none"/>
          <w:lang w:val="en-US" w:eastAsia="zh-CN"/>
        </w:rPr>
        <w:t>1）分离式卸载板施工宜包括下列内容：</w:t>
      </w:r>
    </w:p>
    <w:p>
      <w:pPr>
        <w:keepNext w:val="0"/>
        <w:keepLines w:val="0"/>
        <w:pageBreakBefore w:val="0"/>
        <w:widowControl w:val="0"/>
        <w:kinsoku/>
        <w:wordWrap/>
        <w:overflowPunct/>
        <w:topLinePunct w:val="0"/>
        <w:autoSpaceDE/>
        <w:autoSpaceDN/>
        <w:bidi w:val="0"/>
        <w:adjustRightInd w:val="0"/>
        <w:snapToGrid w:val="0"/>
        <w:spacing w:line="360" w:lineRule="auto"/>
        <w:ind w:firstLine="840" w:firstLineChars="400"/>
        <w:jc w:val="left"/>
        <w:textAlignment w:val="auto"/>
        <w:rPr>
          <w:rFonts w:hint="eastAsia" w:eastAsia="楷体"/>
          <w:color w:val="auto"/>
          <w:szCs w:val="21"/>
          <w:highlight w:val="none"/>
          <w:lang w:val="en-US" w:eastAsia="zh-CN"/>
        </w:rPr>
      </w:pPr>
      <w:r>
        <w:rPr>
          <w:rFonts w:hint="eastAsia" w:eastAsia="楷体"/>
          <w:color w:val="auto"/>
          <w:szCs w:val="21"/>
          <w:highlight w:val="none"/>
          <w:lang w:val="en-US" w:eastAsia="zh-CN"/>
        </w:rPr>
        <w:t>a  利用工具盖板拼接现浇卸载板施工程序（图9）：</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eastAsia="楷体"/>
          <w:color w:val="auto"/>
          <w:szCs w:val="21"/>
          <w:highlight w:val="none"/>
          <w:lang w:val="en-US" w:eastAsia="zh-CN"/>
        </w:rPr>
      </w:pPr>
      <w:r>
        <w:rPr>
          <w:rFonts w:hint="default" w:eastAsia="楷体"/>
          <w:color w:val="auto"/>
          <w:szCs w:val="21"/>
          <w:highlight w:val="none"/>
          <w:lang w:val="en-US" w:eastAsia="zh-CN"/>
        </w:rPr>
        <w:drawing>
          <wp:inline distT="0" distB="0" distL="114300" distR="114300">
            <wp:extent cx="5949950" cy="771525"/>
            <wp:effectExtent l="0" t="0" r="12700" b="8890"/>
            <wp:docPr id="64" name="图片 6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wps"/>
                    <pic:cNvPicPr>
                      <a:picLocks noChangeAspect="1"/>
                    </pic:cNvPicPr>
                  </pic:nvPicPr>
                  <pic:blipFill>
                    <a:blip r:embed="rId39"/>
                    <a:srcRect l="4314" t="21999" r="2501" b="13372"/>
                    <a:stretch>
                      <a:fillRect/>
                    </a:stretch>
                  </pic:blipFill>
                  <pic:spPr>
                    <a:xfrm>
                      <a:off x="0" y="0"/>
                      <a:ext cx="5949950" cy="771525"/>
                    </a:xfrm>
                    <a:prstGeom prst="rect">
                      <a:avLst/>
                    </a:prstGeom>
                  </pic:spPr>
                </pic:pic>
              </a:graphicData>
            </a:graphic>
          </wp:inline>
        </w:drawing>
      </w:r>
    </w:p>
    <w:p>
      <w:pPr>
        <w:numPr>
          <w:ilvl w:val="0"/>
          <w:numId w:val="0"/>
        </w:numPr>
        <w:spacing w:line="360" w:lineRule="auto"/>
        <w:jc w:val="center"/>
        <w:rPr>
          <w:rFonts w:hint="default" w:eastAsia="楷体"/>
          <w:b/>
          <w:bCs/>
          <w:color w:val="auto"/>
          <w:szCs w:val="21"/>
          <w:highlight w:val="none"/>
          <w:lang w:val="en-US" w:eastAsia="zh-CN"/>
        </w:rPr>
      </w:pPr>
      <w:r>
        <w:rPr>
          <w:rFonts w:hint="eastAsia" w:eastAsia="楷体"/>
          <w:b/>
          <w:bCs/>
          <w:color w:val="auto"/>
          <w:szCs w:val="21"/>
          <w:highlight w:val="none"/>
          <w:lang w:val="en-US" w:eastAsia="zh-CN"/>
        </w:rPr>
        <w:t>图9  利用工具盖板施工分离式板卸载板流程图</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eastAsia="楷体"/>
          <w:color w:val="auto"/>
          <w:szCs w:val="21"/>
          <w:highlight w:val="none"/>
          <w:lang w:val="en-US" w:eastAsia="zh-CN"/>
        </w:rPr>
      </w:pPr>
      <w:r>
        <w:rPr>
          <w:rFonts w:hint="eastAsia" w:eastAsia="楷体"/>
          <w:color w:val="auto"/>
          <w:szCs w:val="21"/>
          <w:highlight w:val="none"/>
          <w:lang w:val="en-US" w:eastAsia="zh-CN"/>
        </w:rPr>
        <w:t xml:space="preserve">       b  支模现浇卸载板施工程序（图10）：</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楷体"/>
          <w:color w:val="auto"/>
          <w:szCs w:val="21"/>
          <w:highlight w:val="none"/>
          <w:lang w:val="en-US" w:eastAsia="zh-CN"/>
        </w:rPr>
      </w:pPr>
      <w:r>
        <w:rPr>
          <w:rFonts w:hint="eastAsia" w:eastAsia="楷体"/>
          <w:color w:val="auto"/>
          <w:szCs w:val="21"/>
          <w:highlight w:val="none"/>
          <w:lang w:val="en-US" w:eastAsia="zh-CN"/>
        </w:rPr>
        <w:drawing>
          <wp:inline distT="0" distB="0" distL="114300" distR="114300">
            <wp:extent cx="5768340" cy="873125"/>
            <wp:effectExtent l="0" t="0" r="7620" b="11430"/>
            <wp:docPr id="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wps"/>
                    <pic:cNvPicPr>
                      <a:picLocks noChangeAspect="1"/>
                    </pic:cNvPicPr>
                  </pic:nvPicPr>
                  <pic:blipFill>
                    <a:blip r:embed="rId40"/>
                    <a:srcRect l="5305" t="20499" r="3289" b="14404"/>
                    <a:stretch>
                      <a:fillRect/>
                    </a:stretch>
                  </pic:blipFill>
                  <pic:spPr>
                    <a:xfrm>
                      <a:off x="0" y="0"/>
                      <a:ext cx="5768340" cy="873125"/>
                    </a:xfrm>
                    <a:prstGeom prst="rect">
                      <a:avLst/>
                    </a:prstGeom>
                  </pic:spPr>
                </pic:pic>
              </a:graphicData>
            </a:graphic>
          </wp:inline>
        </w:drawing>
      </w:r>
    </w:p>
    <w:p>
      <w:pPr>
        <w:numPr>
          <w:ilvl w:val="0"/>
          <w:numId w:val="0"/>
        </w:numPr>
        <w:spacing w:line="360" w:lineRule="auto"/>
        <w:jc w:val="center"/>
        <w:rPr>
          <w:rFonts w:hint="default" w:eastAsia="楷体"/>
          <w:b/>
          <w:bCs/>
          <w:color w:val="auto"/>
          <w:szCs w:val="21"/>
          <w:highlight w:val="none"/>
          <w:lang w:val="en-US" w:eastAsia="zh-CN"/>
        </w:rPr>
      </w:pPr>
      <w:r>
        <w:rPr>
          <w:rFonts w:hint="eastAsia" w:eastAsia="楷体"/>
          <w:b/>
          <w:bCs/>
          <w:color w:val="auto"/>
          <w:szCs w:val="21"/>
          <w:highlight w:val="none"/>
          <w:lang w:val="en-US" w:eastAsia="zh-CN"/>
        </w:rPr>
        <w:t xml:space="preserve">图10   支模施工分离式卸载板流程图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eastAsia="楷体"/>
          <w:color w:val="auto"/>
          <w:szCs w:val="21"/>
          <w:highlight w:val="none"/>
          <w:lang w:val="en-US" w:eastAsia="zh-CN"/>
        </w:rPr>
      </w:pPr>
      <w:r>
        <w:rPr>
          <w:rFonts w:hint="eastAsia" w:eastAsia="楷体"/>
          <w:color w:val="auto"/>
          <w:szCs w:val="21"/>
          <w:highlight w:val="none"/>
          <w:lang w:val="en-US" w:eastAsia="zh-CN"/>
        </w:rPr>
        <w:t>2)  现浇密贴式卸载板施工宜包括下列内容（图11）：</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楷体"/>
          <w:color w:val="auto"/>
          <w:szCs w:val="21"/>
          <w:highlight w:val="none"/>
          <w:lang w:val="en-US" w:eastAsia="zh-CN"/>
        </w:rPr>
      </w:pPr>
      <w:r>
        <w:rPr>
          <w:rFonts w:hint="eastAsia" w:eastAsia="楷体"/>
          <w:color w:val="auto"/>
          <w:szCs w:val="21"/>
          <w:highlight w:val="none"/>
          <w:lang w:val="en-US" w:eastAsia="zh-CN"/>
        </w:rPr>
        <w:drawing>
          <wp:inline distT="0" distB="0" distL="114300" distR="114300">
            <wp:extent cx="3898900" cy="768985"/>
            <wp:effectExtent l="0" t="0" r="2540" b="0"/>
            <wp:docPr id="66"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CB019B1-382A-4266-B25C-5B523AA43C14-2" descr="wps"/>
                    <pic:cNvPicPr>
                      <a:picLocks noChangeAspect="1"/>
                    </pic:cNvPicPr>
                  </pic:nvPicPr>
                  <pic:blipFill>
                    <a:blip r:embed="rId41"/>
                    <a:srcRect l="5625" t="23213" r="3664" b="13173"/>
                    <a:stretch>
                      <a:fillRect/>
                    </a:stretch>
                  </pic:blipFill>
                  <pic:spPr>
                    <a:xfrm>
                      <a:off x="0" y="0"/>
                      <a:ext cx="3898900" cy="768985"/>
                    </a:xfrm>
                    <a:prstGeom prst="rect">
                      <a:avLst/>
                    </a:prstGeom>
                  </pic:spPr>
                </pic:pic>
              </a:graphicData>
            </a:graphic>
          </wp:inline>
        </w:drawing>
      </w:r>
    </w:p>
    <w:p>
      <w:pPr>
        <w:numPr>
          <w:ilvl w:val="0"/>
          <w:numId w:val="0"/>
        </w:numPr>
        <w:spacing w:line="360" w:lineRule="auto"/>
        <w:jc w:val="center"/>
        <w:rPr>
          <w:rFonts w:hint="default" w:eastAsia="楷体"/>
          <w:b/>
          <w:bCs/>
          <w:color w:val="auto"/>
          <w:szCs w:val="21"/>
          <w:highlight w:val="none"/>
          <w:lang w:val="en-US" w:eastAsia="zh-CN"/>
        </w:rPr>
      </w:pPr>
      <w:r>
        <w:rPr>
          <w:rFonts w:hint="eastAsia" w:eastAsia="楷体"/>
          <w:b/>
          <w:bCs/>
          <w:color w:val="auto"/>
          <w:szCs w:val="21"/>
          <w:highlight w:val="none"/>
          <w:lang w:val="en-US" w:eastAsia="zh-CN"/>
        </w:rPr>
        <w:t>图11  现浇密贴式卸载板施工流程图</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eastAsia="楷体"/>
          <w:color w:val="auto"/>
          <w:szCs w:val="21"/>
          <w:highlight w:val="none"/>
          <w:lang w:val="en-US" w:eastAsia="zh-CN"/>
        </w:rPr>
      </w:pPr>
      <w:r>
        <w:rPr>
          <w:rFonts w:hint="eastAsia" w:eastAsia="楷体"/>
          <w:color w:val="auto"/>
          <w:szCs w:val="21"/>
          <w:highlight w:val="none"/>
          <w:lang w:val="en-US" w:eastAsia="zh-CN"/>
        </w:rPr>
        <w:t>3)  分离式卸载板和密贴式卸载板也可使用预制钢筋混凝土板，现场安装。</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hAnsi="宋体"/>
          <w:bCs/>
          <w:snapToGrid w:val="0"/>
          <w:color w:val="auto"/>
          <w:sz w:val="24"/>
          <w:highlight w:val="none"/>
        </w:rPr>
      </w:pPr>
      <w:r>
        <w:rPr>
          <w:rFonts w:hint="eastAsia" w:ascii="Times New Roman" w:hAnsi="宋体" w:eastAsia="宋体" w:cs="Times New Roman"/>
          <w:b/>
          <w:bCs/>
          <w:color w:val="auto"/>
          <w:kern w:val="2"/>
          <w:sz w:val="24"/>
          <w:szCs w:val="24"/>
          <w:highlight w:val="none"/>
          <w:lang w:val="en-US" w:eastAsia="zh-CN" w:bidi="ar-SA"/>
        </w:rPr>
        <w:t>4.1.2</w:t>
      </w:r>
      <w:r>
        <w:rPr>
          <w:rFonts w:hint="eastAsia" w:ascii="宋体" w:hAnsi="宋体" w:eastAsia="宋体"/>
          <w:bCs/>
          <w:color w:val="auto"/>
          <w:sz w:val="24"/>
          <w:highlight w:val="none"/>
          <w:lang w:val="en-US" w:eastAsia="zh-CN"/>
        </w:rPr>
        <w:t xml:space="preserve">  </w:t>
      </w:r>
      <w:r>
        <w:rPr>
          <w:rFonts w:hint="eastAsia" w:hAnsi="宋体"/>
          <w:bCs/>
          <w:snapToGrid w:val="0"/>
          <w:color w:val="auto"/>
          <w:sz w:val="24"/>
          <w:highlight w:val="none"/>
        </w:rPr>
        <w:t>防沉降井盖</w:t>
      </w:r>
      <w:r>
        <w:rPr>
          <w:rFonts w:hint="eastAsia" w:hAnsi="宋体"/>
          <w:bCs/>
          <w:snapToGrid w:val="0"/>
          <w:color w:val="auto"/>
          <w:sz w:val="24"/>
          <w:highlight w:val="none"/>
          <w:lang w:eastAsia="zh-CN"/>
        </w:rPr>
        <w:t>施工</w:t>
      </w:r>
      <w:r>
        <w:rPr>
          <w:rFonts w:hint="eastAsia" w:hAnsi="宋体"/>
          <w:bCs/>
          <w:snapToGrid w:val="0"/>
          <w:color w:val="auto"/>
          <w:sz w:val="24"/>
          <w:highlight w:val="none"/>
        </w:rPr>
        <w:t>前应编制专项施工方案</w:t>
      </w:r>
      <w:r>
        <w:rPr>
          <w:rFonts w:hint="eastAsia" w:hAnsi="宋体"/>
          <w:bCs/>
          <w:snapToGrid w:val="0"/>
          <w:color w:val="auto"/>
          <w:sz w:val="24"/>
          <w:highlight w:val="none"/>
          <w:lang w:eastAsia="zh-CN"/>
        </w:rPr>
        <w:t>、</w:t>
      </w:r>
      <w:r>
        <w:rPr>
          <w:rFonts w:hint="eastAsia" w:hAnsi="宋体"/>
          <w:bCs/>
          <w:snapToGrid w:val="0"/>
          <w:color w:val="auto"/>
          <w:sz w:val="24"/>
          <w:highlight w:val="none"/>
        </w:rPr>
        <w:t>交通组织方案，并</w:t>
      </w:r>
      <w:r>
        <w:rPr>
          <w:rFonts w:hint="eastAsia" w:hAnsi="宋体"/>
          <w:bCs/>
          <w:snapToGrid w:val="0"/>
          <w:color w:val="auto"/>
          <w:sz w:val="24"/>
          <w:highlight w:val="none"/>
          <w:lang w:val="en-US" w:eastAsia="zh-CN"/>
        </w:rPr>
        <w:t>经</w:t>
      </w:r>
      <w:r>
        <w:rPr>
          <w:rFonts w:hint="eastAsia" w:hAnsi="宋体"/>
          <w:bCs/>
          <w:snapToGrid w:val="0"/>
          <w:color w:val="auto"/>
          <w:sz w:val="24"/>
          <w:highlight w:val="none"/>
        </w:rPr>
        <w:t>批准后方可组织实施。</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hAnsi="宋体"/>
          <w:bCs/>
          <w:snapToGrid w:val="0"/>
          <w:color w:val="auto"/>
          <w:sz w:val="24"/>
          <w:highlight w:val="none"/>
        </w:rPr>
      </w:pPr>
      <w:r>
        <w:rPr>
          <w:rFonts w:hint="eastAsia" w:eastAsia="楷体"/>
          <w:color w:val="auto"/>
          <w:szCs w:val="21"/>
          <w:highlight w:val="none"/>
          <w:lang w:val="en-US" w:eastAsia="zh-CN"/>
        </w:rPr>
        <w:t>【</w:t>
      </w:r>
      <w:r>
        <w:rPr>
          <w:rFonts w:hint="eastAsia" w:eastAsia="楷体"/>
          <w:color w:val="auto"/>
          <w:szCs w:val="21"/>
          <w:highlight w:val="none"/>
          <w:lang w:eastAsia="zh-CN"/>
        </w:rPr>
        <w:t>条文</w:t>
      </w:r>
      <w:r>
        <w:rPr>
          <w:rFonts w:hint="eastAsia" w:eastAsia="楷体"/>
          <w:color w:val="auto"/>
          <w:szCs w:val="21"/>
          <w:highlight w:val="none"/>
          <w:lang w:val="en-US" w:eastAsia="zh-CN"/>
        </w:rPr>
        <w:t>说明】防沉降井盖安装不可避免与其它工种施工平行交叉作业，部分防沉降井盖施工路段不得中断交通，施工环境较为复杂，交通安全风险较大，施工企业应编制专项施工方案。通行道路段施工时，还须编制交通组织方案，并经有关部门批准。落实好企业技术负责人和项目总监理工程师的责任，施工方案经施工企业技术负责人和项目总监理工程师批准后方可实施。</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left"/>
        <w:textAlignment w:val="auto"/>
        <w:rPr>
          <w:rFonts w:hint="eastAsia" w:hAnsi="宋体"/>
          <w:bCs/>
          <w:snapToGrid w:val="0"/>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4.1.3  </w:t>
      </w:r>
      <w:r>
        <w:rPr>
          <w:rFonts w:hint="eastAsia" w:hAnsi="宋体"/>
          <w:bCs/>
          <w:snapToGrid w:val="0"/>
          <w:color w:val="auto"/>
          <w:sz w:val="24"/>
          <w:highlight w:val="none"/>
          <w:lang w:val="en-US" w:eastAsia="zh-CN"/>
        </w:rPr>
        <w:t xml:space="preserve">注浆施工前应提供主要施工设备的技术性能资料；压力表、安全阀合格证和检定资料。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cs="宋体"/>
          <w:color w:val="auto"/>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4.1.4</w:t>
      </w:r>
      <w:r>
        <w:rPr>
          <w:rFonts w:hint="eastAsia" w:ascii="宋体" w:hAnsi="宋体" w:eastAsiaTheme="minorEastAsia" w:cstheme="minorBidi"/>
          <w:b w:val="0"/>
          <w:bCs/>
          <w:color w:val="auto"/>
          <w:sz w:val="24"/>
          <w:szCs w:val="24"/>
          <w:highlight w:val="none"/>
          <w:lang w:val="en-US" w:eastAsia="zh-CN"/>
        </w:rPr>
        <w:t xml:space="preserve">  </w:t>
      </w:r>
      <w:r>
        <w:rPr>
          <w:rFonts w:hint="eastAsia" w:ascii="宋体" w:hAnsi="宋体" w:cstheme="minorBidi"/>
          <w:b w:val="0"/>
          <w:bCs/>
          <w:color w:val="auto"/>
          <w:sz w:val="24"/>
          <w:szCs w:val="24"/>
          <w:highlight w:val="none"/>
          <w:lang w:val="en-US" w:eastAsia="zh-CN"/>
        </w:rPr>
        <w:t>施工</w:t>
      </w:r>
      <w:r>
        <w:rPr>
          <w:rFonts w:hint="eastAsia" w:hAnsi="宋体" w:asciiTheme="minorHAnsi" w:eastAsiaTheme="minorEastAsia" w:cstheme="minorBidi"/>
          <w:b w:val="0"/>
          <w:bCs/>
          <w:snapToGrid w:val="0"/>
          <w:color w:val="auto"/>
          <w:sz w:val="24"/>
          <w:szCs w:val="24"/>
          <w:highlight w:val="none"/>
          <w:lang w:val="en-US" w:eastAsia="zh-CN"/>
        </w:rPr>
        <w:t>主要材料和构配件</w:t>
      </w:r>
      <w:r>
        <w:rPr>
          <w:rFonts w:hint="eastAsia" w:hAnsi="宋体" w:cstheme="minorBidi"/>
          <w:b w:val="0"/>
          <w:bCs/>
          <w:snapToGrid w:val="0"/>
          <w:color w:val="auto"/>
          <w:sz w:val="24"/>
          <w:szCs w:val="24"/>
          <w:highlight w:val="none"/>
          <w:lang w:val="en-US" w:eastAsia="zh-CN"/>
        </w:rPr>
        <w:t>，包括</w:t>
      </w:r>
      <w:r>
        <w:rPr>
          <w:rFonts w:hint="eastAsia" w:hAnsi="宋体" w:asciiTheme="minorHAnsi" w:eastAsiaTheme="minorEastAsia" w:cstheme="minorBidi"/>
          <w:b w:val="0"/>
          <w:bCs/>
          <w:snapToGrid w:val="0"/>
          <w:color w:val="auto"/>
          <w:sz w:val="24"/>
          <w:szCs w:val="24"/>
          <w:highlight w:val="none"/>
          <w:lang w:val="en-US" w:eastAsia="zh-CN"/>
        </w:rPr>
        <w:t>沥青</w:t>
      </w:r>
      <w:r>
        <w:rPr>
          <w:rFonts w:hint="eastAsia" w:hAnsi="宋体" w:cstheme="minorBidi"/>
          <w:b w:val="0"/>
          <w:bCs/>
          <w:snapToGrid w:val="0"/>
          <w:color w:val="auto"/>
          <w:sz w:val="24"/>
          <w:szCs w:val="24"/>
          <w:highlight w:val="none"/>
          <w:lang w:val="en-US" w:eastAsia="zh-CN"/>
        </w:rPr>
        <w:t>混合料</w:t>
      </w:r>
      <w:r>
        <w:rPr>
          <w:rFonts w:hint="eastAsia" w:hAnsi="宋体" w:asciiTheme="minorHAnsi" w:eastAsiaTheme="minorEastAsia" w:cstheme="minorBidi"/>
          <w:b w:val="0"/>
          <w:bCs/>
          <w:snapToGrid w:val="0"/>
          <w:color w:val="auto"/>
          <w:sz w:val="24"/>
          <w:szCs w:val="24"/>
          <w:highlight w:val="none"/>
          <w:lang w:val="en-US" w:eastAsia="zh-CN"/>
        </w:rPr>
        <w:t>、</w:t>
      </w:r>
      <w:r>
        <w:rPr>
          <w:rFonts w:hint="eastAsia" w:hAnsi="宋体" w:cstheme="minorBidi"/>
          <w:b w:val="0"/>
          <w:bCs/>
          <w:snapToGrid w:val="0"/>
          <w:color w:val="auto"/>
          <w:sz w:val="24"/>
          <w:szCs w:val="24"/>
          <w:highlight w:val="none"/>
          <w:lang w:val="en-US" w:eastAsia="zh-CN"/>
        </w:rPr>
        <w:t>乳化沥青、</w:t>
      </w:r>
      <w:r>
        <w:rPr>
          <w:rFonts w:hint="eastAsia" w:hAnsi="宋体" w:asciiTheme="minorHAnsi" w:eastAsiaTheme="minorEastAsia" w:cstheme="minorBidi"/>
          <w:b w:val="0"/>
          <w:bCs/>
          <w:snapToGrid w:val="0"/>
          <w:color w:val="auto"/>
          <w:sz w:val="24"/>
          <w:szCs w:val="24"/>
          <w:highlight w:val="none"/>
          <w:lang w:val="en-US" w:eastAsia="zh-CN"/>
        </w:rPr>
        <w:t>盖座、调节环</w:t>
      </w:r>
      <w:r>
        <w:rPr>
          <w:rFonts w:hint="eastAsia" w:hAnsi="宋体" w:cstheme="minorBidi"/>
          <w:b w:val="0"/>
          <w:bCs/>
          <w:snapToGrid w:val="0"/>
          <w:color w:val="auto"/>
          <w:sz w:val="24"/>
          <w:szCs w:val="24"/>
          <w:highlight w:val="none"/>
          <w:lang w:val="en-US" w:eastAsia="zh-CN"/>
        </w:rPr>
        <w:t>、</w:t>
      </w:r>
      <w:r>
        <w:rPr>
          <w:rFonts w:hint="eastAsia" w:hAnsi="宋体" w:asciiTheme="minorHAnsi" w:eastAsiaTheme="minorEastAsia" w:cstheme="minorBidi"/>
          <w:b w:val="0"/>
          <w:bCs/>
          <w:snapToGrid w:val="0"/>
          <w:color w:val="auto"/>
          <w:sz w:val="24"/>
          <w:szCs w:val="24"/>
          <w:highlight w:val="none"/>
          <w:lang w:val="en-US" w:eastAsia="zh-CN"/>
        </w:rPr>
        <w:t>防沉降井盖</w:t>
      </w:r>
      <w:r>
        <w:rPr>
          <w:rFonts w:hint="eastAsia" w:hAnsi="宋体" w:cstheme="minorBidi"/>
          <w:b w:val="0"/>
          <w:bCs/>
          <w:snapToGrid w:val="0"/>
          <w:color w:val="auto"/>
          <w:sz w:val="24"/>
          <w:szCs w:val="24"/>
          <w:highlight w:val="none"/>
          <w:lang w:val="en-US" w:eastAsia="zh-CN"/>
        </w:rPr>
        <w:t>、注浆材料等，应符合国家现行有关标准的规定。</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4.1.5</w:t>
      </w:r>
      <w:r>
        <w:rPr>
          <w:rFonts w:hint="eastAsia"/>
          <w:bCs/>
          <w:color w:val="auto"/>
          <w:sz w:val="24"/>
          <w:highlight w:val="none"/>
          <w:lang w:val="en-US" w:eastAsia="zh-CN"/>
        </w:rPr>
        <w:t xml:space="preserve">  </w:t>
      </w:r>
      <w:r>
        <w:rPr>
          <w:rFonts w:hint="eastAsia" w:cs="宋体"/>
          <w:color w:val="auto"/>
          <w:highlight w:val="none"/>
          <w:lang w:val="en-US" w:eastAsia="zh-CN"/>
        </w:rPr>
        <w:t>注浆使用的材料可选用成品或现场进行组配。注浆材料中的水泥应符合现行国家标准《通用硅酸盐水泥》GB 175的规定；细骨料质量应符合现行行业标准《普通混凝土用砂、石质量及检验方法标准》JGJ 52的规定；掺合料应</w:t>
      </w:r>
      <w:r>
        <w:rPr>
          <w:rFonts w:hint="eastAsia" w:hAnsi="宋体" w:cstheme="minorBidi"/>
          <w:b w:val="0"/>
          <w:bCs/>
          <w:snapToGrid w:val="0"/>
          <w:color w:val="auto"/>
          <w:sz w:val="24"/>
          <w:szCs w:val="24"/>
          <w:highlight w:val="none"/>
          <w:lang w:val="en-US" w:eastAsia="zh-CN"/>
        </w:rPr>
        <w:t>符合国家现行有关标准</w:t>
      </w:r>
      <w:r>
        <w:rPr>
          <w:rFonts w:hint="eastAsia" w:cstheme="minorBidi"/>
          <w:b w:val="0"/>
          <w:bCs/>
          <w:snapToGrid w:val="0"/>
          <w:color w:val="auto"/>
          <w:sz w:val="24"/>
          <w:szCs w:val="24"/>
          <w:highlight w:val="none"/>
          <w:lang w:val="en-US" w:eastAsia="zh-CN"/>
        </w:rPr>
        <w:t>的</w:t>
      </w:r>
      <w:r>
        <w:rPr>
          <w:rFonts w:hint="eastAsia" w:hAnsi="宋体" w:cstheme="minorBidi"/>
          <w:b w:val="0"/>
          <w:bCs/>
          <w:snapToGrid w:val="0"/>
          <w:color w:val="auto"/>
          <w:sz w:val="24"/>
          <w:szCs w:val="24"/>
          <w:highlight w:val="none"/>
          <w:lang w:val="en-US" w:eastAsia="zh-CN"/>
        </w:rPr>
        <w:t>规定</w:t>
      </w:r>
      <w:r>
        <w:rPr>
          <w:rFonts w:hint="eastAsia" w:cstheme="minorBidi"/>
          <w:b w:val="0"/>
          <w:bCs/>
          <w:snapToGrid w:val="0"/>
          <w:color w:val="auto"/>
          <w:sz w:val="24"/>
          <w:szCs w:val="24"/>
          <w:highlight w:val="none"/>
          <w:lang w:val="en-US" w:eastAsia="zh-CN"/>
        </w:rPr>
        <w:t>；</w:t>
      </w:r>
      <w:r>
        <w:rPr>
          <w:rFonts w:hint="eastAsia" w:cs="宋体"/>
          <w:color w:val="auto"/>
          <w:highlight w:val="none"/>
          <w:lang w:val="en-US" w:eastAsia="zh-CN"/>
        </w:rPr>
        <w:t>拌制用水应符合现行行业标准《混凝土用水标准》JGJ63的规定。</w:t>
      </w:r>
    </w:p>
    <w:p>
      <w:pPr>
        <w:pStyle w:val="5"/>
        <w:keepNext w:val="0"/>
        <w:keepLines w:val="0"/>
        <w:pageBreakBefore w:val="0"/>
        <w:widowControl w:val="0"/>
        <w:kinsoku/>
        <w:wordWrap/>
        <w:overflowPunct/>
        <w:topLinePunct w:val="0"/>
        <w:autoSpaceDE/>
        <w:autoSpaceDN/>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4.1.</w:t>
      </w:r>
      <w:r>
        <w:rPr>
          <w:rFonts w:hint="eastAsia" w:ascii="Times New Roman" w:cs="Times New Roman"/>
          <w:b/>
          <w:bCs/>
          <w:color w:val="auto"/>
          <w:kern w:val="2"/>
          <w:sz w:val="24"/>
          <w:szCs w:val="24"/>
          <w:highlight w:val="none"/>
          <w:lang w:val="en-US" w:eastAsia="zh-CN" w:bidi="ar-SA"/>
        </w:rPr>
        <w:t>6</w:t>
      </w:r>
      <w:r>
        <w:rPr>
          <w:rFonts w:hint="eastAsia" w:ascii="宋体" w:hAnsi="宋体"/>
          <w:bCs/>
          <w:color w:val="auto"/>
          <w:sz w:val="24"/>
          <w:szCs w:val="24"/>
          <w:highlight w:val="none"/>
          <w:lang w:val="en-US" w:eastAsia="zh-CN"/>
        </w:rPr>
        <w:t xml:space="preserve">  </w:t>
      </w:r>
      <w:r>
        <w:rPr>
          <w:rFonts w:hint="eastAsia" w:hAnsi="宋体"/>
          <w:bCs/>
          <w:snapToGrid w:val="0"/>
          <w:color w:val="auto"/>
          <w:sz w:val="24"/>
          <w:szCs w:val="24"/>
          <w:highlight w:val="none"/>
          <w:lang w:val="en-US" w:eastAsia="zh-CN"/>
        </w:rPr>
        <w:t>主要施工设备包括切割机、破碎机、挖掘机、沥青摊铺设备、注浆加固设备等。进场设备安装、使用</w:t>
      </w:r>
      <w:r>
        <w:rPr>
          <w:rFonts w:hint="eastAsia" w:hAnsi="宋体" w:asciiTheme="minorHAnsi" w:eastAsiaTheme="minorEastAsia" w:cstheme="minorBidi"/>
          <w:b w:val="0"/>
          <w:bCs/>
          <w:snapToGrid w:val="0"/>
          <w:color w:val="auto"/>
          <w:sz w:val="24"/>
          <w:szCs w:val="24"/>
          <w:highlight w:val="none"/>
        </w:rPr>
        <w:t>应符合</w:t>
      </w:r>
      <w:r>
        <w:rPr>
          <w:rFonts w:hint="eastAsia" w:hAnsi="宋体" w:cstheme="minorBidi"/>
          <w:b w:val="0"/>
          <w:bCs/>
          <w:snapToGrid w:val="0"/>
          <w:color w:val="auto"/>
          <w:sz w:val="24"/>
          <w:szCs w:val="24"/>
          <w:highlight w:val="none"/>
          <w:lang w:eastAsia="zh-CN"/>
        </w:rPr>
        <w:t>《</w:t>
      </w:r>
      <w:r>
        <w:rPr>
          <w:rFonts w:hint="eastAsia" w:hAnsi="宋体" w:asciiTheme="minorHAnsi" w:eastAsiaTheme="minorEastAsia" w:cstheme="minorBidi"/>
          <w:b w:val="0"/>
          <w:bCs/>
          <w:snapToGrid w:val="0"/>
          <w:color w:val="auto"/>
          <w:sz w:val="24"/>
          <w:szCs w:val="24"/>
          <w:highlight w:val="none"/>
        </w:rPr>
        <w:t>施工现场机械设备检查技术规范</w:t>
      </w:r>
      <w:r>
        <w:rPr>
          <w:rFonts w:hint="eastAsia" w:hAnsi="宋体" w:cstheme="minorBidi"/>
          <w:b w:val="0"/>
          <w:bCs/>
          <w:snapToGrid w:val="0"/>
          <w:color w:val="auto"/>
          <w:sz w:val="24"/>
          <w:szCs w:val="24"/>
          <w:highlight w:val="none"/>
          <w:lang w:eastAsia="zh-CN"/>
        </w:rPr>
        <w:t>》</w:t>
      </w:r>
      <w:r>
        <w:rPr>
          <w:rFonts w:hint="eastAsia" w:ascii="宋体" w:hAnsi="宋体" w:eastAsia="宋体" w:cs="宋体"/>
          <w:b w:val="0"/>
          <w:bCs/>
          <w:snapToGrid w:val="0"/>
          <w:color w:val="auto"/>
          <w:sz w:val="24"/>
          <w:szCs w:val="24"/>
          <w:highlight w:val="none"/>
        </w:rPr>
        <w:t>JGJ</w:t>
      </w:r>
      <w:r>
        <w:rPr>
          <w:rFonts w:hint="eastAsia" w:ascii="宋体" w:hAnsi="宋体" w:eastAsia="宋体" w:cs="宋体"/>
          <w:b w:val="0"/>
          <w:bCs/>
          <w:snapToGrid w:val="0"/>
          <w:color w:val="auto"/>
          <w:sz w:val="24"/>
          <w:szCs w:val="24"/>
          <w:highlight w:val="none"/>
          <w:lang w:val="en-US" w:eastAsia="zh-CN"/>
        </w:rPr>
        <w:t xml:space="preserve"> </w:t>
      </w:r>
      <w:r>
        <w:rPr>
          <w:rFonts w:hint="eastAsia" w:ascii="宋体" w:hAnsi="宋体" w:eastAsia="宋体" w:cs="宋体"/>
          <w:b w:val="0"/>
          <w:bCs/>
          <w:snapToGrid w:val="0"/>
          <w:color w:val="auto"/>
          <w:sz w:val="24"/>
          <w:szCs w:val="24"/>
          <w:highlight w:val="none"/>
        </w:rPr>
        <w:t>160</w:t>
      </w:r>
      <w:r>
        <w:rPr>
          <w:rFonts w:hint="eastAsia" w:hAnsi="宋体" w:asciiTheme="minorHAnsi" w:eastAsiaTheme="minorEastAsia" w:cstheme="minorBidi"/>
          <w:b w:val="0"/>
          <w:bCs/>
          <w:snapToGrid w:val="0"/>
          <w:color w:val="auto"/>
          <w:sz w:val="24"/>
          <w:szCs w:val="24"/>
          <w:highlight w:val="none"/>
        </w:rPr>
        <w:t>的规定</w:t>
      </w:r>
      <w:r>
        <w:rPr>
          <w:rFonts w:hint="eastAsia" w:hAnsi="宋体" w:cstheme="minorBidi"/>
          <w:b w:val="0"/>
          <w:bCs/>
          <w:snapToGrid w:val="0"/>
          <w:color w:val="auto"/>
          <w:sz w:val="24"/>
          <w:szCs w:val="24"/>
          <w:highlight w:val="none"/>
          <w:lang w:eastAsia="zh-CN"/>
        </w:rPr>
        <w:t>。</w:t>
      </w:r>
      <w:r>
        <w:rPr>
          <w:rFonts w:hint="eastAsia" w:hAnsi="宋体" w:cstheme="minorBidi"/>
          <w:b w:val="0"/>
          <w:bCs/>
          <w:snapToGrid w:val="0"/>
          <w:color w:val="auto"/>
          <w:sz w:val="24"/>
          <w:szCs w:val="24"/>
          <w:highlight w:val="none"/>
          <w:lang w:val="en-US" w:eastAsia="zh-CN"/>
        </w:rPr>
        <w:t>注浆前安装调试注浆设备，注浆设备的设计压力应不小于</w:t>
      </w:r>
      <w:r>
        <w:rPr>
          <w:rFonts w:hint="eastAsia" w:cstheme="minorBidi"/>
          <w:b w:val="0"/>
          <w:bCs/>
          <w:snapToGrid w:val="0"/>
          <w:color w:val="auto"/>
          <w:sz w:val="24"/>
          <w:szCs w:val="24"/>
          <w:highlight w:val="none"/>
          <w:lang w:val="en-US" w:eastAsia="zh-CN"/>
        </w:rPr>
        <w:t>1.2</w:t>
      </w:r>
      <w:r>
        <w:rPr>
          <w:rFonts w:hint="eastAsia" w:hAnsi="宋体" w:cstheme="minorBidi"/>
          <w:b w:val="0"/>
          <w:bCs/>
          <w:snapToGrid w:val="0"/>
          <w:color w:val="auto"/>
          <w:sz w:val="24"/>
          <w:szCs w:val="24"/>
          <w:highlight w:val="none"/>
          <w:lang w:val="en-US" w:eastAsia="zh-CN"/>
        </w:rPr>
        <w:t>M</w:t>
      </w:r>
      <w:r>
        <w:rPr>
          <w:rFonts w:hint="eastAsia" w:cstheme="minorBidi"/>
          <w:b w:val="0"/>
          <w:bCs/>
          <w:snapToGrid w:val="0"/>
          <w:color w:val="auto"/>
          <w:sz w:val="24"/>
          <w:szCs w:val="24"/>
          <w:highlight w:val="none"/>
          <w:lang w:val="en-US" w:eastAsia="zh-CN"/>
        </w:rPr>
        <w:t>pP</w:t>
      </w:r>
      <w:r>
        <w:rPr>
          <w:rFonts w:hint="eastAsia" w:hAnsi="宋体" w:cstheme="minorBidi"/>
          <w:b w:val="0"/>
          <w:bCs/>
          <w:snapToGrid w:val="0"/>
          <w:color w:val="auto"/>
          <w:sz w:val="24"/>
          <w:szCs w:val="24"/>
          <w:highlight w:val="none"/>
          <w:lang w:val="en-US" w:eastAsia="zh-CN"/>
        </w:rPr>
        <w:t>a，并应符合现行国家标准</w:t>
      </w:r>
      <w:r>
        <w:rPr>
          <w:rFonts w:hint="eastAsia" w:hAnsi="宋体" w:cstheme="minorBidi"/>
          <w:b w:val="0"/>
          <w:bCs/>
          <w:snapToGrid w:val="0"/>
          <w:color w:val="auto"/>
          <w:sz w:val="24"/>
          <w:szCs w:val="24"/>
          <w:highlight w:val="none"/>
          <w:lang w:eastAsia="zh-CN"/>
        </w:rPr>
        <w:t>《压力容器》</w:t>
      </w:r>
      <w:r>
        <w:rPr>
          <w:rFonts w:hint="eastAsia" w:hAnsi="宋体" w:cstheme="minorBidi"/>
          <w:b w:val="0"/>
          <w:bCs/>
          <w:snapToGrid w:val="0"/>
          <w:color w:val="auto"/>
          <w:sz w:val="24"/>
          <w:szCs w:val="24"/>
          <w:highlight w:val="none"/>
          <w:lang w:val="en-US" w:eastAsia="zh-CN"/>
        </w:rPr>
        <w:t>GB150.1—150.4和《固定式压力容器安全技术监察规程》TSG 21的规定。</w:t>
      </w:r>
      <w:r>
        <w:rPr>
          <w:rFonts w:hint="eastAsia" w:cs="宋体"/>
          <w:color w:val="auto"/>
          <w:highlight w:val="none"/>
          <w:lang w:val="en-US" w:eastAsia="zh-CN"/>
        </w:rPr>
        <w:t>压力表量程宜为最大注浆压力的2.0～3.0倍，并在检定有效期内。</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eastAsia="楷体"/>
          <w:color w:val="auto"/>
          <w:sz w:val="21"/>
          <w:szCs w:val="21"/>
          <w:highlight w:val="none"/>
          <w:lang w:val="en-US" w:eastAsia="zh-CN"/>
        </w:rPr>
      </w:pPr>
      <w:r>
        <w:rPr>
          <w:rFonts w:hint="eastAsia" w:eastAsia="楷体"/>
          <w:color w:val="auto"/>
          <w:sz w:val="21"/>
          <w:szCs w:val="21"/>
          <w:highlight w:val="none"/>
          <w:lang w:val="en-US" w:eastAsia="zh-CN"/>
        </w:rPr>
        <w:t>【条文说明】切割机、破碎机、挖掘机及包括沥青摊铺机、胶轮压路机、钢轮压路机、平板夯等沥青摊铺设备是老井改造更换防沉降井盖时常规使用的设备。注浆设备包括供电系统、浆液制备系统、浆液储存系统、压注系统及安全装置。应按其技术性能的要求正确使用。缺少安全装置或安全装置已失效的设备不得使用。必须安排专业人员对现场使用的设备进行定期检查，发现隐患或者不符合要求的，应立即停止使用并采取措施。压力容器不得超过额定压力使用，压力容器操作工应持有效证件上岗。压力容器应有出厂合格证并按规定进行标定，安全阀动作应灵敏可靠；压力表应计测准确，且在校准报告期内。</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4.1.7</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cs="宋体"/>
          <w:color w:val="auto"/>
          <w:highlight w:val="none"/>
          <w:lang w:val="en-US" w:eastAsia="zh-CN"/>
        </w:rPr>
        <w:t xml:space="preserve"> 检查压力管路系统的密封可靠性能。注浆软管与接头必须与压力容器设计压力相适应，并</w:t>
      </w:r>
      <w:r>
        <w:rPr>
          <w:rFonts w:hint="eastAsia" w:hAnsi="宋体" w:cstheme="minorBidi"/>
          <w:b w:val="0"/>
          <w:bCs/>
          <w:snapToGrid w:val="0"/>
          <w:color w:val="auto"/>
          <w:sz w:val="24"/>
          <w:szCs w:val="24"/>
          <w:highlight w:val="none"/>
          <w:lang w:val="en-US" w:eastAsia="zh-CN"/>
        </w:rPr>
        <w:t>符合现行国家有关标准的规定</w:t>
      </w:r>
      <w:r>
        <w:rPr>
          <w:rFonts w:hint="eastAsia" w:cstheme="minorBidi"/>
          <w:b w:val="0"/>
          <w:bCs/>
          <w:snapToGrid w:val="0"/>
          <w:color w:val="auto"/>
          <w:sz w:val="24"/>
          <w:szCs w:val="24"/>
          <w:highlight w:val="none"/>
          <w:lang w:val="en-US" w:eastAsia="zh-CN"/>
        </w:rPr>
        <w:t>，</w:t>
      </w:r>
      <w:r>
        <w:rPr>
          <w:rFonts w:hint="eastAsia" w:cs="宋体"/>
          <w:color w:val="auto"/>
          <w:highlight w:val="none"/>
          <w:lang w:val="en-US" w:eastAsia="zh-CN"/>
        </w:rPr>
        <w:t>注浆软管长度不宜超过30m。</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ascii="宋体" w:hAnsi="宋体"/>
          <w:bCs/>
          <w:color w:val="auto"/>
          <w:sz w:val="24"/>
          <w:highlight w:val="none"/>
        </w:rPr>
      </w:pPr>
      <w:r>
        <w:rPr>
          <w:rFonts w:hint="eastAsia" w:ascii="Times New Roman" w:cs="Times New Roman"/>
          <w:b/>
          <w:bCs/>
          <w:color w:val="auto"/>
          <w:kern w:val="2"/>
          <w:sz w:val="24"/>
          <w:szCs w:val="24"/>
          <w:highlight w:val="none"/>
          <w:lang w:val="en-US" w:eastAsia="zh-CN" w:bidi="ar-SA"/>
        </w:rPr>
        <w:t>4.1.8</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bCs/>
          <w:color w:val="auto"/>
          <w:sz w:val="24"/>
          <w:highlight w:val="none"/>
          <w:lang w:val="en-US" w:eastAsia="zh-CN"/>
        </w:rPr>
        <w:t xml:space="preserve"> 施工</w:t>
      </w:r>
      <w:r>
        <w:rPr>
          <w:rFonts w:hint="eastAsia" w:ascii="宋体" w:hAnsi="宋体"/>
          <w:bCs/>
          <w:color w:val="auto"/>
          <w:sz w:val="24"/>
          <w:highlight w:val="none"/>
        </w:rPr>
        <w:t>现场临时用电应符合现行行业标准《施工现场临时用电安全技术规范》JGJ46的规定。</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eastAsia="楷体"/>
          <w:color w:val="auto"/>
          <w:sz w:val="21"/>
          <w:szCs w:val="21"/>
          <w:highlight w:val="none"/>
          <w:lang w:val="en-US" w:eastAsia="zh-CN"/>
        </w:rPr>
      </w:pPr>
      <w:r>
        <w:rPr>
          <w:rFonts w:hint="eastAsia" w:eastAsia="楷体"/>
          <w:color w:val="auto"/>
          <w:sz w:val="21"/>
          <w:szCs w:val="21"/>
          <w:highlight w:val="none"/>
          <w:lang w:val="en-US" w:eastAsia="zh-CN"/>
        </w:rPr>
        <w:t>【条文说明】现场移动注浆设备组的供配电系统，其电器和电控装置应齐全、可靠，电气系统绝缘应良好，接地装置敷设、接地体（线）连接正确、牢固，接地电阻应符合现行行业标准《施工现场临时用电安全技术规范》JGJ46的有关规定</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eastAsia="zh-CN"/>
        </w:rPr>
      </w:pPr>
      <w:r>
        <w:rPr>
          <w:rFonts w:hint="eastAsia" w:ascii="Times New Roman" w:cs="Times New Roman"/>
          <w:b/>
          <w:bCs/>
          <w:color w:val="auto"/>
          <w:kern w:val="2"/>
          <w:sz w:val="24"/>
          <w:szCs w:val="24"/>
          <w:highlight w:val="none"/>
          <w:lang w:val="en-US" w:eastAsia="zh-CN" w:bidi="ar-SA"/>
        </w:rPr>
        <w:t>4.1.9</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ascii="Times New Roman" w:cs="Times New Roman"/>
          <w:b/>
          <w:bCs/>
          <w:color w:val="auto"/>
          <w:kern w:val="2"/>
          <w:sz w:val="24"/>
          <w:szCs w:val="24"/>
          <w:highlight w:val="none"/>
          <w:lang w:val="en-US" w:eastAsia="zh-CN" w:bidi="ar-SA"/>
        </w:rPr>
        <w:t xml:space="preserve"> </w:t>
      </w:r>
      <w:r>
        <w:rPr>
          <w:rFonts w:hint="eastAsia" w:cs="宋体"/>
          <w:color w:val="auto"/>
          <w:sz w:val="24"/>
          <w:highlight w:val="none"/>
          <w:lang w:eastAsia="zh-CN"/>
        </w:rPr>
        <w:t>防沉降井盖安装作业人员应</w:t>
      </w:r>
      <w:r>
        <w:rPr>
          <w:rFonts w:hint="eastAsia" w:cs="宋体"/>
          <w:color w:val="auto"/>
          <w:highlight w:val="none"/>
          <w:lang w:eastAsia="zh-CN"/>
        </w:rPr>
        <w:t>进行安全、技术培训，考核合格后方可进场作业，进入施工现场内人员必须穿戴具有反光功能的标志服和防护帽。</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eastAsia="zh-CN"/>
        </w:rPr>
      </w:pPr>
      <w:r>
        <w:rPr>
          <w:rFonts w:hint="eastAsia" w:eastAsia="楷体"/>
          <w:color w:val="auto"/>
          <w:sz w:val="21"/>
          <w:szCs w:val="21"/>
          <w:highlight w:val="none"/>
          <w:lang w:val="en-US" w:eastAsia="zh-CN"/>
        </w:rPr>
        <w:t>【条文说明】根据国家相关安全法律、法规规定，注浆施工的电工、特种设备操作工等工种属于特种作业人员，应持证上岗，施工前应进行培训。</w:t>
      </w:r>
    </w:p>
    <w:p>
      <w:pPr>
        <w:pStyle w:val="5"/>
        <w:keepNext w:val="0"/>
        <w:keepLines w:val="0"/>
        <w:pageBreakBefore w:val="0"/>
        <w:widowControl w:val="0"/>
        <w:kinsoku/>
        <w:wordWrap/>
        <w:overflowPunct/>
        <w:topLinePunct w:val="0"/>
        <w:autoSpaceDE/>
        <w:autoSpaceDN/>
        <w:bidi w:val="0"/>
        <w:adjustRightInd w:val="0"/>
        <w:snapToGrid w:val="0"/>
        <w:spacing w:before="0" w:line="360" w:lineRule="auto"/>
        <w:ind w:left="0" w:leftChars="0" w:right="0" w:rightChars="0"/>
        <w:textAlignment w:val="auto"/>
        <w:rPr>
          <w:rFonts w:hint="default"/>
          <w:bCs/>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4.</w:t>
      </w:r>
      <w:r>
        <w:rPr>
          <w:rFonts w:hint="eastAsia" w:ascii="Times New Roman" w:cs="Times New Roman"/>
          <w:b/>
          <w:bCs/>
          <w:color w:val="auto"/>
          <w:kern w:val="2"/>
          <w:sz w:val="24"/>
          <w:szCs w:val="24"/>
          <w:highlight w:val="none"/>
          <w:lang w:val="en-US" w:eastAsia="zh-CN" w:bidi="ar-SA"/>
        </w:rPr>
        <w:t>1</w:t>
      </w:r>
      <w:r>
        <w:rPr>
          <w:rFonts w:hint="eastAsia" w:ascii="Times New Roman" w:hAnsi="宋体" w:eastAsia="宋体" w:cs="Times New Roman"/>
          <w:b/>
          <w:bCs/>
          <w:color w:val="auto"/>
          <w:kern w:val="2"/>
          <w:sz w:val="24"/>
          <w:szCs w:val="24"/>
          <w:highlight w:val="none"/>
          <w:lang w:val="en-US" w:eastAsia="zh-CN" w:bidi="ar-SA"/>
        </w:rPr>
        <w:t>.</w:t>
      </w:r>
      <w:r>
        <w:rPr>
          <w:rFonts w:hint="eastAsia" w:ascii="Times New Roman" w:cs="Times New Roman"/>
          <w:b/>
          <w:bCs/>
          <w:color w:val="auto"/>
          <w:kern w:val="2"/>
          <w:sz w:val="24"/>
          <w:szCs w:val="24"/>
          <w:highlight w:val="none"/>
          <w:lang w:val="en-US" w:eastAsia="zh-CN" w:bidi="ar-SA"/>
        </w:rPr>
        <w:t>10</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ascii="Times New Roman" w:cs="Times New Roman"/>
          <w:b/>
          <w:bCs/>
          <w:color w:val="auto"/>
          <w:kern w:val="2"/>
          <w:sz w:val="24"/>
          <w:szCs w:val="24"/>
          <w:highlight w:val="none"/>
          <w:lang w:val="en-US" w:eastAsia="zh-CN" w:bidi="ar-SA"/>
        </w:rPr>
        <w:t xml:space="preserve"> </w:t>
      </w:r>
      <w:r>
        <w:rPr>
          <w:rFonts w:hint="eastAsia"/>
          <w:bCs/>
          <w:color w:val="auto"/>
          <w:sz w:val="24"/>
          <w:highlight w:val="none"/>
          <w:lang w:val="en-US" w:eastAsia="zh-CN"/>
        </w:rPr>
        <w:t>道路养护作业安全防护应符合现行行业标准《城镇道路养护技术规范》CJJ 36的有关规定。</w:t>
      </w:r>
    </w:p>
    <w:p>
      <w:pPr>
        <w:pStyle w:val="5"/>
        <w:keepNext w:val="0"/>
        <w:keepLines w:val="0"/>
        <w:pageBreakBefore w:val="0"/>
        <w:widowControl w:val="0"/>
        <w:kinsoku/>
        <w:wordWrap/>
        <w:overflowPunct/>
        <w:topLinePunct w:val="0"/>
        <w:autoSpaceDE/>
        <w:autoSpaceDN/>
        <w:bidi w:val="0"/>
        <w:adjustRightInd w:val="0"/>
        <w:snapToGrid w:val="0"/>
        <w:spacing w:before="0" w:line="360" w:lineRule="auto"/>
        <w:ind w:left="0" w:leftChars="0" w:right="0" w:rightChars="0"/>
        <w:textAlignment w:val="auto"/>
        <w:rPr>
          <w:rFonts w:hint="eastAsia" w:ascii="宋体" w:hAnsi="宋体"/>
          <w:bCs/>
          <w:color w:val="auto"/>
          <w:sz w:val="24"/>
          <w:highlight w:val="none"/>
        </w:rPr>
      </w:pPr>
      <w:r>
        <w:rPr>
          <w:rFonts w:hint="eastAsia" w:ascii="Times New Roman" w:hAnsi="宋体" w:eastAsia="宋体" w:cs="Times New Roman"/>
          <w:b/>
          <w:bCs/>
          <w:color w:val="auto"/>
          <w:kern w:val="2"/>
          <w:sz w:val="24"/>
          <w:szCs w:val="24"/>
          <w:highlight w:val="none"/>
          <w:lang w:val="en-US" w:eastAsia="zh-CN" w:bidi="ar-SA"/>
        </w:rPr>
        <w:t>4.</w:t>
      </w:r>
      <w:r>
        <w:rPr>
          <w:rFonts w:hint="eastAsia" w:ascii="Times New Roman" w:cs="Times New Roman"/>
          <w:b/>
          <w:bCs/>
          <w:color w:val="auto"/>
          <w:kern w:val="2"/>
          <w:sz w:val="24"/>
          <w:szCs w:val="24"/>
          <w:highlight w:val="none"/>
          <w:lang w:val="en-US" w:eastAsia="zh-CN" w:bidi="ar-SA"/>
        </w:rPr>
        <w:t>1</w:t>
      </w:r>
      <w:r>
        <w:rPr>
          <w:rFonts w:hint="eastAsia" w:ascii="Times New Roman" w:hAnsi="宋体" w:eastAsia="宋体" w:cs="Times New Roman"/>
          <w:b/>
          <w:bCs/>
          <w:color w:val="auto"/>
          <w:kern w:val="2"/>
          <w:sz w:val="24"/>
          <w:szCs w:val="24"/>
          <w:highlight w:val="none"/>
          <w:lang w:val="en-US" w:eastAsia="zh-CN" w:bidi="ar-SA"/>
        </w:rPr>
        <w:t>.</w:t>
      </w:r>
      <w:r>
        <w:rPr>
          <w:rFonts w:hint="eastAsia" w:ascii="Times New Roman" w:cs="Times New Roman"/>
          <w:b/>
          <w:bCs/>
          <w:color w:val="auto"/>
          <w:kern w:val="2"/>
          <w:sz w:val="24"/>
          <w:szCs w:val="24"/>
          <w:highlight w:val="none"/>
          <w:lang w:val="en-US" w:eastAsia="zh-CN" w:bidi="ar-SA"/>
        </w:rPr>
        <w:t>11</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ascii="Times New Roman" w:cs="Times New Roman"/>
          <w:b/>
          <w:bCs/>
          <w:color w:val="auto"/>
          <w:kern w:val="2"/>
          <w:sz w:val="24"/>
          <w:szCs w:val="24"/>
          <w:highlight w:val="none"/>
          <w:lang w:val="en-US" w:eastAsia="zh-CN" w:bidi="ar-SA"/>
        </w:rPr>
        <w:t xml:space="preserve"> </w:t>
      </w:r>
      <w:r>
        <w:rPr>
          <w:rFonts w:hint="eastAsia"/>
          <w:bCs/>
          <w:color w:val="auto"/>
          <w:sz w:val="24"/>
          <w:highlight w:val="none"/>
          <w:lang w:val="en-US" w:eastAsia="zh-CN"/>
        </w:rPr>
        <w:t>防沉降井盖</w:t>
      </w:r>
      <w:r>
        <w:rPr>
          <w:rFonts w:hint="eastAsia" w:cs="宋体"/>
          <w:color w:val="auto"/>
          <w:highlight w:val="none"/>
          <w:lang w:val="en-US" w:eastAsia="zh-CN"/>
        </w:rPr>
        <w:t>更换工程</w:t>
      </w:r>
      <w:r>
        <w:rPr>
          <w:rFonts w:hint="eastAsia" w:hAnsi="宋体"/>
          <w:bCs/>
          <w:snapToGrid w:val="0"/>
          <w:color w:val="auto"/>
          <w:sz w:val="24"/>
          <w:highlight w:val="none"/>
          <w:lang w:eastAsia="zh-CN"/>
        </w:rPr>
        <w:t>施工</w:t>
      </w:r>
      <w:r>
        <w:rPr>
          <w:rFonts w:hint="eastAsia" w:hAnsi="宋体"/>
          <w:bCs/>
          <w:snapToGrid w:val="0"/>
          <w:color w:val="auto"/>
          <w:sz w:val="24"/>
          <w:highlight w:val="none"/>
        </w:rPr>
        <w:t>前</w:t>
      </w:r>
      <w:r>
        <w:rPr>
          <w:rFonts w:hint="eastAsia"/>
          <w:bCs/>
          <w:color w:val="auto"/>
          <w:sz w:val="24"/>
          <w:highlight w:val="none"/>
          <w:lang w:val="en-US" w:eastAsia="zh-CN"/>
        </w:rPr>
        <w:t>宜</w:t>
      </w:r>
      <w:r>
        <w:rPr>
          <w:rFonts w:hint="eastAsia" w:ascii="宋体" w:hAnsi="宋体"/>
          <w:bCs/>
          <w:color w:val="auto"/>
          <w:sz w:val="24"/>
          <w:highlight w:val="none"/>
        </w:rPr>
        <w:t>进行试装</w:t>
      </w:r>
      <w:r>
        <w:rPr>
          <w:rFonts w:hint="eastAsia"/>
          <w:bCs/>
          <w:color w:val="auto"/>
          <w:sz w:val="24"/>
          <w:highlight w:val="none"/>
          <w:lang w:eastAsia="zh-CN"/>
        </w:rPr>
        <w:t>，</w:t>
      </w:r>
      <w:r>
        <w:rPr>
          <w:rFonts w:hint="eastAsia"/>
          <w:bCs/>
          <w:color w:val="auto"/>
          <w:sz w:val="24"/>
          <w:highlight w:val="none"/>
          <w:lang w:val="en-US" w:eastAsia="zh-CN"/>
        </w:rPr>
        <w:t>试装井盖顶面低于周边沥青路面不小于20mm</w:t>
      </w:r>
      <w:r>
        <w:rPr>
          <w:rFonts w:hint="eastAsia" w:ascii="宋体" w:hAnsi="宋体"/>
          <w:bCs/>
          <w:color w:val="auto"/>
          <w:sz w:val="24"/>
          <w:highlight w:val="none"/>
        </w:rPr>
        <w:t>。</w:t>
      </w:r>
    </w:p>
    <w:p>
      <w:pPr>
        <w:pStyle w:val="5"/>
        <w:keepNext w:val="0"/>
        <w:keepLines w:val="0"/>
        <w:pageBreakBefore w:val="0"/>
        <w:widowControl w:val="0"/>
        <w:kinsoku/>
        <w:wordWrap/>
        <w:overflowPunct/>
        <w:topLinePunct w:val="0"/>
        <w:autoSpaceDE/>
        <w:autoSpaceDN/>
        <w:bidi w:val="0"/>
        <w:adjustRightInd w:val="0"/>
        <w:snapToGrid w:val="0"/>
        <w:spacing w:before="0" w:line="360" w:lineRule="auto"/>
        <w:ind w:left="0" w:leftChars="0" w:right="0" w:rightChars="0"/>
        <w:textAlignment w:val="auto"/>
        <w:rPr>
          <w:rFonts w:hint="eastAsia" w:ascii="宋体" w:hAnsi="宋体"/>
          <w:bCs/>
          <w:color w:val="auto"/>
          <w:sz w:val="21"/>
          <w:szCs w:val="21"/>
          <w:highlight w:val="none"/>
          <w:lang w:eastAsia="zh-CN"/>
        </w:rPr>
      </w:pPr>
      <w:r>
        <w:rPr>
          <w:rFonts w:hint="eastAsia" w:eastAsia="楷体"/>
          <w:color w:val="auto"/>
          <w:sz w:val="21"/>
          <w:szCs w:val="21"/>
          <w:highlight w:val="none"/>
          <w:lang w:val="en-US" w:eastAsia="zh-CN"/>
        </w:rPr>
        <w:t>【条文说明】老井改造更换防沉降井盖，往往剔凿扩大的井孔形状不规则，难以估测，可通过防沉降井盖安放试装确定井孔是否已满足安装条件。试装的防沉降井盖低于周边沥青路面不少于20mm，为预留安装调节空间，确保防沉降井盖安装完成后，井盖不会高出路面，路框差满足本规程规定的要求。</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4.1.12</w:t>
      </w:r>
      <w:r>
        <w:rPr>
          <w:rFonts w:hint="eastAsia" w:cs="宋体"/>
          <w:color w:val="auto"/>
          <w:highlight w:val="none"/>
          <w:lang w:val="en-US" w:eastAsia="zh-CN"/>
        </w:rPr>
        <w:t xml:space="preserve">  环境平均气温低于5℃时不宜进行防沉降井盖安装及注浆加固施工。</w:t>
      </w:r>
    </w:p>
    <w:p>
      <w:pPr>
        <w:pStyle w:val="5"/>
        <w:keepNext w:val="0"/>
        <w:keepLines w:val="0"/>
        <w:pageBreakBefore w:val="0"/>
        <w:widowControl w:val="0"/>
        <w:kinsoku/>
        <w:wordWrap/>
        <w:overflowPunct/>
        <w:topLinePunct w:val="0"/>
        <w:autoSpaceDE/>
        <w:autoSpaceDN/>
        <w:bidi w:val="0"/>
        <w:adjustRightInd w:val="0"/>
        <w:snapToGrid w:val="0"/>
        <w:spacing w:before="0" w:line="360" w:lineRule="auto"/>
        <w:ind w:left="0" w:leftChars="0" w:right="0" w:rightChars="0"/>
        <w:textAlignment w:val="auto"/>
        <w:rPr>
          <w:rFonts w:hint="eastAsia" w:eastAsia="楷体"/>
          <w:color w:val="auto"/>
          <w:sz w:val="21"/>
          <w:szCs w:val="21"/>
          <w:highlight w:val="none"/>
          <w:lang w:val="en-US" w:eastAsia="zh-CN"/>
        </w:rPr>
      </w:pPr>
      <w:r>
        <w:rPr>
          <w:rFonts w:hint="eastAsia" w:eastAsia="楷体"/>
          <w:color w:val="auto"/>
          <w:sz w:val="21"/>
          <w:szCs w:val="21"/>
          <w:highlight w:val="none"/>
          <w:lang w:val="en-US" w:eastAsia="zh-CN"/>
        </w:rPr>
        <w:t>【条文说明】沥青混凝土及井周注浆加固在环境温度低于5℃施工时，应采取以下措施：</w:t>
      </w:r>
    </w:p>
    <w:p>
      <w:pPr>
        <w:pStyle w:val="5"/>
        <w:keepNext w:val="0"/>
        <w:keepLines w:val="0"/>
        <w:pageBreakBefore w:val="0"/>
        <w:widowControl w:val="0"/>
        <w:kinsoku/>
        <w:wordWrap/>
        <w:overflowPunct/>
        <w:topLinePunct w:val="0"/>
        <w:autoSpaceDE/>
        <w:autoSpaceDN/>
        <w:bidi w:val="0"/>
        <w:adjustRightInd w:val="0"/>
        <w:snapToGrid w:val="0"/>
        <w:spacing w:before="0" w:line="360" w:lineRule="auto"/>
        <w:ind w:left="0" w:leftChars="0" w:right="0" w:rightChars="0"/>
        <w:textAlignment w:val="auto"/>
        <w:rPr>
          <w:rFonts w:hint="eastAsia" w:eastAsia="楷体"/>
          <w:color w:val="auto"/>
          <w:sz w:val="21"/>
          <w:szCs w:val="21"/>
          <w:highlight w:val="none"/>
          <w:lang w:val="en-US" w:eastAsia="zh-CN"/>
        </w:rPr>
      </w:pPr>
      <w:r>
        <w:rPr>
          <w:rFonts w:hint="eastAsia" w:eastAsia="楷体"/>
          <w:color w:val="auto"/>
          <w:sz w:val="21"/>
          <w:szCs w:val="21"/>
          <w:highlight w:val="none"/>
          <w:lang w:val="en-US" w:eastAsia="zh-CN"/>
        </w:rPr>
        <w:t>1  沥青混合料运输工具必须采用保温车辆并加盖保温棉被，减少运输过程中的温降；</w:t>
      </w:r>
    </w:p>
    <w:p>
      <w:pPr>
        <w:pStyle w:val="5"/>
        <w:keepNext w:val="0"/>
        <w:keepLines w:val="0"/>
        <w:pageBreakBefore w:val="0"/>
        <w:widowControl w:val="0"/>
        <w:kinsoku/>
        <w:wordWrap/>
        <w:overflowPunct/>
        <w:topLinePunct w:val="0"/>
        <w:autoSpaceDE/>
        <w:autoSpaceDN/>
        <w:bidi w:val="0"/>
        <w:adjustRightInd w:val="0"/>
        <w:snapToGrid w:val="0"/>
        <w:spacing w:before="0" w:line="360" w:lineRule="auto"/>
        <w:ind w:left="0" w:leftChars="0" w:right="0" w:rightChars="0"/>
        <w:textAlignment w:val="auto"/>
        <w:rPr>
          <w:rFonts w:hint="eastAsia" w:eastAsia="楷体"/>
          <w:color w:val="auto"/>
          <w:sz w:val="21"/>
          <w:szCs w:val="21"/>
          <w:highlight w:val="none"/>
          <w:lang w:val="en-US" w:eastAsia="zh-CN"/>
        </w:rPr>
      </w:pPr>
      <w:r>
        <w:rPr>
          <w:rFonts w:hint="eastAsia" w:eastAsia="楷体"/>
          <w:color w:val="auto"/>
          <w:sz w:val="21"/>
          <w:szCs w:val="21"/>
          <w:highlight w:val="none"/>
          <w:lang w:val="en-US" w:eastAsia="zh-CN"/>
        </w:rPr>
        <w:t>2  添加温拌剂拌合沥青混合料，有效改善混合料施工性能，降低可施作温度；</w:t>
      </w:r>
    </w:p>
    <w:p>
      <w:pPr>
        <w:pStyle w:val="5"/>
        <w:keepNext w:val="0"/>
        <w:keepLines w:val="0"/>
        <w:pageBreakBefore w:val="0"/>
        <w:widowControl w:val="0"/>
        <w:kinsoku/>
        <w:wordWrap/>
        <w:overflowPunct/>
        <w:topLinePunct w:val="0"/>
        <w:autoSpaceDE/>
        <w:autoSpaceDN/>
        <w:bidi w:val="0"/>
        <w:adjustRightInd w:val="0"/>
        <w:snapToGrid w:val="0"/>
        <w:spacing w:before="0" w:line="360" w:lineRule="auto"/>
        <w:ind w:left="0" w:leftChars="0" w:right="0" w:rightChars="0"/>
        <w:textAlignment w:val="auto"/>
        <w:rPr>
          <w:rFonts w:hint="eastAsia" w:eastAsia="楷体"/>
          <w:color w:val="auto"/>
          <w:sz w:val="21"/>
          <w:szCs w:val="21"/>
          <w:highlight w:val="none"/>
          <w:lang w:val="en-US" w:eastAsia="zh-CN"/>
        </w:rPr>
      </w:pPr>
      <w:r>
        <w:rPr>
          <w:rFonts w:hint="eastAsia" w:eastAsia="楷体"/>
          <w:color w:val="auto"/>
          <w:sz w:val="21"/>
          <w:szCs w:val="21"/>
          <w:highlight w:val="none"/>
          <w:lang w:val="en-US" w:eastAsia="zh-CN"/>
        </w:rPr>
        <w:t>3  增加压路机数量，缩短压实时间；</w:t>
      </w:r>
    </w:p>
    <w:p>
      <w:pPr>
        <w:pStyle w:val="5"/>
        <w:keepNext w:val="0"/>
        <w:keepLines w:val="0"/>
        <w:pageBreakBefore w:val="0"/>
        <w:widowControl w:val="0"/>
        <w:kinsoku/>
        <w:wordWrap/>
        <w:overflowPunct/>
        <w:topLinePunct w:val="0"/>
        <w:autoSpaceDE/>
        <w:autoSpaceDN/>
        <w:bidi w:val="0"/>
        <w:adjustRightInd w:val="0"/>
        <w:snapToGrid w:val="0"/>
        <w:spacing w:before="0" w:line="360" w:lineRule="auto"/>
        <w:ind w:left="0" w:leftChars="0" w:right="0" w:rightChars="0"/>
        <w:textAlignment w:val="auto"/>
        <w:rPr>
          <w:rFonts w:hint="eastAsia" w:eastAsia="楷体"/>
          <w:color w:val="auto"/>
          <w:sz w:val="21"/>
          <w:szCs w:val="21"/>
          <w:highlight w:val="none"/>
          <w:lang w:val="en-US" w:eastAsia="zh-CN"/>
        </w:rPr>
      </w:pPr>
      <w:r>
        <w:rPr>
          <w:rFonts w:hint="eastAsia" w:eastAsia="楷体"/>
          <w:color w:val="auto"/>
          <w:sz w:val="21"/>
          <w:szCs w:val="21"/>
          <w:highlight w:val="none"/>
          <w:lang w:val="en-US" w:eastAsia="zh-CN"/>
        </w:rPr>
        <w:t>4  井盖安装碾压完成后立即注浆，利用沥青混凝土余热对注浆浆液进行养生；</w:t>
      </w:r>
    </w:p>
    <w:p>
      <w:pPr>
        <w:pStyle w:val="5"/>
        <w:keepNext w:val="0"/>
        <w:keepLines w:val="0"/>
        <w:pageBreakBefore w:val="0"/>
        <w:widowControl w:val="0"/>
        <w:kinsoku/>
        <w:wordWrap/>
        <w:overflowPunct/>
        <w:topLinePunct w:val="0"/>
        <w:autoSpaceDE/>
        <w:autoSpaceDN/>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eastAsia="楷体"/>
          <w:color w:val="auto"/>
          <w:sz w:val="21"/>
          <w:szCs w:val="21"/>
          <w:highlight w:val="none"/>
          <w:lang w:val="en-US" w:eastAsia="zh-CN"/>
        </w:rPr>
        <w:t>5  注浆加固铺面范围覆盖棉被保温。</w:t>
      </w:r>
    </w:p>
    <w:p>
      <w:pPr>
        <w:pStyle w:val="3"/>
        <w:pageBreakBefore w:val="0"/>
        <w:kinsoku/>
        <w:wordWrap/>
        <w:overflowPunct/>
        <w:topLinePunct w:val="0"/>
        <w:bidi w:val="0"/>
        <w:adjustRightInd w:val="0"/>
        <w:snapToGrid w:val="0"/>
        <w:spacing w:before="0" w:after="0" w:line="360" w:lineRule="auto"/>
        <w:ind w:left="0" w:leftChars="0" w:right="0" w:rightChars="0"/>
        <w:jc w:val="left"/>
        <w:textAlignment w:val="auto"/>
        <w:rPr>
          <w:rFonts w:hint="eastAsia" w:cs="Times New Roman"/>
          <w:b w:val="0"/>
          <w:bCs w:val="0"/>
          <w:color w:val="auto"/>
          <w:kern w:val="2"/>
          <w:sz w:val="24"/>
          <w:szCs w:val="24"/>
          <w:highlight w:val="none"/>
          <w:lang w:val="en-US" w:eastAsia="zh-CN" w:bidi="ar-SA"/>
        </w:rPr>
      </w:pPr>
      <w:bookmarkStart w:id="88" w:name="_Toc7475"/>
      <w:r>
        <w:rPr>
          <w:rFonts w:hint="eastAsia" w:ascii="Times New Roman" w:hAnsi="宋体" w:cs="Times New Roman"/>
          <w:b/>
          <w:bCs/>
          <w:color w:val="auto"/>
          <w:kern w:val="2"/>
          <w:sz w:val="24"/>
          <w:szCs w:val="24"/>
          <w:highlight w:val="none"/>
          <w:lang w:val="en-US" w:eastAsia="zh-CN" w:bidi="ar-SA"/>
        </w:rPr>
        <w:t>4</w:t>
      </w:r>
      <w:r>
        <w:rPr>
          <w:rFonts w:hint="eastAsia" w:ascii="Times New Roman" w:hAnsi="宋体" w:eastAsia="宋体" w:cs="Times New Roman"/>
          <w:b/>
          <w:bCs/>
          <w:color w:val="auto"/>
          <w:kern w:val="2"/>
          <w:sz w:val="24"/>
          <w:szCs w:val="24"/>
          <w:highlight w:val="none"/>
          <w:lang w:val="en-US" w:eastAsia="zh-CN" w:bidi="ar-SA"/>
        </w:rPr>
        <w:t>.1.</w:t>
      </w:r>
      <w:r>
        <w:rPr>
          <w:rFonts w:hint="eastAsia" w:ascii="Times New Roman" w:hAnsi="宋体" w:cs="Times New Roman"/>
          <w:b/>
          <w:bCs/>
          <w:color w:val="auto"/>
          <w:kern w:val="2"/>
          <w:sz w:val="24"/>
          <w:szCs w:val="24"/>
          <w:highlight w:val="none"/>
          <w:lang w:val="en-US" w:eastAsia="zh-CN" w:bidi="ar-SA"/>
        </w:rPr>
        <w:t>1</w:t>
      </w:r>
      <w:r>
        <w:rPr>
          <w:rFonts w:hint="eastAsia" w:hAnsi="宋体" w:cs="Times New Roman"/>
          <w:b/>
          <w:bCs/>
          <w:color w:val="auto"/>
          <w:kern w:val="2"/>
          <w:sz w:val="24"/>
          <w:szCs w:val="24"/>
          <w:highlight w:val="none"/>
          <w:lang w:val="en-US" w:eastAsia="zh-CN" w:bidi="ar-SA"/>
        </w:rPr>
        <w:t>3</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hAnsi="宋体" w:eastAsia="宋体" w:cs="Times New Roman"/>
          <w:b w:val="0"/>
          <w:bCs w:val="0"/>
          <w:color w:val="auto"/>
          <w:kern w:val="2"/>
          <w:sz w:val="24"/>
          <w:szCs w:val="24"/>
          <w:highlight w:val="none"/>
          <w:lang w:val="en-US" w:eastAsia="zh-CN" w:bidi="ar-SA"/>
        </w:rPr>
        <w:t>城镇道路养护</w:t>
      </w:r>
      <w:r>
        <w:rPr>
          <w:rFonts w:hint="eastAsia" w:hAnsi="宋体" w:cs="Times New Roman"/>
          <w:b w:val="0"/>
          <w:bCs w:val="0"/>
          <w:color w:val="auto"/>
          <w:kern w:val="2"/>
          <w:sz w:val="24"/>
          <w:szCs w:val="24"/>
          <w:highlight w:val="none"/>
          <w:lang w:val="en-US" w:eastAsia="zh-CN" w:bidi="ar-SA"/>
        </w:rPr>
        <w:t>原有</w:t>
      </w:r>
      <w:r>
        <w:rPr>
          <w:rFonts w:hint="eastAsia" w:ascii="Times New Roman" w:hAnsi="Times New Roman" w:cs="Times New Roman" w:eastAsiaTheme="minorEastAsia"/>
          <w:b w:val="0"/>
          <w:bCs w:val="0"/>
          <w:color w:val="auto"/>
          <w:kern w:val="2"/>
          <w:sz w:val="24"/>
          <w:szCs w:val="24"/>
          <w:highlight w:val="none"/>
          <w:lang w:val="en-US" w:eastAsia="zh-CN" w:bidi="ar-SA"/>
        </w:rPr>
        <w:t>传统宽边井</w:t>
      </w:r>
      <w:r>
        <w:rPr>
          <w:rFonts w:hint="eastAsia" w:cs="Times New Roman"/>
          <w:b w:val="0"/>
          <w:bCs w:val="0"/>
          <w:color w:val="auto"/>
          <w:kern w:val="2"/>
          <w:sz w:val="24"/>
          <w:szCs w:val="24"/>
          <w:highlight w:val="none"/>
          <w:lang w:val="en-US" w:eastAsia="zh-CN" w:bidi="ar-SA"/>
        </w:rPr>
        <w:t>盖</w:t>
      </w:r>
      <w:r>
        <w:rPr>
          <w:rFonts w:hint="eastAsia" w:hAnsi="宋体" w:eastAsia="宋体" w:cs="Times New Roman"/>
          <w:b w:val="0"/>
          <w:bCs w:val="0"/>
          <w:color w:val="auto"/>
          <w:kern w:val="2"/>
          <w:sz w:val="24"/>
          <w:szCs w:val="24"/>
          <w:highlight w:val="none"/>
          <w:lang w:val="en-US" w:eastAsia="zh-CN" w:bidi="ar-SA"/>
        </w:rPr>
        <w:t>工程中</w:t>
      </w:r>
      <w:r>
        <w:rPr>
          <w:rFonts w:hint="eastAsia" w:cs="Times New Roman"/>
          <w:b w:val="0"/>
          <w:bCs w:val="0"/>
          <w:color w:val="auto"/>
          <w:kern w:val="2"/>
          <w:sz w:val="24"/>
          <w:szCs w:val="24"/>
          <w:highlight w:val="none"/>
          <w:lang w:val="en-US" w:eastAsia="zh-CN" w:bidi="ar-SA"/>
        </w:rPr>
        <w:t>，应对传统宽边井盖进行检查，质量合格的可加以利用并进行防沉降改造。</w:t>
      </w:r>
      <w:bookmarkEnd w:id="88"/>
      <w:bookmarkStart w:id="89" w:name="_Toc8157"/>
      <w:bookmarkStart w:id="90" w:name="_Toc916"/>
      <w:bookmarkStart w:id="91" w:name="_Toc31176"/>
      <w:bookmarkStart w:id="92" w:name="_Toc10589"/>
      <w:bookmarkStart w:id="93" w:name="_Toc27196"/>
      <w:bookmarkStart w:id="94" w:name="_Toc31498"/>
      <w:bookmarkStart w:id="95" w:name="_Toc20793"/>
    </w:p>
    <w:p>
      <w:pPr>
        <w:pStyle w:val="3"/>
        <w:pageBreakBefore w:val="0"/>
        <w:kinsoku/>
        <w:wordWrap/>
        <w:overflowPunct/>
        <w:topLinePunct w:val="0"/>
        <w:bidi w:val="0"/>
        <w:adjustRightInd w:val="0"/>
        <w:snapToGrid w:val="0"/>
        <w:spacing w:before="0" w:after="0" w:line="360" w:lineRule="auto"/>
        <w:ind w:left="0" w:leftChars="0" w:right="0" w:rightChars="0"/>
        <w:textAlignment w:val="auto"/>
        <w:rPr>
          <w:rFonts w:hint="eastAsia"/>
          <w:color w:val="auto"/>
          <w:sz w:val="24"/>
          <w:szCs w:val="24"/>
          <w:highlight w:val="none"/>
          <w:lang w:val="en-US" w:eastAsia="zh-CN"/>
        </w:rPr>
      </w:pPr>
      <w:bookmarkStart w:id="96" w:name="_Toc28982"/>
      <w:r>
        <w:rPr>
          <w:rFonts w:hint="eastAsia"/>
          <w:color w:val="auto"/>
          <w:sz w:val="24"/>
          <w:szCs w:val="24"/>
          <w:highlight w:val="none"/>
          <w:lang w:val="en-US" w:eastAsia="zh-CN"/>
        </w:rPr>
        <w:t xml:space="preserve">4.2   </w:t>
      </w:r>
      <w:bookmarkEnd w:id="89"/>
      <w:bookmarkEnd w:id="90"/>
      <w:bookmarkEnd w:id="91"/>
      <w:bookmarkEnd w:id="92"/>
      <w:bookmarkEnd w:id="93"/>
      <w:bookmarkEnd w:id="94"/>
      <w:bookmarkEnd w:id="95"/>
      <w:bookmarkEnd w:id="96"/>
      <w:r>
        <w:rPr>
          <w:rFonts w:hint="eastAsia" w:ascii="宋体" w:hAnsi="宋体" w:eastAsia="宋体" w:cs="宋体"/>
          <w:color w:val="auto"/>
          <w:sz w:val="24"/>
          <w:szCs w:val="24"/>
          <w:highlight w:val="none"/>
          <w:lang w:val="en-US" w:eastAsia="zh-CN"/>
        </w:rPr>
        <w:t>新建、改扩建工程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hAnsi="宋体"/>
          <w:bCs/>
          <w:snapToGrid w:val="0"/>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4.2.1 </w:t>
      </w:r>
      <w:r>
        <w:rPr>
          <w:rFonts w:hint="eastAsia" w:hAnsi="宋体"/>
          <w:bCs/>
          <w:snapToGrid w:val="0"/>
          <w:color w:val="auto"/>
          <w:sz w:val="24"/>
          <w:highlight w:val="none"/>
          <w:lang w:eastAsia="zh-CN"/>
        </w:rPr>
        <w:t xml:space="preserve"> </w:t>
      </w:r>
      <w:r>
        <w:rPr>
          <w:rFonts w:hint="eastAsia" w:hAnsi="宋体"/>
          <w:bCs/>
          <w:snapToGrid w:val="0"/>
          <w:color w:val="auto"/>
          <w:sz w:val="24"/>
          <w:highlight w:val="none"/>
        </w:rPr>
        <w:t>防沉降井盖</w:t>
      </w:r>
      <w:r>
        <w:rPr>
          <w:rFonts w:hint="eastAsia" w:hAnsi="宋体"/>
          <w:bCs/>
          <w:snapToGrid w:val="0"/>
          <w:color w:val="auto"/>
          <w:sz w:val="24"/>
          <w:highlight w:val="none"/>
          <w:lang w:val="en-US" w:eastAsia="zh-CN"/>
        </w:rPr>
        <w:t>新筑</w:t>
      </w:r>
      <w:r>
        <w:rPr>
          <w:rFonts w:hint="eastAsia" w:hAnsi="宋体"/>
          <w:bCs/>
          <w:snapToGrid w:val="0"/>
          <w:color w:val="auto"/>
          <w:sz w:val="24"/>
          <w:highlight w:val="none"/>
          <w:lang w:eastAsia="zh-CN"/>
        </w:rPr>
        <w:t>施工流程</w:t>
      </w:r>
      <w:r>
        <w:rPr>
          <w:rFonts w:hint="eastAsia" w:hAnsi="宋体"/>
          <w:bCs/>
          <w:snapToGrid w:val="0"/>
          <w:color w:val="auto"/>
          <w:sz w:val="24"/>
          <w:highlight w:val="none"/>
          <w:lang w:val="en-US" w:eastAsia="zh-CN"/>
        </w:rPr>
        <w:t>宜包括下列内容（图4.2.1）：</w:t>
      </w:r>
    </w:p>
    <w:p>
      <w:pPr>
        <w:pStyle w:val="5"/>
        <w:pageBreakBefore w:val="0"/>
        <w:kinsoku/>
        <w:wordWrap/>
        <w:overflowPunct/>
        <w:topLinePunct w:val="0"/>
        <w:bidi w:val="0"/>
        <w:adjustRightInd w:val="0"/>
        <w:snapToGrid w:val="0"/>
        <w:spacing w:before="0" w:line="360" w:lineRule="auto"/>
        <w:ind w:left="0" w:leftChars="0" w:right="0" w:rightChars="0" w:firstLine="0" w:firstLineChars="0"/>
        <w:jc w:val="center"/>
        <w:textAlignment w:val="auto"/>
        <w:rPr>
          <w:color w:val="auto"/>
          <w:highlight w:val="none"/>
        </w:rPr>
      </w:pPr>
      <w:r>
        <w:rPr>
          <w:color w:val="auto"/>
          <w:highlight w:val="none"/>
        </w:rPr>
        <w:drawing>
          <wp:inline distT="0" distB="0" distL="114300" distR="114300">
            <wp:extent cx="2836545" cy="5918200"/>
            <wp:effectExtent l="0" t="0" r="13335" b="1016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42"/>
                    <a:stretch>
                      <a:fillRect/>
                    </a:stretch>
                  </pic:blipFill>
                  <pic:spPr>
                    <a:xfrm>
                      <a:off x="0" y="0"/>
                      <a:ext cx="2836545" cy="5918200"/>
                    </a:xfrm>
                    <a:prstGeom prst="rect">
                      <a:avLst/>
                    </a:prstGeom>
                    <a:noFill/>
                    <a:ln>
                      <a:noFill/>
                    </a:ln>
                  </pic:spPr>
                </pic:pic>
              </a:graphicData>
            </a:graphic>
          </wp:inline>
        </w:drawing>
      </w:r>
    </w:p>
    <w:p>
      <w:pPr>
        <w:pStyle w:val="5"/>
        <w:pageBreakBefore w:val="0"/>
        <w:kinsoku/>
        <w:wordWrap/>
        <w:overflowPunct/>
        <w:topLinePunct w:val="0"/>
        <w:bidi w:val="0"/>
        <w:adjustRightInd w:val="0"/>
        <w:snapToGrid w:val="0"/>
        <w:spacing w:before="0" w:line="360" w:lineRule="auto"/>
        <w:ind w:left="0" w:leftChars="0" w:right="0" w:rightChars="0" w:firstLine="0" w:firstLineChars="0"/>
        <w:jc w:val="center"/>
        <w:textAlignment w:val="auto"/>
        <w:rPr>
          <w:rFonts w:hint="default" w:eastAsia="宋体"/>
          <w:color w:val="auto"/>
          <w:highlight w:val="none"/>
          <w:lang w:val="en-US" w:eastAsia="zh-CN"/>
        </w:rPr>
      </w:pPr>
      <w:r>
        <w:rPr>
          <w:rFonts w:hint="eastAsia"/>
          <w:b/>
          <w:bCs/>
          <w:color w:val="auto"/>
          <w:sz w:val="21"/>
          <w:szCs w:val="21"/>
          <w:highlight w:val="none"/>
          <w:lang w:eastAsia="zh-CN"/>
        </w:rPr>
        <w:t>图</w:t>
      </w:r>
      <w:r>
        <w:rPr>
          <w:rFonts w:hint="eastAsia"/>
          <w:b/>
          <w:bCs/>
          <w:color w:val="auto"/>
          <w:sz w:val="21"/>
          <w:szCs w:val="21"/>
          <w:highlight w:val="none"/>
          <w:lang w:val="en-US" w:eastAsia="zh-CN"/>
        </w:rPr>
        <w:t>4.2.1防沉降井盖新筑施工流程图</w:t>
      </w:r>
      <w:r>
        <w:rPr>
          <w:rFonts w:hint="eastAsia"/>
          <w:color w:val="auto"/>
          <w:highlight w:val="none"/>
          <w:lang w:val="en-US" w:eastAsia="zh-CN"/>
        </w:rPr>
        <w:t xml:space="preserve"> </w:t>
      </w:r>
    </w:p>
    <w:p>
      <w:pPr>
        <w:pStyle w:val="5"/>
        <w:pageBreakBefore w:val="0"/>
        <w:numPr>
          <w:ilvl w:val="-1"/>
          <w:numId w:val="0"/>
        </w:numPr>
        <w:kinsoku/>
        <w:wordWrap/>
        <w:overflowPunct/>
        <w:topLinePunct w:val="0"/>
        <w:bidi w:val="0"/>
        <w:adjustRightInd w:val="0"/>
        <w:snapToGrid w:val="0"/>
        <w:spacing w:before="0" w:line="360" w:lineRule="auto"/>
        <w:ind w:right="0" w:rightChars="0"/>
        <w:textAlignment w:val="auto"/>
        <w:rPr>
          <w:rFonts w:hint="default" w:cs="宋体"/>
          <w:color w:val="auto"/>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4.</w:t>
      </w:r>
      <w:r>
        <w:rPr>
          <w:rFonts w:hint="eastAsia" w:ascii="Times New Roman" w:cs="Times New Roman"/>
          <w:b/>
          <w:bCs/>
          <w:color w:val="auto"/>
          <w:kern w:val="2"/>
          <w:sz w:val="24"/>
          <w:szCs w:val="24"/>
          <w:highlight w:val="none"/>
          <w:lang w:val="en-US" w:eastAsia="zh-CN" w:bidi="ar-SA"/>
        </w:rPr>
        <w:t>2</w:t>
      </w:r>
      <w:r>
        <w:rPr>
          <w:rFonts w:hint="eastAsia" w:ascii="Times New Roman" w:hAnsi="宋体" w:eastAsia="宋体" w:cs="Times New Roman"/>
          <w:b/>
          <w:bCs/>
          <w:color w:val="auto"/>
          <w:kern w:val="2"/>
          <w:sz w:val="24"/>
          <w:szCs w:val="24"/>
          <w:highlight w:val="none"/>
          <w:lang w:val="en-US" w:eastAsia="zh-CN" w:bidi="ar-SA"/>
        </w:rPr>
        <w:t xml:space="preserve">.2 </w:t>
      </w:r>
      <w:r>
        <w:rPr>
          <w:rFonts w:hint="eastAsia" w:ascii="宋体" w:hAnsi="宋体" w:eastAsia="宋体" w:cs="宋体"/>
          <w:color w:val="auto"/>
          <w:kern w:val="0"/>
          <w:sz w:val="24"/>
          <w:highlight w:val="none"/>
          <w:lang w:val="en-US" w:eastAsia="zh-CN"/>
        </w:rPr>
        <w:t xml:space="preserve"> </w:t>
      </w:r>
      <w:r>
        <w:rPr>
          <w:rFonts w:hint="eastAsia"/>
          <w:color w:val="auto"/>
          <w:highlight w:val="none"/>
          <w:lang w:eastAsia="zh-CN"/>
        </w:rPr>
        <w:t>防沉降</w:t>
      </w:r>
      <w:r>
        <w:rPr>
          <w:rFonts w:hint="eastAsia" w:cs="宋体"/>
          <w:color w:val="auto"/>
          <w:highlight w:val="none"/>
          <w:lang w:eastAsia="zh-CN"/>
        </w:rPr>
        <w:t>井盖的安装应与沥青混凝土路面铺筑同步进行。</w:t>
      </w:r>
      <w:r>
        <w:rPr>
          <w:rFonts w:hint="eastAsia" w:cs="宋体"/>
          <w:color w:val="auto"/>
          <w:highlight w:val="none"/>
          <w:lang w:val="en-US" w:eastAsia="zh-CN"/>
        </w:rPr>
        <w:t>安装的防沉降井盖为一体式时，应将防沉降井盖铰链部位迎向来车方向。防沉降井盖上表面应均匀涂抹隔离剂。</w:t>
      </w:r>
    </w:p>
    <w:p>
      <w:pPr>
        <w:pStyle w:val="5"/>
        <w:pageBreakBefore w:val="0"/>
        <w:numPr>
          <w:ilvl w:val="-1"/>
          <w:numId w:val="0"/>
        </w:numPr>
        <w:kinsoku/>
        <w:wordWrap/>
        <w:overflowPunct/>
        <w:topLinePunct w:val="0"/>
        <w:bidi w:val="0"/>
        <w:adjustRightInd w:val="0"/>
        <w:snapToGrid w:val="0"/>
        <w:spacing w:before="0" w:line="360" w:lineRule="auto"/>
        <w:ind w:right="0" w:rightChars="0"/>
        <w:textAlignment w:val="auto"/>
        <w:rPr>
          <w:rFonts w:hint="default"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4.2.3</w:t>
      </w:r>
      <w:r>
        <w:rPr>
          <w:rFonts w:hint="eastAsia" w:cs="宋体"/>
          <w:color w:val="auto"/>
          <w:highlight w:val="none"/>
          <w:lang w:val="en-US" w:eastAsia="zh-CN"/>
        </w:rPr>
        <w:t xml:space="preserve">  清除防沉降井盖上表面沥青混合料，并均匀放置在井盖周边，抬升井盖顶面高出沥青混合料松铺面20mm左右，向井盖传载板下方均匀填塞沥青混合料。</w:t>
      </w:r>
    </w:p>
    <w:p>
      <w:pPr>
        <w:pStyle w:val="5"/>
        <w:pageBreakBefore w:val="0"/>
        <w:kinsoku/>
        <w:wordWrap/>
        <w:overflowPunct/>
        <w:topLinePunct w:val="0"/>
        <w:bidi w:val="0"/>
        <w:adjustRightInd w:val="0"/>
        <w:snapToGrid w:val="0"/>
        <w:spacing w:before="0" w:line="360" w:lineRule="auto"/>
        <w:ind w:left="0" w:leftChars="0" w:right="0" w:rightChars="0" w:firstLine="0" w:firstLine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 xml:space="preserve">4.2.4 </w:t>
      </w:r>
      <w:r>
        <w:rPr>
          <w:rFonts w:hint="eastAsia" w:cs="宋体"/>
          <w:color w:val="auto"/>
          <w:highlight w:val="none"/>
          <w:lang w:val="en-US" w:eastAsia="zh-CN"/>
        </w:rPr>
        <w:t xml:space="preserve"> 抬升井盖施工也可采用护筒施工方法：</w:t>
      </w:r>
    </w:p>
    <w:p>
      <w:pPr>
        <w:pStyle w:val="5"/>
        <w:pageBreakBefore w:val="0"/>
        <w:numPr>
          <w:ilvl w:val="0"/>
          <w:numId w:val="0"/>
        </w:numPr>
        <w:kinsoku/>
        <w:wordWrap/>
        <w:overflowPunct/>
        <w:topLinePunct w:val="0"/>
        <w:bidi w:val="0"/>
        <w:adjustRightInd w:val="0"/>
        <w:snapToGrid w:val="0"/>
        <w:spacing w:before="0" w:line="360" w:lineRule="auto"/>
        <w:ind w:right="0" w:rightChars="0" w:firstLine="482" w:firstLineChars="200"/>
        <w:textAlignment w:val="auto"/>
        <w:rPr>
          <w:rFonts w:hint="default"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1</w:t>
      </w:r>
      <w:r>
        <w:rPr>
          <w:rFonts w:hint="eastAsia" w:cs="宋体"/>
          <w:color w:val="auto"/>
          <w:highlight w:val="none"/>
          <w:lang w:val="en-US" w:eastAsia="zh-CN"/>
        </w:rPr>
        <w:t xml:space="preserve">  沥青摊铺后，清除防沉降井盖上方沥青混合料，取出井盖；</w:t>
      </w:r>
    </w:p>
    <w:p>
      <w:pPr>
        <w:pStyle w:val="5"/>
        <w:pageBreakBefore w:val="0"/>
        <w:numPr>
          <w:ilvl w:val="0"/>
          <w:numId w:val="0"/>
        </w:numPr>
        <w:kinsoku/>
        <w:wordWrap/>
        <w:overflowPunct/>
        <w:topLinePunct w:val="0"/>
        <w:bidi w:val="0"/>
        <w:adjustRightInd w:val="0"/>
        <w:snapToGrid w:val="0"/>
        <w:spacing w:before="0" w:line="360" w:lineRule="auto"/>
        <w:ind w:right="0" w:rightChars="0" w:firstLine="482" w:firstLineChars="200"/>
        <w:textAlignment w:val="auto"/>
        <w:rPr>
          <w:rFonts w:hint="default"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2</w:t>
      </w:r>
      <w:r>
        <w:rPr>
          <w:rFonts w:hint="eastAsia" w:cs="宋体"/>
          <w:color w:val="auto"/>
          <w:highlight w:val="none"/>
          <w:lang w:val="en-US" w:eastAsia="zh-CN"/>
        </w:rPr>
        <w:t xml:space="preserve">  安放护筒、护筒周边均匀布设沥青混合料至沥青松铺面。取出护筒、安放井盖。护筒操作应符合本规程4.3.1第3款的规定。</w:t>
      </w:r>
    </w:p>
    <w:p>
      <w:pPr>
        <w:pStyle w:val="5"/>
        <w:pageBreakBefore w:val="0"/>
        <w:kinsoku/>
        <w:wordWrap/>
        <w:overflowPunct/>
        <w:topLinePunct w:val="0"/>
        <w:bidi w:val="0"/>
        <w:adjustRightInd w:val="0"/>
        <w:snapToGrid w:val="0"/>
        <w:spacing w:before="0" w:line="360" w:lineRule="auto"/>
        <w:ind w:left="0" w:leftChars="0" w:right="0" w:rightChars="0" w:firstLine="0" w:firstLine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 xml:space="preserve">4.2.5 </w:t>
      </w:r>
      <w:r>
        <w:rPr>
          <w:rFonts w:hint="eastAsia"/>
          <w:color w:val="auto"/>
          <w:highlight w:val="none"/>
          <w:lang w:val="en-US" w:eastAsia="zh-CN"/>
        </w:rPr>
        <w:t xml:space="preserve"> </w:t>
      </w:r>
      <w:r>
        <w:rPr>
          <w:rFonts w:hint="eastAsia"/>
          <w:color w:val="auto"/>
          <w:highlight w:val="none"/>
          <w:lang w:eastAsia="zh-CN"/>
        </w:rPr>
        <w:t>防沉降</w:t>
      </w:r>
      <w:r>
        <w:rPr>
          <w:rFonts w:hint="eastAsia" w:cs="宋体"/>
          <w:color w:val="auto"/>
          <w:highlight w:val="none"/>
          <w:lang w:eastAsia="zh-CN"/>
        </w:rPr>
        <w:t>井盖</w:t>
      </w:r>
      <w:r>
        <w:rPr>
          <w:rFonts w:hint="eastAsia" w:cs="宋体"/>
          <w:color w:val="auto"/>
          <w:highlight w:val="none"/>
          <w:lang w:val="en-US" w:eastAsia="zh-CN"/>
        </w:rPr>
        <w:t>抬升就位、表面清理干净后，整平井盖周边沥青混合料并进行碾压，碾压要求应符合本规程4.3.1第4款、第5款的规定。</w:t>
      </w:r>
    </w:p>
    <w:p>
      <w:pPr>
        <w:pStyle w:val="5"/>
        <w:pageBreakBefore w:val="0"/>
        <w:kinsoku/>
        <w:wordWrap/>
        <w:overflowPunct/>
        <w:topLinePunct w:val="0"/>
        <w:bidi w:val="0"/>
        <w:adjustRightInd w:val="0"/>
        <w:snapToGrid w:val="0"/>
        <w:spacing w:before="0" w:line="360" w:lineRule="auto"/>
        <w:ind w:left="0" w:leftChars="0" w:right="0" w:rightChars="0" w:firstLine="0" w:firstLineChars="0"/>
        <w:textAlignment w:val="auto"/>
        <w:rPr>
          <w:rFonts w:hint="default"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4.2.6</w:t>
      </w:r>
      <w:r>
        <w:rPr>
          <w:rFonts w:hint="eastAsia" w:cs="宋体"/>
          <w:color w:val="auto"/>
          <w:highlight w:val="none"/>
          <w:lang w:val="en-US" w:eastAsia="zh-CN"/>
        </w:rPr>
        <w:t xml:space="preserve">  </w:t>
      </w:r>
      <w:r>
        <w:rPr>
          <w:rFonts w:hint="eastAsia" w:cs="宋体"/>
          <w:color w:val="auto"/>
          <w:highlight w:val="none"/>
          <w:lang w:eastAsia="zh-CN"/>
        </w:rPr>
        <w:t>沥青混合料摊铺后，清除</w:t>
      </w:r>
      <w:r>
        <w:rPr>
          <w:rFonts w:hint="eastAsia"/>
          <w:color w:val="auto"/>
          <w:highlight w:val="none"/>
          <w:lang w:eastAsia="zh-CN"/>
        </w:rPr>
        <w:t>防沉降</w:t>
      </w:r>
      <w:r>
        <w:rPr>
          <w:rFonts w:hint="eastAsia" w:cs="宋体"/>
          <w:color w:val="auto"/>
          <w:highlight w:val="none"/>
          <w:lang w:eastAsia="zh-CN"/>
        </w:rPr>
        <w:t>井盖上表面沥青混合料、抬升井盖、</w:t>
      </w:r>
      <w:r>
        <w:rPr>
          <w:rFonts w:hint="eastAsia" w:ascii="宋体" w:hAnsi="宋体" w:eastAsia="宋体" w:cstheme="minorBidi"/>
          <w:color w:val="auto"/>
          <w:kern w:val="0"/>
          <w:sz w:val="24"/>
          <w:szCs w:val="24"/>
          <w:highlight w:val="none"/>
          <w:lang w:val="en-US" w:eastAsia="zh-CN" w:bidi="ar-SA"/>
        </w:rPr>
        <w:t>井盖</w:t>
      </w:r>
      <w:r>
        <w:rPr>
          <w:rFonts w:hint="eastAsia" w:cs="宋体"/>
          <w:color w:val="auto"/>
          <w:highlight w:val="none"/>
          <w:lang w:val="en-US" w:eastAsia="zh-CN"/>
        </w:rPr>
        <w:t>传载板下方布</w:t>
      </w:r>
      <w:r>
        <w:rPr>
          <w:rFonts w:hint="eastAsia" w:cs="宋体"/>
          <w:color w:val="auto"/>
          <w:highlight w:val="none"/>
          <w:lang w:eastAsia="zh-CN"/>
        </w:rPr>
        <w:t>料、整平</w:t>
      </w:r>
      <w:r>
        <w:rPr>
          <w:rFonts w:hint="eastAsia" w:ascii="宋体" w:hAnsi="宋体" w:eastAsia="宋体" w:cstheme="minorBidi"/>
          <w:color w:val="auto"/>
          <w:kern w:val="0"/>
          <w:sz w:val="24"/>
          <w:szCs w:val="24"/>
          <w:highlight w:val="none"/>
          <w:lang w:val="en-US" w:eastAsia="zh-CN" w:bidi="ar-SA"/>
        </w:rPr>
        <w:t>井盖周边沥青混合料</w:t>
      </w:r>
      <w:r>
        <w:rPr>
          <w:rFonts w:hint="eastAsia" w:cs="宋体"/>
          <w:color w:val="auto"/>
          <w:highlight w:val="none"/>
          <w:lang w:eastAsia="zh-CN"/>
        </w:rPr>
        <w:t>等工序应紧密衔接。</w:t>
      </w:r>
    </w:p>
    <w:p>
      <w:pPr>
        <w:pStyle w:val="18"/>
        <w:keepNext w:val="0"/>
        <w:keepLines w:val="0"/>
        <w:pageBreakBefore w:val="0"/>
        <w:widowControl/>
        <w:shd w:val="clear" w:color="auto" w:fill="FFFFFF"/>
        <w:kinsoku/>
        <w:wordWrap/>
        <w:overflowPunct/>
        <w:topLinePunct w:val="0"/>
        <w:autoSpaceDE w:val="0"/>
        <w:autoSpaceDN w:val="0"/>
        <w:bidi w:val="0"/>
        <w:adjustRightInd/>
        <w:snapToGrid/>
        <w:spacing w:before="0" w:line="360" w:lineRule="auto"/>
        <w:ind w:left="0" w:leftChars="0" w:firstLine="0" w:firstLineChars="0"/>
        <w:textAlignment w:val="auto"/>
        <w:rPr>
          <w:rFonts w:hint="eastAsia"/>
          <w:color w:val="auto"/>
          <w:highlight w:val="none"/>
          <w:lang w:eastAsia="zh-CN"/>
        </w:rPr>
      </w:pPr>
      <w:r>
        <w:rPr>
          <w:rFonts w:hint="eastAsia" w:ascii="Times New Roman" w:cs="Times New Roman"/>
          <w:b/>
          <w:bCs/>
          <w:color w:val="auto"/>
          <w:kern w:val="2"/>
          <w:sz w:val="24"/>
          <w:szCs w:val="24"/>
          <w:highlight w:val="none"/>
          <w:lang w:val="en-US" w:eastAsia="zh-CN" w:bidi="ar-SA"/>
        </w:rPr>
        <w:t xml:space="preserve">4.2.7  </w:t>
      </w:r>
      <w:r>
        <w:rPr>
          <w:rFonts w:hint="eastAsia" w:ascii="宋体" w:hAnsi="宋体" w:eastAsia="宋体" w:cstheme="minorBidi"/>
          <w:color w:val="auto"/>
          <w:kern w:val="0"/>
          <w:sz w:val="24"/>
          <w:szCs w:val="24"/>
          <w:highlight w:val="none"/>
          <w:lang w:val="en-US" w:eastAsia="zh-CN" w:bidi="ar-SA"/>
        </w:rPr>
        <w:t>安装防沉降井盖施工过程中不应扰动井盖周边沥青混合料松铺面，避免影响井周道路整体平整度和观感质量。</w:t>
      </w:r>
    </w:p>
    <w:p>
      <w:pPr>
        <w:pStyle w:val="3"/>
        <w:pageBreakBefore w:val="0"/>
        <w:kinsoku/>
        <w:wordWrap/>
        <w:overflowPunct/>
        <w:topLinePunct w:val="0"/>
        <w:bidi w:val="0"/>
        <w:adjustRightInd w:val="0"/>
        <w:snapToGrid w:val="0"/>
        <w:spacing w:before="0" w:after="0" w:line="360" w:lineRule="auto"/>
        <w:ind w:left="0" w:leftChars="0" w:right="0" w:rightChars="0"/>
        <w:textAlignment w:val="auto"/>
        <w:rPr>
          <w:rFonts w:hint="eastAsia"/>
          <w:color w:val="auto"/>
          <w:sz w:val="24"/>
          <w:szCs w:val="24"/>
          <w:highlight w:val="none"/>
          <w:lang w:val="en-US" w:eastAsia="zh-CN"/>
        </w:rPr>
      </w:pPr>
      <w:bookmarkStart w:id="97" w:name="_Toc19180"/>
      <w:bookmarkStart w:id="98" w:name="_Toc3771"/>
      <w:bookmarkStart w:id="99" w:name="_Toc12410"/>
      <w:bookmarkStart w:id="100" w:name="_Toc722"/>
      <w:bookmarkStart w:id="101" w:name="_Toc30067"/>
      <w:bookmarkStart w:id="102" w:name="_Toc17217"/>
      <w:bookmarkStart w:id="103" w:name="_Toc11575"/>
      <w:bookmarkStart w:id="104" w:name="_Toc18611"/>
      <w:r>
        <w:rPr>
          <w:rFonts w:hint="eastAsia"/>
          <w:color w:val="auto"/>
          <w:sz w:val="24"/>
          <w:szCs w:val="24"/>
          <w:highlight w:val="none"/>
          <w:lang w:val="en-US" w:eastAsia="zh-CN"/>
        </w:rPr>
        <w:t xml:space="preserve">4.3  </w:t>
      </w:r>
      <w:bookmarkEnd w:id="97"/>
      <w:bookmarkEnd w:id="98"/>
      <w:bookmarkEnd w:id="99"/>
      <w:bookmarkEnd w:id="100"/>
      <w:bookmarkEnd w:id="101"/>
      <w:bookmarkEnd w:id="102"/>
      <w:bookmarkEnd w:id="103"/>
      <w:bookmarkEnd w:id="104"/>
      <w:r>
        <w:rPr>
          <w:rFonts w:hint="eastAsia" w:ascii="宋体" w:hAnsi="宋体" w:eastAsia="宋体" w:cs="宋体"/>
          <w:color w:val="auto"/>
          <w:sz w:val="24"/>
          <w:szCs w:val="24"/>
          <w:highlight w:val="none"/>
          <w:lang w:val="en-US" w:eastAsia="zh-CN"/>
        </w:rPr>
        <w:t>井盖更换及维修</w:t>
      </w:r>
    </w:p>
    <w:p>
      <w:pPr>
        <w:pageBreakBefore w:val="0"/>
        <w:kinsoku/>
        <w:wordWrap/>
        <w:overflowPunct/>
        <w:topLinePunct w:val="0"/>
        <w:bidi w:val="0"/>
        <w:adjustRightInd w:val="0"/>
        <w:snapToGrid w:val="0"/>
        <w:spacing w:line="360" w:lineRule="auto"/>
        <w:ind w:left="0" w:leftChars="0" w:right="0" w:rightChars="0"/>
        <w:jc w:val="left"/>
        <w:textAlignment w:val="auto"/>
        <w:rPr>
          <w:rFonts w:hint="eastAsia" w:hAnsi="宋体"/>
          <w:bCs/>
          <w:snapToGrid w:val="0"/>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4.3.1</w:t>
      </w:r>
      <w:r>
        <w:rPr>
          <w:rFonts w:hint="eastAsia" w:hAnsi="宋体" w:asciiTheme="minorHAnsi" w:eastAsiaTheme="minorEastAsia" w:cstheme="minorBidi"/>
          <w:bCs/>
          <w:snapToGrid w:val="0"/>
          <w:color w:val="auto"/>
          <w:kern w:val="2"/>
          <w:sz w:val="24"/>
          <w:szCs w:val="24"/>
          <w:highlight w:val="none"/>
          <w:lang w:val="en-US" w:eastAsia="zh-CN" w:bidi="ar-SA"/>
        </w:rPr>
        <w:t xml:space="preserve"> </w:t>
      </w:r>
      <w:r>
        <w:rPr>
          <w:rFonts w:hint="eastAsia" w:hAnsi="宋体" w:cstheme="minorBidi"/>
          <w:bCs/>
          <w:snapToGrid w:val="0"/>
          <w:color w:val="auto"/>
          <w:kern w:val="2"/>
          <w:sz w:val="24"/>
          <w:szCs w:val="24"/>
          <w:highlight w:val="none"/>
          <w:lang w:val="en-US" w:eastAsia="zh-CN" w:bidi="ar-SA"/>
        </w:rPr>
        <w:t xml:space="preserve"> 对老旧井盖、破损的或质量不合格的传统宽边井盖更换为</w:t>
      </w:r>
      <w:r>
        <w:rPr>
          <w:rFonts w:hint="eastAsia" w:hAnsi="宋体"/>
          <w:bCs/>
          <w:snapToGrid w:val="0"/>
          <w:color w:val="auto"/>
          <w:sz w:val="24"/>
          <w:highlight w:val="none"/>
        </w:rPr>
        <w:t>防沉降井盖</w:t>
      </w:r>
      <w:r>
        <w:rPr>
          <w:rFonts w:hint="eastAsia" w:hAnsi="宋体"/>
          <w:bCs/>
          <w:snapToGrid w:val="0"/>
          <w:color w:val="auto"/>
          <w:sz w:val="24"/>
          <w:highlight w:val="none"/>
          <w:lang w:val="en-US" w:eastAsia="zh-CN"/>
        </w:rPr>
        <w:t>工程，施工</w:t>
      </w:r>
      <w:r>
        <w:rPr>
          <w:rFonts w:hint="eastAsia" w:hAnsi="宋体"/>
          <w:bCs/>
          <w:snapToGrid w:val="0"/>
          <w:color w:val="auto"/>
          <w:sz w:val="24"/>
          <w:highlight w:val="none"/>
          <w:lang w:eastAsia="zh-CN"/>
        </w:rPr>
        <w:t>流程</w:t>
      </w:r>
      <w:r>
        <w:rPr>
          <w:rFonts w:hint="eastAsia" w:hAnsi="宋体"/>
          <w:bCs/>
          <w:snapToGrid w:val="0"/>
          <w:color w:val="auto"/>
          <w:sz w:val="24"/>
          <w:highlight w:val="none"/>
          <w:lang w:val="en-US" w:eastAsia="zh-CN"/>
        </w:rPr>
        <w:t>宜包括下列内容</w:t>
      </w:r>
      <w:r>
        <w:rPr>
          <w:rFonts w:hint="eastAsia" w:hAnsi="宋体"/>
          <w:b w:val="0"/>
          <w:bCs/>
          <w:snapToGrid w:val="0"/>
          <w:color w:val="auto"/>
          <w:sz w:val="24"/>
          <w:highlight w:val="none"/>
          <w:lang w:val="en-US" w:eastAsia="zh-CN"/>
        </w:rPr>
        <w:t>（图4.3.1）：</w:t>
      </w:r>
    </w:p>
    <w:p>
      <w:pPr>
        <w:pageBreakBefore w:val="0"/>
        <w:kinsoku/>
        <w:wordWrap/>
        <w:overflowPunct/>
        <w:topLinePunct w:val="0"/>
        <w:bidi w:val="0"/>
        <w:adjustRightInd w:val="0"/>
        <w:snapToGrid w:val="0"/>
        <w:spacing w:line="360" w:lineRule="auto"/>
        <w:ind w:left="0" w:leftChars="0" w:right="0" w:rightChars="0" w:firstLine="420" w:firstLineChars="200"/>
        <w:jc w:val="center"/>
        <w:textAlignment w:val="auto"/>
        <w:rPr>
          <w:rFonts w:hint="default" w:hAnsi="宋体" w:cstheme="minorBidi"/>
          <w:b/>
          <w:bCs w:val="0"/>
          <w:snapToGrid w:val="0"/>
          <w:color w:val="auto"/>
          <w:sz w:val="24"/>
          <w:szCs w:val="24"/>
          <w:highlight w:val="none"/>
          <w:lang w:val="en-US" w:eastAsia="zh-CN"/>
        </w:rPr>
      </w:pPr>
      <w:r>
        <w:drawing>
          <wp:inline distT="0" distB="0" distL="114300" distR="114300">
            <wp:extent cx="4049395" cy="5321935"/>
            <wp:effectExtent l="0" t="0" r="4445"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43"/>
                    <a:stretch>
                      <a:fillRect/>
                    </a:stretch>
                  </pic:blipFill>
                  <pic:spPr>
                    <a:xfrm>
                      <a:off x="0" y="0"/>
                      <a:ext cx="4049395" cy="5321935"/>
                    </a:xfrm>
                    <a:prstGeom prst="rect">
                      <a:avLst/>
                    </a:prstGeom>
                    <a:noFill/>
                    <a:ln>
                      <a:noFill/>
                    </a:ln>
                  </pic:spPr>
                </pic:pic>
              </a:graphicData>
            </a:graphic>
          </wp:inline>
        </w:drawing>
      </w:r>
    </w:p>
    <w:p>
      <w:pPr>
        <w:pageBreakBefore w:val="0"/>
        <w:kinsoku/>
        <w:wordWrap/>
        <w:overflowPunct/>
        <w:topLinePunct w:val="0"/>
        <w:bidi w:val="0"/>
        <w:adjustRightInd w:val="0"/>
        <w:snapToGrid w:val="0"/>
        <w:spacing w:line="360" w:lineRule="auto"/>
        <w:ind w:left="0" w:leftChars="0" w:right="0" w:rightChars="0" w:firstLine="422" w:firstLineChars="200"/>
        <w:jc w:val="center"/>
        <w:textAlignment w:val="auto"/>
        <w:rPr>
          <w:rFonts w:hint="default" w:hAnsi="宋体" w:cstheme="minorBidi"/>
          <w:b/>
          <w:bCs w:val="0"/>
          <w:snapToGrid w:val="0"/>
          <w:color w:val="auto"/>
          <w:sz w:val="24"/>
          <w:szCs w:val="24"/>
          <w:highlight w:val="none"/>
          <w:lang w:val="en-US" w:eastAsia="zh-CN"/>
        </w:rPr>
      </w:pPr>
      <w:r>
        <w:rPr>
          <w:rFonts w:hint="eastAsia" w:ascii="宋体" w:hAnsi="宋体" w:eastAsia="宋体" w:cs="宋体"/>
          <w:b/>
          <w:bCs w:val="0"/>
          <w:snapToGrid w:val="0"/>
          <w:color w:val="auto"/>
          <w:sz w:val="21"/>
          <w:szCs w:val="21"/>
          <w:highlight w:val="none"/>
          <w:lang w:val="en-US" w:eastAsia="zh-CN"/>
        </w:rPr>
        <w:t>图4.3.1  防沉降井盖更换施工流程图</w:t>
      </w:r>
    </w:p>
    <w:p>
      <w:pPr>
        <w:pStyle w:val="5"/>
        <w:pageBreakBefore w:val="0"/>
        <w:kinsoku/>
        <w:wordWrap/>
        <w:overflowPunct/>
        <w:topLinePunct w:val="0"/>
        <w:bidi w:val="0"/>
        <w:adjustRightInd w:val="0"/>
        <w:snapToGrid w:val="0"/>
        <w:spacing w:before="0" w:line="360" w:lineRule="auto"/>
        <w:ind w:left="0" w:leftChars="0" w:right="0" w:rightChars="0" w:firstLine="482" w:firstLineChars="200"/>
        <w:textAlignment w:val="auto"/>
        <w:rPr>
          <w:rFonts w:hint="eastAsia" w:cs="宋体"/>
          <w:color w:val="auto"/>
          <w:highlight w:val="none"/>
          <w:lang w:eastAsia="zh-CN"/>
        </w:rPr>
      </w:pPr>
      <w:r>
        <w:rPr>
          <w:rFonts w:hint="eastAsia" w:ascii="Times New Roman" w:cs="Times New Roman"/>
          <w:b/>
          <w:bCs/>
          <w:color w:val="auto"/>
          <w:kern w:val="2"/>
          <w:sz w:val="24"/>
          <w:szCs w:val="24"/>
          <w:highlight w:val="none"/>
          <w:lang w:val="en-US" w:eastAsia="zh-CN" w:bidi="ar-SA"/>
        </w:rPr>
        <w:t>1</w:t>
      </w:r>
      <w:r>
        <w:rPr>
          <w:rFonts w:hint="eastAsia" w:asciiTheme="minorHAnsi" w:eastAsiaTheme="minorEastAsia" w:cstheme="minorBidi"/>
          <w:bCs/>
          <w:snapToGrid w:val="0"/>
          <w:color w:val="auto"/>
          <w:kern w:val="2"/>
          <w:sz w:val="24"/>
          <w:szCs w:val="24"/>
          <w:highlight w:val="none"/>
          <w:lang w:val="en-US" w:eastAsia="zh-CN" w:bidi="ar-SA"/>
        </w:rPr>
        <w:t xml:space="preserve">  旧</w:t>
      </w:r>
      <w:r>
        <w:rPr>
          <w:rFonts w:hint="eastAsia"/>
          <w:color w:val="auto"/>
          <w:highlight w:val="none"/>
          <w:lang w:eastAsia="zh-CN"/>
        </w:rPr>
        <w:t>井盖破除包括划线确认破除范围、切缝、破除井周结构、取出旧井盖</w:t>
      </w:r>
      <w:r>
        <w:rPr>
          <w:rFonts w:hint="eastAsia" w:cs="宋体"/>
          <w:color w:val="auto"/>
          <w:highlight w:val="none"/>
          <w:lang w:eastAsia="zh-CN"/>
        </w:rPr>
        <w:t>：</w:t>
      </w:r>
    </w:p>
    <w:p>
      <w:pPr>
        <w:pStyle w:val="5"/>
        <w:pageBreakBefore w:val="0"/>
        <w:kinsoku/>
        <w:wordWrap/>
        <w:overflowPunct/>
        <w:topLinePunct w:val="0"/>
        <w:bidi w:val="0"/>
        <w:adjustRightInd w:val="0"/>
        <w:snapToGrid w:val="0"/>
        <w:spacing w:before="0" w:line="360" w:lineRule="auto"/>
        <w:ind w:left="1440" w:leftChars="456" w:right="0" w:rightChars="0" w:hanging="482" w:hangingChars="200"/>
        <w:textAlignment w:val="auto"/>
        <w:rPr>
          <w:rFonts w:hint="eastAsia" w:cs="宋体"/>
          <w:color w:val="auto"/>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1</w:t>
      </w:r>
      <w:r>
        <w:rPr>
          <w:rFonts w:hint="eastAsia" w:ascii="Times New Roman" w:cs="Times New Roman"/>
          <w:b/>
          <w:bCs/>
          <w:color w:val="auto"/>
          <w:kern w:val="2"/>
          <w:sz w:val="24"/>
          <w:szCs w:val="24"/>
          <w:highlight w:val="none"/>
          <w:lang w:val="en-US" w:eastAsia="zh-CN" w:bidi="ar-SA"/>
        </w:rPr>
        <w:t>）</w:t>
      </w:r>
      <w:r>
        <w:rPr>
          <w:rFonts w:hint="eastAsia" w:cs="宋体"/>
          <w:color w:val="auto"/>
          <w:highlight w:val="none"/>
          <w:lang w:val="en-US" w:eastAsia="zh-CN"/>
        </w:rPr>
        <w:t xml:space="preserve"> 破除范围应根据井周的沉降变形大小及面层破损情况，采用靠尺等测量划线确定，将沉降变形量大于5mm或破损处全部破除。</w:t>
      </w:r>
    </w:p>
    <w:p>
      <w:pPr>
        <w:pStyle w:val="5"/>
        <w:pageBreakBefore w:val="0"/>
        <w:kinsoku/>
        <w:wordWrap/>
        <w:overflowPunct/>
        <w:topLinePunct w:val="0"/>
        <w:bidi w:val="0"/>
        <w:adjustRightInd w:val="0"/>
        <w:snapToGrid w:val="0"/>
        <w:spacing w:before="0" w:line="360" w:lineRule="auto"/>
        <w:ind w:left="1199" w:leftChars="456" w:right="0" w:rightChars="0" w:hanging="241" w:hangingChars="100"/>
        <w:textAlignment w:val="auto"/>
        <w:rPr>
          <w:rFonts w:hint="eastAsia" w:cs="宋体"/>
          <w:color w:val="auto"/>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2</w:t>
      </w:r>
      <w:r>
        <w:rPr>
          <w:rFonts w:hint="eastAsia" w:ascii="Times New Roman" w:cs="Times New Roman"/>
          <w:b/>
          <w:bCs/>
          <w:color w:val="auto"/>
          <w:kern w:val="2"/>
          <w:sz w:val="24"/>
          <w:szCs w:val="24"/>
          <w:highlight w:val="none"/>
          <w:lang w:val="en-US" w:eastAsia="zh-CN" w:bidi="ar-SA"/>
        </w:rPr>
        <w:t>）</w:t>
      </w:r>
      <w:r>
        <w:rPr>
          <w:rFonts w:hint="eastAsia" w:cs="宋体"/>
          <w:color w:val="auto"/>
          <w:highlight w:val="none"/>
          <w:lang w:val="en-US" w:eastAsia="zh-CN"/>
        </w:rPr>
        <w:t xml:space="preserve"> 采用切割机对已确认的破除界面进行切缝，切缝时应洒水降尘，切缝深度应大于40mm。</w:t>
      </w:r>
    </w:p>
    <w:p>
      <w:pPr>
        <w:pStyle w:val="5"/>
        <w:pageBreakBefore w:val="0"/>
        <w:kinsoku/>
        <w:wordWrap/>
        <w:overflowPunct/>
        <w:topLinePunct w:val="0"/>
        <w:bidi w:val="0"/>
        <w:adjustRightInd w:val="0"/>
        <w:snapToGrid w:val="0"/>
        <w:spacing w:before="0" w:line="360" w:lineRule="auto"/>
        <w:ind w:left="0" w:leftChars="0" w:right="0" w:rightChars="0" w:firstLine="964" w:firstLineChars="400"/>
        <w:textAlignment w:val="auto"/>
        <w:rPr>
          <w:rFonts w:hint="eastAsia" w:cs="宋体"/>
          <w:color w:val="auto"/>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3</w:t>
      </w:r>
      <w:r>
        <w:rPr>
          <w:rFonts w:hint="eastAsia" w:ascii="Times New Roman" w:cs="Times New Roman"/>
          <w:b/>
          <w:bCs/>
          <w:color w:val="auto"/>
          <w:kern w:val="2"/>
          <w:sz w:val="24"/>
          <w:szCs w:val="24"/>
          <w:highlight w:val="none"/>
          <w:lang w:val="en-US" w:eastAsia="zh-CN" w:bidi="ar-SA"/>
        </w:rPr>
        <w:t>）</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cs="宋体"/>
          <w:color w:val="auto"/>
          <w:highlight w:val="none"/>
          <w:lang w:val="en-US" w:eastAsia="zh-CN"/>
        </w:rPr>
        <w:t>井周破碎可采用风镐、电镐或镐头破碎机，破除切割界面内的面层。</w:t>
      </w:r>
    </w:p>
    <w:p>
      <w:pPr>
        <w:pStyle w:val="5"/>
        <w:pageBreakBefore w:val="0"/>
        <w:kinsoku/>
        <w:wordWrap/>
        <w:overflowPunct/>
        <w:topLinePunct w:val="0"/>
        <w:bidi w:val="0"/>
        <w:adjustRightInd w:val="0"/>
        <w:snapToGrid w:val="0"/>
        <w:spacing w:before="0" w:line="360" w:lineRule="auto"/>
        <w:ind w:left="0" w:leftChars="0" w:right="0" w:rightChars="0" w:firstLine="964" w:firstLineChars="400"/>
        <w:textAlignment w:val="auto"/>
        <w:rPr>
          <w:rFonts w:hint="eastAsia" w:cs="宋体"/>
          <w:color w:val="auto"/>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4</w:t>
      </w:r>
      <w:r>
        <w:rPr>
          <w:rFonts w:hint="eastAsia" w:ascii="Times New Roman" w:cs="Times New Roman"/>
          <w:b/>
          <w:bCs/>
          <w:color w:val="auto"/>
          <w:kern w:val="2"/>
          <w:sz w:val="24"/>
          <w:szCs w:val="24"/>
          <w:highlight w:val="none"/>
          <w:lang w:val="en-US" w:eastAsia="zh-CN" w:bidi="ar-SA"/>
        </w:rPr>
        <w:t>）</w:t>
      </w:r>
      <w:r>
        <w:rPr>
          <w:rFonts w:hint="eastAsia" w:cs="宋体"/>
          <w:color w:val="auto"/>
          <w:highlight w:val="none"/>
          <w:lang w:val="en-US" w:eastAsia="zh-CN"/>
        </w:rPr>
        <w:t xml:space="preserve"> 检查基层结构情况，松散部位破除至完好结构界面。</w:t>
      </w:r>
    </w:p>
    <w:p>
      <w:pPr>
        <w:pStyle w:val="5"/>
        <w:pageBreakBefore w:val="0"/>
        <w:kinsoku/>
        <w:wordWrap/>
        <w:overflowPunct/>
        <w:topLinePunct w:val="0"/>
        <w:bidi w:val="0"/>
        <w:adjustRightInd w:val="0"/>
        <w:snapToGrid w:val="0"/>
        <w:spacing w:before="0" w:line="360" w:lineRule="auto"/>
        <w:ind w:left="1440" w:leftChars="456" w:right="0" w:rightChars="0" w:hanging="482" w:hangingChars="200"/>
        <w:textAlignment w:val="auto"/>
        <w:rPr>
          <w:rFonts w:hint="eastAsia" w:cs="宋体"/>
          <w:color w:val="auto"/>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5</w:t>
      </w:r>
      <w:r>
        <w:rPr>
          <w:rFonts w:hint="eastAsia" w:ascii="Times New Roman" w:cs="Times New Roman"/>
          <w:b/>
          <w:bCs/>
          <w:color w:val="auto"/>
          <w:kern w:val="2"/>
          <w:sz w:val="24"/>
          <w:szCs w:val="24"/>
          <w:highlight w:val="none"/>
          <w:lang w:val="en-US" w:eastAsia="zh-CN" w:bidi="ar-SA"/>
        </w:rPr>
        <w:t>）</w:t>
      </w:r>
      <w:r>
        <w:rPr>
          <w:rFonts w:hint="eastAsia" w:cs="宋体"/>
          <w:color w:val="auto"/>
          <w:highlight w:val="none"/>
          <w:lang w:val="en-US" w:eastAsia="zh-CN"/>
        </w:rPr>
        <w:t xml:space="preserve"> 井盖取出后应在井室内设置垃圾收集筐，收集施工破碎的垃圾并及时清理。</w:t>
      </w:r>
    </w:p>
    <w:p>
      <w:pPr>
        <w:pStyle w:val="5"/>
        <w:keepNext w:val="0"/>
        <w:keepLines w:val="0"/>
        <w:pageBreakBefore w:val="0"/>
        <w:widowControl w:val="0"/>
        <w:kinsoku/>
        <w:wordWrap/>
        <w:overflowPunct/>
        <w:topLinePunct w:val="0"/>
        <w:autoSpaceDE/>
        <w:autoSpaceDN/>
        <w:bidi w:val="0"/>
        <w:adjustRightInd w:val="0"/>
        <w:snapToGrid w:val="0"/>
        <w:spacing w:before="0" w:line="360" w:lineRule="auto"/>
        <w:ind w:right="0" w:rightChars="0" w:firstLine="482" w:firstLineChars="20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2</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cs="宋体"/>
          <w:color w:val="auto"/>
          <w:highlight w:val="none"/>
          <w:lang w:val="en-US" w:eastAsia="zh-CN"/>
        </w:rPr>
        <w:t xml:space="preserve"> 卸载板、调节环安装或井孔处理：</w:t>
      </w:r>
    </w:p>
    <w:p>
      <w:pPr>
        <w:pStyle w:val="5"/>
        <w:keepNext w:val="0"/>
        <w:keepLines w:val="0"/>
        <w:pageBreakBefore w:val="0"/>
        <w:widowControl w:val="0"/>
        <w:numPr>
          <w:ilvl w:val="0"/>
          <w:numId w:val="11"/>
        </w:numPr>
        <w:kinsoku/>
        <w:wordWrap/>
        <w:overflowPunct/>
        <w:topLinePunct w:val="0"/>
        <w:autoSpaceDE/>
        <w:autoSpaceDN/>
        <w:bidi w:val="0"/>
        <w:adjustRightInd w:val="0"/>
        <w:snapToGrid w:val="0"/>
        <w:spacing w:before="0" w:line="360" w:lineRule="auto"/>
        <w:ind w:right="0" w:rightChars="0" w:firstLine="960" w:firstLineChars="400"/>
        <w:textAlignment w:val="auto"/>
        <w:rPr>
          <w:rFonts w:hint="eastAsia" w:cs="宋体"/>
          <w:color w:val="auto"/>
          <w:highlight w:val="none"/>
          <w:lang w:val="en-US" w:eastAsia="zh-CN"/>
        </w:rPr>
      </w:pPr>
      <w:r>
        <w:rPr>
          <w:rFonts w:hint="eastAsia"/>
          <w:color w:val="auto"/>
          <w:sz w:val="24"/>
          <w:highlight w:val="none"/>
          <w:lang w:val="en-US" w:eastAsia="zh-CN"/>
        </w:rPr>
        <w:t>井周有较大范围破损的，设置卸载板；</w:t>
      </w:r>
    </w:p>
    <w:p>
      <w:pPr>
        <w:pStyle w:val="5"/>
        <w:keepNext w:val="0"/>
        <w:keepLines w:val="0"/>
        <w:pageBreakBefore w:val="0"/>
        <w:widowControl w:val="0"/>
        <w:numPr>
          <w:ilvl w:val="0"/>
          <w:numId w:val="11"/>
        </w:numPr>
        <w:kinsoku/>
        <w:wordWrap/>
        <w:overflowPunct/>
        <w:topLinePunct w:val="0"/>
        <w:autoSpaceDE/>
        <w:autoSpaceDN/>
        <w:bidi w:val="0"/>
        <w:adjustRightInd w:val="0"/>
        <w:snapToGrid w:val="0"/>
        <w:spacing w:before="0" w:line="360" w:lineRule="auto"/>
        <w:ind w:right="0" w:rightChars="0" w:firstLine="960" w:firstLineChars="400"/>
        <w:textAlignment w:val="auto"/>
        <w:rPr>
          <w:rFonts w:hint="eastAsia" w:cs="宋体"/>
          <w:color w:val="auto"/>
          <w:highlight w:val="none"/>
          <w:lang w:val="en-US" w:eastAsia="zh-CN"/>
        </w:rPr>
      </w:pPr>
      <w:r>
        <w:rPr>
          <w:rFonts w:hint="eastAsia"/>
          <w:color w:val="auto"/>
          <w:sz w:val="24"/>
          <w:highlight w:val="none"/>
          <w:lang w:val="en-US" w:eastAsia="zh-CN"/>
        </w:rPr>
        <w:t xml:space="preserve">井孔尺寸大于防沉降井盖井圈筒体尺寸50mm～200mm的，设置调节  </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leftChars="400" w:right="0" w:rightChars="0" w:firstLine="720" w:firstLineChars="300"/>
        <w:textAlignment w:val="auto"/>
        <w:rPr>
          <w:rFonts w:hint="eastAsia"/>
          <w:color w:val="auto"/>
          <w:sz w:val="24"/>
          <w:highlight w:val="none"/>
          <w:lang w:val="en-US" w:eastAsia="zh-CN"/>
        </w:rPr>
      </w:pPr>
      <w:r>
        <w:rPr>
          <w:rFonts w:hint="eastAsia"/>
          <w:color w:val="auto"/>
          <w:sz w:val="24"/>
          <w:highlight w:val="none"/>
          <w:lang w:val="en-US" w:eastAsia="zh-CN"/>
        </w:rPr>
        <w:t>环；</w:t>
      </w:r>
    </w:p>
    <w:p>
      <w:pPr>
        <w:pStyle w:val="5"/>
        <w:keepNext w:val="0"/>
        <w:keepLines w:val="0"/>
        <w:pageBreakBefore w:val="0"/>
        <w:widowControl w:val="0"/>
        <w:numPr>
          <w:ilvl w:val="0"/>
          <w:numId w:val="11"/>
        </w:numPr>
        <w:kinsoku/>
        <w:wordWrap/>
        <w:overflowPunct/>
        <w:topLinePunct w:val="0"/>
        <w:autoSpaceDE/>
        <w:autoSpaceDN/>
        <w:bidi w:val="0"/>
        <w:adjustRightInd w:val="0"/>
        <w:snapToGrid w:val="0"/>
        <w:spacing w:before="0" w:line="360" w:lineRule="auto"/>
        <w:ind w:left="120" w:leftChars="0" w:right="0" w:rightChars="0" w:firstLine="960" w:firstLineChars="400"/>
        <w:textAlignment w:val="auto"/>
        <w:rPr>
          <w:rFonts w:hint="eastAsia" w:cs="宋体"/>
          <w:color w:val="auto"/>
          <w:highlight w:val="none"/>
          <w:lang w:val="en-US" w:eastAsia="zh-CN"/>
        </w:rPr>
      </w:pPr>
      <w:r>
        <w:rPr>
          <w:rFonts w:hint="eastAsia"/>
          <w:color w:val="auto"/>
          <w:sz w:val="24"/>
          <w:highlight w:val="none"/>
          <w:lang w:val="en-US" w:eastAsia="zh-CN"/>
        </w:rPr>
        <w:t>井孔尺寸小于防沉降井盖井圈筒体尺寸时，将井孔扩大。</w:t>
      </w:r>
      <w:r>
        <w:rPr>
          <w:rFonts w:hint="eastAsia" w:ascii="Times New Roman" w:cs="Times New Roman"/>
          <w:b/>
          <w:bCs/>
          <w:color w:val="auto"/>
          <w:kern w:val="2"/>
          <w:sz w:val="24"/>
          <w:szCs w:val="24"/>
          <w:highlight w:val="none"/>
          <w:lang w:val="en-US" w:eastAsia="zh-CN" w:bidi="ar-SA"/>
        </w:rPr>
        <w:t xml:space="preserve"> </w:t>
      </w:r>
    </w:p>
    <w:p>
      <w:pPr>
        <w:pStyle w:val="5"/>
        <w:keepNext w:val="0"/>
        <w:keepLines w:val="0"/>
        <w:pageBreakBefore w:val="0"/>
        <w:widowControl w:val="0"/>
        <w:numPr>
          <w:ilvl w:val="0"/>
          <w:numId w:val="11"/>
        </w:numPr>
        <w:kinsoku/>
        <w:wordWrap/>
        <w:overflowPunct/>
        <w:topLinePunct w:val="0"/>
        <w:autoSpaceDE/>
        <w:autoSpaceDN/>
        <w:bidi w:val="0"/>
        <w:adjustRightInd w:val="0"/>
        <w:snapToGrid w:val="0"/>
        <w:spacing w:before="0" w:line="360" w:lineRule="auto"/>
        <w:ind w:left="120" w:leftChars="0" w:right="0" w:rightChars="0" w:firstLine="960" w:firstLineChars="400"/>
        <w:textAlignment w:val="auto"/>
        <w:rPr>
          <w:rFonts w:hint="eastAsia" w:cs="宋体"/>
          <w:color w:val="auto"/>
          <w:highlight w:val="none"/>
          <w:lang w:val="en-US" w:eastAsia="zh-CN"/>
        </w:rPr>
      </w:pPr>
      <w:r>
        <w:rPr>
          <w:rFonts w:hint="eastAsia"/>
          <w:color w:val="auto"/>
          <w:sz w:val="24"/>
          <w:highlight w:val="none"/>
          <w:lang w:val="en-US" w:eastAsia="zh-CN"/>
        </w:rPr>
        <w:t xml:space="preserve">井孔尺寸与防沉降井盖井圈筒体尺寸相匹配时，可直接安装防沉降   </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leftChars="400" w:right="0" w:rightChars="0" w:firstLine="720" w:firstLineChars="300"/>
        <w:textAlignment w:val="auto"/>
        <w:rPr>
          <w:rFonts w:hint="eastAsia" w:cs="宋体"/>
          <w:color w:val="auto"/>
          <w:highlight w:val="none"/>
          <w:lang w:val="en-US" w:eastAsia="zh-CN"/>
        </w:rPr>
      </w:pPr>
      <w:r>
        <w:rPr>
          <w:rFonts w:hint="eastAsia"/>
          <w:color w:val="auto"/>
          <w:sz w:val="24"/>
          <w:highlight w:val="none"/>
          <w:lang w:val="en-US" w:eastAsia="zh-CN"/>
        </w:rPr>
        <w:t>井盖。</w:t>
      </w:r>
    </w:p>
    <w:p>
      <w:pPr>
        <w:pStyle w:val="5"/>
        <w:pageBreakBefore w:val="0"/>
        <w:kinsoku/>
        <w:wordWrap/>
        <w:overflowPunct/>
        <w:topLinePunct w:val="0"/>
        <w:bidi w:val="0"/>
        <w:adjustRightInd w:val="0"/>
        <w:snapToGrid w:val="0"/>
        <w:spacing w:before="0" w:line="360" w:lineRule="auto"/>
        <w:ind w:left="0" w:leftChars="0" w:right="0" w:rightChars="0" w:firstLine="482" w:firstLineChars="200"/>
        <w:textAlignment w:val="auto"/>
        <w:rPr>
          <w:rFonts w:hint="eastAsia" w:cs="宋体"/>
          <w:color w:val="auto"/>
          <w:highlight w:val="none"/>
          <w:lang w:eastAsia="zh-CN"/>
        </w:rPr>
      </w:pPr>
      <w:r>
        <w:rPr>
          <w:rFonts w:hint="eastAsia" w:ascii="Times New Roman" w:cs="Times New Roman"/>
          <w:b/>
          <w:bCs/>
          <w:color w:val="auto"/>
          <w:kern w:val="2"/>
          <w:sz w:val="24"/>
          <w:szCs w:val="24"/>
          <w:highlight w:val="none"/>
          <w:lang w:val="en-US" w:eastAsia="zh-CN" w:bidi="ar-SA"/>
        </w:rPr>
        <w:t>3</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cs="宋体"/>
          <w:color w:val="auto"/>
          <w:highlight w:val="none"/>
          <w:lang w:val="en-US" w:eastAsia="zh-CN"/>
        </w:rPr>
        <w:t xml:space="preserve"> 沥青铺筑包括安放</w:t>
      </w:r>
      <w:r>
        <w:rPr>
          <w:rFonts w:hint="eastAsia" w:cs="宋体"/>
          <w:color w:val="auto"/>
          <w:highlight w:val="none"/>
          <w:lang w:eastAsia="zh-CN"/>
        </w:rPr>
        <w:t>护筒、布设沥青混合料、取出护筒（</w:t>
      </w:r>
      <w:r>
        <w:rPr>
          <w:rFonts w:hint="eastAsia" w:cs="宋体"/>
          <w:color w:val="auto"/>
          <w:highlight w:val="none"/>
          <w:lang w:val="en-US" w:eastAsia="zh-CN"/>
        </w:rPr>
        <w:t>图4.3.1</w:t>
      </w:r>
      <w:r>
        <w:rPr>
          <w:rFonts w:hint="eastAsia" w:cs="宋体"/>
          <w:color w:val="auto"/>
          <w:highlight w:val="none"/>
          <w:lang w:eastAsia="zh-CN"/>
        </w:rPr>
        <w:t>）：</w:t>
      </w:r>
    </w:p>
    <w:p>
      <w:pPr>
        <w:pStyle w:val="5"/>
        <w:pageBreakBefore w:val="0"/>
        <w:numPr>
          <w:ilvl w:val="0"/>
          <w:numId w:val="0"/>
        </w:numPr>
        <w:tabs>
          <w:tab w:val="left" w:pos="931"/>
        </w:tabs>
        <w:kinsoku/>
        <w:wordWrap/>
        <w:overflowPunct/>
        <w:topLinePunct w:val="0"/>
        <w:bidi w:val="0"/>
        <w:adjustRightInd w:val="0"/>
        <w:snapToGrid w:val="0"/>
        <w:spacing w:before="0" w:line="360" w:lineRule="auto"/>
        <w:ind w:right="0" w:rightChars="0" w:firstLine="720" w:firstLineChars="300"/>
        <w:textAlignment w:val="auto"/>
        <w:rPr>
          <w:rFonts w:hint="default" w:cs="宋体"/>
          <w:color w:val="auto"/>
          <w:highlight w:val="none"/>
          <w:lang w:val="en-US" w:eastAsia="zh-CN"/>
        </w:rPr>
      </w:pPr>
      <w:r>
        <w:rPr>
          <w:rFonts w:hint="eastAsia" w:cs="宋体"/>
          <w:color w:val="auto"/>
          <w:highlight w:val="none"/>
          <w:lang w:val="en-US" w:eastAsia="zh-CN"/>
        </w:rPr>
        <w:t xml:space="preserve">   </w:t>
      </w:r>
      <w:r>
        <w:rPr>
          <w:rFonts w:hint="eastAsia" w:ascii="Times New Roman" w:cs="Times New Roman"/>
          <w:b/>
          <w:bCs/>
          <w:color w:val="auto"/>
          <w:kern w:val="2"/>
          <w:sz w:val="24"/>
          <w:szCs w:val="24"/>
          <w:highlight w:val="none"/>
          <w:lang w:val="en-US" w:eastAsia="zh-CN" w:bidi="ar-SA"/>
        </w:rPr>
        <w:t>1）</w:t>
      </w:r>
      <w:r>
        <w:rPr>
          <w:rFonts w:hint="eastAsia" w:cs="宋体"/>
          <w:color w:val="auto"/>
          <w:highlight w:val="none"/>
          <w:lang w:val="en-US" w:eastAsia="zh-CN"/>
        </w:rPr>
        <w:t xml:space="preserve"> 对沥青混合料摊铺界面涂抹乳化沥青；</w:t>
      </w:r>
    </w:p>
    <w:p>
      <w:pPr>
        <w:pStyle w:val="5"/>
        <w:pageBreakBefore w:val="0"/>
        <w:kinsoku/>
        <w:wordWrap/>
        <w:overflowPunct/>
        <w:topLinePunct w:val="0"/>
        <w:bidi w:val="0"/>
        <w:adjustRightInd w:val="0"/>
        <w:snapToGrid w:val="0"/>
        <w:spacing w:before="0" w:line="360" w:lineRule="auto"/>
        <w:ind w:left="1559" w:leftChars="513" w:right="0" w:rightChars="0" w:hanging="482" w:hangingChars="200"/>
        <w:textAlignment w:val="auto"/>
        <w:rPr>
          <w:rFonts w:hint="eastAsia" w:cs="宋体"/>
          <w:color w:val="auto"/>
          <w:highlight w:val="none"/>
          <w:lang w:eastAsia="zh-CN"/>
        </w:rPr>
      </w:pPr>
      <w:r>
        <w:rPr>
          <w:rFonts w:hint="eastAsia" w:ascii="Times New Roman" w:cs="Times New Roman"/>
          <w:b/>
          <w:bCs/>
          <w:color w:val="auto"/>
          <w:kern w:val="2"/>
          <w:sz w:val="24"/>
          <w:szCs w:val="24"/>
          <w:highlight w:val="none"/>
          <w:lang w:val="en-US" w:eastAsia="zh-CN" w:bidi="ar-SA"/>
        </w:rPr>
        <w:t>2）</w:t>
      </w:r>
      <w:r>
        <w:rPr>
          <w:rFonts w:hint="eastAsia" w:cs="宋体"/>
          <w:color w:val="auto"/>
          <w:highlight w:val="none"/>
          <w:lang w:val="en-US" w:eastAsia="zh-CN"/>
        </w:rPr>
        <w:t xml:space="preserve"> 护筒安放平整牢固，</w:t>
      </w:r>
      <w:r>
        <w:rPr>
          <w:rFonts w:hint="eastAsia" w:cs="宋体"/>
          <w:color w:val="auto"/>
          <w:highlight w:val="none"/>
          <w:lang w:eastAsia="zh-CN"/>
        </w:rPr>
        <w:t>中心线应与井孔中心重合并与道路路面垂直，外侧均匀涂抹隔离剂；</w:t>
      </w:r>
    </w:p>
    <w:p>
      <w:pPr>
        <w:pStyle w:val="5"/>
        <w:pageBreakBefore w:val="0"/>
        <w:kinsoku/>
        <w:wordWrap/>
        <w:overflowPunct/>
        <w:topLinePunct w:val="0"/>
        <w:bidi w:val="0"/>
        <w:adjustRightInd w:val="0"/>
        <w:snapToGrid w:val="0"/>
        <w:spacing w:before="0" w:line="360" w:lineRule="auto"/>
        <w:ind w:right="0" w:rightChars="0" w:firstLine="964" w:firstLineChars="400"/>
        <w:textAlignment w:val="auto"/>
        <w:rPr>
          <w:rFonts w:hint="default"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3）</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cs="宋体"/>
          <w:color w:val="auto"/>
          <w:highlight w:val="none"/>
          <w:lang w:val="en-US" w:eastAsia="zh-CN"/>
        </w:rPr>
        <w:t>布设沥青混合料应均匀对称并分层铺筑到松铺面；</w:t>
      </w:r>
    </w:p>
    <w:p>
      <w:pPr>
        <w:pStyle w:val="5"/>
        <w:pageBreakBefore w:val="0"/>
        <w:kinsoku/>
        <w:wordWrap/>
        <w:overflowPunct/>
        <w:topLinePunct w:val="0"/>
        <w:bidi w:val="0"/>
        <w:adjustRightInd w:val="0"/>
        <w:snapToGrid w:val="0"/>
        <w:spacing w:before="0" w:line="360" w:lineRule="auto"/>
        <w:ind w:left="1559" w:leftChars="513" w:right="0" w:rightChars="0" w:hanging="482" w:hangingChars="20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cs="宋体"/>
          <w:color w:val="auto"/>
          <w:highlight w:val="none"/>
          <w:lang w:val="en-US" w:eastAsia="zh-CN"/>
        </w:rPr>
        <w:t>沥青混合料稳定后取出护筒，护筒取出前应旋转松动，避免扰动周边沥青混合料。</w:t>
      </w:r>
    </w:p>
    <w:p>
      <w:pPr>
        <w:pStyle w:val="5"/>
        <w:pageBreakBefore w:val="0"/>
        <w:kinsoku/>
        <w:wordWrap/>
        <w:overflowPunct/>
        <w:topLinePunct w:val="0"/>
        <w:bidi w:val="0"/>
        <w:adjustRightInd w:val="0"/>
        <w:snapToGrid w:val="0"/>
        <w:spacing w:before="0" w:line="360" w:lineRule="auto"/>
        <w:ind w:left="1557" w:leftChars="513" w:right="0" w:rightChars="0" w:hanging="480" w:hangingChars="200"/>
        <w:textAlignment w:val="auto"/>
        <w:rPr>
          <w:color w:val="auto"/>
        </w:rPr>
      </w:pPr>
      <w:r>
        <w:rPr>
          <w:color w:val="auto"/>
        </w:rPr>
        <w:drawing>
          <wp:inline distT="0" distB="0" distL="114300" distR="114300">
            <wp:extent cx="4176395" cy="1345565"/>
            <wp:effectExtent l="0" t="0" r="14605"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44"/>
                    <a:srcRect t="12402"/>
                    <a:stretch>
                      <a:fillRect/>
                    </a:stretch>
                  </pic:blipFill>
                  <pic:spPr>
                    <a:xfrm>
                      <a:off x="0" y="0"/>
                      <a:ext cx="4176395" cy="1345565"/>
                    </a:xfrm>
                    <a:prstGeom prst="rect">
                      <a:avLst/>
                    </a:prstGeom>
                    <a:noFill/>
                    <a:ln>
                      <a:noFill/>
                    </a:ln>
                  </pic:spPr>
                </pic:pic>
              </a:graphicData>
            </a:graphic>
          </wp:inline>
        </w:drawing>
      </w:r>
    </w:p>
    <w:p>
      <w:pPr>
        <w:pStyle w:val="18"/>
        <w:keepLines w:val="0"/>
        <w:numPr>
          <w:ilvl w:val="0"/>
          <w:numId w:val="0"/>
        </w:numPr>
        <w:kinsoku/>
        <w:wordWrap/>
        <w:overflowPunct/>
        <w:topLinePunct w:val="0"/>
        <w:bidi w:val="0"/>
        <w:adjustRightInd w:val="0"/>
        <w:snapToGrid w:val="0"/>
        <w:spacing w:beforeAutospacing="0" w:afterAutospacing="0" w:line="360" w:lineRule="auto"/>
        <w:jc w:val="center"/>
        <w:textAlignment w:val="auto"/>
        <w:rPr>
          <w:rFonts w:hint="default"/>
          <w:color w:val="auto"/>
          <w:sz w:val="18"/>
          <w:szCs w:val="18"/>
          <w:highlight w:val="none"/>
          <w:lang w:val="en-US"/>
        </w:rPr>
      </w:pPr>
      <w:r>
        <w:rPr>
          <w:rFonts w:hint="eastAsia" w:ascii="宋体" w:hAnsi="宋体" w:eastAsia="宋体" w:cs="宋体"/>
          <w:b/>
          <w:bCs/>
          <w:color w:val="auto"/>
          <w:highlight w:val="none"/>
          <w:lang w:eastAsia="zh-CN"/>
        </w:rPr>
        <w:t>图</w:t>
      </w:r>
      <w:r>
        <w:rPr>
          <w:rFonts w:hint="eastAsia" w:hAnsi="宋体" w:cs="宋体"/>
          <w:b/>
          <w:bCs/>
          <w:color w:val="auto"/>
          <w:highlight w:val="none"/>
          <w:lang w:val="en-US" w:eastAsia="zh-CN"/>
        </w:rPr>
        <w:t>4.3.1</w:t>
      </w:r>
      <w:r>
        <w:rPr>
          <w:rFonts w:hint="eastAsia" w:ascii="宋体" w:hAnsi="宋体" w:eastAsia="宋体" w:cs="宋体"/>
          <w:b/>
          <w:bCs/>
          <w:color w:val="auto"/>
          <w:highlight w:val="none"/>
          <w:lang w:val="en-US" w:eastAsia="zh-CN"/>
        </w:rPr>
        <w:t xml:space="preserve">  </w:t>
      </w:r>
      <w:r>
        <w:rPr>
          <w:rFonts w:hint="eastAsia" w:hAnsi="宋体" w:cs="宋体"/>
          <w:b/>
          <w:bCs/>
          <w:color w:val="auto"/>
          <w:highlight w:val="none"/>
          <w:lang w:val="en-US" w:eastAsia="zh-CN"/>
        </w:rPr>
        <w:t>护筒施工示意图</w:t>
      </w:r>
    </w:p>
    <w:p>
      <w:pPr>
        <w:pStyle w:val="18"/>
        <w:keepLines w:val="0"/>
        <w:numPr>
          <w:ilvl w:val="0"/>
          <w:numId w:val="0"/>
        </w:numPr>
        <w:kinsoku/>
        <w:wordWrap/>
        <w:overflowPunct/>
        <w:topLinePunct w:val="0"/>
        <w:bidi w:val="0"/>
        <w:adjustRightInd w:val="0"/>
        <w:snapToGrid w:val="0"/>
        <w:spacing w:beforeAutospacing="0" w:afterAutospacing="0" w:line="360" w:lineRule="auto"/>
        <w:jc w:val="center"/>
        <w:textAlignment w:val="auto"/>
        <w:rPr>
          <w:rFonts w:hint="eastAsia"/>
          <w:color w:val="auto"/>
          <w:lang w:val="en-US" w:eastAsia="zh-CN"/>
        </w:rPr>
      </w:pPr>
      <w:r>
        <w:rPr>
          <w:rFonts w:hint="eastAsia"/>
          <w:color w:val="auto"/>
          <w:sz w:val="18"/>
          <w:szCs w:val="18"/>
          <w:highlight w:val="none"/>
          <w:lang w:val="en-US" w:eastAsia="zh-CN"/>
        </w:rPr>
        <w:t>1-井体</w:t>
      </w:r>
      <w:r>
        <w:rPr>
          <w:rFonts w:hint="eastAsia"/>
          <w:color w:val="auto"/>
          <w:sz w:val="18"/>
          <w:szCs w:val="18"/>
          <w:highlight w:val="none"/>
        </w:rPr>
        <w:t>；2-</w:t>
      </w:r>
      <w:r>
        <w:rPr>
          <w:rFonts w:hint="eastAsia"/>
          <w:color w:val="auto"/>
          <w:sz w:val="18"/>
          <w:szCs w:val="18"/>
          <w:highlight w:val="none"/>
          <w:lang w:val="en-US" w:eastAsia="zh-CN"/>
        </w:rPr>
        <w:t>卸载板或盖座</w:t>
      </w:r>
      <w:r>
        <w:rPr>
          <w:rFonts w:hint="eastAsia"/>
          <w:color w:val="auto"/>
          <w:sz w:val="18"/>
          <w:szCs w:val="18"/>
          <w:highlight w:val="none"/>
        </w:rPr>
        <w:t>；</w:t>
      </w:r>
      <w:r>
        <w:rPr>
          <w:rFonts w:hint="eastAsia"/>
          <w:color w:val="auto"/>
          <w:sz w:val="18"/>
          <w:szCs w:val="18"/>
          <w:highlight w:val="none"/>
          <w:lang w:val="en-US" w:eastAsia="zh-CN"/>
        </w:rPr>
        <w:t>3</w:t>
      </w:r>
      <w:r>
        <w:rPr>
          <w:rFonts w:hint="eastAsia"/>
          <w:color w:val="auto"/>
          <w:sz w:val="18"/>
          <w:szCs w:val="18"/>
          <w:highlight w:val="none"/>
        </w:rPr>
        <w:t>-</w:t>
      </w:r>
      <w:r>
        <w:rPr>
          <w:rFonts w:hint="eastAsia"/>
          <w:color w:val="auto"/>
          <w:sz w:val="18"/>
          <w:szCs w:val="18"/>
          <w:highlight w:val="none"/>
          <w:lang w:val="en-US" w:eastAsia="zh-CN"/>
        </w:rPr>
        <w:t>沥青混合料</w:t>
      </w:r>
      <w:r>
        <w:rPr>
          <w:rFonts w:hint="eastAsia"/>
          <w:color w:val="auto"/>
          <w:sz w:val="18"/>
          <w:szCs w:val="18"/>
          <w:highlight w:val="none"/>
        </w:rPr>
        <w:t>；</w:t>
      </w:r>
      <w:r>
        <w:rPr>
          <w:rFonts w:hint="eastAsia"/>
          <w:color w:val="auto"/>
          <w:sz w:val="18"/>
          <w:szCs w:val="18"/>
          <w:highlight w:val="none"/>
          <w:lang w:val="en-US" w:eastAsia="zh-CN"/>
        </w:rPr>
        <w:t>4</w:t>
      </w:r>
      <w:r>
        <w:rPr>
          <w:rFonts w:hint="eastAsia"/>
          <w:color w:val="auto"/>
          <w:sz w:val="18"/>
          <w:szCs w:val="18"/>
          <w:highlight w:val="none"/>
        </w:rPr>
        <w:t>-</w:t>
      </w:r>
      <w:r>
        <w:rPr>
          <w:rFonts w:hint="eastAsia"/>
          <w:color w:val="auto"/>
          <w:sz w:val="18"/>
          <w:szCs w:val="18"/>
          <w:highlight w:val="none"/>
          <w:lang w:val="en-US" w:eastAsia="zh-CN"/>
        </w:rPr>
        <w:t>护筒</w:t>
      </w:r>
      <w:r>
        <w:rPr>
          <w:rFonts w:hint="eastAsia"/>
          <w:color w:val="auto"/>
          <w:sz w:val="18"/>
          <w:szCs w:val="18"/>
          <w:highlight w:val="none"/>
        </w:rPr>
        <w:t>；</w:t>
      </w:r>
      <w:r>
        <w:rPr>
          <w:rFonts w:hint="eastAsia"/>
          <w:color w:val="auto"/>
          <w:sz w:val="18"/>
          <w:szCs w:val="18"/>
          <w:highlight w:val="none"/>
          <w:lang w:val="en-US" w:eastAsia="zh-CN"/>
        </w:rPr>
        <w:t>5</w:t>
      </w:r>
      <w:r>
        <w:rPr>
          <w:rFonts w:hint="eastAsia"/>
          <w:color w:val="auto"/>
          <w:sz w:val="18"/>
          <w:szCs w:val="18"/>
          <w:highlight w:val="none"/>
        </w:rPr>
        <w:t>-</w:t>
      </w:r>
      <w:r>
        <w:rPr>
          <w:rFonts w:hint="eastAsia"/>
          <w:color w:val="auto"/>
          <w:sz w:val="18"/>
          <w:szCs w:val="18"/>
          <w:highlight w:val="none"/>
          <w:lang w:val="en-US" w:eastAsia="zh-CN"/>
        </w:rPr>
        <w:t>沥青混凝土</w:t>
      </w:r>
      <w:r>
        <w:rPr>
          <w:rFonts w:hint="eastAsia"/>
          <w:color w:val="auto"/>
          <w:sz w:val="18"/>
          <w:szCs w:val="18"/>
          <w:highlight w:val="none"/>
        </w:rPr>
        <w:t>；</w:t>
      </w:r>
      <w:r>
        <w:rPr>
          <w:rFonts w:hint="eastAsia"/>
          <w:color w:val="auto"/>
          <w:sz w:val="18"/>
          <w:szCs w:val="18"/>
          <w:highlight w:val="none"/>
          <w:lang w:val="en-US" w:eastAsia="zh-CN"/>
        </w:rPr>
        <w:t>6</w:t>
      </w:r>
      <w:r>
        <w:rPr>
          <w:color w:val="auto"/>
          <w:sz w:val="18"/>
          <w:szCs w:val="18"/>
          <w:highlight w:val="none"/>
        </w:rPr>
        <w:t>-</w:t>
      </w:r>
      <w:r>
        <w:rPr>
          <w:rFonts w:hint="eastAsia"/>
          <w:color w:val="auto"/>
          <w:sz w:val="18"/>
          <w:szCs w:val="18"/>
          <w:highlight w:val="none"/>
          <w:lang w:val="en-US" w:eastAsia="zh-CN"/>
        </w:rPr>
        <w:t>分离带</w:t>
      </w:r>
    </w:p>
    <w:p>
      <w:pPr>
        <w:pStyle w:val="5"/>
        <w:pageBreakBefore w:val="0"/>
        <w:kinsoku/>
        <w:wordWrap/>
        <w:overflowPunct/>
        <w:topLinePunct w:val="0"/>
        <w:bidi w:val="0"/>
        <w:adjustRightInd w:val="0"/>
        <w:snapToGrid w:val="0"/>
        <w:spacing w:before="0" w:line="360" w:lineRule="auto"/>
        <w:ind w:left="961" w:leftChars="228" w:right="0" w:rightChars="0" w:hanging="482" w:hangingChars="20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 xml:space="preserve">4  </w:t>
      </w:r>
      <w:r>
        <w:rPr>
          <w:rFonts w:hint="eastAsia" w:hAnsi="宋体" w:asciiTheme="minorHAnsi" w:eastAsiaTheme="minorEastAsia" w:cstheme="minorBidi"/>
          <w:bCs/>
          <w:snapToGrid w:val="0"/>
          <w:color w:val="auto"/>
          <w:kern w:val="2"/>
          <w:sz w:val="24"/>
          <w:szCs w:val="24"/>
          <w:highlight w:val="none"/>
          <w:lang w:val="en-US" w:eastAsia="zh-CN" w:bidi="ar-SA"/>
        </w:rPr>
        <w:t xml:space="preserve"> </w:t>
      </w:r>
      <w:r>
        <w:rPr>
          <w:rFonts w:hint="eastAsia" w:cs="宋体"/>
          <w:color w:val="auto"/>
          <w:highlight w:val="none"/>
          <w:lang w:val="en-US" w:eastAsia="zh-CN"/>
        </w:rPr>
        <w:t>护筒取出后应及时安放防沉降井盖。安装的防沉降井盖为一体式时，应</w:t>
      </w:r>
    </w:p>
    <w:p>
      <w:pPr>
        <w:pStyle w:val="5"/>
        <w:pageBreakBefore w:val="0"/>
        <w:kinsoku/>
        <w:wordWrap/>
        <w:overflowPunct/>
        <w:topLinePunct w:val="0"/>
        <w:bidi w:val="0"/>
        <w:adjustRightInd w:val="0"/>
        <w:snapToGrid w:val="0"/>
        <w:spacing w:before="0" w:line="360" w:lineRule="auto"/>
        <w:ind w:left="0" w:leftChars="0" w:right="0" w:rightChars="0" w:firstLine="0" w:firstLineChars="0"/>
        <w:textAlignment w:val="auto"/>
        <w:rPr>
          <w:rFonts w:hint="eastAsia" w:eastAsia="楷体"/>
          <w:color w:val="auto"/>
          <w:sz w:val="21"/>
          <w:szCs w:val="21"/>
          <w:highlight w:val="none"/>
          <w:lang w:val="en-US" w:eastAsia="zh-CN"/>
        </w:rPr>
      </w:pPr>
      <w:r>
        <w:rPr>
          <w:rFonts w:hint="eastAsia" w:cs="宋体"/>
          <w:color w:val="auto"/>
          <w:highlight w:val="none"/>
          <w:lang w:val="en-US" w:eastAsia="zh-CN"/>
        </w:rPr>
        <w:t>将防沉降井盖铰链部位迎向来车方向。</w:t>
      </w:r>
      <w:r>
        <w:rPr>
          <w:rFonts w:hint="eastAsia"/>
          <w:color w:val="auto"/>
          <w:highlight w:val="none"/>
          <w:lang w:eastAsia="zh-CN"/>
        </w:rPr>
        <w:t>防沉降</w:t>
      </w:r>
      <w:r>
        <w:rPr>
          <w:rFonts w:hint="eastAsia" w:cs="宋体"/>
          <w:color w:val="auto"/>
          <w:highlight w:val="none"/>
          <w:lang w:eastAsia="zh-CN"/>
        </w:rPr>
        <w:t>井盖就位后，采用沥青混合料将</w:t>
      </w:r>
      <w:r>
        <w:rPr>
          <w:rFonts w:hint="eastAsia" w:cs="宋体"/>
          <w:color w:val="auto"/>
          <w:highlight w:val="none"/>
          <w:lang w:val="en-US" w:eastAsia="zh-CN"/>
        </w:rPr>
        <w:t>防沉降</w:t>
      </w:r>
      <w:r>
        <w:rPr>
          <w:rFonts w:hint="eastAsia" w:cs="宋体"/>
          <w:color w:val="auto"/>
          <w:highlight w:val="none"/>
          <w:lang w:eastAsia="zh-CN"/>
        </w:rPr>
        <w:t>井</w:t>
      </w:r>
      <w:r>
        <w:rPr>
          <w:rFonts w:hint="eastAsia" w:cs="宋体"/>
          <w:color w:val="auto"/>
          <w:highlight w:val="none"/>
          <w:lang w:val="en-US" w:eastAsia="zh-CN"/>
        </w:rPr>
        <w:t>盖</w:t>
      </w:r>
      <w:r>
        <w:rPr>
          <w:rFonts w:hint="eastAsia" w:cs="宋体"/>
          <w:color w:val="auto"/>
          <w:highlight w:val="none"/>
          <w:lang w:eastAsia="zh-CN"/>
        </w:rPr>
        <w:t>传载板侧面与沥青</w:t>
      </w:r>
      <w:r>
        <w:rPr>
          <w:rFonts w:hint="eastAsia" w:cs="宋体"/>
          <w:color w:val="auto"/>
          <w:highlight w:val="none"/>
          <w:lang w:val="en-US" w:eastAsia="zh-CN"/>
        </w:rPr>
        <w:t>混合料松铺</w:t>
      </w:r>
      <w:r>
        <w:rPr>
          <w:rFonts w:hint="eastAsia" w:cs="宋体"/>
          <w:color w:val="auto"/>
          <w:highlight w:val="none"/>
          <w:lang w:eastAsia="zh-CN"/>
        </w:rPr>
        <w:t>面形成的</w:t>
      </w:r>
      <w:r>
        <w:rPr>
          <w:rFonts w:hint="eastAsia" w:cs="宋体"/>
          <w:color w:val="auto"/>
          <w:highlight w:val="none"/>
          <w:lang w:val="en-US" w:eastAsia="zh-CN"/>
        </w:rPr>
        <w:t>阴</w:t>
      </w:r>
      <w:r>
        <w:rPr>
          <w:rFonts w:hint="eastAsia" w:cs="宋体"/>
          <w:color w:val="auto"/>
          <w:highlight w:val="none"/>
          <w:lang w:eastAsia="zh-CN"/>
        </w:rPr>
        <w:t>角区域填充饱满，并</w:t>
      </w:r>
      <w:r>
        <w:rPr>
          <w:rFonts w:hint="eastAsia" w:cs="宋体"/>
          <w:color w:val="auto"/>
          <w:highlight w:val="none"/>
          <w:lang w:val="en-US" w:eastAsia="zh-CN"/>
        </w:rPr>
        <w:t>由12T以上的钢轮振动压路机进行碾压。</w:t>
      </w:r>
    </w:p>
    <w:p>
      <w:pPr>
        <w:pStyle w:val="5"/>
        <w:pageBreakBefore w:val="0"/>
        <w:kinsoku/>
        <w:wordWrap/>
        <w:overflowPunct/>
        <w:topLinePunct w:val="0"/>
        <w:bidi w:val="0"/>
        <w:adjustRightInd w:val="0"/>
        <w:snapToGrid w:val="0"/>
        <w:spacing w:before="0" w:line="360" w:lineRule="auto"/>
        <w:ind w:left="239" w:leftChars="114" w:right="0" w:rightChars="0" w:firstLine="241" w:firstLineChars="10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5</w:t>
      </w:r>
      <w:r>
        <w:rPr>
          <w:rFonts w:hint="eastAsia" w:hAnsi="宋体" w:asciiTheme="minorHAnsi" w:eastAsiaTheme="minorEastAsia" w:cstheme="minorBidi"/>
          <w:bCs/>
          <w:snapToGrid w:val="0"/>
          <w:color w:val="auto"/>
          <w:kern w:val="2"/>
          <w:sz w:val="24"/>
          <w:szCs w:val="24"/>
          <w:highlight w:val="none"/>
          <w:lang w:val="en-US" w:eastAsia="zh-CN" w:bidi="ar-SA"/>
        </w:rPr>
        <w:t xml:space="preserve"> </w:t>
      </w:r>
      <w:r>
        <w:rPr>
          <w:rFonts w:hint="eastAsia" w:cs="宋体"/>
          <w:color w:val="auto"/>
          <w:highlight w:val="none"/>
          <w:lang w:val="en-US" w:eastAsia="zh-CN"/>
        </w:rPr>
        <w:t xml:space="preserve"> 碾压过程中，应检查防沉降井盖是否平整。井盖高出沥青混凝土面时，将</w:t>
      </w:r>
    </w:p>
    <w:p>
      <w:pPr>
        <w:pStyle w:val="5"/>
        <w:pageBreakBefore w:val="0"/>
        <w:kinsoku/>
        <w:wordWrap/>
        <w:overflowPunct/>
        <w:topLinePunct w:val="0"/>
        <w:bidi w:val="0"/>
        <w:adjustRightInd w:val="0"/>
        <w:snapToGrid w:val="0"/>
        <w:spacing w:before="0" w:line="360" w:lineRule="auto"/>
        <w:ind w:left="0" w:leftChars="0" w:right="0" w:rightChars="0" w:firstLine="0" w:firstLineChars="0"/>
        <w:textAlignment w:val="auto"/>
        <w:rPr>
          <w:rFonts w:hint="default" w:cs="宋体"/>
          <w:color w:val="auto"/>
          <w:highlight w:val="none"/>
          <w:lang w:val="en-US" w:eastAsia="zh-CN"/>
        </w:rPr>
      </w:pPr>
      <w:r>
        <w:rPr>
          <w:rFonts w:hint="eastAsia" w:cs="宋体"/>
          <w:color w:val="auto"/>
          <w:highlight w:val="none"/>
          <w:lang w:val="en-US" w:eastAsia="zh-CN"/>
        </w:rPr>
        <w:t>井盖提起并适当铲除井盖承载板下方沥青混合料；井盖低于沥青混凝土面时，则将下陷部位的井盖传载板撬起并填塞沥青混合料。通过反复调整、碾压，使防沉降井盖路框差满足本规程6.0.12的要求。</w:t>
      </w:r>
    </w:p>
    <w:p>
      <w:pPr>
        <w:pStyle w:val="5"/>
        <w:pageBreakBefore w:val="0"/>
        <w:widowControl w:val="0"/>
        <w:kinsoku/>
        <w:wordWrap/>
        <w:overflowPunct/>
        <w:topLinePunct w:val="0"/>
        <w:autoSpaceDE/>
        <w:autoSpaceDN/>
        <w:bidi w:val="0"/>
        <w:adjustRightInd w:val="0"/>
        <w:snapToGrid w:val="0"/>
        <w:spacing w:before="0" w:line="360" w:lineRule="auto"/>
        <w:ind w:left="0" w:leftChars="0" w:right="0" w:rightChars="0" w:firstLine="482" w:firstLineChars="200"/>
        <w:textAlignment w:val="auto"/>
        <w:rPr>
          <w:rFonts w:hint="eastAsia" w:cs="宋体"/>
          <w:color w:val="auto"/>
          <w:highlight w:val="none"/>
          <w:lang w:eastAsia="zh-CN"/>
        </w:rPr>
      </w:pPr>
      <w:r>
        <w:rPr>
          <w:rFonts w:hint="eastAsia" w:ascii="Times New Roman" w:cs="Times New Roman"/>
          <w:b/>
          <w:bCs/>
          <w:color w:val="auto"/>
          <w:kern w:val="2"/>
          <w:sz w:val="24"/>
          <w:szCs w:val="24"/>
          <w:highlight w:val="none"/>
          <w:lang w:val="en-US" w:eastAsia="zh-CN" w:bidi="ar-SA"/>
        </w:rPr>
        <w:t>6</w:t>
      </w:r>
      <w:r>
        <w:rPr>
          <w:rFonts w:hint="eastAsia" w:hAnsi="宋体" w:asciiTheme="minorHAnsi" w:eastAsiaTheme="minorEastAsia" w:cstheme="minorBidi"/>
          <w:bCs/>
          <w:snapToGrid w:val="0"/>
          <w:color w:val="auto"/>
          <w:kern w:val="2"/>
          <w:sz w:val="24"/>
          <w:szCs w:val="24"/>
          <w:highlight w:val="none"/>
          <w:lang w:val="en-US" w:eastAsia="zh-CN" w:bidi="ar-SA"/>
        </w:rPr>
        <w:t xml:space="preserve"> </w:t>
      </w:r>
      <w:r>
        <w:rPr>
          <w:rFonts w:hint="eastAsia" w:asciiTheme="minorHAnsi" w:eastAsiaTheme="minorEastAsia" w:cstheme="minorBidi"/>
          <w:bCs/>
          <w:snapToGrid w:val="0"/>
          <w:color w:val="auto"/>
          <w:kern w:val="2"/>
          <w:sz w:val="24"/>
          <w:szCs w:val="24"/>
          <w:highlight w:val="none"/>
          <w:lang w:val="en-US" w:eastAsia="zh-CN" w:bidi="ar-SA"/>
        </w:rPr>
        <w:t xml:space="preserve"> </w:t>
      </w:r>
      <w:r>
        <w:rPr>
          <w:rFonts w:hint="eastAsia"/>
          <w:color w:val="auto"/>
          <w:highlight w:val="none"/>
          <w:lang w:eastAsia="zh-CN"/>
        </w:rPr>
        <w:t>防沉降</w:t>
      </w:r>
      <w:r>
        <w:rPr>
          <w:rFonts w:hint="eastAsia" w:cs="宋体"/>
          <w:color w:val="auto"/>
          <w:highlight w:val="none"/>
          <w:lang w:eastAsia="zh-CN"/>
        </w:rPr>
        <w:t>井盖顶面沥青混合料应清除干净，无残留。</w:t>
      </w:r>
    </w:p>
    <w:p>
      <w:pPr>
        <w:pStyle w:val="5"/>
        <w:pageBreakBefore w:val="0"/>
        <w:widowControl w:val="0"/>
        <w:kinsoku/>
        <w:wordWrap/>
        <w:overflowPunct/>
        <w:topLinePunct w:val="0"/>
        <w:autoSpaceDE/>
        <w:autoSpaceDN/>
        <w:bidi w:val="0"/>
        <w:adjustRightInd w:val="0"/>
        <w:snapToGrid w:val="0"/>
        <w:spacing w:before="0" w:line="360" w:lineRule="auto"/>
        <w:ind w:left="0" w:leftChars="0" w:right="0" w:rightChars="0" w:firstLine="0" w:firstLineChars="0"/>
        <w:textAlignment w:val="auto"/>
        <w:rPr>
          <w:rFonts w:hint="eastAsia" w:eastAsia="楷体"/>
          <w:color w:val="auto"/>
          <w:sz w:val="21"/>
          <w:szCs w:val="21"/>
          <w:highlight w:val="none"/>
          <w:lang w:val="en-US" w:eastAsia="zh-CN"/>
        </w:rPr>
      </w:pPr>
      <w:r>
        <w:rPr>
          <w:rFonts w:hint="eastAsia" w:eastAsia="楷体"/>
          <w:color w:val="auto"/>
          <w:sz w:val="21"/>
          <w:szCs w:val="21"/>
          <w:highlight w:val="none"/>
          <w:lang w:val="en-US" w:eastAsia="zh-CN"/>
        </w:rPr>
        <w:t>【条文说明】4.2.1  本条对老旧井盖、破损的或质量不合格的传统宽边井盖更换为防沉降井盖工程的方法及质量要求作出规定。</w:t>
      </w:r>
    </w:p>
    <w:p>
      <w:pPr>
        <w:pStyle w:val="5"/>
        <w:pageBreakBefore w:val="0"/>
        <w:widowControl w:val="0"/>
        <w:kinsoku/>
        <w:wordWrap/>
        <w:overflowPunct/>
        <w:topLinePunct w:val="0"/>
        <w:autoSpaceDE/>
        <w:autoSpaceDN/>
        <w:bidi w:val="0"/>
        <w:adjustRightInd w:val="0"/>
        <w:snapToGrid w:val="0"/>
        <w:spacing w:before="0" w:line="360" w:lineRule="auto"/>
        <w:ind w:left="0" w:leftChars="0" w:right="0" w:rightChars="0" w:firstLine="420" w:firstLineChars="200"/>
        <w:textAlignment w:val="auto"/>
        <w:rPr>
          <w:rFonts w:hint="eastAsia" w:eastAsia="楷体"/>
          <w:color w:val="auto"/>
          <w:sz w:val="21"/>
          <w:szCs w:val="21"/>
          <w:highlight w:val="none"/>
          <w:lang w:val="en-US" w:eastAsia="zh-CN"/>
        </w:rPr>
      </w:pPr>
      <w:r>
        <w:rPr>
          <w:rFonts w:hint="eastAsia" w:eastAsia="楷体"/>
          <w:color w:val="auto"/>
          <w:sz w:val="21"/>
          <w:szCs w:val="21"/>
          <w:highlight w:val="none"/>
          <w:lang w:val="en-US" w:eastAsia="zh-CN"/>
        </w:rPr>
        <w:t>3  隔离剂用量适当是指涂抹无遗漏区域，用量应覆盖均匀不流淌。</w:t>
      </w:r>
    </w:p>
    <w:p>
      <w:pPr>
        <w:pStyle w:val="5"/>
        <w:pageBreakBefore w:val="0"/>
        <w:widowControl w:val="0"/>
        <w:kinsoku/>
        <w:wordWrap/>
        <w:overflowPunct/>
        <w:topLinePunct w:val="0"/>
        <w:autoSpaceDE/>
        <w:autoSpaceDN/>
        <w:bidi w:val="0"/>
        <w:adjustRightInd w:val="0"/>
        <w:snapToGrid w:val="0"/>
        <w:spacing w:before="0" w:line="360" w:lineRule="auto"/>
        <w:ind w:left="0" w:leftChars="0" w:right="0" w:rightChars="0" w:firstLine="420" w:firstLineChars="200"/>
        <w:textAlignment w:val="auto"/>
        <w:rPr>
          <w:rFonts w:hint="eastAsia" w:cs="宋体"/>
          <w:color w:val="auto"/>
          <w:highlight w:val="none"/>
          <w:lang w:eastAsia="zh-CN"/>
        </w:rPr>
      </w:pPr>
      <w:r>
        <w:rPr>
          <w:rFonts w:hint="eastAsia" w:eastAsia="楷体"/>
          <w:color w:val="auto"/>
          <w:sz w:val="21"/>
          <w:szCs w:val="21"/>
          <w:highlight w:val="none"/>
          <w:lang w:val="en-US" w:eastAsia="zh-CN"/>
        </w:rPr>
        <w:t>4  来车方向指开放交通后车向井盖行驶来的方向，铰链方向安装错误，车辆通行时，容易引起井盖噪声及损坏。</w:t>
      </w:r>
    </w:p>
    <w:p>
      <w:pPr>
        <w:pageBreakBefore w:val="0"/>
        <w:kinsoku/>
        <w:wordWrap/>
        <w:overflowPunct/>
        <w:topLinePunct w:val="0"/>
        <w:bidi w:val="0"/>
        <w:adjustRightInd w:val="0"/>
        <w:snapToGrid w:val="0"/>
        <w:spacing w:line="360" w:lineRule="auto"/>
        <w:ind w:left="0" w:leftChars="0" w:right="0" w:rightChars="0"/>
        <w:jc w:val="left"/>
        <w:textAlignment w:val="auto"/>
        <w:rPr>
          <w:rFonts w:hint="eastAsia" w:hAnsi="宋体"/>
          <w:bCs/>
          <w:snapToGrid w:val="0"/>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4.3.2</w:t>
      </w:r>
      <w:r>
        <w:rPr>
          <w:rFonts w:hint="eastAsia" w:hAnsi="宋体" w:asciiTheme="minorHAnsi" w:eastAsiaTheme="minorEastAsia" w:cstheme="minorBidi"/>
          <w:bCs/>
          <w:snapToGrid w:val="0"/>
          <w:color w:val="auto"/>
          <w:kern w:val="2"/>
          <w:sz w:val="24"/>
          <w:szCs w:val="24"/>
          <w:highlight w:val="none"/>
          <w:lang w:val="en-US" w:eastAsia="zh-CN" w:bidi="ar-SA"/>
        </w:rPr>
        <w:t xml:space="preserve"> </w:t>
      </w:r>
      <w:r>
        <w:rPr>
          <w:rFonts w:hint="eastAsia" w:hAnsi="宋体" w:cstheme="minorBidi"/>
          <w:bCs/>
          <w:snapToGrid w:val="0"/>
          <w:color w:val="auto"/>
          <w:kern w:val="2"/>
          <w:sz w:val="24"/>
          <w:szCs w:val="24"/>
          <w:highlight w:val="none"/>
          <w:lang w:val="en-US" w:eastAsia="zh-CN" w:bidi="ar-SA"/>
        </w:rPr>
        <w:t xml:space="preserve"> 传统宽边井盖防沉降改造</w:t>
      </w:r>
      <w:r>
        <w:rPr>
          <w:rFonts w:hint="eastAsia" w:hAnsi="宋体"/>
          <w:bCs/>
          <w:snapToGrid w:val="0"/>
          <w:color w:val="auto"/>
          <w:sz w:val="24"/>
          <w:highlight w:val="none"/>
          <w:lang w:val="en-US" w:eastAsia="zh-CN"/>
        </w:rPr>
        <w:t>，</w:t>
      </w:r>
      <w:r>
        <w:rPr>
          <w:rFonts w:hint="eastAsia" w:hAnsi="宋体"/>
          <w:bCs/>
          <w:snapToGrid w:val="0"/>
          <w:color w:val="auto"/>
          <w:sz w:val="24"/>
          <w:highlight w:val="none"/>
          <w:lang w:eastAsia="zh-CN"/>
        </w:rPr>
        <w:t>流程</w:t>
      </w:r>
      <w:r>
        <w:rPr>
          <w:rFonts w:hint="eastAsia" w:hAnsi="宋体"/>
          <w:bCs/>
          <w:snapToGrid w:val="0"/>
          <w:color w:val="auto"/>
          <w:sz w:val="24"/>
          <w:highlight w:val="none"/>
          <w:lang w:val="en-US" w:eastAsia="zh-CN"/>
        </w:rPr>
        <w:t>宜包括下列内容（图4.3.2）：</w:t>
      </w:r>
    </w:p>
    <w:p>
      <w:pPr>
        <w:pageBreakBefore w:val="0"/>
        <w:kinsoku/>
        <w:wordWrap/>
        <w:overflowPunct/>
        <w:topLinePunct w:val="0"/>
        <w:bidi w:val="0"/>
        <w:adjustRightInd w:val="0"/>
        <w:snapToGrid w:val="0"/>
        <w:spacing w:line="360" w:lineRule="auto"/>
        <w:ind w:left="0" w:leftChars="0" w:right="0" w:rightChars="0"/>
        <w:jc w:val="center"/>
        <w:textAlignment w:val="auto"/>
        <w:rPr>
          <w:color w:val="auto"/>
          <w:highlight w:val="none"/>
        </w:rPr>
      </w:pPr>
      <w:r>
        <w:rPr>
          <w:color w:val="auto"/>
        </w:rPr>
        <w:drawing>
          <wp:inline distT="0" distB="0" distL="114300" distR="114300">
            <wp:extent cx="4036060" cy="4769485"/>
            <wp:effectExtent l="0" t="0" r="254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5"/>
                    <a:stretch>
                      <a:fillRect/>
                    </a:stretch>
                  </pic:blipFill>
                  <pic:spPr>
                    <a:xfrm>
                      <a:off x="0" y="0"/>
                      <a:ext cx="4036060" cy="4769485"/>
                    </a:xfrm>
                    <a:prstGeom prst="rect">
                      <a:avLst/>
                    </a:prstGeom>
                    <a:noFill/>
                    <a:ln>
                      <a:noFill/>
                    </a:ln>
                  </pic:spPr>
                </pic:pic>
              </a:graphicData>
            </a:graphic>
          </wp:inline>
        </w:drawing>
      </w:r>
    </w:p>
    <w:p>
      <w:pPr>
        <w:pageBreakBefore w:val="0"/>
        <w:kinsoku/>
        <w:wordWrap/>
        <w:overflowPunct/>
        <w:topLinePunct w:val="0"/>
        <w:bidi w:val="0"/>
        <w:adjustRightInd w:val="0"/>
        <w:snapToGrid w:val="0"/>
        <w:spacing w:line="360" w:lineRule="auto"/>
        <w:ind w:left="0" w:leftChars="0" w:right="0" w:rightChars="0"/>
        <w:jc w:val="center"/>
        <w:textAlignment w:val="auto"/>
        <w:rPr>
          <w:rFonts w:hint="eastAsia"/>
          <w:color w:val="auto"/>
          <w:highlight w:val="none"/>
          <w:lang w:val="en-US" w:eastAsia="zh-CN"/>
        </w:rPr>
      </w:pPr>
      <w:r>
        <w:rPr>
          <w:rFonts w:hint="eastAsia" w:hAnsi="宋体"/>
          <w:b/>
          <w:bCs w:val="0"/>
          <w:snapToGrid w:val="0"/>
          <w:color w:val="auto"/>
          <w:sz w:val="21"/>
          <w:szCs w:val="21"/>
          <w:highlight w:val="none"/>
          <w:lang w:val="en-US" w:eastAsia="zh-CN"/>
        </w:rPr>
        <w:t xml:space="preserve">图4.3.2  </w:t>
      </w:r>
      <w:r>
        <w:rPr>
          <w:rFonts w:hint="eastAsia" w:hAnsi="宋体" w:cstheme="minorBidi"/>
          <w:b/>
          <w:bCs w:val="0"/>
          <w:snapToGrid w:val="0"/>
          <w:color w:val="auto"/>
          <w:kern w:val="2"/>
          <w:sz w:val="21"/>
          <w:szCs w:val="21"/>
          <w:highlight w:val="none"/>
          <w:lang w:val="en-US" w:eastAsia="zh-CN" w:bidi="ar-SA"/>
        </w:rPr>
        <w:t>传统宽边井盖防沉降改造流程图</w:t>
      </w:r>
    </w:p>
    <w:p>
      <w:pPr>
        <w:pageBreakBefore w:val="0"/>
        <w:kinsoku/>
        <w:wordWrap/>
        <w:overflowPunct/>
        <w:topLinePunct w:val="0"/>
        <w:bidi w:val="0"/>
        <w:adjustRightInd w:val="0"/>
        <w:snapToGrid w:val="0"/>
        <w:spacing w:line="360" w:lineRule="auto"/>
        <w:ind w:left="0" w:leftChars="0" w:right="0" w:rightChars="0" w:firstLine="482" w:firstLineChars="200"/>
        <w:jc w:val="left"/>
        <w:textAlignment w:val="auto"/>
        <w:rPr>
          <w:color w:val="auto"/>
          <w:highlight w:val="none"/>
        </w:rPr>
      </w:pPr>
      <w:r>
        <w:rPr>
          <w:rFonts w:hint="eastAsia" w:ascii="Times New Roman" w:cs="Times New Roman"/>
          <w:b/>
          <w:bCs/>
          <w:color w:val="auto"/>
          <w:kern w:val="2"/>
          <w:sz w:val="24"/>
          <w:szCs w:val="24"/>
          <w:highlight w:val="none"/>
          <w:lang w:val="en-US" w:eastAsia="zh-CN" w:bidi="ar-SA"/>
        </w:rPr>
        <w:t>1</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asciiTheme="minorHAnsi" w:eastAsiaTheme="minorEastAsia" w:cstheme="minorBidi"/>
          <w:bCs/>
          <w:snapToGrid w:val="0"/>
          <w:color w:val="auto"/>
          <w:kern w:val="2"/>
          <w:sz w:val="24"/>
          <w:szCs w:val="24"/>
          <w:highlight w:val="none"/>
          <w:lang w:val="en-US" w:eastAsia="zh-CN" w:bidi="ar-SA"/>
        </w:rPr>
        <w:t xml:space="preserve"> 传统宽边井盖路框差满足要求，井盖有轻微松动或井周铺面有轻微破损的，可直接采用电钻在井盖宽边上均匀钻孔，布设注浆孔及引流排气孔；</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default" w:asciiTheme="minorHAnsi" w:eastAsiaTheme="minorEastAsia" w:cstheme="minorBidi"/>
          <w:bCs/>
          <w:snapToGrid w:val="0"/>
          <w:color w:val="auto"/>
          <w:kern w:val="2"/>
          <w:sz w:val="24"/>
          <w:szCs w:val="24"/>
          <w:highlight w:val="none"/>
          <w:lang w:val="en-US" w:eastAsia="zh-CN" w:bidi="ar-SA"/>
        </w:rPr>
      </w:pPr>
      <w:r>
        <w:rPr>
          <w:rFonts w:hint="eastAsia" w:ascii="Times New Roman" w:cs="Times New Roman"/>
          <w:b/>
          <w:bCs/>
          <w:color w:val="auto"/>
          <w:kern w:val="2"/>
          <w:sz w:val="24"/>
          <w:szCs w:val="24"/>
          <w:highlight w:val="none"/>
          <w:lang w:val="en-US" w:eastAsia="zh-CN" w:bidi="ar-SA"/>
        </w:rPr>
        <w:t xml:space="preserve">    </w:t>
      </w:r>
      <w:r>
        <w:rPr>
          <w:rFonts w:hint="eastAsia" w:ascii="Times New Roman" w:hAnsi="宋体" w:eastAsia="宋体" w:cs="Times New Roman"/>
          <w:b/>
          <w:bCs/>
          <w:color w:val="auto"/>
          <w:kern w:val="2"/>
          <w:sz w:val="24"/>
          <w:szCs w:val="24"/>
          <w:highlight w:val="none"/>
          <w:lang w:val="en-US" w:eastAsia="zh-CN" w:bidi="ar-SA"/>
        </w:rPr>
        <w:t xml:space="preserve">2 </w:t>
      </w:r>
      <w:r>
        <w:rPr>
          <w:rFonts w:hint="eastAsia" w:asciiTheme="minorHAnsi" w:eastAsiaTheme="minorEastAsia" w:cstheme="minorBidi"/>
          <w:bCs/>
          <w:snapToGrid w:val="0"/>
          <w:color w:val="auto"/>
          <w:kern w:val="2"/>
          <w:sz w:val="24"/>
          <w:szCs w:val="24"/>
          <w:highlight w:val="none"/>
          <w:lang w:val="en-US" w:eastAsia="zh-CN" w:bidi="ar-SA"/>
        </w:rPr>
        <w:t xml:space="preserve"> 传统宽边井盖路框差在5mm～20mm时，将井盖沉降位置宽边侧面打凿孔洞，用撬棍将井盖抬至略高于井周沥青混凝土面，井盖宽边与面层的空隙采用沥青混合料填充，反复碾压井盖将其调平，布设注浆孔及引流排气孔；</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default" w:ascii="Times New Roman" w:hAnsi="宋体" w:eastAsia="宋体" w:cs="Times New Roman"/>
          <w:b/>
          <w:bCs/>
          <w:color w:val="auto"/>
          <w:kern w:val="2"/>
          <w:sz w:val="24"/>
          <w:szCs w:val="24"/>
          <w:highlight w:val="none"/>
          <w:lang w:val="en-US" w:eastAsia="zh-CN" w:bidi="ar-SA"/>
        </w:rPr>
      </w:pPr>
      <w:r>
        <w:rPr>
          <w:rFonts w:hint="eastAsia" w:ascii="Times New Roman" w:cs="Times New Roman"/>
          <w:b/>
          <w:bCs/>
          <w:color w:val="auto"/>
          <w:kern w:val="2"/>
          <w:sz w:val="24"/>
          <w:szCs w:val="24"/>
          <w:highlight w:val="none"/>
          <w:lang w:val="en-US" w:eastAsia="zh-CN" w:bidi="ar-SA"/>
        </w:rPr>
        <w:t xml:space="preserve">   3  </w:t>
      </w:r>
      <w:r>
        <w:rPr>
          <w:rFonts w:hint="eastAsia" w:asciiTheme="minorHAnsi" w:eastAsiaTheme="minorEastAsia" w:cstheme="minorBidi"/>
          <w:bCs/>
          <w:snapToGrid w:val="0"/>
          <w:color w:val="auto"/>
          <w:kern w:val="2"/>
          <w:sz w:val="24"/>
          <w:szCs w:val="24"/>
          <w:highlight w:val="none"/>
          <w:lang w:val="en-US" w:eastAsia="zh-CN" w:bidi="ar-SA"/>
        </w:rPr>
        <w:t>传统宽边井路框差大于20mm或井周沥青破损变形较严重的，应维修井周破损铺面结构，调平井盖，并布设注浆孔及引流排气孔。维修井周破损铺面应符合本规程4.3.1的规定。</w:t>
      </w:r>
      <w:bookmarkStart w:id="105" w:name="_Toc14916"/>
      <w:bookmarkStart w:id="106" w:name="_Toc1194"/>
    </w:p>
    <w:p>
      <w:pPr>
        <w:pStyle w:val="3"/>
        <w:pageBreakBefore w:val="0"/>
        <w:kinsoku/>
        <w:wordWrap/>
        <w:overflowPunct/>
        <w:topLinePunct w:val="0"/>
        <w:bidi w:val="0"/>
        <w:adjustRightInd w:val="0"/>
        <w:snapToGrid w:val="0"/>
        <w:spacing w:before="0" w:after="0" w:line="360" w:lineRule="auto"/>
        <w:ind w:left="0" w:leftChars="0" w:right="0" w:rightChars="0"/>
        <w:textAlignment w:val="auto"/>
        <w:rPr>
          <w:rFonts w:hint="eastAsia"/>
          <w:color w:val="auto"/>
          <w:sz w:val="24"/>
          <w:szCs w:val="24"/>
          <w:highlight w:val="none"/>
          <w:lang w:val="en-US" w:eastAsia="zh-CN"/>
        </w:rPr>
      </w:pPr>
      <w:bookmarkStart w:id="107" w:name="_Toc11509"/>
      <w:r>
        <w:rPr>
          <w:rFonts w:hint="eastAsia"/>
          <w:color w:val="auto"/>
          <w:sz w:val="24"/>
          <w:szCs w:val="24"/>
          <w:highlight w:val="none"/>
          <w:lang w:val="en-US" w:eastAsia="zh-CN"/>
        </w:rPr>
        <w:t>4.4  井周铺面注浆加固</w:t>
      </w:r>
      <w:bookmarkEnd w:id="107"/>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olor w:val="auto"/>
          <w:highlight w:val="none"/>
          <w:lang w:val="en-US" w:eastAsia="zh-CN"/>
        </w:rPr>
      </w:pPr>
      <w:r>
        <w:rPr>
          <w:rFonts w:hint="eastAsia" w:ascii="Times New Roman" w:cs="Times New Roman"/>
          <w:b/>
          <w:bCs/>
          <w:color w:val="auto"/>
          <w:kern w:val="2"/>
          <w:sz w:val="24"/>
          <w:szCs w:val="24"/>
          <w:highlight w:val="none"/>
          <w:lang w:val="en-US" w:eastAsia="zh-CN" w:bidi="ar-SA"/>
        </w:rPr>
        <w:t>4.4</w:t>
      </w:r>
      <w:r>
        <w:rPr>
          <w:rFonts w:hint="eastAsia" w:ascii="Times New Roman" w:hAnsi="宋体" w:eastAsia="宋体" w:cs="Times New Roman"/>
          <w:b/>
          <w:bCs/>
          <w:color w:val="auto"/>
          <w:kern w:val="2"/>
          <w:sz w:val="24"/>
          <w:szCs w:val="24"/>
          <w:highlight w:val="none"/>
          <w:lang w:val="en-US" w:eastAsia="zh-CN" w:bidi="ar-SA"/>
        </w:rPr>
        <w:t>.1</w:t>
      </w:r>
      <w:r>
        <w:rPr>
          <w:rFonts w:hint="eastAsia"/>
          <w:color w:val="auto"/>
          <w:sz w:val="24"/>
          <w:szCs w:val="24"/>
          <w:highlight w:val="none"/>
          <w:lang w:val="en-US" w:eastAsia="zh-CN"/>
        </w:rPr>
        <w:t xml:space="preserve">  </w:t>
      </w:r>
      <w:r>
        <w:rPr>
          <w:rFonts w:hint="eastAsia" w:cs="宋体"/>
          <w:color w:val="auto"/>
          <w:highlight w:val="none"/>
          <w:lang w:val="en-US" w:eastAsia="zh-CN"/>
        </w:rPr>
        <w:t>防沉降井盖安装完成后检查防沉降井盖符合本规程5.0.12的规定；一般工程宜在开放交通前进行井周铺面注浆加固施工；临时交通管制的维修、养护工程的防沉降井盖更换，宜在井盖安装完成后及时进行井周铺面注浆加固，适时开放交通。</w:t>
      </w:r>
    </w:p>
    <w:p>
      <w:pPr>
        <w:pageBreakBefore w:val="0"/>
        <w:kinsoku/>
        <w:wordWrap/>
        <w:overflowPunct/>
        <w:topLinePunct w:val="0"/>
        <w:bidi w:val="0"/>
        <w:adjustRightInd w:val="0"/>
        <w:snapToGrid w:val="0"/>
        <w:spacing w:line="360" w:lineRule="auto"/>
        <w:ind w:left="0" w:leftChars="0" w:right="0" w:rightChars="0"/>
        <w:jc w:val="left"/>
        <w:textAlignment w:val="auto"/>
        <w:rPr>
          <w:rFonts w:hint="eastAsia" w:hAnsi="宋体"/>
          <w:bCs/>
          <w:snapToGrid w:val="0"/>
          <w:color w:val="auto"/>
          <w:sz w:val="24"/>
          <w:highlight w:val="none"/>
          <w:lang w:val="en-US" w:eastAsia="zh-CN"/>
        </w:rPr>
      </w:pPr>
      <w:r>
        <w:rPr>
          <w:rFonts w:hint="eastAsia" w:ascii="Times New Roman" w:cs="Times New Roman"/>
          <w:b/>
          <w:bCs/>
          <w:color w:val="auto"/>
          <w:kern w:val="2"/>
          <w:sz w:val="24"/>
          <w:szCs w:val="24"/>
          <w:highlight w:val="none"/>
          <w:lang w:val="en-US" w:eastAsia="zh-CN" w:bidi="ar-SA"/>
        </w:rPr>
        <w:t>4.4</w:t>
      </w:r>
      <w:r>
        <w:rPr>
          <w:rFonts w:hint="eastAsia" w:ascii="Times New Roman" w:hAnsi="宋体" w:eastAsia="宋体" w:cs="Times New Roman"/>
          <w:b/>
          <w:bCs/>
          <w:color w:val="auto"/>
          <w:kern w:val="2"/>
          <w:sz w:val="24"/>
          <w:szCs w:val="24"/>
          <w:highlight w:val="none"/>
          <w:lang w:val="en-US" w:eastAsia="zh-CN" w:bidi="ar-SA"/>
        </w:rPr>
        <w:t>.2</w:t>
      </w:r>
      <w:r>
        <w:rPr>
          <w:rFonts w:hint="eastAsia" w:ascii="宋体" w:hAnsi="宋体" w:eastAsia="宋体" w:cstheme="minorBidi"/>
          <w:b/>
          <w:bCs/>
          <w:color w:val="auto"/>
          <w:kern w:val="0"/>
          <w:sz w:val="24"/>
          <w:szCs w:val="24"/>
          <w:highlight w:val="none"/>
          <w:lang w:val="en-US" w:eastAsia="zh-CN" w:bidi="ar-SA"/>
        </w:rPr>
        <w:t xml:space="preserve">  </w:t>
      </w:r>
      <w:r>
        <w:rPr>
          <w:rFonts w:hint="eastAsia" w:ascii="宋体" w:hAnsi="宋体" w:eastAsia="宋体" w:cs="宋体"/>
          <w:color w:val="auto"/>
          <w:sz w:val="24"/>
          <w:szCs w:val="24"/>
          <w:highlight w:val="none"/>
          <w:lang w:val="en-US" w:eastAsia="zh-CN"/>
        </w:rPr>
        <w:t>防沉降井盖注浆加固施工</w:t>
      </w:r>
      <w:r>
        <w:rPr>
          <w:rFonts w:hint="eastAsia" w:hAnsi="宋体"/>
          <w:bCs/>
          <w:snapToGrid w:val="0"/>
          <w:color w:val="auto"/>
          <w:sz w:val="24"/>
          <w:highlight w:val="none"/>
          <w:lang w:val="en-US" w:eastAsia="zh-CN"/>
        </w:rPr>
        <w:t>宜包括下列内容（图4.4.2）：</w:t>
      </w:r>
    </w:p>
    <w:p>
      <w:pPr>
        <w:pStyle w:val="5"/>
        <w:pageBreakBefore w:val="0"/>
        <w:kinsoku/>
        <w:wordWrap/>
        <w:overflowPunct/>
        <w:topLinePunct w:val="0"/>
        <w:bidi w:val="0"/>
        <w:adjustRightInd w:val="0"/>
        <w:snapToGrid w:val="0"/>
        <w:spacing w:before="0" w:line="360" w:lineRule="auto"/>
        <w:ind w:left="0" w:leftChars="0" w:right="0" w:rightChars="0"/>
        <w:textAlignment w:val="auto"/>
        <w:rPr>
          <w:color w:val="auto"/>
          <w:highlight w:val="none"/>
        </w:rPr>
      </w:pPr>
      <w:r>
        <w:rPr>
          <w:color w:val="auto"/>
          <w:highlight w:val="none"/>
        </w:rPr>
        <w:drawing>
          <wp:inline distT="0" distB="0" distL="114300" distR="114300">
            <wp:extent cx="5474335" cy="661035"/>
            <wp:effectExtent l="0" t="0" r="12065" b="9525"/>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46"/>
                    <a:stretch>
                      <a:fillRect/>
                    </a:stretch>
                  </pic:blipFill>
                  <pic:spPr>
                    <a:xfrm>
                      <a:off x="0" y="0"/>
                      <a:ext cx="5474335" cy="661035"/>
                    </a:xfrm>
                    <a:prstGeom prst="rect">
                      <a:avLst/>
                    </a:prstGeom>
                    <a:noFill/>
                    <a:ln>
                      <a:noFill/>
                    </a:ln>
                  </pic:spPr>
                </pic:pic>
              </a:graphicData>
            </a:graphic>
          </wp:inline>
        </w:drawing>
      </w:r>
    </w:p>
    <w:p>
      <w:pPr>
        <w:pStyle w:val="5"/>
        <w:pageBreakBefore w:val="0"/>
        <w:kinsoku/>
        <w:wordWrap/>
        <w:overflowPunct/>
        <w:topLinePunct w:val="0"/>
        <w:bidi w:val="0"/>
        <w:adjustRightInd w:val="0"/>
        <w:snapToGrid w:val="0"/>
        <w:spacing w:before="0" w:line="360" w:lineRule="auto"/>
        <w:ind w:left="0" w:leftChars="0" w:right="0" w:rightChars="0"/>
        <w:jc w:val="center"/>
        <w:textAlignment w:val="auto"/>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 xml:space="preserve">图4.4.2  </w:t>
      </w:r>
      <w:r>
        <w:rPr>
          <w:rFonts w:hint="eastAsia" w:ascii="宋体" w:hAnsi="宋体" w:eastAsia="宋体" w:cs="宋体"/>
          <w:b/>
          <w:bCs/>
          <w:color w:val="auto"/>
          <w:sz w:val="21"/>
          <w:szCs w:val="21"/>
          <w:highlight w:val="none"/>
          <w:lang w:val="en-US" w:eastAsia="zh-CN"/>
        </w:rPr>
        <w:t>防沉降井盖注浆加固施工</w:t>
      </w:r>
      <w:r>
        <w:rPr>
          <w:rFonts w:hint="eastAsia" w:cs="宋体"/>
          <w:b/>
          <w:bCs/>
          <w:color w:val="auto"/>
          <w:sz w:val="21"/>
          <w:szCs w:val="21"/>
          <w:highlight w:val="none"/>
          <w:lang w:val="en-US" w:eastAsia="zh-CN"/>
        </w:rPr>
        <w:t>流程图</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4.4</w:t>
      </w:r>
      <w:r>
        <w:rPr>
          <w:rFonts w:hint="eastAsia" w:ascii="Times New Roman" w:hAnsi="宋体" w:eastAsia="宋体" w:cs="Times New Roman"/>
          <w:b/>
          <w:bCs/>
          <w:color w:val="auto"/>
          <w:kern w:val="2"/>
          <w:sz w:val="24"/>
          <w:szCs w:val="24"/>
          <w:highlight w:val="none"/>
          <w:lang w:val="en-US" w:eastAsia="zh-CN" w:bidi="ar-SA"/>
        </w:rPr>
        <w:t>.</w:t>
      </w:r>
      <w:r>
        <w:rPr>
          <w:rFonts w:hint="eastAsia" w:ascii="Times New Roman" w:cs="Times New Roman"/>
          <w:b/>
          <w:bCs/>
          <w:color w:val="auto"/>
          <w:kern w:val="2"/>
          <w:sz w:val="24"/>
          <w:szCs w:val="24"/>
          <w:highlight w:val="none"/>
          <w:lang w:val="en-US" w:eastAsia="zh-CN" w:bidi="ar-SA"/>
        </w:rPr>
        <w:t>3</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ascii="宋体" w:hAnsi="宋体" w:eastAsia="宋体" w:cstheme="minorBidi"/>
          <w:bCs/>
          <w:snapToGrid w:val="0"/>
          <w:color w:val="auto"/>
          <w:kern w:val="0"/>
          <w:sz w:val="24"/>
          <w:szCs w:val="24"/>
          <w:highlight w:val="none"/>
          <w:lang w:val="en-US" w:eastAsia="zh-CN" w:bidi="ar-SA"/>
        </w:rPr>
        <w:t>施作止水密封圈</w:t>
      </w:r>
      <w:r>
        <w:rPr>
          <w:rFonts w:hint="eastAsia" w:cs="宋体"/>
          <w:color w:val="auto"/>
          <w:highlight w:val="none"/>
          <w:lang w:val="en-US" w:eastAsia="zh-CN"/>
        </w:rPr>
        <w:t>可采用快硬水泥或普通硅酸盐水泥，封堵应密实。</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ascii="宋体" w:hAnsi="宋体" w:eastAsia="宋体" w:cs="宋体"/>
          <w:color w:val="auto"/>
          <w:kern w:val="0"/>
          <w:sz w:val="24"/>
          <w:szCs w:val="24"/>
          <w:highlight w:val="none"/>
          <w:lang w:val="en-US" w:eastAsia="zh-CN" w:bidi="ar-SA"/>
        </w:rPr>
      </w:pPr>
      <w:r>
        <w:rPr>
          <w:rFonts w:hint="eastAsia" w:eastAsia="楷体"/>
          <w:color w:val="auto"/>
          <w:sz w:val="21"/>
          <w:szCs w:val="21"/>
          <w:highlight w:val="none"/>
          <w:lang w:val="en-US" w:eastAsia="zh-CN"/>
        </w:rPr>
        <w:t>【条文说明】井盖筒体底部与井孔壁的间隙封堵后，注浆过程中要持续观察，发现漏浆及时采用快硬水泥封堵。</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4.4</w:t>
      </w:r>
      <w:r>
        <w:rPr>
          <w:rFonts w:hint="eastAsia" w:ascii="Times New Roman" w:hAnsi="宋体" w:eastAsia="宋体" w:cs="Times New Roman"/>
          <w:b/>
          <w:bCs/>
          <w:color w:val="auto"/>
          <w:kern w:val="2"/>
          <w:sz w:val="24"/>
          <w:szCs w:val="24"/>
          <w:highlight w:val="none"/>
          <w:lang w:val="en-US" w:eastAsia="zh-CN" w:bidi="ar-SA"/>
        </w:rPr>
        <w:t>.</w:t>
      </w:r>
      <w:r>
        <w:rPr>
          <w:rFonts w:hint="eastAsia" w:ascii="Times New Roman" w:cs="Times New Roman"/>
          <w:b/>
          <w:bCs/>
          <w:color w:val="auto"/>
          <w:kern w:val="2"/>
          <w:sz w:val="24"/>
          <w:szCs w:val="24"/>
          <w:highlight w:val="none"/>
          <w:lang w:val="en-US" w:eastAsia="zh-CN" w:bidi="ar-SA"/>
        </w:rPr>
        <w:t>4</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ascii="Times New Roman" w:cs="Times New Roman"/>
          <w:b/>
          <w:bCs/>
          <w:color w:val="auto"/>
          <w:kern w:val="2"/>
          <w:sz w:val="24"/>
          <w:szCs w:val="24"/>
          <w:highlight w:val="none"/>
          <w:lang w:val="en-US" w:eastAsia="zh-CN" w:bidi="ar-SA"/>
        </w:rPr>
        <w:t xml:space="preserve"> </w:t>
      </w:r>
      <w:r>
        <w:rPr>
          <w:rFonts w:hint="eastAsia" w:cs="宋体"/>
          <w:color w:val="auto"/>
          <w:highlight w:val="none"/>
          <w:lang w:val="en-US" w:eastAsia="zh-CN"/>
        </w:rPr>
        <w:t>在注浆孔、引流排气孔位置钻孔贯穿沥青混凝土面层，形成注浆、排气孔道，钻孔后应将孔道吹扫干净。</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4.4</w:t>
      </w:r>
      <w:r>
        <w:rPr>
          <w:rFonts w:hint="eastAsia" w:ascii="Times New Roman" w:hAnsi="宋体" w:eastAsia="宋体" w:cs="Times New Roman"/>
          <w:b/>
          <w:bCs/>
          <w:color w:val="auto"/>
          <w:kern w:val="2"/>
          <w:sz w:val="24"/>
          <w:szCs w:val="24"/>
          <w:highlight w:val="none"/>
          <w:lang w:val="en-US" w:eastAsia="zh-CN" w:bidi="ar-SA"/>
        </w:rPr>
        <w:t>.</w:t>
      </w:r>
      <w:r>
        <w:rPr>
          <w:rFonts w:hint="eastAsia" w:ascii="Times New Roman" w:cs="Times New Roman"/>
          <w:b/>
          <w:bCs/>
          <w:color w:val="auto"/>
          <w:kern w:val="2"/>
          <w:sz w:val="24"/>
          <w:szCs w:val="24"/>
          <w:highlight w:val="none"/>
          <w:lang w:val="en-US" w:eastAsia="zh-CN" w:bidi="ar-SA"/>
        </w:rPr>
        <w:t>5</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ascii="Times New Roman" w:cs="Times New Roman"/>
          <w:b/>
          <w:bCs/>
          <w:color w:val="auto"/>
          <w:kern w:val="2"/>
          <w:sz w:val="24"/>
          <w:szCs w:val="24"/>
          <w:highlight w:val="none"/>
          <w:lang w:val="en-US" w:eastAsia="zh-CN" w:bidi="ar-SA"/>
        </w:rPr>
        <w:t xml:space="preserve"> </w:t>
      </w:r>
      <w:r>
        <w:rPr>
          <w:rFonts w:hint="eastAsia" w:cs="宋体"/>
          <w:color w:val="auto"/>
          <w:highlight w:val="none"/>
          <w:lang w:val="en-US" w:eastAsia="zh-CN"/>
        </w:rPr>
        <w:t>对注浆孔采用手动或动力工具进行攻丝，攻丝深度应大于8mm。</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4.4</w:t>
      </w:r>
      <w:r>
        <w:rPr>
          <w:rFonts w:hint="eastAsia" w:ascii="Times New Roman" w:hAnsi="宋体" w:eastAsia="宋体" w:cs="Times New Roman"/>
          <w:b/>
          <w:bCs/>
          <w:color w:val="auto"/>
          <w:kern w:val="2"/>
          <w:sz w:val="24"/>
          <w:szCs w:val="24"/>
          <w:highlight w:val="none"/>
          <w:lang w:val="en-US" w:eastAsia="zh-CN" w:bidi="ar-SA"/>
        </w:rPr>
        <w:t>.</w:t>
      </w:r>
      <w:r>
        <w:rPr>
          <w:rFonts w:hint="eastAsia" w:ascii="Times New Roman" w:cs="Times New Roman"/>
          <w:b/>
          <w:bCs/>
          <w:color w:val="auto"/>
          <w:kern w:val="2"/>
          <w:sz w:val="24"/>
          <w:szCs w:val="24"/>
          <w:highlight w:val="none"/>
          <w:lang w:val="en-US" w:eastAsia="zh-CN" w:bidi="ar-SA"/>
        </w:rPr>
        <w:t>6</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ascii="Times New Roman" w:cs="Times New Roman"/>
          <w:b/>
          <w:bCs/>
          <w:color w:val="auto"/>
          <w:kern w:val="2"/>
          <w:sz w:val="24"/>
          <w:szCs w:val="24"/>
          <w:highlight w:val="none"/>
          <w:lang w:val="en-US" w:eastAsia="zh-CN" w:bidi="ar-SA"/>
        </w:rPr>
        <w:t xml:space="preserve"> </w:t>
      </w:r>
      <w:r>
        <w:rPr>
          <w:rFonts w:hint="eastAsia" w:cs="宋体"/>
          <w:color w:val="auto"/>
          <w:highlight w:val="none"/>
          <w:lang w:val="en-US" w:eastAsia="zh-CN"/>
        </w:rPr>
        <w:t>制备浆液应分罐计量，逐罐搅拌。制浆材料计量误差应小于2%。固体材料宜釆用称重法计量，水按称重法或体积法计量；采用普通搅拌机搅拌浆液时，搅拌时间不应少于3min；采用高速搅拌机搅拌浆液时，搅拌时间不应少于30s；搅拌完成的浆液应经过滤，在水泥初凝时间内使用完。</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eastAsia="楷体"/>
          <w:color w:val="auto"/>
          <w:sz w:val="21"/>
          <w:szCs w:val="21"/>
          <w:highlight w:val="none"/>
          <w:lang w:val="en-US" w:eastAsia="zh-CN"/>
        </w:rPr>
      </w:pPr>
      <w:r>
        <w:rPr>
          <w:rFonts w:hint="eastAsia" w:eastAsia="楷体"/>
          <w:color w:val="auto"/>
          <w:sz w:val="21"/>
          <w:szCs w:val="21"/>
          <w:highlight w:val="none"/>
          <w:lang w:val="en-US" w:eastAsia="zh-CN"/>
        </w:rPr>
        <w:t>【条文说明】 为准确控制浆液质量，浆液应分罐拌合。在注浆过程中应根据选用的注浆料，在需要时加强搅拌，避免浆液离析沉淀。</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default"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4.4.7</w:t>
      </w:r>
      <w:r>
        <w:rPr>
          <w:rFonts w:hint="eastAsia" w:cs="宋体"/>
          <w:color w:val="auto"/>
          <w:highlight w:val="none"/>
          <w:lang w:val="en-US" w:eastAsia="zh-CN"/>
        </w:rPr>
        <w:t xml:space="preserve">  当气温高于30℃时，在浆液静止状态下，贮浆桶和注浆管路不得暴露在阳光下，应采取防晒降温措施，防止浆液凝固，搅拌桶内浆液温度不宜高出45℃。</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4.4</w:t>
      </w:r>
      <w:r>
        <w:rPr>
          <w:rFonts w:hint="eastAsia" w:ascii="Times New Roman" w:hAnsi="宋体" w:eastAsia="宋体" w:cs="Times New Roman"/>
          <w:b/>
          <w:bCs/>
          <w:color w:val="auto"/>
          <w:kern w:val="2"/>
          <w:sz w:val="24"/>
          <w:szCs w:val="24"/>
          <w:highlight w:val="none"/>
          <w:lang w:val="en-US" w:eastAsia="zh-CN" w:bidi="ar-SA"/>
        </w:rPr>
        <w:t>.</w:t>
      </w:r>
      <w:r>
        <w:rPr>
          <w:rFonts w:hint="eastAsia" w:ascii="Times New Roman" w:cs="Times New Roman"/>
          <w:b/>
          <w:bCs/>
          <w:color w:val="auto"/>
          <w:kern w:val="2"/>
          <w:sz w:val="24"/>
          <w:szCs w:val="24"/>
          <w:highlight w:val="none"/>
          <w:lang w:val="en-US" w:eastAsia="zh-CN" w:bidi="ar-SA"/>
        </w:rPr>
        <w:t>7</w:t>
      </w:r>
      <w:r>
        <w:rPr>
          <w:rFonts w:hint="eastAsia" w:cs="宋体"/>
          <w:color w:val="auto"/>
          <w:highlight w:val="none"/>
          <w:lang w:val="en-US" w:eastAsia="zh-CN"/>
        </w:rPr>
        <w:t xml:space="preserve">  注浆应从防沉降井盖传载板最低处开始，自低向高依次进行。当正常浆液从相邻的注浆孔、引流排气孔及临近的井盖传载板外侧冒出，换至下一孔注浆。当浆液从其他注浆孔、引流排气孔、井盖传载板周边沥青混凝土表面等部位冒出时，可对冒浆部位进行临时封堵。</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eastAsia="楷体"/>
          <w:color w:val="auto"/>
          <w:sz w:val="21"/>
          <w:szCs w:val="21"/>
          <w:highlight w:val="none"/>
          <w:lang w:val="en-US" w:eastAsia="zh-CN"/>
        </w:rPr>
      </w:pPr>
      <w:r>
        <w:rPr>
          <w:rFonts w:hint="eastAsia" w:eastAsia="楷体"/>
          <w:color w:val="auto"/>
          <w:sz w:val="21"/>
          <w:szCs w:val="21"/>
          <w:highlight w:val="none"/>
          <w:lang w:val="en-US" w:eastAsia="zh-CN"/>
        </w:rPr>
        <w:t>【条文说明】1 对冒浆部位临时封堵可将浆液引导至井周加固铺面的其他空隙，确保注浆填充效果。封堵可使用快硬水泥或其他方法。</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eastAsia="楷体"/>
          <w:color w:val="auto"/>
          <w:sz w:val="21"/>
          <w:szCs w:val="21"/>
          <w:highlight w:val="none"/>
          <w:lang w:val="en-US" w:eastAsia="zh-CN"/>
        </w:rPr>
      </w:pPr>
      <w:r>
        <w:rPr>
          <w:rFonts w:hint="eastAsia" w:eastAsia="楷体"/>
          <w:color w:val="auto"/>
          <w:sz w:val="21"/>
          <w:szCs w:val="21"/>
          <w:highlight w:val="none"/>
          <w:lang w:val="en-US" w:eastAsia="zh-CN"/>
        </w:rPr>
        <w:t>2 对于传统宽边井盖进行防沉降功能改造的井周铺面加固，因无法在加筋肋上加设气液流动孔，注浆加固作业时需进行</w:t>
      </w:r>
      <w:r>
        <w:rPr>
          <w:rFonts w:hint="eastAsia" w:eastAsia="楷体"/>
          <w:b w:val="0"/>
          <w:bCs w:val="0"/>
          <w:color w:val="auto"/>
          <w:sz w:val="21"/>
          <w:szCs w:val="21"/>
          <w:highlight w:val="none"/>
          <w:lang w:val="en-US" w:eastAsia="zh-CN"/>
        </w:rPr>
        <w:t>2</w:t>
      </w:r>
      <w:r>
        <w:rPr>
          <w:rFonts w:hint="eastAsia" w:asciiTheme="minorHAnsi" w:eastAsiaTheme="minorEastAsia" w:cstheme="minorBidi"/>
          <w:b w:val="0"/>
          <w:bCs w:val="0"/>
          <w:snapToGrid w:val="0"/>
          <w:color w:val="auto"/>
          <w:kern w:val="2"/>
          <w:sz w:val="24"/>
          <w:szCs w:val="24"/>
          <w:highlight w:val="none"/>
          <w:lang w:val="en-US" w:eastAsia="zh-CN" w:bidi="ar-SA"/>
        </w:rPr>
        <w:t>～3</w:t>
      </w:r>
      <w:r>
        <w:rPr>
          <w:rFonts w:hint="eastAsia" w:eastAsia="楷体"/>
          <w:color w:val="auto"/>
          <w:sz w:val="21"/>
          <w:szCs w:val="21"/>
          <w:highlight w:val="none"/>
          <w:lang w:val="en-US" w:eastAsia="zh-CN"/>
        </w:rPr>
        <w:t>次复注，注浆孔、引流排气孔只可用橡胶塞等临时封堵，以便复注时开启使用。</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4.4</w:t>
      </w:r>
      <w:r>
        <w:rPr>
          <w:rFonts w:hint="eastAsia" w:ascii="Times New Roman" w:hAnsi="宋体" w:eastAsia="宋体" w:cs="Times New Roman"/>
          <w:b/>
          <w:bCs/>
          <w:color w:val="auto"/>
          <w:kern w:val="2"/>
          <w:sz w:val="24"/>
          <w:szCs w:val="24"/>
          <w:highlight w:val="none"/>
          <w:lang w:val="en-US" w:eastAsia="zh-CN" w:bidi="ar-SA"/>
        </w:rPr>
        <w:t>.</w:t>
      </w:r>
      <w:r>
        <w:rPr>
          <w:rFonts w:hint="eastAsia" w:ascii="Times New Roman" w:cs="Times New Roman"/>
          <w:b/>
          <w:bCs/>
          <w:color w:val="auto"/>
          <w:kern w:val="2"/>
          <w:sz w:val="24"/>
          <w:szCs w:val="24"/>
          <w:highlight w:val="none"/>
          <w:lang w:val="en-US" w:eastAsia="zh-CN" w:bidi="ar-SA"/>
        </w:rPr>
        <w:t>8</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ascii="Times New Roman" w:cs="Times New Roman"/>
          <w:b/>
          <w:bCs/>
          <w:color w:val="auto"/>
          <w:kern w:val="2"/>
          <w:sz w:val="24"/>
          <w:szCs w:val="24"/>
          <w:highlight w:val="none"/>
          <w:lang w:val="en-US" w:eastAsia="zh-CN" w:bidi="ar-SA"/>
        </w:rPr>
        <w:t xml:space="preserve"> </w:t>
      </w:r>
      <w:r>
        <w:rPr>
          <w:rFonts w:hint="eastAsia" w:cs="宋体"/>
          <w:color w:val="auto"/>
          <w:highlight w:val="none"/>
          <w:lang w:val="en-US" w:eastAsia="zh-CN"/>
        </w:rPr>
        <w:t>注浆浆液输送压力应在0.2MPa～0.5MPa之间。</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4.4</w:t>
      </w:r>
      <w:r>
        <w:rPr>
          <w:rFonts w:hint="eastAsia" w:ascii="Times New Roman" w:hAnsi="宋体" w:eastAsia="宋体" w:cs="Times New Roman"/>
          <w:b/>
          <w:bCs/>
          <w:color w:val="auto"/>
          <w:kern w:val="2"/>
          <w:sz w:val="24"/>
          <w:szCs w:val="24"/>
          <w:highlight w:val="none"/>
          <w:lang w:val="en-US" w:eastAsia="zh-CN" w:bidi="ar-SA"/>
        </w:rPr>
        <w:t>.</w:t>
      </w:r>
      <w:r>
        <w:rPr>
          <w:rFonts w:hint="eastAsia" w:ascii="Times New Roman" w:cs="Times New Roman"/>
          <w:b/>
          <w:bCs/>
          <w:color w:val="auto"/>
          <w:kern w:val="2"/>
          <w:sz w:val="24"/>
          <w:szCs w:val="24"/>
          <w:highlight w:val="none"/>
          <w:lang w:val="en-US" w:eastAsia="zh-CN" w:bidi="ar-SA"/>
        </w:rPr>
        <w:t xml:space="preserve">9  </w:t>
      </w:r>
      <w:r>
        <w:rPr>
          <w:rFonts w:hint="eastAsia" w:cs="宋体"/>
          <w:color w:val="auto"/>
          <w:highlight w:val="none"/>
          <w:lang w:val="en-US" w:eastAsia="zh-CN"/>
        </w:rPr>
        <w:t>注浆过程中应保持注浆压力稳定。当注浆压力或流量骤变时，应立即停止注浆，并查明原因，采取相应措施：</w:t>
      </w:r>
    </w:p>
    <w:p>
      <w:pPr>
        <w:pStyle w:val="5"/>
        <w:pageBreakBefore w:val="0"/>
        <w:kinsoku/>
        <w:wordWrap/>
        <w:overflowPunct/>
        <w:topLinePunct w:val="0"/>
        <w:bidi w:val="0"/>
        <w:adjustRightInd w:val="0"/>
        <w:snapToGrid w:val="0"/>
        <w:spacing w:before="0" w:line="360" w:lineRule="auto"/>
        <w:ind w:left="0" w:leftChars="0" w:right="0" w:rightChars="0" w:firstLine="480"/>
        <w:textAlignment w:val="auto"/>
        <w:rPr>
          <w:rFonts w:hint="default" w:ascii="Times New Roman" w:cs="Times New Roman"/>
          <w:b/>
          <w:bCs/>
          <w:color w:val="auto"/>
          <w:kern w:val="2"/>
          <w:sz w:val="24"/>
          <w:szCs w:val="24"/>
          <w:highlight w:val="none"/>
          <w:lang w:val="en-US" w:eastAsia="zh-CN" w:bidi="ar-SA"/>
        </w:rPr>
      </w:pPr>
      <w:r>
        <w:rPr>
          <w:rFonts w:hint="eastAsia" w:ascii="Times New Roman" w:hAnsi="宋体" w:eastAsia="宋体" w:cs="Times New Roman"/>
          <w:b/>
          <w:bCs/>
          <w:color w:val="auto"/>
          <w:kern w:val="2"/>
          <w:sz w:val="24"/>
          <w:szCs w:val="24"/>
          <w:highlight w:val="none"/>
          <w:lang w:val="en-US" w:eastAsia="zh-CN" w:bidi="ar-SA"/>
        </w:rPr>
        <w:t>1</w:t>
      </w:r>
      <w:r>
        <w:rPr>
          <w:rFonts w:hint="eastAsia" w:ascii="Times New Roman" w:cs="Times New Roman"/>
          <w:b/>
          <w:bCs/>
          <w:color w:val="auto"/>
          <w:kern w:val="2"/>
          <w:sz w:val="24"/>
          <w:szCs w:val="24"/>
          <w:highlight w:val="none"/>
          <w:lang w:val="en-US" w:eastAsia="zh-CN" w:bidi="ar-SA"/>
        </w:rPr>
        <w:t xml:space="preserve">  </w:t>
      </w:r>
      <w:r>
        <w:rPr>
          <w:rFonts w:hint="eastAsia" w:cs="宋体"/>
          <w:color w:val="auto"/>
          <w:highlight w:val="none"/>
          <w:lang w:val="en-US" w:eastAsia="zh-CN"/>
        </w:rPr>
        <w:t>检查管路系统，发现堵管时，采用高压水枪冲洗或压缩空气冲刷管路；发现漏气、漏浆时，更换该段注浆管路。</w:t>
      </w:r>
    </w:p>
    <w:p>
      <w:pPr>
        <w:pStyle w:val="5"/>
        <w:pageBreakBefore w:val="0"/>
        <w:kinsoku/>
        <w:wordWrap/>
        <w:overflowPunct/>
        <w:topLinePunct w:val="0"/>
        <w:bidi w:val="0"/>
        <w:adjustRightInd w:val="0"/>
        <w:snapToGrid w:val="0"/>
        <w:spacing w:before="0" w:line="360" w:lineRule="auto"/>
        <w:ind w:left="0" w:leftChars="0" w:right="0" w:rightChars="0" w:firstLine="480"/>
        <w:textAlignment w:val="auto"/>
        <w:rPr>
          <w:rFonts w:hint="default"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 xml:space="preserve">2  </w:t>
      </w:r>
      <w:r>
        <w:rPr>
          <w:rFonts w:hint="eastAsia" w:cs="宋体"/>
          <w:color w:val="auto"/>
          <w:highlight w:val="none"/>
          <w:lang w:val="en-US" w:eastAsia="zh-CN"/>
        </w:rPr>
        <w:t>检查注浆设备与管路间的联接阀门，发现堵塞时采用工具清掏、高压水枪冲洗或更换阀门；发现漏气、漏浆时将阀门拧紧或更换阀门。</w:t>
      </w:r>
    </w:p>
    <w:p>
      <w:pPr>
        <w:pStyle w:val="5"/>
        <w:pageBreakBefore w:val="0"/>
        <w:kinsoku/>
        <w:wordWrap/>
        <w:overflowPunct/>
        <w:topLinePunct w:val="0"/>
        <w:bidi w:val="0"/>
        <w:adjustRightInd w:val="0"/>
        <w:snapToGrid w:val="0"/>
        <w:spacing w:before="0" w:line="360" w:lineRule="auto"/>
        <w:ind w:left="0" w:leftChars="0" w:right="0" w:rightChars="0" w:firstLine="480"/>
        <w:textAlignment w:val="auto"/>
        <w:rPr>
          <w:rFonts w:hint="default"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 xml:space="preserve">3  </w:t>
      </w:r>
      <w:r>
        <w:rPr>
          <w:rFonts w:hint="eastAsia" w:cs="宋体"/>
          <w:color w:val="auto"/>
          <w:highlight w:val="none"/>
          <w:lang w:val="en-US" w:eastAsia="zh-CN"/>
        </w:rPr>
        <w:t>检查注浆罐密封盖是否漏气，发现漏气时，将密封盖与罐体安装紧密或更换密封橡胶圈。</w:t>
      </w:r>
    </w:p>
    <w:p>
      <w:pPr>
        <w:pStyle w:val="5"/>
        <w:pageBreakBefore w:val="0"/>
        <w:kinsoku/>
        <w:wordWrap/>
        <w:overflowPunct/>
        <w:topLinePunct w:val="0"/>
        <w:bidi w:val="0"/>
        <w:adjustRightInd w:val="0"/>
        <w:snapToGrid w:val="0"/>
        <w:spacing w:before="0" w:line="360" w:lineRule="auto"/>
        <w:ind w:left="0" w:leftChars="0" w:right="0" w:rightChars="0" w:firstLine="48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w:t>
      </w:r>
      <w:r>
        <w:rPr>
          <w:rFonts w:hint="eastAsia" w:cs="宋体"/>
          <w:color w:val="auto"/>
          <w:highlight w:val="none"/>
          <w:lang w:val="en-US" w:eastAsia="zh-CN"/>
        </w:rPr>
        <w:t xml:space="preserve">  检查浆液稳定搅拌机与罐体联接部位是否漏气，发现漏气时，将联接处安装紧密或更换联接接头。</w:t>
      </w:r>
    </w:p>
    <w:p>
      <w:pPr>
        <w:pStyle w:val="5"/>
        <w:pageBreakBefore w:val="0"/>
        <w:kinsoku/>
        <w:wordWrap/>
        <w:overflowPunct/>
        <w:topLinePunct w:val="0"/>
        <w:bidi w:val="0"/>
        <w:adjustRightInd w:val="0"/>
        <w:snapToGrid w:val="0"/>
        <w:spacing w:before="0" w:line="360" w:lineRule="auto"/>
        <w:ind w:left="0" w:leftChars="0" w:right="0" w:rightChars="0" w:firstLine="480"/>
        <w:textAlignment w:val="auto"/>
        <w:rPr>
          <w:rFonts w:hint="default"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5</w:t>
      </w:r>
      <w:r>
        <w:rPr>
          <w:rFonts w:hint="eastAsia" w:cs="宋体"/>
          <w:color w:val="auto"/>
          <w:highlight w:val="none"/>
          <w:lang w:val="en-US" w:eastAsia="zh-CN"/>
        </w:rPr>
        <w:t xml:space="preserve">  检查注浆泵或空压泵工作是否正常，发现输出压力达不到工作压力时，维修或更换设备。</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4.4</w:t>
      </w:r>
      <w:r>
        <w:rPr>
          <w:rFonts w:hint="eastAsia" w:ascii="Times New Roman" w:hAnsi="宋体" w:eastAsia="宋体" w:cs="Times New Roman"/>
          <w:b/>
          <w:bCs/>
          <w:color w:val="auto"/>
          <w:kern w:val="2"/>
          <w:sz w:val="24"/>
          <w:szCs w:val="24"/>
          <w:highlight w:val="none"/>
          <w:lang w:val="en-US" w:eastAsia="zh-CN" w:bidi="ar-SA"/>
        </w:rPr>
        <w:t>.</w:t>
      </w:r>
      <w:r>
        <w:rPr>
          <w:rFonts w:hint="eastAsia" w:ascii="Times New Roman" w:cs="Times New Roman"/>
          <w:b/>
          <w:bCs/>
          <w:color w:val="auto"/>
          <w:kern w:val="2"/>
          <w:sz w:val="24"/>
          <w:szCs w:val="24"/>
          <w:highlight w:val="none"/>
          <w:lang w:val="en-US" w:eastAsia="zh-CN" w:bidi="ar-SA"/>
        </w:rPr>
        <w:t>10</w:t>
      </w:r>
      <w:r>
        <w:rPr>
          <w:rFonts w:hint="eastAsia" w:cs="宋体"/>
          <w:color w:val="auto"/>
          <w:highlight w:val="none"/>
          <w:lang w:val="en-US" w:eastAsia="zh-CN"/>
        </w:rPr>
        <w:t xml:space="preserve">  注浆过程不得中断。因故中断超过20min时，应清洗注浆管路系统并重新调试注浆设备。</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eastAsia="楷体"/>
          <w:color w:val="auto"/>
          <w:sz w:val="21"/>
          <w:szCs w:val="21"/>
          <w:highlight w:val="none"/>
          <w:lang w:val="en-US" w:eastAsia="zh-CN"/>
        </w:rPr>
        <w:t>【条文说明】注浆中断后，注浆管路内的浆液长时间停止流动，不及时冲洗，浆液会凝固堵管。</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4.4</w:t>
      </w:r>
      <w:r>
        <w:rPr>
          <w:rFonts w:hint="eastAsia" w:ascii="Times New Roman" w:hAnsi="宋体" w:eastAsia="宋体" w:cs="Times New Roman"/>
          <w:b/>
          <w:bCs/>
          <w:color w:val="auto"/>
          <w:kern w:val="2"/>
          <w:sz w:val="24"/>
          <w:szCs w:val="24"/>
          <w:highlight w:val="none"/>
          <w:lang w:val="en-US" w:eastAsia="zh-CN" w:bidi="ar-SA"/>
        </w:rPr>
        <w:t>.1</w:t>
      </w:r>
      <w:r>
        <w:rPr>
          <w:rFonts w:hint="eastAsia" w:ascii="Times New Roman" w:cs="Times New Roman"/>
          <w:b/>
          <w:bCs/>
          <w:color w:val="auto"/>
          <w:kern w:val="2"/>
          <w:sz w:val="24"/>
          <w:szCs w:val="24"/>
          <w:highlight w:val="none"/>
          <w:lang w:val="en-US" w:eastAsia="zh-CN" w:bidi="ar-SA"/>
        </w:rPr>
        <w:t xml:space="preserve">1  </w:t>
      </w:r>
      <w:r>
        <w:rPr>
          <w:rFonts w:hint="eastAsia" w:cs="宋体"/>
          <w:color w:val="auto"/>
          <w:highlight w:val="none"/>
          <w:lang w:val="en-US" w:eastAsia="zh-CN"/>
        </w:rPr>
        <w:t>注浆完成的判定标准：注浆孔、引流排气孔及井盖传载板周边150mm～250mm范围内沥青混凝土表面均匀冒出正常浆液。</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4.4</w:t>
      </w:r>
      <w:r>
        <w:rPr>
          <w:rFonts w:hint="eastAsia" w:ascii="Times New Roman" w:hAnsi="宋体" w:eastAsia="宋体" w:cs="Times New Roman"/>
          <w:b/>
          <w:bCs/>
          <w:color w:val="auto"/>
          <w:kern w:val="2"/>
          <w:sz w:val="24"/>
          <w:szCs w:val="24"/>
          <w:highlight w:val="none"/>
          <w:lang w:val="en-US" w:eastAsia="zh-CN" w:bidi="ar-SA"/>
        </w:rPr>
        <w:t>.1</w:t>
      </w:r>
      <w:r>
        <w:rPr>
          <w:rFonts w:hint="eastAsia" w:ascii="Times New Roman" w:cs="Times New Roman"/>
          <w:b/>
          <w:bCs/>
          <w:color w:val="auto"/>
          <w:kern w:val="2"/>
          <w:sz w:val="24"/>
          <w:szCs w:val="24"/>
          <w:highlight w:val="none"/>
          <w:lang w:val="en-US" w:eastAsia="zh-CN" w:bidi="ar-SA"/>
        </w:rPr>
        <w:t>2</w:t>
      </w:r>
      <w:r>
        <w:rPr>
          <w:rFonts w:hint="eastAsia" w:ascii="Times New Roman" w:hAnsi="宋体" w:eastAsia="宋体" w:cs="Times New Roman"/>
          <w:b/>
          <w:bCs/>
          <w:color w:val="auto"/>
          <w:kern w:val="2"/>
          <w:sz w:val="24"/>
          <w:szCs w:val="24"/>
          <w:highlight w:val="none"/>
          <w:lang w:val="en-US" w:eastAsia="zh-CN" w:bidi="ar-SA"/>
        </w:rPr>
        <w:t xml:space="preserve"> </w:t>
      </w:r>
      <w:r>
        <w:rPr>
          <w:rFonts w:hint="eastAsia" w:ascii="Times New Roman" w:cs="Times New Roman"/>
          <w:b/>
          <w:bCs/>
          <w:color w:val="auto"/>
          <w:kern w:val="2"/>
          <w:sz w:val="24"/>
          <w:szCs w:val="24"/>
          <w:highlight w:val="none"/>
          <w:lang w:val="en-US" w:eastAsia="zh-CN" w:bidi="ar-SA"/>
        </w:rPr>
        <w:t xml:space="preserve"> </w:t>
      </w:r>
      <w:r>
        <w:rPr>
          <w:rFonts w:hint="eastAsia" w:cs="宋体"/>
          <w:color w:val="auto"/>
          <w:highlight w:val="none"/>
          <w:lang w:val="en-US" w:eastAsia="zh-CN"/>
        </w:rPr>
        <w:t>在浆液初凝后及时检查注浆效果，观察注浆孔、引流排气孔内浆液是否饱满，若空洞的孔数超过半数，应对该防沉降井盖进行复注。</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ascii="Times New Roman" w:cs="Times New Roman"/>
          <w:b/>
          <w:bCs/>
          <w:color w:val="auto"/>
          <w:kern w:val="2"/>
          <w:sz w:val="24"/>
          <w:szCs w:val="24"/>
          <w:highlight w:val="none"/>
          <w:lang w:val="en-US" w:eastAsia="zh-CN" w:bidi="ar-SA"/>
        </w:rPr>
        <w:t>4.4</w:t>
      </w:r>
      <w:r>
        <w:rPr>
          <w:rFonts w:hint="eastAsia" w:ascii="Times New Roman" w:hAnsi="宋体" w:eastAsia="宋体" w:cs="Times New Roman"/>
          <w:b/>
          <w:bCs/>
          <w:color w:val="auto"/>
          <w:kern w:val="2"/>
          <w:sz w:val="24"/>
          <w:szCs w:val="24"/>
          <w:highlight w:val="none"/>
          <w:lang w:val="en-US" w:eastAsia="zh-CN" w:bidi="ar-SA"/>
        </w:rPr>
        <w:t>.1</w:t>
      </w:r>
      <w:r>
        <w:rPr>
          <w:rFonts w:hint="eastAsia" w:ascii="Times New Roman" w:cs="Times New Roman"/>
          <w:b/>
          <w:bCs/>
          <w:color w:val="auto"/>
          <w:kern w:val="2"/>
          <w:sz w:val="24"/>
          <w:szCs w:val="24"/>
          <w:highlight w:val="none"/>
          <w:lang w:val="en-US" w:eastAsia="zh-CN" w:bidi="ar-SA"/>
        </w:rPr>
        <w:t xml:space="preserve">3  </w:t>
      </w:r>
      <w:r>
        <w:rPr>
          <w:rFonts w:hint="eastAsia" w:cs="宋体"/>
          <w:color w:val="auto"/>
          <w:highlight w:val="none"/>
          <w:lang w:val="en-US" w:eastAsia="zh-CN"/>
        </w:rPr>
        <w:t>防沉降井盖注浆完成后，应采用快硬水泥、塑料塞等材料将注浆孔、引流排气孔填补密实，并将其工作表面冲洗、清理干净。</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cs="宋体"/>
          <w:color w:val="auto"/>
          <w:highlight w:val="none"/>
          <w:lang w:val="en-US" w:eastAsia="zh-CN"/>
        </w:rPr>
      </w:pPr>
      <w:r>
        <w:rPr>
          <w:rFonts w:hint="eastAsia" w:eastAsia="楷体"/>
          <w:color w:val="auto"/>
          <w:sz w:val="21"/>
          <w:szCs w:val="21"/>
          <w:highlight w:val="none"/>
          <w:lang w:val="en-US" w:eastAsia="zh-CN"/>
        </w:rPr>
        <w:t>【条文说明】填补注浆孔、引流排气孔的材料除快硬水泥外，还可使用塑料塞、橡胶塞或其他快硬材料。封孔后井周及时冲洗，提高工作效率，并避免破坏加固铺面。</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ascii="宋体" w:hAnsi="宋体"/>
          <w:bCs/>
          <w:color w:val="auto"/>
          <w:sz w:val="24"/>
          <w:highlight w:val="none"/>
        </w:rPr>
      </w:pPr>
      <w:r>
        <w:rPr>
          <w:rFonts w:hint="eastAsia" w:ascii="Times New Roman" w:cs="Times New Roman"/>
          <w:b/>
          <w:bCs/>
          <w:color w:val="auto"/>
          <w:kern w:val="2"/>
          <w:sz w:val="24"/>
          <w:szCs w:val="24"/>
          <w:highlight w:val="none"/>
          <w:lang w:val="en-US" w:eastAsia="zh-CN" w:bidi="ar-SA"/>
        </w:rPr>
        <w:t>4.4</w:t>
      </w:r>
      <w:r>
        <w:rPr>
          <w:rFonts w:hint="eastAsia" w:ascii="Times New Roman" w:hAnsi="宋体" w:eastAsia="宋体" w:cs="Times New Roman"/>
          <w:b/>
          <w:bCs/>
          <w:color w:val="auto"/>
          <w:kern w:val="2"/>
          <w:sz w:val="24"/>
          <w:szCs w:val="24"/>
          <w:highlight w:val="none"/>
          <w:lang w:val="en-US" w:eastAsia="zh-CN" w:bidi="ar-SA"/>
        </w:rPr>
        <w:t>.1</w:t>
      </w:r>
      <w:r>
        <w:rPr>
          <w:rFonts w:hint="eastAsia" w:ascii="Times New Roman" w:cs="Times New Roman"/>
          <w:b/>
          <w:bCs/>
          <w:color w:val="auto"/>
          <w:kern w:val="2"/>
          <w:sz w:val="24"/>
          <w:szCs w:val="24"/>
          <w:highlight w:val="none"/>
          <w:lang w:val="en-US" w:eastAsia="zh-CN" w:bidi="ar-SA"/>
        </w:rPr>
        <w:t>4</w:t>
      </w:r>
      <w:r>
        <w:rPr>
          <w:rFonts w:hint="eastAsia" w:cs="宋体"/>
          <w:color w:val="auto"/>
          <w:highlight w:val="none"/>
          <w:lang w:val="en-US" w:eastAsia="zh-CN"/>
        </w:rPr>
        <w:t xml:space="preserve">  </w:t>
      </w:r>
      <w:r>
        <w:rPr>
          <w:rFonts w:hint="eastAsia"/>
          <w:bCs/>
          <w:snapToGrid w:val="0"/>
          <w:color w:val="auto"/>
          <w:sz w:val="24"/>
          <w:highlight w:val="none"/>
          <w:lang w:eastAsia="zh-CN"/>
        </w:rPr>
        <w:t>防沉降井盖</w:t>
      </w:r>
      <w:r>
        <w:rPr>
          <w:rFonts w:hint="eastAsia" w:hAnsi="宋体"/>
          <w:bCs/>
          <w:snapToGrid w:val="0"/>
          <w:color w:val="auto"/>
          <w:sz w:val="24"/>
          <w:highlight w:val="none"/>
          <w:lang w:eastAsia="zh-CN"/>
        </w:rPr>
        <w:t>施工</w:t>
      </w:r>
      <w:r>
        <w:rPr>
          <w:rFonts w:hint="eastAsia" w:ascii="宋体" w:hAnsi="宋体"/>
          <w:bCs/>
          <w:color w:val="auto"/>
          <w:sz w:val="24"/>
          <w:highlight w:val="none"/>
        </w:rPr>
        <w:t>应</w:t>
      </w:r>
      <w:r>
        <w:rPr>
          <w:rFonts w:hint="eastAsia"/>
          <w:bCs/>
          <w:color w:val="auto"/>
          <w:sz w:val="24"/>
          <w:highlight w:val="none"/>
          <w:lang w:eastAsia="zh-CN"/>
        </w:rPr>
        <w:t>符合</w:t>
      </w:r>
      <w:r>
        <w:rPr>
          <w:rFonts w:hint="eastAsia" w:ascii="宋体" w:hAnsi="宋体"/>
          <w:bCs/>
          <w:color w:val="auto"/>
          <w:sz w:val="24"/>
          <w:highlight w:val="none"/>
        </w:rPr>
        <w:t>环境保护的有关规定，废弃材料</w:t>
      </w:r>
      <w:r>
        <w:rPr>
          <w:rFonts w:hint="eastAsia"/>
          <w:bCs/>
          <w:color w:val="auto"/>
          <w:sz w:val="24"/>
          <w:highlight w:val="none"/>
          <w:lang w:eastAsia="zh-CN"/>
        </w:rPr>
        <w:t>及时</w:t>
      </w:r>
      <w:r>
        <w:rPr>
          <w:rFonts w:hint="eastAsia" w:ascii="宋体" w:hAnsi="宋体"/>
          <w:bCs/>
          <w:color w:val="auto"/>
          <w:sz w:val="24"/>
          <w:highlight w:val="none"/>
        </w:rPr>
        <w:t>外运和处理，避免对环境造成影响。</w:t>
      </w: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hint="eastAsia" w:ascii="宋体" w:hAnsi="宋体"/>
          <w:bCs/>
          <w:color w:val="auto"/>
          <w:sz w:val="24"/>
          <w:highlight w:val="none"/>
        </w:rPr>
      </w:pPr>
      <w:r>
        <w:rPr>
          <w:rFonts w:hint="eastAsia" w:eastAsia="楷体"/>
          <w:color w:val="auto"/>
          <w:sz w:val="21"/>
          <w:szCs w:val="21"/>
          <w:highlight w:val="none"/>
          <w:lang w:val="en-US" w:eastAsia="zh-CN"/>
        </w:rPr>
        <w:t>【条文说明】现场产生的废浆和剩余浆料随意倾倒将对环境造成污染，应收集到专门容器，运送到指定地点处理。</w:t>
      </w:r>
    </w:p>
    <w:p>
      <w:pPr>
        <w:bidi w:val="0"/>
        <w:spacing w:line="360" w:lineRule="auto"/>
        <w:rPr>
          <w:rFonts w:hint="eastAsia"/>
          <w:color w:val="auto"/>
          <w:sz w:val="24"/>
          <w:szCs w:val="24"/>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4.4.15 </w:t>
      </w:r>
      <w:r>
        <w:rPr>
          <w:rFonts w:hint="eastAsia"/>
          <w:color w:val="auto"/>
          <w:sz w:val="24"/>
          <w:szCs w:val="24"/>
          <w:lang w:val="en-US" w:eastAsia="zh-CN"/>
        </w:rPr>
        <w:t xml:space="preserve"> 做好井周铺面注浆加固记录，记录内容见附录A。</w:t>
      </w:r>
      <w:bookmarkStart w:id="108" w:name="_Toc16569"/>
      <w:bookmarkStart w:id="109" w:name="_Toc3083"/>
      <w:bookmarkStart w:id="110" w:name="_Toc10459"/>
      <w:bookmarkStart w:id="111" w:name="_Toc9960"/>
    </w:p>
    <w:p>
      <w:pPr>
        <w:pStyle w:val="3"/>
        <w:pageBreakBefore w:val="0"/>
        <w:kinsoku/>
        <w:wordWrap/>
        <w:overflowPunct/>
        <w:topLinePunct w:val="0"/>
        <w:bidi w:val="0"/>
        <w:adjustRightInd w:val="0"/>
        <w:snapToGrid w:val="0"/>
        <w:spacing w:before="0" w:after="0" w:line="360" w:lineRule="auto"/>
        <w:ind w:left="0" w:leftChars="0" w:right="0" w:rightChars="0"/>
        <w:textAlignment w:val="auto"/>
        <w:rPr>
          <w:rFonts w:hint="default"/>
          <w:color w:val="auto"/>
          <w:sz w:val="24"/>
          <w:szCs w:val="24"/>
          <w:highlight w:val="none"/>
          <w:lang w:val="en-US" w:eastAsia="zh-CN"/>
        </w:rPr>
      </w:pPr>
      <w:bookmarkStart w:id="112" w:name="_Toc1052"/>
      <w:r>
        <w:rPr>
          <w:rFonts w:hint="eastAsia"/>
          <w:color w:val="auto"/>
          <w:sz w:val="24"/>
          <w:szCs w:val="24"/>
          <w:highlight w:val="none"/>
          <w:lang w:val="en-US" w:eastAsia="zh-CN"/>
        </w:rPr>
        <w:t xml:space="preserve">4.5  </w:t>
      </w:r>
      <w:bookmarkEnd w:id="105"/>
      <w:bookmarkEnd w:id="106"/>
      <w:bookmarkEnd w:id="108"/>
      <w:bookmarkEnd w:id="109"/>
      <w:bookmarkEnd w:id="110"/>
      <w:bookmarkEnd w:id="111"/>
      <w:r>
        <w:rPr>
          <w:rFonts w:hint="eastAsia"/>
          <w:color w:val="auto"/>
          <w:sz w:val="24"/>
          <w:szCs w:val="24"/>
          <w:highlight w:val="none"/>
          <w:lang w:val="en-US" w:eastAsia="zh-CN"/>
        </w:rPr>
        <w:t>井周铺面养生</w:t>
      </w:r>
      <w:bookmarkEnd w:id="112"/>
    </w:p>
    <w:p>
      <w:pPr>
        <w:spacing w:line="360" w:lineRule="auto"/>
        <w:rPr>
          <w:rFonts w:hint="eastAsia" w:ascii="宋体" w:hAnsi="宋体" w:cs="宋体"/>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4.5.1  </w:t>
      </w:r>
      <w:r>
        <w:rPr>
          <w:rFonts w:hint="eastAsia"/>
          <w:color w:val="auto"/>
          <w:sz w:val="24"/>
          <w:szCs w:val="24"/>
          <w:highlight w:val="none"/>
          <w:lang w:val="en-US" w:eastAsia="zh-CN"/>
        </w:rPr>
        <w:t>防沉降井盖井周铺面注浆加固施工</w:t>
      </w:r>
      <w:r>
        <w:rPr>
          <w:rFonts w:hint="eastAsia" w:hAnsi="宋体" w:cs="宋体"/>
          <w:snapToGrid w:val="0"/>
          <w:color w:val="auto"/>
          <w:kern w:val="0"/>
          <w:sz w:val="24"/>
          <w:highlight w:val="none"/>
          <w:lang w:val="en-US" w:eastAsia="zh-CN"/>
        </w:rPr>
        <w:t>完毕后，应及时将</w:t>
      </w:r>
      <w:r>
        <w:rPr>
          <w:rFonts w:hint="eastAsia" w:hAnsi="宋体" w:cs="宋体"/>
          <w:snapToGrid w:val="0"/>
          <w:color w:val="auto"/>
          <w:kern w:val="0"/>
          <w:sz w:val="24"/>
          <w:highlight w:val="none"/>
          <w:lang w:eastAsia="zh-CN"/>
        </w:rPr>
        <w:t>防沉降井盖</w:t>
      </w:r>
      <w:r>
        <w:rPr>
          <w:rFonts w:hint="eastAsia" w:hAnsi="宋体" w:cs="宋体"/>
          <w:snapToGrid w:val="0"/>
          <w:color w:val="auto"/>
          <w:kern w:val="0"/>
          <w:sz w:val="24"/>
          <w:highlight w:val="none"/>
        </w:rPr>
        <w:t>和周边沥青混凝土表面冲洗、整理</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并及时</w:t>
      </w:r>
      <w:r>
        <w:rPr>
          <w:rFonts w:hint="eastAsia" w:ascii="宋体" w:hAnsi="宋体" w:cs="宋体"/>
          <w:color w:val="auto"/>
          <w:sz w:val="24"/>
          <w:highlight w:val="none"/>
        </w:rPr>
        <w:t>涂抹乳化沥青</w:t>
      </w:r>
      <w:r>
        <w:rPr>
          <w:rFonts w:hint="eastAsia" w:ascii="宋体" w:hAnsi="宋体" w:cs="宋体"/>
          <w:color w:val="auto"/>
          <w:sz w:val="24"/>
          <w:highlight w:val="none"/>
          <w:lang w:eastAsia="zh-CN"/>
        </w:rPr>
        <w:t>，乳化沥青用量宜为</w:t>
      </w:r>
      <w:r>
        <w:rPr>
          <w:rFonts w:hint="eastAsia" w:ascii="宋体" w:hAnsi="宋体" w:cs="宋体"/>
          <w:color w:val="auto"/>
          <w:sz w:val="24"/>
          <w:highlight w:val="none"/>
          <w:lang w:val="en-US" w:eastAsia="zh-CN"/>
        </w:rPr>
        <w:t>0.3kg/㎡</w:t>
      </w:r>
      <w:r>
        <w:rPr>
          <w:rFonts w:hint="eastAsia" w:cs="宋体"/>
          <w:snapToGrid w:val="0"/>
          <w:color w:val="auto"/>
          <w:highlight w:val="none"/>
          <w:lang w:val="en-US" w:eastAsia="zh-CN"/>
        </w:rPr>
        <w:t>～</w:t>
      </w:r>
      <w:r>
        <w:rPr>
          <w:rFonts w:hint="eastAsia" w:ascii="宋体" w:hAnsi="宋体" w:cs="宋体"/>
          <w:color w:val="auto"/>
          <w:sz w:val="24"/>
          <w:highlight w:val="none"/>
          <w:lang w:val="en-US" w:eastAsia="zh-CN"/>
        </w:rPr>
        <w:t>0.5kg/㎡。对加固施工区域进行封闭养护。</w:t>
      </w:r>
    </w:p>
    <w:p>
      <w:pPr>
        <w:spacing w:line="360" w:lineRule="auto"/>
        <w:rPr>
          <w:rFonts w:hint="eastAsia" w:ascii="宋体" w:hAnsi="宋体" w:cs="宋体"/>
          <w:color w:val="auto"/>
          <w:sz w:val="24"/>
          <w:highlight w:val="none"/>
          <w:lang w:val="en-US" w:eastAsia="zh-CN"/>
        </w:rPr>
      </w:pPr>
      <w:r>
        <w:rPr>
          <w:rFonts w:hint="eastAsia" w:eastAsia="楷体"/>
          <w:color w:val="auto"/>
          <w:sz w:val="21"/>
          <w:szCs w:val="21"/>
          <w:highlight w:val="none"/>
          <w:lang w:val="en-US" w:eastAsia="zh-CN"/>
        </w:rPr>
        <w:t>【条文说明】井周铺面养护期间封闭交通十分必要，车辆的行驶会对浆液早期强度的形成造成严重影响。</w:t>
      </w:r>
    </w:p>
    <w:p>
      <w:pPr>
        <w:spacing w:line="360" w:lineRule="auto"/>
        <w:rPr>
          <w:rFonts w:hint="eastAsia" w:ascii="宋体" w:hAnsi="宋体" w:eastAsia="宋体" w:cs="宋体"/>
          <w:snapToGrid w:val="0"/>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4.5.2 </w:t>
      </w:r>
      <w:r>
        <w:rPr>
          <w:rFonts w:hint="eastAsia" w:asciiTheme="minorHAnsi" w:eastAsiaTheme="minorEastAsia" w:cstheme="minorBidi"/>
          <w:snapToGrid w:val="0"/>
          <w:color w:val="auto"/>
          <w:kern w:val="0"/>
          <w:sz w:val="24"/>
          <w:szCs w:val="24"/>
          <w:highlight w:val="none"/>
          <w:lang w:val="en-US" w:eastAsia="zh-CN" w:bidi="ar-SA"/>
        </w:rPr>
        <w:t xml:space="preserve"> </w:t>
      </w:r>
      <w:r>
        <w:rPr>
          <w:rFonts w:hint="eastAsia" w:ascii="宋体" w:hAnsi="宋体" w:cs="宋体"/>
          <w:color w:val="auto"/>
          <w:sz w:val="24"/>
          <w:highlight w:val="none"/>
          <w:lang w:val="en-US" w:eastAsia="zh-CN"/>
        </w:rPr>
        <w:t>机动车道防沉降井盖井周铺面采用水泥基注浆浆液施工的，在水泥终凝后宜采用薄膜覆盖井周铺面养护，适时开放交通。</w:t>
      </w:r>
      <w:r>
        <w:rPr>
          <w:rFonts w:hint="eastAsia" w:ascii="宋体" w:hAnsi="宋体" w:eastAsia="宋体" w:cs="宋体"/>
          <w:snapToGrid w:val="0"/>
          <w:color w:val="auto"/>
          <w:sz w:val="24"/>
          <w:szCs w:val="24"/>
          <w:highlight w:val="none"/>
          <w:lang w:val="en-US" w:eastAsia="zh-CN"/>
        </w:rPr>
        <w:t>平均气温在5℃～15℃之间，井周铺面养护时间不得少于24h；平均气温在15℃以上，井周铺面养护时间不得少于12h。</w:t>
      </w:r>
    </w:p>
    <w:p>
      <w:pPr>
        <w:pageBreakBefore w:val="0"/>
        <w:kinsoku/>
        <w:wordWrap/>
        <w:overflowPunct/>
        <w:topLinePunct w:val="0"/>
        <w:bidi w:val="0"/>
        <w:adjustRightInd w:val="0"/>
        <w:snapToGrid w:val="0"/>
        <w:spacing w:line="360" w:lineRule="auto"/>
        <w:ind w:left="0" w:leftChars="0" w:right="0" w:rightChars="0"/>
        <w:textAlignment w:val="auto"/>
        <w:rPr>
          <w:rFonts w:hint="eastAsia" w:ascii="宋体" w:hAnsi="宋体" w:eastAsia="宋体" w:cs="宋体"/>
          <w:color w:val="auto"/>
          <w:kern w:val="0"/>
          <w:sz w:val="24"/>
          <w:szCs w:val="24"/>
          <w:highlight w:val="none"/>
          <w:lang w:val="en-US" w:eastAsia="zh-CN" w:bidi="ar-SA"/>
        </w:rPr>
      </w:pPr>
      <w:bookmarkStart w:id="113" w:name="_Toc15689"/>
      <w:bookmarkStart w:id="114" w:name="_Toc26819"/>
      <w:bookmarkStart w:id="115" w:name="_Toc26069"/>
      <w:r>
        <w:rPr>
          <w:rFonts w:hint="eastAsia" w:ascii="Times New Roman" w:hAnsi="宋体" w:eastAsia="宋体" w:cs="Times New Roman"/>
          <w:b/>
          <w:bCs/>
          <w:color w:val="auto"/>
          <w:kern w:val="2"/>
          <w:sz w:val="24"/>
          <w:szCs w:val="24"/>
          <w:highlight w:val="none"/>
          <w:lang w:val="en-US" w:eastAsia="zh-CN" w:bidi="ar-SA"/>
        </w:rPr>
        <w:t xml:space="preserve">4.5.3 </w:t>
      </w:r>
      <w:r>
        <w:rPr>
          <w:rFonts w:hint="eastAsia" w:asciiTheme="minorHAnsi" w:eastAsiaTheme="minorEastAsia" w:cstheme="minorBidi"/>
          <w:snapToGrid w:val="0"/>
          <w:color w:val="auto"/>
          <w:kern w:val="0"/>
          <w:sz w:val="24"/>
          <w:szCs w:val="24"/>
          <w:highlight w:val="none"/>
          <w:lang w:val="en-US" w:eastAsia="zh-CN" w:bidi="ar-SA"/>
        </w:rPr>
        <w:t xml:space="preserve"> </w:t>
      </w:r>
      <w:r>
        <w:rPr>
          <w:rFonts w:hint="eastAsia" w:ascii="宋体" w:hAnsi="宋体" w:eastAsia="宋体" w:cs="宋体"/>
          <w:color w:val="auto"/>
          <w:kern w:val="0"/>
          <w:sz w:val="24"/>
          <w:szCs w:val="24"/>
          <w:highlight w:val="none"/>
          <w:lang w:val="en-US" w:eastAsia="zh-CN" w:bidi="ar-SA"/>
        </w:rPr>
        <w:t>非机动车道在涂抹乳化沥青破乳后即可开放交通。</w:t>
      </w:r>
      <w:bookmarkEnd w:id="113"/>
      <w:bookmarkEnd w:id="114"/>
      <w:bookmarkEnd w:id="115"/>
    </w:p>
    <w:p>
      <w:pPr>
        <w:pStyle w:val="5"/>
        <w:pageBreakBefore w:val="0"/>
        <w:kinsoku/>
        <w:wordWrap/>
        <w:overflowPunct/>
        <w:topLinePunct w:val="0"/>
        <w:bidi w:val="0"/>
        <w:adjustRightInd w:val="0"/>
        <w:snapToGrid w:val="0"/>
        <w:spacing w:before="0" w:line="360" w:lineRule="auto"/>
        <w:ind w:left="0" w:leftChars="0" w:right="0" w:rightChars="0"/>
        <w:textAlignment w:val="auto"/>
        <w:rPr>
          <w:rFonts w:cs="宋体"/>
          <w:color w:val="auto"/>
          <w:sz w:val="24"/>
          <w:highlight w:val="none"/>
        </w:rPr>
      </w:pPr>
      <w:r>
        <w:rPr>
          <w:rFonts w:hint="eastAsia" w:ascii="Times New Roman" w:cs="Times New Roman"/>
          <w:b/>
          <w:bCs/>
          <w:color w:val="auto"/>
          <w:kern w:val="2"/>
          <w:sz w:val="24"/>
          <w:szCs w:val="24"/>
          <w:highlight w:val="none"/>
          <w:lang w:val="en-US" w:eastAsia="zh-CN" w:bidi="ar-SA"/>
        </w:rPr>
        <w:t>4</w:t>
      </w:r>
      <w:r>
        <w:rPr>
          <w:rFonts w:hint="eastAsia" w:ascii="Times New Roman" w:hAnsi="宋体" w:eastAsia="宋体" w:cs="Times New Roman"/>
          <w:b/>
          <w:bCs/>
          <w:color w:val="auto"/>
          <w:kern w:val="2"/>
          <w:sz w:val="24"/>
          <w:szCs w:val="24"/>
          <w:highlight w:val="none"/>
          <w:lang w:val="en-US" w:eastAsia="zh-CN" w:bidi="ar-SA"/>
        </w:rPr>
        <w:t xml:space="preserve">.5.4 </w:t>
      </w:r>
      <w:r>
        <w:rPr>
          <w:rFonts w:hint="eastAsia" w:asciiTheme="minorHAnsi" w:eastAsiaTheme="minorEastAsia" w:cstheme="minorBidi"/>
          <w:snapToGrid w:val="0"/>
          <w:color w:val="auto"/>
          <w:kern w:val="0"/>
          <w:sz w:val="24"/>
          <w:szCs w:val="24"/>
          <w:highlight w:val="none"/>
          <w:lang w:val="en-US" w:eastAsia="zh-CN" w:bidi="ar-SA"/>
        </w:rPr>
        <w:t xml:space="preserve"> </w:t>
      </w:r>
      <w:r>
        <w:rPr>
          <w:rFonts w:hint="eastAsia" w:cs="宋体"/>
          <w:color w:val="auto"/>
          <w:highlight w:val="none"/>
          <w:lang w:val="en-US" w:eastAsia="zh-CN"/>
        </w:rPr>
        <w:t>正常通行道路的防沉降井盖更换、养护工程，在井盖安装完成，沥青混凝土温度低于100℃后，立即进行井周铺面注浆加固，利用沥青混合料余热进行井周铺面热养护，井周铺面</w:t>
      </w:r>
      <w:r>
        <w:rPr>
          <w:rFonts w:hint="eastAsia" w:ascii="宋体" w:hAnsi="宋体" w:eastAsia="宋体" w:cs="宋体"/>
          <w:snapToGrid w:val="0"/>
          <w:color w:val="auto"/>
          <w:sz w:val="24"/>
          <w:szCs w:val="24"/>
          <w:highlight w:val="none"/>
          <w:lang w:val="en-US" w:eastAsia="zh-CN"/>
        </w:rPr>
        <w:t>养护时间不得少于</w:t>
      </w:r>
      <w:r>
        <w:rPr>
          <w:rFonts w:hint="eastAsia" w:cs="宋体"/>
          <w:snapToGrid w:val="0"/>
          <w:color w:val="auto"/>
          <w:sz w:val="24"/>
          <w:szCs w:val="24"/>
          <w:highlight w:val="none"/>
          <w:lang w:val="en-US" w:eastAsia="zh-CN"/>
        </w:rPr>
        <w:t>6</w:t>
      </w:r>
      <w:r>
        <w:rPr>
          <w:rFonts w:hint="eastAsia" w:ascii="宋体" w:hAnsi="宋体" w:eastAsia="宋体" w:cs="宋体"/>
          <w:snapToGrid w:val="0"/>
          <w:color w:val="auto"/>
          <w:sz w:val="24"/>
          <w:szCs w:val="24"/>
          <w:highlight w:val="none"/>
          <w:lang w:val="en-US" w:eastAsia="zh-CN"/>
        </w:rPr>
        <w:t>h</w:t>
      </w:r>
      <w:r>
        <w:rPr>
          <w:rFonts w:hint="eastAsia" w:cs="宋体"/>
          <w:color w:val="auto"/>
          <w:highlight w:val="none"/>
          <w:lang w:val="en-US" w:eastAsia="zh-CN"/>
        </w:rPr>
        <w:t>。</w:t>
      </w:r>
    </w:p>
    <w:p>
      <w:pPr>
        <w:rPr>
          <w:rFonts w:hint="eastAsia" w:ascii="宋体" w:hAnsi="宋体" w:eastAsia="宋体" w:cs="宋体"/>
          <w:color w:val="auto"/>
          <w:sz w:val="30"/>
          <w:szCs w:val="30"/>
          <w:highlight w:val="none"/>
          <w:lang w:val="en-US" w:eastAsia="zh-CN"/>
        </w:rPr>
      </w:pPr>
      <w:bookmarkStart w:id="116" w:name="_Toc13820"/>
      <w:bookmarkStart w:id="117" w:name="_Toc32639"/>
      <w:bookmarkStart w:id="118" w:name="_Toc30837"/>
      <w:bookmarkStart w:id="119" w:name="_Toc24360"/>
      <w:bookmarkStart w:id="120" w:name="_Toc10292"/>
      <w:r>
        <w:rPr>
          <w:rFonts w:hint="eastAsia" w:ascii="宋体" w:hAnsi="宋体" w:eastAsia="宋体" w:cs="宋体"/>
          <w:color w:val="auto"/>
          <w:sz w:val="30"/>
          <w:szCs w:val="30"/>
          <w:highlight w:val="none"/>
          <w:lang w:val="en-US" w:eastAsia="zh-CN"/>
        </w:rPr>
        <w:br w:type="page"/>
      </w:r>
    </w:p>
    <w:p>
      <w:pPr>
        <w:pStyle w:val="2"/>
        <w:keepNext/>
        <w:keepLines/>
        <w:pageBreakBefore w:val="0"/>
        <w:widowControl w:val="0"/>
        <w:kinsoku/>
        <w:wordWrap/>
        <w:overflowPunct/>
        <w:topLinePunct w:val="0"/>
        <w:autoSpaceDE/>
        <w:autoSpaceDN/>
        <w:bidi w:val="0"/>
        <w:adjustRightInd w:val="0"/>
        <w:snapToGrid w:val="0"/>
        <w:spacing w:before="0" w:beforeLines="100" w:after="0" w:afterLines="100" w:line="360" w:lineRule="auto"/>
        <w:ind w:left="0" w:leftChars="0" w:right="0" w:rightChars="0"/>
        <w:jc w:val="center"/>
        <w:textAlignment w:val="auto"/>
        <w:rPr>
          <w:rFonts w:hint="eastAsia" w:ascii="宋体" w:hAnsi="宋体" w:eastAsia="宋体" w:cs="宋体"/>
          <w:color w:val="auto"/>
          <w:sz w:val="30"/>
          <w:szCs w:val="30"/>
          <w:highlight w:val="none"/>
          <w:lang w:val="en-US" w:eastAsia="zh-CN"/>
        </w:rPr>
      </w:pPr>
      <w:bookmarkStart w:id="121" w:name="_Toc26257"/>
      <w:r>
        <w:rPr>
          <w:rFonts w:hint="eastAsia" w:ascii="宋体" w:hAnsi="宋体" w:eastAsia="宋体" w:cs="宋体"/>
          <w:color w:val="auto"/>
          <w:sz w:val="30"/>
          <w:szCs w:val="30"/>
          <w:highlight w:val="none"/>
          <w:lang w:val="en-US" w:eastAsia="zh-CN"/>
        </w:rPr>
        <w:t>5 质量验收</w:t>
      </w:r>
      <w:bookmarkEnd w:id="116"/>
      <w:bookmarkEnd w:id="117"/>
      <w:bookmarkEnd w:id="118"/>
      <w:bookmarkEnd w:id="119"/>
      <w:bookmarkEnd w:id="120"/>
      <w:bookmarkEnd w:id="121"/>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5.0.1</w:t>
      </w:r>
      <w:r>
        <w:rPr>
          <w:rFonts w:hint="eastAsia" w:ascii="宋体" w:hAnsi="宋体" w:eastAsia="宋体" w:cs="宋体"/>
          <w:color w:val="auto"/>
          <w:sz w:val="24"/>
          <w:szCs w:val="24"/>
          <w:highlight w:val="none"/>
          <w:lang w:val="en-US" w:eastAsia="zh-CN"/>
        </w:rPr>
        <w:t xml:space="preserve">  </w:t>
      </w:r>
      <w:r>
        <w:rPr>
          <w:rFonts w:hint="eastAsia"/>
          <w:color w:val="auto"/>
          <w:sz w:val="24"/>
          <w:szCs w:val="24"/>
          <w:highlight w:val="none"/>
          <w:lang w:val="en-US" w:eastAsia="zh-CN"/>
        </w:rPr>
        <w:t>新建、改建、扩建</w:t>
      </w:r>
      <w:r>
        <w:rPr>
          <w:rFonts w:hint="eastAsia" w:ascii="宋体" w:hAnsi="宋体" w:eastAsia="宋体" w:cs="宋体"/>
          <w:color w:val="auto"/>
          <w:sz w:val="24"/>
          <w:szCs w:val="24"/>
          <w:highlight w:val="none"/>
          <w:lang w:val="en-US" w:eastAsia="zh-CN"/>
        </w:rPr>
        <w:t>防沉降井盖施工应按照下列要求进行验收：</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Times New Roman" w:hAnsi="宋体" w:eastAsia="宋体" w:cs="Times New Roman"/>
          <w:b/>
          <w:bCs/>
          <w:color w:val="auto"/>
          <w:kern w:val="2"/>
          <w:sz w:val="24"/>
          <w:szCs w:val="24"/>
          <w:highlight w:val="none"/>
          <w:lang w:val="en-US" w:eastAsia="zh-CN" w:bidi="ar-SA"/>
        </w:rPr>
        <w:t xml:space="preserve">1  </w:t>
      </w:r>
      <w:r>
        <w:rPr>
          <w:rFonts w:hint="eastAsia" w:ascii="宋体" w:hAnsi="宋体" w:eastAsia="宋体" w:cs="宋体"/>
          <w:color w:val="auto"/>
          <w:sz w:val="24"/>
          <w:szCs w:val="24"/>
          <w:highlight w:val="none"/>
          <w:lang w:val="en-US" w:eastAsia="zh-CN"/>
        </w:rPr>
        <w:t>工程质量应符合本规程及现行国家相关验收规范的规定；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2  </w:t>
      </w:r>
      <w:r>
        <w:rPr>
          <w:rFonts w:hint="eastAsia" w:ascii="宋体" w:hAnsi="宋体" w:eastAsia="宋体" w:cs="宋体"/>
          <w:color w:val="auto"/>
          <w:sz w:val="24"/>
          <w:szCs w:val="24"/>
          <w:highlight w:val="none"/>
          <w:lang w:val="en-US" w:eastAsia="zh-CN"/>
        </w:rPr>
        <w:t>工程施工应符合设计文件的要求；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3</w:t>
      </w:r>
      <w:r>
        <w:rPr>
          <w:rFonts w:hint="eastAsia" w:ascii="宋体" w:hAnsi="宋体" w:eastAsia="宋体" w:cs="宋体"/>
          <w:color w:val="auto"/>
          <w:sz w:val="24"/>
          <w:szCs w:val="24"/>
          <w:highlight w:val="none"/>
          <w:lang w:val="en-US" w:eastAsia="zh-CN"/>
        </w:rPr>
        <w:t xml:space="preserve">  参加施工验收的各方人员应具备规定的资格；</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4  </w:t>
      </w:r>
      <w:r>
        <w:rPr>
          <w:rFonts w:hint="eastAsia" w:ascii="宋体" w:hAnsi="宋体" w:eastAsia="宋体" w:cs="宋体"/>
          <w:color w:val="auto"/>
          <w:sz w:val="24"/>
          <w:szCs w:val="24"/>
          <w:highlight w:val="none"/>
          <w:lang w:val="en-US" w:eastAsia="zh-CN"/>
        </w:rPr>
        <w:t>工程质量的验收应在施工单位自行检查评定合格的基础上进行；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5</w:t>
      </w:r>
      <w:r>
        <w:rPr>
          <w:rFonts w:hint="eastAsia" w:ascii="宋体" w:hAnsi="宋体" w:eastAsia="宋体" w:cs="宋体"/>
          <w:color w:val="auto"/>
          <w:sz w:val="24"/>
          <w:szCs w:val="24"/>
          <w:highlight w:val="none"/>
          <w:lang w:val="en-US" w:eastAsia="zh-CN"/>
        </w:rPr>
        <w:t xml:space="preserve">  检验批的质量应按主控项目和一般项目进行验收；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6  </w:t>
      </w:r>
      <w:r>
        <w:rPr>
          <w:rFonts w:hint="eastAsia" w:ascii="宋体" w:hAnsi="宋体" w:eastAsia="宋体" w:cs="宋体"/>
          <w:color w:val="auto"/>
          <w:sz w:val="24"/>
          <w:szCs w:val="24"/>
          <w:highlight w:val="none"/>
          <w:lang w:val="en-US" w:eastAsia="zh-CN"/>
        </w:rPr>
        <w:t>对防沉降井盖防沉降功能应进行抽样检测；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7  </w:t>
      </w:r>
      <w:r>
        <w:rPr>
          <w:rFonts w:hint="eastAsia" w:ascii="宋体" w:hAnsi="宋体" w:eastAsia="宋体" w:cs="宋体"/>
          <w:color w:val="auto"/>
          <w:sz w:val="24"/>
          <w:szCs w:val="24"/>
          <w:highlight w:val="none"/>
          <w:lang w:val="en-US" w:eastAsia="zh-CN"/>
        </w:rPr>
        <w:t>承担复验或检测的单位应为具有相应资质的独立第三方；</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8</w:t>
      </w:r>
      <w:r>
        <w:rPr>
          <w:rFonts w:hint="eastAsia" w:ascii="宋体" w:hAnsi="宋体" w:eastAsia="宋体" w:cs="宋体"/>
          <w:color w:val="auto"/>
          <w:sz w:val="24"/>
          <w:szCs w:val="24"/>
          <w:highlight w:val="none"/>
          <w:lang w:val="en-US" w:eastAsia="zh-CN"/>
        </w:rPr>
        <w:t xml:space="preserve">  安装的外观质量应由验收人员现场检查共同确认。</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eastAsia="楷体"/>
          <w:color w:val="auto"/>
          <w:sz w:val="21"/>
          <w:szCs w:val="21"/>
          <w:highlight w:val="none"/>
          <w:lang w:val="en-US" w:eastAsia="zh-CN"/>
        </w:rPr>
        <w:t>【条文说明】5.0.1  对防沉降井盖防沉降功能抽样检测项目包括井周加固铺面的压实度、劈裂及冻融残余强度、渗水系数、稳定度及流值。</w:t>
      </w:r>
    </w:p>
    <w:p>
      <w:pPr>
        <w:pageBreakBefore w:val="0"/>
        <w:kinsoku/>
        <w:wordWrap/>
        <w:overflowPunct/>
        <w:topLinePunct w:val="0"/>
        <w:bidi w:val="0"/>
        <w:adjustRightInd w:val="0"/>
        <w:snapToGrid w:val="0"/>
        <w:spacing w:line="360" w:lineRule="auto"/>
        <w:ind w:right="0" w:rightChars="0"/>
        <w:textAlignment w:val="auto"/>
        <w:rPr>
          <w:rFonts w:ascii="宋体" w:hAnsi="宋体" w:cs="宋体"/>
          <w:snapToGrid w:val="0"/>
          <w:color w:val="auto"/>
          <w:sz w:val="24"/>
          <w:highlight w:val="none"/>
        </w:rPr>
      </w:pPr>
      <w:r>
        <w:rPr>
          <w:rFonts w:hint="eastAsia" w:ascii="Times New Roman" w:hAnsi="宋体" w:eastAsia="宋体" w:cs="Times New Roman"/>
          <w:b/>
          <w:bCs/>
          <w:color w:val="auto"/>
          <w:kern w:val="2"/>
          <w:sz w:val="24"/>
          <w:szCs w:val="24"/>
          <w:highlight w:val="none"/>
          <w:lang w:val="en-US" w:eastAsia="zh-CN" w:bidi="ar-SA"/>
        </w:rPr>
        <w:t xml:space="preserve">5.0.2  </w:t>
      </w:r>
      <w:r>
        <w:rPr>
          <w:rFonts w:hint="eastAsia" w:ascii="宋体" w:hAnsi="宋体" w:cs="宋体"/>
          <w:snapToGrid w:val="0"/>
          <w:color w:val="auto"/>
          <w:sz w:val="24"/>
          <w:highlight w:val="none"/>
        </w:rPr>
        <w:t>防沉降井盖施工应建立质量安全技术档案，包括下列主要内容：</w:t>
      </w:r>
    </w:p>
    <w:p>
      <w:pPr>
        <w:pageBreakBefore w:val="0"/>
        <w:kinsoku/>
        <w:wordWrap/>
        <w:overflowPunct/>
        <w:topLinePunct w:val="0"/>
        <w:bidi w:val="0"/>
        <w:adjustRightInd w:val="0"/>
        <w:snapToGrid w:val="0"/>
        <w:spacing w:line="360" w:lineRule="auto"/>
        <w:ind w:left="0" w:leftChars="0" w:right="0" w:rightChars="0" w:firstLine="482" w:firstLineChars="200"/>
        <w:textAlignment w:val="auto"/>
        <w:rPr>
          <w:rFonts w:ascii="宋体" w:hAnsi="宋体" w:cs="宋体"/>
          <w:snapToGrid w:val="0"/>
          <w:color w:val="auto"/>
          <w:sz w:val="24"/>
          <w:highlight w:val="none"/>
        </w:rPr>
      </w:pPr>
      <w:r>
        <w:rPr>
          <w:rFonts w:hint="eastAsia" w:ascii="Times New Roman" w:hAnsi="宋体" w:eastAsia="宋体" w:cs="Times New Roman"/>
          <w:b/>
          <w:bCs/>
          <w:color w:val="auto"/>
          <w:kern w:val="2"/>
          <w:sz w:val="24"/>
          <w:szCs w:val="24"/>
          <w:highlight w:val="none"/>
          <w:lang w:val="en-US" w:eastAsia="zh-CN" w:bidi="ar-SA"/>
        </w:rPr>
        <w:t>1</w:t>
      </w:r>
      <w:r>
        <w:rPr>
          <w:rFonts w:hint="eastAsia" w:ascii="宋体" w:hAnsi="宋体" w:cs="宋体"/>
          <w:color w:val="auto"/>
          <w:sz w:val="24"/>
          <w:highlight w:val="none"/>
        </w:rPr>
        <w:t xml:space="preserve">  </w:t>
      </w:r>
      <w:r>
        <w:rPr>
          <w:rFonts w:hint="eastAsia" w:ascii="宋体" w:hAnsi="宋体" w:cs="宋体"/>
          <w:snapToGrid w:val="0"/>
          <w:color w:val="auto"/>
          <w:sz w:val="24"/>
          <w:highlight w:val="none"/>
          <w:lang w:val="en-US" w:eastAsia="zh-CN"/>
        </w:rPr>
        <w:t>防沉降井盖</w:t>
      </w:r>
      <w:r>
        <w:rPr>
          <w:rFonts w:hint="eastAsia" w:ascii="宋体" w:hAnsi="宋体" w:cs="宋体"/>
          <w:snapToGrid w:val="0"/>
          <w:color w:val="auto"/>
          <w:sz w:val="24"/>
          <w:highlight w:val="none"/>
        </w:rPr>
        <w:t>施工合同及安全生产管理协议；</w:t>
      </w:r>
    </w:p>
    <w:p>
      <w:pPr>
        <w:pageBreakBefore w:val="0"/>
        <w:kinsoku/>
        <w:wordWrap/>
        <w:overflowPunct/>
        <w:topLinePunct w:val="0"/>
        <w:bidi w:val="0"/>
        <w:adjustRightInd w:val="0"/>
        <w:snapToGrid w:val="0"/>
        <w:spacing w:line="360" w:lineRule="auto"/>
        <w:ind w:left="0" w:leftChars="0" w:right="0" w:rightChars="0" w:firstLine="482" w:firstLineChars="200"/>
        <w:textAlignment w:val="auto"/>
        <w:rPr>
          <w:rFonts w:ascii="宋体" w:hAnsi="宋体" w:cs="宋体"/>
          <w:snapToGrid w:val="0"/>
          <w:color w:val="auto"/>
          <w:sz w:val="24"/>
          <w:highlight w:val="none"/>
        </w:rPr>
      </w:pPr>
      <w:r>
        <w:rPr>
          <w:rFonts w:hint="eastAsia" w:ascii="Times New Roman" w:hAnsi="宋体" w:eastAsia="宋体" w:cs="Times New Roman"/>
          <w:b/>
          <w:bCs/>
          <w:color w:val="auto"/>
          <w:kern w:val="2"/>
          <w:sz w:val="24"/>
          <w:szCs w:val="24"/>
          <w:highlight w:val="none"/>
          <w:lang w:val="en-US" w:eastAsia="zh-CN" w:bidi="ar-SA"/>
        </w:rPr>
        <w:t>2</w:t>
      </w:r>
      <w:r>
        <w:rPr>
          <w:rFonts w:hint="eastAsia" w:ascii="宋体" w:hAnsi="宋体" w:cs="宋体"/>
          <w:snapToGrid w:val="0"/>
          <w:color w:val="auto"/>
          <w:sz w:val="24"/>
          <w:highlight w:val="none"/>
        </w:rPr>
        <w:t xml:space="preserve">  专项施工方案；</w:t>
      </w:r>
    </w:p>
    <w:p>
      <w:pPr>
        <w:pageBreakBefore w:val="0"/>
        <w:kinsoku/>
        <w:wordWrap/>
        <w:overflowPunct/>
        <w:topLinePunct w:val="0"/>
        <w:bidi w:val="0"/>
        <w:adjustRightInd w:val="0"/>
        <w:snapToGrid w:val="0"/>
        <w:spacing w:line="360" w:lineRule="auto"/>
        <w:ind w:left="0" w:leftChars="0" w:right="0" w:rightChars="0" w:firstLine="482" w:firstLineChars="200"/>
        <w:textAlignment w:val="auto"/>
        <w:rPr>
          <w:rFonts w:ascii="宋体" w:hAnsi="宋体" w:cs="宋体"/>
          <w:snapToGrid w:val="0"/>
          <w:color w:val="auto"/>
          <w:sz w:val="24"/>
          <w:highlight w:val="none"/>
        </w:rPr>
      </w:pPr>
      <w:r>
        <w:rPr>
          <w:rFonts w:hint="eastAsia" w:ascii="Times New Roman" w:hAnsi="宋体" w:eastAsia="宋体" w:cs="Times New Roman"/>
          <w:b/>
          <w:bCs/>
          <w:color w:val="auto"/>
          <w:kern w:val="2"/>
          <w:sz w:val="24"/>
          <w:szCs w:val="24"/>
          <w:highlight w:val="none"/>
          <w:lang w:val="en-US" w:eastAsia="zh-CN" w:bidi="ar-SA"/>
        </w:rPr>
        <w:t>3</w:t>
      </w:r>
      <w:r>
        <w:rPr>
          <w:rFonts w:hint="eastAsia" w:ascii="宋体" w:hAnsi="宋体" w:cs="宋体"/>
          <w:color w:val="auto"/>
          <w:sz w:val="24"/>
          <w:highlight w:val="none"/>
          <w:lang w:val="en-US" w:eastAsia="zh-CN"/>
        </w:rPr>
        <w:t xml:space="preserve">  防沉降井盖</w:t>
      </w:r>
      <w:r>
        <w:rPr>
          <w:rFonts w:hint="eastAsia" w:ascii="宋体" w:hAnsi="宋体" w:cs="宋体"/>
          <w:snapToGrid w:val="0"/>
          <w:color w:val="auto"/>
          <w:sz w:val="24"/>
          <w:highlight w:val="none"/>
        </w:rPr>
        <w:t>产品合格证、现场抽检记录、抽样检验报告；</w:t>
      </w:r>
    </w:p>
    <w:p>
      <w:pPr>
        <w:pageBreakBefore w:val="0"/>
        <w:kinsoku/>
        <w:wordWrap/>
        <w:overflowPunct/>
        <w:topLinePunct w:val="0"/>
        <w:bidi w:val="0"/>
        <w:adjustRightInd w:val="0"/>
        <w:snapToGrid w:val="0"/>
        <w:spacing w:line="360" w:lineRule="auto"/>
        <w:ind w:left="0" w:leftChars="0" w:right="0" w:rightChars="0" w:firstLine="482" w:firstLineChars="200"/>
        <w:textAlignment w:val="auto"/>
        <w:rPr>
          <w:rFonts w:ascii="宋体" w:hAnsi="宋体" w:cs="宋体"/>
          <w:snapToGrid w:val="0"/>
          <w:color w:val="auto"/>
          <w:sz w:val="24"/>
          <w:highlight w:val="none"/>
        </w:rPr>
      </w:pPr>
      <w:r>
        <w:rPr>
          <w:rFonts w:hint="eastAsia" w:ascii="Times New Roman" w:hAnsi="宋体" w:eastAsia="宋体" w:cs="Times New Roman"/>
          <w:b/>
          <w:bCs/>
          <w:color w:val="auto"/>
          <w:kern w:val="2"/>
          <w:sz w:val="24"/>
          <w:szCs w:val="24"/>
          <w:highlight w:val="none"/>
          <w:lang w:val="en-US" w:eastAsia="zh-CN" w:bidi="ar-SA"/>
        </w:rPr>
        <w:t>4</w:t>
      </w:r>
      <w:r>
        <w:rPr>
          <w:rFonts w:hint="eastAsia" w:ascii="宋体" w:hAnsi="宋体" w:cs="宋体"/>
          <w:snapToGrid w:val="0"/>
          <w:color w:val="auto"/>
          <w:sz w:val="24"/>
          <w:highlight w:val="none"/>
        </w:rPr>
        <w:t xml:space="preserve">  原材料质量证明文件和抽样检验报告；</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cs="宋体"/>
          <w:snapToGrid w:val="0"/>
          <w:color w:val="auto"/>
          <w:sz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5</w:t>
      </w:r>
      <w:r>
        <w:rPr>
          <w:rFonts w:hint="eastAsia" w:ascii="宋体" w:hAnsi="宋体" w:cs="宋体"/>
          <w:snapToGrid w:val="0"/>
          <w:color w:val="auto"/>
          <w:sz w:val="24"/>
          <w:highlight w:val="none"/>
        </w:rPr>
        <w:t xml:space="preserve">  注浆浆液</w:t>
      </w:r>
      <w:r>
        <w:rPr>
          <w:rFonts w:hint="eastAsia" w:ascii="宋体" w:hAnsi="宋体" w:cs="宋体"/>
          <w:snapToGrid w:val="0"/>
          <w:color w:val="auto"/>
          <w:sz w:val="24"/>
          <w:highlight w:val="none"/>
          <w:lang w:val="en-US" w:eastAsia="zh-CN"/>
        </w:rPr>
        <w:t>配合比、性能检测</w:t>
      </w:r>
      <w:r>
        <w:rPr>
          <w:rFonts w:hint="eastAsia" w:ascii="宋体" w:hAnsi="宋体" w:cs="宋体"/>
          <w:snapToGrid w:val="0"/>
          <w:color w:val="auto"/>
          <w:sz w:val="24"/>
          <w:highlight w:val="none"/>
        </w:rPr>
        <w:t>报告</w:t>
      </w:r>
      <w:r>
        <w:rPr>
          <w:rFonts w:hint="eastAsia" w:ascii="宋体" w:hAnsi="宋体" w:cs="宋体"/>
          <w:snapToGrid w:val="0"/>
          <w:color w:val="auto"/>
          <w:sz w:val="24"/>
          <w:highlight w:val="none"/>
          <w:lang w:eastAsia="zh-CN"/>
        </w:rPr>
        <w:t>，</w:t>
      </w:r>
      <w:r>
        <w:rPr>
          <w:rFonts w:hint="eastAsia" w:ascii="宋体" w:hAnsi="宋体" w:cs="宋体"/>
          <w:snapToGrid w:val="0"/>
          <w:color w:val="auto"/>
          <w:sz w:val="24"/>
          <w:highlight w:val="none"/>
          <w:lang w:val="en-US" w:eastAsia="zh-CN"/>
        </w:rPr>
        <w:t>井周</w:t>
      </w:r>
      <w:r>
        <w:rPr>
          <w:rFonts w:hint="eastAsia" w:ascii="宋体" w:hAnsi="宋体" w:eastAsia="宋体" w:cs="宋体"/>
          <w:color w:val="auto"/>
          <w:sz w:val="24"/>
          <w:szCs w:val="24"/>
          <w:highlight w:val="none"/>
          <w:lang w:val="en-US" w:eastAsia="zh-CN"/>
        </w:rPr>
        <w:t>加固铺面压实度、劈裂及冻融残余强度、</w:t>
      </w:r>
      <w:r>
        <w:rPr>
          <w:rFonts w:hint="eastAsia" w:ascii="宋体" w:hAnsi="宋体" w:cs="宋体"/>
          <w:snapToGrid w:val="0"/>
          <w:color w:val="auto"/>
          <w:sz w:val="24"/>
          <w:highlight w:val="none"/>
          <w:lang w:val="en-US" w:eastAsia="zh-CN"/>
        </w:rPr>
        <w:t>渗水系数、稳定度及流值等</w:t>
      </w:r>
      <w:bookmarkStart w:id="199" w:name="_GoBack"/>
      <w:bookmarkEnd w:id="199"/>
      <w:r>
        <w:rPr>
          <w:rFonts w:hint="eastAsia" w:ascii="宋体" w:hAnsi="宋体" w:eastAsia="宋体" w:cs="宋体"/>
          <w:color w:val="auto"/>
          <w:sz w:val="24"/>
          <w:szCs w:val="24"/>
          <w:highlight w:val="none"/>
          <w:lang w:val="en-US" w:eastAsia="zh-CN"/>
        </w:rPr>
        <w:t>检验报告</w:t>
      </w:r>
      <w:r>
        <w:rPr>
          <w:rFonts w:hint="eastAsia" w:ascii="宋体" w:hAnsi="宋体" w:cs="宋体"/>
          <w:snapToGrid w:val="0"/>
          <w:color w:val="auto"/>
          <w:sz w:val="24"/>
          <w:highlight w:val="none"/>
          <w:lang w:val="en-US" w:eastAsia="zh-CN"/>
        </w:rPr>
        <w:t>；</w:t>
      </w:r>
    </w:p>
    <w:p>
      <w:pPr>
        <w:pageBreakBefore w:val="0"/>
        <w:kinsoku/>
        <w:wordWrap/>
        <w:overflowPunct/>
        <w:topLinePunct w:val="0"/>
        <w:bidi w:val="0"/>
        <w:adjustRightInd w:val="0"/>
        <w:snapToGrid w:val="0"/>
        <w:spacing w:line="360" w:lineRule="auto"/>
        <w:ind w:left="0" w:leftChars="0" w:right="0" w:rightChars="0" w:firstLine="482" w:firstLineChars="200"/>
        <w:textAlignment w:val="auto"/>
        <w:rPr>
          <w:rFonts w:ascii="宋体" w:hAnsi="宋体" w:cs="宋体"/>
          <w:snapToGrid w:val="0"/>
          <w:color w:val="auto"/>
          <w:sz w:val="24"/>
          <w:highlight w:val="none"/>
        </w:rPr>
      </w:pPr>
      <w:r>
        <w:rPr>
          <w:rFonts w:hint="eastAsia" w:ascii="Times New Roman" w:hAnsi="宋体" w:eastAsia="宋体" w:cs="Times New Roman"/>
          <w:b/>
          <w:bCs/>
          <w:color w:val="auto"/>
          <w:kern w:val="2"/>
          <w:sz w:val="24"/>
          <w:szCs w:val="24"/>
          <w:highlight w:val="none"/>
          <w:lang w:val="en-US" w:eastAsia="zh-CN" w:bidi="ar-SA"/>
        </w:rPr>
        <w:t>6</w:t>
      </w:r>
      <w:r>
        <w:rPr>
          <w:rFonts w:hint="eastAsia" w:ascii="宋体" w:hAnsi="宋体" w:cs="宋体"/>
          <w:snapToGrid w:val="0"/>
          <w:color w:val="auto"/>
          <w:sz w:val="24"/>
          <w:highlight w:val="none"/>
        </w:rPr>
        <w:t xml:space="preserve">  </w:t>
      </w:r>
      <w:r>
        <w:rPr>
          <w:rFonts w:hint="eastAsia"/>
          <w:color w:val="auto"/>
          <w:sz w:val="24"/>
          <w:szCs w:val="24"/>
          <w:highlight w:val="none"/>
          <w:lang w:val="en-US" w:eastAsia="zh-CN"/>
        </w:rPr>
        <w:t>井周加固铺面注浆记录表</w:t>
      </w:r>
      <w:r>
        <w:rPr>
          <w:rFonts w:hint="eastAsia" w:ascii="宋体" w:hAnsi="宋体" w:cs="宋体"/>
          <w:snapToGrid w:val="0"/>
          <w:color w:val="auto"/>
          <w:sz w:val="24"/>
          <w:highlight w:val="none"/>
        </w:rPr>
        <w:t>、防沉降井盖</w:t>
      </w:r>
      <w:r>
        <w:rPr>
          <w:rFonts w:hint="eastAsia" w:ascii="宋体" w:hAnsi="宋体" w:cs="宋体"/>
          <w:snapToGrid w:val="0"/>
          <w:color w:val="auto"/>
          <w:sz w:val="24"/>
          <w:highlight w:val="none"/>
          <w:lang w:eastAsia="zh-CN"/>
        </w:rPr>
        <w:t>施工</w:t>
      </w:r>
      <w:r>
        <w:rPr>
          <w:rFonts w:hint="eastAsia" w:ascii="宋体" w:hAnsi="宋体" w:cs="宋体"/>
          <w:snapToGrid w:val="0"/>
          <w:color w:val="auto"/>
          <w:sz w:val="24"/>
          <w:highlight w:val="none"/>
        </w:rPr>
        <w:t>质量验收记录；</w:t>
      </w:r>
    </w:p>
    <w:p>
      <w:pPr>
        <w:pageBreakBefore w:val="0"/>
        <w:kinsoku/>
        <w:wordWrap/>
        <w:overflowPunct/>
        <w:topLinePunct w:val="0"/>
        <w:bidi w:val="0"/>
        <w:adjustRightInd w:val="0"/>
        <w:snapToGrid w:val="0"/>
        <w:spacing w:line="360" w:lineRule="auto"/>
        <w:ind w:left="0" w:leftChars="0" w:right="0" w:rightChars="0" w:firstLine="482" w:firstLineChars="200"/>
        <w:textAlignment w:val="auto"/>
        <w:rPr>
          <w:rFonts w:hint="eastAsia" w:ascii="宋体" w:hAnsi="宋体" w:cs="宋体"/>
          <w:snapToGrid w:val="0"/>
          <w:color w:val="auto"/>
          <w:sz w:val="24"/>
          <w:highlight w:val="none"/>
        </w:rPr>
      </w:pPr>
      <w:r>
        <w:rPr>
          <w:rFonts w:hint="eastAsia" w:ascii="Times New Roman" w:hAnsi="宋体" w:eastAsia="宋体" w:cs="Times New Roman"/>
          <w:b/>
          <w:bCs/>
          <w:color w:val="auto"/>
          <w:kern w:val="2"/>
          <w:sz w:val="24"/>
          <w:szCs w:val="24"/>
          <w:highlight w:val="none"/>
          <w:lang w:val="en-US" w:eastAsia="zh-CN" w:bidi="ar-SA"/>
        </w:rPr>
        <w:t>7</w:t>
      </w:r>
      <w:r>
        <w:rPr>
          <w:rFonts w:hint="eastAsia" w:ascii="宋体" w:hAnsi="宋体" w:cs="宋体"/>
          <w:snapToGrid w:val="0"/>
          <w:color w:val="auto"/>
          <w:sz w:val="24"/>
          <w:highlight w:val="none"/>
        </w:rPr>
        <w:t xml:space="preserve">  卸载板、</w:t>
      </w:r>
      <w:r>
        <w:rPr>
          <w:rFonts w:hint="eastAsia" w:ascii="宋体" w:hAnsi="宋体" w:cs="宋体"/>
          <w:snapToGrid w:val="0"/>
          <w:color w:val="auto"/>
          <w:sz w:val="24"/>
          <w:highlight w:val="none"/>
          <w:lang w:val="en-US" w:eastAsia="zh-CN"/>
        </w:rPr>
        <w:t>盖</w:t>
      </w:r>
      <w:r>
        <w:rPr>
          <w:rFonts w:hint="eastAsia" w:ascii="宋体" w:hAnsi="宋体" w:cs="宋体"/>
          <w:snapToGrid w:val="0"/>
          <w:color w:val="auto"/>
          <w:sz w:val="24"/>
          <w:highlight w:val="none"/>
        </w:rPr>
        <w:t>座</w:t>
      </w:r>
      <w:r>
        <w:rPr>
          <w:rFonts w:hint="eastAsia" w:ascii="宋体" w:hAnsi="宋体" w:cs="宋体"/>
          <w:snapToGrid w:val="0"/>
          <w:color w:val="auto"/>
          <w:sz w:val="24"/>
          <w:highlight w:val="none"/>
          <w:lang w:eastAsia="zh-CN"/>
        </w:rPr>
        <w:t>、</w:t>
      </w:r>
      <w:r>
        <w:rPr>
          <w:rFonts w:hint="eastAsia" w:ascii="宋体" w:hAnsi="宋体" w:cs="宋体"/>
          <w:snapToGrid w:val="0"/>
          <w:color w:val="auto"/>
          <w:sz w:val="24"/>
          <w:highlight w:val="none"/>
          <w:lang w:val="en-US" w:eastAsia="zh-CN"/>
        </w:rPr>
        <w:t>调节环质量</w:t>
      </w:r>
      <w:r>
        <w:rPr>
          <w:rFonts w:hint="eastAsia" w:ascii="宋体" w:hAnsi="宋体" w:cs="宋体"/>
          <w:snapToGrid w:val="0"/>
          <w:color w:val="auto"/>
          <w:sz w:val="24"/>
          <w:highlight w:val="none"/>
        </w:rPr>
        <w:t>证明文件；</w:t>
      </w:r>
    </w:p>
    <w:p>
      <w:pPr>
        <w:pageBreakBefore w:val="0"/>
        <w:kinsoku/>
        <w:wordWrap/>
        <w:overflowPunct/>
        <w:topLinePunct w:val="0"/>
        <w:bidi w:val="0"/>
        <w:adjustRightInd w:val="0"/>
        <w:snapToGrid w:val="0"/>
        <w:spacing w:line="360" w:lineRule="auto"/>
        <w:ind w:left="0" w:leftChars="0" w:right="0" w:rightChars="0" w:firstLine="482" w:firstLineChars="200"/>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8</w:t>
      </w:r>
      <w:r>
        <w:rPr>
          <w:rFonts w:hint="eastAsia" w:ascii="宋体" w:hAnsi="宋体" w:cs="宋体"/>
          <w:snapToGrid w:val="0"/>
          <w:color w:val="auto"/>
          <w:sz w:val="24"/>
          <w:highlight w:val="none"/>
          <w:lang w:val="en-US" w:eastAsia="zh-CN"/>
        </w:rPr>
        <w:t xml:space="preserve">  </w:t>
      </w:r>
      <w:r>
        <w:rPr>
          <w:rFonts w:hint="eastAsia" w:ascii="宋体" w:hAnsi="宋体" w:cs="宋体"/>
          <w:snapToGrid w:val="0"/>
          <w:color w:val="auto"/>
          <w:sz w:val="24"/>
          <w:highlight w:val="none"/>
        </w:rPr>
        <w:t>其他必要的文件和记录。</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5.0.3 </w:t>
      </w:r>
      <w:r>
        <w:rPr>
          <w:rFonts w:hint="eastAsia" w:ascii="宋体" w:hAnsi="宋体" w:eastAsia="宋体" w:cs="宋体"/>
          <w:color w:val="auto"/>
          <w:sz w:val="24"/>
          <w:szCs w:val="24"/>
          <w:highlight w:val="none"/>
          <w:lang w:val="en-US" w:eastAsia="zh-CN"/>
        </w:rPr>
        <w:t xml:space="preserve"> 城镇道路养护工程井盖改善质量应符合现行《城镇道路养护技术规范》CJJ36的要求。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eastAsia="楷体"/>
          <w:color w:val="auto"/>
          <w:sz w:val="21"/>
          <w:szCs w:val="21"/>
          <w:highlight w:val="none"/>
          <w:lang w:val="en-US" w:eastAsia="zh-CN"/>
        </w:rPr>
        <w:t>【条文说明】根据养护项目的防沉降井盖更换特点，检测项目包括井盖质量、注浆材料、注浆质量、加固铺面渗水系数等。其余项目可根据实际情况选择是否检测。</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5.0.4 </w:t>
      </w:r>
      <w:r>
        <w:rPr>
          <w:rFonts w:hint="eastAsia" w:ascii="宋体" w:hAnsi="宋体" w:eastAsia="宋体" w:cs="宋体"/>
          <w:color w:val="auto"/>
          <w:sz w:val="24"/>
          <w:szCs w:val="24"/>
          <w:highlight w:val="none"/>
          <w:lang w:val="en-US" w:eastAsia="zh-CN"/>
        </w:rPr>
        <w:t xml:space="preserve"> 防沉降井盖安装分项工程质量验收的主控项目、一般项目、质量要求、检验方法等应符合现行国家标准的有关规定及表5.0.4的要求。</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1"/>
          <w:szCs w:val="21"/>
          <w:highlight w:val="none"/>
          <w:lang w:val="en-US" w:eastAsia="zh-CN"/>
        </w:rPr>
        <w:t>表5.0.4 防沉降井盖验收项目表</w:t>
      </w:r>
    </w:p>
    <w:tbl>
      <w:tblPr>
        <w:tblStyle w:val="13"/>
        <w:tblW w:w="9345" w:type="dxa"/>
        <w:tblInd w:w="-5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0"/>
        <w:gridCol w:w="727"/>
        <w:gridCol w:w="3496"/>
        <w:gridCol w:w="2261"/>
        <w:gridCol w:w="24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450" w:type="dxa"/>
            <w:tcBorders>
              <w:top w:val="single" w:color="000000" w:sz="12" w:space="0"/>
              <w:left w:val="single" w:color="000000" w:sz="12"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4223" w:type="dxa"/>
            <w:gridSpan w:val="2"/>
            <w:tcBorders>
              <w:top w:val="single" w:color="000000" w:sz="12"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检验项目</w:t>
            </w:r>
          </w:p>
        </w:tc>
        <w:tc>
          <w:tcPr>
            <w:tcW w:w="2261" w:type="dxa"/>
            <w:tcBorders>
              <w:top w:val="single" w:color="000000" w:sz="12"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新建、改建、扩建工程</w:t>
            </w:r>
          </w:p>
        </w:tc>
        <w:tc>
          <w:tcPr>
            <w:tcW w:w="2411" w:type="dxa"/>
            <w:tcBorders>
              <w:top w:val="single" w:color="000000" w:sz="12" w:space="0"/>
              <w:left w:val="single" w:color="000000" w:sz="4" w:space="0"/>
              <w:bottom w:val="single" w:color="000000" w:sz="4" w:space="0"/>
              <w:right w:val="single" w:color="000000" w:sz="12" w:space="0"/>
            </w:tcBorders>
            <w:vAlign w:val="center"/>
          </w:tcPr>
          <w:p>
            <w:pPr>
              <w:pStyle w:val="18"/>
              <w:spacing w:line="240" w:lineRule="auto"/>
              <w:ind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井盖养护、更换工程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0" w:type="dxa"/>
            <w:tcBorders>
              <w:top w:val="single" w:color="000000" w:sz="4" w:space="0"/>
              <w:left w:val="single" w:color="000000" w:sz="12"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27" w:type="dxa"/>
            <w:vMerge w:val="restart"/>
            <w:tcBorders>
              <w:top w:val="single" w:color="000000" w:sz="4"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主控项目</w:t>
            </w:r>
          </w:p>
        </w:tc>
        <w:tc>
          <w:tcPr>
            <w:tcW w:w="34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color w:val="auto"/>
                <w:sz w:val="21"/>
                <w:szCs w:val="21"/>
                <w:highlight w:val="none"/>
                <w:lang w:val="en-US" w:eastAsia="zh-CN"/>
              </w:rPr>
              <w:t>井盖质量</w:t>
            </w:r>
          </w:p>
        </w:tc>
        <w:tc>
          <w:tcPr>
            <w:tcW w:w="2261" w:type="dxa"/>
            <w:tcBorders>
              <w:top w:val="single" w:color="000000" w:sz="4"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11"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0" w:type="dxa"/>
            <w:tcBorders>
              <w:top w:val="single" w:color="000000" w:sz="4" w:space="0"/>
              <w:left w:val="single" w:color="000000" w:sz="12"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p>
        </w:tc>
        <w:tc>
          <w:tcPr>
            <w:tcW w:w="34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color w:val="auto"/>
                <w:sz w:val="21"/>
                <w:szCs w:val="21"/>
                <w:highlight w:val="none"/>
                <w:lang w:val="en-US" w:eastAsia="zh-CN"/>
              </w:rPr>
              <w:t>注浆</w:t>
            </w:r>
            <w:r>
              <w:rPr>
                <w:rFonts w:hint="eastAsia" w:ascii="宋体"/>
                <w:color w:val="auto"/>
                <w:sz w:val="21"/>
                <w:szCs w:val="21"/>
                <w:highlight w:val="none"/>
              </w:rPr>
              <w:t>材料</w:t>
            </w:r>
          </w:p>
        </w:tc>
        <w:tc>
          <w:tcPr>
            <w:tcW w:w="2261" w:type="dxa"/>
            <w:tcBorders>
              <w:top w:val="single" w:color="000000" w:sz="4"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11"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0" w:type="dxa"/>
            <w:tcBorders>
              <w:top w:val="single" w:color="000000" w:sz="4" w:space="0"/>
              <w:left w:val="single" w:color="000000" w:sz="12"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p>
        </w:tc>
        <w:tc>
          <w:tcPr>
            <w:tcW w:w="34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color w:val="auto"/>
                <w:sz w:val="21"/>
                <w:szCs w:val="21"/>
                <w:highlight w:val="none"/>
                <w:lang w:val="en-US" w:eastAsia="zh-CN"/>
              </w:rPr>
              <w:t>加固铺面的压实度</w:t>
            </w:r>
          </w:p>
        </w:tc>
        <w:tc>
          <w:tcPr>
            <w:tcW w:w="2261" w:type="dxa"/>
            <w:tcBorders>
              <w:top w:val="single" w:color="000000" w:sz="4"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11"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0" w:type="dxa"/>
            <w:tcBorders>
              <w:top w:val="single" w:color="000000" w:sz="4" w:space="0"/>
              <w:left w:val="single" w:color="000000" w:sz="12"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val="en-US" w:eastAsia="zh-CN"/>
              </w:rPr>
              <w:t>4</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p>
        </w:tc>
        <w:tc>
          <w:tcPr>
            <w:tcW w:w="34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Theme="minorHAnsi" w:eastAsiaTheme="minorEastAsia" w:cstheme="minorBidi"/>
                <w:color w:val="auto"/>
                <w:kern w:val="2"/>
                <w:sz w:val="21"/>
                <w:szCs w:val="21"/>
                <w:highlight w:val="none"/>
                <w:lang w:val="en-US" w:eastAsia="zh-CN" w:bidi="ar-SA"/>
              </w:rPr>
            </w:pPr>
            <w:r>
              <w:rPr>
                <w:rFonts w:hint="eastAsia" w:ascii="宋体"/>
                <w:color w:val="auto"/>
                <w:sz w:val="21"/>
                <w:szCs w:val="21"/>
                <w:highlight w:val="none"/>
                <w:lang w:val="en-US" w:eastAsia="zh-CN"/>
              </w:rPr>
              <w:t>加固铺面渗水系数</w:t>
            </w:r>
          </w:p>
        </w:tc>
        <w:tc>
          <w:tcPr>
            <w:tcW w:w="2261" w:type="dxa"/>
            <w:tcBorders>
              <w:top w:val="single" w:color="000000" w:sz="4"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w:t>
            </w:r>
          </w:p>
        </w:tc>
        <w:tc>
          <w:tcPr>
            <w:tcW w:w="2411"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0" w:type="dxa"/>
            <w:tcBorders>
              <w:top w:val="single" w:color="000000" w:sz="4" w:space="0"/>
              <w:left w:val="single" w:color="000000" w:sz="12"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5</w:t>
            </w:r>
          </w:p>
        </w:tc>
        <w:tc>
          <w:tcPr>
            <w:tcW w:w="727" w:type="dxa"/>
            <w:vMerge w:val="restart"/>
            <w:tcBorders>
              <w:top w:val="single" w:color="000000" w:sz="4" w:space="0"/>
              <w:left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val="en-US" w:eastAsia="zh-CN"/>
              </w:rPr>
              <w:t>一般项目</w:t>
            </w:r>
          </w:p>
        </w:tc>
        <w:tc>
          <w:tcPr>
            <w:tcW w:w="34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井周加固铺面劈裂及冻融残余强度</w:t>
            </w:r>
          </w:p>
        </w:tc>
        <w:tc>
          <w:tcPr>
            <w:tcW w:w="2261" w:type="dxa"/>
            <w:tcBorders>
              <w:top w:val="single" w:color="000000" w:sz="4"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w:t>
            </w:r>
          </w:p>
        </w:tc>
        <w:tc>
          <w:tcPr>
            <w:tcW w:w="2411"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0" w:type="dxa"/>
            <w:tcBorders>
              <w:top w:val="single" w:color="000000" w:sz="4" w:space="0"/>
              <w:left w:val="single" w:color="000000" w:sz="12" w:space="0"/>
              <w:bottom w:val="single" w:color="000000" w:sz="4" w:space="0"/>
              <w:right w:val="single" w:color="000000" w:sz="4" w:space="0"/>
            </w:tcBorders>
            <w:vAlign w:val="center"/>
          </w:tcPr>
          <w:p>
            <w:pPr>
              <w:pStyle w:val="18"/>
              <w:spacing w:line="240" w:lineRule="auto"/>
              <w:ind w:firstLine="0" w:firstLineChars="0"/>
              <w:jc w:val="center"/>
              <w:rPr>
                <w:rFonts w:hint="default" w:hAnsi="宋体" w:cs="宋体"/>
                <w:color w:val="auto"/>
                <w:sz w:val="21"/>
                <w:szCs w:val="21"/>
                <w:highlight w:val="none"/>
                <w:lang w:val="en-US" w:eastAsia="zh-CN"/>
              </w:rPr>
            </w:pPr>
            <w:r>
              <w:rPr>
                <w:rFonts w:hint="eastAsia" w:hAnsi="宋体" w:cs="宋体"/>
                <w:color w:val="auto"/>
                <w:sz w:val="21"/>
                <w:szCs w:val="21"/>
                <w:highlight w:val="none"/>
                <w:lang w:val="en-US" w:eastAsia="zh-CN"/>
              </w:rPr>
              <w:t>6</w:t>
            </w:r>
          </w:p>
        </w:tc>
        <w:tc>
          <w:tcPr>
            <w:tcW w:w="727" w:type="dxa"/>
            <w:vMerge w:val="continue"/>
            <w:tcBorders>
              <w:left w:val="single" w:color="000000" w:sz="4" w:space="0"/>
              <w:right w:val="single" w:color="000000" w:sz="4" w:space="0"/>
            </w:tcBorders>
            <w:vAlign w:val="center"/>
          </w:tcPr>
          <w:p>
            <w:pPr>
              <w:pStyle w:val="18"/>
              <w:spacing w:line="240" w:lineRule="auto"/>
              <w:ind w:firstLine="0" w:firstLineChars="0"/>
              <w:jc w:val="center"/>
              <w:rPr>
                <w:rFonts w:hint="eastAsia" w:hAnsi="宋体" w:cs="宋体"/>
                <w:color w:val="auto"/>
                <w:sz w:val="21"/>
                <w:szCs w:val="21"/>
                <w:highlight w:val="none"/>
                <w:lang w:val="en-US" w:eastAsia="zh-CN"/>
              </w:rPr>
            </w:pPr>
          </w:p>
        </w:tc>
        <w:tc>
          <w:tcPr>
            <w:tcW w:w="34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color w:val="auto"/>
                <w:sz w:val="21"/>
                <w:szCs w:val="21"/>
                <w:highlight w:val="none"/>
                <w:lang w:val="en-US" w:eastAsia="zh-CN"/>
              </w:rPr>
              <w:t>加固铺面稳定度及流值</w:t>
            </w:r>
          </w:p>
        </w:tc>
        <w:tc>
          <w:tcPr>
            <w:tcW w:w="2261" w:type="dxa"/>
            <w:tcBorders>
              <w:top w:val="single" w:color="000000" w:sz="4"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w:t>
            </w:r>
          </w:p>
        </w:tc>
        <w:tc>
          <w:tcPr>
            <w:tcW w:w="2411"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0" w:type="dxa"/>
            <w:tcBorders>
              <w:top w:val="single" w:color="000000" w:sz="4" w:space="0"/>
              <w:left w:val="single" w:color="000000" w:sz="12"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7</w:t>
            </w:r>
          </w:p>
        </w:tc>
        <w:tc>
          <w:tcPr>
            <w:tcW w:w="727" w:type="dxa"/>
            <w:vMerge w:val="continue"/>
            <w:tcBorders>
              <w:left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p>
        </w:tc>
        <w:tc>
          <w:tcPr>
            <w:tcW w:w="34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color w:val="auto"/>
                <w:sz w:val="21"/>
                <w:szCs w:val="21"/>
                <w:highlight w:val="none"/>
                <w:lang w:val="en-US" w:eastAsia="zh-CN"/>
              </w:rPr>
              <w:t>注浆施工观感质量</w:t>
            </w:r>
          </w:p>
        </w:tc>
        <w:tc>
          <w:tcPr>
            <w:tcW w:w="2261" w:type="dxa"/>
            <w:tcBorders>
              <w:top w:val="single" w:color="000000" w:sz="4"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w:t>
            </w:r>
          </w:p>
        </w:tc>
        <w:tc>
          <w:tcPr>
            <w:tcW w:w="2411"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0" w:type="dxa"/>
            <w:tcBorders>
              <w:top w:val="single" w:color="000000" w:sz="4" w:space="0"/>
              <w:left w:val="single" w:color="000000" w:sz="12" w:space="0"/>
              <w:bottom w:val="single" w:color="000000" w:sz="4" w:space="0"/>
              <w:right w:val="single" w:color="000000" w:sz="4" w:space="0"/>
            </w:tcBorders>
            <w:vAlign w:val="center"/>
          </w:tcPr>
          <w:p>
            <w:pPr>
              <w:pStyle w:val="18"/>
              <w:spacing w:line="240" w:lineRule="auto"/>
              <w:ind w:firstLine="0" w:firstLineChars="0"/>
              <w:jc w:val="center"/>
              <w:rPr>
                <w:rFonts w:hint="default" w:hAnsi="宋体" w:cs="宋体"/>
                <w:color w:val="auto"/>
                <w:sz w:val="21"/>
                <w:szCs w:val="21"/>
                <w:highlight w:val="none"/>
                <w:lang w:val="en-US" w:eastAsia="zh-CN"/>
              </w:rPr>
            </w:pPr>
            <w:r>
              <w:rPr>
                <w:rFonts w:hint="eastAsia" w:hAnsi="宋体" w:cs="宋体"/>
                <w:color w:val="auto"/>
                <w:sz w:val="21"/>
                <w:szCs w:val="21"/>
                <w:highlight w:val="none"/>
                <w:lang w:val="en-US" w:eastAsia="zh-CN"/>
              </w:rPr>
              <w:t>8</w:t>
            </w:r>
          </w:p>
        </w:tc>
        <w:tc>
          <w:tcPr>
            <w:tcW w:w="727" w:type="dxa"/>
            <w:vMerge w:val="continue"/>
            <w:tcBorders>
              <w:left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p>
        </w:tc>
        <w:tc>
          <w:tcPr>
            <w:tcW w:w="34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color w:val="auto"/>
                <w:sz w:val="21"/>
                <w:szCs w:val="21"/>
                <w:highlight w:val="none"/>
                <w:lang w:val="en-US" w:eastAsia="zh-CN"/>
              </w:rPr>
              <w:t>路框差</w:t>
            </w:r>
          </w:p>
        </w:tc>
        <w:tc>
          <w:tcPr>
            <w:tcW w:w="2261" w:type="dxa"/>
            <w:tcBorders>
              <w:top w:val="single" w:color="000000" w:sz="4"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w:t>
            </w:r>
          </w:p>
        </w:tc>
        <w:tc>
          <w:tcPr>
            <w:tcW w:w="2411"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0" w:type="dxa"/>
            <w:tcBorders>
              <w:top w:val="single" w:color="000000" w:sz="4" w:space="0"/>
              <w:left w:val="single" w:color="000000" w:sz="12" w:space="0"/>
              <w:bottom w:val="single" w:color="000000" w:sz="4" w:space="0"/>
              <w:right w:val="single" w:color="000000" w:sz="4" w:space="0"/>
            </w:tcBorders>
            <w:vAlign w:val="center"/>
          </w:tcPr>
          <w:p>
            <w:pPr>
              <w:pStyle w:val="18"/>
              <w:spacing w:line="240" w:lineRule="auto"/>
              <w:ind w:firstLine="0" w:firstLineChars="0"/>
              <w:jc w:val="center"/>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9</w:t>
            </w:r>
          </w:p>
        </w:tc>
        <w:tc>
          <w:tcPr>
            <w:tcW w:w="727" w:type="dxa"/>
            <w:vMerge w:val="continue"/>
            <w:tcBorders>
              <w:left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p>
        </w:tc>
        <w:tc>
          <w:tcPr>
            <w:tcW w:w="34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color w:val="auto"/>
                <w:sz w:val="21"/>
                <w:szCs w:val="21"/>
                <w:highlight w:val="none"/>
                <w:lang w:val="en-US" w:eastAsia="zh-CN"/>
              </w:rPr>
              <w:t>井盖中心与井室中心位置偏差</w:t>
            </w:r>
          </w:p>
        </w:tc>
        <w:tc>
          <w:tcPr>
            <w:tcW w:w="2261" w:type="dxa"/>
            <w:tcBorders>
              <w:top w:val="single" w:color="000000" w:sz="4"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11"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0" w:type="dxa"/>
            <w:tcBorders>
              <w:top w:val="single" w:color="000000" w:sz="4" w:space="0"/>
              <w:left w:val="single" w:color="000000" w:sz="12" w:space="0"/>
              <w:bottom w:val="single" w:color="000000" w:sz="4" w:space="0"/>
              <w:right w:val="single" w:color="000000" w:sz="4" w:space="0"/>
            </w:tcBorders>
            <w:vAlign w:val="center"/>
          </w:tcPr>
          <w:p>
            <w:pPr>
              <w:pStyle w:val="18"/>
              <w:spacing w:line="240" w:lineRule="auto"/>
              <w:ind w:firstLine="0" w:firstLineChars="0"/>
              <w:jc w:val="center"/>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10</w:t>
            </w:r>
          </w:p>
        </w:tc>
        <w:tc>
          <w:tcPr>
            <w:tcW w:w="727" w:type="dxa"/>
            <w:vMerge w:val="continue"/>
            <w:tcBorders>
              <w:left w:val="single" w:color="000000" w:sz="4" w:space="0"/>
              <w:right w:val="single" w:color="000000" w:sz="4" w:space="0"/>
            </w:tcBorders>
            <w:vAlign w:val="center"/>
          </w:tcPr>
          <w:p>
            <w:pPr>
              <w:pStyle w:val="18"/>
              <w:spacing w:line="240" w:lineRule="auto"/>
              <w:ind w:firstLine="0" w:firstLineChars="0"/>
              <w:rPr>
                <w:rFonts w:hint="eastAsia" w:ascii="宋体" w:hAnsi="宋体" w:eastAsia="宋体" w:cs="宋体"/>
                <w:color w:val="auto"/>
                <w:sz w:val="21"/>
                <w:szCs w:val="21"/>
                <w:highlight w:val="none"/>
              </w:rPr>
            </w:pPr>
          </w:p>
        </w:tc>
        <w:tc>
          <w:tcPr>
            <w:tcW w:w="34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Theme="minorHAnsi" w:eastAsiaTheme="minorEastAsia" w:cstheme="minorBidi"/>
                <w:color w:val="auto"/>
                <w:kern w:val="2"/>
                <w:sz w:val="21"/>
                <w:szCs w:val="21"/>
                <w:highlight w:val="none"/>
                <w:lang w:val="en-US" w:eastAsia="zh-CN" w:bidi="ar-SA"/>
              </w:rPr>
              <w:t>井盖铰链</w:t>
            </w:r>
          </w:p>
        </w:tc>
        <w:tc>
          <w:tcPr>
            <w:tcW w:w="2261" w:type="dxa"/>
            <w:tcBorders>
              <w:top w:val="single" w:color="000000" w:sz="4"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11"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50" w:type="dxa"/>
            <w:tcBorders>
              <w:top w:val="single" w:color="000000" w:sz="4" w:space="0"/>
              <w:left w:val="single" w:color="000000" w:sz="12" w:space="0"/>
              <w:bottom w:val="single" w:color="000000" w:sz="4" w:space="0"/>
              <w:right w:val="single" w:color="000000" w:sz="4" w:space="0"/>
            </w:tcBorders>
            <w:vAlign w:val="center"/>
          </w:tcPr>
          <w:p>
            <w:pPr>
              <w:pStyle w:val="18"/>
              <w:spacing w:line="240" w:lineRule="auto"/>
              <w:ind w:firstLine="0" w:firstLineChars="0"/>
              <w:jc w:val="center"/>
              <w:rPr>
                <w:rFonts w:hint="default" w:hAnsi="宋体" w:cs="宋体"/>
                <w:color w:val="auto"/>
                <w:sz w:val="21"/>
                <w:szCs w:val="21"/>
                <w:highlight w:val="none"/>
                <w:lang w:val="en-US" w:eastAsia="zh-CN"/>
              </w:rPr>
            </w:pPr>
            <w:r>
              <w:rPr>
                <w:rFonts w:hint="eastAsia" w:hAnsi="宋体" w:cs="宋体"/>
                <w:color w:val="auto"/>
                <w:sz w:val="21"/>
                <w:szCs w:val="21"/>
                <w:highlight w:val="none"/>
                <w:lang w:val="en-US" w:eastAsia="zh-CN"/>
              </w:rPr>
              <w:t>11</w:t>
            </w:r>
          </w:p>
        </w:tc>
        <w:tc>
          <w:tcPr>
            <w:tcW w:w="727" w:type="dxa"/>
            <w:vMerge w:val="continue"/>
            <w:tcBorders>
              <w:left w:val="single" w:color="000000" w:sz="4" w:space="0"/>
              <w:bottom w:val="single" w:color="000000" w:sz="4" w:space="0"/>
              <w:right w:val="single" w:color="000000" w:sz="4" w:space="0"/>
            </w:tcBorders>
            <w:vAlign w:val="center"/>
          </w:tcPr>
          <w:p>
            <w:pPr>
              <w:pStyle w:val="18"/>
              <w:spacing w:line="240" w:lineRule="auto"/>
              <w:ind w:firstLine="0" w:firstLineChars="0"/>
              <w:rPr>
                <w:rFonts w:hint="eastAsia" w:ascii="宋体" w:hAnsi="宋体" w:eastAsia="宋体" w:cs="宋体"/>
                <w:color w:val="auto"/>
                <w:sz w:val="21"/>
                <w:szCs w:val="21"/>
                <w:highlight w:val="none"/>
              </w:rPr>
            </w:pPr>
          </w:p>
        </w:tc>
        <w:tc>
          <w:tcPr>
            <w:tcW w:w="34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default" w:ascii="宋体" w:hAnsiTheme="minorHAnsi" w:eastAsiaTheme="minorEastAsia" w:cstheme="minorBidi"/>
                <w:color w:val="auto"/>
                <w:kern w:val="2"/>
                <w:sz w:val="21"/>
                <w:szCs w:val="21"/>
                <w:highlight w:val="none"/>
                <w:lang w:val="en-US" w:eastAsia="zh-CN" w:bidi="ar-SA"/>
              </w:rPr>
            </w:pPr>
            <w:r>
              <w:rPr>
                <w:rFonts w:hint="eastAsia" w:ascii="宋体" w:cstheme="minorBidi"/>
                <w:color w:val="auto"/>
                <w:kern w:val="2"/>
                <w:sz w:val="21"/>
                <w:szCs w:val="21"/>
                <w:highlight w:val="none"/>
                <w:lang w:val="en-US" w:eastAsia="zh-CN" w:bidi="ar-SA"/>
              </w:rPr>
              <w:t>防坠落装置</w:t>
            </w:r>
          </w:p>
        </w:tc>
        <w:tc>
          <w:tcPr>
            <w:tcW w:w="2261" w:type="dxa"/>
            <w:tcBorders>
              <w:top w:val="single" w:color="000000" w:sz="4" w:space="0"/>
              <w:left w:val="single" w:color="000000" w:sz="4" w:space="0"/>
              <w:bottom w:val="single" w:color="000000" w:sz="4" w:space="0"/>
              <w:right w:val="single" w:color="000000" w:sz="4" w:space="0"/>
            </w:tcBorders>
            <w:vAlign w:val="center"/>
          </w:tcPr>
          <w:p>
            <w:pPr>
              <w:pStyle w:val="1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11"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345" w:type="dxa"/>
            <w:gridSpan w:val="5"/>
            <w:tcBorders>
              <w:top w:val="single" w:color="000000" w:sz="4" w:space="0"/>
              <w:left w:val="single" w:color="000000" w:sz="12" w:space="0"/>
              <w:bottom w:val="single" w:color="000000" w:sz="12" w:space="0"/>
              <w:right w:val="single" w:color="000000" w:sz="12" w:space="0"/>
            </w:tcBorders>
            <w:vAlign w:val="center"/>
          </w:tcPr>
          <w:p>
            <w:pPr>
              <w:spacing w:line="240" w:lineRule="auto"/>
              <w:jc w:val="both"/>
              <w:rPr>
                <w:rFonts w:hint="eastAsia" w:ascii="宋体" w:hAnsi="宋体" w:eastAsia="宋体" w:cs="宋体"/>
                <w:b/>
                <w:bCs/>
                <w:color w:val="auto"/>
                <w:sz w:val="21"/>
                <w:szCs w:val="21"/>
                <w:highlight w:val="none"/>
              </w:rPr>
            </w:pPr>
            <w:r>
              <w:rPr>
                <w:rFonts w:hint="eastAsia" w:ascii="宋体" w:hAnsi="宋体" w:eastAsia="宋体" w:cs="宋体"/>
                <w:color w:val="auto"/>
                <w:sz w:val="18"/>
                <w:szCs w:val="18"/>
                <w:highlight w:val="none"/>
              </w:rPr>
              <w:t>注：</w:t>
            </w:r>
            <w:r>
              <w:rPr>
                <w:rFonts w:hint="eastAsia" w:ascii="宋体" w:hAnsi="宋体" w:eastAsia="宋体" w:cs="宋体"/>
                <w:color w:val="auto"/>
                <w:sz w:val="18"/>
                <w:szCs w:val="18"/>
                <w:highlight w:val="none"/>
                <w:lang w:val="zh-CN" w:bidi="zh-CN"/>
              </w:rPr>
              <w:t>“</w:t>
            </w:r>
            <w:r>
              <w:rPr>
                <w:rFonts w:hint="eastAsia" w:ascii="宋体" w:hAnsi="宋体" w:eastAsia="宋体" w:cs="宋体"/>
                <w:color w:val="auto"/>
                <w:szCs w:val="21"/>
                <w:highlight w:val="none"/>
              </w:rPr>
              <w:t>√</w:t>
            </w:r>
            <w:r>
              <w:rPr>
                <w:rFonts w:hint="eastAsia" w:ascii="宋体" w:hAnsi="宋体" w:eastAsia="宋体" w:cs="宋体"/>
                <w:color w:val="auto"/>
                <w:sz w:val="18"/>
                <w:szCs w:val="18"/>
                <w:highlight w:val="none"/>
                <w:lang w:val="zh-CN" w:bidi="zh-CN"/>
              </w:rPr>
              <w:t>”</w:t>
            </w:r>
            <w:r>
              <w:rPr>
                <w:rFonts w:hint="eastAsia" w:ascii="宋体" w:hAnsi="宋体" w:eastAsia="宋体" w:cs="宋体"/>
                <w:color w:val="auto"/>
                <w:sz w:val="18"/>
                <w:szCs w:val="18"/>
                <w:highlight w:val="none"/>
              </w:rPr>
              <w:t>表示必检项目</w:t>
            </w:r>
            <w:r>
              <w:rPr>
                <w:rFonts w:hint="eastAsia" w:ascii="宋体" w:hAnsi="宋体" w:eastAsia="宋体" w:cs="宋体"/>
                <w:color w:val="auto"/>
                <w:sz w:val="18"/>
                <w:szCs w:val="18"/>
                <w:highlight w:val="none"/>
                <w:lang w:val="zh-CN" w:bidi="zh-CN"/>
              </w:rPr>
              <w:t>，</w:t>
            </w:r>
            <w:r>
              <w:rPr>
                <w:rFonts w:hint="eastAsia" w:hAnsi="宋体" w:cs="宋体"/>
                <w:color w:val="auto"/>
                <w:sz w:val="18"/>
                <w:szCs w:val="18"/>
                <w:highlight w:val="none"/>
                <w:lang w:val="zh-CN" w:bidi="zh-CN"/>
              </w:rPr>
              <w:t>“</w:t>
            </w:r>
            <w:r>
              <w:rPr>
                <w:rFonts w:hint="eastAsia" w:ascii="宋体" w:hAnsi="宋体" w:eastAsia="宋体" w:cs="宋体"/>
                <w:color w:val="auto"/>
                <w:sz w:val="18"/>
                <w:szCs w:val="18"/>
                <w:highlight w:val="none"/>
              </w:rPr>
              <w:t>*</w:t>
            </w:r>
            <w:r>
              <w:rPr>
                <w:rFonts w:hint="eastAsia" w:hAnsi="宋体" w:cs="宋体"/>
                <w:color w:val="auto"/>
                <w:sz w:val="18"/>
                <w:szCs w:val="18"/>
                <w:highlight w:val="none"/>
                <w:lang w:val="zh-CN" w:bidi="zh-CN"/>
              </w:rPr>
              <w:t>”</w:t>
            </w:r>
            <w:r>
              <w:rPr>
                <w:rFonts w:hint="eastAsia" w:ascii="宋体" w:hAnsi="宋体" w:eastAsia="宋体" w:cs="宋体"/>
                <w:color w:val="auto"/>
                <w:sz w:val="18"/>
                <w:szCs w:val="18"/>
                <w:highlight w:val="none"/>
              </w:rPr>
              <w:t>表示</w:t>
            </w:r>
            <w:r>
              <w:rPr>
                <w:rFonts w:hint="eastAsia" w:hAnsi="宋体" w:cs="宋体"/>
                <w:color w:val="auto"/>
                <w:sz w:val="18"/>
                <w:szCs w:val="18"/>
                <w:highlight w:val="none"/>
                <w:lang w:val="en-US" w:eastAsia="zh-CN"/>
              </w:rPr>
              <w:t>可选项目（非必检），“/”养护、更换项目不检</w:t>
            </w:r>
          </w:p>
        </w:tc>
      </w:tr>
    </w:tbl>
    <w:p>
      <w:pPr>
        <w:keepNext w:val="0"/>
        <w:keepLines w:val="0"/>
        <w:pageBreakBefore w:val="0"/>
        <w:widowControl w:val="0"/>
        <w:kinsoku/>
        <w:wordWrap/>
        <w:overflowPunct/>
        <w:topLinePunct w:val="0"/>
        <w:autoSpaceDE/>
        <w:autoSpaceDN/>
        <w:bidi w:val="0"/>
        <w:adjustRightInd w:val="0"/>
        <w:snapToGrid w:val="0"/>
        <w:spacing w:before="0" w:beforeLines="100"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I 主控项目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snapToGrid w:val="0"/>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5.0.5</w:t>
      </w:r>
      <w:r>
        <w:rPr>
          <w:rFonts w:hint="eastAsia" w:ascii="宋体" w:hAnsi="宋体" w:eastAsia="宋体" w:cs="宋体"/>
          <w:color w:val="auto"/>
          <w:sz w:val="24"/>
          <w:szCs w:val="24"/>
          <w:highlight w:val="none"/>
          <w:lang w:val="en-US" w:eastAsia="zh-CN"/>
        </w:rPr>
        <w:t xml:space="preserve">  防沉降井盖产品的质量</w:t>
      </w:r>
      <w:r>
        <w:rPr>
          <w:rFonts w:hint="eastAsia" w:ascii="宋体" w:hAnsi="宋体" w:eastAsia="宋体" w:cs="宋体"/>
          <w:b w:val="0"/>
          <w:bCs/>
          <w:snapToGrid w:val="0"/>
          <w:color w:val="auto"/>
          <w:sz w:val="24"/>
          <w:szCs w:val="24"/>
          <w:highlight w:val="none"/>
          <w:lang w:val="en-US" w:eastAsia="zh-CN"/>
        </w:rPr>
        <w:t>应符合国家现行有关标准和现行中国工程建设标准化协会有关标准的规定。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b w:val="0"/>
          <w:bCs/>
          <w:snapToGrid w:val="0"/>
          <w:color w:val="auto"/>
          <w:sz w:val="24"/>
          <w:szCs w:val="24"/>
          <w:highlight w:val="none"/>
          <w:lang w:val="en-US" w:eastAsia="zh-CN"/>
        </w:rPr>
      </w:pPr>
      <w:r>
        <w:rPr>
          <w:rFonts w:hint="eastAsia" w:ascii="宋体" w:hAnsi="宋体" w:eastAsia="宋体" w:cs="宋体"/>
          <w:b w:val="0"/>
          <w:bCs/>
          <w:snapToGrid w:val="0"/>
          <w:color w:val="auto"/>
          <w:sz w:val="24"/>
          <w:szCs w:val="24"/>
          <w:highlight w:val="none"/>
          <w:lang w:val="en-US" w:eastAsia="zh-CN"/>
        </w:rPr>
        <w:t>检查数量：按进场批次，每批次1次。</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b w:val="0"/>
          <w:bCs/>
          <w:snapToGrid w:val="0"/>
          <w:color w:val="auto"/>
          <w:sz w:val="24"/>
          <w:szCs w:val="24"/>
          <w:highlight w:val="none"/>
          <w:lang w:val="en-US" w:eastAsia="zh-CN"/>
        </w:rPr>
      </w:pPr>
      <w:r>
        <w:rPr>
          <w:rFonts w:hint="eastAsia" w:ascii="宋体" w:hAnsi="宋体" w:eastAsia="宋体" w:cs="宋体"/>
          <w:b w:val="0"/>
          <w:bCs/>
          <w:snapToGrid w:val="0"/>
          <w:color w:val="auto"/>
          <w:sz w:val="24"/>
          <w:szCs w:val="24"/>
          <w:highlight w:val="none"/>
          <w:lang w:val="en-US" w:eastAsia="zh-CN"/>
        </w:rPr>
        <w:t>检验方法：查产品标识、产品质量合格证、使用说明书及进场复检报告。</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snapToGrid w:val="0"/>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5.0.6</w:t>
      </w:r>
      <w:r>
        <w:rPr>
          <w:rFonts w:hint="eastAsia" w:ascii="宋体" w:hAnsi="宋体" w:eastAsia="宋体" w:cs="宋体"/>
          <w:b w:val="0"/>
          <w:bCs/>
          <w:snapToGrid w:val="0"/>
          <w:color w:val="auto"/>
          <w:sz w:val="24"/>
          <w:szCs w:val="24"/>
          <w:highlight w:val="none"/>
          <w:lang w:val="en-US" w:eastAsia="zh-CN"/>
        </w:rPr>
        <w:t xml:space="preserve">  注浆加固用的胶凝材料、封堵材料应符合本规程的有关规定。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b w:val="0"/>
          <w:bCs/>
          <w:snapToGrid w:val="0"/>
          <w:color w:val="auto"/>
          <w:sz w:val="24"/>
          <w:szCs w:val="24"/>
          <w:highlight w:val="none"/>
          <w:lang w:val="en-US" w:eastAsia="zh-CN"/>
        </w:rPr>
      </w:pPr>
      <w:r>
        <w:rPr>
          <w:rFonts w:hint="eastAsia" w:ascii="宋体" w:hAnsi="宋体" w:eastAsia="宋体" w:cs="宋体"/>
          <w:b w:val="0"/>
          <w:bCs/>
          <w:snapToGrid w:val="0"/>
          <w:color w:val="auto"/>
          <w:sz w:val="24"/>
          <w:szCs w:val="24"/>
          <w:highlight w:val="none"/>
          <w:lang w:val="en-US" w:eastAsia="zh-CN"/>
        </w:rPr>
        <w:t>检查数量：按不同材料进场批次，每批次1次。</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b w:val="0"/>
          <w:bCs/>
          <w:snapToGrid w:val="0"/>
          <w:color w:val="auto"/>
          <w:sz w:val="24"/>
          <w:szCs w:val="24"/>
          <w:highlight w:val="none"/>
          <w:lang w:val="en-US" w:eastAsia="zh-CN"/>
        </w:rPr>
      </w:pPr>
      <w:r>
        <w:rPr>
          <w:rFonts w:hint="eastAsia" w:ascii="宋体" w:hAnsi="宋体" w:eastAsia="宋体" w:cs="宋体"/>
          <w:b w:val="0"/>
          <w:bCs/>
          <w:snapToGrid w:val="0"/>
          <w:color w:val="auto"/>
          <w:sz w:val="24"/>
          <w:szCs w:val="24"/>
          <w:highlight w:val="none"/>
          <w:lang w:val="en-US" w:eastAsia="zh-CN"/>
        </w:rPr>
        <w:t>检验方法：查出厂合格证及进场复检报告。</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5.0.7  </w:t>
      </w:r>
      <w:r>
        <w:rPr>
          <w:rFonts w:hint="eastAsia" w:ascii="宋体" w:hAnsi="宋体" w:eastAsia="宋体" w:cs="宋体"/>
          <w:color w:val="auto"/>
          <w:sz w:val="24"/>
          <w:szCs w:val="24"/>
          <w:highlight w:val="none"/>
          <w:lang w:val="en-US" w:eastAsia="zh-CN"/>
        </w:rPr>
        <w:t>井周加固铺面的压实度应采用相应道路的面层设计指标要求。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检查数量：同一道路或路段内应至少检测1次，取样涉及的防沉降井盖应不少于2套。</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检验方法: 井周加固铺面的压实度的检验方法见附录D。</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eastAsia="楷体"/>
          <w:color w:val="auto"/>
          <w:sz w:val="21"/>
          <w:szCs w:val="21"/>
          <w:highlight w:val="none"/>
          <w:lang w:val="en-US" w:eastAsia="zh-CN"/>
        </w:rPr>
      </w:pPr>
      <w:r>
        <w:rPr>
          <w:rFonts w:hint="eastAsia" w:eastAsia="楷体"/>
          <w:color w:val="auto"/>
          <w:sz w:val="21"/>
          <w:szCs w:val="21"/>
          <w:highlight w:val="none"/>
          <w:lang w:val="en-US" w:eastAsia="zh-CN"/>
        </w:rPr>
        <w:t>【条文说明】沥青路面压实度指标是评价沥青路面施工质量能否达到路用标准的重要指标，井周加固铺面的压实度应不小于相应道路的面层设计指标要求。附录D通过在井周铺面加固前、后的井周钻取芯样并测试密度，计算施工压实度，可以直观的体现井周加固注浆施工质量是否达标。由于井周加固铺面施工加固范围有限，采用附录D需控制井周加固铺面取芯的范围，要求芯样外缘与井盖传载板外缘间距不大于20mm。</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eastAsia="楷体"/>
          <w:color w:val="auto"/>
          <w:sz w:val="21"/>
          <w:szCs w:val="21"/>
          <w:highlight w:val="none"/>
          <w:lang w:val="en-US" w:eastAsia="zh-CN"/>
        </w:rPr>
      </w:pPr>
      <w:r>
        <w:rPr>
          <w:rFonts w:hint="eastAsia" w:eastAsia="楷体"/>
          <w:color w:val="auto"/>
          <w:sz w:val="21"/>
          <w:szCs w:val="21"/>
          <w:highlight w:val="none"/>
          <w:lang w:val="en-US" w:eastAsia="zh-CN"/>
        </w:rPr>
        <w:t>井周加固铺面压实度试验基本流程如下：</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eastAsia="楷体"/>
          <w:color w:val="auto"/>
          <w:sz w:val="21"/>
          <w:szCs w:val="21"/>
          <w:highlight w:val="none"/>
          <w:lang w:val="en-US" w:eastAsia="zh-CN"/>
        </w:rPr>
      </w:pPr>
      <w:r>
        <w:rPr>
          <w:rFonts w:hint="eastAsia" w:eastAsia="楷体"/>
          <w:color w:val="auto"/>
          <w:sz w:val="21"/>
          <w:szCs w:val="21"/>
          <w:highlight w:val="none"/>
          <w:lang w:val="en-US" w:eastAsia="zh-CN"/>
        </w:rPr>
        <w:t>1  注浆砂浆表观干密度试验（附录C）；</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eastAsia="楷体"/>
          <w:color w:val="auto"/>
          <w:sz w:val="21"/>
          <w:szCs w:val="21"/>
          <w:highlight w:val="none"/>
          <w:lang w:val="en-US" w:eastAsia="zh-CN"/>
        </w:rPr>
      </w:pPr>
      <w:r>
        <w:rPr>
          <w:rFonts w:hint="eastAsia" w:eastAsia="楷体"/>
          <w:color w:val="auto"/>
          <w:sz w:val="21"/>
          <w:szCs w:val="21"/>
          <w:highlight w:val="none"/>
          <w:lang w:val="en-US" w:eastAsia="zh-CN"/>
        </w:rPr>
        <w:t>2  沥青混合料的理论最大密度试验（附录D）；</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eastAsia="楷体"/>
          <w:color w:val="auto"/>
          <w:sz w:val="21"/>
          <w:szCs w:val="21"/>
          <w:highlight w:val="none"/>
          <w:lang w:val="en-US" w:eastAsia="zh-CN"/>
        </w:rPr>
      </w:pPr>
      <w:r>
        <w:rPr>
          <w:rFonts w:hint="eastAsia" w:eastAsia="楷体"/>
          <w:color w:val="auto"/>
          <w:sz w:val="21"/>
          <w:szCs w:val="21"/>
          <w:highlight w:val="none"/>
          <w:lang w:val="en-US" w:eastAsia="zh-CN"/>
        </w:rPr>
        <w:t>3  井周加固铺面注浆加固前芯样密度和空隙率试验（附录D）；</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eastAsia="楷体"/>
          <w:color w:val="auto"/>
          <w:sz w:val="21"/>
          <w:szCs w:val="21"/>
          <w:highlight w:val="none"/>
          <w:lang w:val="en-US" w:eastAsia="zh-CN"/>
        </w:rPr>
      </w:pPr>
      <w:r>
        <w:rPr>
          <w:rFonts w:hint="eastAsia" w:eastAsia="楷体"/>
          <w:color w:val="auto"/>
          <w:sz w:val="21"/>
          <w:szCs w:val="21"/>
          <w:highlight w:val="none"/>
          <w:lang w:val="en-US" w:eastAsia="zh-CN"/>
        </w:rPr>
        <w:t>4  井周加固铺面注浆加固后芯样密度和空隙率试验（附录D）；</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snapToGrid w:val="0"/>
          <w:color w:val="auto"/>
          <w:sz w:val="24"/>
          <w:szCs w:val="24"/>
          <w:highlight w:val="none"/>
          <w:lang w:val="en-US" w:eastAsia="zh-CN"/>
        </w:rPr>
      </w:pPr>
      <w:r>
        <w:rPr>
          <w:rFonts w:hint="eastAsia" w:eastAsia="楷体"/>
          <w:color w:val="auto"/>
          <w:sz w:val="21"/>
          <w:szCs w:val="21"/>
          <w:highlight w:val="none"/>
          <w:lang w:val="en-US" w:eastAsia="zh-CN"/>
        </w:rPr>
        <w:t>5  计算压实度。</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5.0.8 </w:t>
      </w:r>
      <w:r>
        <w:rPr>
          <w:rFonts w:hint="eastAsia" w:ascii="宋体" w:hAnsi="宋体" w:eastAsia="宋体" w:cs="宋体"/>
          <w:color w:val="auto"/>
          <w:sz w:val="24"/>
          <w:szCs w:val="24"/>
          <w:highlight w:val="none"/>
          <w:lang w:val="en-US" w:eastAsia="zh-CN"/>
        </w:rPr>
        <w:t xml:space="preserve"> 井周加固铺面渗水</w:t>
      </w:r>
      <w:r>
        <w:rPr>
          <w:rFonts w:hint="eastAsia" w:ascii="宋体" w:hAnsi="宋体" w:cs="宋体"/>
          <w:snapToGrid w:val="0"/>
          <w:color w:val="auto"/>
          <w:sz w:val="24"/>
          <w:highlight w:val="none"/>
          <w:lang w:val="en-US" w:eastAsia="zh-CN"/>
        </w:rPr>
        <w:t>系数</w:t>
      </w:r>
      <w:r>
        <w:rPr>
          <w:rFonts w:hint="eastAsia" w:ascii="宋体" w:hAnsi="宋体" w:eastAsia="宋体" w:cs="宋体"/>
          <w:color w:val="auto"/>
          <w:sz w:val="24"/>
          <w:szCs w:val="24"/>
          <w:highlight w:val="none"/>
          <w:lang w:val="en-US" w:eastAsia="zh-CN"/>
        </w:rPr>
        <w:t>应符合现行《公路沥青路面施工技术规范》JTG F40的规定。</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检查数量：同一道路或路段内防沉降井盖总数量的3%且不少于3套。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检验方法： 加固铺面渗水试验应采用行业标准《公路路基路面现场测试规程》JTG 3450-2019（T0971）的方法，渗水仪应放置在防沉降井盖外侧且</w:t>
      </w:r>
      <w:r>
        <w:rPr>
          <w:rFonts w:hint="eastAsia"/>
          <w:color w:val="auto"/>
          <w:sz w:val="24"/>
          <w:szCs w:val="24"/>
          <w:highlight w:val="none"/>
          <w:lang w:val="en-US" w:eastAsia="zh-CN"/>
        </w:rPr>
        <w:t>底座外缘与井盖传载板外缘间距不大于10mm</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eastAsia="楷体"/>
          <w:color w:val="auto"/>
          <w:sz w:val="21"/>
          <w:szCs w:val="21"/>
          <w:highlight w:val="none"/>
          <w:lang w:val="en-US" w:eastAsia="zh-CN"/>
        </w:rPr>
        <w:t>【说明】沥青路面渗水系数指标是评价沥青路面抗水损坏性能的重要指标，故检测井周加固铺面的渗水系数可以直观的体现井周加固铺面的抗水损坏性能是否达标。未加固井周铺面的沥青混凝土的孔隙率较大，渗水系数大，易对井周的沥青混凝土造成破坏。井周加固铺面的沥青混凝土范围较小，在对其进行渗水试验时，要求渗水仪应放置在防沉降井盖外侧且底座外缘与井盖传载板外缘间距不大于10mm，渗水系数指标符合现行行业标准《公路沥青路面施工技术规范》JTG F40中沥青混凝土面层的规定。</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II 一般项目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5.0.9</w:t>
      </w:r>
      <w:r>
        <w:rPr>
          <w:rFonts w:hint="eastAsia" w:ascii="宋体" w:hAnsi="宋体" w:eastAsia="宋体" w:cs="宋体"/>
          <w:color w:val="auto"/>
          <w:sz w:val="24"/>
          <w:szCs w:val="24"/>
          <w:highlight w:val="none"/>
          <w:lang w:val="en-US" w:eastAsia="zh-CN"/>
        </w:rPr>
        <w:t xml:space="preserve">  井周加固铺面劈裂及冻融残余强度应不小于相应道路的面层设计指标要求。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检查数量：同一道路或路段内应至少检测1次。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检验方法：井周加固铺面劈裂及冻融残余强度试验方法见附录E。</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eastAsia="楷体"/>
          <w:color w:val="auto"/>
          <w:sz w:val="21"/>
          <w:szCs w:val="21"/>
          <w:highlight w:val="none"/>
          <w:lang w:val="en-US" w:eastAsia="zh-CN"/>
        </w:rPr>
        <w:t>【条文说明】沥青路面劈裂及冻融残余强度指标是评价沥青路面水稳定性的重要指标，井周加固铺面劈裂及冻融残余强度应采用相应道路的面层设计指标要求。未加固井周铺面的沥青混凝土的孔隙率较大，抗水稳定性差，因此，对井周加固铺面进行注浆，以填充其空隙。理论分析和实践证明，加固井周铺面的沥青混凝土仍为柔性材料，因加固井周铺面的试验室马歇尔试件不易取得，故采用本规程附录F井周加固铺面劈裂及冻融残余强度的试验方法。其试件制作采用行业标准《公路工程沥青及沥青混合料试验规程》JTG E20 -2011（T0716）中现场取芯的方法进行。加固井周铺面的沥青混凝土范围较小，在现场取芯时，要求芯样外缘与井盖传载板外缘间距不大于20mm。试件进行标准养护后，采用行业标准《公路工程沥青及沥青混合料试验规程》JTG E20 -2011（T0729）中的试验过程进行检测。</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5.0.10</w:t>
      </w:r>
      <w:r>
        <w:rPr>
          <w:rFonts w:hint="eastAsia" w:ascii="宋体" w:hAnsi="宋体" w:eastAsia="宋体" w:cs="宋体"/>
          <w:color w:val="auto"/>
          <w:sz w:val="24"/>
          <w:szCs w:val="24"/>
          <w:highlight w:val="none"/>
          <w:lang w:val="en-US" w:eastAsia="zh-CN"/>
        </w:rPr>
        <w:t xml:space="preserve">  井周加固铺面</w:t>
      </w:r>
      <w:r>
        <w:rPr>
          <w:rFonts w:hint="eastAsia"/>
          <w:color w:val="auto"/>
          <w:sz w:val="24"/>
          <w:szCs w:val="24"/>
          <w:highlight w:val="none"/>
          <w:lang w:val="en-US" w:eastAsia="zh-CN"/>
        </w:rPr>
        <w:t>稳定度及流值</w:t>
      </w:r>
      <w:r>
        <w:rPr>
          <w:rFonts w:hint="eastAsia" w:ascii="宋体" w:hAnsi="宋体" w:eastAsia="宋体" w:cs="宋体"/>
          <w:color w:val="auto"/>
          <w:sz w:val="24"/>
          <w:szCs w:val="24"/>
          <w:highlight w:val="none"/>
          <w:lang w:val="en-US" w:eastAsia="zh-CN"/>
        </w:rPr>
        <w:t>应不小于相应道路的面层</w:t>
      </w:r>
      <w:r>
        <w:rPr>
          <w:rFonts w:hint="eastAsia" w:ascii="宋体" w:hAnsi="宋体" w:eastAsia="宋体" w:cs="宋体"/>
          <w:i w:val="0"/>
          <w:iCs w:val="0"/>
          <w:color w:val="auto"/>
          <w:kern w:val="0"/>
          <w:sz w:val="24"/>
          <w:szCs w:val="24"/>
          <w:highlight w:val="none"/>
          <w:u w:val="none"/>
          <w:lang w:val="en-US" w:eastAsia="zh-CN" w:bidi="ar"/>
        </w:rPr>
        <w:t>沥青混凝土设计</w:t>
      </w:r>
      <w:r>
        <w:rPr>
          <w:rFonts w:hint="eastAsia" w:ascii="宋体" w:hAnsi="宋体" w:eastAsia="宋体" w:cs="宋体"/>
          <w:color w:val="auto"/>
          <w:sz w:val="24"/>
          <w:szCs w:val="24"/>
          <w:highlight w:val="none"/>
          <w:lang w:val="en-US" w:eastAsia="zh-CN"/>
        </w:rPr>
        <w:t>指标要求。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检查数量：同一道路或路段内应至少检测1次。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检验方法：井周加固铺面</w:t>
      </w:r>
      <w:r>
        <w:rPr>
          <w:rFonts w:hint="eastAsia"/>
          <w:color w:val="auto"/>
          <w:sz w:val="24"/>
          <w:szCs w:val="24"/>
          <w:highlight w:val="none"/>
          <w:lang w:val="en-US" w:eastAsia="zh-CN"/>
        </w:rPr>
        <w:t>稳定度及流值</w:t>
      </w:r>
      <w:r>
        <w:rPr>
          <w:rFonts w:hint="eastAsia" w:ascii="宋体" w:hAnsi="宋体" w:eastAsia="宋体" w:cs="宋体"/>
          <w:color w:val="auto"/>
          <w:sz w:val="24"/>
          <w:szCs w:val="24"/>
          <w:highlight w:val="none"/>
          <w:lang w:val="en-US" w:eastAsia="zh-CN"/>
        </w:rPr>
        <w:t>检验方法见附录F。</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eastAsia="楷体"/>
          <w:color w:val="auto"/>
          <w:sz w:val="21"/>
          <w:szCs w:val="21"/>
          <w:highlight w:val="none"/>
          <w:lang w:val="en-US" w:eastAsia="zh-CN"/>
        </w:rPr>
        <w:t>【条文说明】沥青路面稳定度及流值指标是评价沥青路面强度以及抗变形性能的重要指标。理论分析和实践证明，井周加固铺面的沥青混凝土仍为柔性材料，其稳定度及流值的检测结果要求符合相应道路的面层设计指标要求。井周加固铺面的沥青混凝土范围较小，采用附录G在现场取芯时，要求芯样外缘与井盖传载板外缘间距不大于20mm。试件进行标准养护后，采用行业标准《公路工程沥青及沥青混合料试验规程》JTG E20 -2011（T0710）中的试验过程进行检测。</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5.0.11  </w:t>
      </w:r>
      <w:r>
        <w:rPr>
          <w:rFonts w:hint="eastAsia" w:ascii="Times New Roman" w:hAnsi="宋体" w:eastAsia="宋体" w:cs="Times New Roman"/>
          <w:b w:val="0"/>
          <w:bCs w:val="0"/>
          <w:color w:val="auto"/>
          <w:kern w:val="2"/>
          <w:sz w:val="24"/>
          <w:szCs w:val="24"/>
          <w:highlight w:val="none"/>
          <w:lang w:val="en-US" w:eastAsia="zh-CN" w:bidi="ar-SA"/>
        </w:rPr>
        <w:t>注浆施工</w:t>
      </w:r>
      <w:r>
        <w:rPr>
          <w:rFonts w:hint="eastAsia" w:ascii="Times New Roman" w:cs="Times New Roman"/>
          <w:b w:val="0"/>
          <w:bCs w:val="0"/>
          <w:color w:val="auto"/>
          <w:kern w:val="2"/>
          <w:sz w:val="24"/>
          <w:szCs w:val="24"/>
          <w:highlight w:val="none"/>
          <w:lang w:val="en-US" w:eastAsia="zh-CN" w:bidi="ar-SA"/>
        </w:rPr>
        <w:t>观感</w:t>
      </w:r>
      <w:r>
        <w:rPr>
          <w:rFonts w:hint="eastAsia" w:ascii="Times New Roman" w:hAnsi="宋体" w:eastAsia="宋体" w:cs="Times New Roman"/>
          <w:b w:val="0"/>
          <w:bCs w:val="0"/>
          <w:color w:val="auto"/>
          <w:kern w:val="2"/>
          <w:sz w:val="24"/>
          <w:szCs w:val="24"/>
          <w:highlight w:val="none"/>
          <w:lang w:val="en-US" w:eastAsia="zh-CN" w:bidi="ar-SA"/>
        </w:rPr>
        <w:t>质量</w:t>
      </w:r>
      <w:r>
        <w:rPr>
          <w:rFonts w:hint="eastAsia" w:ascii="宋体" w:hAnsi="宋体" w:eastAsia="宋体" w:cs="宋体"/>
          <w:color w:val="auto"/>
          <w:sz w:val="24"/>
          <w:szCs w:val="24"/>
          <w:highlight w:val="none"/>
          <w:lang w:val="en-US" w:eastAsia="zh-CN"/>
        </w:rPr>
        <w:t>应符合本规程的有关规定。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检查数量：全数检查。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检查方法：目测。</w:t>
      </w:r>
    </w:p>
    <w:p>
      <w:pPr>
        <w:pStyle w:val="5"/>
        <w:pageBreakBefore w:val="0"/>
        <w:kinsoku/>
        <w:wordWrap/>
        <w:overflowPunct/>
        <w:topLinePunct w:val="0"/>
        <w:bidi w:val="0"/>
        <w:adjustRightInd w:val="0"/>
        <w:snapToGrid w:val="0"/>
        <w:spacing w:before="0"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eastAsia="楷体"/>
          <w:color w:val="auto"/>
          <w:sz w:val="21"/>
          <w:szCs w:val="21"/>
          <w:highlight w:val="none"/>
          <w:lang w:val="en-US" w:eastAsia="zh-CN"/>
        </w:rPr>
        <w:t>【条文说明】观察注浆孔、引流排气孔内浆液是否饱满，若饱满的孔数超过半数，则判定注浆合格。</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5.0.12 </w:t>
      </w:r>
      <w:r>
        <w:rPr>
          <w:rFonts w:hint="eastAsia" w:ascii="宋体" w:hAnsi="宋体" w:eastAsia="宋体" w:cs="宋体"/>
          <w:color w:val="auto"/>
          <w:sz w:val="24"/>
          <w:szCs w:val="24"/>
          <w:highlight w:val="none"/>
          <w:lang w:val="en-US" w:eastAsia="zh-CN"/>
        </w:rPr>
        <w:t xml:space="preserve"> 井盖安装允许偏差应符合表6.0.12的规定。</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表5.0.12 井盖安装允许偏差</w:t>
      </w:r>
    </w:p>
    <w:tbl>
      <w:tblPr>
        <w:tblStyle w:val="13"/>
        <w:tblW w:w="913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3592"/>
        <w:gridCol w:w="855"/>
        <w:gridCol w:w="878"/>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33" w:type="dxa"/>
            <w:vMerge w:val="restart"/>
            <w:tcBorders>
              <w:top w:val="single" w:color="auto" w:sz="12" w:space="0"/>
              <w:left w:val="single" w:color="auto" w:sz="12" w:space="0"/>
            </w:tcBorders>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项目</w:t>
            </w:r>
          </w:p>
        </w:tc>
        <w:tc>
          <w:tcPr>
            <w:tcW w:w="3592" w:type="dxa"/>
            <w:vMerge w:val="restart"/>
            <w:tcBorders>
              <w:top w:val="single" w:color="auto" w:sz="12" w:space="0"/>
            </w:tcBorders>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允许偏差（mm）</w:t>
            </w:r>
          </w:p>
        </w:tc>
        <w:tc>
          <w:tcPr>
            <w:tcW w:w="1733" w:type="dxa"/>
            <w:gridSpan w:val="2"/>
            <w:tcBorders>
              <w:top w:val="single" w:color="auto" w:sz="12" w:space="0"/>
            </w:tcBorders>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检测频率</w:t>
            </w:r>
          </w:p>
        </w:tc>
        <w:tc>
          <w:tcPr>
            <w:tcW w:w="2073" w:type="dxa"/>
            <w:vMerge w:val="restart"/>
            <w:tcBorders>
              <w:top w:val="single" w:color="auto" w:sz="12" w:space="0"/>
              <w:right w:val="single" w:color="auto" w:sz="12" w:space="0"/>
            </w:tcBorders>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33" w:type="dxa"/>
            <w:vMerge w:val="continue"/>
            <w:tcBorders>
              <w:left w:val="single" w:color="auto" w:sz="12" w:space="0"/>
            </w:tcBorders>
            <w:vAlign w:val="center"/>
          </w:tcPr>
          <w:p>
            <w:pPr>
              <w:spacing w:line="240" w:lineRule="auto"/>
              <w:jc w:val="center"/>
              <w:rPr>
                <w:color w:val="auto"/>
                <w:sz w:val="21"/>
                <w:szCs w:val="21"/>
                <w:highlight w:val="none"/>
              </w:rPr>
            </w:pPr>
          </w:p>
        </w:tc>
        <w:tc>
          <w:tcPr>
            <w:tcW w:w="3592" w:type="dxa"/>
            <w:vMerge w:val="continue"/>
            <w:vAlign w:val="center"/>
          </w:tcPr>
          <w:p>
            <w:pPr>
              <w:spacing w:line="240" w:lineRule="auto"/>
              <w:jc w:val="center"/>
              <w:rPr>
                <w:color w:val="auto"/>
                <w:sz w:val="21"/>
                <w:szCs w:val="21"/>
                <w:highlight w:val="none"/>
              </w:rPr>
            </w:pPr>
          </w:p>
        </w:tc>
        <w:tc>
          <w:tcPr>
            <w:tcW w:w="855" w:type="dxa"/>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范围</w:t>
            </w:r>
          </w:p>
        </w:tc>
        <w:tc>
          <w:tcPr>
            <w:tcW w:w="878" w:type="dxa"/>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点数</w:t>
            </w:r>
          </w:p>
        </w:tc>
        <w:tc>
          <w:tcPr>
            <w:tcW w:w="2073" w:type="dxa"/>
            <w:vMerge w:val="continue"/>
            <w:tcBorders>
              <w:right w:val="single" w:color="auto" w:sz="12" w:space="0"/>
            </w:tcBorders>
            <w:vAlign w:val="center"/>
          </w:tcPr>
          <w:p>
            <w:pPr>
              <w:spacing w:line="240" w:lineRule="auto"/>
              <w:jc w:val="center"/>
              <w:rPr>
                <w:rFonts w:hint="default"/>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733" w:type="dxa"/>
            <w:tcBorders>
              <w:left w:val="single" w:color="auto" w:sz="12" w:space="0"/>
            </w:tcBorders>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路框差</w:t>
            </w:r>
          </w:p>
        </w:tc>
        <w:tc>
          <w:tcPr>
            <w:tcW w:w="3592" w:type="dxa"/>
            <w:vAlign w:val="center"/>
          </w:tcPr>
          <w:p>
            <w:pPr>
              <w:spacing w:line="240" w:lineRule="auto"/>
              <w:jc w:val="center"/>
              <w:rPr>
                <w:rFonts w:hint="default"/>
                <w:color w:val="auto"/>
                <w:sz w:val="21"/>
                <w:szCs w:val="21"/>
                <w:highlight w:val="none"/>
                <w:vertAlign w:val="baseline"/>
                <w:lang w:val="en-US" w:eastAsia="zh-CN"/>
              </w:rPr>
            </w:pPr>
            <w:r>
              <w:rPr>
                <w:rFonts w:hint="eastAsia" w:hAnsi="宋体" w:cs="宋体"/>
                <w:color w:val="auto"/>
                <w:sz w:val="21"/>
                <w:szCs w:val="21"/>
                <w:highlight w:val="none"/>
                <w:lang w:val="en-US" w:eastAsia="zh-CN"/>
              </w:rPr>
              <w:t>新建、改建、扩建工程</w:t>
            </w:r>
            <w:r>
              <w:rPr>
                <w:rFonts w:hint="eastAsia" w:ascii="宋体"/>
                <w:color w:val="auto"/>
                <w:sz w:val="21"/>
                <w:szCs w:val="21"/>
                <w:highlight w:val="none"/>
                <w:lang w:val="en-US" w:eastAsia="zh-CN"/>
              </w:rPr>
              <w:t>0mm～-3mm</w:t>
            </w:r>
            <w:r>
              <w:rPr>
                <w:rFonts w:hint="eastAsia" w:ascii="宋体"/>
                <w:color w:val="auto"/>
                <w:sz w:val="21"/>
                <w:szCs w:val="21"/>
                <w:highlight w:val="none"/>
              </w:rPr>
              <w:t xml:space="preserve"> </w:t>
            </w:r>
            <w:r>
              <w:rPr>
                <w:rFonts w:hint="eastAsia" w:ascii="宋体"/>
                <w:color w:val="auto"/>
                <w:sz w:val="21"/>
                <w:szCs w:val="21"/>
                <w:highlight w:val="none"/>
                <w:lang w:eastAsia="zh-CN"/>
              </w:rPr>
              <w:t>；</w:t>
            </w:r>
            <w:r>
              <w:rPr>
                <w:rFonts w:hint="eastAsia" w:ascii="宋体" w:hAnsi="宋体" w:eastAsia="宋体" w:cs="宋体"/>
                <w:color w:val="auto"/>
                <w:sz w:val="21"/>
                <w:szCs w:val="21"/>
                <w:highlight w:val="none"/>
                <w:lang w:val="en-US" w:eastAsia="zh-CN"/>
              </w:rPr>
              <w:t>井盖养护、更换工程</w:t>
            </w:r>
            <w:r>
              <w:rPr>
                <w:rFonts w:hint="eastAsia" w:ascii="宋体"/>
                <w:color w:val="auto"/>
                <w:sz w:val="21"/>
                <w:szCs w:val="21"/>
                <w:highlight w:val="none"/>
                <w:lang w:val="en-US" w:eastAsia="zh-CN"/>
              </w:rPr>
              <w:t>0mm～-5mm</w:t>
            </w:r>
            <w:r>
              <w:rPr>
                <w:rFonts w:hint="eastAsia" w:ascii="宋体"/>
                <w:color w:val="auto"/>
                <w:sz w:val="21"/>
                <w:szCs w:val="21"/>
                <w:highlight w:val="none"/>
              </w:rPr>
              <w:t xml:space="preserve"> </w:t>
            </w:r>
          </w:p>
        </w:tc>
        <w:tc>
          <w:tcPr>
            <w:tcW w:w="855" w:type="dxa"/>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每座</w:t>
            </w:r>
          </w:p>
        </w:tc>
        <w:tc>
          <w:tcPr>
            <w:tcW w:w="878" w:type="dxa"/>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2073" w:type="dxa"/>
            <w:tcBorders>
              <w:right w:val="single" w:color="auto" w:sz="12" w:space="0"/>
            </w:tcBorders>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十字法、用3m直尺和塞尺量，取最大值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733" w:type="dxa"/>
            <w:tcBorders>
              <w:left w:val="single" w:color="auto" w:sz="12" w:space="0"/>
              <w:bottom w:val="single" w:color="auto" w:sz="12" w:space="0"/>
            </w:tcBorders>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井盖中心与井室中心位置偏差</w:t>
            </w:r>
          </w:p>
        </w:tc>
        <w:tc>
          <w:tcPr>
            <w:tcW w:w="3592" w:type="dxa"/>
            <w:tcBorders>
              <w:bottom w:val="single" w:color="auto" w:sz="12" w:space="0"/>
            </w:tcBorders>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≤25</w:t>
            </w:r>
          </w:p>
        </w:tc>
        <w:tc>
          <w:tcPr>
            <w:tcW w:w="855" w:type="dxa"/>
            <w:tcBorders>
              <w:bottom w:val="single" w:color="auto" w:sz="12" w:space="0"/>
            </w:tcBorders>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每座</w:t>
            </w:r>
          </w:p>
        </w:tc>
        <w:tc>
          <w:tcPr>
            <w:tcW w:w="878" w:type="dxa"/>
            <w:tcBorders>
              <w:bottom w:val="single" w:color="auto" w:sz="12" w:space="0"/>
            </w:tcBorders>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2073" w:type="dxa"/>
            <w:tcBorders>
              <w:bottom w:val="single" w:color="auto" w:sz="12" w:space="0"/>
              <w:right w:val="single" w:color="auto" w:sz="12" w:space="0"/>
            </w:tcBorders>
            <w:vAlign w:val="center"/>
          </w:tcPr>
          <w:p>
            <w:pPr>
              <w:spacing w:line="240" w:lineRule="auto"/>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用直尺或钢卷尺</w:t>
            </w:r>
          </w:p>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测量</w:t>
            </w:r>
          </w:p>
        </w:tc>
      </w:tr>
    </w:tbl>
    <w:p>
      <w:pPr>
        <w:keepNext w:val="0"/>
        <w:keepLines w:val="0"/>
        <w:pageBreakBefore w:val="0"/>
        <w:widowControl w:val="0"/>
        <w:kinsoku/>
        <w:wordWrap/>
        <w:overflowPunct/>
        <w:topLinePunct w:val="0"/>
        <w:autoSpaceDE/>
        <w:autoSpaceDN/>
        <w:bidi w:val="0"/>
        <w:adjustRightInd w:val="0"/>
        <w:snapToGrid w:val="0"/>
        <w:spacing w:before="0" w:beforeLines="50" w:line="360" w:lineRule="auto"/>
        <w:jc w:val="left"/>
        <w:textAlignment w:val="auto"/>
        <w:rPr>
          <w:rFonts w:hint="eastAsia" w:ascii="Times New Roman" w:hAnsi="宋体" w:eastAsia="宋体" w:cs="Times New Roman"/>
          <w:b/>
          <w:bCs/>
          <w:color w:val="auto"/>
          <w:kern w:val="2"/>
          <w:sz w:val="24"/>
          <w:szCs w:val="24"/>
          <w:highlight w:val="none"/>
          <w:lang w:val="en-US" w:eastAsia="zh-CN" w:bidi="ar-SA"/>
        </w:rPr>
      </w:pPr>
      <w:r>
        <w:rPr>
          <w:rFonts w:hint="eastAsia" w:eastAsia="楷体"/>
          <w:color w:val="auto"/>
          <w:sz w:val="21"/>
          <w:szCs w:val="21"/>
          <w:highlight w:val="none"/>
          <w:lang w:val="en-US" w:eastAsia="zh-CN"/>
        </w:rPr>
        <w:t>【条文说明】根据养护工程特点，为适当减少井周破除范围，降低防沉降井盖更换成本，根据行业标准《城镇道路养护技术规范》CJJ36—2016第10.6.6条的规定，将更换井盖的路框差调整为0mm～-5mm。</w:t>
      </w:r>
    </w:p>
    <w:p>
      <w:pPr>
        <w:keepNext w:val="0"/>
        <w:keepLines w:val="0"/>
        <w:pageBreakBefore w:val="0"/>
        <w:widowControl w:val="0"/>
        <w:kinsoku/>
        <w:wordWrap/>
        <w:overflowPunct/>
        <w:topLinePunct w:val="0"/>
        <w:autoSpaceDE/>
        <w:autoSpaceDN/>
        <w:bidi w:val="0"/>
        <w:adjustRightInd w:val="0"/>
        <w:snapToGrid w:val="0"/>
        <w:spacing w:before="0" w:beforeLines="50" w:line="360" w:lineRule="auto"/>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5.0.13</w:t>
      </w:r>
      <w:r>
        <w:rPr>
          <w:rFonts w:hint="eastAsia" w:ascii="宋体" w:hAnsi="宋体" w:eastAsia="宋体" w:cs="宋体"/>
          <w:color w:val="auto"/>
          <w:sz w:val="24"/>
          <w:szCs w:val="24"/>
          <w:highlight w:val="none"/>
          <w:lang w:val="en-US" w:eastAsia="zh-CN"/>
        </w:rPr>
        <w:t xml:space="preserve">  井盖铰链端应朝向来车方向。</w:t>
      </w:r>
    </w:p>
    <w:p>
      <w:pPr>
        <w:keepNext w:val="0"/>
        <w:keepLines w:val="0"/>
        <w:pageBreakBefore w:val="0"/>
        <w:widowControl w:val="0"/>
        <w:kinsoku/>
        <w:wordWrap/>
        <w:overflowPunct/>
        <w:topLinePunct w:val="0"/>
        <w:autoSpaceDE/>
        <w:autoSpaceDN/>
        <w:bidi w:val="0"/>
        <w:adjustRightInd w:val="0"/>
        <w:snapToGrid w:val="0"/>
        <w:spacing w:before="0" w:line="360" w:lineRule="auto"/>
        <w:ind w:firstLine="48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检查数量：全数检查。</w:t>
      </w:r>
    </w:p>
    <w:p>
      <w:pPr>
        <w:keepNext w:val="0"/>
        <w:keepLines w:val="0"/>
        <w:pageBreakBefore w:val="0"/>
        <w:widowControl w:val="0"/>
        <w:kinsoku/>
        <w:wordWrap/>
        <w:overflowPunct/>
        <w:topLinePunct w:val="0"/>
        <w:autoSpaceDE/>
        <w:autoSpaceDN/>
        <w:bidi w:val="0"/>
        <w:adjustRightInd w:val="0"/>
        <w:snapToGrid w:val="0"/>
        <w:spacing w:before="0" w:line="360" w:lineRule="auto"/>
        <w:ind w:firstLine="48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检查方法：</w:t>
      </w:r>
      <w:bookmarkStart w:id="122" w:name="_Toc31857"/>
      <w:bookmarkStart w:id="123" w:name="_Toc27626"/>
      <w:bookmarkStart w:id="124" w:name="_Toc32111"/>
      <w:bookmarkStart w:id="125" w:name="_Toc3527"/>
      <w:bookmarkStart w:id="126" w:name="_Toc2690"/>
      <w:bookmarkStart w:id="127" w:name="_Toc19226"/>
      <w:bookmarkStart w:id="128" w:name="_Toc4683"/>
      <w:r>
        <w:rPr>
          <w:rFonts w:hint="eastAsia" w:ascii="宋体" w:hAnsi="宋体" w:eastAsia="宋体" w:cs="宋体"/>
          <w:color w:val="auto"/>
          <w:sz w:val="24"/>
          <w:szCs w:val="24"/>
          <w:highlight w:val="none"/>
          <w:lang w:val="en-US" w:eastAsia="zh-CN"/>
        </w:rPr>
        <w:t>目测。</w:t>
      </w:r>
    </w:p>
    <w:p>
      <w:pPr>
        <w:keepNext w:val="0"/>
        <w:keepLines w:val="0"/>
        <w:pageBreakBefore w:val="0"/>
        <w:widowControl w:val="0"/>
        <w:kinsoku/>
        <w:wordWrap/>
        <w:overflowPunct/>
        <w:topLinePunct w:val="0"/>
        <w:autoSpaceDE/>
        <w:autoSpaceDN/>
        <w:bidi w:val="0"/>
        <w:adjustRightInd w:val="0"/>
        <w:snapToGrid w:val="0"/>
        <w:spacing w:before="0" w:beforeLines="50" w:line="360" w:lineRule="auto"/>
        <w:jc w:val="left"/>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5.0.14</w:t>
      </w:r>
      <w:r>
        <w:rPr>
          <w:rFonts w:hint="eastAsia" w:ascii="宋体" w:hAnsi="宋体" w:eastAsia="宋体" w:cs="宋体"/>
          <w:color w:val="auto"/>
          <w:sz w:val="24"/>
          <w:szCs w:val="24"/>
          <w:highlight w:val="none"/>
          <w:lang w:val="en-US" w:eastAsia="zh-CN"/>
        </w:rPr>
        <w:t xml:space="preserve">  井盖防坠落装置安装到位。</w:t>
      </w:r>
    </w:p>
    <w:p>
      <w:pPr>
        <w:keepNext w:val="0"/>
        <w:keepLines w:val="0"/>
        <w:pageBreakBefore w:val="0"/>
        <w:widowControl w:val="0"/>
        <w:kinsoku/>
        <w:wordWrap/>
        <w:overflowPunct/>
        <w:topLinePunct w:val="0"/>
        <w:autoSpaceDE/>
        <w:autoSpaceDN/>
        <w:bidi w:val="0"/>
        <w:adjustRightInd w:val="0"/>
        <w:snapToGrid w:val="0"/>
        <w:spacing w:before="0" w:line="360" w:lineRule="auto"/>
        <w:ind w:firstLine="48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检查数量：全数检查。</w:t>
      </w:r>
    </w:p>
    <w:p>
      <w:pPr>
        <w:keepNext w:val="0"/>
        <w:keepLines w:val="0"/>
        <w:pageBreakBefore w:val="0"/>
        <w:widowControl w:val="0"/>
        <w:kinsoku/>
        <w:wordWrap/>
        <w:overflowPunct/>
        <w:topLinePunct w:val="0"/>
        <w:autoSpaceDE/>
        <w:autoSpaceDN/>
        <w:bidi w:val="0"/>
        <w:adjustRightInd w:val="0"/>
        <w:snapToGrid w:val="0"/>
        <w:spacing w:before="0" w:line="360" w:lineRule="auto"/>
        <w:ind w:firstLine="48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检查方法：目测。</w:t>
      </w:r>
    </w:p>
    <w:p>
      <w:pPr>
        <w:keepNext w:val="0"/>
        <w:keepLines w:val="0"/>
        <w:pageBreakBefore w:val="0"/>
        <w:widowControl w:val="0"/>
        <w:kinsoku/>
        <w:wordWrap/>
        <w:overflowPunct/>
        <w:topLinePunct w:val="0"/>
        <w:autoSpaceDE/>
        <w:autoSpaceDN/>
        <w:bidi w:val="0"/>
        <w:adjustRightInd w:val="0"/>
        <w:snapToGrid w:val="0"/>
        <w:spacing w:before="0" w:line="360" w:lineRule="auto"/>
        <w:ind w:firstLine="480"/>
        <w:jc w:val="left"/>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before="0" w:line="360" w:lineRule="auto"/>
        <w:jc w:val="both"/>
        <w:textAlignment w:val="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5.0.15</w:t>
      </w:r>
      <w:r>
        <w:rPr>
          <w:rFonts w:hint="eastAsia" w:ascii="宋体" w:hAnsi="宋体" w:eastAsia="宋体" w:cs="宋体"/>
          <w:color w:val="auto"/>
          <w:sz w:val="24"/>
          <w:szCs w:val="24"/>
          <w:highlight w:val="none"/>
          <w:lang w:val="en-US" w:eastAsia="zh-CN"/>
        </w:rPr>
        <w:t xml:space="preserve">  防沉降井盖验收后应形成质量验收记录，质量验收记录表应符合本规程附录B的要求。</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before="0" w:line="360" w:lineRule="auto"/>
        <w:jc w:val="both"/>
        <w:textAlignment w:val="auto"/>
        <w:rPr>
          <w:rFonts w:hint="eastAsia" w:ascii="宋体" w:hAnsi="宋体" w:eastAsia="宋体" w:cs="宋体"/>
          <w:color w:val="auto"/>
          <w:sz w:val="24"/>
          <w:szCs w:val="24"/>
          <w:highlight w:val="none"/>
          <w:lang w:val="en-US" w:eastAsia="zh-CN"/>
        </w:rPr>
      </w:pPr>
    </w:p>
    <w:p>
      <w:pPr>
        <w:pStyle w:val="2"/>
        <w:pageBreakBefore w:val="0"/>
        <w:kinsoku/>
        <w:wordWrap/>
        <w:overflowPunct/>
        <w:topLinePunct w:val="0"/>
        <w:bidi w:val="0"/>
        <w:adjustRightInd w:val="0"/>
        <w:snapToGrid w:val="0"/>
        <w:spacing w:before="0" w:after="0" w:line="360" w:lineRule="auto"/>
        <w:ind w:left="0" w:leftChars="0" w:right="0" w:rightChars="0"/>
        <w:textAlignment w:val="auto"/>
        <w:rPr>
          <w:rFonts w:hint="eastAsia" w:ascii="黑体" w:hAnsi="黑体" w:eastAsia="黑体" w:cs="黑体"/>
          <w:color w:val="auto"/>
          <w:sz w:val="30"/>
          <w:szCs w:val="30"/>
          <w:highlight w:val="none"/>
          <w:lang w:val="en-US" w:eastAsia="zh-CN"/>
        </w:rPr>
      </w:pPr>
      <w:bookmarkStart w:id="129" w:name="_Toc24166"/>
      <w:r>
        <w:rPr>
          <w:rFonts w:hint="eastAsia" w:ascii="黑体" w:hAnsi="黑体" w:eastAsia="黑体" w:cs="黑体"/>
          <w:color w:val="auto"/>
          <w:sz w:val="30"/>
          <w:szCs w:val="30"/>
          <w:highlight w:val="none"/>
          <w:lang w:val="en-US" w:eastAsia="zh-CN"/>
        </w:rPr>
        <w:t>附录A：井周铺面注浆加固记录表</w:t>
      </w:r>
      <w:bookmarkEnd w:id="122"/>
      <w:bookmarkEnd w:id="123"/>
      <w:bookmarkEnd w:id="124"/>
      <w:bookmarkEnd w:id="125"/>
      <w:bookmarkEnd w:id="126"/>
      <w:bookmarkEnd w:id="127"/>
      <w:bookmarkEnd w:id="128"/>
      <w:bookmarkEnd w:id="129"/>
    </w:p>
    <w:p>
      <w:pPr>
        <w:pageBreakBefore w:val="0"/>
        <w:kinsoku/>
        <w:wordWrap/>
        <w:overflowPunct/>
        <w:topLinePunct w:val="0"/>
        <w:bidi w:val="0"/>
        <w:adjustRightInd w:val="0"/>
        <w:snapToGrid w:val="0"/>
        <w:spacing w:line="360" w:lineRule="auto"/>
        <w:ind w:left="0" w:leftChars="0" w:right="0" w:rightChars="0"/>
        <w:textAlignment w:val="auto"/>
        <w:rPr>
          <w:rFonts w:ascii="新宋体" w:hAnsi="新宋体" w:eastAsia="新宋体"/>
          <w:color w:val="auto"/>
          <w:sz w:val="24"/>
          <w:highlight w:val="none"/>
        </w:rPr>
      </w:pPr>
      <w:r>
        <w:rPr>
          <w:rFonts w:hint="eastAsia" w:ascii="新宋体" w:hAnsi="新宋体" w:eastAsia="新宋体"/>
          <w:color w:val="auto"/>
          <w:sz w:val="24"/>
          <w:highlight w:val="none"/>
        </w:rPr>
        <w:t xml:space="preserve">天气：            温度：                                年   月   日       </w:t>
      </w:r>
    </w:p>
    <w:p>
      <w:pPr>
        <w:pageBreakBefore w:val="0"/>
        <w:kinsoku/>
        <w:wordWrap/>
        <w:overflowPunct/>
        <w:topLinePunct w:val="0"/>
        <w:bidi w:val="0"/>
        <w:adjustRightInd w:val="0"/>
        <w:snapToGrid w:val="0"/>
        <w:spacing w:line="360" w:lineRule="auto"/>
        <w:ind w:left="0" w:leftChars="0" w:right="0" w:rightChars="0"/>
        <w:textAlignment w:val="auto"/>
        <w:rPr>
          <w:rFonts w:ascii="新宋体" w:hAnsi="新宋体" w:eastAsia="新宋体"/>
          <w:color w:val="auto"/>
          <w:sz w:val="24"/>
          <w:highlight w:val="none"/>
        </w:rPr>
      </w:pPr>
      <w:r>
        <w:rPr>
          <w:rFonts w:hint="eastAsia" w:ascii="新宋体" w:hAnsi="新宋体" w:eastAsia="新宋体"/>
          <w:color w:val="auto"/>
          <w:sz w:val="24"/>
          <w:highlight w:val="none"/>
        </w:rPr>
        <w:t xml:space="preserve">施工单位：                                工程名称： </w:t>
      </w:r>
    </w:p>
    <w:p>
      <w:pPr>
        <w:pageBreakBefore w:val="0"/>
        <w:kinsoku/>
        <w:wordWrap/>
        <w:overflowPunct/>
        <w:topLinePunct w:val="0"/>
        <w:bidi w:val="0"/>
        <w:adjustRightInd w:val="0"/>
        <w:snapToGrid w:val="0"/>
        <w:spacing w:line="360" w:lineRule="auto"/>
        <w:ind w:left="0" w:leftChars="0" w:right="0" w:rightChars="0"/>
        <w:textAlignment w:val="auto"/>
        <w:rPr>
          <w:rFonts w:ascii="新宋体" w:hAnsi="新宋体" w:eastAsia="新宋体"/>
          <w:color w:val="auto"/>
          <w:sz w:val="24"/>
          <w:highlight w:val="none"/>
        </w:rPr>
      </w:pPr>
      <w:r>
        <w:rPr>
          <w:rFonts w:hint="eastAsia" w:ascii="新宋体" w:hAnsi="新宋体" w:eastAsia="新宋体"/>
          <w:color w:val="auto"/>
          <w:sz w:val="24"/>
          <w:highlight w:val="none"/>
        </w:rPr>
        <w:t xml:space="preserve">监理单位：                                </w:t>
      </w:r>
      <w:r>
        <w:rPr>
          <w:rFonts w:hint="eastAsia" w:ascii="新宋体" w:hAnsi="新宋体" w:eastAsia="新宋体"/>
          <w:color w:val="auto"/>
          <w:sz w:val="24"/>
          <w:highlight w:val="none"/>
          <w:lang w:val="en-US" w:eastAsia="zh-CN"/>
        </w:rPr>
        <w:t>桩号/</w:t>
      </w:r>
      <w:r>
        <w:rPr>
          <w:rFonts w:hint="eastAsia" w:ascii="新宋体" w:hAnsi="新宋体" w:eastAsia="新宋体"/>
          <w:color w:val="auto"/>
          <w:sz w:val="24"/>
          <w:highlight w:val="none"/>
        </w:rPr>
        <w:t xml:space="preserve">部位：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782"/>
        <w:gridCol w:w="1458"/>
        <w:gridCol w:w="1133"/>
        <w:gridCol w:w="1033"/>
        <w:gridCol w:w="1414"/>
        <w:gridCol w:w="1114"/>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65" w:type="dxa"/>
            <w:tcBorders>
              <w:top w:val="single" w:color="auto" w:sz="12" w:space="0"/>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序号</w:t>
            </w:r>
          </w:p>
        </w:tc>
        <w:tc>
          <w:tcPr>
            <w:tcW w:w="782" w:type="dxa"/>
            <w:tcBorders>
              <w:top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井号</w:t>
            </w:r>
          </w:p>
        </w:tc>
        <w:tc>
          <w:tcPr>
            <w:tcW w:w="1458" w:type="dxa"/>
            <w:tcBorders>
              <w:top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注浆起止时间</w:t>
            </w:r>
          </w:p>
        </w:tc>
        <w:tc>
          <w:tcPr>
            <w:tcW w:w="1133" w:type="dxa"/>
            <w:tcBorders>
              <w:top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压力（M</w:t>
            </w:r>
            <w:r>
              <w:rPr>
                <w:rFonts w:hint="eastAsia" w:ascii="新宋体" w:hAnsi="新宋体" w:eastAsia="新宋体"/>
                <w:color w:val="auto"/>
                <w:kern w:val="0"/>
                <w:sz w:val="20"/>
                <w:szCs w:val="21"/>
                <w:highlight w:val="none"/>
                <w:lang w:val="en-US" w:eastAsia="zh-CN"/>
              </w:rPr>
              <w:t>P</w:t>
            </w:r>
            <w:r>
              <w:rPr>
                <w:rFonts w:hint="eastAsia" w:ascii="新宋体" w:hAnsi="新宋体" w:eastAsia="新宋体"/>
                <w:color w:val="auto"/>
                <w:kern w:val="0"/>
                <w:sz w:val="20"/>
                <w:szCs w:val="21"/>
                <w:highlight w:val="none"/>
              </w:rPr>
              <w:t>a）</w:t>
            </w:r>
          </w:p>
        </w:tc>
        <w:tc>
          <w:tcPr>
            <w:tcW w:w="1033" w:type="dxa"/>
            <w:tcBorders>
              <w:top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冒浆情况</w:t>
            </w:r>
          </w:p>
        </w:tc>
        <w:tc>
          <w:tcPr>
            <w:tcW w:w="1414" w:type="dxa"/>
            <w:tcBorders>
              <w:top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浆液用量(m</w:t>
            </w:r>
            <w:r>
              <w:rPr>
                <w:rFonts w:hint="eastAsia" w:ascii="新宋体" w:hAnsi="新宋体" w:eastAsia="新宋体"/>
                <w:color w:val="auto"/>
                <w:kern w:val="0"/>
                <w:sz w:val="20"/>
                <w:szCs w:val="21"/>
                <w:highlight w:val="none"/>
                <w:vertAlign w:val="superscript"/>
              </w:rPr>
              <w:t>3</w:t>
            </w:r>
            <w:r>
              <w:rPr>
                <w:rFonts w:hint="eastAsia" w:ascii="新宋体" w:hAnsi="新宋体" w:eastAsia="新宋体"/>
                <w:color w:val="auto"/>
                <w:kern w:val="0"/>
                <w:sz w:val="20"/>
                <w:szCs w:val="21"/>
                <w:highlight w:val="none"/>
              </w:rPr>
              <w:t>)</w:t>
            </w:r>
          </w:p>
        </w:tc>
        <w:tc>
          <w:tcPr>
            <w:tcW w:w="1114" w:type="dxa"/>
            <w:tcBorders>
              <w:top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default" w:ascii="新宋体" w:hAnsi="新宋体" w:eastAsia="新宋体"/>
                <w:color w:val="auto"/>
                <w:kern w:val="0"/>
                <w:sz w:val="20"/>
                <w:szCs w:val="21"/>
                <w:highlight w:val="none"/>
                <w:lang w:val="en-US" w:eastAsia="zh-CN"/>
              </w:rPr>
            </w:pPr>
            <w:r>
              <w:rPr>
                <w:rFonts w:hint="eastAsia" w:ascii="新宋体" w:hAnsi="新宋体" w:eastAsia="新宋体"/>
                <w:color w:val="auto"/>
                <w:kern w:val="0"/>
                <w:sz w:val="20"/>
                <w:szCs w:val="21"/>
                <w:highlight w:val="none"/>
                <w:lang w:val="en-US" w:eastAsia="zh-CN"/>
              </w:rPr>
              <w:t>空洞率</w:t>
            </w:r>
          </w:p>
        </w:tc>
        <w:tc>
          <w:tcPr>
            <w:tcW w:w="1114" w:type="dxa"/>
            <w:tcBorders>
              <w:top w:val="single" w:color="auto" w:sz="12" w:space="0"/>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both"/>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5" w:type="dxa"/>
            <w:tcBorders>
              <w:left w:val="single" w:color="auto" w:sz="12" w:space="0"/>
              <w:bottom w:val="single" w:color="auto" w:sz="12" w:space="0"/>
            </w:tcBorders>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4"/>
                <w:highlight w:val="none"/>
              </w:rPr>
            </w:pPr>
          </w:p>
        </w:tc>
        <w:tc>
          <w:tcPr>
            <w:tcW w:w="782" w:type="dxa"/>
            <w:tcBorders>
              <w:bottom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58" w:type="dxa"/>
            <w:tcBorders>
              <w:bottom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33" w:type="dxa"/>
            <w:tcBorders>
              <w:bottom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033" w:type="dxa"/>
            <w:tcBorders>
              <w:bottom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414" w:type="dxa"/>
            <w:tcBorders>
              <w:bottom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bottom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c>
          <w:tcPr>
            <w:tcW w:w="1114" w:type="dxa"/>
            <w:tcBorders>
              <w:bottom w:val="single" w:color="auto" w:sz="12" w:space="0"/>
              <w:right w:val="single" w:color="auto" w:sz="12" w:space="0"/>
            </w:tcBorders>
            <w:vAlign w:val="center"/>
          </w:tcPr>
          <w:p>
            <w:pPr>
              <w:pageBreakBefore w:val="0"/>
              <w:kinsoku/>
              <w:wordWrap/>
              <w:overflowPunct/>
              <w:topLinePunct w:val="0"/>
              <w:bidi w:val="0"/>
              <w:adjustRightInd w:val="0"/>
              <w:snapToGrid w:val="0"/>
              <w:spacing w:line="360" w:lineRule="auto"/>
              <w:ind w:left="0" w:leftChars="0" w:right="0" w:rightChars="0"/>
              <w:jc w:val="center"/>
              <w:textAlignment w:val="auto"/>
              <w:rPr>
                <w:rFonts w:ascii="新宋体" w:hAnsi="新宋体" w:eastAsia="新宋体"/>
                <w:color w:val="auto"/>
                <w:kern w:val="0"/>
                <w:sz w:val="20"/>
                <w:szCs w:val="21"/>
                <w:highlight w:val="none"/>
              </w:rPr>
            </w:pPr>
          </w:p>
        </w:tc>
      </w:tr>
    </w:tbl>
    <w:p>
      <w:pPr>
        <w:pageBreakBefore w:val="0"/>
        <w:kinsoku/>
        <w:wordWrap/>
        <w:overflowPunct/>
        <w:topLinePunct w:val="0"/>
        <w:bidi w:val="0"/>
        <w:adjustRightInd w:val="0"/>
        <w:snapToGrid w:val="0"/>
        <w:spacing w:line="360" w:lineRule="auto"/>
        <w:ind w:left="0" w:leftChars="0" w:right="0" w:rightChars="0"/>
        <w:textAlignment w:val="auto"/>
        <w:rPr>
          <w:color w:val="auto"/>
          <w:sz w:val="24"/>
          <w:highlight w:val="none"/>
        </w:rPr>
      </w:pPr>
      <w:r>
        <w:rPr>
          <w:rFonts w:hint="eastAsia" w:ascii="新宋体" w:hAnsi="新宋体" w:eastAsia="新宋体"/>
          <w:color w:val="auto"/>
          <w:sz w:val="24"/>
          <w:highlight w:val="none"/>
        </w:rPr>
        <w:t>记录:                 技术负责人:                   监理:</w:t>
      </w:r>
    </w:p>
    <w:p>
      <w:pPr>
        <w:pStyle w:val="5"/>
        <w:pageBreakBefore w:val="0"/>
        <w:kinsoku/>
        <w:wordWrap/>
        <w:overflowPunct/>
        <w:topLinePunct w:val="0"/>
        <w:bidi w:val="0"/>
        <w:adjustRightInd w:val="0"/>
        <w:snapToGrid w:val="0"/>
        <w:spacing w:before="0" w:line="360" w:lineRule="auto"/>
        <w:ind w:left="0" w:leftChars="0" w:right="0" w:rightChars="0"/>
        <w:jc w:val="both"/>
        <w:textAlignment w:val="auto"/>
        <w:rPr>
          <w:rFonts w:ascii="Times New Roman" w:hAnsi="Times New Roman"/>
          <w:color w:val="auto"/>
          <w:spacing w:val="-3"/>
          <w:highlight w:val="none"/>
          <w:lang w:eastAsia="zh-CN"/>
        </w:rPr>
        <w:sectPr>
          <w:footerReference r:id="rId14" w:type="default"/>
          <w:pgSz w:w="11910" w:h="16840"/>
          <w:pgMar w:top="1460" w:right="1600" w:bottom="1580" w:left="1680" w:header="0" w:footer="1391" w:gutter="0"/>
          <w:pgBorders>
            <w:top w:val="none" w:sz="0" w:space="0"/>
            <w:left w:val="none" w:sz="0" w:space="0"/>
            <w:bottom w:val="none" w:sz="0" w:space="0"/>
            <w:right w:val="none" w:sz="0" w:space="0"/>
          </w:pgBorders>
          <w:pgNumType w:fmt="decimal"/>
          <w:cols w:space="720" w:num="1"/>
        </w:sectPr>
      </w:pPr>
    </w:p>
    <w:p>
      <w:pPr>
        <w:pStyle w:val="2"/>
        <w:pageBreakBefore w:val="0"/>
        <w:kinsoku/>
        <w:wordWrap/>
        <w:overflowPunct/>
        <w:topLinePunct w:val="0"/>
        <w:bidi w:val="0"/>
        <w:adjustRightInd w:val="0"/>
        <w:snapToGrid w:val="0"/>
        <w:spacing w:before="0" w:after="0" w:line="360" w:lineRule="auto"/>
        <w:ind w:left="0" w:leftChars="0" w:right="0" w:rightChars="0"/>
        <w:textAlignment w:val="auto"/>
        <w:rPr>
          <w:rFonts w:hint="eastAsia" w:ascii="黑体" w:hAnsi="黑体" w:eastAsia="黑体" w:cs="黑体"/>
          <w:color w:val="auto"/>
          <w:sz w:val="28"/>
          <w:szCs w:val="28"/>
          <w:highlight w:val="none"/>
          <w:lang w:val="en-US" w:eastAsia="zh-CN"/>
        </w:rPr>
      </w:pPr>
      <w:bookmarkStart w:id="130" w:name="_bookmark23"/>
      <w:bookmarkEnd w:id="130"/>
      <w:bookmarkStart w:id="131" w:name="_bookmark17"/>
      <w:bookmarkEnd w:id="131"/>
      <w:bookmarkStart w:id="132" w:name="_bookmark32"/>
      <w:bookmarkEnd w:id="132"/>
      <w:bookmarkStart w:id="133" w:name="7__附属设施施工"/>
      <w:bookmarkEnd w:id="133"/>
      <w:bookmarkStart w:id="134" w:name="_Toc26433"/>
      <w:bookmarkStart w:id="135" w:name="_Toc28946"/>
      <w:bookmarkStart w:id="136" w:name="_Toc11077"/>
      <w:bookmarkStart w:id="137" w:name="_Toc32022"/>
      <w:bookmarkStart w:id="138" w:name="_Toc31699"/>
      <w:bookmarkStart w:id="139" w:name="_Toc21624"/>
      <w:bookmarkStart w:id="140" w:name="_Toc31384"/>
      <w:bookmarkStart w:id="141" w:name="_Toc16678"/>
      <w:r>
        <w:rPr>
          <w:rFonts w:hint="eastAsia" w:ascii="黑体" w:hAnsi="黑体" w:eastAsia="黑体" w:cs="黑体"/>
          <w:color w:val="auto"/>
          <w:sz w:val="30"/>
          <w:szCs w:val="30"/>
          <w:highlight w:val="none"/>
          <w:lang w:val="en-US" w:eastAsia="zh-CN"/>
        </w:rPr>
        <w:t>附录B： 防沉降井盖施工质量验收记录表</w:t>
      </w:r>
      <w:bookmarkEnd w:id="134"/>
      <w:bookmarkEnd w:id="135"/>
      <w:bookmarkEnd w:id="136"/>
      <w:bookmarkEnd w:id="137"/>
      <w:bookmarkEnd w:id="138"/>
      <w:bookmarkEnd w:id="139"/>
      <w:bookmarkEnd w:id="140"/>
      <w:bookmarkEnd w:id="141"/>
    </w:p>
    <w:tbl>
      <w:tblPr>
        <w:tblStyle w:val="13"/>
        <w:tblW w:w="14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92"/>
        <w:gridCol w:w="1737"/>
        <w:gridCol w:w="2740"/>
        <w:gridCol w:w="1193"/>
        <w:gridCol w:w="1350"/>
        <w:gridCol w:w="504"/>
        <w:gridCol w:w="504"/>
        <w:gridCol w:w="504"/>
        <w:gridCol w:w="504"/>
        <w:gridCol w:w="116"/>
        <w:gridCol w:w="388"/>
        <w:gridCol w:w="504"/>
        <w:gridCol w:w="504"/>
        <w:gridCol w:w="504"/>
        <w:gridCol w:w="233"/>
        <w:gridCol w:w="271"/>
        <w:gridCol w:w="504"/>
        <w:gridCol w:w="720"/>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105" w:type="dxa"/>
            <w:gridSpan w:val="3"/>
            <w:tcBorders>
              <w:top w:val="single" w:color="auto" w:sz="12" w:space="0"/>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工程名称</w:t>
            </w:r>
          </w:p>
        </w:tc>
        <w:tc>
          <w:tcPr>
            <w:tcW w:w="2740" w:type="dxa"/>
            <w:tcBorders>
              <w:top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2543" w:type="dxa"/>
            <w:gridSpan w:val="2"/>
            <w:tcBorders>
              <w:top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分部工程名称</w:t>
            </w:r>
          </w:p>
        </w:tc>
        <w:tc>
          <w:tcPr>
            <w:tcW w:w="2132" w:type="dxa"/>
            <w:gridSpan w:val="5"/>
            <w:tcBorders>
              <w:top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附属构筑物工程</w:t>
            </w:r>
          </w:p>
        </w:tc>
        <w:tc>
          <w:tcPr>
            <w:tcW w:w="2133" w:type="dxa"/>
            <w:gridSpan w:val="5"/>
            <w:tcBorders>
              <w:top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分项工程名称</w:t>
            </w:r>
          </w:p>
        </w:tc>
        <w:tc>
          <w:tcPr>
            <w:tcW w:w="2133" w:type="dxa"/>
            <w:gridSpan w:val="4"/>
            <w:tcBorders>
              <w:top w:val="single" w:color="auto" w:sz="12" w:space="0"/>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eastAsiaTheme="minorEastAsia"/>
                <w:color w:val="auto"/>
                <w:sz w:val="18"/>
                <w:szCs w:val="18"/>
                <w:highlight w:val="none"/>
                <w:lang w:eastAsia="zh-CN"/>
              </w:rPr>
            </w:pPr>
            <w:r>
              <w:rPr>
                <w:rFonts w:hint="eastAsia" w:ascii="宋体"/>
                <w:color w:val="auto"/>
                <w:sz w:val="18"/>
                <w:szCs w:val="18"/>
                <w:highlight w:val="none"/>
              </w:rPr>
              <w:t>检查井盖</w:t>
            </w:r>
            <w:r>
              <w:rPr>
                <w:rFonts w:hint="eastAsia" w:ascii="宋体"/>
                <w:color w:val="auto"/>
                <w:sz w:val="18"/>
                <w:szCs w:val="18"/>
                <w:highlight w:val="none"/>
                <w:lang w:eastAsia="zh-CN"/>
              </w:rPr>
              <w:t>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105" w:type="dxa"/>
            <w:gridSpan w:val="3"/>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施工单位</w:t>
            </w:r>
          </w:p>
        </w:tc>
        <w:tc>
          <w:tcPr>
            <w:tcW w:w="274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2543"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项目经理</w:t>
            </w:r>
          </w:p>
        </w:tc>
        <w:tc>
          <w:tcPr>
            <w:tcW w:w="2132" w:type="dxa"/>
            <w:gridSpan w:val="5"/>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2133" w:type="dxa"/>
            <w:gridSpan w:val="5"/>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项目技术负责人</w:t>
            </w:r>
          </w:p>
        </w:tc>
        <w:tc>
          <w:tcPr>
            <w:tcW w:w="2133" w:type="dxa"/>
            <w:gridSpan w:val="4"/>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105" w:type="dxa"/>
            <w:gridSpan w:val="3"/>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工程数量</w:t>
            </w:r>
          </w:p>
        </w:tc>
        <w:tc>
          <w:tcPr>
            <w:tcW w:w="274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2543"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验收部位（桩号或井号）</w:t>
            </w:r>
          </w:p>
        </w:tc>
        <w:tc>
          <w:tcPr>
            <w:tcW w:w="2132" w:type="dxa"/>
            <w:gridSpan w:val="5"/>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2133" w:type="dxa"/>
            <w:gridSpan w:val="5"/>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检查日期</w:t>
            </w:r>
          </w:p>
        </w:tc>
        <w:tc>
          <w:tcPr>
            <w:tcW w:w="2133" w:type="dxa"/>
            <w:gridSpan w:val="4"/>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76" w:type="dxa"/>
            <w:vMerge w:val="restart"/>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检查</w:t>
            </w:r>
          </w:p>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项目</w:t>
            </w:r>
          </w:p>
        </w:tc>
        <w:tc>
          <w:tcPr>
            <w:tcW w:w="492" w:type="dxa"/>
            <w:vMerge w:val="restart"/>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序号</w:t>
            </w:r>
          </w:p>
        </w:tc>
        <w:tc>
          <w:tcPr>
            <w:tcW w:w="1737" w:type="dxa"/>
            <w:vMerge w:val="restart"/>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检查内容</w:t>
            </w:r>
          </w:p>
        </w:tc>
        <w:tc>
          <w:tcPr>
            <w:tcW w:w="2740" w:type="dxa"/>
            <w:vMerge w:val="restart"/>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施工要求/允许偏差（规定值或±偏差值）（mm)</w:t>
            </w:r>
          </w:p>
        </w:tc>
        <w:tc>
          <w:tcPr>
            <w:tcW w:w="2543"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检查数量</w:t>
            </w:r>
          </w:p>
        </w:tc>
        <w:tc>
          <w:tcPr>
            <w:tcW w:w="6398" w:type="dxa"/>
            <w:gridSpan w:val="14"/>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检查结果/实测点偏差值（mm)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76" w:type="dxa"/>
            <w:vMerge w:val="continue"/>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492" w:type="dxa"/>
            <w:vMerge w:val="continue"/>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1737" w:type="dxa"/>
            <w:vMerge w:val="continue"/>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2740" w:type="dxa"/>
            <w:vMerge w:val="continue"/>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1193"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范围</w:t>
            </w:r>
          </w:p>
        </w:tc>
        <w:tc>
          <w:tcPr>
            <w:tcW w:w="135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点数</w:t>
            </w: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1</w:t>
            </w: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2</w:t>
            </w: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3</w:t>
            </w: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4</w:t>
            </w:r>
          </w:p>
        </w:tc>
        <w:tc>
          <w:tcPr>
            <w:tcW w:w="504"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5</w:t>
            </w: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6</w:t>
            </w: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7</w:t>
            </w: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8</w:t>
            </w:r>
          </w:p>
        </w:tc>
        <w:tc>
          <w:tcPr>
            <w:tcW w:w="504"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9</w:t>
            </w: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10</w:t>
            </w:r>
          </w:p>
        </w:tc>
        <w:tc>
          <w:tcPr>
            <w:tcW w:w="72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应测</w:t>
            </w:r>
          </w:p>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点数</w:t>
            </w:r>
          </w:p>
        </w:tc>
        <w:tc>
          <w:tcPr>
            <w:tcW w:w="638" w:type="dxa"/>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合格</w:t>
            </w:r>
          </w:p>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76" w:type="dxa"/>
            <w:vMerge w:val="restart"/>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eastAsiaTheme="minorEastAsia"/>
                <w:color w:val="auto"/>
                <w:sz w:val="18"/>
                <w:szCs w:val="18"/>
                <w:highlight w:val="none"/>
                <w:lang w:eastAsia="zh-CN"/>
              </w:rPr>
            </w:pPr>
            <w:r>
              <w:rPr>
                <w:rFonts w:hint="eastAsia" w:ascii="宋体"/>
                <w:color w:val="auto"/>
                <w:sz w:val="18"/>
                <w:szCs w:val="18"/>
                <w:highlight w:val="none"/>
                <w:lang w:val="en-US" w:eastAsia="zh-CN"/>
              </w:rPr>
              <w:t>主控</w:t>
            </w:r>
          </w:p>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项目</w:t>
            </w:r>
          </w:p>
        </w:tc>
        <w:tc>
          <w:tcPr>
            <w:tcW w:w="492"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1</w:t>
            </w:r>
          </w:p>
        </w:tc>
        <w:tc>
          <w:tcPr>
            <w:tcW w:w="1737"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default" w:ascii="宋体"/>
                <w:color w:val="auto"/>
                <w:sz w:val="18"/>
                <w:szCs w:val="18"/>
                <w:highlight w:val="none"/>
                <w:lang w:val="en-US"/>
              </w:rPr>
            </w:pPr>
            <w:r>
              <w:rPr>
                <w:rFonts w:hint="eastAsia" w:ascii="宋体"/>
                <w:color w:val="auto"/>
                <w:sz w:val="18"/>
                <w:szCs w:val="18"/>
                <w:highlight w:val="none"/>
                <w:lang w:val="en-US" w:eastAsia="zh-CN"/>
              </w:rPr>
              <w:t>井盖质量</w:t>
            </w:r>
          </w:p>
        </w:tc>
        <w:tc>
          <w:tcPr>
            <w:tcW w:w="274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所用构配件质量符合国家相关标准及设计要求</w:t>
            </w:r>
          </w:p>
        </w:tc>
        <w:tc>
          <w:tcPr>
            <w:tcW w:w="2543"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按进场批次</w:t>
            </w:r>
          </w:p>
        </w:tc>
        <w:tc>
          <w:tcPr>
            <w:tcW w:w="5040" w:type="dxa"/>
            <w:gridSpan w:val="1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合格证及检验报告编号</w:t>
            </w:r>
          </w:p>
        </w:tc>
        <w:tc>
          <w:tcPr>
            <w:tcW w:w="72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638" w:type="dxa"/>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76" w:type="dxa"/>
            <w:vMerge w:val="continue"/>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492"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2</w:t>
            </w:r>
          </w:p>
        </w:tc>
        <w:tc>
          <w:tcPr>
            <w:tcW w:w="1737"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lang w:val="en-US" w:eastAsia="zh-CN"/>
              </w:rPr>
              <w:t>注浆</w:t>
            </w:r>
            <w:r>
              <w:rPr>
                <w:rFonts w:hint="eastAsia" w:ascii="宋体"/>
                <w:color w:val="auto"/>
                <w:sz w:val="18"/>
                <w:szCs w:val="18"/>
                <w:highlight w:val="none"/>
              </w:rPr>
              <w:t>材料</w:t>
            </w:r>
          </w:p>
        </w:tc>
        <w:tc>
          <w:tcPr>
            <w:tcW w:w="274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所用原材料质量符合国家相关标准及设计要求</w:t>
            </w:r>
          </w:p>
        </w:tc>
        <w:tc>
          <w:tcPr>
            <w:tcW w:w="2543"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按进场批次</w:t>
            </w:r>
          </w:p>
        </w:tc>
        <w:tc>
          <w:tcPr>
            <w:tcW w:w="5040" w:type="dxa"/>
            <w:gridSpan w:val="1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合格证及检验报告编号</w:t>
            </w:r>
          </w:p>
        </w:tc>
        <w:tc>
          <w:tcPr>
            <w:tcW w:w="72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638" w:type="dxa"/>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76" w:type="dxa"/>
            <w:vMerge w:val="continue"/>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492"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3</w:t>
            </w:r>
          </w:p>
        </w:tc>
        <w:tc>
          <w:tcPr>
            <w:tcW w:w="1737"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lang w:val="en-US" w:eastAsia="zh-CN"/>
              </w:rPr>
              <w:t>加固铺面的压实度</w:t>
            </w:r>
          </w:p>
        </w:tc>
        <w:tc>
          <w:tcPr>
            <w:tcW w:w="274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lang w:val="en-US" w:eastAsia="zh-CN"/>
              </w:rPr>
              <w:t>采用相应道路的面层设计要求</w:t>
            </w:r>
          </w:p>
        </w:tc>
        <w:tc>
          <w:tcPr>
            <w:tcW w:w="2543"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lang w:val="en-US" w:eastAsia="zh-CN"/>
              </w:rPr>
              <w:t>检测1次</w:t>
            </w:r>
          </w:p>
        </w:tc>
        <w:tc>
          <w:tcPr>
            <w:tcW w:w="5040" w:type="dxa"/>
            <w:gridSpan w:val="1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72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638" w:type="dxa"/>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76" w:type="dxa"/>
            <w:vMerge w:val="continue"/>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492"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eastAsiaTheme="minorEastAsia"/>
                <w:color w:val="auto"/>
                <w:sz w:val="18"/>
                <w:szCs w:val="18"/>
                <w:highlight w:val="none"/>
                <w:lang w:val="en-US" w:eastAsia="zh-CN"/>
              </w:rPr>
            </w:pPr>
            <w:r>
              <w:rPr>
                <w:rFonts w:hint="eastAsia" w:ascii="宋体"/>
                <w:color w:val="auto"/>
                <w:sz w:val="18"/>
                <w:szCs w:val="18"/>
                <w:highlight w:val="none"/>
                <w:lang w:val="en-US" w:eastAsia="zh-CN"/>
              </w:rPr>
              <w:t>4</w:t>
            </w:r>
          </w:p>
        </w:tc>
        <w:tc>
          <w:tcPr>
            <w:tcW w:w="1737"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color w:val="auto"/>
                <w:sz w:val="18"/>
                <w:szCs w:val="18"/>
                <w:highlight w:val="none"/>
              </w:rPr>
            </w:pPr>
            <w:r>
              <w:rPr>
                <w:rFonts w:hint="eastAsia" w:ascii="宋体"/>
                <w:color w:val="auto"/>
                <w:sz w:val="18"/>
                <w:szCs w:val="18"/>
                <w:highlight w:val="none"/>
                <w:lang w:val="en-US" w:eastAsia="zh-CN"/>
              </w:rPr>
              <w:t>加固铺面渗水系数</w:t>
            </w:r>
          </w:p>
        </w:tc>
        <w:tc>
          <w:tcPr>
            <w:tcW w:w="274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color w:val="auto"/>
                <w:sz w:val="18"/>
                <w:szCs w:val="18"/>
                <w:highlight w:val="none"/>
              </w:rPr>
            </w:pPr>
            <w:r>
              <w:rPr>
                <w:rFonts w:hint="eastAsia" w:ascii="宋体"/>
                <w:color w:val="auto"/>
                <w:sz w:val="18"/>
                <w:szCs w:val="18"/>
                <w:highlight w:val="none"/>
                <w:lang w:val="en-US" w:eastAsia="zh-CN"/>
              </w:rPr>
              <w:t>符合现行JTG F40的规定</w:t>
            </w:r>
          </w:p>
        </w:tc>
        <w:tc>
          <w:tcPr>
            <w:tcW w:w="2543"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color w:val="auto"/>
                <w:sz w:val="18"/>
                <w:szCs w:val="18"/>
                <w:highlight w:val="none"/>
              </w:rPr>
            </w:pPr>
            <w:r>
              <w:rPr>
                <w:rFonts w:hint="eastAsia" w:ascii="宋体"/>
                <w:color w:val="auto"/>
                <w:sz w:val="18"/>
                <w:szCs w:val="18"/>
                <w:highlight w:val="none"/>
                <w:lang w:val="en-US" w:eastAsia="zh-CN"/>
              </w:rPr>
              <w:t>防沉降井盖总数量的3%</w:t>
            </w:r>
          </w:p>
        </w:tc>
        <w:tc>
          <w:tcPr>
            <w:tcW w:w="5040" w:type="dxa"/>
            <w:gridSpan w:val="1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72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638" w:type="dxa"/>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76" w:type="dxa"/>
            <w:vMerge w:val="restart"/>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一般</w:t>
            </w:r>
          </w:p>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项目</w:t>
            </w:r>
          </w:p>
        </w:tc>
        <w:tc>
          <w:tcPr>
            <w:tcW w:w="492"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eastAsiaTheme="minorEastAsia"/>
                <w:color w:val="auto"/>
                <w:sz w:val="18"/>
                <w:szCs w:val="18"/>
                <w:highlight w:val="none"/>
                <w:lang w:val="en-US" w:eastAsia="zh-CN"/>
              </w:rPr>
            </w:pPr>
            <w:r>
              <w:rPr>
                <w:rFonts w:hint="eastAsia" w:ascii="宋体"/>
                <w:color w:val="auto"/>
                <w:sz w:val="18"/>
                <w:szCs w:val="18"/>
                <w:highlight w:val="none"/>
                <w:lang w:val="en-US" w:eastAsia="zh-CN"/>
              </w:rPr>
              <w:t>5</w:t>
            </w:r>
          </w:p>
        </w:tc>
        <w:tc>
          <w:tcPr>
            <w:tcW w:w="1737"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color w:val="auto"/>
                <w:sz w:val="18"/>
                <w:szCs w:val="18"/>
                <w:highlight w:val="none"/>
              </w:rPr>
            </w:pPr>
            <w:r>
              <w:rPr>
                <w:rFonts w:hint="eastAsia" w:ascii="宋体"/>
                <w:color w:val="auto"/>
                <w:sz w:val="18"/>
                <w:szCs w:val="18"/>
                <w:highlight w:val="none"/>
                <w:lang w:val="en-US" w:eastAsia="zh-CN"/>
              </w:rPr>
              <w:t>井周加固铺面劈裂及冻融残余强度</w:t>
            </w:r>
          </w:p>
        </w:tc>
        <w:tc>
          <w:tcPr>
            <w:tcW w:w="274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color w:val="auto"/>
                <w:sz w:val="18"/>
                <w:szCs w:val="18"/>
                <w:highlight w:val="none"/>
              </w:rPr>
            </w:pPr>
            <w:r>
              <w:rPr>
                <w:rFonts w:hint="eastAsia" w:ascii="宋体"/>
                <w:color w:val="auto"/>
                <w:sz w:val="18"/>
                <w:szCs w:val="18"/>
                <w:highlight w:val="none"/>
                <w:lang w:val="en-US" w:eastAsia="zh-CN"/>
              </w:rPr>
              <w:t>不小于相应道路的面层设计要求</w:t>
            </w:r>
          </w:p>
        </w:tc>
        <w:tc>
          <w:tcPr>
            <w:tcW w:w="2543"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color w:val="auto"/>
                <w:sz w:val="18"/>
                <w:szCs w:val="18"/>
                <w:highlight w:val="none"/>
              </w:rPr>
            </w:pPr>
            <w:r>
              <w:rPr>
                <w:rFonts w:hint="eastAsia" w:ascii="宋体"/>
                <w:color w:val="auto"/>
                <w:sz w:val="18"/>
                <w:szCs w:val="18"/>
                <w:highlight w:val="none"/>
                <w:lang w:val="en-US" w:eastAsia="zh-CN"/>
              </w:rPr>
              <w:t>检测1次</w:t>
            </w:r>
          </w:p>
        </w:tc>
        <w:tc>
          <w:tcPr>
            <w:tcW w:w="5040" w:type="dxa"/>
            <w:gridSpan w:val="1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Theme="minorHAnsi" w:eastAsiaTheme="minorEastAsia" w:cstheme="minorBidi"/>
                <w:color w:val="auto"/>
                <w:kern w:val="2"/>
                <w:sz w:val="18"/>
                <w:szCs w:val="18"/>
                <w:highlight w:val="none"/>
                <w:lang w:val="en-US" w:eastAsia="zh-CN" w:bidi="ar-SA"/>
              </w:rPr>
            </w:pPr>
          </w:p>
        </w:tc>
        <w:tc>
          <w:tcPr>
            <w:tcW w:w="72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Theme="minorHAnsi" w:eastAsiaTheme="minorEastAsia" w:cstheme="minorBidi"/>
                <w:color w:val="auto"/>
                <w:kern w:val="2"/>
                <w:sz w:val="18"/>
                <w:szCs w:val="18"/>
                <w:highlight w:val="none"/>
                <w:lang w:val="en-US" w:eastAsia="zh-CN" w:bidi="ar-SA"/>
              </w:rPr>
            </w:pPr>
          </w:p>
        </w:tc>
        <w:tc>
          <w:tcPr>
            <w:tcW w:w="638" w:type="dxa"/>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Theme="minorHAnsi" w:eastAsiaTheme="minorEastAsia" w:cstheme="minorBidi"/>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76" w:type="dxa"/>
            <w:vMerge w:val="continue"/>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492"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eastAsiaTheme="minorEastAsia"/>
                <w:color w:val="auto"/>
                <w:sz w:val="18"/>
                <w:szCs w:val="18"/>
                <w:highlight w:val="none"/>
                <w:lang w:eastAsia="zh-CN"/>
              </w:rPr>
            </w:pPr>
            <w:r>
              <w:rPr>
                <w:rFonts w:hint="eastAsia" w:ascii="宋体"/>
                <w:color w:val="auto"/>
                <w:sz w:val="18"/>
                <w:szCs w:val="18"/>
                <w:highlight w:val="none"/>
                <w:lang w:val="en-US" w:eastAsia="zh-CN"/>
              </w:rPr>
              <w:t>6</w:t>
            </w:r>
          </w:p>
        </w:tc>
        <w:tc>
          <w:tcPr>
            <w:tcW w:w="1737"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lang w:val="en-US" w:eastAsia="zh-CN"/>
              </w:rPr>
              <w:t>加固铺面稳定度及流值</w:t>
            </w:r>
          </w:p>
        </w:tc>
        <w:tc>
          <w:tcPr>
            <w:tcW w:w="274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lang w:val="en-US" w:eastAsia="zh-CN"/>
              </w:rPr>
              <w:t>不小于相应道路的面层沥青混凝土指标要求</w:t>
            </w:r>
          </w:p>
        </w:tc>
        <w:tc>
          <w:tcPr>
            <w:tcW w:w="2543"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lang w:val="en-US" w:eastAsia="zh-CN"/>
              </w:rPr>
              <w:t>检测1次</w:t>
            </w:r>
          </w:p>
        </w:tc>
        <w:tc>
          <w:tcPr>
            <w:tcW w:w="5040" w:type="dxa"/>
            <w:gridSpan w:val="1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72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638" w:type="dxa"/>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76" w:type="dxa"/>
            <w:vMerge w:val="continue"/>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492"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eastAsiaTheme="minorEastAsia"/>
                <w:color w:val="auto"/>
                <w:sz w:val="18"/>
                <w:szCs w:val="18"/>
                <w:highlight w:val="none"/>
                <w:lang w:eastAsia="zh-CN"/>
              </w:rPr>
            </w:pPr>
            <w:r>
              <w:rPr>
                <w:rFonts w:hint="eastAsia" w:ascii="宋体"/>
                <w:color w:val="auto"/>
                <w:sz w:val="18"/>
                <w:szCs w:val="18"/>
                <w:highlight w:val="none"/>
                <w:lang w:val="en-US" w:eastAsia="zh-CN"/>
              </w:rPr>
              <w:t>7</w:t>
            </w:r>
          </w:p>
        </w:tc>
        <w:tc>
          <w:tcPr>
            <w:tcW w:w="1737"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lang w:val="en-US" w:eastAsia="zh-CN"/>
              </w:rPr>
              <w:t>注浆施工观感质量</w:t>
            </w:r>
          </w:p>
        </w:tc>
        <w:tc>
          <w:tcPr>
            <w:tcW w:w="274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default" w:ascii="宋体" w:eastAsiaTheme="minorEastAsia"/>
                <w:color w:val="auto"/>
                <w:sz w:val="18"/>
                <w:szCs w:val="18"/>
                <w:highlight w:val="none"/>
                <w:lang w:val="en-US" w:eastAsia="zh-CN"/>
              </w:rPr>
            </w:pPr>
            <w:r>
              <w:rPr>
                <w:rFonts w:hint="eastAsia"/>
                <w:color w:val="auto"/>
                <w:sz w:val="18"/>
                <w:szCs w:val="18"/>
                <w:highlight w:val="none"/>
                <w:lang w:val="en-US" w:eastAsia="zh-CN"/>
              </w:rPr>
              <w:t>注浆空洞率≤50%</w:t>
            </w:r>
          </w:p>
        </w:tc>
        <w:tc>
          <w:tcPr>
            <w:tcW w:w="1193" w:type="dxa"/>
            <w:vMerge w:val="restart"/>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每座井</w:t>
            </w:r>
          </w:p>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135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1</w:t>
            </w: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72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638" w:type="dxa"/>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76" w:type="dxa"/>
            <w:vMerge w:val="continue"/>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color w:val="auto"/>
                <w:sz w:val="18"/>
                <w:szCs w:val="18"/>
                <w:highlight w:val="none"/>
              </w:rPr>
            </w:pPr>
          </w:p>
        </w:tc>
        <w:tc>
          <w:tcPr>
            <w:tcW w:w="492"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eastAsiaTheme="minorEastAsia"/>
                <w:color w:val="auto"/>
                <w:sz w:val="18"/>
                <w:szCs w:val="18"/>
                <w:highlight w:val="none"/>
                <w:lang w:val="en-US" w:eastAsia="zh-CN"/>
              </w:rPr>
            </w:pPr>
            <w:r>
              <w:rPr>
                <w:rFonts w:hint="eastAsia" w:ascii="宋体"/>
                <w:color w:val="auto"/>
                <w:sz w:val="18"/>
                <w:szCs w:val="18"/>
                <w:highlight w:val="none"/>
                <w:lang w:val="en-US" w:eastAsia="zh-CN"/>
              </w:rPr>
              <w:t>8</w:t>
            </w:r>
          </w:p>
        </w:tc>
        <w:tc>
          <w:tcPr>
            <w:tcW w:w="1737"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Theme="minorHAnsi" w:eastAsiaTheme="minorEastAsia" w:cstheme="minorBidi"/>
                <w:color w:val="auto"/>
                <w:kern w:val="2"/>
                <w:sz w:val="18"/>
                <w:szCs w:val="18"/>
                <w:highlight w:val="none"/>
                <w:lang w:val="en-US" w:eastAsia="zh-CN" w:bidi="ar-SA"/>
              </w:rPr>
            </w:pPr>
            <w:r>
              <w:rPr>
                <w:rFonts w:hint="eastAsia" w:ascii="宋体"/>
                <w:color w:val="auto"/>
                <w:sz w:val="18"/>
                <w:szCs w:val="18"/>
                <w:highlight w:val="none"/>
                <w:lang w:val="en-US" w:eastAsia="zh-CN"/>
              </w:rPr>
              <w:t>路框差</w:t>
            </w:r>
          </w:p>
        </w:tc>
        <w:tc>
          <w:tcPr>
            <w:tcW w:w="274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Theme="minorHAnsi" w:eastAsiaTheme="minorEastAsia" w:cstheme="minorBidi"/>
                <w:color w:val="auto"/>
                <w:kern w:val="2"/>
                <w:sz w:val="18"/>
                <w:szCs w:val="18"/>
                <w:highlight w:val="none"/>
                <w:lang w:val="en-US" w:eastAsia="zh-CN" w:bidi="ar-SA"/>
              </w:rPr>
            </w:pPr>
            <w:r>
              <w:rPr>
                <w:rFonts w:hint="eastAsia" w:ascii="宋体" w:hAnsiTheme="minorHAnsi" w:eastAsiaTheme="minorEastAsia" w:cstheme="minorBidi"/>
                <w:color w:val="auto"/>
                <w:kern w:val="2"/>
                <w:sz w:val="18"/>
                <w:szCs w:val="18"/>
                <w:highlight w:val="none"/>
                <w:lang w:val="en-US" w:eastAsia="zh-CN" w:bidi="ar-SA"/>
              </w:rPr>
              <w:t xml:space="preserve">新建、改建、扩建工程0mm～-3mm ；井盖养护、更换工程0mm～-5mm </w:t>
            </w:r>
          </w:p>
        </w:tc>
        <w:tc>
          <w:tcPr>
            <w:tcW w:w="1193" w:type="dxa"/>
            <w:vMerge w:val="continue"/>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135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eastAsiaTheme="minorEastAsia"/>
                <w:color w:val="auto"/>
                <w:sz w:val="18"/>
                <w:szCs w:val="18"/>
                <w:highlight w:val="none"/>
                <w:lang w:val="en-US" w:eastAsia="zh-CN"/>
              </w:rPr>
            </w:pPr>
            <w:r>
              <w:rPr>
                <w:rFonts w:hint="eastAsia" w:ascii="宋体"/>
                <w:color w:val="auto"/>
                <w:sz w:val="18"/>
                <w:szCs w:val="18"/>
                <w:highlight w:val="none"/>
                <w:lang w:val="en-US" w:eastAsia="zh-CN"/>
              </w:rPr>
              <w:t>2</w:t>
            </w: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72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638" w:type="dxa"/>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76" w:type="dxa"/>
            <w:vMerge w:val="continue"/>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color w:val="auto"/>
                <w:sz w:val="18"/>
                <w:szCs w:val="18"/>
                <w:highlight w:val="none"/>
              </w:rPr>
            </w:pPr>
          </w:p>
        </w:tc>
        <w:tc>
          <w:tcPr>
            <w:tcW w:w="492"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eastAsiaTheme="minorEastAsia"/>
                <w:color w:val="auto"/>
                <w:sz w:val="18"/>
                <w:szCs w:val="18"/>
                <w:highlight w:val="none"/>
                <w:lang w:val="en-US" w:eastAsia="zh-CN"/>
              </w:rPr>
            </w:pPr>
            <w:r>
              <w:rPr>
                <w:rFonts w:hint="eastAsia" w:ascii="宋体"/>
                <w:color w:val="auto"/>
                <w:sz w:val="18"/>
                <w:szCs w:val="18"/>
                <w:highlight w:val="none"/>
                <w:lang w:val="en-US" w:eastAsia="zh-CN"/>
              </w:rPr>
              <w:t>9</w:t>
            </w:r>
          </w:p>
        </w:tc>
        <w:tc>
          <w:tcPr>
            <w:tcW w:w="1737"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Theme="minorHAnsi" w:eastAsiaTheme="minorEastAsia" w:cstheme="minorBidi"/>
                <w:color w:val="auto"/>
                <w:kern w:val="2"/>
                <w:sz w:val="18"/>
                <w:szCs w:val="18"/>
                <w:highlight w:val="none"/>
                <w:lang w:val="en-US" w:eastAsia="zh-CN" w:bidi="ar-SA"/>
              </w:rPr>
            </w:pPr>
            <w:r>
              <w:rPr>
                <w:rFonts w:hint="eastAsia" w:ascii="宋体"/>
                <w:color w:val="auto"/>
                <w:sz w:val="18"/>
                <w:szCs w:val="18"/>
                <w:highlight w:val="none"/>
                <w:lang w:val="en-US" w:eastAsia="zh-CN"/>
              </w:rPr>
              <w:t>井盖中心与井室中心位置偏差</w:t>
            </w:r>
          </w:p>
        </w:tc>
        <w:tc>
          <w:tcPr>
            <w:tcW w:w="274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Theme="minorHAnsi" w:eastAsiaTheme="minorEastAsia" w:cstheme="minorBidi"/>
                <w:color w:val="auto"/>
                <w:kern w:val="2"/>
                <w:sz w:val="18"/>
                <w:szCs w:val="18"/>
                <w:highlight w:val="none"/>
                <w:lang w:val="en-US" w:eastAsia="zh-CN" w:bidi="ar-SA"/>
              </w:rPr>
            </w:pPr>
            <w:r>
              <w:rPr>
                <w:rFonts w:hint="eastAsia" w:ascii="宋体"/>
                <w:color w:val="auto"/>
                <w:sz w:val="18"/>
                <w:szCs w:val="18"/>
                <w:highlight w:val="none"/>
              </w:rPr>
              <w:t>≤</w:t>
            </w:r>
            <w:r>
              <w:rPr>
                <w:rFonts w:hint="eastAsia" w:ascii="宋体"/>
                <w:color w:val="auto"/>
                <w:sz w:val="18"/>
                <w:szCs w:val="18"/>
                <w:highlight w:val="none"/>
                <w:lang w:val="en-US" w:eastAsia="zh-CN"/>
              </w:rPr>
              <w:t>25</w:t>
            </w:r>
            <w:r>
              <w:rPr>
                <w:rFonts w:hint="eastAsia" w:ascii="宋体"/>
                <w:color w:val="auto"/>
                <w:sz w:val="18"/>
                <w:szCs w:val="18"/>
                <w:highlight w:val="none"/>
              </w:rPr>
              <w:t xml:space="preserve"> mm</w:t>
            </w:r>
          </w:p>
        </w:tc>
        <w:tc>
          <w:tcPr>
            <w:tcW w:w="1193" w:type="dxa"/>
            <w:vMerge w:val="continue"/>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135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eastAsiaTheme="minorEastAsia"/>
                <w:color w:val="auto"/>
                <w:sz w:val="18"/>
                <w:szCs w:val="18"/>
                <w:highlight w:val="none"/>
                <w:lang w:val="en-US" w:eastAsia="zh-CN"/>
              </w:rPr>
            </w:pPr>
            <w:r>
              <w:rPr>
                <w:rFonts w:hint="eastAsia" w:ascii="宋体"/>
                <w:color w:val="auto"/>
                <w:sz w:val="18"/>
                <w:szCs w:val="18"/>
                <w:highlight w:val="none"/>
                <w:lang w:val="en-US" w:eastAsia="zh-CN"/>
              </w:rPr>
              <w:t>3</w:t>
            </w: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72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638" w:type="dxa"/>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76" w:type="dxa"/>
            <w:vMerge w:val="continue"/>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492"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default" w:ascii="宋体" w:eastAsiaTheme="minorEastAsia"/>
                <w:color w:val="auto"/>
                <w:sz w:val="18"/>
                <w:szCs w:val="18"/>
                <w:highlight w:val="none"/>
                <w:lang w:val="en-US" w:eastAsia="zh-CN"/>
              </w:rPr>
            </w:pPr>
            <w:r>
              <w:rPr>
                <w:rFonts w:hint="eastAsia" w:ascii="宋体"/>
                <w:color w:val="auto"/>
                <w:sz w:val="18"/>
                <w:szCs w:val="18"/>
                <w:highlight w:val="none"/>
                <w:lang w:val="en-US" w:eastAsia="zh-CN"/>
              </w:rPr>
              <w:t>10</w:t>
            </w:r>
          </w:p>
        </w:tc>
        <w:tc>
          <w:tcPr>
            <w:tcW w:w="1737"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Theme="minorHAnsi" w:eastAsiaTheme="minorEastAsia" w:cstheme="minorBidi"/>
                <w:color w:val="auto"/>
                <w:kern w:val="2"/>
                <w:sz w:val="18"/>
                <w:szCs w:val="18"/>
                <w:highlight w:val="none"/>
                <w:lang w:val="en-US" w:eastAsia="zh-CN" w:bidi="ar-SA"/>
              </w:rPr>
            </w:pPr>
            <w:r>
              <w:rPr>
                <w:rFonts w:hint="eastAsia" w:ascii="宋体" w:hAnsiTheme="minorHAnsi" w:eastAsiaTheme="minorEastAsia" w:cstheme="minorBidi"/>
                <w:color w:val="auto"/>
                <w:kern w:val="2"/>
                <w:sz w:val="18"/>
                <w:szCs w:val="18"/>
                <w:highlight w:val="none"/>
                <w:lang w:val="en-US" w:eastAsia="zh-CN" w:bidi="ar-SA"/>
              </w:rPr>
              <w:t>井盖铰链</w:t>
            </w:r>
          </w:p>
        </w:tc>
        <w:tc>
          <w:tcPr>
            <w:tcW w:w="274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hAnsiTheme="minorHAnsi" w:eastAsiaTheme="minorEastAsia" w:cstheme="minorBidi"/>
                <w:color w:val="auto"/>
                <w:kern w:val="2"/>
                <w:sz w:val="18"/>
                <w:szCs w:val="18"/>
                <w:highlight w:val="none"/>
                <w:lang w:val="en-US" w:eastAsia="zh-CN" w:bidi="ar-SA"/>
              </w:rPr>
            </w:pPr>
            <w:r>
              <w:rPr>
                <w:rFonts w:hint="eastAsia" w:ascii="宋体" w:hAnsiTheme="minorHAnsi" w:eastAsiaTheme="minorEastAsia" w:cstheme="minorBidi"/>
                <w:color w:val="auto"/>
                <w:kern w:val="2"/>
                <w:sz w:val="18"/>
                <w:szCs w:val="18"/>
                <w:highlight w:val="none"/>
                <w:lang w:val="en-US" w:eastAsia="zh-CN" w:bidi="ar-SA"/>
              </w:rPr>
              <w:t>朝向来车方向</w:t>
            </w:r>
          </w:p>
        </w:tc>
        <w:tc>
          <w:tcPr>
            <w:tcW w:w="1193" w:type="dxa"/>
            <w:vMerge w:val="continue"/>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135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4</w:t>
            </w: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72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638" w:type="dxa"/>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76" w:type="dxa"/>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492"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default" w:ascii="宋体"/>
                <w:color w:val="auto"/>
                <w:sz w:val="18"/>
                <w:szCs w:val="18"/>
                <w:highlight w:val="none"/>
                <w:lang w:val="en-US" w:eastAsia="zh-CN"/>
              </w:rPr>
            </w:pPr>
            <w:r>
              <w:rPr>
                <w:rFonts w:hint="eastAsia" w:ascii="宋体"/>
                <w:color w:val="auto"/>
                <w:sz w:val="18"/>
                <w:szCs w:val="18"/>
                <w:highlight w:val="none"/>
                <w:lang w:val="en-US" w:eastAsia="zh-CN"/>
              </w:rPr>
              <w:t>11</w:t>
            </w:r>
          </w:p>
        </w:tc>
        <w:tc>
          <w:tcPr>
            <w:tcW w:w="1737"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default" w:ascii="宋体" w:hAnsiTheme="minorHAnsi" w:eastAsiaTheme="minorEastAsia" w:cstheme="minorBidi"/>
                <w:color w:val="auto"/>
                <w:kern w:val="2"/>
                <w:sz w:val="18"/>
                <w:szCs w:val="18"/>
                <w:highlight w:val="none"/>
                <w:lang w:val="en-US" w:eastAsia="zh-CN" w:bidi="ar-SA"/>
              </w:rPr>
            </w:pPr>
            <w:r>
              <w:rPr>
                <w:rFonts w:hint="eastAsia" w:ascii="宋体" w:cstheme="minorBidi"/>
                <w:color w:val="auto"/>
                <w:kern w:val="2"/>
                <w:sz w:val="18"/>
                <w:szCs w:val="18"/>
                <w:highlight w:val="none"/>
                <w:lang w:val="en-US" w:eastAsia="zh-CN" w:bidi="ar-SA"/>
              </w:rPr>
              <w:t>防坠落装置</w:t>
            </w:r>
          </w:p>
        </w:tc>
        <w:tc>
          <w:tcPr>
            <w:tcW w:w="274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default" w:ascii="宋体" w:hAnsiTheme="minorHAnsi" w:eastAsiaTheme="minorEastAsia" w:cstheme="minorBidi"/>
                <w:color w:val="auto"/>
                <w:kern w:val="2"/>
                <w:sz w:val="18"/>
                <w:szCs w:val="18"/>
                <w:highlight w:val="none"/>
                <w:lang w:val="en-US" w:eastAsia="zh-CN" w:bidi="ar-SA"/>
              </w:rPr>
            </w:pPr>
            <w:r>
              <w:rPr>
                <w:rFonts w:hint="eastAsia" w:ascii="宋体" w:cstheme="minorBidi"/>
                <w:color w:val="auto"/>
                <w:kern w:val="2"/>
                <w:sz w:val="18"/>
                <w:szCs w:val="18"/>
                <w:highlight w:val="none"/>
                <w:lang w:val="en-US" w:eastAsia="zh-CN" w:bidi="ar-SA"/>
              </w:rPr>
              <w:t>安装到位</w:t>
            </w:r>
          </w:p>
        </w:tc>
        <w:tc>
          <w:tcPr>
            <w:tcW w:w="1193" w:type="dxa"/>
            <w:vMerge w:val="continue"/>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135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宋体" w:eastAsiaTheme="minorEastAsia"/>
                <w:color w:val="auto"/>
                <w:sz w:val="18"/>
                <w:szCs w:val="18"/>
                <w:highlight w:val="none"/>
                <w:lang w:val="en-US" w:eastAsia="zh-CN"/>
              </w:rPr>
            </w:pPr>
            <w:r>
              <w:rPr>
                <w:rFonts w:hint="eastAsia" w:ascii="宋体"/>
                <w:color w:val="auto"/>
                <w:sz w:val="18"/>
                <w:szCs w:val="18"/>
                <w:highlight w:val="none"/>
                <w:lang w:val="en-US" w:eastAsia="zh-CN"/>
              </w:rPr>
              <w:t>5</w:t>
            </w: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gridSpan w:val="2"/>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504"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720" w:type="dxa"/>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c>
          <w:tcPr>
            <w:tcW w:w="638" w:type="dxa"/>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105" w:type="dxa"/>
            <w:gridSpan w:val="3"/>
            <w:tcBorders>
              <w:lef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施工单位检查评定结论</w:t>
            </w:r>
          </w:p>
        </w:tc>
        <w:tc>
          <w:tcPr>
            <w:tcW w:w="11681" w:type="dxa"/>
            <w:gridSpan w:val="17"/>
            <w:tcBorders>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项目专业质量检查员（签字）：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105" w:type="dxa"/>
            <w:gridSpan w:val="3"/>
            <w:tcBorders>
              <w:left w:val="single" w:color="auto" w:sz="12" w:space="0"/>
              <w:bottom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监理（建设）单位验收意见</w:t>
            </w:r>
          </w:p>
        </w:tc>
        <w:tc>
          <w:tcPr>
            <w:tcW w:w="11681" w:type="dxa"/>
            <w:gridSpan w:val="17"/>
            <w:tcBorders>
              <w:bottom w:val="single" w:color="auto" w:sz="12" w:space="0"/>
              <w:right w:val="single" w:color="auto" w:sz="12" w:space="0"/>
            </w:tcBorders>
            <w:vAlign w:val="center"/>
          </w:tcPr>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p>
          <w:p>
            <w:pPr>
              <w:pageBreakBefore w:val="0"/>
              <w:kinsoku/>
              <w:wordWrap/>
              <w:overflowPunct/>
              <w:topLinePunct w:val="0"/>
              <w:bidi w:val="0"/>
              <w:adjustRightInd w:val="0"/>
              <w:snapToGrid w:val="0"/>
              <w:spacing w:line="240" w:lineRule="auto"/>
              <w:ind w:left="0" w:leftChars="0" w:right="0" w:rightChars="0"/>
              <w:jc w:val="center"/>
              <w:textAlignment w:val="auto"/>
              <w:rPr>
                <w:rFonts w:ascii="宋体"/>
                <w:color w:val="auto"/>
                <w:sz w:val="18"/>
                <w:szCs w:val="18"/>
                <w:highlight w:val="none"/>
              </w:rPr>
            </w:pPr>
            <w:r>
              <w:rPr>
                <w:rFonts w:hint="eastAsia" w:ascii="宋体"/>
                <w:color w:val="auto"/>
                <w:sz w:val="18"/>
                <w:szCs w:val="18"/>
                <w:highlight w:val="none"/>
              </w:rPr>
              <w:t>监理工程师（签字）：                                 日期：</w:t>
            </w:r>
          </w:p>
        </w:tc>
      </w:tr>
    </w:tbl>
    <w:p>
      <w:pPr>
        <w:pStyle w:val="5"/>
        <w:pageBreakBefore w:val="0"/>
        <w:kinsoku/>
        <w:wordWrap/>
        <w:overflowPunct/>
        <w:topLinePunct w:val="0"/>
        <w:bidi w:val="0"/>
        <w:adjustRightInd w:val="0"/>
        <w:snapToGrid w:val="0"/>
        <w:spacing w:before="0" w:line="360" w:lineRule="auto"/>
        <w:ind w:left="0" w:leftChars="0" w:right="0" w:rightChars="0" w:firstLine="0" w:firstLineChars="0"/>
        <w:textAlignment w:val="auto"/>
        <w:rPr>
          <w:rFonts w:ascii="Times New Roman" w:hAnsi="Times New Roman"/>
          <w:color w:val="auto"/>
          <w:highlight w:val="none"/>
          <w:lang w:eastAsia="zh-CN"/>
        </w:rPr>
        <w:sectPr>
          <w:footerReference r:id="rId15" w:type="default"/>
          <w:pgSz w:w="16838" w:h="11906" w:orient="landscape"/>
          <w:pgMar w:top="1338" w:right="1503" w:bottom="1202" w:left="1298" w:header="0" w:footer="1123" w:gutter="0"/>
          <w:pgBorders>
            <w:top w:val="none" w:sz="0" w:space="0"/>
            <w:left w:val="none" w:sz="0" w:space="0"/>
            <w:bottom w:val="none" w:sz="0" w:space="0"/>
            <w:right w:val="none" w:sz="0" w:space="0"/>
          </w:pgBorders>
          <w:pgNumType w:fmt="decimal"/>
          <w:cols w:space="720" w:num="1"/>
          <w:docGrid w:linePitch="286" w:charSpace="0"/>
        </w:sectPr>
      </w:pPr>
    </w:p>
    <w:p>
      <w:pPr>
        <w:pStyle w:val="2"/>
        <w:pageBreakBefore w:val="0"/>
        <w:kinsoku/>
        <w:wordWrap/>
        <w:overflowPunct/>
        <w:topLinePunct w:val="0"/>
        <w:bidi w:val="0"/>
        <w:adjustRightInd w:val="0"/>
        <w:snapToGrid w:val="0"/>
        <w:spacing w:before="0" w:after="0" w:line="360" w:lineRule="auto"/>
        <w:ind w:left="0" w:leftChars="0" w:right="0" w:rightChars="0"/>
        <w:jc w:val="center"/>
        <w:textAlignment w:val="auto"/>
        <w:rPr>
          <w:rFonts w:hint="eastAsia" w:ascii="黑体" w:hAnsi="黑体" w:eastAsia="黑体" w:cs="黑体"/>
          <w:color w:val="auto"/>
          <w:sz w:val="30"/>
          <w:szCs w:val="30"/>
          <w:highlight w:val="none"/>
          <w:lang w:val="en-US" w:eastAsia="zh-CN"/>
        </w:rPr>
      </w:pPr>
      <w:bookmarkStart w:id="142" w:name="_Toc26624"/>
      <w:bookmarkStart w:id="143" w:name="_Toc3831"/>
      <w:bookmarkStart w:id="144" w:name="_Toc737"/>
      <w:bookmarkStart w:id="145" w:name="_Toc25905"/>
      <w:bookmarkStart w:id="146" w:name="_Toc686"/>
      <w:bookmarkStart w:id="147" w:name="_Toc31784"/>
      <w:bookmarkStart w:id="148" w:name="_Toc518808095"/>
      <w:bookmarkStart w:id="149" w:name="_Toc518806582"/>
      <w:bookmarkStart w:id="150" w:name="_Toc32600"/>
      <w:bookmarkStart w:id="151" w:name="_Toc14708"/>
      <w:bookmarkStart w:id="152" w:name="_Toc281057171"/>
      <w:bookmarkStart w:id="153" w:name="_Toc518808256"/>
      <w:bookmarkStart w:id="154" w:name="_Toc29780"/>
      <w:r>
        <w:rPr>
          <w:rFonts w:hint="eastAsia" w:ascii="黑体" w:hAnsi="黑体" w:eastAsia="黑体" w:cs="黑体"/>
          <w:color w:val="auto"/>
          <w:sz w:val="30"/>
          <w:szCs w:val="30"/>
          <w:highlight w:val="none"/>
          <w:lang w:val="en-US" w:eastAsia="zh-CN"/>
        </w:rPr>
        <w:t>附录C：井周加固铺面浆液主要性能检测方法</w:t>
      </w:r>
      <w:bookmarkEnd w:id="142"/>
      <w:bookmarkEnd w:id="143"/>
      <w:bookmarkEnd w:id="144"/>
      <w:bookmarkEnd w:id="145"/>
      <w:bookmarkEnd w:id="146"/>
      <w:bookmarkEnd w:id="147"/>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黑体" w:hAnsi="黑体" w:eastAsia="黑体" w:cs="黑体"/>
          <w:color w:val="auto"/>
          <w:sz w:val="28"/>
          <w:szCs w:val="28"/>
          <w:highlight w:val="none"/>
          <w:lang w:val="en-US" w:eastAsia="zh-CN"/>
        </w:rPr>
      </w:pPr>
      <w:r>
        <w:rPr>
          <w:rFonts w:hint="eastAsia" w:ascii="黑体" w:hAnsi="黑体" w:eastAsia="黑体" w:cs="黑体"/>
          <w:b/>
          <w:bCs/>
          <w:color w:val="auto"/>
          <w:kern w:val="2"/>
          <w:sz w:val="28"/>
          <w:szCs w:val="28"/>
          <w:highlight w:val="none"/>
          <w:lang w:val="en-US" w:eastAsia="zh-CN" w:bidi="ar-SA"/>
        </w:rPr>
        <w:t>C.1</w:t>
      </w:r>
      <w:r>
        <w:rPr>
          <w:rFonts w:hint="eastAsia" w:ascii="黑体" w:hAnsi="黑体" w:eastAsia="黑体" w:cs="黑体"/>
          <w:color w:val="auto"/>
          <w:sz w:val="28"/>
          <w:szCs w:val="28"/>
          <w:highlight w:val="none"/>
          <w:lang w:val="en-US" w:eastAsia="zh-CN"/>
        </w:rPr>
        <w:t xml:space="preserve">  稳定性试验</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C.1.1</w:t>
      </w:r>
      <w:r>
        <w:rPr>
          <w:rFonts w:hint="eastAsia"/>
          <w:color w:val="auto"/>
          <w:sz w:val="24"/>
          <w:szCs w:val="24"/>
          <w:highlight w:val="none"/>
          <w:lang w:val="en-US" w:eastAsia="zh-CN"/>
        </w:rPr>
        <w:t xml:space="preserve">  适用范围：</w:t>
      </w:r>
      <w:r>
        <w:rPr>
          <w:rFonts w:hint="default"/>
          <w:color w:val="auto"/>
          <w:sz w:val="24"/>
          <w:szCs w:val="24"/>
          <w:highlight w:val="none"/>
          <w:lang w:val="en-US" w:eastAsia="zh-CN"/>
        </w:rPr>
        <w:t>适用于测定</w:t>
      </w:r>
      <w:r>
        <w:rPr>
          <w:rFonts w:hint="eastAsia"/>
          <w:color w:val="auto"/>
          <w:sz w:val="24"/>
          <w:szCs w:val="24"/>
          <w:highlight w:val="none"/>
          <w:lang w:val="en-US" w:eastAsia="zh-CN"/>
        </w:rPr>
        <w:t>浆液</w:t>
      </w:r>
      <w:r>
        <w:rPr>
          <w:rFonts w:hint="default"/>
          <w:color w:val="auto"/>
          <w:sz w:val="24"/>
          <w:szCs w:val="24"/>
          <w:highlight w:val="none"/>
          <w:lang w:val="en-US" w:eastAsia="zh-CN"/>
        </w:rPr>
        <w:t>拌合物在运输及停放时内部组分的稳定性。</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C.1.2</w:t>
      </w:r>
      <w:r>
        <w:rPr>
          <w:rFonts w:hint="eastAsia"/>
          <w:color w:val="auto"/>
          <w:sz w:val="24"/>
          <w:szCs w:val="24"/>
          <w:highlight w:val="none"/>
          <w:lang w:val="en-US" w:eastAsia="zh-CN"/>
        </w:rPr>
        <w:t xml:space="preserve">  试验仪器应符合下列规定：</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textAlignment w:val="auto"/>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1  </w:t>
      </w:r>
      <w:r>
        <w:rPr>
          <w:rFonts w:hint="eastAsia"/>
          <w:color w:val="auto"/>
          <w:sz w:val="24"/>
          <w:szCs w:val="24"/>
          <w:highlight w:val="none"/>
          <w:lang w:val="en-US" w:eastAsia="zh-CN"/>
        </w:rPr>
        <w:t>浆液</w:t>
      </w:r>
      <w:r>
        <w:rPr>
          <w:rFonts w:hint="default"/>
          <w:color w:val="auto"/>
          <w:sz w:val="24"/>
          <w:szCs w:val="24"/>
          <w:highlight w:val="none"/>
          <w:lang w:val="en-US" w:eastAsia="zh-CN"/>
        </w:rPr>
        <w:t>分层度筒（图</w:t>
      </w:r>
      <w:r>
        <w:rPr>
          <w:rFonts w:hint="eastAsia"/>
          <w:color w:val="auto"/>
          <w:sz w:val="24"/>
          <w:szCs w:val="24"/>
          <w:highlight w:val="none"/>
          <w:lang w:val="en-US" w:eastAsia="zh-CN"/>
        </w:rPr>
        <w:t>C.1.2</w:t>
      </w:r>
      <w:r>
        <w:rPr>
          <w:rFonts w:hint="default"/>
          <w:color w:val="auto"/>
          <w:sz w:val="24"/>
          <w:szCs w:val="24"/>
          <w:highlight w:val="none"/>
          <w:lang w:val="en-US" w:eastAsia="zh-CN"/>
        </w:rPr>
        <w:t>）内径为150mm，上节高度为200mm，下节带底净高为100mm，用金属板制成，上、下层连接处需加宽到3mm～5mm，并设有橡胶圈；</w:t>
      </w:r>
    </w:p>
    <w:p>
      <w:pPr>
        <w:rPr>
          <w:rFonts w:hint="default"/>
          <w:color w:val="auto"/>
          <w:sz w:val="24"/>
          <w:szCs w:val="24"/>
          <w:highlight w:val="none"/>
          <w:lang w:val="en-US" w:eastAsia="zh-CN"/>
        </w:rPr>
      </w:pPr>
      <w:r>
        <w:rPr>
          <w:rFonts w:hint="default"/>
          <w:color w:val="auto"/>
          <w:sz w:val="24"/>
          <w:szCs w:val="24"/>
          <w:highlight w:val="none"/>
          <w:lang w:val="en-US" w:eastAsia="zh-CN"/>
        </w:rPr>
        <w:drawing>
          <wp:anchor distT="0" distB="0" distL="114300" distR="114300" simplePos="0" relativeHeight="251662336" behindDoc="0" locked="0" layoutInCell="1" allowOverlap="1">
            <wp:simplePos x="0" y="0"/>
            <wp:positionH relativeFrom="column">
              <wp:posOffset>1934210</wp:posOffset>
            </wp:positionH>
            <wp:positionV relativeFrom="paragraph">
              <wp:posOffset>18415</wp:posOffset>
            </wp:positionV>
            <wp:extent cx="1943100" cy="1669415"/>
            <wp:effectExtent l="0" t="0" r="7620" b="6985"/>
            <wp:wrapNone/>
            <wp:docPr id="22" name="图片 22" descr="1650542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50542376(1)"/>
                    <pic:cNvPicPr>
                      <a:picLocks noChangeAspect="1"/>
                    </pic:cNvPicPr>
                  </pic:nvPicPr>
                  <pic:blipFill>
                    <a:blip r:embed="rId47"/>
                    <a:stretch>
                      <a:fillRect/>
                    </a:stretch>
                  </pic:blipFill>
                  <pic:spPr>
                    <a:xfrm>
                      <a:off x="0" y="0"/>
                      <a:ext cx="1943100" cy="1669415"/>
                    </a:xfrm>
                    <a:prstGeom prst="rect">
                      <a:avLst/>
                    </a:prstGeom>
                  </pic:spPr>
                </pic:pic>
              </a:graphicData>
            </a:graphic>
          </wp:anchor>
        </w:drawing>
      </w:r>
    </w:p>
    <w:p>
      <w:pPr>
        <w:rPr>
          <w:rFonts w:hint="default"/>
          <w:color w:val="auto"/>
          <w:sz w:val="24"/>
          <w:szCs w:val="24"/>
          <w:highlight w:val="none"/>
          <w:lang w:val="en-US" w:eastAsia="zh-CN"/>
        </w:rPr>
      </w:pPr>
    </w:p>
    <w:p>
      <w:pPr>
        <w:rPr>
          <w:rFonts w:hint="default"/>
          <w:color w:val="auto"/>
          <w:sz w:val="24"/>
          <w:szCs w:val="24"/>
          <w:highlight w:val="none"/>
          <w:lang w:val="en-US" w:eastAsia="zh-CN"/>
        </w:rPr>
      </w:pPr>
    </w:p>
    <w:p>
      <w:pPr>
        <w:rPr>
          <w:rFonts w:hint="default"/>
          <w:color w:val="auto"/>
          <w:sz w:val="24"/>
          <w:szCs w:val="24"/>
          <w:highlight w:val="none"/>
          <w:lang w:val="en-US" w:eastAsia="zh-CN"/>
        </w:rPr>
      </w:pPr>
    </w:p>
    <w:p>
      <w:pPr>
        <w:rPr>
          <w:rFonts w:hint="default"/>
          <w:color w:val="auto"/>
          <w:sz w:val="24"/>
          <w:szCs w:val="24"/>
          <w:highlight w:val="none"/>
          <w:lang w:val="en-US" w:eastAsia="zh-CN"/>
        </w:rPr>
      </w:pPr>
    </w:p>
    <w:p>
      <w:pPr>
        <w:rPr>
          <w:rFonts w:hint="default"/>
          <w:color w:val="auto"/>
          <w:sz w:val="24"/>
          <w:szCs w:val="24"/>
          <w:highlight w:val="none"/>
          <w:lang w:val="en-US" w:eastAsia="zh-CN"/>
        </w:rPr>
      </w:pPr>
    </w:p>
    <w:p>
      <w:pPr>
        <w:rPr>
          <w:rFonts w:hint="default"/>
          <w:color w:val="auto"/>
          <w:sz w:val="24"/>
          <w:szCs w:val="24"/>
          <w:highlight w:val="none"/>
          <w:lang w:val="en-US" w:eastAsia="zh-CN"/>
        </w:rPr>
      </w:pPr>
    </w:p>
    <w:p>
      <w:pPr>
        <w:rPr>
          <w:rFonts w:hint="default"/>
          <w:color w:val="auto"/>
          <w:sz w:val="24"/>
          <w:szCs w:val="24"/>
          <w:highlight w:val="none"/>
          <w:lang w:val="en-US" w:eastAsia="zh-CN"/>
        </w:rPr>
      </w:pPr>
    </w:p>
    <w:p>
      <w:pPr>
        <w:ind w:firstLine="720" w:firstLineChars="300"/>
        <w:rPr>
          <w:rFonts w:hint="default"/>
          <w:color w:val="auto"/>
          <w:sz w:val="24"/>
          <w:szCs w:val="24"/>
          <w:highlight w:val="none"/>
          <w:lang w:val="en-US" w:eastAsia="zh-CN"/>
        </w:rPr>
      </w:pPr>
    </w:p>
    <w:p>
      <w:pPr>
        <w:numPr>
          <w:ilvl w:val="0"/>
          <w:numId w:val="0"/>
        </w:numPr>
        <w:spacing w:line="36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图C.1.2 浆液分层度测定仪</w:t>
      </w:r>
    </w:p>
    <w:p>
      <w:pPr>
        <w:numPr>
          <w:ilvl w:val="0"/>
          <w:numId w:val="0"/>
        </w:numPr>
        <w:spacing w:line="360" w:lineRule="auto"/>
        <w:jc w:val="center"/>
        <w:rPr>
          <w:rFonts w:hint="default"/>
          <w:color w:val="auto"/>
          <w:sz w:val="21"/>
          <w:szCs w:val="21"/>
          <w:highlight w:val="none"/>
          <w:lang w:val="en-US" w:eastAsia="zh-CN"/>
        </w:rPr>
      </w:pPr>
      <w:r>
        <w:rPr>
          <w:rFonts w:hint="eastAsia"/>
          <w:color w:val="auto"/>
          <w:sz w:val="18"/>
          <w:szCs w:val="18"/>
          <w:highlight w:val="none"/>
          <w:lang w:val="en-US" w:eastAsia="zh-CN"/>
        </w:rPr>
        <w:t>1-</w:t>
      </w:r>
      <w:r>
        <w:rPr>
          <w:rFonts w:hint="default"/>
          <w:color w:val="auto"/>
          <w:sz w:val="18"/>
          <w:szCs w:val="18"/>
          <w:highlight w:val="none"/>
          <w:lang w:val="en-US" w:eastAsia="zh-CN"/>
        </w:rPr>
        <w:t>无底圆简</w:t>
      </w:r>
      <w:r>
        <w:rPr>
          <w:rFonts w:hint="eastAsia"/>
          <w:color w:val="auto"/>
          <w:sz w:val="18"/>
          <w:szCs w:val="18"/>
          <w:highlight w:val="none"/>
          <w:lang w:val="en-US" w:eastAsia="zh-CN"/>
        </w:rPr>
        <w:t>；</w:t>
      </w:r>
      <w:r>
        <w:rPr>
          <w:rFonts w:hint="default"/>
          <w:color w:val="auto"/>
          <w:sz w:val="18"/>
          <w:szCs w:val="18"/>
          <w:highlight w:val="none"/>
          <w:lang w:val="en-US" w:eastAsia="zh-CN"/>
        </w:rPr>
        <w:t>2-连接螺栓</w:t>
      </w:r>
      <w:r>
        <w:rPr>
          <w:rFonts w:hint="eastAsia"/>
          <w:color w:val="auto"/>
          <w:sz w:val="18"/>
          <w:szCs w:val="18"/>
          <w:highlight w:val="none"/>
          <w:lang w:val="en-US" w:eastAsia="zh-CN"/>
        </w:rPr>
        <w:t>；</w:t>
      </w:r>
      <w:r>
        <w:rPr>
          <w:rFonts w:hint="default"/>
          <w:color w:val="auto"/>
          <w:sz w:val="18"/>
          <w:szCs w:val="18"/>
          <w:highlight w:val="none"/>
          <w:lang w:val="en-US" w:eastAsia="zh-CN"/>
        </w:rPr>
        <w:t>3-有底圆简</w:t>
      </w:r>
    </w:p>
    <w:p>
      <w:pPr>
        <w:spacing w:line="360" w:lineRule="auto"/>
        <w:ind w:firstLine="482" w:firstLineChars="200"/>
        <w:rPr>
          <w:rFonts w:hint="default"/>
          <w:color w:val="auto"/>
          <w:sz w:val="21"/>
          <w:szCs w:val="21"/>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2  </w:t>
      </w:r>
      <w:r>
        <w:rPr>
          <w:rFonts w:hint="default"/>
          <w:color w:val="auto"/>
          <w:sz w:val="24"/>
          <w:szCs w:val="24"/>
          <w:highlight w:val="none"/>
          <w:lang w:val="en-US" w:eastAsia="zh-CN"/>
        </w:rPr>
        <w:t>木锤。</w:t>
      </w:r>
    </w:p>
    <w:p>
      <w:pPr>
        <w:spacing w:line="360" w:lineRule="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C.1.3 </w:t>
      </w:r>
      <w:r>
        <w:rPr>
          <w:rFonts w:hint="eastAsia" w:ascii="宋体" w:hAnsi="宋体" w:eastAsia="宋体" w:cs="宋体"/>
          <w:color w:val="auto"/>
          <w:sz w:val="24"/>
          <w:szCs w:val="24"/>
          <w:highlight w:val="none"/>
          <w:lang w:val="en-US" w:eastAsia="zh-CN"/>
        </w:rPr>
        <w:t>试验方法应符合行业标准《建筑砂浆基本性能试验方法标准》</w:t>
      </w:r>
      <w:r>
        <w:rPr>
          <w:rFonts w:hint="eastAsia"/>
          <w:color w:val="auto"/>
          <w:sz w:val="24"/>
          <w:szCs w:val="24"/>
          <w:highlight w:val="none"/>
          <w:lang w:val="en-US" w:eastAsia="zh-CN"/>
        </w:rPr>
        <w:t>JGJ/T 70—2009 第六章分层度试验的规定：</w:t>
      </w:r>
    </w:p>
    <w:p>
      <w:pPr>
        <w:spacing w:line="360" w:lineRule="auto"/>
        <w:ind w:left="479" w:leftChars="228" w:firstLine="0" w:firstLineChars="0"/>
        <w:rPr>
          <w:rFonts w:hint="eastAsia" w:ascii="Times New Roman" w:hAnsi="Times New Roman" w:eastAsia="宋体" w:cs="Times New Roman"/>
          <w:i/>
          <w:iCs/>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1 </w:t>
      </w:r>
      <w:r>
        <w:rPr>
          <w:rFonts w:hint="eastAsia" w:ascii="宋体" w:hAnsi="宋体" w:eastAsia="宋体" w:cs="宋体"/>
          <w:color w:val="auto"/>
          <w:sz w:val="24"/>
          <w:szCs w:val="24"/>
          <w:highlight w:val="none"/>
          <w:lang w:val="en-US" w:eastAsia="zh-CN"/>
        </w:rPr>
        <w:t xml:space="preserve"> 浆液拌合物按行业标准《建筑砂浆基本性能试验方法标准》</w:t>
      </w:r>
      <w:r>
        <w:rPr>
          <w:rFonts w:hint="eastAsia"/>
          <w:color w:val="auto"/>
          <w:sz w:val="24"/>
          <w:szCs w:val="24"/>
          <w:highlight w:val="none"/>
          <w:lang w:val="en-US" w:eastAsia="zh-CN"/>
        </w:rPr>
        <w:t>JGJ/T 70—2009 第五章密度试验方法测定浆液拌合物的质量密度</w:t>
      </w:r>
      <w:r>
        <w:rPr>
          <w:rFonts w:hint="default" w:ascii="Times New Roman" w:hAnsi="Times New Roman" w:eastAsia="宋体" w:cs="Times New Roman"/>
          <w:i/>
          <w:iCs/>
          <w:color w:val="auto"/>
          <w:sz w:val="24"/>
          <w:szCs w:val="24"/>
          <w:highlight w:val="none"/>
          <w:lang w:val="en-US" w:eastAsia="zh-CN"/>
        </w:rPr>
        <w:t>ρ</w:t>
      </w:r>
      <w:r>
        <w:rPr>
          <w:rFonts w:hint="eastAsia" w:ascii="Times New Roman" w:hAnsi="Times New Roman" w:eastAsia="宋体" w:cs="Times New Roman"/>
          <w:i w:val="0"/>
          <w:iCs w:val="0"/>
          <w:color w:val="auto"/>
          <w:sz w:val="24"/>
          <w:szCs w:val="24"/>
          <w:highlight w:val="none"/>
          <w:lang w:val="en-US" w:eastAsia="zh-CN"/>
        </w:rPr>
        <w:t>；</w:t>
      </w:r>
    </w:p>
    <w:p>
      <w:pPr>
        <w:spacing w:line="360" w:lineRule="auto"/>
        <w:ind w:left="479" w:leftChars="228" w:firstLine="0" w:firstLineChars="0"/>
        <w:rPr>
          <w:rFonts w:hint="eastAsia" w:ascii="宋体" w:hAnsi="宋体" w:eastAsia="宋体" w:cs="宋体"/>
          <w:color w:val="auto"/>
          <w:sz w:val="24"/>
          <w:szCs w:val="24"/>
          <w:highlight w:val="none"/>
          <w:lang w:val="en-US" w:eastAsia="zh-CN"/>
        </w:rPr>
      </w:pPr>
      <w:r>
        <w:rPr>
          <w:rFonts w:hint="eastAsia"/>
          <w:color w:val="auto"/>
          <w:sz w:val="24"/>
          <w:szCs w:val="24"/>
          <w:highlight w:val="none"/>
          <w:lang w:val="en-US" w:eastAsia="zh-CN"/>
        </w:rPr>
        <w:t>2  将</w:t>
      </w:r>
      <w:r>
        <w:rPr>
          <w:rFonts w:hint="eastAsia" w:ascii="宋体" w:hAnsi="宋体" w:eastAsia="宋体" w:cs="宋体"/>
          <w:color w:val="auto"/>
          <w:sz w:val="24"/>
          <w:szCs w:val="24"/>
          <w:highlight w:val="none"/>
          <w:lang w:val="en-US" w:eastAsia="zh-CN"/>
        </w:rPr>
        <w:t>浆液拌合物一次装入分层度筒内，待装满后，用木锤在容器周围距离大致相等的四个不同部位轻轻敲击1～2下，如浆液沉落到低于筒口，则应随时添加，然后刮去多余的浆液并用抹刀抹平；</w:t>
      </w:r>
    </w:p>
    <w:p>
      <w:pPr>
        <w:spacing w:line="360" w:lineRule="auto"/>
        <w:ind w:left="479" w:leftChars="228" w:firstLine="0" w:firstLineChars="0"/>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3</w:t>
      </w:r>
      <w:r>
        <w:rPr>
          <w:rFonts w:hint="eastAsia" w:ascii="宋体" w:hAnsi="宋体" w:eastAsia="宋体" w:cs="宋体"/>
          <w:b/>
          <w:bCs/>
          <w:color w:val="auto"/>
          <w:kern w:val="2"/>
          <w:sz w:val="24"/>
          <w:szCs w:val="24"/>
          <w:highlight w:val="none"/>
          <w:lang w:val="en-US" w:eastAsia="zh-CN" w:bidi="ar-SA"/>
        </w:rPr>
        <w:t xml:space="preserve">  </w:t>
      </w:r>
      <w:r>
        <w:rPr>
          <w:rFonts w:hint="eastAsia" w:ascii="宋体" w:hAnsi="宋体" w:eastAsia="宋体" w:cs="宋体"/>
          <w:color w:val="auto"/>
          <w:sz w:val="24"/>
          <w:szCs w:val="24"/>
          <w:highlight w:val="none"/>
          <w:lang w:val="en-US" w:eastAsia="zh-CN"/>
        </w:rPr>
        <w:t>静置30min后，去掉上节200mm浆液，随即将剩余的100mm浆液倒出搅拌2min，再测定其密度</w:t>
      </w:r>
      <w:r>
        <w:rPr>
          <w:rFonts w:hint="default" w:ascii="Times New Roman" w:hAnsi="Times New Roman" w:eastAsia="宋体" w:cs="Times New Roman"/>
          <w:i/>
          <w:iCs/>
          <w:color w:val="auto"/>
          <w:sz w:val="24"/>
          <w:szCs w:val="24"/>
          <w:highlight w:val="none"/>
          <w:lang w:val="en-US" w:eastAsia="zh-CN"/>
        </w:rPr>
        <w:t>ρ2</w:t>
      </w:r>
      <w:r>
        <w:rPr>
          <w:rFonts w:hint="eastAsia" w:ascii="宋体" w:hAnsi="宋体" w:eastAsia="宋体" w:cs="宋体"/>
          <w:color w:val="auto"/>
          <w:sz w:val="24"/>
          <w:szCs w:val="24"/>
          <w:highlight w:val="none"/>
          <w:lang w:val="en-US" w:eastAsia="zh-CN"/>
        </w:rPr>
        <w:t>，精确至10kg／m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p>
    <w:p>
      <w:pPr>
        <w:spacing w:line="360" w:lineRule="auto"/>
        <w:ind w:firstLine="482" w:firstLineChars="200"/>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4 </w:t>
      </w:r>
      <w:r>
        <w:rPr>
          <w:rFonts w:hint="eastAsia" w:ascii="宋体" w:hAnsi="宋体" w:eastAsia="宋体" w:cs="宋体"/>
          <w:b/>
          <w:bCs/>
          <w:color w:val="auto"/>
          <w:kern w:val="2"/>
          <w:sz w:val="24"/>
          <w:szCs w:val="24"/>
          <w:highlight w:val="none"/>
          <w:lang w:val="en-US" w:eastAsia="zh-CN" w:bidi="ar-SA"/>
        </w:rPr>
        <w:t xml:space="preserve"> </w:t>
      </w:r>
      <w:r>
        <w:rPr>
          <w:rFonts w:hint="eastAsia" w:ascii="宋体" w:hAnsi="宋体" w:eastAsia="宋体" w:cs="宋体"/>
          <w:color w:val="auto"/>
          <w:sz w:val="24"/>
          <w:szCs w:val="24"/>
          <w:highlight w:val="none"/>
          <w:lang w:val="en-US" w:eastAsia="zh-CN"/>
        </w:rPr>
        <w:t>以两次浆液拌合物质量密度的差值做为表征浆液均匀性的指标，其结果为</w:t>
      </w:r>
    </w:p>
    <w:p>
      <w:pPr>
        <w:spacing w:line="360" w:lineRule="auto"/>
        <w:ind w:left="479" w:leftChars="228" w:firstLine="960" w:firstLineChars="400"/>
        <w:rPr>
          <w:rFonts w:hint="eastAsia" w:ascii="宋体" w:hAnsi="宋体" w:eastAsia="宋体" w:cs="宋体"/>
          <w:color w:val="auto"/>
          <w:sz w:val="24"/>
          <w:szCs w:val="24"/>
          <w:highlight w:val="none"/>
          <w:lang w:val="en-US" w:eastAsia="zh-CN"/>
        </w:rPr>
      </w:pPr>
      <w:r>
        <w:rPr>
          <w:rFonts w:hint="default" w:ascii="Times New Roman" w:hAnsi="Times New Roman" w:eastAsia="宋体" w:cs="Times New Roman"/>
          <w:i/>
          <w:iCs/>
          <w:color w:val="auto"/>
          <w:sz w:val="24"/>
          <w:szCs w:val="24"/>
          <w:highlight w:val="none"/>
          <w:lang w:val="en-US" w:eastAsia="zh-CN"/>
        </w:rPr>
        <w:t>ρ</w:t>
      </w:r>
      <w:r>
        <w:rPr>
          <w:rFonts w:hint="default" w:ascii="Times New Roman" w:hAnsi="Times New Roman" w:eastAsia="宋体" w:cs="Times New Roman"/>
          <w:i/>
          <w:iCs/>
          <w:color w:val="auto"/>
          <w:sz w:val="24"/>
          <w:szCs w:val="24"/>
          <w:highlight w:val="none"/>
          <w:vertAlign w:val="subscript"/>
          <w:lang w:val="en-US" w:eastAsia="zh-CN"/>
        </w:rPr>
        <w:t>0</w:t>
      </w:r>
      <w:r>
        <w:rPr>
          <w:rFonts w:hint="default" w:ascii="Times New Roman" w:hAnsi="Times New Roman" w:eastAsia="宋体" w:cs="Times New Roman"/>
          <w:i/>
          <w:iCs/>
          <w:color w:val="auto"/>
          <w:sz w:val="24"/>
          <w:szCs w:val="24"/>
          <w:highlight w:val="none"/>
          <w:lang w:val="en-US" w:eastAsia="zh-CN"/>
        </w:rPr>
        <w:t>=ρ</w:t>
      </w:r>
      <w:r>
        <w:rPr>
          <w:rFonts w:hint="default" w:ascii="Times New Roman" w:hAnsi="Times New Roman" w:eastAsia="宋体" w:cs="Times New Roman"/>
          <w:i/>
          <w:iCs/>
          <w:color w:val="auto"/>
          <w:sz w:val="24"/>
          <w:szCs w:val="24"/>
          <w:highlight w:val="none"/>
          <w:vertAlign w:val="subscript"/>
          <w:lang w:val="en-US" w:eastAsia="zh-CN"/>
        </w:rPr>
        <w:t>2</w:t>
      </w:r>
      <w:r>
        <w:rPr>
          <w:rFonts w:hint="default" w:ascii="Times New Roman" w:hAnsi="Times New Roman" w:eastAsia="宋体" w:cs="Times New Roman"/>
          <w:i/>
          <w:iCs/>
          <w:color w:val="auto"/>
          <w:sz w:val="24"/>
          <w:szCs w:val="24"/>
          <w:highlight w:val="none"/>
          <w:lang w:val="en-US" w:eastAsia="zh-CN"/>
        </w:rPr>
        <w:t xml:space="preserve">-ρ   </w:t>
      </w:r>
      <w:r>
        <w:rPr>
          <w:rFonts w:hint="eastAsia" w:ascii="宋体" w:hAnsi="宋体" w:eastAsia="宋体" w:cs="宋体"/>
          <w:color w:val="auto"/>
          <w:sz w:val="24"/>
          <w:szCs w:val="24"/>
          <w:highlight w:val="none"/>
          <w:lang w:val="en-US" w:eastAsia="zh-CN"/>
        </w:rPr>
        <w:t xml:space="preserve">                                                （C.1.3）</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式中：</w:t>
      </w:r>
      <w:r>
        <w:rPr>
          <w:rFonts w:hint="default" w:ascii="Times New Roman" w:hAnsi="Times New Roman" w:eastAsia="宋体" w:cs="Times New Roman"/>
          <w:i/>
          <w:iCs/>
          <w:color w:val="auto"/>
          <w:sz w:val="24"/>
          <w:szCs w:val="24"/>
          <w:highlight w:val="none"/>
          <w:lang w:val="en-US" w:eastAsia="zh-CN"/>
        </w:rPr>
        <w:t>ρ</w:t>
      </w:r>
      <w:r>
        <w:rPr>
          <w:rFonts w:hint="default" w:ascii="Times New Roman" w:hAnsi="Times New Roman" w:eastAsia="宋体" w:cs="Times New Roman"/>
          <w:i/>
          <w:iCs/>
          <w:color w:val="auto"/>
          <w:sz w:val="24"/>
          <w:szCs w:val="24"/>
          <w:highlight w:val="none"/>
          <w:vertAlign w:val="subscript"/>
          <w:lang w:val="en-US" w:eastAsia="zh-CN"/>
        </w:rPr>
        <w:t>0</w:t>
      </w:r>
      <w:r>
        <w:rPr>
          <w:rFonts w:hint="eastAsia" w:hAnsi="Cambria Math"/>
          <w:i w:val="0"/>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浆液拌合物质量密度的差值（kg／m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default" w:ascii="Times New Roman" w:hAnsi="Times New Roman" w:eastAsia="宋体" w:cs="Times New Roman"/>
          <w:i/>
          <w:iCs/>
          <w:color w:val="auto"/>
          <w:sz w:val="24"/>
          <w:szCs w:val="24"/>
          <w:highlight w:val="none"/>
          <w:lang w:val="en-US" w:eastAsia="zh-CN"/>
        </w:rPr>
        <w:t>ρ</w:t>
      </w:r>
      <w:r>
        <w:rPr>
          <w:rFonts w:hint="eastAsia" w:hAnsi="Cambria Math"/>
          <w:i w:val="0"/>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浆液拌合物的质量密度（kg／m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default" w:ascii="Times New Roman" w:hAnsi="Times New Roman" w:eastAsia="宋体" w:cs="Times New Roman"/>
          <w:i/>
          <w:iCs/>
          <w:color w:val="auto"/>
          <w:sz w:val="24"/>
          <w:szCs w:val="24"/>
          <w:highlight w:val="none"/>
          <w:lang w:val="en-US" w:eastAsia="zh-CN"/>
        </w:rPr>
        <w:t>ρ</w:t>
      </w:r>
      <w:r>
        <w:rPr>
          <w:rFonts w:hint="default" w:ascii="Times New Roman" w:hAnsi="Times New Roman" w:eastAsia="宋体" w:cs="Times New Roman"/>
          <w:i/>
          <w:iCs/>
          <w:color w:val="auto"/>
          <w:sz w:val="24"/>
          <w:szCs w:val="24"/>
          <w:highlight w:val="none"/>
          <w:vertAlign w:val="subscript"/>
          <w:lang w:val="en-US" w:eastAsia="zh-CN"/>
        </w:rPr>
        <w:t>2</w:t>
      </w:r>
      <w:r>
        <w:rPr>
          <w:rFonts w:hint="eastAsia" w:hAnsi="Cambria Math"/>
          <w:i w:val="0"/>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本试验所测浆液拌合物质量密度（kg／m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p>
    <w:p>
      <w:pPr>
        <w:spacing w:line="360" w:lineRule="auto"/>
        <w:ind w:firstLine="482" w:firstLineChars="200"/>
        <w:rPr>
          <w:rFonts w:hint="eastAsia" w:ascii="黑体" w:hAnsi="黑体" w:eastAsia="黑体" w:cs="黑体"/>
          <w:b w:val="0"/>
          <w:bCs w:val="0"/>
          <w:color w:val="auto"/>
          <w:kern w:val="2"/>
          <w:sz w:val="28"/>
          <w:szCs w:val="28"/>
          <w:highlight w:val="none"/>
          <w:lang w:val="en-US" w:eastAsia="zh-CN" w:bidi="ar-SA"/>
        </w:rPr>
      </w:pPr>
      <w:r>
        <w:rPr>
          <w:rFonts w:hint="eastAsia" w:ascii="Times New Roman" w:hAnsi="宋体" w:eastAsia="宋体" w:cs="Times New Roman"/>
          <w:b/>
          <w:bCs/>
          <w:color w:val="auto"/>
          <w:kern w:val="2"/>
          <w:sz w:val="24"/>
          <w:szCs w:val="24"/>
          <w:highlight w:val="none"/>
          <w:lang w:val="en-US" w:eastAsia="zh-CN" w:bidi="ar-SA"/>
        </w:rPr>
        <w:t xml:space="preserve">5  </w:t>
      </w:r>
      <w:r>
        <w:rPr>
          <w:rFonts w:hint="eastAsia" w:ascii="宋体" w:hAnsi="宋体" w:eastAsia="宋体" w:cs="宋体"/>
          <w:color w:val="auto"/>
          <w:sz w:val="24"/>
          <w:szCs w:val="24"/>
          <w:highlight w:val="none"/>
          <w:lang w:val="en-US" w:eastAsia="zh-CN"/>
        </w:rPr>
        <w:t>取两次平行试验测值的算术平均值作为稳定性试验结果。</w:t>
      </w: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t>C.2 干表观密度</w:t>
      </w:r>
    </w:p>
    <w:p>
      <w:pPr>
        <w:spacing w:line="360" w:lineRule="auto"/>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C.2.1</w:t>
      </w:r>
      <w:r>
        <w:rPr>
          <w:rFonts w:hint="eastAsia"/>
          <w:color w:val="auto"/>
          <w:sz w:val="24"/>
          <w:szCs w:val="24"/>
          <w:highlight w:val="none"/>
          <w:lang w:val="en-US" w:eastAsia="zh-CN"/>
        </w:rPr>
        <w:t xml:space="preserve"> 目的、适用范围：适用于测定水泥</w:t>
      </w:r>
      <w:r>
        <w:rPr>
          <w:rFonts w:hint="eastAsia"/>
          <w:b w:val="0"/>
          <w:bCs w:val="0"/>
          <w:color w:val="auto"/>
          <w:sz w:val="24"/>
          <w:szCs w:val="24"/>
          <w:highlight w:val="none"/>
          <w:lang w:val="en-US" w:eastAsia="zh-CN"/>
        </w:rPr>
        <w:t>砂浆浆</w:t>
      </w:r>
      <w:r>
        <w:rPr>
          <w:rFonts w:hint="eastAsia"/>
          <w:color w:val="auto"/>
          <w:sz w:val="24"/>
          <w:szCs w:val="24"/>
          <w:highlight w:val="none"/>
          <w:lang w:val="en-US" w:eastAsia="zh-CN"/>
        </w:rPr>
        <w:t>液固化后的表观密度，用于控制井周加固铺面的压实度。</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C.2.2</w:t>
      </w:r>
      <w:r>
        <w:rPr>
          <w:rFonts w:hint="eastAsia"/>
          <w:color w:val="auto"/>
          <w:sz w:val="24"/>
          <w:szCs w:val="24"/>
          <w:highlight w:val="none"/>
          <w:lang w:val="en-US" w:eastAsia="zh-CN"/>
        </w:rPr>
        <w:t xml:space="preserve"> 试验仪器应符合下列规定：</w:t>
      </w:r>
    </w:p>
    <w:p>
      <w:pPr>
        <w:spacing w:line="360" w:lineRule="auto"/>
        <w:ind w:firstLine="482" w:firstLineChars="200"/>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1</w:t>
      </w:r>
      <w:r>
        <w:rPr>
          <w:rFonts w:hint="eastAsia"/>
          <w:color w:val="auto"/>
          <w:sz w:val="24"/>
          <w:szCs w:val="24"/>
          <w:highlight w:val="none"/>
          <w:lang w:val="en-US" w:eastAsia="zh-CN"/>
        </w:rPr>
        <w:t xml:space="preserve">  烘箱：能保持温度在105℃±5℃；</w:t>
      </w:r>
    </w:p>
    <w:p>
      <w:pPr>
        <w:spacing w:line="360" w:lineRule="auto"/>
        <w:ind w:firstLine="482" w:firstLineChars="200"/>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2  </w:t>
      </w:r>
      <w:r>
        <w:rPr>
          <w:rFonts w:hint="eastAsia"/>
          <w:color w:val="auto"/>
          <w:sz w:val="24"/>
          <w:szCs w:val="24"/>
          <w:highlight w:val="none"/>
          <w:lang w:val="en-US" w:eastAsia="zh-CN"/>
        </w:rPr>
        <w:t>游标卡尺：测量精度0.02mm；</w:t>
      </w:r>
    </w:p>
    <w:p>
      <w:pPr>
        <w:spacing w:line="360" w:lineRule="auto"/>
        <w:ind w:firstLine="482" w:firstLineChars="200"/>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3</w:t>
      </w:r>
      <w:r>
        <w:rPr>
          <w:rFonts w:hint="eastAsia"/>
          <w:color w:val="auto"/>
          <w:sz w:val="24"/>
          <w:szCs w:val="24"/>
          <w:highlight w:val="none"/>
          <w:lang w:val="en-US" w:eastAsia="zh-CN"/>
        </w:rPr>
        <w:t xml:space="preserve">  天平：称量5kg，感量5g；</w:t>
      </w:r>
    </w:p>
    <w:p>
      <w:pPr>
        <w:spacing w:line="360" w:lineRule="auto"/>
        <w:ind w:left="479" w:leftChars="228" w:firstLine="0" w:firstLineChars="0"/>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4  </w:t>
      </w:r>
      <w:r>
        <w:rPr>
          <w:rFonts w:hint="eastAsia"/>
          <w:color w:val="auto"/>
          <w:sz w:val="24"/>
          <w:szCs w:val="24"/>
          <w:highlight w:val="none"/>
          <w:lang w:val="en-US" w:eastAsia="zh-CN"/>
        </w:rPr>
        <w:t>成型容器：尺寸为70.7mm×70.7mm×70.7mm铸铁试模以及壁高100mm并在内部带有刻度线不易变形能固定于试模上的模套。</w:t>
      </w:r>
    </w:p>
    <w:p>
      <w:pPr>
        <w:spacing w:line="360" w:lineRule="auto"/>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C.2.3</w:t>
      </w:r>
      <w:r>
        <w:rPr>
          <w:rFonts w:hint="eastAsia"/>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试验方法及步骤应符合下列规定：</w:t>
      </w:r>
    </w:p>
    <w:p>
      <w:pPr>
        <w:spacing w:line="360" w:lineRule="auto"/>
        <w:ind w:firstLine="482" w:firstLineChars="200"/>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1</w:t>
      </w:r>
      <w:r>
        <w:rPr>
          <w:rFonts w:hint="eastAsia" w:ascii="宋体" w:hAnsi="宋体" w:eastAsia="宋体" w:cs="宋体"/>
          <w:color w:val="auto"/>
          <w:sz w:val="24"/>
          <w:szCs w:val="24"/>
          <w:highlight w:val="none"/>
          <w:lang w:val="en-US" w:eastAsia="zh-CN"/>
        </w:rPr>
        <w:t xml:space="preserve">  试件成型应符合行业标准《建筑砂浆基本性能试验方法标准》</w:t>
      </w:r>
      <w:r>
        <w:rPr>
          <w:rFonts w:hint="eastAsia"/>
          <w:color w:val="auto"/>
          <w:sz w:val="24"/>
          <w:szCs w:val="24"/>
          <w:highlight w:val="none"/>
          <w:lang w:val="en-US" w:eastAsia="zh-CN"/>
        </w:rPr>
        <w:t>JGJ/T 70—2009 第三章取样及试样制备的规定：</w:t>
      </w:r>
    </w:p>
    <w:p>
      <w:pPr>
        <w:numPr>
          <w:ilvl w:val="0"/>
          <w:numId w:val="0"/>
        </w:numPr>
        <w:spacing w:line="360" w:lineRule="auto"/>
        <w:ind w:firstLine="964" w:firstLineChars="400"/>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1）</w:t>
      </w:r>
      <w:r>
        <w:rPr>
          <w:rFonts w:hint="eastAsia"/>
          <w:color w:val="auto"/>
          <w:sz w:val="24"/>
          <w:szCs w:val="24"/>
          <w:highlight w:val="none"/>
          <w:lang w:val="en-US" w:eastAsia="zh-CN"/>
        </w:rPr>
        <w:t xml:space="preserve"> 试</w:t>
      </w:r>
      <w:r>
        <w:rPr>
          <w:rFonts w:hint="default"/>
          <w:color w:val="auto"/>
          <w:sz w:val="24"/>
          <w:szCs w:val="24"/>
          <w:highlight w:val="none"/>
          <w:lang w:val="en-US" w:eastAsia="zh-CN"/>
        </w:rPr>
        <w:t>件成型应采用立方体试件．每组试件应为3个</w:t>
      </w:r>
      <w:r>
        <w:rPr>
          <w:rFonts w:hint="eastAsia"/>
          <w:color w:val="auto"/>
          <w:sz w:val="24"/>
          <w:szCs w:val="24"/>
          <w:highlight w:val="none"/>
          <w:lang w:val="en-US" w:eastAsia="zh-CN"/>
        </w:rPr>
        <w:t>；</w:t>
      </w:r>
    </w:p>
    <w:p>
      <w:pPr>
        <w:spacing w:line="360" w:lineRule="auto"/>
        <w:ind w:left="1440" w:leftChars="456" w:hanging="482" w:hangingChars="200"/>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2）</w:t>
      </w:r>
      <w:r>
        <w:rPr>
          <w:rFonts w:hint="eastAsia"/>
          <w:color w:val="auto"/>
          <w:sz w:val="24"/>
          <w:szCs w:val="24"/>
          <w:highlight w:val="none"/>
          <w:lang w:val="en-US" w:eastAsia="zh-CN"/>
        </w:rPr>
        <w:t xml:space="preserve"> </w:t>
      </w:r>
      <w:r>
        <w:rPr>
          <w:rFonts w:hint="default"/>
          <w:color w:val="auto"/>
          <w:sz w:val="24"/>
          <w:szCs w:val="24"/>
          <w:highlight w:val="none"/>
          <w:lang w:val="en-US" w:eastAsia="zh-CN"/>
        </w:rPr>
        <w:t>成型前，应检查试模、模套外形，采用外形整齐并能拼装紧固的试模和模套；将试模和模套擦净，内壁应涂脱模剂，为保证水泥</w:t>
      </w:r>
      <w:r>
        <w:rPr>
          <w:rFonts w:hint="eastAsia"/>
          <w:color w:val="auto"/>
          <w:sz w:val="24"/>
          <w:szCs w:val="24"/>
          <w:highlight w:val="none"/>
          <w:lang w:val="en-US" w:eastAsia="zh-CN"/>
        </w:rPr>
        <w:t>砂浆浆液</w:t>
      </w:r>
      <w:r>
        <w:rPr>
          <w:rFonts w:hint="default"/>
          <w:color w:val="auto"/>
          <w:sz w:val="24"/>
          <w:szCs w:val="24"/>
          <w:highlight w:val="none"/>
          <w:lang w:val="en-US" w:eastAsia="zh-CN"/>
        </w:rPr>
        <w:t>在成型前不漏出，应在试模与模套间放置密封垫，并将试模与模套用紧固件临时紧固</w:t>
      </w:r>
      <w:r>
        <w:rPr>
          <w:rFonts w:hint="eastAsia"/>
          <w:color w:val="auto"/>
          <w:sz w:val="24"/>
          <w:szCs w:val="24"/>
          <w:highlight w:val="none"/>
          <w:lang w:val="en-US" w:eastAsia="zh-CN"/>
        </w:rPr>
        <w:t>，</w:t>
      </w:r>
      <w:r>
        <w:rPr>
          <w:rFonts w:hint="default"/>
          <w:color w:val="auto"/>
          <w:sz w:val="24"/>
          <w:szCs w:val="24"/>
          <w:highlight w:val="none"/>
          <w:lang w:val="en-US" w:eastAsia="zh-CN"/>
        </w:rPr>
        <w:t>模套壁与试模的内壁应对齐</w:t>
      </w:r>
      <w:r>
        <w:rPr>
          <w:rFonts w:hint="eastAsia"/>
          <w:color w:val="auto"/>
          <w:sz w:val="24"/>
          <w:szCs w:val="24"/>
          <w:highlight w:val="none"/>
          <w:lang w:val="en-US" w:eastAsia="zh-CN"/>
        </w:rPr>
        <w:t>；</w:t>
      </w:r>
    </w:p>
    <w:p>
      <w:pPr>
        <w:numPr>
          <w:ilvl w:val="0"/>
          <w:numId w:val="0"/>
        </w:numPr>
        <w:spacing w:line="360" w:lineRule="auto"/>
        <w:ind w:left="1440" w:leftChars="456" w:hanging="482" w:hangingChars="200"/>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3）</w:t>
      </w:r>
      <w:r>
        <w:rPr>
          <w:rFonts w:hint="eastAsia"/>
          <w:color w:val="auto"/>
          <w:sz w:val="24"/>
          <w:szCs w:val="24"/>
          <w:highlight w:val="none"/>
          <w:lang w:val="en-US" w:eastAsia="zh-CN"/>
        </w:rPr>
        <w:t xml:space="preserve"> </w:t>
      </w:r>
      <w:r>
        <w:rPr>
          <w:rFonts w:hint="default"/>
          <w:color w:val="auto"/>
          <w:sz w:val="24"/>
          <w:szCs w:val="24"/>
          <w:highlight w:val="none"/>
          <w:lang w:val="en-US" w:eastAsia="zh-CN"/>
        </w:rPr>
        <w:t>每次取样只成型一组试件，取样量不应少于试验所需量的4倍。称取有代表性的水泥</w:t>
      </w:r>
      <w:r>
        <w:rPr>
          <w:rFonts w:hint="eastAsia"/>
          <w:color w:val="auto"/>
          <w:sz w:val="24"/>
          <w:szCs w:val="24"/>
          <w:highlight w:val="none"/>
          <w:lang w:val="en-US" w:eastAsia="zh-CN"/>
        </w:rPr>
        <w:t>砂</w:t>
      </w:r>
      <w:r>
        <w:rPr>
          <w:rFonts w:hint="default"/>
          <w:color w:val="auto"/>
          <w:sz w:val="24"/>
          <w:szCs w:val="24"/>
          <w:highlight w:val="none"/>
          <w:lang w:val="en-US" w:eastAsia="zh-CN"/>
        </w:rPr>
        <w:t>浆</w:t>
      </w:r>
      <w:r>
        <w:rPr>
          <w:rFonts w:hint="eastAsia"/>
          <w:color w:val="auto"/>
          <w:sz w:val="24"/>
          <w:szCs w:val="24"/>
          <w:highlight w:val="none"/>
          <w:lang w:val="en-US" w:eastAsia="zh-CN"/>
        </w:rPr>
        <w:t>浆液</w:t>
      </w:r>
      <w:r>
        <w:rPr>
          <w:rFonts w:hint="default"/>
          <w:color w:val="auto"/>
          <w:sz w:val="24"/>
          <w:szCs w:val="24"/>
          <w:highlight w:val="none"/>
          <w:lang w:val="en-US" w:eastAsia="zh-CN"/>
        </w:rPr>
        <w:t>，充分搅拌水泥</w:t>
      </w:r>
      <w:r>
        <w:rPr>
          <w:rFonts w:hint="eastAsia"/>
          <w:color w:val="auto"/>
          <w:sz w:val="24"/>
          <w:szCs w:val="24"/>
          <w:highlight w:val="none"/>
          <w:lang w:val="en-US" w:eastAsia="zh-CN"/>
        </w:rPr>
        <w:t>砂浆浆液</w:t>
      </w:r>
      <w:r>
        <w:rPr>
          <w:rFonts w:hint="default"/>
          <w:color w:val="auto"/>
          <w:sz w:val="24"/>
          <w:szCs w:val="24"/>
          <w:highlight w:val="none"/>
          <w:lang w:val="en-US" w:eastAsia="zh-CN"/>
        </w:rPr>
        <w:t>，边搅拌边将水泥</w:t>
      </w:r>
      <w:r>
        <w:rPr>
          <w:rFonts w:hint="eastAsia"/>
          <w:color w:val="auto"/>
          <w:sz w:val="24"/>
          <w:szCs w:val="24"/>
          <w:highlight w:val="none"/>
          <w:lang w:val="en-US" w:eastAsia="zh-CN"/>
        </w:rPr>
        <w:t>砂浆浆液</w:t>
      </w:r>
      <w:r>
        <w:rPr>
          <w:rFonts w:hint="default"/>
          <w:color w:val="auto"/>
          <w:sz w:val="24"/>
          <w:szCs w:val="24"/>
          <w:highlight w:val="none"/>
          <w:lang w:val="en-US" w:eastAsia="zh-CN"/>
        </w:rPr>
        <w:t>一次性注入</w:t>
      </w:r>
      <w:r>
        <w:rPr>
          <w:rFonts w:hint="eastAsia"/>
          <w:color w:val="auto"/>
          <w:sz w:val="24"/>
          <w:szCs w:val="24"/>
          <w:highlight w:val="none"/>
          <w:lang w:val="en-US" w:eastAsia="zh-CN"/>
        </w:rPr>
        <w:t>试模内90mm～100mm的</w:t>
      </w:r>
      <w:r>
        <w:rPr>
          <w:rFonts w:hint="default"/>
          <w:color w:val="auto"/>
          <w:sz w:val="24"/>
          <w:szCs w:val="24"/>
          <w:highlight w:val="none"/>
          <w:lang w:val="en-US" w:eastAsia="zh-CN"/>
        </w:rPr>
        <w:t>高度</w:t>
      </w:r>
      <w:r>
        <w:rPr>
          <w:rFonts w:hint="eastAsia"/>
          <w:color w:val="auto"/>
          <w:sz w:val="24"/>
          <w:szCs w:val="24"/>
          <w:highlight w:val="none"/>
          <w:lang w:val="en-US" w:eastAsia="zh-CN"/>
        </w:rPr>
        <w:t>处</w:t>
      </w:r>
      <w:r>
        <w:rPr>
          <w:rFonts w:hint="default"/>
          <w:color w:val="auto"/>
          <w:sz w:val="24"/>
          <w:szCs w:val="24"/>
          <w:highlight w:val="none"/>
          <w:lang w:val="en-US" w:eastAsia="zh-CN"/>
        </w:rPr>
        <w:t>，随后静置2h～4h</w:t>
      </w:r>
      <w:r>
        <w:rPr>
          <w:rFonts w:hint="eastAsia"/>
          <w:color w:val="auto"/>
          <w:sz w:val="24"/>
          <w:szCs w:val="24"/>
          <w:highlight w:val="none"/>
          <w:lang w:val="en-US" w:eastAsia="zh-CN"/>
        </w:rPr>
        <w:t>；</w:t>
      </w:r>
    </w:p>
    <w:p>
      <w:pPr>
        <w:numPr>
          <w:ilvl w:val="0"/>
          <w:numId w:val="0"/>
        </w:numPr>
        <w:spacing w:line="360" w:lineRule="auto"/>
        <w:ind w:left="1440" w:leftChars="456" w:hanging="482" w:hangingChars="200"/>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4）</w:t>
      </w:r>
      <w:r>
        <w:rPr>
          <w:rFonts w:hint="eastAsia"/>
          <w:color w:val="auto"/>
          <w:sz w:val="24"/>
          <w:szCs w:val="24"/>
          <w:highlight w:val="none"/>
          <w:lang w:val="en-US" w:eastAsia="zh-CN"/>
        </w:rPr>
        <w:t xml:space="preserve"> </w:t>
      </w:r>
      <w:r>
        <w:rPr>
          <w:rFonts w:hint="default"/>
          <w:color w:val="auto"/>
          <w:sz w:val="24"/>
          <w:szCs w:val="24"/>
          <w:highlight w:val="none"/>
          <w:lang w:val="en-US" w:eastAsia="zh-CN"/>
        </w:rPr>
        <w:t>在水泥</w:t>
      </w:r>
      <w:r>
        <w:rPr>
          <w:rFonts w:hint="eastAsia"/>
          <w:color w:val="auto"/>
          <w:sz w:val="24"/>
          <w:szCs w:val="24"/>
          <w:highlight w:val="none"/>
          <w:lang w:val="en-US" w:eastAsia="zh-CN"/>
        </w:rPr>
        <w:t>砂浆浆液</w:t>
      </w:r>
      <w:r>
        <w:rPr>
          <w:rFonts w:hint="default"/>
          <w:color w:val="auto"/>
          <w:sz w:val="24"/>
          <w:szCs w:val="24"/>
          <w:highlight w:val="none"/>
          <w:lang w:val="en-US" w:eastAsia="zh-CN"/>
        </w:rPr>
        <w:t>静置分层稳定后，去掉模套，并用金属刮尺与试模以近似90°的角度架在试模顶的一端，以横向锯割动作慢慢向另一端移动，一次将超过试模部分的浆体刮去，并用同一金属刮尺以近乎水平的情况下将试体表面抹平。</w:t>
      </w:r>
    </w:p>
    <w:p>
      <w:pPr>
        <w:spacing w:line="360" w:lineRule="auto"/>
        <w:ind w:firstLine="482" w:firstLineChars="200"/>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2  </w:t>
      </w:r>
      <w:r>
        <w:rPr>
          <w:rFonts w:hint="eastAsia"/>
          <w:color w:val="auto"/>
          <w:sz w:val="24"/>
          <w:szCs w:val="24"/>
          <w:highlight w:val="none"/>
          <w:lang w:val="en-US" w:eastAsia="zh-CN"/>
        </w:rPr>
        <w:t>干表观密度采用整体试件烘干法测定，</w:t>
      </w:r>
      <w:r>
        <w:rPr>
          <w:rFonts w:hint="eastAsia" w:ascii="宋体" w:hAnsi="宋体" w:eastAsia="宋体" w:cs="宋体"/>
          <w:color w:val="auto"/>
          <w:sz w:val="24"/>
          <w:szCs w:val="24"/>
          <w:highlight w:val="none"/>
          <w:lang w:val="en-US" w:eastAsia="zh-CN"/>
        </w:rPr>
        <w:t>应符合现行行业标准《轻骨料混凝土技术规程》</w:t>
      </w:r>
      <w:r>
        <w:rPr>
          <w:rFonts w:hint="eastAsia"/>
          <w:color w:val="auto"/>
          <w:sz w:val="24"/>
          <w:szCs w:val="24"/>
          <w:highlight w:val="none"/>
          <w:lang w:val="en-US" w:eastAsia="zh-CN"/>
        </w:rPr>
        <w:t>JGJ 51—2002第7章的相关规定；</w:t>
      </w:r>
    </w:p>
    <w:p>
      <w:pPr>
        <w:spacing w:line="360" w:lineRule="auto"/>
        <w:ind w:left="479" w:leftChars="228" w:firstLine="0" w:firstLineChars="0"/>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3  </w:t>
      </w:r>
      <w:r>
        <w:rPr>
          <w:rFonts w:hint="eastAsia"/>
          <w:color w:val="auto"/>
          <w:sz w:val="24"/>
          <w:szCs w:val="24"/>
          <w:highlight w:val="none"/>
          <w:lang w:val="en-US" w:eastAsia="zh-CN"/>
        </w:rPr>
        <w:t>浆液干表观密度按下式计算：</w:t>
      </w:r>
    </w:p>
    <w:p>
      <w:pPr>
        <w:spacing w:line="360" w:lineRule="auto"/>
        <w:ind w:firstLine="600" w:firstLineChars="200"/>
        <w:jc w:val="center"/>
        <w:rPr>
          <w:rFonts w:hint="eastAsia" w:ascii="宋体" w:hAnsi="宋体" w:eastAsia="宋体" w:cs="宋体"/>
          <w:color w:val="auto"/>
          <w:sz w:val="24"/>
          <w:szCs w:val="24"/>
          <w:highlight w:val="none"/>
          <w:lang w:val="en-US" w:eastAsia="zh-CN"/>
        </w:rPr>
      </w:pPr>
      <w:r>
        <w:rPr>
          <w:rFonts w:hint="eastAsia" w:hAnsi="Cambria Math"/>
          <w:i w:val="0"/>
          <w:iCs/>
          <w:color w:val="auto"/>
          <w:sz w:val="30"/>
          <w:szCs w:val="30"/>
          <w:highlight w:val="none"/>
          <w:lang w:val="en-US" w:eastAsia="zh-CN"/>
        </w:rPr>
        <w:t xml:space="preserve">                       </w:t>
      </w:r>
      <m:oMath>
        <m:sSub>
          <m:sSubPr>
            <m:ctrlPr>
              <w:rPr>
                <w:rFonts w:hint="eastAsia" w:ascii="Cambria Math" w:hAnsi="Cambria Math" w:eastAsiaTheme="minorEastAsia"/>
                <w:i/>
                <w:iCs/>
                <w:color w:val="auto"/>
                <w:sz w:val="30"/>
                <w:szCs w:val="30"/>
                <w:highlight w:val="none"/>
                <w:lang w:val="en-US" w:eastAsia="zh-CN"/>
              </w:rPr>
            </m:ctrlPr>
          </m:sSubPr>
          <m:e>
            <m:r>
              <m:rPr/>
              <w:rPr>
                <w:rFonts w:hint="default" w:ascii="Cambria Math" w:hAnsi="Cambria Math" w:eastAsiaTheme="minorEastAsia"/>
                <w:color w:val="auto"/>
                <w:sz w:val="30"/>
                <w:szCs w:val="30"/>
                <w:highlight w:val="none"/>
                <w:lang w:val="en-US" w:eastAsia="zh-CN"/>
              </w:rPr>
              <m:t>ρ</m:t>
            </m:r>
            <m:ctrlPr>
              <w:rPr>
                <w:rFonts w:hint="eastAsia" w:ascii="Cambria Math" w:hAnsi="Cambria Math" w:eastAsiaTheme="minorEastAsia"/>
                <w:i/>
                <w:iCs/>
                <w:color w:val="auto"/>
                <w:sz w:val="30"/>
                <w:szCs w:val="30"/>
                <w:highlight w:val="none"/>
                <w:lang w:val="en-US" w:eastAsia="zh-CN"/>
              </w:rPr>
            </m:ctrlPr>
          </m:e>
          <m:sub>
            <m:r>
              <m:rPr/>
              <w:rPr>
                <w:rFonts w:hint="default" w:ascii="Cambria Math" w:hAnsi="Cambria Math" w:eastAsiaTheme="minorEastAsia"/>
                <w:color w:val="auto"/>
                <w:sz w:val="30"/>
                <w:szCs w:val="30"/>
                <w:highlight w:val="none"/>
                <w:lang w:val="en-US" w:eastAsia="zh-CN"/>
              </w:rPr>
              <m:t>n</m:t>
            </m:r>
            <m:ctrlPr>
              <w:rPr>
                <w:rFonts w:hint="eastAsia" w:ascii="Cambria Math" w:hAnsi="Cambria Math" w:eastAsiaTheme="minorEastAsia"/>
                <w:i/>
                <w:iCs/>
                <w:color w:val="auto"/>
                <w:sz w:val="30"/>
                <w:szCs w:val="30"/>
                <w:highlight w:val="none"/>
                <w:lang w:val="en-US" w:eastAsia="zh-CN"/>
              </w:rPr>
            </m:ctrlPr>
          </m:sub>
        </m:sSub>
        <m:r>
          <m:rPr/>
          <w:rPr>
            <w:rFonts w:hint="eastAsia" w:ascii="Cambria Math" w:hAnsi="Cambria Math" w:eastAsiaTheme="minorEastAsia"/>
            <w:color w:val="auto"/>
            <w:sz w:val="30"/>
            <w:szCs w:val="30"/>
            <w:highlight w:val="none"/>
            <w:lang w:val="en-US" w:eastAsia="zh-CN"/>
          </w:rPr>
          <m:t>=</m:t>
        </m:r>
        <m:f>
          <m:fPr>
            <m:ctrlPr>
              <w:rPr>
                <w:rFonts w:hint="eastAsia" w:ascii="Cambria Math" w:hAnsi="Cambria Math" w:eastAsiaTheme="minorEastAsia"/>
                <w:i/>
                <w:color w:val="auto"/>
                <w:sz w:val="30"/>
                <w:szCs w:val="30"/>
                <w:highlight w:val="none"/>
                <w:lang w:val="en-US" w:eastAsia="zh-CN"/>
              </w:rPr>
            </m:ctrlPr>
          </m:fPr>
          <m:num>
            <m:r>
              <m:rPr/>
              <w:rPr>
                <w:rFonts w:hint="default" w:ascii="Cambria Math" w:hAnsi="Cambria Math" w:eastAsiaTheme="minorEastAsia"/>
                <w:color w:val="auto"/>
                <w:sz w:val="30"/>
                <w:szCs w:val="30"/>
                <w:highlight w:val="none"/>
                <w:lang w:val="en-US" w:eastAsia="zh-CN"/>
              </w:rPr>
              <m:t>m</m:t>
            </m:r>
            <m:ctrlPr>
              <w:rPr>
                <w:rFonts w:hint="eastAsia" w:ascii="Cambria Math" w:hAnsi="Cambria Math" w:eastAsiaTheme="minorEastAsia"/>
                <w:i/>
                <w:color w:val="auto"/>
                <w:sz w:val="30"/>
                <w:szCs w:val="30"/>
                <w:highlight w:val="none"/>
                <w:lang w:val="en-US" w:eastAsia="zh-CN"/>
              </w:rPr>
            </m:ctrlPr>
          </m:num>
          <m:den>
            <m:r>
              <m:rPr/>
              <w:rPr>
                <w:rFonts w:hint="default" w:ascii="Cambria Math" w:hAnsi="Cambria Math" w:eastAsiaTheme="minorEastAsia"/>
                <w:color w:val="auto"/>
                <w:sz w:val="30"/>
                <w:szCs w:val="30"/>
                <w:highlight w:val="none"/>
                <w:lang w:val="en-US" w:eastAsia="zh-CN"/>
              </w:rPr>
              <m:t>V</m:t>
            </m:r>
            <m:ctrlPr>
              <w:rPr>
                <w:rFonts w:hint="eastAsia" w:ascii="Cambria Math" w:hAnsi="Cambria Math" w:eastAsiaTheme="minorEastAsia"/>
                <w:i/>
                <w:color w:val="auto"/>
                <w:sz w:val="30"/>
                <w:szCs w:val="30"/>
                <w:highlight w:val="none"/>
                <w:lang w:val="en-US" w:eastAsia="zh-CN"/>
              </w:rPr>
            </m:ctrlPr>
          </m:den>
        </m:f>
      </m:oMath>
      <w:r>
        <w:rPr>
          <w:rFonts w:hint="eastAsia"/>
          <w:color w:val="auto"/>
          <w:sz w:val="30"/>
          <w:szCs w:val="30"/>
          <w:highlight w:val="none"/>
          <w:lang w:val="en-US" w:eastAsia="zh-CN"/>
        </w:rPr>
        <w:t xml:space="preserve">×1000                  </w:t>
      </w:r>
      <w:r>
        <w:rPr>
          <w:rFonts w:hint="eastAsia" w:ascii="宋体" w:hAnsi="宋体" w:eastAsia="宋体" w:cs="宋体"/>
          <w:color w:val="auto"/>
          <w:sz w:val="24"/>
          <w:szCs w:val="24"/>
          <w:highlight w:val="none"/>
          <w:lang w:val="en-US" w:eastAsia="zh-CN"/>
        </w:rPr>
        <w:t>（C.2.3）</w:t>
      </w:r>
    </w:p>
    <w:p>
      <w:pPr>
        <w:spacing w:line="360" w:lineRule="auto"/>
        <w:ind w:left="479" w:leftChars="228" w:firstLine="0" w:firstLineChars="0"/>
        <w:rPr>
          <w:rFonts w:hint="eastAsia"/>
          <w:color w:val="auto"/>
          <w:sz w:val="24"/>
          <w:szCs w:val="24"/>
          <w:highlight w:val="none"/>
          <w:lang w:val="en-US" w:eastAsia="zh-CN"/>
        </w:rPr>
      </w:pPr>
      <w:r>
        <w:rPr>
          <w:rFonts w:hint="eastAsia" w:hAnsi="Cambria Math"/>
          <w:i w:val="0"/>
          <w:color w:val="auto"/>
          <w:sz w:val="24"/>
          <w:szCs w:val="24"/>
          <w:highlight w:val="none"/>
          <w:lang w:val="en-US" w:eastAsia="zh-CN"/>
        </w:rPr>
        <w:t>式中：</w:t>
      </w:r>
      <m:oMath>
        <m:sSub>
          <m:sSubPr>
            <m:ctrlPr>
              <w:rPr>
                <w:rFonts w:hint="eastAsia" w:ascii="Cambria Math" w:hAnsi="Cambria Math" w:eastAsiaTheme="minorEastAsia"/>
                <w:i/>
                <w:iCs/>
                <w:color w:val="auto"/>
                <w:sz w:val="24"/>
                <w:szCs w:val="24"/>
                <w:highlight w:val="none"/>
                <w:lang w:val="en-US" w:eastAsia="zh-CN"/>
              </w:rPr>
            </m:ctrlPr>
          </m:sSubPr>
          <m:e>
            <m:r>
              <m:rPr/>
              <w:rPr>
                <w:rFonts w:hint="default" w:ascii="Cambria Math" w:hAnsi="Cambria Math" w:eastAsiaTheme="minorEastAsia"/>
                <w:color w:val="auto"/>
                <w:sz w:val="24"/>
                <w:szCs w:val="24"/>
                <w:highlight w:val="none"/>
                <w:lang w:val="en-US" w:eastAsia="zh-CN"/>
              </w:rPr>
              <m:t>ρ</m:t>
            </m:r>
            <m:ctrlPr>
              <w:rPr>
                <w:rFonts w:hint="eastAsia" w:ascii="Cambria Math" w:hAnsi="Cambria Math" w:eastAsiaTheme="minorEastAsia"/>
                <w:i/>
                <w:iCs/>
                <w:color w:val="auto"/>
                <w:sz w:val="24"/>
                <w:szCs w:val="24"/>
                <w:highlight w:val="none"/>
                <w:lang w:val="en-US" w:eastAsia="zh-CN"/>
              </w:rPr>
            </m:ctrlPr>
          </m:e>
          <m:sub>
            <m:r>
              <m:rPr/>
              <w:rPr>
                <w:rFonts w:hint="default" w:ascii="Cambria Math" w:hAnsi="Cambria Math" w:eastAsiaTheme="minorEastAsia"/>
                <w:color w:val="auto"/>
                <w:sz w:val="24"/>
                <w:szCs w:val="24"/>
                <w:highlight w:val="none"/>
                <w:lang w:val="en-US" w:eastAsia="zh-CN"/>
              </w:rPr>
              <m:t>n</m:t>
            </m:r>
            <m:ctrlPr>
              <w:rPr>
                <w:rFonts w:hint="eastAsia" w:ascii="Cambria Math" w:hAnsi="Cambria Math" w:eastAsiaTheme="minorEastAsia"/>
                <w:i/>
                <w:iCs/>
                <w:color w:val="auto"/>
                <w:sz w:val="24"/>
                <w:szCs w:val="24"/>
                <w:highlight w:val="none"/>
                <w:lang w:val="en-US" w:eastAsia="zh-CN"/>
              </w:rPr>
            </m:ctrlPr>
          </m:sub>
        </m:sSub>
      </m:oMath>
      <w:r>
        <w:rPr>
          <w:rFonts w:hint="eastAsia" w:hAnsi="Cambria Math"/>
          <w:i w:val="0"/>
          <w:color w:val="auto"/>
          <w:sz w:val="24"/>
          <w:szCs w:val="24"/>
          <w:highlight w:val="none"/>
          <w:lang w:val="en-US" w:eastAsia="zh-CN"/>
        </w:rPr>
        <w:t>—</w:t>
      </w:r>
      <w:r>
        <w:rPr>
          <w:rFonts w:hint="eastAsia"/>
          <w:color w:val="auto"/>
          <w:sz w:val="24"/>
          <w:szCs w:val="24"/>
          <w:highlight w:val="none"/>
          <w:lang w:val="en-US" w:eastAsia="zh-CN"/>
        </w:rPr>
        <w:t>浆液干表观密度（kg/m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w:t>
      </w:r>
    </w:p>
    <w:p>
      <w:pPr>
        <w:spacing w:line="360" w:lineRule="auto"/>
        <w:ind w:left="479" w:leftChars="228" w:firstLine="720" w:firstLineChars="300"/>
        <w:rPr>
          <w:rFonts w:hint="eastAsia"/>
          <w:color w:val="auto"/>
          <w:sz w:val="24"/>
          <w:szCs w:val="24"/>
          <w:highlight w:val="none"/>
          <w:lang w:val="en-US" w:eastAsia="zh-CN"/>
        </w:rPr>
      </w:pPr>
      <m:oMath>
        <m:r>
          <m:rPr/>
          <w:rPr>
            <w:rFonts w:hint="default" w:ascii="Cambria Math" w:hAnsi="Cambria Math" w:eastAsiaTheme="minorEastAsia"/>
            <w:color w:val="auto"/>
            <w:sz w:val="24"/>
            <w:szCs w:val="24"/>
            <w:highlight w:val="none"/>
            <w:lang w:val="en-US" w:eastAsia="zh-CN"/>
          </w:rPr>
          <m:t>m</m:t>
        </m:r>
      </m:oMath>
      <w:r>
        <w:rPr>
          <w:rFonts w:hint="eastAsia" w:hAnsi="Cambria Math"/>
          <w:i w:val="0"/>
          <w:color w:val="auto"/>
          <w:sz w:val="24"/>
          <w:szCs w:val="24"/>
          <w:highlight w:val="none"/>
          <w:lang w:val="en-US" w:eastAsia="zh-CN"/>
        </w:rPr>
        <w:t>—</w:t>
      </w:r>
      <w:r>
        <w:rPr>
          <w:rFonts w:hint="eastAsia"/>
          <w:color w:val="auto"/>
          <w:sz w:val="24"/>
          <w:szCs w:val="24"/>
          <w:highlight w:val="none"/>
          <w:lang w:val="en-US" w:eastAsia="zh-CN"/>
        </w:rPr>
        <w:t>试件的质量（g），取试件在105℃～110℃的烘箱中烘干至恒重的质量；</w:t>
      </w:r>
    </w:p>
    <w:p>
      <w:pPr>
        <w:spacing w:line="360" w:lineRule="auto"/>
        <w:ind w:firstLine="1200" w:firstLineChars="500"/>
        <w:rPr>
          <w:rFonts w:hint="eastAsia"/>
          <w:color w:val="auto"/>
          <w:sz w:val="24"/>
          <w:szCs w:val="24"/>
          <w:highlight w:val="none"/>
          <w:lang w:val="en-US" w:eastAsia="zh-CN"/>
        </w:rPr>
      </w:pPr>
      <m:oMath>
        <m:r>
          <m:rPr/>
          <w:rPr>
            <w:rFonts w:hint="default" w:ascii="Cambria Math" w:hAnsi="Cambria Math" w:eastAsiaTheme="minorEastAsia"/>
            <w:color w:val="auto"/>
            <w:sz w:val="24"/>
            <w:szCs w:val="24"/>
            <w:highlight w:val="none"/>
            <w:lang w:val="en-US" w:eastAsia="zh-CN"/>
          </w:rPr>
          <m:t>V</m:t>
        </m:r>
      </m:oMath>
      <w:r>
        <w:rPr>
          <w:rFonts w:hint="eastAsia" w:hAnsi="Cambria Math"/>
          <w:i w:val="0"/>
          <w:color w:val="auto"/>
          <w:sz w:val="24"/>
          <w:szCs w:val="24"/>
          <w:highlight w:val="none"/>
          <w:lang w:val="en-US" w:eastAsia="zh-CN"/>
        </w:rPr>
        <w:t>—</w:t>
      </w:r>
      <w:r>
        <w:rPr>
          <w:rFonts w:hint="eastAsia"/>
          <w:color w:val="auto"/>
          <w:sz w:val="24"/>
          <w:szCs w:val="24"/>
          <w:highlight w:val="none"/>
          <w:lang w:val="en-US" w:eastAsia="zh-CN"/>
        </w:rPr>
        <w:t>试件的体积（cm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w:t>
      </w:r>
    </w:p>
    <w:p>
      <w:pPr>
        <w:bidi w:val="0"/>
        <w:rPr>
          <w:rFonts w:hint="eastAsia"/>
          <w:color w:val="auto"/>
          <w:sz w:val="24"/>
          <w:szCs w:val="24"/>
          <w:lang w:val="en-US" w:eastAsia="zh-CN"/>
        </w:rPr>
      </w:pPr>
      <w:r>
        <w:rPr>
          <w:rFonts w:hint="eastAsia"/>
          <w:b/>
          <w:bCs/>
          <w:color w:val="auto"/>
          <w:sz w:val="24"/>
          <w:szCs w:val="24"/>
          <w:lang w:val="en-US" w:eastAsia="zh-CN"/>
        </w:rPr>
        <w:t>C.2.4</w:t>
      </w:r>
      <w:r>
        <w:rPr>
          <w:rFonts w:hint="eastAsia"/>
          <w:color w:val="auto"/>
          <w:sz w:val="24"/>
          <w:szCs w:val="24"/>
          <w:lang w:val="en-US" w:eastAsia="zh-CN"/>
        </w:rPr>
        <w:t xml:space="preserve">  干表观密度的测定需等标准试件成型养护7d后方能测定。</w:t>
      </w:r>
      <w:bookmarkStart w:id="155" w:name="_Toc27315"/>
      <w:bookmarkStart w:id="156" w:name="_Toc30760"/>
      <w:bookmarkStart w:id="157" w:name="_Toc5082"/>
      <w:bookmarkStart w:id="158" w:name="_Toc2968"/>
      <w:bookmarkStart w:id="159" w:name="_Toc3808"/>
      <w:bookmarkStart w:id="160" w:name="_Toc23006"/>
      <w:bookmarkStart w:id="161" w:name="_Toc20915"/>
      <w:bookmarkStart w:id="162" w:name="_Toc25003"/>
    </w:p>
    <w:p>
      <w:pPr>
        <w:rPr>
          <w:rFonts w:hint="eastAsia"/>
          <w:color w:val="auto"/>
          <w:sz w:val="24"/>
          <w:szCs w:val="24"/>
          <w:highlight w:val="none"/>
          <w:lang w:val="en-US" w:eastAsia="zh-CN"/>
        </w:rPr>
      </w:pPr>
      <w:r>
        <w:rPr>
          <w:rFonts w:hint="eastAsia"/>
          <w:color w:val="auto"/>
          <w:sz w:val="24"/>
          <w:szCs w:val="24"/>
          <w:highlight w:val="none"/>
          <w:lang w:val="en-US" w:eastAsia="zh-CN"/>
        </w:rPr>
        <w:br w:type="page"/>
      </w:r>
    </w:p>
    <w:p>
      <w:pPr>
        <w:pStyle w:val="2"/>
        <w:pageBreakBefore w:val="0"/>
        <w:kinsoku/>
        <w:wordWrap/>
        <w:overflowPunct/>
        <w:topLinePunct w:val="0"/>
        <w:bidi w:val="0"/>
        <w:adjustRightInd w:val="0"/>
        <w:snapToGrid w:val="0"/>
        <w:spacing w:before="0" w:after="0" w:line="360" w:lineRule="auto"/>
        <w:ind w:left="0" w:leftChars="0" w:right="0" w:rightChars="0"/>
        <w:textAlignment w:val="auto"/>
        <w:rPr>
          <w:rFonts w:hint="eastAsia" w:ascii="黑体" w:hAnsi="黑体" w:eastAsia="黑体" w:cs="黑体"/>
          <w:color w:val="auto"/>
          <w:sz w:val="30"/>
          <w:szCs w:val="30"/>
          <w:highlight w:val="none"/>
          <w:lang w:val="en-US" w:eastAsia="zh-CN"/>
        </w:rPr>
      </w:pPr>
      <w:bookmarkStart w:id="163" w:name="_Toc24798"/>
      <w:r>
        <w:rPr>
          <w:rFonts w:hint="eastAsia" w:ascii="黑体" w:hAnsi="黑体" w:eastAsia="黑体" w:cs="黑体"/>
          <w:color w:val="auto"/>
          <w:sz w:val="30"/>
          <w:szCs w:val="30"/>
          <w:highlight w:val="none"/>
          <w:lang w:val="en-US" w:eastAsia="zh-CN"/>
        </w:rPr>
        <w:t>附录D：</w:t>
      </w:r>
      <w:bookmarkEnd w:id="155"/>
      <w:bookmarkEnd w:id="156"/>
      <w:bookmarkEnd w:id="157"/>
      <w:r>
        <w:rPr>
          <w:rFonts w:hint="eastAsia" w:ascii="黑体" w:hAnsi="黑体" w:eastAsia="黑体" w:cs="黑体"/>
          <w:color w:val="auto"/>
          <w:sz w:val="30"/>
          <w:szCs w:val="30"/>
          <w:highlight w:val="none"/>
          <w:lang w:val="en-US" w:eastAsia="zh-CN"/>
        </w:rPr>
        <w:t>井周加固铺面压实度检测及计算方法</w:t>
      </w:r>
      <w:bookmarkEnd w:id="158"/>
      <w:bookmarkEnd w:id="159"/>
      <w:bookmarkEnd w:id="160"/>
      <w:bookmarkEnd w:id="161"/>
      <w:bookmarkEnd w:id="162"/>
      <w:bookmarkEnd w:id="163"/>
    </w:p>
    <w:p>
      <w:pPr>
        <w:spacing w:line="360" w:lineRule="auto"/>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D.0.1</w:t>
      </w:r>
      <w:r>
        <w:rPr>
          <w:rFonts w:hint="eastAsia"/>
          <w:color w:val="auto"/>
          <w:sz w:val="24"/>
          <w:szCs w:val="24"/>
          <w:highlight w:val="none"/>
          <w:lang w:val="en-US" w:eastAsia="zh-CN"/>
        </w:rPr>
        <w:t xml:space="preserve">  适用范围：本方法适用于测定井周加固铺面压实度。</w:t>
      </w:r>
    </w:p>
    <w:p>
      <w:pPr>
        <w:spacing w:line="360" w:lineRule="auto"/>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D.0.2  </w:t>
      </w:r>
      <w:r>
        <w:rPr>
          <w:rFonts w:hint="eastAsia"/>
          <w:color w:val="auto"/>
          <w:sz w:val="24"/>
          <w:szCs w:val="24"/>
          <w:highlight w:val="none"/>
          <w:lang w:val="en-US" w:eastAsia="zh-CN"/>
        </w:rPr>
        <w:t>试件（芯样）制备按下列要求进行：</w:t>
      </w:r>
    </w:p>
    <w:p>
      <w:pPr>
        <w:spacing w:line="360" w:lineRule="auto"/>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    1  </w:t>
      </w:r>
      <w:r>
        <w:rPr>
          <w:rFonts w:hint="eastAsia"/>
          <w:color w:val="auto"/>
          <w:sz w:val="24"/>
          <w:szCs w:val="24"/>
          <w:highlight w:val="none"/>
          <w:lang w:val="en-US" w:eastAsia="zh-CN"/>
        </w:rPr>
        <w:t>沥青混合料取样方法按行业标准《公路工程沥青及沥青混合料试验规程》JTG E20—2011（T0701）的方法取样,试样数量不少于12kg;</w:t>
      </w:r>
    </w:p>
    <w:p>
      <w:pPr>
        <w:spacing w:line="360" w:lineRule="auto"/>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    2  </w:t>
      </w:r>
      <w:r>
        <w:rPr>
          <w:rFonts w:hint="eastAsia"/>
          <w:color w:val="auto"/>
          <w:sz w:val="24"/>
          <w:szCs w:val="24"/>
          <w:highlight w:val="none"/>
          <w:lang w:val="en-US" w:eastAsia="zh-CN"/>
        </w:rPr>
        <w:t>马歇尔试件制备方法按行业标准《公路工程沥青及沥青混合料试验规程》JTG E20—2011（T0702）的方法制备，试件数量不少于4个；</w:t>
      </w:r>
    </w:p>
    <w:p>
      <w:pPr>
        <w:spacing w:line="360" w:lineRule="auto"/>
        <w:ind w:firstLine="480"/>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3  </w:t>
      </w:r>
      <w:r>
        <w:rPr>
          <w:rFonts w:hint="eastAsia"/>
          <w:color w:val="auto"/>
          <w:sz w:val="24"/>
          <w:szCs w:val="24"/>
          <w:highlight w:val="none"/>
          <w:lang w:val="en-US" w:eastAsia="zh-CN"/>
        </w:rPr>
        <w:t xml:space="preserve">井周沥青铺面芯样按行业标准《公路路基路面现场测试规程》JTG 3450—2019（T0903）的方法钻取，标准芯样钻孔试件的直径为100mm，适用的试件高度为30mm～80mm，单井井盖两侧对称取芯2个为1组，芯样外缘与井盖传载板外缘间距不大于20mm；  </w:t>
      </w:r>
    </w:p>
    <w:p>
      <w:pPr>
        <w:spacing w:line="360" w:lineRule="auto"/>
        <w:ind w:firstLine="480"/>
        <w:rPr>
          <w:rFonts w:hint="default"/>
          <w:color w:val="auto"/>
          <w:sz w:val="24"/>
          <w:szCs w:val="24"/>
          <w:highlight w:val="none"/>
          <w:lang w:val="en-US" w:eastAsia="zh-CN"/>
        </w:rPr>
      </w:pPr>
      <w:r>
        <w:rPr>
          <w:rFonts w:hint="eastAsia"/>
          <w:color w:val="auto"/>
          <w:sz w:val="24"/>
          <w:szCs w:val="24"/>
          <w:highlight w:val="none"/>
          <w:lang w:val="en-US" w:eastAsia="zh-CN"/>
        </w:rPr>
        <w:t>4  井周沥青铺面应于注浆加固前、后分别取样，注浆前、后同一道路或工程取芯分别不少于2组且每组不应少于2个。</w:t>
      </w:r>
      <w:r>
        <w:rPr>
          <w:rFonts w:hint="eastAsia" w:ascii="宋体" w:hAnsi="宋体" w:eastAsia="宋体" w:cs="宋体"/>
          <w:b w:val="0"/>
          <w:bCs w:val="0"/>
          <w:color w:val="auto"/>
          <w:kern w:val="2"/>
          <w:sz w:val="24"/>
          <w:szCs w:val="24"/>
          <w:highlight w:val="none"/>
          <w:lang w:val="en-US" w:eastAsia="zh-CN" w:bidi="ar-SA"/>
        </w:rPr>
        <w:t>注浆加固后钻孔取芯应在第四天进行。</w:t>
      </w:r>
      <w:r>
        <w:rPr>
          <w:rFonts w:hint="eastAsia" w:ascii="宋体" w:hAnsi="宋体" w:eastAsia="宋体" w:cs="宋体"/>
          <w:b w:val="0"/>
          <w:bCs w:val="0"/>
          <w:color w:val="auto"/>
          <w:sz w:val="24"/>
          <w:szCs w:val="24"/>
          <w:highlight w:val="none"/>
          <w:lang w:val="en-US" w:eastAsia="zh-CN"/>
        </w:rPr>
        <w:t xml:space="preserve">  </w:t>
      </w:r>
    </w:p>
    <w:p>
      <w:pPr>
        <w:spacing w:line="360" w:lineRule="auto"/>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D.0.3  </w:t>
      </w:r>
      <w:r>
        <w:rPr>
          <w:rFonts w:hint="eastAsia"/>
          <w:color w:val="auto"/>
          <w:sz w:val="24"/>
          <w:szCs w:val="24"/>
          <w:highlight w:val="none"/>
          <w:lang w:val="en-US" w:eastAsia="zh-CN"/>
        </w:rPr>
        <w:t xml:space="preserve">井周加固铺面压实度试验应按下列步骤进行： </w:t>
      </w:r>
    </w:p>
    <w:p>
      <w:pPr>
        <w:numPr>
          <w:ilvl w:val="0"/>
          <w:numId w:val="0"/>
        </w:numPr>
        <w:spacing w:line="360" w:lineRule="auto"/>
        <w:ind w:firstLine="482" w:firstLineChars="200"/>
        <w:jc w:val="left"/>
        <w:rPr>
          <w:rFonts w:hint="eastAsia" w:ascii="Cambria Math" w:hAnsi="Cambria Math"/>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1  </w:t>
      </w:r>
      <w:r>
        <w:rPr>
          <w:rFonts w:hint="eastAsia"/>
          <w:color w:val="auto"/>
          <w:sz w:val="24"/>
          <w:szCs w:val="24"/>
          <w:highlight w:val="none"/>
          <w:lang w:val="en-US" w:eastAsia="zh-CN"/>
        </w:rPr>
        <w:t>沥青混合料理论最大密度</w:t>
      </w:r>
      <m:oMath>
        <m:sSub>
          <m:sSubPr>
            <m:ctrlPr>
              <w:rPr>
                <w:rFonts w:hint="eastAsia" w:ascii="Cambria Math" w:hAnsi="Cambria Math" w:cs="宋体"/>
                <w:b w:val="0"/>
                <w:bCs w:val="0"/>
                <w:i/>
                <w:color w:val="auto"/>
                <w:kern w:val="2"/>
                <w:sz w:val="28"/>
                <w:szCs w:val="28"/>
                <w:highlight w:val="none"/>
                <w:lang w:val="en-US" w:eastAsia="zh-CN" w:bidi="ar-SA"/>
              </w:rPr>
            </m:ctrlPr>
          </m:sSubPr>
          <m:e>
            <m:r>
              <m:rPr/>
              <w:rPr>
                <w:rFonts w:ascii="Cambria Math" w:hAnsi="Cambria Math" w:cs="宋体"/>
                <w:color w:val="auto"/>
                <w:kern w:val="2"/>
                <w:sz w:val="28"/>
                <w:szCs w:val="28"/>
                <w:highlight w:val="none"/>
                <w:lang w:val="en-US" w:bidi="ar-SA"/>
              </w:rPr>
              <m:t>ρ</m:t>
            </m:r>
            <m:ctrlPr>
              <w:rPr>
                <w:rFonts w:hint="eastAsia" w:ascii="Cambria Math" w:hAnsi="Cambria Math" w:cs="宋体"/>
                <w:b w:val="0"/>
                <w:bCs w:val="0"/>
                <w:i/>
                <w:color w:val="auto"/>
                <w:kern w:val="2"/>
                <w:sz w:val="28"/>
                <w:szCs w:val="28"/>
                <w:highlight w:val="none"/>
                <w:lang w:val="en-US" w:eastAsia="zh-CN" w:bidi="ar-SA"/>
              </w:rPr>
            </m:ctrlPr>
          </m:e>
          <m:sub>
            <m:r>
              <m:rPr/>
              <w:rPr>
                <w:rFonts w:hint="default" w:ascii="Cambria Math" w:hAnsi="Cambria Math" w:cs="宋体"/>
                <w:color w:val="auto"/>
                <w:kern w:val="2"/>
                <w:sz w:val="28"/>
                <w:szCs w:val="28"/>
                <w:highlight w:val="none"/>
                <w:lang w:val="en-US" w:eastAsia="zh-CN" w:bidi="ar-SA"/>
              </w:rPr>
              <m:t>t</m:t>
            </m:r>
            <m:ctrlPr>
              <w:rPr>
                <w:rFonts w:hint="eastAsia" w:ascii="Cambria Math" w:hAnsi="Cambria Math" w:cs="宋体"/>
                <w:b w:val="0"/>
                <w:bCs w:val="0"/>
                <w:i/>
                <w:color w:val="auto"/>
                <w:kern w:val="2"/>
                <w:sz w:val="28"/>
                <w:szCs w:val="28"/>
                <w:highlight w:val="none"/>
                <w:lang w:val="en-US" w:eastAsia="zh-CN" w:bidi="ar-SA"/>
              </w:rPr>
            </m:ctrlPr>
          </m:sub>
        </m:sSub>
      </m:oMath>
      <w:r>
        <w:rPr>
          <w:rFonts w:hint="eastAsia"/>
          <w:color w:val="auto"/>
          <w:sz w:val="24"/>
          <w:szCs w:val="24"/>
          <w:highlight w:val="none"/>
          <w:lang w:val="en-US" w:eastAsia="zh-CN"/>
        </w:rPr>
        <w:t>按现行行业标准《公路工程沥青及沥青混合料试验规程》JTG E20-2011规定的方法测定</w:t>
      </w:r>
      <w:r>
        <w:rPr>
          <w:rFonts w:hint="eastAsia" w:ascii="Cambria Math" w:hAnsi="Cambria Math"/>
          <w:color w:val="auto"/>
          <w:sz w:val="24"/>
          <w:szCs w:val="24"/>
          <w:highlight w:val="none"/>
          <w:lang w:val="en-US" w:eastAsia="zh-CN"/>
        </w:rPr>
        <w:t>。</w:t>
      </w:r>
    </w:p>
    <w:p>
      <w:pPr>
        <w:numPr>
          <w:ilvl w:val="0"/>
          <w:numId w:val="0"/>
        </w:numPr>
        <w:spacing w:line="360" w:lineRule="auto"/>
        <w:jc w:val="left"/>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    2  </w:t>
      </w:r>
      <w:r>
        <w:rPr>
          <w:rFonts w:hint="eastAsia" w:ascii="宋体" w:hAnsi="宋体" w:eastAsia="宋体" w:cs="宋体"/>
          <w:b w:val="0"/>
          <w:bCs w:val="0"/>
          <w:i w:val="0"/>
          <w:iCs/>
          <w:color w:val="auto"/>
          <w:kern w:val="2"/>
          <w:sz w:val="24"/>
          <w:szCs w:val="24"/>
          <w:highlight w:val="none"/>
          <w:lang w:val="en-US" w:eastAsia="zh-CN" w:bidi="ar-SA"/>
        </w:rPr>
        <w:t>未加固</w:t>
      </w:r>
      <w:r>
        <w:rPr>
          <w:rFonts w:hint="eastAsia"/>
          <w:color w:val="auto"/>
          <w:sz w:val="24"/>
          <w:szCs w:val="24"/>
          <w:highlight w:val="none"/>
          <w:lang w:val="en-US" w:eastAsia="zh-CN"/>
        </w:rPr>
        <w:t>井周铺面的</w:t>
      </w:r>
      <w:r>
        <w:rPr>
          <w:rFonts w:hint="eastAsia" w:ascii="宋体" w:hAnsi="宋体" w:eastAsia="宋体" w:cs="宋体"/>
          <w:color w:val="auto"/>
          <w:sz w:val="24"/>
          <w:szCs w:val="24"/>
          <w:highlight w:val="none"/>
          <w:lang w:val="en-US" w:eastAsia="zh-CN"/>
        </w:rPr>
        <w:t>芯样密度</w:t>
      </w:r>
      <m:oMath>
        <m:sSub>
          <m:sSubPr>
            <m:ctrlPr>
              <w:rPr>
                <w:rFonts w:hint="eastAsia" w:ascii="Cambria Math" w:hAnsi="Cambria Math" w:cs="宋体"/>
                <w:b w:val="0"/>
                <w:bCs w:val="0"/>
                <w:i/>
                <w:color w:val="auto"/>
                <w:kern w:val="2"/>
                <w:sz w:val="28"/>
                <w:szCs w:val="28"/>
                <w:highlight w:val="none"/>
                <w:lang w:val="en-US" w:eastAsia="zh-CN" w:bidi="ar-SA"/>
              </w:rPr>
            </m:ctrlPr>
          </m:sSubPr>
          <m:e>
            <m:r>
              <m:rPr/>
              <w:rPr>
                <w:rFonts w:ascii="Cambria Math" w:hAnsi="Cambria Math" w:cs="宋体"/>
                <w:color w:val="auto"/>
                <w:kern w:val="2"/>
                <w:sz w:val="28"/>
                <w:szCs w:val="28"/>
                <w:highlight w:val="none"/>
                <w:lang w:val="en-US" w:bidi="ar-SA"/>
              </w:rPr>
              <m:t>ρ</m:t>
            </m:r>
            <m:ctrlPr>
              <w:rPr>
                <w:rFonts w:hint="eastAsia" w:ascii="Cambria Math" w:hAnsi="Cambria Math" w:cs="宋体"/>
                <w:b w:val="0"/>
                <w:bCs w:val="0"/>
                <w:i/>
                <w:color w:val="auto"/>
                <w:kern w:val="2"/>
                <w:sz w:val="28"/>
                <w:szCs w:val="28"/>
                <w:highlight w:val="none"/>
                <w:lang w:val="en-US" w:eastAsia="zh-CN" w:bidi="ar-SA"/>
              </w:rPr>
            </m:ctrlPr>
          </m:e>
          <m:sub>
            <m:r>
              <m:rPr/>
              <w:rPr>
                <w:rFonts w:hint="default" w:ascii="Cambria Math" w:hAnsi="Cambria Math" w:cs="宋体"/>
                <w:color w:val="auto"/>
                <w:kern w:val="2"/>
                <w:sz w:val="28"/>
                <w:szCs w:val="28"/>
                <w:highlight w:val="none"/>
                <w:lang w:val="en-US" w:eastAsia="zh-CN" w:bidi="ar-SA"/>
              </w:rPr>
              <m:t>f1</m:t>
            </m:r>
            <m:ctrlPr>
              <w:rPr>
                <w:rFonts w:hint="eastAsia" w:ascii="Cambria Math" w:hAnsi="Cambria Math" w:cs="宋体"/>
                <w:b w:val="0"/>
                <w:bCs w:val="0"/>
                <w:i/>
                <w:color w:val="auto"/>
                <w:kern w:val="2"/>
                <w:sz w:val="28"/>
                <w:szCs w:val="28"/>
                <w:highlight w:val="none"/>
                <w:lang w:val="en-US" w:eastAsia="zh-CN" w:bidi="ar-SA"/>
              </w:rPr>
            </m:ctrlPr>
          </m:sub>
        </m:sSub>
      </m:oMath>
      <w:r>
        <w:rPr>
          <w:rFonts w:hint="eastAsia"/>
          <w:color w:val="auto"/>
          <w:sz w:val="24"/>
          <w:szCs w:val="24"/>
          <w:highlight w:val="none"/>
          <w:lang w:val="en-US" w:eastAsia="zh-CN"/>
        </w:rPr>
        <w:t>按行业标准《公路工程沥青及沥青混合料试验规程》JTG E20-2011（T0708）规定的方法测定，并计算</w:t>
      </w:r>
      <w:r>
        <w:rPr>
          <w:rFonts w:hint="eastAsia" w:ascii="宋体" w:hAnsi="宋体" w:eastAsia="宋体" w:cs="宋体"/>
          <w:b w:val="0"/>
          <w:bCs w:val="0"/>
          <w:i w:val="0"/>
          <w:iCs/>
          <w:color w:val="auto"/>
          <w:kern w:val="2"/>
          <w:sz w:val="24"/>
          <w:szCs w:val="24"/>
          <w:highlight w:val="none"/>
          <w:lang w:val="en-US" w:eastAsia="zh-CN" w:bidi="ar-SA"/>
        </w:rPr>
        <w:t>未加固</w:t>
      </w:r>
      <w:r>
        <w:rPr>
          <w:rFonts w:hint="eastAsia"/>
          <w:color w:val="auto"/>
          <w:sz w:val="24"/>
          <w:szCs w:val="24"/>
          <w:highlight w:val="none"/>
          <w:lang w:val="en-US" w:eastAsia="zh-CN"/>
        </w:rPr>
        <w:t>井周铺面的空隙率</w:t>
      </w:r>
      <w:r>
        <w:rPr>
          <w:rFonts w:hint="eastAsia" w:ascii="Cambria Math" w:hAnsi="Cambria Math" w:cs="宋体"/>
          <w:b w:val="0"/>
          <w:bCs w:val="0"/>
          <w:i/>
          <w:color w:val="auto"/>
          <w:kern w:val="2"/>
          <w:sz w:val="24"/>
          <w:szCs w:val="24"/>
          <w:highlight w:val="none"/>
          <w:lang w:val="en-US" w:eastAsia="zh-CN" w:bidi="ar-SA"/>
        </w:rPr>
        <w:t>VV</w:t>
      </w:r>
      <w:r>
        <w:rPr>
          <w:rFonts w:hint="eastAsia" w:ascii="Cambria Math" w:hAnsi="Cambria Math" w:cs="宋体"/>
          <w:b w:val="0"/>
          <w:bCs w:val="0"/>
          <w:i/>
          <w:color w:val="auto"/>
          <w:kern w:val="2"/>
          <w:sz w:val="24"/>
          <w:szCs w:val="24"/>
          <w:highlight w:val="none"/>
          <w:vertAlign w:val="subscript"/>
          <w:lang w:val="en-US" w:eastAsia="zh-CN" w:bidi="ar-SA"/>
        </w:rPr>
        <w:t>1</w:t>
      </w:r>
      <w:r>
        <w:rPr>
          <w:rFonts w:hint="eastAsia"/>
          <w:color w:val="auto"/>
          <w:sz w:val="24"/>
          <w:szCs w:val="24"/>
          <w:highlight w:val="none"/>
          <w:lang w:val="en-US" w:eastAsia="zh-CN"/>
        </w:rPr>
        <w:t>。</w:t>
      </w:r>
    </w:p>
    <w:p>
      <w:pPr>
        <w:numPr>
          <w:ilvl w:val="0"/>
          <w:numId w:val="0"/>
        </w:numPr>
        <w:spacing w:line="360" w:lineRule="auto"/>
        <w:jc w:val="left"/>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    3  </w:t>
      </w:r>
      <w:r>
        <w:rPr>
          <w:rFonts w:hint="eastAsia" w:ascii="宋体" w:hAnsi="宋体" w:eastAsia="宋体" w:cs="宋体"/>
          <w:color w:val="auto"/>
          <w:sz w:val="24"/>
          <w:szCs w:val="24"/>
          <w:highlight w:val="none"/>
          <w:lang w:val="en-US" w:eastAsia="zh-CN"/>
        </w:rPr>
        <w:t>井周加固铺面芯样密度</w:t>
      </w:r>
      <m:oMath>
        <m:sSub>
          <m:sSubPr>
            <m:ctrlPr>
              <w:rPr>
                <w:rFonts w:hint="eastAsia" w:ascii="Cambria Math" w:hAnsi="Cambria Math" w:cs="宋体"/>
                <w:b w:val="0"/>
                <w:bCs w:val="0"/>
                <w:i/>
                <w:color w:val="auto"/>
                <w:kern w:val="2"/>
                <w:sz w:val="28"/>
                <w:szCs w:val="28"/>
                <w:highlight w:val="none"/>
                <w:lang w:val="en-US" w:eastAsia="zh-CN" w:bidi="ar-SA"/>
              </w:rPr>
            </m:ctrlPr>
          </m:sSubPr>
          <m:e>
            <m:r>
              <m:rPr/>
              <w:rPr>
                <w:rFonts w:ascii="Cambria Math" w:hAnsi="Cambria Math" w:cs="宋体"/>
                <w:color w:val="auto"/>
                <w:kern w:val="2"/>
                <w:sz w:val="28"/>
                <w:szCs w:val="28"/>
                <w:highlight w:val="none"/>
                <w:lang w:val="en-US" w:bidi="ar-SA"/>
              </w:rPr>
              <m:t>ρ</m:t>
            </m:r>
            <m:ctrlPr>
              <w:rPr>
                <w:rFonts w:hint="eastAsia" w:ascii="Cambria Math" w:hAnsi="Cambria Math" w:cs="宋体"/>
                <w:b w:val="0"/>
                <w:bCs w:val="0"/>
                <w:i/>
                <w:color w:val="auto"/>
                <w:kern w:val="2"/>
                <w:sz w:val="28"/>
                <w:szCs w:val="28"/>
                <w:highlight w:val="none"/>
                <w:lang w:val="en-US" w:eastAsia="zh-CN" w:bidi="ar-SA"/>
              </w:rPr>
            </m:ctrlPr>
          </m:e>
          <m:sub>
            <m:r>
              <m:rPr/>
              <w:rPr>
                <w:rFonts w:hint="default" w:ascii="Cambria Math" w:hAnsi="Cambria Math" w:cs="宋体"/>
                <w:color w:val="auto"/>
                <w:kern w:val="2"/>
                <w:sz w:val="28"/>
                <w:szCs w:val="28"/>
                <w:highlight w:val="none"/>
                <w:lang w:val="en-US" w:eastAsia="zh-CN" w:bidi="ar-SA"/>
              </w:rPr>
              <m:t>f2</m:t>
            </m:r>
            <m:ctrlPr>
              <w:rPr>
                <w:rFonts w:hint="eastAsia" w:ascii="Cambria Math" w:hAnsi="Cambria Math" w:cs="宋体"/>
                <w:b w:val="0"/>
                <w:bCs w:val="0"/>
                <w:i/>
                <w:color w:val="auto"/>
                <w:kern w:val="2"/>
                <w:sz w:val="28"/>
                <w:szCs w:val="28"/>
                <w:highlight w:val="none"/>
                <w:lang w:val="en-US" w:eastAsia="zh-CN" w:bidi="ar-SA"/>
              </w:rPr>
            </m:ctrlPr>
          </m:sub>
        </m:sSub>
      </m:oMath>
      <w:r>
        <w:rPr>
          <w:rFonts w:hint="eastAsia"/>
          <w:color w:val="auto"/>
          <w:sz w:val="24"/>
          <w:szCs w:val="24"/>
          <w:highlight w:val="none"/>
          <w:lang w:val="en-US" w:eastAsia="zh-CN"/>
        </w:rPr>
        <w:t>按行业标准《公路工程沥青及沥青混合料试验规程》JTG E20-2011（T0708）规定的方法测定</w:t>
      </w:r>
      <w:r>
        <w:rPr>
          <w:rFonts w:hint="eastAsia" w:hAnsi="Cambria Math" w:cs="宋体"/>
          <w:b w:val="0"/>
          <w:bCs w:val="0"/>
          <w:i w:val="0"/>
          <w:color w:val="auto"/>
          <w:kern w:val="2"/>
          <w:sz w:val="28"/>
          <w:szCs w:val="28"/>
          <w:highlight w:val="none"/>
          <w:lang w:val="en-US" w:eastAsia="zh-CN" w:bidi="ar-SA"/>
        </w:rPr>
        <w:t>。</w:t>
      </w:r>
    </w:p>
    <w:p>
      <w:pPr>
        <w:spacing w:line="360" w:lineRule="auto"/>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    4  </w:t>
      </w:r>
      <w:r>
        <w:rPr>
          <w:rFonts w:hint="eastAsia"/>
          <w:color w:val="auto"/>
          <w:sz w:val="24"/>
          <w:szCs w:val="24"/>
          <w:highlight w:val="none"/>
          <w:lang w:val="en-US" w:eastAsia="zh-CN"/>
        </w:rPr>
        <w:t>按下式计算井周加固铺面的空隙率</w:t>
      </w:r>
      <m:oMath>
        <m:sSub>
          <m:sSubPr>
            <m:ctrlPr>
              <w:rPr>
                <w:rFonts w:hint="eastAsia" w:ascii="Cambria Math" w:hAnsi="Cambria Math" w:eastAsia="宋体" w:cs="宋体"/>
                <w:b w:val="0"/>
                <w:bCs w:val="0"/>
                <w:i/>
                <w:color w:val="auto"/>
                <w:kern w:val="2"/>
                <w:sz w:val="24"/>
                <w:szCs w:val="24"/>
                <w:highlight w:val="none"/>
                <w:lang w:val="en-US" w:eastAsia="zh-CN" w:bidi="ar-SA"/>
              </w:rPr>
            </m:ctrlPr>
          </m:sSubPr>
          <m:e>
            <m:r>
              <m:rPr/>
              <w:rPr>
                <w:rFonts w:hint="eastAsia" w:ascii="Cambria Math" w:hAnsi="Cambria Math" w:eastAsia="宋体" w:cs="宋体"/>
                <w:color w:val="auto"/>
                <w:kern w:val="2"/>
                <w:sz w:val="24"/>
                <w:szCs w:val="24"/>
                <w:highlight w:val="none"/>
                <w:lang w:val="en-US" w:eastAsia="zh-CN" w:bidi="ar-SA"/>
              </w:rPr>
              <m:t>VV</m:t>
            </m:r>
            <m:ctrlPr>
              <w:rPr>
                <w:rFonts w:hint="eastAsia" w:ascii="Cambria Math" w:hAnsi="Cambria Math" w:eastAsia="宋体" w:cs="宋体"/>
                <w:b w:val="0"/>
                <w:bCs w:val="0"/>
                <w:i/>
                <w:color w:val="auto"/>
                <w:kern w:val="2"/>
                <w:sz w:val="24"/>
                <w:szCs w:val="24"/>
                <w:highlight w:val="none"/>
                <w:lang w:val="en-US" w:eastAsia="zh-CN" w:bidi="ar-SA"/>
              </w:rPr>
            </m:ctrlPr>
          </m:e>
          <m:sub>
            <m:r>
              <m:rPr/>
              <w:rPr>
                <w:rFonts w:hint="eastAsia" w:ascii="Cambria Math" w:hAnsi="Cambria Math" w:eastAsia="宋体" w:cs="宋体"/>
                <w:color w:val="auto"/>
                <w:kern w:val="2"/>
                <w:sz w:val="24"/>
                <w:szCs w:val="24"/>
                <w:highlight w:val="none"/>
                <w:lang w:val="en-US" w:eastAsia="zh-CN" w:bidi="ar-SA"/>
              </w:rPr>
              <m:t>3</m:t>
            </m:r>
            <m:ctrlPr>
              <w:rPr>
                <w:rFonts w:hint="eastAsia" w:ascii="Cambria Math" w:hAnsi="Cambria Math" w:eastAsia="宋体" w:cs="宋体"/>
                <w:b w:val="0"/>
                <w:bCs w:val="0"/>
                <w:i/>
                <w:color w:val="auto"/>
                <w:kern w:val="2"/>
                <w:sz w:val="24"/>
                <w:szCs w:val="24"/>
                <w:highlight w:val="none"/>
                <w:lang w:val="en-US" w:eastAsia="zh-CN" w:bidi="ar-SA"/>
              </w:rPr>
            </m:ctrlPr>
          </m:sub>
        </m:sSub>
      </m:oMath>
      <w:r>
        <w:rPr>
          <w:rFonts w:hint="eastAsia"/>
          <w:color w:val="auto"/>
          <w:sz w:val="24"/>
          <w:szCs w:val="24"/>
          <w:highlight w:val="none"/>
          <w:lang w:val="en-US" w:eastAsia="zh-CN"/>
        </w:rPr>
        <w:t>：</w:t>
      </w:r>
    </w:p>
    <w:p>
      <w:pPr>
        <w:ind w:firstLine="480" w:firstLineChars="200"/>
        <w:jc w:val="right"/>
        <w:rPr>
          <w:rFonts w:hint="eastAsia" w:ascii="宋体" w:hAnsi="宋体" w:eastAsia="宋体" w:cs="宋体"/>
          <w:color w:val="auto"/>
          <w:sz w:val="24"/>
          <w:szCs w:val="24"/>
          <w:highlight w:val="none"/>
          <w:lang w:val="en-US" w:eastAsia="zh-CN"/>
        </w:rPr>
      </w:pPr>
      <w:r>
        <w:rPr>
          <w:rFonts w:hint="eastAsia" w:hAnsi="Cambria Math" w:eastAsia="宋体" w:cs="宋体"/>
          <w:i w:val="0"/>
          <w:color w:val="auto"/>
          <w:sz w:val="24"/>
          <w:szCs w:val="24"/>
          <w:highlight w:val="none"/>
          <w:lang w:val="en-US" w:eastAsia="zh-CN"/>
        </w:rPr>
        <w:t xml:space="preserve">  </w:t>
      </w:r>
      <m:oMath>
        <m:sSub>
          <m:sSubPr>
            <m:ctrlPr>
              <w:rPr>
                <w:rFonts w:hint="default" w:ascii="Cambria Math" w:hAnsi="Cambria Math" w:eastAsia="宋体" w:cs="Times New Roman"/>
                <w:i/>
                <w:iCs/>
                <w:color w:val="auto"/>
                <w:sz w:val="24"/>
                <w:szCs w:val="24"/>
                <w:highlight w:val="none"/>
                <w:lang w:val="en-US" w:eastAsia="zh-CN"/>
              </w:rPr>
            </m:ctrlPr>
          </m:sSubPr>
          <m:e>
            <m:r>
              <m:rPr/>
              <w:rPr>
                <w:rFonts w:hint="default" w:ascii="Cambria Math" w:hAnsi="Cambria Math" w:eastAsia="宋体" w:cs="Times New Roman"/>
                <w:color w:val="auto"/>
                <w:sz w:val="24"/>
                <w:szCs w:val="24"/>
                <w:highlight w:val="none"/>
                <w:lang w:val="en-US" w:eastAsia="zh-CN"/>
              </w:rPr>
              <m:t>VV</m:t>
            </m:r>
            <m:ctrlPr>
              <w:rPr>
                <w:rFonts w:hint="default" w:ascii="Cambria Math" w:hAnsi="Cambria Math" w:eastAsia="宋体" w:cs="Times New Roman"/>
                <w:i/>
                <w:iCs/>
                <w:color w:val="auto"/>
                <w:sz w:val="24"/>
                <w:szCs w:val="24"/>
                <w:highlight w:val="none"/>
                <w:lang w:val="en-US" w:eastAsia="zh-CN"/>
              </w:rPr>
            </m:ctrlPr>
          </m:e>
          <m:sub>
            <m:r>
              <m:rPr/>
              <w:rPr>
                <w:rFonts w:hint="default" w:ascii="Cambria Math" w:hAnsi="Cambria Math" w:eastAsia="宋体" w:cs="Times New Roman"/>
                <w:color w:val="auto"/>
                <w:sz w:val="24"/>
                <w:szCs w:val="24"/>
                <w:highlight w:val="none"/>
                <w:lang w:val="en-US" w:eastAsia="zh-CN"/>
              </w:rPr>
              <m:t>3</m:t>
            </m:r>
            <m:ctrlPr>
              <w:rPr>
                <w:rFonts w:hint="default" w:ascii="Cambria Math" w:hAnsi="Cambria Math" w:eastAsia="宋体" w:cs="Times New Roman"/>
                <w:i/>
                <w:iCs/>
                <w:color w:val="auto"/>
                <w:sz w:val="24"/>
                <w:szCs w:val="24"/>
                <w:highlight w:val="none"/>
                <w:lang w:val="en-US" w:eastAsia="zh-CN"/>
              </w:rPr>
            </m:ctrlPr>
          </m:sub>
        </m:sSub>
        <m:r>
          <m:rPr/>
          <w:rPr>
            <w:rFonts w:hint="default" w:ascii="Cambria Math" w:hAnsi="Cambria Math" w:eastAsia="宋体" w:cs="Times New Roman"/>
            <w:color w:val="auto"/>
            <w:sz w:val="24"/>
            <w:szCs w:val="24"/>
            <w:highlight w:val="none"/>
            <w:lang w:val="en-US" w:eastAsia="zh-CN"/>
          </w:rPr>
          <m:t>=</m:t>
        </m:r>
        <m:sSub>
          <m:sSubPr>
            <m:ctrlPr>
              <w:rPr>
                <w:rFonts w:hint="default" w:ascii="Cambria Math" w:hAnsi="Cambria Math" w:eastAsia="宋体" w:cs="Times New Roman"/>
                <w:i/>
                <w:iCs/>
                <w:color w:val="auto"/>
                <w:sz w:val="24"/>
                <w:szCs w:val="24"/>
                <w:highlight w:val="none"/>
                <w:lang w:val="en-US" w:eastAsia="zh-CN"/>
              </w:rPr>
            </m:ctrlPr>
          </m:sSubPr>
          <m:e>
            <m:r>
              <m:rPr/>
              <w:rPr>
                <w:rFonts w:hint="default" w:ascii="Cambria Math" w:hAnsi="Cambria Math" w:eastAsia="宋体" w:cs="Times New Roman"/>
                <w:color w:val="auto"/>
                <w:sz w:val="24"/>
                <w:szCs w:val="24"/>
                <w:highlight w:val="none"/>
                <w:lang w:val="en-US" w:eastAsia="zh-CN"/>
              </w:rPr>
              <m:t>VV</m:t>
            </m:r>
            <m:ctrlPr>
              <w:rPr>
                <w:rFonts w:hint="default" w:ascii="Cambria Math" w:hAnsi="Cambria Math" w:eastAsia="宋体" w:cs="Times New Roman"/>
                <w:i/>
                <w:iCs/>
                <w:color w:val="auto"/>
                <w:sz w:val="24"/>
                <w:szCs w:val="24"/>
                <w:highlight w:val="none"/>
                <w:lang w:val="en-US" w:eastAsia="zh-CN"/>
              </w:rPr>
            </m:ctrlPr>
          </m:e>
          <m:sub>
            <m:r>
              <m:rPr/>
              <w:rPr>
                <w:rFonts w:hint="default" w:ascii="Cambria Math" w:hAnsi="Cambria Math" w:eastAsia="宋体" w:cs="Times New Roman"/>
                <w:color w:val="auto"/>
                <w:sz w:val="24"/>
                <w:szCs w:val="24"/>
                <w:highlight w:val="none"/>
                <w:lang w:val="en-US" w:eastAsia="zh-CN"/>
              </w:rPr>
              <m:t>1</m:t>
            </m:r>
            <m:ctrlPr>
              <w:rPr>
                <w:rFonts w:hint="default" w:ascii="Cambria Math" w:hAnsi="Cambria Math" w:eastAsia="宋体" w:cs="Times New Roman"/>
                <w:i/>
                <w:iCs/>
                <w:color w:val="auto"/>
                <w:sz w:val="24"/>
                <w:szCs w:val="24"/>
                <w:highlight w:val="none"/>
                <w:lang w:val="en-US" w:eastAsia="zh-CN"/>
              </w:rPr>
            </m:ctrlPr>
          </m:sub>
        </m:sSub>
        <m:r>
          <m:rPr/>
          <w:rPr>
            <w:rFonts w:hint="default" w:ascii="Cambria Math" w:hAnsi="Cambria Math" w:eastAsia="宋体" w:cs="Times New Roman"/>
            <w:color w:val="auto"/>
            <w:sz w:val="24"/>
            <w:szCs w:val="24"/>
            <w:highlight w:val="none"/>
            <w:lang w:val="en-US" w:eastAsia="zh-CN"/>
          </w:rPr>
          <m:t>−(</m:t>
        </m:r>
        <m:f>
          <m:fPr>
            <m:ctrlPr>
              <w:rPr>
                <w:rFonts w:hint="default" w:ascii="Cambria Math" w:hAnsi="Cambria Math" w:eastAsia="宋体" w:cs="Times New Roman"/>
                <w:i/>
                <w:iCs/>
                <w:color w:val="auto"/>
                <w:sz w:val="24"/>
                <w:szCs w:val="24"/>
                <w:highlight w:val="none"/>
                <w:lang w:val="en-US" w:eastAsia="zh-CN"/>
              </w:rPr>
            </m:ctrlPr>
          </m:fPr>
          <m:num>
            <m:sSub>
              <m:sSubPr>
                <m:ctrlPr>
                  <w:rPr>
                    <w:rFonts w:hint="default" w:ascii="Cambria Math" w:hAnsi="Cambria Math" w:eastAsia="宋体" w:cs="Times New Roman"/>
                    <w:i/>
                    <w:iCs/>
                    <w:color w:val="auto"/>
                    <w:sz w:val="24"/>
                    <w:szCs w:val="24"/>
                    <w:highlight w:val="none"/>
                    <w:lang w:val="en-US" w:eastAsia="zh-CN"/>
                  </w:rPr>
                </m:ctrlPr>
              </m:sSubPr>
              <m:e>
                <m:r>
                  <m:rPr/>
                  <w:rPr>
                    <w:rFonts w:hint="default" w:ascii="Cambria Math" w:hAnsi="Cambria Math" w:eastAsia="宋体" w:cs="Times New Roman"/>
                    <w:color w:val="auto"/>
                    <w:sz w:val="24"/>
                    <w:szCs w:val="24"/>
                    <w:highlight w:val="none"/>
                    <w:lang w:val="en-US" w:eastAsia="zh-CN"/>
                  </w:rPr>
                  <m:t>ρ</m:t>
                </m:r>
                <m:ctrlPr>
                  <w:rPr>
                    <w:rFonts w:hint="default" w:ascii="Cambria Math" w:hAnsi="Cambria Math" w:eastAsia="宋体" w:cs="Times New Roman"/>
                    <w:i/>
                    <w:iCs/>
                    <w:color w:val="auto"/>
                    <w:sz w:val="24"/>
                    <w:szCs w:val="24"/>
                    <w:highlight w:val="none"/>
                    <w:lang w:val="en-US" w:eastAsia="zh-CN"/>
                  </w:rPr>
                </m:ctrlPr>
              </m:e>
              <m:sub>
                <m:r>
                  <m:rPr/>
                  <w:rPr>
                    <w:rFonts w:hint="default" w:ascii="Cambria Math" w:hAnsi="Cambria Math" w:eastAsia="宋体" w:cs="Times New Roman"/>
                    <w:color w:val="auto"/>
                    <w:sz w:val="24"/>
                    <w:szCs w:val="24"/>
                    <w:highlight w:val="none"/>
                    <w:lang w:val="en-US" w:eastAsia="zh-CN"/>
                  </w:rPr>
                  <m:t>f2</m:t>
                </m:r>
                <m:ctrlPr>
                  <w:rPr>
                    <w:rFonts w:hint="default" w:ascii="Cambria Math" w:hAnsi="Cambria Math" w:eastAsia="宋体" w:cs="Times New Roman"/>
                    <w:i/>
                    <w:iCs/>
                    <w:color w:val="auto"/>
                    <w:sz w:val="24"/>
                    <w:szCs w:val="24"/>
                    <w:highlight w:val="none"/>
                    <w:lang w:val="en-US" w:eastAsia="zh-CN"/>
                  </w:rPr>
                </m:ctrlPr>
              </m:sub>
            </m:sSub>
            <m:r>
              <m:rPr/>
              <w:rPr>
                <w:rFonts w:hint="default" w:ascii="Cambria Math" w:hAnsi="Cambria Math" w:eastAsia="宋体" w:cs="Times New Roman"/>
                <w:color w:val="auto"/>
                <w:sz w:val="24"/>
                <w:szCs w:val="24"/>
                <w:highlight w:val="none"/>
                <w:lang w:val="en-US" w:eastAsia="zh-CN"/>
              </w:rPr>
              <m:t>−</m:t>
            </m:r>
            <m:sSub>
              <m:sSubPr>
                <m:ctrlPr>
                  <w:rPr>
                    <w:rFonts w:hint="default" w:ascii="Cambria Math" w:hAnsi="Cambria Math" w:eastAsia="宋体" w:cs="Times New Roman"/>
                    <w:i/>
                    <w:iCs/>
                    <w:color w:val="auto"/>
                    <w:sz w:val="24"/>
                    <w:szCs w:val="24"/>
                    <w:highlight w:val="none"/>
                    <w:lang w:val="en-US" w:eastAsia="zh-CN"/>
                  </w:rPr>
                </m:ctrlPr>
              </m:sSubPr>
              <m:e>
                <m:r>
                  <m:rPr/>
                  <w:rPr>
                    <w:rFonts w:hint="default" w:ascii="Cambria Math" w:hAnsi="Cambria Math" w:eastAsia="宋体" w:cs="Times New Roman"/>
                    <w:color w:val="auto"/>
                    <w:sz w:val="24"/>
                    <w:szCs w:val="24"/>
                    <w:highlight w:val="none"/>
                    <w:lang w:val="en-US" w:eastAsia="zh-CN"/>
                  </w:rPr>
                  <m:t>ρ</m:t>
                </m:r>
                <m:ctrlPr>
                  <w:rPr>
                    <w:rFonts w:hint="default" w:ascii="Cambria Math" w:hAnsi="Cambria Math" w:eastAsia="宋体" w:cs="Times New Roman"/>
                    <w:i/>
                    <w:iCs/>
                    <w:color w:val="auto"/>
                    <w:sz w:val="24"/>
                    <w:szCs w:val="24"/>
                    <w:highlight w:val="none"/>
                    <w:lang w:val="en-US" w:eastAsia="zh-CN"/>
                  </w:rPr>
                </m:ctrlPr>
              </m:e>
              <m:sub>
                <m:r>
                  <m:rPr/>
                  <w:rPr>
                    <w:rFonts w:hint="default" w:ascii="Cambria Math" w:hAnsi="Cambria Math" w:eastAsia="宋体" w:cs="Times New Roman"/>
                    <w:color w:val="auto"/>
                    <w:sz w:val="24"/>
                    <w:szCs w:val="24"/>
                    <w:highlight w:val="none"/>
                    <w:lang w:val="en-US" w:eastAsia="zh-CN"/>
                  </w:rPr>
                  <m:t>f1</m:t>
                </m:r>
                <m:ctrlPr>
                  <w:rPr>
                    <w:rFonts w:hint="default" w:ascii="Cambria Math" w:hAnsi="Cambria Math" w:eastAsia="宋体" w:cs="Times New Roman"/>
                    <w:i/>
                    <w:iCs/>
                    <w:color w:val="auto"/>
                    <w:sz w:val="24"/>
                    <w:szCs w:val="24"/>
                    <w:highlight w:val="none"/>
                    <w:lang w:val="en-US" w:eastAsia="zh-CN"/>
                  </w:rPr>
                </m:ctrlPr>
              </m:sub>
            </m:sSub>
            <m:ctrlPr>
              <w:rPr>
                <w:rFonts w:hint="default" w:ascii="Cambria Math" w:hAnsi="Cambria Math" w:eastAsia="宋体" w:cs="Times New Roman"/>
                <w:i/>
                <w:iCs/>
                <w:color w:val="auto"/>
                <w:sz w:val="24"/>
                <w:szCs w:val="24"/>
                <w:highlight w:val="none"/>
                <w:lang w:val="en-US" w:eastAsia="zh-CN"/>
              </w:rPr>
            </m:ctrlPr>
          </m:num>
          <m:den>
            <m:sSub>
              <m:sSubPr>
                <m:ctrlPr>
                  <w:rPr>
                    <w:rFonts w:hint="default" w:ascii="Cambria Math" w:hAnsi="Cambria Math" w:eastAsia="宋体" w:cs="Times New Roman"/>
                    <w:i/>
                    <w:iCs/>
                    <w:color w:val="auto"/>
                    <w:sz w:val="24"/>
                    <w:szCs w:val="24"/>
                    <w:highlight w:val="none"/>
                    <w:lang w:val="en-US" w:eastAsia="zh-CN"/>
                  </w:rPr>
                </m:ctrlPr>
              </m:sSubPr>
              <m:e>
                <m:r>
                  <m:rPr/>
                  <w:rPr>
                    <w:rFonts w:hint="default" w:ascii="Cambria Math" w:hAnsi="Cambria Math" w:eastAsia="宋体" w:cs="Times New Roman"/>
                    <w:color w:val="auto"/>
                    <w:sz w:val="24"/>
                    <w:szCs w:val="24"/>
                    <w:highlight w:val="none"/>
                    <w:lang w:val="en-US" w:eastAsia="zh-CN"/>
                  </w:rPr>
                  <m:t>ρ</m:t>
                </m:r>
                <m:ctrlPr>
                  <w:rPr>
                    <w:rFonts w:hint="default" w:ascii="Cambria Math" w:hAnsi="Cambria Math" w:eastAsia="宋体" w:cs="Times New Roman"/>
                    <w:i/>
                    <w:iCs/>
                    <w:color w:val="auto"/>
                    <w:sz w:val="24"/>
                    <w:szCs w:val="24"/>
                    <w:highlight w:val="none"/>
                    <w:lang w:val="en-US" w:eastAsia="zh-CN"/>
                  </w:rPr>
                </m:ctrlPr>
              </m:e>
              <m:sub>
                <m:r>
                  <m:rPr/>
                  <w:rPr>
                    <w:rFonts w:hint="default" w:ascii="Cambria Math" w:hAnsi="Cambria Math" w:eastAsia="宋体" w:cs="Times New Roman"/>
                    <w:color w:val="auto"/>
                    <w:sz w:val="24"/>
                    <w:szCs w:val="24"/>
                    <w:highlight w:val="none"/>
                    <w:lang w:val="en-US" w:eastAsia="zh-CN"/>
                  </w:rPr>
                  <m:t>n</m:t>
                </m:r>
                <m:ctrlPr>
                  <w:rPr>
                    <w:rFonts w:hint="default" w:ascii="Cambria Math" w:hAnsi="Cambria Math" w:eastAsia="宋体" w:cs="Times New Roman"/>
                    <w:i/>
                    <w:iCs/>
                    <w:color w:val="auto"/>
                    <w:sz w:val="24"/>
                    <w:szCs w:val="24"/>
                    <w:highlight w:val="none"/>
                    <w:lang w:val="en-US" w:eastAsia="zh-CN"/>
                  </w:rPr>
                </m:ctrlPr>
              </m:sub>
            </m:sSub>
            <m:ctrlPr>
              <w:rPr>
                <w:rFonts w:hint="default" w:ascii="Cambria Math" w:hAnsi="Cambria Math" w:eastAsia="宋体" w:cs="Times New Roman"/>
                <w:i/>
                <w:iCs/>
                <w:color w:val="auto"/>
                <w:sz w:val="24"/>
                <w:szCs w:val="24"/>
                <w:highlight w:val="none"/>
                <w:lang w:val="en-US" w:eastAsia="zh-CN"/>
              </w:rPr>
            </m:ctrlPr>
          </m:den>
        </m:f>
      </m:oMath>
      <w:r>
        <w:rPr>
          <w:rFonts w:hint="default" w:ascii="Times New Roman" w:hAnsi="Times New Roman" w:eastAsia="宋体" w:cs="Times New Roman"/>
          <w:i/>
          <w:iCs/>
          <w:color w:val="auto"/>
          <w:sz w:val="24"/>
          <w:szCs w:val="24"/>
          <w:highlight w:val="none"/>
          <w:lang w:val="en-US" w:eastAsia="zh-CN"/>
        </w:rPr>
        <w:t>×</w:t>
      </w:r>
      <w:r>
        <w:rPr>
          <w:rFonts w:hint="default" w:ascii="Times New Roman" w:hAnsi="Times New Roman" w:eastAsia="宋体" w:cs="Times New Roman"/>
          <w:i w:val="0"/>
          <w:iCs w:val="0"/>
          <w:color w:val="auto"/>
          <w:sz w:val="24"/>
          <w:szCs w:val="24"/>
          <w:highlight w:val="none"/>
          <w:lang w:val="en-US" w:eastAsia="zh-CN"/>
        </w:rPr>
        <w:t>100%</w:t>
      </w:r>
      <w:r>
        <w:rPr>
          <w:rFonts w:hint="default" w:ascii="Times New Roman" w:hAnsi="Times New Roman" w:eastAsia="宋体" w:cs="Times New Roman"/>
          <w:i/>
          <w:iCs/>
          <w:color w:val="auto"/>
          <w:sz w:val="24"/>
          <w:szCs w:val="24"/>
          <w:highlight w:val="none"/>
          <w:lang w:val="en-US" w:eastAsia="zh-CN"/>
        </w:rPr>
        <w:t>)</w:t>
      </w:r>
      <w:r>
        <w:rPr>
          <w:rFonts w:hint="eastAsia" w:ascii="Cambria Math" w:hAnsi="Cambria Math" w:cs="宋体"/>
          <w:b w:val="0"/>
          <w:bCs w:val="0"/>
          <w:i/>
          <w:color w:val="auto"/>
          <w:kern w:val="2"/>
          <w:sz w:val="28"/>
          <w:szCs w:val="28"/>
          <w:highlight w:val="none"/>
          <w:lang w:val="en-US" w:eastAsia="zh-CN" w:bidi="ar-SA"/>
        </w:rPr>
        <w:t xml:space="preserve">                   </w:t>
      </w:r>
      <w:r>
        <w:rPr>
          <w:rFonts w:hint="eastAsia" w:ascii="宋体" w:hAnsi="宋体" w:eastAsia="宋体" w:cs="宋体"/>
          <w:color w:val="auto"/>
          <w:sz w:val="24"/>
          <w:szCs w:val="24"/>
          <w:highlight w:val="none"/>
          <w:lang w:val="en-US" w:eastAsia="zh-CN"/>
        </w:rPr>
        <w:t>（D.0.3-1）</w:t>
      </w:r>
    </w:p>
    <w:p>
      <w:pPr>
        <w:numPr>
          <w:ilvl w:val="0"/>
          <w:numId w:val="0"/>
        </w:numPr>
        <w:spacing w:line="360" w:lineRule="auto"/>
        <w:jc w:val="left"/>
        <w:rPr>
          <w:rFonts w:hint="eastAsia" w:ascii="宋体" w:hAnsi="宋体" w:eastAsia="宋体" w:cs="宋体"/>
          <w:b w:val="0"/>
          <w:bCs w:val="0"/>
          <w:i w:val="0"/>
          <w:iCs/>
          <w:color w:val="auto"/>
          <w:kern w:val="2"/>
          <w:sz w:val="24"/>
          <w:szCs w:val="24"/>
          <w:highlight w:val="none"/>
          <w:lang w:val="en-US" w:eastAsia="zh-CN" w:bidi="ar-SA"/>
        </w:rPr>
      </w:pPr>
      <w:r>
        <w:rPr>
          <w:rFonts w:hint="eastAsia" w:ascii="宋体" w:hAnsi="宋体" w:eastAsia="宋体" w:cs="宋体"/>
          <w:color w:val="auto"/>
          <w:sz w:val="24"/>
          <w:szCs w:val="24"/>
          <w:highlight w:val="none"/>
        </w:rPr>
        <w:t>式中</w:t>
      </w:r>
      <w:r>
        <w:rPr>
          <w:rFonts w:hint="eastAsia" w:ascii="宋体" w:hAnsi="宋体" w:eastAsia="宋体" w:cs="宋体"/>
          <w:color w:val="auto"/>
          <w:sz w:val="24"/>
          <w:szCs w:val="24"/>
          <w:highlight w:val="none"/>
          <w:lang w:val="en-US" w:eastAsia="zh-CN"/>
        </w:rPr>
        <w:t xml:space="preserve">  </w:t>
      </w:r>
      <m:oMath>
        <m:sSub>
          <m:sSubPr>
            <m:ctrlPr>
              <w:rPr>
                <w:rFonts w:hint="eastAsia" w:ascii="Cambria Math" w:hAnsi="Cambria Math" w:eastAsia="宋体" w:cs="宋体"/>
                <w:b w:val="0"/>
                <w:bCs w:val="0"/>
                <w:i/>
                <w:color w:val="auto"/>
                <w:kern w:val="2"/>
                <w:sz w:val="24"/>
                <w:szCs w:val="24"/>
                <w:highlight w:val="none"/>
                <w:lang w:val="en-US" w:eastAsia="zh-CN" w:bidi="ar-SA"/>
              </w:rPr>
            </m:ctrlPr>
          </m:sSubPr>
          <m:e>
            <m:r>
              <m:rPr/>
              <w:rPr>
                <w:rFonts w:hint="eastAsia" w:ascii="Cambria Math" w:hAnsi="Cambria Math" w:eastAsia="宋体" w:cs="宋体"/>
                <w:color w:val="auto"/>
                <w:kern w:val="2"/>
                <w:sz w:val="24"/>
                <w:szCs w:val="24"/>
                <w:highlight w:val="none"/>
                <w:lang w:val="en-US" w:eastAsia="zh-CN" w:bidi="ar-SA"/>
              </w:rPr>
              <m:t>VV</m:t>
            </m:r>
            <m:ctrlPr>
              <w:rPr>
                <w:rFonts w:hint="eastAsia" w:ascii="Cambria Math" w:hAnsi="Cambria Math" w:eastAsia="宋体" w:cs="宋体"/>
                <w:b w:val="0"/>
                <w:bCs w:val="0"/>
                <w:i/>
                <w:color w:val="auto"/>
                <w:kern w:val="2"/>
                <w:sz w:val="24"/>
                <w:szCs w:val="24"/>
                <w:highlight w:val="none"/>
                <w:lang w:val="en-US" w:eastAsia="zh-CN" w:bidi="ar-SA"/>
              </w:rPr>
            </m:ctrlPr>
          </m:e>
          <m:sub>
            <m:r>
              <m:rPr/>
              <w:rPr>
                <w:rFonts w:hint="eastAsia" w:ascii="Cambria Math" w:hAnsi="Cambria Math" w:eastAsia="宋体" w:cs="宋体"/>
                <w:color w:val="auto"/>
                <w:kern w:val="2"/>
                <w:sz w:val="24"/>
                <w:szCs w:val="24"/>
                <w:highlight w:val="none"/>
                <w:lang w:val="en-US" w:eastAsia="zh-CN" w:bidi="ar-SA"/>
              </w:rPr>
              <m:t>3</m:t>
            </m:r>
            <m:ctrlPr>
              <w:rPr>
                <w:rFonts w:hint="eastAsia" w:ascii="Cambria Math" w:hAnsi="Cambria Math" w:eastAsia="宋体" w:cs="宋体"/>
                <w:b w:val="0"/>
                <w:bCs w:val="0"/>
                <w:i/>
                <w:color w:val="auto"/>
                <w:kern w:val="2"/>
                <w:sz w:val="24"/>
                <w:szCs w:val="24"/>
                <w:highlight w:val="none"/>
                <w:lang w:val="en-US" w:eastAsia="zh-CN" w:bidi="ar-SA"/>
              </w:rPr>
            </m:ctrlPr>
          </m:sub>
        </m:sSub>
      </m:oMath>
      <w:r>
        <w:rPr>
          <w:rFonts w:hint="eastAsia" w:ascii="宋体" w:hAnsi="宋体" w:eastAsia="宋体" w:cs="宋体"/>
          <w:b w:val="0"/>
          <w:bCs w:val="0"/>
          <w:i w:val="0"/>
          <w:iCs/>
          <w:color w:val="auto"/>
          <w:kern w:val="2"/>
          <w:sz w:val="24"/>
          <w:szCs w:val="24"/>
          <w:highlight w:val="none"/>
          <w:lang w:val="en-US" w:eastAsia="zh-CN" w:bidi="ar-SA"/>
        </w:rPr>
        <w:t>—</w:t>
      </w:r>
      <w:r>
        <w:rPr>
          <w:rFonts w:hint="eastAsia"/>
          <w:color w:val="auto"/>
          <w:sz w:val="24"/>
          <w:szCs w:val="24"/>
          <w:highlight w:val="none"/>
          <w:lang w:val="en-US" w:eastAsia="zh-CN"/>
        </w:rPr>
        <w:t>井周加固铺面的空隙率</w:t>
      </w:r>
      <w:r>
        <w:rPr>
          <w:rFonts w:hint="eastAsia" w:ascii="宋体" w:hAnsi="宋体" w:eastAsia="宋体" w:cs="宋体"/>
          <w:b w:val="0"/>
          <w:bCs w:val="0"/>
          <w:i w:val="0"/>
          <w:iCs/>
          <w:color w:val="auto"/>
          <w:kern w:val="2"/>
          <w:sz w:val="24"/>
          <w:szCs w:val="24"/>
          <w:highlight w:val="none"/>
          <w:lang w:val="en-US" w:eastAsia="zh-CN" w:bidi="ar-SA"/>
        </w:rPr>
        <w:t>(%)；</w:t>
      </w:r>
    </w:p>
    <w:p>
      <w:pPr>
        <w:numPr>
          <w:ilvl w:val="0"/>
          <w:numId w:val="0"/>
        </w:numPr>
        <w:spacing w:line="360" w:lineRule="auto"/>
        <w:ind w:left="1400" w:hanging="1200" w:hangingChars="500"/>
        <w:jc w:val="left"/>
        <w:rPr>
          <w:rFonts w:hint="eastAsia" w:ascii="宋体" w:hAnsi="宋体" w:eastAsia="宋体" w:cs="宋体"/>
          <w:b w:val="0"/>
          <w:bCs w:val="0"/>
          <w:i w:val="0"/>
          <w:iCs/>
          <w:color w:val="auto"/>
          <w:kern w:val="2"/>
          <w:sz w:val="24"/>
          <w:szCs w:val="24"/>
          <w:highlight w:val="none"/>
          <w:lang w:val="en-US" w:eastAsia="zh-CN" w:bidi="ar-SA"/>
        </w:rPr>
      </w:pPr>
      <w:r>
        <w:rPr>
          <w:rFonts w:hint="eastAsia" w:ascii="宋体" w:hAnsi="宋体" w:eastAsia="宋体" w:cs="宋体"/>
          <w:b w:val="0"/>
          <w:bCs w:val="0"/>
          <w:i w:val="0"/>
          <w:iCs/>
          <w:color w:val="auto"/>
          <w:kern w:val="2"/>
          <w:sz w:val="24"/>
          <w:szCs w:val="24"/>
          <w:highlight w:val="none"/>
          <w:lang w:val="en-US" w:eastAsia="zh-CN" w:bidi="ar-SA"/>
        </w:rPr>
        <w:t xml:space="preserve">      </w:t>
      </w:r>
      <m:oMath>
        <m:sSub>
          <m:sSubPr>
            <m:ctrlPr>
              <w:rPr>
                <w:rFonts w:hint="eastAsia" w:ascii="Cambria Math" w:hAnsi="Cambria Math" w:eastAsia="宋体" w:cs="宋体"/>
                <w:b w:val="0"/>
                <w:bCs w:val="0"/>
                <w:i/>
                <w:color w:val="auto"/>
                <w:kern w:val="2"/>
                <w:sz w:val="24"/>
                <w:szCs w:val="24"/>
                <w:highlight w:val="none"/>
                <w:lang w:val="en-US" w:eastAsia="zh-CN" w:bidi="ar-SA"/>
              </w:rPr>
            </m:ctrlPr>
          </m:sSubPr>
          <m:e>
            <m:r>
              <m:rPr/>
              <w:rPr>
                <w:rFonts w:hint="eastAsia" w:ascii="Cambria Math" w:hAnsi="Cambria Math" w:eastAsia="宋体" w:cs="宋体"/>
                <w:color w:val="auto"/>
                <w:kern w:val="2"/>
                <w:sz w:val="24"/>
                <w:szCs w:val="24"/>
                <w:highlight w:val="none"/>
                <w:lang w:val="en-US" w:eastAsia="zh-CN" w:bidi="ar-SA"/>
              </w:rPr>
              <m:t>VV</m:t>
            </m:r>
            <m:ctrlPr>
              <w:rPr>
                <w:rFonts w:hint="eastAsia" w:ascii="Cambria Math" w:hAnsi="Cambria Math" w:eastAsia="宋体" w:cs="宋体"/>
                <w:b w:val="0"/>
                <w:bCs w:val="0"/>
                <w:i/>
                <w:color w:val="auto"/>
                <w:kern w:val="2"/>
                <w:sz w:val="24"/>
                <w:szCs w:val="24"/>
                <w:highlight w:val="none"/>
                <w:lang w:val="en-US" w:eastAsia="zh-CN" w:bidi="ar-SA"/>
              </w:rPr>
            </m:ctrlPr>
          </m:e>
          <m:sub>
            <m:r>
              <m:rPr/>
              <w:rPr>
                <w:rFonts w:hint="eastAsia" w:ascii="Cambria Math" w:hAnsi="Cambria Math" w:eastAsia="宋体" w:cs="宋体"/>
                <w:color w:val="auto"/>
                <w:kern w:val="2"/>
                <w:sz w:val="24"/>
                <w:szCs w:val="24"/>
                <w:highlight w:val="none"/>
                <w:lang w:val="en-US" w:eastAsia="zh-CN" w:bidi="ar-SA"/>
              </w:rPr>
              <m:t>1</m:t>
            </m:r>
            <m:ctrlPr>
              <w:rPr>
                <w:rFonts w:hint="eastAsia" w:ascii="Cambria Math" w:hAnsi="Cambria Math" w:eastAsia="宋体" w:cs="宋体"/>
                <w:b w:val="0"/>
                <w:bCs w:val="0"/>
                <w:i/>
                <w:color w:val="auto"/>
                <w:kern w:val="2"/>
                <w:sz w:val="24"/>
                <w:szCs w:val="24"/>
                <w:highlight w:val="none"/>
                <w:lang w:val="en-US" w:eastAsia="zh-CN" w:bidi="ar-SA"/>
              </w:rPr>
            </m:ctrlPr>
          </m:sub>
        </m:sSub>
      </m:oMath>
      <w:r>
        <w:rPr>
          <w:rFonts w:hint="eastAsia" w:ascii="宋体" w:hAnsi="宋体" w:eastAsia="宋体" w:cs="宋体"/>
          <w:b w:val="0"/>
          <w:bCs w:val="0"/>
          <w:i w:val="0"/>
          <w:iCs/>
          <w:color w:val="auto"/>
          <w:kern w:val="2"/>
          <w:sz w:val="24"/>
          <w:szCs w:val="24"/>
          <w:highlight w:val="none"/>
          <w:lang w:val="en-US" w:eastAsia="zh-CN" w:bidi="ar-SA"/>
        </w:rPr>
        <w:t>—未加固</w:t>
      </w:r>
      <w:r>
        <w:rPr>
          <w:rFonts w:hint="eastAsia"/>
          <w:color w:val="auto"/>
          <w:sz w:val="24"/>
          <w:szCs w:val="24"/>
          <w:highlight w:val="none"/>
          <w:lang w:val="en-US" w:eastAsia="zh-CN"/>
        </w:rPr>
        <w:t>井周铺面的空隙率</w:t>
      </w:r>
      <w:r>
        <w:rPr>
          <w:rFonts w:hint="eastAsia" w:ascii="宋体" w:hAnsi="宋体" w:eastAsia="宋体" w:cs="宋体"/>
          <w:b w:val="0"/>
          <w:bCs w:val="0"/>
          <w:i w:val="0"/>
          <w:iCs/>
          <w:color w:val="auto"/>
          <w:kern w:val="2"/>
          <w:sz w:val="24"/>
          <w:szCs w:val="24"/>
          <w:highlight w:val="none"/>
          <w:lang w:val="en-US" w:eastAsia="zh-CN" w:bidi="ar-SA"/>
        </w:rPr>
        <w:t>(%)；</w:t>
      </w:r>
    </w:p>
    <w:p>
      <w:pPr>
        <w:numPr>
          <w:ilvl w:val="0"/>
          <w:numId w:val="0"/>
        </w:numPr>
        <w:spacing w:line="360" w:lineRule="auto"/>
        <w:ind w:left="1198" w:leftChars="342" w:hanging="480" w:hangingChars="200"/>
        <w:jc w:val="left"/>
        <w:rPr>
          <w:rFonts w:hint="eastAsia" w:ascii="宋体" w:hAnsi="宋体" w:eastAsia="宋体" w:cs="宋体"/>
          <w:b w:val="0"/>
          <w:bCs w:val="0"/>
          <w:i w:val="0"/>
          <w:iCs/>
          <w:color w:val="auto"/>
          <w:kern w:val="2"/>
          <w:sz w:val="24"/>
          <w:szCs w:val="24"/>
          <w:highlight w:val="none"/>
          <w:lang w:val="en-US" w:eastAsia="zh-CN" w:bidi="ar-SA"/>
        </w:rPr>
      </w:pPr>
      <m:oMath>
        <m:sSub>
          <m:sSubPr>
            <m:ctrlPr>
              <w:rPr>
                <w:rFonts w:hint="eastAsia" w:ascii="Cambria Math" w:hAnsi="Cambria Math" w:eastAsia="宋体" w:cs="宋体"/>
                <w:b w:val="0"/>
                <w:bCs w:val="0"/>
                <w:i/>
                <w:color w:val="auto"/>
                <w:kern w:val="2"/>
                <w:sz w:val="24"/>
                <w:szCs w:val="24"/>
                <w:highlight w:val="none"/>
                <w:lang w:val="en-US" w:eastAsia="zh-CN" w:bidi="ar-SA"/>
              </w:rPr>
            </m:ctrlPr>
          </m:sSubPr>
          <m:e>
            <m:r>
              <m:rPr/>
              <w:rPr>
                <w:rFonts w:hint="eastAsia" w:ascii="Cambria Math" w:hAnsi="Cambria Math" w:eastAsia="宋体" w:cs="宋体"/>
                <w:color w:val="auto"/>
                <w:kern w:val="2"/>
                <w:sz w:val="24"/>
                <w:szCs w:val="24"/>
                <w:highlight w:val="none"/>
                <w:lang w:val="en-US" w:bidi="ar-SA"/>
              </w:rPr>
              <m:t>ρ</m:t>
            </m:r>
            <m:ctrlPr>
              <w:rPr>
                <w:rFonts w:hint="eastAsia" w:ascii="Cambria Math" w:hAnsi="Cambria Math" w:eastAsia="宋体" w:cs="宋体"/>
                <w:b w:val="0"/>
                <w:bCs w:val="0"/>
                <w:i/>
                <w:color w:val="auto"/>
                <w:kern w:val="2"/>
                <w:sz w:val="24"/>
                <w:szCs w:val="24"/>
                <w:highlight w:val="none"/>
                <w:lang w:val="en-US" w:eastAsia="zh-CN" w:bidi="ar-SA"/>
              </w:rPr>
            </m:ctrlPr>
          </m:e>
          <m:sub>
            <m:r>
              <m:rPr/>
              <w:rPr>
                <w:rFonts w:hint="eastAsia" w:ascii="Cambria Math" w:hAnsi="Cambria Math" w:eastAsia="宋体" w:cs="宋体"/>
                <w:color w:val="auto"/>
                <w:kern w:val="2"/>
                <w:sz w:val="24"/>
                <w:szCs w:val="24"/>
                <w:highlight w:val="none"/>
                <w:lang w:val="en-US" w:eastAsia="zh-CN" w:bidi="ar-SA"/>
              </w:rPr>
              <m:t>f2</m:t>
            </m:r>
            <m:ctrlPr>
              <w:rPr>
                <w:rFonts w:hint="eastAsia" w:ascii="Cambria Math" w:hAnsi="Cambria Math" w:eastAsia="宋体" w:cs="宋体"/>
                <w:b w:val="0"/>
                <w:bCs w:val="0"/>
                <w:i/>
                <w:color w:val="auto"/>
                <w:kern w:val="2"/>
                <w:sz w:val="24"/>
                <w:szCs w:val="24"/>
                <w:highlight w:val="none"/>
                <w:lang w:val="en-US" w:eastAsia="zh-CN" w:bidi="ar-SA"/>
              </w:rPr>
            </m:ctrlPr>
          </m:sub>
        </m:sSub>
      </m:oMath>
      <w:r>
        <w:rPr>
          <w:rFonts w:hint="eastAsia" w:ascii="宋体" w:hAnsi="宋体" w:eastAsia="宋体" w:cs="宋体"/>
          <w:b w:val="0"/>
          <w:bCs w:val="0"/>
          <w:i w:val="0"/>
          <w:iCs/>
          <w:color w:val="auto"/>
          <w:kern w:val="2"/>
          <w:sz w:val="24"/>
          <w:szCs w:val="24"/>
          <w:highlight w:val="none"/>
          <w:lang w:val="en-US" w:eastAsia="zh-CN" w:bidi="ar-SA"/>
        </w:rPr>
        <w:t>—</w:t>
      </w:r>
      <w:r>
        <w:rPr>
          <w:rFonts w:hint="eastAsia" w:ascii="宋体" w:hAnsi="宋体" w:eastAsia="宋体" w:cs="宋体"/>
          <w:color w:val="auto"/>
          <w:sz w:val="24"/>
          <w:szCs w:val="24"/>
          <w:highlight w:val="none"/>
          <w:lang w:val="en-US" w:eastAsia="zh-CN"/>
        </w:rPr>
        <w:t>井周加固铺面芯样密度（kg/m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p>
    <w:p>
      <w:pPr>
        <w:numPr>
          <w:ilvl w:val="0"/>
          <w:numId w:val="0"/>
        </w:numPr>
        <w:spacing w:line="360" w:lineRule="auto"/>
        <w:ind w:firstLine="720" w:firstLineChars="300"/>
        <w:jc w:val="left"/>
        <w:rPr>
          <w:rFonts w:hint="eastAsia" w:ascii="宋体" w:hAnsi="宋体" w:eastAsia="宋体" w:cs="宋体"/>
          <w:color w:val="auto"/>
          <w:sz w:val="24"/>
          <w:szCs w:val="24"/>
          <w:highlight w:val="none"/>
          <w:lang w:val="en-US" w:eastAsia="zh-CN"/>
        </w:rPr>
      </w:pPr>
      <m:oMath>
        <m:sSub>
          <m:sSubPr>
            <m:ctrlPr>
              <w:rPr>
                <w:rFonts w:hint="eastAsia" w:ascii="Cambria Math" w:hAnsi="Cambria Math" w:eastAsia="宋体" w:cs="宋体"/>
                <w:b w:val="0"/>
                <w:bCs w:val="0"/>
                <w:i/>
                <w:color w:val="auto"/>
                <w:kern w:val="2"/>
                <w:sz w:val="24"/>
                <w:szCs w:val="24"/>
                <w:highlight w:val="none"/>
                <w:lang w:val="en-US" w:eastAsia="zh-CN" w:bidi="ar-SA"/>
              </w:rPr>
            </m:ctrlPr>
          </m:sSubPr>
          <m:e>
            <m:r>
              <m:rPr/>
              <w:rPr>
                <w:rFonts w:hint="eastAsia" w:ascii="Cambria Math" w:hAnsi="Cambria Math" w:eastAsia="宋体" w:cs="宋体"/>
                <w:color w:val="auto"/>
                <w:kern w:val="2"/>
                <w:sz w:val="24"/>
                <w:szCs w:val="24"/>
                <w:highlight w:val="none"/>
                <w:lang w:val="en-US" w:bidi="ar-SA"/>
              </w:rPr>
              <m:t>ρ</m:t>
            </m:r>
            <m:ctrlPr>
              <w:rPr>
                <w:rFonts w:hint="eastAsia" w:ascii="Cambria Math" w:hAnsi="Cambria Math" w:eastAsia="宋体" w:cs="宋体"/>
                <w:b w:val="0"/>
                <w:bCs w:val="0"/>
                <w:i/>
                <w:color w:val="auto"/>
                <w:kern w:val="2"/>
                <w:sz w:val="24"/>
                <w:szCs w:val="24"/>
                <w:highlight w:val="none"/>
                <w:lang w:val="en-US" w:eastAsia="zh-CN" w:bidi="ar-SA"/>
              </w:rPr>
            </m:ctrlPr>
          </m:e>
          <m:sub>
            <m:r>
              <m:rPr/>
              <w:rPr>
                <w:rFonts w:hint="eastAsia" w:ascii="Cambria Math" w:hAnsi="Cambria Math" w:eastAsia="宋体" w:cs="宋体"/>
                <w:color w:val="auto"/>
                <w:kern w:val="2"/>
                <w:sz w:val="24"/>
                <w:szCs w:val="24"/>
                <w:highlight w:val="none"/>
                <w:lang w:val="en-US" w:eastAsia="zh-CN" w:bidi="ar-SA"/>
              </w:rPr>
              <m:t>f1</m:t>
            </m:r>
            <m:ctrlPr>
              <w:rPr>
                <w:rFonts w:hint="eastAsia" w:ascii="Cambria Math" w:hAnsi="Cambria Math" w:eastAsia="宋体" w:cs="宋体"/>
                <w:b w:val="0"/>
                <w:bCs w:val="0"/>
                <w:i/>
                <w:color w:val="auto"/>
                <w:kern w:val="2"/>
                <w:sz w:val="24"/>
                <w:szCs w:val="24"/>
                <w:highlight w:val="none"/>
                <w:lang w:val="en-US" w:eastAsia="zh-CN" w:bidi="ar-SA"/>
              </w:rPr>
            </m:ctrlPr>
          </m:sub>
        </m:sSub>
      </m:oMath>
      <w:r>
        <w:rPr>
          <w:rFonts w:hint="eastAsia" w:ascii="宋体" w:hAnsi="宋体" w:eastAsia="宋体" w:cs="宋体"/>
          <w:b w:val="0"/>
          <w:bCs w:val="0"/>
          <w:i w:val="0"/>
          <w:iCs/>
          <w:color w:val="auto"/>
          <w:kern w:val="2"/>
          <w:sz w:val="24"/>
          <w:szCs w:val="24"/>
          <w:highlight w:val="none"/>
          <w:lang w:val="en-US" w:eastAsia="zh-CN" w:bidi="ar-SA"/>
        </w:rPr>
        <w:t>—未加固</w:t>
      </w:r>
      <w:r>
        <w:rPr>
          <w:rFonts w:hint="eastAsia"/>
          <w:color w:val="auto"/>
          <w:sz w:val="24"/>
          <w:szCs w:val="24"/>
          <w:highlight w:val="none"/>
          <w:lang w:val="en-US" w:eastAsia="zh-CN"/>
        </w:rPr>
        <w:t>井周铺面的</w:t>
      </w:r>
      <w:r>
        <w:rPr>
          <w:rFonts w:hint="eastAsia" w:ascii="宋体" w:hAnsi="宋体" w:eastAsia="宋体" w:cs="宋体"/>
          <w:color w:val="auto"/>
          <w:sz w:val="24"/>
          <w:szCs w:val="24"/>
          <w:highlight w:val="none"/>
          <w:lang w:val="en-US" w:eastAsia="zh-CN"/>
        </w:rPr>
        <w:t>芯样密度（kg/m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p>
    <w:p>
      <w:pPr>
        <w:numPr>
          <w:ilvl w:val="0"/>
          <w:numId w:val="0"/>
        </w:numPr>
        <w:spacing w:line="360" w:lineRule="auto"/>
        <w:ind w:firstLine="720" w:firstLineChars="300"/>
        <w:jc w:val="left"/>
        <w:rPr>
          <w:rFonts w:hint="eastAsia" w:ascii="宋体" w:hAnsi="宋体" w:eastAsia="宋体" w:cs="宋体"/>
          <w:color w:val="auto"/>
          <w:sz w:val="24"/>
          <w:szCs w:val="24"/>
          <w:highlight w:val="none"/>
          <w:lang w:val="en-US" w:eastAsia="zh-CN"/>
        </w:rPr>
      </w:pPr>
      <m:oMath>
        <m:sSub>
          <m:sSubPr>
            <m:ctrlPr>
              <w:rPr>
                <w:rFonts w:hint="eastAsia" w:ascii="Cambria Math" w:hAnsi="Cambria Math" w:eastAsia="宋体" w:cs="宋体"/>
                <w:b w:val="0"/>
                <w:bCs w:val="0"/>
                <w:i/>
                <w:color w:val="auto"/>
                <w:kern w:val="2"/>
                <w:sz w:val="24"/>
                <w:szCs w:val="24"/>
                <w:highlight w:val="none"/>
                <w:lang w:val="en-US" w:eastAsia="zh-CN" w:bidi="ar-SA"/>
              </w:rPr>
            </m:ctrlPr>
          </m:sSubPr>
          <m:e>
            <m:r>
              <m:rPr/>
              <w:rPr>
                <w:rFonts w:hint="eastAsia" w:ascii="Cambria Math" w:hAnsi="Cambria Math" w:eastAsia="宋体" w:cs="宋体"/>
                <w:color w:val="auto"/>
                <w:kern w:val="2"/>
                <w:sz w:val="24"/>
                <w:szCs w:val="24"/>
                <w:highlight w:val="none"/>
                <w:lang w:val="en-US" w:bidi="ar-SA"/>
              </w:rPr>
              <m:t>ρ</m:t>
            </m:r>
            <m:ctrlPr>
              <w:rPr>
                <w:rFonts w:hint="eastAsia" w:ascii="Cambria Math" w:hAnsi="Cambria Math" w:eastAsia="宋体" w:cs="宋体"/>
                <w:b w:val="0"/>
                <w:bCs w:val="0"/>
                <w:i/>
                <w:color w:val="auto"/>
                <w:kern w:val="2"/>
                <w:sz w:val="24"/>
                <w:szCs w:val="24"/>
                <w:highlight w:val="none"/>
                <w:lang w:val="en-US" w:eastAsia="zh-CN" w:bidi="ar-SA"/>
              </w:rPr>
            </m:ctrlPr>
          </m:e>
          <m:sub>
            <m:r>
              <m:rPr/>
              <w:rPr>
                <w:rFonts w:hint="eastAsia" w:ascii="Cambria Math" w:hAnsi="Cambria Math" w:eastAsia="宋体" w:cs="宋体"/>
                <w:color w:val="auto"/>
                <w:kern w:val="2"/>
                <w:sz w:val="24"/>
                <w:szCs w:val="24"/>
                <w:highlight w:val="none"/>
                <w:lang w:val="en-US" w:eastAsia="zh-CN" w:bidi="ar-SA"/>
              </w:rPr>
              <m:t>n</m:t>
            </m:r>
            <m:ctrlPr>
              <w:rPr>
                <w:rFonts w:hint="eastAsia" w:ascii="Cambria Math" w:hAnsi="Cambria Math" w:eastAsia="宋体" w:cs="宋体"/>
                <w:b w:val="0"/>
                <w:bCs w:val="0"/>
                <w:i/>
                <w:color w:val="auto"/>
                <w:kern w:val="2"/>
                <w:sz w:val="24"/>
                <w:szCs w:val="24"/>
                <w:highlight w:val="none"/>
                <w:lang w:val="en-US" w:eastAsia="zh-CN" w:bidi="ar-SA"/>
              </w:rPr>
            </m:ctrlPr>
          </m:sub>
        </m:sSub>
      </m:oMath>
      <w:r>
        <w:rPr>
          <w:rFonts w:hint="eastAsia" w:ascii="宋体" w:hAnsi="宋体" w:eastAsia="宋体" w:cs="宋体"/>
          <w:b w:val="0"/>
          <w:bCs w:val="0"/>
          <w:i w:val="0"/>
          <w:iCs/>
          <w:color w:val="auto"/>
          <w:kern w:val="2"/>
          <w:sz w:val="24"/>
          <w:szCs w:val="24"/>
          <w:highlight w:val="none"/>
          <w:lang w:val="en-US" w:eastAsia="zh-CN" w:bidi="ar-SA"/>
        </w:rPr>
        <w:t>—</w:t>
      </w:r>
      <w:r>
        <w:rPr>
          <w:rFonts w:hint="eastAsia" w:ascii="宋体" w:hAnsi="宋体" w:eastAsia="宋体" w:cs="宋体"/>
          <w:color w:val="auto"/>
          <w:sz w:val="24"/>
          <w:szCs w:val="24"/>
          <w:highlight w:val="none"/>
          <w:lang w:val="en-US" w:eastAsia="zh-CN"/>
        </w:rPr>
        <w:t>浆液干表观密度（kg/m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p>
    <w:p>
      <w:pPr>
        <w:numPr>
          <w:ilvl w:val="0"/>
          <w:numId w:val="0"/>
        </w:numPr>
        <w:spacing w:line="360" w:lineRule="auto"/>
        <w:ind w:firstLine="482" w:firstLineChars="200"/>
        <w:jc w:val="left"/>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5  </w:t>
      </w:r>
      <w:r>
        <w:rPr>
          <w:rFonts w:hint="eastAsia"/>
          <w:color w:val="auto"/>
          <w:sz w:val="24"/>
          <w:szCs w:val="24"/>
          <w:highlight w:val="none"/>
          <w:lang w:val="en-US" w:eastAsia="zh-CN"/>
        </w:rPr>
        <w:t>按下式计算井周加固铺面的压实度D：</w:t>
      </w:r>
    </w:p>
    <w:p>
      <w:pPr>
        <w:numPr>
          <w:ilvl w:val="0"/>
          <w:numId w:val="0"/>
        </w:numPr>
        <w:spacing w:line="360" w:lineRule="auto"/>
        <w:ind w:firstLine="720" w:firstLineChars="300"/>
        <w:jc w:val="right"/>
        <w:rPr>
          <w:rFonts w:hint="default"/>
          <w:color w:val="auto"/>
          <w:sz w:val="24"/>
          <w:szCs w:val="24"/>
          <w:highlight w:val="none"/>
          <w:lang w:val="en-US" w:eastAsia="zh-CN"/>
        </w:rPr>
      </w:pPr>
      <w:r>
        <w:rPr>
          <w:rFonts w:hint="default" w:ascii="Times New Roman" w:hAnsi="Times New Roman" w:cs="Times New Roman"/>
          <w:i/>
          <w:iCs/>
          <w:color w:val="auto"/>
          <w:sz w:val="24"/>
          <w:szCs w:val="24"/>
          <w:highlight w:val="none"/>
          <w:lang w:val="en-US" w:eastAsia="zh-CN"/>
        </w:rPr>
        <w:t>D=100+</w:t>
      </w:r>
      <m:oMath>
        <m:sSub>
          <m:sSubPr>
            <m:ctrlPr>
              <w:rPr>
                <w:rFonts w:hint="default" w:ascii="Cambria Math" w:hAnsi="Cambria Math" w:eastAsia="宋体" w:cs="Times New Roman"/>
                <w:b w:val="0"/>
                <w:bCs w:val="0"/>
                <w:i/>
                <w:iCs/>
                <w:color w:val="auto"/>
                <w:kern w:val="2"/>
                <w:sz w:val="24"/>
                <w:szCs w:val="24"/>
                <w:highlight w:val="none"/>
                <w:lang w:val="en-US" w:eastAsia="zh-CN" w:bidi="ar-SA"/>
              </w:rPr>
            </m:ctrlPr>
          </m:sSubPr>
          <m:e>
            <m:r>
              <m:rPr/>
              <w:rPr>
                <w:rFonts w:hint="default" w:ascii="Cambria Math" w:hAnsi="Cambria Math" w:eastAsia="宋体" w:cs="Times New Roman"/>
                <w:color w:val="auto"/>
                <w:kern w:val="2"/>
                <w:sz w:val="24"/>
                <w:szCs w:val="24"/>
                <w:highlight w:val="none"/>
                <w:lang w:val="en-US" w:eastAsia="zh-CN" w:bidi="ar-SA"/>
              </w:rPr>
              <m:t>VV</m:t>
            </m:r>
            <m:ctrlPr>
              <w:rPr>
                <w:rFonts w:hint="default" w:ascii="Cambria Math" w:hAnsi="Cambria Math" w:eastAsia="宋体" w:cs="Times New Roman"/>
                <w:b w:val="0"/>
                <w:bCs w:val="0"/>
                <w:i/>
                <w:iCs/>
                <w:color w:val="auto"/>
                <w:kern w:val="2"/>
                <w:sz w:val="24"/>
                <w:szCs w:val="24"/>
                <w:highlight w:val="none"/>
                <w:lang w:val="en-US" w:eastAsia="zh-CN" w:bidi="ar-SA"/>
              </w:rPr>
            </m:ctrlPr>
          </m:e>
          <m:sub>
            <m:r>
              <m:rPr/>
              <w:rPr>
                <w:rFonts w:hint="default" w:ascii="Cambria Math" w:hAnsi="Cambria Math" w:eastAsia="宋体" w:cs="Times New Roman"/>
                <w:color w:val="auto"/>
                <w:kern w:val="2"/>
                <w:sz w:val="24"/>
                <w:szCs w:val="24"/>
                <w:highlight w:val="none"/>
                <w:lang w:val="en-US" w:eastAsia="zh-CN" w:bidi="ar-SA"/>
              </w:rPr>
              <m:t>2</m:t>
            </m:r>
            <m:ctrlPr>
              <w:rPr>
                <w:rFonts w:hint="default" w:ascii="Cambria Math" w:hAnsi="Cambria Math" w:eastAsia="宋体" w:cs="Times New Roman"/>
                <w:b w:val="0"/>
                <w:bCs w:val="0"/>
                <w:i/>
                <w:iCs/>
                <w:color w:val="auto"/>
                <w:kern w:val="2"/>
                <w:sz w:val="24"/>
                <w:szCs w:val="24"/>
                <w:highlight w:val="none"/>
                <w:lang w:val="en-US" w:eastAsia="zh-CN" w:bidi="ar-SA"/>
              </w:rPr>
            </m:ctrlPr>
          </m:sub>
        </m:sSub>
      </m:oMath>
      <w:r>
        <w:rPr>
          <w:rFonts w:hint="default" w:ascii="Times New Roman" w:hAnsi="Times New Roman" w:eastAsia="宋体" w:cs="Times New Roman"/>
          <w:b w:val="0"/>
          <w:bCs w:val="0"/>
          <w:i/>
          <w:iCs/>
          <w:color w:val="auto"/>
          <w:kern w:val="2"/>
          <w:sz w:val="24"/>
          <w:szCs w:val="24"/>
          <w:highlight w:val="none"/>
          <w:lang w:val="en-US" w:eastAsia="zh-CN" w:bidi="ar-SA"/>
        </w:rPr>
        <w:t>-</w:t>
      </w:r>
      <m:oMath>
        <m:sSub>
          <m:sSubPr>
            <m:ctrlPr>
              <w:rPr>
                <w:rFonts w:hint="default" w:ascii="Cambria Math" w:hAnsi="Cambria Math" w:eastAsia="宋体" w:cs="Times New Roman"/>
                <w:b w:val="0"/>
                <w:bCs w:val="0"/>
                <w:i/>
                <w:iCs/>
                <w:color w:val="auto"/>
                <w:kern w:val="2"/>
                <w:sz w:val="24"/>
                <w:szCs w:val="24"/>
                <w:highlight w:val="none"/>
                <w:lang w:val="en-US" w:eastAsia="zh-CN" w:bidi="ar-SA"/>
              </w:rPr>
            </m:ctrlPr>
          </m:sSubPr>
          <m:e>
            <m:r>
              <m:rPr/>
              <w:rPr>
                <w:rFonts w:hint="default" w:ascii="Cambria Math" w:hAnsi="Cambria Math" w:eastAsia="宋体" w:cs="Times New Roman"/>
                <w:color w:val="auto"/>
                <w:kern w:val="2"/>
                <w:sz w:val="24"/>
                <w:szCs w:val="24"/>
                <w:highlight w:val="none"/>
                <w:lang w:val="en-US" w:eastAsia="zh-CN" w:bidi="ar-SA"/>
              </w:rPr>
              <m:t>VV</m:t>
            </m:r>
            <m:ctrlPr>
              <w:rPr>
                <w:rFonts w:hint="default" w:ascii="Cambria Math" w:hAnsi="Cambria Math" w:eastAsia="宋体" w:cs="Times New Roman"/>
                <w:b w:val="0"/>
                <w:bCs w:val="0"/>
                <w:i/>
                <w:iCs/>
                <w:color w:val="auto"/>
                <w:kern w:val="2"/>
                <w:sz w:val="24"/>
                <w:szCs w:val="24"/>
                <w:highlight w:val="none"/>
                <w:lang w:val="en-US" w:eastAsia="zh-CN" w:bidi="ar-SA"/>
              </w:rPr>
            </m:ctrlPr>
          </m:e>
          <m:sub>
            <m:r>
              <m:rPr/>
              <w:rPr>
                <w:rFonts w:hint="default" w:ascii="Cambria Math" w:hAnsi="Cambria Math" w:eastAsia="宋体" w:cs="Times New Roman"/>
                <w:color w:val="auto"/>
                <w:kern w:val="2"/>
                <w:sz w:val="24"/>
                <w:szCs w:val="24"/>
                <w:highlight w:val="none"/>
                <w:lang w:val="en-US" w:eastAsia="zh-CN" w:bidi="ar-SA"/>
              </w:rPr>
              <m:t>3</m:t>
            </m:r>
            <m:ctrlPr>
              <w:rPr>
                <w:rFonts w:hint="default" w:ascii="Cambria Math" w:hAnsi="Cambria Math" w:eastAsia="宋体" w:cs="Times New Roman"/>
                <w:b w:val="0"/>
                <w:bCs w:val="0"/>
                <w:i/>
                <w:iCs/>
                <w:color w:val="auto"/>
                <w:kern w:val="2"/>
                <w:sz w:val="24"/>
                <w:szCs w:val="24"/>
                <w:highlight w:val="none"/>
                <w:lang w:val="en-US" w:eastAsia="zh-CN" w:bidi="ar-SA"/>
              </w:rPr>
            </m:ctrlPr>
          </m:sub>
        </m:sSub>
      </m:oMath>
      <w:r>
        <w:rPr>
          <w:rFonts w:hint="eastAsia" w:hAnsi="Cambria Math" w:eastAsia="宋体" w:cs="宋体"/>
          <w:b w:val="0"/>
          <w:bCs w:val="0"/>
          <w:i w:val="0"/>
          <w:color w:val="auto"/>
          <w:kern w:val="2"/>
          <w:sz w:val="24"/>
          <w:szCs w:val="24"/>
          <w:highlight w:val="none"/>
          <w:lang w:val="en-US" w:eastAsia="zh-CN" w:bidi="ar-SA"/>
        </w:rPr>
        <w:t xml:space="preserve">                              （</w:t>
      </w:r>
      <w:r>
        <w:rPr>
          <w:rFonts w:hint="eastAsia" w:ascii="宋体" w:hAnsi="宋体" w:eastAsia="宋体" w:cs="宋体"/>
          <w:color w:val="auto"/>
          <w:sz w:val="24"/>
          <w:szCs w:val="24"/>
          <w:highlight w:val="none"/>
          <w:lang w:val="en-US" w:eastAsia="zh-CN"/>
        </w:rPr>
        <w:t>D.0.3-2</w:t>
      </w:r>
      <w:r>
        <w:rPr>
          <w:rFonts w:hint="eastAsia" w:hAnsi="Cambria Math" w:eastAsia="宋体" w:cs="宋体"/>
          <w:b w:val="0"/>
          <w:bCs w:val="0"/>
          <w:i w:val="0"/>
          <w:color w:val="auto"/>
          <w:kern w:val="2"/>
          <w:sz w:val="24"/>
          <w:szCs w:val="24"/>
          <w:highlight w:val="none"/>
          <w:lang w:val="en-US" w:eastAsia="zh-CN" w:bidi="ar-SA"/>
        </w:rPr>
        <w:t>）</w:t>
      </w:r>
    </w:p>
    <w:p>
      <w:pPr>
        <w:numPr>
          <w:ilvl w:val="0"/>
          <w:numId w:val="0"/>
        </w:numPr>
        <w:spacing w:line="360" w:lineRule="auto"/>
        <w:jc w:val="left"/>
        <w:rPr>
          <w:rFonts w:hint="eastAsia" w:ascii="宋体" w:hAnsi="宋体" w:eastAsia="宋体" w:cs="宋体"/>
          <w:b w:val="0"/>
          <w:bCs w:val="0"/>
          <w:i w:val="0"/>
          <w:iCs/>
          <w:color w:val="auto"/>
          <w:kern w:val="2"/>
          <w:sz w:val="24"/>
          <w:szCs w:val="24"/>
          <w:highlight w:val="none"/>
          <w:lang w:val="en-US" w:eastAsia="zh-CN" w:bidi="ar-SA"/>
        </w:rPr>
      </w:pPr>
      <w:r>
        <w:rPr>
          <w:rFonts w:hint="eastAsia" w:ascii="宋体" w:hAnsi="宋体" w:eastAsia="宋体" w:cs="宋体"/>
          <w:color w:val="auto"/>
          <w:sz w:val="24"/>
          <w:szCs w:val="24"/>
          <w:highlight w:val="none"/>
        </w:rPr>
        <w:t>式中</w:t>
      </w:r>
      <w:r>
        <w:rPr>
          <w:rFonts w:hint="eastAsia" w:ascii="宋体" w:hAnsi="宋体" w:eastAsia="宋体" w:cs="宋体"/>
          <w:color w:val="auto"/>
          <w:sz w:val="24"/>
          <w:szCs w:val="24"/>
          <w:highlight w:val="none"/>
          <w:lang w:val="en-US" w:eastAsia="zh-CN"/>
        </w:rPr>
        <w:t xml:space="preserve">  </w:t>
      </w:r>
      <w:r>
        <w:rPr>
          <w:rFonts w:hint="default" w:ascii="Times New Roman" w:hAnsi="Times New Roman" w:cs="Times New Roman"/>
          <w:i/>
          <w:iCs/>
          <w:color w:val="auto"/>
          <w:sz w:val="24"/>
          <w:szCs w:val="24"/>
          <w:highlight w:val="none"/>
          <w:lang w:val="en-US" w:eastAsia="zh-CN"/>
        </w:rPr>
        <w:t>D</w:t>
      </w:r>
      <w:r>
        <w:rPr>
          <w:rFonts w:hint="eastAsia" w:ascii="宋体" w:hAnsi="宋体" w:eastAsia="宋体" w:cs="宋体"/>
          <w:b w:val="0"/>
          <w:bCs w:val="0"/>
          <w:i w:val="0"/>
          <w:iCs/>
          <w:color w:val="auto"/>
          <w:kern w:val="2"/>
          <w:sz w:val="24"/>
          <w:szCs w:val="24"/>
          <w:highlight w:val="none"/>
          <w:lang w:val="en-US" w:eastAsia="zh-CN" w:bidi="ar-SA"/>
        </w:rPr>
        <w:t>—</w:t>
      </w:r>
      <w:r>
        <w:rPr>
          <w:rFonts w:hint="eastAsia"/>
          <w:color w:val="auto"/>
          <w:sz w:val="24"/>
          <w:szCs w:val="24"/>
          <w:highlight w:val="none"/>
          <w:lang w:val="en-US" w:eastAsia="zh-CN"/>
        </w:rPr>
        <w:t>井周加固铺面压实度（%）</w:t>
      </w:r>
      <w:r>
        <w:rPr>
          <w:rFonts w:hint="eastAsia" w:ascii="宋体" w:hAnsi="宋体" w:eastAsia="宋体" w:cs="宋体"/>
          <w:b w:val="0"/>
          <w:bCs w:val="0"/>
          <w:i w:val="0"/>
          <w:iCs/>
          <w:color w:val="auto"/>
          <w:kern w:val="2"/>
          <w:sz w:val="24"/>
          <w:szCs w:val="24"/>
          <w:highlight w:val="none"/>
          <w:lang w:val="en-US" w:eastAsia="zh-CN" w:bidi="ar-SA"/>
        </w:rPr>
        <w:t>；</w:t>
      </w:r>
    </w:p>
    <w:p>
      <w:pPr>
        <w:bidi w:val="0"/>
        <w:rPr>
          <w:rFonts w:hint="eastAsia"/>
          <w:color w:val="auto"/>
          <w:sz w:val="24"/>
          <w:szCs w:val="24"/>
          <w:lang w:val="en-US" w:eastAsia="zh-CN"/>
        </w:rPr>
      </w:pPr>
      <w:r>
        <w:rPr>
          <w:rFonts w:hint="eastAsia"/>
          <w:color w:val="auto"/>
          <w:sz w:val="24"/>
          <w:szCs w:val="24"/>
          <w:lang w:val="en-US" w:eastAsia="zh-CN"/>
        </w:rPr>
        <w:t xml:space="preserve">     </w:t>
      </w:r>
      <w:r>
        <w:rPr>
          <w:rFonts w:hint="default"/>
          <w:color w:val="auto"/>
          <w:sz w:val="24"/>
          <w:szCs w:val="24"/>
          <w:lang w:val="en-US" w:eastAsia="zh-CN"/>
        </w:rPr>
        <w:t xml:space="preserve"> </w:t>
      </w:r>
      <m:oMath>
        <m:sSub>
          <m:sSubPr>
            <m:ctrlPr>
              <w:rPr>
                <w:rFonts w:hint="default" w:ascii="Cambria Math" w:hAnsi="Cambria Math"/>
                <w:color w:val="auto"/>
                <w:sz w:val="24"/>
                <w:szCs w:val="24"/>
                <w:lang w:val="en-US" w:eastAsia="zh-CN"/>
              </w:rPr>
            </m:ctrlPr>
          </m:sSubPr>
          <m:e>
            <m:r>
              <m:rPr>
                <m:sty m:val="p"/>
              </m:rPr>
              <w:rPr>
                <w:rFonts w:hint="default" w:ascii="Cambria Math" w:hAnsi="Cambria Math"/>
                <w:color w:val="auto"/>
                <w:sz w:val="24"/>
                <w:szCs w:val="24"/>
                <w:lang w:val="en-US" w:eastAsia="zh-CN"/>
              </w:rPr>
              <m:t>VV</m:t>
            </m:r>
            <m:ctrlPr>
              <w:rPr>
                <w:rFonts w:hint="default" w:ascii="Cambria Math" w:hAnsi="Cambria Math"/>
                <w:color w:val="auto"/>
                <w:sz w:val="24"/>
                <w:szCs w:val="24"/>
                <w:lang w:val="en-US" w:eastAsia="zh-CN"/>
              </w:rPr>
            </m:ctrlPr>
          </m:e>
          <m:sub>
            <m:r>
              <m:rPr>
                <m:sty m:val="p"/>
              </m:rPr>
              <w:rPr>
                <w:rFonts w:hint="default" w:ascii="Cambria Math" w:hAnsi="Cambria Math"/>
                <w:color w:val="auto"/>
                <w:sz w:val="24"/>
                <w:szCs w:val="24"/>
                <w:lang w:val="en-US" w:eastAsia="zh-CN"/>
              </w:rPr>
              <m:t>2</m:t>
            </m:r>
            <m:ctrlPr>
              <w:rPr>
                <w:rFonts w:hint="default" w:ascii="Cambria Math" w:hAnsi="Cambria Math"/>
                <w:color w:val="auto"/>
                <w:sz w:val="24"/>
                <w:szCs w:val="24"/>
                <w:lang w:val="en-US" w:eastAsia="zh-CN"/>
              </w:rPr>
            </m:ctrlPr>
          </m:sub>
        </m:sSub>
      </m:oMath>
      <w:r>
        <w:rPr>
          <w:rFonts w:hint="eastAsia"/>
          <w:color w:val="auto"/>
          <w:sz w:val="24"/>
          <w:szCs w:val="24"/>
          <w:lang w:val="en-US" w:eastAsia="zh-CN"/>
        </w:rPr>
        <w:t>—沥青混合料铺面目标或设计空隙率(%)。</w:t>
      </w:r>
      <w:bookmarkStart w:id="164" w:name="_Toc521"/>
      <w:bookmarkStart w:id="165" w:name="_Toc4540"/>
      <w:bookmarkStart w:id="166" w:name="_Toc25576"/>
      <w:bookmarkStart w:id="167" w:name="_Toc4882"/>
      <w:bookmarkStart w:id="168" w:name="_Toc1904"/>
    </w:p>
    <w:p>
      <w:pPr>
        <w:rPr>
          <w:rFonts w:hint="eastAsia" w:ascii="宋体" w:hAnsi="宋体" w:eastAsia="宋体" w:cs="宋体"/>
          <w:b w:val="0"/>
          <w:bCs w:val="0"/>
          <w:i w:val="0"/>
          <w:iCs/>
          <w:color w:val="auto"/>
          <w:kern w:val="2"/>
          <w:sz w:val="24"/>
          <w:szCs w:val="24"/>
          <w:highlight w:val="none"/>
          <w:lang w:val="en-US" w:eastAsia="zh-CN" w:bidi="ar-SA"/>
        </w:rPr>
      </w:pPr>
      <w:r>
        <w:rPr>
          <w:rFonts w:hint="eastAsia" w:ascii="宋体" w:hAnsi="宋体" w:eastAsia="宋体" w:cs="宋体"/>
          <w:b w:val="0"/>
          <w:bCs w:val="0"/>
          <w:i w:val="0"/>
          <w:iCs/>
          <w:color w:val="auto"/>
          <w:kern w:val="2"/>
          <w:sz w:val="24"/>
          <w:szCs w:val="24"/>
          <w:highlight w:val="none"/>
          <w:lang w:val="en-US" w:eastAsia="zh-CN" w:bidi="ar-SA"/>
        </w:rPr>
        <w:br w:type="page"/>
      </w:r>
    </w:p>
    <w:p>
      <w:pPr>
        <w:pStyle w:val="2"/>
        <w:pageBreakBefore w:val="0"/>
        <w:kinsoku/>
        <w:wordWrap/>
        <w:overflowPunct/>
        <w:topLinePunct w:val="0"/>
        <w:bidi w:val="0"/>
        <w:adjustRightInd w:val="0"/>
        <w:snapToGrid w:val="0"/>
        <w:spacing w:before="0" w:after="0" w:line="360" w:lineRule="auto"/>
        <w:ind w:left="0" w:leftChars="0" w:right="0" w:rightChars="0"/>
        <w:textAlignment w:val="auto"/>
        <w:rPr>
          <w:rFonts w:hint="eastAsia" w:ascii="黑体" w:hAnsi="黑体" w:eastAsia="黑体" w:cs="黑体"/>
          <w:color w:val="auto"/>
          <w:sz w:val="30"/>
          <w:szCs w:val="30"/>
          <w:highlight w:val="none"/>
          <w:lang w:val="en-US" w:eastAsia="zh-CN"/>
        </w:rPr>
      </w:pPr>
      <w:bookmarkStart w:id="169" w:name="_Toc24014"/>
      <w:r>
        <w:rPr>
          <w:rFonts w:hint="eastAsia" w:ascii="黑体" w:hAnsi="黑体" w:eastAsia="黑体" w:cs="黑体"/>
          <w:color w:val="auto"/>
          <w:sz w:val="30"/>
          <w:szCs w:val="30"/>
          <w:highlight w:val="none"/>
          <w:lang w:val="en-US" w:eastAsia="zh-CN"/>
        </w:rPr>
        <w:t>附录E：井周加固铺面劈裂及冻融残余强度试验方法</w:t>
      </w:r>
      <w:bookmarkEnd w:id="164"/>
      <w:bookmarkEnd w:id="165"/>
      <w:bookmarkEnd w:id="166"/>
      <w:bookmarkEnd w:id="167"/>
      <w:bookmarkEnd w:id="168"/>
      <w:bookmarkEnd w:id="169"/>
    </w:p>
    <w:p>
      <w:pPr>
        <w:spacing w:line="360" w:lineRule="auto"/>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E.0.1</w:t>
      </w:r>
      <w:r>
        <w:rPr>
          <w:rFonts w:hint="eastAsia"/>
          <w:color w:val="auto"/>
          <w:sz w:val="24"/>
          <w:szCs w:val="24"/>
          <w:highlight w:val="none"/>
          <w:lang w:val="en-US" w:eastAsia="zh-CN"/>
        </w:rPr>
        <w:t xml:space="preserve">  适用范围：适用于</w:t>
      </w:r>
      <w:r>
        <w:rPr>
          <w:rFonts w:hint="default"/>
          <w:color w:val="auto"/>
          <w:sz w:val="24"/>
          <w:szCs w:val="24"/>
          <w:highlight w:val="none"/>
          <w:lang w:val="en-US" w:eastAsia="zh-CN"/>
        </w:rPr>
        <w:t>评价</w:t>
      </w:r>
      <w:r>
        <w:rPr>
          <w:rFonts w:hint="eastAsia"/>
          <w:color w:val="auto"/>
          <w:sz w:val="24"/>
          <w:szCs w:val="24"/>
          <w:highlight w:val="none"/>
          <w:lang w:val="en-US" w:eastAsia="zh-CN"/>
        </w:rPr>
        <w:t>注浆后</w:t>
      </w:r>
      <w:r>
        <w:rPr>
          <w:rFonts w:hint="default"/>
          <w:color w:val="auto"/>
          <w:sz w:val="24"/>
          <w:szCs w:val="24"/>
          <w:highlight w:val="none"/>
          <w:lang w:val="en-US" w:eastAsia="zh-CN"/>
        </w:rPr>
        <w:t>沥青混合料的水稳定性</w:t>
      </w:r>
      <w:r>
        <w:rPr>
          <w:rFonts w:hint="eastAsia"/>
          <w:color w:val="auto"/>
          <w:sz w:val="24"/>
          <w:szCs w:val="24"/>
          <w:highlight w:val="none"/>
          <w:lang w:val="en-US" w:eastAsia="zh-CN"/>
        </w:rPr>
        <w:t>，</w:t>
      </w:r>
      <w:r>
        <w:rPr>
          <w:rFonts w:hint="default"/>
          <w:color w:val="auto"/>
          <w:sz w:val="24"/>
          <w:szCs w:val="24"/>
          <w:highlight w:val="none"/>
          <w:lang w:val="en-US" w:eastAsia="zh-CN"/>
        </w:rPr>
        <w:t>非经注明，试验温度为25℃，加载速率为50mm／min。</w:t>
      </w:r>
    </w:p>
    <w:p>
      <w:pPr>
        <w:spacing w:line="360" w:lineRule="auto"/>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E.0.2  </w:t>
      </w:r>
      <w:r>
        <w:rPr>
          <w:rFonts w:hint="eastAsia"/>
          <w:color w:val="auto"/>
          <w:sz w:val="24"/>
          <w:szCs w:val="24"/>
          <w:highlight w:val="none"/>
          <w:lang w:val="en-US" w:eastAsia="zh-CN"/>
        </w:rPr>
        <w:t>井周沥青铺面加固后，按行业标准《公路路基路面现场测试规程》JTG 3450—2019 （T0903）及</w:t>
      </w:r>
      <w:r>
        <w:rPr>
          <w:rFonts w:hint="eastAsia" w:eastAsia="宋体" w:cs="Times New Roman"/>
          <w:color w:val="auto"/>
          <w:sz w:val="24"/>
          <w:highlight w:val="none"/>
        </w:rPr>
        <w:t>《公路工程沥青及沥青混合料试验规程》JTG</w:t>
      </w:r>
      <w:r>
        <w:rPr>
          <w:rFonts w:hint="eastAsia" w:eastAsia="宋体" w:cs="Times New Roman"/>
          <w:color w:val="auto"/>
          <w:sz w:val="24"/>
          <w:highlight w:val="none"/>
          <w:lang w:val="en-US" w:eastAsia="zh-CN"/>
        </w:rPr>
        <w:t xml:space="preserve"> </w:t>
      </w:r>
      <w:r>
        <w:rPr>
          <w:rFonts w:hint="eastAsia" w:eastAsia="宋体" w:cs="Times New Roman"/>
          <w:color w:val="auto"/>
          <w:sz w:val="24"/>
          <w:highlight w:val="none"/>
        </w:rPr>
        <w:t>E20</w:t>
      </w:r>
      <w:r>
        <w:rPr>
          <w:rFonts w:hint="eastAsia"/>
          <w:color w:val="auto"/>
          <w:sz w:val="24"/>
          <w:szCs w:val="24"/>
          <w:highlight w:val="none"/>
          <w:lang w:val="en-US" w:eastAsia="zh-CN"/>
        </w:rPr>
        <w:t>—2011</w:t>
      </w:r>
      <w:r>
        <w:rPr>
          <w:rFonts w:hint="eastAsia" w:eastAsia="宋体" w:cs="Times New Roman"/>
          <w:color w:val="auto"/>
          <w:sz w:val="24"/>
          <w:highlight w:val="none"/>
          <w:lang w:val="en-US" w:eastAsia="zh-CN"/>
        </w:rPr>
        <w:t>（</w:t>
      </w:r>
      <w:r>
        <w:rPr>
          <w:rFonts w:hint="eastAsia"/>
          <w:color w:val="auto"/>
          <w:sz w:val="24"/>
          <w:szCs w:val="24"/>
          <w:highlight w:val="none"/>
          <w:lang w:val="en-US" w:eastAsia="zh-CN"/>
        </w:rPr>
        <w:t>T0716</w:t>
      </w:r>
      <w:r>
        <w:rPr>
          <w:rFonts w:hint="eastAsia" w:eastAsia="宋体" w:cs="Times New Roman"/>
          <w:color w:val="auto"/>
          <w:sz w:val="24"/>
          <w:highlight w:val="none"/>
          <w:lang w:val="en-US" w:eastAsia="zh-CN"/>
        </w:rPr>
        <w:t>）</w:t>
      </w:r>
      <w:r>
        <w:rPr>
          <w:rFonts w:hint="eastAsia"/>
          <w:color w:val="auto"/>
          <w:sz w:val="24"/>
          <w:szCs w:val="24"/>
          <w:highlight w:val="none"/>
          <w:lang w:val="en-US" w:eastAsia="zh-CN"/>
        </w:rPr>
        <w:t xml:space="preserve">的方法在井周钻取芯样，芯样外缘与井盖传载板外缘间距不大于20mm；单井取芯数量不多于2个，取芯总数不少于8个，标准芯样钻孔试件的直径为100mm±2mm，试件高度为40mm±5mm。 </w:t>
      </w:r>
    </w:p>
    <w:p>
      <w:pPr>
        <w:spacing w:line="360" w:lineRule="auto"/>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E.0.3  </w:t>
      </w:r>
      <w:r>
        <w:rPr>
          <w:rFonts w:hint="eastAsia" w:ascii="宋体" w:hAnsi="宋体" w:eastAsia="宋体" w:cs="宋体"/>
          <w:b w:val="0"/>
          <w:bCs w:val="0"/>
          <w:color w:val="auto"/>
          <w:kern w:val="2"/>
          <w:sz w:val="24"/>
          <w:szCs w:val="24"/>
          <w:highlight w:val="none"/>
          <w:lang w:val="en-US" w:eastAsia="zh-CN" w:bidi="ar-SA"/>
        </w:rPr>
        <w:t>钻孔取芯应在注浆后第四天；芯样养护期到龄期进行试验。</w:t>
      </w:r>
      <w:r>
        <w:rPr>
          <w:rFonts w:hint="eastAsia"/>
          <w:color w:val="auto"/>
          <w:sz w:val="24"/>
          <w:szCs w:val="24"/>
          <w:highlight w:val="none"/>
          <w:lang w:val="en-US" w:eastAsia="zh-CN"/>
        </w:rPr>
        <w:t xml:space="preserve"> </w:t>
      </w:r>
    </w:p>
    <w:p>
      <w:pPr>
        <w:spacing w:line="360" w:lineRule="auto"/>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E.0.4</w:t>
      </w:r>
      <w:r>
        <w:rPr>
          <w:rFonts w:hint="eastAsia"/>
          <w:color w:val="auto"/>
          <w:sz w:val="24"/>
          <w:szCs w:val="24"/>
          <w:highlight w:val="none"/>
          <w:lang w:val="en-US" w:eastAsia="zh-CN"/>
        </w:rPr>
        <w:t xml:space="preserve">  井周加固铺面劈裂及冻融残余强度试验应按下列步骤进行：</w:t>
      </w:r>
    </w:p>
    <w:p>
      <w:pPr>
        <w:spacing w:line="360" w:lineRule="auto"/>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    1  </w:t>
      </w:r>
      <w:r>
        <w:rPr>
          <w:rFonts w:hint="default"/>
          <w:color w:val="auto"/>
          <w:sz w:val="24"/>
          <w:szCs w:val="24"/>
          <w:highlight w:val="none"/>
          <w:lang w:val="en-US" w:eastAsia="zh-CN"/>
        </w:rPr>
        <w:t>按规定的方法测定试件的高度，</w:t>
      </w:r>
      <w:r>
        <w:rPr>
          <w:rFonts w:hint="eastAsia"/>
          <w:color w:val="auto"/>
          <w:sz w:val="24"/>
          <w:szCs w:val="24"/>
          <w:highlight w:val="none"/>
          <w:lang w:val="en-US" w:eastAsia="zh-CN"/>
        </w:rPr>
        <w:t>准</w:t>
      </w:r>
      <w:r>
        <w:rPr>
          <w:rFonts w:hint="default"/>
          <w:color w:val="auto"/>
          <w:sz w:val="24"/>
          <w:szCs w:val="24"/>
          <w:highlight w:val="none"/>
          <w:lang w:val="en-US" w:eastAsia="zh-CN"/>
        </w:rPr>
        <w:t>确至0.1mm。在试件两侧通过圆心画上对称的十字标记</w:t>
      </w:r>
      <w:r>
        <w:rPr>
          <w:rFonts w:hint="eastAsia"/>
          <w:color w:val="auto"/>
          <w:sz w:val="24"/>
          <w:szCs w:val="24"/>
          <w:highlight w:val="none"/>
          <w:lang w:val="en-US" w:eastAsia="zh-CN"/>
        </w:rPr>
        <w:t>；</w:t>
      </w:r>
    </w:p>
    <w:p>
      <w:pPr>
        <w:spacing w:line="360" w:lineRule="auto"/>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    2  </w:t>
      </w:r>
      <w:r>
        <w:rPr>
          <w:rFonts w:hint="default"/>
          <w:color w:val="auto"/>
          <w:sz w:val="24"/>
          <w:szCs w:val="24"/>
          <w:highlight w:val="none"/>
          <w:lang w:val="en-US" w:eastAsia="zh-CN"/>
        </w:rPr>
        <w:t>按</w:t>
      </w:r>
      <w:r>
        <w:rPr>
          <w:rFonts w:hint="eastAsia"/>
          <w:color w:val="auto"/>
          <w:sz w:val="24"/>
          <w:szCs w:val="24"/>
          <w:highlight w:val="none"/>
          <w:lang w:val="en-US" w:eastAsia="zh-CN"/>
        </w:rPr>
        <w:t>行业标准</w:t>
      </w:r>
      <w:r>
        <w:rPr>
          <w:rFonts w:hint="eastAsia" w:eastAsia="宋体" w:cs="Times New Roman"/>
          <w:color w:val="auto"/>
          <w:sz w:val="24"/>
          <w:highlight w:val="none"/>
        </w:rPr>
        <w:t>《公路工程沥青及沥青混合料试验规程》JTG</w:t>
      </w:r>
      <w:r>
        <w:rPr>
          <w:rFonts w:hint="eastAsia" w:eastAsia="宋体" w:cs="Times New Roman"/>
          <w:color w:val="auto"/>
          <w:sz w:val="24"/>
          <w:highlight w:val="none"/>
          <w:lang w:val="en-US" w:eastAsia="zh-CN"/>
        </w:rPr>
        <w:t xml:space="preserve"> </w:t>
      </w:r>
      <w:r>
        <w:rPr>
          <w:rFonts w:hint="eastAsia" w:eastAsia="宋体" w:cs="Times New Roman"/>
          <w:color w:val="auto"/>
          <w:sz w:val="24"/>
          <w:highlight w:val="none"/>
        </w:rPr>
        <w:t>E20</w:t>
      </w:r>
      <w:r>
        <w:rPr>
          <w:rFonts w:hint="eastAsia"/>
          <w:color w:val="auto"/>
          <w:sz w:val="24"/>
          <w:szCs w:val="24"/>
          <w:highlight w:val="none"/>
          <w:lang w:val="en-US" w:eastAsia="zh-CN"/>
        </w:rPr>
        <w:t>—2011</w:t>
      </w:r>
      <w:r>
        <w:rPr>
          <w:rFonts w:hint="default"/>
          <w:color w:val="auto"/>
          <w:sz w:val="24"/>
          <w:szCs w:val="24"/>
          <w:highlight w:val="none"/>
          <w:lang w:val="en-US" w:eastAsia="zh-CN"/>
        </w:rPr>
        <w:t>规定的方法测定试件的密度、空隙率等各项物理指标</w:t>
      </w:r>
      <w:r>
        <w:rPr>
          <w:rFonts w:hint="eastAsia"/>
          <w:color w:val="auto"/>
          <w:sz w:val="24"/>
          <w:szCs w:val="24"/>
          <w:highlight w:val="none"/>
          <w:lang w:val="en-US" w:eastAsia="zh-CN"/>
        </w:rPr>
        <w:t>；</w:t>
      </w:r>
    </w:p>
    <w:p>
      <w:pPr>
        <w:spacing w:line="360" w:lineRule="auto"/>
        <w:ind w:left="482" w:hanging="482" w:hangingChars="200"/>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    3  </w:t>
      </w:r>
      <w:r>
        <w:rPr>
          <w:rFonts w:hint="default"/>
          <w:color w:val="auto"/>
          <w:sz w:val="24"/>
          <w:szCs w:val="24"/>
          <w:highlight w:val="none"/>
          <w:lang w:val="en-US" w:eastAsia="zh-CN"/>
        </w:rPr>
        <w:t>将试件随机分成两组，每组不少于4个。将第一组试件置于平台上，在室温下保存</w:t>
      </w:r>
    </w:p>
    <w:p>
      <w:pPr>
        <w:spacing w:line="360" w:lineRule="auto"/>
        <w:ind w:left="482" w:hanging="480" w:hangingChars="200"/>
        <w:rPr>
          <w:rFonts w:hint="default"/>
          <w:color w:val="auto"/>
          <w:sz w:val="24"/>
          <w:szCs w:val="24"/>
          <w:highlight w:val="none"/>
          <w:lang w:val="en-US" w:eastAsia="zh-CN"/>
        </w:rPr>
      </w:pPr>
      <w:r>
        <w:rPr>
          <w:rFonts w:hint="default"/>
          <w:color w:val="auto"/>
          <w:sz w:val="24"/>
          <w:szCs w:val="24"/>
          <w:highlight w:val="none"/>
          <w:lang w:val="en-US" w:eastAsia="zh-CN"/>
        </w:rPr>
        <w:t>备用</w:t>
      </w:r>
      <w:r>
        <w:rPr>
          <w:rFonts w:hint="eastAsia"/>
          <w:color w:val="auto"/>
          <w:sz w:val="24"/>
          <w:szCs w:val="24"/>
          <w:highlight w:val="none"/>
          <w:lang w:val="en-US" w:eastAsia="zh-CN"/>
        </w:rPr>
        <w:t>；</w:t>
      </w:r>
    </w:p>
    <w:p>
      <w:pPr>
        <w:spacing w:line="360" w:lineRule="auto"/>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    4  </w:t>
      </w:r>
      <w:r>
        <w:rPr>
          <w:rFonts w:hint="default"/>
          <w:color w:val="auto"/>
          <w:sz w:val="24"/>
          <w:szCs w:val="24"/>
          <w:highlight w:val="none"/>
          <w:lang w:val="en-US" w:eastAsia="zh-CN"/>
        </w:rPr>
        <w:t>将第二组试件按</w:t>
      </w:r>
      <w:r>
        <w:rPr>
          <w:rFonts w:hint="eastAsia"/>
          <w:color w:val="auto"/>
          <w:sz w:val="24"/>
          <w:szCs w:val="24"/>
          <w:highlight w:val="none"/>
          <w:lang w:val="en-US" w:eastAsia="zh-CN"/>
        </w:rPr>
        <w:t>行业标准</w:t>
      </w:r>
      <w:r>
        <w:rPr>
          <w:rFonts w:hint="eastAsia" w:eastAsia="宋体" w:cs="Times New Roman"/>
          <w:color w:val="auto"/>
          <w:sz w:val="24"/>
          <w:highlight w:val="none"/>
        </w:rPr>
        <w:t>《公路工程沥青及沥青混合料试验规程》JTG</w:t>
      </w:r>
      <w:r>
        <w:rPr>
          <w:rFonts w:hint="eastAsia" w:eastAsia="宋体" w:cs="Times New Roman"/>
          <w:color w:val="auto"/>
          <w:sz w:val="24"/>
          <w:highlight w:val="none"/>
          <w:lang w:val="en-US" w:eastAsia="zh-CN"/>
        </w:rPr>
        <w:t xml:space="preserve"> </w:t>
      </w:r>
      <w:r>
        <w:rPr>
          <w:rFonts w:hint="eastAsia" w:eastAsia="宋体" w:cs="Times New Roman"/>
          <w:color w:val="auto"/>
          <w:sz w:val="24"/>
          <w:highlight w:val="none"/>
        </w:rPr>
        <w:t>E20</w:t>
      </w:r>
      <w:r>
        <w:rPr>
          <w:rFonts w:hint="eastAsia"/>
          <w:color w:val="auto"/>
          <w:sz w:val="24"/>
          <w:szCs w:val="24"/>
          <w:highlight w:val="none"/>
          <w:lang w:val="en-US" w:eastAsia="zh-CN"/>
        </w:rPr>
        <w:t>—2011（</w:t>
      </w:r>
      <w:r>
        <w:rPr>
          <w:rFonts w:hint="default"/>
          <w:color w:val="auto"/>
          <w:sz w:val="24"/>
          <w:szCs w:val="24"/>
          <w:highlight w:val="none"/>
          <w:lang w:val="en-US" w:eastAsia="zh-CN"/>
        </w:rPr>
        <w:t>T0717</w:t>
      </w:r>
      <w:r>
        <w:rPr>
          <w:rFonts w:hint="eastAsia"/>
          <w:color w:val="auto"/>
          <w:sz w:val="24"/>
          <w:szCs w:val="24"/>
          <w:highlight w:val="none"/>
          <w:lang w:val="en-US" w:eastAsia="zh-CN"/>
        </w:rPr>
        <w:t>）</w:t>
      </w:r>
      <w:r>
        <w:rPr>
          <w:rFonts w:hint="default"/>
          <w:color w:val="auto"/>
          <w:sz w:val="24"/>
          <w:szCs w:val="24"/>
          <w:highlight w:val="none"/>
          <w:lang w:val="en-US" w:eastAsia="zh-CN"/>
        </w:rPr>
        <w:t>的饱水试验方法真空饱水，在真空度为9</w:t>
      </w:r>
      <w:r>
        <w:rPr>
          <w:rFonts w:hint="eastAsia"/>
          <w:color w:val="auto"/>
          <w:sz w:val="24"/>
          <w:szCs w:val="24"/>
          <w:highlight w:val="none"/>
          <w:lang w:val="en-US" w:eastAsia="zh-CN"/>
        </w:rPr>
        <w:t>8</w:t>
      </w:r>
      <w:r>
        <w:rPr>
          <w:rFonts w:hint="default"/>
          <w:color w:val="auto"/>
          <w:sz w:val="24"/>
          <w:szCs w:val="24"/>
          <w:highlight w:val="none"/>
          <w:lang w:val="en-US" w:eastAsia="zh-CN"/>
        </w:rPr>
        <w:t>.</w:t>
      </w:r>
      <w:r>
        <w:rPr>
          <w:rFonts w:hint="eastAsia"/>
          <w:color w:val="auto"/>
          <w:sz w:val="24"/>
          <w:szCs w:val="24"/>
          <w:highlight w:val="none"/>
          <w:lang w:val="en-US" w:eastAsia="zh-CN"/>
        </w:rPr>
        <w:t>3</w:t>
      </w:r>
      <w:r>
        <w:rPr>
          <w:rFonts w:hint="default"/>
          <w:color w:val="auto"/>
          <w:sz w:val="24"/>
          <w:szCs w:val="24"/>
          <w:highlight w:val="none"/>
          <w:lang w:val="en-US" w:eastAsia="zh-CN"/>
        </w:rPr>
        <w:t>kPa～98.</w:t>
      </w:r>
      <w:r>
        <w:rPr>
          <w:rFonts w:hint="eastAsia"/>
          <w:color w:val="auto"/>
          <w:sz w:val="24"/>
          <w:szCs w:val="24"/>
          <w:highlight w:val="none"/>
          <w:lang w:val="en-US" w:eastAsia="zh-CN"/>
        </w:rPr>
        <w:t>7</w:t>
      </w:r>
      <w:r>
        <w:rPr>
          <w:rFonts w:hint="default"/>
          <w:color w:val="auto"/>
          <w:sz w:val="24"/>
          <w:szCs w:val="24"/>
          <w:highlight w:val="none"/>
          <w:lang w:val="en-US" w:eastAsia="zh-CN"/>
        </w:rPr>
        <w:t>kPa（730mmHg～740mmHg）条件下保持15min；然后打开阀门，恢复常压</w:t>
      </w:r>
      <w:r>
        <w:rPr>
          <w:rFonts w:hint="eastAsia"/>
          <w:color w:val="auto"/>
          <w:sz w:val="24"/>
          <w:szCs w:val="24"/>
          <w:highlight w:val="none"/>
          <w:lang w:val="en-US" w:eastAsia="zh-CN"/>
        </w:rPr>
        <w:t>，</w:t>
      </w:r>
      <w:r>
        <w:rPr>
          <w:rFonts w:hint="default"/>
          <w:color w:val="auto"/>
          <w:sz w:val="24"/>
          <w:szCs w:val="24"/>
          <w:highlight w:val="none"/>
          <w:lang w:val="en-US" w:eastAsia="zh-CN"/>
        </w:rPr>
        <w:t>试件在水中放置0.5h。</w:t>
      </w:r>
    </w:p>
    <w:p>
      <w:pPr>
        <w:spacing w:line="360" w:lineRule="auto"/>
        <w:ind w:left="482" w:hanging="482" w:hangingChars="200"/>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    5  </w:t>
      </w:r>
      <w:r>
        <w:rPr>
          <w:rFonts w:hint="default"/>
          <w:color w:val="auto"/>
          <w:sz w:val="24"/>
          <w:szCs w:val="24"/>
          <w:highlight w:val="none"/>
          <w:lang w:val="en-US" w:eastAsia="zh-CN"/>
        </w:rPr>
        <w:t>取出试件放入塑料袋中，加入约10mL的水，扎紧袋口，将试件放入恒温冰箱（或</w:t>
      </w:r>
    </w:p>
    <w:p>
      <w:pPr>
        <w:spacing w:line="360" w:lineRule="auto"/>
        <w:ind w:left="482" w:hanging="480" w:hangingChars="200"/>
        <w:rPr>
          <w:rFonts w:hint="default"/>
          <w:color w:val="auto"/>
          <w:sz w:val="24"/>
          <w:szCs w:val="24"/>
          <w:highlight w:val="none"/>
          <w:lang w:val="en-US" w:eastAsia="zh-CN"/>
        </w:rPr>
      </w:pPr>
      <w:r>
        <w:rPr>
          <w:rFonts w:hint="default"/>
          <w:color w:val="auto"/>
          <w:sz w:val="24"/>
          <w:szCs w:val="24"/>
          <w:highlight w:val="none"/>
          <w:lang w:val="en-US" w:eastAsia="zh-CN"/>
        </w:rPr>
        <w:t>家用冰箱的冷冻室），冷冻温度为-18℃±2℃，保持16h±1h。</w:t>
      </w:r>
    </w:p>
    <w:p>
      <w:pPr>
        <w:spacing w:line="360" w:lineRule="auto"/>
        <w:ind w:left="482" w:hanging="482" w:hangingChars="200"/>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    6  </w:t>
      </w:r>
      <w:r>
        <w:rPr>
          <w:rFonts w:hint="default"/>
          <w:color w:val="auto"/>
          <w:sz w:val="24"/>
          <w:szCs w:val="24"/>
          <w:highlight w:val="none"/>
          <w:lang w:val="en-US" w:eastAsia="zh-CN"/>
        </w:rPr>
        <w:t>将试件取出后，立即放</w:t>
      </w:r>
      <w:r>
        <w:rPr>
          <w:rFonts w:hint="eastAsia"/>
          <w:color w:val="auto"/>
          <w:sz w:val="24"/>
          <w:szCs w:val="24"/>
          <w:highlight w:val="none"/>
          <w:lang w:val="en-US" w:eastAsia="zh-CN"/>
        </w:rPr>
        <w:t>入</w:t>
      </w:r>
      <w:r>
        <w:rPr>
          <w:rFonts w:hint="default"/>
          <w:color w:val="auto"/>
          <w:sz w:val="24"/>
          <w:szCs w:val="24"/>
          <w:highlight w:val="none"/>
          <w:lang w:val="en-US" w:eastAsia="zh-CN"/>
        </w:rPr>
        <w:t>已保温为60℃±0.5℃的恒温水槽中，撤去塑料袋，保温</w:t>
      </w:r>
    </w:p>
    <w:p>
      <w:pPr>
        <w:spacing w:line="360" w:lineRule="auto"/>
        <w:ind w:left="482" w:hanging="480" w:hangingChars="200"/>
        <w:rPr>
          <w:rFonts w:hint="default"/>
          <w:color w:val="auto"/>
          <w:sz w:val="24"/>
          <w:szCs w:val="24"/>
          <w:highlight w:val="none"/>
          <w:lang w:val="en-US" w:eastAsia="zh-CN"/>
        </w:rPr>
      </w:pPr>
      <w:r>
        <w:rPr>
          <w:rFonts w:hint="default"/>
          <w:color w:val="auto"/>
          <w:sz w:val="24"/>
          <w:szCs w:val="24"/>
          <w:highlight w:val="none"/>
          <w:lang w:val="en-US" w:eastAsia="zh-CN"/>
        </w:rPr>
        <w:t>24h。</w:t>
      </w:r>
    </w:p>
    <w:p>
      <w:pPr>
        <w:spacing w:line="360" w:lineRule="auto"/>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    7  </w:t>
      </w:r>
      <w:r>
        <w:rPr>
          <w:rFonts w:hint="default"/>
          <w:color w:val="auto"/>
          <w:sz w:val="24"/>
          <w:szCs w:val="24"/>
          <w:highlight w:val="none"/>
          <w:lang w:val="en-US" w:eastAsia="zh-CN"/>
        </w:rPr>
        <w:t>将第一组与第二组全部试件浸入温度为25℃±0.5℃的恒温水槽中不少于2h，水温高时可适当加入冷水或冰块调节。保温时试件之间的距离不少于10mm。</w:t>
      </w:r>
    </w:p>
    <w:p>
      <w:pPr>
        <w:spacing w:line="360" w:lineRule="auto"/>
        <w:ind w:left="241" w:hanging="241" w:hangingChars="100"/>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    8  </w:t>
      </w:r>
      <w:r>
        <w:rPr>
          <w:rFonts w:hint="default"/>
          <w:color w:val="auto"/>
          <w:sz w:val="24"/>
          <w:szCs w:val="24"/>
          <w:highlight w:val="none"/>
          <w:lang w:val="en-US" w:eastAsia="zh-CN"/>
        </w:rPr>
        <w:t>取出试件立即按</w:t>
      </w:r>
      <w:r>
        <w:rPr>
          <w:rFonts w:hint="eastAsia"/>
          <w:color w:val="auto"/>
          <w:sz w:val="24"/>
          <w:szCs w:val="24"/>
          <w:highlight w:val="none"/>
          <w:lang w:val="en-US" w:eastAsia="zh-CN"/>
        </w:rPr>
        <w:t>行业标准</w:t>
      </w:r>
      <w:r>
        <w:rPr>
          <w:rFonts w:hint="eastAsia" w:eastAsia="宋体" w:cs="Times New Roman"/>
          <w:color w:val="auto"/>
          <w:sz w:val="24"/>
          <w:highlight w:val="none"/>
        </w:rPr>
        <w:t>《公路工程沥青及沥青混合料试验规程》JTG</w:t>
      </w:r>
      <w:r>
        <w:rPr>
          <w:rFonts w:hint="eastAsia" w:eastAsia="宋体" w:cs="Times New Roman"/>
          <w:color w:val="auto"/>
          <w:sz w:val="24"/>
          <w:highlight w:val="none"/>
          <w:lang w:val="en-US" w:eastAsia="zh-CN"/>
        </w:rPr>
        <w:t xml:space="preserve"> </w:t>
      </w:r>
      <w:r>
        <w:rPr>
          <w:rFonts w:hint="eastAsia" w:eastAsia="宋体" w:cs="Times New Roman"/>
          <w:color w:val="auto"/>
          <w:sz w:val="24"/>
          <w:highlight w:val="none"/>
        </w:rPr>
        <w:t>E20</w:t>
      </w:r>
      <w:r>
        <w:rPr>
          <w:rFonts w:hint="eastAsia"/>
          <w:color w:val="auto"/>
          <w:sz w:val="24"/>
          <w:szCs w:val="24"/>
          <w:highlight w:val="none"/>
          <w:lang w:val="en-US" w:eastAsia="zh-CN"/>
        </w:rPr>
        <w:t>—2011（</w:t>
      </w:r>
      <w:r>
        <w:rPr>
          <w:rFonts w:hint="default"/>
          <w:color w:val="auto"/>
          <w:sz w:val="24"/>
          <w:szCs w:val="24"/>
          <w:highlight w:val="none"/>
          <w:lang w:val="en-US" w:eastAsia="zh-CN"/>
        </w:rPr>
        <w:t>T0716</w:t>
      </w:r>
      <w:r>
        <w:rPr>
          <w:rFonts w:hint="eastAsia"/>
          <w:color w:val="auto"/>
          <w:sz w:val="24"/>
          <w:szCs w:val="24"/>
          <w:highlight w:val="none"/>
          <w:lang w:val="en-US" w:eastAsia="zh-CN"/>
        </w:rPr>
        <w:t>）的方法，</w:t>
      </w:r>
      <w:r>
        <w:rPr>
          <w:rFonts w:hint="default"/>
          <w:color w:val="auto"/>
          <w:sz w:val="24"/>
          <w:szCs w:val="24"/>
          <w:highlight w:val="none"/>
          <w:lang w:val="en-US" w:eastAsia="zh-CN"/>
        </w:rPr>
        <w:t>用50mm／min的加载速率进行劈裂试验，得到试验的最大荷载。</w:t>
      </w:r>
    </w:p>
    <w:p>
      <w:pPr>
        <w:spacing w:line="360" w:lineRule="auto"/>
        <w:ind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 xml:space="preserve">9  </w:t>
      </w:r>
      <w:r>
        <w:rPr>
          <w:rFonts w:hint="default"/>
          <w:color w:val="auto"/>
          <w:sz w:val="24"/>
          <w:szCs w:val="24"/>
          <w:highlight w:val="none"/>
          <w:lang w:val="en-US" w:eastAsia="zh-CN"/>
        </w:rPr>
        <w:t>劈裂抗拉强度按式（</w:t>
      </w:r>
      <w:r>
        <w:rPr>
          <w:rFonts w:hint="eastAsia"/>
          <w:color w:val="auto"/>
          <w:sz w:val="24"/>
          <w:szCs w:val="24"/>
          <w:highlight w:val="none"/>
          <w:lang w:val="en-US" w:eastAsia="zh-CN"/>
        </w:rPr>
        <w:t>E.0.4-1</w:t>
      </w:r>
      <w:r>
        <w:rPr>
          <w:rFonts w:hint="default"/>
          <w:color w:val="auto"/>
          <w:sz w:val="24"/>
          <w:szCs w:val="24"/>
          <w:highlight w:val="none"/>
          <w:lang w:val="en-US" w:eastAsia="zh-CN"/>
        </w:rPr>
        <w:t>）及式（</w:t>
      </w:r>
      <w:r>
        <w:rPr>
          <w:rFonts w:hint="eastAsia"/>
          <w:color w:val="auto"/>
          <w:sz w:val="24"/>
          <w:szCs w:val="24"/>
          <w:highlight w:val="none"/>
          <w:lang w:val="en-US" w:eastAsia="zh-CN"/>
        </w:rPr>
        <w:t>E.0.4-2</w:t>
      </w:r>
      <w:r>
        <w:rPr>
          <w:rFonts w:hint="default"/>
          <w:color w:val="auto"/>
          <w:sz w:val="24"/>
          <w:szCs w:val="24"/>
          <w:highlight w:val="none"/>
          <w:lang w:val="en-US" w:eastAsia="zh-CN"/>
        </w:rPr>
        <w:t>）计算</w:t>
      </w:r>
      <w:r>
        <w:rPr>
          <w:rFonts w:hint="eastAsia"/>
          <w:color w:val="auto"/>
          <w:sz w:val="24"/>
          <w:szCs w:val="24"/>
          <w:highlight w:val="none"/>
          <w:lang w:val="en-US" w:eastAsia="zh-CN"/>
        </w:rPr>
        <w:t>：</w:t>
      </w:r>
    </w:p>
    <w:p>
      <w:pPr>
        <w:spacing w:line="360" w:lineRule="auto"/>
        <w:ind w:firstLine="3120" w:firstLineChars="1300"/>
        <w:jc w:val="right"/>
        <w:rPr>
          <w:rFonts w:hint="default"/>
          <w:color w:val="auto"/>
          <w:sz w:val="24"/>
          <w:szCs w:val="24"/>
          <w:highlight w:val="none"/>
          <w:lang w:val="en-US" w:eastAsia="zh-CN"/>
        </w:rPr>
      </w:pPr>
      <w:r>
        <w:rPr>
          <w:rFonts w:hint="default" w:ascii="Times New Roman" w:hAnsi="Times New Roman" w:cs="Times New Roman"/>
          <w:i/>
          <w:iCs/>
          <w:color w:val="auto"/>
          <w:sz w:val="24"/>
          <w:szCs w:val="24"/>
          <w:highlight w:val="none"/>
          <w:lang w:val="en-US" w:eastAsia="zh-CN"/>
        </w:rPr>
        <w:t>R</w:t>
      </w:r>
      <w:r>
        <w:rPr>
          <w:rFonts w:hint="default" w:ascii="Times New Roman" w:hAnsi="Times New Roman" w:cs="Times New Roman"/>
          <w:i/>
          <w:iCs/>
          <w:color w:val="auto"/>
          <w:sz w:val="24"/>
          <w:szCs w:val="24"/>
          <w:highlight w:val="none"/>
          <w:vertAlign w:val="subscript"/>
          <w:lang w:val="en-US" w:eastAsia="zh-CN"/>
        </w:rPr>
        <w:t>T1</w:t>
      </w:r>
      <w:r>
        <w:rPr>
          <w:rFonts w:hint="default"/>
          <w:color w:val="auto"/>
          <w:sz w:val="24"/>
          <w:szCs w:val="24"/>
          <w:highlight w:val="none"/>
          <w:lang w:val="en-US" w:eastAsia="zh-CN"/>
        </w:rPr>
        <w:t>=0.006 287P</w:t>
      </w:r>
      <w:r>
        <w:rPr>
          <w:rFonts w:hint="eastAsia"/>
          <w:color w:val="auto"/>
          <w:sz w:val="24"/>
          <w:szCs w:val="24"/>
          <w:highlight w:val="none"/>
          <w:vertAlign w:val="subscript"/>
          <w:lang w:val="en-US" w:eastAsia="zh-CN"/>
        </w:rPr>
        <w:t>T1</w:t>
      </w:r>
      <w:r>
        <w:rPr>
          <w:rFonts w:hint="default"/>
          <w:color w:val="auto"/>
          <w:sz w:val="24"/>
          <w:szCs w:val="24"/>
          <w:highlight w:val="none"/>
          <w:lang w:val="en-US" w:eastAsia="zh-CN"/>
        </w:rPr>
        <w:t>/h</w:t>
      </w:r>
      <w:r>
        <w:rPr>
          <w:rFonts w:hint="eastAsia"/>
          <w:color w:val="auto"/>
          <w:sz w:val="24"/>
          <w:szCs w:val="24"/>
          <w:highlight w:val="none"/>
          <w:vertAlign w:val="subscript"/>
          <w:lang w:val="en-US" w:eastAsia="zh-CN"/>
        </w:rPr>
        <w:t>1</w:t>
      </w:r>
      <w:r>
        <w:rPr>
          <w:rFonts w:hint="default"/>
          <w:color w:val="auto"/>
          <w:sz w:val="24"/>
          <w:szCs w:val="24"/>
          <w:highlight w:val="none"/>
          <w:lang w:val="en-US" w:eastAsia="zh-CN"/>
        </w:rPr>
        <w:t xml:space="preserve">   </w:t>
      </w:r>
      <w:r>
        <w:rPr>
          <w:rFonts w:hint="eastAsia"/>
          <w:color w:val="auto"/>
          <w:sz w:val="24"/>
          <w:szCs w:val="24"/>
          <w:highlight w:val="none"/>
          <w:lang w:val="en-US" w:eastAsia="zh-CN"/>
        </w:rPr>
        <w:t xml:space="preserve">                    </w:t>
      </w:r>
      <w:r>
        <w:rPr>
          <w:rFonts w:hint="default"/>
          <w:color w:val="auto"/>
          <w:sz w:val="24"/>
          <w:szCs w:val="24"/>
          <w:highlight w:val="none"/>
          <w:lang w:val="en-US" w:eastAsia="zh-CN"/>
        </w:rPr>
        <w:t xml:space="preserve">    </w:t>
      </w:r>
      <w:r>
        <w:rPr>
          <w:rFonts w:hint="eastAsia"/>
          <w:color w:val="auto"/>
          <w:sz w:val="24"/>
          <w:szCs w:val="24"/>
          <w:highlight w:val="none"/>
          <w:lang w:val="en-US" w:eastAsia="zh-CN"/>
        </w:rPr>
        <w:t>（E.0.4-1）</w:t>
      </w:r>
    </w:p>
    <w:p>
      <w:pPr>
        <w:spacing w:line="360" w:lineRule="auto"/>
        <w:ind w:firstLine="3120" w:firstLineChars="1300"/>
        <w:jc w:val="right"/>
        <w:rPr>
          <w:rFonts w:hint="default"/>
          <w:color w:val="auto"/>
          <w:sz w:val="24"/>
          <w:szCs w:val="24"/>
          <w:highlight w:val="none"/>
          <w:lang w:val="en-US" w:eastAsia="zh-CN"/>
        </w:rPr>
      </w:pPr>
      <w:r>
        <w:rPr>
          <w:rFonts w:hint="default" w:ascii="Times New Roman" w:hAnsi="Times New Roman" w:cs="Times New Roman"/>
          <w:i/>
          <w:iCs/>
          <w:color w:val="auto"/>
          <w:sz w:val="24"/>
          <w:szCs w:val="24"/>
          <w:highlight w:val="none"/>
          <w:lang w:val="en-US" w:eastAsia="zh-CN"/>
        </w:rPr>
        <w:t>R</w:t>
      </w:r>
      <w:r>
        <w:rPr>
          <w:rFonts w:hint="default" w:ascii="Times New Roman" w:hAnsi="Times New Roman" w:cs="Times New Roman"/>
          <w:i/>
          <w:iCs/>
          <w:color w:val="auto"/>
          <w:sz w:val="24"/>
          <w:szCs w:val="24"/>
          <w:highlight w:val="none"/>
          <w:vertAlign w:val="subscript"/>
          <w:lang w:val="en-US" w:eastAsia="zh-CN"/>
        </w:rPr>
        <w:t>T2</w:t>
      </w:r>
      <w:r>
        <w:rPr>
          <w:rFonts w:hint="default"/>
          <w:color w:val="auto"/>
          <w:sz w:val="24"/>
          <w:szCs w:val="24"/>
          <w:highlight w:val="none"/>
          <w:lang w:val="en-US" w:eastAsia="zh-CN"/>
        </w:rPr>
        <w:t>=0.006 287P</w:t>
      </w:r>
      <w:r>
        <w:rPr>
          <w:rFonts w:hint="eastAsia"/>
          <w:color w:val="auto"/>
          <w:sz w:val="24"/>
          <w:szCs w:val="24"/>
          <w:highlight w:val="none"/>
          <w:vertAlign w:val="subscript"/>
          <w:lang w:val="en-US" w:eastAsia="zh-CN"/>
        </w:rPr>
        <w:t>T2</w:t>
      </w:r>
      <w:r>
        <w:rPr>
          <w:rFonts w:hint="default"/>
          <w:color w:val="auto"/>
          <w:sz w:val="24"/>
          <w:szCs w:val="24"/>
          <w:highlight w:val="none"/>
          <w:lang w:val="en-US" w:eastAsia="zh-CN"/>
        </w:rPr>
        <w:t>/h</w:t>
      </w:r>
      <w:r>
        <w:rPr>
          <w:rFonts w:hint="eastAsia"/>
          <w:color w:val="auto"/>
          <w:sz w:val="24"/>
          <w:szCs w:val="24"/>
          <w:highlight w:val="none"/>
          <w:vertAlign w:val="subscript"/>
          <w:lang w:val="en-US" w:eastAsia="zh-CN"/>
        </w:rPr>
        <w:t>2</w:t>
      </w:r>
      <w:r>
        <w:rPr>
          <w:rFonts w:hint="default"/>
          <w:color w:val="auto"/>
          <w:sz w:val="24"/>
          <w:szCs w:val="24"/>
          <w:highlight w:val="none"/>
          <w:lang w:val="en-US" w:eastAsia="zh-CN"/>
        </w:rPr>
        <w:t xml:space="preserve">      </w:t>
      </w:r>
      <w:r>
        <w:rPr>
          <w:rFonts w:hint="eastAsia"/>
          <w:color w:val="auto"/>
          <w:sz w:val="24"/>
          <w:szCs w:val="24"/>
          <w:highlight w:val="none"/>
          <w:lang w:val="en-US" w:eastAsia="zh-CN"/>
        </w:rPr>
        <w:t xml:space="preserve">                    </w:t>
      </w:r>
      <w:r>
        <w:rPr>
          <w:rFonts w:hint="default"/>
          <w:color w:val="auto"/>
          <w:sz w:val="24"/>
          <w:szCs w:val="24"/>
          <w:highlight w:val="none"/>
          <w:lang w:val="en-US" w:eastAsia="zh-CN"/>
        </w:rPr>
        <w:t xml:space="preserve"> </w:t>
      </w:r>
      <w:r>
        <w:rPr>
          <w:rFonts w:hint="eastAsia"/>
          <w:color w:val="auto"/>
          <w:sz w:val="24"/>
          <w:szCs w:val="24"/>
          <w:highlight w:val="none"/>
          <w:lang w:val="en-US" w:eastAsia="zh-CN"/>
        </w:rPr>
        <w:t>（E.0.4-2）</w:t>
      </w:r>
    </w:p>
    <w:p>
      <w:p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式中</w:t>
      </w:r>
      <w:r>
        <w:rPr>
          <w:rFonts w:hint="eastAsia"/>
          <w:color w:val="auto"/>
          <w:sz w:val="24"/>
          <w:szCs w:val="24"/>
          <w:highlight w:val="none"/>
          <w:lang w:val="en-US" w:eastAsia="zh-CN"/>
        </w:rPr>
        <w:t xml:space="preserve"> </w:t>
      </w:r>
      <w:r>
        <w:rPr>
          <w:rFonts w:hint="eastAsia"/>
          <w:i/>
          <w:iCs/>
          <w:color w:val="auto"/>
          <w:sz w:val="24"/>
          <w:szCs w:val="24"/>
          <w:highlight w:val="none"/>
          <w:lang w:val="en-US" w:eastAsia="zh-CN"/>
        </w:rPr>
        <w:t xml:space="preserve"> </w:t>
      </w:r>
      <w:r>
        <w:rPr>
          <w:rFonts w:hint="default" w:ascii="Times New Roman" w:hAnsi="Times New Roman" w:cs="Times New Roman"/>
          <w:i/>
          <w:iCs/>
          <w:color w:val="auto"/>
          <w:sz w:val="24"/>
          <w:szCs w:val="24"/>
          <w:highlight w:val="none"/>
          <w:lang w:val="en-US" w:eastAsia="zh-CN"/>
        </w:rPr>
        <w:t>R</w:t>
      </w:r>
      <w:r>
        <w:rPr>
          <w:rFonts w:hint="default" w:ascii="Times New Roman" w:hAnsi="Times New Roman" w:cs="Times New Roman"/>
          <w:i/>
          <w:iCs/>
          <w:color w:val="auto"/>
          <w:sz w:val="24"/>
          <w:szCs w:val="24"/>
          <w:highlight w:val="none"/>
          <w:vertAlign w:val="subscript"/>
          <w:lang w:val="en-US" w:eastAsia="zh-CN"/>
        </w:rPr>
        <w:t>T1</w:t>
      </w:r>
      <w:r>
        <w:rPr>
          <w:rFonts w:hint="eastAsia" w:ascii="宋体" w:hAnsi="宋体" w:eastAsia="宋体" w:cs="宋体"/>
          <w:b w:val="0"/>
          <w:bCs w:val="0"/>
          <w:i w:val="0"/>
          <w:iCs/>
          <w:color w:val="auto"/>
          <w:kern w:val="2"/>
          <w:sz w:val="24"/>
          <w:szCs w:val="24"/>
          <w:highlight w:val="none"/>
          <w:lang w:val="en-US" w:eastAsia="zh-CN" w:bidi="ar-SA"/>
        </w:rPr>
        <w:t>—</w:t>
      </w:r>
      <w:r>
        <w:rPr>
          <w:rFonts w:hint="default"/>
          <w:color w:val="auto"/>
          <w:sz w:val="24"/>
          <w:szCs w:val="24"/>
          <w:highlight w:val="none"/>
          <w:lang w:val="en-US" w:eastAsia="zh-CN"/>
        </w:rPr>
        <w:t>未进行冻融循环的第一组单个试件的劈裂抗拉强度（MPa）；</w:t>
      </w:r>
    </w:p>
    <w:p>
      <w:pPr>
        <w:spacing w:line="360" w:lineRule="auto"/>
        <w:ind w:firstLine="720" w:firstLineChars="300"/>
        <w:rPr>
          <w:rFonts w:hint="default"/>
          <w:color w:val="auto"/>
          <w:sz w:val="24"/>
          <w:szCs w:val="24"/>
          <w:highlight w:val="none"/>
          <w:lang w:val="en-US" w:eastAsia="zh-CN"/>
        </w:rPr>
      </w:pPr>
      <w:r>
        <w:rPr>
          <w:rFonts w:hint="default" w:ascii="Times New Roman" w:hAnsi="Times New Roman" w:cs="Times New Roman"/>
          <w:i/>
          <w:iCs/>
          <w:color w:val="auto"/>
          <w:sz w:val="24"/>
          <w:szCs w:val="24"/>
          <w:highlight w:val="none"/>
          <w:lang w:val="en-US" w:eastAsia="zh-CN"/>
        </w:rPr>
        <w:t>R</w:t>
      </w:r>
      <w:r>
        <w:rPr>
          <w:rFonts w:hint="default" w:ascii="Times New Roman" w:hAnsi="Times New Roman" w:cs="Times New Roman"/>
          <w:i/>
          <w:iCs/>
          <w:color w:val="auto"/>
          <w:sz w:val="24"/>
          <w:szCs w:val="24"/>
          <w:highlight w:val="none"/>
          <w:vertAlign w:val="subscript"/>
          <w:lang w:val="en-US" w:eastAsia="zh-CN"/>
        </w:rPr>
        <w:t>T2</w:t>
      </w:r>
      <w:r>
        <w:rPr>
          <w:rFonts w:hint="eastAsia" w:ascii="宋体" w:hAnsi="宋体" w:eastAsia="宋体" w:cs="宋体"/>
          <w:b w:val="0"/>
          <w:bCs w:val="0"/>
          <w:i w:val="0"/>
          <w:iCs/>
          <w:color w:val="auto"/>
          <w:kern w:val="2"/>
          <w:sz w:val="24"/>
          <w:szCs w:val="24"/>
          <w:highlight w:val="none"/>
          <w:lang w:val="en-US" w:eastAsia="zh-CN" w:bidi="ar-SA"/>
        </w:rPr>
        <w:t>—</w:t>
      </w:r>
      <w:r>
        <w:rPr>
          <w:rFonts w:hint="default"/>
          <w:color w:val="auto"/>
          <w:sz w:val="24"/>
          <w:szCs w:val="24"/>
          <w:highlight w:val="none"/>
          <w:lang w:val="en-US" w:eastAsia="zh-CN"/>
        </w:rPr>
        <w:t>经受冻融循环的第二组单个试件的劈裂抗拉强度（MPa）；</w:t>
      </w:r>
    </w:p>
    <w:p>
      <w:pPr>
        <w:spacing w:line="360" w:lineRule="auto"/>
        <w:ind w:firstLine="720" w:firstLineChars="300"/>
        <w:rPr>
          <w:rFonts w:hint="default"/>
          <w:color w:val="auto"/>
          <w:sz w:val="24"/>
          <w:szCs w:val="24"/>
          <w:highlight w:val="none"/>
          <w:lang w:val="en-US" w:eastAsia="zh-CN"/>
        </w:rPr>
      </w:pPr>
      <w:r>
        <w:rPr>
          <w:rFonts w:hint="default"/>
          <w:i/>
          <w:iCs/>
          <w:color w:val="auto"/>
          <w:sz w:val="24"/>
          <w:szCs w:val="24"/>
          <w:highlight w:val="none"/>
          <w:lang w:val="en-US" w:eastAsia="zh-CN"/>
        </w:rPr>
        <w:t>P</w:t>
      </w:r>
      <w:r>
        <w:rPr>
          <w:rFonts w:hint="eastAsia"/>
          <w:i/>
          <w:iCs/>
          <w:color w:val="auto"/>
          <w:sz w:val="24"/>
          <w:szCs w:val="24"/>
          <w:highlight w:val="none"/>
          <w:vertAlign w:val="subscript"/>
          <w:lang w:val="en-US" w:eastAsia="zh-CN"/>
        </w:rPr>
        <w:t>T1</w:t>
      </w:r>
      <w:r>
        <w:rPr>
          <w:rFonts w:hint="eastAsia" w:ascii="宋体" w:hAnsi="宋体" w:eastAsia="宋体" w:cs="宋体"/>
          <w:b w:val="0"/>
          <w:bCs w:val="0"/>
          <w:i w:val="0"/>
          <w:iCs/>
          <w:color w:val="auto"/>
          <w:kern w:val="2"/>
          <w:sz w:val="24"/>
          <w:szCs w:val="24"/>
          <w:highlight w:val="none"/>
          <w:lang w:val="en-US" w:eastAsia="zh-CN" w:bidi="ar-SA"/>
        </w:rPr>
        <w:t>—</w:t>
      </w:r>
      <w:r>
        <w:rPr>
          <w:rFonts w:hint="default"/>
          <w:color w:val="auto"/>
          <w:sz w:val="24"/>
          <w:szCs w:val="24"/>
          <w:highlight w:val="none"/>
          <w:lang w:val="en-US" w:eastAsia="zh-CN"/>
        </w:rPr>
        <w:t>第一组单个试件的试验荷载值（N）；</w:t>
      </w:r>
    </w:p>
    <w:p>
      <w:pPr>
        <w:spacing w:line="360" w:lineRule="auto"/>
        <w:ind w:firstLine="720" w:firstLineChars="300"/>
        <w:rPr>
          <w:rFonts w:hint="default"/>
          <w:color w:val="auto"/>
          <w:sz w:val="24"/>
          <w:szCs w:val="24"/>
          <w:highlight w:val="none"/>
          <w:lang w:val="en-US" w:eastAsia="zh-CN"/>
        </w:rPr>
      </w:pPr>
      <w:r>
        <w:rPr>
          <w:rFonts w:hint="default"/>
          <w:i/>
          <w:iCs/>
          <w:color w:val="auto"/>
          <w:sz w:val="24"/>
          <w:szCs w:val="24"/>
          <w:highlight w:val="none"/>
          <w:lang w:val="en-US" w:eastAsia="zh-CN"/>
        </w:rPr>
        <w:t>P</w:t>
      </w:r>
      <w:r>
        <w:rPr>
          <w:rFonts w:hint="eastAsia"/>
          <w:i/>
          <w:iCs/>
          <w:color w:val="auto"/>
          <w:sz w:val="24"/>
          <w:szCs w:val="24"/>
          <w:highlight w:val="none"/>
          <w:vertAlign w:val="subscript"/>
          <w:lang w:val="en-US" w:eastAsia="zh-CN"/>
        </w:rPr>
        <w:t>T2</w:t>
      </w:r>
      <w:r>
        <w:rPr>
          <w:rFonts w:hint="eastAsia" w:ascii="宋体" w:hAnsi="宋体" w:eastAsia="宋体" w:cs="宋体"/>
          <w:b w:val="0"/>
          <w:bCs w:val="0"/>
          <w:i w:val="0"/>
          <w:iCs/>
          <w:color w:val="auto"/>
          <w:kern w:val="2"/>
          <w:sz w:val="24"/>
          <w:szCs w:val="24"/>
          <w:highlight w:val="none"/>
          <w:lang w:val="en-US" w:eastAsia="zh-CN" w:bidi="ar-SA"/>
        </w:rPr>
        <w:t>—</w:t>
      </w:r>
      <w:r>
        <w:rPr>
          <w:rFonts w:hint="default"/>
          <w:color w:val="auto"/>
          <w:sz w:val="24"/>
          <w:szCs w:val="24"/>
          <w:highlight w:val="none"/>
          <w:lang w:val="en-US" w:eastAsia="zh-CN"/>
        </w:rPr>
        <w:t>第二组单个试件的试验荷载值（N）；</w:t>
      </w:r>
    </w:p>
    <w:p>
      <w:pPr>
        <w:spacing w:line="360" w:lineRule="auto"/>
        <w:ind w:firstLine="720" w:firstLineChars="300"/>
        <w:rPr>
          <w:rFonts w:hint="default"/>
          <w:color w:val="auto"/>
          <w:sz w:val="24"/>
          <w:szCs w:val="24"/>
          <w:highlight w:val="none"/>
          <w:lang w:val="en-US" w:eastAsia="zh-CN"/>
        </w:rPr>
      </w:pPr>
      <w:r>
        <w:rPr>
          <w:rFonts w:hint="default" w:ascii="Times New Roman" w:hAnsi="Times New Roman" w:cs="Times New Roman"/>
          <w:i/>
          <w:iCs/>
          <w:color w:val="auto"/>
          <w:sz w:val="24"/>
          <w:szCs w:val="24"/>
          <w:highlight w:val="none"/>
          <w:lang w:val="en-US" w:eastAsia="zh-CN"/>
        </w:rPr>
        <w:t>h1</w:t>
      </w:r>
      <w:r>
        <w:rPr>
          <w:rFonts w:hint="eastAsia" w:ascii="宋体" w:hAnsi="宋体" w:eastAsia="宋体" w:cs="宋体"/>
          <w:b w:val="0"/>
          <w:bCs w:val="0"/>
          <w:i w:val="0"/>
          <w:iCs/>
          <w:color w:val="auto"/>
          <w:kern w:val="2"/>
          <w:sz w:val="24"/>
          <w:szCs w:val="24"/>
          <w:highlight w:val="none"/>
          <w:lang w:val="en-US" w:eastAsia="zh-CN" w:bidi="ar-SA"/>
        </w:rPr>
        <w:t>—</w:t>
      </w:r>
      <w:r>
        <w:rPr>
          <w:rFonts w:hint="default"/>
          <w:color w:val="auto"/>
          <w:sz w:val="24"/>
          <w:szCs w:val="24"/>
          <w:highlight w:val="none"/>
          <w:lang w:val="en-US" w:eastAsia="zh-CN"/>
        </w:rPr>
        <w:t>第一组每个试件的高度（mm）；</w:t>
      </w:r>
    </w:p>
    <w:p>
      <w:pPr>
        <w:spacing w:line="360" w:lineRule="auto"/>
        <w:ind w:firstLine="720" w:firstLineChars="300"/>
        <w:rPr>
          <w:rFonts w:hint="default"/>
          <w:color w:val="auto"/>
          <w:sz w:val="24"/>
          <w:szCs w:val="24"/>
          <w:highlight w:val="none"/>
          <w:lang w:val="en-US" w:eastAsia="zh-CN"/>
        </w:rPr>
      </w:pPr>
      <w:r>
        <w:rPr>
          <w:rFonts w:hint="default" w:ascii="Times New Roman" w:hAnsi="Times New Roman" w:cs="Times New Roman"/>
          <w:i/>
          <w:iCs/>
          <w:color w:val="auto"/>
          <w:sz w:val="24"/>
          <w:szCs w:val="24"/>
          <w:highlight w:val="none"/>
          <w:lang w:val="en-US" w:eastAsia="zh-CN"/>
        </w:rPr>
        <w:t>h2</w:t>
      </w:r>
      <w:r>
        <w:rPr>
          <w:rFonts w:hint="eastAsia" w:ascii="宋体" w:hAnsi="宋体" w:eastAsia="宋体" w:cs="宋体"/>
          <w:b w:val="0"/>
          <w:bCs w:val="0"/>
          <w:i w:val="0"/>
          <w:iCs/>
          <w:color w:val="auto"/>
          <w:kern w:val="2"/>
          <w:sz w:val="24"/>
          <w:szCs w:val="24"/>
          <w:highlight w:val="none"/>
          <w:lang w:val="en-US" w:eastAsia="zh-CN" w:bidi="ar-SA"/>
        </w:rPr>
        <w:t>—</w:t>
      </w:r>
      <w:r>
        <w:rPr>
          <w:rFonts w:hint="default"/>
          <w:color w:val="auto"/>
          <w:sz w:val="24"/>
          <w:szCs w:val="24"/>
          <w:highlight w:val="none"/>
          <w:lang w:val="en-US" w:eastAsia="zh-CN"/>
        </w:rPr>
        <w:t>第二组每个试件的高度（mm）。</w:t>
      </w:r>
    </w:p>
    <w:p>
      <w:pPr>
        <w:spacing w:line="360" w:lineRule="auto"/>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    10  </w:t>
      </w:r>
      <w:r>
        <w:rPr>
          <w:rFonts w:hint="eastAsia" w:ascii="Times New Roman" w:hAnsi="宋体" w:eastAsia="宋体" w:cs="Times New Roman"/>
          <w:b w:val="0"/>
          <w:bCs w:val="0"/>
          <w:color w:val="auto"/>
          <w:kern w:val="2"/>
          <w:sz w:val="24"/>
          <w:szCs w:val="24"/>
          <w:highlight w:val="none"/>
          <w:lang w:val="en-US" w:eastAsia="zh-CN" w:bidi="ar-SA"/>
        </w:rPr>
        <w:t>劈裂及冻融残余强度</w:t>
      </w:r>
      <w:r>
        <w:rPr>
          <w:rFonts w:hint="default"/>
          <w:color w:val="auto"/>
          <w:sz w:val="24"/>
          <w:szCs w:val="24"/>
          <w:highlight w:val="none"/>
          <w:lang w:val="en-US" w:eastAsia="zh-CN"/>
        </w:rPr>
        <w:t>比按式（</w:t>
      </w:r>
      <w:r>
        <w:rPr>
          <w:rFonts w:hint="eastAsia"/>
          <w:color w:val="auto"/>
          <w:sz w:val="24"/>
          <w:szCs w:val="24"/>
          <w:highlight w:val="none"/>
          <w:lang w:val="en-US" w:eastAsia="zh-CN"/>
        </w:rPr>
        <w:t>E.0.4-3</w:t>
      </w:r>
      <w:r>
        <w:rPr>
          <w:rFonts w:hint="default"/>
          <w:color w:val="auto"/>
          <w:sz w:val="24"/>
          <w:szCs w:val="24"/>
          <w:highlight w:val="none"/>
          <w:lang w:val="en-US" w:eastAsia="zh-CN"/>
        </w:rPr>
        <w:t>）计算。</w:t>
      </w:r>
    </w:p>
    <w:p>
      <w:pPr>
        <w:spacing w:line="360" w:lineRule="auto"/>
        <w:ind w:firstLine="3360" w:firstLineChars="1400"/>
        <w:jc w:val="right"/>
        <w:rPr>
          <w:rFonts w:hint="default"/>
          <w:color w:val="auto"/>
          <w:sz w:val="24"/>
          <w:szCs w:val="24"/>
          <w:highlight w:val="none"/>
          <w:lang w:val="en-US" w:eastAsia="zh-CN"/>
        </w:rPr>
      </w:pPr>
      <m:oMath>
        <m:r>
          <m:rPr/>
          <w:rPr>
            <w:rFonts w:hint="default" w:ascii="Cambria Math" w:hAnsi="Cambria Math" w:eastAsiaTheme="minorEastAsia"/>
            <w:color w:val="auto"/>
            <w:sz w:val="24"/>
            <w:szCs w:val="24"/>
            <w:highlight w:val="none"/>
            <w:lang w:val="en-US" w:eastAsia="zh-CN"/>
          </w:rPr>
          <m:t>TSR</m:t>
        </m:r>
        <m:r>
          <m:rPr/>
          <w:rPr>
            <w:rFonts w:hint="eastAsia" w:ascii="Cambria Math" w:hAnsi="Cambria Math" w:eastAsiaTheme="minorEastAsia"/>
            <w:color w:val="auto"/>
            <w:sz w:val="24"/>
            <w:szCs w:val="24"/>
            <w:highlight w:val="none"/>
            <w:lang w:val="en-US" w:eastAsia="zh-CN"/>
          </w:rPr>
          <m:t>=</m:t>
        </m:r>
        <m:f>
          <m:fPr>
            <m:ctrlPr>
              <w:rPr>
                <w:rFonts w:hint="eastAsia" w:ascii="Cambria Math" w:hAnsi="Cambria Math" w:eastAsiaTheme="minorEastAsia"/>
                <w:i/>
                <w:color w:val="auto"/>
                <w:sz w:val="24"/>
                <w:szCs w:val="24"/>
                <w:highlight w:val="none"/>
                <w:lang w:val="en-US" w:eastAsia="zh-CN"/>
              </w:rPr>
            </m:ctrlPr>
          </m:fPr>
          <m:num>
            <m:sSub>
              <m:sSubPr>
                <m:ctrlPr>
                  <w:rPr>
                    <w:rFonts w:hint="eastAsia" w:ascii="Cambria Math" w:hAnsi="Cambria Math" w:eastAsiaTheme="minorEastAsia"/>
                    <w:i/>
                    <w:color w:val="auto"/>
                    <w:sz w:val="24"/>
                    <w:szCs w:val="24"/>
                    <w:highlight w:val="none"/>
                    <w:lang w:val="en-US" w:eastAsia="zh-CN"/>
                  </w:rPr>
                </m:ctrlPr>
              </m:sSubPr>
              <m:e>
                <m:bar>
                  <m:barPr>
                    <m:pos m:val="top"/>
                    <m:ctrlPr>
                      <w:rPr>
                        <w:rFonts w:hint="eastAsia" w:ascii="Cambria Math" w:hAnsi="Cambria Math" w:eastAsiaTheme="minorEastAsia"/>
                        <w:i/>
                        <w:color w:val="auto"/>
                        <w:sz w:val="24"/>
                        <w:szCs w:val="24"/>
                        <w:highlight w:val="none"/>
                        <w:lang w:val="en-US" w:eastAsia="zh-CN"/>
                      </w:rPr>
                    </m:ctrlPr>
                  </m:barPr>
                  <m:e>
                    <m:r>
                      <m:rPr/>
                      <w:rPr>
                        <w:rFonts w:hint="default" w:ascii="Cambria Math" w:hAnsi="Cambria Math" w:eastAsiaTheme="minorEastAsia"/>
                        <w:color w:val="auto"/>
                        <w:sz w:val="24"/>
                        <w:szCs w:val="24"/>
                        <w:highlight w:val="none"/>
                        <w:lang w:val="en-US" w:eastAsia="zh-CN"/>
                      </w:rPr>
                      <m:t>R</m:t>
                    </m:r>
                    <m:ctrlPr>
                      <w:rPr>
                        <w:rFonts w:hint="eastAsia" w:ascii="Cambria Math" w:hAnsi="Cambria Math" w:eastAsiaTheme="minorEastAsia"/>
                        <w:i/>
                        <w:color w:val="auto"/>
                        <w:sz w:val="24"/>
                        <w:szCs w:val="24"/>
                        <w:highlight w:val="none"/>
                        <w:lang w:val="en-US" w:eastAsia="zh-CN"/>
                      </w:rPr>
                    </m:ctrlPr>
                  </m:e>
                </m:bar>
                <m:ctrlPr>
                  <w:rPr>
                    <w:rFonts w:hint="eastAsia" w:ascii="Cambria Math" w:hAnsi="Cambria Math" w:eastAsiaTheme="minorEastAsia"/>
                    <w:i/>
                    <w:color w:val="auto"/>
                    <w:sz w:val="24"/>
                    <w:szCs w:val="24"/>
                    <w:highlight w:val="none"/>
                    <w:lang w:val="en-US" w:eastAsia="zh-CN"/>
                  </w:rPr>
                </m:ctrlPr>
              </m:e>
              <m:sub>
                <m:r>
                  <m:rPr/>
                  <w:rPr>
                    <w:rFonts w:hint="default" w:ascii="Cambria Math" w:hAnsi="Cambria Math" w:eastAsiaTheme="minorEastAsia"/>
                    <w:color w:val="auto"/>
                    <w:sz w:val="24"/>
                    <w:szCs w:val="24"/>
                    <w:highlight w:val="none"/>
                    <w:lang w:val="en-US" w:eastAsia="zh-CN"/>
                  </w:rPr>
                  <m:t>T2</m:t>
                </m:r>
                <m:ctrlPr>
                  <w:rPr>
                    <w:rFonts w:hint="eastAsia" w:ascii="Cambria Math" w:hAnsi="Cambria Math" w:eastAsiaTheme="minorEastAsia"/>
                    <w:i/>
                    <w:color w:val="auto"/>
                    <w:sz w:val="24"/>
                    <w:szCs w:val="24"/>
                    <w:highlight w:val="none"/>
                    <w:lang w:val="en-US" w:eastAsia="zh-CN"/>
                  </w:rPr>
                </m:ctrlPr>
              </m:sub>
            </m:sSub>
            <m:ctrlPr>
              <w:rPr>
                <w:rFonts w:hint="eastAsia" w:ascii="Cambria Math" w:hAnsi="Cambria Math" w:eastAsiaTheme="minorEastAsia"/>
                <w:i/>
                <w:color w:val="auto"/>
                <w:sz w:val="24"/>
                <w:szCs w:val="24"/>
                <w:highlight w:val="none"/>
                <w:lang w:val="en-US" w:eastAsia="zh-CN"/>
              </w:rPr>
            </m:ctrlPr>
          </m:num>
          <m:den>
            <m:sSub>
              <m:sSubPr>
                <m:ctrlPr>
                  <w:rPr>
                    <w:rFonts w:hint="eastAsia" w:ascii="Cambria Math" w:hAnsi="Cambria Math" w:eastAsiaTheme="minorEastAsia"/>
                    <w:i/>
                    <w:color w:val="auto"/>
                    <w:sz w:val="24"/>
                    <w:szCs w:val="24"/>
                    <w:highlight w:val="none"/>
                    <w:lang w:val="en-US" w:eastAsia="zh-CN"/>
                  </w:rPr>
                </m:ctrlPr>
              </m:sSubPr>
              <m:e>
                <m:bar>
                  <m:barPr>
                    <m:pos m:val="top"/>
                    <m:ctrlPr>
                      <w:rPr>
                        <w:rFonts w:hint="eastAsia" w:ascii="Cambria Math" w:hAnsi="Cambria Math" w:eastAsiaTheme="minorEastAsia"/>
                        <w:i/>
                        <w:color w:val="auto"/>
                        <w:sz w:val="24"/>
                        <w:szCs w:val="24"/>
                        <w:highlight w:val="none"/>
                        <w:lang w:val="en-US" w:eastAsia="zh-CN"/>
                      </w:rPr>
                    </m:ctrlPr>
                  </m:barPr>
                  <m:e>
                    <m:r>
                      <m:rPr/>
                      <w:rPr>
                        <w:rFonts w:hint="default" w:ascii="Cambria Math" w:hAnsi="Cambria Math" w:eastAsiaTheme="minorEastAsia"/>
                        <w:color w:val="auto"/>
                        <w:sz w:val="24"/>
                        <w:szCs w:val="24"/>
                        <w:highlight w:val="none"/>
                        <w:lang w:val="en-US" w:eastAsia="zh-CN"/>
                      </w:rPr>
                      <m:t>R</m:t>
                    </m:r>
                    <m:ctrlPr>
                      <w:rPr>
                        <w:rFonts w:hint="eastAsia" w:ascii="Cambria Math" w:hAnsi="Cambria Math" w:eastAsiaTheme="minorEastAsia"/>
                        <w:i/>
                        <w:color w:val="auto"/>
                        <w:sz w:val="24"/>
                        <w:szCs w:val="24"/>
                        <w:highlight w:val="none"/>
                        <w:lang w:val="en-US" w:eastAsia="zh-CN"/>
                      </w:rPr>
                    </m:ctrlPr>
                  </m:e>
                </m:bar>
                <m:ctrlPr>
                  <w:rPr>
                    <w:rFonts w:hint="eastAsia" w:ascii="Cambria Math" w:hAnsi="Cambria Math" w:eastAsiaTheme="minorEastAsia"/>
                    <w:i/>
                    <w:color w:val="auto"/>
                    <w:sz w:val="24"/>
                    <w:szCs w:val="24"/>
                    <w:highlight w:val="none"/>
                    <w:lang w:val="en-US" w:eastAsia="zh-CN"/>
                  </w:rPr>
                </m:ctrlPr>
              </m:e>
              <m:sub>
                <m:r>
                  <m:rPr/>
                  <w:rPr>
                    <w:rFonts w:hint="default" w:ascii="Cambria Math" w:hAnsi="Cambria Math" w:eastAsiaTheme="minorEastAsia"/>
                    <w:color w:val="auto"/>
                    <w:sz w:val="24"/>
                    <w:szCs w:val="24"/>
                    <w:highlight w:val="none"/>
                    <w:lang w:val="en-US" w:eastAsia="zh-CN"/>
                  </w:rPr>
                  <m:t>T1</m:t>
                </m:r>
                <m:ctrlPr>
                  <w:rPr>
                    <w:rFonts w:hint="eastAsia" w:ascii="Cambria Math" w:hAnsi="Cambria Math" w:eastAsiaTheme="minorEastAsia"/>
                    <w:i/>
                    <w:color w:val="auto"/>
                    <w:sz w:val="24"/>
                    <w:szCs w:val="24"/>
                    <w:highlight w:val="none"/>
                    <w:lang w:val="en-US" w:eastAsia="zh-CN"/>
                  </w:rPr>
                </m:ctrlPr>
              </m:sub>
            </m:sSub>
            <m:ctrlPr>
              <w:rPr>
                <w:rFonts w:hint="eastAsia" w:ascii="Cambria Math" w:hAnsi="Cambria Math" w:eastAsiaTheme="minorEastAsia"/>
                <w:i/>
                <w:color w:val="auto"/>
                <w:sz w:val="24"/>
                <w:szCs w:val="24"/>
                <w:highlight w:val="none"/>
                <w:lang w:val="en-US" w:eastAsia="zh-CN"/>
              </w:rPr>
            </m:ctrlPr>
          </m:den>
        </m:f>
      </m:oMath>
      <w:r>
        <w:rPr>
          <w:rFonts w:hint="eastAsia"/>
          <w:color w:val="auto"/>
          <w:sz w:val="24"/>
          <w:szCs w:val="24"/>
          <w:highlight w:val="none"/>
          <w:lang w:val="en-US" w:eastAsia="zh-CN"/>
        </w:rPr>
        <w:t xml:space="preserve">×100                             </w:t>
      </w:r>
      <w:r>
        <w:rPr>
          <w:rFonts w:hint="default"/>
          <w:color w:val="auto"/>
          <w:sz w:val="24"/>
          <w:szCs w:val="24"/>
          <w:highlight w:val="none"/>
          <w:lang w:val="en-US" w:eastAsia="zh-CN"/>
        </w:rPr>
        <w:t>（</w:t>
      </w:r>
      <w:r>
        <w:rPr>
          <w:rFonts w:hint="eastAsia"/>
          <w:color w:val="auto"/>
          <w:sz w:val="24"/>
          <w:szCs w:val="24"/>
          <w:highlight w:val="none"/>
          <w:lang w:val="en-US" w:eastAsia="zh-CN"/>
        </w:rPr>
        <w:t>E.0.4-3</w:t>
      </w:r>
      <w:r>
        <w:rPr>
          <w:rFonts w:hint="default"/>
          <w:color w:val="auto"/>
          <w:sz w:val="24"/>
          <w:szCs w:val="24"/>
          <w:highlight w:val="none"/>
          <w:lang w:val="en-US" w:eastAsia="zh-CN"/>
        </w:rPr>
        <w:t>）</w:t>
      </w:r>
    </w:p>
    <w:p>
      <w:p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式中</w:t>
      </w:r>
      <w:r>
        <w:rPr>
          <w:rFonts w:hint="eastAsia"/>
          <w:color w:val="auto"/>
          <w:sz w:val="24"/>
          <w:szCs w:val="24"/>
          <w:highlight w:val="none"/>
          <w:lang w:val="en-US" w:eastAsia="zh-CN"/>
        </w:rPr>
        <w:t xml:space="preserve">  </w:t>
      </w:r>
      <w:r>
        <w:rPr>
          <w:rFonts w:hint="default" w:ascii="Times New Roman" w:hAnsi="Times New Roman" w:cs="Times New Roman"/>
          <w:i/>
          <w:iCs/>
          <w:color w:val="auto"/>
          <w:sz w:val="24"/>
          <w:szCs w:val="24"/>
          <w:highlight w:val="none"/>
          <w:lang w:val="en-US" w:eastAsia="zh-CN"/>
        </w:rPr>
        <w:t>TSR</w:t>
      </w:r>
      <w:r>
        <w:rPr>
          <w:rFonts w:hint="eastAsia" w:ascii="宋体" w:hAnsi="宋体" w:eastAsia="宋体" w:cs="宋体"/>
          <w:b w:val="0"/>
          <w:bCs w:val="0"/>
          <w:i w:val="0"/>
          <w:iCs/>
          <w:color w:val="auto"/>
          <w:kern w:val="2"/>
          <w:sz w:val="24"/>
          <w:szCs w:val="24"/>
          <w:highlight w:val="none"/>
          <w:lang w:val="en-US" w:eastAsia="zh-CN" w:bidi="ar-SA"/>
        </w:rPr>
        <w:t>—劈裂及冻融残余强度</w:t>
      </w:r>
      <w:r>
        <w:rPr>
          <w:rFonts w:hint="default"/>
          <w:color w:val="auto"/>
          <w:sz w:val="24"/>
          <w:szCs w:val="24"/>
          <w:highlight w:val="none"/>
          <w:lang w:val="en-US" w:eastAsia="zh-CN"/>
        </w:rPr>
        <w:t>比（％）；</w:t>
      </w:r>
    </w:p>
    <w:p>
      <w:pPr>
        <w:spacing w:line="360" w:lineRule="auto"/>
        <w:ind w:firstLine="720" w:firstLineChars="300"/>
        <w:rPr>
          <w:rFonts w:hint="default"/>
          <w:color w:val="auto"/>
          <w:sz w:val="24"/>
          <w:szCs w:val="24"/>
          <w:highlight w:val="none"/>
          <w:lang w:val="en-US" w:eastAsia="zh-CN"/>
        </w:rPr>
      </w:pPr>
      <m:oMath>
        <m:sSub>
          <m:sSubPr>
            <m:ctrlPr>
              <w:rPr>
                <w:rFonts w:hint="eastAsia" w:ascii="Cambria Math" w:hAnsi="Cambria Math" w:cs="Times New Roman" w:eastAsiaTheme="minorEastAsia"/>
                <w:i/>
                <w:iCs/>
                <w:color w:val="auto"/>
                <w:sz w:val="24"/>
                <w:szCs w:val="24"/>
                <w:highlight w:val="none"/>
                <w:lang w:val="en-US" w:eastAsia="zh-CN"/>
              </w:rPr>
            </m:ctrlPr>
          </m:sSubPr>
          <m:e>
            <m:bar>
              <m:barPr>
                <m:pos m:val="top"/>
                <m:ctrlPr>
                  <w:rPr>
                    <w:rFonts w:hint="eastAsia" w:ascii="Cambria Math" w:hAnsi="Cambria Math" w:cs="Times New Roman" w:eastAsiaTheme="minorEastAsia"/>
                    <w:i/>
                    <w:iCs/>
                    <w:color w:val="auto"/>
                    <w:sz w:val="24"/>
                    <w:szCs w:val="24"/>
                    <w:highlight w:val="none"/>
                    <w:lang w:val="en-US" w:eastAsia="zh-CN"/>
                  </w:rPr>
                </m:ctrlPr>
              </m:barPr>
              <m:e>
                <m:r>
                  <m:rPr/>
                  <w:rPr>
                    <w:rFonts w:hint="default" w:ascii="Cambria Math" w:hAnsi="Cambria Math" w:cs="Times New Roman" w:eastAsiaTheme="minorEastAsia"/>
                    <w:color w:val="auto"/>
                    <w:sz w:val="24"/>
                    <w:szCs w:val="24"/>
                    <w:highlight w:val="none"/>
                    <w:lang w:val="en-US" w:eastAsia="zh-CN"/>
                  </w:rPr>
                  <m:t>R</m:t>
                </m:r>
                <m:ctrlPr>
                  <w:rPr>
                    <w:rFonts w:hint="eastAsia" w:ascii="Cambria Math" w:hAnsi="Cambria Math" w:cs="Times New Roman" w:eastAsiaTheme="minorEastAsia"/>
                    <w:i/>
                    <w:iCs/>
                    <w:color w:val="auto"/>
                    <w:sz w:val="24"/>
                    <w:szCs w:val="24"/>
                    <w:highlight w:val="none"/>
                    <w:lang w:val="en-US" w:eastAsia="zh-CN"/>
                  </w:rPr>
                </m:ctrlPr>
              </m:e>
            </m:bar>
            <m:ctrlPr>
              <w:rPr>
                <w:rFonts w:hint="eastAsia" w:ascii="Cambria Math" w:hAnsi="Cambria Math" w:cs="Times New Roman" w:eastAsiaTheme="minorEastAsia"/>
                <w:i/>
                <w:iCs/>
                <w:color w:val="auto"/>
                <w:sz w:val="24"/>
                <w:szCs w:val="24"/>
                <w:highlight w:val="none"/>
                <w:lang w:val="en-US" w:eastAsia="zh-CN"/>
              </w:rPr>
            </m:ctrlPr>
          </m:e>
          <m:sub>
            <m:r>
              <m:rPr/>
              <w:rPr>
                <w:rFonts w:hint="default" w:ascii="Cambria Math" w:hAnsi="Cambria Math" w:cs="Times New Roman" w:eastAsiaTheme="minorEastAsia"/>
                <w:color w:val="auto"/>
                <w:sz w:val="24"/>
                <w:szCs w:val="24"/>
                <w:highlight w:val="none"/>
                <w:lang w:val="en-US" w:eastAsia="zh-CN"/>
              </w:rPr>
              <m:t>T2</m:t>
            </m:r>
            <m:ctrlPr>
              <w:rPr>
                <w:rFonts w:hint="eastAsia" w:ascii="Cambria Math" w:hAnsi="Cambria Math" w:cs="Times New Roman" w:eastAsiaTheme="minorEastAsia"/>
                <w:i/>
                <w:iCs/>
                <w:color w:val="auto"/>
                <w:sz w:val="24"/>
                <w:szCs w:val="24"/>
                <w:highlight w:val="none"/>
                <w:lang w:val="en-US" w:eastAsia="zh-CN"/>
              </w:rPr>
            </m:ctrlPr>
          </m:sub>
        </m:sSub>
      </m:oMath>
      <w:r>
        <w:rPr>
          <w:rFonts w:hint="eastAsia" w:ascii="宋体" w:hAnsi="宋体" w:eastAsia="宋体" w:cs="宋体"/>
          <w:b w:val="0"/>
          <w:bCs w:val="0"/>
          <w:i w:val="0"/>
          <w:iCs/>
          <w:color w:val="auto"/>
          <w:kern w:val="2"/>
          <w:sz w:val="24"/>
          <w:szCs w:val="24"/>
          <w:highlight w:val="none"/>
          <w:lang w:val="en-US" w:eastAsia="zh-CN" w:bidi="ar-SA"/>
        </w:rPr>
        <w:t>—</w:t>
      </w:r>
      <w:r>
        <w:rPr>
          <w:rFonts w:hint="default"/>
          <w:color w:val="auto"/>
          <w:sz w:val="24"/>
          <w:szCs w:val="24"/>
          <w:highlight w:val="none"/>
          <w:lang w:val="en-US" w:eastAsia="zh-CN"/>
        </w:rPr>
        <w:t>冻融循环后第二组有效试件劈裂抗拉强度平均值（MPa）；</w:t>
      </w:r>
    </w:p>
    <w:p>
      <w:pPr>
        <w:spacing w:line="360" w:lineRule="auto"/>
        <w:ind w:firstLine="720" w:firstLineChars="300"/>
        <w:rPr>
          <w:rFonts w:hint="eastAsia"/>
          <w:color w:val="auto"/>
          <w:sz w:val="28"/>
          <w:szCs w:val="28"/>
          <w:highlight w:val="none"/>
          <w:lang w:val="en-US" w:eastAsia="zh-CN"/>
        </w:rPr>
      </w:pPr>
      <m:oMath>
        <m:sSub>
          <m:sSubPr>
            <m:ctrlPr>
              <w:rPr>
                <w:rFonts w:hint="default" w:ascii="Cambria Math" w:hAnsi="Cambria Math" w:cs="Times New Roman" w:eastAsiaTheme="minorEastAsia"/>
                <w:i/>
                <w:iCs/>
                <w:color w:val="auto"/>
                <w:sz w:val="24"/>
                <w:szCs w:val="24"/>
                <w:highlight w:val="none"/>
                <w:lang w:val="en-US" w:eastAsia="zh-CN"/>
              </w:rPr>
            </m:ctrlPr>
          </m:sSubPr>
          <m:e>
            <m:bar>
              <m:barPr>
                <m:pos m:val="top"/>
                <m:ctrlPr>
                  <w:rPr>
                    <w:rFonts w:hint="default" w:ascii="Cambria Math" w:hAnsi="Cambria Math" w:cs="Times New Roman" w:eastAsiaTheme="minorEastAsia"/>
                    <w:i/>
                    <w:iCs/>
                    <w:color w:val="auto"/>
                    <w:sz w:val="24"/>
                    <w:szCs w:val="24"/>
                    <w:highlight w:val="none"/>
                    <w:lang w:val="en-US" w:eastAsia="zh-CN"/>
                  </w:rPr>
                </m:ctrlPr>
              </m:barPr>
              <m:e>
                <m:r>
                  <m:rPr/>
                  <w:rPr>
                    <w:rFonts w:hint="default" w:ascii="Cambria Math" w:hAnsi="Cambria Math" w:cs="Times New Roman" w:eastAsiaTheme="minorEastAsia"/>
                    <w:color w:val="auto"/>
                    <w:sz w:val="24"/>
                    <w:szCs w:val="24"/>
                    <w:highlight w:val="none"/>
                    <w:lang w:val="en-US" w:eastAsia="zh-CN"/>
                  </w:rPr>
                  <m:t>R</m:t>
                </m:r>
                <m:ctrlPr>
                  <w:rPr>
                    <w:rFonts w:hint="default" w:ascii="Cambria Math" w:hAnsi="Cambria Math" w:cs="Times New Roman" w:eastAsiaTheme="minorEastAsia"/>
                    <w:i/>
                    <w:iCs/>
                    <w:color w:val="auto"/>
                    <w:sz w:val="24"/>
                    <w:szCs w:val="24"/>
                    <w:highlight w:val="none"/>
                    <w:lang w:val="en-US" w:eastAsia="zh-CN"/>
                  </w:rPr>
                </m:ctrlPr>
              </m:e>
            </m:bar>
            <m:ctrlPr>
              <w:rPr>
                <w:rFonts w:hint="default" w:ascii="Cambria Math" w:hAnsi="Cambria Math" w:cs="Times New Roman" w:eastAsiaTheme="minorEastAsia"/>
                <w:i/>
                <w:iCs/>
                <w:color w:val="auto"/>
                <w:sz w:val="24"/>
                <w:szCs w:val="24"/>
                <w:highlight w:val="none"/>
                <w:lang w:val="en-US" w:eastAsia="zh-CN"/>
              </w:rPr>
            </m:ctrlPr>
          </m:e>
          <m:sub>
            <m:r>
              <m:rPr/>
              <w:rPr>
                <w:rFonts w:hint="default" w:ascii="Cambria Math" w:hAnsi="Cambria Math" w:cs="Times New Roman" w:eastAsiaTheme="minorEastAsia"/>
                <w:color w:val="auto"/>
                <w:sz w:val="24"/>
                <w:szCs w:val="24"/>
                <w:highlight w:val="none"/>
                <w:lang w:val="en-US" w:eastAsia="zh-CN"/>
              </w:rPr>
              <m:t>T1</m:t>
            </m:r>
            <m:ctrlPr>
              <w:rPr>
                <w:rFonts w:hint="default" w:ascii="Cambria Math" w:hAnsi="Cambria Math" w:cs="Times New Roman" w:eastAsiaTheme="minorEastAsia"/>
                <w:i/>
                <w:iCs/>
                <w:color w:val="auto"/>
                <w:sz w:val="24"/>
                <w:szCs w:val="24"/>
                <w:highlight w:val="none"/>
                <w:lang w:val="en-US" w:eastAsia="zh-CN"/>
              </w:rPr>
            </m:ctrlPr>
          </m:sub>
        </m:sSub>
      </m:oMath>
      <w:r>
        <w:rPr>
          <w:rFonts w:hint="eastAsia" w:ascii="宋体" w:hAnsi="宋体" w:eastAsia="宋体" w:cs="宋体"/>
          <w:b w:val="0"/>
          <w:bCs w:val="0"/>
          <w:i w:val="0"/>
          <w:iCs/>
          <w:color w:val="auto"/>
          <w:kern w:val="2"/>
          <w:sz w:val="24"/>
          <w:szCs w:val="24"/>
          <w:highlight w:val="none"/>
          <w:lang w:val="en-US" w:eastAsia="zh-CN" w:bidi="ar-SA"/>
        </w:rPr>
        <w:t>—</w:t>
      </w:r>
      <w:r>
        <w:rPr>
          <w:rFonts w:hint="default"/>
          <w:color w:val="auto"/>
          <w:sz w:val="24"/>
          <w:szCs w:val="24"/>
          <w:highlight w:val="none"/>
          <w:lang w:val="en-US" w:eastAsia="zh-CN"/>
        </w:rPr>
        <w:t>未冻融循环的第一组有效试件劈裂抗拉强度平均值（MPa）</w:t>
      </w:r>
    </w:p>
    <w:p>
      <w:pPr>
        <w:spacing w:line="360" w:lineRule="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imes New Roman" w:hAnsi="宋体" w:eastAsia="宋体" w:cs="Times New Roman"/>
          <w:b/>
          <w:bCs/>
          <w:color w:val="auto"/>
          <w:kern w:val="2"/>
          <w:sz w:val="24"/>
          <w:szCs w:val="24"/>
          <w:highlight w:val="none"/>
          <w:lang w:val="en-US" w:eastAsia="zh-CN" w:bidi="ar-SA"/>
        </w:rPr>
        <w:t xml:space="preserve">E.0.5  </w:t>
      </w:r>
      <w:r>
        <w:rPr>
          <w:rFonts w:hint="eastAsia" w:asciiTheme="minorHAnsi" w:hAnsiTheme="minorHAnsi" w:eastAsiaTheme="minorEastAsia" w:cstheme="minorBidi"/>
          <w:color w:val="auto"/>
          <w:kern w:val="2"/>
          <w:sz w:val="24"/>
          <w:szCs w:val="24"/>
          <w:highlight w:val="none"/>
          <w:lang w:val="en-US" w:eastAsia="zh-CN" w:bidi="ar-SA"/>
        </w:rPr>
        <w:t>结果处理与分析</w:t>
      </w:r>
    </w:p>
    <w:p>
      <w:pPr>
        <w:spacing w:line="360" w:lineRule="auto"/>
        <w:ind w:left="479" w:leftChars="228" w:firstLine="0" w:firstLineChars="0"/>
        <w:rPr>
          <w:rFonts w:hint="eastAsia" w:cstheme="minorBidi"/>
          <w:color w:val="auto"/>
          <w:kern w:val="2"/>
          <w:sz w:val="24"/>
          <w:szCs w:val="24"/>
          <w:highlight w:val="none"/>
          <w:lang w:val="en-US" w:eastAsia="zh-CN" w:bidi="ar-SA"/>
        </w:rPr>
      </w:pPr>
      <w:r>
        <w:rPr>
          <w:rFonts w:hint="default" w:asciiTheme="minorHAnsi" w:hAnsiTheme="minorHAnsi" w:eastAsiaTheme="minorEastAsia" w:cstheme="minorBidi"/>
          <w:color w:val="auto"/>
          <w:kern w:val="2"/>
          <w:sz w:val="24"/>
          <w:szCs w:val="24"/>
          <w:highlight w:val="none"/>
          <w:lang w:val="en-US" w:eastAsia="zh-CN" w:bidi="ar-SA"/>
        </w:rPr>
        <w:t>每个试验温度下，一组试验的有效试件不得少于3个，取其平均值作为试验结果。当一组测定值中某个数据与平均值之差大于标准差的k倍时，该测定值应予舍弃，并以其余测定值的平均值作为试验结果。当试件数目n为3、4、5、6时，k值分别为1.15、1.46、1.67、1.82</w:t>
      </w:r>
      <w:r>
        <w:rPr>
          <w:rFonts w:hint="eastAsia" w:cstheme="minorBidi"/>
          <w:color w:val="auto"/>
          <w:kern w:val="2"/>
          <w:sz w:val="24"/>
          <w:szCs w:val="24"/>
          <w:highlight w:val="none"/>
          <w:lang w:val="en-US" w:eastAsia="zh-CN" w:bidi="ar-SA"/>
        </w:rPr>
        <w:t>。</w:t>
      </w:r>
    </w:p>
    <w:p>
      <w:pPr>
        <w:spacing w:line="360" w:lineRule="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imes New Roman" w:hAnsi="宋体" w:eastAsia="宋体" w:cs="Times New Roman"/>
          <w:b/>
          <w:bCs/>
          <w:color w:val="auto"/>
          <w:kern w:val="2"/>
          <w:sz w:val="24"/>
          <w:szCs w:val="24"/>
          <w:highlight w:val="none"/>
          <w:lang w:val="en-US" w:eastAsia="zh-CN" w:bidi="ar-SA"/>
        </w:rPr>
        <w:t>E.0.6</w:t>
      </w:r>
      <w:r>
        <w:rPr>
          <w:rFonts w:hint="eastAsia"/>
          <w:color w:val="auto"/>
          <w:lang w:val="en-US" w:eastAsia="zh-CN"/>
        </w:rPr>
        <w:t xml:space="preserve">  </w:t>
      </w:r>
      <w:r>
        <w:rPr>
          <w:rFonts w:hint="eastAsia" w:asciiTheme="minorHAnsi" w:hAnsiTheme="minorHAnsi" w:eastAsiaTheme="minorEastAsia" w:cstheme="minorBidi"/>
          <w:color w:val="auto"/>
          <w:kern w:val="2"/>
          <w:sz w:val="24"/>
          <w:szCs w:val="24"/>
          <w:highlight w:val="none"/>
          <w:lang w:val="en-US" w:eastAsia="zh-CN" w:bidi="ar-SA"/>
        </w:rPr>
        <w:t>试验结果均应注明试件尺寸、试验温度、加载速率。</w:t>
      </w:r>
      <w:bookmarkStart w:id="170" w:name="_Toc18606"/>
      <w:bookmarkStart w:id="171" w:name="_Toc29022"/>
      <w:bookmarkStart w:id="172" w:name="_Toc21025"/>
      <w:bookmarkStart w:id="173" w:name="_Toc13454"/>
      <w:bookmarkStart w:id="174" w:name="_Toc31885"/>
    </w:p>
    <w:p>
      <w:pPr>
        <w:spacing w:line="360" w:lineRule="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br w:type="page"/>
      </w:r>
    </w:p>
    <w:p>
      <w:pPr>
        <w:pStyle w:val="2"/>
        <w:pageBreakBefore w:val="0"/>
        <w:kinsoku/>
        <w:wordWrap/>
        <w:overflowPunct/>
        <w:topLinePunct w:val="0"/>
        <w:bidi w:val="0"/>
        <w:adjustRightInd w:val="0"/>
        <w:snapToGrid w:val="0"/>
        <w:spacing w:before="0" w:after="0" w:line="360" w:lineRule="auto"/>
        <w:ind w:left="0" w:leftChars="0" w:right="0" w:rightChars="0"/>
        <w:textAlignment w:val="auto"/>
        <w:rPr>
          <w:rFonts w:hint="eastAsia" w:ascii="黑体" w:hAnsi="黑体" w:eastAsia="黑体" w:cs="黑体"/>
          <w:color w:val="auto"/>
          <w:sz w:val="30"/>
          <w:szCs w:val="30"/>
          <w:highlight w:val="none"/>
          <w:lang w:val="en-US" w:eastAsia="zh-CN"/>
        </w:rPr>
      </w:pPr>
      <w:bookmarkStart w:id="175" w:name="_Toc27285"/>
      <w:r>
        <w:rPr>
          <w:rFonts w:hint="eastAsia" w:ascii="黑体" w:hAnsi="黑体" w:eastAsia="黑体" w:cs="黑体"/>
          <w:color w:val="auto"/>
          <w:sz w:val="30"/>
          <w:szCs w:val="30"/>
          <w:highlight w:val="none"/>
          <w:lang w:val="en-US" w:eastAsia="zh-CN"/>
        </w:rPr>
        <w:t>附录F：井周加固铺面稳定度及流值试验方法</w:t>
      </w:r>
      <w:bookmarkEnd w:id="170"/>
      <w:bookmarkEnd w:id="171"/>
      <w:bookmarkEnd w:id="172"/>
      <w:bookmarkEnd w:id="173"/>
      <w:bookmarkEnd w:id="174"/>
      <w:bookmarkEnd w:id="175"/>
    </w:p>
    <w:p>
      <w:pPr>
        <w:spacing w:line="360" w:lineRule="auto"/>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F.0.1  </w:t>
      </w:r>
      <w:r>
        <w:rPr>
          <w:rFonts w:hint="eastAsia"/>
          <w:color w:val="auto"/>
          <w:sz w:val="24"/>
          <w:szCs w:val="24"/>
          <w:highlight w:val="none"/>
          <w:lang w:val="en-US" w:eastAsia="zh-CN"/>
        </w:rPr>
        <w:t>适用范围：适用于测定井周加固铺面现场芯样的稳定度及流值。</w:t>
      </w:r>
    </w:p>
    <w:p>
      <w:pPr>
        <w:spacing w:line="360" w:lineRule="auto"/>
        <w:rPr>
          <w:rFonts w:hint="eastAsia"/>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F.0.2  </w:t>
      </w:r>
      <w:r>
        <w:rPr>
          <w:rFonts w:hint="eastAsia"/>
          <w:color w:val="auto"/>
          <w:sz w:val="24"/>
          <w:szCs w:val="24"/>
          <w:highlight w:val="none"/>
          <w:lang w:val="en-US" w:eastAsia="zh-CN"/>
        </w:rPr>
        <w:t>井周沥青铺面加固后，按行业标准《公路路基路面现场测试规程》JTG 3450—2019 （T0903）的方法在井周钻取芯样，芯样外缘与井盖传载板外缘间距不大于20mm；取芯时单井取芯数量不多于2个，取芯总数不少于4个，标准芯样钻孔试件的直径为100mm，适用的试件高度为30mm～80mm。</w:t>
      </w:r>
    </w:p>
    <w:p>
      <w:pPr>
        <w:spacing w:line="360" w:lineRule="auto"/>
        <w:rPr>
          <w:rFonts w:hint="default"/>
          <w:color w:val="auto"/>
          <w:sz w:val="24"/>
          <w:szCs w:val="24"/>
          <w:highlight w:val="none"/>
          <w:lang w:val="en-US" w:eastAsia="zh-CN"/>
        </w:rPr>
      </w:pPr>
      <w:r>
        <w:rPr>
          <w:rFonts w:hint="eastAsia" w:ascii="Times New Roman" w:hAnsi="宋体" w:eastAsia="宋体" w:cs="Times New Roman"/>
          <w:b/>
          <w:bCs/>
          <w:color w:val="auto"/>
          <w:kern w:val="2"/>
          <w:sz w:val="24"/>
          <w:szCs w:val="24"/>
          <w:highlight w:val="none"/>
          <w:lang w:val="en-US" w:eastAsia="zh-CN" w:bidi="ar-SA"/>
        </w:rPr>
        <w:t xml:space="preserve">F.0.3  </w:t>
      </w:r>
      <w:r>
        <w:rPr>
          <w:rFonts w:hint="eastAsia" w:ascii="宋体" w:hAnsi="宋体" w:eastAsia="宋体" w:cs="宋体"/>
          <w:b w:val="0"/>
          <w:bCs w:val="0"/>
          <w:color w:val="auto"/>
          <w:kern w:val="2"/>
          <w:sz w:val="24"/>
          <w:szCs w:val="24"/>
          <w:highlight w:val="none"/>
          <w:lang w:val="en-US" w:eastAsia="zh-CN" w:bidi="ar-SA"/>
        </w:rPr>
        <w:t>钻孔取芯应在注浆后第四天；芯样养护期到龄期进行试验。</w:t>
      </w:r>
      <w:r>
        <w:rPr>
          <w:rFonts w:hint="eastAsia" w:ascii="宋体" w:hAnsi="宋体" w:eastAsia="宋体" w:cs="宋体"/>
          <w:b w:val="0"/>
          <w:bCs w:val="0"/>
          <w:color w:val="auto"/>
          <w:sz w:val="24"/>
          <w:szCs w:val="24"/>
          <w:highlight w:val="none"/>
          <w:lang w:val="en-US" w:eastAsia="zh-CN"/>
        </w:rPr>
        <w:t xml:space="preserve">  </w:t>
      </w:r>
    </w:p>
    <w:p>
      <w:pPr>
        <w:bidi w:val="0"/>
        <w:rPr>
          <w:rFonts w:hint="eastAsia"/>
          <w:color w:val="auto"/>
          <w:lang w:val="en-US" w:eastAsia="zh-CN"/>
        </w:rPr>
      </w:pPr>
      <w:r>
        <w:rPr>
          <w:rFonts w:hint="eastAsia" w:ascii="Times New Roman" w:hAnsi="宋体" w:eastAsia="宋体" w:cs="Times New Roman"/>
          <w:b/>
          <w:bCs/>
          <w:color w:val="auto"/>
          <w:kern w:val="2"/>
          <w:sz w:val="24"/>
          <w:szCs w:val="24"/>
          <w:highlight w:val="none"/>
          <w:lang w:val="en-US" w:eastAsia="zh-CN" w:bidi="ar-SA"/>
        </w:rPr>
        <w:t>F.0.4</w:t>
      </w:r>
      <w:r>
        <w:rPr>
          <w:rFonts w:hint="eastAsia"/>
          <w:color w:val="auto"/>
          <w:lang w:val="en-US" w:eastAsia="zh-CN"/>
        </w:rPr>
        <w:t xml:space="preserve">  </w:t>
      </w:r>
      <w:r>
        <w:rPr>
          <w:rFonts w:hint="eastAsia"/>
          <w:color w:val="auto"/>
          <w:sz w:val="24"/>
          <w:szCs w:val="24"/>
          <w:highlight w:val="none"/>
          <w:lang w:val="en-US" w:eastAsia="zh-CN"/>
        </w:rPr>
        <w:t>井周加固铺面稳定度及流值试验方法应按行业标准《公路工程沥青及沥青混合料试验规程》JTG E20—2011（T0710）的规定进行。</w:t>
      </w:r>
      <w:bookmarkEnd w:id="148"/>
      <w:bookmarkEnd w:id="149"/>
      <w:bookmarkEnd w:id="150"/>
      <w:bookmarkEnd w:id="151"/>
      <w:bookmarkEnd w:id="152"/>
      <w:bookmarkEnd w:id="153"/>
      <w:bookmarkEnd w:id="154"/>
      <w:bookmarkStart w:id="176" w:name="_Toc14178"/>
      <w:bookmarkStart w:id="177" w:name="_Toc388"/>
      <w:bookmarkStart w:id="178" w:name="_Toc15912"/>
      <w:bookmarkStart w:id="179" w:name="_Toc17586"/>
      <w:bookmarkStart w:id="180" w:name="_Toc16722"/>
    </w:p>
    <w:p>
      <w:pPr>
        <w:rPr>
          <w:rFonts w:hint="eastAsia"/>
          <w:color w:val="auto"/>
          <w:sz w:val="24"/>
          <w:szCs w:val="24"/>
          <w:highlight w:val="none"/>
          <w:lang w:val="en-US" w:eastAsia="zh-CN"/>
        </w:rPr>
      </w:pPr>
      <w:r>
        <w:rPr>
          <w:rFonts w:hint="eastAsia"/>
          <w:color w:val="auto"/>
          <w:sz w:val="24"/>
          <w:szCs w:val="24"/>
          <w:highlight w:val="none"/>
          <w:lang w:val="en-US" w:eastAsia="zh-CN"/>
        </w:rPr>
        <w:br w:type="page"/>
      </w:r>
    </w:p>
    <w:p>
      <w:pPr>
        <w:pStyle w:val="2"/>
        <w:pageBreakBefore w:val="0"/>
        <w:kinsoku/>
        <w:wordWrap/>
        <w:overflowPunct/>
        <w:topLinePunct w:val="0"/>
        <w:bidi w:val="0"/>
        <w:adjustRightInd w:val="0"/>
        <w:snapToGrid w:val="0"/>
        <w:spacing w:before="0" w:after="0" w:line="360" w:lineRule="auto"/>
        <w:ind w:left="0" w:leftChars="0" w:right="0" w:rightChars="0"/>
        <w:textAlignment w:val="auto"/>
        <w:rPr>
          <w:rFonts w:hint="eastAsia" w:ascii="宋体" w:hAnsi="宋体" w:eastAsia="宋体" w:cs="宋体"/>
          <w:color w:val="auto"/>
          <w:sz w:val="30"/>
          <w:szCs w:val="30"/>
          <w:highlight w:val="none"/>
          <w:lang w:val="en-US" w:eastAsia="zh-CN"/>
        </w:rPr>
      </w:pPr>
      <w:bookmarkStart w:id="181" w:name="_Toc19181"/>
      <w:r>
        <w:rPr>
          <w:rFonts w:hint="eastAsia" w:ascii="宋体" w:hAnsi="宋体" w:eastAsia="宋体" w:cs="宋体"/>
          <w:color w:val="auto"/>
          <w:sz w:val="30"/>
          <w:szCs w:val="30"/>
          <w:highlight w:val="none"/>
          <w:lang w:val="en-US" w:eastAsia="zh-CN"/>
        </w:rPr>
        <w:t>本规程用词说明</w:t>
      </w:r>
      <w:bookmarkEnd w:id="176"/>
      <w:bookmarkEnd w:id="177"/>
      <w:bookmarkEnd w:id="178"/>
      <w:bookmarkEnd w:id="179"/>
      <w:bookmarkEnd w:id="180"/>
      <w:bookmarkEnd w:id="181"/>
    </w:p>
    <w:p>
      <w:pPr>
        <w:adjustRightInd w:val="0"/>
        <w:snapToGrid w:val="0"/>
        <w:spacing w:line="360" w:lineRule="auto"/>
        <w:ind w:firstLine="482" w:firstLineChars="200"/>
        <w:jc w:val="left"/>
        <w:rPr>
          <w:rFonts w:ascii="Times New Roman" w:hAnsi="Times New Roman" w:eastAsia="宋体" w:cs="Times New Roman"/>
          <w:color w:val="auto"/>
          <w:kern w:val="0"/>
          <w:sz w:val="24"/>
          <w:highlight w:val="none"/>
        </w:rPr>
      </w:pPr>
      <w:r>
        <w:rPr>
          <w:rFonts w:hint="eastAsia" w:ascii="Times New Roman" w:hAnsi="宋体" w:eastAsia="宋体" w:cs="Times New Roman"/>
          <w:b/>
          <w:bCs/>
          <w:color w:val="auto"/>
          <w:kern w:val="2"/>
          <w:sz w:val="24"/>
          <w:szCs w:val="24"/>
          <w:highlight w:val="none"/>
          <w:lang w:val="en-US" w:eastAsia="zh-CN" w:bidi="ar-SA"/>
        </w:rPr>
        <w:t>1</w:t>
      </w:r>
      <w:r>
        <w:rPr>
          <w:rFonts w:hint="eastAsia" w:ascii="宋体" w:hAnsi="宋体" w:eastAsia="宋体" w:cs="宋体"/>
          <w:color w:val="auto"/>
          <w:kern w:val="0"/>
          <w:sz w:val="24"/>
          <w:highlight w:val="none"/>
          <w:lang w:val="en-US" w:eastAsia="zh-CN"/>
        </w:rPr>
        <w:t xml:space="preserve">  </w:t>
      </w:r>
      <w:r>
        <w:rPr>
          <w:rFonts w:hint="eastAsia" w:ascii="Times New Roman" w:hAnsi="Times New Roman" w:eastAsia="宋体" w:cs="Times New Roman"/>
          <w:color w:val="auto"/>
          <w:kern w:val="0"/>
          <w:sz w:val="24"/>
          <w:highlight w:val="none"/>
        </w:rPr>
        <w:t>为便于在执行本</w:t>
      </w:r>
      <w:r>
        <w:rPr>
          <w:rFonts w:hint="eastAsia" w:ascii="Times New Roman" w:hAnsi="Times New Roman" w:eastAsia="宋体" w:cs="Times New Roman"/>
          <w:color w:val="auto"/>
          <w:kern w:val="0"/>
          <w:sz w:val="24"/>
          <w:highlight w:val="none"/>
          <w:lang w:eastAsia="zh-CN"/>
        </w:rPr>
        <w:t>规程</w:t>
      </w:r>
      <w:r>
        <w:rPr>
          <w:rFonts w:hint="eastAsia" w:ascii="Times New Roman" w:hAnsi="Times New Roman" w:eastAsia="宋体" w:cs="Times New Roman"/>
          <w:color w:val="auto"/>
          <w:kern w:val="0"/>
          <w:sz w:val="24"/>
          <w:highlight w:val="none"/>
        </w:rPr>
        <w:t xml:space="preserve">条文时区别对待，对要求严格程度不同的用词说明如下： </w:t>
      </w:r>
    </w:p>
    <w:p>
      <w:pPr>
        <w:adjustRightInd w:val="0"/>
        <w:snapToGrid w:val="0"/>
        <w:spacing w:line="360" w:lineRule="auto"/>
        <w:jc w:val="left"/>
        <w:rPr>
          <w:rFonts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 xml:space="preserve">    </w:t>
      </w:r>
      <w:r>
        <w:rPr>
          <w:rFonts w:hint="eastAsia" w:ascii="Times New Roman" w:hAnsi="宋体" w:eastAsia="宋体" w:cs="Times New Roman"/>
          <w:b/>
          <w:bCs/>
          <w:color w:val="auto"/>
          <w:kern w:val="2"/>
          <w:sz w:val="24"/>
          <w:szCs w:val="24"/>
          <w:highlight w:val="none"/>
          <w:lang w:val="en-US" w:eastAsia="zh-CN" w:bidi="ar-SA"/>
        </w:rPr>
        <w:t xml:space="preserve"> 1）</w:t>
      </w:r>
      <w:r>
        <w:rPr>
          <w:rFonts w:hint="eastAsia" w:ascii="Times New Roman" w:hAnsi="Times New Roman" w:eastAsia="宋体" w:cs="Times New Roman"/>
          <w:color w:val="auto"/>
          <w:kern w:val="0"/>
          <w:sz w:val="24"/>
          <w:highlight w:val="none"/>
        </w:rPr>
        <w:t xml:space="preserve">  表示很严格，非这样做不可的用词： </w:t>
      </w:r>
    </w:p>
    <w:p>
      <w:pPr>
        <w:adjustRightInd w:val="0"/>
        <w:snapToGrid w:val="0"/>
        <w:spacing w:line="360" w:lineRule="auto"/>
        <w:jc w:val="left"/>
        <w:rPr>
          <w:rFonts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 xml:space="preserve">        正面词采用“必须”，反面词采用“严禁”； </w:t>
      </w:r>
    </w:p>
    <w:p>
      <w:pPr>
        <w:adjustRightInd w:val="0"/>
        <w:snapToGrid w:val="0"/>
        <w:spacing w:line="360" w:lineRule="auto"/>
        <w:jc w:val="left"/>
        <w:rPr>
          <w:rFonts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 xml:space="preserve">   </w:t>
      </w:r>
      <w:r>
        <w:rPr>
          <w:rFonts w:hint="eastAsia" w:ascii="Times New Roman" w:hAnsi="宋体" w:eastAsia="宋体" w:cs="Times New Roman"/>
          <w:b/>
          <w:bCs/>
          <w:color w:val="auto"/>
          <w:kern w:val="2"/>
          <w:sz w:val="24"/>
          <w:szCs w:val="24"/>
          <w:highlight w:val="none"/>
          <w:lang w:val="en-US" w:eastAsia="zh-CN" w:bidi="ar-SA"/>
        </w:rPr>
        <w:t xml:space="preserve">  2） </w:t>
      </w:r>
      <w:r>
        <w:rPr>
          <w:rFonts w:hint="eastAsia" w:ascii="Times New Roman" w:hAnsi="Times New Roman" w:eastAsia="宋体" w:cs="Times New Roman"/>
          <w:color w:val="auto"/>
          <w:kern w:val="0"/>
          <w:sz w:val="24"/>
          <w:highlight w:val="none"/>
        </w:rPr>
        <w:t xml:space="preserve"> 表示严格，在正常情况下均应这样做的用词： </w:t>
      </w:r>
    </w:p>
    <w:p>
      <w:pPr>
        <w:adjustRightInd w:val="0"/>
        <w:snapToGrid w:val="0"/>
        <w:spacing w:line="360" w:lineRule="auto"/>
        <w:jc w:val="left"/>
        <w:rPr>
          <w:rFonts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 xml:space="preserve">        正面词采用“应”， 反面词采用“不应”或“不得”； </w:t>
      </w:r>
    </w:p>
    <w:p>
      <w:pPr>
        <w:adjustRightInd w:val="0"/>
        <w:snapToGrid w:val="0"/>
        <w:spacing w:line="360" w:lineRule="auto"/>
        <w:jc w:val="left"/>
        <w:rPr>
          <w:rFonts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 xml:space="preserve">   </w:t>
      </w:r>
      <w:r>
        <w:rPr>
          <w:rFonts w:hint="eastAsia" w:ascii="Times New Roman" w:hAnsi="宋体" w:eastAsia="宋体" w:cs="Times New Roman"/>
          <w:b/>
          <w:bCs/>
          <w:color w:val="auto"/>
          <w:kern w:val="2"/>
          <w:sz w:val="24"/>
          <w:szCs w:val="24"/>
          <w:highlight w:val="none"/>
          <w:lang w:val="en-US" w:eastAsia="zh-CN" w:bidi="ar-SA"/>
        </w:rPr>
        <w:t xml:space="preserve">  3） </w:t>
      </w:r>
      <w:r>
        <w:rPr>
          <w:rFonts w:hint="eastAsia" w:ascii="Times New Roman" w:hAnsi="Times New Roman" w:eastAsia="宋体" w:cs="Times New Roman"/>
          <w:color w:val="auto"/>
          <w:kern w:val="0"/>
          <w:sz w:val="24"/>
          <w:highlight w:val="none"/>
        </w:rPr>
        <w:t xml:space="preserve"> 表示允许稍有选择，在条件许可时首先应这样做的用词： </w:t>
      </w:r>
    </w:p>
    <w:p>
      <w:pPr>
        <w:adjustRightInd w:val="0"/>
        <w:snapToGrid w:val="0"/>
        <w:spacing w:line="360" w:lineRule="auto"/>
        <w:jc w:val="left"/>
        <w:rPr>
          <w:rFonts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 xml:space="preserve">        正面词采用“宜”或“可”，反面词采用“不宜”；</w:t>
      </w:r>
    </w:p>
    <w:p>
      <w:pPr>
        <w:adjustRightInd w:val="0"/>
        <w:snapToGrid w:val="0"/>
        <w:spacing w:line="360" w:lineRule="auto"/>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 xml:space="preserve">   </w:t>
      </w:r>
      <w:r>
        <w:rPr>
          <w:rFonts w:hint="eastAsia" w:ascii="Times New Roman" w:hAnsi="宋体" w:eastAsia="宋体" w:cs="Times New Roman"/>
          <w:b/>
          <w:bCs/>
          <w:color w:val="auto"/>
          <w:kern w:val="2"/>
          <w:sz w:val="24"/>
          <w:szCs w:val="24"/>
          <w:highlight w:val="none"/>
          <w:lang w:val="en-US" w:eastAsia="zh-CN" w:bidi="ar-SA"/>
        </w:rPr>
        <w:t xml:space="preserve">  4）</w:t>
      </w:r>
      <w:r>
        <w:rPr>
          <w:rFonts w:hint="eastAsia" w:ascii="Times New Roman" w:hAnsi="Times New Roman" w:eastAsia="宋体" w:cs="Times New Roman"/>
          <w:color w:val="auto"/>
          <w:kern w:val="0"/>
          <w:sz w:val="24"/>
          <w:highlight w:val="none"/>
        </w:rPr>
        <w:t xml:space="preserve">  表示有选择，在一定条件下可以这样做的，采用“可”。 </w:t>
      </w:r>
    </w:p>
    <w:p>
      <w:pPr>
        <w:bidi w:val="0"/>
        <w:ind w:firstLine="482" w:firstLineChars="200"/>
        <w:rPr>
          <w:rFonts w:hint="eastAsia"/>
          <w:color w:val="auto"/>
        </w:rPr>
      </w:pPr>
      <w:r>
        <w:rPr>
          <w:rFonts w:hint="eastAsia" w:ascii="Times New Roman" w:hAnsi="宋体" w:eastAsia="宋体" w:cs="Times New Roman"/>
          <w:b/>
          <w:bCs/>
          <w:color w:val="auto"/>
          <w:kern w:val="2"/>
          <w:sz w:val="24"/>
          <w:szCs w:val="24"/>
          <w:highlight w:val="none"/>
          <w:lang w:val="en-US" w:eastAsia="zh-CN" w:bidi="ar-SA"/>
        </w:rPr>
        <w:t xml:space="preserve">2 </w:t>
      </w:r>
      <w:r>
        <w:rPr>
          <w:rFonts w:hint="eastAsia"/>
          <w:color w:val="auto"/>
        </w:rPr>
        <w:t xml:space="preserve"> </w:t>
      </w:r>
      <w:r>
        <w:rPr>
          <w:rFonts w:hint="eastAsia" w:ascii="Times New Roman" w:hAnsi="Times New Roman" w:eastAsia="宋体" w:cs="Times New Roman"/>
          <w:color w:val="auto"/>
          <w:kern w:val="0"/>
          <w:sz w:val="24"/>
          <w:highlight w:val="none"/>
          <w:lang w:eastAsia="zh-CN"/>
        </w:rPr>
        <w:t>条文中指明应按其他有关标准执行的写法为：“应按……执行”或“应符合……要求或者规定”。</w:t>
      </w:r>
      <w:bookmarkStart w:id="182" w:name="_Toc27740"/>
      <w:bookmarkStart w:id="183" w:name="_Toc7162"/>
      <w:bookmarkStart w:id="184" w:name="_Toc10278"/>
      <w:bookmarkStart w:id="185" w:name="_Toc31263"/>
      <w:bookmarkStart w:id="186" w:name="_Toc8998"/>
      <w:bookmarkStart w:id="187" w:name="_Toc777"/>
      <w:bookmarkStart w:id="188" w:name="_Toc1689"/>
      <w:bookmarkStart w:id="189" w:name="_Toc19393"/>
    </w:p>
    <w:p>
      <w:pPr>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br w:type="page"/>
      </w:r>
    </w:p>
    <w:p>
      <w:pPr>
        <w:pStyle w:val="2"/>
        <w:pageBreakBefore w:val="0"/>
        <w:kinsoku/>
        <w:wordWrap/>
        <w:overflowPunct/>
        <w:topLinePunct w:val="0"/>
        <w:bidi w:val="0"/>
        <w:adjustRightInd w:val="0"/>
        <w:snapToGrid w:val="0"/>
        <w:spacing w:before="0" w:after="0" w:line="360" w:lineRule="auto"/>
        <w:ind w:left="0" w:leftChars="0" w:right="0" w:rightChars="0"/>
        <w:textAlignment w:val="auto"/>
        <w:rPr>
          <w:rFonts w:hint="eastAsia" w:ascii="宋体" w:hAnsi="宋体" w:eastAsia="宋体" w:cs="宋体"/>
          <w:color w:val="auto"/>
          <w:sz w:val="30"/>
          <w:szCs w:val="30"/>
          <w:highlight w:val="none"/>
          <w:lang w:val="en-US" w:eastAsia="zh-CN"/>
        </w:rPr>
      </w:pPr>
      <w:bookmarkStart w:id="190" w:name="_Toc8583"/>
      <w:r>
        <w:rPr>
          <w:rFonts w:hint="eastAsia" w:ascii="宋体" w:hAnsi="宋体" w:eastAsia="宋体" w:cs="宋体"/>
          <w:color w:val="auto"/>
          <w:sz w:val="30"/>
          <w:szCs w:val="30"/>
          <w:highlight w:val="none"/>
          <w:lang w:val="en-US" w:eastAsia="zh-CN"/>
        </w:rPr>
        <w:t>引用标准名录</w:t>
      </w:r>
      <w:bookmarkEnd w:id="182"/>
      <w:bookmarkEnd w:id="183"/>
      <w:bookmarkEnd w:id="184"/>
      <w:bookmarkEnd w:id="185"/>
      <w:bookmarkEnd w:id="186"/>
      <w:bookmarkEnd w:id="187"/>
      <w:bookmarkEnd w:id="188"/>
      <w:bookmarkEnd w:id="189"/>
      <w:bookmarkEnd w:id="190"/>
    </w:p>
    <w:p>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本规程引用下列标准。其中，注日期的，仅对该日期对应的版本适用于本规程；不注日期的，其最新版适用于本规程。</w:t>
      </w:r>
    </w:p>
    <w:p>
      <w:pPr>
        <w:pStyle w:val="22"/>
        <w:pageBreakBefore w:val="0"/>
        <w:kinsoku/>
        <w:wordWrap/>
        <w:overflowPunct/>
        <w:topLinePunct w:val="0"/>
        <w:bidi w:val="0"/>
        <w:adjustRightInd w:val="0"/>
        <w:snapToGrid w:val="0"/>
        <w:spacing w:line="360" w:lineRule="auto"/>
        <w:ind w:left="0" w:leftChars="0" w:right="0" w:rightChars="0"/>
        <w:jc w:val="left"/>
        <w:textAlignment w:val="auto"/>
        <w:rPr>
          <w:rFonts w:hint="eastAsia" w:asciiTheme="minorHAnsi" w:hAnsiTheme="minorHAnsi" w:eastAsiaTheme="minorEastAsia" w:cstheme="minorBidi"/>
          <w:b w:val="0"/>
          <w:color w:val="auto"/>
          <w:kern w:val="2"/>
          <w:sz w:val="24"/>
          <w:szCs w:val="24"/>
          <w:highlight w:val="none"/>
          <w:lang w:val="en-US" w:eastAsia="zh-CN" w:bidi="ar-SA"/>
        </w:rPr>
      </w:pPr>
      <w:r>
        <w:rPr>
          <w:rFonts w:hint="eastAsia"/>
          <w:color w:val="auto"/>
          <w:sz w:val="24"/>
          <w:highlight w:val="none"/>
        </w:rPr>
        <w:t xml:space="preserve">《室外排水设计标准》 </w:t>
      </w:r>
      <w:r>
        <w:rPr>
          <w:rFonts w:hint="eastAsia" w:asciiTheme="minorHAnsi" w:hAnsiTheme="minorHAnsi" w:eastAsiaTheme="minorEastAsia" w:cstheme="minorBidi"/>
          <w:b w:val="0"/>
          <w:color w:val="auto"/>
          <w:kern w:val="2"/>
          <w:sz w:val="24"/>
          <w:szCs w:val="24"/>
          <w:highlight w:val="none"/>
          <w:lang w:val="en-US" w:eastAsia="zh-CN" w:bidi="ar-SA"/>
        </w:rPr>
        <w:t>GB 50014</w:t>
      </w:r>
    </w:p>
    <w:p>
      <w:pPr>
        <w:pStyle w:val="22"/>
        <w:pageBreakBefore w:val="0"/>
        <w:kinsoku/>
        <w:wordWrap/>
        <w:overflowPunct/>
        <w:topLinePunct w:val="0"/>
        <w:bidi w:val="0"/>
        <w:adjustRightInd w:val="0"/>
        <w:snapToGrid w:val="0"/>
        <w:spacing w:line="360" w:lineRule="auto"/>
        <w:ind w:left="0" w:leftChars="0" w:right="0" w:rightChars="0"/>
        <w:jc w:val="left"/>
        <w:textAlignment w:val="auto"/>
        <w:rPr>
          <w:rFonts w:hint="eastAsia" w:asciiTheme="minorHAnsi" w:hAnsiTheme="minorHAnsi" w:eastAsiaTheme="minorEastAsia" w:cstheme="minorBidi"/>
          <w:b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《给水排水构筑物工程施工及验收规范》</w:t>
      </w:r>
      <w:r>
        <w:rPr>
          <w:rFonts w:hint="eastAsia" w:asciiTheme="minorHAnsi" w:hAnsiTheme="minorHAnsi" w:eastAsiaTheme="minorEastAsia" w:cstheme="minorBidi"/>
          <w:b w:val="0"/>
          <w:color w:val="auto"/>
          <w:kern w:val="2"/>
          <w:sz w:val="24"/>
          <w:szCs w:val="24"/>
          <w:highlight w:val="none"/>
          <w:lang w:val="en-US" w:eastAsia="zh-CN" w:bidi="ar-SA"/>
        </w:rPr>
        <w:t>GB 50141</w:t>
      </w:r>
    </w:p>
    <w:p>
      <w:pPr>
        <w:pageBreakBefore w:val="0"/>
        <w:kinsoku/>
        <w:wordWrap/>
        <w:overflowPunct/>
        <w:topLinePunct w:val="0"/>
        <w:bidi w:val="0"/>
        <w:adjustRightInd w:val="0"/>
        <w:snapToGrid w:val="0"/>
        <w:spacing w:line="360" w:lineRule="auto"/>
        <w:ind w:left="0" w:leftChars="0" w:right="0" w:rightChars="0"/>
        <w:textAlignment w:val="auto"/>
        <w:rPr>
          <w:rFonts w:hint="eastAsia"/>
          <w:b w:val="0"/>
          <w:color w:val="auto"/>
          <w:sz w:val="24"/>
          <w:highlight w:val="none"/>
          <w:lang w:val="en-US" w:eastAsia="zh-CN"/>
        </w:rPr>
      </w:pPr>
      <w:r>
        <w:rPr>
          <w:rFonts w:hint="eastAsia"/>
          <w:b w:val="0"/>
          <w:color w:val="auto"/>
          <w:sz w:val="24"/>
          <w:highlight w:val="none"/>
          <w:lang w:val="en-US" w:eastAsia="zh-CN"/>
        </w:rPr>
        <w:t>《给水排水管道工程施工及验收规范》 GB 50268</w:t>
      </w:r>
    </w:p>
    <w:p>
      <w:pPr>
        <w:spacing w:line="360" w:lineRule="auto"/>
        <w:rPr>
          <w:rFonts w:hint="eastAsia"/>
          <w:b w:val="0"/>
          <w:color w:val="auto"/>
          <w:sz w:val="24"/>
          <w:highlight w:val="none"/>
          <w:lang w:val="en-US" w:eastAsia="zh-CN"/>
        </w:rPr>
      </w:pPr>
      <w:r>
        <w:rPr>
          <w:rFonts w:hint="eastAsia" w:ascii="宋体" w:hAnsi="宋体" w:eastAsia="宋体" w:cs="宋体"/>
          <w:color w:val="auto"/>
          <w:kern w:val="0"/>
          <w:sz w:val="24"/>
          <w:szCs w:val="24"/>
          <w:highlight w:val="none"/>
          <w:lang w:val="en-US" w:eastAsia="zh-CN" w:bidi="ar-SA"/>
        </w:rPr>
        <w:t>《混凝土结构工程施工规范》</w:t>
      </w:r>
      <w:r>
        <w:rPr>
          <w:rFonts w:hint="eastAsia"/>
          <w:b w:val="0"/>
          <w:color w:val="auto"/>
          <w:sz w:val="24"/>
          <w:highlight w:val="none"/>
          <w:lang w:val="en-US" w:eastAsia="zh-CN"/>
        </w:rPr>
        <w:t>GB 50666</w:t>
      </w:r>
    </w:p>
    <w:p>
      <w:pPr>
        <w:spacing w:line="360" w:lineRule="auto"/>
        <w:rPr>
          <w:rFonts w:hint="eastAsia"/>
          <w:b w:val="0"/>
          <w:color w:val="auto"/>
          <w:sz w:val="24"/>
          <w:highlight w:val="none"/>
          <w:lang w:val="en-US" w:eastAsia="zh-CN"/>
        </w:rPr>
      </w:pPr>
      <w:r>
        <w:rPr>
          <w:rFonts w:hint="eastAsia" w:ascii="宋体" w:hAnsi="宋体" w:eastAsia="宋体" w:cs="宋体"/>
          <w:color w:val="auto"/>
          <w:kern w:val="0"/>
          <w:sz w:val="24"/>
          <w:szCs w:val="24"/>
          <w:highlight w:val="none"/>
          <w:lang w:val="en-US" w:eastAsia="zh-CN" w:bidi="ar-SA"/>
        </w:rPr>
        <w:t>《建筑与市政工程抗震通用规范》</w:t>
      </w:r>
      <w:r>
        <w:rPr>
          <w:rFonts w:hint="eastAsia"/>
          <w:b w:val="0"/>
          <w:color w:val="auto"/>
          <w:sz w:val="24"/>
          <w:highlight w:val="none"/>
          <w:lang w:val="en-US" w:eastAsia="zh-CN"/>
        </w:rPr>
        <w:t>GB 55002</w:t>
      </w:r>
    </w:p>
    <w:p>
      <w:pPr>
        <w:spacing w:line="360" w:lineRule="auto"/>
        <w:rPr>
          <w:rFonts w:hint="eastAsia"/>
          <w:b w:val="0"/>
          <w:color w:val="auto"/>
          <w:sz w:val="24"/>
          <w:highlight w:val="none"/>
          <w:lang w:val="en-US" w:eastAsia="zh-CN"/>
        </w:rPr>
      </w:pPr>
      <w:r>
        <w:rPr>
          <w:rFonts w:hint="eastAsia" w:ascii="宋体" w:hAnsi="宋体" w:eastAsia="宋体" w:cs="宋体"/>
          <w:color w:val="auto"/>
          <w:sz w:val="24"/>
          <w:szCs w:val="24"/>
          <w:highlight w:val="none"/>
          <w:lang w:val="en-US" w:eastAsia="zh-CN"/>
        </w:rPr>
        <w:t>《建筑与市政地基基础通用规范》</w:t>
      </w:r>
      <w:r>
        <w:rPr>
          <w:rFonts w:hint="eastAsia"/>
          <w:b w:val="0"/>
          <w:color w:val="auto"/>
          <w:sz w:val="24"/>
          <w:highlight w:val="none"/>
          <w:lang w:val="en-US" w:eastAsia="zh-CN"/>
        </w:rPr>
        <w:t>GB 55003</w:t>
      </w:r>
    </w:p>
    <w:p>
      <w:pPr>
        <w:pageBreakBefore w:val="0"/>
        <w:tabs>
          <w:tab w:val="right" w:leader="dot" w:pos="8306"/>
        </w:tabs>
        <w:kinsoku/>
        <w:wordWrap/>
        <w:overflowPunct/>
        <w:topLinePunct w:val="0"/>
        <w:bidi w:val="0"/>
        <w:adjustRightInd w:val="0"/>
        <w:snapToGrid w:val="0"/>
        <w:spacing w:line="360" w:lineRule="auto"/>
        <w:ind w:left="0" w:leftChars="0" w:right="0" w:rightChars="0"/>
        <w:jc w:val="left"/>
        <w:textAlignment w:val="auto"/>
        <w:rPr>
          <w:color w:val="auto"/>
          <w:sz w:val="24"/>
          <w:highlight w:val="none"/>
        </w:rPr>
      </w:pPr>
      <w:r>
        <w:rPr>
          <w:rFonts w:hint="eastAsia" w:cs="宋体"/>
          <w:color w:val="auto"/>
          <w:sz w:val="24"/>
          <w:highlight w:val="none"/>
        </w:rPr>
        <w:t>《压力容器》</w:t>
      </w:r>
      <w:r>
        <w:rPr>
          <w:color w:val="auto"/>
          <w:sz w:val="24"/>
          <w:highlight w:val="none"/>
        </w:rPr>
        <w:t>GB</w:t>
      </w:r>
      <w:r>
        <w:rPr>
          <w:rFonts w:hint="eastAsia"/>
          <w:color w:val="auto"/>
          <w:sz w:val="24"/>
          <w:highlight w:val="none"/>
          <w:lang w:val="en-US" w:eastAsia="zh-CN"/>
        </w:rPr>
        <w:t xml:space="preserve"> </w:t>
      </w:r>
      <w:r>
        <w:rPr>
          <w:color w:val="auto"/>
          <w:sz w:val="24"/>
          <w:highlight w:val="none"/>
        </w:rPr>
        <w:t>150.1</w:t>
      </w:r>
      <w:r>
        <w:rPr>
          <w:rFonts w:hint="eastAsia"/>
          <w:color w:val="auto"/>
          <w:sz w:val="24"/>
          <w:highlight w:val="none"/>
        </w:rPr>
        <w:t>—</w:t>
      </w:r>
      <w:r>
        <w:rPr>
          <w:color w:val="auto"/>
          <w:sz w:val="24"/>
          <w:highlight w:val="none"/>
        </w:rPr>
        <w:t>150.4</w:t>
      </w:r>
    </w:p>
    <w:p>
      <w:pPr>
        <w:spacing w:line="360" w:lineRule="auto"/>
        <w:rPr>
          <w:rFonts w:hint="eastAsia" w:ascii="Times New Roman" w:hAnsi="Times New Roman" w:eastAsia="宋体" w:cs="Times New Roman"/>
          <w:color w:val="auto"/>
          <w:kern w:val="0"/>
          <w:sz w:val="24"/>
          <w:szCs w:val="22"/>
          <w:highlight w:val="none"/>
          <w:lang w:val="en-US" w:eastAsia="zh-CN" w:bidi="ar-SA"/>
        </w:rPr>
      </w:pPr>
      <w:r>
        <w:rPr>
          <w:rFonts w:hint="eastAsia" w:ascii="Times New Roman" w:hAnsi="Times New Roman" w:eastAsia="宋体" w:cs="Times New Roman"/>
          <w:color w:val="auto"/>
          <w:kern w:val="0"/>
          <w:sz w:val="24"/>
          <w:szCs w:val="22"/>
          <w:highlight w:val="none"/>
          <w:lang w:val="en-US" w:eastAsia="zh-CN" w:bidi="ar-SA"/>
        </w:rPr>
        <w:t>《通用硅酸盐水泥》GB 175</w:t>
      </w:r>
    </w:p>
    <w:p>
      <w:pPr>
        <w:spacing w:line="360" w:lineRule="auto"/>
        <w:rPr>
          <w:color w:val="auto"/>
          <w:sz w:val="24"/>
          <w:highlight w:val="none"/>
        </w:rPr>
      </w:pPr>
      <w:r>
        <w:rPr>
          <w:rFonts w:hint="eastAsia" w:ascii="Times New Roman" w:hAnsi="Times New Roman" w:eastAsia="宋体" w:cs="Times New Roman"/>
          <w:color w:val="auto"/>
          <w:kern w:val="0"/>
          <w:sz w:val="24"/>
          <w:szCs w:val="22"/>
          <w:highlight w:val="none"/>
          <w:lang w:val="en-US" w:eastAsia="zh-CN" w:bidi="ar-SA"/>
        </w:rPr>
        <w:t>《生活饮用水卫生标准》GB 5749</w:t>
      </w:r>
    </w:p>
    <w:p>
      <w:pPr>
        <w:pageBreakBefore w:val="0"/>
        <w:kinsoku/>
        <w:wordWrap/>
        <w:overflowPunct/>
        <w:topLinePunct w:val="0"/>
        <w:bidi w:val="0"/>
        <w:adjustRightInd w:val="0"/>
        <w:snapToGrid w:val="0"/>
        <w:spacing w:line="360" w:lineRule="auto"/>
        <w:ind w:left="0" w:leftChars="0" w:right="0" w:rightChars="0"/>
        <w:textAlignment w:val="auto"/>
        <w:rPr>
          <w:rFonts w:hint="eastAsia" w:eastAsia="宋体" w:cs="Times New Roman"/>
          <w:color w:val="auto"/>
          <w:sz w:val="24"/>
          <w:highlight w:val="none"/>
          <w:lang w:val="en-US" w:eastAsia="zh-CN"/>
        </w:rPr>
      </w:pPr>
      <w:r>
        <w:rPr>
          <w:rFonts w:hint="eastAsia" w:eastAsia="宋体" w:cs="Times New Roman"/>
          <w:color w:val="auto"/>
          <w:sz w:val="24"/>
          <w:highlight w:val="none"/>
          <w:lang w:val="en-US" w:eastAsia="zh-CN"/>
        </w:rPr>
        <w:t>《检查井盖》GB/T 23858</w:t>
      </w:r>
    </w:p>
    <w:p>
      <w:pPr>
        <w:pageBreakBefore w:val="0"/>
        <w:kinsoku/>
        <w:wordWrap/>
        <w:overflowPunct/>
        <w:topLinePunct w:val="0"/>
        <w:bidi w:val="0"/>
        <w:adjustRightInd w:val="0"/>
        <w:snapToGrid w:val="0"/>
        <w:spacing w:line="360" w:lineRule="auto"/>
        <w:ind w:left="0" w:leftChars="0" w:right="0" w:rightChars="0"/>
        <w:textAlignment w:val="auto"/>
        <w:rPr>
          <w:rFonts w:hint="eastAsia" w:asciiTheme="minorHAnsi" w:hAnsiTheme="minorHAnsi" w:eastAsiaTheme="minorEastAsia" w:cstheme="minorBidi"/>
          <w:b w:val="0"/>
          <w:color w:val="auto"/>
          <w:kern w:val="2"/>
          <w:sz w:val="24"/>
          <w:szCs w:val="24"/>
          <w:highlight w:val="none"/>
          <w:lang w:val="en-US" w:eastAsia="zh-CN" w:bidi="ar-SA"/>
        </w:rPr>
      </w:pPr>
      <w:r>
        <w:rPr>
          <w:rFonts w:hint="eastAsia" w:asciiTheme="minorHAnsi" w:hAnsiTheme="minorHAnsi" w:eastAsiaTheme="minorEastAsia" w:cstheme="minorBidi"/>
          <w:b w:val="0"/>
          <w:bCs w:val="0"/>
          <w:color w:val="auto"/>
          <w:kern w:val="2"/>
          <w:sz w:val="24"/>
          <w:szCs w:val="24"/>
          <w:highlight w:val="none"/>
          <w:lang w:val="en-US" w:eastAsia="zh-CN" w:bidi="ar-SA"/>
        </w:rPr>
        <w:t>《城镇道路工程施工与质量验收规范》</w:t>
      </w:r>
      <w:r>
        <w:rPr>
          <w:rFonts w:hint="eastAsia" w:asciiTheme="minorHAnsi" w:hAnsiTheme="minorHAnsi" w:eastAsiaTheme="minorEastAsia" w:cstheme="minorBidi"/>
          <w:b w:val="0"/>
          <w:color w:val="auto"/>
          <w:kern w:val="2"/>
          <w:sz w:val="24"/>
          <w:szCs w:val="24"/>
          <w:highlight w:val="none"/>
          <w:lang w:val="en-US" w:eastAsia="zh-CN" w:bidi="ar-SA"/>
        </w:rPr>
        <w:t>CJJ</w:t>
      </w:r>
      <w:r>
        <w:rPr>
          <w:rFonts w:hint="eastAsia" w:cstheme="minorBidi"/>
          <w:b w:val="0"/>
          <w:color w:val="auto"/>
          <w:kern w:val="2"/>
          <w:sz w:val="24"/>
          <w:szCs w:val="24"/>
          <w:highlight w:val="none"/>
          <w:lang w:val="en-US" w:eastAsia="zh-CN" w:bidi="ar-SA"/>
        </w:rPr>
        <w:t xml:space="preserve"> </w:t>
      </w:r>
      <w:r>
        <w:rPr>
          <w:rFonts w:hint="eastAsia" w:asciiTheme="minorHAnsi" w:hAnsiTheme="minorHAnsi" w:eastAsiaTheme="minorEastAsia" w:cstheme="minorBidi"/>
          <w:b w:val="0"/>
          <w:color w:val="auto"/>
          <w:kern w:val="2"/>
          <w:sz w:val="24"/>
          <w:szCs w:val="24"/>
          <w:highlight w:val="none"/>
          <w:lang w:val="en-US" w:eastAsia="zh-CN" w:bidi="ar-SA"/>
        </w:rPr>
        <w:t>1</w:t>
      </w:r>
    </w:p>
    <w:p>
      <w:pPr>
        <w:pageBreakBefore w:val="0"/>
        <w:kinsoku/>
        <w:wordWrap/>
        <w:overflowPunct/>
        <w:topLinePunct w:val="0"/>
        <w:bidi w:val="0"/>
        <w:adjustRightInd w:val="0"/>
        <w:snapToGrid w:val="0"/>
        <w:spacing w:line="360" w:lineRule="auto"/>
        <w:ind w:left="0" w:leftChars="0" w:right="0" w:rightChars="0"/>
        <w:textAlignment w:val="auto"/>
        <w:rPr>
          <w:rFonts w:hint="eastAsia" w:asciiTheme="minorHAnsi" w:hAnsiTheme="minorHAnsi" w:eastAsiaTheme="minorEastAsia" w:cstheme="minorBidi"/>
          <w:b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《城镇道路养护技术规范》</w:t>
      </w:r>
      <w:r>
        <w:rPr>
          <w:rFonts w:hint="eastAsia" w:asciiTheme="minorHAnsi" w:hAnsiTheme="minorHAnsi" w:eastAsiaTheme="minorEastAsia" w:cstheme="minorBidi"/>
          <w:b w:val="0"/>
          <w:color w:val="auto"/>
          <w:kern w:val="2"/>
          <w:sz w:val="24"/>
          <w:szCs w:val="24"/>
          <w:highlight w:val="none"/>
          <w:lang w:val="en-US" w:eastAsia="zh-CN" w:bidi="ar-SA"/>
        </w:rPr>
        <w:t>CJJ</w:t>
      </w:r>
      <w:r>
        <w:rPr>
          <w:rFonts w:hint="eastAsia" w:cstheme="minorBidi"/>
          <w:b w:val="0"/>
          <w:color w:val="auto"/>
          <w:kern w:val="2"/>
          <w:sz w:val="24"/>
          <w:szCs w:val="24"/>
          <w:highlight w:val="none"/>
          <w:lang w:val="en-US" w:eastAsia="zh-CN" w:bidi="ar-SA"/>
        </w:rPr>
        <w:t xml:space="preserve"> </w:t>
      </w:r>
      <w:r>
        <w:rPr>
          <w:rFonts w:hint="eastAsia" w:asciiTheme="minorHAnsi" w:hAnsiTheme="minorHAnsi" w:eastAsiaTheme="minorEastAsia" w:cstheme="minorBidi"/>
          <w:b w:val="0"/>
          <w:color w:val="auto"/>
          <w:kern w:val="2"/>
          <w:sz w:val="24"/>
          <w:szCs w:val="24"/>
          <w:highlight w:val="none"/>
          <w:lang w:val="en-US" w:eastAsia="zh-CN" w:bidi="ar-SA"/>
        </w:rPr>
        <w:t>36—2016</w:t>
      </w:r>
    </w:p>
    <w:p>
      <w:pPr>
        <w:pageBreakBefore w:val="0"/>
        <w:kinsoku/>
        <w:wordWrap/>
        <w:overflowPunct/>
        <w:topLinePunct w:val="0"/>
        <w:bidi w:val="0"/>
        <w:adjustRightInd w:val="0"/>
        <w:snapToGrid w:val="0"/>
        <w:spacing w:line="360" w:lineRule="auto"/>
        <w:ind w:left="0" w:leftChars="0" w:right="0" w:rightChars="0"/>
        <w:textAlignment w:val="auto"/>
        <w:rPr>
          <w:rFonts w:hint="eastAsia" w:asciiTheme="minorHAnsi" w:hAnsiTheme="minorHAnsi" w:eastAsiaTheme="minorEastAsia" w:cstheme="minorBidi"/>
          <w:b w:val="0"/>
          <w:color w:val="auto"/>
          <w:kern w:val="2"/>
          <w:sz w:val="24"/>
          <w:szCs w:val="24"/>
          <w:highlight w:val="none"/>
          <w:lang w:val="en-US" w:eastAsia="zh-CN" w:bidi="ar-SA"/>
        </w:rPr>
      </w:pPr>
      <w:r>
        <w:rPr>
          <w:rFonts w:hint="eastAsia"/>
          <w:b w:val="0"/>
          <w:bCs w:val="0"/>
          <w:color w:val="auto"/>
          <w:kern w:val="2"/>
          <w:sz w:val="24"/>
          <w:szCs w:val="24"/>
          <w:highlight w:val="none"/>
          <w:lang w:eastAsia="zh-CN"/>
        </w:rPr>
        <w:t>《</w:t>
      </w:r>
      <w:r>
        <w:rPr>
          <w:rFonts w:hint="eastAsia"/>
          <w:b w:val="0"/>
          <w:bCs w:val="0"/>
          <w:color w:val="auto"/>
          <w:kern w:val="2"/>
          <w:sz w:val="24"/>
          <w:szCs w:val="24"/>
          <w:highlight w:val="none"/>
        </w:rPr>
        <w:t>城市道路</w:t>
      </w:r>
      <w:r>
        <w:rPr>
          <w:rFonts w:hint="eastAsia"/>
          <w:b w:val="0"/>
          <w:bCs w:val="0"/>
          <w:color w:val="auto"/>
          <w:kern w:val="2"/>
          <w:sz w:val="24"/>
          <w:szCs w:val="24"/>
          <w:highlight w:val="none"/>
          <w:lang w:eastAsia="zh-CN"/>
        </w:rPr>
        <w:t>工程</w:t>
      </w:r>
      <w:r>
        <w:rPr>
          <w:rFonts w:hint="eastAsia"/>
          <w:b w:val="0"/>
          <w:bCs w:val="0"/>
          <w:color w:val="auto"/>
          <w:kern w:val="2"/>
          <w:sz w:val="24"/>
          <w:szCs w:val="24"/>
          <w:highlight w:val="none"/>
        </w:rPr>
        <w:t xml:space="preserve">设计规范》CJJ </w:t>
      </w:r>
      <w:r>
        <w:rPr>
          <w:rFonts w:hint="eastAsia"/>
          <w:b w:val="0"/>
          <w:bCs w:val="0"/>
          <w:color w:val="auto"/>
          <w:kern w:val="2"/>
          <w:sz w:val="24"/>
          <w:szCs w:val="24"/>
          <w:highlight w:val="none"/>
          <w:lang w:val="en-US" w:eastAsia="zh-CN"/>
        </w:rPr>
        <w:t>37</w:t>
      </w:r>
    </w:p>
    <w:p>
      <w:pPr>
        <w:pStyle w:val="22"/>
        <w:pageBreakBefore w:val="0"/>
        <w:kinsoku/>
        <w:wordWrap/>
        <w:overflowPunct/>
        <w:topLinePunct w:val="0"/>
        <w:bidi w:val="0"/>
        <w:adjustRightInd w:val="0"/>
        <w:snapToGrid w:val="0"/>
        <w:spacing w:line="360" w:lineRule="auto"/>
        <w:ind w:left="0" w:leftChars="0" w:right="0" w:rightChars="0"/>
        <w:jc w:val="left"/>
        <w:textAlignment w:val="auto"/>
        <w:rPr>
          <w:rFonts w:hint="eastAsia" w:asciiTheme="minorHAnsi" w:hAnsiTheme="minorHAnsi" w:eastAsiaTheme="minorEastAsia" w:cstheme="minorBidi"/>
          <w:b w:val="0"/>
          <w:color w:val="auto"/>
          <w:kern w:val="2"/>
          <w:sz w:val="24"/>
          <w:szCs w:val="24"/>
          <w:highlight w:val="none"/>
          <w:lang w:val="en-US" w:eastAsia="zh-CN" w:bidi="ar-SA"/>
        </w:rPr>
      </w:pPr>
      <w:r>
        <w:rPr>
          <w:rFonts w:hint="eastAsia"/>
          <w:b w:val="0"/>
          <w:bCs w:val="0"/>
          <w:color w:val="auto"/>
          <w:kern w:val="2"/>
          <w:sz w:val="24"/>
          <w:szCs w:val="24"/>
          <w:highlight w:val="none"/>
        </w:rPr>
        <w:t>《城镇道路路面设计规范》</w:t>
      </w:r>
      <w:r>
        <w:rPr>
          <w:rFonts w:hint="eastAsia" w:asciiTheme="minorHAnsi" w:hAnsiTheme="minorHAnsi" w:eastAsiaTheme="minorEastAsia" w:cstheme="minorBidi"/>
          <w:b w:val="0"/>
          <w:color w:val="auto"/>
          <w:kern w:val="2"/>
          <w:sz w:val="24"/>
          <w:szCs w:val="24"/>
          <w:highlight w:val="none"/>
          <w:lang w:val="en-US" w:eastAsia="zh-CN" w:bidi="ar-SA"/>
        </w:rPr>
        <w:t>CJJ 169</w:t>
      </w:r>
    </w:p>
    <w:p>
      <w:pPr>
        <w:pageBreakBefore w:val="0"/>
        <w:kinsoku/>
        <w:wordWrap/>
        <w:overflowPunct/>
        <w:topLinePunct w:val="0"/>
        <w:bidi w:val="0"/>
        <w:adjustRightInd w:val="0"/>
        <w:snapToGrid w:val="0"/>
        <w:spacing w:line="360" w:lineRule="auto"/>
        <w:ind w:left="0" w:leftChars="0" w:right="0" w:rightChars="0"/>
        <w:textAlignment w:val="auto"/>
        <w:rPr>
          <w:rFonts w:hint="eastAsia" w:asciiTheme="minorHAnsi" w:hAnsiTheme="minorHAnsi" w:eastAsiaTheme="minorEastAsia" w:cstheme="minorBidi"/>
          <w:b w:val="0"/>
          <w:color w:val="auto"/>
          <w:kern w:val="2"/>
          <w:sz w:val="24"/>
          <w:szCs w:val="24"/>
          <w:highlight w:val="none"/>
          <w:lang w:val="en-US" w:eastAsia="zh-CN" w:bidi="ar-SA"/>
        </w:rPr>
      </w:pPr>
      <w:r>
        <w:rPr>
          <w:rFonts w:hint="eastAsia" w:ascii="宋体" w:hAnsi="宋体"/>
          <w:bCs/>
          <w:color w:val="auto"/>
          <w:sz w:val="24"/>
          <w:highlight w:val="none"/>
        </w:rPr>
        <w:t>《施工现场临时用电安全技术规范》</w:t>
      </w:r>
      <w:r>
        <w:rPr>
          <w:rFonts w:hint="eastAsia" w:asciiTheme="minorHAnsi" w:hAnsiTheme="minorHAnsi" w:eastAsiaTheme="minorEastAsia" w:cstheme="minorBidi"/>
          <w:b w:val="0"/>
          <w:color w:val="auto"/>
          <w:kern w:val="2"/>
          <w:sz w:val="24"/>
          <w:szCs w:val="24"/>
          <w:highlight w:val="none"/>
          <w:lang w:val="en-US" w:eastAsia="zh-CN" w:bidi="ar-SA"/>
        </w:rPr>
        <w:t>JGJ</w:t>
      </w:r>
      <w:r>
        <w:rPr>
          <w:rFonts w:hint="eastAsia" w:cstheme="minorBidi"/>
          <w:b w:val="0"/>
          <w:color w:val="auto"/>
          <w:kern w:val="2"/>
          <w:sz w:val="24"/>
          <w:szCs w:val="24"/>
          <w:highlight w:val="none"/>
          <w:lang w:val="en-US" w:eastAsia="zh-CN" w:bidi="ar-SA"/>
        </w:rPr>
        <w:t xml:space="preserve"> </w:t>
      </w:r>
      <w:r>
        <w:rPr>
          <w:rFonts w:hint="eastAsia" w:asciiTheme="minorHAnsi" w:hAnsiTheme="minorHAnsi" w:eastAsiaTheme="minorEastAsia" w:cstheme="minorBidi"/>
          <w:b w:val="0"/>
          <w:color w:val="auto"/>
          <w:kern w:val="2"/>
          <w:sz w:val="24"/>
          <w:szCs w:val="24"/>
          <w:highlight w:val="none"/>
          <w:lang w:val="en-US" w:eastAsia="zh-CN" w:bidi="ar-SA"/>
        </w:rPr>
        <w:t>46</w:t>
      </w:r>
    </w:p>
    <w:p>
      <w:pPr>
        <w:pageBreakBefore w:val="0"/>
        <w:kinsoku/>
        <w:wordWrap/>
        <w:overflowPunct/>
        <w:topLinePunct w:val="0"/>
        <w:bidi w:val="0"/>
        <w:adjustRightInd w:val="0"/>
        <w:snapToGrid w:val="0"/>
        <w:spacing w:line="360" w:lineRule="auto"/>
        <w:ind w:left="0" w:leftChars="0" w:right="0" w:rightChars="0"/>
        <w:textAlignment w:val="auto"/>
        <w:rPr>
          <w:rFonts w:hint="default" w:asciiTheme="minorHAnsi" w:hAnsiTheme="minorHAnsi" w:eastAsiaTheme="minorEastAsia" w:cstheme="minorBidi"/>
          <w:b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《轻骨料混凝土技术规程》</w:t>
      </w:r>
      <w:r>
        <w:rPr>
          <w:rFonts w:hint="eastAsia"/>
          <w:color w:val="auto"/>
          <w:sz w:val="24"/>
          <w:szCs w:val="24"/>
          <w:highlight w:val="none"/>
          <w:lang w:val="en-US" w:eastAsia="zh-CN"/>
        </w:rPr>
        <w:t>JGJ 51—2002</w:t>
      </w:r>
    </w:p>
    <w:p>
      <w:pPr>
        <w:pageBreakBefore w:val="0"/>
        <w:kinsoku/>
        <w:wordWrap/>
        <w:overflowPunct/>
        <w:topLinePunct w:val="0"/>
        <w:bidi w:val="0"/>
        <w:adjustRightInd w:val="0"/>
        <w:snapToGrid w:val="0"/>
        <w:spacing w:line="360" w:lineRule="auto"/>
        <w:ind w:left="0" w:leftChars="0" w:right="0" w:rightChars="0"/>
        <w:textAlignment w:val="auto"/>
        <w:rPr>
          <w:rFonts w:hint="eastAsia" w:asciiTheme="minorHAnsi" w:hAnsiTheme="minorHAnsi" w:eastAsiaTheme="minorEastAsia" w:cstheme="minorBidi"/>
          <w:b w:val="0"/>
          <w:color w:val="auto"/>
          <w:kern w:val="2"/>
          <w:sz w:val="24"/>
          <w:szCs w:val="24"/>
          <w:highlight w:val="none"/>
          <w:lang w:val="en-US" w:eastAsia="zh-CN" w:bidi="ar-SA"/>
        </w:rPr>
      </w:pPr>
      <w:r>
        <w:rPr>
          <w:rFonts w:hint="eastAsia" w:cs="宋体"/>
          <w:color w:val="auto"/>
          <w:sz w:val="24"/>
          <w:highlight w:val="none"/>
        </w:rPr>
        <w:t>《普通混凝土用砂、石质量及检验方法标准》</w:t>
      </w:r>
      <w:r>
        <w:rPr>
          <w:rFonts w:hint="eastAsia" w:eastAsia="宋体" w:cs="Times New Roman"/>
          <w:color w:val="auto"/>
          <w:sz w:val="24"/>
          <w:highlight w:val="none"/>
        </w:rPr>
        <w:t>J</w:t>
      </w:r>
      <w:r>
        <w:rPr>
          <w:rFonts w:hint="eastAsia" w:asciiTheme="minorHAnsi" w:hAnsiTheme="minorHAnsi" w:eastAsiaTheme="minorEastAsia" w:cstheme="minorBidi"/>
          <w:b w:val="0"/>
          <w:color w:val="auto"/>
          <w:kern w:val="2"/>
          <w:sz w:val="24"/>
          <w:szCs w:val="24"/>
          <w:highlight w:val="none"/>
          <w:lang w:val="en-US" w:eastAsia="zh-CN" w:bidi="ar-SA"/>
        </w:rPr>
        <w:t>GJ</w:t>
      </w:r>
      <w:r>
        <w:rPr>
          <w:rFonts w:hint="eastAsia" w:cstheme="minorBidi"/>
          <w:b w:val="0"/>
          <w:color w:val="auto"/>
          <w:kern w:val="2"/>
          <w:sz w:val="24"/>
          <w:szCs w:val="24"/>
          <w:highlight w:val="none"/>
          <w:lang w:val="en-US" w:eastAsia="zh-CN" w:bidi="ar-SA"/>
        </w:rPr>
        <w:t xml:space="preserve"> </w:t>
      </w:r>
      <w:r>
        <w:rPr>
          <w:rFonts w:hint="eastAsia" w:asciiTheme="minorHAnsi" w:hAnsiTheme="minorHAnsi" w:eastAsiaTheme="minorEastAsia" w:cstheme="minorBidi"/>
          <w:b w:val="0"/>
          <w:color w:val="auto"/>
          <w:kern w:val="2"/>
          <w:sz w:val="24"/>
          <w:szCs w:val="24"/>
          <w:highlight w:val="none"/>
          <w:lang w:val="en-US" w:eastAsia="zh-CN" w:bidi="ar-SA"/>
        </w:rPr>
        <w:t>52</w:t>
      </w:r>
    </w:p>
    <w:p>
      <w:pPr>
        <w:pageBreakBefore w:val="0"/>
        <w:kinsoku/>
        <w:wordWrap/>
        <w:overflowPunct/>
        <w:topLinePunct w:val="0"/>
        <w:bidi w:val="0"/>
        <w:adjustRightInd w:val="0"/>
        <w:snapToGrid w:val="0"/>
        <w:spacing w:line="360" w:lineRule="auto"/>
        <w:ind w:left="0" w:leftChars="0" w:right="0" w:rightChars="0"/>
        <w:textAlignment w:val="auto"/>
        <w:rPr>
          <w:rFonts w:hint="eastAsia" w:cs="宋体"/>
          <w:color w:val="auto"/>
          <w:sz w:val="24"/>
          <w:highlight w:val="none"/>
          <w:lang w:val="en-US" w:eastAsia="zh-CN"/>
        </w:rPr>
      </w:pPr>
      <w:r>
        <w:rPr>
          <w:rFonts w:hint="eastAsia" w:cs="宋体"/>
          <w:color w:val="auto"/>
          <w:sz w:val="24"/>
          <w:highlight w:val="none"/>
          <w:lang w:val="en-US" w:eastAsia="zh-CN"/>
        </w:rPr>
        <w:t>《混凝土用水标准》JGJ 63</w:t>
      </w:r>
    </w:p>
    <w:p>
      <w:pPr>
        <w:pageBreakBefore w:val="0"/>
        <w:kinsoku/>
        <w:wordWrap/>
        <w:overflowPunct/>
        <w:topLinePunct w:val="0"/>
        <w:bidi w:val="0"/>
        <w:adjustRightInd w:val="0"/>
        <w:snapToGrid w:val="0"/>
        <w:spacing w:line="360" w:lineRule="auto"/>
        <w:ind w:left="0" w:leftChars="0" w:right="0" w:rightChars="0"/>
        <w:textAlignment w:val="auto"/>
        <w:rPr>
          <w:rFonts w:hint="default" w:asciiTheme="minorHAnsi" w:hAnsiTheme="minorHAnsi" w:eastAsiaTheme="minorEastAsia" w:cstheme="minorBidi"/>
          <w:b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《建筑砂浆基本性能试验方法标准》</w:t>
      </w:r>
      <w:r>
        <w:rPr>
          <w:rFonts w:hint="eastAsia" w:asciiTheme="minorHAnsi" w:hAnsiTheme="minorHAnsi" w:eastAsiaTheme="minorEastAsia" w:cstheme="minorBidi"/>
          <w:b w:val="0"/>
          <w:color w:val="auto"/>
          <w:kern w:val="2"/>
          <w:sz w:val="24"/>
          <w:szCs w:val="24"/>
          <w:highlight w:val="none"/>
          <w:lang w:val="en-US" w:eastAsia="zh-CN" w:bidi="ar-SA"/>
        </w:rPr>
        <w:t>JGJ/T 70</w:t>
      </w:r>
      <w:r>
        <w:rPr>
          <w:rFonts w:hint="eastAsia"/>
          <w:color w:val="auto"/>
          <w:sz w:val="24"/>
          <w:szCs w:val="24"/>
          <w:highlight w:val="none"/>
          <w:lang w:val="en-US" w:eastAsia="zh-CN"/>
        </w:rPr>
        <w:t>—2009</w:t>
      </w:r>
    </w:p>
    <w:p>
      <w:pPr>
        <w:pageBreakBefore w:val="0"/>
        <w:kinsoku/>
        <w:wordWrap/>
        <w:overflowPunct/>
        <w:topLinePunct w:val="0"/>
        <w:bidi w:val="0"/>
        <w:adjustRightInd w:val="0"/>
        <w:snapToGrid w:val="0"/>
        <w:spacing w:line="360" w:lineRule="auto"/>
        <w:ind w:left="0" w:leftChars="0" w:right="0" w:rightChars="0"/>
        <w:textAlignment w:val="auto"/>
        <w:rPr>
          <w:rFonts w:hint="default" w:asciiTheme="minorHAnsi" w:hAnsiTheme="minorHAnsi" w:eastAsiaTheme="minorEastAsia" w:cstheme="minorBidi"/>
          <w:b w:val="0"/>
          <w:color w:val="auto"/>
          <w:kern w:val="2"/>
          <w:sz w:val="24"/>
          <w:szCs w:val="24"/>
          <w:highlight w:val="none"/>
          <w:lang w:val="en-US" w:eastAsia="zh-CN" w:bidi="ar-SA"/>
        </w:rPr>
      </w:pPr>
      <w:r>
        <w:rPr>
          <w:rFonts w:hint="eastAsia"/>
          <w:color w:val="auto"/>
          <w:sz w:val="24"/>
          <w:highlight w:val="none"/>
        </w:rPr>
        <w:t>《混凝土用水标准》</w:t>
      </w:r>
      <w:r>
        <w:rPr>
          <w:rFonts w:hint="eastAsia" w:asciiTheme="minorHAnsi" w:hAnsiTheme="minorHAnsi" w:eastAsiaTheme="minorEastAsia" w:cstheme="minorBidi"/>
          <w:b w:val="0"/>
          <w:color w:val="auto"/>
          <w:kern w:val="2"/>
          <w:sz w:val="24"/>
          <w:szCs w:val="24"/>
          <w:highlight w:val="none"/>
          <w:lang w:val="en-US" w:eastAsia="zh-CN" w:bidi="ar-SA"/>
        </w:rPr>
        <w:t>JG</w:t>
      </w:r>
      <w:r>
        <w:rPr>
          <w:rFonts w:hint="eastAsia" w:cstheme="minorBidi"/>
          <w:b w:val="0"/>
          <w:color w:val="auto"/>
          <w:kern w:val="2"/>
          <w:sz w:val="24"/>
          <w:szCs w:val="24"/>
          <w:highlight w:val="none"/>
          <w:lang w:val="en-US" w:eastAsia="zh-CN" w:bidi="ar-SA"/>
        </w:rPr>
        <w:t xml:space="preserve"> </w:t>
      </w:r>
      <w:r>
        <w:rPr>
          <w:rFonts w:hint="eastAsia" w:asciiTheme="minorHAnsi" w:hAnsiTheme="minorHAnsi" w:eastAsiaTheme="minorEastAsia" w:cstheme="minorBidi"/>
          <w:b w:val="0"/>
          <w:color w:val="auto"/>
          <w:kern w:val="2"/>
          <w:sz w:val="24"/>
          <w:szCs w:val="24"/>
          <w:highlight w:val="none"/>
          <w:lang w:val="en-US" w:eastAsia="zh-CN" w:bidi="ar-SA"/>
        </w:rPr>
        <w:t>J63</w:t>
      </w:r>
    </w:p>
    <w:p>
      <w:pPr>
        <w:pageBreakBefore w:val="0"/>
        <w:kinsoku/>
        <w:wordWrap/>
        <w:overflowPunct/>
        <w:topLinePunct w:val="0"/>
        <w:bidi w:val="0"/>
        <w:adjustRightInd w:val="0"/>
        <w:snapToGrid w:val="0"/>
        <w:spacing w:line="360" w:lineRule="auto"/>
        <w:ind w:left="0" w:leftChars="0" w:right="0" w:rightChars="0"/>
        <w:textAlignment w:val="auto"/>
        <w:rPr>
          <w:rFonts w:hint="eastAsia" w:asciiTheme="minorHAnsi" w:hAnsiTheme="minorHAnsi" w:eastAsiaTheme="minorEastAsia" w:cstheme="minorBidi"/>
          <w:b w:val="0"/>
          <w:color w:val="auto"/>
          <w:kern w:val="2"/>
          <w:sz w:val="24"/>
          <w:szCs w:val="24"/>
          <w:highlight w:val="none"/>
          <w:lang w:val="en-US" w:eastAsia="zh-CN" w:bidi="ar-SA"/>
        </w:rPr>
      </w:pPr>
      <w:r>
        <w:rPr>
          <w:rFonts w:hint="eastAsia" w:eastAsia="宋体" w:cs="Times New Roman"/>
          <w:color w:val="auto"/>
          <w:sz w:val="24"/>
          <w:highlight w:val="none"/>
          <w:lang w:val="en-US" w:eastAsia="zh-CN"/>
        </w:rPr>
        <w:t>《</w:t>
      </w:r>
      <w:r>
        <w:rPr>
          <w:rFonts w:hint="eastAsia" w:eastAsia="宋体" w:cs="Times New Roman"/>
          <w:color w:val="auto"/>
          <w:sz w:val="24"/>
          <w:highlight w:val="none"/>
        </w:rPr>
        <w:t>冬季施工规范</w:t>
      </w:r>
      <w:r>
        <w:rPr>
          <w:rFonts w:hint="eastAsia" w:eastAsia="宋体" w:cs="Times New Roman"/>
          <w:color w:val="auto"/>
          <w:sz w:val="24"/>
          <w:highlight w:val="none"/>
          <w:lang w:val="en-US" w:eastAsia="zh-CN"/>
        </w:rPr>
        <w:t>》</w:t>
      </w:r>
      <w:r>
        <w:rPr>
          <w:rFonts w:hint="eastAsia" w:asciiTheme="minorHAnsi" w:hAnsiTheme="minorHAnsi" w:eastAsiaTheme="minorEastAsia" w:cstheme="minorBidi"/>
          <w:b w:val="0"/>
          <w:color w:val="auto"/>
          <w:kern w:val="2"/>
          <w:sz w:val="24"/>
          <w:szCs w:val="24"/>
          <w:highlight w:val="none"/>
          <w:lang w:val="en-US" w:eastAsia="zh-CN" w:bidi="ar-SA"/>
        </w:rPr>
        <w:t>JGJ</w:t>
      </w:r>
      <w:r>
        <w:rPr>
          <w:rFonts w:hint="eastAsia" w:cstheme="minorBidi"/>
          <w:b w:val="0"/>
          <w:color w:val="auto"/>
          <w:kern w:val="2"/>
          <w:sz w:val="24"/>
          <w:szCs w:val="24"/>
          <w:highlight w:val="none"/>
          <w:lang w:val="en-US" w:eastAsia="zh-CN" w:bidi="ar-SA"/>
        </w:rPr>
        <w:t xml:space="preserve"> </w:t>
      </w:r>
      <w:r>
        <w:rPr>
          <w:rFonts w:hint="eastAsia" w:asciiTheme="minorHAnsi" w:hAnsiTheme="minorHAnsi" w:eastAsiaTheme="minorEastAsia" w:cstheme="minorBidi"/>
          <w:b w:val="0"/>
          <w:color w:val="auto"/>
          <w:kern w:val="2"/>
          <w:sz w:val="24"/>
          <w:szCs w:val="24"/>
          <w:highlight w:val="none"/>
          <w:lang w:val="en-US" w:eastAsia="zh-CN" w:bidi="ar-SA"/>
        </w:rPr>
        <w:t>104</w:t>
      </w:r>
    </w:p>
    <w:p>
      <w:pPr>
        <w:pageBreakBefore w:val="0"/>
        <w:kinsoku/>
        <w:wordWrap/>
        <w:overflowPunct/>
        <w:topLinePunct w:val="0"/>
        <w:bidi w:val="0"/>
        <w:adjustRightInd w:val="0"/>
        <w:snapToGrid w:val="0"/>
        <w:spacing w:line="360" w:lineRule="auto"/>
        <w:ind w:left="0" w:leftChars="0" w:right="0" w:rightChars="0"/>
        <w:textAlignment w:val="auto"/>
        <w:rPr>
          <w:rFonts w:hint="eastAsia" w:asciiTheme="minorHAnsi" w:hAnsiTheme="minorHAnsi" w:eastAsiaTheme="minorEastAsia" w:cstheme="minorBidi"/>
          <w:b w:val="0"/>
          <w:color w:val="auto"/>
          <w:kern w:val="2"/>
          <w:sz w:val="24"/>
          <w:szCs w:val="24"/>
          <w:highlight w:val="none"/>
          <w:lang w:val="en-US" w:eastAsia="zh-CN" w:bidi="ar-SA"/>
        </w:rPr>
      </w:pPr>
      <w:r>
        <w:rPr>
          <w:rFonts w:hint="eastAsia"/>
          <w:color w:val="auto"/>
          <w:sz w:val="24"/>
          <w:highlight w:val="none"/>
        </w:rPr>
        <w:t>《施工现场机械设备检查技术规程》</w:t>
      </w:r>
      <w:r>
        <w:rPr>
          <w:rFonts w:hint="eastAsia" w:asciiTheme="minorHAnsi" w:hAnsiTheme="minorHAnsi" w:eastAsiaTheme="minorEastAsia" w:cstheme="minorBidi"/>
          <w:b w:val="0"/>
          <w:color w:val="auto"/>
          <w:kern w:val="2"/>
          <w:sz w:val="24"/>
          <w:szCs w:val="24"/>
          <w:highlight w:val="none"/>
          <w:lang w:val="en-US" w:eastAsia="zh-CN" w:bidi="ar-SA"/>
        </w:rPr>
        <w:t>JGJ</w:t>
      </w:r>
      <w:r>
        <w:rPr>
          <w:rFonts w:hint="eastAsia" w:cstheme="minorBidi"/>
          <w:b w:val="0"/>
          <w:color w:val="auto"/>
          <w:kern w:val="2"/>
          <w:sz w:val="24"/>
          <w:szCs w:val="24"/>
          <w:highlight w:val="none"/>
          <w:lang w:val="en-US" w:eastAsia="zh-CN" w:bidi="ar-SA"/>
        </w:rPr>
        <w:t xml:space="preserve"> </w:t>
      </w:r>
      <w:r>
        <w:rPr>
          <w:rFonts w:hint="eastAsia" w:asciiTheme="minorHAnsi" w:hAnsiTheme="minorHAnsi" w:eastAsiaTheme="minorEastAsia" w:cstheme="minorBidi"/>
          <w:b w:val="0"/>
          <w:color w:val="auto"/>
          <w:kern w:val="2"/>
          <w:sz w:val="24"/>
          <w:szCs w:val="24"/>
          <w:highlight w:val="none"/>
          <w:lang w:val="en-US" w:eastAsia="zh-CN" w:bidi="ar-SA"/>
        </w:rPr>
        <w:t>160</w:t>
      </w:r>
    </w:p>
    <w:p>
      <w:pPr>
        <w:pStyle w:val="22"/>
        <w:pageBreakBefore w:val="0"/>
        <w:kinsoku/>
        <w:wordWrap/>
        <w:overflowPunct/>
        <w:topLinePunct w:val="0"/>
        <w:bidi w:val="0"/>
        <w:adjustRightInd w:val="0"/>
        <w:snapToGrid w:val="0"/>
        <w:spacing w:line="360" w:lineRule="auto"/>
        <w:ind w:left="0" w:leftChars="0" w:right="0" w:rightChars="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《公路工程水泥及水泥混凝土试验规程》JTG 3420—2020</w:t>
      </w:r>
    </w:p>
    <w:p>
      <w:pPr>
        <w:pStyle w:val="22"/>
        <w:pageBreakBefore w:val="0"/>
        <w:kinsoku/>
        <w:wordWrap/>
        <w:overflowPunct/>
        <w:topLinePunct w:val="0"/>
        <w:bidi w:val="0"/>
        <w:adjustRightInd w:val="0"/>
        <w:snapToGrid w:val="0"/>
        <w:spacing w:line="360" w:lineRule="auto"/>
        <w:ind w:left="0" w:leftChars="0" w:right="0" w:rightChars="0"/>
        <w:jc w:val="left"/>
        <w:textAlignment w:val="auto"/>
        <w:rPr>
          <w:rFonts w:hint="default" w:asciiTheme="minorHAnsi" w:hAnsiTheme="minorHAnsi" w:eastAsiaTheme="minorEastAsia" w:cstheme="minorBidi"/>
          <w:b w:val="0"/>
          <w:color w:val="auto"/>
          <w:kern w:val="2"/>
          <w:sz w:val="24"/>
          <w:szCs w:val="24"/>
          <w:highlight w:val="none"/>
          <w:lang w:val="en-US" w:eastAsia="zh-CN" w:bidi="ar-SA"/>
        </w:rPr>
      </w:pPr>
      <w:r>
        <w:rPr>
          <w:rFonts w:hint="eastAsia"/>
          <w:color w:val="auto"/>
          <w:sz w:val="24"/>
          <w:szCs w:val="24"/>
          <w:highlight w:val="none"/>
          <w:lang w:val="en-US" w:eastAsia="zh-CN"/>
        </w:rPr>
        <w:t>《公路路基路面现场测试规程》</w:t>
      </w:r>
      <w:r>
        <w:rPr>
          <w:rFonts w:hint="eastAsia" w:asciiTheme="minorHAnsi" w:hAnsiTheme="minorHAnsi" w:eastAsiaTheme="minorEastAsia" w:cstheme="minorBidi"/>
          <w:b w:val="0"/>
          <w:color w:val="auto"/>
          <w:kern w:val="2"/>
          <w:sz w:val="24"/>
          <w:szCs w:val="24"/>
          <w:highlight w:val="none"/>
          <w:lang w:val="en-US" w:eastAsia="zh-CN" w:bidi="ar-SA"/>
        </w:rPr>
        <w:t>JTG 3450</w:t>
      </w:r>
      <w:r>
        <w:rPr>
          <w:rFonts w:hint="eastAsia"/>
          <w:color w:val="auto"/>
          <w:sz w:val="24"/>
          <w:szCs w:val="24"/>
          <w:highlight w:val="none"/>
          <w:lang w:val="en-US" w:eastAsia="zh-CN"/>
        </w:rPr>
        <w:t>—</w:t>
      </w:r>
      <w:r>
        <w:rPr>
          <w:rFonts w:hint="eastAsia" w:asciiTheme="minorHAnsi" w:hAnsiTheme="minorHAnsi" w:eastAsiaTheme="minorEastAsia" w:cstheme="minorBidi"/>
          <w:b w:val="0"/>
          <w:color w:val="auto"/>
          <w:kern w:val="2"/>
          <w:sz w:val="24"/>
          <w:szCs w:val="24"/>
          <w:highlight w:val="none"/>
          <w:lang w:val="en-US" w:eastAsia="zh-CN" w:bidi="ar-SA"/>
        </w:rPr>
        <w:t>2019</w:t>
      </w:r>
    </w:p>
    <w:p>
      <w:pPr>
        <w:pageBreakBefore w:val="0"/>
        <w:kinsoku/>
        <w:wordWrap/>
        <w:overflowPunct/>
        <w:topLinePunct w:val="0"/>
        <w:bidi w:val="0"/>
        <w:adjustRightInd w:val="0"/>
        <w:snapToGrid w:val="0"/>
        <w:spacing w:line="360" w:lineRule="auto"/>
        <w:ind w:left="0" w:leftChars="0" w:right="0" w:rightChars="0"/>
        <w:textAlignment w:val="auto"/>
        <w:rPr>
          <w:rFonts w:hint="default" w:asciiTheme="minorHAnsi" w:hAnsiTheme="minorHAnsi" w:eastAsiaTheme="minorEastAsia" w:cstheme="minorBidi"/>
          <w:b w:val="0"/>
          <w:color w:val="auto"/>
          <w:kern w:val="2"/>
          <w:sz w:val="24"/>
          <w:szCs w:val="24"/>
          <w:highlight w:val="none"/>
          <w:lang w:val="en-US" w:eastAsia="zh-CN" w:bidi="ar-SA"/>
        </w:rPr>
      </w:pPr>
      <w:r>
        <w:rPr>
          <w:rFonts w:hint="eastAsia" w:eastAsia="宋体" w:cs="Times New Roman"/>
          <w:color w:val="auto"/>
          <w:sz w:val="24"/>
          <w:highlight w:val="none"/>
        </w:rPr>
        <w:t>《公路工程沥青及沥青混合料试验规程》</w:t>
      </w:r>
      <w:r>
        <w:rPr>
          <w:rFonts w:hint="eastAsia" w:asciiTheme="minorHAnsi" w:hAnsiTheme="minorHAnsi" w:eastAsiaTheme="minorEastAsia" w:cstheme="minorBidi"/>
          <w:b w:val="0"/>
          <w:color w:val="auto"/>
          <w:kern w:val="2"/>
          <w:sz w:val="24"/>
          <w:szCs w:val="24"/>
          <w:highlight w:val="none"/>
          <w:lang w:val="en-US" w:eastAsia="zh-CN" w:bidi="ar-SA"/>
        </w:rPr>
        <w:t>JTG</w:t>
      </w:r>
      <w:r>
        <w:rPr>
          <w:rFonts w:hint="eastAsia" w:cstheme="minorBidi"/>
          <w:b w:val="0"/>
          <w:color w:val="auto"/>
          <w:kern w:val="2"/>
          <w:sz w:val="24"/>
          <w:szCs w:val="24"/>
          <w:highlight w:val="none"/>
          <w:lang w:val="en-US" w:eastAsia="zh-CN" w:bidi="ar-SA"/>
        </w:rPr>
        <w:t xml:space="preserve"> </w:t>
      </w:r>
      <w:r>
        <w:rPr>
          <w:rFonts w:hint="eastAsia" w:asciiTheme="minorHAnsi" w:hAnsiTheme="minorHAnsi" w:eastAsiaTheme="minorEastAsia" w:cstheme="minorBidi"/>
          <w:b w:val="0"/>
          <w:color w:val="auto"/>
          <w:kern w:val="2"/>
          <w:sz w:val="24"/>
          <w:szCs w:val="24"/>
          <w:highlight w:val="none"/>
          <w:lang w:val="en-US" w:eastAsia="zh-CN" w:bidi="ar-SA"/>
        </w:rPr>
        <w:t>E</w:t>
      </w:r>
      <w:r>
        <w:rPr>
          <w:rFonts w:hint="eastAsia" w:cstheme="minorBidi"/>
          <w:b w:val="0"/>
          <w:color w:val="auto"/>
          <w:kern w:val="2"/>
          <w:sz w:val="24"/>
          <w:szCs w:val="24"/>
          <w:highlight w:val="none"/>
          <w:lang w:val="en-US" w:eastAsia="zh-CN" w:bidi="ar-SA"/>
        </w:rPr>
        <w:t xml:space="preserve"> </w:t>
      </w:r>
      <w:r>
        <w:rPr>
          <w:rFonts w:hint="eastAsia" w:asciiTheme="minorHAnsi" w:hAnsiTheme="minorHAnsi" w:eastAsiaTheme="minorEastAsia" w:cstheme="minorBidi"/>
          <w:b w:val="0"/>
          <w:color w:val="auto"/>
          <w:kern w:val="2"/>
          <w:sz w:val="24"/>
          <w:szCs w:val="24"/>
          <w:highlight w:val="none"/>
          <w:lang w:val="en-US" w:eastAsia="zh-CN" w:bidi="ar-SA"/>
        </w:rPr>
        <w:t>20</w:t>
      </w:r>
      <w:r>
        <w:rPr>
          <w:rFonts w:hint="eastAsia"/>
          <w:color w:val="auto"/>
          <w:sz w:val="24"/>
          <w:szCs w:val="24"/>
          <w:highlight w:val="none"/>
          <w:lang w:val="en-US" w:eastAsia="zh-CN"/>
        </w:rPr>
        <w:t>—</w:t>
      </w:r>
      <w:r>
        <w:rPr>
          <w:rFonts w:hint="eastAsia" w:cstheme="minorBidi"/>
          <w:b w:val="0"/>
          <w:color w:val="auto"/>
          <w:kern w:val="2"/>
          <w:sz w:val="24"/>
          <w:szCs w:val="24"/>
          <w:highlight w:val="none"/>
          <w:lang w:val="en-US" w:eastAsia="zh-CN" w:bidi="ar-SA"/>
        </w:rPr>
        <w:t>2011</w:t>
      </w:r>
    </w:p>
    <w:p>
      <w:pPr>
        <w:pageBreakBefore w:val="0"/>
        <w:kinsoku/>
        <w:wordWrap/>
        <w:overflowPunct/>
        <w:topLinePunct w:val="0"/>
        <w:bidi w:val="0"/>
        <w:adjustRightInd w:val="0"/>
        <w:snapToGrid w:val="0"/>
        <w:spacing w:line="360" w:lineRule="auto"/>
        <w:ind w:left="0" w:leftChars="0" w:right="0" w:rightChars="0"/>
        <w:textAlignment w:val="auto"/>
        <w:rPr>
          <w:rFonts w:hint="eastAsia" w:asciiTheme="minorHAnsi" w:hAnsiTheme="minorHAnsi" w:eastAsiaTheme="minorEastAsia" w:cstheme="minorBidi"/>
          <w:b w:val="0"/>
          <w:color w:val="auto"/>
          <w:kern w:val="2"/>
          <w:sz w:val="24"/>
          <w:szCs w:val="24"/>
          <w:highlight w:val="none"/>
          <w:lang w:val="en-US" w:eastAsia="zh-CN" w:bidi="ar-SA"/>
        </w:rPr>
      </w:pPr>
      <w:r>
        <w:rPr>
          <w:rFonts w:hint="eastAsia"/>
          <w:color w:val="auto"/>
          <w:sz w:val="24"/>
          <w:highlight w:val="none"/>
        </w:rPr>
        <w:t>《公路沥青路面施工技术规范》</w:t>
      </w:r>
      <w:r>
        <w:rPr>
          <w:rFonts w:hint="eastAsia" w:asciiTheme="minorHAnsi" w:hAnsiTheme="minorHAnsi" w:eastAsiaTheme="minorEastAsia" w:cstheme="minorBidi"/>
          <w:b w:val="0"/>
          <w:color w:val="auto"/>
          <w:kern w:val="2"/>
          <w:sz w:val="24"/>
          <w:szCs w:val="24"/>
          <w:highlight w:val="none"/>
          <w:lang w:val="en-US" w:eastAsia="zh-CN" w:bidi="ar-SA"/>
        </w:rPr>
        <w:t>JTG F</w:t>
      </w:r>
      <w:r>
        <w:rPr>
          <w:rFonts w:hint="eastAsia" w:cstheme="minorBidi"/>
          <w:b w:val="0"/>
          <w:color w:val="auto"/>
          <w:kern w:val="2"/>
          <w:sz w:val="24"/>
          <w:szCs w:val="24"/>
          <w:highlight w:val="none"/>
          <w:lang w:val="en-US" w:eastAsia="zh-CN" w:bidi="ar-SA"/>
        </w:rPr>
        <w:t xml:space="preserve"> </w:t>
      </w:r>
      <w:r>
        <w:rPr>
          <w:rFonts w:hint="eastAsia" w:asciiTheme="minorHAnsi" w:hAnsiTheme="minorHAnsi" w:eastAsiaTheme="minorEastAsia" w:cstheme="minorBidi"/>
          <w:b w:val="0"/>
          <w:color w:val="auto"/>
          <w:kern w:val="2"/>
          <w:sz w:val="24"/>
          <w:szCs w:val="24"/>
          <w:highlight w:val="none"/>
          <w:lang w:val="en-US" w:eastAsia="zh-CN" w:bidi="ar-SA"/>
        </w:rPr>
        <w:t>40</w:t>
      </w:r>
    </w:p>
    <w:p>
      <w:pPr>
        <w:pageBreakBefore w:val="0"/>
        <w:kinsoku/>
        <w:wordWrap/>
        <w:overflowPunct/>
        <w:topLinePunct w:val="0"/>
        <w:bidi w:val="0"/>
        <w:adjustRightInd w:val="0"/>
        <w:snapToGrid w:val="0"/>
        <w:spacing w:line="360" w:lineRule="auto"/>
        <w:ind w:left="0" w:leftChars="0" w:right="0" w:rightChars="0"/>
        <w:textAlignment w:val="auto"/>
        <w:rPr>
          <w:rFonts w:hint="eastAsia" w:eastAsia="宋体" w:cs="Times New Roman"/>
          <w:color w:val="auto"/>
          <w:sz w:val="24"/>
          <w:highlight w:val="none"/>
        </w:rPr>
      </w:pPr>
    </w:p>
    <w:p>
      <w:pPr>
        <w:pStyle w:val="22"/>
        <w:pageBreakBefore w:val="0"/>
        <w:kinsoku/>
        <w:wordWrap/>
        <w:overflowPunct/>
        <w:topLinePunct w:val="0"/>
        <w:bidi w:val="0"/>
        <w:adjustRightInd w:val="0"/>
        <w:snapToGrid w:val="0"/>
        <w:spacing w:line="360" w:lineRule="auto"/>
        <w:ind w:left="0" w:leftChars="0" w:right="0" w:rightChars="0"/>
        <w:jc w:val="center"/>
        <w:textAlignment w:val="auto"/>
        <w:rPr>
          <w:b/>
          <w:color w:val="auto"/>
          <w:sz w:val="30"/>
          <w:szCs w:val="30"/>
          <w:highlight w:val="none"/>
        </w:rPr>
      </w:pPr>
    </w:p>
    <w:p>
      <w:pPr>
        <w:pStyle w:val="22"/>
        <w:pageBreakBefore w:val="0"/>
        <w:kinsoku/>
        <w:wordWrap/>
        <w:overflowPunct/>
        <w:topLinePunct w:val="0"/>
        <w:bidi w:val="0"/>
        <w:adjustRightInd w:val="0"/>
        <w:snapToGrid w:val="0"/>
        <w:spacing w:line="360" w:lineRule="auto"/>
        <w:ind w:left="0" w:leftChars="0" w:right="0" w:rightChars="0"/>
        <w:jc w:val="center"/>
        <w:textAlignment w:val="auto"/>
        <w:rPr>
          <w:b/>
          <w:color w:val="auto"/>
          <w:sz w:val="30"/>
          <w:szCs w:val="30"/>
          <w:highlight w:val="none"/>
        </w:rPr>
      </w:pPr>
    </w:p>
    <w:p>
      <w:pPr>
        <w:pStyle w:val="22"/>
        <w:pageBreakBefore w:val="0"/>
        <w:kinsoku/>
        <w:wordWrap/>
        <w:overflowPunct/>
        <w:topLinePunct w:val="0"/>
        <w:bidi w:val="0"/>
        <w:adjustRightInd w:val="0"/>
        <w:snapToGrid w:val="0"/>
        <w:spacing w:line="360" w:lineRule="auto"/>
        <w:ind w:left="0" w:leftChars="0" w:right="0" w:rightChars="0"/>
        <w:jc w:val="both"/>
        <w:textAlignment w:val="auto"/>
        <w:rPr>
          <w:b/>
          <w:color w:val="auto"/>
          <w:sz w:val="30"/>
          <w:szCs w:val="30"/>
          <w:highlight w:val="none"/>
        </w:rPr>
      </w:pPr>
    </w:p>
    <w:p>
      <w:pPr>
        <w:pStyle w:val="22"/>
        <w:pageBreakBefore w:val="0"/>
        <w:kinsoku/>
        <w:wordWrap/>
        <w:overflowPunct/>
        <w:topLinePunct w:val="0"/>
        <w:bidi w:val="0"/>
        <w:adjustRightInd w:val="0"/>
        <w:snapToGrid w:val="0"/>
        <w:spacing w:line="360" w:lineRule="auto"/>
        <w:ind w:left="0" w:leftChars="0" w:right="0" w:rightChars="0"/>
        <w:jc w:val="both"/>
        <w:textAlignment w:val="auto"/>
        <w:rPr>
          <w:b/>
          <w:color w:val="auto"/>
          <w:sz w:val="30"/>
          <w:szCs w:val="30"/>
          <w:highlight w:val="none"/>
        </w:rPr>
      </w:pPr>
    </w:p>
    <w:p>
      <w:pPr>
        <w:pStyle w:val="22"/>
        <w:pageBreakBefore w:val="0"/>
        <w:kinsoku/>
        <w:wordWrap/>
        <w:overflowPunct/>
        <w:topLinePunct w:val="0"/>
        <w:bidi w:val="0"/>
        <w:adjustRightInd w:val="0"/>
        <w:snapToGrid w:val="0"/>
        <w:spacing w:line="360" w:lineRule="auto"/>
        <w:ind w:left="0" w:leftChars="0" w:right="0" w:rightChars="0"/>
        <w:jc w:val="center"/>
        <w:textAlignment w:val="auto"/>
        <w:rPr>
          <w:b/>
          <w:color w:val="auto"/>
          <w:sz w:val="30"/>
          <w:szCs w:val="30"/>
          <w:highlight w:val="none"/>
        </w:rPr>
      </w:pPr>
      <w:r>
        <w:rPr>
          <w:b/>
          <w:color w:val="auto"/>
          <w:sz w:val="30"/>
          <w:szCs w:val="30"/>
          <w:highlight w:val="none"/>
        </w:rPr>
        <w:t>中国工程建设协会标准</w:t>
      </w:r>
    </w:p>
    <w:p>
      <w:pPr>
        <w:pageBreakBefore w:val="0"/>
        <w:kinsoku/>
        <w:wordWrap/>
        <w:overflowPunct/>
        <w:topLinePunct w:val="0"/>
        <w:bidi w:val="0"/>
        <w:adjustRightInd w:val="0"/>
        <w:snapToGrid w:val="0"/>
        <w:spacing w:line="360" w:lineRule="auto"/>
        <w:ind w:left="0" w:leftChars="0" w:right="0" w:rightChars="0"/>
        <w:textAlignment w:val="auto"/>
        <w:rPr>
          <w:rFonts w:ascii="Times New Roman" w:hAnsi="Times New Roman"/>
          <w:b/>
          <w:color w:val="auto"/>
          <w:sz w:val="36"/>
          <w:highlight w:val="none"/>
        </w:rPr>
      </w:pPr>
    </w:p>
    <w:p>
      <w:pPr>
        <w:pageBreakBefore w:val="0"/>
        <w:kinsoku/>
        <w:wordWrap/>
        <w:overflowPunct/>
        <w:topLinePunct w:val="0"/>
        <w:bidi w:val="0"/>
        <w:adjustRightInd w:val="0"/>
        <w:snapToGrid w:val="0"/>
        <w:spacing w:line="360" w:lineRule="auto"/>
        <w:ind w:left="0" w:leftChars="0" w:right="0" w:rightChars="0"/>
        <w:jc w:val="center"/>
        <w:textAlignment w:val="auto"/>
        <w:rPr>
          <w:rFonts w:ascii="Times New Roman" w:hAnsi="Times New Roman"/>
          <w:color w:val="auto"/>
          <w:sz w:val="44"/>
          <w:szCs w:val="44"/>
          <w:highlight w:val="none"/>
        </w:rPr>
      </w:pPr>
    </w:p>
    <w:p>
      <w:pPr>
        <w:pageBreakBefore w:val="0"/>
        <w:kinsoku/>
        <w:wordWrap/>
        <w:overflowPunct/>
        <w:topLinePunct w:val="0"/>
        <w:bidi w:val="0"/>
        <w:adjustRightInd w:val="0"/>
        <w:snapToGrid w:val="0"/>
        <w:spacing w:line="360" w:lineRule="auto"/>
        <w:ind w:left="0" w:leftChars="0" w:right="0" w:rightChars="0"/>
        <w:jc w:val="center"/>
        <w:textAlignment w:val="auto"/>
        <w:rPr>
          <w:rFonts w:ascii="Times New Roman" w:hAnsi="Times New Roman"/>
          <w:color w:val="auto"/>
          <w:sz w:val="44"/>
          <w:szCs w:val="44"/>
          <w:highlight w:val="none"/>
        </w:rPr>
      </w:pPr>
    </w:p>
    <w:p>
      <w:pPr>
        <w:pageBreakBefore w:val="0"/>
        <w:kinsoku/>
        <w:wordWrap/>
        <w:overflowPunct/>
        <w:topLinePunct w:val="0"/>
        <w:bidi w:val="0"/>
        <w:adjustRightInd w:val="0"/>
        <w:snapToGrid w:val="0"/>
        <w:spacing w:line="360" w:lineRule="auto"/>
        <w:ind w:left="0" w:leftChars="0" w:right="0" w:rightChars="0"/>
        <w:jc w:val="center"/>
        <w:textAlignment w:val="auto"/>
        <w:rPr>
          <w:rFonts w:ascii="Times New Roman" w:hAnsi="Times New Roman"/>
          <w:color w:val="auto"/>
          <w:sz w:val="44"/>
          <w:szCs w:val="44"/>
          <w:highlight w:val="none"/>
        </w:rPr>
      </w:pPr>
    </w:p>
    <w:p>
      <w:pPr>
        <w:pageBreakBefore w:val="0"/>
        <w:kinsoku/>
        <w:wordWrap/>
        <w:overflowPunct/>
        <w:topLinePunct w:val="0"/>
        <w:bidi w:val="0"/>
        <w:adjustRightInd w:val="0"/>
        <w:snapToGrid w:val="0"/>
        <w:spacing w:line="360" w:lineRule="auto"/>
        <w:ind w:left="0" w:leftChars="0" w:right="0" w:rightChars="0"/>
        <w:jc w:val="center"/>
        <w:textAlignment w:val="auto"/>
        <w:rPr>
          <w:rFonts w:ascii="宋体" w:hAnsi="宋体" w:cs="黑体"/>
          <w:b/>
          <w:color w:val="auto"/>
          <w:kern w:val="0"/>
          <w:sz w:val="44"/>
          <w:szCs w:val="44"/>
          <w:highlight w:val="none"/>
        </w:rPr>
      </w:pPr>
      <w:r>
        <w:rPr>
          <w:rFonts w:hint="eastAsia" w:ascii="宋体" w:hAnsi="宋体" w:cs="黑体"/>
          <w:b/>
          <w:color w:val="auto"/>
          <w:kern w:val="0"/>
          <w:sz w:val="44"/>
          <w:szCs w:val="44"/>
          <w:highlight w:val="none"/>
        </w:rPr>
        <w:t>防沉降井盖</w:t>
      </w:r>
      <w:r>
        <w:rPr>
          <w:rFonts w:hint="eastAsia" w:ascii="宋体" w:hAnsi="宋体" w:cs="黑体"/>
          <w:b/>
          <w:color w:val="auto"/>
          <w:kern w:val="0"/>
          <w:sz w:val="44"/>
          <w:szCs w:val="44"/>
          <w:highlight w:val="none"/>
          <w:lang w:eastAsia="zh-CN"/>
        </w:rPr>
        <w:t>安装</w:t>
      </w:r>
      <w:r>
        <w:rPr>
          <w:rFonts w:hint="eastAsia" w:ascii="宋体" w:hAnsi="宋体" w:cs="黑体"/>
          <w:b/>
          <w:color w:val="auto"/>
          <w:kern w:val="0"/>
          <w:sz w:val="44"/>
          <w:szCs w:val="44"/>
          <w:highlight w:val="none"/>
        </w:rPr>
        <w:t>及验收技术规程</w:t>
      </w:r>
    </w:p>
    <w:p>
      <w:pPr>
        <w:pageBreakBefore w:val="0"/>
        <w:kinsoku/>
        <w:wordWrap/>
        <w:overflowPunct/>
        <w:topLinePunct w:val="0"/>
        <w:bidi w:val="0"/>
        <w:adjustRightInd w:val="0"/>
        <w:snapToGrid w:val="0"/>
        <w:spacing w:line="360" w:lineRule="auto"/>
        <w:ind w:left="0" w:leftChars="0" w:right="0" w:rightChars="0"/>
        <w:jc w:val="center"/>
        <w:textAlignment w:val="auto"/>
        <w:rPr>
          <w:rFonts w:ascii="宋体" w:hAnsi="宋体" w:cs="黑体"/>
          <w:b/>
          <w:color w:val="auto"/>
          <w:kern w:val="0"/>
          <w:sz w:val="44"/>
          <w:szCs w:val="44"/>
          <w:highlight w:val="none"/>
        </w:rPr>
      </w:pPr>
    </w:p>
    <w:p>
      <w:pPr>
        <w:pStyle w:val="5"/>
        <w:pageBreakBefore w:val="0"/>
        <w:kinsoku/>
        <w:wordWrap/>
        <w:overflowPunct/>
        <w:topLinePunct w:val="0"/>
        <w:bidi w:val="0"/>
        <w:adjustRightInd w:val="0"/>
        <w:snapToGrid w:val="0"/>
        <w:spacing w:before="0" w:line="360" w:lineRule="auto"/>
        <w:ind w:left="0" w:leftChars="0" w:right="0" w:rightChars="0"/>
        <w:textAlignment w:val="auto"/>
        <w:rPr>
          <w:rFonts w:ascii="Times New Roman" w:hAnsi="Times New Roman"/>
          <w:color w:val="auto"/>
          <w:highlight w:val="none"/>
          <w:lang w:eastAsia="zh-CN"/>
        </w:rPr>
      </w:pPr>
    </w:p>
    <w:p>
      <w:pPr>
        <w:pageBreakBefore w:val="0"/>
        <w:widowControl/>
        <w:kinsoku/>
        <w:wordWrap/>
        <w:overflowPunct/>
        <w:topLinePunct w:val="0"/>
        <w:bidi w:val="0"/>
        <w:adjustRightInd w:val="0"/>
        <w:snapToGrid w:val="0"/>
        <w:spacing w:line="360" w:lineRule="auto"/>
        <w:ind w:left="0" w:leftChars="0" w:right="0" w:rightChars="0"/>
        <w:jc w:val="left"/>
        <w:textAlignment w:val="auto"/>
        <w:rPr>
          <w:rFonts w:ascii="Times New Roman" w:hAnsi="Times New Roman"/>
          <w:b/>
          <w:bCs/>
          <w:color w:val="auto"/>
          <w:kern w:val="44"/>
          <w:sz w:val="36"/>
          <w:szCs w:val="36"/>
          <w:highlight w:val="none"/>
        </w:rPr>
      </w:pPr>
    </w:p>
    <w:p>
      <w:pPr>
        <w:pageBreakBefore w:val="0"/>
        <w:widowControl/>
        <w:kinsoku/>
        <w:wordWrap/>
        <w:overflowPunct/>
        <w:topLinePunct w:val="0"/>
        <w:bidi w:val="0"/>
        <w:adjustRightInd w:val="0"/>
        <w:snapToGrid w:val="0"/>
        <w:spacing w:line="360" w:lineRule="auto"/>
        <w:ind w:left="0" w:leftChars="0" w:right="0" w:rightChars="0"/>
        <w:jc w:val="left"/>
        <w:textAlignment w:val="auto"/>
        <w:rPr>
          <w:rFonts w:ascii="Times New Roman" w:hAnsi="Times New Roman"/>
          <w:b/>
          <w:bCs/>
          <w:color w:val="auto"/>
          <w:kern w:val="44"/>
          <w:sz w:val="36"/>
          <w:szCs w:val="36"/>
          <w:highlight w:val="none"/>
        </w:rPr>
      </w:pPr>
    </w:p>
    <w:p>
      <w:pPr>
        <w:pageBreakBefore w:val="0"/>
        <w:widowControl/>
        <w:kinsoku/>
        <w:wordWrap/>
        <w:overflowPunct/>
        <w:topLinePunct w:val="0"/>
        <w:bidi w:val="0"/>
        <w:adjustRightInd w:val="0"/>
        <w:snapToGrid w:val="0"/>
        <w:spacing w:line="360" w:lineRule="auto"/>
        <w:ind w:left="0" w:leftChars="0" w:right="0" w:rightChars="0"/>
        <w:jc w:val="left"/>
        <w:textAlignment w:val="auto"/>
        <w:rPr>
          <w:rFonts w:ascii="Times New Roman" w:hAnsi="Times New Roman"/>
          <w:b/>
          <w:bCs/>
          <w:color w:val="auto"/>
          <w:kern w:val="44"/>
          <w:sz w:val="36"/>
          <w:szCs w:val="36"/>
          <w:highlight w:val="none"/>
        </w:rPr>
      </w:pPr>
    </w:p>
    <w:p>
      <w:pPr>
        <w:pStyle w:val="3"/>
        <w:pageBreakBefore w:val="0"/>
        <w:kinsoku/>
        <w:wordWrap/>
        <w:overflowPunct/>
        <w:topLinePunct w:val="0"/>
        <w:bidi w:val="0"/>
        <w:adjustRightInd w:val="0"/>
        <w:snapToGrid w:val="0"/>
        <w:spacing w:before="0" w:after="0" w:line="360" w:lineRule="auto"/>
        <w:ind w:left="0" w:leftChars="0" w:right="0" w:rightChars="0"/>
        <w:textAlignment w:val="auto"/>
        <w:rPr>
          <w:rFonts w:hint="eastAsia" w:ascii="Times New Roman" w:hAnsi="Times New Roman" w:eastAsiaTheme="minorEastAsia"/>
          <w:color w:val="auto"/>
          <w:highlight w:val="none"/>
          <w:lang w:val="en-US" w:eastAsia="zh-CN"/>
        </w:rPr>
        <w:sectPr>
          <w:pgSz w:w="11906" w:h="16838"/>
          <w:pgMar w:top="1500" w:right="1200" w:bottom="1300" w:left="1340" w:header="0" w:footer="1120" w:gutter="0"/>
          <w:pgBorders>
            <w:top w:val="none" w:sz="0" w:space="0"/>
            <w:left w:val="none" w:sz="0" w:space="0"/>
            <w:bottom w:val="none" w:sz="0" w:space="0"/>
            <w:right w:val="none" w:sz="0" w:space="0"/>
          </w:pgBorders>
          <w:pgNumType w:fmt="decimal"/>
          <w:cols w:space="720" w:num="1"/>
          <w:docGrid w:linePitch="286" w:charSpace="0"/>
        </w:sectPr>
      </w:pPr>
      <w:bookmarkStart w:id="191" w:name="_Toc12260"/>
      <w:bookmarkStart w:id="192" w:name="_Toc61379715"/>
      <w:bookmarkStart w:id="193" w:name="_Toc20861"/>
      <w:bookmarkStart w:id="194" w:name="_Toc9924"/>
      <w:bookmarkStart w:id="195" w:name="_Toc19282"/>
      <w:bookmarkStart w:id="196" w:name="_Toc3365"/>
      <w:bookmarkStart w:id="197" w:name="_Toc10542"/>
      <w:bookmarkStart w:id="198" w:name="_Toc21442"/>
      <w:r>
        <w:rPr>
          <w:color w:val="auto"/>
          <w:sz w:val="32"/>
          <w:szCs w:val="32"/>
          <w:highlight w:val="none"/>
        </w:rPr>
        <w:t>条文说</w:t>
      </w:r>
      <w:bookmarkEnd w:id="191"/>
      <w:bookmarkEnd w:id="192"/>
      <w:bookmarkEnd w:id="193"/>
      <w:bookmarkEnd w:id="194"/>
      <w:bookmarkEnd w:id="195"/>
      <w:bookmarkEnd w:id="196"/>
      <w:bookmarkEnd w:id="197"/>
      <w:r>
        <w:rPr>
          <w:rFonts w:hint="eastAsia"/>
          <w:color w:val="auto"/>
          <w:sz w:val="32"/>
          <w:szCs w:val="32"/>
          <w:highlight w:val="none"/>
          <w:lang w:val="en-US" w:eastAsia="zh-CN"/>
        </w:rPr>
        <w:t>明</w:t>
      </w:r>
      <w:bookmarkEnd w:id="198"/>
    </w:p>
    <w:p>
      <w:pPr>
        <w:bidi w:val="0"/>
        <w:jc w:val="left"/>
        <w:rPr>
          <w:color w:val="auto"/>
          <w:highlight w:val="none"/>
          <w:lang w:val="en-US" w:eastAsia="zh-CN"/>
        </w:rPr>
      </w:pPr>
    </w:p>
    <w:sectPr>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jc w:val="right"/>
                          </w:pPr>
                          <w:r>
                            <w:fldChar w:fldCharType="begin"/>
                          </w:r>
                          <w:r>
                            <w:instrText xml:space="preserve">PAGE   \* MERGEFORMAT</w:instrText>
                          </w:r>
                          <w:r>
                            <w:fldChar w:fldCharType="separate"/>
                          </w:r>
                          <w:r>
                            <w:rPr>
                              <w:lang w:val="zh-CN"/>
                            </w:rPr>
                            <w:t>1</w:t>
                          </w:r>
                          <w:r>
                            <w:rPr>
                              <w:lang w:val="zh-CN"/>
                            </w:rPr>
                            <w:fldChar w:fldCharType="end"/>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pPr>
                      <w:pStyle w:val="7"/>
                      <w:jc w:val="right"/>
                    </w:pPr>
                    <w:r>
                      <w:fldChar w:fldCharType="begin"/>
                    </w:r>
                    <w:r>
                      <w:instrText xml:space="preserve">PAGE   \* MERGEFORMAT</w:instrText>
                    </w:r>
                    <w:r>
                      <w:fldChar w:fldCharType="separate"/>
                    </w:r>
                    <w:r>
                      <w:rPr>
                        <w:lang w:val="zh-CN"/>
                      </w:rPr>
                      <w:t>1</w:t>
                    </w:r>
                    <w:r>
                      <w:rPr>
                        <w:lang w:val="zh-CN"/>
                      </w:rPr>
                      <w:fldChar w:fldCharType="end"/>
                    </w:r>
                  </w:p>
                  <w:p/>
                </w:txbxContent>
              </v:textbox>
            </v:shape>
          </w:pict>
        </mc:Fallback>
      </mc:AlternateContent>
    </w:r>
  </w:p>
  <w:p>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jc w:val="center"/>
    </w:pPr>
    <w: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Style w:val="15"/>
                            </w:rPr>
                          </w:pPr>
                          <w:r>
                            <w:rPr>
                              <w:rStyle w:val="15"/>
                            </w:rPr>
                            <w:fldChar w:fldCharType="begin"/>
                          </w:r>
                          <w:r>
                            <w:rPr>
                              <w:rStyle w:val="15"/>
                            </w:rPr>
                            <w:instrText xml:space="preserve">PAGE  </w:instrText>
                          </w:r>
                          <w:r>
                            <w:rPr>
                              <w:rStyle w:val="15"/>
                            </w:rPr>
                            <w:fldChar w:fldCharType="separate"/>
                          </w:r>
                          <w:r>
                            <w:rPr>
                              <w:rStyle w:val="15"/>
                            </w:rPr>
                            <w:t>2</w:t>
                          </w:r>
                          <w:r>
                            <w:rPr>
                              <w:rStyle w:val="1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7"/>
                      <w:rPr>
                        <w:rStyle w:val="15"/>
                      </w:rPr>
                    </w:pPr>
                    <w:r>
                      <w:rPr>
                        <w:rStyle w:val="15"/>
                      </w:rPr>
                      <w:fldChar w:fldCharType="begin"/>
                    </w:r>
                    <w:r>
                      <w:rPr>
                        <w:rStyle w:val="15"/>
                      </w:rPr>
                      <w:instrText xml:space="preserve">PAGE  </w:instrText>
                    </w:r>
                    <w:r>
                      <w:rPr>
                        <w:rStyle w:val="15"/>
                      </w:rPr>
                      <w:fldChar w:fldCharType="separate"/>
                    </w:r>
                    <w:r>
                      <w:rPr>
                        <w:rStyle w:val="15"/>
                      </w:rPr>
                      <w:t>2</w:t>
                    </w:r>
                    <w:r>
                      <w:rPr>
                        <w:rStyle w:val="15"/>
                      </w:rPr>
                      <w:fldChar w:fldCharType="end"/>
                    </w:r>
                  </w:p>
                </w:txbxContent>
              </v:textbox>
            </v:shape>
          </w:pict>
        </mc:Fallback>
      </mc:AlternateContent>
    </w:r>
  </w:p>
  <w:p>
    <w:pPr>
      <w:pStyle w:val="7"/>
    </w:pPr>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center"/>
                          </w:pPr>
                          <w:r>
                            <w:fldChar w:fldCharType="begin"/>
                          </w:r>
                          <w:r>
                            <w:instrText xml:space="preserve">PAGE   \* MERGEFORMAT</w:instrText>
                          </w:r>
                          <w:r>
                            <w:fldChar w:fldCharType="separate"/>
                          </w:r>
                          <w:r>
                            <w:rPr>
                              <w:lang w:val="zh-CN"/>
                            </w:rP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7"/>
                      <w:jc w:val="center"/>
                    </w:pPr>
                    <w:r>
                      <w:fldChar w:fldCharType="begin"/>
                    </w:r>
                    <w:r>
                      <w:instrText xml:space="preserve">PAGE   \* MERGEFORMAT</w:instrText>
                    </w:r>
                    <w:r>
                      <w:fldChar w:fldCharType="separate"/>
                    </w:r>
                    <w:r>
                      <w:rPr>
                        <w:lang w:val="zh-CN"/>
                      </w:rPr>
                      <w:t>15</w:t>
                    </w:r>
                    <w:r>
                      <w:fldChar w:fldCharType="end"/>
                    </w:r>
                  </w:p>
                </w:txbxContent>
              </v:textbox>
            </v:shape>
          </w:pict>
        </mc:Fallback>
      </mc:AlternateContent>
    </w:r>
  </w:p>
  <w:p>
    <w:pPr>
      <w:spacing w:line="14" w:lineRule="auto"/>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center"/>
                          </w:pPr>
                          <w:r>
                            <w:fldChar w:fldCharType="begin"/>
                          </w:r>
                          <w:r>
                            <w:instrText xml:space="preserve">PAGE   \* MERGEFORMAT</w:instrText>
                          </w:r>
                          <w:r>
                            <w:fldChar w:fldCharType="separate"/>
                          </w:r>
                          <w:r>
                            <w:rPr>
                              <w:lang w:val="zh-CN"/>
                            </w:rP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7"/>
                      <w:jc w:val="center"/>
                    </w:pPr>
                    <w:r>
                      <w:fldChar w:fldCharType="begin"/>
                    </w:r>
                    <w:r>
                      <w:instrText xml:space="preserve">PAGE   \* MERGEFORMAT</w:instrText>
                    </w:r>
                    <w:r>
                      <w:fldChar w:fldCharType="separate"/>
                    </w:r>
                    <w:r>
                      <w:rPr>
                        <w:lang w:val="zh-CN"/>
                      </w:rPr>
                      <w:t>22</w:t>
                    </w:r>
                    <w:r>
                      <w:fldChar w:fldCharType="end"/>
                    </w:r>
                  </w:p>
                </w:txbxContent>
              </v:textbox>
            </v:shape>
          </w:pict>
        </mc:Fallback>
      </mc:AlternateContent>
    </w:r>
  </w:p>
  <w:p>
    <w:pPr>
      <w:spacing w:line="14" w:lineRule="auto"/>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jc w:val="center"/>
    </w:pPr>
  </w:p>
  <w:p>
    <w:pPr>
      <w:pStyle w:val="7"/>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5"/>
      </w:rPr>
    </w:pPr>
    <w:r>
      <w:rPr>
        <w:rStyle w:val="15"/>
      </w:rPr>
      <w:fldChar w:fldCharType="begin"/>
    </w:r>
    <w:r>
      <w:rPr>
        <w:rStyle w:val="15"/>
      </w:rPr>
      <w:instrText xml:space="preserve">PAGE  </w:instrText>
    </w:r>
    <w:r>
      <w:rPr>
        <w:rStyle w:val="15"/>
      </w:rPr>
      <w:fldChar w:fldCharType="end"/>
    </w:r>
  </w:p>
  <w:p>
    <w:pPr>
      <w:pStyle w:val="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Style w:val="15"/>
                            </w:rPr>
                          </w:pPr>
                          <w:r>
                            <w:rPr>
                              <w:rStyle w:val="15"/>
                            </w:rPr>
                            <w:fldChar w:fldCharType="begin"/>
                          </w:r>
                          <w:r>
                            <w:rPr>
                              <w:rStyle w:val="15"/>
                            </w:rPr>
                            <w:instrText xml:space="preserve">PAGE  </w:instrText>
                          </w:r>
                          <w:r>
                            <w:rPr>
                              <w:rStyle w:val="15"/>
                            </w:rPr>
                            <w:fldChar w:fldCharType="separate"/>
                          </w:r>
                          <w:r>
                            <w:rPr>
                              <w:rStyle w:val="15"/>
                            </w:rPr>
                            <w:t>2</w:t>
                          </w:r>
                          <w:r>
                            <w:rPr>
                              <w:rStyle w:val="15"/>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7"/>
                      <w:rPr>
                        <w:rStyle w:val="15"/>
                      </w:rPr>
                    </w:pPr>
                    <w:r>
                      <w:rPr>
                        <w:rStyle w:val="15"/>
                      </w:rPr>
                      <w:fldChar w:fldCharType="begin"/>
                    </w:r>
                    <w:r>
                      <w:rPr>
                        <w:rStyle w:val="15"/>
                      </w:rPr>
                      <w:instrText xml:space="preserve">PAGE  </w:instrText>
                    </w:r>
                    <w:r>
                      <w:rPr>
                        <w:rStyle w:val="15"/>
                      </w:rPr>
                      <w:fldChar w:fldCharType="separate"/>
                    </w:r>
                    <w:r>
                      <w:rPr>
                        <w:rStyle w:val="15"/>
                      </w:rPr>
                      <w:t>2</w:t>
                    </w:r>
                    <w:r>
                      <w:rPr>
                        <w:rStyle w:val="15"/>
                      </w:rPr>
                      <w:fldChar w:fldCharType="end"/>
                    </w:r>
                  </w:p>
                </w:txbxContent>
              </v:textbox>
            </v:shape>
          </w:pict>
        </mc:Fallback>
      </mc:AlternateContent>
    </w:r>
  </w:p>
  <w:p>
    <w:pPr>
      <w:pStyle w:val="7"/>
    </w:pP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j+QQ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j+QQzAgAAZQQAAA4AAAAAAAAAAQAgAAAAHwEAAGRycy9lMm9Eb2MueG1sUEsF&#10;BgAAAAAGAAYAWQEAAMQ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jc w:val="center"/>
    </w:pPr>
    <w: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Style w:val="15"/>
                            </w:rPr>
                          </w:pPr>
                          <w:r>
                            <w:rPr>
                              <w:rStyle w:val="15"/>
                            </w:rPr>
                            <w:fldChar w:fldCharType="begin"/>
                          </w:r>
                          <w:r>
                            <w:rPr>
                              <w:rStyle w:val="15"/>
                            </w:rPr>
                            <w:instrText xml:space="preserve">PAGE  </w:instrText>
                          </w:r>
                          <w:r>
                            <w:rPr>
                              <w:rStyle w:val="15"/>
                            </w:rPr>
                            <w:fldChar w:fldCharType="separate"/>
                          </w:r>
                          <w:r>
                            <w:rPr>
                              <w:rStyle w:val="15"/>
                            </w:rPr>
                            <w:t>2</w:t>
                          </w:r>
                          <w:r>
                            <w:rPr>
                              <w:rStyle w:val="1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7"/>
                      <w:rPr>
                        <w:rStyle w:val="15"/>
                      </w:rPr>
                    </w:pPr>
                    <w:r>
                      <w:rPr>
                        <w:rStyle w:val="15"/>
                      </w:rPr>
                      <w:fldChar w:fldCharType="begin"/>
                    </w:r>
                    <w:r>
                      <w:rPr>
                        <w:rStyle w:val="15"/>
                      </w:rPr>
                      <w:instrText xml:space="preserve">PAGE  </w:instrText>
                    </w:r>
                    <w:r>
                      <w:rPr>
                        <w:rStyle w:val="15"/>
                      </w:rPr>
                      <w:fldChar w:fldCharType="separate"/>
                    </w:r>
                    <w:r>
                      <w:rPr>
                        <w:rStyle w:val="15"/>
                      </w:rPr>
                      <w:t>2</w:t>
                    </w:r>
                    <w:r>
                      <w:rPr>
                        <w:rStyle w:val="15"/>
                      </w:rPr>
                      <w:fldChar w:fldCharType="end"/>
                    </w:r>
                  </w:p>
                </w:txbxContent>
              </v:textbox>
            </v:shape>
          </w:pict>
        </mc:Fallback>
      </mc:AlternateContent>
    </w:r>
  </w:p>
  <w:p>
    <w:pPr>
      <w:pStyle w:val="7"/>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D25D58"/>
    <w:multiLevelType w:val="singleLevel"/>
    <w:tmpl w:val="88D25D58"/>
    <w:lvl w:ilvl="0" w:tentative="0">
      <w:start w:val="1"/>
      <w:numFmt w:val="decimal"/>
      <w:suff w:val="space"/>
      <w:lvlText w:val="%1）"/>
      <w:lvlJc w:val="left"/>
    </w:lvl>
  </w:abstractNum>
  <w:abstractNum w:abstractNumId="1">
    <w:nsid w:val="A5F2CB41"/>
    <w:multiLevelType w:val="singleLevel"/>
    <w:tmpl w:val="A5F2CB41"/>
    <w:lvl w:ilvl="0" w:tentative="0">
      <w:start w:val="1"/>
      <w:numFmt w:val="decimal"/>
      <w:suff w:val="nothing"/>
      <w:lvlText w:val="%1-"/>
      <w:lvlJc w:val="left"/>
    </w:lvl>
  </w:abstractNum>
  <w:abstractNum w:abstractNumId="2">
    <w:nsid w:val="AC2DDEF9"/>
    <w:multiLevelType w:val="singleLevel"/>
    <w:tmpl w:val="AC2DDEF9"/>
    <w:lvl w:ilvl="0" w:tentative="0">
      <w:start w:val="1"/>
      <w:numFmt w:val="decimal"/>
      <w:suff w:val="nothing"/>
      <w:lvlText w:val="%1-"/>
      <w:lvlJc w:val="left"/>
    </w:lvl>
  </w:abstractNum>
  <w:abstractNum w:abstractNumId="3">
    <w:nsid w:val="BB267C08"/>
    <w:multiLevelType w:val="singleLevel"/>
    <w:tmpl w:val="BB267C08"/>
    <w:lvl w:ilvl="0" w:tentative="0">
      <w:start w:val="1"/>
      <w:numFmt w:val="decimal"/>
      <w:suff w:val="nothing"/>
      <w:lvlText w:val="%1-"/>
      <w:lvlJc w:val="left"/>
    </w:lvl>
  </w:abstractNum>
  <w:abstractNum w:abstractNumId="4">
    <w:nsid w:val="CE4C8022"/>
    <w:multiLevelType w:val="singleLevel"/>
    <w:tmpl w:val="CE4C8022"/>
    <w:lvl w:ilvl="0" w:tentative="0">
      <w:start w:val="7"/>
      <w:numFmt w:val="decimal"/>
      <w:suff w:val="nothing"/>
      <w:lvlText w:val="%1-"/>
      <w:lvlJc w:val="left"/>
    </w:lvl>
  </w:abstractNum>
  <w:abstractNum w:abstractNumId="5">
    <w:nsid w:val="087DF388"/>
    <w:multiLevelType w:val="singleLevel"/>
    <w:tmpl w:val="087DF388"/>
    <w:lvl w:ilvl="0" w:tentative="0">
      <w:start w:val="1"/>
      <w:numFmt w:val="decimal"/>
      <w:suff w:val="nothing"/>
      <w:lvlText w:val="%1-"/>
      <w:lvlJc w:val="left"/>
    </w:lvl>
  </w:abstractNum>
  <w:abstractNum w:abstractNumId="6">
    <w:nsid w:val="0F262339"/>
    <w:multiLevelType w:val="singleLevel"/>
    <w:tmpl w:val="0F262339"/>
    <w:lvl w:ilvl="0" w:tentative="0">
      <w:start w:val="1"/>
      <w:numFmt w:val="decimal"/>
      <w:suff w:val="nothing"/>
      <w:lvlText w:val="%1-"/>
      <w:lvlJc w:val="left"/>
      <w:pPr>
        <w:ind w:left="470" w:leftChars="0" w:firstLine="0" w:firstLineChars="0"/>
      </w:pPr>
    </w:lvl>
  </w:abstractNum>
  <w:abstractNum w:abstractNumId="7">
    <w:nsid w:val="1FC91163"/>
    <w:multiLevelType w:val="multilevel"/>
    <w:tmpl w:val="1FC91163"/>
    <w:lvl w:ilvl="0" w:tentative="0">
      <w:start w:val="1"/>
      <w:numFmt w:val="decimal"/>
      <w:pStyle w:val="23"/>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1"/>
      <w:suff w:val="nothing"/>
      <w:lvlText w:val="%1.%2　"/>
      <w:lvlJc w:val="left"/>
      <w:pPr>
        <w:ind w:left="315"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30"/>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2EF0B046"/>
    <w:multiLevelType w:val="singleLevel"/>
    <w:tmpl w:val="2EF0B046"/>
    <w:lvl w:ilvl="0" w:tentative="0">
      <w:start w:val="1"/>
      <w:numFmt w:val="decimal"/>
      <w:suff w:val="nothing"/>
      <w:lvlText w:val="%1-"/>
      <w:lvlJc w:val="left"/>
    </w:lvl>
  </w:abstractNum>
  <w:abstractNum w:abstractNumId="9">
    <w:nsid w:val="4F7064A6"/>
    <w:multiLevelType w:val="singleLevel"/>
    <w:tmpl w:val="4F7064A6"/>
    <w:lvl w:ilvl="0" w:tentative="0">
      <w:start w:val="1"/>
      <w:numFmt w:val="decimal"/>
      <w:suff w:val="nothing"/>
      <w:lvlText w:val="%1-"/>
      <w:lvlJc w:val="left"/>
    </w:lvl>
  </w:abstractNum>
  <w:abstractNum w:abstractNumId="10">
    <w:nsid w:val="5594554E"/>
    <w:multiLevelType w:val="singleLevel"/>
    <w:tmpl w:val="5594554E"/>
    <w:lvl w:ilvl="0" w:tentative="0">
      <w:start w:val="1"/>
      <w:numFmt w:val="decimal"/>
      <w:suff w:val="nothing"/>
      <w:lvlText w:val="%1-"/>
      <w:lvlJc w:val="left"/>
    </w:lvl>
  </w:abstractNum>
  <w:num w:numId="1">
    <w:abstractNumId w:val="7"/>
  </w:num>
  <w:num w:numId="2">
    <w:abstractNumId w:val="6"/>
  </w:num>
  <w:num w:numId="3">
    <w:abstractNumId w:val="1"/>
  </w:num>
  <w:num w:numId="4">
    <w:abstractNumId w:val="3"/>
  </w:num>
  <w:num w:numId="5">
    <w:abstractNumId w:val="5"/>
  </w:num>
  <w:num w:numId="6">
    <w:abstractNumId w:val="4"/>
  </w:num>
  <w:num w:numId="7">
    <w:abstractNumId w:val="8"/>
  </w:num>
  <w:num w:numId="8">
    <w:abstractNumId w:val="9"/>
  </w:num>
  <w:num w:numId="9">
    <w:abstractNumId w:val="2"/>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0MWNjM2QxNTdhN2NhOTY3ODc2YTllMGRhYTBkMDcifQ=="/>
  </w:docVars>
  <w:rsids>
    <w:rsidRoot w:val="74EC1BB2"/>
    <w:rsid w:val="00A95A9A"/>
    <w:rsid w:val="00AE65CC"/>
    <w:rsid w:val="00F0076D"/>
    <w:rsid w:val="01023C0A"/>
    <w:rsid w:val="010346F4"/>
    <w:rsid w:val="01062EEC"/>
    <w:rsid w:val="01411E2B"/>
    <w:rsid w:val="015300DA"/>
    <w:rsid w:val="01A835E4"/>
    <w:rsid w:val="01AE1146"/>
    <w:rsid w:val="01C14057"/>
    <w:rsid w:val="01CF32DE"/>
    <w:rsid w:val="01E404EC"/>
    <w:rsid w:val="01EC2486"/>
    <w:rsid w:val="01F62F61"/>
    <w:rsid w:val="02553FCA"/>
    <w:rsid w:val="029A6DDA"/>
    <w:rsid w:val="02A76009"/>
    <w:rsid w:val="02E022B8"/>
    <w:rsid w:val="03432E2D"/>
    <w:rsid w:val="03853231"/>
    <w:rsid w:val="038C01F9"/>
    <w:rsid w:val="03A12A26"/>
    <w:rsid w:val="044C50BA"/>
    <w:rsid w:val="045451AD"/>
    <w:rsid w:val="046F27CC"/>
    <w:rsid w:val="047B14FB"/>
    <w:rsid w:val="04925066"/>
    <w:rsid w:val="049A071E"/>
    <w:rsid w:val="04B4539E"/>
    <w:rsid w:val="04C335CE"/>
    <w:rsid w:val="04F76363"/>
    <w:rsid w:val="04FA5ACC"/>
    <w:rsid w:val="053679CB"/>
    <w:rsid w:val="057F4E72"/>
    <w:rsid w:val="060512A8"/>
    <w:rsid w:val="06223449"/>
    <w:rsid w:val="06334642"/>
    <w:rsid w:val="063D2F0C"/>
    <w:rsid w:val="066C5CBC"/>
    <w:rsid w:val="066F3137"/>
    <w:rsid w:val="073778F8"/>
    <w:rsid w:val="0749370E"/>
    <w:rsid w:val="07646335"/>
    <w:rsid w:val="07F46559"/>
    <w:rsid w:val="08241564"/>
    <w:rsid w:val="0831161B"/>
    <w:rsid w:val="08381BDD"/>
    <w:rsid w:val="083F195F"/>
    <w:rsid w:val="085D0005"/>
    <w:rsid w:val="0892020D"/>
    <w:rsid w:val="08BA0844"/>
    <w:rsid w:val="08C645B4"/>
    <w:rsid w:val="08CA7154"/>
    <w:rsid w:val="08EC0825"/>
    <w:rsid w:val="08F024B8"/>
    <w:rsid w:val="091C3588"/>
    <w:rsid w:val="092C393B"/>
    <w:rsid w:val="093E7984"/>
    <w:rsid w:val="096A2518"/>
    <w:rsid w:val="09AF5ECF"/>
    <w:rsid w:val="09DC74C7"/>
    <w:rsid w:val="09E0372C"/>
    <w:rsid w:val="0A0777FE"/>
    <w:rsid w:val="0A326B8A"/>
    <w:rsid w:val="0A4932D1"/>
    <w:rsid w:val="0A617154"/>
    <w:rsid w:val="0A641F8C"/>
    <w:rsid w:val="0A7874CD"/>
    <w:rsid w:val="0AAC240E"/>
    <w:rsid w:val="0AAD683A"/>
    <w:rsid w:val="0B2C71FC"/>
    <w:rsid w:val="0BAF665A"/>
    <w:rsid w:val="0BBF4DE2"/>
    <w:rsid w:val="0BC45929"/>
    <w:rsid w:val="0C0E3EB6"/>
    <w:rsid w:val="0C240B1E"/>
    <w:rsid w:val="0C2635D4"/>
    <w:rsid w:val="0C72169D"/>
    <w:rsid w:val="0C8278CB"/>
    <w:rsid w:val="0C8A09A3"/>
    <w:rsid w:val="0CA830A9"/>
    <w:rsid w:val="0CB108CD"/>
    <w:rsid w:val="0CC23472"/>
    <w:rsid w:val="0CF15DE9"/>
    <w:rsid w:val="0CFE46D0"/>
    <w:rsid w:val="0D2D1F42"/>
    <w:rsid w:val="0D3F27A6"/>
    <w:rsid w:val="0D720469"/>
    <w:rsid w:val="0D8A6E85"/>
    <w:rsid w:val="0DA87805"/>
    <w:rsid w:val="0EB27561"/>
    <w:rsid w:val="0EC42427"/>
    <w:rsid w:val="0EDD0B6A"/>
    <w:rsid w:val="0F0071CD"/>
    <w:rsid w:val="0F4D28E9"/>
    <w:rsid w:val="0FBA5E61"/>
    <w:rsid w:val="0FD157A2"/>
    <w:rsid w:val="101E196E"/>
    <w:rsid w:val="102D5D9F"/>
    <w:rsid w:val="10BF6446"/>
    <w:rsid w:val="11104540"/>
    <w:rsid w:val="111911E8"/>
    <w:rsid w:val="11244EE8"/>
    <w:rsid w:val="11762169"/>
    <w:rsid w:val="11866BD1"/>
    <w:rsid w:val="118D36B8"/>
    <w:rsid w:val="11BA2DA5"/>
    <w:rsid w:val="11E77DAD"/>
    <w:rsid w:val="121A5A2C"/>
    <w:rsid w:val="1225651B"/>
    <w:rsid w:val="122840B2"/>
    <w:rsid w:val="123C6A5E"/>
    <w:rsid w:val="124F384E"/>
    <w:rsid w:val="12746B60"/>
    <w:rsid w:val="129A5602"/>
    <w:rsid w:val="12AF0AC2"/>
    <w:rsid w:val="12B502CE"/>
    <w:rsid w:val="13070F42"/>
    <w:rsid w:val="13607CF4"/>
    <w:rsid w:val="137D0122"/>
    <w:rsid w:val="13AC5D4D"/>
    <w:rsid w:val="13B00FEB"/>
    <w:rsid w:val="13EE6E9F"/>
    <w:rsid w:val="141A79B9"/>
    <w:rsid w:val="142837DE"/>
    <w:rsid w:val="14456FD2"/>
    <w:rsid w:val="147D1D02"/>
    <w:rsid w:val="149A126F"/>
    <w:rsid w:val="149A4CFA"/>
    <w:rsid w:val="14A21B68"/>
    <w:rsid w:val="14A94753"/>
    <w:rsid w:val="14E951B7"/>
    <w:rsid w:val="14EF358A"/>
    <w:rsid w:val="15035BC5"/>
    <w:rsid w:val="151E54EF"/>
    <w:rsid w:val="15363948"/>
    <w:rsid w:val="154A6A54"/>
    <w:rsid w:val="155E3D63"/>
    <w:rsid w:val="156B0484"/>
    <w:rsid w:val="15943A68"/>
    <w:rsid w:val="159E0ED4"/>
    <w:rsid w:val="15A765F4"/>
    <w:rsid w:val="15C00840"/>
    <w:rsid w:val="15E263F9"/>
    <w:rsid w:val="165207B9"/>
    <w:rsid w:val="1658549F"/>
    <w:rsid w:val="1667229A"/>
    <w:rsid w:val="1676733B"/>
    <w:rsid w:val="16A448E1"/>
    <w:rsid w:val="16BA2357"/>
    <w:rsid w:val="171E6127"/>
    <w:rsid w:val="17233A97"/>
    <w:rsid w:val="173C7477"/>
    <w:rsid w:val="176811FF"/>
    <w:rsid w:val="17925D02"/>
    <w:rsid w:val="17C242B6"/>
    <w:rsid w:val="17E120F4"/>
    <w:rsid w:val="180971BE"/>
    <w:rsid w:val="185F0262"/>
    <w:rsid w:val="18752296"/>
    <w:rsid w:val="18A916AA"/>
    <w:rsid w:val="18C74AA5"/>
    <w:rsid w:val="191A14EE"/>
    <w:rsid w:val="1924530C"/>
    <w:rsid w:val="193701DB"/>
    <w:rsid w:val="193A6023"/>
    <w:rsid w:val="19474CB3"/>
    <w:rsid w:val="199118F8"/>
    <w:rsid w:val="199A2547"/>
    <w:rsid w:val="19A12E0A"/>
    <w:rsid w:val="19CB14C9"/>
    <w:rsid w:val="1A7152B2"/>
    <w:rsid w:val="1AB86BAD"/>
    <w:rsid w:val="1ABD2CAF"/>
    <w:rsid w:val="1AE74FE7"/>
    <w:rsid w:val="1B0E3442"/>
    <w:rsid w:val="1B9C0A10"/>
    <w:rsid w:val="1BEA0FE8"/>
    <w:rsid w:val="1BF328A2"/>
    <w:rsid w:val="1C003C97"/>
    <w:rsid w:val="1C21514A"/>
    <w:rsid w:val="1C2B73A4"/>
    <w:rsid w:val="1C396D8B"/>
    <w:rsid w:val="1C420E24"/>
    <w:rsid w:val="1C5F186C"/>
    <w:rsid w:val="1C782FB6"/>
    <w:rsid w:val="1CB6167C"/>
    <w:rsid w:val="1CF92CFD"/>
    <w:rsid w:val="1D0A6375"/>
    <w:rsid w:val="1D1860D7"/>
    <w:rsid w:val="1D4076DB"/>
    <w:rsid w:val="1D504771"/>
    <w:rsid w:val="1D696A8F"/>
    <w:rsid w:val="1D753106"/>
    <w:rsid w:val="1DA94818"/>
    <w:rsid w:val="1DB739B7"/>
    <w:rsid w:val="1DBC650F"/>
    <w:rsid w:val="1DE559AC"/>
    <w:rsid w:val="1DF14A59"/>
    <w:rsid w:val="1E451718"/>
    <w:rsid w:val="1ECB67E3"/>
    <w:rsid w:val="1EE06E2B"/>
    <w:rsid w:val="1EE537AE"/>
    <w:rsid w:val="1F2667DB"/>
    <w:rsid w:val="1F8B41DC"/>
    <w:rsid w:val="1F9C780E"/>
    <w:rsid w:val="1FF41164"/>
    <w:rsid w:val="201214DD"/>
    <w:rsid w:val="20191E9C"/>
    <w:rsid w:val="201A37D0"/>
    <w:rsid w:val="201E2CF4"/>
    <w:rsid w:val="205E3D53"/>
    <w:rsid w:val="20BC32B1"/>
    <w:rsid w:val="20D916DA"/>
    <w:rsid w:val="20DB1848"/>
    <w:rsid w:val="21160797"/>
    <w:rsid w:val="2116103D"/>
    <w:rsid w:val="214E2F14"/>
    <w:rsid w:val="2177331E"/>
    <w:rsid w:val="21A814D2"/>
    <w:rsid w:val="21D8190A"/>
    <w:rsid w:val="21DF13DD"/>
    <w:rsid w:val="21EF144C"/>
    <w:rsid w:val="21F076A0"/>
    <w:rsid w:val="227B299A"/>
    <w:rsid w:val="22E62574"/>
    <w:rsid w:val="22F03528"/>
    <w:rsid w:val="22FC61D3"/>
    <w:rsid w:val="22FF6A81"/>
    <w:rsid w:val="230B50D0"/>
    <w:rsid w:val="234B447C"/>
    <w:rsid w:val="23B3058C"/>
    <w:rsid w:val="23B56380"/>
    <w:rsid w:val="23B56B91"/>
    <w:rsid w:val="23C67416"/>
    <w:rsid w:val="23CC10E2"/>
    <w:rsid w:val="245E3686"/>
    <w:rsid w:val="247955FF"/>
    <w:rsid w:val="24EB53C6"/>
    <w:rsid w:val="24EF368F"/>
    <w:rsid w:val="24F71821"/>
    <w:rsid w:val="251C1478"/>
    <w:rsid w:val="255809FD"/>
    <w:rsid w:val="256832D4"/>
    <w:rsid w:val="25695674"/>
    <w:rsid w:val="257E6E22"/>
    <w:rsid w:val="25B464BD"/>
    <w:rsid w:val="25D43EDB"/>
    <w:rsid w:val="25DC3F82"/>
    <w:rsid w:val="25E76599"/>
    <w:rsid w:val="25EB6089"/>
    <w:rsid w:val="25F72C80"/>
    <w:rsid w:val="2611422F"/>
    <w:rsid w:val="26151358"/>
    <w:rsid w:val="264B6DD2"/>
    <w:rsid w:val="265F62F6"/>
    <w:rsid w:val="268866A7"/>
    <w:rsid w:val="268B41D8"/>
    <w:rsid w:val="26DC136A"/>
    <w:rsid w:val="26E70B0D"/>
    <w:rsid w:val="27466018"/>
    <w:rsid w:val="27512024"/>
    <w:rsid w:val="27714288"/>
    <w:rsid w:val="27A75FE0"/>
    <w:rsid w:val="280C4EFB"/>
    <w:rsid w:val="282C47E7"/>
    <w:rsid w:val="28322611"/>
    <w:rsid w:val="28411F9C"/>
    <w:rsid w:val="28656C88"/>
    <w:rsid w:val="28940C5A"/>
    <w:rsid w:val="289D601A"/>
    <w:rsid w:val="28A169AE"/>
    <w:rsid w:val="28A87637"/>
    <w:rsid w:val="28DE36D7"/>
    <w:rsid w:val="29464110"/>
    <w:rsid w:val="294D7C27"/>
    <w:rsid w:val="29545F6A"/>
    <w:rsid w:val="297939AC"/>
    <w:rsid w:val="29A924E3"/>
    <w:rsid w:val="29DF028A"/>
    <w:rsid w:val="2A0B0AA8"/>
    <w:rsid w:val="2A387307"/>
    <w:rsid w:val="2A3D6EF3"/>
    <w:rsid w:val="2A4C5A07"/>
    <w:rsid w:val="2A582119"/>
    <w:rsid w:val="2A5D7AD0"/>
    <w:rsid w:val="2A602BF5"/>
    <w:rsid w:val="2A6B3A80"/>
    <w:rsid w:val="2A6F1E5C"/>
    <w:rsid w:val="2A7E39B8"/>
    <w:rsid w:val="2A9203D2"/>
    <w:rsid w:val="2AA90B43"/>
    <w:rsid w:val="2AD76F1F"/>
    <w:rsid w:val="2ADD1432"/>
    <w:rsid w:val="2AE1447B"/>
    <w:rsid w:val="2AF357BE"/>
    <w:rsid w:val="2B540C91"/>
    <w:rsid w:val="2B58253D"/>
    <w:rsid w:val="2B686B2F"/>
    <w:rsid w:val="2B9B2FD7"/>
    <w:rsid w:val="2BCC4267"/>
    <w:rsid w:val="2BDD6613"/>
    <w:rsid w:val="2BE912BD"/>
    <w:rsid w:val="2C0E122C"/>
    <w:rsid w:val="2C3C763E"/>
    <w:rsid w:val="2C426179"/>
    <w:rsid w:val="2C4E2ECE"/>
    <w:rsid w:val="2C5C46A6"/>
    <w:rsid w:val="2C8B5ED0"/>
    <w:rsid w:val="2C9F3729"/>
    <w:rsid w:val="2CEC1469"/>
    <w:rsid w:val="2D1E0EC3"/>
    <w:rsid w:val="2D9555F9"/>
    <w:rsid w:val="2E0A3A43"/>
    <w:rsid w:val="2EC02C28"/>
    <w:rsid w:val="2F23713A"/>
    <w:rsid w:val="2F3A28D8"/>
    <w:rsid w:val="2F504AA3"/>
    <w:rsid w:val="2F532F8D"/>
    <w:rsid w:val="2F6173BC"/>
    <w:rsid w:val="2F662726"/>
    <w:rsid w:val="2F6E6F96"/>
    <w:rsid w:val="2F9D7EBA"/>
    <w:rsid w:val="2F9E546E"/>
    <w:rsid w:val="2FA94444"/>
    <w:rsid w:val="2FF91923"/>
    <w:rsid w:val="302C1778"/>
    <w:rsid w:val="30744ECD"/>
    <w:rsid w:val="30817D16"/>
    <w:rsid w:val="308455CC"/>
    <w:rsid w:val="30F83B17"/>
    <w:rsid w:val="31067532"/>
    <w:rsid w:val="31362229"/>
    <w:rsid w:val="315947EF"/>
    <w:rsid w:val="31612525"/>
    <w:rsid w:val="317F1B79"/>
    <w:rsid w:val="31DE6A1B"/>
    <w:rsid w:val="322F37A1"/>
    <w:rsid w:val="32486CC7"/>
    <w:rsid w:val="32513DDB"/>
    <w:rsid w:val="329F57DE"/>
    <w:rsid w:val="330A150E"/>
    <w:rsid w:val="330F3D88"/>
    <w:rsid w:val="33655FF4"/>
    <w:rsid w:val="33693BE5"/>
    <w:rsid w:val="336B2A00"/>
    <w:rsid w:val="337376BE"/>
    <w:rsid w:val="339C6C14"/>
    <w:rsid w:val="339E211D"/>
    <w:rsid w:val="33A361F5"/>
    <w:rsid w:val="33A65CE5"/>
    <w:rsid w:val="33F87759"/>
    <w:rsid w:val="341367EE"/>
    <w:rsid w:val="34165CC1"/>
    <w:rsid w:val="343C1D08"/>
    <w:rsid w:val="345673CD"/>
    <w:rsid w:val="348C4EDB"/>
    <w:rsid w:val="34A92B2D"/>
    <w:rsid w:val="34B102E3"/>
    <w:rsid w:val="34B4618B"/>
    <w:rsid w:val="34EA6325"/>
    <w:rsid w:val="34EF5862"/>
    <w:rsid w:val="34F767F8"/>
    <w:rsid w:val="351E44D4"/>
    <w:rsid w:val="352B528B"/>
    <w:rsid w:val="35604416"/>
    <w:rsid w:val="3569521C"/>
    <w:rsid w:val="3583135D"/>
    <w:rsid w:val="35847960"/>
    <w:rsid w:val="35A9702C"/>
    <w:rsid w:val="35F01D0A"/>
    <w:rsid w:val="35FE728D"/>
    <w:rsid w:val="36013C7C"/>
    <w:rsid w:val="361C228F"/>
    <w:rsid w:val="3628785A"/>
    <w:rsid w:val="36C721FA"/>
    <w:rsid w:val="36CA716E"/>
    <w:rsid w:val="37283F01"/>
    <w:rsid w:val="37381DB4"/>
    <w:rsid w:val="375C2D68"/>
    <w:rsid w:val="377F2A8B"/>
    <w:rsid w:val="37800CB8"/>
    <w:rsid w:val="378056EA"/>
    <w:rsid w:val="378648E5"/>
    <w:rsid w:val="378F7FC7"/>
    <w:rsid w:val="37DA7D0B"/>
    <w:rsid w:val="37F90D9E"/>
    <w:rsid w:val="38D155B2"/>
    <w:rsid w:val="3902165C"/>
    <w:rsid w:val="390B31DF"/>
    <w:rsid w:val="390E5EBF"/>
    <w:rsid w:val="392E0182"/>
    <w:rsid w:val="394F653F"/>
    <w:rsid w:val="396F7913"/>
    <w:rsid w:val="3987297D"/>
    <w:rsid w:val="39CA6929"/>
    <w:rsid w:val="39D646FE"/>
    <w:rsid w:val="3A064DE8"/>
    <w:rsid w:val="3A173499"/>
    <w:rsid w:val="3A24093B"/>
    <w:rsid w:val="3A901D8A"/>
    <w:rsid w:val="3AA20FB4"/>
    <w:rsid w:val="3AA73EEC"/>
    <w:rsid w:val="3ACD1DA9"/>
    <w:rsid w:val="3AFE37B2"/>
    <w:rsid w:val="3B5B0E29"/>
    <w:rsid w:val="3B5F4752"/>
    <w:rsid w:val="3B974891"/>
    <w:rsid w:val="3B9B4AD2"/>
    <w:rsid w:val="3BC56E39"/>
    <w:rsid w:val="3C211A2C"/>
    <w:rsid w:val="3C68447D"/>
    <w:rsid w:val="3CA115AD"/>
    <w:rsid w:val="3CBE720A"/>
    <w:rsid w:val="3D1D5CA3"/>
    <w:rsid w:val="3D234637"/>
    <w:rsid w:val="3D271155"/>
    <w:rsid w:val="3D361E88"/>
    <w:rsid w:val="3D4A6780"/>
    <w:rsid w:val="3D4E702A"/>
    <w:rsid w:val="3D835C1E"/>
    <w:rsid w:val="3DB17760"/>
    <w:rsid w:val="3DBD4EE9"/>
    <w:rsid w:val="3DD86B5C"/>
    <w:rsid w:val="3DF760B2"/>
    <w:rsid w:val="3DFE2091"/>
    <w:rsid w:val="3E037570"/>
    <w:rsid w:val="3E104487"/>
    <w:rsid w:val="3E162D85"/>
    <w:rsid w:val="3E486D7C"/>
    <w:rsid w:val="3E7A2C1B"/>
    <w:rsid w:val="3E7F160D"/>
    <w:rsid w:val="3E994DB5"/>
    <w:rsid w:val="3EA17085"/>
    <w:rsid w:val="3F1461F9"/>
    <w:rsid w:val="3F274471"/>
    <w:rsid w:val="3F3E3F33"/>
    <w:rsid w:val="3F5D0AB1"/>
    <w:rsid w:val="3F883455"/>
    <w:rsid w:val="3F983C5A"/>
    <w:rsid w:val="401F6B18"/>
    <w:rsid w:val="404C68FB"/>
    <w:rsid w:val="407735EF"/>
    <w:rsid w:val="40A75BD0"/>
    <w:rsid w:val="40A90ABF"/>
    <w:rsid w:val="40D720C5"/>
    <w:rsid w:val="40DD55F9"/>
    <w:rsid w:val="410340C0"/>
    <w:rsid w:val="412071E1"/>
    <w:rsid w:val="412902C7"/>
    <w:rsid w:val="41911D83"/>
    <w:rsid w:val="41A34021"/>
    <w:rsid w:val="4279304D"/>
    <w:rsid w:val="429D413C"/>
    <w:rsid w:val="42CA554C"/>
    <w:rsid w:val="42CC75DE"/>
    <w:rsid w:val="43346E69"/>
    <w:rsid w:val="434A6768"/>
    <w:rsid w:val="43A57808"/>
    <w:rsid w:val="43C8388F"/>
    <w:rsid w:val="442130E2"/>
    <w:rsid w:val="447E50B7"/>
    <w:rsid w:val="44D974B9"/>
    <w:rsid w:val="44F30C9C"/>
    <w:rsid w:val="451C1963"/>
    <w:rsid w:val="457571C2"/>
    <w:rsid w:val="45BB465C"/>
    <w:rsid w:val="45BF5994"/>
    <w:rsid w:val="45E306D3"/>
    <w:rsid w:val="46075AE5"/>
    <w:rsid w:val="460F14C8"/>
    <w:rsid w:val="465A46A3"/>
    <w:rsid w:val="46AC2426"/>
    <w:rsid w:val="46CE7438"/>
    <w:rsid w:val="46F32B98"/>
    <w:rsid w:val="47046B53"/>
    <w:rsid w:val="475E6263"/>
    <w:rsid w:val="47602F3B"/>
    <w:rsid w:val="477912EF"/>
    <w:rsid w:val="479B5ECC"/>
    <w:rsid w:val="47A73FAC"/>
    <w:rsid w:val="47D1745E"/>
    <w:rsid w:val="47FF00AA"/>
    <w:rsid w:val="4802207E"/>
    <w:rsid w:val="48247180"/>
    <w:rsid w:val="48482BE1"/>
    <w:rsid w:val="485A3CE5"/>
    <w:rsid w:val="48627C96"/>
    <w:rsid w:val="48855EC5"/>
    <w:rsid w:val="48A42B8F"/>
    <w:rsid w:val="48DA6E56"/>
    <w:rsid w:val="48E832B0"/>
    <w:rsid w:val="49022A62"/>
    <w:rsid w:val="490966A2"/>
    <w:rsid w:val="49455AA2"/>
    <w:rsid w:val="495042D1"/>
    <w:rsid w:val="49DA375D"/>
    <w:rsid w:val="4A0C644A"/>
    <w:rsid w:val="4A3C63C5"/>
    <w:rsid w:val="4A857FAB"/>
    <w:rsid w:val="4AA64C7C"/>
    <w:rsid w:val="4AD944A7"/>
    <w:rsid w:val="4B356647"/>
    <w:rsid w:val="4B4306B7"/>
    <w:rsid w:val="4B7C233F"/>
    <w:rsid w:val="4BD016F9"/>
    <w:rsid w:val="4BD11C1C"/>
    <w:rsid w:val="4BD21FAF"/>
    <w:rsid w:val="4BD74376"/>
    <w:rsid w:val="4C643439"/>
    <w:rsid w:val="4C86601C"/>
    <w:rsid w:val="4C906211"/>
    <w:rsid w:val="4CB56582"/>
    <w:rsid w:val="4CB91FBE"/>
    <w:rsid w:val="4CD160F4"/>
    <w:rsid w:val="4CD36B6D"/>
    <w:rsid w:val="4D0C3260"/>
    <w:rsid w:val="4D111067"/>
    <w:rsid w:val="4D3D2DBF"/>
    <w:rsid w:val="4D434172"/>
    <w:rsid w:val="4D533169"/>
    <w:rsid w:val="4D7C5695"/>
    <w:rsid w:val="4D7F1274"/>
    <w:rsid w:val="4DD50948"/>
    <w:rsid w:val="4DF178CC"/>
    <w:rsid w:val="4E18654B"/>
    <w:rsid w:val="4E67584A"/>
    <w:rsid w:val="4E745F37"/>
    <w:rsid w:val="4EB53C57"/>
    <w:rsid w:val="4EC217CD"/>
    <w:rsid w:val="4EF37CE4"/>
    <w:rsid w:val="4F0708BF"/>
    <w:rsid w:val="4F5D32A4"/>
    <w:rsid w:val="4F5F371E"/>
    <w:rsid w:val="4F69637A"/>
    <w:rsid w:val="4F7C118A"/>
    <w:rsid w:val="4F7C7BCE"/>
    <w:rsid w:val="4F866E19"/>
    <w:rsid w:val="4FCE5FEA"/>
    <w:rsid w:val="4FE95F06"/>
    <w:rsid w:val="4FFB6510"/>
    <w:rsid w:val="501A195F"/>
    <w:rsid w:val="50A65535"/>
    <w:rsid w:val="50BB2978"/>
    <w:rsid w:val="51334056"/>
    <w:rsid w:val="513B0D15"/>
    <w:rsid w:val="51453FF0"/>
    <w:rsid w:val="517410ED"/>
    <w:rsid w:val="517E7EC2"/>
    <w:rsid w:val="518C7E71"/>
    <w:rsid w:val="51BE0836"/>
    <w:rsid w:val="51D84AD5"/>
    <w:rsid w:val="523A71B9"/>
    <w:rsid w:val="52594E4B"/>
    <w:rsid w:val="52887502"/>
    <w:rsid w:val="528F038A"/>
    <w:rsid w:val="52AC2A3F"/>
    <w:rsid w:val="52BE430B"/>
    <w:rsid w:val="530C26F9"/>
    <w:rsid w:val="53AF3AB1"/>
    <w:rsid w:val="543D36A4"/>
    <w:rsid w:val="546D18E3"/>
    <w:rsid w:val="547D7645"/>
    <w:rsid w:val="547F3CBD"/>
    <w:rsid w:val="54AB07CC"/>
    <w:rsid w:val="54BA7B42"/>
    <w:rsid w:val="54BE1369"/>
    <w:rsid w:val="55115A90"/>
    <w:rsid w:val="55145CAF"/>
    <w:rsid w:val="55545149"/>
    <w:rsid w:val="5568451C"/>
    <w:rsid w:val="55762D8F"/>
    <w:rsid w:val="55837FA1"/>
    <w:rsid w:val="55872C81"/>
    <w:rsid w:val="558F36F1"/>
    <w:rsid w:val="5597676F"/>
    <w:rsid w:val="55992B5C"/>
    <w:rsid w:val="55A14682"/>
    <w:rsid w:val="5605029D"/>
    <w:rsid w:val="56182B48"/>
    <w:rsid w:val="562C1C22"/>
    <w:rsid w:val="56563E0B"/>
    <w:rsid w:val="56666EE2"/>
    <w:rsid w:val="566969D2"/>
    <w:rsid w:val="56BA0167"/>
    <w:rsid w:val="57287759"/>
    <w:rsid w:val="572A5116"/>
    <w:rsid w:val="577D2BCD"/>
    <w:rsid w:val="57AD1CC8"/>
    <w:rsid w:val="57D165DD"/>
    <w:rsid w:val="58015A42"/>
    <w:rsid w:val="585466BD"/>
    <w:rsid w:val="5892726E"/>
    <w:rsid w:val="58EE7EB0"/>
    <w:rsid w:val="58EF1591"/>
    <w:rsid w:val="590C005A"/>
    <w:rsid w:val="591E2795"/>
    <w:rsid w:val="593962FA"/>
    <w:rsid w:val="5942262A"/>
    <w:rsid w:val="59567B09"/>
    <w:rsid w:val="597F7A95"/>
    <w:rsid w:val="59864BB0"/>
    <w:rsid w:val="59886098"/>
    <w:rsid w:val="599B50F5"/>
    <w:rsid w:val="59EC75B1"/>
    <w:rsid w:val="5A1F548E"/>
    <w:rsid w:val="5A3016A1"/>
    <w:rsid w:val="5A4A63B8"/>
    <w:rsid w:val="5A4C0E38"/>
    <w:rsid w:val="5A7616BE"/>
    <w:rsid w:val="5ABC1C03"/>
    <w:rsid w:val="5AD5565C"/>
    <w:rsid w:val="5B167964"/>
    <w:rsid w:val="5B69537B"/>
    <w:rsid w:val="5BAD55B3"/>
    <w:rsid w:val="5BD57325"/>
    <w:rsid w:val="5BD64622"/>
    <w:rsid w:val="5C0E6052"/>
    <w:rsid w:val="5C554BF7"/>
    <w:rsid w:val="5C7969B4"/>
    <w:rsid w:val="5C8065F2"/>
    <w:rsid w:val="5CAC61DD"/>
    <w:rsid w:val="5CB96626"/>
    <w:rsid w:val="5CD903A5"/>
    <w:rsid w:val="5CF918A9"/>
    <w:rsid w:val="5D322596"/>
    <w:rsid w:val="5D571653"/>
    <w:rsid w:val="5D83037A"/>
    <w:rsid w:val="5D963448"/>
    <w:rsid w:val="5DA9115B"/>
    <w:rsid w:val="5E1174B2"/>
    <w:rsid w:val="5E510B63"/>
    <w:rsid w:val="5E533800"/>
    <w:rsid w:val="5E53616E"/>
    <w:rsid w:val="5EA06D09"/>
    <w:rsid w:val="5F17110D"/>
    <w:rsid w:val="5F952807"/>
    <w:rsid w:val="5F9F5213"/>
    <w:rsid w:val="5FA02721"/>
    <w:rsid w:val="5FD41659"/>
    <w:rsid w:val="609D2505"/>
    <w:rsid w:val="60D11C97"/>
    <w:rsid w:val="60EB3F52"/>
    <w:rsid w:val="6106551E"/>
    <w:rsid w:val="61340273"/>
    <w:rsid w:val="61354081"/>
    <w:rsid w:val="613B204E"/>
    <w:rsid w:val="616927D7"/>
    <w:rsid w:val="61953656"/>
    <w:rsid w:val="6198593A"/>
    <w:rsid w:val="61A05BAA"/>
    <w:rsid w:val="61DA1E91"/>
    <w:rsid w:val="61FC3AC9"/>
    <w:rsid w:val="61FC7C57"/>
    <w:rsid w:val="62282EC2"/>
    <w:rsid w:val="6241216A"/>
    <w:rsid w:val="624A6500"/>
    <w:rsid w:val="629504EF"/>
    <w:rsid w:val="629A2968"/>
    <w:rsid w:val="62A52B40"/>
    <w:rsid w:val="6383220D"/>
    <w:rsid w:val="639340F6"/>
    <w:rsid w:val="63CC5CC8"/>
    <w:rsid w:val="63D62198"/>
    <w:rsid w:val="63E55195"/>
    <w:rsid w:val="641834D7"/>
    <w:rsid w:val="643150DC"/>
    <w:rsid w:val="645A0F91"/>
    <w:rsid w:val="64942E6C"/>
    <w:rsid w:val="649C33A0"/>
    <w:rsid w:val="649C3672"/>
    <w:rsid w:val="64AC56B4"/>
    <w:rsid w:val="65022802"/>
    <w:rsid w:val="65241F3A"/>
    <w:rsid w:val="654C7BEB"/>
    <w:rsid w:val="659613AB"/>
    <w:rsid w:val="65AA3E98"/>
    <w:rsid w:val="65C80923"/>
    <w:rsid w:val="65D36DDE"/>
    <w:rsid w:val="65D70D0B"/>
    <w:rsid w:val="65DA51F7"/>
    <w:rsid w:val="65E63FF5"/>
    <w:rsid w:val="65F44347"/>
    <w:rsid w:val="65FF6A0B"/>
    <w:rsid w:val="660D0EEF"/>
    <w:rsid w:val="661F1FFD"/>
    <w:rsid w:val="664257D1"/>
    <w:rsid w:val="668771C6"/>
    <w:rsid w:val="668B5702"/>
    <w:rsid w:val="66D32372"/>
    <w:rsid w:val="672957C5"/>
    <w:rsid w:val="673F5705"/>
    <w:rsid w:val="6784498F"/>
    <w:rsid w:val="67902011"/>
    <w:rsid w:val="679318E2"/>
    <w:rsid w:val="67B3016B"/>
    <w:rsid w:val="67C00D64"/>
    <w:rsid w:val="68190258"/>
    <w:rsid w:val="687C4343"/>
    <w:rsid w:val="6889467E"/>
    <w:rsid w:val="68985B3E"/>
    <w:rsid w:val="68C500F0"/>
    <w:rsid w:val="68D6493A"/>
    <w:rsid w:val="68DA3707"/>
    <w:rsid w:val="69555E41"/>
    <w:rsid w:val="695D0180"/>
    <w:rsid w:val="699A3A56"/>
    <w:rsid w:val="69A35FDF"/>
    <w:rsid w:val="6A0665BA"/>
    <w:rsid w:val="6A2E4437"/>
    <w:rsid w:val="6A412654"/>
    <w:rsid w:val="6A934D08"/>
    <w:rsid w:val="6AA3015F"/>
    <w:rsid w:val="6AC41FD2"/>
    <w:rsid w:val="6AD0683F"/>
    <w:rsid w:val="6B032AFA"/>
    <w:rsid w:val="6B1E5B86"/>
    <w:rsid w:val="6B6838B2"/>
    <w:rsid w:val="6B83149A"/>
    <w:rsid w:val="6B96571C"/>
    <w:rsid w:val="6BBB7CAD"/>
    <w:rsid w:val="6BE25CE1"/>
    <w:rsid w:val="6C1700C8"/>
    <w:rsid w:val="6C2146B4"/>
    <w:rsid w:val="6C71062A"/>
    <w:rsid w:val="6CA033A3"/>
    <w:rsid w:val="6CB22A29"/>
    <w:rsid w:val="6CB26F6C"/>
    <w:rsid w:val="6CD62437"/>
    <w:rsid w:val="6D341E7B"/>
    <w:rsid w:val="6D667B37"/>
    <w:rsid w:val="6D765B35"/>
    <w:rsid w:val="6D9043F0"/>
    <w:rsid w:val="6DA515AE"/>
    <w:rsid w:val="6DA62041"/>
    <w:rsid w:val="6E216CAE"/>
    <w:rsid w:val="6E240314"/>
    <w:rsid w:val="6E5A1A0C"/>
    <w:rsid w:val="6E7A11F2"/>
    <w:rsid w:val="6E9543B1"/>
    <w:rsid w:val="6EA36ACE"/>
    <w:rsid w:val="6EAE5461"/>
    <w:rsid w:val="6ECA25C6"/>
    <w:rsid w:val="6EDD7F81"/>
    <w:rsid w:val="6EFF7A7C"/>
    <w:rsid w:val="6F030D95"/>
    <w:rsid w:val="6F1722EE"/>
    <w:rsid w:val="6F1928EC"/>
    <w:rsid w:val="6F914147"/>
    <w:rsid w:val="70223A22"/>
    <w:rsid w:val="705C5FA2"/>
    <w:rsid w:val="70AD3060"/>
    <w:rsid w:val="70C81E51"/>
    <w:rsid w:val="70EC31B6"/>
    <w:rsid w:val="711F25FB"/>
    <w:rsid w:val="712024F2"/>
    <w:rsid w:val="7151645A"/>
    <w:rsid w:val="71A22901"/>
    <w:rsid w:val="722B4720"/>
    <w:rsid w:val="72331F17"/>
    <w:rsid w:val="7243196D"/>
    <w:rsid w:val="72593FD5"/>
    <w:rsid w:val="72617209"/>
    <w:rsid w:val="726C0D52"/>
    <w:rsid w:val="729D1A86"/>
    <w:rsid w:val="72A76231"/>
    <w:rsid w:val="72C2737E"/>
    <w:rsid w:val="72D3344B"/>
    <w:rsid w:val="73520AC2"/>
    <w:rsid w:val="735A30D2"/>
    <w:rsid w:val="73A262F5"/>
    <w:rsid w:val="74640AAD"/>
    <w:rsid w:val="746C5D7A"/>
    <w:rsid w:val="74A14767"/>
    <w:rsid w:val="74D3178F"/>
    <w:rsid w:val="74EC1BB2"/>
    <w:rsid w:val="74FC2929"/>
    <w:rsid w:val="754A2EAF"/>
    <w:rsid w:val="754D3F8D"/>
    <w:rsid w:val="7581743D"/>
    <w:rsid w:val="75C51B68"/>
    <w:rsid w:val="75F419BD"/>
    <w:rsid w:val="763063F1"/>
    <w:rsid w:val="763A43F3"/>
    <w:rsid w:val="764864EC"/>
    <w:rsid w:val="767F1702"/>
    <w:rsid w:val="76C41CC4"/>
    <w:rsid w:val="76C8615F"/>
    <w:rsid w:val="76DA2396"/>
    <w:rsid w:val="76F9066F"/>
    <w:rsid w:val="771816DB"/>
    <w:rsid w:val="772F6B60"/>
    <w:rsid w:val="773878D0"/>
    <w:rsid w:val="77616805"/>
    <w:rsid w:val="7763329E"/>
    <w:rsid w:val="77862D07"/>
    <w:rsid w:val="77A73268"/>
    <w:rsid w:val="77BC6FB5"/>
    <w:rsid w:val="77DF60B3"/>
    <w:rsid w:val="77F20DC0"/>
    <w:rsid w:val="781C78CE"/>
    <w:rsid w:val="783367FE"/>
    <w:rsid w:val="786A7C6C"/>
    <w:rsid w:val="78856B64"/>
    <w:rsid w:val="78944E1E"/>
    <w:rsid w:val="78F023DA"/>
    <w:rsid w:val="78FD06F4"/>
    <w:rsid w:val="79250169"/>
    <w:rsid w:val="79473D58"/>
    <w:rsid w:val="795922C4"/>
    <w:rsid w:val="795C1AA5"/>
    <w:rsid w:val="795E2293"/>
    <w:rsid w:val="797053A4"/>
    <w:rsid w:val="79833549"/>
    <w:rsid w:val="79857922"/>
    <w:rsid w:val="799F03AC"/>
    <w:rsid w:val="79B12988"/>
    <w:rsid w:val="79C310B6"/>
    <w:rsid w:val="79CB0CF0"/>
    <w:rsid w:val="79F27B08"/>
    <w:rsid w:val="79FB599E"/>
    <w:rsid w:val="79FE552F"/>
    <w:rsid w:val="7A007D00"/>
    <w:rsid w:val="7A0E77E5"/>
    <w:rsid w:val="7A3251AA"/>
    <w:rsid w:val="7A463AD6"/>
    <w:rsid w:val="7A467235"/>
    <w:rsid w:val="7A8A58E4"/>
    <w:rsid w:val="7AD85B58"/>
    <w:rsid w:val="7B2014A6"/>
    <w:rsid w:val="7B8E1002"/>
    <w:rsid w:val="7B9A28CE"/>
    <w:rsid w:val="7BEA31FC"/>
    <w:rsid w:val="7BF55F5A"/>
    <w:rsid w:val="7C376AA7"/>
    <w:rsid w:val="7C541672"/>
    <w:rsid w:val="7C5807CC"/>
    <w:rsid w:val="7CA6076F"/>
    <w:rsid w:val="7CB050A6"/>
    <w:rsid w:val="7CB75593"/>
    <w:rsid w:val="7CE06A51"/>
    <w:rsid w:val="7D4A0A5C"/>
    <w:rsid w:val="7D886D0E"/>
    <w:rsid w:val="7D9E2CE1"/>
    <w:rsid w:val="7DA939FA"/>
    <w:rsid w:val="7DC0212F"/>
    <w:rsid w:val="7DD847C5"/>
    <w:rsid w:val="7E1370A0"/>
    <w:rsid w:val="7E317E2E"/>
    <w:rsid w:val="7EC50D56"/>
    <w:rsid w:val="7EDC33FA"/>
    <w:rsid w:val="7EFF5614"/>
    <w:rsid w:val="7F132C5D"/>
    <w:rsid w:val="7F484B27"/>
    <w:rsid w:val="7F4D597C"/>
    <w:rsid w:val="7F5B161F"/>
    <w:rsid w:val="7FBA6D58"/>
    <w:rsid w:val="7FD40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5"/>
    <w:qFormat/>
    <w:uiPriority w:val="0"/>
    <w:pPr>
      <w:keepNext/>
      <w:keepLines/>
      <w:spacing w:before="340" w:after="330" w:line="500" w:lineRule="exact"/>
      <w:jc w:val="center"/>
      <w:outlineLvl w:val="0"/>
    </w:pPr>
    <w:rPr>
      <w:b/>
      <w:bCs/>
      <w:kern w:val="44"/>
      <w:sz w:val="36"/>
      <w:szCs w:val="36"/>
    </w:rPr>
  </w:style>
  <w:style w:type="paragraph" w:styleId="3">
    <w:name w:val="heading 2"/>
    <w:basedOn w:val="1"/>
    <w:next w:val="1"/>
    <w:qFormat/>
    <w:uiPriority w:val="9"/>
    <w:pPr>
      <w:keepNext/>
      <w:keepLines/>
      <w:spacing w:before="260" w:after="260" w:line="500" w:lineRule="exact"/>
      <w:jc w:val="center"/>
      <w:outlineLvl w:val="1"/>
    </w:pPr>
    <w:rPr>
      <w:rFonts w:ascii="Times New Roman" w:hAnsi="Times New Roman" w:cs="Times New Roman"/>
      <w:b/>
      <w:bCs/>
      <w:sz w:val="28"/>
      <w:szCs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qFormat/>
    <w:uiPriority w:val="1"/>
    <w:pPr>
      <w:spacing w:before="135"/>
      <w:ind w:left="120"/>
      <w:jc w:val="left"/>
    </w:pPr>
    <w:rPr>
      <w:rFonts w:ascii="宋体" w:hAnsi="宋体" w:eastAsia="宋体"/>
      <w:kern w:val="0"/>
      <w:sz w:val="24"/>
      <w:lang w:eastAsia="en-US"/>
    </w:rPr>
  </w:style>
  <w:style w:type="paragraph" w:styleId="6">
    <w:name w:val="Plain Text"/>
    <w:basedOn w:val="1"/>
    <w:semiHidden/>
    <w:unhideWhenUsed/>
    <w:qFormat/>
    <w:uiPriority w:val="99"/>
    <w:rPr>
      <w:rFonts w:hAnsi="Courier New" w:cs="Courier New" w:asciiTheme="minorEastAsia" w:eastAsiaTheme="minorEastAsia"/>
    </w:rPr>
  </w:style>
  <w:style w:type="paragraph" w:styleId="7">
    <w:name w:val="footer"/>
    <w:basedOn w:val="1"/>
    <w:link w:val="26"/>
    <w:unhideWhenUsed/>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tabs>
        <w:tab w:val="right" w:leader="dot" w:pos="9241"/>
      </w:tabs>
      <w:spacing w:before="25" w:beforeLines="25" w:after="25" w:afterLines="25"/>
      <w:jc w:val="left"/>
    </w:pPr>
    <w:rPr>
      <w:rFonts w:ascii="宋体"/>
      <w:szCs w:val="21"/>
    </w:rPr>
  </w:style>
  <w:style w:type="paragraph" w:styleId="10">
    <w:name w:val="toc 2"/>
    <w:basedOn w:val="1"/>
    <w:next w:val="1"/>
    <w:unhideWhenUsed/>
    <w:qFormat/>
    <w:uiPriority w:val="39"/>
    <w:pPr>
      <w:ind w:left="420" w:leftChars="200"/>
    </w:pPr>
  </w:style>
  <w:style w:type="paragraph" w:styleId="11">
    <w:name w:val="Normal (Web)"/>
    <w:basedOn w:val="1"/>
    <w:qFormat/>
    <w:uiPriority w:val="0"/>
    <w:rPr>
      <w:sz w:val="24"/>
    </w:rPr>
  </w:style>
  <w:style w:type="table" w:styleId="13">
    <w:name w:val="Table Grid"/>
    <w:basedOn w:val="12"/>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5">
    <w:name w:val="page number"/>
    <w:basedOn w:val="14"/>
    <w:qFormat/>
    <w:uiPriority w:val="0"/>
  </w:style>
  <w:style w:type="character" w:styleId="16">
    <w:name w:val="Hyperlink"/>
    <w:basedOn w:val="14"/>
    <w:unhideWhenUsed/>
    <w:qFormat/>
    <w:uiPriority w:val="99"/>
    <w:rPr>
      <w:color w:val="0000FF"/>
      <w:u w:val="single"/>
    </w:rPr>
  </w:style>
  <w:style w:type="character" w:styleId="17">
    <w:name w:val="annotation reference"/>
    <w:basedOn w:val="14"/>
    <w:qFormat/>
    <w:uiPriority w:val="0"/>
    <w:rPr>
      <w:sz w:val="21"/>
      <w:szCs w:val="21"/>
    </w:rPr>
  </w:style>
  <w:style w:type="paragraph" w:customStyle="1" w:styleId="1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9">
    <w:name w:val="样式 小四 首行缩进:  2 字符 段前: 0.5 行"/>
    <w:basedOn w:val="1"/>
    <w:qFormat/>
    <w:uiPriority w:val="0"/>
    <w:pPr>
      <w:spacing w:line="360" w:lineRule="auto"/>
      <w:ind w:firstLine="200" w:firstLineChars="200"/>
    </w:pPr>
    <w:rPr>
      <w:rFonts w:cs="宋体"/>
      <w:kern w:val="0"/>
      <w:sz w:val="24"/>
      <w:szCs w:val="20"/>
    </w:rPr>
  </w:style>
  <w:style w:type="paragraph" w:customStyle="1" w:styleId="20">
    <w:name w:val="Body text9"/>
    <w:basedOn w:val="1"/>
    <w:qFormat/>
    <w:uiPriority w:val="0"/>
    <w:pPr>
      <w:shd w:val="clear" w:color="auto" w:fill="FFFFFF"/>
      <w:spacing w:before="540" w:line="930" w:lineRule="exact"/>
      <w:ind w:hanging="1500"/>
      <w:jc w:val="distribute"/>
    </w:pPr>
    <w:rPr>
      <w:rFonts w:ascii="Arial Unicode MS" w:hAnsi="Arial Unicode MS" w:cs="Arial Unicode MS"/>
      <w:kern w:val="0"/>
      <w:sz w:val="45"/>
      <w:szCs w:val="45"/>
    </w:rPr>
  </w:style>
  <w:style w:type="paragraph" w:customStyle="1" w:styleId="21">
    <w:name w:val="First Paragraph"/>
    <w:basedOn w:val="5"/>
    <w:next w:val="5"/>
    <w:qFormat/>
    <w:uiPriority w:val="0"/>
    <w:pPr>
      <w:spacing w:before="180" w:after="180"/>
      <w:ind w:left="0"/>
      <w:jc w:val="both"/>
    </w:pPr>
    <w:rPr>
      <w:rFonts w:ascii="Times New Roman" w:hAnsi="Times New Roman"/>
      <w:kern w:val="2"/>
      <w:sz w:val="21"/>
      <w:lang w:eastAsia="zh-CN"/>
    </w:rPr>
  </w:style>
  <w:style w:type="paragraph" w:customStyle="1" w:styleId="22">
    <w:name w:val="封面正文"/>
    <w:qFormat/>
    <w:uiPriority w:val="0"/>
    <w:pPr>
      <w:jc w:val="both"/>
    </w:pPr>
    <w:rPr>
      <w:rFonts w:ascii="Times New Roman" w:hAnsi="Times New Roman" w:eastAsia="宋体" w:cs="Times New Roman"/>
      <w:sz w:val="21"/>
      <w:szCs w:val="22"/>
      <w:lang w:val="en-US" w:eastAsia="zh-CN" w:bidi="ar-SA"/>
    </w:rPr>
  </w:style>
  <w:style w:type="paragraph" w:customStyle="1" w:styleId="23">
    <w:name w:val="章标题"/>
    <w:next w:val="18"/>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4">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character" w:customStyle="1" w:styleId="25">
    <w:name w:val="标题 1 Char"/>
    <w:link w:val="2"/>
    <w:qFormat/>
    <w:uiPriority w:val="0"/>
    <w:rPr>
      <w:b/>
      <w:bCs/>
      <w:kern w:val="44"/>
      <w:sz w:val="36"/>
      <w:szCs w:val="36"/>
    </w:rPr>
  </w:style>
  <w:style w:type="character" w:customStyle="1" w:styleId="26">
    <w:name w:val="页脚 Char"/>
    <w:link w:val="7"/>
    <w:qFormat/>
    <w:uiPriority w:val="99"/>
    <w:rPr>
      <w:sz w:val="18"/>
      <w:szCs w:val="18"/>
    </w:rPr>
  </w:style>
  <w:style w:type="paragraph" w:customStyle="1" w:styleId="27">
    <w:name w:val="ordinary-output"/>
    <w:basedOn w:val="1"/>
    <w:qFormat/>
    <w:uiPriority w:val="0"/>
    <w:pPr>
      <w:widowControl/>
      <w:spacing w:before="100" w:beforeAutospacing="1" w:after="63" w:line="275" w:lineRule="atLeast"/>
      <w:jc w:val="left"/>
    </w:pPr>
    <w:rPr>
      <w:rFonts w:ascii="宋体" w:hAnsi="宋体" w:eastAsia="宋体" w:cs="宋体"/>
      <w:color w:val="333333"/>
      <w:kern w:val="0"/>
      <w:sz w:val="18"/>
      <w:szCs w:val="18"/>
    </w:rPr>
  </w:style>
  <w:style w:type="paragraph" w:customStyle="1" w:styleId="28">
    <w:name w:val="规程英文名称（封面）"/>
    <w:basedOn w:val="6"/>
    <w:qFormat/>
    <w:uiPriority w:val="0"/>
    <w:pPr>
      <w:widowControl/>
      <w:snapToGrid w:val="0"/>
      <w:spacing w:line="360" w:lineRule="auto"/>
      <w:ind w:left="178" w:leftChars="85"/>
      <w:jc w:val="center"/>
    </w:pPr>
    <w:rPr>
      <w:rFonts w:ascii="Times New Roman" w:hAnsi="Times New Roman" w:eastAsia="黑体" w:cs="Times New Roman"/>
      <w:kern w:val="0"/>
      <w:sz w:val="44"/>
      <w:szCs w:val="44"/>
    </w:rPr>
  </w:style>
  <w:style w:type="paragraph" w:customStyle="1" w:styleId="29">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30">
    <w:name w:val="二级条标题"/>
    <w:basedOn w:val="31"/>
    <w:next w:val="18"/>
    <w:qFormat/>
    <w:uiPriority w:val="0"/>
    <w:pPr>
      <w:numPr>
        <w:ilvl w:val="2"/>
      </w:numPr>
      <w:spacing w:before="50" w:after="50"/>
      <w:outlineLvl w:val="3"/>
    </w:pPr>
  </w:style>
  <w:style w:type="paragraph" w:customStyle="1" w:styleId="31">
    <w:name w:val="一级条标题"/>
    <w:next w:val="18"/>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1.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cyMTQwNjAwNTQxIiwKCSJHcm91cElkIiA6ICIzMjE2MTgxMzYiLAoJIkltYWdlIiA6ICJpVkJPUncwS0dnb0FBQUFOU1VoRVVnQUFBMDBBQUFDeENBWUFBQUFZdTFiVEFBQUFDWEJJV1hNQUFBc1RBQUFMRXdFQW1wd1lBQUFnQUVsRVFWUjRuT3pkZDFnVTE5Y0g4Ty91MG50UndZb0YyMCtOZ2owaVVXTVNqU1ZHbzdHZ1lza3Fpa1pGWSt6ZDJHTmlReXdvS3FKUjFDaHE3QWdFRzJJSjZpS0lLQ0pJRVhCZGxtVjM1djJEN0gwWmRoZXd4SG8reitNak84ek16ZzU3NTg2NWMrKzVB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BRHcvd0IxMytPTDlBampDd0FBQUFCSlJVNUVya0pnZ2c9PSIsCgkiVGhlbWUiIDogIiIsCgkiVHlwZSIgOiAiZmxvdyIsCgkiVmVyc2lvbiIgOiAiOSIKfQo="/>
    </extobj>
    <extobj name="ECB019B1-382A-4266-B25C-5B523AA43C14-2">
      <extobjdata type="ECB019B1-382A-4266-B25C-5B523AA43C14" data="ewoJIkZpbGVJZCIgOiAiMTY5MTA2MzA5MTgxIiwKCSJHcm91cElkIiA6ICIzMjE2MTgxMzYiLAoJIkltYWdlIiA6ICJpVkJPUncwS0dnb0FBQUFOU1VoRVVnQUFBcjhBQUFDMUNBWUFBQUJXSFplaEFBQUFDWEJJV1hNQUFBc1RBQUFMRXdFQW1wd1lBQUFnQUVsRVFWUjRuTzNkWjBBVVY5c0c0SHVYWmdVRXUwYkYrRnFDaVFGallnRUxRV05ITVJZSXhtN0FhQlFMSm1nc1NJeGlBeXRpTDRpdkdrb1FKYUpFeEs1WW9rU3hJVGFhQ2toZDJOMzVmdkR0aEhVWEpjb3JJUGYxaDkyWk16Tm5sMzEybmoxejVoeUF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paXVmL0FBaUUxRDJLTS9SSEFBQUFBRWxGVGtTdVFtQ0MiLAoJIlRoZW1lIiA6ICIiLAoJIlR5cGUiIDogImZsb3ciLAoJIlZlcnNpb24iIDogIjQ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22740</Words>
  <Characters>26441</Characters>
  <Lines>0</Lines>
  <Paragraphs>0</Paragraphs>
  <TotalTime>3</TotalTime>
  <ScaleCrop>false</ScaleCrop>
  <LinksUpToDate>false</LinksUpToDate>
  <CharactersWithSpaces>28311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2022-03-22T09:02:00Z</dcterms:created>
  <dc:creator>张佳音</dc:creator>
  <cp:lastModifiedBy>JL</cp:lastModifiedBy>
  <cp:lastPrinted>2022-05-03T13:51:00Z</cp:lastPrinted>
  <dcterms:modified xsi:type="dcterms:W3CDTF">2022-05-24T23:06:35Z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B057DA07B6A34A14AEB72F8ABB5ACD80</vt:lpwstr>
  </property>
  <property fmtid="{D5CDD505-2E9C-101B-9397-08002B2CF9AE}" pid="4" name="commondata">
    <vt:lpwstr>eyJoZGlkIjoiNGU5YTk2NWU3OTRhNTU0YjZlNWE0ODExMjY4YzM0MTgifQ==</vt:lpwstr>
  </property>
</Properties>
</file>