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eastAsia="黑体" w:cs="黑体"/>
          <w:color w:val="auto"/>
          <w:kern w:val="2"/>
          <w:sz w:val="36"/>
          <w:szCs w:val="36"/>
        </w:rPr>
      </w:pPr>
    </w:p>
    <w:p>
      <w:pPr>
        <w:widowControl/>
        <w:jc w:val="center"/>
        <w:rPr>
          <w:rFonts w:eastAsia="黑体" w:cs="黑体"/>
          <w:color w:val="auto"/>
          <w:kern w:val="2"/>
          <w:sz w:val="36"/>
          <w:szCs w:val="36"/>
        </w:rPr>
      </w:pPr>
    </w:p>
    <w:p>
      <w:pPr>
        <w:widowControl/>
        <w:jc w:val="center"/>
        <w:rPr>
          <w:rFonts w:eastAsia="黑体"/>
          <w:b/>
          <w:color w:val="auto"/>
          <w:kern w:val="2"/>
          <w:sz w:val="32"/>
          <w:szCs w:val="32"/>
        </w:rPr>
      </w:pPr>
      <w:r>
        <w:rPr>
          <w:rFonts w:hint="eastAsia" w:eastAsia="黑体" w:cs="黑体"/>
          <w:b/>
          <w:color w:val="auto"/>
          <w:kern w:val="2"/>
          <w:sz w:val="36"/>
          <w:szCs w:val="36"/>
        </w:rPr>
        <w:t>中国工程建设协会标准</w:t>
      </w:r>
    </w:p>
    <w:p>
      <w:pPr>
        <w:widowControl/>
        <w:jc w:val="left"/>
        <w:rPr>
          <w:rFonts w:eastAsia="黑体"/>
          <w:color w:val="auto"/>
          <w:kern w:val="2"/>
          <w:sz w:val="32"/>
          <w:szCs w:val="32"/>
        </w:rPr>
      </w:pPr>
    </w:p>
    <w:p>
      <w:pPr>
        <w:widowControl/>
        <w:jc w:val="center"/>
        <w:rPr>
          <w:rFonts w:eastAsia="黑体"/>
          <w:color w:val="auto"/>
          <w:kern w:val="2"/>
          <w:sz w:val="32"/>
          <w:szCs w:val="32"/>
        </w:rPr>
      </w:pPr>
    </w:p>
    <w:p>
      <w:pPr>
        <w:widowControl/>
        <w:spacing w:line="360" w:lineRule="auto"/>
        <w:jc w:val="center"/>
        <w:rPr>
          <w:rFonts w:hint="eastAsia" w:ascii="黑体" w:eastAsia="黑体"/>
          <w:b/>
          <w:color w:val="auto"/>
          <w:sz w:val="48"/>
          <w:szCs w:val="48"/>
        </w:rPr>
      </w:pPr>
      <w:r>
        <w:rPr>
          <w:rFonts w:hint="eastAsia" w:ascii="黑体" w:eastAsia="黑体"/>
          <w:b/>
          <w:color w:val="auto"/>
          <w:sz w:val="48"/>
          <w:szCs w:val="48"/>
        </w:rPr>
        <w:t>钢结构住宅设计规范</w:t>
      </w:r>
    </w:p>
    <w:p>
      <w:pPr>
        <w:widowControl/>
        <w:spacing w:line="360" w:lineRule="auto"/>
        <w:jc w:val="center"/>
        <w:rPr>
          <w:rFonts w:hint="default" w:ascii="黑体" w:eastAsia="黑体"/>
          <w:b/>
          <w:color w:val="auto"/>
          <w:sz w:val="48"/>
          <w:szCs w:val="48"/>
          <w:lang w:val="en-US" w:eastAsia="zh-CN"/>
        </w:rPr>
      </w:pPr>
      <w:r>
        <w:rPr>
          <w:rFonts w:hint="eastAsia" w:ascii="黑体" w:eastAsia="黑体"/>
          <w:b/>
          <w:color w:val="auto"/>
          <w:sz w:val="48"/>
          <w:szCs w:val="48"/>
          <w:lang w:val="en-US" w:eastAsia="zh-CN"/>
        </w:rPr>
        <w:t>(征求意见稿)</w:t>
      </w:r>
    </w:p>
    <w:p>
      <w:pPr>
        <w:widowControl/>
        <w:spacing w:line="360" w:lineRule="auto"/>
        <w:jc w:val="center"/>
        <w:rPr>
          <w:rFonts w:eastAsia="黑体"/>
          <w:b/>
          <w:color w:val="auto"/>
          <w:kern w:val="2"/>
          <w:sz w:val="48"/>
          <w:szCs w:val="48"/>
        </w:rPr>
      </w:pPr>
    </w:p>
    <w:p>
      <w:pPr>
        <w:autoSpaceDE w:val="0"/>
        <w:autoSpaceDN w:val="0"/>
        <w:adjustRightInd w:val="0"/>
        <w:jc w:val="center"/>
        <w:rPr>
          <w:rFonts w:eastAsia="黑体" w:asciiTheme="minorHAnsi" w:hAnsiTheme="minorHAnsi" w:cstheme="minorHAnsi"/>
          <w:color w:val="auto"/>
          <w:w w:val="95"/>
          <w:sz w:val="36"/>
          <w:szCs w:val="36"/>
        </w:rPr>
      </w:pPr>
      <w:r>
        <w:rPr>
          <w:rFonts w:hint="eastAsia" w:eastAsia="黑体" w:asciiTheme="minorHAnsi" w:hAnsiTheme="minorHAnsi" w:cstheme="minorHAnsi"/>
          <w:color w:val="auto"/>
          <w:w w:val="95"/>
          <w:sz w:val="36"/>
          <w:szCs w:val="36"/>
        </w:rPr>
        <w:t>Design code</w:t>
      </w:r>
      <w:r>
        <w:rPr>
          <w:rFonts w:eastAsia="黑体" w:asciiTheme="minorHAnsi" w:hAnsiTheme="minorHAnsi" w:cstheme="minorHAnsi"/>
          <w:color w:val="auto"/>
          <w:w w:val="95"/>
          <w:sz w:val="36"/>
          <w:szCs w:val="36"/>
        </w:rPr>
        <w:t xml:space="preserve"> for </w:t>
      </w:r>
      <w:r>
        <w:rPr>
          <w:rFonts w:hint="eastAsia" w:eastAsia="黑体" w:asciiTheme="minorHAnsi" w:hAnsiTheme="minorHAnsi" w:cstheme="minorHAnsi"/>
          <w:color w:val="auto"/>
          <w:w w:val="95"/>
          <w:sz w:val="36"/>
          <w:szCs w:val="36"/>
        </w:rPr>
        <w:t>steel structure residential buildings</w:t>
      </w:r>
    </w:p>
    <w:p>
      <w:pPr>
        <w:autoSpaceDE w:val="0"/>
        <w:autoSpaceDN w:val="0"/>
        <w:adjustRightInd w:val="0"/>
        <w:jc w:val="center"/>
        <w:rPr>
          <w:rFonts w:asciiTheme="minorHAnsi" w:hAnsiTheme="minorHAnsi" w:cstheme="minorHAnsi"/>
          <w:b/>
          <w:color w:val="auto"/>
          <w:sz w:val="36"/>
          <w:szCs w:val="36"/>
        </w:rPr>
      </w:pPr>
    </w:p>
    <w:p>
      <w:pPr>
        <w:widowControl/>
        <w:spacing w:line="360" w:lineRule="auto"/>
        <w:jc w:val="center"/>
        <w:rPr>
          <w:rFonts w:ascii="黑体" w:eastAsia="黑体"/>
          <w:color w:val="auto"/>
          <w:kern w:val="2"/>
          <w:sz w:val="32"/>
          <w:szCs w:val="32"/>
        </w:rPr>
      </w:pPr>
      <w:r>
        <w:rPr>
          <w:rFonts w:hint="eastAsia" w:ascii="黑体" w:eastAsia="黑体"/>
          <w:b/>
          <w:color w:val="auto"/>
          <w:kern w:val="2"/>
          <w:sz w:val="32"/>
          <w:szCs w:val="32"/>
        </w:rPr>
        <w:t>C</w:t>
      </w:r>
      <w:r>
        <w:rPr>
          <w:rFonts w:ascii="黑体" w:eastAsia="黑体"/>
          <w:b/>
          <w:color w:val="auto"/>
          <w:kern w:val="2"/>
          <w:sz w:val="32"/>
          <w:szCs w:val="32"/>
        </w:rPr>
        <w:t xml:space="preserve">ECS </w:t>
      </w:r>
      <w:r>
        <w:rPr>
          <w:rFonts w:hint="eastAsia" w:ascii="黑体" w:eastAsia="黑体"/>
          <w:b/>
          <w:color w:val="auto"/>
          <w:sz w:val="32"/>
          <w:szCs w:val="32"/>
        </w:rPr>
        <w:t>261：</w:t>
      </w:r>
      <w:r>
        <w:rPr>
          <w:rFonts w:ascii="黑体" w:eastAsia="黑体"/>
          <w:b/>
          <w:color w:val="auto"/>
          <w:sz w:val="32"/>
          <w:szCs w:val="32"/>
        </w:rPr>
        <w:t>20</w:t>
      </w:r>
      <w:r>
        <w:rPr>
          <w:rFonts w:ascii="黑体" w:eastAsia="黑体"/>
          <w:b/>
          <w:color w:val="FF0000"/>
          <w:sz w:val="32"/>
          <w:szCs w:val="32"/>
        </w:rPr>
        <w:t>XX</w:t>
      </w:r>
    </w:p>
    <w:p>
      <w:pPr>
        <w:widowControl/>
        <w:spacing w:line="360" w:lineRule="auto"/>
        <w:jc w:val="center"/>
        <w:rPr>
          <w:rFonts w:eastAsia="黑体"/>
          <w:color w:val="auto"/>
          <w:kern w:val="2"/>
          <w:sz w:val="36"/>
          <w:szCs w:val="36"/>
        </w:rPr>
      </w:pPr>
    </w:p>
    <w:p>
      <w:pPr>
        <w:widowControl/>
        <w:spacing w:line="360" w:lineRule="auto"/>
        <w:jc w:val="center"/>
        <w:rPr>
          <w:rFonts w:eastAsia="黑体" w:asciiTheme="minorHAnsi" w:hAnsiTheme="minorHAnsi" w:cstheme="minorHAnsi"/>
          <w:color w:val="auto"/>
          <w:kern w:val="2"/>
          <w:sz w:val="24"/>
          <w:szCs w:val="24"/>
        </w:rPr>
      </w:pPr>
    </w:p>
    <w:p>
      <w:pPr>
        <w:widowControl/>
        <w:spacing w:line="360" w:lineRule="auto"/>
        <w:jc w:val="center"/>
        <w:rPr>
          <w:rFonts w:eastAsia="黑体" w:asciiTheme="minorHAnsi" w:hAnsiTheme="minorHAnsi" w:cstheme="minorHAnsi"/>
          <w:color w:val="auto"/>
          <w:kern w:val="2"/>
          <w:sz w:val="24"/>
          <w:szCs w:val="24"/>
        </w:rPr>
      </w:pPr>
    </w:p>
    <w:p>
      <w:pPr>
        <w:widowControl/>
        <w:spacing w:line="360" w:lineRule="auto"/>
        <w:jc w:val="center"/>
        <w:rPr>
          <w:rFonts w:eastAsia="黑体" w:asciiTheme="minorHAnsi" w:hAnsiTheme="minorHAnsi" w:cstheme="minorHAnsi"/>
          <w:color w:val="auto"/>
          <w:kern w:val="2"/>
          <w:sz w:val="24"/>
          <w:szCs w:val="24"/>
        </w:rPr>
      </w:pPr>
    </w:p>
    <w:p>
      <w:pPr>
        <w:widowControl/>
        <w:spacing w:line="360" w:lineRule="auto"/>
        <w:jc w:val="center"/>
        <w:rPr>
          <w:rFonts w:eastAsia="黑体" w:asciiTheme="minorHAnsi" w:hAnsiTheme="minorHAnsi" w:cstheme="minorHAnsi"/>
          <w:color w:val="auto"/>
          <w:kern w:val="2"/>
          <w:sz w:val="24"/>
          <w:szCs w:val="24"/>
        </w:rPr>
      </w:pPr>
    </w:p>
    <w:p>
      <w:pPr>
        <w:widowControl/>
        <w:spacing w:line="360" w:lineRule="auto"/>
        <w:jc w:val="center"/>
        <w:rPr>
          <w:rFonts w:eastAsia="黑体" w:asciiTheme="minorHAnsi" w:hAnsiTheme="minorHAnsi" w:cstheme="minorHAnsi"/>
          <w:color w:val="auto"/>
          <w:kern w:val="2"/>
          <w:sz w:val="24"/>
          <w:szCs w:val="24"/>
        </w:rPr>
      </w:pPr>
    </w:p>
    <w:p>
      <w:pPr>
        <w:widowControl/>
        <w:spacing w:line="360" w:lineRule="auto"/>
        <w:jc w:val="center"/>
        <w:rPr>
          <w:rFonts w:eastAsia="黑体" w:asciiTheme="minorHAnsi" w:hAnsiTheme="minorHAnsi" w:cstheme="minorHAnsi"/>
          <w:color w:val="auto"/>
          <w:kern w:val="2"/>
          <w:sz w:val="24"/>
          <w:szCs w:val="24"/>
        </w:rPr>
      </w:pPr>
    </w:p>
    <w:p>
      <w:pPr>
        <w:widowControl/>
        <w:spacing w:line="360" w:lineRule="auto"/>
        <w:jc w:val="center"/>
        <w:rPr>
          <w:rFonts w:eastAsia="黑体" w:asciiTheme="minorHAnsi" w:hAnsiTheme="minorHAnsi" w:cstheme="minorHAnsi"/>
          <w:color w:val="auto"/>
          <w:kern w:val="2"/>
          <w:sz w:val="24"/>
          <w:szCs w:val="24"/>
        </w:rPr>
      </w:pPr>
    </w:p>
    <w:p>
      <w:pPr>
        <w:widowControl/>
        <w:spacing w:line="360" w:lineRule="auto"/>
        <w:jc w:val="center"/>
        <w:rPr>
          <w:rFonts w:eastAsia="黑体" w:asciiTheme="minorHAnsi" w:hAnsiTheme="minorHAnsi" w:cstheme="minorHAnsi"/>
          <w:color w:val="auto"/>
          <w:kern w:val="2"/>
          <w:sz w:val="24"/>
          <w:szCs w:val="24"/>
        </w:rPr>
      </w:pPr>
    </w:p>
    <w:p>
      <w:pPr>
        <w:widowControl/>
        <w:spacing w:line="360" w:lineRule="auto"/>
        <w:jc w:val="center"/>
        <w:rPr>
          <w:rFonts w:eastAsia="黑体" w:asciiTheme="minorHAnsi" w:hAnsiTheme="minorHAnsi" w:cstheme="minorHAnsi"/>
          <w:color w:val="auto"/>
          <w:kern w:val="2"/>
          <w:sz w:val="24"/>
          <w:szCs w:val="24"/>
        </w:rPr>
      </w:pPr>
    </w:p>
    <w:p>
      <w:pPr>
        <w:widowControl/>
        <w:spacing w:line="360" w:lineRule="auto"/>
        <w:jc w:val="center"/>
        <w:rPr>
          <w:rFonts w:eastAsia="黑体" w:asciiTheme="minorHAnsi" w:hAnsiTheme="minorHAnsi" w:cstheme="minorHAnsi"/>
          <w:color w:val="auto"/>
          <w:kern w:val="2"/>
          <w:sz w:val="24"/>
          <w:szCs w:val="24"/>
        </w:rPr>
      </w:pPr>
    </w:p>
    <w:p>
      <w:pPr>
        <w:widowControl/>
        <w:spacing w:line="360" w:lineRule="auto"/>
        <w:rPr>
          <w:rFonts w:eastAsia="黑体" w:asciiTheme="minorHAnsi" w:hAnsiTheme="minorHAnsi" w:cstheme="minorHAnsi"/>
          <w:color w:val="auto"/>
          <w:kern w:val="2"/>
          <w:sz w:val="24"/>
          <w:szCs w:val="24"/>
        </w:rPr>
      </w:pPr>
    </w:p>
    <w:p>
      <w:pPr>
        <w:widowControl/>
        <w:spacing w:line="360" w:lineRule="auto"/>
        <w:jc w:val="center"/>
        <w:rPr>
          <w:rFonts w:ascii="仿宋" w:hAnsi="仿宋" w:eastAsia="仿宋"/>
          <w:color w:val="auto"/>
          <w:sz w:val="32"/>
          <w:szCs w:val="32"/>
        </w:rPr>
      </w:pPr>
      <w:r>
        <w:rPr>
          <w:rFonts w:eastAsia="黑体" w:asciiTheme="minorHAnsi" w:hAnsiTheme="minorHAnsi" w:cstheme="minorHAnsi"/>
          <w:color w:val="auto"/>
          <w:kern w:val="2"/>
          <w:sz w:val="24"/>
          <w:szCs w:val="24"/>
        </w:rPr>
        <w:t>20</w:t>
      </w:r>
      <w:r>
        <w:rPr>
          <w:rFonts w:eastAsia="黑体" w:asciiTheme="minorHAnsi" w:hAnsiTheme="minorHAnsi" w:cstheme="minorHAnsi"/>
          <w:color w:val="FF0000"/>
          <w:kern w:val="2"/>
          <w:sz w:val="24"/>
          <w:szCs w:val="24"/>
        </w:rPr>
        <w:t>××</w:t>
      </w:r>
      <w:r>
        <w:rPr>
          <w:rFonts w:eastAsia="黑体" w:asciiTheme="minorHAnsi" w:hAnsiTheme="minorHAnsi" w:cstheme="minorHAnsi"/>
          <w:color w:val="auto"/>
          <w:kern w:val="2"/>
          <w:sz w:val="24"/>
          <w:szCs w:val="24"/>
        </w:rPr>
        <w:t xml:space="preserve">  北 京</w:t>
      </w:r>
      <w:r>
        <w:rPr>
          <w:rFonts w:ascii="仿宋" w:hAnsi="仿宋" w:eastAsia="仿宋"/>
          <w:color w:val="auto"/>
          <w:sz w:val="32"/>
          <w:szCs w:val="32"/>
        </w:rPr>
        <w:br w:type="page"/>
      </w:r>
    </w:p>
    <w:p>
      <w:pPr>
        <w:pStyle w:val="2"/>
        <w:jc w:val="center"/>
        <w:rPr>
          <w:color w:val="auto"/>
          <w:sz w:val="32"/>
          <w:szCs w:val="32"/>
        </w:rPr>
      </w:pPr>
      <w:bookmarkStart w:id="0" w:name="_Toc103958733"/>
      <w:r>
        <w:rPr>
          <w:rFonts w:hint="eastAsia"/>
          <w:color w:val="auto"/>
          <w:sz w:val="32"/>
          <w:szCs w:val="32"/>
        </w:rPr>
        <w:t xml:space="preserve">目 </w:t>
      </w:r>
      <w:r>
        <w:rPr>
          <w:color w:val="auto"/>
          <w:sz w:val="32"/>
          <w:szCs w:val="32"/>
        </w:rPr>
        <w:t xml:space="preserve">    </w:t>
      </w:r>
      <w:r>
        <w:rPr>
          <w:rFonts w:hint="eastAsia"/>
          <w:color w:val="auto"/>
          <w:sz w:val="32"/>
          <w:szCs w:val="32"/>
        </w:rPr>
        <w:t>次</w:t>
      </w:r>
      <w:bookmarkEnd w:id="0"/>
    </w:p>
    <w:p>
      <w:pPr>
        <w:pStyle w:val="11"/>
        <w:tabs>
          <w:tab w:val="right" w:leader="dot" w:pos="8296"/>
        </w:tabs>
        <w:spacing w:line="360" w:lineRule="auto"/>
        <w:rPr>
          <w:rFonts w:asciiTheme="minorHAnsi" w:hAnsiTheme="minorHAnsi" w:eastAsiaTheme="minorEastAsia" w:cstheme="minorBidi"/>
        </w:rPr>
      </w:pPr>
      <w:r>
        <w:rPr>
          <w:rFonts w:ascii="宋体" w:hAnsi="宋体" w:eastAsia="宋体"/>
        </w:rPr>
        <w:fldChar w:fldCharType="begin"/>
      </w:r>
      <w:r>
        <w:rPr>
          <w:rFonts w:ascii="宋体" w:hAnsi="宋体" w:eastAsia="宋体"/>
        </w:rPr>
        <w:instrText xml:space="preserve"> TOC \o "1-3" \h \z \u </w:instrText>
      </w:r>
      <w:r>
        <w:rPr>
          <w:rFonts w:ascii="宋体" w:hAnsi="宋体" w:eastAsia="宋体"/>
        </w:rPr>
        <w:fldChar w:fldCharType="separate"/>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"_Toc103958734" </w:instrText>
      </w:r>
      <w:r>
        <w:fldChar w:fldCharType="separate"/>
      </w:r>
      <w:r>
        <w:rPr>
          <w:rStyle w:val="19"/>
          <w:rFonts w:ascii="宋体" w:hAnsi="宋体" w:eastAsia="宋体"/>
          <w:sz w:val="24"/>
          <w:szCs w:val="24"/>
        </w:rPr>
        <w:t xml:space="preserve">1  </w:t>
      </w:r>
      <w:r>
        <w:rPr>
          <w:rStyle w:val="19"/>
          <w:rFonts w:hint="eastAsia" w:ascii="宋体" w:hAnsi="宋体" w:eastAsia="宋体"/>
          <w:sz w:val="24"/>
          <w:szCs w:val="24"/>
        </w:rPr>
        <w:t>总则</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_Toc103958734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"_Toc103958735" </w:instrText>
      </w:r>
      <w:r>
        <w:fldChar w:fldCharType="separate"/>
      </w:r>
      <w:r>
        <w:rPr>
          <w:rStyle w:val="19"/>
          <w:rFonts w:ascii="宋体" w:hAnsi="宋体" w:eastAsia="宋体"/>
          <w:sz w:val="24"/>
          <w:szCs w:val="24"/>
        </w:rPr>
        <w:t xml:space="preserve">2  </w:t>
      </w:r>
      <w:r>
        <w:rPr>
          <w:rStyle w:val="19"/>
          <w:rFonts w:hint="eastAsia" w:ascii="宋体" w:hAnsi="宋体" w:eastAsia="宋体"/>
          <w:sz w:val="24"/>
          <w:szCs w:val="24"/>
        </w:rPr>
        <w:t>术语</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_Toc103958735 \h </w:instrText>
      </w:r>
      <w:r>
        <w:rPr>
          <w:rFonts w:ascii="宋体" w:hAnsi="宋体" w:eastAsia="宋体"/>
          <w:sz w:val="24"/>
          <w:szCs w:val="24"/>
        </w:rPr>
        <w:fldChar w:fldCharType="separate"/>
      </w:r>
      <w:r>
        <w:rPr>
          <w:rFonts w:ascii="宋体" w:hAnsi="宋体" w:eastAsia="宋体"/>
          <w:sz w:val="24"/>
          <w:szCs w:val="24"/>
        </w:rPr>
        <w:t>9</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"_Toc103958736" </w:instrText>
      </w:r>
      <w:r>
        <w:fldChar w:fldCharType="separate"/>
      </w:r>
      <w:r>
        <w:rPr>
          <w:rStyle w:val="19"/>
          <w:rFonts w:ascii="宋体" w:hAnsi="宋体" w:eastAsia="宋体"/>
          <w:sz w:val="24"/>
          <w:szCs w:val="24"/>
        </w:rPr>
        <w:t xml:space="preserve">3  </w:t>
      </w:r>
      <w:r>
        <w:rPr>
          <w:rStyle w:val="19"/>
          <w:rFonts w:hint="eastAsia" w:ascii="宋体" w:hAnsi="宋体" w:eastAsia="宋体"/>
          <w:sz w:val="24"/>
          <w:szCs w:val="24"/>
        </w:rPr>
        <w:t>住宅性能要求</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_Toc103958736 \h </w:instrText>
      </w:r>
      <w:r>
        <w:rPr>
          <w:rFonts w:ascii="宋体" w:hAnsi="宋体" w:eastAsia="宋体"/>
          <w:sz w:val="24"/>
          <w:szCs w:val="24"/>
        </w:rPr>
        <w:fldChar w:fldCharType="separate"/>
      </w:r>
      <w:r>
        <w:rPr>
          <w:rFonts w:ascii="宋体" w:hAnsi="宋体" w:eastAsia="宋体"/>
          <w:sz w:val="24"/>
          <w:szCs w:val="24"/>
        </w:rPr>
        <w:t>13</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ind w:left="221"/>
        <w:rPr>
          <w:rFonts w:ascii="宋体" w:hAnsi="宋体" w:eastAsia="宋体" w:cstheme="minorBidi"/>
          <w:kern w:val="2"/>
          <w:sz w:val="24"/>
          <w:szCs w:val="24"/>
        </w:rPr>
      </w:pPr>
      <w:r>
        <w:fldChar w:fldCharType="begin"/>
      </w:r>
      <w:r>
        <w:instrText xml:space="preserve"> HYPERLINK \l "_Toc103958737" </w:instrText>
      </w:r>
      <w:r>
        <w:fldChar w:fldCharType="separate"/>
      </w:r>
      <w:r>
        <w:rPr>
          <w:rStyle w:val="19"/>
          <w:rFonts w:ascii="宋体" w:hAnsi="宋体" w:eastAsia="宋体"/>
          <w:sz w:val="24"/>
          <w:szCs w:val="24"/>
        </w:rPr>
        <w:t xml:space="preserve">3.1  </w:t>
      </w:r>
      <w:r>
        <w:rPr>
          <w:rStyle w:val="19"/>
          <w:rFonts w:hint="eastAsia" w:ascii="宋体" w:hAnsi="宋体" w:eastAsia="宋体"/>
          <w:sz w:val="24"/>
          <w:szCs w:val="24"/>
        </w:rPr>
        <w:t>住宅适用性能要求</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_Toc103958737 \h </w:instrText>
      </w:r>
      <w:r>
        <w:rPr>
          <w:rFonts w:ascii="宋体" w:hAnsi="宋体" w:eastAsia="宋体"/>
          <w:sz w:val="24"/>
          <w:szCs w:val="24"/>
        </w:rPr>
        <w:fldChar w:fldCharType="separate"/>
      </w:r>
      <w:r>
        <w:rPr>
          <w:rFonts w:ascii="宋体" w:hAnsi="宋体" w:eastAsia="宋体"/>
          <w:sz w:val="24"/>
          <w:szCs w:val="24"/>
        </w:rPr>
        <w:t>13</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"_Toc103958738" </w:instrText>
      </w:r>
      <w:r>
        <w:fldChar w:fldCharType="separate"/>
      </w:r>
      <w:r>
        <w:rPr>
          <w:rStyle w:val="19"/>
          <w:rFonts w:ascii="宋体" w:hAnsi="宋体" w:eastAsia="宋体"/>
          <w:sz w:val="24"/>
          <w:szCs w:val="24"/>
        </w:rPr>
        <w:t xml:space="preserve">3.2  </w:t>
      </w:r>
      <w:r>
        <w:rPr>
          <w:rStyle w:val="19"/>
          <w:rFonts w:hint="eastAsia" w:ascii="宋体" w:hAnsi="宋体" w:eastAsia="宋体"/>
          <w:sz w:val="24"/>
          <w:szCs w:val="24"/>
        </w:rPr>
        <w:t>住宅健康舒适性能要求</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_Toc103958738 \h </w:instrText>
      </w:r>
      <w:r>
        <w:rPr>
          <w:rFonts w:ascii="宋体" w:hAnsi="宋体" w:eastAsia="宋体"/>
          <w:sz w:val="24"/>
          <w:szCs w:val="24"/>
        </w:rPr>
        <w:fldChar w:fldCharType="separate"/>
      </w:r>
      <w:r>
        <w:rPr>
          <w:rFonts w:ascii="宋体" w:hAnsi="宋体" w:eastAsia="宋体"/>
          <w:sz w:val="24"/>
          <w:szCs w:val="24"/>
        </w:rPr>
        <w:t>14</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"_Toc103958739" </w:instrText>
      </w:r>
      <w:r>
        <w:fldChar w:fldCharType="separate"/>
      </w:r>
      <w:r>
        <w:rPr>
          <w:rStyle w:val="19"/>
          <w:rFonts w:ascii="宋体" w:hAnsi="宋体" w:eastAsia="宋体"/>
          <w:sz w:val="24"/>
          <w:szCs w:val="24"/>
        </w:rPr>
        <w:t xml:space="preserve">3.3  </w:t>
      </w:r>
      <w:r>
        <w:rPr>
          <w:rStyle w:val="19"/>
          <w:rFonts w:hint="eastAsia" w:ascii="宋体" w:hAnsi="宋体" w:eastAsia="宋体"/>
          <w:sz w:val="24"/>
          <w:szCs w:val="24"/>
        </w:rPr>
        <w:t>住宅安全性能要求</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_Toc103958739 \h </w:instrText>
      </w:r>
      <w:r>
        <w:rPr>
          <w:rFonts w:ascii="宋体" w:hAnsi="宋体" w:eastAsia="宋体"/>
          <w:sz w:val="24"/>
          <w:szCs w:val="24"/>
        </w:rPr>
        <w:fldChar w:fldCharType="separate"/>
      </w:r>
      <w:r>
        <w:rPr>
          <w:rFonts w:ascii="宋体" w:hAnsi="宋体" w:eastAsia="宋体"/>
          <w:sz w:val="24"/>
          <w:szCs w:val="24"/>
        </w:rPr>
        <w:t>18</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"_Toc103958740" </w:instrText>
      </w:r>
      <w:r>
        <w:fldChar w:fldCharType="separate"/>
      </w:r>
      <w:r>
        <w:rPr>
          <w:rStyle w:val="19"/>
          <w:rFonts w:ascii="宋体" w:hAnsi="宋体" w:eastAsia="宋体"/>
          <w:sz w:val="24"/>
          <w:szCs w:val="24"/>
        </w:rPr>
        <w:t xml:space="preserve">3.4  </w:t>
      </w:r>
      <w:r>
        <w:rPr>
          <w:rStyle w:val="19"/>
          <w:rFonts w:hint="eastAsia" w:ascii="宋体" w:hAnsi="宋体" w:eastAsia="宋体"/>
          <w:sz w:val="24"/>
          <w:szCs w:val="24"/>
        </w:rPr>
        <w:t>住宅耐久性能要求</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_Toc103958740 \h </w:instrText>
      </w:r>
      <w:r>
        <w:rPr>
          <w:rFonts w:ascii="宋体" w:hAnsi="宋体" w:eastAsia="宋体"/>
          <w:sz w:val="24"/>
          <w:szCs w:val="24"/>
        </w:rPr>
        <w:fldChar w:fldCharType="separate"/>
      </w:r>
      <w:r>
        <w:rPr>
          <w:rFonts w:ascii="宋体" w:hAnsi="宋体" w:eastAsia="宋体"/>
          <w:sz w:val="24"/>
          <w:szCs w:val="24"/>
        </w:rPr>
        <w:t>20</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"_Toc103958741" </w:instrText>
      </w:r>
      <w:r>
        <w:fldChar w:fldCharType="separate"/>
      </w:r>
      <w:r>
        <w:rPr>
          <w:rStyle w:val="19"/>
          <w:rFonts w:ascii="宋体" w:hAnsi="宋体" w:eastAsia="宋体"/>
          <w:sz w:val="24"/>
          <w:szCs w:val="24"/>
        </w:rPr>
        <w:t xml:space="preserve">3.5  </w:t>
      </w:r>
      <w:r>
        <w:rPr>
          <w:rStyle w:val="19"/>
          <w:rFonts w:hint="eastAsia" w:ascii="宋体" w:hAnsi="宋体" w:eastAsia="宋体"/>
          <w:sz w:val="24"/>
          <w:szCs w:val="24"/>
        </w:rPr>
        <w:t>住宅绿色低碳要求</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_Toc103958741 \h </w:instrText>
      </w:r>
      <w:r>
        <w:rPr>
          <w:rFonts w:ascii="宋体" w:hAnsi="宋体" w:eastAsia="宋体"/>
          <w:sz w:val="24"/>
          <w:szCs w:val="24"/>
        </w:rPr>
        <w:fldChar w:fldCharType="separate"/>
      </w:r>
      <w:r>
        <w:rPr>
          <w:rFonts w:ascii="宋体" w:hAnsi="宋体" w:eastAsia="宋体"/>
          <w:sz w:val="24"/>
          <w:szCs w:val="24"/>
        </w:rPr>
        <w:t>21</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"_Toc103958742" </w:instrText>
      </w:r>
      <w:r>
        <w:fldChar w:fldCharType="separate"/>
      </w:r>
      <w:r>
        <w:rPr>
          <w:rStyle w:val="19"/>
          <w:rFonts w:ascii="宋体" w:hAnsi="宋体" w:eastAsia="宋体"/>
          <w:sz w:val="24"/>
          <w:szCs w:val="24"/>
        </w:rPr>
        <w:t xml:space="preserve">4  </w:t>
      </w:r>
      <w:r>
        <w:rPr>
          <w:rStyle w:val="19"/>
          <w:rFonts w:hint="eastAsia" w:ascii="宋体" w:hAnsi="宋体" w:eastAsia="宋体"/>
          <w:sz w:val="24"/>
          <w:szCs w:val="24"/>
        </w:rPr>
        <w:t>设计基本规定</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_Toc103958742 \h </w:instrText>
      </w:r>
      <w:r>
        <w:rPr>
          <w:rFonts w:ascii="宋体" w:hAnsi="宋体" w:eastAsia="宋体"/>
          <w:sz w:val="24"/>
          <w:szCs w:val="24"/>
        </w:rPr>
        <w:fldChar w:fldCharType="separate"/>
      </w:r>
      <w:r>
        <w:rPr>
          <w:rFonts w:ascii="宋体" w:hAnsi="宋体" w:eastAsia="宋体"/>
          <w:sz w:val="24"/>
          <w:szCs w:val="24"/>
        </w:rPr>
        <w:t>23</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"_Toc103958743" </w:instrText>
      </w:r>
      <w:r>
        <w:fldChar w:fldCharType="separate"/>
      </w:r>
      <w:r>
        <w:rPr>
          <w:rStyle w:val="19"/>
          <w:rFonts w:ascii="宋体" w:hAnsi="宋体" w:eastAsia="宋体"/>
          <w:sz w:val="24"/>
          <w:szCs w:val="24"/>
        </w:rPr>
        <w:t xml:space="preserve">5  </w:t>
      </w:r>
      <w:r>
        <w:rPr>
          <w:rStyle w:val="19"/>
          <w:rFonts w:hint="eastAsia" w:ascii="宋体" w:hAnsi="宋体" w:eastAsia="宋体"/>
          <w:sz w:val="24"/>
          <w:szCs w:val="24"/>
        </w:rPr>
        <w:t>建筑设计</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_Toc103958743 \h </w:instrText>
      </w:r>
      <w:r>
        <w:rPr>
          <w:rFonts w:ascii="宋体" w:hAnsi="宋体" w:eastAsia="宋体"/>
          <w:sz w:val="24"/>
          <w:szCs w:val="24"/>
        </w:rPr>
        <w:fldChar w:fldCharType="separate"/>
      </w:r>
      <w:r>
        <w:rPr>
          <w:rFonts w:ascii="宋体" w:hAnsi="宋体" w:eastAsia="宋体"/>
          <w:sz w:val="24"/>
          <w:szCs w:val="24"/>
        </w:rPr>
        <w:t>25</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"_Toc103958744" </w:instrText>
      </w:r>
      <w:r>
        <w:fldChar w:fldCharType="separate"/>
      </w:r>
      <w:r>
        <w:rPr>
          <w:rStyle w:val="19"/>
          <w:rFonts w:ascii="宋体" w:hAnsi="宋体" w:eastAsia="宋体"/>
          <w:sz w:val="24"/>
          <w:szCs w:val="24"/>
        </w:rPr>
        <w:t xml:space="preserve">5.1  </w:t>
      </w:r>
      <w:r>
        <w:rPr>
          <w:rStyle w:val="19"/>
          <w:rFonts w:hint="eastAsia" w:ascii="宋体" w:hAnsi="宋体" w:eastAsia="宋体"/>
          <w:sz w:val="24"/>
          <w:szCs w:val="24"/>
        </w:rPr>
        <w:t>一般规定</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_Toc103958744 \h </w:instrText>
      </w:r>
      <w:r>
        <w:rPr>
          <w:rFonts w:ascii="宋体" w:hAnsi="宋体" w:eastAsia="宋体"/>
          <w:sz w:val="24"/>
          <w:szCs w:val="24"/>
        </w:rPr>
        <w:fldChar w:fldCharType="separate"/>
      </w:r>
      <w:r>
        <w:rPr>
          <w:rFonts w:ascii="宋体" w:hAnsi="宋体" w:eastAsia="宋体"/>
          <w:sz w:val="24"/>
          <w:szCs w:val="24"/>
        </w:rPr>
        <w:t>25</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"_Toc103958745" </w:instrText>
      </w:r>
      <w:r>
        <w:fldChar w:fldCharType="separate"/>
      </w:r>
      <w:r>
        <w:rPr>
          <w:rStyle w:val="19"/>
          <w:rFonts w:ascii="宋体" w:hAnsi="宋体" w:eastAsia="宋体"/>
          <w:sz w:val="24"/>
          <w:szCs w:val="24"/>
        </w:rPr>
        <w:t xml:space="preserve">5.2  </w:t>
      </w:r>
      <w:r>
        <w:rPr>
          <w:rStyle w:val="19"/>
          <w:rFonts w:hint="eastAsia" w:ascii="宋体" w:hAnsi="宋体" w:eastAsia="宋体"/>
          <w:sz w:val="24"/>
          <w:szCs w:val="24"/>
        </w:rPr>
        <w:t>模数协调</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_Toc103958745 \h </w:instrText>
      </w:r>
      <w:r>
        <w:rPr>
          <w:rFonts w:ascii="宋体" w:hAnsi="宋体" w:eastAsia="宋体"/>
          <w:sz w:val="24"/>
          <w:szCs w:val="24"/>
        </w:rPr>
        <w:fldChar w:fldCharType="separate"/>
      </w:r>
      <w:r>
        <w:rPr>
          <w:rFonts w:ascii="宋体" w:hAnsi="宋体" w:eastAsia="宋体"/>
          <w:sz w:val="24"/>
          <w:szCs w:val="24"/>
        </w:rPr>
        <w:t>25</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"_Toc103958746" </w:instrText>
      </w:r>
      <w:r>
        <w:fldChar w:fldCharType="separate"/>
      </w:r>
      <w:r>
        <w:rPr>
          <w:rStyle w:val="19"/>
          <w:rFonts w:ascii="宋体" w:hAnsi="宋体" w:eastAsia="宋体"/>
          <w:sz w:val="24"/>
          <w:szCs w:val="24"/>
        </w:rPr>
        <w:t xml:space="preserve">5.3  </w:t>
      </w:r>
      <w:r>
        <w:rPr>
          <w:rStyle w:val="19"/>
          <w:rFonts w:hint="eastAsia" w:ascii="宋体" w:hAnsi="宋体" w:eastAsia="宋体"/>
          <w:sz w:val="24"/>
          <w:szCs w:val="24"/>
        </w:rPr>
        <w:t>标准化设计</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_Toc103958746 \h </w:instrText>
      </w:r>
      <w:r>
        <w:rPr>
          <w:rFonts w:ascii="宋体" w:hAnsi="宋体" w:eastAsia="宋体"/>
          <w:sz w:val="24"/>
          <w:szCs w:val="24"/>
        </w:rPr>
        <w:fldChar w:fldCharType="separate"/>
      </w:r>
      <w:r>
        <w:rPr>
          <w:rFonts w:ascii="宋体" w:hAnsi="宋体" w:eastAsia="宋体"/>
          <w:sz w:val="24"/>
          <w:szCs w:val="24"/>
        </w:rPr>
        <w:t>27</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"_Toc103958747" </w:instrText>
      </w:r>
      <w:r>
        <w:fldChar w:fldCharType="separate"/>
      </w:r>
      <w:r>
        <w:rPr>
          <w:rStyle w:val="19"/>
          <w:rFonts w:ascii="宋体" w:hAnsi="宋体" w:eastAsia="宋体"/>
          <w:sz w:val="24"/>
          <w:szCs w:val="24"/>
        </w:rPr>
        <w:t xml:space="preserve">5.4  </w:t>
      </w:r>
      <w:r>
        <w:rPr>
          <w:rStyle w:val="19"/>
          <w:rFonts w:hint="eastAsia" w:ascii="宋体" w:hAnsi="宋体" w:eastAsia="宋体"/>
          <w:sz w:val="24"/>
          <w:szCs w:val="24"/>
        </w:rPr>
        <w:t>平立面设计</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_Toc103958747 \h </w:instrText>
      </w:r>
      <w:r>
        <w:rPr>
          <w:rFonts w:ascii="宋体" w:hAnsi="宋体" w:eastAsia="宋体"/>
          <w:sz w:val="24"/>
          <w:szCs w:val="24"/>
        </w:rPr>
        <w:fldChar w:fldCharType="separate"/>
      </w:r>
      <w:r>
        <w:rPr>
          <w:rFonts w:ascii="宋体" w:hAnsi="宋体" w:eastAsia="宋体"/>
          <w:sz w:val="24"/>
          <w:szCs w:val="24"/>
        </w:rPr>
        <w:t>28</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"_Toc103958748" </w:instrText>
      </w:r>
      <w:r>
        <w:fldChar w:fldCharType="separate"/>
      </w:r>
      <w:r>
        <w:rPr>
          <w:rStyle w:val="19"/>
          <w:rFonts w:ascii="宋体" w:hAnsi="宋体" w:eastAsia="宋体"/>
          <w:sz w:val="24"/>
          <w:szCs w:val="24"/>
        </w:rPr>
        <w:t xml:space="preserve">5.5  </w:t>
      </w:r>
      <w:r>
        <w:rPr>
          <w:rStyle w:val="19"/>
          <w:rFonts w:hint="eastAsia" w:ascii="宋体" w:hAnsi="宋体" w:eastAsia="宋体"/>
          <w:sz w:val="24"/>
          <w:szCs w:val="24"/>
        </w:rPr>
        <w:t>室内环境</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_Toc103958748 \h </w:instrText>
      </w:r>
      <w:r>
        <w:rPr>
          <w:rFonts w:ascii="宋体" w:hAnsi="宋体" w:eastAsia="宋体"/>
          <w:sz w:val="24"/>
          <w:szCs w:val="24"/>
        </w:rPr>
        <w:fldChar w:fldCharType="separate"/>
      </w:r>
      <w:r>
        <w:rPr>
          <w:rFonts w:ascii="宋体" w:hAnsi="宋体" w:eastAsia="宋体"/>
          <w:sz w:val="24"/>
          <w:szCs w:val="24"/>
        </w:rPr>
        <w:t>30</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"_Toc103958749" </w:instrText>
      </w:r>
      <w:r>
        <w:fldChar w:fldCharType="separate"/>
      </w:r>
      <w:r>
        <w:rPr>
          <w:rStyle w:val="19"/>
          <w:rFonts w:ascii="宋体" w:hAnsi="宋体" w:eastAsia="宋体"/>
          <w:sz w:val="24"/>
          <w:szCs w:val="24"/>
        </w:rPr>
        <w:t xml:space="preserve">5.6  </w:t>
      </w:r>
      <w:r>
        <w:rPr>
          <w:rStyle w:val="19"/>
          <w:rFonts w:hint="eastAsia" w:ascii="宋体" w:hAnsi="宋体" w:eastAsia="宋体"/>
          <w:sz w:val="24"/>
          <w:szCs w:val="24"/>
        </w:rPr>
        <w:t>围护系统</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_Toc103958749 \h </w:instrText>
      </w:r>
      <w:r>
        <w:rPr>
          <w:rFonts w:ascii="宋体" w:hAnsi="宋体" w:eastAsia="宋体"/>
          <w:sz w:val="24"/>
          <w:szCs w:val="24"/>
        </w:rPr>
        <w:fldChar w:fldCharType="separate"/>
      </w:r>
      <w:r>
        <w:rPr>
          <w:rFonts w:ascii="宋体" w:hAnsi="宋体" w:eastAsia="宋体"/>
          <w:sz w:val="24"/>
          <w:szCs w:val="24"/>
        </w:rPr>
        <w:t>33</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"_Toc103958750" </w:instrText>
      </w:r>
      <w:r>
        <w:fldChar w:fldCharType="separate"/>
      </w:r>
      <w:r>
        <w:rPr>
          <w:rStyle w:val="19"/>
          <w:rFonts w:ascii="宋体" w:hAnsi="宋体" w:eastAsia="宋体"/>
          <w:sz w:val="24"/>
          <w:szCs w:val="24"/>
        </w:rPr>
        <w:t xml:space="preserve">6  </w:t>
      </w:r>
      <w:r>
        <w:rPr>
          <w:rStyle w:val="19"/>
          <w:rFonts w:hint="eastAsia" w:ascii="宋体" w:hAnsi="宋体" w:eastAsia="宋体"/>
          <w:sz w:val="24"/>
          <w:szCs w:val="24"/>
        </w:rPr>
        <w:t>结构系统设计</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_Toc103958750 \h </w:instrText>
      </w:r>
      <w:r>
        <w:rPr>
          <w:rFonts w:ascii="宋体" w:hAnsi="宋体" w:eastAsia="宋体"/>
          <w:sz w:val="24"/>
          <w:szCs w:val="24"/>
        </w:rPr>
        <w:fldChar w:fldCharType="separate"/>
      </w:r>
      <w:r>
        <w:rPr>
          <w:rFonts w:ascii="宋体" w:hAnsi="宋体" w:eastAsia="宋体"/>
          <w:sz w:val="24"/>
          <w:szCs w:val="24"/>
        </w:rPr>
        <w:t>35</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"_Toc103958751" </w:instrText>
      </w:r>
      <w:r>
        <w:fldChar w:fldCharType="separate"/>
      </w:r>
      <w:r>
        <w:rPr>
          <w:rStyle w:val="19"/>
          <w:rFonts w:ascii="宋体" w:hAnsi="宋体" w:eastAsia="宋体"/>
          <w:sz w:val="24"/>
          <w:szCs w:val="24"/>
        </w:rPr>
        <w:t xml:space="preserve">6.1  </w:t>
      </w:r>
      <w:r>
        <w:rPr>
          <w:rStyle w:val="19"/>
          <w:rFonts w:hint="eastAsia" w:ascii="宋体" w:hAnsi="宋体" w:eastAsia="宋体"/>
          <w:sz w:val="24"/>
          <w:szCs w:val="24"/>
        </w:rPr>
        <w:t>一般规定</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_Toc103958751 \h </w:instrText>
      </w:r>
      <w:r>
        <w:rPr>
          <w:rFonts w:ascii="宋体" w:hAnsi="宋体" w:eastAsia="宋体"/>
          <w:sz w:val="24"/>
          <w:szCs w:val="24"/>
        </w:rPr>
        <w:fldChar w:fldCharType="separate"/>
      </w:r>
      <w:r>
        <w:rPr>
          <w:rFonts w:ascii="宋体" w:hAnsi="宋体" w:eastAsia="宋体"/>
          <w:sz w:val="24"/>
          <w:szCs w:val="24"/>
        </w:rPr>
        <w:t>35</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"_Toc103958752" </w:instrText>
      </w:r>
      <w:r>
        <w:fldChar w:fldCharType="separate"/>
      </w:r>
      <w:r>
        <w:rPr>
          <w:rStyle w:val="19"/>
          <w:rFonts w:ascii="宋体" w:hAnsi="宋体" w:eastAsia="宋体"/>
          <w:sz w:val="24"/>
          <w:szCs w:val="24"/>
        </w:rPr>
        <w:t xml:space="preserve">6.2  </w:t>
      </w:r>
      <w:r>
        <w:rPr>
          <w:rStyle w:val="19"/>
          <w:rFonts w:hint="eastAsia" w:ascii="宋体" w:hAnsi="宋体" w:eastAsia="宋体"/>
          <w:sz w:val="24"/>
          <w:szCs w:val="24"/>
        </w:rPr>
        <w:t>结构体系</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_Toc103958752 \h </w:instrText>
      </w:r>
      <w:r>
        <w:rPr>
          <w:rFonts w:ascii="宋体" w:hAnsi="宋体" w:eastAsia="宋体"/>
          <w:sz w:val="24"/>
          <w:szCs w:val="24"/>
        </w:rPr>
        <w:fldChar w:fldCharType="separate"/>
      </w:r>
      <w:r>
        <w:rPr>
          <w:rFonts w:ascii="宋体" w:hAnsi="宋体" w:eastAsia="宋体"/>
          <w:sz w:val="24"/>
          <w:szCs w:val="24"/>
        </w:rPr>
        <w:t>37</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"_Toc103958753" </w:instrText>
      </w:r>
      <w:r>
        <w:fldChar w:fldCharType="separate"/>
      </w:r>
      <w:r>
        <w:rPr>
          <w:rStyle w:val="19"/>
          <w:rFonts w:ascii="宋体" w:hAnsi="宋体" w:eastAsia="宋体"/>
          <w:sz w:val="24"/>
          <w:szCs w:val="24"/>
        </w:rPr>
        <w:t xml:space="preserve">6.3  </w:t>
      </w:r>
      <w:r>
        <w:rPr>
          <w:rStyle w:val="19"/>
          <w:rFonts w:hint="eastAsia" w:ascii="宋体" w:hAnsi="宋体" w:eastAsia="宋体"/>
          <w:sz w:val="24"/>
          <w:szCs w:val="24"/>
        </w:rPr>
        <w:t>节点与连接</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_Toc103958753 \h </w:instrText>
      </w:r>
      <w:r>
        <w:rPr>
          <w:rFonts w:ascii="宋体" w:hAnsi="宋体" w:eastAsia="宋体"/>
          <w:sz w:val="24"/>
          <w:szCs w:val="24"/>
        </w:rPr>
        <w:fldChar w:fldCharType="separate"/>
      </w:r>
      <w:r>
        <w:rPr>
          <w:rFonts w:ascii="宋体" w:hAnsi="宋体" w:eastAsia="宋体"/>
          <w:sz w:val="24"/>
          <w:szCs w:val="24"/>
        </w:rPr>
        <w:t>44</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"_Toc103958754" </w:instrText>
      </w:r>
      <w:r>
        <w:fldChar w:fldCharType="separate"/>
      </w:r>
      <w:r>
        <w:rPr>
          <w:rStyle w:val="19"/>
          <w:rFonts w:ascii="宋体" w:hAnsi="宋体" w:eastAsia="宋体"/>
          <w:sz w:val="24"/>
          <w:szCs w:val="24"/>
        </w:rPr>
        <w:t xml:space="preserve">6.4  </w:t>
      </w:r>
      <w:r>
        <w:rPr>
          <w:rStyle w:val="19"/>
          <w:rFonts w:hint="eastAsia" w:ascii="宋体" w:hAnsi="宋体" w:eastAsia="宋体"/>
          <w:sz w:val="24"/>
          <w:szCs w:val="24"/>
        </w:rPr>
        <w:t>楼盖设计</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_Toc103958754 \h </w:instrText>
      </w:r>
      <w:r>
        <w:rPr>
          <w:rFonts w:ascii="宋体" w:hAnsi="宋体" w:eastAsia="宋体"/>
          <w:sz w:val="24"/>
          <w:szCs w:val="24"/>
        </w:rPr>
        <w:fldChar w:fldCharType="separate"/>
      </w:r>
      <w:r>
        <w:rPr>
          <w:rFonts w:ascii="宋体" w:hAnsi="宋体" w:eastAsia="宋体"/>
          <w:sz w:val="24"/>
          <w:szCs w:val="24"/>
        </w:rPr>
        <w:t>49</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"_Toc103958755" </w:instrText>
      </w:r>
      <w:r>
        <w:fldChar w:fldCharType="separate"/>
      </w:r>
      <w:r>
        <w:rPr>
          <w:rStyle w:val="19"/>
          <w:rFonts w:ascii="宋体" w:hAnsi="宋体" w:eastAsia="宋体"/>
          <w:sz w:val="24"/>
          <w:szCs w:val="24"/>
        </w:rPr>
        <w:t xml:space="preserve">6.5  </w:t>
      </w:r>
      <w:r>
        <w:rPr>
          <w:rStyle w:val="19"/>
          <w:rFonts w:hint="eastAsia" w:ascii="宋体" w:hAnsi="宋体" w:eastAsia="宋体"/>
          <w:sz w:val="24"/>
          <w:szCs w:val="24"/>
        </w:rPr>
        <w:t>钢结构防护设计</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_Toc103958755 \h </w:instrText>
      </w:r>
      <w:r>
        <w:rPr>
          <w:rFonts w:ascii="宋体" w:hAnsi="宋体" w:eastAsia="宋体"/>
          <w:sz w:val="24"/>
          <w:szCs w:val="24"/>
        </w:rPr>
        <w:fldChar w:fldCharType="separate"/>
      </w:r>
      <w:r>
        <w:rPr>
          <w:rFonts w:ascii="宋体" w:hAnsi="宋体" w:eastAsia="宋体"/>
          <w:sz w:val="24"/>
          <w:szCs w:val="24"/>
        </w:rPr>
        <w:t>53</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"_Toc103958756" </w:instrText>
      </w:r>
      <w:r>
        <w:fldChar w:fldCharType="separate"/>
      </w:r>
      <w:r>
        <w:rPr>
          <w:rStyle w:val="19"/>
          <w:rFonts w:ascii="宋体" w:hAnsi="宋体" w:eastAsia="宋体"/>
          <w:sz w:val="24"/>
          <w:szCs w:val="24"/>
        </w:rPr>
        <w:t xml:space="preserve">7  </w:t>
      </w:r>
      <w:r>
        <w:rPr>
          <w:rStyle w:val="19"/>
          <w:rFonts w:hint="eastAsia" w:ascii="宋体" w:hAnsi="宋体" w:eastAsia="宋体"/>
          <w:sz w:val="24"/>
          <w:szCs w:val="24"/>
        </w:rPr>
        <w:t>墙体系统设计</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_Toc103958756 \h </w:instrText>
      </w:r>
      <w:r>
        <w:rPr>
          <w:rFonts w:ascii="宋体" w:hAnsi="宋体" w:eastAsia="宋体"/>
          <w:sz w:val="24"/>
          <w:szCs w:val="24"/>
        </w:rPr>
        <w:fldChar w:fldCharType="separate"/>
      </w:r>
      <w:r>
        <w:rPr>
          <w:rFonts w:ascii="宋体" w:hAnsi="宋体" w:eastAsia="宋体"/>
          <w:sz w:val="24"/>
          <w:szCs w:val="24"/>
        </w:rPr>
        <w:t>55</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"_Toc103958757" </w:instrText>
      </w:r>
      <w:r>
        <w:fldChar w:fldCharType="separate"/>
      </w:r>
      <w:r>
        <w:rPr>
          <w:rStyle w:val="19"/>
          <w:rFonts w:ascii="宋体" w:hAnsi="宋体" w:eastAsia="宋体"/>
          <w:sz w:val="24"/>
          <w:szCs w:val="24"/>
        </w:rPr>
        <w:t xml:space="preserve">7.1 </w:t>
      </w:r>
      <w:r>
        <w:rPr>
          <w:rStyle w:val="19"/>
          <w:rFonts w:hint="eastAsia" w:ascii="宋体" w:hAnsi="宋体" w:eastAsia="宋体"/>
          <w:sz w:val="24"/>
          <w:szCs w:val="24"/>
        </w:rPr>
        <w:t>一般规定</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_Toc103958757 \h </w:instrText>
      </w:r>
      <w:r>
        <w:rPr>
          <w:rFonts w:ascii="宋体" w:hAnsi="宋体" w:eastAsia="宋体"/>
          <w:sz w:val="24"/>
          <w:szCs w:val="24"/>
        </w:rPr>
        <w:fldChar w:fldCharType="separate"/>
      </w:r>
      <w:r>
        <w:rPr>
          <w:rFonts w:ascii="宋体" w:hAnsi="宋体" w:eastAsia="宋体"/>
          <w:sz w:val="24"/>
          <w:szCs w:val="24"/>
        </w:rPr>
        <w:t>55</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"_Toc103958758" </w:instrText>
      </w:r>
      <w:r>
        <w:fldChar w:fldCharType="separate"/>
      </w:r>
      <w:r>
        <w:rPr>
          <w:rStyle w:val="19"/>
          <w:rFonts w:ascii="宋体" w:hAnsi="宋体" w:eastAsia="宋体"/>
          <w:sz w:val="24"/>
          <w:szCs w:val="24"/>
        </w:rPr>
        <w:t xml:space="preserve">7.2 </w:t>
      </w:r>
      <w:r>
        <w:rPr>
          <w:rStyle w:val="19"/>
          <w:rFonts w:hint="eastAsia" w:ascii="宋体" w:hAnsi="宋体" w:eastAsia="宋体"/>
          <w:sz w:val="24"/>
          <w:szCs w:val="24"/>
        </w:rPr>
        <w:t>墙体性能要求</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_Toc103958758 \h </w:instrText>
      </w:r>
      <w:r>
        <w:rPr>
          <w:rFonts w:ascii="宋体" w:hAnsi="宋体" w:eastAsia="宋体"/>
          <w:sz w:val="24"/>
          <w:szCs w:val="24"/>
        </w:rPr>
        <w:fldChar w:fldCharType="separate"/>
      </w:r>
      <w:r>
        <w:rPr>
          <w:rFonts w:ascii="宋体" w:hAnsi="宋体" w:eastAsia="宋体"/>
          <w:sz w:val="24"/>
          <w:szCs w:val="24"/>
        </w:rPr>
        <w:t>55</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"_Toc103958759" </w:instrText>
      </w:r>
      <w:r>
        <w:fldChar w:fldCharType="separate"/>
      </w:r>
      <w:r>
        <w:rPr>
          <w:rStyle w:val="19"/>
          <w:rFonts w:ascii="宋体" w:hAnsi="宋体" w:eastAsia="宋体"/>
          <w:sz w:val="24"/>
          <w:szCs w:val="24"/>
        </w:rPr>
        <w:t xml:space="preserve">7.3 </w:t>
      </w:r>
      <w:r>
        <w:rPr>
          <w:rStyle w:val="19"/>
          <w:rFonts w:hint="eastAsia" w:ascii="宋体" w:hAnsi="宋体" w:eastAsia="宋体"/>
          <w:sz w:val="24"/>
          <w:szCs w:val="24"/>
        </w:rPr>
        <w:t>外墙系统设计</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_Toc103958759 \h </w:instrText>
      </w:r>
      <w:r>
        <w:rPr>
          <w:rFonts w:ascii="宋体" w:hAnsi="宋体" w:eastAsia="宋体"/>
          <w:sz w:val="24"/>
          <w:szCs w:val="24"/>
        </w:rPr>
        <w:fldChar w:fldCharType="separate"/>
      </w:r>
      <w:r>
        <w:rPr>
          <w:rFonts w:ascii="宋体" w:hAnsi="宋体" w:eastAsia="宋体"/>
          <w:sz w:val="24"/>
          <w:szCs w:val="24"/>
        </w:rPr>
        <w:t>58</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"_Toc103958760" </w:instrText>
      </w:r>
      <w:r>
        <w:fldChar w:fldCharType="separate"/>
      </w:r>
      <w:r>
        <w:rPr>
          <w:rStyle w:val="19"/>
          <w:rFonts w:ascii="宋体" w:hAnsi="宋体" w:eastAsia="宋体"/>
          <w:sz w:val="24"/>
          <w:szCs w:val="24"/>
        </w:rPr>
        <w:t xml:space="preserve">7.4 </w:t>
      </w:r>
      <w:r>
        <w:rPr>
          <w:rStyle w:val="19"/>
          <w:rFonts w:hint="eastAsia" w:ascii="宋体" w:hAnsi="宋体" w:eastAsia="宋体"/>
          <w:sz w:val="24"/>
          <w:szCs w:val="24"/>
        </w:rPr>
        <w:t>内墙系统设计</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_Toc103958760 \h </w:instrText>
      </w:r>
      <w:r>
        <w:rPr>
          <w:rFonts w:ascii="宋体" w:hAnsi="宋体" w:eastAsia="宋体"/>
          <w:sz w:val="24"/>
          <w:szCs w:val="24"/>
        </w:rPr>
        <w:fldChar w:fldCharType="separate"/>
      </w:r>
      <w:r>
        <w:rPr>
          <w:rFonts w:ascii="宋体" w:hAnsi="宋体" w:eastAsia="宋体"/>
          <w:sz w:val="24"/>
          <w:szCs w:val="24"/>
        </w:rPr>
        <w:t>63</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"_Toc103958761" </w:instrText>
      </w:r>
      <w:r>
        <w:fldChar w:fldCharType="separate"/>
      </w:r>
      <w:r>
        <w:rPr>
          <w:rStyle w:val="19"/>
          <w:rFonts w:ascii="宋体" w:hAnsi="宋体" w:eastAsia="宋体"/>
          <w:sz w:val="24"/>
          <w:szCs w:val="24"/>
        </w:rPr>
        <w:t xml:space="preserve">8  </w:t>
      </w:r>
      <w:r>
        <w:rPr>
          <w:rStyle w:val="19"/>
          <w:rFonts w:hint="eastAsia" w:ascii="宋体" w:hAnsi="宋体" w:eastAsia="宋体"/>
          <w:sz w:val="24"/>
          <w:szCs w:val="24"/>
        </w:rPr>
        <w:t>设备与管线系统设计</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_Toc103958761 \h </w:instrText>
      </w:r>
      <w:r>
        <w:rPr>
          <w:rFonts w:ascii="宋体" w:hAnsi="宋体" w:eastAsia="宋体"/>
          <w:sz w:val="24"/>
          <w:szCs w:val="24"/>
        </w:rPr>
        <w:fldChar w:fldCharType="separate"/>
      </w:r>
      <w:r>
        <w:rPr>
          <w:rFonts w:ascii="宋体" w:hAnsi="宋体" w:eastAsia="宋体"/>
          <w:sz w:val="24"/>
          <w:szCs w:val="24"/>
        </w:rPr>
        <w:t>67</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"_Toc103958762" </w:instrText>
      </w:r>
      <w:r>
        <w:fldChar w:fldCharType="separate"/>
      </w:r>
      <w:r>
        <w:rPr>
          <w:rStyle w:val="19"/>
          <w:rFonts w:ascii="宋体" w:hAnsi="宋体" w:eastAsia="宋体"/>
          <w:sz w:val="24"/>
          <w:szCs w:val="24"/>
        </w:rPr>
        <w:t xml:space="preserve">8.1  </w:t>
      </w:r>
      <w:r>
        <w:rPr>
          <w:rStyle w:val="19"/>
          <w:rFonts w:hint="eastAsia" w:ascii="宋体" w:hAnsi="宋体" w:eastAsia="宋体"/>
          <w:sz w:val="24"/>
          <w:szCs w:val="24"/>
        </w:rPr>
        <w:t>一般规定</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_Toc103958762 \h </w:instrText>
      </w:r>
      <w:r>
        <w:rPr>
          <w:rFonts w:ascii="宋体" w:hAnsi="宋体" w:eastAsia="宋体"/>
          <w:sz w:val="24"/>
          <w:szCs w:val="24"/>
        </w:rPr>
        <w:fldChar w:fldCharType="separate"/>
      </w:r>
      <w:r>
        <w:rPr>
          <w:rFonts w:ascii="宋体" w:hAnsi="宋体" w:eastAsia="宋体"/>
          <w:sz w:val="24"/>
          <w:szCs w:val="24"/>
        </w:rPr>
        <w:t>67</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"_Toc103958763" </w:instrText>
      </w:r>
      <w:r>
        <w:fldChar w:fldCharType="separate"/>
      </w:r>
      <w:r>
        <w:rPr>
          <w:rStyle w:val="19"/>
          <w:rFonts w:ascii="宋体" w:hAnsi="宋体" w:eastAsia="宋体"/>
          <w:sz w:val="24"/>
          <w:szCs w:val="24"/>
        </w:rPr>
        <w:t xml:space="preserve">8.2  </w:t>
      </w:r>
      <w:r>
        <w:rPr>
          <w:rStyle w:val="19"/>
          <w:rFonts w:hint="eastAsia" w:ascii="宋体" w:hAnsi="宋体" w:eastAsia="宋体"/>
          <w:sz w:val="24"/>
          <w:szCs w:val="24"/>
        </w:rPr>
        <w:t>给水排水</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_Toc103958763 \h </w:instrText>
      </w:r>
      <w:r>
        <w:rPr>
          <w:rFonts w:ascii="宋体" w:hAnsi="宋体" w:eastAsia="宋体"/>
          <w:sz w:val="24"/>
          <w:szCs w:val="24"/>
        </w:rPr>
        <w:fldChar w:fldCharType="separate"/>
      </w:r>
      <w:r>
        <w:rPr>
          <w:rFonts w:ascii="宋体" w:hAnsi="宋体" w:eastAsia="宋体"/>
          <w:sz w:val="24"/>
          <w:szCs w:val="24"/>
        </w:rPr>
        <w:t>68</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"_Toc103958764" </w:instrText>
      </w:r>
      <w:r>
        <w:fldChar w:fldCharType="separate"/>
      </w:r>
      <w:r>
        <w:rPr>
          <w:rStyle w:val="19"/>
          <w:rFonts w:ascii="宋体" w:hAnsi="宋体" w:eastAsia="宋体"/>
          <w:sz w:val="24"/>
          <w:szCs w:val="24"/>
        </w:rPr>
        <w:t xml:space="preserve">8.3  </w:t>
      </w:r>
      <w:r>
        <w:rPr>
          <w:rStyle w:val="19"/>
          <w:rFonts w:hint="eastAsia" w:ascii="宋体" w:hAnsi="宋体" w:eastAsia="宋体"/>
          <w:sz w:val="24"/>
          <w:szCs w:val="24"/>
        </w:rPr>
        <w:t>供暖、通风、空调和燃气</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_Toc103958764 \h </w:instrText>
      </w:r>
      <w:r>
        <w:rPr>
          <w:rFonts w:ascii="宋体" w:hAnsi="宋体" w:eastAsia="宋体"/>
          <w:sz w:val="24"/>
          <w:szCs w:val="24"/>
        </w:rPr>
        <w:fldChar w:fldCharType="separate"/>
      </w:r>
      <w:r>
        <w:rPr>
          <w:rFonts w:ascii="宋体" w:hAnsi="宋体" w:eastAsia="宋体"/>
          <w:sz w:val="24"/>
          <w:szCs w:val="24"/>
        </w:rPr>
        <w:t>70</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"_Toc103958765" </w:instrText>
      </w:r>
      <w:r>
        <w:fldChar w:fldCharType="separate"/>
      </w:r>
      <w:r>
        <w:rPr>
          <w:rStyle w:val="19"/>
          <w:rFonts w:ascii="宋体" w:hAnsi="宋体" w:eastAsia="宋体"/>
          <w:sz w:val="24"/>
          <w:szCs w:val="24"/>
        </w:rPr>
        <w:t xml:space="preserve">8.4  </w:t>
      </w:r>
      <w:r>
        <w:rPr>
          <w:rStyle w:val="19"/>
          <w:rFonts w:hint="eastAsia" w:ascii="宋体" w:hAnsi="宋体" w:eastAsia="宋体"/>
          <w:sz w:val="24"/>
          <w:szCs w:val="24"/>
        </w:rPr>
        <w:t>电气和智能化</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_Toc103958765 \h </w:instrText>
      </w:r>
      <w:r>
        <w:rPr>
          <w:rFonts w:ascii="宋体" w:hAnsi="宋体" w:eastAsia="宋体"/>
          <w:sz w:val="24"/>
          <w:szCs w:val="24"/>
        </w:rPr>
        <w:fldChar w:fldCharType="separate"/>
      </w:r>
      <w:r>
        <w:rPr>
          <w:rFonts w:ascii="宋体" w:hAnsi="宋体" w:eastAsia="宋体"/>
          <w:sz w:val="24"/>
          <w:szCs w:val="24"/>
        </w:rPr>
        <w:t>71</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"_Toc103958766" </w:instrText>
      </w:r>
      <w:r>
        <w:fldChar w:fldCharType="separate"/>
      </w:r>
      <w:r>
        <w:rPr>
          <w:rStyle w:val="19"/>
          <w:rFonts w:ascii="宋体" w:hAnsi="宋体" w:eastAsia="宋体"/>
          <w:sz w:val="24"/>
          <w:szCs w:val="24"/>
        </w:rPr>
        <w:t xml:space="preserve">9  </w:t>
      </w:r>
      <w:r>
        <w:rPr>
          <w:rStyle w:val="19"/>
          <w:rFonts w:hint="eastAsia" w:ascii="宋体" w:hAnsi="宋体" w:eastAsia="宋体"/>
          <w:sz w:val="24"/>
          <w:szCs w:val="24"/>
        </w:rPr>
        <w:t>内装系统设计</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_Toc103958766 \h </w:instrText>
      </w:r>
      <w:r>
        <w:rPr>
          <w:rFonts w:ascii="宋体" w:hAnsi="宋体" w:eastAsia="宋体"/>
          <w:sz w:val="24"/>
          <w:szCs w:val="24"/>
        </w:rPr>
        <w:fldChar w:fldCharType="separate"/>
      </w:r>
      <w:r>
        <w:rPr>
          <w:rFonts w:ascii="宋体" w:hAnsi="宋体" w:eastAsia="宋体"/>
          <w:sz w:val="24"/>
          <w:szCs w:val="24"/>
        </w:rPr>
        <w:t>73</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"_Toc103958767" </w:instrText>
      </w:r>
      <w:r>
        <w:fldChar w:fldCharType="separate"/>
      </w:r>
      <w:r>
        <w:rPr>
          <w:rStyle w:val="19"/>
          <w:rFonts w:ascii="宋体" w:hAnsi="宋体" w:eastAsia="宋体"/>
          <w:sz w:val="24"/>
          <w:szCs w:val="24"/>
        </w:rPr>
        <w:t xml:space="preserve">9.1 </w:t>
      </w:r>
      <w:r>
        <w:rPr>
          <w:rStyle w:val="19"/>
          <w:rFonts w:hint="eastAsia" w:ascii="宋体" w:hAnsi="宋体" w:eastAsia="宋体"/>
          <w:sz w:val="24"/>
          <w:szCs w:val="24"/>
        </w:rPr>
        <w:t>一般规定</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_Toc103958767 \h </w:instrText>
      </w:r>
      <w:r>
        <w:rPr>
          <w:rFonts w:ascii="宋体" w:hAnsi="宋体" w:eastAsia="宋体"/>
          <w:sz w:val="24"/>
          <w:szCs w:val="24"/>
        </w:rPr>
        <w:fldChar w:fldCharType="separate"/>
      </w:r>
      <w:r>
        <w:rPr>
          <w:rFonts w:ascii="宋体" w:hAnsi="宋体" w:eastAsia="宋体"/>
          <w:sz w:val="24"/>
          <w:szCs w:val="24"/>
        </w:rPr>
        <w:t>73</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"_Toc103958768" </w:instrText>
      </w:r>
      <w:r>
        <w:fldChar w:fldCharType="separate"/>
      </w:r>
      <w:r>
        <w:rPr>
          <w:rStyle w:val="19"/>
          <w:rFonts w:ascii="宋体" w:hAnsi="宋体" w:eastAsia="宋体"/>
          <w:sz w:val="24"/>
          <w:szCs w:val="24"/>
        </w:rPr>
        <w:t xml:space="preserve">9.2 </w:t>
      </w:r>
      <w:r>
        <w:rPr>
          <w:rStyle w:val="19"/>
          <w:rFonts w:hint="eastAsia" w:ascii="宋体" w:hAnsi="宋体" w:eastAsia="宋体"/>
          <w:sz w:val="24"/>
          <w:szCs w:val="24"/>
        </w:rPr>
        <w:t>标准化设计与模数协调</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_Toc103958768 \h </w:instrText>
      </w:r>
      <w:r>
        <w:rPr>
          <w:rFonts w:ascii="宋体" w:hAnsi="宋体" w:eastAsia="宋体"/>
          <w:sz w:val="24"/>
          <w:szCs w:val="24"/>
        </w:rPr>
        <w:fldChar w:fldCharType="separate"/>
      </w:r>
      <w:r>
        <w:rPr>
          <w:rFonts w:ascii="宋体" w:hAnsi="宋体" w:eastAsia="宋体"/>
          <w:sz w:val="24"/>
          <w:szCs w:val="24"/>
        </w:rPr>
        <w:t>75</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"_Toc103958769" </w:instrText>
      </w:r>
      <w:r>
        <w:fldChar w:fldCharType="separate"/>
      </w:r>
      <w:r>
        <w:rPr>
          <w:rStyle w:val="19"/>
          <w:rFonts w:ascii="宋体" w:hAnsi="宋体" w:eastAsia="宋体"/>
          <w:sz w:val="24"/>
          <w:szCs w:val="24"/>
        </w:rPr>
        <w:t xml:space="preserve">9.3 </w:t>
      </w:r>
      <w:r>
        <w:rPr>
          <w:rStyle w:val="19"/>
          <w:rFonts w:hint="eastAsia" w:ascii="宋体" w:hAnsi="宋体" w:eastAsia="宋体"/>
          <w:sz w:val="24"/>
          <w:szCs w:val="24"/>
        </w:rPr>
        <w:t>隔墙与墙面系统</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_Toc103958769 \h </w:instrText>
      </w:r>
      <w:r>
        <w:rPr>
          <w:rFonts w:ascii="宋体" w:hAnsi="宋体" w:eastAsia="宋体"/>
          <w:sz w:val="24"/>
          <w:szCs w:val="24"/>
        </w:rPr>
        <w:fldChar w:fldCharType="separate"/>
      </w:r>
      <w:r>
        <w:rPr>
          <w:rFonts w:ascii="宋体" w:hAnsi="宋体" w:eastAsia="宋体"/>
          <w:sz w:val="24"/>
          <w:szCs w:val="24"/>
        </w:rPr>
        <w:t>76</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"_Toc103958770" </w:instrText>
      </w:r>
      <w:r>
        <w:fldChar w:fldCharType="separate"/>
      </w:r>
      <w:r>
        <w:rPr>
          <w:rStyle w:val="19"/>
          <w:rFonts w:ascii="宋体" w:hAnsi="宋体" w:eastAsia="宋体"/>
          <w:sz w:val="24"/>
          <w:szCs w:val="24"/>
        </w:rPr>
        <w:t xml:space="preserve">9.4 </w:t>
      </w:r>
      <w:r>
        <w:rPr>
          <w:rStyle w:val="19"/>
          <w:rFonts w:hint="eastAsia" w:ascii="宋体" w:hAnsi="宋体" w:eastAsia="宋体"/>
          <w:sz w:val="24"/>
          <w:szCs w:val="24"/>
        </w:rPr>
        <w:t>吊顶系统</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_Toc103958770 \h </w:instrText>
      </w:r>
      <w:r>
        <w:rPr>
          <w:rFonts w:ascii="宋体" w:hAnsi="宋体" w:eastAsia="宋体"/>
          <w:sz w:val="24"/>
          <w:szCs w:val="24"/>
        </w:rPr>
        <w:fldChar w:fldCharType="separate"/>
      </w:r>
      <w:r>
        <w:rPr>
          <w:rFonts w:ascii="宋体" w:hAnsi="宋体" w:eastAsia="宋体"/>
          <w:sz w:val="24"/>
          <w:szCs w:val="24"/>
        </w:rPr>
        <w:t>76</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"_Toc103958771" </w:instrText>
      </w:r>
      <w:r>
        <w:fldChar w:fldCharType="separate"/>
      </w:r>
      <w:r>
        <w:rPr>
          <w:rStyle w:val="19"/>
          <w:rFonts w:ascii="宋体" w:hAnsi="宋体" w:eastAsia="宋体"/>
          <w:sz w:val="24"/>
          <w:szCs w:val="24"/>
        </w:rPr>
        <w:t xml:space="preserve">9.5 </w:t>
      </w:r>
      <w:r>
        <w:rPr>
          <w:rStyle w:val="19"/>
          <w:rFonts w:hint="eastAsia" w:ascii="宋体" w:hAnsi="宋体" w:eastAsia="宋体"/>
          <w:sz w:val="24"/>
          <w:szCs w:val="24"/>
        </w:rPr>
        <w:t>楼地面系统</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_Toc103958771 \h </w:instrText>
      </w:r>
      <w:r>
        <w:rPr>
          <w:rFonts w:ascii="宋体" w:hAnsi="宋体" w:eastAsia="宋体"/>
          <w:sz w:val="24"/>
          <w:szCs w:val="24"/>
        </w:rPr>
        <w:fldChar w:fldCharType="separate"/>
      </w:r>
      <w:r>
        <w:rPr>
          <w:rFonts w:ascii="宋体" w:hAnsi="宋体" w:eastAsia="宋体"/>
          <w:sz w:val="24"/>
          <w:szCs w:val="24"/>
        </w:rPr>
        <w:t>77</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"_Toc103958772" </w:instrText>
      </w:r>
      <w:r>
        <w:fldChar w:fldCharType="separate"/>
      </w:r>
      <w:r>
        <w:rPr>
          <w:rStyle w:val="19"/>
          <w:rFonts w:ascii="宋体" w:hAnsi="宋体" w:eastAsia="宋体"/>
          <w:sz w:val="24"/>
          <w:szCs w:val="24"/>
        </w:rPr>
        <w:t xml:space="preserve">9.6 </w:t>
      </w:r>
      <w:r>
        <w:rPr>
          <w:rStyle w:val="19"/>
          <w:rFonts w:hint="eastAsia" w:ascii="宋体" w:hAnsi="宋体" w:eastAsia="宋体"/>
          <w:sz w:val="24"/>
          <w:szCs w:val="24"/>
        </w:rPr>
        <w:t>集成式厨房与集成式卫生间</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_Toc103958772 \h </w:instrText>
      </w:r>
      <w:r>
        <w:rPr>
          <w:rFonts w:ascii="宋体" w:hAnsi="宋体" w:eastAsia="宋体"/>
          <w:sz w:val="24"/>
          <w:szCs w:val="24"/>
        </w:rPr>
        <w:fldChar w:fldCharType="separate"/>
      </w:r>
      <w:r>
        <w:rPr>
          <w:rFonts w:ascii="宋体" w:hAnsi="宋体" w:eastAsia="宋体"/>
          <w:sz w:val="24"/>
          <w:szCs w:val="24"/>
        </w:rPr>
        <w:t>78</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"_Toc103958773" </w:instrText>
      </w:r>
      <w:r>
        <w:fldChar w:fldCharType="separate"/>
      </w:r>
      <w:r>
        <w:rPr>
          <w:rStyle w:val="19"/>
          <w:rFonts w:ascii="宋体" w:hAnsi="宋体" w:eastAsia="宋体"/>
          <w:sz w:val="24"/>
          <w:szCs w:val="24"/>
        </w:rPr>
        <w:t xml:space="preserve">9.7 </w:t>
      </w:r>
      <w:r>
        <w:rPr>
          <w:rStyle w:val="19"/>
          <w:rFonts w:hint="eastAsia" w:ascii="宋体" w:hAnsi="宋体" w:eastAsia="宋体"/>
          <w:sz w:val="24"/>
          <w:szCs w:val="24"/>
        </w:rPr>
        <w:t>收纳系统</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_Toc103958773 \h </w:instrText>
      </w:r>
      <w:r>
        <w:rPr>
          <w:rFonts w:ascii="宋体" w:hAnsi="宋体" w:eastAsia="宋体"/>
          <w:sz w:val="24"/>
          <w:szCs w:val="24"/>
        </w:rPr>
        <w:fldChar w:fldCharType="separate"/>
      </w:r>
      <w:r>
        <w:rPr>
          <w:rFonts w:ascii="宋体" w:hAnsi="宋体" w:eastAsia="宋体"/>
          <w:sz w:val="24"/>
          <w:szCs w:val="24"/>
        </w:rPr>
        <w:t>80</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"_Toc103958774" </w:instrText>
      </w:r>
      <w:r>
        <w:fldChar w:fldCharType="separate"/>
      </w:r>
      <w:r>
        <w:rPr>
          <w:rStyle w:val="19"/>
          <w:rFonts w:ascii="宋体" w:hAnsi="宋体" w:eastAsia="宋体"/>
          <w:sz w:val="24"/>
          <w:szCs w:val="24"/>
        </w:rPr>
        <w:t xml:space="preserve">10  </w:t>
      </w:r>
      <w:r>
        <w:rPr>
          <w:rStyle w:val="19"/>
          <w:rFonts w:hint="eastAsia" w:ascii="宋体" w:hAnsi="宋体" w:eastAsia="宋体"/>
          <w:sz w:val="24"/>
          <w:szCs w:val="24"/>
        </w:rPr>
        <w:t>交付、使用与维护要求</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_Toc103958774 \h </w:instrText>
      </w:r>
      <w:r>
        <w:rPr>
          <w:rFonts w:ascii="宋体" w:hAnsi="宋体" w:eastAsia="宋体"/>
          <w:sz w:val="24"/>
          <w:szCs w:val="24"/>
        </w:rPr>
        <w:fldChar w:fldCharType="separate"/>
      </w:r>
      <w:r>
        <w:rPr>
          <w:rFonts w:ascii="宋体" w:hAnsi="宋体" w:eastAsia="宋体"/>
          <w:sz w:val="24"/>
          <w:szCs w:val="24"/>
        </w:rPr>
        <w:t>81</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"_Toc103958775" </w:instrText>
      </w:r>
      <w:r>
        <w:fldChar w:fldCharType="separate"/>
      </w:r>
      <w:r>
        <w:rPr>
          <w:rStyle w:val="19"/>
          <w:rFonts w:ascii="宋体" w:hAnsi="宋体" w:eastAsia="宋体"/>
          <w:sz w:val="24"/>
          <w:szCs w:val="24"/>
        </w:rPr>
        <w:t xml:space="preserve">10.1  </w:t>
      </w:r>
      <w:r>
        <w:rPr>
          <w:rStyle w:val="19"/>
          <w:rFonts w:hint="eastAsia" w:ascii="宋体" w:hAnsi="宋体" w:eastAsia="宋体"/>
          <w:sz w:val="24"/>
          <w:szCs w:val="24"/>
        </w:rPr>
        <w:t>交付</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_Toc103958775 \h </w:instrText>
      </w:r>
      <w:r>
        <w:rPr>
          <w:rFonts w:ascii="宋体" w:hAnsi="宋体" w:eastAsia="宋体"/>
          <w:sz w:val="24"/>
          <w:szCs w:val="24"/>
        </w:rPr>
        <w:fldChar w:fldCharType="separate"/>
      </w:r>
      <w:r>
        <w:rPr>
          <w:rFonts w:ascii="宋体" w:hAnsi="宋体" w:eastAsia="宋体"/>
          <w:sz w:val="24"/>
          <w:szCs w:val="24"/>
        </w:rPr>
        <w:t>81</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"_Toc103958776" </w:instrText>
      </w:r>
      <w:r>
        <w:fldChar w:fldCharType="separate"/>
      </w:r>
      <w:r>
        <w:rPr>
          <w:rStyle w:val="19"/>
          <w:rFonts w:ascii="宋体" w:hAnsi="宋体" w:eastAsia="宋体"/>
          <w:sz w:val="24"/>
          <w:szCs w:val="24"/>
        </w:rPr>
        <w:t xml:space="preserve">10.2  </w:t>
      </w:r>
      <w:r>
        <w:rPr>
          <w:rStyle w:val="19"/>
          <w:rFonts w:hint="eastAsia" w:ascii="宋体" w:hAnsi="宋体" w:eastAsia="宋体"/>
          <w:sz w:val="24"/>
          <w:szCs w:val="24"/>
        </w:rPr>
        <w:t>使用</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_Toc103958776 \h </w:instrText>
      </w:r>
      <w:r>
        <w:rPr>
          <w:rFonts w:ascii="宋体" w:hAnsi="宋体" w:eastAsia="宋体"/>
          <w:sz w:val="24"/>
          <w:szCs w:val="24"/>
        </w:rPr>
        <w:fldChar w:fldCharType="separate"/>
      </w:r>
      <w:r>
        <w:rPr>
          <w:rFonts w:ascii="宋体" w:hAnsi="宋体" w:eastAsia="宋体"/>
          <w:sz w:val="24"/>
          <w:szCs w:val="24"/>
        </w:rPr>
        <w:t>82</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"_Toc103958777" </w:instrText>
      </w:r>
      <w:r>
        <w:fldChar w:fldCharType="separate"/>
      </w:r>
      <w:r>
        <w:rPr>
          <w:rStyle w:val="19"/>
          <w:rFonts w:ascii="宋体" w:hAnsi="宋体" w:eastAsia="宋体"/>
          <w:sz w:val="24"/>
          <w:szCs w:val="24"/>
        </w:rPr>
        <w:t xml:space="preserve">10.3  </w:t>
      </w:r>
      <w:r>
        <w:rPr>
          <w:rStyle w:val="19"/>
          <w:rFonts w:hint="eastAsia" w:ascii="宋体" w:hAnsi="宋体" w:eastAsia="宋体"/>
          <w:sz w:val="24"/>
          <w:szCs w:val="24"/>
        </w:rPr>
        <w:t>维护</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_Toc103958777 \h </w:instrText>
      </w:r>
      <w:r>
        <w:rPr>
          <w:rFonts w:ascii="宋体" w:hAnsi="宋体" w:eastAsia="宋体"/>
          <w:sz w:val="24"/>
          <w:szCs w:val="24"/>
        </w:rPr>
        <w:fldChar w:fldCharType="separate"/>
      </w:r>
      <w:r>
        <w:rPr>
          <w:rFonts w:ascii="宋体" w:hAnsi="宋体" w:eastAsia="宋体"/>
          <w:sz w:val="24"/>
          <w:szCs w:val="24"/>
        </w:rPr>
        <w:t>82</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"_Toc103958778" </w:instrText>
      </w:r>
      <w:r>
        <w:fldChar w:fldCharType="separate"/>
      </w:r>
      <w:r>
        <w:rPr>
          <w:rStyle w:val="19"/>
          <w:rFonts w:hint="eastAsia" w:ascii="宋体" w:hAnsi="宋体" w:eastAsia="宋体"/>
          <w:sz w:val="24"/>
          <w:szCs w:val="24"/>
        </w:rPr>
        <w:t>标准用词说明</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_Toc103958778 \h </w:instrText>
      </w:r>
      <w:r>
        <w:rPr>
          <w:rFonts w:ascii="宋体" w:hAnsi="宋体" w:eastAsia="宋体"/>
          <w:sz w:val="24"/>
          <w:szCs w:val="24"/>
        </w:rPr>
        <w:fldChar w:fldCharType="separate"/>
      </w:r>
      <w:r>
        <w:rPr>
          <w:rFonts w:ascii="宋体" w:hAnsi="宋体" w:eastAsia="宋体"/>
          <w:sz w:val="24"/>
          <w:szCs w:val="24"/>
        </w:rPr>
        <w:t>84</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"_Toc103958779" </w:instrText>
      </w:r>
      <w:r>
        <w:fldChar w:fldCharType="separate"/>
      </w:r>
      <w:r>
        <w:rPr>
          <w:rStyle w:val="19"/>
          <w:rFonts w:hint="eastAsia" w:ascii="宋体" w:hAnsi="宋体" w:eastAsia="宋体"/>
          <w:sz w:val="24"/>
          <w:szCs w:val="24"/>
        </w:rPr>
        <w:t>引用标准名录</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_Toc103958779 \h </w:instrText>
      </w:r>
      <w:r>
        <w:rPr>
          <w:rFonts w:ascii="宋体" w:hAnsi="宋体" w:eastAsia="宋体"/>
          <w:sz w:val="24"/>
          <w:szCs w:val="24"/>
        </w:rPr>
        <w:fldChar w:fldCharType="separate"/>
      </w:r>
      <w:r>
        <w:rPr>
          <w:rFonts w:ascii="宋体" w:hAnsi="宋体" w:eastAsia="宋体"/>
          <w:sz w:val="24"/>
          <w:szCs w:val="24"/>
        </w:rPr>
        <w:t>85</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"_Toc103958780" </w:instrText>
      </w:r>
      <w:r>
        <w:fldChar w:fldCharType="separate"/>
      </w:r>
      <w:r>
        <w:rPr>
          <w:rStyle w:val="19"/>
          <w:rFonts w:hint="eastAsia" w:ascii="宋体" w:hAnsi="宋体" w:eastAsia="宋体"/>
          <w:sz w:val="24"/>
          <w:szCs w:val="24"/>
        </w:rPr>
        <w:t>附录</w:t>
      </w:r>
      <w:r>
        <w:rPr>
          <w:rStyle w:val="19"/>
          <w:rFonts w:ascii="宋体" w:hAnsi="宋体" w:eastAsia="宋体"/>
          <w:sz w:val="24"/>
          <w:szCs w:val="24"/>
        </w:rPr>
        <w:t xml:space="preserve">A </w:t>
      </w:r>
      <w:r>
        <w:rPr>
          <w:rStyle w:val="19"/>
          <w:rFonts w:hint="eastAsia" w:ascii="宋体" w:hAnsi="宋体" w:eastAsia="宋体"/>
          <w:sz w:val="24"/>
          <w:szCs w:val="24"/>
        </w:rPr>
        <w:t>钢结构住宅性能说明书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_Toc103958780 \h </w:instrText>
      </w:r>
      <w:r>
        <w:rPr>
          <w:rFonts w:ascii="宋体" w:hAnsi="宋体" w:eastAsia="宋体"/>
          <w:sz w:val="24"/>
          <w:szCs w:val="24"/>
        </w:rPr>
        <w:fldChar w:fldCharType="separate"/>
      </w:r>
      <w:r>
        <w:rPr>
          <w:rFonts w:ascii="宋体" w:hAnsi="宋体" w:eastAsia="宋体"/>
          <w:sz w:val="24"/>
          <w:szCs w:val="24"/>
        </w:rPr>
        <w:t>87</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"_Toc103958781" </w:instrText>
      </w:r>
      <w:r>
        <w:fldChar w:fldCharType="separate"/>
      </w:r>
      <w:r>
        <w:rPr>
          <w:rStyle w:val="19"/>
          <w:rFonts w:hint="eastAsia" w:ascii="宋体" w:hAnsi="宋体" w:eastAsia="宋体"/>
          <w:sz w:val="24"/>
          <w:szCs w:val="24"/>
        </w:rPr>
        <w:t>附录</w:t>
      </w:r>
      <w:r>
        <w:rPr>
          <w:rStyle w:val="19"/>
          <w:rFonts w:ascii="宋体" w:hAnsi="宋体" w:eastAsia="宋体"/>
          <w:sz w:val="24"/>
          <w:szCs w:val="24"/>
        </w:rPr>
        <w:t xml:space="preserve">B </w:t>
      </w:r>
      <w:r>
        <w:rPr>
          <w:rStyle w:val="19"/>
          <w:rFonts w:hint="eastAsia" w:ascii="宋体" w:hAnsi="宋体" w:eastAsia="宋体"/>
          <w:sz w:val="24"/>
          <w:szCs w:val="24"/>
        </w:rPr>
        <w:t>钢结构住宅使用说明书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_Toc103958781 \h </w:instrText>
      </w:r>
      <w:r>
        <w:rPr>
          <w:rFonts w:ascii="宋体" w:hAnsi="宋体" w:eastAsia="宋体"/>
          <w:sz w:val="24"/>
          <w:szCs w:val="24"/>
        </w:rPr>
        <w:fldChar w:fldCharType="separate"/>
      </w:r>
      <w:r>
        <w:rPr>
          <w:rFonts w:ascii="宋体" w:hAnsi="宋体" w:eastAsia="宋体"/>
          <w:sz w:val="24"/>
          <w:szCs w:val="24"/>
        </w:rPr>
        <w:t>90</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"_Toc103958782" </w:instrText>
      </w:r>
      <w:r>
        <w:fldChar w:fldCharType="separate"/>
      </w:r>
      <w:r>
        <w:rPr>
          <w:rStyle w:val="19"/>
          <w:rFonts w:hint="eastAsia" w:ascii="宋体" w:hAnsi="宋体" w:eastAsia="宋体"/>
          <w:sz w:val="24"/>
          <w:szCs w:val="24"/>
        </w:rPr>
        <w:t>附录</w:t>
      </w:r>
      <w:r>
        <w:rPr>
          <w:rStyle w:val="19"/>
          <w:rFonts w:ascii="宋体" w:hAnsi="宋体" w:eastAsia="宋体"/>
          <w:sz w:val="24"/>
          <w:szCs w:val="24"/>
        </w:rPr>
        <w:t xml:space="preserve">C </w:t>
      </w:r>
      <w:r>
        <w:rPr>
          <w:rStyle w:val="19"/>
          <w:rFonts w:hint="eastAsia" w:ascii="宋体" w:hAnsi="宋体" w:eastAsia="宋体"/>
          <w:sz w:val="24"/>
          <w:szCs w:val="24"/>
        </w:rPr>
        <w:t>钢结构住宅装修配置表</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_Toc103958782 \h </w:instrText>
      </w:r>
      <w:r>
        <w:rPr>
          <w:rFonts w:ascii="宋体" w:hAnsi="宋体" w:eastAsia="宋体"/>
          <w:sz w:val="24"/>
          <w:szCs w:val="24"/>
        </w:rPr>
        <w:fldChar w:fldCharType="separate"/>
      </w:r>
      <w:r>
        <w:rPr>
          <w:rFonts w:ascii="宋体" w:hAnsi="宋体" w:eastAsia="宋体"/>
          <w:sz w:val="24"/>
          <w:szCs w:val="24"/>
        </w:rPr>
        <w:t>93</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"_Toc103958783" </w:instrText>
      </w:r>
      <w:r>
        <w:fldChar w:fldCharType="separate"/>
      </w:r>
      <w:r>
        <w:rPr>
          <w:rStyle w:val="19"/>
          <w:rFonts w:hint="eastAsia" w:ascii="宋体" w:hAnsi="宋体" w:eastAsia="宋体"/>
          <w:sz w:val="24"/>
          <w:szCs w:val="24"/>
        </w:rPr>
        <w:t>附录</w:t>
      </w:r>
      <w:r>
        <w:rPr>
          <w:rStyle w:val="19"/>
          <w:rFonts w:ascii="宋体" w:hAnsi="宋体" w:eastAsia="宋体"/>
          <w:sz w:val="24"/>
          <w:szCs w:val="24"/>
        </w:rPr>
        <w:t xml:space="preserve">D </w:t>
      </w:r>
      <w:r>
        <w:rPr>
          <w:rStyle w:val="19"/>
          <w:rFonts w:hint="eastAsia" w:ascii="宋体" w:hAnsi="宋体" w:eastAsia="宋体"/>
          <w:sz w:val="24"/>
          <w:szCs w:val="24"/>
        </w:rPr>
        <w:t>钢结构住宅智能化设备配置表</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_Toc103958783 \h </w:instrText>
      </w:r>
      <w:r>
        <w:rPr>
          <w:rFonts w:ascii="宋体" w:hAnsi="宋体" w:eastAsia="宋体"/>
          <w:sz w:val="24"/>
          <w:szCs w:val="24"/>
        </w:rPr>
        <w:fldChar w:fldCharType="separate"/>
      </w:r>
      <w:r>
        <w:rPr>
          <w:rFonts w:ascii="宋体" w:hAnsi="宋体" w:eastAsia="宋体"/>
          <w:sz w:val="24"/>
          <w:szCs w:val="24"/>
        </w:rPr>
        <w:t>99</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"_Toc103958784" </w:instrText>
      </w:r>
      <w:r>
        <w:fldChar w:fldCharType="separate"/>
      </w:r>
      <w:r>
        <w:rPr>
          <w:rStyle w:val="19"/>
          <w:rFonts w:hint="eastAsia" w:ascii="宋体" w:hAnsi="宋体" w:eastAsia="宋体"/>
          <w:sz w:val="24"/>
          <w:szCs w:val="24"/>
        </w:rPr>
        <w:t>附录</w:t>
      </w:r>
      <w:r>
        <w:rPr>
          <w:rStyle w:val="19"/>
          <w:rFonts w:ascii="宋体" w:hAnsi="宋体" w:eastAsia="宋体"/>
          <w:sz w:val="24"/>
          <w:szCs w:val="24"/>
        </w:rPr>
        <w:t xml:space="preserve">E </w:t>
      </w:r>
      <w:r>
        <w:rPr>
          <w:rStyle w:val="19"/>
          <w:rFonts w:hint="eastAsia" w:ascii="宋体" w:hAnsi="宋体" w:eastAsia="宋体"/>
          <w:sz w:val="24"/>
          <w:szCs w:val="24"/>
        </w:rPr>
        <w:t>钢构件外包混凝土、防火涂料、防火板构造图</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_Toc103958784 \h </w:instrText>
      </w:r>
      <w:r>
        <w:rPr>
          <w:rFonts w:ascii="宋体" w:hAnsi="宋体" w:eastAsia="宋体"/>
          <w:sz w:val="24"/>
          <w:szCs w:val="24"/>
        </w:rPr>
        <w:fldChar w:fldCharType="separate"/>
      </w:r>
      <w:r>
        <w:rPr>
          <w:rFonts w:ascii="宋体" w:hAnsi="宋体" w:eastAsia="宋体"/>
          <w:sz w:val="24"/>
          <w:szCs w:val="24"/>
        </w:rPr>
        <w:t>101</w:t>
      </w:r>
      <w:r>
        <w:rPr>
          <w:rFonts w:ascii="宋体" w:hAnsi="宋体" w:eastAsia="宋体"/>
          <w:sz w:val="24"/>
          <w:szCs w:val="24"/>
        </w:rPr>
        <w:fldChar w:fldCharType="end"/>
      </w:r>
      <w:r>
        <w:rPr>
          <w:rFonts w:ascii="宋体" w:hAnsi="宋体" w:eastAsia="宋体"/>
          <w:sz w:val="24"/>
          <w:szCs w:val="24"/>
        </w:rPr>
        <w:fldChar w:fldCharType="end"/>
      </w:r>
    </w:p>
    <w:p>
      <w:pPr>
        <w:spacing w:line="360" w:lineRule="auto"/>
        <w:rPr>
          <w:rFonts w:ascii="宋体" w:hAnsi="宋体"/>
          <w:b/>
          <w:bCs/>
          <w:lang w:val="zh-CN"/>
        </w:rPr>
      </w:pPr>
      <w:r>
        <w:rPr>
          <w:rFonts w:ascii="宋体" w:hAnsi="宋体"/>
          <w:b/>
          <w:bCs/>
          <w:lang w:val="zh-CN"/>
        </w:rPr>
        <w:fldChar w:fldCharType="end"/>
      </w:r>
    </w:p>
    <w:p>
      <w:pPr>
        <w:spacing w:line="360" w:lineRule="auto"/>
        <w:rPr>
          <w:rFonts w:ascii="宋体" w:hAnsi="宋体"/>
          <w:b/>
          <w:bCs/>
          <w:lang w:val="zh-CN"/>
        </w:rPr>
      </w:pPr>
    </w:p>
    <w:p>
      <w:pPr>
        <w:spacing w:line="360" w:lineRule="auto"/>
        <w:rPr>
          <w:rFonts w:ascii="宋体" w:hAnsi="宋体"/>
          <w:b/>
          <w:bCs/>
          <w:lang w:val="zh-CN"/>
        </w:rPr>
      </w:pPr>
    </w:p>
    <w:p>
      <w:pPr>
        <w:spacing w:line="360" w:lineRule="auto"/>
        <w:rPr>
          <w:rFonts w:ascii="宋体" w:hAnsi="宋体"/>
          <w:b/>
          <w:bCs/>
          <w:lang w:val="zh-CN"/>
        </w:rPr>
      </w:pPr>
    </w:p>
    <w:p>
      <w:pPr>
        <w:spacing w:line="360" w:lineRule="auto"/>
        <w:rPr>
          <w:rFonts w:ascii="宋体" w:hAnsi="宋体"/>
          <w:b/>
          <w:bCs/>
          <w:lang w:val="zh-CN"/>
        </w:rPr>
      </w:pPr>
    </w:p>
    <w:p>
      <w:pPr>
        <w:spacing w:line="360" w:lineRule="auto"/>
        <w:rPr>
          <w:rFonts w:ascii="宋体" w:hAnsi="宋体"/>
          <w:b/>
          <w:bCs/>
          <w:lang w:val="zh-CN"/>
        </w:rPr>
      </w:pPr>
    </w:p>
    <w:p>
      <w:pPr>
        <w:spacing w:line="360" w:lineRule="auto"/>
        <w:rPr>
          <w:rFonts w:ascii="宋体" w:hAnsi="宋体"/>
          <w:b/>
          <w:bCs/>
          <w:lang w:val="zh-CN"/>
        </w:rPr>
      </w:pPr>
    </w:p>
    <w:p>
      <w:pPr>
        <w:spacing w:line="360" w:lineRule="auto"/>
        <w:rPr>
          <w:rFonts w:ascii="宋体" w:hAnsi="宋体"/>
          <w:b/>
          <w:bCs/>
          <w:lang w:val="zh-CN"/>
        </w:rPr>
      </w:pPr>
    </w:p>
    <w:p>
      <w:pPr>
        <w:spacing w:line="360" w:lineRule="auto"/>
        <w:rPr>
          <w:rFonts w:ascii="宋体" w:hAnsi="宋体"/>
          <w:b/>
          <w:bCs/>
          <w:lang w:val="zh-CN"/>
        </w:rPr>
      </w:pPr>
    </w:p>
    <w:p>
      <w:pPr>
        <w:spacing w:line="360" w:lineRule="auto"/>
        <w:rPr>
          <w:rFonts w:ascii="宋体" w:hAnsi="宋体"/>
          <w:b/>
          <w:bCs/>
          <w:lang w:val="zh-CN"/>
        </w:rPr>
      </w:pPr>
    </w:p>
    <w:p>
      <w:pPr>
        <w:spacing w:line="360" w:lineRule="auto"/>
        <w:rPr>
          <w:rFonts w:ascii="宋体" w:hAnsi="宋体"/>
          <w:b/>
          <w:bCs/>
          <w:lang w:val="zh-CN"/>
        </w:rPr>
      </w:pPr>
    </w:p>
    <w:p>
      <w:pPr>
        <w:spacing w:line="360" w:lineRule="auto"/>
        <w:rPr>
          <w:rFonts w:ascii="宋体" w:hAnsi="宋体"/>
          <w:b/>
          <w:bCs/>
          <w:lang w:val="zh-CN"/>
        </w:rPr>
      </w:pPr>
    </w:p>
    <w:p>
      <w:pPr>
        <w:spacing w:line="360" w:lineRule="auto"/>
        <w:rPr>
          <w:rFonts w:ascii="宋体" w:hAnsi="宋体"/>
          <w:b/>
          <w:bCs/>
          <w:lang w:val="zh-CN"/>
        </w:rPr>
      </w:pPr>
    </w:p>
    <w:p>
      <w:pPr>
        <w:spacing w:line="360" w:lineRule="auto"/>
        <w:rPr>
          <w:rFonts w:ascii="宋体" w:hAnsi="宋体"/>
          <w:b/>
          <w:bCs/>
          <w:lang w:val="zh-CN"/>
        </w:rPr>
      </w:pPr>
    </w:p>
    <w:p>
      <w:pPr>
        <w:spacing w:line="360" w:lineRule="auto"/>
        <w:rPr>
          <w:rFonts w:ascii="宋体" w:hAnsi="宋体"/>
          <w:b/>
          <w:bCs/>
          <w:lang w:val="zh-CN"/>
        </w:rPr>
      </w:pPr>
    </w:p>
    <w:p>
      <w:pPr>
        <w:spacing w:line="360" w:lineRule="auto"/>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adjustRightInd w:val="0"/>
        <w:snapToGrid w:val="0"/>
        <w:jc w:val="center"/>
        <w:outlineLvl w:val="0"/>
        <w:rPr>
          <w:rFonts w:ascii="黑体" w:eastAsia="黑体"/>
          <w:color w:val="auto"/>
          <w:sz w:val="30"/>
          <w:szCs w:val="30"/>
        </w:rPr>
      </w:pPr>
      <w:r>
        <w:rPr>
          <w:rFonts w:hint="eastAsia" w:ascii="黑体" w:eastAsia="黑体"/>
          <w:color w:val="auto"/>
          <w:sz w:val="30"/>
          <w:szCs w:val="30"/>
        </w:rPr>
        <w:t>Contents</w:t>
      </w:r>
    </w:p>
    <w:p>
      <w:pPr>
        <w:widowControl/>
        <w:jc w:val="center"/>
        <w:rPr>
          <w:rFonts w:ascii="仿宋" w:hAnsi="仿宋" w:eastAsia="仿宋"/>
          <w:color w:val="auto"/>
          <w:sz w:val="32"/>
          <w:szCs w:val="32"/>
        </w:rPr>
      </w:pP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"_Toc103958734" </w:instrText>
      </w:r>
      <w:r>
        <w:fldChar w:fldCharType="separate"/>
      </w:r>
      <w:r>
        <w:rPr>
          <w:rStyle w:val="19"/>
          <w:rFonts w:ascii="宋体" w:hAnsi="宋体" w:eastAsia="宋体"/>
          <w:color w:val="auto"/>
          <w:sz w:val="24"/>
          <w:szCs w:val="24"/>
          <w:u w:val="none"/>
        </w:rPr>
        <w:t xml:space="preserve">1  </w:t>
      </w:r>
      <w:r>
        <w:rPr>
          <w:rStyle w:val="19"/>
          <w:rFonts w:ascii="Times New Roman" w:hAnsi="Times New Roman" w:eastAsia="宋体" w:cs="Times New Roman"/>
          <w:color w:val="auto"/>
          <w:sz w:val="24"/>
          <w:szCs w:val="24"/>
          <w:u w:val="none"/>
        </w:rPr>
        <w:t>General Provisions</w:t>
      </w:r>
      <w:r>
        <w:rPr>
          <w:rFonts w:ascii="宋体" w:hAnsi="宋体" w:eastAsia="宋体"/>
          <w:sz w:val="24"/>
          <w:szCs w:val="24"/>
        </w:rPr>
        <w:tab/>
      </w:r>
      <w:r>
        <w:rPr>
          <w:rFonts w:hint="eastAsia" w:ascii="宋体" w:hAnsi="宋体" w:eastAsia="宋体"/>
          <w:sz w:val="24"/>
          <w:szCs w:val="24"/>
        </w:rPr>
        <w:t>8</w:t>
      </w:r>
      <w:r>
        <w:rPr>
          <w:rFonts w:hint="eastAsia"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"_Toc103958735" </w:instrText>
      </w:r>
      <w:r>
        <w:fldChar w:fldCharType="separate"/>
      </w:r>
      <w:r>
        <w:rPr>
          <w:rStyle w:val="19"/>
          <w:rFonts w:ascii="宋体" w:hAnsi="宋体" w:eastAsia="宋体"/>
          <w:color w:val="auto"/>
          <w:sz w:val="24"/>
          <w:szCs w:val="24"/>
          <w:u w:val="none"/>
        </w:rPr>
        <w:t xml:space="preserve">2  </w:t>
      </w:r>
      <w:r>
        <w:rPr>
          <w:rStyle w:val="19"/>
          <w:rFonts w:hint="eastAsia" w:ascii="Times New Roman" w:hAnsi="Times New Roman" w:eastAsia="宋体" w:cs="Times New Roman"/>
          <w:color w:val="auto"/>
          <w:sz w:val="24"/>
          <w:szCs w:val="24"/>
          <w:u w:val="none"/>
        </w:rPr>
        <w:t>Terms</w:t>
      </w:r>
      <w:r>
        <w:rPr>
          <w:rFonts w:ascii="宋体" w:hAnsi="宋体" w:eastAsia="宋体"/>
          <w:sz w:val="24"/>
          <w:szCs w:val="24"/>
        </w:rPr>
        <w:tab/>
      </w:r>
      <w:r>
        <w:rPr>
          <w:rFonts w:hint="eastAsia" w:ascii="宋体" w:hAnsi="宋体" w:eastAsia="宋体"/>
          <w:sz w:val="24"/>
          <w:szCs w:val="24"/>
        </w:rPr>
        <w:t>9</w:t>
      </w:r>
      <w:r>
        <w:rPr>
          <w:rFonts w:hint="eastAsia"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"_Toc103958736" </w:instrText>
      </w:r>
      <w:r>
        <w:fldChar w:fldCharType="separate"/>
      </w:r>
      <w:r>
        <w:rPr>
          <w:rStyle w:val="19"/>
          <w:rFonts w:ascii="宋体" w:hAnsi="宋体" w:eastAsia="宋体"/>
          <w:color w:val="auto"/>
          <w:sz w:val="24"/>
          <w:szCs w:val="24"/>
          <w:u w:val="none"/>
        </w:rPr>
        <w:t xml:space="preserve">3  </w:t>
      </w:r>
      <w:r>
        <w:rPr>
          <w:rStyle w:val="19"/>
          <w:rFonts w:ascii="Times New Roman" w:hAnsi="Times New Roman" w:eastAsia="宋体" w:cs="Times New Roman"/>
          <w:color w:val="auto"/>
          <w:sz w:val="24"/>
          <w:szCs w:val="24"/>
          <w:u w:val="none"/>
        </w:rPr>
        <w:t>Residential Performance Requirements</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_Toc103958736 \h </w:instrText>
      </w:r>
      <w:r>
        <w:rPr>
          <w:rFonts w:ascii="宋体" w:hAnsi="宋体" w:eastAsia="宋体"/>
          <w:sz w:val="24"/>
          <w:szCs w:val="24"/>
        </w:rPr>
        <w:fldChar w:fldCharType="separate"/>
      </w:r>
      <w:r>
        <w:rPr>
          <w:rFonts w:ascii="宋体" w:hAnsi="宋体" w:eastAsia="宋体"/>
          <w:sz w:val="24"/>
          <w:szCs w:val="24"/>
        </w:rPr>
        <w:t>1</w:t>
      </w:r>
      <w:r>
        <w:rPr>
          <w:rFonts w:hint="eastAsia"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ind w:left="221"/>
        <w:rPr>
          <w:rFonts w:ascii="宋体" w:hAnsi="宋体" w:eastAsia="宋体" w:cstheme="minorBidi"/>
          <w:kern w:val="2"/>
          <w:sz w:val="24"/>
          <w:szCs w:val="24"/>
        </w:rPr>
      </w:pPr>
      <w:r>
        <w:fldChar w:fldCharType="begin"/>
      </w:r>
      <w:r>
        <w:instrText xml:space="preserve"> HYPERLINK \l "_Toc103958737" </w:instrText>
      </w:r>
      <w:r>
        <w:fldChar w:fldCharType="separate"/>
      </w:r>
      <w:r>
        <w:rPr>
          <w:rStyle w:val="19"/>
          <w:rFonts w:ascii="宋体" w:hAnsi="宋体" w:eastAsia="宋体"/>
          <w:color w:val="auto"/>
          <w:sz w:val="24"/>
          <w:szCs w:val="24"/>
          <w:u w:val="none"/>
        </w:rPr>
        <w:t xml:space="preserve">3.1  </w:t>
      </w:r>
      <w:r>
        <w:rPr>
          <w:rStyle w:val="19"/>
          <w:rFonts w:ascii="Times New Roman" w:hAnsi="Times New Roman" w:eastAsia="宋体"/>
          <w:color w:val="auto"/>
          <w:kern w:val="2"/>
          <w:sz w:val="24"/>
          <w:szCs w:val="24"/>
          <w:u w:val="none"/>
        </w:rPr>
        <w:t>Residential Applicable Performance Requirements</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_Toc103958737 \h </w:instrText>
      </w:r>
      <w:r>
        <w:rPr>
          <w:rFonts w:ascii="宋体" w:hAnsi="宋体" w:eastAsia="宋体"/>
          <w:sz w:val="24"/>
          <w:szCs w:val="24"/>
        </w:rPr>
        <w:fldChar w:fldCharType="separate"/>
      </w:r>
      <w:r>
        <w:rPr>
          <w:rFonts w:ascii="宋体" w:hAnsi="宋体" w:eastAsia="宋体"/>
          <w:sz w:val="24"/>
          <w:szCs w:val="24"/>
        </w:rPr>
        <w:t>1</w:t>
      </w:r>
      <w:r>
        <w:rPr>
          <w:rFonts w:hint="eastAsia"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"_Toc103958738" </w:instrText>
      </w:r>
      <w:r>
        <w:fldChar w:fldCharType="separate"/>
      </w:r>
      <w:r>
        <w:rPr>
          <w:rStyle w:val="19"/>
          <w:rFonts w:ascii="宋体" w:hAnsi="宋体" w:eastAsia="宋体"/>
          <w:color w:val="auto"/>
          <w:sz w:val="24"/>
          <w:szCs w:val="24"/>
          <w:u w:val="none"/>
        </w:rPr>
        <w:t xml:space="preserve">3.2  </w:t>
      </w:r>
      <w:r>
        <w:rPr>
          <w:rStyle w:val="19"/>
          <w:rFonts w:ascii="Times New Roman" w:hAnsi="Times New Roman" w:eastAsia="宋体"/>
          <w:color w:val="auto"/>
          <w:kern w:val="2"/>
          <w:sz w:val="24"/>
          <w:szCs w:val="24"/>
          <w:u w:val="none"/>
        </w:rPr>
        <w:t xml:space="preserve">Residential </w:t>
      </w:r>
      <w:r>
        <w:rPr>
          <w:rStyle w:val="19"/>
          <w:rFonts w:hint="eastAsia" w:ascii="Times New Roman" w:hAnsi="Times New Roman" w:eastAsia="宋体"/>
          <w:color w:val="auto"/>
          <w:kern w:val="2"/>
          <w:sz w:val="24"/>
          <w:szCs w:val="24"/>
          <w:u w:val="none"/>
        </w:rPr>
        <w:t>H</w:t>
      </w:r>
      <w:r>
        <w:rPr>
          <w:rStyle w:val="19"/>
          <w:rFonts w:ascii="Times New Roman" w:hAnsi="Times New Roman" w:eastAsia="宋体"/>
          <w:color w:val="auto"/>
          <w:kern w:val="2"/>
          <w:sz w:val="24"/>
          <w:szCs w:val="24"/>
          <w:u w:val="none"/>
        </w:rPr>
        <w:t xml:space="preserve">ealth and </w:t>
      </w:r>
      <w:r>
        <w:rPr>
          <w:rStyle w:val="19"/>
          <w:rFonts w:hint="eastAsia" w:ascii="Times New Roman" w:hAnsi="Times New Roman" w:eastAsia="宋体"/>
          <w:color w:val="auto"/>
          <w:kern w:val="2"/>
          <w:sz w:val="24"/>
          <w:szCs w:val="24"/>
          <w:u w:val="none"/>
        </w:rPr>
        <w:t>C</w:t>
      </w:r>
      <w:r>
        <w:rPr>
          <w:rStyle w:val="19"/>
          <w:rFonts w:ascii="Times New Roman" w:hAnsi="Times New Roman" w:eastAsia="宋体"/>
          <w:color w:val="auto"/>
          <w:kern w:val="2"/>
          <w:sz w:val="24"/>
          <w:szCs w:val="24"/>
          <w:u w:val="none"/>
        </w:rPr>
        <w:t>omfort</w:t>
      </w:r>
      <w:r>
        <w:rPr>
          <w:rStyle w:val="19"/>
          <w:rFonts w:hint="eastAsia" w:ascii="Times New Roman" w:hAnsi="Times New Roman" w:eastAsia="宋体"/>
          <w:color w:val="auto"/>
          <w:kern w:val="2"/>
          <w:sz w:val="24"/>
          <w:szCs w:val="24"/>
          <w:u w:val="none"/>
        </w:rPr>
        <w:t xml:space="preserve"> </w:t>
      </w:r>
      <w:r>
        <w:rPr>
          <w:rStyle w:val="19"/>
          <w:rFonts w:ascii="Times New Roman" w:hAnsi="Times New Roman" w:eastAsia="宋体"/>
          <w:color w:val="auto"/>
          <w:kern w:val="2"/>
          <w:sz w:val="24"/>
          <w:szCs w:val="24"/>
          <w:u w:val="none"/>
        </w:rPr>
        <w:t xml:space="preserve"> </w:t>
      </w:r>
      <w:r>
        <w:rPr>
          <w:rStyle w:val="19"/>
          <w:rFonts w:hint="eastAsia" w:ascii="Times New Roman" w:hAnsi="Times New Roman" w:eastAsia="宋体"/>
          <w:color w:val="auto"/>
          <w:kern w:val="2"/>
          <w:sz w:val="24"/>
          <w:szCs w:val="24"/>
          <w:u w:val="none"/>
        </w:rPr>
        <w:t>P</w:t>
      </w:r>
      <w:r>
        <w:rPr>
          <w:rStyle w:val="19"/>
          <w:rFonts w:ascii="Times New Roman" w:hAnsi="Times New Roman" w:eastAsia="宋体"/>
          <w:color w:val="auto"/>
          <w:kern w:val="2"/>
          <w:sz w:val="24"/>
          <w:szCs w:val="24"/>
          <w:u w:val="none"/>
        </w:rPr>
        <w:t xml:space="preserve">erformance </w:t>
      </w:r>
      <w:r>
        <w:rPr>
          <w:rStyle w:val="19"/>
          <w:rFonts w:hint="eastAsia" w:ascii="Times New Roman" w:hAnsi="Times New Roman" w:eastAsia="宋体"/>
          <w:color w:val="auto"/>
          <w:kern w:val="2"/>
          <w:sz w:val="24"/>
          <w:szCs w:val="24"/>
          <w:u w:val="none"/>
        </w:rPr>
        <w:t>R</w:t>
      </w:r>
      <w:r>
        <w:rPr>
          <w:rStyle w:val="19"/>
          <w:rFonts w:ascii="Times New Roman" w:hAnsi="Times New Roman" w:eastAsia="宋体"/>
          <w:color w:val="auto"/>
          <w:kern w:val="2"/>
          <w:sz w:val="24"/>
          <w:szCs w:val="24"/>
          <w:u w:val="none"/>
        </w:rPr>
        <w:t>equirements</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_Toc103958738 \h </w:instrText>
      </w:r>
      <w:r>
        <w:rPr>
          <w:rFonts w:ascii="宋体" w:hAnsi="宋体" w:eastAsia="宋体"/>
          <w:sz w:val="24"/>
          <w:szCs w:val="24"/>
        </w:rPr>
        <w:fldChar w:fldCharType="separate"/>
      </w:r>
      <w:r>
        <w:rPr>
          <w:rFonts w:ascii="宋体" w:hAnsi="宋体" w:eastAsia="宋体"/>
          <w:sz w:val="24"/>
          <w:szCs w:val="24"/>
        </w:rPr>
        <w:t>1</w:t>
      </w:r>
      <w:r>
        <w:rPr>
          <w:rFonts w:hint="eastAsia" w:ascii="宋体" w:hAnsi="宋体" w:eastAsia="宋体"/>
          <w:sz w:val="24"/>
          <w:szCs w:val="24"/>
        </w:rPr>
        <w:t>4</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"_Toc103958739" </w:instrText>
      </w:r>
      <w:r>
        <w:fldChar w:fldCharType="separate"/>
      </w:r>
      <w:r>
        <w:rPr>
          <w:rStyle w:val="19"/>
          <w:rFonts w:ascii="宋体" w:hAnsi="宋体" w:eastAsia="宋体"/>
          <w:color w:val="auto"/>
          <w:sz w:val="24"/>
          <w:szCs w:val="24"/>
          <w:u w:val="none"/>
        </w:rPr>
        <w:t xml:space="preserve">3.3  </w:t>
      </w:r>
      <w:r>
        <w:rPr>
          <w:rStyle w:val="19"/>
          <w:rFonts w:ascii="Times New Roman" w:hAnsi="Times New Roman" w:eastAsia="宋体"/>
          <w:color w:val="auto"/>
          <w:kern w:val="2"/>
          <w:sz w:val="24"/>
          <w:szCs w:val="24"/>
          <w:u w:val="none"/>
        </w:rPr>
        <w:t>Residential Safety Performance Requirements</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_Toc103958739 \h </w:instrText>
      </w:r>
      <w:r>
        <w:rPr>
          <w:rFonts w:ascii="宋体" w:hAnsi="宋体" w:eastAsia="宋体"/>
          <w:sz w:val="24"/>
          <w:szCs w:val="24"/>
        </w:rPr>
        <w:fldChar w:fldCharType="separate"/>
      </w:r>
      <w:r>
        <w:rPr>
          <w:rFonts w:ascii="宋体" w:hAnsi="宋体" w:eastAsia="宋体"/>
          <w:sz w:val="24"/>
          <w:szCs w:val="24"/>
        </w:rPr>
        <w:t>1</w:t>
      </w:r>
      <w:r>
        <w:rPr>
          <w:rFonts w:hint="eastAsia"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"_Toc103958740" </w:instrText>
      </w:r>
      <w:r>
        <w:fldChar w:fldCharType="separate"/>
      </w:r>
      <w:r>
        <w:rPr>
          <w:rStyle w:val="19"/>
          <w:rFonts w:ascii="宋体" w:hAnsi="宋体" w:eastAsia="宋体"/>
          <w:color w:val="auto"/>
          <w:sz w:val="24"/>
          <w:szCs w:val="24"/>
          <w:u w:val="none"/>
        </w:rPr>
        <w:t xml:space="preserve">3.4  </w:t>
      </w:r>
      <w:r>
        <w:rPr>
          <w:rStyle w:val="19"/>
          <w:rFonts w:ascii="Times New Roman" w:hAnsi="Times New Roman" w:eastAsia="宋体"/>
          <w:color w:val="auto"/>
          <w:kern w:val="2"/>
          <w:sz w:val="24"/>
          <w:szCs w:val="24"/>
          <w:u w:val="none"/>
        </w:rPr>
        <w:t>Residential Durability Requirements</w:t>
      </w:r>
      <w:r>
        <w:rPr>
          <w:rFonts w:ascii="宋体" w:hAnsi="宋体" w:eastAsia="宋体"/>
          <w:sz w:val="24"/>
          <w:szCs w:val="24"/>
        </w:rPr>
        <w:tab/>
      </w:r>
      <w:r>
        <w:rPr>
          <w:rFonts w:hint="eastAsia" w:ascii="宋体" w:hAnsi="宋体" w:eastAsia="宋体"/>
          <w:sz w:val="24"/>
          <w:szCs w:val="24"/>
        </w:rPr>
        <w:t>20</w:t>
      </w:r>
      <w:r>
        <w:rPr>
          <w:rFonts w:hint="eastAsia"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"_Toc103958741" </w:instrText>
      </w:r>
      <w:r>
        <w:fldChar w:fldCharType="separate"/>
      </w:r>
      <w:r>
        <w:rPr>
          <w:rStyle w:val="19"/>
          <w:rFonts w:ascii="宋体" w:hAnsi="宋体" w:eastAsia="宋体"/>
          <w:color w:val="auto"/>
          <w:sz w:val="24"/>
          <w:szCs w:val="24"/>
          <w:u w:val="none"/>
        </w:rPr>
        <w:t xml:space="preserve">3.5  </w:t>
      </w:r>
      <w:r>
        <w:rPr>
          <w:rStyle w:val="19"/>
          <w:rFonts w:ascii="Times New Roman" w:hAnsi="Times New Roman" w:eastAsia="宋体"/>
          <w:color w:val="auto"/>
          <w:kern w:val="2"/>
          <w:sz w:val="24"/>
          <w:szCs w:val="24"/>
          <w:u w:val="none"/>
        </w:rPr>
        <w:t>Residential Green and Low-Carbon Requirements</w:t>
      </w:r>
      <w:r>
        <w:rPr>
          <w:rFonts w:ascii="宋体" w:hAnsi="宋体" w:eastAsia="宋体"/>
          <w:sz w:val="24"/>
          <w:szCs w:val="24"/>
        </w:rPr>
        <w:tab/>
      </w:r>
      <w:r>
        <w:rPr>
          <w:rFonts w:hint="eastAsia" w:ascii="宋体" w:hAnsi="宋体" w:eastAsia="宋体"/>
          <w:sz w:val="24"/>
          <w:szCs w:val="24"/>
        </w:rPr>
        <w:t>21</w:t>
      </w:r>
      <w:r>
        <w:rPr>
          <w:rFonts w:hint="eastAsia"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"_Toc103958742" </w:instrText>
      </w:r>
      <w:r>
        <w:fldChar w:fldCharType="separate"/>
      </w:r>
      <w:r>
        <w:rPr>
          <w:rStyle w:val="19"/>
          <w:rFonts w:ascii="宋体" w:hAnsi="宋体" w:eastAsia="宋体"/>
          <w:color w:val="auto"/>
          <w:sz w:val="24"/>
          <w:szCs w:val="24"/>
          <w:u w:val="none"/>
        </w:rPr>
        <w:t xml:space="preserve">4  </w:t>
      </w:r>
      <w:r>
        <w:rPr>
          <w:rStyle w:val="19"/>
          <w:rFonts w:hint="eastAsia" w:ascii="Times New Roman" w:hAnsi="Times New Roman" w:eastAsia="宋体" w:cs="Times New Roman"/>
          <w:color w:val="auto"/>
          <w:sz w:val="24"/>
          <w:szCs w:val="24"/>
          <w:u w:val="none"/>
        </w:rPr>
        <w:t>Design Basic Requirements</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_Toc103958742 \h </w:instrText>
      </w:r>
      <w:r>
        <w:rPr>
          <w:rFonts w:ascii="宋体" w:hAnsi="宋体" w:eastAsia="宋体"/>
          <w:sz w:val="24"/>
          <w:szCs w:val="24"/>
        </w:rPr>
        <w:fldChar w:fldCharType="separate"/>
      </w:r>
      <w:r>
        <w:rPr>
          <w:rFonts w:ascii="宋体" w:hAnsi="宋体" w:eastAsia="宋体"/>
          <w:sz w:val="24"/>
          <w:szCs w:val="24"/>
        </w:rPr>
        <w:t>2</w:t>
      </w:r>
      <w:r>
        <w:rPr>
          <w:rFonts w:hint="eastAsia"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"_Toc103958743" </w:instrText>
      </w:r>
      <w:r>
        <w:fldChar w:fldCharType="separate"/>
      </w:r>
      <w:r>
        <w:rPr>
          <w:rStyle w:val="19"/>
          <w:rFonts w:ascii="宋体" w:hAnsi="宋体" w:eastAsia="宋体"/>
          <w:color w:val="auto"/>
          <w:sz w:val="24"/>
          <w:szCs w:val="24"/>
          <w:u w:val="none"/>
        </w:rPr>
        <w:t xml:space="preserve">5  </w:t>
      </w:r>
      <w:r>
        <w:rPr>
          <w:rStyle w:val="19"/>
          <w:rFonts w:hint="eastAsia" w:ascii="Times New Roman" w:hAnsi="Times New Roman" w:eastAsia="宋体" w:cs="Times New Roman"/>
          <w:color w:val="auto"/>
          <w:sz w:val="24"/>
          <w:szCs w:val="24"/>
          <w:u w:val="none"/>
        </w:rPr>
        <w:t>Architectural Design</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_Toc103958743 \h </w:instrText>
      </w:r>
      <w:r>
        <w:rPr>
          <w:rFonts w:ascii="宋体" w:hAnsi="宋体" w:eastAsia="宋体"/>
          <w:sz w:val="24"/>
          <w:szCs w:val="24"/>
        </w:rPr>
        <w:fldChar w:fldCharType="separate"/>
      </w:r>
      <w:r>
        <w:rPr>
          <w:rFonts w:ascii="宋体" w:hAnsi="宋体" w:eastAsia="宋体"/>
          <w:sz w:val="24"/>
          <w:szCs w:val="24"/>
        </w:rPr>
        <w:t>2</w:t>
      </w:r>
      <w:r>
        <w:rPr>
          <w:rFonts w:hint="eastAsia" w:ascii="宋体" w:hAnsi="宋体" w:eastAsia="宋体"/>
          <w:sz w:val="24"/>
          <w:szCs w:val="24"/>
        </w:rPr>
        <w:t>5</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"_Toc103958744" </w:instrText>
      </w:r>
      <w:r>
        <w:fldChar w:fldCharType="separate"/>
      </w:r>
      <w:r>
        <w:rPr>
          <w:rStyle w:val="19"/>
          <w:rFonts w:ascii="宋体" w:hAnsi="宋体" w:eastAsia="宋体"/>
          <w:color w:val="auto"/>
          <w:sz w:val="24"/>
          <w:szCs w:val="24"/>
          <w:u w:val="none"/>
        </w:rPr>
        <w:t xml:space="preserve">5.1  </w:t>
      </w:r>
      <w:r>
        <w:rPr>
          <w:rStyle w:val="19"/>
          <w:rFonts w:ascii="Times New Roman" w:hAnsi="Times New Roman" w:eastAsia="宋体"/>
          <w:color w:val="auto"/>
          <w:kern w:val="2"/>
          <w:sz w:val="24"/>
          <w:szCs w:val="24"/>
          <w:u w:val="none"/>
        </w:rPr>
        <w:t>General Requirements</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_Toc103958744 \h </w:instrText>
      </w:r>
      <w:r>
        <w:rPr>
          <w:rFonts w:ascii="宋体" w:hAnsi="宋体" w:eastAsia="宋体"/>
          <w:sz w:val="24"/>
          <w:szCs w:val="24"/>
        </w:rPr>
        <w:fldChar w:fldCharType="separate"/>
      </w:r>
      <w:r>
        <w:rPr>
          <w:rFonts w:ascii="宋体" w:hAnsi="宋体" w:eastAsia="宋体"/>
          <w:sz w:val="24"/>
          <w:szCs w:val="24"/>
        </w:rPr>
        <w:t>2</w:t>
      </w:r>
      <w:r>
        <w:rPr>
          <w:rFonts w:hint="eastAsia" w:ascii="宋体" w:hAnsi="宋体" w:eastAsia="宋体"/>
          <w:sz w:val="24"/>
          <w:szCs w:val="24"/>
        </w:rPr>
        <w:t>5</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"_Toc103958745" </w:instrText>
      </w:r>
      <w:r>
        <w:fldChar w:fldCharType="separate"/>
      </w:r>
      <w:r>
        <w:rPr>
          <w:rStyle w:val="19"/>
          <w:rFonts w:ascii="宋体" w:hAnsi="宋体" w:eastAsia="宋体"/>
          <w:color w:val="auto"/>
          <w:sz w:val="24"/>
          <w:szCs w:val="24"/>
          <w:u w:val="none"/>
        </w:rPr>
        <w:t xml:space="preserve">5.2  </w:t>
      </w:r>
      <w:r>
        <w:rPr>
          <w:rStyle w:val="19"/>
          <w:rFonts w:ascii="Times New Roman" w:hAnsi="Times New Roman" w:eastAsia="宋体"/>
          <w:color w:val="auto"/>
          <w:kern w:val="2"/>
          <w:sz w:val="24"/>
          <w:szCs w:val="24"/>
          <w:u w:val="none"/>
        </w:rPr>
        <w:t>Modulus Coordination</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_Toc103958745 \h </w:instrText>
      </w:r>
      <w:r>
        <w:rPr>
          <w:rFonts w:ascii="宋体" w:hAnsi="宋体" w:eastAsia="宋体"/>
          <w:sz w:val="24"/>
          <w:szCs w:val="24"/>
        </w:rPr>
        <w:fldChar w:fldCharType="separate"/>
      </w:r>
      <w:r>
        <w:rPr>
          <w:rFonts w:ascii="宋体" w:hAnsi="宋体" w:eastAsia="宋体"/>
          <w:sz w:val="24"/>
          <w:szCs w:val="24"/>
        </w:rPr>
        <w:t>2</w:t>
      </w:r>
      <w:r>
        <w:rPr>
          <w:rFonts w:hint="eastAsia" w:ascii="宋体" w:hAnsi="宋体" w:eastAsia="宋体"/>
          <w:sz w:val="24"/>
          <w:szCs w:val="24"/>
        </w:rPr>
        <w:t>5</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"_Toc103958746" </w:instrText>
      </w:r>
      <w:r>
        <w:fldChar w:fldCharType="separate"/>
      </w:r>
      <w:r>
        <w:rPr>
          <w:rStyle w:val="19"/>
          <w:rFonts w:ascii="宋体" w:hAnsi="宋体" w:eastAsia="宋体"/>
          <w:color w:val="auto"/>
          <w:sz w:val="24"/>
          <w:szCs w:val="24"/>
          <w:u w:val="none"/>
        </w:rPr>
        <w:t xml:space="preserve">5.3  </w:t>
      </w:r>
      <w:r>
        <w:rPr>
          <w:rStyle w:val="19"/>
          <w:rFonts w:ascii="Times New Roman" w:hAnsi="Times New Roman" w:eastAsia="宋体"/>
          <w:color w:val="auto"/>
          <w:kern w:val="2"/>
          <w:sz w:val="24"/>
          <w:szCs w:val="24"/>
          <w:u w:val="none"/>
        </w:rPr>
        <w:t>Standardized Design</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_Toc103958746 \h </w:instrText>
      </w:r>
      <w:r>
        <w:rPr>
          <w:rFonts w:ascii="宋体" w:hAnsi="宋体" w:eastAsia="宋体"/>
          <w:sz w:val="24"/>
          <w:szCs w:val="24"/>
        </w:rPr>
        <w:fldChar w:fldCharType="separate"/>
      </w:r>
      <w:r>
        <w:rPr>
          <w:rFonts w:ascii="宋体" w:hAnsi="宋体" w:eastAsia="宋体"/>
          <w:sz w:val="24"/>
          <w:szCs w:val="24"/>
        </w:rPr>
        <w:t>2</w:t>
      </w:r>
      <w:r>
        <w:rPr>
          <w:rFonts w:hint="eastAsia" w:ascii="宋体" w:hAnsi="宋体" w:eastAsia="宋体"/>
          <w:sz w:val="24"/>
          <w:szCs w:val="24"/>
        </w:rPr>
        <w:t>7</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"_Toc103958747" </w:instrText>
      </w:r>
      <w:r>
        <w:fldChar w:fldCharType="separate"/>
      </w:r>
      <w:r>
        <w:rPr>
          <w:rStyle w:val="19"/>
          <w:rFonts w:ascii="宋体" w:hAnsi="宋体" w:eastAsia="宋体"/>
          <w:color w:val="auto"/>
          <w:sz w:val="24"/>
          <w:szCs w:val="24"/>
          <w:u w:val="none"/>
        </w:rPr>
        <w:t xml:space="preserve">5.4  </w:t>
      </w:r>
      <w:r>
        <w:rPr>
          <w:rStyle w:val="19"/>
          <w:rFonts w:ascii="Times New Roman" w:hAnsi="Times New Roman" w:eastAsia="宋体"/>
          <w:color w:val="auto"/>
          <w:kern w:val="2"/>
          <w:sz w:val="24"/>
          <w:szCs w:val="24"/>
          <w:u w:val="none"/>
        </w:rPr>
        <w:t xml:space="preserve">Plane Layout , Facade ancl Space of </w:t>
      </w:r>
      <w:r>
        <w:rPr>
          <w:rStyle w:val="19"/>
          <w:rFonts w:hint="eastAsia" w:ascii="Times New Roman" w:hAnsi="Times New Roman" w:eastAsia="宋体"/>
          <w:color w:val="auto"/>
          <w:kern w:val="2"/>
          <w:sz w:val="24"/>
          <w:szCs w:val="24"/>
          <w:u w:val="none"/>
        </w:rPr>
        <w:t xml:space="preserve"> </w:t>
      </w:r>
      <w:r>
        <w:rPr>
          <w:rStyle w:val="19"/>
          <w:rFonts w:ascii="Times New Roman" w:hAnsi="Times New Roman" w:eastAsia="宋体"/>
          <w:color w:val="auto"/>
          <w:kern w:val="2"/>
          <w:sz w:val="24"/>
          <w:szCs w:val="24"/>
          <w:u w:val="none"/>
        </w:rPr>
        <w:t>Builclings</w:t>
      </w:r>
      <w:r>
        <w:rPr>
          <w:rStyle w:val="19"/>
          <w:rFonts w:hint="eastAsia" w:ascii="Times New Roman" w:hAnsi="Times New Roman" w:eastAsia="宋体"/>
          <w:color w:val="auto"/>
          <w:kern w:val="2"/>
          <w:sz w:val="24"/>
          <w:szCs w:val="24"/>
          <w:u w:val="none"/>
        </w:rPr>
        <w:t xml:space="preserve"> </w:t>
      </w:r>
      <w:r>
        <w:rPr>
          <w:rStyle w:val="19"/>
          <w:rFonts w:ascii="Times New Roman" w:hAnsi="Times New Roman" w:eastAsia="宋体"/>
          <w:color w:val="auto"/>
          <w:kern w:val="2"/>
          <w:sz w:val="24"/>
          <w:szCs w:val="24"/>
          <w:u w:val="none"/>
        </w:rPr>
        <w:t>Design</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_Toc103958747 \h </w:instrText>
      </w:r>
      <w:r>
        <w:rPr>
          <w:rFonts w:ascii="宋体" w:hAnsi="宋体" w:eastAsia="宋体"/>
          <w:sz w:val="24"/>
          <w:szCs w:val="24"/>
        </w:rPr>
        <w:fldChar w:fldCharType="separate"/>
      </w:r>
      <w:r>
        <w:rPr>
          <w:rFonts w:ascii="宋体" w:hAnsi="宋体" w:eastAsia="宋体"/>
          <w:sz w:val="24"/>
          <w:szCs w:val="24"/>
        </w:rPr>
        <w:t>2</w:t>
      </w:r>
      <w:r>
        <w:rPr>
          <w:rFonts w:hint="eastAsia"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"_Toc103958748" </w:instrText>
      </w:r>
      <w:r>
        <w:fldChar w:fldCharType="separate"/>
      </w:r>
      <w:r>
        <w:rPr>
          <w:rStyle w:val="19"/>
          <w:rFonts w:ascii="宋体" w:hAnsi="宋体" w:eastAsia="宋体"/>
          <w:color w:val="auto"/>
          <w:sz w:val="24"/>
          <w:szCs w:val="24"/>
          <w:u w:val="none"/>
        </w:rPr>
        <w:t xml:space="preserve">5.5  </w:t>
      </w:r>
      <w:r>
        <w:rPr>
          <w:rStyle w:val="19"/>
          <w:rFonts w:hint="eastAsia" w:ascii="Times New Roman" w:hAnsi="Times New Roman" w:eastAsia="宋体"/>
          <w:color w:val="auto"/>
          <w:kern w:val="2"/>
          <w:sz w:val="24"/>
          <w:szCs w:val="24"/>
          <w:u w:val="none"/>
        </w:rPr>
        <w:t>I</w:t>
      </w:r>
      <w:r>
        <w:rPr>
          <w:rStyle w:val="19"/>
          <w:rFonts w:ascii="Times New Roman" w:hAnsi="Times New Roman" w:eastAsia="宋体"/>
          <w:color w:val="auto"/>
          <w:kern w:val="2"/>
          <w:sz w:val="24"/>
          <w:szCs w:val="24"/>
          <w:u w:val="none"/>
        </w:rPr>
        <w:t xml:space="preserve">ndoor </w:t>
      </w:r>
      <w:r>
        <w:rPr>
          <w:rStyle w:val="19"/>
          <w:rFonts w:hint="eastAsia" w:ascii="Times New Roman" w:hAnsi="Times New Roman" w:eastAsia="宋体"/>
          <w:color w:val="auto"/>
          <w:kern w:val="2"/>
          <w:sz w:val="24"/>
          <w:szCs w:val="24"/>
          <w:u w:val="none"/>
        </w:rPr>
        <w:t>E</w:t>
      </w:r>
      <w:r>
        <w:rPr>
          <w:rStyle w:val="19"/>
          <w:rFonts w:ascii="Times New Roman" w:hAnsi="Times New Roman" w:eastAsia="宋体"/>
          <w:color w:val="auto"/>
          <w:kern w:val="2"/>
          <w:sz w:val="24"/>
          <w:szCs w:val="24"/>
          <w:u w:val="none"/>
        </w:rPr>
        <w:t>nvironment</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_Toc103958748 \h </w:instrText>
      </w:r>
      <w:r>
        <w:rPr>
          <w:rFonts w:ascii="宋体" w:hAnsi="宋体" w:eastAsia="宋体"/>
          <w:sz w:val="24"/>
          <w:szCs w:val="24"/>
        </w:rPr>
        <w:fldChar w:fldCharType="separate"/>
      </w:r>
      <w:r>
        <w:rPr>
          <w:rFonts w:hint="eastAsia" w:ascii="宋体" w:hAnsi="宋体" w:eastAsia="宋体"/>
          <w:sz w:val="24"/>
          <w:szCs w:val="24"/>
        </w:rPr>
        <w:t>30</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sz w:val="24"/>
          <w:szCs w:val="24"/>
        </w:rPr>
      </w:pPr>
      <w:r>
        <w:fldChar w:fldCharType="begin"/>
      </w:r>
      <w:r>
        <w:instrText xml:space="preserve"> HYPERLINK \l "_Toc103958749" </w:instrText>
      </w:r>
      <w:r>
        <w:fldChar w:fldCharType="separate"/>
      </w:r>
      <w:r>
        <w:rPr>
          <w:rStyle w:val="19"/>
          <w:rFonts w:ascii="宋体" w:hAnsi="宋体" w:eastAsia="宋体"/>
          <w:color w:val="auto"/>
          <w:sz w:val="24"/>
          <w:szCs w:val="24"/>
          <w:u w:val="none"/>
        </w:rPr>
        <w:t xml:space="preserve">5.6  </w:t>
      </w:r>
      <w:r>
        <w:rPr>
          <w:rStyle w:val="19"/>
          <w:rFonts w:ascii="Times New Roman" w:hAnsi="Times New Roman" w:eastAsia="宋体"/>
          <w:color w:val="auto"/>
          <w:kern w:val="2"/>
          <w:sz w:val="24"/>
          <w:szCs w:val="24"/>
          <w:u w:val="none"/>
        </w:rPr>
        <w:t xml:space="preserve">Containment </w:t>
      </w:r>
      <w:r>
        <w:rPr>
          <w:rStyle w:val="19"/>
          <w:rFonts w:hint="eastAsia" w:ascii="Times New Roman" w:hAnsi="Times New Roman" w:eastAsia="宋体"/>
          <w:color w:val="auto"/>
          <w:kern w:val="2"/>
          <w:sz w:val="24"/>
          <w:szCs w:val="24"/>
          <w:u w:val="none"/>
        </w:rPr>
        <w:t>S</w:t>
      </w:r>
      <w:r>
        <w:rPr>
          <w:rStyle w:val="19"/>
          <w:rFonts w:ascii="Times New Roman" w:hAnsi="Times New Roman" w:eastAsia="宋体"/>
          <w:color w:val="auto"/>
          <w:kern w:val="2"/>
          <w:sz w:val="24"/>
          <w:szCs w:val="24"/>
          <w:u w:val="none"/>
        </w:rPr>
        <w:t>ystem</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_Toc103958749 \h </w:instrText>
      </w:r>
      <w:r>
        <w:rPr>
          <w:rFonts w:ascii="宋体" w:hAnsi="宋体" w:eastAsia="宋体"/>
          <w:sz w:val="24"/>
          <w:szCs w:val="24"/>
        </w:rPr>
        <w:fldChar w:fldCharType="separate"/>
      </w:r>
      <w:r>
        <w:rPr>
          <w:rFonts w:ascii="宋体" w:hAnsi="宋体" w:eastAsia="宋体"/>
          <w:sz w:val="24"/>
          <w:szCs w:val="24"/>
        </w:rPr>
        <w:t>3</w:t>
      </w:r>
      <w:r>
        <w:rPr>
          <w:rFonts w:hint="eastAsia"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"_Toc103958750" </w:instrText>
      </w:r>
      <w:r>
        <w:fldChar w:fldCharType="separate"/>
      </w:r>
      <w:r>
        <w:rPr>
          <w:rStyle w:val="19"/>
          <w:rFonts w:ascii="宋体" w:hAnsi="宋体" w:eastAsia="宋体"/>
          <w:color w:val="auto"/>
          <w:sz w:val="24"/>
          <w:szCs w:val="24"/>
          <w:u w:val="none"/>
        </w:rPr>
        <w:t xml:space="preserve">6  </w:t>
      </w:r>
      <w:r>
        <w:rPr>
          <w:rStyle w:val="19"/>
          <w:rFonts w:ascii="Times New Roman" w:hAnsi="Times New Roman" w:eastAsia="宋体" w:cs="Times New Roman"/>
          <w:color w:val="auto"/>
          <w:sz w:val="24"/>
          <w:szCs w:val="24"/>
          <w:u w:val="none"/>
        </w:rPr>
        <w:t>Structural System Design</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_Toc103958750 \h </w:instrText>
      </w:r>
      <w:r>
        <w:rPr>
          <w:rFonts w:ascii="宋体" w:hAnsi="宋体" w:eastAsia="宋体"/>
          <w:sz w:val="24"/>
          <w:szCs w:val="24"/>
        </w:rPr>
        <w:fldChar w:fldCharType="separate"/>
      </w:r>
      <w:r>
        <w:rPr>
          <w:rFonts w:ascii="宋体" w:hAnsi="宋体" w:eastAsia="宋体"/>
          <w:sz w:val="24"/>
          <w:szCs w:val="24"/>
        </w:rPr>
        <w:t>3</w:t>
      </w:r>
      <w:r>
        <w:rPr>
          <w:rFonts w:hint="eastAsia" w:ascii="宋体" w:hAnsi="宋体" w:eastAsia="宋体"/>
          <w:sz w:val="24"/>
          <w:szCs w:val="24"/>
        </w:rPr>
        <w:t>5</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"_Toc103958751" </w:instrText>
      </w:r>
      <w:r>
        <w:fldChar w:fldCharType="separate"/>
      </w:r>
      <w:r>
        <w:rPr>
          <w:rStyle w:val="19"/>
          <w:rFonts w:ascii="宋体" w:hAnsi="宋体" w:eastAsia="宋体"/>
          <w:color w:val="auto"/>
          <w:sz w:val="24"/>
          <w:szCs w:val="24"/>
          <w:u w:val="none"/>
        </w:rPr>
        <w:t xml:space="preserve">6.1  </w:t>
      </w:r>
      <w:r>
        <w:rPr>
          <w:rStyle w:val="19"/>
          <w:rFonts w:ascii="Times New Roman" w:hAnsi="Times New Roman" w:eastAsia="宋体"/>
          <w:color w:val="auto"/>
          <w:kern w:val="2"/>
          <w:sz w:val="24"/>
          <w:szCs w:val="24"/>
          <w:u w:val="none"/>
        </w:rPr>
        <w:t>General Requirements</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_Toc103958751 \h </w:instrText>
      </w:r>
      <w:r>
        <w:rPr>
          <w:rFonts w:ascii="宋体" w:hAnsi="宋体" w:eastAsia="宋体"/>
          <w:sz w:val="24"/>
          <w:szCs w:val="24"/>
        </w:rPr>
        <w:fldChar w:fldCharType="separate"/>
      </w:r>
      <w:r>
        <w:rPr>
          <w:rFonts w:ascii="宋体" w:hAnsi="宋体" w:eastAsia="宋体"/>
          <w:sz w:val="24"/>
          <w:szCs w:val="24"/>
        </w:rPr>
        <w:t>3</w:t>
      </w:r>
      <w:r>
        <w:rPr>
          <w:rFonts w:hint="eastAsia" w:ascii="宋体" w:hAnsi="宋体" w:eastAsia="宋体"/>
          <w:sz w:val="24"/>
          <w:szCs w:val="24"/>
        </w:rPr>
        <w:t>5</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"_Toc103958752" </w:instrText>
      </w:r>
      <w:r>
        <w:fldChar w:fldCharType="separate"/>
      </w:r>
      <w:r>
        <w:rPr>
          <w:rStyle w:val="19"/>
          <w:rFonts w:ascii="宋体" w:hAnsi="宋体" w:eastAsia="宋体"/>
          <w:color w:val="auto"/>
          <w:sz w:val="24"/>
          <w:szCs w:val="24"/>
          <w:u w:val="none"/>
        </w:rPr>
        <w:t xml:space="preserve">6.2  </w:t>
      </w:r>
      <w:r>
        <w:rPr>
          <w:rStyle w:val="19"/>
          <w:rFonts w:hint="eastAsia" w:ascii="Times New Roman" w:hAnsi="Times New Roman" w:eastAsia="宋体"/>
          <w:color w:val="auto"/>
          <w:kern w:val="2"/>
          <w:sz w:val="24"/>
          <w:szCs w:val="24"/>
          <w:u w:val="none"/>
        </w:rPr>
        <w:t>S</w:t>
      </w:r>
      <w:r>
        <w:rPr>
          <w:rStyle w:val="19"/>
          <w:rFonts w:ascii="Times New Roman" w:hAnsi="Times New Roman" w:eastAsia="宋体"/>
          <w:color w:val="auto"/>
          <w:kern w:val="2"/>
          <w:sz w:val="24"/>
          <w:szCs w:val="24"/>
          <w:u w:val="none"/>
        </w:rPr>
        <w:t xml:space="preserve">tructural </w:t>
      </w:r>
      <w:r>
        <w:rPr>
          <w:rStyle w:val="19"/>
          <w:rFonts w:hint="eastAsia" w:ascii="Times New Roman" w:hAnsi="Times New Roman" w:eastAsia="宋体"/>
          <w:color w:val="auto"/>
          <w:kern w:val="2"/>
          <w:sz w:val="24"/>
          <w:szCs w:val="24"/>
          <w:u w:val="none"/>
        </w:rPr>
        <w:t>S</w:t>
      </w:r>
      <w:r>
        <w:rPr>
          <w:rStyle w:val="19"/>
          <w:rFonts w:ascii="Times New Roman" w:hAnsi="Times New Roman" w:eastAsia="宋体"/>
          <w:color w:val="auto"/>
          <w:kern w:val="2"/>
          <w:sz w:val="24"/>
          <w:szCs w:val="24"/>
          <w:u w:val="none"/>
        </w:rPr>
        <w:t>ystem</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_Toc103958752 \h </w:instrText>
      </w:r>
      <w:r>
        <w:rPr>
          <w:rFonts w:ascii="宋体" w:hAnsi="宋体" w:eastAsia="宋体"/>
          <w:sz w:val="24"/>
          <w:szCs w:val="24"/>
        </w:rPr>
        <w:fldChar w:fldCharType="separate"/>
      </w:r>
      <w:r>
        <w:rPr>
          <w:rFonts w:ascii="宋体" w:hAnsi="宋体" w:eastAsia="宋体"/>
          <w:sz w:val="24"/>
          <w:szCs w:val="24"/>
        </w:rPr>
        <w:t>3</w:t>
      </w:r>
      <w:r>
        <w:rPr>
          <w:rFonts w:hint="eastAsia" w:ascii="宋体" w:hAnsi="宋体" w:eastAsia="宋体"/>
          <w:sz w:val="24"/>
          <w:szCs w:val="24"/>
        </w:rPr>
        <w:t>7</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"_Toc103958753" </w:instrText>
      </w:r>
      <w:r>
        <w:fldChar w:fldCharType="separate"/>
      </w:r>
      <w:r>
        <w:rPr>
          <w:rStyle w:val="19"/>
          <w:rFonts w:ascii="宋体" w:hAnsi="宋体" w:eastAsia="宋体"/>
          <w:color w:val="auto"/>
          <w:sz w:val="24"/>
          <w:szCs w:val="24"/>
          <w:u w:val="none"/>
        </w:rPr>
        <w:t xml:space="preserve">6.3  </w:t>
      </w:r>
      <w:r>
        <w:rPr>
          <w:rStyle w:val="19"/>
          <w:rFonts w:ascii="Times New Roman" w:hAnsi="Times New Roman" w:eastAsia="宋体"/>
          <w:color w:val="auto"/>
          <w:kern w:val="2"/>
          <w:sz w:val="24"/>
          <w:szCs w:val="24"/>
          <w:u w:val="none"/>
        </w:rPr>
        <w:t>Nodes and Connections</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_Toc103958753 \h </w:instrText>
      </w:r>
      <w:r>
        <w:rPr>
          <w:rFonts w:ascii="宋体" w:hAnsi="宋体" w:eastAsia="宋体"/>
          <w:sz w:val="24"/>
          <w:szCs w:val="24"/>
        </w:rPr>
        <w:fldChar w:fldCharType="separate"/>
      </w:r>
      <w:r>
        <w:rPr>
          <w:rFonts w:ascii="宋体" w:hAnsi="宋体" w:eastAsia="宋体"/>
          <w:sz w:val="24"/>
          <w:szCs w:val="24"/>
        </w:rPr>
        <w:t>4</w:t>
      </w:r>
      <w:r>
        <w:rPr>
          <w:rFonts w:hint="eastAsia" w:ascii="宋体" w:hAnsi="宋体" w:eastAsia="宋体"/>
          <w:sz w:val="24"/>
          <w:szCs w:val="24"/>
        </w:rPr>
        <w:t>4</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"_Toc103958754" </w:instrText>
      </w:r>
      <w:r>
        <w:fldChar w:fldCharType="separate"/>
      </w:r>
      <w:r>
        <w:rPr>
          <w:rStyle w:val="19"/>
          <w:rFonts w:ascii="宋体" w:hAnsi="宋体" w:eastAsia="宋体"/>
          <w:color w:val="auto"/>
          <w:sz w:val="24"/>
          <w:szCs w:val="24"/>
          <w:u w:val="none"/>
        </w:rPr>
        <w:t xml:space="preserve">6.4  </w:t>
      </w:r>
      <w:r>
        <w:rPr>
          <w:rStyle w:val="19"/>
          <w:rFonts w:ascii="Times New Roman" w:hAnsi="Times New Roman" w:eastAsia="宋体"/>
          <w:color w:val="auto"/>
          <w:kern w:val="2"/>
          <w:sz w:val="24"/>
          <w:szCs w:val="24"/>
          <w:u w:val="none"/>
        </w:rPr>
        <w:t xml:space="preserve">Floor </w:t>
      </w:r>
      <w:r>
        <w:rPr>
          <w:rStyle w:val="19"/>
          <w:rFonts w:hint="eastAsia" w:ascii="Times New Roman" w:hAnsi="Times New Roman" w:eastAsia="宋体"/>
          <w:color w:val="auto"/>
          <w:kern w:val="2"/>
          <w:sz w:val="24"/>
          <w:szCs w:val="24"/>
          <w:u w:val="none"/>
        </w:rPr>
        <w:t>D</w:t>
      </w:r>
      <w:r>
        <w:rPr>
          <w:rStyle w:val="19"/>
          <w:rFonts w:ascii="Times New Roman" w:hAnsi="Times New Roman" w:eastAsia="宋体"/>
          <w:color w:val="auto"/>
          <w:kern w:val="2"/>
          <w:sz w:val="24"/>
          <w:szCs w:val="24"/>
          <w:u w:val="none"/>
        </w:rPr>
        <w:t>esign</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_Toc103958754 \h </w:instrText>
      </w:r>
      <w:r>
        <w:rPr>
          <w:rFonts w:ascii="宋体" w:hAnsi="宋体" w:eastAsia="宋体"/>
          <w:sz w:val="24"/>
          <w:szCs w:val="24"/>
        </w:rPr>
        <w:fldChar w:fldCharType="separate"/>
      </w:r>
      <w:r>
        <w:rPr>
          <w:rFonts w:ascii="宋体" w:hAnsi="宋体" w:eastAsia="宋体"/>
          <w:sz w:val="24"/>
          <w:szCs w:val="24"/>
        </w:rPr>
        <w:t>4</w:t>
      </w:r>
      <w:r>
        <w:rPr>
          <w:rFonts w:hint="eastAsia" w:ascii="宋体" w:hAnsi="宋体" w:eastAsia="宋体"/>
          <w:sz w:val="24"/>
          <w:szCs w:val="24"/>
        </w:rPr>
        <w:t>9</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"_Toc103958755" </w:instrText>
      </w:r>
      <w:r>
        <w:fldChar w:fldCharType="separate"/>
      </w:r>
      <w:r>
        <w:rPr>
          <w:rStyle w:val="19"/>
          <w:rFonts w:ascii="宋体" w:hAnsi="宋体" w:eastAsia="宋体"/>
          <w:color w:val="auto"/>
          <w:sz w:val="24"/>
          <w:szCs w:val="24"/>
          <w:u w:val="none"/>
        </w:rPr>
        <w:t xml:space="preserve">6.5  </w:t>
      </w:r>
      <w:r>
        <w:rPr>
          <w:rStyle w:val="19"/>
          <w:rFonts w:ascii="Times New Roman" w:hAnsi="Times New Roman" w:eastAsia="宋体"/>
          <w:color w:val="auto"/>
          <w:kern w:val="2"/>
          <w:sz w:val="24"/>
          <w:szCs w:val="24"/>
          <w:u w:val="none"/>
        </w:rPr>
        <w:t xml:space="preserve">Steel </w:t>
      </w:r>
      <w:r>
        <w:rPr>
          <w:rStyle w:val="19"/>
          <w:rFonts w:hint="eastAsia" w:ascii="Times New Roman" w:hAnsi="Times New Roman" w:eastAsia="宋体"/>
          <w:color w:val="auto"/>
          <w:kern w:val="2"/>
          <w:sz w:val="24"/>
          <w:szCs w:val="24"/>
          <w:u w:val="none"/>
        </w:rPr>
        <w:t>S</w:t>
      </w:r>
      <w:r>
        <w:rPr>
          <w:rStyle w:val="19"/>
          <w:rFonts w:ascii="Times New Roman" w:hAnsi="Times New Roman" w:eastAsia="宋体"/>
          <w:color w:val="auto"/>
          <w:kern w:val="2"/>
          <w:sz w:val="24"/>
          <w:szCs w:val="24"/>
          <w:u w:val="none"/>
        </w:rPr>
        <w:t xml:space="preserve">tructure </w:t>
      </w:r>
      <w:r>
        <w:rPr>
          <w:rStyle w:val="19"/>
          <w:rFonts w:hint="eastAsia" w:ascii="Times New Roman" w:hAnsi="Times New Roman" w:eastAsia="宋体"/>
          <w:color w:val="auto"/>
          <w:kern w:val="2"/>
          <w:sz w:val="24"/>
          <w:szCs w:val="24"/>
          <w:u w:val="none"/>
        </w:rPr>
        <w:t>P</w:t>
      </w:r>
      <w:r>
        <w:rPr>
          <w:rStyle w:val="19"/>
          <w:rFonts w:ascii="Times New Roman" w:hAnsi="Times New Roman" w:eastAsia="宋体"/>
          <w:color w:val="auto"/>
          <w:kern w:val="2"/>
          <w:sz w:val="24"/>
          <w:szCs w:val="24"/>
          <w:u w:val="none"/>
        </w:rPr>
        <w:t xml:space="preserve">rotection </w:t>
      </w:r>
      <w:r>
        <w:rPr>
          <w:rStyle w:val="19"/>
          <w:rFonts w:hint="eastAsia" w:ascii="Times New Roman" w:hAnsi="Times New Roman" w:eastAsia="宋体"/>
          <w:color w:val="auto"/>
          <w:kern w:val="2"/>
          <w:sz w:val="24"/>
          <w:szCs w:val="24"/>
          <w:u w:val="none"/>
        </w:rPr>
        <w:t>D</w:t>
      </w:r>
      <w:r>
        <w:rPr>
          <w:rStyle w:val="19"/>
          <w:rFonts w:ascii="Times New Roman" w:hAnsi="Times New Roman" w:eastAsia="宋体"/>
          <w:color w:val="auto"/>
          <w:kern w:val="2"/>
          <w:sz w:val="24"/>
          <w:szCs w:val="24"/>
          <w:u w:val="none"/>
        </w:rPr>
        <w:t>esign</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_Toc103958755 \h </w:instrText>
      </w:r>
      <w:r>
        <w:rPr>
          <w:rFonts w:ascii="宋体" w:hAnsi="宋体" w:eastAsia="宋体"/>
          <w:sz w:val="24"/>
          <w:szCs w:val="24"/>
        </w:rPr>
        <w:fldChar w:fldCharType="separate"/>
      </w:r>
      <w:r>
        <w:rPr>
          <w:rFonts w:ascii="宋体" w:hAnsi="宋体" w:eastAsia="宋体"/>
          <w:sz w:val="24"/>
          <w:szCs w:val="24"/>
        </w:rPr>
        <w:t>5</w:t>
      </w:r>
      <w:r>
        <w:rPr>
          <w:rFonts w:hint="eastAsia"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"_Toc103958756" </w:instrText>
      </w:r>
      <w:r>
        <w:fldChar w:fldCharType="separate"/>
      </w:r>
      <w:r>
        <w:rPr>
          <w:rStyle w:val="19"/>
          <w:rFonts w:ascii="宋体" w:hAnsi="宋体" w:eastAsia="宋体"/>
          <w:color w:val="auto"/>
          <w:sz w:val="24"/>
          <w:szCs w:val="24"/>
          <w:u w:val="none"/>
        </w:rPr>
        <w:t xml:space="preserve">7  </w:t>
      </w:r>
      <w:r>
        <w:rPr>
          <w:rStyle w:val="19"/>
          <w:rFonts w:hint="eastAsia" w:ascii="Times New Roman" w:hAnsi="Times New Roman" w:eastAsia="宋体" w:cs="Times New Roman"/>
          <w:color w:val="auto"/>
          <w:sz w:val="24"/>
          <w:szCs w:val="24"/>
          <w:u w:val="none"/>
        </w:rPr>
        <w:t>W</w:t>
      </w:r>
      <w:r>
        <w:rPr>
          <w:rStyle w:val="19"/>
          <w:rFonts w:ascii="Times New Roman" w:hAnsi="Times New Roman" w:eastAsia="宋体" w:cs="Times New Roman"/>
          <w:color w:val="auto"/>
          <w:sz w:val="24"/>
          <w:szCs w:val="24"/>
          <w:u w:val="none"/>
        </w:rPr>
        <w:t xml:space="preserve">all </w:t>
      </w:r>
      <w:r>
        <w:rPr>
          <w:rStyle w:val="19"/>
          <w:rFonts w:hint="eastAsia" w:ascii="Times New Roman" w:hAnsi="Times New Roman" w:eastAsia="宋体" w:cs="Times New Roman"/>
          <w:color w:val="auto"/>
          <w:sz w:val="24"/>
          <w:szCs w:val="24"/>
          <w:u w:val="none"/>
        </w:rPr>
        <w:t>S</w:t>
      </w:r>
      <w:r>
        <w:rPr>
          <w:rStyle w:val="19"/>
          <w:rFonts w:ascii="Times New Roman" w:hAnsi="Times New Roman" w:eastAsia="宋体" w:cs="Times New Roman"/>
          <w:color w:val="auto"/>
          <w:sz w:val="24"/>
          <w:szCs w:val="24"/>
          <w:u w:val="none"/>
        </w:rPr>
        <w:t xml:space="preserve">ystem </w:t>
      </w:r>
      <w:r>
        <w:rPr>
          <w:rStyle w:val="19"/>
          <w:rFonts w:hint="eastAsia" w:ascii="Times New Roman" w:hAnsi="Times New Roman" w:eastAsia="宋体" w:cs="Times New Roman"/>
          <w:color w:val="auto"/>
          <w:sz w:val="24"/>
          <w:szCs w:val="24"/>
          <w:u w:val="none"/>
        </w:rPr>
        <w:t>D</w:t>
      </w:r>
      <w:r>
        <w:rPr>
          <w:rStyle w:val="19"/>
          <w:rFonts w:ascii="Times New Roman" w:hAnsi="Times New Roman" w:eastAsia="宋体" w:cs="Times New Roman"/>
          <w:color w:val="auto"/>
          <w:sz w:val="24"/>
          <w:szCs w:val="24"/>
          <w:u w:val="none"/>
        </w:rPr>
        <w:t>esign</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_Toc103958756 \h </w:instrText>
      </w:r>
      <w:r>
        <w:rPr>
          <w:rFonts w:ascii="宋体" w:hAnsi="宋体" w:eastAsia="宋体"/>
          <w:sz w:val="24"/>
          <w:szCs w:val="24"/>
        </w:rPr>
        <w:fldChar w:fldCharType="separate"/>
      </w:r>
      <w:r>
        <w:rPr>
          <w:rFonts w:ascii="宋体" w:hAnsi="宋体" w:eastAsia="宋体"/>
          <w:sz w:val="24"/>
          <w:szCs w:val="24"/>
        </w:rPr>
        <w:t>5</w:t>
      </w:r>
      <w:r>
        <w:rPr>
          <w:rFonts w:hint="eastAsia" w:ascii="宋体" w:hAnsi="宋体" w:eastAsia="宋体"/>
          <w:sz w:val="24"/>
          <w:szCs w:val="24"/>
        </w:rPr>
        <w:t>5</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"_Toc103958757" </w:instrText>
      </w:r>
      <w:r>
        <w:fldChar w:fldCharType="separate"/>
      </w:r>
      <w:r>
        <w:rPr>
          <w:rStyle w:val="19"/>
          <w:rFonts w:ascii="宋体" w:hAnsi="宋体" w:eastAsia="宋体"/>
          <w:color w:val="auto"/>
          <w:sz w:val="24"/>
          <w:szCs w:val="24"/>
          <w:u w:val="none"/>
        </w:rPr>
        <w:t xml:space="preserve">7.1 </w:t>
      </w:r>
      <w:r>
        <w:rPr>
          <w:rStyle w:val="19"/>
          <w:rFonts w:ascii="Times New Roman" w:hAnsi="Times New Roman" w:eastAsia="宋体"/>
          <w:color w:val="auto"/>
          <w:kern w:val="2"/>
          <w:sz w:val="24"/>
          <w:szCs w:val="24"/>
          <w:u w:val="none"/>
        </w:rPr>
        <w:t>General Requirements</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_Toc103958757 \h </w:instrText>
      </w:r>
      <w:r>
        <w:rPr>
          <w:rFonts w:ascii="宋体" w:hAnsi="宋体" w:eastAsia="宋体"/>
          <w:sz w:val="24"/>
          <w:szCs w:val="24"/>
        </w:rPr>
        <w:fldChar w:fldCharType="separate"/>
      </w:r>
      <w:r>
        <w:rPr>
          <w:rFonts w:ascii="宋体" w:hAnsi="宋体" w:eastAsia="宋体"/>
          <w:sz w:val="24"/>
          <w:szCs w:val="24"/>
        </w:rPr>
        <w:t>5</w:t>
      </w:r>
      <w:r>
        <w:rPr>
          <w:rFonts w:hint="eastAsia" w:ascii="宋体" w:hAnsi="宋体" w:eastAsia="宋体"/>
          <w:sz w:val="24"/>
          <w:szCs w:val="24"/>
        </w:rPr>
        <w:t>5</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"_Toc103958758" </w:instrText>
      </w:r>
      <w:r>
        <w:fldChar w:fldCharType="separate"/>
      </w:r>
      <w:r>
        <w:rPr>
          <w:rStyle w:val="19"/>
          <w:rFonts w:ascii="宋体" w:hAnsi="宋体" w:eastAsia="宋体"/>
          <w:color w:val="auto"/>
          <w:sz w:val="24"/>
          <w:szCs w:val="24"/>
          <w:u w:val="none"/>
        </w:rPr>
        <w:t xml:space="preserve">7.2 </w:t>
      </w:r>
      <w:r>
        <w:rPr>
          <w:rStyle w:val="19"/>
          <w:rFonts w:ascii="Times New Roman" w:hAnsi="Times New Roman" w:eastAsia="宋体"/>
          <w:color w:val="auto"/>
          <w:kern w:val="2"/>
          <w:sz w:val="24"/>
          <w:szCs w:val="24"/>
          <w:u w:val="none"/>
        </w:rPr>
        <w:t>Wall performance requirements</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_Toc103958758 \h </w:instrText>
      </w:r>
      <w:r>
        <w:rPr>
          <w:rFonts w:ascii="宋体" w:hAnsi="宋体" w:eastAsia="宋体"/>
          <w:sz w:val="24"/>
          <w:szCs w:val="24"/>
        </w:rPr>
        <w:fldChar w:fldCharType="separate"/>
      </w:r>
      <w:r>
        <w:rPr>
          <w:rFonts w:ascii="宋体" w:hAnsi="宋体" w:eastAsia="宋体"/>
          <w:sz w:val="24"/>
          <w:szCs w:val="24"/>
        </w:rPr>
        <w:t>5</w:t>
      </w:r>
      <w:r>
        <w:rPr>
          <w:rFonts w:hint="eastAsia" w:ascii="宋体" w:hAnsi="宋体" w:eastAsia="宋体"/>
          <w:sz w:val="24"/>
          <w:szCs w:val="24"/>
        </w:rPr>
        <w:t>5</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"_Toc103958759" </w:instrText>
      </w:r>
      <w:r>
        <w:fldChar w:fldCharType="separate"/>
      </w:r>
      <w:r>
        <w:rPr>
          <w:rStyle w:val="19"/>
          <w:rFonts w:ascii="宋体" w:hAnsi="宋体" w:eastAsia="宋体"/>
          <w:color w:val="auto"/>
          <w:sz w:val="24"/>
          <w:szCs w:val="24"/>
          <w:u w:val="none"/>
        </w:rPr>
        <w:t xml:space="preserve">7.3 </w:t>
      </w:r>
      <w:r>
        <w:rPr>
          <w:rStyle w:val="19"/>
          <w:rFonts w:ascii="Times New Roman" w:hAnsi="Times New Roman" w:eastAsia="宋体"/>
          <w:color w:val="auto"/>
          <w:kern w:val="2"/>
          <w:sz w:val="24"/>
          <w:szCs w:val="24"/>
          <w:u w:val="none"/>
        </w:rPr>
        <w:t>Exterior Wall System Design</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_Toc103958759 \h </w:instrText>
      </w:r>
      <w:r>
        <w:rPr>
          <w:rFonts w:ascii="宋体" w:hAnsi="宋体" w:eastAsia="宋体"/>
          <w:sz w:val="24"/>
          <w:szCs w:val="24"/>
        </w:rPr>
        <w:fldChar w:fldCharType="separate"/>
      </w:r>
      <w:r>
        <w:rPr>
          <w:rFonts w:ascii="宋体" w:hAnsi="宋体" w:eastAsia="宋体"/>
          <w:sz w:val="24"/>
          <w:szCs w:val="24"/>
        </w:rPr>
        <w:t>5</w:t>
      </w:r>
      <w:r>
        <w:rPr>
          <w:rFonts w:hint="eastAsia"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"_Toc103958760" </w:instrText>
      </w:r>
      <w:r>
        <w:fldChar w:fldCharType="separate"/>
      </w:r>
      <w:r>
        <w:rPr>
          <w:rStyle w:val="19"/>
          <w:rFonts w:ascii="宋体" w:hAnsi="宋体" w:eastAsia="宋体"/>
          <w:color w:val="auto"/>
          <w:sz w:val="24"/>
          <w:szCs w:val="24"/>
          <w:u w:val="none"/>
        </w:rPr>
        <w:t xml:space="preserve">7.4 </w:t>
      </w:r>
      <w:r>
        <w:rPr>
          <w:rStyle w:val="19"/>
          <w:rFonts w:ascii="Times New Roman" w:hAnsi="Times New Roman" w:eastAsia="宋体"/>
          <w:color w:val="auto"/>
          <w:kern w:val="2"/>
          <w:sz w:val="24"/>
          <w:szCs w:val="24"/>
          <w:u w:val="none"/>
        </w:rPr>
        <w:t>Interior Wall System Design</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_Toc103958760 \h </w:instrText>
      </w:r>
      <w:r>
        <w:rPr>
          <w:rFonts w:ascii="宋体" w:hAnsi="宋体" w:eastAsia="宋体"/>
          <w:sz w:val="24"/>
          <w:szCs w:val="24"/>
        </w:rPr>
        <w:fldChar w:fldCharType="separate"/>
      </w:r>
      <w:r>
        <w:rPr>
          <w:rFonts w:ascii="宋体" w:hAnsi="宋体" w:eastAsia="宋体"/>
          <w:sz w:val="24"/>
          <w:szCs w:val="24"/>
        </w:rPr>
        <w:t>6</w:t>
      </w:r>
      <w:r>
        <w:rPr>
          <w:rFonts w:hint="eastAsia"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"_Toc103958761" </w:instrText>
      </w:r>
      <w:r>
        <w:fldChar w:fldCharType="separate"/>
      </w:r>
      <w:r>
        <w:rPr>
          <w:rStyle w:val="19"/>
          <w:rFonts w:ascii="宋体" w:hAnsi="宋体" w:eastAsia="宋体"/>
          <w:color w:val="auto"/>
          <w:sz w:val="24"/>
          <w:szCs w:val="24"/>
          <w:u w:val="none"/>
        </w:rPr>
        <w:t xml:space="preserve">8  </w:t>
      </w:r>
      <w:r>
        <w:rPr>
          <w:rStyle w:val="19"/>
          <w:rFonts w:ascii="Times New Roman" w:hAnsi="Times New Roman" w:eastAsia="宋体" w:cs="Times New Roman"/>
          <w:color w:val="auto"/>
          <w:sz w:val="24"/>
          <w:szCs w:val="24"/>
          <w:u w:val="none"/>
        </w:rPr>
        <w:t xml:space="preserve">Facility and Pipe System </w:t>
      </w:r>
      <w:r>
        <w:rPr>
          <w:rStyle w:val="19"/>
          <w:rFonts w:hint="eastAsia" w:ascii="Times New Roman" w:hAnsi="Times New Roman" w:eastAsia="宋体" w:cs="Times New Roman"/>
          <w:color w:val="auto"/>
          <w:sz w:val="24"/>
          <w:szCs w:val="24"/>
          <w:u w:val="none"/>
        </w:rPr>
        <w:t xml:space="preserve"> </w:t>
      </w:r>
      <w:r>
        <w:rPr>
          <w:rStyle w:val="19"/>
          <w:rFonts w:ascii="Times New Roman" w:hAnsi="Times New Roman" w:eastAsia="宋体" w:cs="Times New Roman"/>
          <w:color w:val="auto"/>
          <w:sz w:val="24"/>
          <w:szCs w:val="24"/>
          <w:u w:val="none"/>
        </w:rPr>
        <w:t>Design</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_Toc103958761 \h </w:instrText>
      </w:r>
      <w:r>
        <w:rPr>
          <w:rFonts w:ascii="宋体" w:hAnsi="宋体" w:eastAsia="宋体"/>
          <w:sz w:val="24"/>
          <w:szCs w:val="24"/>
        </w:rPr>
        <w:fldChar w:fldCharType="separate"/>
      </w:r>
      <w:r>
        <w:rPr>
          <w:rFonts w:ascii="宋体" w:hAnsi="宋体" w:eastAsia="宋体"/>
          <w:sz w:val="24"/>
          <w:szCs w:val="24"/>
        </w:rPr>
        <w:t>6</w:t>
      </w:r>
      <w:r>
        <w:rPr>
          <w:rFonts w:hint="eastAsia" w:ascii="宋体" w:hAnsi="宋体" w:eastAsia="宋体"/>
          <w:sz w:val="24"/>
          <w:szCs w:val="24"/>
        </w:rPr>
        <w:t>7</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"_Toc103958762" </w:instrText>
      </w:r>
      <w:r>
        <w:fldChar w:fldCharType="separate"/>
      </w:r>
      <w:r>
        <w:rPr>
          <w:rStyle w:val="19"/>
          <w:rFonts w:ascii="宋体" w:hAnsi="宋体" w:eastAsia="宋体"/>
          <w:color w:val="auto"/>
          <w:sz w:val="24"/>
          <w:szCs w:val="24"/>
          <w:u w:val="none"/>
        </w:rPr>
        <w:t xml:space="preserve">8.1  </w:t>
      </w:r>
      <w:r>
        <w:rPr>
          <w:rStyle w:val="19"/>
          <w:rFonts w:ascii="Times New Roman" w:hAnsi="Times New Roman" w:eastAsia="宋体"/>
          <w:color w:val="auto"/>
          <w:kern w:val="2"/>
          <w:sz w:val="24"/>
          <w:szCs w:val="24"/>
          <w:u w:val="none"/>
        </w:rPr>
        <w:t>General Requirements</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_Toc103958762 \h </w:instrText>
      </w:r>
      <w:r>
        <w:rPr>
          <w:rFonts w:ascii="宋体" w:hAnsi="宋体" w:eastAsia="宋体"/>
          <w:sz w:val="24"/>
          <w:szCs w:val="24"/>
        </w:rPr>
        <w:fldChar w:fldCharType="separate"/>
      </w:r>
      <w:r>
        <w:rPr>
          <w:rFonts w:ascii="宋体" w:hAnsi="宋体" w:eastAsia="宋体"/>
          <w:sz w:val="24"/>
          <w:szCs w:val="24"/>
        </w:rPr>
        <w:t>6</w:t>
      </w:r>
      <w:r>
        <w:rPr>
          <w:rFonts w:hint="eastAsia" w:ascii="宋体" w:hAnsi="宋体" w:eastAsia="宋体"/>
          <w:sz w:val="24"/>
          <w:szCs w:val="24"/>
        </w:rPr>
        <w:t>7</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"_Toc103958763" </w:instrText>
      </w:r>
      <w:r>
        <w:fldChar w:fldCharType="separate"/>
      </w:r>
      <w:r>
        <w:rPr>
          <w:rStyle w:val="19"/>
          <w:rFonts w:ascii="宋体" w:hAnsi="宋体" w:eastAsia="宋体"/>
          <w:color w:val="auto"/>
          <w:sz w:val="24"/>
          <w:szCs w:val="24"/>
          <w:u w:val="none"/>
        </w:rPr>
        <w:t xml:space="preserve">8.2  </w:t>
      </w:r>
      <w:r>
        <w:rPr>
          <w:rStyle w:val="19"/>
          <w:rFonts w:ascii="Times New Roman" w:hAnsi="Times New Roman" w:eastAsia="宋体"/>
          <w:color w:val="auto"/>
          <w:kern w:val="2"/>
          <w:sz w:val="24"/>
          <w:szCs w:val="24"/>
          <w:u w:val="none"/>
        </w:rPr>
        <w:t>Water Supply and Drainage</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_Toc103958763 \h </w:instrText>
      </w:r>
      <w:r>
        <w:rPr>
          <w:rFonts w:ascii="宋体" w:hAnsi="宋体" w:eastAsia="宋体"/>
          <w:sz w:val="24"/>
          <w:szCs w:val="24"/>
        </w:rPr>
        <w:fldChar w:fldCharType="separate"/>
      </w:r>
      <w:r>
        <w:rPr>
          <w:rFonts w:ascii="宋体" w:hAnsi="宋体" w:eastAsia="宋体"/>
          <w:sz w:val="24"/>
          <w:szCs w:val="24"/>
        </w:rPr>
        <w:t>6</w:t>
      </w:r>
      <w:r>
        <w:rPr>
          <w:rFonts w:hint="eastAsia"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"_Toc103958764" </w:instrText>
      </w:r>
      <w:r>
        <w:fldChar w:fldCharType="separate"/>
      </w:r>
      <w:r>
        <w:rPr>
          <w:rStyle w:val="19"/>
          <w:rFonts w:ascii="宋体" w:hAnsi="宋体" w:eastAsia="宋体"/>
          <w:color w:val="auto"/>
          <w:sz w:val="24"/>
          <w:szCs w:val="24"/>
          <w:u w:val="none"/>
        </w:rPr>
        <w:t xml:space="preserve">8.3  </w:t>
      </w:r>
      <w:r>
        <w:rPr>
          <w:rStyle w:val="19"/>
          <w:rFonts w:ascii="Times New Roman" w:hAnsi="Times New Roman" w:eastAsia="宋体"/>
          <w:color w:val="auto"/>
          <w:kern w:val="2"/>
          <w:sz w:val="24"/>
          <w:szCs w:val="24"/>
          <w:u w:val="none"/>
        </w:rPr>
        <w:t>Heating</w:t>
      </w:r>
      <w:r>
        <w:rPr>
          <w:rStyle w:val="19"/>
          <w:rFonts w:hint="eastAsia" w:ascii="Times New Roman" w:hAnsi="Times New Roman" w:eastAsia="宋体"/>
          <w:color w:val="auto"/>
          <w:kern w:val="2"/>
          <w:sz w:val="24"/>
          <w:szCs w:val="24"/>
          <w:u w:val="none"/>
        </w:rPr>
        <w:t>,</w:t>
      </w:r>
      <w:r>
        <w:rPr>
          <w:rStyle w:val="19"/>
          <w:rFonts w:ascii="Times New Roman" w:hAnsi="Times New Roman" w:eastAsia="宋体"/>
          <w:color w:val="auto"/>
          <w:kern w:val="2"/>
          <w:sz w:val="24"/>
          <w:szCs w:val="24"/>
          <w:u w:val="none"/>
        </w:rPr>
        <w:t>Ventilation, Air Conditioning and G</w:t>
      </w:r>
      <w:r>
        <w:rPr>
          <w:rStyle w:val="19"/>
          <w:rFonts w:hint="eastAsia" w:ascii="Times New Roman" w:hAnsi="Times New Roman" w:eastAsia="宋体"/>
          <w:color w:val="auto"/>
          <w:kern w:val="2"/>
          <w:sz w:val="24"/>
          <w:szCs w:val="24"/>
          <w:u w:val="none"/>
        </w:rPr>
        <w:t>as</w:t>
      </w:r>
      <w:r>
        <w:rPr>
          <w:rFonts w:ascii="宋体" w:hAnsi="宋体" w:eastAsia="宋体"/>
          <w:sz w:val="24"/>
          <w:szCs w:val="24"/>
        </w:rPr>
        <w:tab/>
      </w:r>
      <w:r>
        <w:rPr>
          <w:rFonts w:hint="eastAsia" w:ascii="宋体" w:hAnsi="宋体" w:eastAsia="宋体"/>
          <w:sz w:val="24"/>
          <w:szCs w:val="24"/>
        </w:rPr>
        <w:t>70</w:t>
      </w:r>
      <w:r>
        <w:rPr>
          <w:rFonts w:hint="eastAsia"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"_Toc103958765" </w:instrText>
      </w:r>
      <w:r>
        <w:fldChar w:fldCharType="separate"/>
      </w:r>
      <w:r>
        <w:rPr>
          <w:rStyle w:val="19"/>
          <w:rFonts w:ascii="宋体" w:hAnsi="宋体" w:eastAsia="宋体"/>
          <w:color w:val="auto"/>
          <w:sz w:val="24"/>
          <w:szCs w:val="24"/>
          <w:u w:val="none"/>
        </w:rPr>
        <w:t xml:space="preserve">8.4  </w:t>
      </w:r>
      <w:r>
        <w:rPr>
          <w:rStyle w:val="19"/>
          <w:rFonts w:ascii="Times New Roman" w:hAnsi="Times New Roman" w:eastAsia="宋体"/>
          <w:color w:val="auto"/>
          <w:kern w:val="2"/>
          <w:sz w:val="24"/>
          <w:szCs w:val="24"/>
          <w:u w:val="none"/>
        </w:rPr>
        <w:t>El ectrical and Intelligent</w:t>
      </w:r>
      <w:r>
        <w:rPr>
          <w:rFonts w:ascii="宋体" w:hAnsi="宋体" w:eastAsia="宋体"/>
          <w:sz w:val="24"/>
          <w:szCs w:val="24"/>
        </w:rPr>
        <w:tab/>
      </w:r>
      <w:r>
        <w:rPr>
          <w:rFonts w:hint="eastAsia" w:ascii="宋体" w:hAnsi="宋体" w:eastAsia="宋体"/>
          <w:sz w:val="24"/>
          <w:szCs w:val="24"/>
        </w:rPr>
        <w:t>71</w:t>
      </w:r>
      <w:r>
        <w:rPr>
          <w:rFonts w:hint="eastAsia"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"_Toc103958766" </w:instrText>
      </w:r>
      <w:r>
        <w:fldChar w:fldCharType="separate"/>
      </w:r>
      <w:r>
        <w:rPr>
          <w:rStyle w:val="19"/>
          <w:rFonts w:ascii="宋体" w:hAnsi="宋体" w:eastAsia="宋体"/>
          <w:color w:val="auto"/>
          <w:sz w:val="24"/>
          <w:szCs w:val="24"/>
          <w:u w:val="none"/>
        </w:rPr>
        <w:t xml:space="preserve">9  </w:t>
      </w:r>
      <w:r>
        <w:rPr>
          <w:rStyle w:val="19"/>
          <w:rFonts w:ascii="Times New Roman" w:hAnsi="Times New Roman" w:eastAsia="宋体" w:cs="Times New Roman"/>
          <w:color w:val="auto"/>
          <w:sz w:val="24"/>
          <w:szCs w:val="24"/>
          <w:u w:val="none"/>
        </w:rPr>
        <w:t>Interior Decoration System</w:t>
      </w:r>
      <w:r>
        <w:rPr>
          <w:rStyle w:val="19"/>
          <w:rFonts w:hint="eastAsia" w:ascii="Times New Roman" w:hAnsi="Times New Roman" w:eastAsia="宋体" w:cs="Times New Roman"/>
          <w:color w:val="auto"/>
          <w:sz w:val="24"/>
          <w:szCs w:val="24"/>
          <w:u w:val="none"/>
        </w:rPr>
        <w:t xml:space="preserve"> </w:t>
      </w:r>
      <w:r>
        <w:rPr>
          <w:rStyle w:val="19"/>
          <w:rFonts w:ascii="Times New Roman" w:hAnsi="Times New Roman" w:eastAsia="宋体" w:cs="Times New Roman"/>
          <w:color w:val="auto"/>
          <w:sz w:val="24"/>
          <w:szCs w:val="24"/>
          <w:u w:val="none"/>
        </w:rPr>
        <w:t>Design</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_Toc103958766 \h </w:instrText>
      </w:r>
      <w:r>
        <w:rPr>
          <w:rFonts w:ascii="宋体" w:hAnsi="宋体" w:eastAsia="宋体"/>
          <w:sz w:val="24"/>
          <w:szCs w:val="24"/>
        </w:rPr>
        <w:fldChar w:fldCharType="separate"/>
      </w:r>
      <w:r>
        <w:rPr>
          <w:rFonts w:ascii="宋体" w:hAnsi="宋体" w:eastAsia="宋体"/>
          <w:sz w:val="24"/>
          <w:szCs w:val="24"/>
        </w:rPr>
        <w:t>7</w:t>
      </w:r>
      <w:r>
        <w:rPr>
          <w:rFonts w:hint="eastAsia"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"_Toc103958767" </w:instrText>
      </w:r>
      <w:r>
        <w:fldChar w:fldCharType="separate"/>
      </w:r>
      <w:r>
        <w:rPr>
          <w:rStyle w:val="19"/>
          <w:rFonts w:ascii="宋体" w:hAnsi="宋体" w:eastAsia="宋体"/>
          <w:color w:val="auto"/>
          <w:sz w:val="24"/>
          <w:szCs w:val="24"/>
          <w:u w:val="none"/>
        </w:rPr>
        <w:t xml:space="preserve">9.1 </w:t>
      </w:r>
      <w:r>
        <w:rPr>
          <w:rStyle w:val="19"/>
          <w:rFonts w:ascii="Times New Roman" w:hAnsi="Times New Roman" w:eastAsia="宋体"/>
          <w:color w:val="auto"/>
          <w:kern w:val="2"/>
          <w:sz w:val="24"/>
          <w:szCs w:val="24"/>
          <w:u w:val="none"/>
        </w:rPr>
        <w:t>General Requirements</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_Toc103958767 \h </w:instrText>
      </w:r>
      <w:r>
        <w:rPr>
          <w:rFonts w:ascii="宋体" w:hAnsi="宋体" w:eastAsia="宋体"/>
          <w:sz w:val="24"/>
          <w:szCs w:val="24"/>
        </w:rPr>
        <w:fldChar w:fldCharType="separate"/>
      </w:r>
      <w:r>
        <w:rPr>
          <w:rFonts w:ascii="宋体" w:hAnsi="宋体" w:eastAsia="宋体"/>
          <w:sz w:val="24"/>
          <w:szCs w:val="24"/>
        </w:rPr>
        <w:t>7</w:t>
      </w:r>
      <w:r>
        <w:rPr>
          <w:rFonts w:hint="eastAsia"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"_Toc103958768" </w:instrText>
      </w:r>
      <w:r>
        <w:fldChar w:fldCharType="separate"/>
      </w:r>
      <w:r>
        <w:rPr>
          <w:rStyle w:val="19"/>
          <w:rFonts w:ascii="宋体" w:hAnsi="宋体" w:eastAsia="宋体"/>
          <w:color w:val="auto"/>
          <w:sz w:val="24"/>
          <w:szCs w:val="24"/>
          <w:u w:val="none"/>
        </w:rPr>
        <w:t xml:space="preserve">9.2 </w:t>
      </w:r>
      <w:r>
        <w:rPr>
          <w:rStyle w:val="19"/>
          <w:rFonts w:ascii="Times New Roman" w:hAnsi="Times New Roman" w:eastAsia="宋体"/>
          <w:color w:val="auto"/>
          <w:kern w:val="2"/>
          <w:sz w:val="24"/>
          <w:szCs w:val="24"/>
          <w:u w:val="none"/>
        </w:rPr>
        <w:t>Standardized Design and Modular Coordination</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_Toc103958768 \h </w:instrText>
      </w:r>
      <w:r>
        <w:rPr>
          <w:rFonts w:ascii="宋体" w:hAnsi="宋体" w:eastAsia="宋体"/>
          <w:sz w:val="24"/>
          <w:szCs w:val="24"/>
        </w:rPr>
        <w:fldChar w:fldCharType="separate"/>
      </w:r>
      <w:r>
        <w:rPr>
          <w:rFonts w:ascii="宋体" w:hAnsi="宋体" w:eastAsia="宋体"/>
          <w:sz w:val="24"/>
          <w:szCs w:val="24"/>
        </w:rPr>
        <w:t>7</w:t>
      </w:r>
      <w:r>
        <w:rPr>
          <w:rFonts w:hint="eastAsia" w:ascii="宋体" w:hAnsi="宋体" w:eastAsia="宋体"/>
          <w:sz w:val="24"/>
          <w:szCs w:val="24"/>
        </w:rPr>
        <w:t>5</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"_Toc103958769" </w:instrText>
      </w:r>
      <w:r>
        <w:fldChar w:fldCharType="separate"/>
      </w:r>
      <w:r>
        <w:rPr>
          <w:rStyle w:val="19"/>
          <w:rFonts w:ascii="宋体" w:hAnsi="宋体" w:eastAsia="宋体"/>
          <w:color w:val="auto"/>
          <w:sz w:val="24"/>
          <w:szCs w:val="24"/>
          <w:u w:val="none"/>
        </w:rPr>
        <w:t xml:space="preserve">9.3 </w:t>
      </w:r>
      <w:r>
        <w:rPr>
          <w:rStyle w:val="19"/>
          <w:rFonts w:ascii="Times New Roman" w:hAnsi="Times New Roman" w:eastAsia="宋体"/>
          <w:color w:val="auto"/>
          <w:kern w:val="2"/>
          <w:sz w:val="24"/>
          <w:szCs w:val="24"/>
          <w:u w:val="none"/>
        </w:rPr>
        <w:t>Partition and Wall Systems</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_Toc103958769 \h </w:instrText>
      </w:r>
      <w:r>
        <w:rPr>
          <w:rFonts w:ascii="宋体" w:hAnsi="宋体" w:eastAsia="宋体"/>
          <w:sz w:val="24"/>
          <w:szCs w:val="24"/>
        </w:rPr>
        <w:fldChar w:fldCharType="separate"/>
      </w:r>
      <w:r>
        <w:rPr>
          <w:rFonts w:ascii="宋体" w:hAnsi="宋体" w:eastAsia="宋体"/>
          <w:sz w:val="24"/>
          <w:szCs w:val="24"/>
        </w:rPr>
        <w:t>7</w:t>
      </w:r>
      <w:r>
        <w:rPr>
          <w:rFonts w:hint="eastAsia"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"_Toc103958770" </w:instrText>
      </w:r>
      <w:r>
        <w:fldChar w:fldCharType="separate"/>
      </w:r>
      <w:r>
        <w:rPr>
          <w:rStyle w:val="19"/>
          <w:rFonts w:ascii="宋体" w:hAnsi="宋体" w:eastAsia="宋体"/>
          <w:color w:val="auto"/>
          <w:sz w:val="24"/>
          <w:szCs w:val="24"/>
          <w:u w:val="none"/>
        </w:rPr>
        <w:t xml:space="preserve">9.4 </w:t>
      </w:r>
      <w:r>
        <w:rPr>
          <w:rStyle w:val="19"/>
          <w:rFonts w:ascii="Times New Roman" w:hAnsi="Times New Roman" w:eastAsia="宋体"/>
          <w:color w:val="auto"/>
          <w:kern w:val="2"/>
          <w:sz w:val="24"/>
          <w:szCs w:val="24"/>
          <w:u w:val="none"/>
        </w:rPr>
        <w:t xml:space="preserve">Ceiling </w:t>
      </w:r>
      <w:r>
        <w:rPr>
          <w:rStyle w:val="19"/>
          <w:rFonts w:hint="eastAsia" w:ascii="Times New Roman" w:hAnsi="Times New Roman" w:eastAsia="宋体"/>
          <w:color w:val="auto"/>
          <w:kern w:val="2"/>
          <w:sz w:val="24"/>
          <w:szCs w:val="24"/>
          <w:u w:val="none"/>
        </w:rPr>
        <w:t>S</w:t>
      </w:r>
      <w:r>
        <w:rPr>
          <w:rStyle w:val="19"/>
          <w:rFonts w:ascii="Times New Roman" w:hAnsi="Times New Roman" w:eastAsia="宋体"/>
          <w:color w:val="auto"/>
          <w:kern w:val="2"/>
          <w:sz w:val="24"/>
          <w:szCs w:val="24"/>
          <w:u w:val="none"/>
        </w:rPr>
        <w:t>ystem</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_Toc103958770 \h </w:instrText>
      </w:r>
      <w:r>
        <w:rPr>
          <w:rFonts w:ascii="宋体" w:hAnsi="宋体" w:eastAsia="宋体"/>
          <w:sz w:val="24"/>
          <w:szCs w:val="24"/>
        </w:rPr>
        <w:fldChar w:fldCharType="separate"/>
      </w:r>
      <w:r>
        <w:rPr>
          <w:rFonts w:ascii="宋体" w:hAnsi="宋体" w:eastAsia="宋体"/>
          <w:sz w:val="24"/>
          <w:szCs w:val="24"/>
        </w:rPr>
        <w:t>7</w:t>
      </w:r>
      <w:r>
        <w:rPr>
          <w:rFonts w:hint="eastAsia"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"_Toc103958771" </w:instrText>
      </w:r>
      <w:r>
        <w:fldChar w:fldCharType="separate"/>
      </w:r>
      <w:r>
        <w:rPr>
          <w:rStyle w:val="19"/>
          <w:rFonts w:ascii="宋体" w:hAnsi="宋体" w:eastAsia="宋体"/>
          <w:color w:val="auto"/>
          <w:sz w:val="24"/>
          <w:szCs w:val="24"/>
          <w:u w:val="none"/>
        </w:rPr>
        <w:t xml:space="preserve">9.5 </w:t>
      </w:r>
      <w:r>
        <w:rPr>
          <w:rStyle w:val="19"/>
          <w:rFonts w:hint="eastAsia" w:ascii="Times New Roman" w:hAnsi="Times New Roman" w:eastAsia="宋体"/>
          <w:color w:val="auto"/>
          <w:kern w:val="2"/>
          <w:sz w:val="24"/>
          <w:szCs w:val="24"/>
          <w:u w:val="none"/>
        </w:rPr>
        <w:t>F</w:t>
      </w:r>
      <w:r>
        <w:rPr>
          <w:rStyle w:val="19"/>
          <w:rFonts w:ascii="Times New Roman" w:hAnsi="Times New Roman" w:eastAsia="宋体"/>
          <w:color w:val="auto"/>
          <w:kern w:val="2"/>
          <w:sz w:val="24"/>
          <w:szCs w:val="24"/>
          <w:u w:val="none"/>
        </w:rPr>
        <w:t xml:space="preserve">loor </w:t>
      </w:r>
      <w:r>
        <w:rPr>
          <w:rStyle w:val="19"/>
          <w:rFonts w:hint="eastAsia" w:ascii="Times New Roman" w:hAnsi="Times New Roman" w:eastAsia="宋体"/>
          <w:color w:val="auto"/>
          <w:kern w:val="2"/>
          <w:sz w:val="24"/>
          <w:szCs w:val="24"/>
          <w:u w:val="none"/>
        </w:rPr>
        <w:t>S</w:t>
      </w:r>
      <w:r>
        <w:rPr>
          <w:rStyle w:val="19"/>
          <w:rFonts w:ascii="Times New Roman" w:hAnsi="Times New Roman" w:eastAsia="宋体"/>
          <w:color w:val="auto"/>
          <w:kern w:val="2"/>
          <w:sz w:val="24"/>
          <w:szCs w:val="24"/>
          <w:u w:val="none"/>
        </w:rPr>
        <w:t>ystem</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_Toc103958771 \h </w:instrText>
      </w:r>
      <w:r>
        <w:rPr>
          <w:rFonts w:ascii="宋体" w:hAnsi="宋体" w:eastAsia="宋体"/>
          <w:sz w:val="24"/>
          <w:szCs w:val="24"/>
        </w:rPr>
        <w:fldChar w:fldCharType="separate"/>
      </w:r>
      <w:r>
        <w:rPr>
          <w:rFonts w:ascii="宋体" w:hAnsi="宋体" w:eastAsia="宋体"/>
          <w:sz w:val="24"/>
          <w:szCs w:val="24"/>
        </w:rPr>
        <w:t>7</w:t>
      </w:r>
      <w:r>
        <w:rPr>
          <w:rFonts w:hint="eastAsia" w:ascii="宋体" w:hAnsi="宋体" w:eastAsia="宋体"/>
          <w:sz w:val="24"/>
          <w:szCs w:val="24"/>
        </w:rPr>
        <w:t>7</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"_Toc103958772" </w:instrText>
      </w:r>
      <w:r>
        <w:fldChar w:fldCharType="separate"/>
      </w:r>
      <w:r>
        <w:rPr>
          <w:rStyle w:val="19"/>
          <w:rFonts w:ascii="宋体" w:hAnsi="宋体" w:eastAsia="宋体"/>
          <w:color w:val="auto"/>
          <w:sz w:val="24"/>
          <w:szCs w:val="24"/>
          <w:u w:val="none"/>
        </w:rPr>
        <w:t xml:space="preserve">9.6 </w:t>
      </w:r>
      <w:r>
        <w:rPr>
          <w:rStyle w:val="19"/>
          <w:rFonts w:ascii="Times New Roman" w:hAnsi="Times New Roman" w:eastAsia="宋体"/>
          <w:color w:val="auto"/>
          <w:kern w:val="2"/>
          <w:sz w:val="24"/>
          <w:szCs w:val="24"/>
          <w:u w:val="none"/>
        </w:rPr>
        <w:t xml:space="preserve">Integrated </w:t>
      </w:r>
      <w:r>
        <w:rPr>
          <w:rStyle w:val="19"/>
          <w:rFonts w:hint="eastAsia" w:ascii="Times New Roman" w:hAnsi="Times New Roman" w:eastAsia="宋体"/>
          <w:color w:val="auto"/>
          <w:kern w:val="2"/>
          <w:sz w:val="24"/>
          <w:szCs w:val="24"/>
          <w:u w:val="none"/>
        </w:rPr>
        <w:t>K</w:t>
      </w:r>
      <w:r>
        <w:rPr>
          <w:rStyle w:val="19"/>
          <w:rFonts w:ascii="Times New Roman" w:hAnsi="Times New Roman" w:eastAsia="宋体"/>
          <w:color w:val="auto"/>
          <w:kern w:val="2"/>
          <w:sz w:val="24"/>
          <w:szCs w:val="24"/>
          <w:u w:val="none"/>
        </w:rPr>
        <w:t xml:space="preserve">itchen and </w:t>
      </w:r>
      <w:r>
        <w:rPr>
          <w:rStyle w:val="19"/>
          <w:rFonts w:hint="eastAsia" w:ascii="Times New Roman" w:hAnsi="Times New Roman" w:eastAsia="宋体"/>
          <w:color w:val="auto"/>
          <w:kern w:val="2"/>
          <w:sz w:val="24"/>
          <w:szCs w:val="24"/>
          <w:u w:val="none"/>
        </w:rPr>
        <w:t>I</w:t>
      </w:r>
      <w:r>
        <w:rPr>
          <w:rStyle w:val="19"/>
          <w:rFonts w:ascii="Times New Roman" w:hAnsi="Times New Roman" w:eastAsia="宋体"/>
          <w:color w:val="auto"/>
          <w:kern w:val="2"/>
          <w:sz w:val="24"/>
          <w:szCs w:val="24"/>
          <w:u w:val="none"/>
        </w:rPr>
        <w:t xml:space="preserve">ntegrated </w:t>
      </w:r>
      <w:r>
        <w:rPr>
          <w:rStyle w:val="19"/>
          <w:rFonts w:hint="eastAsia" w:ascii="Times New Roman" w:hAnsi="Times New Roman" w:eastAsia="宋体"/>
          <w:color w:val="auto"/>
          <w:kern w:val="2"/>
          <w:sz w:val="24"/>
          <w:szCs w:val="24"/>
          <w:u w:val="none"/>
        </w:rPr>
        <w:t>T</w:t>
      </w:r>
      <w:r>
        <w:rPr>
          <w:rStyle w:val="19"/>
          <w:rFonts w:ascii="Times New Roman" w:hAnsi="Times New Roman" w:eastAsia="宋体"/>
          <w:color w:val="auto"/>
          <w:kern w:val="2"/>
          <w:sz w:val="24"/>
          <w:szCs w:val="24"/>
          <w:u w:val="none"/>
        </w:rPr>
        <w:t>oilet</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_Toc103958772 \h </w:instrText>
      </w:r>
      <w:r>
        <w:rPr>
          <w:rFonts w:ascii="宋体" w:hAnsi="宋体" w:eastAsia="宋体"/>
          <w:sz w:val="24"/>
          <w:szCs w:val="24"/>
        </w:rPr>
        <w:fldChar w:fldCharType="separate"/>
      </w:r>
      <w:r>
        <w:rPr>
          <w:rFonts w:ascii="宋体" w:hAnsi="宋体" w:eastAsia="宋体"/>
          <w:sz w:val="24"/>
          <w:szCs w:val="24"/>
        </w:rPr>
        <w:t>7</w:t>
      </w:r>
      <w:r>
        <w:rPr>
          <w:rFonts w:hint="eastAsia"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"_Toc103958773" </w:instrText>
      </w:r>
      <w:r>
        <w:fldChar w:fldCharType="separate"/>
      </w:r>
      <w:r>
        <w:rPr>
          <w:rStyle w:val="19"/>
          <w:rFonts w:ascii="宋体" w:hAnsi="宋体" w:eastAsia="宋体"/>
          <w:color w:val="auto"/>
          <w:sz w:val="24"/>
          <w:szCs w:val="24"/>
          <w:u w:val="none"/>
        </w:rPr>
        <w:t xml:space="preserve">9.7 </w:t>
      </w:r>
      <w:r>
        <w:rPr>
          <w:rStyle w:val="19"/>
          <w:rFonts w:ascii="Times New Roman" w:hAnsi="Times New Roman" w:eastAsia="宋体"/>
          <w:color w:val="auto"/>
          <w:kern w:val="2"/>
          <w:sz w:val="24"/>
          <w:szCs w:val="24"/>
          <w:u w:val="none"/>
        </w:rPr>
        <w:t xml:space="preserve">Storage </w:t>
      </w:r>
      <w:r>
        <w:rPr>
          <w:rStyle w:val="19"/>
          <w:rFonts w:hint="eastAsia" w:ascii="Times New Roman" w:hAnsi="Times New Roman" w:eastAsia="宋体"/>
          <w:color w:val="auto"/>
          <w:kern w:val="2"/>
          <w:sz w:val="24"/>
          <w:szCs w:val="24"/>
          <w:u w:val="none"/>
        </w:rPr>
        <w:t>S</w:t>
      </w:r>
      <w:r>
        <w:rPr>
          <w:rStyle w:val="19"/>
          <w:rFonts w:ascii="Times New Roman" w:hAnsi="Times New Roman" w:eastAsia="宋体"/>
          <w:color w:val="auto"/>
          <w:kern w:val="2"/>
          <w:sz w:val="24"/>
          <w:szCs w:val="24"/>
          <w:u w:val="none"/>
        </w:rPr>
        <w:t>ystem</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_Toc103958773 \h </w:instrText>
      </w:r>
      <w:r>
        <w:rPr>
          <w:rFonts w:ascii="宋体" w:hAnsi="宋体" w:eastAsia="宋体"/>
          <w:sz w:val="24"/>
          <w:szCs w:val="24"/>
        </w:rPr>
        <w:fldChar w:fldCharType="separate"/>
      </w:r>
      <w:r>
        <w:rPr>
          <w:rFonts w:hint="eastAsia" w:ascii="宋体" w:hAnsi="宋体" w:eastAsia="宋体"/>
          <w:sz w:val="24"/>
          <w:szCs w:val="24"/>
        </w:rPr>
        <w:t>80</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fldChar w:fldCharType="begin"/>
      </w:r>
      <w:r>
        <w:instrText xml:space="preserve"> HYPERLINK \l "_Toc103958774" </w:instrText>
      </w:r>
      <w:r>
        <w:fldChar w:fldCharType="separate"/>
      </w:r>
      <w:r>
        <w:rPr>
          <w:rStyle w:val="19"/>
          <w:rFonts w:ascii="宋体" w:hAnsi="宋体" w:eastAsia="宋体"/>
          <w:color w:val="auto"/>
          <w:sz w:val="24"/>
          <w:szCs w:val="24"/>
          <w:u w:val="none"/>
        </w:rPr>
        <w:t xml:space="preserve">10  </w:t>
      </w:r>
      <w:r>
        <w:rPr>
          <w:rStyle w:val="19"/>
          <w:rFonts w:ascii="Times New Roman" w:hAnsi="Times New Roman" w:eastAsia="宋体" w:cs="Times New Roman"/>
          <w:color w:val="auto"/>
          <w:sz w:val="24"/>
          <w:szCs w:val="24"/>
          <w:u w:val="none"/>
        </w:rPr>
        <w:t xml:space="preserve">Delivery, </w:t>
      </w:r>
      <w:r>
        <w:rPr>
          <w:rStyle w:val="19"/>
          <w:rFonts w:hint="eastAsia" w:ascii="Times New Roman" w:hAnsi="Times New Roman" w:eastAsia="宋体" w:cs="Times New Roman"/>
          <w:color w:val="auto"/>
          <w:sz w:val="24"/>
          <w:szCs w:val="24"/>
          <w:u w:val="none"/>
        </w:rPr>
        <w:t>U</w:t>
      </w:r>
      <w:r>
        <w:rPr>
          <w:rStyle w:val="19"/>
          <w:rFonts w:ascii="Times New Roman" w:hAnsi="Times New Roman" w:eastAsia="宋体" w:cs="Times New Roman"/>
          <w:color w:val="auto"/>
          <w:sz w:val="24"/>
          <w:szCs w:val="24"/>
          <w:u w:val="none"/>
        </w:rPr>
        <w:t xml:space="preserve">se and </w:t>
      </w:r>
      <w:r>
        <w:rPr>
          <w:rStyle w:val="19"/>
          <w:rFonts w:hint="eastAsia" w:ascii="Times New Roman" w:hAnsi="Times New Roman" w:eastAsia="宋体" w:cs="Times New Roman"/>
          <w:color w:val="auto"/>
          <w:sz w:val="24"/>
          <w:szCs w:val="24"/>
          <w:u w:val="none"/>
        </w:rPr>
        <w:t>M</w:t>
      </w:r>
      <w:r>
        <w:rPr>
          <w:rStyle w:val="19"/>
          <w:rFonts w:ascii="Times New Roman" w:hAnsi="Times New Roman" w:eastAsia="宋体" w:cs="Times New Roman"/>
          <w:color w:val="auto"/>
          <w:sz w:val="24"/>
          <w:szCs w:val="24"/>
          <w:u w:val="none"/>
        </w:rPr>
        <w:t xml:space="preserve">aintenance </w:t>
      </w:r>
      <w:r>
        <w:rPr>
          <w:rStyle w:val="19"/>
          <w:rFonts w:hint="eastAsia" w:ascii="Times New Roman" w:hAnsi="Times New Roman" w:eastAsia="宋体" w:cs="Times New Roman"/>
          <w:color w:val="auto"/>
          <w:sz w:val="24"/>
          <w:szCs w:val="24"/>
          <w:u w:val="none"/>
        </w:rPr>
        <w:t>R</w:t>
      </w:r>
      <w:r>
        <w:rPr>
          <w:rStyle w:val="19"/>
          <w:rFonts w:ascii="Times New Roman" w:hAnsi="Times New Roman" w:eastAsia="宋体" w:cs="Times New Roman"/>
          <w:color w:val="auto"/>
          <w:sz w:val="24"/>
          <w:szCs w:val="24"/>
          <w:u w:val="none"/>
        </w:rPr>
        <w:t>equirements</w:t>
      </w:r>
      <w:r>
        <w:rPr>
          <w:rFonts w:ascii="宋体" w:hAnsi="宋体" w:eastAsia="宋体"/>
          <w:sz w:val="24"/>
          <w:szCs w:val="24"/>
        </w:rPr>
        <w:tab/>
      </w:r>
      <w:r>
        <w:rPr>
          <w:rFonts w:hint="eastAsia" w:ascii="宋体" w:hAnsi="宋体" w:eastAsia="宋体"/>
          <w:sz w:val="24"/>
          <w:szCs w:val="24"/>
        </w:rPr>
        <w:t>81</w:t>
      </w:r>
      <w:r>
        <w:rPr>
          <w:rFonts w:hint="eastAsia"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"_Toc103958775" </w:instrText>
      </w:r>
      <w:r>
        <w:fldChar w:fldCharType="separate"/>
      </w:r>
      <w:r>
        <w:rPr>
          <w:rStyle w:val="19"/>
          <w:rFonts w:ascii="宋体" w:hAnsi="宋体" w:eastAsia="宋体"/>
          <w:color w:val="auto"/>
          <w:sz w:val="24"/>
          <w:szCs w:val="24"/>
          <w:u w:val="none"/>
        </w:rPr>
        <w:t xml:space="preserve">10.1  </w:t>
      </w:r>
      <w:r>
        <w:rPr>
          <w:rStyle w:val="19"/>
          <w:rFonts w:hint="eastAsia" w:ascii="Times New Roman" w:hAnsi="Times New Roman" w:eastAsia="宋体"/>
          <w:color w:val="auto"/>
          <w:kern w:val="2"/>
          <w:sz w:val="24"/>
          <w:szCs w:val="24"/>
          <w:u w:val="none"/>
        </w:rPr>
        <w:t>D</w:t>
      </w:r>
      <w:r>
        <w:rPr>
          <w:rStyle w:val="19"/>
          <w:rFonts w:ascii="Times New Roman" w:hAnsi="Times New Roman" w:eastAsia="宋体"/>
          <w:color w:val="auto"/>
          <w:kern w:val="2"/>
          <w:sz w:val="24"/>
          <w:szCs w:val="24"/>
          <w:u w:val="none"/>
        </w:rPr>
        <w:t>eliver</w:t>
      </w:r>
      <w:r>
        <w:rPr>
          <w:rStyle w:val="19"/>
          <w:rFonts w:hint="eastAsia" w:ascii="Times New Roman" w:hAnsi="Times New Roman" w:eastAsia="宋体"/>
          <w:color w:val="auto"/>
          <w:kern w:val="2"/>
          <w:sz w:val="24"/>
          <w:szCs w:val="24"/>
          <w:u w:val="none"/>
        </w:rPr>
        <w:t>y</w:t>
      </w:r>
      <w:r>
        <w:rPr>
          <w:rFonts w:ascii="宋体" w:hAnsi="宋体" w:eastAsia="宋体"/>
          <w:sz w:val="24"/>
          <w:szCs w:val="24"/>
        </w:rPr>
        <w:tab/>
      </w:r>
      <w:r>
        <w:rPr>
          <w:rFonts w:hint="eastAsia" w:ascii="宋体" w:hAnsi="宋体" w:eastAsia="宋体"/>
          <w:sz w:val="24"/>
          <w:szCs w:val="24"/>
        </w:rPr>
        <w:t>81</w:t>
      </w:r>
      <w:r>
        <w:rPr>
          <w:rFonts w:hint="eastAsia"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"_Toc103958776" </w:instrText>
      </w:r>
      <w:r>
        <w:fldChar w:fldCharType="separate"/>
      </w:r>
      <w:r>
        <w:rPr>
          <w:rStyle w:val="19"/>
          <w:rFonts w:ascii="宋体" w:hAnsi="宋体" w:eastAsia="宋体"/>
          <w:color w:val="auto"/>
          <w:sz w:val="24"/>
          <w:szCs w:val="24"/>
          <w:u w:val="none"/>
        </w:rPr>
        <w:t xml:space="preserve">10.2  </w:t>
      </w:r>
      <w:r>
        <w:rPr>
          <w:rStyle w:val="19"/>
          <w:rFonts w:hint="eastAsia" w:ascii="Times New Roman" w:hAnsi="Times New Roman" w:eastAsia="宋体"/>
          <w:color w:val="auto"/>
          <w:kern w:val="2"/>
          <w:sz w:val="24"/>
          <w:szCs w:val="24"/>
          <w:u w:val="none"/>
        </w:rPr>
        <w:t>Use</w:t>
      </w:r>
      <w:r>
        <w:rPr>
          <w:rFonts w:ascii="宋体" w:hAnsi="宋体" w:eastAsia="宋体"/>
          <w:sz w:val="24"/>
          <w:szCs w:val="24"/>
        </w:rPr>
        <w:tab/>
      </w:r>
      <w:r>
        <w:rPr>
          <w:rFonts w:hint="eastAsia" w:ascii="宋体" w:hAnsi="宋体" w:eastAsia="宋体"/>
          <w:sz w:val="24"/>
          <w:szCs w:val="24"/>
        </w:rPr>
        <w:t>82</w:t>
      </w:r>
      <w:r>
        <w:rPr>
          <w:rFonts w:hint="eastAsia" w:ascii="宋体" w:hAnsi="宋体" w:eastAsia="宋体"/>
          <w:sz w:val="24"/>
          <w:szCs w:val="24"/>
        </w:rPr>
        <w:fldChar w:fldCharType="end"/>
      </w:r>
    </w:p>
    <w:p>
      <w:pPr>
        <w:pStyle w:val="13"/>
        <w:tabs>
          <w:tab w:val="right" w:leader="dot" w:pos="8296"/>
        </w:tabs>
        <w:spacing w:line="360" w:lineRule="auto"/>
        <w:rPr>
          <w:rFonts w:ascii="宋体" w:hAnsi="宋体" w:eastAsia="宋体" w:cstheme="minorBidi"/>
          <w:kern w:val="2"/>
          <w:sz w:val="24"/>
          <w:szCs w:val="24"/>
        </w:rPr>
      </w:pPr>
      <w:r>
        <w:fldChar w:fldCharType="begin"/>
      </w:r>
      <w:r>
        <w:instrText xml:space="preserve"> HYPERLINK \l "_Toc103958777" </w:instrText>
      </w:r>
      <w:r>
        <w:fldChar w:fldCharType="separate"/>
      </w:r>
      <w:r>
        <w:rPr>
          <w:rStyle w:val="19"/>
          <w:rFonts w:ascii="宋体" w:hAnsi="宋体" w:eastAsia="宋体"/>
          <w:color w:val="auto"/>
          <w:sz w:val="24"/>
          <w:szCs w:val="24"/>
          <w:u w:val="none"/>
        </w:rPr>
        <w:t xml:space="preserve">10.3  </w:t>
      </w:r>
      <w:r>
        <w:rPr>
          <w:rStyle w:val="19"/>
          <w:rFonts w:hint="eastAsia" w:ascii="Times New Roman" w:hAnsi="Times New Roman" w:eastAsia="宋体"/>
          <w:color w:val="auto"/>
          <w:kern w:val="2"/>
          <w:sz w:val="24"/>
          <w:szCs w:val="24"/>
          <w:u w:val="none"/>
        </w:rPr>
        <w:t>M</w:t>
      </w:r>
      <w:r>
        <w:rPr>
          <w:rStyle w:val="19"/>
          <w:rFonts w:ascii="Times New Roman" w:hAnsi="Times New Roman" w:eastAsia="宋体"/>
          <w:color w:val="auto"/>
          <w:kern w:val="2"/>
          <w:sz w:val="24"/>
          <w:szCs w:val="24"/>
          <w:u w:val="none"/>
        </w:rPr>
        <w:t>aintenance</w:t>
      </w:r>
      <w:r>
        <w:rPr>
          <w:rFonts w:ascii="宋体" w:hAnsi="宋体" w:eastAsia="宋体"/>
          <w:sz w:val="24"/>
          <w:szCs w:val="24"/>
        </w:rPr>
        <w:tab/>
      </w:r>
      <w:r>
        <w:rPr>
          <w:rFonts w:hint="eastAsia" w:ascii="宋体" w:hAnsi="宋体" w:eastAsia="宋体"/>
          <w:sz w:val="24"/>
          <w:szCs w:val="24"/>
        </w:rPr>
        <w:t>82</w:t>
      </w:r>
      <w:r>
        <w:rPr>
          <w:rFonts w:hint="eastAsia"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rPr>
          <w:rStyle w:val="19"/>
          <w:rFonts w:ascii="Times New Roman" w:hAnsi="Times New Roman" w:eastAsia="宋体" w:cs="Times New Roman"/>
          <w:color w:val="auto"/>
          <w:sz w:val="24"/>
          <w:szCs w:val="24"/>
          <w:u w:val="none"/>
        </w:rPr>
        <w:t xml:space="preserve">Explanation of </w:t>
      </w:r>
      <w:r>
        <w:rPr>
          <w:rStyle w:val="19"/>
          <w:rFonts w:hint="eastAsia" w:ascii="Times New Roman" w:hAnsi="Times New Roman" w:eastAsia="宋体" w:cs="Times New Roman"/>
          <w:color w:val="auto"/>
          <w:sz w:val="24"/>
          <w:szCs w:val="24"/>
          <w:u w:val="none"/>
        </w:rPr>
        <w:t xml:space="preserve"> </w:t>
      </w:r>
      <w:r>
        <w:rPr>
          <w:rStyle w:val="19"/>
          <w:rFonts w:ascii="Times New Roman" w:hAnsi="Times New Roman" w:eastAsia="宋体" w:cs="Times New Roman"/>
          <w:color w:val="auto"/>
          <w:sz w:val="24"/>
          <w:szCs w:val="24"/>
          <w:u w:val="none"/>
        </w:rPr>
        <w:t xml:space="preserve">Wording in This Standard </w:t>
      </w:r>
      <w:r>
        <w:fldChar w:fldCharType="begin"/>
      </w:r>
      <w:r>
        <w:instrText xml:space="preserve"> HYPERLINK \l "_Toc103958778" </w:instrText>
      </w:r>
      <w:r>
        <w:fldChar w:fldCharType="separate"/>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_Toc103958778 \h </w:instrText>
      </w:r>
      <w:r>
        <w:rPr>
          <w:rFonts w:ascii="宋体" w:hAnsi="宋体" w:eastAsia="宋体"/>
          <w:sz w:val="24"/>
          <w:szCs w:val="24"/>
        </w:rPr>
        <w:fldChar w:fldCharType="separate"/>
      </w:r>
      <w:r>
        <w:rPr>
          <w:rFonts w:ascii="宋体" w:hAnsi="宋体" w:eastAsia="宋体"/>
          <w:sz w:val="24"/>
          <w:szCs w:val="24"/>
        </w:rPr>
        <w:t>8</w:t>
      </w:r>
      <w:r>
        <w:rPr>
          <w:rFonts w:hint="eastAsia" w:ascii="宋体" w:hAnsi="宋体" w:eastAsia="宋体"/>
          <w:sz w:val="24"/>
          <w:szCs w:val="24"/>
        </w:rPr>
        <w:t>4</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rPr>
          <w:rStyle w:val="19"/>
          <w:rFonts w:ascii="Times New Roman" w:hAnsi="Times New Roman" w:eastAsia="宋体" w:cs="Times New Roman"/>
          <w:color w:val="auto"/>
          <w:sz w:val="24"/>
          <w:szCs w:val="24"/>
          <w:u w:val="none"/>
        </w:rPr>
        <w:t xml:space="preserve">List of Quoted Standards </w:t>
      </w:r>
      <w:r>
        <w:fldChar w:fldCharType="begin"/>
      </w:r>
      <w:r>
        <w:instrText xml:space="preserve"> HYPERLINK \l "_Toc103958779" </w:instrText>
      </w:r>
      <w:r>
        <w:fldChar w:fldCharType="separate"/>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_Toc103958779 \h </w:instrText>
      </w:r>
      <w:r>
        <w:rPr>
          <w:rFonts w:ascii="宋体" w:hAnsi="宋体" w:eastAsia="宋体"/>
          <w:sz w:val="24"/>
          <w:szCs w:val="24"/>
        </w:rPr>
        <w:fldChar w:fldCharType="separate"/>
      </w:r>
      <w:r>
        <w:rPr>
          <w:rFonts w:ascii="宋体" w:hAnsi="宋体" w:eastAsia="宋体"/>
          <w:sz w:val="24"/>
          <w:szCs w:val="24"/>
        </w:rPr>
        <w:t>8</w:t>
      </w:r>
      <w:r>
        <w:rPr>
          <w:rFonts w:hint="eastAsia" w:ascii="宋体" w:hAnsi="宋体" w:eastAsia="宋体"/>
          <w:sz w:val="24"/>
          <w:szCs w:val="24"/>
        </w:rPr>
        <w:t>5</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rPr>
          <w:rStyle w:val="19"/>
          <w:rFonts w:ascii="Times New Roman" w:hAnsi="Times New Roman" w:eastAsia="宋体" w:cs="Times New Roman"/>
          <w:color w:val="auto"/>
          <w:sz w:val="24"/>
          <w:szCs w:val="24"/>
          <w:u w:val="none"/>
        </w:rPr>
        <w:t>Addition</w:t>
      </w:r>
      <w:r>
        <w:rPr>
          <w:rStyle w:val="19"/>
          <w:rFonts w:hint="eastAsia" w:ascii="Times New Roman" w:hAnsi="Times New Roman" w:eastAsia="宋体" w:cs="Times New Roman"/>
          <w:color w:val="auto"/>
          <w:sz w:val="24"/>
          <w:szCs w:val="24"/>
          <w:u w:val="none"/>
        </w:rPr>
        <w:t xml:space="preserve"> A</w:t>
      </w:r>
      <w:r>
        <w:fldChar w:fldCharType="begin"/>
      </w:r>
      <w:r>
        <w:instrText xml:space="preserve"> HYPERLINK \l "_Toc103958780" </w:instrText>
      </w:r>
      <w:r>
        <w:fldChar w:fldCharType="separate"/>
      </w:r>
      <w:r>
        <w:rPr>
          <w:rStyle w:val="19"/>
          <w:rFonts w:ascii="宋体" w:hAnsi="宋体" w:eastAsia="宋体"/>
          <w:color w:val="auto"/>
          <w:sz w:val="24"/>
          <w:szCs w:val="24"/>
          <w:u w:val="none"/>
        </w:rPr>
        <w:t xml:space="preserve"> </w:t>
      </w:r>
      <w:r>
        <w:rPr>
          <w:rStyle w:val="19"/>
          <w:rFonts w:ascii="Times New Roman" w:hAnsi="Times New Roman" w:eastAsia="宋体" w:cs="Times New Roman"/>
          <w:color w:val="auto"/>
          <w:sz w:val="24"/>
          <w:szCs w:val="24"/>
          <w:u w:val="none"/>
        </w:rPr>
        <w:t xml:space="preserve">Steel </w:t>
      </w:r>
      <w:r>
        <w:rPr>
          <w:rStyle w:val="19"/>
          <w:rFonts w:hint="eastAsia" w:ascii="Times New Roman" w:hAnsi="Times New Roman" w:eastAsia="宋体" w:cs="Times New Roman"/>
          <w:color w:val="auto"/>
          <w:sz w:val="24"/>
          <w:szCs w:val="24"/>
          <w:u w:val="none"/>
        </w:rPr>
        <w:t>S</w:t>
      </w:r>
      <w:r>
        <w:rPr>
          <w:rStyle w:val="19"/>
          <w:rFonts w:ascii="Times New Roman" w:hAnsi="Times New Roman" w:eastAsia="宋体" w:cs="Times New Roman"/>
          <w:color w:val="auto"/>
          <w:sz w:val="24"/>
          <w:szCs w:val="24"/>
          <w:u w:val="none"/>
        </w:rPr>
        <w:t xml:space="preserve">tructure </w:t>
      </w:r>
      <w:r>
        <w:rPr>
          <w:rStyle w:val="19"/>
          <w:rFonts w:hint="eastAsia" w:ascii="Times New Roman" w:hAnsi="Times New Roman" w:eastAsia="宋体" w:cs="Times New Roman"/>
          <w:color w:val="auto"/>
          <w:sz w:val="24"/>
          <w:szCs w:val="24"/>
          <w:u w:val="none"/>
        </w:rPr>
        <w:t>R</w:t>
      </w:r>
      <w:r>
        <w:rPr>
          <w:rStyle w:val="19"/>
          <w:rFonts w:ascii="Times New Roman" w:hAnsi="Times New Roman" w:eastAsia="宋体" w:cs="Times New Roman"/>
          <w:color w:val="auto"/>
          <w:sz w:val="24"/>
          <w:szCs w:val="24"/>
          <w:u w:val="none"/>
        </w:rPr>
        <w:t xml:space="preserve">esidential </w:t>
      </w:r>
      <w:r>
        <w:rPr>
          <w:rStyle w:val="19"/>
          <w:rFonts w:hint="eastAsia" w:ascii="Times New Roman" w:hAnsi="Times New Roman" w:eastAsia="宋体" w:cs="Times New Roman"/>
          <w:color w:val="auto"/>
          <w:sz w:val="24"/>
          <w:szCs w:val="24"/>
          <w:u w:val="none"/>
        </w:rPr>
        <w:t>Buildings</w:t>
      </w:r>
      <w:r>
        <w:rPr>
          <w:rStyle w:val="19"/>
          <w:rFonts w:ascii="Times New Roman" w:hAnsi="Times New Roman" w:eastAsia="宋体" w:cs="Times New Roman"/>
          <w:color w:val="auto"/>
          <w:sz w:val="24"/>
          <w:szCs w:val="24"/>
          <w:u w:val="none"/>
        </w:rPr>
        <w:t xml:space="preserve"> </w:t>
      </w:r>
      <w:r>
        <w:rPr>
          <w:rStyle w:val="19"/>
          <w:rFonts w:hint="eastAsia" w:ascii="Times New Roman" w:hAnsi="Times New Roman" w:eastAsia="宋体" w:cs="Times New Roman"/>
          <w:color w:val="auto"/>
          <w:sz w:val="24"/>
          <w:szCs w:val="24"/>
          <w:u w:val="none"/>
        </w:rPr>
        <w:t>S</w:t>
      </w:r>
      <w:r>
        <w:rPr>
          <w:rStyle w:val="19"/>
          <w:rFonts w:ascii="Times New Roman" w:hAnsi="Times New Roman" w:eastAsia="宋体" w:cs="Times New Roman"/>
          <w:color w:val="auto"/>
          <w:sz w:val="24"/>
          <w:szCs w:val="24"/>
          <w:u w:val="none"/>
        </w:rPr>
        <w:t>pecification</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_Toc103958780 \h </w:instrText>
      </w:r>
      <w:r>
        <w:rPr>
          <w:rFonts w:ascii="宋体" w:hAnsi="宋体" w:eastAsia="宋体"/>
          <w:sz w:val="24"/>
          <w:szCs w:val="24"/>
        </w:rPr>
        <w:fldChar w:fldCharType="separate"/>
      </w:r>
      <w:r>
        <w:rPr>
          <w:rFonts w:ascii="宋体" w:hAnsi="宋体" w:eastAsia="宋体"/>
          <w:sz w:val="24"/>
          <w:szCs w:val="24"/>
        </w:rPr>
        <w:t>8</w:t>
      </w:r>
      <w:r>
        <w:rPr>
          <w:rFonts w:hint="eastAsia" w:ascii="宋体" w:hAnsi="宋体" w:eastAsia="宋体"/>
          <w:sz w:val="24"/>
          <w:szCs w:val="24"/>
        </w:rPr>
        <w:t>7</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rPr>
          <w:rStyle w:val="19"/>
          <w:rFonts w:ascii="Times New Roman" w:hAnsi="Times New Roman" w:eastAsia="宋体" w:cs="Times New Roman"/>
          <w:color w:val="auto"/>
          <w:sz w:val="24"/>
          <w:szCs w:val="24"/>
          <w:u w:val="none"/>
        </w:rPr>
        <w:t>Addition</w:t>
      </w:r>
      <w:r>
        <w:rPr>
          <w:rStyle w:val="19"/>
          <w:rFonts w:hint="eastAsia" w:ascii="Times New Roman" w:hAnsi="Times New Roman" w:eastAsia="宋体" w:cs="Times New Roman"/>
          <w:color w:val="auto"/>
          <w:sz w:val="24"/>
          <w:szCs w:val="24"/>
          <w:u w:val="none"/>
        </w:rPr>
        <w:t xml:space="preserve"> B</w:t>
      </w:r>
      <w:r>
        <w:rPr>
          <w:rStyle w:val="19"/>
          <w:rFonts w:ascii="宋体" w:hAnsi="宋体" w:eastAsia="宋体"/>
          <w:color w:val="auto"/>
          <w:sz w:val="24"/>
          <w:szCs w:val="24"/>
          <w:u w:val="none"/>
        </w:rPr>
        <w:t xml:space="preserve"> </w:t>
      </w:r>
      <w:r>
        <w:fldChar w:fldCharType="begin"/>
      </w:r>
      <w:r>
        <w:instrText xml:space="preserve"> HYPERLINK \l "_Toc103958781" </w:instrText>
      </w:r>
      <w:r>
        <w:fldChar w:fldCharType="separate"/>
      </w:r>
      <w:r>
        <w:rPr>
          <w:rStyle w:val="19"/>
          <w:rFonts w:ascii="Times New Roman" w:hAnsi="Times New Roman" w:eastAsia="宋体" w:cs="Times New Roman"/>
          <w:color w:val="auto"/>
          <w:sz w:val="24"/>
          <w:szCs w:val="24"/>
          <w:u w:val="none"/>
        </w:rPr>
        <w:t xml:space="preserve">Steel Structure </w:t>
      </w:r>
      <w:r>
        <w:rPr>
          <w:rStyle w:val="19"/>
          <w:rFonts w:hint="eastAsia" w:ascii="Times New Roman" w:hAnsi="Times New Roman" w:eastAsia="宋体" w:cs="Times New Roman"/>
          <w:color w:val="auto"/>
          <w:sz w:val="24"/>
          <w:szCs w:val="24"/>
          <w:u w:val="none"/>
        </w:rPr>
        <w:t>R</w:t>
      </w:r>
      <w:r>
        <w:rPr>
          <w:rStyle w:val="19"/>
          <w:rFonts w:ascii="Times New Roman" w:hAnsi="Times New Roman" w:eastAsia="宋体" w:cs="Times New Roman"/>
          <w:color w:val="auto"/>
          <w:sz w:val="24"/>
          <w:szCs w:val="24"/>
          <w:u w:val="none"/>
        </w:rPr>
        <w:t xml:space="preserve">esidential </w:t>
      </w:r>
      <w:r>
        <w:rPr>
          <w:rStyle w:val="19"/>
          <w:rFonts w:hint="eastAsia" w:ascii="Times New Roman" w:hAnsi="Times New Roman" w:eastAsia="宋体" w:cs="Times New Roman"/>
          <w:color w:val="auto"/>
          <w:sz w:val="24"/>
          <w:szCs w:val="24"/>
          <w:u w:val="none"/>
        </w:rPr>
        <w:t>Buildings</w:t>
      </w:r>
      <w:r>
        <w:rPr>
          <w:rStyle w:val="19"/>
          <w:rFonts w:ascii="Times New Roman" w:hAnsi="Times New Roman" w:eastAsia="宋体" w:cs="Times New Roman"/>
          <w:color w:val="auto"/>
          <w:sz w:val="24"/>
          <w:szCs w:val="24"/>
          <w:u w:val="none"/>
        </w:rPr>
        <w:t xml:space="preserve"> Instruction Manual</w:t>
      </w:r>
      <w:r>
        <w:rPr>
          <w:rFonts w:ascii="宋体" w:hAnsi="宋体" w:eastAsia="宋体"/>
          <w:sz w:val="24"/>
          <w:szCs w:val="24"/>
        </w:rPr>
        <w:tab/>
      </w:r>
      <w:r>
        <w:rPr>
          <w:rFonts w:hint="eastAsia" w:ascii="宋体" w:hAnsi="宋体" w:eastAsia="宋体"/>
          <w:sz w:val="24"/>
          <w:szCs w:val="24"/>
        </w:rPr>
        <w:t>90</w:t>
      </w:r>
      <w:r>
        <w:rPr>
          <w:rFonts w:hint="eastAsia"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rPr>
          <w:rStyle w:val="19"/>
          <w:rFonts w:ascii="Times New Roman" w:hAnsi="Times New Roman" w:eastAsia="宋体" w:cs="Times New Roman"/>
          <w:color w:val="auto"/>
          <w:sz w:val="24"/>
          <w:szCs w:val="24"/>
          <w:u w:val="none"/>
        </w:rPr>
        <w:t>Addition</w:t>
      </w:r>
      <w:r>
        <w:rPr>
          <w:rStyle w:val="19"/>
          <w:rFonts w:hint="eastAsia" w:ascii="Times New Roman" w:hAnsi="Times New Roman" w:eastAsia="宋体" w:cs="Times New Roman"/>
          <w:color w:val="auto"/>
          <w:sz w:val="24"/>
          <w:szCs w:val="24"/>
          <w:u w:val="none"/>
        </w:rPr>
        <w:t xml:space="preserve"> C</w:t>
      </w:r>
      <w:r>
        <w:rPr>
          <w:rStyle w:val="19"/>
          <w:rFonts w:ascii="宋体" w:hAnsi="宋体" w:eastAsia="宋体"/>
          <w:color w:val="auto"/>
          <w:sz w:val="24"/>
          <w:szCs w:val="24"/>
          <w:u w:val="none"/>
        </w:rPr>
        <w:t xml:space="preserve"> </w:t>
      </w:r>
      <w:r>
        <w:fldChar w:fldCharType="begin"/>
      </w:r>
      <w:r>
        <w:instrText xml:space="preserve"> HYPERLINK \l "_Toc103958782" </w:instrText>
      </w:r>
      <w:r>
        <w:fldChar w:fldCharType="separate"/>
      </w:r>
      <w:r>
        <w:rPr>
          <w:rStyle w:val="19"/>
          <w:rFonts w:ascii="Times New Roman" w:hAnsi="Times New Roman" w:eastAsia="宋体" w:cs="Times New Roman"/>
          <w:color w:val="auto"/>
          <w:sz w:val="24"/>
          <w:szCs w:val="24"/>
          <w:u w:val="none"/>
        </w:rPr>
        <w:t xml:space="preserve">Steel Structure </w:t>
      </w:r>
      <w:r>
        <w:rPr>
          <w:rStyle w:val="19"/>
          <w:rFonts w:hint="eastAsia" w:ascii="Times New Roman" w:hAnsi="Times New Roman" w:eastAsia="宋体" w:cs="Times New Roman"/>
          <w:color w:val="auto"/>
          <w:sz w:val="24"/>
          <w:szCs w:val="24"/>
          <w:u w:val="none"/>
        </w:rPr>
        <w:t>R</w:t>
      </w:r>
      <w:r>
        <w:rPr>
          <w:rStyle w:val="19"/>
          <w:rFonts w:ascii="Times New Roman" w:hAnsi="Times New Roman" w:eastAsia="宋体" w:cs="Times New Roman"/>
          <w:color w:val="auto"/>
          <w:sz w:val="24"/>
          <w:szCs w:val="24"/>
          <w:u w:val="none"/>
        </w:rPr>
        <w:t xml:space="preserve">esidential </w:t>
      </w:r>
      <w:r>
        <w:rPr>
          <w:rStyle w:val="19"/>
          <w:rFonts w:hint="eastAsia" w:ascii="Times New Roman" w:hAnsi="Times New Roman" w:eastAsia="宋体" w:cs="Times New Roman"/>
          <w:color w:val="auto"/>
          <w:sz w:val="24"/>
          <w:szCs w:val="24"/>
          <w:u w:val="none"/>
        </w:rPr>
        <w:t xml:space="preserve">Buildings </w:t>
      </w:r>
      <w:r>
        <w:rPr>
          <w:rStyle w:val="19"/>
          <w:rFonts w:ascii="Times New Roman" w:hAnsi="Times New Roman" w:eastAsia="宋体" w:cs="Times New Roman"/>
          <w:color w:val="auto"/>
          <w:sz w:val="24"/>
          <w:szCs w:val="24"/>
          <w:u w:val="none"/>
        </w:rPr>
        <w:t>decoration configuration table</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_Toc103958782 \h </w:instrText>
      </w:r>
      <w:r>
        <w:rPr>
          <w:rFonts w:ascii="宋体" w:hAnsi="宋体" w:eastAsia="宋体"/>
          <w:sz w:val="24"/>
          <w:szCs w:val="24"/>
        </w:rPr>
        <w:fldChar w:fldCharType="separate"/>
      </w:r>
      <w:r>
        <w:rPr>
          <w:rFonts w:ascii="宋体" w:hAnsi="宋体" w:eastAsia="宋体"/>
          <w:sz w:val="24"/>
          <w:szCs w:val="24"/>
        </w:rPr>
        <w:t>9</w:t>
      </w:r>
      <w:r>
        <w:rPr>
          <w:rFonts w:hint="eastAsia"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rPr>
          <w:rStyle w:val="19"/>
          <w:rFonts w:ascii="Times New Roman" w:hAnsi="Times New Roman" w:eastAsia="宋体" w:cs="Times New Roman"/>
          <w:color w:val="auto"/>
          <w:sz w:val="24"/>
          <w:szCs w:val="24"/>
          <w:u w:val="none"/>
        </w:rPr>
        <w:t>Addition</w:t>
      </w:r>
      <w:r>
        <w:rPr>
          <w:rStyle w:val="19"/>
          <w:rFonts w:hint="eastAsia" w:ascii="Times New Roman" w:hAnsi="Times New Roman" w:eastAsia="宋体" w:cs="Times New Roman"/>
          <w:color w:val="auto"/>
          <w:sz w:val="24"/>
          <w:szCs w:val="24"/>
          <w:u w:val="none"/>
        </w:rPr>
        <w:t xml:space="preserve"> D</w:t>
      </w:r>
      <w:r>
        <w:rPr>
          <w:rStyle w:val="19"/>
          <w:rFonts w:ascii="宋体" w:hAnsi="宋体" w:eastAsia="宋体"/>
          <w:color w:val="auto"/>
          <w:sz w:val="24"/>
          <w:szCs w:val="24"/>
          <w:u w:val="none"/>
        </w:rPr>
        <w:t xml:space="preserve"> </w:t>
      </w:r>
      <w:r>
        <w:fldChar w:fldCharType="begin"/>
      </w:r>
      <w:r>
        <w:instrText xml:space="preserve"> HYPERLINK \l "_Toc103958783" </w:instrText>
      </w:r>
      <w:r>
        <w:fldChar w:fldCharType="separate"/>
      </w:r>
      <w:r>
        <w:rPr>
          <w:rStyle w:val="19"/>
          <w:rFonts w:ascii="Times New Roman" w:hAnsi="Times New Roman" w:eastAsia="宋体" w:cs="Times New Roman"/>
          <w:color w:val="auto"/>
          <w:sz w:val="24"/>
          <w:szCs w:val="24"/>
          <w:u w:val="none"/>
        </w:rPr>
        <w:t xml:space="preserve">Steel Structure </w:t>
      </w:r>
      <w:r>
        <w:rPr>
          <w:rStyle w:val="19"/>
          <w:rFonts w:hint="eastAsia" w:ascii="Times New Roman" w:hAnsi="Times New Roman" w:eastAsia="宋体" w:cs="Times New Roman"/>
          <w:color w:val="auto"/>
          <w:sz w:val="24"/>
          <w:szCs w:val="24"/>
          <w:u w:val="none"/>
        </w:rPr>
        <w:t>R</w:t>
      </w:r>
      <w:r>
        <w:rPr>
          <w:rStyle w:val="19"/>
          <w:rFonts w:ascii="Times New Roman" w:hAnsi="Times New Roman" w:eastAsia="宋体" w:cs="Times New Roman"/>
          <w:color w:val="auto"/>
          <w:sz w:val="24"/>
          <w:szCs w:val="24"/>
          <w:u w:val="none"/>
        </w:rPr>
        <w:t xml:space="preserve">esidential </w:t>
      </w:r>
      <w:r>
        <w:rPr>
          <w:rStyle w:val="19"/>
          <w:rFonts w:hint="eastAsia" w:ascii="Times New Roman" w:hAnsi="Times New Roman" w:eastAsia="宋体" w:cs="Times New Roman"/>
          <w:color w:val="auto"/>
          <w:sz w:val="24"/>
          <w:szCs w:val="24"/>
          <w:u w:val="none"/>
        </w:rPr>
        <w:t>Buildings</w:t>
      </w:r>
      <w:r>
        <w:rPr>
          <w:rStyle w:val="19"/>
          <w:rFonts w:ascii="Times New Roman" w:hAnsi="Times New Roman" w:eastAsia="宋体" w:cs="Times New Roman"/>
          <w:color w:val="auto"/>
          <w:sz w:val="24"/>
          <w:szCs w:val="24"/>
          <w:u w:val="none"/>
        </w:rPr>
        <w:t xml:space="preserve"> intelligent equipment configuration table</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_Toc103958783 \h </w:instrText>
      </w:r>
      <w:r>
        <w:rPr>
          <w:rFonts w:ascii="宋体" w:hAnsi="宋体" w:eastAsia="宋体"/>
          <w:sz w:val="24"/>
          <w:szCs w:val="24"/>
        </w:rPr>
        <w:fldChar w:fldCharType="separate"/>
      </w:r>
      <w:r>
        <w:rPr>
          <w:rFonts w:ascii="宋体" w:hAnsi="宋体" w:eastAsia="宋体"/>
          <w:sz w:val="24"/>
          <w:szCs w:val="24"/>
        </w:rPr>
        <w:t>9</w:t>
      </w:r>
      <w:r>
        <w:rPr>
          <w:rFonts w:hint="eastAsia" w:ascii="宋体" w:hAnsi="宋体" w:eastAsia="宋体"/>
          <w:sz w:val="24"/>
          <w:szCs w:val="24"/>
        </w:rPr>
        <w:t>9</w:t>
      </w:r>
      <w:r>
        <w:rPr>
          <w:rFonts w:ascii="宋体" w:hAnsi="宋体" w:eastAsia="宋体"/>
          <w:sz w:val="24"/>
          <w:szCs w:val="24"/>
        </w:rPr>
        <w:fldChar w:fldCharType="end"/>
      </w:r>
      <w:r>
        <w:rPr>
          <w:rFonts w:ascii="宋体" w:hAnsi="宋体" w:eastAsia="宋体"/>
          <w:sz w:val="24"/>
          <w:szCs w:val="24"/>
        </w:rPr>
        <w:fldChar w:fldCharType="end"/>
      </w:r>
    </w:p>
    <w:p>
      <w:pPr>
        <w:pStyle w:val="11"/>
        <w:tabs>
          <w:tab w:val="right" w:leader="dot" w:pos="8296"/>
        </w:tabs>
        <w:spacing w:line="360" w:lineRule="auto"/>
        <w:rPr>
          <w:rFonts w:ascii="宋体" w:hAnsi="宋体" w:eastAsia="宋体" w:cstheme="minorBidi"/>
          <w:sz w:val="24"/>
          <w:szCs w:val="24"/>
        </w:rPr>
      </w:pPr>
      <w:r>
        <w:rPr>
          <w:rStyle w:val="19"/>
          <w:rFonts w:ascii="Times New Roman" w:hAnsi="Times New Roman" w:eastAsia="宋体" w:cs="Times New Roman"/>
          <w:color w:val="auto"/>
          <w:sz w:val="24"/>
          <w:szCs w:val="24"/>
          <w:u w:val="none"/>
        </w:rPr>
        <w:t>Addition</w:t>
      </w:r>
      <w:r>
        <w:rPr>
          <w:rStyle w:val="19"/>
          <w:rFonts w:hint="eastAsia" w:ascii="Times New Roman" w:hAnsi="Times New Roman" w:eastAsia="宋体" w:cs="Times New Roman"/>
          <w:color w:val="auto"/>
          <w:sz w:val="24"/>
          <w:szCs w:val="24"/>
          <w:u w:val="none"/>
        </w:rPr>
        <w:t xml:space="preserve"> E</w:t>
      </w:r>
      <w:r>
        <w:rPr>
          <w:rStyle w:val="19"/>
          <w:rFonts w:ascii="宋体" w:hAnsi="宋体" w:eastAsia="宋体"/>
          <w:color w:val="auto"/>
          <w:sz w:val="24"/>
          <w:szCs w:val="24"/>
          <w:u w:val="none"/>
        </w:rPr>
        <w:t xml:space="preserve"> </w:t>
      </w:r>
      <w:r>
        <w:fldChar w:fldCharType="begin"/>
      </w:r>
      <w:r>
        <w:instrText xml:space="preserve"> HYPERLINK \l "_Toc103958784" </w:instrText>
      </w:r>
      <w:r>
        <w:fldChar w:fldCharType="separate"/>
      </w:r>
      <w:r>
        <w:rPr>
          <w:rStyle w:val="19"/>
          <w:rFonts w:ascii="Times New Roman" w:hAnsi="Times New Roman" w:eastAsia="宋体" w:cs="Times New Roman"/>
          <w:color w:val="auto"/>
          <w:sz w:val="24"/>
          <w:szCs w:val="24"/>
          <w:u w:val="none"/>
        </w:rPr>
        <w:t>Structural drawing of steel components outsourcing concrete, fireproof paint and fireproof board</w:t>
      </w:r>
      <w:r>
        <w:rPr>
          <w:rFonts w:ascii="宋体" w:hAnsi="宋体" w:eastAsia="宋体"/>
          <w:sz w:val="24"/>
          <w:szCs w:val="24"/>
        </w:rPr>
        <w:tab/>
      </w:r>
      <w:r>
        <w:rPr>
          <w:rFonts w:hint="eastAsia" w:ascii="宋体" w:hAnsi="宋体" w:eastAsia="宋体"/>
          <w:sz w:val="24"/>
          <w:szCs w:val="24"/>
        </w:rPr>
        <w:t>101</w:t>
      </w:r>
      <w:r>
        <w:rPr>
          <w:rFonts w:hint="eastAsia" w:ascii="宋体" w:hAnsi="宋体" w:eastAsia="宋体"/>
          <w:sz w:val="24"/>
          <w:szCs w:val="24"/>
        </w:rPr>
        <w:fldChar w:fldCharType="end"/>
      </w: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widowControl/>
        <w:jc w:val="left"/>
        <w:rPr>
          <w:rFonts w:ascii="仿宋" w:hAnsi="仿宋" w:eastAsia="仿宋"/>
          <w:color w:val="auto"/>
          <w:sz w:val="32"/>
          <w:szCs w:val="32"/>
        </w:rPr>
      </w:pPr>
    </w:p>
    <w:p>
      <w:pPr>
        <w:pStyle w:val="2"/>
        <w:jc w:val="center"/>
        <w:rPr>
          <w:rFonts w:ascii="宋体" w:hAnsi="宋体"/>
          <w:color w:val="auto"/>
          <w:sz w:val="32"/>
          <w:szCs w:val="32"/>
        </w:rPr>
      </w:pPr>
      <w:bookmarkStart w:id="1" w:name="_Toc103958734"/>
      <w:r>
        <w:rPr>
          <w:rFonts w:hint="cs"/>
          <w:color w:val="auto"/>
          <w:sz w:val="32"/>
          <w:szCs w:val="32"/>
        </w:rPr>
        <w:t>1</w:t>
      </w:r>
      <w:r>
        <w:rPr>
          <w:color w:val="auto"/>
          <w:sz w:val="32"/>
          <w:szCs w:val="32"/>
        </w:rPr>
        <w:t xml:space="preserve">  </w:t>
      </w:r>
      <w:r>
        <w:rPr>
          <w:rFonts w:hint="eastAsia" w:ascii="宋体" w:hAnsi="宋体"/>
          <w:color w:val="auto"/>
          <w:sz w:val="32"/>
          <w:szCs w:val="32"/>
        </w:rPr>
        <w:t>总则</w:t>
      </w:r>
      <w:bookmarkEnd w:id="1"/>
    </w:p>
    <w:p>
      <w:pPr>
        <w:pStyle w:val="7"/>
        <w:spacing w:line="360" w:lineRule="auto"/>
        <w:ind w:left="0" w:leftChars="0"/>
        <w:jc w:val="left"/>
        <w:rPr>
          <w:rFonts w:ascii="宋体" w:hAnsi="宋体"/>
          <w:color w:val="auto"/>
          <w:sz w:val="24"/>
          <w:szCs w:val="24"/>
        </w:rPr>
      </w:pPr>
      <w:bookmarkStart w:id="2" w:name="_Toc76376941"/>
      <w:r>
        <w:rPr>
          <w:rFonts w:hint="eastAsia"/>
          <w:b/>
          <w:bCs/>
          <w:color w:val="auto"/>
          <w:sz w:val="24"/>
          <w:szCs w:val="24"/>
        </w:rPr>
        <w:t>1</w:t>
      </w:r>
      <w:r>
        <w:rPr>
          <w:b/>
          <w:bCs/>
          <w:color w:val="auto"/>
          <w:sz w:val="24"/>
          <w:szCs w:val="24"/>
        </w:rPr>
        <w:t>.0.1</w:t>
      </w:r>
      <w:r>
        <w:rPr>
          <w:rFonts w:ascii="宋体" w:hAnsi="宋体"/>
          <w:color w:val="auto"/>
          <w:sz w:val="24"/>
          <w:szCs w:val="24"/>
        </w:rPr>
        <w:t xml:space="preserve"> </w:t>
      </w:r>
      <w:r>
        <w:rPr>
          <w:rFonts w:hint="eastAsia" w:ascii="宋体" w:hAnsi="宋体"/>
          <w:color w:val="auto"/>
          <w:sz w:val="24"/>
          <w:szCs w:val="24"/>
        </w:rPr>
        <w:t>为推动装配式钢结构建筑高质量发展，指导钢结构住宅全专业、全产业链系统化集成化推广、应用，规范钢结构住宅的设计、交付、使用和维护，按照安全、适用、经济、绿色、美观的要求，做到技术先进、高质高效和绿色建造，全面提高钢结构住宅的环境效益、社会效益和经济效益，修订本规范。</w:t>
      </w:r>
      <w:bookmarkEnd w:id="2"/>
    </w:p>
    <w:p>
      <w:pPr>
        <w:spacing w:line="360" w:lineRule="auto"/>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当前国务院与住房和城乡建设部发布了一系列政策和文件，其中住房和城乡建设部最新印发的关于“十四五”建筑节能与绿色建筑发展规划的通知再次强调大力发展钢结构建筑，积极推进钢结构住宅和农房建设，完善钢结构建筑防火、防腐等性能与技术措施。至2</w:t>
      </w:r>
      <w:r>
        <w:rPr>
          <w:rFonts w:ascii="宋体" w:hAnsi="宋体" w:cs="黑体"/>
          <w:bCs/>
          <w:color w:val="5B9BD5"/>
        </w:rPr>
        <w:t>035</w:t>
      </w:r>
      <w:r>
        <w:rPr>
          <w:rFonts w:hint="eastAsia" w:ascii="宋体" w:hAnsi="宋体" w:cs="黑体"/>
          <w:bCs/>
          <w:color w:val="5B9BD5"/>
        </w:rPr>
        <w:t>年装配式建筑要占新建建筑比例达到3</w:t>
      </w:r>
      <w:r>
        <w:rPr>
          <w:rFonts w:ascii="宋体" w:hAnsi="宋体" w:cs="黑体"/>
          <w:bCs/>
          <w:color w:val="5B9BD5"/>
        </w:rPr>
        <w:t>0</w:t>
      </w:r>
      <w:r>
        <w:rPr>
          <w:rFonts w:hint="eastAsia" w:ascii="宋体" w:hAnsi="宋体" w:cs="黑体"/>
          <w:bCs/>
          <w:color w:val="5B9BD5"/>
        </w:rPr>
        <w:t>%以上。钢结构住宅作为装配式钢结构建筑的重要组成部分，是我国发展绿色全寿命期建筑、促进住宅产业化转型升级和双碳控制的重要抓手，当前钢结构住宅发展面临着重大机遇，市场十分巨大，发展前景广阔，原规范自2</w:t>
      </w:r>
      <w:r>
        <w:rPr>
          <w:rFonts w:ascii="宋体" w:hAnsi="宋体" w:cs="黑体"/>
          <w:bCs/>
          <w:color w:val="5B9BD5"/>
        </w:rPr>
        <w:t>009</w:t>
      </w:r>
      <w:r>
        <w:rPr>
          <w:rFonts w:hint="eastAsia" w:ascii="宋体" w:hAnsi="宋体" w:cs="黑体"/>
          <w:bCs/>
          <w:color w:val="5B9BD5"/>
        </w:rPr>
        <w:t>年颁布以来，已经有十余年的历程，随着设计理念、建筑材料、结构体系等的科技进步，以及提高住宅产品健康性能与疫情应对能力的需求，有必要对本规范进行修订，与时俱进，更好地推动钢结构住宅产业化的发展，按照安全、适用、经济、绿色、美观的要求，全面提高钢结构住宅的环境效益、社会效益和经济效益。</w:t>
      </w:r>
    </w:p>
    <w:p>
      <w:pPr>
        <w:widowControl/>
        <w:spacing w:line="360" w:lineRule="auto"/>
        <w:jc w:val="left"/>
        <w:rPr>
          <w:rFonts w:ascii="宋体" w:hAnsi="宋体" w:cs="黑体"/>
          <w:bCs/>
          <w:color w:val="auto"/>
          <w:kern w:val="28"/>
          <w:sz w:val="24"/>
          <w:szCs w:val="24"/>
        </w:rPr>
      </w:pPr>
      <w:r>
        <w:rPr>
          <w:rFonts w:hint="eastAsia"/>
          <w:b/>
          <w:bCs/>
          <w:color w:val="auto"/>
          <w:sz w:val="24"/>
          <w:szCs w:val="24"/>
        </w:rPr>
        <w:t>1</w:t>
      </w:r>
      <w:r>
        <w:rPr>
          <w:b/>
          <w:bCs/>
          <w:color w:val="auto"/>
          <w:sz w:val="24"/>
          <w:szCs w:val="24"/>
        </w:rPr>
        <w:t xml:space="preserve">.0.2 </w:t>
      </w:r>
      <w:r>
        <w:rPr>
          <w:rFonts w:hint="eastAsia" w:ascii="宋体" w:hAnsi="宋体" w:cs="黑体"/>
          <w:bCs/>
          <w:color w:val="auto"/>
          <w:kern w:val="28"/>
          <w:sz w:val="24"/>
          <w:szCs w:val="24"/>
        </w:rPr>
        <w:t>本规范适用于新建、改扩建的、房屋高度不超过</w:t>
      </w:r>
      <w:r>
        <w:rPr>
          <w:rFonts w:ascii="宋体" w:hAnsi="宋体" w:cs="黑体"/>
          <w:bCs/>
          <w:color w:val="FF0000"/>
          <w:kern w:val="28"/>
          <w:sz w:val="24"/>
          <w:szCs w:val="24"/>
        </w:rPr>
        <w:t>80</w:t>
      </w:r>
      <w:r>
        <w:rPr>
          <w:rFonts w:hint="eastAsia" w:ascii="宋体" w:hAnsi="宋体" w:cs="黑体"/>
          <w:bCs/>
          <w:color w:val="auto"/>
          <w:kern w:val="28"/>
          <w:sz w:val="24"/>
          <w:szCs w:val="24"/>
        </w:rPr>
        <w:t>米、主体结构采用钢结构的住宅设计、交付、使用与维护。</w:t>
      </w:r>
    </w:p>
    <w:p>
      <w:pPr>
        <w:widowControl/>
        <w:spacing w:line="360" w:lineRule="auto"/>
        <w:jc w:val="left"/>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本规范主要针对于冷弯薄壁型钢结构住宅</w:t>
      </w:r>
      <w:bookmarkStart w:id="222" w:name="_GoBack"/>
      <w:bookmarkEnd w:id="222"/>
      <w:r>
        <w:rPr>
          <w:rFonts w:hint="eastAsia" w:ascii="宋体" w:hAnsi="宋体" w:cs="黑体"/>
          <w:bCs/>
          <w:color w:val="5B9BD5"/>
        </w:rPr>
        <w:t>和多高层钢结构住宅的新建、改扩建设计、交付使用与维护。建筑高度不超过</w:t>
      </w:r>
      <w:r>
        <w:rPr>
          <w:rFonts w:ascii="宋体" w:hAnsi="宋体" w:cs="黑体"/>
          <w:bCs/>
          <w:color w:val="5B9BD5"/>
        </w:rPr>
        <w:t>80</w:t>
      </w:r>
      <w:r>
        <w:rPr>
          <w:rFonts w:hint="eastAsia" w:ascii="宋体" w:hAnsi="宋体" w:cs="黑体"/>
          <w:bCs/>
          <w:color w:val="5B9BD5"/>
        </w:rPr>
        <w:t>米，主要是符合《城市居住区规划设计标准》G</w:t>
      </w:r>
      <w:r>
        <w:rPr>
          <w:rFonts w:ascii="宋体" w:hAnsi="宋体" w:cs="黑体"/>
          <w:bCs/>
          <w:color w:val="5B9BD5"/>
        </w:rPr>
        <w:t>B 50180</w:t>
      </w:r>
      <w:r>
        <w:rPr>
          <w:rFonts w:hint="eastAsia" w:ascii="宋体" w:hAnsi="宋体" w:cs="黑体"/>
          <w:bCs/>
          <w:color w:val="5B9BD5"/>
        </w:rPr>
        <w:t>中关于住宅建筑高度控制最大值的要求。</w:t>
      </w:r>
    </w:p>
    <w:p>
      <w:pPr>
        <w:widowControl/>
        <w:spacing w:line="360" w:lineRule="auto"/>
        <w:jc w:val="left"/>
        <w:rPr>
          <w:rFonts w:ascii="仿宋" w:hAnsi="仿宋" w:eastAsia="仿宋"/>
          <w:b/>
          <w:bCs/>
          <w:color w:val="auto"/>
          <w:kern w:val="44"/>
          <w:sz w:val="32"/>
          <w:szCs w:val="32"/>
        </w:rPr>
      </w:pPr>
      <w:r>
        <w:rPr>
          <w:rFonts w:hint="eastAsia"/>
          <w:b/>
          <w:bCs/>
          <w:color w:val="auto"/>
          <w:sz w:val="24"/>
          <w:szCs w:val="24"/>
        </w:rPr>
        <w:t>1</w:t>
      </w:r>
      <w:r>
        <w:rPr>
          <w:b/>
          <w:bCs/>
          <w:color w:val="auto"/>
          <w:sz w:val="24"/>
          <w:szCs w:val="24"/>
        </w:rPr>
        <w:t>.0.3</w:t>
      </w:r>
      <w:r>
        <w:rPr>
          <w:rFonts w:ascii="宋体" w:hAnsi="宋体" w:cs="黑体"/>
          <w:bCs/>
          <w:color w:val="auto"/>
          <w:kern w:val="28"/>
          <w:sz w:val="24"/>
          <w:szCs w:val="24"/>
        </w:rPr>
        <w:t xml:space="preserve"> </w:t>
      </w:r>
      <w:r>
        <w:rPr>
          <w:rFonts w:hint="eastAsia" w:ascii="宋体" w:hAnsi="宋体" w:cs="黑体"/>
          <w:bCs/>
          <w:color w:val="auto"/>
          <w:kern w:val="28"/>
          <w:sz w:val="24"/>
          <w:szCs w:val="24"/>
        </w:rPr>
        <w:t>钢结构住宅的设计、交付、使用与维护除应符合本规范外，尚应符合国家现行有关标准的规定。</w:t>
      </w:r>
      <w:r>
        <w:rPr>
          <w:rFonts w:ascii="仿宋" w:hAnsi="仿宋" w:eastAsia="仿宋"/>
          <w:color w:val="auto"/>
          <w:sz w:val="32"/>
          <w:szCs w:val="32"/>
        </w:rPr>
        <w:br w:type="page"/>
      </w:r>
    </w:p>
    <w:p>
      <w:pPr>
        <w:pStyle w:val="2"/>
        <w:jc w:val="center"/>
        <w:rPr>
          <w:rFonts w:ascii="仿宋" w:hAnsi="仿宋" w:eastAsia="仿宋"/>
          <w:color w:val="auto"/>
          <w:sz w:val="32"/>
          <w:szCs w:val="32"/>
        </w:rPr>
      </w:pPr>
      <w:bookmarkStart w:id="3" w:name="_Toc103958735"/>
      <w:r>
        <w:rPr>
          <w:rFonts w:eastAsia="仿宋"/>
          <w:color w:val="auto"/>
          <w:sz w:val="32"/>
          <w:szCs w:val="32"/>
        </w:rPr>
        <w:t>2</w:t>
      </w:r>
      <w:r>
        <w:rPr>
          <w:rFonts w:hint="eastAsia" w:ascii="仿宋" w:hAnsi="仿宋" w:eastAsia="仿宋"/>
          <w:color w:val="auto"/>
          <w:sz w:val="32"/>
          <w:szCs w:val="32"/>
        </w:rPr>
        <w:t xml:space="preserve"> </w:t>
      </w:r>
      <w:r>
        <w:rPr>
          <w:rFonts w:ascii="仿宋" w:hAnsi="仿宋" w:eastAsia="仿宋"/>
          <w:color w:val="auto"/>
          <w:sz w:val="32"/>
          <w:szCs w:val="32"/>
        </w:rPr>
        <w:t xml:space="preserve"> </w:t>
      </w:r>
      <w:r>
        <w:rPr>
          <w:rFonts w:hint="eastAsia" w:ascii="宋体" w:hAnsi="宋体"/>
          <w:color w:val="auto"/>
          <w:sz w:val="32"/>
          <w:szCs w:val="32"/>
        </w:rPr>
        <w:t>术语</w:t>
      </w:r>
      <w:bookmarkEnd w:id="3"/>
    </w:p>
    <w:p>
      <w:pPr>
        <w:widowControl/>
        <w:spacing w:line="360" w:lineRule="auto"/>
        <w:jc w:val="left"/>
        <w:rPr>
          <w:rFonts w:ascii="宋体" w:hAnsi="宋体" w:cs="黑体"/>
          <w:bCs/>
          <w:color w:val="auto"/>
          <w:sz w:val="24"/>
          <w:szCs w:val="24"/>
        </w:rPr>
      </w:pPr>
      <w:r>
        <w:rPr>
          <w:b/>
          <w:bCs/>
          <w:color w:val="auto"/>
          <w:sz w:val="24"/>
          <w:szCs w:val="24"/>
        </w:rPr>
        <w:t xml:space="preserve">2.0.1 </w:t>
      </w:r>
      <w:r>
        <w:rPr>
          <w:rFonts w:hint="eastAsia" w:ascii="宋体" w:hAnsi="宋体" w:cs="黑体"/>
          <w:bCs/>
          <w:color w:val="auto"/>
          <w:sz w:val="24"/>
          <w:szCs w:val="24"/>
        </w:rPr>
        <w:t>钢结构住宅</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以钢结构作为主要结构系统、配套的围护系统、设备管线系统和内装系统的主要部品部（构）件采用集成方法设计、建造的住宅建筑。</w:t>
      </w:r>
    </w:p>
    <w:p>
      <w:pPr>
        <w:widowControl/>
        <w:spacing w:line="360" w:lineRule="auto"/>
        <w:ind w:firstLine="422" w:firstLineChars="200"/>
        <w:jc w:val="left"/>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是一个系统工程，由住宅建筑的结构系统、围护系统、设备管线系统、内装系统四大系统组成，是将预制部品部件通过模数协调、模块组合、接口连接、节点构造和施工工法等集成装配而成的，在现场高效、可靠装配并做到主体结构、建筑围护、机电与装修一体化的、具有良好性能的建筑。有以下特征：</w:t>
      </w:r>
    </w:p>
    <w:p>
      <w:pPr>
        <w:widowControl/>
        <w:spacing w:line="360" w:lineRule="auto"/>
        <w:ind w:firstLine="420" w:firstLineChars="200"/>
        <w:jc w:val="left"/>
        <w:rPr>
          <w:rFonts w:ascii="宋体" w:hAnsi="宋体" w:cs="黑体"/>
          <w:bCs/>
          <w:color w:val="5B9BD5"/>
        </w:rPr>
      </w:pPr>
      <w:r>
        <w:rPr>
          <w:rFonts w:hint="eastAsia" w:ascii="宋体" w:hAnsi="宋体" w:cs="黑体"/>
          <w:bCs/>
          <w:color w:val="5B9BD5"/>
        </w:rPr>
        <w:t>1 以完整的建筑产品为对象，以系统集成为方法，体现生产加工和现场装配的标准化设计。</w:t>
      </w:r>
    </w:p>
    <w:p>
      <w:pPr>
        <w:widowControl/>
        <w:spacing w:line="360" w:lineRule="auto"/>
        <w:ind w:firstLine="420" w:firstLineChars="200"/>
        <w:jc w:val="left"/>
        <w:rPr>
          <w:rFonts w:ascii="宋体" w:hAnsi="宋体" w:cs="黑体"/>
          <w:bCs/>
          <w:color w:val="5B9BD5"/>
        </w:rPr>
      </w:pPr>
      <w:r>
        <w:rPr>
          <w:rFonts w:hint="eastAsia" w:ascii="宋体" w:hAnsi="宋体" w:cs="黑体"/>
          <w:bCs/>
          <w:color w:val="5B9BD5"/>
        </w:rPr>
        <w:t>2 以工厂精益化生产为主的部品部件。</w:t>
      </w:r>
    </w:p>
    <w:p>
      <w:pPr>
        <w:widowControl/>
        <w:spacing w:line="360" w:lineRule="auto"/>
        <w:ind w:firstLine="420" w:firstLineChars="200"/>
        <w:jc w:val="left"/>
        <w:rPr>
          <w:rFonts w:ascii="宋体" w:hAnsi="宋体" w:cs="黑体"/>
          <w:bCs/>
          <w:color w:val="5B9BD5"/>
        </w:rPr>
      </w:pPr>
      <w:r>
        <w:rPr>
          <w:rFonts w:hint="eastAsia" w:ascii="宋体" w:hAnsi="宋体" w:cs="黑体"/>
          <w:bCs/>
          <w:color w:val="5B9BD5"/>
        </w:rPr>
        <w:t>3以装配和干式功法为主的工地现场。</w:t>
      </w:r>
    </w:p>
    <w:p>
      <w:pPr>
        <w:widowControl/>
        <w:spacing w:line="360" w:lineRule="auto"/>
        <w:ind w:firstLine="420" w:firstLineChars="200"/>
        <w:jc w:val="left"/>
        <w:rPr>
          <w:rFonts w:ascii="宋体" w:hAnsi="宋体" w:cs="黑体"/>
          <w:bCs/>
          <w:color w:val="5B9BD5"/>
        </w:rPr>
      </w:pPr>
      <w:r>
        <w:rPr>
          <w:rFonts w:hint="eastAsia" w:ascii="宋体" w:hAnsi="宋体" w:cs="黑体"/>
          <w:bCs/>
          <w:color w:val="5B9BD5"/>
        </w:rPr>
        <w:t>4 以提升建筑工程质量安全水平、提高劳动生产效率、节约资源能源、减少施工污染和建筑的绿色可持续发展为目标。</w:t>
      </w:r>
    </w:p>
    <w:p>
      <w:pPr>
        <w:widowControl/>
        <w:spacing w:line="360" w:lineRule="auto"/>
        <w:ind w:firstLine="420" w:firstLineChars="200"/>
        <w:jc w:val="left"/>
        <w:rPr>
          <w:rFonts w:ascii="宋体" w:hAnsi="宋体" w:cs="黑体"/>
          <w:bCs/>
          <w:color w:val="5B9BD5"/>
        </w:rPr>
      </w:pPr>
      <w:r>
        <w:rPr>
          <w:rFonts w:hint="eastAsia" w:ascii="宋体" w:hAnsi="宋体" w:cs="黑体"/>
          <w:bCs/>
          <w:color w:val="5B9BD5"/>
        </w:rPr>
        <w:t>5 基于BIM技术的全链条信息化管理，实现设计、生产、施工、运维的一体化。</w:t>
      </w:r>
    </w:p>
    <w:p>
      <w:pPr>
        <w:widowControl/>
        <w:spacing w:line="360" w:lineRule="auto"/>
        <w:jc w:val="left"/>
        <w:rPr>
          <w:rFonts w:ascii="宋体" w:hAnsi="宋体" w:cs="黑体"/>
          <w:bCs/>
          <w:color w:val="auto"/>
          <w:sz w:val="24"/>
          <w:szCs w:val="24"/>
        </w:rPr>
      </w:pPr>
      <w:r>
        <w:rPr>
          <w:rFonts w:hint="eastAsia"/>
          <w:b/>
          <w:bCs/>
          <w:color w:val="auto"/>
          <w:sz w:val="24"/>
          <w:szCs w:val="24"/>
        </w:rPr>
        <w:t>2</w:t>
      </w:r>
      <w:r>
        <w:rPr>
          <w:b/>
          <w:bCs/>
          <w:color w:val="auto"/>
          <w:sz w:val="24"/>
          <w:szCs w:val="24"/>
        </w:rPr>
        <w:t xml:space="preserve">.0.2 </w:t>
      </w:r>
      <w:r>
        <w:rPr>
          <w:rFonts w:hint="eastAsia" w:ascii="宋体" w:hAnsi="宋体" w:cs="黑体"/>
          <w:bCs/>
          <w:color w:val="auto"/>
          <w:sz w:val="24"/>
          <w:szCs w:val="24"/>
        </w:rPr>
        <w:t>建筑系统集成</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以装配化建造方式为基础，统筹策划、设计、生产和施工等，实现建筑结构系统、外围护系统、设备与管线系统、内装系统一体化的过程。</w:t>
      </w:r>
    </w:p>
    <w:p>
      <w:pPr>
        <w:widowControl/>
        <w:spacing w:line="360" w:lineRule="auto"/>
        <w:ind w:firstLine="422" w:firstLineChars="200"/>
        <w:jc w:val="left"/>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钢结构住宅强调建筑有结构系统、围护系统、设备与管线系统以及内装系统这四个系统构成的建筑体系，以及各系统内部集成的生产建造过程。</w:t>
      </w:r>
    </w:p>
    <w:p>
      <w:pPr>
        <w:widowControl/>
        <w:spacing w:line="360" w:lineRule="auto"/>
        <w:ind w:firstLine="420" w:firstLineChars="200"/>
        <w:jc w:val="left"/>
        <w:rPr>
          <w:rFonts w:ascii="宋体" w:hAnsi="宋体" w:cs="黑体"/>
          <w:bCs/>
          <w:color w:val="5B9BD5"/>
        </w:rPr>
      </w:pPr>
      <w:r>
        <w:rPr>
          <w:rFonts w:hint="eastAsia" w:ascii="宋体" w:hAnsi="宋体" w:cs="黑体"/>
          <w:bCs/>
          <w:color w:val="5B9BD5"/>
        </w:rPr>
        <w:t>建筑的结构系统是由结构构件通过可靠地连接方式装配而成，用以承受或传递荷载作用的部（构）件的整体；围护系统是由建筑外墙、内墙、楼屋面、内外门窗及其他部品部件等组合而成，用于分割住宅建筑室内外环境的部品的整体；设备与管线系统时由给水排水、供暖通风空调、电气和智能化、燃气等设备与管线组合而成，满足住宅建筑使用功能的部品的整体；内装系统是由楼地面、墙面、轻质隔墙、吊顶、内门窗、厨房和卫生间等组合而成，满足住宅建筑空间使用要求的内装部品的整体。</w:t>
      </w:r>
    </w:p>
    <w:p>
      <w:pPr>
        <w:widowControl/>
        <w:spacing w:line="360" w:lineRule="auto"/>
        <w:jc w:val="left"/>
        <w:rPr>
          <w:rFonts w:ascii="宋体" w:hAnsi="宋体" w:cs="黑体"/>
          <w:bCs/>
          <w:color w:val="auto"/>
          <w:sz w:val="24"/>
          <w:szCs w:val="24"/>
        </w:rPr>
      </w:pPr>
      <w:r>
        <w:rPr>
          <w:rFonts w:hint="eastAsia"/>
          <w:b/>
          <w:bCs/>
          <w:color w:val="auto"/>
          <w:sz w:val="24"/>
          <w:szCs w:val="24"/>
        </w:rPr>
        <w:t>2</w:t>
      </w:r>
      <w:r>
        <w:rPr>
          <w:b/>
          <w:bCs/>
          <w:color w:val="auto"/>
          <w:sz w:val="24"/>
          <w:szCs w:val="24"/>
        </w:rPr>
        <w:t>.0.3</w:t>
      </w:r>
      <w:r>
        <w:rPr>
          <w:rFonts w:hint="eastAsia" w:ascii="宋体" w:hAnsi="宋体" w:cs="黑体"/>
          <w:bCs/>
          <w:color w:val="auto"/>
          <w:sz w:val="24"/>
          <w:szCs w:val="24"/>
        </w:rPr>
        <w:t>集成设计</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建筑结构系统、外围护系统、设备与管线系统、内装系统一体化的设计。</w:t>
      </w:r>
    </w:p>
    <w:p>
      <w:pPr>
        <w:widowControl/>
        <w:spacing w:line="360" w:lineRule="auto"/>
        <w:ind w:firstLine="422" w:firstLineChars="200"/>
        <w:jc w:val="left"/>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在建筑体系系统集成的基础上，钢结构住宅强调建筑的集成设计，突出在设计的过程中，应将结构系统、围护系统、设备与管线系统以及内装系统进行综合考虑，一体化设计。</w:t>
      </w:r>
    </w:p>
    <w:p>
      <w:pPr>
        <w:widowControl/>
        <w:spacing w:line="360" w:lineRule="auto"/>
        <w:jc w:val="left"/>
        <w:rPr>
          <w:rFonts w:ascii="宋体" w:hAnsi="宋体" w:cs="黑体"/>
          <w:bCs/>
          <w:color w:val="auto"/>
          <w:sz w:val="24"/>
          <w:szCs w:val="24"/>
        </w:rPr>
      </w:pPr>
      <w:r>
        <w:rPr>
          <w:rFonts w:hint="eastAsia"/>
          <w:b/>
          <w:bCs/>
          <w:color w:val="auto"/>
          <w:sz w:val="24"/>
          <w:szCs w:val="24"/>
        </w:rPr>
        <w:t>2</w:t>
      </w:r>
      <w:r>
        <w:rPr>
          <w:b/>
          <w:bCs/>
          <w:color w:val="auto"/>
          <w:sz w:val="24"/>
          <w:szCs w:val="24"/>
        </w:rPr>
        <w:t>.0.4</w:t>
      </w:r>
      <w:r>
        <w:rPr>
          <w:rFonts w:hint="eastAsia" w:ascii="宋体" w:hAnsi="宋体" w:cs="黑体"/>
          <w:bCs/>
          <w:color w:val="auto"/>
          <w:sz w:val="24"/>
          <w:szCs w:val="24"/>
        </w:rPr>
        <w:t>协同设计</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装配式建筑设计中通过建筑、结构、设备、装修等专业相互配合，运用信息化技术手段满足建筑设计、生产运输、施工安装等要求的一体化设计。</w:t>
      </w:r>
    </w:p>
    <w:p>
      <w:pPr>
        <w:widowControl/>
        <w:spacing w:line="360" w:lineRule="auto"/>
        <w:ind w:firstLine="422" w:firstLineChars="200"/>
        <w:jc w:val="left"/>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钢结构住宅的协同设计工作是工厂化生产和装配化施工建造的前提。协同设计工作包括以下三个方面的内容:</w:t>
      </w:r>
    </w:p>
    <w:p>
      <w:pPr>
        <w:widowControl/>
        <w:spacing w:line="360" w:lineRule="auto"/>
        <w:ind w:firstLine="420" w:firstLineChars="200"/>
        <w:jc w:val="left"/>
        <w:rPr>
          <w:rFonts w:ascii="宋体" w:hAnsi="宋体" w:cs="黑体"/>
          <w:bCs/>
          <w:color w:val="5B9BD5"/>
        </w:rPr>
      </w:pPr>
      <w:r>
        <w:rPr>
          <w:rFonts w:hint="eastAsia" w:ascii="宋体" w:hAnsi="宋体" w:cs="黑体"/>
          <w:bCs/>
          <w:color w:val="5B9BD5"/>
        </w:rPr>
        <w:t>①应统筹规划设计、生产运输、施工安装和使用维护，进行建筑、结构、建筑设备、室内装修等专业一体化的设计；②要运用建筑信息模型技术，建立信息协同平台，加强设计阶段的建设、设计、制作、施工各方之间的关系协同；③应加强建筑、结构、设备、装修等专业之间的配合。</w:t>
      </w:r>
    </w:p>
    <w:p>
      <w:pPr>
        <w:widowControl/>
        <w:spacing w:line="360" w:lineRule="auto"/>
        <w:jc w:val="left"/>
        <w:rPr>
          <w:rFonts w:ascii="宋体" w:hAnsi="宋体" w:cs="黑体"/>
          <w:bCs/>
          <w:color w:val="auto"/>
          <w:sz w:val="24"/>
          <w:szCs w:val="24"/>
        </w:rPr>
      </w:pPr>
      <w:r>
        <w:rPr>
          <w:rFonts w:hint="eastAsia"/>
          <w:b/>
          <w:bCs/>
          <w:color w:val="auto"/>
          <w:sz w:val="24"/>
          <w:szCs w:val="24"/>
        </w:rPr>
        <w:t>2</w:t>
      </w:r>
      <w:r>
        <w:rPr>
          <w:b/>
          <w:bCs/>
          <w:color w:val="auto"/>
          <w:sz w:val="24"/>
          <w:szCs w:val="24"/>
        </w:rPr>
        <w:t>.0.5</w:t>
      </w:r>
      <w:r>
        <w:rPr>
          <w:rFonts w:hint="eastAsia" w:ascii="宋体" w:hAnsi="宋体" w:cs="黑体"/>
          <w:bCs/>
          <w:color w:val="auto"/>
          <w:sz w:val="24"/>
          <w:szCs w:val="24"/>
        </w:rPr>
        <w:t>部（构）件</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在工厂或现场预先生产制作完成，构成建筑结构系统的结构构件及其他构件的统称。</w:t>
      </w:r>
    </w:p>
    <w:p>
      <w:pPr>
        <w:widowControl/>
        <w:spacing w:line="360" w:lineRule="auto"/>
        <w:jc w:val="left"/>
        <w:rPr>
          <w:rFonts w:ascii="宋体" w:hAnsi="宋体" w:cs="黑体"/>
          <w:bCs/>
          <w:color w:val="auto"/>
          <w:sz w:val="24"/>
          <w:szCs w:val="24"/>
        </w:rPr>
      </w:pPr>
      <w:r>
        <w:rPr>
          <w:rFonts w:hint="eastAsia"/>
          <w:b/>
          <w:bCs/>
          <w:color w:val="auto"/>
          <w:sz w:val="24"/>
          <w:szCs w:val="24"/>
        </w:rPr>
        <w:t>2</w:t>
      </w:r>
      <w:r>
        <w:rPr>
          <w:b/>
          <w:bCs/>
          <w:color w:val="auto"/>
          <w:sz w:val="24"/>
          <w:szCs w:val="24"/>
        </w:rPr>
        <w:t>.0.6</w:t>
      </w:r>
      <w:r>
        <w:rPr>
          <w:rFonts w:hint="eastAsia" w:ascii="宋体" w:hAnsi="宋体" w:cs="黑体"/>
          <w:bCs/>
          <w:color w:val="auto"/>
          <w:sz w:val="24"/>
          <w:szCs w:val="24"/>
        </w:rPr>
        <w:t>部品</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由工厂生产，构成外围护结构、设备与管线系统、内装系统的建筑单一产品或复合产品组装而成的功能单元的统称。</w:t>
      </w:r>
    </w:p>
    <w:p>
      <w:pPr>
        <w:widowControl/>
        <w:spacing w:line="360" w:lineRule="auto"/>
        <w:jc w:val="left"/>
        <w:rPr>
          <w:rFonts w:ascii="宋体" w:hAnsi="宋体" w:cs="黑体"/>
          <w:bCs/>
          <w:color w:val="auto"/>
          <w:sz w:val="24"/>
          <w:szCs w:val="24"/>
        </w:rPr>
      </w:pPr>
      <w:r>
        <w:rPr>
          <w:rFonts w:hint="eastAsia"/>
          <w:b/>
          <w:bCs/>
          <w:color w:val="auto"/>
          <w:sz w:val="24"/>
          <w:szCs w:val="24"/>
        </w:rPr>
        <w:t>2</w:t>
      </w:r>
      <w:r>
        <w:rPr>
          <w:b/>
          <w:bCs/>
          <w:color w:val="auto"/>
          <w:sz w:val="24"/>
          <w:szCs w:val="24"/>
        </w:rPr>
        <w:t>.0.7</w:t>
      </w:r>
      <w:r>
        <w:rPr>
          <w:rFonts w:hint="eastAsia" w:ascii="宋体" w:hAnsi="宋体" w:cs="黑体"/>
          <w:bCs/>
          <w:color w:val="auto"/>
          <w:sz w:val="24"/>
          <w:szCs w:val="24"/>
        </w:rPr>
        <w:t>结构系统</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由结构构件通过可靠的连接方式装配而成，以承受或传递荷载作用的整体。</w:t>
      </w:r>
    </w:p>
    <w:p>
      <w:pPr>
        <w:widowControl/>
        <w:spacing w:line="360" w:lineRule="auto"/>
        <w:jc w:val="left"/>
        <w:rPr>
          <w:rFonts w:ascii="宋体" w:hAnsi="宋体" w:cs="黑体"/>
          <w:bCs/>
          <w:color w:val="auto"/>
          <w:sz w:val="24"/>
          <w:szCs w:val="24"/>
        </w:rPr>
      </w:pPr>
      <w:r>
        <w:rPr>
          <w:rFonts w:hint="eastAsia"/>
          <w:b/>
          <w:bCs/>
          <w:color w:val="auto"/>
          <w:sz w:val="24"/>
          <w:szCs w:val="24"/>
        </w:rPr>
        <w:t>2</w:t>
      </w:r>
      <w:r>
        <w:rPr>
          <w:b/>
          <w:bCs/>
          <w:color w:val="auto"/>
          <w:sz w:val="24"/>
          <w:szCs w:val="24"/>
        </w:rPr>
        <w:t>.0.8</w:t>
      </w:r>
      <w:r>
        <w:rPr>
          <w:rFonts w:hint="eastAsia" w:ascii="宋体" w:hAnsi="宋体" w:cs="黑体"/>
          <w:bCs/>
          <w:color w:val="auto"/>
          <w:sz w:val="24"/>
          <w:szCs w:val="24"/>
        </w:rPr>
        <w:t>围护系统</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由建筑外墙、内墙、楼地面、屋面、门窗等部品组合而成，用于分隔建筑室内外环境的部品整体。</w:t>
      </w:r>
    </w:p>
    <w:p>
      <w:pPr>
        <w:widowControl/>
        <w:spacing w:line="360" w:lineRule="auto"/>
        <w:jc w:val="left"/>
        <w:rPr>
          <w:rFonts w:ascii="宋体" w:hAnsi="宋体" w:cs="黑体"/>
          <w:bCs/>
          <w:color w:val="auto"/>
          <w:sz w:val="24"/>
          <w:szCs w:val="24"/>
        </w:rPr>
      </w:pPr>
      <w:r>
        <w:rPr>
          <w:rFonts w:hint="eastAsia"/>
          <w:b/>
          <w:bCs/>
          <w:color w:val="auto"/>
          <w:sz w:val="24"/>
          <w:szCs w:val="24"/>
        </w:rPr>
        <w:t>2</w:t>
      </w:r>
      <w:r>
        <w:rPr>
          <w:b/>
          <w:bCs/>
          <w:color w:val="auto"/>
          <w:sz w:val="24"/>
          <w:szCs w:val="24"/>
        </w:rPr>
        <w:t>.0.9</w:t>
      </w:r>
      <w:r>
        <w:rPr>
          <w:rFonts w:hint="eastAsia" w:ascii="宋体" w:hAnsi="宋体" w:cs="黑体"/>
          <w:bCs/>
          <w:color w:val="auto"/>
          <w:sz w:val="24"/>
          <w:szCs w:val="24"/>
        </w:rPr>
        <w:t>内装系统</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由楼地面、墙面、轻质隔墙、吊顶、内门窗、厨房和卫生间等组合而成，满足建筑空间使用要求的整体。</w:t>
      </w:r>
    </w:p>
    <w:p>
      <w:pPr>
        <w:widowControl/>
        <w:spacing w:line="360" w:lineRule="auto"/>
        <w:jc w:val="left"/>
        <w:rPr>
          <w:rFonts w:ascii="宋体" w:hAnsi="宋体" w:cs="黑体"/>
          <w:bCs/>
          <w:color w:val="auto"/>
          <w:sz w:val="24"/>
          <w:szCs w:val="24"/>
        </w:rPr>
      </w:pPr>
      <w:r>
        <w:rPr>
          <w:rFonts w:hint="eastAsia"/>
          <w:b/>
          <w:bCs/>
          <w:color w:val="auto"/>
          <w:sz w:val="24"/>
          <w:szCs w:val="24"/>
        </w:rPr>
        <w:t>2</w:t>
      </w:r>
      <w:r>
        <w:rPr>
          <w:b/>
          <w:bCs/>
          <w:color w:val="auto"/>
          <w:sz w:val="24"/>
          <w:szCs w:val="24"/>
        </w:rPr>
        <w:t>.0.10</w:t>
      </w:r>
      <w:r>
        <w:rPr>
          <w:rFonts w:hint="eastAsia" w:ascii="宋体" w:hAnsi="宋体" w:cs="黑体"/>
          <w:bCs/>
          <w:color w:val="auto"/>
          <w:sz w:val="24"/>
          <w:szCs w:val="24"/>
        </w:rPr>
        <w:t>设备与管线系统</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由给水排水、供暖通风空调、电气和智能化、燃气等设备与管线组合而成，满足建筑使用功能的整体。</w:t>
      </w:r>
    </w:p>
    <w:p>
      <w:pPr>
        <w:widowControl/>
        <w:spacing w:line="360" w:lineRule="auto"/>
        <w:jc w:val="left"/>
        <w:rPr>
          <w:rFonts w:ascii="宋体" w:hAnsi="宋体" w:cs="黑体"/>
          <w:bCs/>
          <w:color w:val="auto"/>
          <w:sz w:val="24"/>
          <w:szCs w:val="24"/>
        </w:rPr>
      </w:pPr>
      <w:r>
        <w:rPr>
          <w:rFonts w:hint="eastAsia"/>
          <w:b/>
          <w:bCs/>
          <w:color w:val="auto"/>
          <w:sz w:val="24"/>
          <w:szCs w:val="24"/>
        </w:rPr>
        <w:t>2</w:t>
      </w:r>
      <w:r>
        <w:rPr>
          <w:b/>
          <w:bCs/>
          <w:color w:val="auto"/>
          <w:sz w:val="24"/>
          <w:szCs w:val="24"/>
        </w:rPr>
        <w:t>.0.11</w:t>
      </w:r>
      <w:r>
        <w:rPr>
          <w:rFonts w:hint="eastAsia" w:ascii="宋体" w:hAnsi="宋体" w:cs="黑体"/>
          <w:bCs/>
          <w:color w:val="auto"/>
          <w:sz w:val="24"/>
          <w:szCs w:val="24"/>
        </w:rPr>
        <w:t>全装修</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所有功能空间的固定面装修和设备设施全部安装完成，达到建筑使用功能和建筑性能的状态。</w:t>
      </w:r>
    </w:p>
    <w:p>
      <w:pPr>
        <w:widowControl/>
        <w:spacing w:line="360" w:lineRule="auto"/>
        <w:jc w:val="left"/>
        <w:rPr>
          <w:rFonts w:ascii="宋体" w:hAnsi="宋体" w:cs="黑体"/>
          <w:bCs/>
          <w:color w:val="auto"/>
          <w:sz w:val="24"/>
          <w:szCs w:val="24"/>
        </w:rPr>
      </w:pPr>
      <w:r>
        <w:rPr>
          <w:rFonts w:hint="eastAsia"/>
          <w:b/>
          <w:bCs/>
          <w:color w:val="auto"/>
          <w:sz w:val="24"/>
          <w:szCs w:val="24"/>
        </w:rPr>
        <w:t>2</w:t>
      </w:r>
      <w:r>
        <w:rPr>
          <w:b/>
          <w:bCs/>
          <w:color w:val="auto"/>
          <w:sz w:val="24"/>
          <w:szCs w:val="24"/>
        </w:rPr>
        <w:t>.0.12</w:t>
      </w:r>
      <w:r>
        <w:rPr>
          <w:rFonts w:hint="eastAsia" w:ascii="宋体" w:hAnsi="宋体" w:cs="黑体"/>
          <w:bCs/>
          <w:color w:val="auto"/>
          <w:sz w:val="24"/>
          <w:szCs w:val="24"/>
        </w:rPr>
        <w:t>装配式装修</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采用干式工法，将工程生产的内装部品在现场组合安装的装修方式。</w:t>
      </w:r>
    </w:p>
    <w:p>
      <w:pPr>
        <w:widowControl/>
        <w:spacing w:line="360" w:lineRule="auto"/>
        <w:jc w:val="left"/>
        <w:rPr>
          <w:rFonts w:ascii="宋体" w:hAnsi="宋体" w:cs="黑体"/>
          <w:bCs/>
          <w:color w:val="auto"/>
          <w:sz w:val="24"/>
          <w:szCs w:val="24"/>
        </w:rPr>
      </w:pPr>
      <w:r>
        <w:rPr>
          <w:rFonts w:hint="eastAsia"/>
          <w:b/>
          <w:bCs/>
          <w:color w:val="auto"/>
          <w:sz w:val="24"/>
          <w:szCs w:val="24"/>
        </w:rPr>
        <w:t>2</w:t>
      </w:r>
      <w:r>
        <w:rPr>
          <w:b/>
          <w:bCs/>
          <w:color w:val="auto"/>
          <w:sz w:val="24"/>
          <w:szCs w:val="24"/>
        </w:rPr>
        <w:t>.0.13</w:t>
      </w:r>
      <w:r>
        <w:rPr>
          <w:rFonts w:hint="eastAsia" w:ascii="宋体" w:hAnsi="宋体" w:cs="黑体"/>
          <w:bCs/>
          <w:color w:val="auto"/>
          <w:sz w:val="24"/>
          <w:szCs w:val="24"/>
        </w:rPr>
        <w:t>集成式厨房</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由工厂生产的楼地面、吊顶、墙面、橱柜和厨房设备及管线等集成并主要采用干式工法装配而成的厨房。</w:t>
      </w:r>
    </w:p>
    <w:p>
      <w:pPr>
        <w:widowControl/>
        <w:spacing w:line="360" w:lineRule="auto"/>
        <w:jc w:val="left"/>
        <w:rPr>
          <w:rFonts w:ascii="宋体" w:hAnsi="宋体" w:cs="黑体"/>
          <w:bCs/>
          <w:color w:val="auto"/>
          <w:sz w:val="24"/>
          <w:szCs w:val="24"/>
        </w:rPr>
      </w:pPr>
      <w:r>
        <w:rPr>
          <w:rFonts w:hint="eastAsia"/>
          <w:b/>
          <w:bCs/>
          <w:color w:val="auto"/>
          <w:sz w:val="24"/>
          <w:szCs w:val="24"/>
        </w:rPr>
        <w:t>2</w:t>
      </w:r>
      <w:r>
        <w:rPr>
          <w:b/>
          <w:bCs/>
          <w:color w:val="auto"/>
          <w:sz w:val="24"/>
          <w:szCs w:val="24"/>
        </w:rPr>
        <w:t>.0.14</w:t>
      </w:r>
      <w:r>
        <w:rPr>
          <w:rFonts w:hint="eastAsia" w:ascii="宋体" w:hAnsi="宋体" w:cs="黑体"/>
          <w:bCs/>
          <w:color w:val="auto"/>
          <w:sz w:val="24"/>
          <w:szCs w:val="24"/>
        </w:rPr>
        <w:t>集成式卫生间</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由工厂生产的楼地面、墙面（板）、吊顶和洁具设备及管线等集成并主要采用干式工法装配而成的卫生间。</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整体卫生间：由防水底盘、壁板、顶板及支撑龙骨构成主体框架，并与各种洁具及功能配件组合而成的具有一定规格尺寸的独立卫生间模块化产品，称为“整体卫生间”，也称“整体卫浴”。</w:t>
      </w:r>
    </w:p>
    <w:p>
      <w:pPr>
        <w:widowControl/>
        <w:spacing w:line="360" w:lineRule="auto"/>
        <w:jc w:val="left"/>
        <w:rPr>
          <w:rFonts w:ascii="宋体" w:hAnsi="宋体" w:cs="黑体"/>
          <w:bCs/>
          <w:color w:val="auto"/>
          <w:sz w:val="24"/>
          <w:szCs w:val="24"/>
        </w:rPr>
      </w:pPr>
      <w:r>
        <w:rPr>
          <w:rFonts w:hint="eastAsia"/>
          <w:b/>
          <w:bCs/>
          <w:color w:val="auto"/>
          <w:sz w:val="24"/>
          <w:szCs w:val="24"/>
        </w:rPr>
        <w:t>2</w:t>
      </w:r>
      <w:r>
        <w:rPr>
          <w:b/>
          <w:bCs/>
          <w:color w:val="auto"/>
          <w:sz w:val="24"/>
          <w:szCs w:val="24"/>
        </w:rPr>
        <w:t>.0.15</w:t>
      </w:r>
      <w:r>
        <w:rPr>
          <w:rFonts w:hint="eastAsia" w:ascii="宋体" w:hAnsi="宋体" w:cs="黑体"/>
          <w:bCs/>
          <w:color w:val="auto"/>
          <w:sz w:val="24"/>
          <w:szCs w:val="24"/>
        </w:rPr>
        <w:t>整体收纳</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由工厂生产、现场装配、满足储藏需求的模块化部品。</w:t>
      </w:r>
    </w:p>
    <w:p>
      <w:pPr>
        <w:widowControl/>
        <w:spacing w:line="360" w:lineRule="auto"/>
        <w:jc w:val="left"/>
        <w:rPr>
          <w:rFonts w:ascii="宋体" w:hAnsi="宋体" w:cs="黑体"/>
          <w:bCs/>
          <w:color w:val="auto"/>
          <w:sz w:val="24"/>
          <w:szCs w:val="24"/>
        </w:rPr>
      </w:pPr>
      <w:r>
        <w:rPr>
          <w:rFonts w:hint="eastAsia"/>
          <w:b/>
          <w:bCs/>
          <w:color w:val="auto"/>
          <w:sz w:val="24"/>
          <w:szCs w:val="24"/>
        </w:rPr>
        <w:t>2</w:t>
      </w:r>
      <w:r>
        <w:rPr>
          <w:b/>
          <w:bCs/>
          <w:color w:val="auto"/>
          <w:sz w:val="24"/>
          <w:szCs w:val="24"/>
        </w:rPr>
        <w:t>.0.16</w:t>
      </w:r>
      <w:r>
        <w:rPr>
          <w:rFonts w:hint="eastAsia" w:ascii="宋体" w:hAnsi="宋体" w:cs="黑体"/>
          <w:bCs/>
          <w:color w:val="auto"/>
          <w:sz w:val="24"/>
          <w:szCs w:val="24"/>
        </w:rPr>
        <w:t>装配式隔墙、吊顶和楼地面</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由工厂生产的，具有隔声、防火、防潮等性能，且满足空间功能和美学要求的部品集成，并主要采用干式工法装配而成的隔墙、吊顶和楼地面。</w:t>
      </w:r>
    </w:p>
    <w:p>
      <w:pPr>
        <w:widowControl/>
        <w:spacing w:line="360" w:lineRule="auto"/>
        <w:jc w:val="left"/>
        <w:rPr>
          <w:rFonts w:ascii="宋体" w:hAnsi="宋体" w:cs="黑体"/>
          <w:bCs/>
          <w:color w:val="auto"/>
          <w:sz w:val="24"/>
          <w:szCs w:val="24"/>
        </w:rPr>
      </w:pPr>
      <w:r>
        <w:rPr>
          <w:rFonts w:hint="eastAsia"/>
          <w:b/>
          <w:bCs/>
          <w:color w:val="auto"/>
          <w:sz w:val="24"/>
          <w:szCs w:val="24"/>
        </w:rPr>
        <w:t>2</w:t>
      </w:r>
      <w:r>
        <w:rPr>
          <w:b/>
          <w:bCs/>
          <w:color w:val="auto"/>
          <w:sz w:val="24"/>
          <w:szCs w:val="24"/>
        </w:rPr>
        <w:t>.0.17</w:t>
      </w:r>
      <w:r>
        <w:rPr>
          <w:rFonts w:hint="eastAsia" w:ascii="宋体" w:hAnsi="宋体" w:cs="黑体"/>
          <w:bCs/>
          <w:color w:val="auto"/>
          <w:sz w:val="24"/>
          <w:szCs w:val="24"/>
        </w:rPr>
        <w:t>管线分离</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将设备与管线设置在结构系统之外的方式。</w:t>
      </w:r>
    </w:p>
    <w:p>
      <w:pPr>
        <w:widowControl/>
        <w:spacing w:line="360" w:lineRule="auto"/>
        <w:jc w:val="left"/>
        <w:rPr>
          <w:rFonts w:ascii="宋体" w:hAnsi="宋体" w:cs="黑体"/>
          <w:bCs/>
          <w:color w:val="auto"/>
          <w:sz w:val="24"/>
          <w:szCs w:val="24"/>
        </w:rPr>
      </w:pPr>
      <w:r>
        <w:rPr>
          <w:rFonts w:hint="eastAsia"/>
          <w:b/>
          <w:bCs/>
          <w:color w:val="auto"/>
          <w:sz w:val="24"/>
          <w:szCs w:val="24"/>
        </w:rPr>
        <w:t>2</w:t>
      </w:r>
      <w:r>
        <w:rPr>
          <w:b/>
          <w:bCs/>
          <w:color w:val="auto"/>
          <w:sz w:val="24"/>
          <w:szCs w:val="24"/>
        </w:rPr>
        <w:t>.0.18</w:t>
      </w:r>
      <w:r>
        <w:rPr>
          <w:rFonts w:hint="eastAsia" w:ascii="宋体" w:hAnsi="宋体" w:cs="黑体"/>
          <w:bCs/>
          <w:color w:val="auto"/>
          <w:sz w:val="24"/>
          <w:szCs w:val="24"/>
        </w:rPr>
        <w:t>同层排水</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在建筑排水系统中，器具排水管及排水支管不穿越本层结构楼板到下层空间，且与卫生器具同层敷设并接入排水立管的排水方式。</w:t>
      </w:r>
    </w:p>
    <w:p>
      <w:pPr>
        <w:widowControl/>
        <w:spacing w:line="360" w:lineRule="auto"/>
        <w:jc w:val="left"/>
        <w:rPr>
          <w:rFonts w:ascii="宋体" w:hAnsi="宋体" w:cs="黑体"/>
          <w:bCs/>
          <w:color w:val="auto"/>
          <w:sz w:val="24"/>
          <w:szCs w:val="24"/>
        </w:rPr>
      </w:pPr>
      <w:r>
        <w:rPr>
          <w:rFonts w:hint="eastAsia"/>
          <w:b/>
          <w:bCs/>
          <w:color w:val="auto"/>
          <w:sz w:val="24"/>
          <w:szCs w:val="24"/>
        </w:rPr>
        <w:t>2</w:t>
      </w:r>
      <w:r>
        <w:rPr>
          <w:b/>
          <w:bCs/>
          <w:color w:val="auto"/>
          <w:sz w:val="24"/>
          <w:szCs w:val="24"/>
        </w:rPr>
        <w:t>.0.19</w:t>
      </w:r>
      <w:r>
        <w:rPr>
          <w:rFonts w:hint="eastAsia" w:ascii="宋体" w:hAnsi="宋体" w:cs="黑体"/>
          <w:bCs/>
          <w:color w:val="auto"/>
          <w:sz w:val="24"/>
          <w:szCs w:val="24"/>
        </w:rPr>
        <w:t>冷弯薄壁型钢结构</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以冷弯薄壁型钢为主要承重构件，不大于</w:t>
      </w:r>
      <w:r>
        <w:rPr>
          <w:rFonts w:ascii="宋体" w:hAnsi="宋体" w:cs="黑体"/>
          <w:bCs/>
          <w:color w:val="auto"/>
          <w:sz w:val="24"/>
          <w:szCs w:val="24"/>
        </w:rPr>
        <w:t>6</w:t>
      </w:r>
      <w:r>
        <w:rPr>
          <w:rFonts w:hint="eastAsia" w:ascii="宋体" w:hAnsi="宋体" w:cs="黑体"/>
          <w:bCs/>
          <w:color w:val="auto"/>
          <w:sz w:val="24"/>
          <w:szCs w:val="24"/>
        </w:rPr>
        <w:t>层，檐口高度不大于</w:t>
      </w:r>
      <w:r>
        <w:rPr>
          <w:rFonts w:ascii="宋体" w:hAnsi="宋体" w:cs="黑体"/>
          <w:bCs/>
          <w:color w:val="auto"/>
          <w:sz w:val="24"/>
          <w:szCs w:val="24"/>
        </w:rPr>
        <w:t>20</w:t>
      </w:r>
      <w:r>
        <w:rPr>
          <w:rFonts w:hint="eastAsia" w:ascii="宋体" w:hAnsi="宋体" w:cs="黑体"/>
          <w:bCs/>
          <w:color w:val="auto"/>
          <w:sz w:val="24"/>
          <w:szCs w:val="24"/>
        </w:rPr>
        <w:t>m的房屋结构。</w:t>
      </w:r>
    </w:p>
    <w:p>
      <w:pPr>
        <w:widowControl/>
        <w:spacing w:line="360" w:lineRule="auto"/>
        <w:jc w:val="left"/>
        <w:rPr>
          <w:rFonts w:ascii="宋体" w:hAnsi="宋体" w:cs="黑体"/>
          <w:bCs/>
          <w:color w:val="auto"/>
          <w:sz w:val="24"/>
          <w:szCs w:val="24"/>
        </w:rPr>
      </w:pPr>
      <w:r>
        <w:rPr>
          <w:rFonts w:hint="eastAsia"/>
          <w:b/>
          <w:bCs/>
          <w:color w:val="auto"/>
          <w:sz w:val="24"/>
          <w:szCs w:val="24"/>
        </w:rPr>
        <w:t>2</w:t>
      </w:r>
      <w:r>
        <w:rPr>
          <w:b/>
          <w:bCs/>
          <w:color w:val="auto"/>
          <w:sz w:val="24"/>
          <w:szCs w:val="24"/>
        </w:rPr>
        <w:t>.0.20</w:t>
      </w:r>
      <w:r>
        <w:rPr>
          <w:rFonts w:hint="eastAsia" w:ascii="宋体" w:hAnsi="宋体" w:cs="黑体"/>
          <w:bCs/>
          <w:color w:val="auto"/>
          <w:sz w:val="24"/>
          <w:szCs w:val="24"/>
        </w:rPr>
        <w:t>钢框架结构</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以钢梁和钢柱或钢管混凝土柱刚接连接，具有抗剪和抗弯能力的结构。</w:t>
      </w:r>
    </w:p>
    <w:p>
      <w:pPr>
        <w:widowControl/>
        <w:spacing w:line="360" w:lineRule="auto"/>
        <w:jc w:val="left"/>
        <w:rPr>
          <w:rFonts w:ascii="宋体" w:hAnsi="宋体" w:cs="黑体"/>
          <w:bCs/>
          <w:color w:val="auto"/>
          <w:sz w:val="24"/>
          <w:szCs w:val="24"/>
        </w:rPr>
      </w:pPr>
      <w:r>
        <w:rPr>
          <w:b/>
          <w:bCs/>
          <w:color w:val="auto"/>
          <w:sz w:val="24"/>
          <w:szCs w:val="24"/>
        </w:rPr>
        <w:t>2.0.21</w:t>
      </w:r>
      <w:r>
        <w:rPr>
          <w:rFonts w:hint="eastAsia" w:ascii="宋体" w:hAnsi="宋体" w:cs="黑体"/>
          <w:bCs/>
          <w:color w:val="auto"/>
          <w:sz w:val="24"/>
          <w:szCs w:val="24"/>
        </w:rPr>
        <w:t>钢框架—支撑结构</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由钢框架和钢支撑构件组成，能共同承受竖向、水平作用的结构，钢支撑分中心支撑、偏心支撑和屈曲约束支撑等。</w:t>
      </w:r>
    </w:p>
    <w:p>
      <w:pPr>
        <w:spacing w:line="360" w:lineRule="auto"/>
        <w:rPr>
          <w:rFonts w:ascii="宋体" w:hAnsi="宋体" w:cs="黑体"/>
          <w:bCs/>
          <w:color w:val="auto"/>
          <w:sz w:val="24"/>
          <w:szCs w:val="24"/>
        </w:rPr>
      </w:pPr>
      <w:r>
        <w:rPr>
          <w:rFonts w:hint="eastAsia"/>
          <w:b/>
          <w:bCs/>
          <w:color w:val="auto"/>
          <w:sz w:val="24"/>
          <w:szCs w:val="24"/>
        </w:rPr>
        <w:t>2</w:t>
      </w:r>
      <w:r>
        <w:rPr>
          <w:b/>
          <w:bCs/>
          <w:color w:val="auto"/>
          <w:sz w:val="24"/>
          <w:szCs w:val="24"/>
        </w:rPr>
        <w:t>.0.22</w:t>
      </w:r>
      <w:r>
        <w:rPr>
          <w:rFonts w:hint="eastAsia" w:ascii="宋体" w:hAnsi="宋体" w:cs="黑体"/>
          <w:bCs/>
          <w:color w:val="auto"/>
          <w:sz w:val="24"/>
          <w:szCs w:val="24"/>
        </w:rPr>
        <w:t>钢框架-钢板剪力墙结构</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由钢框架和钢板剪力墙组成，钢板剪力墙指非加劲钢板剪力墙、加劲钢板剪力墙、防屈曲钢板剪力墙、钢板组合剪力墙、开缝钢板剪力墙，可以共同承受竖向、水平作用的结构。</w:t>
      </w:r>
    </w:p>
    <w:p>
      <w:pPr>
        <w:widowControl/>
        <w:spacing w:line="360" w:lineRule="auto"/>
        <w:jc w:val="left"/>
        <w:rPr>
          <w:rFonts w:ascii="宋体" w:hAnsi="宋体" w:cs="黑体"/>
          <w:bCs/>
          <w:color w:val="auto"/>
          <w:sz w:val="24"/>
          <w:szCs w:val="24"/>
        </w:rPr>
      </w:pPr>
      <w:r>
        <w:rPr>
          <w:rFonts w:hint="eastAsia"/>
          <w:b/>
          <w:bCs/>
          <w:color w:val="auto"/>
          <w:sz w:val="24"/>
          <w:szCs w:val="24"/>
        </w:rPr>
        <w:t>2</w:t>
      </w:r>
      <w:r>
        <w:rPr>
          <w:b/>
          <w:bCs/>
          <w:color w:val="auto"/>
          <w:sz w:val="24"/>
          <w:szCs w:val="24"/>
        </w:rPr>
        <w:t>.0.23</w:t>
      </w:r>
      <w:r>
        <w:rPr>
          <w:rFonts w:hint="eastAsia" w:ascii="宋体" w:hAnsi="宋体" w:cs="黑体"/>
          <w:bCs/>
          <w:color w:val="auto"/>
          <w:sz w:val="24"/>
          <w:szCs w:val="24"/>
        </w:rPr>
        <w:t>异形柱钢结构</w:t>
      </w:r>
    </w:p>
    <w:p>
      <w:pPr>
        <w:widowControl/>
        <w:spacing w:line="360" w:lineRule="auto"/>
        <w:ind w:firstLine="480" w:firstLineChars="200"/>
        <w:jc w:val="left"/>
        <w:rPr>
          <w:rFonts w:ascii="宋体" w:hAnsi="宋体" w:cs="黑体"/>
          <w:bCs/>
          <w:color w:val="auto"/>
          <w:sz w:val="24"/>
          <w:szCs w:val="24"/>
        </w:rPr>
      </w:pPr>
      <w:r>
        <w:rPr>
          <w:rFonts w:hint="eastAsia" w:ascii="宋体" w:hAnsi="宋体"/>
          <w:bCs/>
          <w:color w:val="auto"/>
          <w:sz w:val="24"/>
          <w:szCs w:val="24"/>
        </w:rPr>
        <w:t>指由冷弯成型或热轧成型的方钢管相互焊接组合而成的肢厚比为1的异形构件</w:t>
      </w:r>
      <w:r>
        <w:rPr>
          <w:rFonts w:ascii="宋体" w:hAnsi="宋体"/>
          <w:bCs/>
          <w:color w:val="auto"/>
          <w:sz w:val="24"/>
          <w:szCs w:val="24"/>
        </w:rPr>
        <w:t>（</w:t>
      </w:r>
      <w:r>
        <w:rPr>
          <w:rFonts w:hint="eastAsia" w:ascii="宋体" w:hAnsi="宋体"/>
          <w:bCs/>
          <w:color w:val="auto"/>
          <w:sz w:val="24"/>
          <w:szCs w:val="24"/>
        </w:rPr>
        <w:t>一般有</w:t>
      </w:r>
      <w:r>
        <w:rPr>
          <w:rFonts w:ascii="宋体" w:hAnsi="宋体"/>
          <w:bCs/>
          <w:color w:val="auto"/>
          <w:sz w:val="24"/>
          <w:szCs w:val="24"/>
        </w:rPr>
        <w:t>T</w:t>
      </w:r>
      <w:r>
        <w:rPr>
          <w:rFonts w:hint="eastAsia" w:ascii="宋体" w:hAnsi="宋体"/>
          <w:bCs/>
          <w:color w:val="auto"/>
          <w:sz w:val="24"/>
          <w:szCs w:val="24"/>
        </w:rPr>
        <w:t>形</w:t>
      </w:r>
      <w:r>
        <w:rPr>
          <w:rFonts w:ascii="宋体" w:hAnsi="宋体"/>
          <w:bCs/>
          <w:color w:val="auto"/>
          <w:sz w:val="24"/>
          <w:szCs w:val="24"/>
        </w:rPr>
        <w:t>、L</w:t>
      </w:r>
      <w:r>
        <w:rPr>
          <w:rFonts w:hint="eastAsia" w:ascii="宋体" w:hAnsi="宋体"/>
          <w:bCs/>
          <w:color w:val="auto"/>
          <w:sz w:val="24"/>
          <w:szCs w:val="24"/>
        </w:rPr>
        <w:t>形</w:t>
      </w:r>
      <w:r>
        <w:rPr>
          <w:rFonts w:ascii="宋体" w:hAnsi="宋体"/>
          <w:bCs/>
          <w:color w:val="auto"/>
          <w:sz w:val="24"/>
          <w:szCs w:val="24"/>
        </w:rPr>
        <w:t>、十字</w:t>
      </w:r>
      <w:r>
        <w:rPr>
          <w:rFonts w:hint="eastAsia" w:ascii="宋体" w:hAnsi="宋体"/>
          <w:bCs/>
          <w:color w:val="auto"/>
          <w:sz w:val="24"/>
          <w:szCs w:val="24"/>
        </w:rPr>
        <w:t>形</w:t>
      </w:r>
      <w:r>
        <w:rPr>
          <w:rFonts w:ascii="宋体" w:hAnsi="宋体"/>
          <w:bCs/>
          <w:color w:val="auto"/>
          <w:sz w:val="24"/>
          <w:szCs w:val="24"/>
        </w:rPr>
        <w:t>和Z字</w:t>
      </w:r>
      <w:r>
        <w:rPr>
          <w:rFonts w:hint="eastAsia" w:ascii="宋体" w:hAnsi="宋体"/>
          <w:bCs/>
          <w:color w:val="auto"/>
          <w:sz w:val="24"/>
          <w:szCs w:val="24"/>
        </w:rPr>
        <w:t>形等形式</w:t>
      </w:r>
      <w:r>
        <w:rPr>
          <w:rFonts w:ascii="宋体" w:hAnsi="宋体"/>
          <w:bCs/>
          <w:color w:val="auto"/>
          <w:sz w:val="24"/>
          <w:szCs w:val="24"/>
        </w:rPr>
        <w:t>）</w:t>
      </w:r>
      <w:r>
        <w:rPr>
          <w:rFonts w:hint="eastAsia" w:ascii="宋体" w:hAnsi="宋体"/>
          <w:bCs/>
          <w:color w:val="auto"/>
          <w:sz w:val="24"/>
          <w:szCs w:val="24"/>
        </w:rPr>
        <w:t>，在</w:t>
      </w:r>
      <w:r>
        <w:rPr>
          <w:rFonts w:ascii="宋体" w:hAnsi="宋体"/>
          <w:bCs/>
          <w:color w:val="auto"/>
          <w:sz w:val="24"/>
          <w:szCs w:val="24"/>
        </w:rPr>
        <w:t>钢管内浇筑混凝土</w:t>
      </w:r>
      <w:r>
        <w:rPr>
          <w:rFonts w:hint="eastAsia" w:ascii="宋体" w:hAnsi="宋体"/>
          <w:bCs/>
          <w:color w:val="auto"/>
          <w:sz w:val="24"/>
          <w:szCs w:val="24"/>
        </w:rPr>
        <w:t>后形成的以受压为主的组合受力构件。</w:t>
      </w:r>
      <w:r>
        <w:rPr>
          <w:rFonts w:ascii="宋体" w:hAnsi="宋体" w:cs="黑体"/>
          <w:bCs/>
          <w:color w:val="auto"/>
          <w:sz w:val="24"/>
          <w:szCs w:val="24"/>
        </w:rPr>
        <w:t xml:space="preserve"> </w:t>
      </w:r>
    </w:p>
    <w:p>
      <w:pPr>
        <w:widowControl/>
        <w:spacing w:line="360" w:lineRule="auto"/>
        <w:jc w:val="left"/>
        <w:rPr>
          <w:rFonts w:ascii="宋体" w:hAnsi="宋体" w:cs="黑体"/>
          <w:bCs/>
          <w:color w:val="auto"/>
          <w:sz w:val="24"/>
          <w:szCs w:val="24"/>
        </w:rPr>
      </w:pPr>
      <w:r>
        <w:rPr>
          <w:rFonts w:hint="eastAsia"/>
          <w:b/>
          <w:bCs/>
          <w:color w:val="auto"/>
          <w:sz w:val="24"/>
          <w:szCs w:val="24"/>
        </w:rPr>
        <w:t>2</w:t>
      </w:r>
      <w:r>
        <w:rPr>
          <w:b/>
          <w:bCs/>
          <w:color w:val="auto"/>
          <w:sz w:val="24"/>
          <w:szCs w:val="24"/>
        </w:rPr>
        <w:t>.0.24</w:t>
      </w:r>
      <w:r>
        <w:rPr>
          <w:rFonts w:hint="eastAsia" w:ascii="宋体" w:hAnsi="宋体" w:cs="黑体"/>
          <w:bCs/>
          <w:color w:val="auto"/>
          <w:sz w:val="24"/>
          <w:szCs w:val="24"/>
        </w:rPr>
        <w:t>钢筋桁架组合楼板</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钢筋桁架上浇筑混凝土形成的组合楼板。</w:t>
      </w:r>
    </w:p>
    <w:p>
      <w:pPr>
        <w:widowControl/>
        <w:spacing w:line="360" w:lineRule="auto"/>
        <w:jc w:val="left"/>
        <w:rPr>
          <w:rFonts w:ascii="宋体" w:hAnsi="宋体" w:cs="黑体"/>
          <w:bCs/>
          <w:color w:val="FF0000"/>
          <w:sz w:val="24"/>
          <w:szCs w:val="24"/>
        </w:rPr>
      </w:pPr>
      <w:r>
        <w:rPr>
          <w:rFonts w:hint="eastAsia"/>
          <w:b/>
          <w:bCs/>
          <w:color w:val="auto"/>
          <w:sz w:val="24"/>
          <w:szCs w:val="24"/>
        </w:rPr>
        <w:t>2</w:t>
      </w:r>
      <w:r>
        <w:rPr>
          <w:b/>
          <w:bCs/>
          <w:color w:val="auto"/>
          <w:sz w:val="24"/>
          <w:szCs w:val="24"/>
        </w:rPr>
        <w:t xml:space="preserve">.0.25 </w:t>
      </w:r>
      <w:r>
        <w:rPr>
          <w:rFonts w:hint="eastAsia" w:ascii="宋体" w:hAnsi="宋体" w:cs="黑体"/>
          <w:bCs/>
          <w:color w:val="auto"/>
          <w:sz w:val="24"/>
          <w:szCs w:val="24"/>
        </w:rPr>
        <w:t>墙体系统</w:t>
      </w:r>
    </w:p>
    <w:p>
      <w:pPr>
        <w:widowControl/>
        <w:spacing w:line="360" w:lineRule="auto"/>
        <w:ind w:firstLine="480" w:firstLineChars="200"/>
        <w:jc w:val="left"/>
        <w:rPr>
          <w:rFonts w:ascii="宋体" w:hAnsi="宋体" w:cs="黑体"/>
          <w:bCs/>
          <w:color w:val="auto"/>
          <w:sz w:val="24"/>
          <w:szCs w:val="24"/>
        </w:rPr>
      </w:pPr>
      <w:r>
        <w:rPr>
          <w:rFonts w:hint="eastAsia" w:ascii="宋体" w:hAnsi="宋体" w:cs="黑体"/>
          <w:bCs/>
          <w:color w:val="auto"/>
          <w:sz w:val="24"/>
          <w:szCs w:val="24"/>
        </w:rPr>
        <w:t>安装在主体结构上，由墙板、墙板与主体结构连接节点、防水密封构造等组成的，具有规定的承载能力、适应主体结构位移能力、防水、保温、隔声和防火性能的整体系统。</w:t>
      </w:r>
    </w:p>
    <w:p>
      <w:pPr>
        <w:widowControl/>
        <w:spacing w:line="360" w:lineRule="auto"/>
        <w:jc w:val="left"/>
        <w:rPr>
          <w:rFonts w:ascii="宋体" w:hAnsi="宋体" w:cs="黑体"/>
          <w:bCs/>
          <w:color w:val="auto"/>
          <w:sz w:val="24"/>
          <w:szCs w:val="24"/>
        </w:rPr>
      </w:pPr>
      <w:r>
        <w:rPr>
          <w:rFonts w:hint="eastAsia"/>
          <w:b/>
          <w:bCs/>
          <w:color w:val="auto"/>
          <w:sz w:val="24"/>
          <w:szCs w:val="24"/>
        </w:rPr>
        <w:t>2.0.26</w:t>
      </w:r>
      <w:r>
        <w:rPr>
          <w:rFonts w:hint="eastAsia" w:ascii="宋体" w:hAnsi="宋体" w:cs="黑体"/>
          <w:bCs/>
          <w:color w:val="auto"/>
          <w:sz w:val="24"/>
          <w:szCs w:val="24"/>
        </w:rPr>
        <w:t>墙面系统</w:t>
      </w:r>
    </w:p>
    <w:p>
      <w:pPr>
        <w:widowControl/>
        <w:spacing w:line="360" w:lineRule="auto"/>
        <w:jc w:val="left"/>
        <w:rPr>
          <w:b/>
          <w:bCs/>
          <w:color w:val="auto"/>
          <w:sz w:val="24"/>
          <w:szCs w:val="24"/>
        </w:rPr>
      </w:pPr>
      <w:r>
        <w:rPr>
          <w:rFonts w:hint="eastAsia" w:ascii="宋体" w:hAnsi="宋体" w:cs="黑体"/>
          <w:bCs/>
          <w:color w:val="auto"/>
          <w:sz w:val="24"/>
          <w:szCs w:val="24"/>
        </w:rPr>
        <w:t xml:space="preserve">    在基层墙面上，采用干式工法，在工厂生产、现场组合安装而成的集成化装饰墙面。</w:t>
      </w:r>
    </w:p>
    <w:p>
      <w:pPr>
        <w:widowControl/>
        <w:jc w:val="left"/>
        <w:rPr>
          <w:rFonts w:ascii="宋体" w:hAnsi="宋体"/>
          <w:color w:val="auto"/>
        </w:rPr>
      </w:pPr>
    </w:p>
    <w:p>
      <w:pPr>
        <w:widowControl/>
        <w:jc w:val="left"/>
        <w:rPr>
          <w:rFonts w:ascii="宋体" w:hAnsi="宋体"/>
          <w:color w:val="auto"/>
        </w:rPr>
        <w:sectPr>
          <w:footerReference r:id="rId3" w:type="default"/>
          <w:pgSz w:w="11906" w:h="16838"/>
          <w:pgMar w:top="1440" w:right="1800" w:bottom="1440" w:left="1800" w:header="851" w:footer="992" w:gutter="0"/>
          <w:cols w:space="425" w:num="1"/>
          <w:docGrid w:type="lines" w:linePitch="312" w:charSpace="0"/>
        </w:sectPr>
      </w:pPr>
    </w:p>
    <w:p>
      <w:pPr>
        <w:pStyle w:val="2"/>
        <w:jc w:val="center"/>
        <w:rPr>
          <w:rFonts w:ascii="仿宋" w:hAnsi="仿宋" w:eastAsia="仿宋"/>
          <w:color w:val="auto"/>
          <w:sz w:val="32"/>
          <w:szCs w:val="32"/>
        </w:rPr>
      </w:pPr>
      <w:bookmarkStart w:id="4" w:name="_Toc103958736"/>
      <w:r>
        <w:rPr>
          <w:rFonts w:eastAsia="仿宋"/>
          <w:color w:val="auto"/>
          <w:sz w:val="32"/>
          <w:szCs w:val="32"/>
        </w:rPr>
        <w:t>3</w:t>
      </w:r>
      <w:r>
        <w:rPr>
          <w:rFonts w:hint="eastAsia" w:eastAsia="仿宋"/>
          <w:color w:val="auto"/>
          <w:sz w:val="32"/>
          <w:szCs w:val="32"/>
        </w:rPr>
        <w:t xml:space="preserve"> </w:t>
      </w:r>
      <w:r>
        <w:rPr>
          <w:rFonts w:eastAsia="仿宋"/>
          <w:color w:val="auto"/>
          <w:sz w:val="32"/>
          <w:szCs w:val="32"/>
        </w:rPr>
        <w:t xml:space="preserve"> </w:t>
      </w:r>
      <w:r>
        <w:rPr>
          <w:rFonts w:hint="eastAsia" w:ascii="宋体" w:hAnsi="宋体"/>
          <w:color w:val="auto"/>
          <w:sz w:val="32"/>
          <w:szCs w:val="32"/>
        </w:rPr>
        <w:t>住宅性能要求</w:t>
      </w:r>
      <w:bookmarkEnd w:id="4"/>
    </w:p>
    <w:p>
      <w:pPr>
        <w:pStyle w:val="3"/>
        <w:spacing w:line="360" w:lineRule="auto"/>
        <w:jc w:val="center"/>
        <w:rPr>
          <w:rFonts w:ascii="宋体" w:hAnsi="宋体" w:eastAsia="宋体"/>
          <w:color w:val="auto"/>
          <w:sz w:val="28"/>
          <w:szCs w:val="28"/>
        </w:rPr>
      </w:pPr>
      <w:bookmarkStart w:id="5" w:name="_Toc103958737"/>
      <w:bookmarkStart w:id="6" w:name="_Toc76376944"/>
      <w:r>
        <w:rPr>
          <w:rFonts w:ascii="Times New Roman" w:hAnsi="Times New Roman" w:eastAsia="宋体" w:cs="Times New Roman"/>
          <w:color w:val="auto"/>
          <w:sz w:val="28"/>
          <w:szCs w:val="28"/>
        </w:rPr>
        <w:t>3.1</w:t>
      </w:r>
      <w:r>
        <w:rPr>
          <w:rFonts w:ascii="宋体" w:hAnsi="宋体" w:eastAsia="宋体"/>
          <w:color w:val="auto"/>
          <w:sz w:val="28"/>
          <w:szCs w:val="28"/>
        </w:rPr>
        <w:t xml:space="preserve">  </w:t>
      </w:r>
      <w:r>
        <w:rPr>
          <w:rFonts w:hint="eastAsia" w:ascii="宋体" w:hAnsi="宋体" w:eastAsia="宋体"/>
          <w:color w:val="auto"/>
          <w:sz w:val="28"/>
          <w:szCs w:val="28"/>
        </w:rPr>
        <w:t>住宅适用性能要求</w:t>
      </w:r>
      <w:bookmarkEnd w:id="5"/>
    </w:p>
    <w:p>
      <w:pPr>
        <w:spacing w:line="360" w:lineRule="auto"/>
        <w:rPr>
          <w:rFonts w:ascii="宋体" w:hAnsi="宋体" w:cs="黑体"/>
          <w:bCs/>
          <w:color w:val="auto"/>
          <w:sz w:val="24"/>
          <w:szCs w:val="24"/>
        </w:rPr>
      </w:pPr>
      <w:r>
        <w:rPr>
          <w:b/>
          <w:bCs/>
          <w:color w:val="auto"/>
          <w:sz w:val="24"/>
          <w:szCs w:val="24"/>
        </w:rPr>
        <w:t xml:space="preserve">3.1.1 </w:t>
      </w:r>
      <w:r>
        <w:rPr>
          <w:rFonts w:hint="eastAsia" w:ascii="宋体" w:hAnsi="宋体" w:cs="黑体"/>
          <w:bCs/>
          <w:color w:val="auto"/>
          <w:sz w:val="24"/>
          <w:szCs w:val="24"/>
        </w:rPr>
        <w:t>钢结构住宅应与周围环境相协调，并应合理组织方便、舒适的生活空间。</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应使“人、建筑、环境”三要素紧密联系在一起，共同形成一个良好的居住环境。同时因地制宜地创造可持续发展的生态环境，为居住区创造既便于邻里交往又赏心悦目的生活环境，是满足人居住活动中生理、心理的双重需要。</w:t>
      </w:r>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.1.2</w:t>
      </w:r>
      <w:r>
        <w:rPr>
          <w:rFonts w:ascii="宋体" w:hAnsi="宋体" w:cs="黑体"/>
          <w:bCs/>
          <w:color w:val="auto"/>
          <w:sz w:val="24"/>
          <w:szCs w:val="24"/>
        </w:rPr>
        <w:t xml:space="preserve"> </w:t>
      </w:r>
      <w:r>
        <w:rPr>
          <w:rFonts w:hint="eastAsia" w:ascii="宋体" w:hAnsi="宋体" w:cs="黑体"/>
          <w:bCs/>
          <w:color w:val="auto"/>
          <w:sz w:val="24"/>
          <w:szCs w:val="24"/>
        </w:rPr>
        <w:t>钢结构住宅套内空间和设施应能满足安全、舒适、卫生等生活起居的基本要求。</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 xml:space="preserve">钢结构住宅设计有别于传统住宅设计，应基于工业化产品的理念，通过对套型的标准化、模块化、精细化的设计，为工厂化生产和装配化施工创造条件，共同组成一个满足安全、舒适、卫生等功能要求的住宅产品。 </w:t>
      </w:r>
    </w:p>
    <w:p>
      <w:pPr>
        <w:spacing w:line="360" w:lineRule="auto"/>
        <w:rPr>
          <w:b/>
        </w:rPr>
      </w:pPr>
      <w:r>
        <w:rPr>
          <w:rFonts w:hint="eastAsia"/>
          <w:b/>
          <w:bCs/>
          <w:color w:val="auto"/>
          <w:sz w:val="24"/>
          <w:szCs w:val="24"/>
        </w:rPr>
        <w:t>3</w:t>
      </w:r>
      <w:r>
        <w:rPr>
          <w:b/>
          <w:bCs/>
          <w:color w:val="auto"/>
          <w:sz w:val="24"/>
          <w:szCs w:val="24"/>
        </w:rPr>
        <w:t>.1.3</w:t>
      </w:r>
      <w:r>
        <w:rPr>
          <w:rFonts w:ascii="宋体" w:hAnsi="宋体" w:cs="黑体"/>
          <w:bCs/>
          <w:color w:val="auto"/>
          <w:sz w:val="24"/>
          <w:szCs w:val="24"/>
        </w:rPr>
        <w:t xml:space="preserve"> </w:t>
      </w:r>
      <w:r>
        <w:rPr>
          <w:rFonts w:hint="eastAsia" w:ascii="宋体" w:hAnsi="宋体" w:cs="黑体"/>
          <w:bCs/>
          <w:color w:val="auto"/>
          <w:sz w:val="24"/>
          <w:szCs w:val="24"/>
        </w:rPr>
        <w:t>钢结构住宅应根据居住活动的基本要求和活动规律，来合理设计功能分区和流线布局，注重动静分区、洁污分区，提高使用效率。</w:t>
      </w:r>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 xml:space="preserve">.1.4 </w:t>
      </w:r>
      <w:r>
        <w:rPr>
          <w:rFonts w:hint="eastAsia" w:ascii="宋体" w:hAnsi="宋体" w:cs="黑体"/>
          <w:bCs/>
          <w:color w:val="auto"/>
          <w:sz w:val="24"/>
          <w:szCs w:val="24"/>
        </w:rPr>
        <w:t>钢结构住宅应以人为本，除应满足一般居住使用要求外，还应需要满足老年人、残疾人等特殊群体的使用要求。</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是供人使用的，应满足居住的基本功能和性能要求，还应符合老龄化及其无障碍设计原则。面对当今住宅大量建设和我国人口老龄化问题，应建立“将满足老龄化要求作为所有住宅一项基本品质”的基本观念，把对老年人的关怀和关注纳入常规建筑设计的基本要求中，为老年人和残疾人提供良好的使用功能空间和条件。</w:t>
      </w:r>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.1.5</w:t>
      </w:r>
      <w:r>
        <w:rPr>
          <w:rFonts w:hint="eastAsia" w:ascii="宋体" w:hAnsi="宋体" w:cs="黑体"/>
          <w:bCs/>
          <w:color w:val="auto"/>
          <w:sz w:val="24"/>
          <w:szCs w:val="24"/>
        </w:rPr>
        <w:t xml:space="preserve"> 钢结构住宅应提高住宅适变性，在满足近期使用要求的同时，预留长寿命住宅改造条件，适应不断变化的居住要求。</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适变性包括住宅的适应性和可变性。适应性是指使用功能和空间的变化潜力；可变性是指结构和空间上的形态变化。通过利用建筑空间和结构潜力，使钢结构住宅具有很大的弹性以应对使用者需求的变化，以此获得更长的使用寿命。</w:t>
      </w:r>
    </w:p>
    <w:p>
      <w:pPr>
        <w:pStyle w:val="3"/>
        <w:spacing w:line="360" w:lineRule="auto"/>
        <w:jc w:val="center"/>
        <w:rPr>
          <w:rFonts w:ascii="宋体" w:hAnsi="宋体" w:eastAsia="宋体"/>
          <w:color w:val="auto"/>
          <w:sz w:val="28"/>
          <w:szCs w:val="28"/>
        </w:rPr>
      </w:pPr>
      <w:bookmarkStart w:id="7" w:name="_Toc103958738"/>
      <w:r>
        <w:rPr>
          <w:rFonts w:ascii="Times New Roman" w:hAnsi="Times New Roman" w:eastAsia="宋体" w:cs="Times New Roman"/>
          <w:color w:val="auto"/>
          <w:sz w:val="28"/>
          <w:szCs w:val="28"/>
        </w:rPr>
        <w:t>3.2</w:t>
      </w:r>
      <w:r>
        <w:rPr>
          <w:rFonts w:ascii="宋体" w:hAnsi="宋体" w:eastAsia="宋体"/>
          <w:color w:val="auto"/>
          <w:sz w:val="28"/>
          <w:szCs w:val="28"/>
        </w:rPr>
        <w:t xml:space="preserve">  </w:t>
      </w:r>
      <w:r>
        <w:rPr>
          <w:rFonts w:hint="eastAsia" w:ascii="宋体" w:hAnsi="宋体" w:eastAsia="宋体"/>
          <w:color w:val="auto"/>
          <w:sz w:val="28"/>
          <w:szCs w:val="28"/>
        </w:rPr>
        <w:t>住宅健康舒适性能要求</w:t>
      </w:r>
      <w:bookmarkEnd w:id="7"/>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.2.1</w:t>
      </w:r>
      <w:r>
        <w:rPr>
          <w:rFonts w:hint="eastAsia" w:ascii="宋体" w:hAnsi="宋体" w:cs="黑体"/>
          <w:bCs/>
          <w:color w:val="auto"/>
          <w:sz w:val="24"/>
          <w:szCs w:val="24"/>
        </w:rPr>
        <w:t>钢结构住宅应充分利用自然采光，其日照应符合国家现行标准《住宅建筑规范》G</w:t>
      </w:r>
      <w:r>
        <w:rPr>
          <w:rFonts w:ascii="宋体" w:hAnsi="宋体" w:cs="黑体"/>
          <w:bCs/>
          <w:color w:val="auto"/>
          <w:sz w:val="24"/>
          <w:szCs w:val="24"/>
        </w:rPr>
        <w:t>B 50368</w:t>
      </w:r>
      <w:r>
        <w:rPr>
          <w:rFonts w:hint="eastAsia" w:ascii="宋体" w:hAnsi="宋体" w:cs="黑体"/>
          <w:bCs/>
          <w:color w:val="auto"/>
          <w:sz w:val="24"/>
          <w:szCs w:val="24"/>
        </w:rPr>
        <w:t>的规定；室内采光应符合国家现行标准《建筑环境通用规范》G</w:t>
      </w:r>
      <w:r>
        <w:rPr>
          <w:rFonts w:ascii="宋体" w:hAnsi="宋体" w:cs="黑体"/>
          <w:bCs/>
          <w:color w:val="auto"/>
          <w:sz w:val="24"/>
          <w:szCs w:val="24"/>
        </w:rPr>
        <w:t>B55016</w:t>
      </w:r>
      <w:r>
        <w:rPr>
          <w:rFonts w:hint="eastAsia" w:ascii="宋体" w:hAnsi="宋体" w:cs="黑体"/>
          <w:bCs/>
          <w:color w:val="auto"/>
          <w:sz w:val="24"/>
          <w:szCs w:val="24"/>
        </w:rPr>
        <w:t>、《住宅设计规范》G</w:t>
      </w:r>
      <w:r>
        <w:rPr>
          <w:rFonts w:ascii="宋体" w:hAnsi="宋体" w:cs="黑体"/>
          <w:bCs/>
          <w:color w:val="auto"/>
          <w:sz w:val="24"/>
          <w:szCs w:val="24"/>
        </w:rPr>
        <w:t>B 50096</w:t>
      </w:r>
      <w:r>
        <w:rPr>
          <w:rFonts w:hint="eastAsia" w:ascii="宋体" w:hAnsi="宋体" w:cs="黑体"/>
          <w:bCs/>
          <w:color w:val="auto"/>
          <w:sz w:val="24"/>
          <w:szCs w:val="24"/>
        </w:rPr>
        <w:t>的规定。</w:t>
      </w:r>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.2.2</w:t>
      </w:r>
      <w:r>
        <w:rPr>
          <w:rFonts w:ascii="宋体" w:hAnsi="宋体" w:cs="黑体"/>
          <w:bCs/>
          <w:color w:val="auto"/>
          <w:sz w:val="24"/>
          <w:szCs w:val="24"/>
        </w:rPr>
        <w:t xml:space="preserve"> </w:t>
      </w:r>
      <w:r>
        <w:rPr>
          <w:rFonts w:hint="eastAsia" w:ascii="宋体" w:hAnsi="宋体" w:cs="黑体"/>
          <w:bCs/>
          <w:color w:val="auto"/>
          <w:sz w:val="24"/>
          <w:szCs w:val="24"/>
        </w:rPr>
        <w:t>钢结构住宅内房间通风开口面积应符合国家现行标准《建筑环境通用规范》G</w:t>
      </w:r>
      <w:r>
        <w:rPr>
          <w:rFonts w:ascii="宋体" w:hAnsi="宋体" w:cs="黑体"/>
          <w:bCs/>
          <w:color w:val="auto"/>
          <w:sz w:val="24"/>
          <w:szCs w:val="24"/>
        </w:rPr>
        <w:t>B55016</w:t>
      </w:r>
      <w:r>
        <w:rPr>
          <w:rFonts w:hint="eastAsia" w:ascii="宋体" w:hAnsi="宋体" w:cs="黑体"/>
          <w:bCs/>
          <w:color w:val="auto"/>
          <w:sz w:val="24"/>
          <w:szCs w:val="24"/>
        </w:rPr>
        <w:t>、《住宅建筑规范》G</w:t>
      </w:r>
      <w:r>
        <w:rPr>
          <w:rFonts w:ascii="宋体" w:hAnsi="宋体" w:cs="黑体"/>
          <w:bCs/>
          <w:color w:val="auto"/>
          <w:sz w:val="24"/>
          <w:szCs w:val="24"/>
        </w:rPr>
        <w:t>B 50368</w:t>
      </w:r>
      <w:r>
        <w:rPr>
          <w:rFonts w:hint="eastAsia" w:ascii="宋体" w:hAnsi="宋体" w:cs="黑体"/>
          <w:bCs/>
          <w:color w:val="auto"/>
          <w:sz w:val="24"/>
          <w:szCs w:val="24"/>
        </w:rPr>
        <w:t>和《住宅设计规范》G</w:t>
      </w:r>
      <w:r>
        <w:rPr>
          <w:rFonts w:ascii="宋体" w:hAnsi="宋体" w:cs="黑体"/>
          <w:bCs/>
          <w:color w:val="auto"/>
          <w:sz w:val="24"/>
          <w:szCs w:val="24"/>
        </w:rPr>
        <w:t>B 50096</w:t>
      </w:r>
      <w:r>
        <w:rPr>
          <w:rFonts w:hint="eastAsia" w:ascii="宋体" w:hAnsi="宋体" w:cs="黑体"/>
          <w:bCs/>
          <w:color w:val="auto"/>
          <w:sz w:val="24"/>
          <w:szCs w:val="24"/>
        </w:rPr>
        <w:t>的规定。</w:t>
      </w:r>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.2.</w:t>
      </w:r>
      <w:bookmarkStart w:id="8" w:name="_Hlk81230167"/>
      <w:r>
        <w:rPr>
          <w:b/>
          <w:bCs/>
          <w:color w:val="auto"/>
          <w:sz w:val="24"/>
          <w:szCs w:val="24"/>
        </w:rPr>
        <w:t xml:space="preserve">3 </w:t>
      </w:r>
      <w:r>
        <w:rPr>
          <w:rFonts w:hint="eastAsia" w:ascii="宋体" w:hAnsi="宋体" w:cs="黑体"/>
          <w:bCs/>
          <w:color w:val="auto"/>
          <w:sz w:val="24"/>
          <w:szCs w:val="24"/>
        </w:rPr>
        <w:t>钢结构住宅的照度水平应符合国家现行标准《建筑环境通用规范》G</w:t>
      </w:r>
      <w:r>
        <w:rPr>
          <w:rFonts w:ascii="宋体" w:hAnsi="宋体" w:cs="黑体"/>
          <w:bCs/>
          <w:color w:val="auto"/>
          <w:sz w:val="24"/>
          <w:szCs w:val="24"/>
        </w:rPr>
        <w:t>B55016</w:t>
      </w:r>
      <w:r>
        <w:rPr>
          <w:rFonts w:hint="eastAsia" w:ascii="宋体" w:hAnsi="宋体" w:cs="黑体"/>
          <w:bCs/>
          <w:color w:val="auto"/>
          <w:sz w:val="24"/>
          <w:szCs w:val="24"/>
        </w:rPr>
        <w:t>、《建筑照明设计标准》G</w:t>
      </w:r>
      <w:r>
        <w:rPr>
          <w:rFonts w:ascii="宋体" w:hAnsi="宋体" w:cs="黑体"/>
          <w:bCs/>
          <w:color w:val="auto"/>
          <w:sz w:val="24"/>
          <w:szCs w:val="24"/>
        </w:rPr>
        <w:t>B 50034</w:t>
      </w:r>
      <w:r>
        <w:rPr>
          <w:rFonts w:hint="eastAsia" w:ascii="宋体" w:hAnsi="宋体" w:cs="黑体"/>
          <w:bCs/>
          <w:color w:val="auto"/>
          <w:sz w:val="24"/>
          <w:szCs w:val="24"/>
        </w:rPr>
        <w:t>的规定。</w:t>
      </w:r>
      <w:bookmarkEnd w:id="8"/>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 xml:space="preserve">.2.4 </w:t>
      </w:r>
      <w:r>
        <w:rPr>
          <w:rFonts w:hint="eastAsia" w:ascii="宋体" w:hAnsi="宋体" w:cs="黑体"/>
          <w:bCs/>
          <w:color w:val="auto"/>
          <w:sz w:val="24"/>
          <w:szCs w:val="24"/>
        </w:rPr>
        <w:t>钢结构住宅声学设计应符合国家现行标准《建筑环境通用规范》G</w:t>
      </w:r>
      <w:r>
        <w:rPr>
          <w:rFonts w:ascii="宋体" w:hAnsi="宋体" w:cs="黑体"/>
          <w:bCs/>
          <w:color w:val="auto"/>
          <w:sz w:val="24"/>
          <w:szCs w:val="24"/>
        </w:rPr>
        <w:t>B55016</w:t>
      </w:r>
      <w:r>
        <w:rPr>
          <w:rFonts w:hint="eastAsia" w:ascii="宋体" w:hAnsi="宋体" w:cs="黑体"/>
          <w:bCs/>
          <w:color w:val="auto"/>
          <w:sz w:val="24"/>
          <w:szCs w:val="24"/>
        </w:rPr>
        <w:t>、《住宅建筑规范》G</w:t>
      </w:r>
      <w:r>
        <w:rPr>
          <w:rFonts w:ascii="宋体" w:hAnsi="宋体" w:cs="黑体"/>
          <w:bCs/>
          <w:color w:val="auto"/>
          <w:sz w:val="24"/>
          <w:szCs w:val="24"/>
        </w:rPr>
        <w:t>B 50368</w:t>
      </w:r>
      <w:r>
        <w:rPr>
          <w:rFonts w:hint="eastAsia" w:ascii="宋体" w:hAnsi="宋体" w:cs="黑体"/>
          <w:bCs/>
          <w:color w:val="auto"/>
          <w:sz w:val="24"/>
          <w:szCs w:val="24"/>
        </w:rPr>
        <w:t>和《民用建筑隔声设计规范》G</w:t>
      </w:r>
      <w:r>
        <w:rPr>
          <w:rFonts w:ascii="宋体" w:hAnsi="宋体" w:cs="黑体"/>
          <w:bCs/>
          <w:color w:val="auto"/>
          <w:sz w:val="24"/>
          <w:szCs w:val="24"/>
        </w:rPr>
        <w:t>B 50118</w:t>
      </w:r>
      <w:r>
        <w:rPr>
          <w:rFonts w:hint="eastAsia" w:ascii="宋体" w:hAnsi="宋体" w:cs="黑体"/>
          <w:bCs/>
          <w:color w:val="auto"/>
          <w:sz w:val="24"/>
          <w:szCs w:val="24"/>
        </w:rPr>
        <w:t>的规定。</w:t>
      </w:r>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.2.5</w:t>
      </w:r>
      <w:r>
        <w:rPr>
          <w:rFonts w:hint="eastAsia" w:ascii="宋体" w:hAnsi="宋体" w:cs="黑体"/>
          <w:bCs/>
          <w:color w:val="auto"/>
          <w:sz w:val="24"/>
          <w:szCs w:val="24"/>
        </w:rPr>
        <w:t>钢结构住宅室内环境污染控制应符合国家现行标准《建筑环境通用规范》G</w:t>
      </w:r>
      <w:r>
        <w:rPr>
          <w:rFonts w:ascii="宋体" w:hAnsi="宋体" w:cs="黑体"/>
          <w:bCs/>
          <w:color w:val="auto"/>
          <w:sz w:val="24"/>
          <w:szCs w:val="24"/>
        </w:rPr>
        <w:t>B55016</w:t>
      </w:r>
      <w:r>
        <w:rPr>
          <w:rFonts w:hint="eastAsia" w:ascii="宋体" w:hAnsi="宋体" w:cs="黑体"/>
          <w:bCs/>
          <w:color w:val="auto"/>
          <w:sz w:val="24"/>
          <w:szCs w:val="24"/>
        </w:rPr>
        <w:t>、《民用建筑工程室内环境污染控制标准》G</w:t>
      </w:r>
      <w:r>
        <w:rPr>
          <w:rFonts w:ascii="宋体" w:hAnsi="宋体" w:cs="黑体"/>
          <w:bCs/>
          <w:color w:val="auto"/>
          <w:sz w:val="24"/>
          <w:szCs w:val="24"/>
        </w:rPr>
        <w:t>B 50325</w:t>
      </w:r>
      <w:r>
        <w:rPr>
          <w:rFonts w:hint="eastAsia" w:ascii="宋体" w:hAnsi="宋体" w:cs="黑体"/>
          <w:bCs/>
          <w:color w:val="auto"/>
          <w:sz w:val="24"/>
          <w:szCs w:val="24"/>
        </w:rPr>
        <w:t>的规定。</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3</w:t>
      </w:r>
      <w:r>
        <w:rPr>
          <w:rFonts w:ascii="宋体" w:hAnsi="宋体" w:cs="黑体"/>
          <w:bCs/>
          <w:color w:val="5B9BD5"/>
        </w:rPr>
        <w:t>.2.1</w:t>
      </w:r>
      <w:r>
        <w:rPr>
          <w:rFonts w:hint="eastAsia" w:ascii="宋体" w:hAnsi="宋体" w:cs="黑体"/>
          <w:bCs/>
          <w:color w:val="5B9BD5"/>
        </w:rPr>
        <w:t>~</w:t>
      </w:r>
      <w:r>
        <w:rPr>
          <w:rFonts w:ascii="宋体" w:hAnsi="宋体" w:cs="黑体"/>
          <w:bCs/>
          <w:color w:val="5B9BD5"/>
        </w:rPr>
        <w:t>3.2.5</w:t>
      </w:r>
      <w:r>
        <w:rPr>
          <w:rFonts w:hint="eastAsia" w:ascii="宋体" w:hAnsi="宋体" w:cs="黑体"/>
          <w:bCs/>
          <w:color w:val="5B9BD5"/>
        </w:rPr>
        <w:t>条为居住建筑自然通风、采光、室内照度、隔声、室内环境污染的基本要求，居住者大部分时间是在住宅室内度过的，因此使住宅室内具有良好的通风、充足的日照、明亮的采光、安静私密的声环境和清新的空气环境是钢结构住宅设计的重要任务，具体要求详见下表3</w:t>
      </w:r>
      <w:r>
        <w:rPr>
          <w:rFonts w:ascii="宋体" w:hAnsi="宋体" w:cs="黑体"/>
          <w:bCs/>
          <w:color w:val="5B9BD5"/>
        </w:rPr>
        <w:t>.2.5-1</w:t>
      </w:r>
      <w:r>
        <w:rPr>
          <w:rFonts w:hint="eastAsia" w:ascii="宋体" w:hAnsi="宋体" w:cs="黑体"/>
          <w:bCs/>
          <w:color w:val="5B9BD5"/>
        </w:rPr>
        <w:t>。其中与卧室相邻的卫生间，排水立管不应贴临与卧室共用的墙体，且应采取隔声包覆处理措施。上层卫生间排水时，在卧室内测得的排水噪声等效声级不应大于3</w:t>
      </w:r>
      <w:r>
        <w:rPr>
          <w:rFonts w:ascii="宋体" w:hAnsi="宋体" w:cs="黑体"/>
          <w:bCs/>
          <w:color w:val="5B9BD5"/>
        </w:rPr>
        <w:t>3</w:t>
      </w:r>
      <w:r>
        <w:rPr>
          <w:rFonts w:hint="eastAsia" w:ascii="宋体" w:hAnsi="宋体" w:cs="黑体"/>
          <w:bCs/>
          <w:color w:val="5B9BD5"/>
        </w:rPr>
        <w:t>d</w:t>
      </w:r>
      <w:r>
        <w:rPr>
          <w:rFonts w:ascii="宋体" w:hAnsi="宋体" w:cs="黑体"/>
          <w:bCs/>
          <w:color w:val="5B9BD5"/>
        </w:rPr>
        <w:t>B</w:t>
      </w:r>
      <w:r>
        <w:rPr>
          <w:rFonts w:hint="eastAsia" w:ascii="宋体" w:hAnsi="宋体" w:cs="黑体"/>
          <w:bCs/>
          <w:color w:val="5B9BD5"/>
        </w:rPr>
        <w:t>。管线穿过楼板或墙体时，孔洞周边应采取密封隔声措施。墙中所有电器插座、配电箱或嵌入墙内对墙体构造造成损伤的配套构件，在背对背设置时应相互错开位置，并应对所开的洞（槽）有相应的隔声封堵措施。分户墙上所开洞口的封堵，应采用满足分户墙隔声设计要求的材料和构造。上下层相邻两户间的排烟、排气通道，宜采取防止相互串声的措施。</w:t>
      </w:r>
    </w:p>
    <w:p>
      <w:pPr>
        <w:spacing w:line="360" w:lineRule="auto"/>
        <w:jc w:val="center"/>
        <w:rPr>
          <w:rFonts w:ascii="宋体" w:hAnsi="宋体" w:cs="黑体"/>
          <w:bCs/>
          <w:color w:val="auto"/>
        </w:rPr>
      </w:pPr>
      <w:r>
        <w:rPr>
          <w:rFonts w:hint="eastAsia" w:ascii="宋体" w:hAnsi="宋体" w:cs="黑体"/>
          <w:bCs/>
          <w:color w:val="auto"/>
        </w:rPr>
        <w:t>表3</w:t>
      </w:r>
      <w:r>
        <w:rPr>
          <w:rFonts w:ascii="宋体" w:hAnsi="宋体" w:cs="黑体"/>
          <w:bCs/>
          <w:color w:val="auto"/>
        </w:rPr>
        <w:t>.2.5-1</w:t>
      </w:r>
      <w:r>
        <w:rPr>
          <w:rFonts w:hint="eastAsia" w:ascii="宋体" w:hAnsi="宋体" w:cs="黑体"/>
          <w:bCs/>
          <w:color w:val="auto"/>
        </w:rPr>
        <w:t>钢结构住宅室内环境要求</w:t>
      </w:r>
    </w:p>
    <w:tbl>
      <w:tblPr>
        <w:tblStyle w:val="17"/>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211"/>
        <w:gridCol w:w="1134"/>
        <w:gridCol w:w="425"/>
        <w:gridCol w:w="567"/>
        <w:gridCol w:w="992"/>
        <w:gridCol w:w="284"/>
        <w:gridCol w:w="283"/>
        <w:gridCol w:w="567"/>
        <w:gridCol w:w="99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359" w:type="dxa"/>
            <w:gridSpan w:val="11"/>
            <w:vAlign w:val="center"/>
          </w:tcPr>
          <w:p>
            <w:pPr>
              <w:jc w:val="center"/>
              <w:rPr>
                <w:rFonts w:ascii="宋体" w:hAnsi="宋体"/>
                <w:b/>
                <w:bCs/>
                <w:color w:val="000000"/>
                <w:sz w:val="24"/>
                <w:szCs w:val="24"/>
              </w:rPr>
            </w:pPr>
            <w:r>
              <w:rPr>
                <w:rFonts w:hint="eastAsia" w:ascii="宋体" w:hAnsi="宋体"/>
                <w:b/>
                <w:bCs/>
                <w:color w:val="000000"/>
                <w:sz w:val="24"/>
                <w:szCs w:val="24"/>
              </w:rPr>
              <w:t>日照、天然采光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665" w:type="dxa"/>
            <w:gridSpan w:val="8"/>
            <w:vAlign w:val="center"/>
          </w:tcPr>
          <w:p>
            <w:pPr>
              <w:jc w:val="center"/>
              <w:rPr>
                <w:rFonts w:ascii="宋体" w:hAnsi="宋体"/>
                <w:b/>
                <w:bCs/>
                <w:color w:val="000000"/>
                <w:sz w:val="18"/>
                <w:szCs w:val="18"/>
              </w:rPr>
            </w:pPr>
            <w:r>
              <w:rPr>
                <w:rFonts w:hint="eastAsia" w:ascii="宋体" w:hAnsi="宋体"/>
                <w:b/>
                <w:bCs/>
                <w:color w:val="000000"/>
                <w:sz w:val="18"/>
                <w:szCs w:val="18"/>
              </w:rPr>
              <w:t>规范要求</w:t>
            </w:r>
          </w:p>
        </w:tc>
        <w:tc>
          <w:tcPr>
            <w:tcW w:w="2694" w:type="dxa"/>
            <w:gridSpan w:val="3"/>
            <w:vAlign w:val="center"/>
          </w:tcPr>
          <w:p>
            <w:pPr>
              <w:jc w:val="center"/>
              <w:rPr>
                <w:rFonts w:ascii="宋体" w:hAnsi="宋体"/>
                <w:b/>
                <w:bCs/>
                <w:color w:val="000000"/>
                <w:sz w:val="18"/>
                <w:szCs w:val="18"/>
              </w:rPr>
            </w:pPr>
            <w:r>
              <w:rPr>
                <w:rFonts w:hint="eastAsia" w:ascii="宋体" w:hAnsi="宋体"/>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5665" w:type="dxa"/>
            <w:gridSpan w:val="8"/>
            <w:vAlign w:val="center"/>
          </w:tcPr>
          <w:p>
            <w:pPr>
              <w:jc w:val="left"/>
              <w:rPr>
                <w:rFonts w:ascii="宋体" w:hAnsi="宋体"/>
                <w:b/>
                <w:bCs/>
                <w:color w:val="000000"/>
                <w:sz w:val="18"/>
                <w:szCs w:val="18"/>
              </w:rPr>
            </w:pPr>
            <w:r>
              <w:rPr>
                <w:rFonts w:hint="eastAsia" w:ascii="宋体" w:hAnsi="宋体"/>
                <w:b/>
                <w:bCs/>
                <w:color w:val="000000"/>
                <w:sz w:val="18"/>
                <w:szCs w:val="18"/>
              </w:rPr>
              <w:t>每套住宅至少应有一个居住空间能获得冬季日照。</w:t>
            </w:r>
          </w:p>
        </w:tc>
        <w:tc>
          <w:tcPr>
            <w:tcW w:w="2694" w:type="dxa"/>
            <w:gridSpan w:val="3"/>
            <w:vAlign w:val="center"/>
          </w:tcPr>
          <w:p>
            <w:pPr>
              <w:jc w:val="center"/>
              <w:rPr>
                <w:rFonts w:ascii="宋体" w:hAnsi="宋体"/>
                <w:color w:val="000000"/>
                <w:sz w:val="18"/>
                <w:szCs w:val="18"/>
              </w:rPr>
            </w:pPr>
            <w:r>
              <w:rPr>
                <w:rFonts w:hint="eastAsia" w:ascii="宋体" w:hAnsi="宋体"/>
                <w:color w:val="000000"/>
                <w:sz w:val="18"/>
                <w:szCs w:val="18"/>
              </w:rPr>
              <w:t>《住宅建筑规范》第7</w:t>
            </w:r>
            <w:r>
              <w:rPr>
                <w:rFonts w:ascii="宋体" w:hAnsi="宋体"/>
                <w:color w:val="000000"/>
                <w:sz w:val="18"/>
                <w:szCs w:val="18"/>
              </w:rPr>
              <w:t>.2.1</w:t>
            </w:r>
            <w:r>
              <w:rPr>
                <w:rFonts w:hint="eastAsia" w:ascii="宋体" w:hAnsi="宋体"/>
                <w:color w:val="000000"/>
                <w:sz w:val="18"/>
                <w:szCs w:val="18"/>
              </w:rPr>
              <w:t>条</w:t>
            </w:r>
          </w:p>
          <w:p>
            <w:pPr>
              <w:jc w:val="center"/>
              <w:rPr>
                <w:rFonts w:ascii="宋体" w:hAnsi="宋体"/>
                <w:color w:val="000000"/>
                <w:sz w:val="18"/>
                <w:szCs w:val="18"/>
              </w:rPr>
            </w:pPr>
            <w:r>
              <w:rPr>
                <w:rFonts w:hint="eastAsia" w:ascii="宋体" w:hAnsi="宋体"/>
                <w:color w:val="000000"/>
                <w:sz w:val="18"/>
                <w:szCs w:val="18"/>
              </w:rPr>
              <w:t>《住宅设计规范》第7</w:t>
            </w:r>
            <w:r>
              <w:rPr>
                <w:rFonts w:ascii="宋体" w:hAnsi="宋体"/>
                <w:color w:val="000000"/>
                <w:sz w:val="18"/>
                <w:szCs w:val="18"/>
              </w:rPr>
              <w:t>.1.1</w:t>
            </w:r>
            <w:r>
              <w:rPr>
                <w:rFonts w:hint="eastAsia" w:ascii="宋体" w:hAnsi="宋体"/>
                <w:color w:val="000000"/>
                <w:sz w:val="18"/>
                <w:szCs w:val="18"/>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5665" w:type="dxa"/>
            <w:gridSpan w:val="8"/>
            <w:vAlign w:val="center"/>
          </w:tcPr>
          <w:p>
            <w:pPr>
              <w:jc w:val="left"/>
              <w:rPr>
                <w:rFonts w:ascii="宋体" w:hAnsi="宋体"/>
                <w:b/>
                <w:bCs/>
                <w:color w:val="000000"/>
                <w:sz w:val="18"/>
                <w:szCs w:val="18"/>
              </w:rPr>
            </w:pPr>
            <w:r>
              <w:rPr>
                <w:rFonts w:hint="eastAsia" w:ascii="宋体" w:hAnsi="宋体"/>
                <w:b/>
                <w:bCs/>
                <w:color w:val="000000"/>
                <w:sz w:val="18"/>
                <w:szCs w:val="18"/>
              </w:rPr>
              <w:t>卧室、起居室（厅）、厨房应有直接天然采光。</w:t>
            </w:r>
          </w:p>
        </w:tc>
        <w:tc>
          <w:tcPr>
            <w:tcW w:w="2694" w:type="dxa"/>
            <w:gridSpan w:val="3"/>
            <w:vAlign w:val="center"/>
          </w:tcPr>
          <w:p>
            <w:pPr>
              <w:jc w:val="center"/>
              <w:rPr>
                <w:rFonts w:ascii="宋体" w:hAnsi="宋体"/>
                <w:color w:val="000000"/>
                <w:sz w:val="18"/>
                <w:szCs w:val="18"/>
              </w:rPr>
            </w:pPr>
            <w:r>
              <w:rPr>
                <w:rFonts w:hint="eastAsia" w:ascii="宋体" w:hAnsi="宋体"/>
                <w:color w:val="000000"/>
                <w:sz w:val="18"/>
                <w:szCs w:val="18"/>
              </w:rPr>
              <w:t>《住宅设计规范》第7</w:t>
            </w:r>
            <w:r>
              <w:rPr>
                <w:rFonts w:ascii="宋体" w:hAnsi="宋体"/>
                <w:color w:val="000000"/>
                <w:sz w:val="18"/>
                <w:szCs w:val="18"/>
              </w:rPr>
              <w:t>.1.3</w:t>
            </w:r>
            <w:r>
              <w:rPr>
                <w:rFonts w:hint="eastAsia" w:ascii="宋体" w:hAnsi="宋体"/>
                <w:color w:val="000000"/>
                <w:sz w:val="18"/>
                <w:szCs w:val="18"/>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5665" w:type="dxa"/>
            <w:gridSpan w:val="8"/>
            <w:vAlign w:val="center"/>
          </w:tcPr>
          <w:p>
            <w:pPr>
              <w:jc w:val="left"/>
              <w:rPr>
                <w:rFonts w:ascii="宋体" w:hAnsi="宋体"/>
                <w:color w:val="000000"/>
                <w:sz w:val="18"/>
                <w:szCs w:val="18"/>
              </w:rPr>
            </w:pPr>
            <w:r>
              <w:rPr>
                <w:rFonts w:hint="eastAsia" w:ascii="宋体" w:hAnsi="宋体"/>
                <w:color w:val="000000"/>
                <w:sz w:val="18"/>
                <w:szCs w:val="18"/>
              </w:rPr>
              <w:t>卧室、起居室（厅）、厨房的采光系数不应低于1</w:t>
            </w:r>
            <w:r>
              <w:rPr>
                <w:rFonts w:ascii="宋体" w:hAnsi="宋体"/>
                <w:color w:val="000000"/>
                <w:sz w:val="18"/>
                <w:szCs w:val="18"/>
              </w:rPr>
              <w:t>%</w:t>
            </w:r>
            <w:r>
              <w:rPr>
                <w:rFonts w:hint="eastAsia" w:ascii="宋体" w:hAnsi="宋体"/>
                <w:color w:val="000000"/>
                <w:sz w:val="18"/>
                <w:szCs w:val="18"/>
              </w:rPr>
              <w:t>；当楼梯间设置采光窗时，采光系数不应低于0</w:t>
            </w:r>
            <w:r>
              <w:rPr>
                <w:rFonts w:ascii="宋体" w:hAnsi="宋体"/>
                <w:color w:val="000000"/>
                <w:sz w:val="18"/>
                <w:szCs w:val="18"/>
              </w:rPr>
              <w:t>.5%</w:t>
            </w:r>
            <w:r>
              <w:rPr>
                <w:rFonts w:hint="eastAsia" w:ascii="宋体" w:hAnsi="宋体"/>
                <w:color w:val="000000"/>
                <w:sz w:val="18"/>
                <w:szCs w:val="18"/>
              </w:rPr>
              <w:t>。</w:t>
            </w:r>
          </w:p>
        </w:tc>
        <w:tc>
          <w:tcPr>
            <w:tcW w:w="2694" w:type="dxa"/>
            <w:gridSpan w:val="3"/>
            <w:vAlign w:val="center"/>
          </w:tcPr>
          <w:p>
            <w:pPr>
              <w:jc w:val="center"/>
              <w:rPr>
                <w:rFonts w:ascii="宋体" w:hAnsi="宋体"/>
                <w:color w:val="000000"/>
                <w:sz w:val="18"/>
                <w:szCs w:val="18"/>
              </w:rPr>
            </w:pPr>
            <w:r>
              <w:rPr>
                <w:rFonts w:hint="eastAsia" w:ascii="宋体" w:hAnsi="宋体"/>
                <w:color w:val="000000"/>
                <w:sz w:val="18"/>
                <w:szCs w:val="18"/>
              </w:rPr>
              <w:t>《住宅设计规范》第7</w:t>
            </w:r>
            <w:r>
              <w:rPr>
                <w:rFonts w:ascii="宋体" w:hAnsi="宋体"/>
                <w:color w:val="000000"/>
                <w:sz w:val="18"/>
                <w:szCs w:val="18"/>
              </w:rPr>
              <w:t>.1.4</w:t>
            </w:r>
            <w:r>
              <w:rPr>
                <w:rFonts w:hint="eastAsia" w:ascii="宋体" w:hAnsi="宋体"/>
                <w:color w:val="000000"/>
                <w:sz w:val="18"/>
                <w:szCs w:val="18"/>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 w:hRule="atLeast"/>
          <w:jc w:val="center"/>
        </w:trPr>
        <w:tc>
          <w:tcPr>
            <w:tcW w:w="5665" w:type="dxa"/>
            <w:gridSpan w:val="8"/>
            <w:vAlign w:val="center"/>
          </w:tcPr>
          <w:p>
            <w:pPr>
              <w:jc w:val="left"/>
              <w:rPr>
                <w:rFonts w:ascii="宋体" w:hAnsi="宋体"/>
                <w:b/>
                <w:bCs/>
                <w:color w:val="000000"/>
                <w:sz w:val="18"/>
                <w:szCs w:val="18"/>
              </w:rPr>
            </w:pPr>
            <w:r>
              <w:rPr>
                <w:rFonts w:hint="eastAsia" w:ascii="宋体" w:hAnsi="宋体"/>
                <w:b/>
                <w:bCs/>
                <w:color w:val="000000"/>
                <w:sz w:val="18"/>
                <w:szCs w:val="18"/>
              </w:rPr>
              <w:t>卧室、起居室（厅）、书房的采光窗洞口的窗地面积比不应低于1</w:t>
            </w:r>
            <w:r>
              <w:rPr>
                <w:rFonts w:ascii="宋体" w:hAnsi="宋体"/>
                <w:b/>
                <w:bCs/>
                <w:color w:val="000000"/>
                <w:sz w:val="18"/>
                <w:szCs w:val="18"/>
              </w:rPr>
              <w:t>/7</w:t>
            </w:r>
            <w:r>
              <w:rPr>
                <w:rFonts w:hint="eastAsia" w:ascii="宋体" w:hAnsi="宋体"/>
                <w:b/>
                <w:bCs/>
                <w:color w:val="000000"/>
                <w:sz w:val="18"/>
                <w:szCs w:val="18"/>
              </w:rPr>
              <w:t>。</w:t>
            </w:r>
          </w:p>
        </w:tc>
        <w:tc>
          <w:tcPr>
            <w:tcW w:w="2694" w:type="dxa"/>
            <w:gridSpan w:val="3"/>
            <w:vAlign w:val="center"/>
          </w:tcPr>
          <w:p>
            <w:pPr>
              <w:jc w:val="center"/>
              <w:rPr>
                <w:rFonts w:ascii="宋体" w:hAnsi="宋体"/>
                <w:color w:val="000000"/>
                <w:sz w:val="18"/>
                <w:szCs w:val="18"/>
              </w:rPr>
            </w:pPr>
            <w:r>
              <w:rPr>
                <w:rFonts w:hint="eastAsia" w:ascii="宋体" w:hAnsi="宋体"/>
                <w:color w:val="000000"/>
                <w:sz w:val="18"/>
                <w:szCs w:val="18"/>
              </w:rPr>
              <w:t>《建筑节能与可再生能源利用通用规范》第3</w:t>
            </w:r>
            <w:r>
              <w:rPr>
                <w:rFonts w:ascii="宋体" w:hAnsi="宋体"/>
                <w:color w:val="000000"/>
                <w:sz w:val="18"/>
                <w:szCs w:val="18"/>
              </w:rPr>
              <w:t>.1.18</w:t>
            </w:r>
            <w:r>
              <w:rPr>
                <w:rFonts w:hint="eastAsia" w:ascii="宋体" w:hAnsi="宋体"/>
                <w:color w:val="000000"/>
                <w:sz w:val="18"/>
                <w:szCs w:val="18"/>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 w:hRule="atLeast"/>
          <w:jc w:val="center"/>
        </w:trPr>
        <w:tc>
          <w:tcPr>
            <w:tcW w:w="5665" w:type="dxa"/>
            <w:gridSpan w:val="8"/>
            <w:vAlign w:val="center"/>
          </w:tcPr>
          <w:p>
            <w:pPr>
              <w:jc w:val="left"/>
              <w:rPr>
                <w:rFonts w:ascii="宋体" w:hAnsi="宋体"/>
                <w:color w:val="000000"/>
                <w:sz w:val="18"/>
                <w:szCs w:val="18"/>
              </w:rPr>
            </w:pPr>
            <w:r>
              <w:rPr>
                <w:rFonts w:hint="eastAsia" w:ascii="宋体" w:hAnsi="宋体"/>
                <w:color w:val="000000"/>
                <w:sz w:val="18"/>
                <w:szCs w:val="18"/>
              </w:rPr>
              <w:t>当楼梯间设置采光窗时，采光窗洞口的窗地面积比不应低于1</w:t>
            </w:r>
            <w:r>
              <w:rPr>
                <w:rFonts w:ascii="宋体" w:hAnsi="宋体"/>
                <w:color w:val="000000"/>
                <w:sz w:val="18"/>
                <w:szCs w:val="18"/>
              </w:rPr>
              <w:t>/12</w:t>
            </w:r>
            <w:r>
              <w:rPr>
                <w:rFonts w:hint="eastAsia" w:ascii="宋体" w:hAnsi="宋体"/>
                <w:color w:val="000000"/>
                <w:sz w:val="18"/>
                <w:szCs w:val="18"/>
              </w:rPr>
              <w:t>。</w:t>
            </w:r>
          </w:p>
        </w:tc>
        <w:tc>
          <w:tcPr>
            <w:tcW w:w="2694" w:type="dxa"/>
            <w:gridSpan w:val="3"/>
            <w:vAlign w:val="center"/>
          </w:tcPr>
          <w:p>
            <w:pPr>
              <w:jc w:val="center"/>
              <w:rPr>
                <w:rFonts w:ascii="宋体" w:hAnsi="宋体"/>
                <w:color w:val="000000"/>
                <w:sz w:val="18"/>
                <w:szCs w:val="18"/>
              </w:rPr>
            </w:pPr>
            <w:r>
              <w:rPr>
                <w:rFonts w:hint="eastAsia" w:ascii="宋体" w:hAnsi="宋体"/>
                <w:color w:val="000000"/>
                <w:sz w:val="18"/>
                <w:szCs w:val="18"/>
              </w:rPr>
              <w:t>《住宅设计规范》第7</w:t>
            </w:r>
            <w:r>
              <w:rPr>
                <w:rFonts w:ascii="宋体" w:hAnsi="宋体"/>
                <w:color w:val="000000"/>
                <w:sz w:val="18"/>
                <w:szCs w:val="18"/>
              </w:rPr>
              <w:t>.1.6</w:t>
            </w:r>
            <w:r>
              <w:rPr>
                <w:rFonts w:hint="eastAsia" w:ascii="宋体" w:hAnsi="宋体"/>
                <w:color w:val="000000"/>
                <w:sz w:val="18"/>
                <w:szCs w:val="18"/>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665" w:type="dxa"/>
            <w:gridSpan w:val="8"/>
            <w:vAlign w:val="center"/>
          </w:tcPr>
          <w:p>
            <w:pPr>
              <w:jc w:val="left"/>
              <w:rPr>
                <w:rFonts w:ascii="宋体" w:hAnsi="宋体"/>
                <w:color w:val="000000"/>
                <w:sz w:val="18"/>
                <w:szCs w:val="18"/>
              </w:rPr>
            </w:pPr>
            <w:r>
              <w:rPr>
                <w:rFonts w:hint="eastAsia" w:ascii="宋体" w:hAnsi="宋体"/>
                <w:color w:val="000000"/>
                <w:sz w:val="18"/>
                <w:szCs w:val="18"/>
              </w:rPr>
              <w:t>采光窗下沿离楼面或地面高度低于0</w:t>
            </w:r>
            <w:r>
              <w:rPr>
                <w:rFonts w:ascii="宋体" w:hAnsi="宋体"/>
                <w:color w:val="000000"/>
                <w:sz w:val="18"/>
                <w:szCs w:val="18"/>
              </w:rPr>
              <w:t>.50</w:t>
            </w:r>
            <w:r>
              <w:rPr>
                <w:rFonts w:hint="eastAsia" w:ascii="宋体" w:hAnsi="宋体"/>
                <w:color w:val="000000"/>
                <w:sz w:val="18"/>
                <w:szCs w:val="18"/>
              </w:rPr>
              <w:t>m的窗洞口面积不应计入采光面积内，窗洞口上沿距地面高度不宜低于</w:t>
            </w:r>
            <w:r>
              <w:rPr>
                <w:rFonts w:ascii="宋体" w:hAnsi="宋体"/>
                <w:color w:val="000000"/>
                <w:sz w:val="18"/>
                <w:szCs w:val="18"/>
              </w:rPr>
              <w:t>2.00</w:t>
            </w:r>
            <w:r>
              <w:rPr>
                <w:rFonts w:hint="eastAsia" w:ascii="宋体" w:hAnsi="宋体"/>
                <w:color w:val="000000"/>
                <w:sz w:val="18"/>
                <w:szCs w:val="18"/>
              </w:rPr>
              <w:t>m。</w:t>
            </w:r>
          </w:p>
        </w:tc>
        <w:tc>
          <w:tcPr>
            <w:tcW w:w="2694" w:type="dxa"/>
            <w:gridSpan w:val="3"/>
            <w:vAlign w:val="center"/>
          </w:tcPr>
          <w:p>
            <w:pPr>
              <w:jc w:val="center"/>
              <w:rPr>
                <w:rFonts w:ascii="宋体" w:hAnsi="宋体"/>
                <w:color w:val="000000"/>
                <w:sz w:val="18"/>
                <w:szCs w:val="18"/>
              </w:rPr>
            </w:pPr>
            <w:r>
              <w:rPr>
                <w:rFonts w:hint="eastAsia" w:ascii="宋体" w:hAnsi="宋体"/>
                <w:color w:val="000000"/>
                <w:sz w:val="18"/>
                <w:szCs w:val="18"/>
              </w:rPr>
              <w:t>《住宅设计规范》第7</w:t>
            </w:r>
            <w:r>
              <w:rPr>
                <w:rFonts w:ascii="宋体" w:hAnsi="宋体"/>
                <w:color w:val="000000"/>
                <w:sz w:val="18"/>
                <w:szCs w:val="18"/>
              </w:rPr>
              <w:t>.1.7</w:t>
            </w:r>
            <w:r>
              <w:rPr>
                <w:rFonts w:hint="eastAsia" w:ascii="宋体" w:hAnsi="宋体"/>
                <w:color w:val="000000"/>
                <w:sz w:val="18"/>
                <w:szCs w:val="18"/>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359" w:type="dxa"/>
            <w:gridSpan w:val="11"/>
            <w:vAlign w:val="center"/>
          </w:tcPr>
          <w:p>
            <w:pPr>
              <w:jc w:val="center"/>
              <w:rPr>
                <w:rFonts w:ascii="宋体" w:hAnsi="宋体"/>
                <w:b/>
                <w:bCs/>
                <w:color w:val="000000"/>
                <w:sz w:val="24"/>
                <w:szCs w:val="24"/>
              </w:rPr>
            </w:pPr>
            <w:r>
              <w:rPr>
                <w:rFonts w:hint="eastAsia" w:ascii="宋体" w:hAnsi="宋体"/>
                <w:b/>
                <w:bCs/>
                <w:color w:val="000000"/>
                <w:sz w:val="24"/>
                <w:szCs w:val="24"/>
              </w:rPr>
              <w:t>自然通风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665" w:type="dxa"/>
            <w:gridSpan w:val="8"/>
            <w:vAlign w:val="center"/>
          </w:tcPr>
          <w:p>
            <w:pPr>
              <w:jc w:val="center"/>
              <w:rPr>
                <w:rFonts w:ascii="宋体" w:hAnsi="宋体"/>
                <w:b/>
                <w:bCs/>
                <w:color w:val="000000"/>
                <w:sz w:val="18"/>
                <w:szCs w:val="18"/>
              </w:rPr>
            </w:pPr>
            <w:r>
              <w:rPr>
                <w:rFonts w:hint="eastAsia" w:ascii="宋体" w:hAnsi="宋体"/>
                <w:b/>
                <w:bCs/>
                <w:color w:val="000000"/>
                <w:sz w:val="18"/>
                <w:szCs w:val="18"/>
              </w:rPr>
              <w:t>规范要求</w:t>
            </w:r>
          </w:p>
        </w:tc>
        <w:tc>
          <w:tcPr>
            <w:tcW w:w="2694" w:type="dxa"/>
            <w:gridSpan w:val="3"/>
            <w:vAlign w:val="center"/>
          </w:tcPr>
          <w:p>
            <w:pPr>
              <w:jc w:val="center"/>
              <w:rPr>
                <w:rFonts w:ascii="宋体" w:hAnsi="宋体"/>
                <w:b/>
                <w:bCs/>
                <w:color w:val="000000"/>
                <w:sz w:val="18"/>
                <w:szCs w:val="18"/>
              </w:rPr>
            </w:pPr>
            <w:r>
              <w:rPr>
                <w:rFonts w:hint="eastAsia" w:ascii="宋体" w:hAnsi="宋体"/>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 w:hRule="atLeast"/>
          <w:jc w:val="center"/>
        </w:trPr>
        <w:tc>
          <w:tcPr>
            <w:tcW w:w="5665" w:type="dxa"/>
            <w:gridSpan w:val="8"/>
            <w:vAlign w:val="center"/>
          </w:tcPr>
          <w:p>
            <w:pPr>
              <w:jc w:val="left"/>
              <w:rPr>
                <w:rFonts w:ascii="宋体" w:hAnsi="宋体"/>
                <w:color w:val="000000"/>
                <w:sz w:val="18"/>
                <w:szCs w:val="18"/>
              </w:rPr>
            </w:pPr>
            <w:r>
              <w:rPr>
                <w:rFonts w:hint="eastAsia" w:ascii="宋体" w:hAnsi="宋体"/>
                <w:b/>
                <w:bCs/>
                <w:color w:val="000000"/>
                <w:sz w:val="18"/>
                <w:szCs w:val="18"/>
              </w:rPr>
              <w:t>卧室、起居室（厅）、厨房应有自然通风。</w:t>
            </w:r>
          </w:p>
        </w:tc>
        <w:tc>
          <w:tcPr>
            <w:tcW w:w="2694" w:type="dxa"/>
            <w:gridSpan w:val="3"/>
            <w:vAlign w:val="center"/>
          </w:tcPr>
          <w:p>
            <w:pPr>
              <w:jc w:val="center"/>
              <w:rPr>
                <w:rFonts w:ascii="宋体" w:hAnsi="宋体"/>
                <w:color w:val="000000"/>
                <w:sz w:val="18"/>
                <w:szCs w:val="18"/>
              </w:rPr>
            </w:pPr>
            <w:r>
              <w:rPr>
                <w:rFonts w:hint="eastAsia" w:ascii="宋体" w:hAnsi="宋体"/>
                <w:color w:val="000000"/>
                <w:sz w:val="18"/>
                <w:szCs w:val="18"/>
              </w:rPr>
              <w:t>《住宅设计规范》第7</w:t>
            </w:r>
            <w:r>
              <w:rPr>
                <w:rFonts w:ascii="宋体" w:hAnsi="宋体"/>
                <w:color w:val="000000"/>
                <w:sz w:val="18"/>
                <w:szCs w:val="18"/>
              </w:rPr>
              <w:t>.2.1</w:t>
            </w:r>
            <w:r>
              <w:rPr>
                <w:rFonts w:hint="eastAsia" w:ascii="宋体" w:hAnsi="宋体"/>
                <w:color w:val="000000"/>
                <w:sz w:val="18"/>
                <w:szCs w:val="18"/>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665" w:type="dxa"/>
            <w:gridSpan w:val="8"/>
            <w:vAlign w:val="center"/>
          </w:tcPr>
          <w:p>
            <w:pPr>
              <w:rPr>
                <w:rFonts w:ascii="宋体" w:hAnsi="宋体"/>
                <w:color w:val="000000"/>
                <w:sz w:val="18"/>
                <w:szCs w:val="18"/>
              </w:rPr>
            </w:pPr>
            <w:r>
              <w:rPr>
                <w:rFonts w:hint="eastAsia" w:ascii="宋体" w:hAnsi="宋体"/>
                <w:b/>
                <w:bCs/>
                <w:color w:val="000000"/>
                <w:sz w:val="18"/>
                <w:szCs w:val="18"/>
              </w:rPr>
              <w:t>夏热冬冷、温和B区居住建筑外窗的通风开口面积不应小于房间地面面积的10%或外窗面积的45%，夏热冬冷、温和A区居住建筑外窗的通风开口面积不应小于房间地面面积的5%。</w:t>
            </w:r>
          </w:p>
        </w:tc>
        <w:tc>
          <w:tcPr>
            <w:tcW w:w="2694" w:type="dxa"/>
            <w:gridSpan w:val="3"/>
            <w:vAlign w:val="center"/>
          </w:tcPr>
          <w:p>
            <w:pPr>
              <w:jc w:val="center"/>
              <w:rPr>
                <w:rFonts w:ascii="宋体" w:hAnsi="宋体"/>
                <w:color w:val="000000"/>
                <w:sz w:val="18"/>
                <w:szCs w:val="18"/>
              </w:rPr>
            </w:pPr>
            <w:r>
              <w:rPr>
                <w:rFonts w:hint="eastAsia" w:ascii="宋体" w:hAnsi="宋体"/>
                <w:color w:val="000000"/>
                <w:sz w:val="18"/>
                <w:szCs w:val="18"/>
              </w:rPr>
              <w:t>《建筑节能与可再生能源利用通用规范》第3.1.14-1条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665" w:type="dxa"/>
            <w:gridSpan w:val="8"/>
            <w:vAlign w:val="center"/>
          </w:tcPr>
          <w:p>
            <w:pPr>
              <w:jc w:val="left"/>
              <w:rPr>
                <w:rFonts w:ascii="宋体" w:hAnsi="宋体"/>
                <w:color w:val="000000"/>
                <w:sz w:val="18"/>
                <w:szCs w:val="18"/>
              </w:rPr>
            </w:pPr>
            <w:r>
              <w:rPr>
                <w:rFonts w:hint="eastAsia" w:ascii="宋体" w:hAnsi="宋体"/>
                <w:color w:val="000000"/>
                <w:sz w:val="18"/>
                <w:szCs w:val="18"/>
              </w:rPr>
              <w:t>采用自然通风的房间，其直接或间接自然通风开口面积应符合下列规定：</w:t>
            </w:r>
          </w:p>
          <w:p>
            <w:pPr>
              <w:pStyle w:val="21"/>
              <w:numPr>
                <w:ilvl w:val="0"/>
                <w:numId w:val="3"/>
              </w:numPr>
              <w:ind w:hanging="254" w:firstLineChars="0"/>
              <w:jc w:val="left"/>
              <w:rPr>
                <w:rFonts w:ascii="宋体" w:hAnsi="宋体"/>
                <w:color w:val="000000"/>
                <w:sz w:val="18"/>
                <w:szCs w:val="18"/>
              </w:rPr>
            </w:pPr>
            <w:r>
              <w:rPr>
                <w:rFonts w:hint="eastAsia" w:ascii="宋体" w:hAnsi="宋体"/>
                <w:color w:val="000000"/>
                <w:sz w:val="18"/>
                <w:szCs w:val="18"/>
              </w:rPr>
              <w:t>卧室、起居室（厅）、明卫生间的直接自然通风开口面积不应小于该房间地板面积的1</w:t>
            </w:r>
            <w:r>
              <w:rPr>
                <w:rFonts w:ascii="宋体" w:hAnsi="宋体"/>
                <w:color w:val="000000"/>
                <w:sz w:val="18"/>
                <w:szCs w:val="18"/>
              </w:rPr>
              <w:t>/20</w:t>
            </w:r>
            <w:r>
              <w:rPr>
                <w:rFonts w:hint="eastAsia" w:ascii="宋体" w:hAnsi="宋体"/>
                <w:color w:val="000000"/>
                <w:sz w:val="18"/>
                <w:szCs w:val="18"/>
              </w:rPr>
              <w:t>；当采用自然通风的房间外设置阳台时，阳台的自然通风开口面积不应小于采用自然通风的房间和阳台地板面积总和的1</w:t>
            </w:r>
            <w:r>
              <w:rPr>
                <w:rFonts w:ascii="宋体" w:hAnsi="宋体"/>
                <w:color w:val="000000"/>
                <w:sz w:val="18"/>
                <w:szCs w:val="18"/>
              </w:rPr>
              <w:t>/20</w:t>
            </w:r>
            <w:r>
              <w:rPr>
                <w:rFonts w:hint="eastAsia" w:ascii="宋体" w:hAnsi="宋体"/>
                <w:color w:val="000000"/>
                <w:sz w:val="18"/>
                <w:szCs w:val="18"/>
              </w:rPr>
              <w:t>；</w:t>
            </w:r>
          </w:p>
          <w:p>
            <w:pPr>
              <w:pStyle w:val="21"/>
              <w:numPr>
                <w:ilvl w:val="0"/>
                <w:numId w:val="3"/>
              </w:numPr>
              <w:ind w:hanging="254" w:firstLineChars="0"/>
              <w:jc w:val="left"/>
              <w:rPr>
                <w:rFonts w:ascii="宋体" w:hAnsi="宋体"/>
                <w:color w:val="000000"/>
                <w:sz w:val="18"/>
                <w:szCs w:val="18"/>
              </w:rPr>
            </w:pPr>
            <w:r>
              <w:rPr>
                <w:rFonts w:hint="eastAsia" w:ascii="宋体" w:hAnsi="宋体"/>
                <w:color w:val="000000"/>
                <w:sz w:val="18"/>
                <w:szCs w:val="18"/>
              </w:rPr>
              <w:t>厨房的直接自然通风开口面积不应小于该房间地板面积的1</w:t>
            </w:r>
            <w:r>
              <w:rPr>
                <w:rFonts w:ascii="宋体" w:hAnsi="宋体"/>
                <w:color w:val="000000"/>
                <w:sz w:val="18"/>
                <w:szCs w:val="18"/>
              </w:rPr>
              <w:t>/10</w:t>
            </w:r>
            <w:r>
              <w:rPr>
                <w:rFonts w:hint="eastAsia" w:ascii="宋体" w:hAnsi="宋体"/>
                <w:color w:val="000000"/>
                <w:sz w:val="18"/>
                <w:szCs w:val="18"/>
              </w:rPr>
              <w:t>，并不得小于0</w:t>
            </w:r>
            <w:r>
              <w:rPr>
                <w:rFonts w:ascii="宋体" w:hAnsi="宋体"/>
                <w:color w:val="000000"/>
                <w:sz w:val="18"/>
                <w:szCs w:val="18"/>
              </w:rPr>
              <w:t>.60</w:t>
            </w:r>
            <w:r>
              <w:rPr>
                <w:rFonts w:hint="eastAsia" w:ascii="宋体" w:hAnsi="宋体"/>
                <w:color w:val="000000"/>
                <w:sz w:val="18"/>
                <w:szCs w:val="18"/>
              </w:rPr>
              <w:t>㎡；当厨房外设置阳台时，阳台的自然通风开口面积不应小于厨房和阳台地板面积总和的1</w:t>
            </w:r>
            <w:r>
              <w:rPr>
                <w:rFonts w:ascii="宋体" w:hAnsi="宋体"/>
                <w:color w:val="000000"/>
                <w:sz w:val="18"/>
                <w:szCs w:val="18"/>
              </w:rPr>
              <w:t>/10</w:t>
            </w:r>
            <w:r>
              <w:rPr>
                <w:rFonts w:hint="eastAsia" w:ascii="宋体" w:hAnsi="宋体"/>
                <w:color w:val="000000"/>
                <w:sz w:val="18"/>
                <w:szCs w:val="18"/>
              </w:rPr>
              <w:t>，并不得小于0</w:t>
            </w:r>
            <w:r>
              <w:rPr>
                <w:rFonts w:ascii="宋体" w:hAnsi="宋体"/>
                <w:color w:val="000000"/>
                <w:sz w:val="18"/>
                <w:szCs w:val="18"/>
              </w:rPr>
              <w:t>.60</w:t>
            </w:r>
            <w:r>
              <w:rPr>
                <w:rFonts w:hint="eastAsia" w:ascii="宋体" w:hAnsi="宋体"/>
                <w:color w:val="000000"/>
                <w:sz w:val="18"/>
                <w:szCs w:val="18"/>
              </w:rPr>
              <w:t>㎡。</w:t>
            </w:r>
          </w:p>
        </w:tc>
        <w:tc>
          <w:tcPr>
            <w:tcW w:w="2694" w:type="dxa"/>
            <w:gridSpan w:val="3"/>
            <w:vAlign w:val="center"/>
          </w:tcPr>
          <w:p>
            <w:pPr>
              <w:jc w:val="center"/>
              <w:rPr>
                <w:rFonts w:ascii="宋体" w:hAnsi="宋体"/>
                <w:color w:val="000000"/>
                <w:sz w:val="18"/>
                <w:szCs w:val="18"/>
              </w:rPr>
            </w:pPr>
            <w:r>
              <w:rPr>
                <w:rFonts w:hint="eastAsia" w:ascii="宋体" w:hAnsi="宋体"/>
                <w:color w:val="000000"/>
                <w:sz w:val="18"/>
                <w:szCs w:val="18"/>
              </w:rPr>
              <w:t>《住宅设计规范》第7</w:t>
            </w:r>
            <w:r>
              <w:rPr>
                <w:rFonts w:ascii="宋体" w:hAnsi="宋体"/>
                <w:color w:val="000000"/>
                <w:sz w:val="18"/>
                <w:szCs w:val="18"/>
              </w:rPr>
              <w:t>.2.4</w:t>
            </w:r>
            <w:r>
              <w:rPr>
                <w:rFonts w:hint="eastAsia" w:ascii="宋体" w:hAnsi="宋体"/>
                <w:color w:val="000000"/>
                <w:sz w:val="18"/>
                <w:szCs w:val="18"/>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359" w:type="dxa"/>
            <w:gridSpan w:val="11"/>
            <w:vAlign w:val="center"/>
          </w:tcPr>
          <w:p>
            <w:pPr>
              <w:jc w:val="center"/>
              <w:rPr>
                <w:rFonts w:ascii="宋体" w:hAnsi="宋体"/>
                <w:color w:val="000000"/>
                <w:sz w:val="24"/>
                <w:szCs w:val="24"/>
              </w:rPr>
            </w:pPr>
            <w:r>
              <w:rPr>
                <w:rFonts w:hint="eastAsia" w:ascii="宋体" w:hAnsi="宋体"/>
                <w:b/>
                <w:bCs/>
                <w:color w:val="000000"/>
                <w:sz w:val="24"/>
                <w:szCs w:val="24"/>
              </w:rPr>
              <w:t>住宅建筑照明标准值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539" w:type="dxa"/>
            <w:gridSpan w:val="4"/>
            <w:vAlign w:val="center"/>
          </w:tcPr>
          <w:p>
            <w:pPr>
              <w:jc w:val="center"/>
              <w:rPr>
                <w:rFonts w:ascii="宋体" w:hAnsi="宋体"/>
                <w:b/>
                <w:bCs/>
                <w:color w:val="000000"/>
                <w:sz w:val="18"/>
                <w:szCs w:val="18"/>
              </w:rPr>
            </w:pPr>
            <w:r>
              <w:rPr>
                <w:rFonts w:hint="eastAsia" w:ascii="宋体" w:hAnsi="宋体"/>
                <w:b/>
                <w:bCs/>
                <w:color w:val="000000"/>
                <w:sz w:val="18"/>
                <w:szCs w:val="18"/>
              </w:rPr>
              <w:t>房间或场所</w:t>
            </w:r>
          </w:p>
        </w:tc>
        <w:tc>
          <w:tcPr>
            <w:tcW w:w="1843" w:type="dxa"/>
            <w:gridSpan w:val="3"/>
            <w:vAlign w:val="center"/>
          </w:tcPr>
          <w:p>
            <w:pPr>
              <w:jc w:val="left"/>
              <w:rPr>
                <w:rFonts w:ascii="宋体" w:hAnsi="宋体"/>
                <w:b/>
                <w:bCs/>
                <w:color w:val="000000"/>
                <w:sz w:val="18"/>
                <w:szCs w:val="18"/>
              </w:rPr>
            </w:pPr>
            <w:r>
              <w:rPr>
                <w:rFonts w:hint="eastAsia" w:ascii="宋体" w:hAnsi="宋体"/>
                <w:b/>
                <w:bCs/>
                <w:color w:val="000000"/>
                <w:sz w:val="18"/>
                <w:szCs w:val="18"/>
              </w:rPr>
              <w:t>参考平面及其高度</w:t>
            </w:r>
          </w:p>
        </w:tc>
        <w:tc>
          <w:tcPr>
            <w:tcW w:w="1843" w:type="dxa"/>
            <w:gridSpan w:val="3"/>
            <w:vAlign w:val="center"/>
          </w:tcPr>
          <w:p>
            <w:pPr>
              <w:jc w:val="left"/>
              <w:rPr>
                <w:rFonts w:ascii="宋体" w:hAnsi="宋体"/>
                <w:b/>
                <w:bCs/>
                <w:color w:val="000000"/>
                <w:sz w:val="18"/>
                <w:szCs w:val="18"/>
              </w:rPr>
            </w:pPr>
            <w:r>
              <w:rPr>
                <w:rFonts w:hint="eastAsia" w:ascii="宋体" w:hAnsi="宋体"/>
                <w:b/>
                <w:bCs/>
                <w:color w:val="000000"/>
                <w:sz w:val="18"/>
                <w:szCs w:val="18"/>
              </w:rPr>
              <w:t>照度标准值（L</w:t>
            </w:r>
            <w:r>
              <w:rPr>
                <w:rFonts w:ascii="宋体" w:hAnsi="宋体"/>
                <w:b/>
                <w:bCs/>
                <w:color w:val="000000"/>
                <w:sz w:val="18"/>
                <w:szCs w:val="18"/>
                <w:vertAlign w:val="subscript"/>
              </w:rPr>
              <w:t>X</w:t>
            </w:r>
            <w:r>
              <w:rPr>
                <w:rFonts w:hint="eastAsia" w:ascii="宋体" w:hAnsi="宋体"/>
                <w:b/>
                <w:bCs/>
                <w:color w:val="000000"/>
                <w:sz w:val="18"/>
                <w:szCs w:val="18"/>
              </w:rPr>
              <w:t>）</w:t>
            </w:r>
          </w:p>
        </w:tc>
        <w:tc>
          <w:tcPr>
            <w:tcW w:w="1134" w:type="dxa"/>
            <w:vAlign w:val="center"/>
          </w:tcPr>
          <w:p>
            <w:pPr>
              <w:jc w:val="center"/>
              <w:rPr>
                <w:rFonts w:ascii="宋体" w:hAnsi="宋体"/>
                <w:b/>
                <w:bCs/>
                <w:color w:val="000000"/>
                <w:sz w:val="18"/>
                <w:szCs w:val="18"/>
              </w:rPr>
            </w:pPr>
            <w:r>
              <w:rPr>
                <w:rFonts w:hint="eastAsia" w:ascii="宋体" w:hAnsi="宋体"/>
                <w:b/>
                <w:bCs/>
                <w:color w:val="000000"/>
                <w:sz w:val="18"/>
                <w:szCs w:val="18"/>
              </w:rPr>
              <w:t>R</w:t>
            </w:r>
            <w:r>
              <w:rPr>
                <w:rFonts w:hint="eastAsia" w:ascii="宋体" w:hAnsi="宋体"/>
                <w:b/>
                <w:bCs/>
                <w:color w:val="000000"/>
                <w:sz w:val="18"/>
                <w:szCs w:val="18"/>
                <w:vertAlign w:val="sub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769" w:type="dxa"/>
            <w:vMerge w:val="restart"/>
            <w:vAlign w:val="center"/>
          </w:tcPr>
          <w:p>
            <w:pPr>
              <w:jc w:val="center"/>
              <w:rPr>
                <w:rFonts w:ascii="宋体" w:hAnsi="宋体"/>
                <w:color w:val="000000"/>
                <w:sz w:val="18"/>
                <w:szCs w:val="18"/>
              </w:rPr>
            </w:pPr>
            <w:r>
              <w:rPr>
                <w:rFonts w:hint="eastAsia" w:ascii="宋体" w:hAnsi="宋体"/>
                <w:color w:val="000000"/>
                <w:sz w:val="18"/>
                <w:szCs w:val="18"/>
              </w:rPr>
              <w:t>起居室</w:t>
            </w:r>
          </w:p>
        </w:tc>
        <w:tc>
          <w:tcPr>
            <w:tcW w:w="1770" w:type="dxa"/>
            <w:gridSpan w:val="3"/>
            <w:vAlign w:val="center"/>
          </w:tcPr>
          <w:p>
            <w:pPr>
              <w:jc w:val="center"/>
              <w:rPr>
                <w:rFonts w:ascii="宋体" w:hAnsi="宋体"/>
                <w:color w:val="000000"/>
                <w:sz w:val="18"/>
                <w:szCs w:val="18"/>
              </w:rPr>
            </w:pPr>
            <w:r>
              <w:rPr>
                <w:rFonts w:hint="eastAsia" w:ascii="宋体" w:hAnsi="宋体"/>
                <w:color w:val="000000"/>
                <w:sz w:val="18"/>
                <w:szCs w:val="18"/>
              </w:rPr>
              <w:t>一般活动</w:t>
            </w:r>
          </w:p>
        </w:tc>
        <w:tc>
          <w:tcPr>
            <w:tcW w:w="1843" w:type="dxa"/>
            <w:gridSpan w:val="3"/>
            <w:vMerge w:val="restart"/>
            <w:vAlign w:val="center"/>
          </w:tcPr>
          <w:p>
            <w:pPr>
              <w:jc w:val="center"/>
              <w:rPr>
                <w:rFonts w:ascii="宋体" w:hAnsi="宋体"/>
                <w:color w:val="000000"/>
                <w:sz w:val="18"/>
                <w:szCs w:val="18"/>
              </w:rPr>
            </w:pPr>
            <w:r>
              <w:rPr>
                <w:rFonts w:hint="eastAsia" w:ascii="宋体" w:hAnsi="宋体"/>
                <w:color w:val="000000"/>
                <w:sz w:val="18"/>
                <w:szCs w:val="18"/>
              </w:rPr>
              <w:t>0</w:t>
            </w:r>
            <w:r>
              <w:rPr>
                <w:rFonts w:ascii="宋体" w:hAnsi="宋体"/>
                <w:color w:val="000000"/>
                <w:sz w:val="18"/>
                <w:szCs w:val="18"/>
              </w:rPr>
              <w:t>.75</w:t>
            </w:r>
            <w:r>
              <w:rPr>
                <w:rFonts w:hint="eastAsia" w:ascii="宋体" w:hAnsi="宋体"/>
                <w:color w:val="000000"/>
                <w:sz w:val="18"/>
                <w:szCs w:val="18"/>
              </w:rPr>
              <w:t>m水平面</w:t>
            </w:r>
          </w:p>
        </w:tc>
        <w:tc>
          <w:tcPr>
            <w:tcW w:w="1843" w:type="dxa"/>
            <w:gridSpan w:val="3"/>
            <w:vAlign w:val="center"/>
          </w:tcPr>
          <w:p>
            <w:pPr>
              <w:jc w:val="center"/>
              <w:rPr>
                <w:rFonts w:ascii="宋体" w:hAnsi="宋体"/>
                <w:color w:val="000000"/>
                <w:sz w:val="18"/>
                <w:szCs w:val="18"/>
              </w:rPr>
            </w:pPr>
            <w:r>
              <w:rPr>
                <w:rFonts w:hint="eastAsia" w:ascii="宋体" w:hAnsi="宋体"/>
                <w:color w:val="000000"/>
                <w:sz w:val="18"/>
                <w:szCs w:val="18"/>
              </w:rPr>
              <w:t>1</w:t>
            </w:r>
            <w:r>
              <w:rPr>
                <w:rFonts w:ascii="宋体" w:hAnsi="宋体"/>
                <w:color w:val="000000"/>
                <w:sz w:val="18"/>
                <w:szCs w:val="18"/>
              </w:rPr>
              <w:t>00</w:t>
            </w:r>
          </w:p>
        </w:tc>
        <w:tc>
          <w:tcPr>
            <w:tcW w:w="1134" w:type="dxa"/>
            <w:vMerge w:val="restart"/>
            <w:vAlign w:val="center"/>
          </w:tcPr>
          <w:p>
            <w:pPr>
              <w:jc w:val="center"/>
              <w:rPr>
                <w:rFonts w:ascii="宋体" w:hAnsi="宋体"/>
                <w:color w:val="000000"/>
                <w:sz w:val="18"/>
                <w:szCs w:val="18"/>
              </w:rPr>
            </w:pPr>
            <w:r>
              <w:rPr>
                <w:rFonts w:hint="eastAsia" w:ascii="宋体" w:hAnsi="宋体"/>
                <w:color w:val="000000"/>
                <w:sz w:val="18"/>
                <w:szCs w:val="18"/>
              </w:rPr>
              <w:t>8</w:t>
            </w:r>
            <w:r>
              <w:rPr>
                <w:rFonts w:ascii="宋体" w:hAnsi="宋体"/>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769" w:type="dxa"/>
            <w:vMerge w:val="continue"/>
            <w:vAlign w:val="center"/>
          </w:tcPr>
          <w:p>
            <w:pPr>
              <w:jc w:val="center"/>
              <w:rPr>
                <w:rFonts w:ascii="宋体" w:hAnsi="宋体"/>
                <w:color w:val="000000"/>
                <w:sz w:val="18"/>
                <w:szCs w:val="18"/>
              </w:rPr>
            </w:pPr>
          </w:p>
        </w:tc>
        <w:tc>
          <w:tcPr>
            <w:tcW w:w="1770" w:type="dxa"/>
            <w:gridSpan w:val="3"/>
            <w:vAlign w:val="center"/>
          </w:tcPr>
          <w:p>
            <w:pPr>
              <w:jc w:val="center"/>
              <w:rPr>
                <w:rFonts w:ascii="宋体" w:hAnsi="宋体"/>
                <w:color w:val="000000"/>
                <w:sz w:val="18"/>
                <w:szCs w:val="18"/>
              </w:rPr>
            </w:pPr>
            <w:r>
              <w:rPr>
                <w:rFonts w:hint="eastAsia" w:ascii="宋体" w:hAnsi="宋体"/>
                <w:color w:val="000000"/>
                <w:sz w:val="18"/>
                <w:szCs w:val="18"/>
              </w:rPr>
              <w:t>书写、阅读</w:t>
            </w:r>
          </w:p>
        </w:tc>
        <w:tc>
          <w:tcPr>
            <w:tcW w:w="1843" w:type="dxa"/>
            <w:gridSpan w:val="3"/>
            <w:vMerge w:val="continue"/>
            <w:vAlign w:val="center"/>
          </w:tcPr>
          <w:p>
            <w:pPr>
              <w:jc w:val="center"/>
              <w:rPr>
                <w:rFonts w:ascii="宋体" w:hAnsi="宋体"/>
                <w:color w:val="000000"/>
                <w:sz w:val="18"/>
                <w:szCs w:val="18"/>
              </w:rPr>
            </w:pPr>
          </w:p>
        </w:tc>
        <w:tc>
          <w:tcPr>
            <w:tcW w:w="1843" w:type="dxa"/>
            <w:gridSpan w:val="3"/>
            <w:vAlign w:val="center"/>
          </w:tcPr>
          <w:p>
            <w:pPr>
              <w:jc w:val="center"/>
              <w:rPr>
                <w:rFonts w:ascii="宋体" w:hAnsi="宋体"/>
                <w:color w:val="000000"/>
                <w:sz w:val="18"/>
                <w:szCs w:val="18"/>
              </w:rPr>
            </w:pPr>
            <w:r>
              <w:rPr>
                <w:rFonts w:hint="eastAsia" w:ascii="宋体" w:hAnsi="宋体"/>
                <w:color w:val="000000"/>
                <w:sz w:val="18"/>
                <w:szCs w:val="18"/>
              </w:rPr>
              <w:t>3</w:t>
            </w:r>
            <w:r>
              <w:rPr>
                <w:rFonts w:ascii="宋体" w:hAnsi="宋体"/>
                <w:color w:val="000000"/>
                <w:sz w:val="18"/>
                <w:szCs w:val="18"/>
              </w:rPr>
              <w:t>00</w:t>
            </w:r>
            <w:r>
              <w:rPr>
                <w:rFonts w:ascii="宋体" w:hAnsi="宋体"/>
                <w:color w:val="000000"/>
                <w:sz w:val="18"/>
                <w:szCs w:val="18"/>
                <w:vertAlign w:val="superscript"/>
              </w:rPr>
              <w:t>*</w:t>
            </w:r>
          </w:p>
        </w:tc>
        <w:tc>
          <w:tcPr>
            <w:tcW w:w="1134" w:type="dxa"/>
            <w:vMerge w:val="continue"/>
            <w:vAlign w:val="center"/>
          </w:tcPr>
          <w:p>
            <w:pPr>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 w:hRule="atLeast"/>
          <w:jc w:val="center"/>
        </w:trPr>
        <w:tc>
          <w:tcPr>
            <w:tcW w:w="1769" w:type="dxa"/>
            <w:vMerge w:val="restart"/>
            <w:vAlign w:val="center"/>
          </w:tcPr>
          <w:p>
            <w:pPr>
              <w:jc w:val="center"/>
              <w:rPr>
                <w:rFonts w:ascii="宋体" w:hAnsi="宋体"/>
                <w:color w:val="000000"/>
                <w:sz w:val="18"/>
                <w:szCs w:val="18"/>
              </w:rPr>
            </w:pPr>
            <w:r>
              <w:rPr>
                <w:rFonts w:hint="eastAsia" w:ascii="宋体" w:hAnsi="宋体"/>
                <w:color w:val="000000"/>
                <w:sz w:val="18"/>
                <w:szCs w:val="18"/>
              </w:rPr>
              <w:t>卧室</w:t>
            </w:r>
          </w:p>
        </w:tc>
        <w:tc>
          <w:tcPr>
            <w:tcW w:w="1770" w:type="dxa"/>
            <w:gridSpan w:val="3"/>
            <w:vAlign w:val="center"/>
          </w:tcPr>
          <w:p>
            <w:pPr>
              <w:jc w:val="center"/>
              <w:rPr>
                <w:rFonts w:ascii="宋体" w:hAnsi="宋体"/>
                <w:color w:val="000000"/>
                <w:sz w:val="18"/>
                <w:szCs w:val="18"/>
              </w:rPr>
            </w:pPr>
            <w:r>
              <w:rPr>
                <w:rFonts w:hint="eastAsia" w:ascii="宋体" w:hAnsi="宋体"/>
                <w:color w:val="000000"/>
                <w:sz w:val="18"/>
                <w:szCs w:val="18"/>
              </w:rPr>
              <w:t>一般活动</w:t>
            </w:r>
          </w:p>
        </w:tc>
        <w:tc>
          <w:tcPr>
            <w:tcW w:w="1843" w:type="dxa"/>
            <w:gridSpan w:val="3"/>
            <w:vMerge w:val="restart"/>
            <w:vAlign w:val="center"/>
          </w:tcPr>
          <w:p>
            <w:pPr>
              <w:jc w:val="center"/>
              <w:rPr>
                <w:rFonts w:ascii="宋体" w:hAnsi="宋体"/>
                <w:color w:val="000000"/>
                <w:sz w:val="18"/>
                <w:szCs w:val="18"/>
              </w:rPr>
            </w:pPr>
            <w:r>
              <w:rPr>
                <w:rFonts w:hint="eastAsia" w:ascii="宋体" w:hAnsi="宋体"/>
                <w:color w:val="000000"/>
                <w:sz w:val="18"/>
                <w:szCs w:val="18"/>
              </w:rPr>
              <w:t>0</w:t>
            </w:r>
            <w:r>
              <w:rPr>
                <w:rFonts w:ascii="宋体" w:hAnsi="宋体"/>
                <w:color w:val="000000"/>
                <w:sz w:val="18"/>
                <w:szCs w:val="18"/>
              </w:rPr>
              <w:t>.75</w:t>
            </w:r>
            <w:r>
              <w:rPr>
                <w:rFonts w:hint="eastAsia" w:ascii="宋体" w:hAnsi="宋体"/>
                <w:color w:val="000000"/>
                <w:sz w:val="18"/>
                <w:szCs w:val="18"/>
              </w:rPr>
              <w:t>m水平面</w:t>
            </w:r>
          </w:p>
        </w:tc>
        <w:tc>
          <w:tcPr>
            <w:tcW w:w="1843" w:type="dxa"/>
            <w:gridSpan w:val="3"/>
            <w:vAlign w:val="center"/>
          </w:tcPr>
          <w:p>
            <w:pPr>
              <w:jc w:val="center"/>
              <w:rPr>
                <w:rFonts w:ascii="宋体" w:hAnsi="宋体"/>
                <w:color w:val="000000"/>
                <w:sz w:val="18"/>
                <w:szCs w:val="18"/>
              </w:rPr>
            </w:pPr>
            <w:r>
              <w:rPr>
                <w:rFonts w:hint="eastAsia" w:ascii="宋体" w:hAnsi="宋体"/>
                <w:color w:val="000000"/>
                <w:sz w:val="18"/>
                <w:szCs w:val="18"/>
              </w:rPr>
              <w:t>7</w:t>
            </w:r>
            <w:r>
              <w:rPr>
                <w:rFonts w:ascii="宋体" w:hAnsi="宋体"/>
                <w:color w:val="000000"/>
                <w:sz w:val="18"/>
                <w:szCs w:val="18"/>
              </w:rPr>
              <w:t>5</w:t>
            </w:r>
          </w:p>
        </w:tc>
        <w:tc>
          <w:tcPr>
            <w:tcW w:w="1134" w:type="dxa"/>
            <w:vMerge w:val="restart"/>
            <w:vAlign w:val="center"/>
          </w:tcPr>
          <w:p>
            <w:pPr>
              <w:jc w:val="center"/>
              <w:rPr>
                <w:rFonts w:ascii="宋体" w:hAnsi="宋体"/>
                <w:color w:val="000000"/>
                <w:sz w:val="18"/>
                <w:szCs w:val="18"/>
              </w:rPr>
            </w:pPr>
            <w:r>
              <w:rPr>
                <w:rFonts w:hint="eastAsia" w:ascii="宋体" w:hAnsi="宋体"/>
                <w:color w:val="000000"/>
                <w:sz w:val="18"/>
                <w:szCs w:val="18"/>
              </w:rPr>
              <w:t>8</w:t>
            </w:r>
            <w:r>
              <w:rPr>
                <w:rFonts w:ascii="宋体" w:hAnsi="宋体"/>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769" w:type="dxa"/>
            <w:vMerge w:val="continue"/>
            <w:vAlign w:val="center"/>
          </w:tcPr>
          <w:p>
            <w:pPr>
              <w:jc w:val="center"/>
              <w:rPr>
                <w:rFonts w:ascii="宋体" w:hAnsi="宋体"/>
                <w:color w:val="000000"/>
                <w:sz w:val="18"/>
                <w:szCs w:val="18"/>
              </w:rPr>
            </w:pPr>
          </w:p>
        </w:tc>
        <w:tc>
          <w:tcPr>
            <w:tcW w:w="1770" w:type="dxa"/>
            <w:gridSpan w:val="3"/>
            <w:vAlign w:val="center"/>
          </w:tcPr>
          <w:p>
            <w:pPr>
              <w:jc w:val="center"/>
              <w:rPr>
                <w:rFonts w:ascii="宋体" w:hAnsi="宋体"/>
                <w:color w:val="000000"/>
                <w:sz w:val="18"/>
                <w:szCs w:val="18"/>
              </w:rPr>
            </w:pPr>
            <w:r>
              <w:rPr>
                <w:rFonts w:hint="eastAsia" w:ascii="宋体" w:hAnsi="宋体"/>
                <w:color w:val="000000"/>
                <w:sz w:val="18"/>
                <w:szCs w:val="18"/>
              </w:rPr>
              <w:t>床头、阅读</w:t>
            </w:r>
          </w:p>
        </w:tc>
        <w:tc>
          <w:tcPr>
            <w:tcW w:w="1843" w:type="dxa"/>
            <w:gridSpan w:val="3"/>
            <w:vMerge w:val="continue"/>
            <w:vAlign w:val="center"/>
          </w:tcPr>
          <w:p>
            <w:pPr>
              <w:jc w:val="center"/>
              <w:rPr>
                <w:rFonts w:ascii="宋体" w:hAnsi="宋体"/>
                <w:color w:val="000000"/>
                <w:sz w:val="18"/>
                <w:szCs w:val="18"/>
              </w:rPr>
            </w:pPr>
          </w:p>
        </w:tc>
        <w:tc>
          <w:tcPr>
            <w:tcW w:w="1843" w:type="dxa"/>
            <w:gridSpan w:val="3"/>
            <w:vAlign w:val="center"/>
          </w:tcPr>
          <w:p>
            <w:pPr>
              <w:jc w:val="center"/>
              <w:rPr>
                <w:rFonts w:ascii="宋体" w:hAnsi="宋体"/>
                <w:color w:val="000000"/>
                <w:sz w:val="18"/>
                <w:szCs w:val="18"/>
              </w:rPr>
            </w:pPr>
            <w:r>
              <w:rPr>
                <w:rFonts w:hint="eastAsia" w:ascii="宋体" w:hAnsi="宋体"/>
                <w:color w:val="000000"/>
                <w:sz w:val="18"/>
                <w:szCs w:val="18"/>
              </w:rPr>
              <w:t>1</w:t>
            </w:r>
            <w:r>
              <w:rPr>
                <w:rFonts w:ascii="宋体" w:hAnsi="宋体"/>
                <w:color w:val="000000"/>
                <w:sz w:val="18"/>
                <w:szCs w:val="18"/>
              </w:rPr>
              <w:t>50</w:t>
            </w:r>
            <w:r>
              <w:rPr>
                <w:rFonts w:ascii="宋体" w:hAnsi="宋体"/>
                <w:color w:val="000000"/>
                <w:sz w:val="18"/>
                <w:szCs w:val="18"/>
                <w:vertAlign w:val="superscript"/>
              </w:rPr>
              <w:t>*</w:t>
            </w:r>
          </w:p>
        </w:tc>
        <w:tc>
          <w:tcPr>
            <w:tcW w:w="1134" w:type="dxa"/>
            <w:vMerge w:val="continue"/>
            <w:vAlign w:val="center"/>
          </w:tcPr>
          <w:p>
            <w:pPr>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3539" w:type="dxa"/>
            <w:gridSpan w:val="4"/>
            <w:vAlign w:val="center"/>
          </w:tcPr>
          <w:p>
            <w:pPr>
              <w:jc w:val="center"/>
              <w:rPr>
                <w:rFonts w:ascii="宋体" w:hAnsi="宋体"/>
                <w:color w:val="000000"/>
                <w:sz w:val="18"/>
                <w:szCs w:val="18"/>
              </w:rPr>
            </w:pPr>
            <w:r>
              <w:rPr>
                <w:rFonts w:hint="eastAsia" w:ascii="宋体" w:hAnsi="宋体"/>
                <w:color w:val="000000"/>
                <w:sz w:val="18"/>
                <w:szCs w:val="18"/>
              </w:rPr>
              <w:t>餐厅</w:t>
            </w:r>
          </w:p>
        </w:tc>
        <w:tc>
          <w:tcPr>
            <w:tcW w:w="1843" w:type="dxa"/>
            <w:gridSpan w:val="3"/>
            <w:vAlign w:val="center"/>
          </w:tcPr>
          <w:p>
            <w:pPr>
              <w:jc w:val="center"/>
              <w:rPr>
                <w:rFonts w:ascii="宋体" w:hAnsi="宋体"/>
                <w:color w:val="000000"/>
                <w:sz w:val="18"/>
                <w:szCs w:val="18"/>
              </w:rPr>
            </w:pPr>
            <w:r>
              <w:rPr>
                <w:rFonts w:hint="eastAsia" w:ascii="宋体" w:hAnsi="宋体"/>
                <w:color w:val="000000"/>
                <w:sz w:val="18"/>
                <w:szCs w:val="18"/>
              </w:rPr>
              <w:t>0</w:t>
            </w:r>
            <w:r>
              <w:rPr>
                <w:rFonts w:ascii="宋体" w:hAnsi="宋体"/>
                <w:color w:val="000000"/>
                <w:sz w:val="18"/>
                <w:szCs w:val="18"/>
              </w:rPr>
              <w:t>.75</w:t>
            </w:r>
            <w:r>
              <w:rPr>
                <w:rFonts w:hint="eastAsia" w:ascii="宋体" w:hAnsi="宋体"/>
                <w:color w:val="000000"/>
                <w:sz w:val="18"/>
                <w:szCs w:val="18"/>
              </w:rPr>
              <w:t>m餐桌面</w:t>
            </w:r>
          </w:p>
        </w:tc>
        <w:tc>
          <w:tcPr>
            <w:tcW w:w="1843" w:type="dxa"/>
            <w:gridSpan w:val="3"/>
            <w:vAlign w:val="center"/>
          </w:tcPr>
          <w:p>
            <w:pPr>
              <w:jc w:val="center"/>
              <w:rPr>
                <w:rFonts w:ascii="宋体" w:hAnsi="宋体"/>
                <w:color w:val="000000"/>
                <w:sz w:val="18"/>
                <w:szCs w:val="18"/>
              </w:rPr>
            </w:pPr>
            <w:r>
              <w:rPr>
                <w:rFonts w:hint="eastAsia" w:ascii="宋体" w:hAnsi="宋体"/>
                <w:color w:val="000000"/>
                <w:sz w:val="18"/>
                <w:szCs w:val="18"/>
              </w:rPr>
              <w:t>1</w:t>
            </w:r>
            <w:r>
              <w:rPr>
                <w:rFonts w:ascii="宋体" w:hAnsi="宋体"/>
                <w:color w:val="000000"/>
                <w:sz w:val="18"/>
                <w:szCs w:val="18"/>
              </w:rPr>
              <w:t>50</w:t>
            </w:r>
          </w:p>
        </w:tc>
        <w:tc>
          <w:tcPr>
            <w:tcW w:w="1134" w:type="dxa"/>
            <w:vAlign w:val="center"/>
          </w:tcPr>
          <w:p>
            <w:pPr>
              <w:jc w:val="center"/>
              <w:rPr>
                <w:rFonts w:ascii="宋体" w:hAnsi="宋体"/>
                <w:color w:val="000000"/>
                <w:sz w:val="18"/>
                <w:szCs w:val="18"/>
              </w:rPr>
            </w:pPr>
            <w:r>
              <w:rPr>
                <w:rFonts w:hint="eastAsia" w:ascii="宋体" w:hAnsi="宋体"/>
                <w:color w:val="000000"/>
                <w:sz w:val="18"/>
                <w:szCs w:val="18"/>
              </w:rPr>
              <w:t>8</w:t>
            </w:r>
            <w:r>
              <w:rPr>
                <w:rFonts w:ascii="宋体" w:hAnsi="宋体"/>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769" w:type="dxa"/>
            <w:vMerge w:val="restart"/>
            <w:vAlign w:val="center"/>
          </w:tcPr>
          <w:p>
            <w:pPr>
              <w:jc w:val="center"/>
              <w:rPr>
                <w:rFonts w:ascii="宋体" w:hAnsi="宋体"/>
                <w:color w:val="000000"/>
                <w:sz w:val="18"/>
                <w:szCs w:val="18"/>
              </w:rPr>
            </w:pPr>
            <w:r>
              <w:rPr>
                <w:rFonts w:hint="eastAsia" w:ascii="宋体" w:hAnsi="宋体"/>
                <w:color w:val="000000"/>
                <w:sz w:val="18"/>
                <w:szCs w:val="18"/>
              </w:rPr>
              <w:t>厨房</w:t>
            </w:r>
          </w:p>
        </w:tc>
        <w:tc>
          <w:tcPr>
            <w:tcW w:w="1770" w:type="dxa"/>
            <w:gridSpan w:val="3"/>
            <w:vAlign w:val="center"/>
          </w:tcPr>
          <w:p>
            <w:pPr>
              <w:jc w:val="center"/>
              <w:rPr>
                <w:rFonts w:ascii="宋体" w:hAnsi="宋体"/>
                <w:color w:val="000000"/>
                <w:sz w:val="18"/>
                <w:szCs w:val="18"/>
              </w:rPr>
            </w:pPr>
            <w:r>
              <w:rPr>
                <w:rFonts w:hint="eastAsia" w:ascii="宋体" w:hAnsi="宋体"/>
                <w:color w:val="000000"/>
                <w:sz w:val="18"/>
                <w:szCs w:val="18"/>
              </w:rPr>
              <w:t>一般活动</w:t>
            </w:r>
          </w:p>
        </w:tc>
        <w:tc>
          <w:tcPr>
            <w:tcW w:w="1843" w:type="dxa"/>
            <w:gridSpan w:val="3"/>
            <w:vAlign w:val="center"/>
          </w:tcPr>
          <w:p>
            <w:pPr>
              <w:jc w:val="center"/>
              <w:rPr>
                <w:rFonts w:ascii="宋体" w:hAnsi="宋体"/>
                <w:color w:val="000000"/>
                <w:sz w:val="18"/>
                <w:szCs w:val="18"/>
              </w:rPr>
            </w:pPr>
            <w:r>
              <w:rPr>
                <w:rFonts w:hint="eastAsia" w:ascii="宋体" w:hAnsi="宋体"/>
                <w:color w:val="000000"/>
                <w:sz w:val="18"/>
                <w:szCs w:val="18"/>
              </w:rPr>
              <w:t>0</w:t>
            </w:r>
            <w:r>
              <w:rPr>
                <w:rFonts w:ascii="宋体" w:hAnsi="宋体"/>
                <w:color w:val="000000"/>
                <w:sz w:val="18"/>
                <w:szCs w:val="18"/>
              </w:rPr>
              <w:t>.75</w:t>
            </w:r>
            <w:r>
              <w:rPr>
                <w:rFonts w:hint="eastAsia" w:ascii="宋体" w:hAnsi="宋体"/>
                <w:color w:val="000000"/>
                <w:sz w:val="18"/>
                <w:szCs w:val="18"/>
              </w:rPr>
              <w:t>m水平面</w:t>
            </w:r>
          </w:p>
        </w:tc>
        <w:tc>
          <w:tcPr>
            <w:tcW w:w="1843" w:type="dxa"/>
            <w:gridSpan w:val="3"/>
            <w:vAlign w:val="center"/>
          </w:tcPr>
          <w:p>
            <w:pPr>
              <w:jc w:val="center"/>
              <w:rPr>
                <w:rFonts w:ascii="宋体" w:hAnsi="宋体"/>
                <w:color w:val="000000"/>
                <w:sz w:val="18"/>
                <w:szCs w:val="18"/>
              </w:rPr>
            </w:pPr>
            <w:r>
              <w:rPr>
                <w:rFonts w:hint="eastAsia" w:ascii="宋体" w:hAnsi="宋体"/>
                <w:color w:val="000000"/>
                <w:sz w:val="18"/>
                <w:szCs w:val="18"/>
              </w:rPr>
              <w:t>1</w:t>
            </w:r>
            <w:r>
              <w:rPr>
                <w:rFonts w:ascii="宋体" w:hAnsi="宋体"/>
                <w:color w:val="000000"/>
                <w:sz w:val="18"/>
                <w:szCs w:val="18"/>
              </w:rPr>
              <w:t>00</w:t>
            </w:r>
          </w:p>
        </w:tc>
        <w:tc>
          <w:tcPr>
            <w:tcW w:w="1134" w:type="dxa"/>
            <w:vMerge w:val="restart"/>
            <w:vAlign w:val="center"/>
          </w:tcPr>
          <w:p>
            <w:pPr>
              <w:jc w:val="center"/>
              <w:rPr>
                <w:rFonts w:ascii="宋体" w:hAnsi="宋体"/>
                <w:color w:val="000000"/>
                <w:sz w:val="18"/>
                <w:szCs w:val="18"/>
              </w:rPr>
            </w:pPr>
            <w:r>
              <w:rPr>
                <w:rFonts w:hint="eastAsia" w:ascii="宋体" w:hAnsi="宋体"/>
                <w:color w:val="000000"/>
                <w:sz w:val="18"/>
                <w:szCs w:val="18"/>
              </w:rPr>
              <w:t>8</w:t>
            </w:r>
            <w:r>
              <w:rPr>
                <w:rFonts w:ascii="宋体" w:hAnsi="宋体"/>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769" w:type="dxa"/>
            <w:vMerge w:val="continue"/>
            <w:vAlign w:val="center"/>
          </w:tcPr>
          <w:p>
            <w:pPr>
              <w:jc w:val="center"/>
              <w:rPr>
                <w:rFonts w:ascii="宋体" w:hAnsi="宋体"/>
                <w:color w:val="000000"/>
                <w:sz w:val="18"/>
                <w:szCs w:val="18"/>
              </w:rPr>
            </w:pPr>
          </w:p>
        </w:tc>
        <w:tc>
          <w:tcPr>
            <w:tcW w:w="1770" w:type="dxa"/>
            <w:gridSpan w:val="3"/>
            <w:vAlign w:val="center"/>
          </w:tcPr>
          <w:p>
            <w:pPr>
              <w:jc w:val="center"/>
              <w:rPr>
                <w:rFonts w:ascii="宋体" w:hAnsi="宋体"/>
                <w:color w:val="000000"/>
                <w:sz w:val="18"/>
                <w:szCs w:val="18"/>
              </w:rPr>
            </w:pPr>
            <w:r>
              <w:rPr>
                <w:rFonts w:hint="eastAsia" w:ascii="宋体" w:hAnsi="宋体"/>
                <w:color w:val="000000"/>
                <w:sz w:val="18"/>
                <w:szCs w:val="18"/>
              </w:rPr>
              <w:t>操作台</w:t>
            </w:r>
          </w:p>
        </w:tc>
        <w:tc>
          <w:tcPr>
            <w:tcW w:w="1843" w:type="dxa"/>
            <w:gridSpan w:val="3"/>
            <w:vAlign w:val="center"/>
          </w:tcPr>
          <w:p>
            <w:pPr>
              <w:jc w:val="center"/>
              <w:rPr>
                <w:rFonts w:ascii="宋体" w:hAnsi="宋体"/>
                <w:color w:val="000000"/>
                <w:sz w:val="18"/>
                <w:szCs w:val="18"/>
              </w:rPr>
            </w:pPr>
            <w:r>
              <w:rPr>
                <w:rFonts w:hint="eastAsia" w:ascii="宋体" w:hAnsi="宋体"/>
                <w:color w:val="000000"/>
                <w:sz w:val="18"/>
                <w:szCs w:val="18"/>
              </w:rPr>
              <w:t>台面</w:t>
            </w:r>
          </w:p>
        </w:tc>
        <w:tc>
          <w:tcPr>
            <w:tcW w:w="1843" w:type="dxa"/>
            <w:gridSpan w:val="3"/>
            <w:vAlign w:val="center"/>
          </w:tcPr>
          <w:p>
            <w:pPr>
              <w:jc w:val="center"/>
              <w:rPr>
                <w:rFonts w:ascii="宋体" w:hAnsi="宋体"/>
                <w:color w:val="000000"/>
                <w:sz w:val="18"/>
                <w:szCs w:val="18"/>
              </w:rPr>
            </w:pPr>
            <w:r>
              <w:rPr>
                <w:rFonts w:hint="eastAsia" w:ascii="宋体" w:hAnsi="宋体"/>
                <w:color w:val="000000"/>
                <w:sz w:val="18"/>
                <w:szCs w:val="18"/>
              </w:rPr>
              <w:t>1</w:t>
            </w:r>
            <w:r>
              <w:rPr>
                <w:rFonts w:ascii="宋体" w:hAnsi="宋体"/>
                <w:color w:val="000000"/>
                <w:sz w:val="18"/>
                <w:szCs w:val="18"/>
              </w:rPr>
              <w:t>50</w:t>
            </w:r>
            <w:r>
              <w:rPr>
                <w:rFonts w:ascii="宋体" w:hAnsi="宋体"/>
                <w:color w:val="000000"/>
                <w:sz w:val="18"/>
                <w:szCs w:val="18"/>
                <w:vertAlign w:val="superscript"/>
              </w:rPr>
              <w:t>*</w:t>
            </w:r>
          </w:p>
        </w:tc>
        <w:tc>
          <w:tcPr>
            <w:tcW w:w="1134" w:type="dxa"/>
            <w:vMerge w:val="continue"/>
            <w:vAlign w:val="center"/>
          </w:tcPr>
          <w:p>
            <w:pPr>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 w:hRule="atLeast"/>
          <w:jc w:val="center"/>
        </w:trPr>
        <w:tc>
          <w:tcPr>
            <w:tcW w:w="3539" w:type="dxa"/>
            <w:gridSpan w:val="4"/>
            <w:vAlign w:val="center"/>
          </w:tcPr>
          <w:p>
            <w:pPr>
              <w:jc w:val="center"/>
              <w:rPr>
                <w:rFonts w:ascii="宋体" w:hAnsi="宋体"/>
                <w:color w:val="000000"/>
                <w:sz w:val="18"/>
                <w:szCs w:val="18"/>
              </w:rPr>
            </w:pPr>
            <w:r>
              <w:rPr>
                <w:rFonts w:hint="eastAsia" w:ascii="宋体" w:hAnsi="宋体"/>
                <w:color w:val="000000"/>
                <w:sz w:val="18"/>
                <w:szCs w:val="18"/>
              </w:rPr>
              <w:t>卫生间</w:t>
            </w:r>
          </w:p>
        </w:tc>
        <w:tc>
          <w:tcPr>
            <w:tcW w:w="1843" w:type="dxa"/>
            <w:gridSpan w:val="3"/>
            <w:vAlign w:val="center"/>
          </w:tcPr>
          <w:p>
            <w:pPr>
              <w:jc w:val="center"/>
              <w:rPr>
                <w:rFonts w:ascii="宋体" w:hAnsi="宋体"/>
                <w:color w:val="000000"/>
                <w:sz w:val="18"/>
                <w:szCs w:val="18"/>
              </w:rPr>
            </w:pPr>
            <w:r>
              <w:rPr>
                <w:rFonts w:hint="eastAsia" w:ascii="宋体" w:hAnsi="宋体"/>
                <w:color w:val="000000"/>
                <w:sz w:val="18"/>
                <w:szCs w:val="18"/>
              </w:rPr>
              <w:t>0</w:t>
            </w:r>
            <w:r>
              <w:rPr>
                <w:rFonts w:ascii="宋体" w:hAnsi="宋体"/>
                <w:color w:val="000000"/>
                <w:sz w:val="18"/>
                <w:szCs w:val="18"/>
              </w:rPr>
              <w:t>.75</w:t>
            </w:r>
            <w:r>
              <w:rPr>
                <w:rFonts w:hint="eastAsia" w:ascii="宋体" w:hAnsi="宋体"/>
                <w:color w:val="000000"/>
                <w:sz w:val="18"/>
                <w:szCs w:val="18"/>
              </w:rPr>
              <w:t>m水平面</w:t>
            </w:r>
          </w:p>
        </w:tc>
        <w:tc>
          <w:tcPr>
            <w:tcW w:w="1843" w:type="dxa"/>
            <w:gridSpan w:val="3"/>
            <w:vAlign w:val="center"/>
          </w:tcPr>
          <w:p>
            <w:pPr>
              <w:jc w:val="center"/>
              <w:rPr>
                <w:rFonts w:ascii="宋体" w:hAnsi="宋体"/>
                <w:color w:val="000000"/>
                <w:sz w:val="18"/>
                <w:szCs w:val="18"/>
              </w:rPr>
            </w:pPr>
            <w:r>
              <w:rPr>
                <w:rFonts w:hint="eastAsia" w:ascii="宋体" w:hAnsi="宋体"/>
                <w:color w:val="000000"/>
                <w:sz w:val="18"/>
                <w:szCs w:val="18"/>
              </w:rPr>
              <w:t>1</w:t>
            </w:r>
            <w:r>
              <w:rPr>
                <w:rFonts w:ascii="宋体" w:hAnsi="宋体"/>
                <w:color w:val="000000"/>
                <w:sz w:val="18"/>
                <w:szCs w:val="18"/>
              </w:rPr>
              <w:t>00</w:t>
            </w:r>
          </w:p>
        </w:tc>
        <w:tc>
          <w:tcPr>
            <w:tcW w:w="1134" w:type="dxa"/>
            <w:vAlign w:val="center"/>
          </w:tcPr>
          <w:p>
            <w:pPr>
              <w:jc w:val="center"/>
              <w:rPr>
                <w:rFonts w:ascii="宋体" w:hAnsi="宋体"/>
                <w:color w:val="000000"/>
                <w:sz w:val="18"/>
                <w:szCs w:val="18"/>
              </w:rPr>
            </w:pPr>
            <w:r>
              <w:rPr>
                <w:rFonts w:hint="eastAsia" w:ascii="宋体" w:hAnsi="宋体"/>
                <w:color w:val="000000"/>
                <w:sz w:val="18"/>
                <w:szCs w:val="18"/>
              </w:rPr>
              <w:t>8</w:t>
            </w:r>
            <w:r>
              <w:rPr>
                <w:rFonts w:ascii="宋体" w:hAnsi="宋体"/>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3539" w:type="dxa"/>
            <w:gridSpan w:val="4"/>
            <w:vAlign w:val="center"/>
          </w:tcPr>
          <w:p>
            <w:pPr>
              <w:jc w:val="center"/>
              <w:rPr>
                <w:rFonts w:ascii="宋体" w:hAnsi="宋体"/>
                <w:color w:val="000000"/>
                <w:sz w:val="18"/>
                <w:szCs w:val="18"/>
              </w:rPr>
            </w:pPr>
            <w:r>
              <w:rPr>
                <w:rFonts w:hint="eastAsia" w:ascii="宋体" w:hAnsi="宋体"/>
                <w:color w:val="000000"/>
                <w:sz w:val="18"/>
                <w:szCs w:val="18"/>
              </w:rPr>
              <w:t>电梯前厅</w:t>
            </w:r>
          </w:p>
        </w:tc>
        <w:tc>
          <w:tcPr>
            <w:tcW w:w="1843" w:type="dxa"/>
            <w:gridSpan w:val="3"/>
            <w:vAlign w:val="center"/>
          </w:tcPr>
          <w:p>
            <w:pPr>
              <w:jc w:val="center"/>
              <w:rPr>
                <w:rFonts w:ascii="宋体" w:hAnsi="宋体"/>
                <w:color w:val="000000"/>
                <w:sz w:val="18"/>
                <w:szCs w:val="18"/>
              </w:rPr>
            </w:pPr>
            <w:r>
              <w:rPr>
                <w:rFonts w:hint="eastAsia" w:ascii="宋体" w:hAnsi="宋体"/>
                <w:color w:val="000000"/>
                <w:sz w:val="18"/>
                <w:szCs w:val="18"/>
              </w:rPr>
              <w:t>地面</w:t>
            </w:r>
          </w:p>
        </w:tc>
        <w:tc>
          <w:tcPr>
            <w:tcW w:w="1843" w:type="dxa"/>
            <w:gridSpan w:val="3"/>
            <w:vAlign w:val="center"/>
          </w:tcPr>
          <w:p>
            <w:pPr>
              <w:jc w:val="center"/>
              <w:rPr>
                <w:rFonts w:ascii="宋体" w:hAnsi="宋体"/>
                <w:color w:val="000000"/>
                <w:sz w:val="18"/>
                <w:szCs w:val="18"/>
              </w:rPr>
            </w:pPr>
            <w:r>
              <w:rPr>
                <w:rFonts w:hint="eastAsia" w:ascii="宋体" w:hAnsi="宋体"/>
                <w:color w:val="000000"/>
                <w:sz w:val="18"/>
                <w:szCs w:val="18"/>
              </w:rPr>
              <w:t>7</w:t>
            </w:r>
            <w:r>
              <w:rPr>
                <w:rFonts w:ascii="宋体" w:hAnsi="宋体"/>
                <w:color w:val="000000"/>
                <w:sz w:val="18"/>
                <w:szCs w:val="18"/>
              </w:rPr>
              <w:t>5</w:t>
            </w:r>
          </w:p>
        </w:tc>
        <w:tc>
          <w:tcPr>
            <w:tcW w:w="1134" w:type="dxa"/>
            <w:vAlign w:val="center"/>
          </w:tcPr>
          <w:p>
            <w:pPr>
              <w:jc w:val="center"/>
              <w:rPr>
                <w:rFonts w:ascii="宋体" w:hAnsi="宋体"/>
                <w:color w:val="000000"/>
                <w:sz w:val="18"/>
                <w:szCs w:val="18"/>
              </w:rPr>
            </w:pPr>
            <w:r>
              <w:rPr>
                <w:rFonts w:hint="eastAsia" w:ascii="宋体" w:hAnsi="宋体"/>
                <w:color w:val="000000"/>
                <w:sz w:val="18"/>
                <w:szCs w:val="18"/>
              </w:rPr>
              <w:t>6</w:t>
            </w:r>
            <w:r>
              <w:rPr>
                <w:rFonts w:ascii="宋体" w:hAnsi="宋体"/>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3539" w:type="dxa"/>
            <w:gridSpan w:val="4"/>
            <w:vAlign w:val="center"/>
          </w:tcPr>
          <w:p>
            <w:pPr>
              <w:jc w:val="center"/>
              <w:rPr>
                <w:rFonts w:ascii="宋体" w:hAnsi="宋体"/>
                <w:color w:val="000000"/>
                <w:sz w:val="18"/>
                <w:szCs w:val="18"/>
              </w:rPr>
            </w:pPr>
            <w:r>
              <w:rPr>
                <w:rFonts w:hint="eastAsia" w:ascii="宋体" w:hAnsi="宋体"/>
                <w:color w:val="000000"/>
                <w:sz w:val="18"/>
                <w:szCs w:val="18"/>
              </w:rPr>
              <w:t>走道、楼梯间</w:t>
            </w:r>
          </w:p>
        </w:tc>
        <w:tc>
          <w:tcPr>
            <w:tcW w:w="1843" w:type="dxa"/>
            <w:gridSpan w:val="3"/>
            <w:vAlign w:val="center"/>
          </w:tcPr>
          <w:p>
            <w:pPr>
              <w:jc w:val="center"/>
              <w:rPr>
                <w:rFonts w:ascii="宋体" w:hAnsi="宋体"/>
                <w:color w:val="000000"/>
                <w:sz w:val="18"/>
                <w:szCs w:val="18"/>
              </w:rPr>
            </w:pPr>
            <w:r>
              <w:rPr>
                <w:rFonts w:hint="eastAsia" w:ascii="宋体" w:hAnsi="宋体"/>
                <w:color w:val="000000"/>
                <w:sz w:val="18"/>
                <w:szCs w:val="18"/>
              </w:rPr>
              <w:t>地面</w:t>
            </w:r>
          </w:p>
        </w:tc>
        <w:tc>
          <w:tcPr>
            <w:tcW w:w="1843" w:type="dxa"/>
            <w:gridSpan w:val="3"/>
            <w:vAlign w:val="center"/>
          </w:tcPr>
          <w:p>
            <w:pPr>
              <w:jc w:val="center"/>
              <w:rPr>
                <w:rFonts w:ascii="宋体" w:hAnsi="宋体"/>
                <w:color w:val="000000"/>
                <w:sz w:val="18"/>
                <w:szCs w:val="18"/>
              </w:rPr>
            </w:pPr>
            <w:r>
              <w:rPr>
                <w:rFonts w:hint="eastAsia" w:ascii="宋体" w:hAnsi="宋体"/>
                <w:color w:val="000000"/>
                <w:sz w:val="18"/>
                <w:szCs w:val="18"/>
              </w:rPr>
              <w:t>5</w:t>
            </w:r>
            <w:r>
              <w:rPr>
                <w:rFonts w:ascii="宋体" w:hAnsi="宋体"/>
                <w:color w:val="000000"/>
                <w:sz w:val="18"/>
                <w:szCs w:val="18"/>
              </w:rPr>
              <w:t>0</w:t>
            </w:r>
          </w:p>
        </w:tc>
        <w:tc>
          <w:tcPr>
            <w:tcW w:w="1134" w:type="dxa"/>
            <w:vAlign w:val="center"/>
          </w:tcPr>
          <w:p>
            <w:pPr>
              <w:jc w:val="center"/>
              <w:rPr>
                <w:rFonts w:ascii="宋体" w:hAnsi="宋体"/>
                <w:color w:val="000000"/>
                <w:sz w:val="18"/>
                <w:szCs w:val="18"/>
              </w:rPr>
            </w:pPr>
            <w:r>
              <w:rPr>
                <w:rFonts w:hint="eastAsia" w:ascii="宋体" w:hAnsi="宋体"/>
                <w:color w:val="000000"/>
                <w:sz w:val="18"/>
                <w:szCs w:val="18"/>
              </w:rPr>
              <w:t>6</w:t>
            </w:r>
            <w:r>
              <w:rPr>
                <w:rFonts w:ascii="宋体" w:hAnsi="宋体"/>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 w:hRule="atLeast"/>
          <w:jc w:val="center"/>
        </w:trPr>
        <w:tc>
          <w:tcPr>
            <w:tcW w:w="3539" w:type="dxa"/>
            <w:gridSpan w:val="4"/>
            <w:vAlign w:val="center"/>
          </w:tcPr>
          <w:p>
            <w:pPr>
              <w:jc w:val="center"/>
              <w:rPr>
                <w:rFonts w:ascii="宋体" w:hAnsi="宋体"/>
                <w:color w:val="000000"/>
                <w:sz w:val="18"/>
                <w:szCs w:val="18"/>
              </w:rPr>
            </w:pPr>
            <w:r>
              <w:rPr>
                <w:rFonts w:hint="eastAsia" w:ascii="宋体" w:hAnsi="宋体"/>
                <w:color w:val="000000"/>
                <w:sz w:val="18"/>
                <w:szCs w:val="18"/>
              </w:rPr>
              <w:t>车库</w:t>
            </w:r>
          </w:p>
        </w:tc>
        <w:tc>
          <w:tcPr>
            <w:tcW w:w="1843" w:type="dxa"/>
            <w:gridSpan w:val="3"/>
            <w:vAlign w:val="center"/>
          </w:tcPr>
          <w:p>
            <w:pPr>
              <w:jc w:val="center"/>
              <w:rPr>
                <w:rFonts w:ascii="宋体" w:hAnsi="宋体"/>
                <w:color w:val="000000"/>
                <w:sz w:val="18"/>
                <w:szCs w:val="18"/>
              </w:rPr>
            </w:pPr>
            <w:r>
              <w:rPr>
                <w:rFonts w:hint="eastAsia" w:ascii="宋体" w:hAnsi="宋体"/>
                <w:color w:val="000000"/>
                <w:sz w:val="18"/>
                <w:szCs w:val="18"/>
              </w:rPr>
              <w:t>地面</w:t>
            </w:r>
          </w:p>
        </w:tc>
        <w:tc>
          <w:tcPr>
            <w:tcW w:w="1843" w:type="dxa"/>
            <w:gridSpan w:val="3"/>
            <w:vAlign w:val="center"/>
          </w:tcPr>
          <w:p>
            <w:pPr>
              <w:jc w:val="center"/>
              <w:rPr>
                <w:rFonts w:ascii="宋体" w:hAnsi="宋体"/>
                <w:color w:val="000000"/>
                <w:sz w:val="18"/>
                <w:szCs w:val="18"/>
              </w:rPr>
            </w:pPr>
            <w:r>
              <w:rPr>
                <w:rFonts w:hint="eastAsia" w:ascii="宋体" w:hAnsi="宋体"/>
                <w:color w:val="000000"/>
                <w:sz w:val="18"/>
                <w:szCs w:val="18"/>
              </w:rPr>
              <w:t>5</w:t>
            </w:r>
            <w:r>
              <w:rPr>
                <w:rFonts w:ascii="宋体" w:hAnsi="宋体"/>
                <w:color w:val="000000"/>
                <w:sz w:val="18"/>
                <w:szCs w:val="18"/>
              </w:rPr>
              <w:t>0</w:t>
            </w:r>
          </w:p>
        </w:tc>
        <w:tc>
          <w:tcPr>
            <w:tcW w:w="1134" w:type="dxa"/>
            <w:vAlign w:val="center"/>
          </w:tcPr>
          <w:p>
            <w:pPr>
              <w:jc w:val="center"/>
              <w:rPr>
                <w:rFonts w:ascii="宋体" w:hAnsi="宋体"/>
                <w:color w:val="000000"/>
                <w:sz w:val="18"/>
                <w:szCs w:val="18"/>
              </w:rPr>
            </w:pPr>
            <w:r>
              <w:rPr>
                <w:rFonts w:hint="eastAsia" w:ascii="宋体" w:hAnsi="宋体"/>
                <w:color w:val="000000"/>
                <w:sz w:val="18"/>
                <w:szCs w:val="18"/>
              </w:rPr>
              <w:t>6</w:t>
            </w:r>
            <w:r>
              <w:rPr>
                <w:rFonts w:ascii="宋体" w:hAnsi="宋体"/>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359" w:type="dxa"/>
            <w:gridSpan w:val="11"/>
            <w:vAlign w:val="center"/>
          </w:tcPr>
          <w:p>
            <w:pPr>
              <w:jc w:val="center"/>
              <w:rPr>
                <w:rFonts w:ascii="宋体" w:hAnsi="宋体"/>
                <w:b/>
                <w:bCs/>
                <w:color w:val="000000"/>
                <w:sz w:val="24"/>
                <w:szCs w:val="24"/>
              </w:rPr>
            </w:pPr>
            <w:r>
              <w:rPr>
                <w:rFonts w:hint="eastAsia" w:ascii="宋体" w:hAnsi="宋体"/>
                <w:b/>
                <w:bCs/>
                <w:color w:val="000000"/>
                <w:sz w:val="24"/>
                <w:szCs w:val="24"/>
              </w:rPr>
              <w:t>噪声要求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 w:hRule="atLeast"/>
          <w:jc w:val="center"/>
        </w:trPr>
        <w:tc>
          <w:tcPr>
            <w:tcW w:w="5665" w:type="dxa"/>
            <w:gridSpan w:val="8"/>
            <w:vAlign w:val="center"/>
          </w:tcPr>
          <w:p>
            <w:pPr>
              <w:jc w:val="center"/>
              <w:rPr>
                <w:rFonts w:ascii="宋体" w:hAnsi="宋体"/>
                <w:b/>
                <w:bCs/>
                <w:color w:val="000000"/>
                <w:sz w:val="18"/>
                <w:szCs w:val="18"/>
              </w:rPr>
            </w:pPr>
            <w:r>
              <w:rPr>
                <w:rFonts w:hint="eastAsia" w:ascii="宋体" w:hAnsi="宋体"/>
                <w:b/>
                <w:bCs/>
                <w:color w:val="000000"/>
                <w:sz w:val="18"/>
                <w:szCs w:val="18"/>
              </w:rPr>
              <w:t>规范要求</w:t>
            </w:r>
          </w:p>
        </w:tc>
        <w:tc>
          <w:tcPr>
            <w:tcW w:w="2694" w:type="dxa"/>
            <w:gridSpan w:val="3"/>
            <w:vAlign w:val="center"/>
          </w:tcPr>
          <w:p>
            <w:pPr>
              <w:jc w:val="center"/>
              <w:rPr>
                <w:rFonts w:ascii="宋体" w:hAnsi="宋体"/>
                <w:b/>
                <w:bCs/>
                <w:color w:val="000000"/>
                <w:sz w:val="18"/>
                <w:szCs w:val="18"/>
              </w:rPr>
            </w:pPr>
            <w:r>
              <w:rPr>
                <w:rFonts w:hint="eastAsia" w:ascii="宋体" w:hAnsi="宋体"/>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665" w:type="dxa"/>
            <w:gridSpan w:val="8"/>
            <w:vAlign w:val="center"/>
          </w:tcPr>
          <w:p>
            <w:pPr>
              <w:jc w:val="left"/>
              <w:rPr>
                <w:rFonts w:ascii="宋体" w:hAnsi="宋体"/>
                <w:b/>
                <w:bCs/>
                <w:color w:val="000000"/>
                <w:sz w:val="18"/>
                <w:szCs w:val="18"/>
              </w:rPr>
            </w:pPr>
            <w:r>
              <w:rPr>
                <w:rFonts w:hint="eastAsia" w:ascii="宋体" w:hAnsi="宋体"/>
                <w:b/>
                <w:bCs/>
                <w:color w:val="000000"/>
                <w:sz w:val="18"/>
                <w:szCs w:val="18"/>
              </w:rPr>
              <w:t>卧室、起居室（厅）内噪声级，应符合下列规定：</w:t>
            </w:r>
          </w:p>
          <w:p>
            <w:pPr>
              <w:pStyle w:val="21"/>
              <w:numPr>
                <w:ilvl w:val="0"/>
                <w:numId w:val="4"/>
              </w:numPr>
              <w:ind w:hanging="254" w:firstLineChars="0"/>
              <w:jc w:val="left"/>
              <w:rPr>
                <w:rFonts w:ascii="宋体" w:hAnsi="宋体"/>
                <w:b/>
                <w:bCs/>
                <w:color w:val="000000"/>
                <w:sz w:val="18"/>
                <w:szCs w:val="18"/>
              </w:rPr>
            </w:pPr>
            <w:r>
              <w:rPr>
                <w:rFonts w:hint="eastAsia" w:ascii="宋体" w:hAnsi="宋体"/>
                <w:b/>
                <w:bCs/>
                <w:color w:val="000000"/>
                <w:sz w:val="18"/>
                <w:szCs w:val="18"/>
              </w:rPr>
              <w:t>昼间卧室内的等效连续A声级不应大于</w:t>
            </w:r>
            <w:r>
              <w:rPr>
                <w:rFonts w:ascii="宋体" w:hAnsi="宋体"/>
                <w:b/>
                <w:bCs/>
                <w:color w:val="000000"/>
                <w:sz w:val="18"/>
                <w:szCs w:val="18"/>
              </w:rPr>
              <w:t>45</w:t>
            </w:r>
            <w:r>
              <w:rPr>
                <w:rFonts w:hint="eastAsia" w:ascii="宋体" w:hAnsi="宋体"/>
                <w:b/>
                <w:bCs/>
                <w:color w:val="000000"/>
                <w:sz w:val="18"/>
                <w:szCs w:val="18"/>
              </w:rPr>
              <w:t>d</w:t>
            </w:r>
            <w:r>
              <w:rPr>
                <w:rFonts w:ascii="宋体" w:hAnsi="宋体"/>
                <w:b/>
                <w:bCs/>
                <w:color w:val="000000"/>
                <w:sz w:val="18"/>
                <w:szCs w:val="18"/>
              </w:rPr>
              <w:t>B</w:t>
            </w:r>
            <w:r>
              <w:rPr>
                <w:rFonts w:hint="eastAsia" w:ascii="宋体" w:hAnsi="宋体"/>
                <w:b/>
                <w:bCs/>
                <w:color w:val="000000"/>
                <w:sz w:val="18"/>
                <w:szCs w:val="18"/>
              </w:rPr>
              <w:t>；</w:t>
            </w:r>
          </w:p>
          <w:p>
            <w:pPr>
              <w:pStyle w:val="21"/>
              <w:numPr>
                <w:ilvl w:val="0"/>
                <w:numId w:val="4"/>
              </w:numPr>
              <w:ind w:hanging="254" w:firstLineChars="0"/>
              <w:jc w:val="left"/>
              <w:rPr>
                <w:rFonts w:ascii="宋体" w:hAnsi="宋体"/>
                <w:b/>
                <w:bCs/>
                <w:color w:val="000000"/>
                <w:sz w:val="18"/>
                <w:szCs w:val="18"/>
              </w:rPr>
            </w:pPr>
            <w:r>
              <w:rPr>
                <w:rFonts w:hint="eastAsia" w:ascii="宋体" w:hAnsi="宋体"/>
                <w:b/>
                <w:bCs/>
                <w:color w:val="000000"/>
                <w:sz w:val="18"/>
                <w:szCs w:val="18"/>
              </w:rPr>
              <w:t>夜间卧室内的等效连续A声级不应大于</w:t>
            </w:r>
            <w:r>
              <w:rPr>
                <w:rFonts w:ascii="宋体" w:hAnsi="宋体"/>
                <w:b/>
                <w:bCs/>
                <w:color w:val="000000"/>
                <w:sz w:val="18"/>
                <w:szCs w:val="18"/>
              </w:rPr>
              <w:t>37</w:t>
            </w:r>
            <w:r>
              <w:rPr>
                <w:rFonts w:hint="eastAsia" w:ascii="宋体" w:hAnsi="宋体"/>
                <w:b/>
                <w:bCs/>
                <w:color w:val="000000"/>
                <w:sz w:val="18"/>
                <w:szCs w:val="18"/>
              </w:rPr>
              <w:t>d</w:t>
            </w:r>
            <w:r>
              <w:rPr>
                <w:rFonts w:ascii="宋体" w:hAnsi="宋体"/>
                <w:b/>
                <w:bCs/>
                <w:color w:val="000000"/>
                <w:sz w:val="18"/>
                <w:szCs w:val="18"/>
              </w:rPr>
              <w:t>B</w:t>
            </w:r>
            <w:r>
              <w:rPr>
                <w:rFonts w:hint="eastAsia" w:ascii="宋体" w:hAnsi="宋体"/>
                <w:b/>
                <w:bCs/>
                <w:color w:val="000000"/>
                <w:sz w:val="18"/>
                <w:szCs w:val="18"/>
              </w:rPr>
              <w:t>；</w:t>
            </w:r>
          </w:p>
          <w:p>
            <w:pPr>
              <w:pStyle w:val="21"/>
              <w:numPr>
                <w:ilvl w:val="0"/>
                <w:numId w:val="4"/>
              </w:numPr>
              <w:ind w:hanging="254" w:firstLineChars="0"/>
              <w:jc w:val="left"/>
              <w:rPr>
                <w:rFonts w:ascii="宋体" w:hAnsi="宋体"/>
                <w:b/>
                <w:bCs/>
                <w:color w:val="000000"/>
                <w:sz w:val="18"/>
                <w:szCs w:val="18"/>
              </w:rPr>
            </w:pPr>
            <w:r>
              <w:rPr>
                <w:rFonts w:hint="eastAsia" w:ascii="宋体" w:hAnsi="宋体"/>
                <w:b/>
                <w:bCs/>
                <w:color w:val="000000"/>
                <w:sz w:val="18"/>
                <w:szCs w:val="18"/>
              </w:rPr>
              <w:t>起居室（厅）的等效连续A声级不应大于</w:t>
            </w:r>
            <w:r>
              <w:rPr>
                <w:rFonts w:ascii="宋体" w:hAnsi="宋体"/>
                <w:b/>
                <w:bCs/>
                <w:color w:val="000000"/>
                <w:sz w:val="18"/>
                <w:szCs w:val="18"/>
              </w:rPr>
              <w:t>45</w:t>
            </w:r>
            <w:r>
              <w:rPr>
                <w:rFonts w:hint="eastAsia" w:ascii="宋体" w:hAnsi="宋体"/>
                <w:b/>
                <w:bCs/>
                <w:color w:val="000000"/>
                <w:sz w:val="18"/>
                <w:szCs w:val="18"/>
              </w:rPr>
              <w:t>d</w:t>
            </w:r>
            <w:r>
              <w:rPr>
                <w:rFonts w:ascii="宋体" w:hAnsi="宋体"/>
                <w:b/>
                <w:bCs/>
                <w:color w:val="000000"/>
                <w:sz w:val="18"/>
                <w:szCs w:val="18"/>
              </w:rPr>
              <w:t>B</w:t>
            </w:r>
            <w:r>
              <w:rPr>
                <w:rFonts w:hint="eastAsia" w:ascii="宋体" w:hAnsi="宋体"/>
                <w:b/>
                <w:bCs/>
                <w:color w:val="000000"/>
                <w:sz w:val="18"/>
                <w:szCs w:val="18"/>
              </w:rPr>
              <w:t>。</w:t>
            </w:r>
          </w:p>
        </w:tc>
        <w:tc>
          <w:tcPr>
            <w:tcW w:w="2694" w:type="dxa"/>
            <w:gridSpan w:val="3"/>
            <w:vAlign w:val="center"/>
          </w:tcPr>
          <w:p>
            <w:pPr>
              <w:jc w:val="left"/>
              <w:rPr>
                <w:rFonts w:ascii="宋体" w:hAnsi="宋体"/>
                <w:color w:val="000000"/>
                <w:sz w:val="18"/>
                <w:szCs w:val="18"/>
              </w:rPr>
            </w:pPr>
            <w:r>
              <w:rPr>
                <w:rFonts w:hint="eastAsia" w:ascii="宋体" w:hAnsi="宋体"/>
                <w:color w:val="000000"/>
                <w:sz w:val="18"/>
                <w:szCs w:val="18"/>
              </w:rPr>
              <w:t>《住宅设计规范》第7</w:t>
            </w:r>
            <w:r>
              <w:rPr>
                <w:rFonts w:ascii="宋体" w:hAnsi="宋体"/>
                <w:color w:val="000000"/>
                <w:sz w:val="18"/>
                <w:szCs w:val="18"/>
              </w:rPr>
              <w:t>.3.1</w:t>
            </w:r>
            <w:r>
              <w:rPr>
                <w:rFonts w:hint="eastAsia" w:ascii="宋体" w:hAnsi="宋体"/>
                <w:color w:val="000000"/>
                <w:sz w:val="18"/>
                <w:szCs w:val="18"/>
              </w:rPr>
              <w:t>条</w:t>
            </w:r>
          </w:p>
          <w:p>
            <w:pPr>
              <w:jc w:val="left"/>
              <w:rPr>
                <w:rFonts w:ascii="宋体" w:hAnsi="宋体"/>
                <w:color w:val="000000"/>
                <w:sz w:val="18"/>
                <w:szCs w:val="18"/>
              </w:rPr>
            </w:pPr>
            <w:r>
              <w:rPr>
                <w:rFonts w:hint="eastAsia" w:ascii="宋体" w:hAnsi="宋体"/>
                <w:color w:val="000000"/>
                <w:sz w:val="18"/>
                <w:szCs w:val="18"/>
              </w:rPr>
              <w:t>《民用建筑隔声设计规范》第</w:t>
            </w:r>
            <w:r>
              <w:rPr>
                <w:rFonts w:ascii="宋体" w:hAnsi="宋体"/>
                <w:color w:val="000000"/>
                <w:sz w:val="18"/>
                <w:szCs w:val="18"/>
              </w:rPr>
              <w:t>4.1.1</w:t>
            </w:r>
            <w:r>
              <w:rPr>
                <w:rFonts w:hint="eastAsia" w:ascii="宋体" w:hAnsi="宋体"/>
                <w:color w:val="000000"/>
                <w:sz w:val="18"/>
                <w:szCs w:val="18"/>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665" w:type="dxa"/>
            <w:gridSpan w:val="8"/>
            <w:vAlign w:val="center"/>
          </w:tcPr>
          <w:p>
            <w:pPr>
              <w:jc w:val="left"/>
              <w:rPr>
                <w:rFonts w:ascii="宋体" w:hAnsi="宋体"/>
                <w:color w:val="000000"/>
                <w:sz w:val="18"/>
                <w:szCs w:val="18"/>
              </w:rPr>
            </w:pPr>
            <w:r>
              <w:rPr>
                <w:rFonts w:hint="eastAsia" w:ascii="宋体" w:hAnsi="宋体"/>
                <w:color w:val="000000"/>
                <w:sz w:val="18"/>
                <w:szCs w:val="18"/>
              </w:rPr>
              <w:t>（高要求的住宅）卧室、起居室（厅）内噪声级，应符合下列规定：</w:t>
            </w:r>
          </w:p>
          <w:p>
            <w:pPr>
              <w:pStyle w:val="21"/>
              <w:numPr>
                <w:ilvl w:val="0"/>
                <w:numId w:val="5"/>
              </w:numPr>
              <w:ind w:hanging="254" w:firstLineChars="0"/>
              <w:jc w:val="left"/>
              <w:rPr>
                <w:rFonts w:ascii="宋体" w:hAnsi="宋体"/>
                <w:color w:val="000000"/>
                <w:sz w:val="18"/>
                <w:szCs w:val="18"/>
              </w:rPr>
            </w:pPr>
            <w:r>
              <w:rPr>
                <w:rFonts w:hint="eastAsia" w:ascii="宋体" w:hAnsi="宋体"/>
                <w:color w:val="000000"/>
                <w:sz w:val="18"/>
                <w:szCs w:val="18"/>
              </w:rPr>
              <w:t>昼间卧室内的等效连续A声级不应大于</w:t>
            </w:r>
            <w:r>
              <w:rPr>
                <w:rFonts w:ascii="宋体" w:hAnsi="宋体"/>
                <w:color w:val="000000"/>
                <w:sz w:val="18"/>
                <w:szCs w:val="18"/>
              </w:rPr>
              <w:t>40</w:t>
            </w:r>
            <w:r>
              <w:rPr>
                <w:rFonts w:hint="eastAsia" w:ascii="宋体" w:hAnsi="宋体"/>
                <w:color w:val="000000"/>
                <w:sz w:val="18"/>
                <w:szCs w:val="18"/>
              </w:rPr>
              <w:t>d</w:t>
            </w:r>
            <w:r>
              <w:rPr>
                <w:rFonts w:ascii="宋体" w:hAnsi="宋体"/>
                <w:color w:val="000000"/>
                <w:sz w:val="18"/>
                <w:szCs w:val="18"/>
              </w:rPr>
              <w:t>B</w:t>
            </w:r>
            <w:r>
              <w:rPr>
                <w:rFonts w:hint="eastAsia" w:ascii="宋体" w:hAnsi="宋体"/>
                <w:color w:val="000000"/>
                <w:sz w:val="18"/>
                <w:szCs w:val="18"/>
              </w:rPr>
              <w:t>；</w:t>
            </w:r>
          </w:p>
          <w:p>
            <w:pPr>
              <w:pStyle w:val="21"/>
              <w:numPr>
                <w:ilvl w:val="0"/>
                <w:numId w:val="5"/>
              </w:numPr>
              <w:ind w:hanging="254" w:firstLineChars="0"/>
              <w:jc w:val="left"/>
              <w:rPr>
                <w:rFonts w:ascii="宋体" w:hAnsi="宋体"/>
                <w:color w:val="000000"/>
                <w:sz w:val="18"/>
                <w:szCs w:val="18"/>
              </w:rPr>
            </w:pPr>
            <w:r>
              <w:rPr>
                <w:rFonts w:hint="eastAsia" w:ascii="宋体" w:hAnsi="宋体"/>
                <w:color w:val="000000"/>
                <w:sz w:val="18"/>
                <w:szCs w:val="18"/>
              </w:rPr>
              <w:t>夜间卧室内的等效连续A声级不应大于</w:t>
            </w:r>
            <w:r>
              <w:rPr>
                <w:rFonts w:ascii="宋体" w:hAnsi="宋体"/>
                <w:color w:val="000000"/>
                <w:sz w:val="18"/>
                <w:szCs w:val="18"/>
              </w:rPr>
              <w:t>30</w:t>
            </w:r>
            <w:r>
              <w:rPr>
                <w:rFonts w:hint="eastAsia" w:ascii="宋体" w:hAnsi="宋体"/>
                <w:color w:val="000000"/>
                <w:sz w:val="18"/>
                <w:szCs w:val="18"/>
              </w:rPr>
              <w:t>d</w:t>
            </w:r>
            <w:r>
              <w:rPr>
                <w:rFonts w:ascii="宋体" w:hAnsi="宋体"/>
                <w:color w:val="000000"/>
                <w:sz w:val="18"/>
                <w:szCs w:val="18"/>
              </w:rPr>
              <w:t>B</w:t>
            </w:r>
            <w:r>
              <w:rPr>
                <w:rFonts w:hint="eastAsia" w:ascii="宋体" w:hAnsi="宋体"/>
                <w:color w:val="000000"/>
                <w:sz w:val="18"/>
                <w:szCs w:val="18"/>
              </w:rPr>
              <w:t>；</w:t>
            </w:r>
          </w:p>
          <w:p>
            <w:pPr>
              <w:pStyle w:val="21"/>
              <w:numPr>
                <w:ilvl w:val="0"/>
                <w:numId w:val="5"/>
              </w:numPr>
              <w:ind w:hanging="254" w:firstLineChars="0"/>
              <w:jc w:val="left"/>
              <w:rPr>
                <w:rFonts w:ascii="宋体" w:hAnsi="宋体"/>
                <w:color w:val="000000"/>
                <w:sz w:val="18"/>
                <w:szCs w:val="18"/>
              </w:rPr>
            </w:pPr>
            <w:r>
              <w:rPr>
                <w:rFonts w:hint="eastAsia" w:ascii="宋体" w:hAnsi="宋体"/>
                <w:color w:val="000000"/>
                <w:sz w:val="18"/>
                <w:szCs w:val="18"/>
              </w:rPr>
              <w:t>起居室（厅）的等效连续A声级不应大于</w:t>
            </w:r>
            <w:r>
              <w:rPr>
                <w:rFonts w:ascii="宋体" w:hAnsi="宋体"/>
                <w:color w:val="000000"/>
                <w:sz w:val="18"/>
                <w:szCs w:val="18"/>
              </w:rPr>
              <w:t>40</w:t>
            </w:r>
            <w:r>
              <w:rPr>
                <w:rFonts w:hint="eastAsia" w:ascii="宋体" w:hAnsi="宋体"/>
                <w:color w:val="000000"/>
                <w:sz w:val="18"/>
                <w:szCs w:val="18"/>
              </w:rPr>
              <w:t>d</w:t>
            </w:r>
            <w:r>
              <w:rPr>
                <w:rFonts w:ascii="宋体" w:hAnsi="宋体"/>
                <w:color w:val="000000"/>
                <w:sz w:val="18"/>
                <w:szCs w:val="18"/>
              </w:rPr>
              <w:t>B</w:t>
            </w:r>
            <w:r>
              <w:rPr>
                <w:rFonts w:hint="eastAsia" w:ascii="宋体" w:hAnsi="宋体"/>
                <w:color w:val="000000"/>
                <w:sz w:val="18"/>
                <w:szCs w:val="18"/>
              </w:rPr>
              <w:t>。</w:t>
            </w:r>
          </w:p>
        </w:tc>
        <w:tc>
          <w:tcPr>
            <w:tcW w:w="2694" w:type="dxa"/>
            <w:gridSpan w:val="3"/>
            <w:vAlign w:val="center"/>
          </w:tcPr>
          <w:p>
            <w:pPr>
              <w:jc w:val="left"/>
              <w:rPr>
                <w:rFonts w:ascii="宋体" w:hAnsi="宋体"/>
                <w:color w:val="000000"/>
                <w:sz w:val="18"/>
                <w:szCs w:val="18"/>
              </w:rPr>
            </w:pPr>
            <w:r>
              <w:rPr>
                <w:rFonts w:hint="eastAsia" w:ascii="宋体" w:hAnsi="宋体"/>
                <w:color w:val="000000"/>
                <w:sz w:val="18"/>
                <w:szCs w:val="18"/>
              </w:rPr>
              <w:t>《民用建筑隔声设计规范》第</w:t>
            </w:r>
            <w:r>
              <w:rPr>
                <w:rFonts w:ascii="宋体" w:hAnsi="宋体"/>
                <w:color w:val="000000"/>
                <w:sz w:val="18"/>
                <w:szCs w:val="18"/>
              </w:rPr>
              <w:t>4.1.2</w:t>
            </w:r>
            <w:r>
              <w:rPr>
                <w:rFonts w:hint="eastAsia" w:ascii="宋体" w:hAnsi="宋体"/>
                <w:color w:val="000000"/>
                <w:sz w:val="18"/>
                <w:szCs w:val="18"/>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359" w:type="dxa"/>
            <w:gridSpan w:val="11"/>
            <w:vAlign w:val="center"/>
          </w:tcPr>
          <w:p>
            <w:pPr>
              <w:jc w:val="center"/>
              <w:rPr>
                <w:rFonts w:ascii="宋体" w:hAnsi="宋体"/>
                <w:b/>
                <w:bCs/>
                <w:color w:val="000000"/>
                <w:sz w:val="18"/>
                <w:szCs w:val="18"/>
              </w:rPr>
            </w:pPr>
            <w:r>
              <w:rPr>
                <w:rFonts w:hint="eastAsia" w:ascii="宋体" w:hAnsi="宋体"/>
                <w:b/>
                <w:bCs/>
                <w:color w:val="000000"/>
                <w:sz w:val="24"/>
                <w:szCs w:val="24"/>
              </w:rPr>
              <w:t xml:space="preserve">隔声要求 </w:t>
            </w:r>
            <w:r>
              <w:rPr>
                <w:rFonts w:ascii="宋体" w:hAnsi="宋体"/>
                <w:b/>
                <w:bCs/>
                <w:color w:val="00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 w:hRule="atLeast"/>
          <w:jc w:val="center"/>
        </w:trPr>
        <w:tc>
          <w:tcPr>
            <w:tcW w:w="1980" w:type="dxa"/>
            <w:gridSpan w:val="2"/>
            <w:vMerge w:val="restart"/>
            <w:vAlign w:val="center"/>
          </w:tcPr>
          <w:p>
            <w:pPr>
              <w:jc w:val="center"/>
              <w:rPr>
                <w:rFonts w:ascii="宋体" w:hAnsi="宋体"/>
                <w:b/>
                <w:bCs/>
                <w:color w:val="000000"/>
                <w:sz w:val="18"/>
                <w:szCs w:val="18"/>
              </w:rPr>
            </w:pPr>
            <w:r>
              <w:rPr>
                <w:rFonts w:hint="eastAsia" w:ascii="宋体" w:hAnsi="宋体"/>
                <w:b/>
                <w:bCs/>
                <w:color w:val="000000"/>
                <w:sz w:val="18"/>
                <w:szCs w:val="18"/>
              </w:rPr>
              <w:t>构件名称</w:t>
            </w:r>
          </w:p>
        </w:tc>
        <w:tc>
          <w:tcPr>
            <w:tcW w:w="6379" w:type="dxa"/>
            <w:gridSpan w:val="9"/>
            <w:vAlign w:val="center"/>
          </w:tcPr>
          <w:p>
            <w:pPr>
              <w:jc w:val="center"/>
              <w:rPr>
                <w:rFonts w:ascii="宋体" w:hAnsi="宋体"/>
                <w:b/>
                <w:bCs/>
                <w:color w:val="000000"/>
                <w:sz w:val="18"/>
                <w:szCs w:val="18"/>
              </w:rPr>
            </w:pPr>
            <w:r>
              <w:rPr>
                <w:rFonts w:hint="eastAsia" w:ascii="宋体" w:hAnsi="宋体"/>
                <w:b/>
                <w:bCs/>
                <w:color w:val="000000"/>
                <w:sz w:val="18"/>
                <w:szCs w:val="18"/>
              </w:rPr>
              <w:t>构件空气声隔声标准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80" w:type="dxa"/>
            <w:gridSpan w:val="2"/>
            <w:vMerge w:val="continue"/>
            <w:vAlign w:val="center"/>
          </w:tcPr>
          <w:p>
            <w:pPr>
              <w:jc w:val="center"/>
              <w:rPr>
                <w:rFonts w:ascii="宋体" w:hAnsi="宋体"/>
                <w:b/>
                <w:bCs/>
                <w:color w:val="000000"/>
                <w:sz w:val="18"/>
                <w:szCs w:val="18"/>
              </w:rPr>
            </w:pPr>
          </w:p>
        </w:tc>
        <w:tc>
          <w:tcPr>
            <w:tcW w:w="3118" w:type="dxa"/>
            <w:gridSpan w:val="4"/>
            <w:vAlign w:val="center"/>
          </w:tcPr>
          <w:p>
            <w:pPr>
              <w:jc w:val="center"/>
              <w:rPr>
                <w:rFonts w:ascii="宋体" w:hAnsi="宋体"/>
                <w:b/>
                <w:bCs/>
                <w:color w:val="000000"/>
                <w:sz w:val="18"/>
                <w:szCs w:val="18"/>
              </w:rPr>
            </w:pPr>
            <w:r>
              <w:rPr>
                <w:rFonts w:hint="eastAsia" w:ascii="宋体" w:hAnsi="宋体"/>
                <w:b/>
                <w:bCs/>
                <w:color w:val="000000"/>
                <w:sz w:val="18"/>
                <w:szCs w:val="18"/>
              </w:rPr>
              <w:t>常规住宅</w:t>
            </w:r>
          </w:p>
        </w:tc>
        <w:tc>
          <w:tcPr>
            <w:tcW w:w="3261" w:type="dxa"/>
            <w:gridSpan w:val="5"/>
            <w:vAlign w:val="center"/>
          </w:tcPr>
          <w:p>
            <w:pPr>
              <w:jc w:val="center"/>
              <w:rPr>
                <w:rFonts w:ascii="宋体" w:hAnsi="宋体"/>
                <w:b/>
                <w:bCs/>
                <w:color w:val="000000"/>
                <w:sz w:val="18"/>
                <w:szCs w:val="18"/>
              </w:rPr>
            </w:pPr>
            <w:r>
              <w:rPr>
                <w:rFonts w:hint="eastAsia" w:ascii="宋体" w:hAnsi="宋体"/>
                <w:b/>
                <w:bCs/>
                <w:color w:val="000000"/>
                <w:sz w:val="18"/>
                <w:szCs w:val="18"/>
              </w:rPr>
              <w:t>高要求住宅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80" w:type="dxa"/>
            <w:gridSpan w:val="2"/>
            <w:vMerge w:val="continue"/>
            <w:vAlign w:val="center"/>
          </w:tcPr>
          <w:p>
            <w:pPr>
              <w:jc w:val="center"/>
              <w:rPr>
                <w:rFonts w:ascii="宋体" w:hAnsi="宋体"/>
                <w:b/>
                <w:bCs/>
                <w:color w:val="000000"/>
                <w:sz w:val="18"/>
                <w:szCs w:val="18"/>
              </w:rPr>
            </w:pPr>
          </w:p>
        </w:tc>
        <w:tc>
          <w:tcPr>
            <w:tcW w:w="1134" w:type="dxa"/>
            <w:vAlign w:val="center"/>
          </w:tcPr>
          <w:p>
            <w:pPr>
              <w:jc w:val="center"/>
              <w:rPr>
                <w:rFonts w:ascii="宋体" w:hAnsi="宋体"/>
                <w:b/>
                <w:bCs/>
                <w:color w:val="000000"/>
                <w:sz w:val="18"/>
                <w:szCs w:val="18"/>
              </w:rPr>
            </w:pPr>
            <w:r>
              <w:rPr>
                <w:rFonts w:hint="eastAsia" w:ascii="宋体" w:hAnsi="宋体"/>
                <w:b/>
                <w:bCs/>
                <w:color w:val="000000"/>
                <w:sz w:val="18"/>
                <w:szCs w:val="18"/>
              </w:rPr>
              <w:t>空气声隔声</w:t>
            </w:r>
          </w:p>
        </w:tc>
        <w:tc>
          <w:tcPr>
            <w:tcW w:w="1984" w:type="dxa"/>
            <w:gridSpan w:val="3"/>
            <w:vAlign w:val="center"/>
          </w:tcPr>
          <w:p>
            <w:pPr>
              <w:jc w:val="center"/>
              <w:rPr>
                <w:rFonts w:ascii="宋体" w:hAnsi="宋体"/>
                <w:b/>
                <w:bCs/>
                <w:color w:val="000000"/>
                <w:sz w:val="18"/>
                <w:szCs w:val="18"/>
              </w:rPr>
            </w:pPr>
            <w:r>
              <w:rPr>
                <w:rFonts w:hint="eastAsia" w:ascii="宋体" w:hAnsi="宋体"/>
                <w:b/>
                <w:bCs/>
                <w:color w:val="000000"/>
                <w:sz w:val="18"/>
                <w:szCs w:val="18"/>
              </w:rPr>
              <w:t>备注</w:t>
            </w:r>
          </w:p>
        </w:tc>
        <w:tc>
          <w:tcPr>
            <w:tcW w:w="1134" w:type="dxa"/>
            <w:gridSpan w:val="3"/>
            <w:vAlign w:val="center"/>
          </w:tcPr>
          <w:p>
            <w:pPr>
              <w:jc w:val="center"/>
              <w:rPr>
                <w:rFonts w:ascii="宋体" w:hAnsi="宋体"/>
                <w:b/>
                <w:bCs/>
                <w:color w:val="000000"/>
                <w:sz w:val="18"/>
                <w:szCs w:val="18"/>
              </w:rPr>
            </w:pPr>
            <w:r>
              <w:rPr>
                <w:rFonts w:hint="eastAsia" w:ascii="宋体" w:hAnsi="宋体"/>
                <w:b/>
                <w:bCs/>
                <w:color w:val="000000"/>
                <w:sz w:val="18"/>
                <w:szCs w:val="18"/>
              </w:rPr>
              <w:t>空气声隔声</w:t>
            </w:r>
          </w:p>
        </w:tc>
        <w:tc>
          <w:tcPr>
            <w:tcW w:w="2127" w:type="dxa"/>
            <w:gridSpan w:val="2"/>
            <w:vAlign w:val="center"/>
          </w:tcPr>
          <w:p>
            <w:pPr>
              <w:jc w:val="center"/>
              <w:rPr>
                <w:rFonts w:ascii="宋体" w:hAnsi="宋体"/>
                <w:b/>
                <w:bCs/>
                <w:color w:val="000000"/>
                <w:sz w:val="18"/>
                <w:szCs w:val="18"/>
              </w:rPr>
            </w:pPr>
            <w:r>
              <w:rPr>
                <w:rFonts w:hint="eastAsia" w:ascii="宋体" w:hAnsi="宋体"/>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80" w:type="dxa"/>
            <w:gridSpan w:val="2"/>
            <w:vAlign w:val="center"/>
          </w:tcPr>
          <w:p>
            <w:pPr>
              <w:jc w:val="center"/>
              <w:rPr>
                <w:rFonts w:ascii="宋体" w:hAnsi="宋体"/>
                <w:b/>
                <w:bCs/>
                <w:color w:val="000000"/>
                <w:sz w:val="18"/>
                <w:szCs w:val="18"/>
              </w:rPr>
            </w:pPr>
            <w:r>
              <w:rPr>
                <w:rFonts w:hint="eastAsia" w:ascii="宋体" w:hAnsi="宋体"/>
                <w:b/>
                <w:bCs/>
                <w:color w:val="000000"/>
                <w:sz w:val="18"/>
                <w:szCs w:val="18"/>
              </w:rPr>
              <w:t>分户墙、分户楼板</w:t>
            </w:r>
          </w:p>
        </w:tc>
        <w:tc>
          <w:tcPr>
            <w:tcW w:w="1134" w:type="dxa"/>
            <w:vAlign w:val="center"/>
          </w:tcPr>
          <w:p>
            <w:pPr>
              <w:jc w:val="center"/>
              <w:rPr>
                <w:rFonts w:ascii="宋体" w:hAnsi="宋体"/>
                <w:b/>
                <w:bCs/>
                <w:color w:val="000000"/>
                <w:sz w:val="18"/>
                <w:szCs w:val="18"/>
              </w:rPr>
            </w:pPr>
            <w:r>
              <w:rPr>
                <w:rFonts w:hint="eastAsia" w:ascii="宋体" w:hAnsi="宋体"/>
                <w:b/>
                <w:bCs/>
                <w:color w:val="000000"/>
                <w:sz w:val="18"/>
                <w:szCs w:val="18"/>
              </w:rPr>
              <w:t>＞4</w:t>
            </w:r>
            <w:r>
              <w:rPr>
                <w:rFonts w:ascii="宋体" w:hAnsi="宋体"/>
                <w:b/>
                <w:bCs/>
                <w:color w:val="000000"/>
                <w:sz w:val="18"/>
                <w:szCs w:val="18"/>
              </w:rPr>
              <w:t>5</w:t>
            </w:r>
          </w:p>
        </w:tc>
        <w:tc>
          <w:tcPr>
            <w:tcW w:w="1984" w:type="dxa"/>
            <w:gridSpan w:val="3"/>
            <w:vAlign w:val="center"/>
          </w:tcPr>
          <w:p>
            <w:pPr>
              <w:jc w:val="left"/>
              <w:rPr>
                <w:rFonts w:ascii="宋体" w:hAnsi="宋体"/>
                <w:color w:val="000000"/>
                <w:sz w:val="18"/>
                <w:szCs w:val="18"/>
              </w:rPr>
            </w:pPr>
            <w:r>
              <w:rPr>
                <w:rFonts w:hint="eastAsia" w:ascii="宋体" w:hAnsi="宋体"/>
                <w:color w:val="000000"/>
                <w:sz w:val="18"/>
                <w:szCs w:val="18"/>
              </w:rPr>
              <w:t>《民用建筑隔声设计规范》第</w:t>
            </w:r>
            <w:r>
              <w:rPr>
                <w:rFonts w:ascii="宋体" w:hAnsi="宋体"/>
                <w:color w:val="000000"/>
                <w:sz w:val="18"/>
                <w:szCs w:val="18"/>
              </w:rPr>
              <w:t>4.2.1</w:t>
            </w:r>
            <w:r>
              <w:rPr>
                <w:rFonts w:hint="eastAsia" w:ascii="宋体" w:hAnsi="宋体"/>
                <w:color w:val="000000"/>
                <w:sz w:val="18"/>
                <w:szCs w:val="18"/>
              </w:rPr>
              <w:t>条；</w:t>
            </w:r>
          </w:p>
          <w:p>
            <w:pPr>
              <w:jc w:val="left"/>
              <w:rPr>
                <w:rFonts w:ascii="宋体" w:hAnsi="宋体"/>
                <w:color w:val="000000"/>
                <w:sz w:val="18"/>
                <w:szCs w:val="18"/>
              </w:rPr>
            </w:pPr>
            <w:r>
              <w:rPr>
                <w:rFonts w:hint="eastAsia" w:ascii="宋体" w:hAnsi="宋体"/>
                <w:color w:val="000000"/>
                <w:sz w:val="18"/>
                <w:szCs w:val="18"/>
              </w:rPr>
              <w:t>《住宅设计规范》第7</w:t>
            </w:r>
            <w:r>
              <w:rPr>
                <w:rFonts w:ascii="宋体" w:hAnsi="宋体"/>
                <w:color w:val="000000"/>
                <w:sz w:val="18"/>
                <w:szCs w:val="18"/>
              </w:rPr>
              <w:t>.3.2</w:t>
            </w:r>
            <w:r>
              <w:rPr>
                <w:rFonts w:hint="eastAsia" w:ascii="宋体" w:hAnsi="宋体"/>
                <w:color w:val="000000"/>
                <w:sz w:val="18"/>
                <w:szCs w:val="18"/>
              </w:rPr>
              <w:t>条</w:t>
            </w:r>
          </w:p>
        </w:tc>
        <w:tc>
          <w:tcPr>
            <w:tcW w:w="1134" w:type="dxa"/>
            <w:gridSpan w:val="3"/>
            <w:vAlign w:val="center"/>
          </w:tcPr>
          <w:p>
            <w:pPr>
              <w:jc w:val="center"/>
              <w:rPr>
                <w:rFonts w:ascii="宋体" w:hAnsi="宋体"/>
                <w:color w:val="000000"/>
                <w:sz w:val="18"/>
                <w:szCs w:val="18"/>
              </w:rPr>
            </w:pPr>
            <w:r>
              <w:rPr>
                <w:rFonts w:hint="eastAsia" w:ascii="宋体" w:hAnsi="宋体"/>
                <w:color w:val="000000"/>
                <w:sz w:val="18"/>
                <w:szCs w:val="18"/>
              </w:rPr>
              <w:t>＞</w:t>
            </w:r>
            <w:r>
              <w:rPr>
                <w:rFonts w:ascii="宋体" w:hAnsi="宋体"/>
                <w:color w:val="000000"/>
                <w:sz w:val="18"/>
                <w:szCs w:val="18"/>
              </w:rPr>
              <w:t>50</w:t>
            </w:r>
          </w:p>
        </w:tc>
        <w:tc>
          <w:tcPr>
            <w:tcW w:w="2127" w:type="dxa"/>
            <w:gridSpan w:val="2"/>
            <w:vAlign w:val="center"/>
          </w:tcPr>
          <w:p>
            <w:pPr>
              <w:jc w:val="left"/>
              <w:rPr>
                <w:rFonts w:ascii="宋体" w:hAnsi="宋体"/>
                <w:color w:val="000000"/>
                <w:sz w:val="18"/>
                <w:szCs w:val="18"/>
              </w:rPr>
            </w:pPr>
            <w:r>
              <w:rPr>
                <w:rFonts w:hint="eastAsia" w:ascii="宋体" w:hAnsi="宋体"/>
                <w:color w:val="000000"/>
                <w:sz w:val="18"/>
                <w:szCs w:val="18"/>
              </w:rPr>
              <w:t>《民用建筑隔声设计规范》第</w:t>
            </w:r>
            <w:r>
              <w:rPr>
                <w:rFonts w:ascii="宋体" w:hAnsi="宋体"/>
                <w:color w:val="000000"/>
                <w:sz w:val="18"/>
                <w:szCs w:val="18"/>
              </w:rPr>
              <w:t>4.2.3</w:t>
            </w:r>
            <w:r>
              <w:rPr>
                <w:rFonts w:hint="eastAsia" w:ascii="宋体" w:hAnsi="宋体"/>
                <w:color w:val="000000"/>
                <w:sz w:val="18"/>
                <w:szCs w:val="18"/>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 w:hRule="atLeast"/>
          <w:jc w:val="center"/>
        </w:trPr>
        <w:tc>
          <w:tcPr>
            <w:tcW w:w="1980" w:type="dxa"/>
            <w:gridSpan w:val="2"/>
            <w:vAlign w:val="center"/>
          </w:tcPr>
          <w:p>
            <w:pPr>
              <w:jc w:val="center"/>
              <w:rPr>
                <w:rFonts w:ascii="宋体" w:hAnsi="宋体"/>
                <w:b/>
                <w:bCs/>
                <w:color w:val="000000"/>
                <w:sz w:val="18"/>
                <w:szCs w:val="18"/>
              </w:rPr>
            </w:pPr>
            <w:r>
              <w:rPr>
                <w:rFonts w:hint="eastAsia" w:ascii="宋体" w:hAnsi="宋体"/>
                <w:b/>
                <w:bCs/>
                <w:color w:val="000000"/>
                <w:sz w:val="18"/>
                <w:szCs w:val="18"/>
              </w:rPr>
              <w:t>分隔住宅和非居住用途空间的楼板</w:t>
            </w:r>
          </w:p>
        </w:tc>
        <w:tc>
          <w:tcPr>
            <w:tcW w:w="1134" w:type="dxa"/>
            <w:vAlign w:val="center"/>
          </w:tcPr>
          <w:p>
            <w:pPr>
              <w:jc w:val="center"/>
              <w:rPr>
                <w:rFonts w:ascii="宋体" w:hAnsi="宋体"/>
                <w:b/>
                <w:bCs/>
                <w:color w:val="000000"/>
                <w:sz w:val="18"/>
                <w:szCs w:val="18"/>
              </w:rPr>
            </w:pPr>
            <w:r>
              <w:rPr>
                <w:rFonts w:hint="eastAsia" w:ascii="宋体" w:hAnsi="宋体"/>
                <w:b/>
                <w:bCs/>
                <w:color w:val="000000"/>
                <w:sz w:val="18"/>
                <w:szCs w:val="18"/>
              </w:rPr>
              <w:t>≥</w:t>
            </w:r>
            <w:r>
              <w:rPr>
                <w:rFonts w:ascii="宋体" w:hAnsi="宋体"/>
                <w:b/>
                <w:bCs/>
                <w:color w:val="000000"/>
                <w:sz w:val="18"/>
                <w:szCs w:val="18"/>
              </w:rPr>
              <w:t>55</w:t>
            </w:r>
          </w:p>
        </w:tc>
        <w:tc>
          <w:tcPr>
            <w:tcW w:w="1984" w:type="dxa"/>
            <w:gridSpan w:val="3"/>
            <w:vAlign w:val="center"/>
          </w:tcPr>
          <w:p>
            <w:pPr>
              <w:jc w:val="left"/>
              <w:rPr>
                <w:rFonts w:ascii="宋体" w:hAnsi="宋体"/>
                <w:color w:val="000000"/>
                <w:sz w:val="18"/>
                <w:szCs w:val="18"/>
              </w:rPr>
            </w:pPr>
            <w:r>
              <w:rPr>
                <w:rFonts w:hint="eastAsia" w:ascii="宋体" w:hAnsi="宋体"/>
                <w:color w:val="000000"/>
                <w:sz w:val="18"/>
                <w:szCs w:val="18"/>
              </w:rPr>
              <w:t>《住宅建筑规范》第7</w:t>
            </w:r>
            <w:r>
              <w:rPr>
                <w:rFonts w:ascii="宋体" w:hAnsi="宋体"/>
                <w:color w:val="000000"/>
                <w:sz w:val="18"/>
                <w:szCs w:val="18"/>
              </w:rPr>
              <w:t>.1.3</w:t>
            </w:r>
            <w:r>
              <w:rPr>
                <w:rFonts w:hint="eastAsia" w:ascii="宋体" w:hAnsi="宋体"/>
                <w:color w:val="000000"/>
                <w:sz w:val="18"/>
                <w:szCs w:val="18"/>
              </w:rPr>
              <w:t>条</w:t>
            </w:r>
          </w:p>
        </w:tc>
        <w:tc>
          <w:tcPr>
            <w:tcW w:w="1134" w:type="dxa"/>
            <w:gridSpan w:val="3"/>
            <w:vAlign w:val="center"/>
          </w:tcPr>
          <w:p>
            <w:pPr>
              <w:jc w:val="center"/>
              <w:rPr>
                <w:rFonts w:ascii="宋体" w:hAnsi="宋体"/>
                <w:color w:val="000000"/>
                <w:sz w:val="18"/>
                <w:szCs w:val="18"/>
              </w:rPr>
            </w:pPr>
            <w:r>
              <w:rPr>
                <w:rFonts w:hint="eastAsia" w:ascii="宋体" w:hAnsi="宋体"/>
                <w:color w:val="000000"/>
                <w:sz w:val="18"/>
                <w:szCs w:val="18"/>
              </w:rPr>
              <w:t>-</w:t>
            </w:r>
          </w:p>
        </w:tc>
        <w:tc>
          <w:tcPr>
            <w:tcW w:w="2127" w:type="dxa"/>
            <w:gridSpan w:val="2"/>
            <w:vAlign w:val="center"/>
          </w:tcPr>
          <w:p>
            <w:pPr>
              <w:jc w:val="center"/>
              <w:rPr>
                <w:rFonts w:ascii="宋体" w:hAnsi="宋体"/>
                <w:color w:val="000000"/>
                <w:sz w:val="18"/>
                <w:szCs w:val="18"/>
              </w:rPr>
            </w:pPr>
            <w:r>
              <w:rPr>
                <w:rFonts w:hint="eastAsia" w:ascii="宋体" w:hAnsi="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80" w:type="dxa"/>
            <w:gridSpan w:val="2"/>
            <w:vAlign w:val="center"/>
          </w:tcPr>
          <w:p>
            <w:pPr>
              <w:jc w:val="center"/>
              <w:rPr>
                <w:rFonts w:ascii="宋体" w:hAnsi="宋体"/>
                <w:b/>
                <w:bCs/>
                <w:color w:val="000000"/>
                <w:sz w:val="18"/>
                <w:szCs w:val="18"/>
              </w:rPr>
            </w:pPr>
            <w:r>
              <w:rPr>
                <w:rFonts w:hint="eastAsia" w:ascii="宋体" w:hAnsi="宋体"/>
                <w:b/>
                <w:bCs/>
                <w:color w:val="000000"/>
                <w:sz w:val="18"/>
                <w:szCs w:val="18"/>
              </w:rPr>
              <w:t>外窗</w:t>
            </w:r>
          </w:p>
        </w:tc>
        <w:tc>
          <w:tcPr>
            <w:tcW w:w="1134" w:type="dxa"/>
            <w:vAlign w:val="center"/>
          </w:tcPr>
          <w:p>
            <w:pPr>
              <w:jc w:val="center"/>
              <w:rPr>
                <w:rFonts w:ascii="宋体" w:hAnsi="宋体"/>
                <w:b/>
                <w:bCs/>
                <w:color w:val="000000"/>
                <w:sz w:val="18"/>
                <w:szCs w:val="18"/>
              </w:rPr>
            </w:pPr>
            <w:r>
              <w:rPr>
                <w:rFonts w:hint="eastAsia" w:ascii="宋体" w:hAnsi="宋体"/>
                <w:b/>
                <w:bCs/>
                <w:color w:val="000000"/>
                <w:sz w:val="18"/>
                <w:szCs w:val="18"/>
              </w:rPr>
              <w:t>≥3</w:t>
            </w:r>
            <w:r>
              <w:rPr>
                <w:rFonts w:ascii="宋体" w:hAnsi="宋体"/>
                <w:b/>
                <w:bCs/>
                <w:color w:val="000000"/>
                <w:sz w:val="18"/>
                <w:szCs w:val="18"/>
              </w:rPr>
              <w:t>0</w:t>
            </w:r>
          </w:p>
        </w:tc>
        <w:tc>
          <w:tcPr>
            <w:tcW w:w="1984" w:type="dxa"/>
            <w:gridSpan w:val="3"/>
            <w:vAlign w:val="center"/>
          </w:tcPr>
          <w:p>
            <w:pPr>
              <w:jc w:val="left"/>
              <w:rPr>
                <w:rFonts w:ascii="宋体" w:hAnsi="宋体"/>
                <w:color w:val="000000"/>
                <w:sz w:val="18"/>
                <w:szCs w:val="18"/>
              </w:rPr>
            </w:pPr>
            <w:r>
              <w:rPr>
                <w:rFonts w:hint="eastAsia" w:ascii="宋体" w:hAnsi="宋体"/>
                <w:color w:val="000000"/>
                <w:sz w:val="18"/>
                <w:szCs w:val="18"/>
              </w:rPr>
              <w:t>《民用建筑隔声设计规范》第</w:t>
            </w:r>
            <w:r>
              <w:rPr>
                <w:rFonts w:ascii="宋体" w:hAnsi="宋体"/>
                <w:color w:val="000000"/>
                <w:sz w:val="18"/>
                <w:szCs w:val="18"/>
              </w:rPr>
              <w:t>4.2.5</w:t>
            </w:r>
            <w:r>
              <w:rPr>
                <w:rFonts w:hint="eastAsia" w:ascii="宋体" w:hAnsi="宋体"/>
                <w:color w:val="000000"/>
                <w:sz w:val="18"/>
                <w:szCs w:val="18"/>
              </w:rPr>
              <w:t>条《住宅建筑规范》第7</w:t>
            </w:r>
            <w:r>
              <w:rPr>
                <w:rFonts w:ascii="宋体" w:hAnsi="宋体"/>
                <w:color w:val="000000"/>
                <w:sz w:val="18"/>
                <w:szCs w:val="18"/>
              </w:rPr>
              <w:t>.1.3</w:t>
            </w:r>
            <w:r>
              <w:rPr>
                <w:rFonts w:hint="eastAsia" w:ascii="宋体" w:hAnsi="宋体"/>
                <w:color w:val="000000"/>
                <w:sz w:val="18"/>
                <w:szCs w:val="18"/>
              </w:rPr>
              <w:t>条</w:t>
            </w:r>
          </w:p>
        </w:tc>
        <w:tc>
          <w:tcPr>
            <w:tcW w:w="1134" w:type="dxa"/>
            <w:gridSpan w:val="3"/>
            <w:vAlign w:val="center"/>
          </w:tcPr>
          <w:p>
            <w:pPr>
              <w:jc w:val="center"/>
              <w:rPr>
                <w:rFonts w:ascii="宋体" w:hAnsi="宋体"/>
                <w:color w:val="000000"/>
                <w:sz w:val="18"/>
                <w:szCs w:val="18"/>
              </w:rPr>
            </w:pPr>
            <w:r>
              <w:rPr>
                <w:rFonts w:hint="eastAsia" w:ascii="宋体" w:hAnsi="宋体"/>
                <w:color w:val="000000"/>
                <w:sz w:val="18"/>
                <w:szCs w:val="18"/>
              </w:rPr>
              <w:t>-</w:t>
            </w:r>
          </w:p>
        </w:tc>
        <w:tc>
          <w:tcPr>
            <w:tcW w:w="2127" w:type="dxa"/>
            <w:gridSpan w:val="2"/>
            <w:vAlign w:val="center"/>
          </w:tcPr>
          <w:p>
            <w:pPr>
              <w:jc w:val="center"/>
              <w:rPr>
                <w:rFonts w:ascii="宋体" w:hAnsi="宋体"/>
                <w:color w:val="000000"/>
                <w:sz w:val="18"/>
                <w:szCs w:val="18"/>
              </w:rPr>
            </w:pPr>
            <w:r>
              <w:rPr>
                <w:rFonts w:hint="eastAsia" w:ascii="宋体" w:hAnsi="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 w:hRule="atLeast"/>
          <w:jc w:val="center"/>
        </w:trPr>
        <w:tc>
          <w:tcPr>
            <w:tcW w:w="1980" w:type="dxa"/>
            <w:gridSpan w:val="2"/>
            <w:vAlign w:val="center"/>
          </w:tcPr>
          <w:p>
            <w:pPr>
              <w:jc w:val="center"/>
              <w:rPr>
                <w:rFonts w:ascii="宋体" w:hAnsi="宋体"/>
                <w:b/>
                <w:bCs/>
                <w:color w:val="000000"/>
                <w:sz w:val="18"/>
                <w:szCs w:val="18"/>
              </w:rPr>
            </w:pPr>
            <w:r>
              <w:rPr>
                <w:rFonts w:hint="eastAsia" w:ascii="宋体" w:hAnsi="宋体"/>
                <w:b/>
                <w:bCs/>
                <w:color w:val="000000"/>
                <w:sz w:val="18"/>
                <w:szCs w:val="18"/>
              </w:rPr>
              <w:t>外墙</w:t>
            </w:r>
          </w:p>
        </w:tc>
        <w:tc>
          <w:tcPr>
            <w:tcW w:w="1134" w:type="dxa"/>
            <w:vAlign w:val="center"/>
          </w:tcPr>
          <w:p>
            <w:pPr>
              <w:jc w:val="center"/>
              <w:rPr>
                <w:rFonts w:ascii="宋体" w:hAnsi="宋体"/>
                <w:color w:val="000000"/>
                <w:sz w:val="18"/>
                <w:szCs w:val="18"/>
              </w:rPr>
            </w:pPr>
            <w:r>
              <w:rPr>
                <w:rFonts w:hint="eastAsia" w:ascii="宋体" w:hAnsi="宋体"/>
                <w:color w:val="000000"/>
                <w:sz w:val="18"/>
                <w:szCs w:val="18"/>
              </w:rPr>
              <w:t>≥</w:t>
            </w:r>
            <w:r>
              <w:rPr>
                <w:rFonts w:ascii="宋体" w:hAnsi="宋体"/>
                <w:color w:val="000000"/>
                <w:sz w:val="18"/>
                <w:szCs w:val="18"/>
              </w:rPr>
              <w:t>45</w:t>
            </w:r>
          </w:p>
        </w:tc>
        <w:tc>
          <w:tcPr>
            <w:tcW w:w="1984" w:type="dxa"/>
            <w:gridSpan w:val="3"/>
            <w:vMerge w:val="restart"/>
            <w:vAlign w:val="center"/>
          </w:tcPr>
          <w:p>
            <w:pPr>
              <w:jc w:val="left"/>
              <w:rPr>
                <w:rFonts w:ascii="宋体" w:hAnsi="宋体"/>
                <w:color w:val="000000"/>
                <w:sz w:val="18"/>
                <w:szCs w:val="18"/>
              </w:rPr>
            </w:pPr>
            <w:r>
              <w:rPr>
                <w:rFonts w:hint="eastAsia" w:ascii="宋体" w:hAnsi="宋体"/>
                <w:color w:val="000000"/>
                <w:sz w:val="18"/>
                <w:szCs w:val="18"/>
              </w:rPr>
              <w:t>《民用建筑隔声设计规范》第</w:t>
            </w:r>
            <w:r>
              <w:rPr>
                <w:rFonts w:ascii="宋体" w:hAnsi="宋体"/>
                <w:color w:val="000000"/>
                <w:sz w:val="18"/>
                <w:szCs w:val="18"/>
              </w:rPr>
              <w:t>4.2.6</w:t>
            </w:r>
            <w:r>
              <w:rPr>
                <w:rFonts w:hint="eastAsia" w:ascii="宋体" w:hAnsi="宋体"/>
                <w:color w:val="000000"/>
                <w:sz w:val="18"/>
                <w:szCs w:val="18"/>
              </w:rPr>
              <w:t>条</w:t>
            </w:r>
          </w:p>
        </w:tc>
        <w:tc>
          <w:tcPr>
            <w:tcW w:w="1134" w:type="dxa"/>
            <w:gridSpan w:val="3"/>
            <w:vAlign w:val="center"/>
          </w:tcPr>
          <w:p>
            <w:pPr>
              <w:jc w:val="center"/>
              <w:rPr>
                <w:rFonts w:ascii="宋体" w:hAnsi="宋体"/>
                <w:color w:val="000000"/>
                <w:sz w:val="18"/>
                <w:szCs w:val="18"/>
              </w:rPr>
            </w:pPr>
            <w:r>
              <w:rPr>
                <w:rFonts w:hint="eastAsia" w:ascii="宋体" w:hAnsi="宋体"/>
                <w:color w:val="000000"/>
                <w:sz w:val="18"/>
                <w:szCs w:val="18"/>
              </w:rPr>
              <w:t>-</w:t>
            </w:r>
          </w:p>
        </w:tc>
        <w:tc>
          <w:tcPr>
            <w:tcW w:w="2127" w:type="dxa"/>
            <w:gridSpan w:val="2"/>
            <w:vAlign w:val="center"/>
          </w:tcPr>
          <w:p>
            <w:pPr>
              <w:jc w:val="center"/>
              <w:rPr>
                <w:rFonts w:ascii="宋体" w:hAnsi="宋体"/>
                <w:color w:val="000000"/>
                <w:sz w:val="18"/>
                <w:szCs w:val="18"/>
              </w:rPr>
            </w:pPr>
            <w:r>
              <w:rPr>
                <w:rFonts w:hint="eastAsia" w:ascii="宋体" w:hAnsi="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80" w:type="dxa"/>
            <w:gridSpan w:val="2"/>
            <w:vAlign w:val="center"/>
          </w:tcPr>
          <w:p>
            <w:pPr>
              <w:jc w:val="center"/>
              <w:rPr>
                <w:rFonts w:ascii="宋体" w:hAnsi="宋体"/>
                <w:b/>
                <w:bCs/>
                <w:color w:val="000000"/>
                <w:sz w:val="18"/>
                <w:szCs w:val="18"/>
              </w:rPr>
            </w:pPr>
            <w:r>
              <w:rPr>
                <w:rFonts w:hint="eastAsia" w:ascii="宋体" w:hAnsi="宋体"/>
                <w:b/>
                <w:bCs/>
                <w:color w:val="000000"/>
                <w:sz w:val="18"/>
                <w:szCs w:val="18"/>
              </w:rPr>
              <w:t>户（套）门</w:t>
            </w:r>
          </w:p>
        </w:tc>
        <w:tc>
          <w:tcPr>
            <w:tcW w:w="1134" w:type="dxa"/>
            <w:vAlign w:val="center"/>
          </w:tcPr>
          <w:p>
            <w:pPr>
              <w:jc w:val="center"/>
              <w:rPr>
                <w:rFonts w:ascii="宋体" w:hAnsi="宋体"/>
                <w:b/>
                <w:bCs/>
                <w:color w:val="000000"/>
                <w:sz w:val="18"/>
                <w:szCs w:val="18"/>
              </w:rPr>
            </w:pPr>
            <w:r>
              <w:rPr>
                <w:rFonts w:hint="eastAsia" w:ascii="宋体" w:hAnsi="宋体"/>
                <w:b/>
                <w:bCs/>
                <w:color w:val="000000"/>
                <w:sz w:val="18"/>
                <w:szCs w:val="18"/>
              </w:rPr>
              <w:t>≥</w:t>
            </w:r>
            <w:r>
              <w:rPr>
                <w:rFonts w:ascii="宋体" w:hAnsi="宋体"/>
                <w:b/>
                <w:bCs/>
                <w:color w:val="000000"/>
                <w:sz w:val="18"/>
                <w:szCs w:val="18"/>
              </w:rPr>
              <w:t>25</w:t>
            </w:r>
          </w:p>
        </w:tc>
        <w:tc>
          <w:tcPr>
            <w:tcW w:w="1984" w:type="dxa"/>
            <w:gridSpan w:val="3"/>
            <w:vMerge w:val="continue"/>
            <w:vAlign w:val="center"/>
          </w:tcPr>
          <w:p>
            <w:pPr>
              <w:jc w:val="center"/>
              <w:rPr>
                <w:rFonts w:ascii="宋体" w:hAnsi="宋体"/>
                <w:color w:val="000000"/>
                <w:sz w:val="18"/>
                <w:szCs w:val="18"/>
              </w:rPr>
            </w:pPr>
          </w:p>
        </w:tc>
        <w:tc>
          <w:tcPr>
            <w:tcW w:w="1134" w:type="dxa"/>
            <w:gridSpan w:val="3"/>
            <w:vAlign w:val="center"/>
          </w:tcPr>
          <w:p>
            <w:pPr>
              <w:jc w:val="center"/>
              <w:rPr>
                <w:rFonts w:ascii="宋体" w:hAnsi="宋体"/>
                <w:color w:val="000000"/>
                <w:sz w:val="18"/>
                <w:szCs w:val="18"/>
              </w:rPr>
            </w:pPr>
            <w:r>
              <w:rPr>
                <w:rFonts w:hint="eastAsia" w:ascii="宋体" w:hAnsi="宋体"/>
                <w:color w:val="000000"/>
                <w:sz w:val="18"/>
                <w:szCs w:val="18"/>
              </w:rPr>
              <w:t>-</w:t>
            </w:r>
          </w:p>
        </w:tc>
        <w:tc>
          <w:tcPr>
            <w:tcW w:w="2127" w:type="dxa"/>
            <w:gridSpan w:val="2"/>
            <w:vAlign w:val="center"/>
          </w:tcPr>
          <w:p>
            <w:pPr>
              <w:jc w:val="center"/>
              <w:rPr>
                <w:rFonts w:ascii="宋体" w:hAnsi="宋体"/>
                <w:color w:val="000000"/>
                <w:sz w:val="18"/>
                <w:szCs w:val="18"/>
              </w:rPr>
            </w:pPr>
            <w:r>
              <w:rPr>
                <w:rFonts w:hint="eastAsia" w:ascii="宋体" w:hAnsi="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80" w:type="dxa"/>
            <w:gridSpan w:val="2"/>
            <w:vAlign w:val="center"/>
          </w:tcPr>
          <w:p>
            <w:pPr>
              <w:jc w:val="center"/>
              <w:rPr>
                <w:rFonts w:ascii="宋体" w:hAnsi="宋体"/>
                <w:b/>
                <w:bCs/>
                <w:color w:val="000000"/>
                <w:sz w:val="18"/>
                <w:szCs w:val="18"/>
              </w:rPr>
            </w:pPr>
            <w:r>
              <w:rPr>
                <w:rFonts w:hint="eastAsia" w:ascii="宋体" w:hAnsi="宋体"/>
                <w:b/>
                <w:bCs/>
                <w:color w:val="000000"/>
                <w:sz w:val="18"/>
                <w:szCs w:val="18"/>
              </w:rPr>
              <w:t>户内卧室墙</w:t>
            </w:r>
          </w:p>
        </w:tc>
        <w:tc>
          <w:tcPr>
            <w:tcW w:w="1134" w:type="dxa"/>
            <w:vAlign w:val="center"/>
          </w:tcPr>
          <w:p>
            <w:pPr>
              <w:jc w:val="center"/>
              <w:rPr>
                <w:rFonts w:ascii="宋体" w:hAnsi="宋体"/>
                <w:color w:val="000000"/>
                <w:sz w:val="18"/>
                <w:szCs w:val="18"/>
              </w:rPr>
            </w:pPr>
            <w:r>
              <w:rPr>
                <w:rFonts w:hint="eastAsia" w:ascii="宋体" w:hAnsi="宋体"/>
                <w:color w:val="000000"/>
                <w:sz w:val="18"/>
                <w:szCs w:val="18"/>
              </w:rPr>
              <w:t>≥</w:t>
            </w:r>
            <w:r>
              <w:rPr>
                <w:rFonts w:ascii="宋体" w:hAnsi="宋体"/>
                <w:color w:val="000000"/>
                <w:sz w:val="18"/>
                <w:szCs w:val="18"/>
              </w:rPr>
              <w:t>35</w:t>
            </w:r>
          </w:p>
        </w:tc>
        <w:tc>
          <w:tcPr>
            <w:tcW w:w="1984" w:type="dxa"/>
            <w:gridSpan w:val="3"/>
            <w:vMerge w:val="continue"/>
            <w:vAlign w:val="center"/>
          </w:tcPr>
          <w:p>
            <w:pPr>
              <w:jc w:val="center"/>
              <w:rPr>
                <w:rFonts w:ascii="宋体" w:hAnsi="宋体"/>
                <w:color w:val="000000"/>
                <w:sz w:val="18"/>
                <w:szCs w:val="18"/>
              </w:rPr>
            </w:pPr>
          </w:p>
        </w:tc>
        <w:tc>
          <w:tcPr>
            <w:tcW w:w="1134" w:type="dxa"/>
            <w:gridSpan w:val="3"/>
            <w:vAlign w:val="center"/>
          </w:tcPr>
          <w:p>
            <w:pPr>
              <w:jc w:val="center"/>
              <w:rPr>
                <w:rFonts w:ascii="宋体" w:hAnsi="宋体"/>
                <w:color w:val="000000"/>
                <w:sz w:val="18"/>
                <w:szCs w:val="18"/>
              </w:rPr>
            </w:pPr>
            <w:r>
              <w:rPr>
                <w:rFonts w:hint="eastAsia" w:ascii="宋体" w:hAnsi="宋体"/>
                <w:color w:val="000000"/>
                <w:sz w:val="18"/>
                <w:szCs w:val="18"/>
              </w:rPr>
              <w:t>-</w:t>
            </w:r>
          </w:p>
        </w:tc>
        <w:tc>
          <w:tcPr>
            <w:tcW w:w="2127" w:type="dxa"/>
            <w:gridSpan w:val="2"/>
            <w:vAlign w:val="center"/>
          </w:tcPr>
          <w:p>
            <w:pPr>
              <w:jc w:val="center"/>
              <w:rPr>
                <w:rFonts w:ascii="宋体" w:hAnsi="宋体"/>
                <w:color w:val="000000"/>
                <w:sz w:val="18"/>
                <w:szCs w:val="18"/>
              </w:rPr>
            </w:pPr>
            <w:r>
              <w:rPr>
                <w:rFonts w:hint="eastAsia" w:ascii="宋体" w:hAnsi="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80" w:type="dxa"/>
            <w:gridSpan w:val="2"/>
            <w:vAlign w:val="center"/>
          </w:tcPr>
          <w:p>
            <w:pPr>
              <w:jc w:val="center"/>
              <w:rPr>
                <w:rFonts w:ascii="宋体" w:hAnsi="宋体"/>
                <w:b/>
                <w:bCs/>
                <w:color w:val="000000"/>
                <w:sz w:val="18"/>
                <w:szCs w:val="18"/>
              </w:rPr>
            </w:pPr>
            <w:r>
              <w:rPr>
                <w:rFonts w:hint="eastAsia" w:ascii="宋体" w:hAnsi="宋体"/>
                <w:b/>
                <w:bCs/>
                <w:color w:val="000000"/>
                <w:sz w:val="18"/>
                <w:szCs w:val="18"/>
              </w:rPr>
              <w:t>户内其他分室墙</w:t>
            </w:r>
          </w:p>
        </w:tc>
        <w:tc>
          <w:tcPr>
            <w:tcW w:w="1134" w:type="dxa"/>
            <w:vAlign w:val="center"/>
          </w:tcPr>
          <w:p>
            <w:pPr>
              <w:jc w:val="center"/>
              <w:rPr>
                <w:rFonts w:ascii="宋体" w:hAnsi="宋体"/>
                <w:color w:val="000000"/>
                <w:sz w:val="18"/>
                <w:szCs w:val="18"/>
              </w:rPr>
            </w:pPr>
            <w:r>
              <w:rPr>
                <w:rFonts w:hint="eastAsia" w:ascii="宋体" w:hAnsi="宋体"/>
                <w:color w:val="000000"/>
                <w:sz w:val="18"/>
                <w:szCs w:val="18"/>
              </w:rPr>
              <w:t>≥3</w:t>
            </w:r>
            <w:r>
              <w:rPr>
                <w:rFonts w:ascii="宋体" w:hAnsi="宋体"/>
                <w:color w:val="000000"/>
                <w:sz w:val="18"/>
                <w:szCs w:val="18"/>
              </w:rPr>
              <w:t>0</w:t>
            </w:r>
          </w:p>
        </w:tc>
        <w:tc>
          <w:tcPr>
            <w:tcW w:w="1984" w:type="dxa"/>
            <w:gridSpan w:val="3"/>
            <w:vMerge w:val="continue"/>
            <w:vAlign w:val="center"/>
          </w:tcPr>
          <w:p>
            <w:pPr>
              <w:jc w:val="center"/>
              <w:rPr>
                <w:rFonts w:ascii="宋体" w:hAnsi="宋体"/>
                <w:color w:val="000000"/>
                <w:sz w:val="18"/>
                <w:szCs w:val="18"/>
              </w:rPr>
            </w:pPr>
          </w:p>
        </w:tc>
        <w:tc>
          <w:tcPr>
            <w:tcW w:w="1134" w:type="dxa"/>
            <w:gridSpan w:val="3"/>
            <w:vAlign w:val="center"/>
          </w:tcPr>
          <w:p>
            <w:pPr>
              <w:jc w:val="center"/>
              <w:rPr>
                <w:rFonts w:ascii="宋体" w:hAnsi="宋体"/>
                <w:color w:val="000000"/>
                <w:sz w:val="18"/>
                <w:szCs w:val="18"/>
              </w:rPr>
            </w:pPr>
            <w:r>
              <w:rPr>
                <w:rFonts w:hint="eastAsia" w:ascii="宋体" w:hAnsi="宋体"/>
                <w:color w:val="000000"/>
                <w:sz w:val="18"/>
                <w:szCs w:val="18"/>
              </w:rPr>
              <w:t>-</w:t>
            </w:r>
          </w:p>
        </w:tc>
        <w:tc>
          <w:tcPr>
            <w:tcW w:w="2127" w:type="dxa"/>
            <w:gridSpan w:val="2"/>
            <w:vAlign w:val="center"/>
          </w:tcPr>
          <w:p>
            <w:pPr>
              <w:jc w:val="center"/>
              <w:rPr>
                <w:rFonts w:ascii="宋体" w:hAnsi="宋体"/>
                <w:color w:val="000000"/>
                <w:sz w:val="18"/>
                <w:szCs w:val="18"/>
              </w:rPr>
            </w:pPr>
            <w:r>
              <w:rPr>
                <w:rFonts w:hint="eastAsia" w:ascii="宋体" w:hAnsi="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80" w:type="dxa"/>
            <w:gridSpan w:val="2"/>
            <w:vMerge w:val="restart"/>
            <w:vAlign w:val="center"/>
          </w:tcPr>
          <w:p>
            <w:pPr>
              <w:jc w:val="center"/>
              <w:rPr>
                <w:rFonts w:ascii="宋体" w:hAnsi="宋体"/>
                <w:b/>
                <w:bCs/>
                <w:color w:val="000000"/>
                <w:sz w:val="18"/>
                <w:szCs w:val="18"/>
              </w:rPr>
            </w:pPr>
            <w:r>
              <w:rPr>
                <w:rFonts w:hint="eastAsia" w:ascii="宋体" w:hAnsi="宋体"/>
                <w:b/>
                <w:bCs/>
                <w:color w:val="000000"/>
                <w:sz w:val="18"/>
                <w:szCs w:val="18"/>
              </w:rPr>
              <w:t>房间名称</w:t>
            </w:r>
          </w:p>
        </w:tc>
        <w:tc>
          <w:tcPr>
            <w:tcW w:w="6379" w:type="dxa"/>
            <w:gridSpan w:val="9"/>
            <w:vAlign w:val="center"/>
          </w:tcPr>
          <w:p>
            <w:pPr>
              <w:jc w:val="center"/>
              <w:rPr>
                <w:rFonts w:ascii="宋体" w:hAnsi="宋体"/>
                <w:color w:val="000000"/>
                <w:sz w:val="18"/>
                <w:szCs w:val="18"/>
              </w:rPr>
            </w:pPr>
            <w:r>
              <w:rPr>
                <w:rFonts w:hint="eastAsia" w:ascii="宋体" w:hAnsi="宋体"/>
                <w:b/>
                <w:bCs/>
                <w:color w:val="000000"/>
                <w:sz w:val="18"/>
                <w:szCs w:val="18"/>
              </w:rPr>
              <w:t>房间之间空气声隔声标准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 w:hRule="atLeast"/>
          <w:jc w:val="center"/>
        </w:trPr>
        <w:tc>
          <w:tcPr>
            <w:tcW w:w="1980" w:type="dxa"/>
            <w:gridSpan w:val="2"/>
            <w:vMerge w:val="continue"/>
            <w:vAlign w:val="center"/>
          </w:tcPr>
          <w:p>
            <w:pPr>
              <w:jc w:val="center"/>
              <w:rPr>
                <w:rFonts w:ascii="宋体" w:hAnsi="宋体"/>
                <w:b/>
                <w:bCs/>
                <w:color w:val="000000"/>
                <w:sz w:val="18"/>
                <w:szCs w:val="18"/>
              </w:rPr>
            </w:pPr>
          </w:p>
        </w:tc>
        <w:tc>
          <w:tcPr>
            <w:tcW w:w="3118" w:type="dxa"/>
            <w:gridSpan w:val="4"/>
            <w:vAlign w:val="center"/>
          </w:tcPr>
          <w:p>
            <w:pPr>
              <w:jc w:val="center"/>
              <w:rPr>
                <w:rFonts w:ascii="宋体" w:hAnsi="宋体"/>
                <w:color w:val="000000"/>
                <w:sz w:val="18"/>
                <w:szCs w:val="18"/>
              </w:rPr>
            </w:pPr>
            <w:r>
              <w:rPr>
                <w:rFonts w:hint="eastAsia" w:ascii="宋体" w:hAnsi="宋体"/>
                <w:b/>
                <w:bCs/>
                <w:color w:val="000000"/>
                <w:sz w:val="18"/>
                <w:szCs w:val="18"/>
              </w:rPr>
              <w:t>常规住宅</w:t>
            </w:r>
          </w:p>
        </w:tc>
        <w:tc>
          <w:tcPr>
            <w:tcW w:w="3261" w:type="dxa"/>
            <w:gridSpan w:val="5"/>
            <w:vAlign w:val="center"/>
          </w:tcPr>
          <w:p>
            <w:pPr>
              <w:jc w:val="center"/>
              <w:rPr>
                <w:rFonts w:ascii="宋体" w:hAnsi="宋体"/>
                <w:color w:val="000000"/>
                <w:sz w:val="18"/>
                <w:szCs w:val="18"/>
              </w:rPr>
            </w:pPr>
            <w:r>
              <w:rPr>
                <w:rFonts w:hint="eastAsia" w:ascii="宋体" w:hAnsi="宋体"/>
                <w:b/>
                <w:bCs/>
                <w:color w:val="000000"/>
                <w:sz w:val="18"/>
                <w:szCs w:val="18"/>
              </w:rPr>
              <w:t>高要求住宅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80" w:type="dxa"/>
            <w:gridSpan w:val="2"/>
            <w:vMerge w:val="continue"/>
            <w:vAlign w:val="center"/>
          </w:tcPr>
          <w:p>
            <w:pPr>
              <w:jc w:val="center"/>
              <w:rPr>
                <w:rFonts w:ascii="宋体" w:hAnsi="宋体"/>
                <w:b/>
                <w:bCs/>
                <w:color w:val="000000"/>
                <w:sz w:val="18"/>
                <w:szCs w:val="18"/>
              </w:rPr>
            </w:pPr>
          </w:p>
        </w:tc>
        <w:tc>
          <w:tcPr>
            <w:tcW w:w="1134" w:type="dxa"/>
            <w:vAlign w:val="center"/>
          </w:tcPr>
          <w:p>
            <w:pPr>
              <w:jc w:val="center"/>
              <w:rPr>
                <w:rFonts w:ascii="宋体" w:hAnsi="宋体"/>
                <w:color w:val="000000"/>
                <w:sz w:val="18"/>
                <w:szCs w:val="18"/>
              </w:rPr>
            </w:pPr>
            <w:r>
              <w:rPr>
                <w:rFonts w:hint="eastAsia" w:ascii="宋体" w:hAnsi="宋体"/>
                <w:b/>
                <w:bCs/>
                <w:color w:val="000000"/>
                <w:sz w:val="18"/>
                <w:szCs w:val="18"/>
              </w:rPr>
              <w:t>空气声隔声</w:t>
            </w:r>
          </w:p>
        </w:tc>
        <w:tc>
          <w:tcPr>
            <w:tcW w:w="1984" w:type="dxa"/>
            <w:gridSpan w:val="3"/>
            <w:vAlign w:val="center"/>
          </w:tcPr>
          <w:p>
            <w:pPr>
              <w:jc w:val="center"/>
              <w:rPr>
                <w:rFonts w:ascii="宋体" w:hAnsi="宋体"/>
                <w:color w:val="000000"/>
                <w:sz w:val="18"/>
                <w:szCs w:val="18"/>
              </w:rPr>
            </w:pPr>
            <w:r>
              <w:rPr>
                <w:rFonts w:hint="eastAsia" w:ascii="宋体" w:hAnsi="宋体"/>
                <w:b/>
                <w:bCs/>
                <w:color w:val="000000"/>
                <w:sz w:val="18"/>
                <w:szCs w:val="18"/>
              </w:rPr>
              <w:t>备注</w:t>
            </w:r>
          </w:p>
        </w:tc>
        <w:tc>
          <w:tcPr>
            <w:tcW w:w="1134" w:type="dxa"/>
            <w:gridSpan w:val="3"/>
            <w:vAlign w:val="center"/>
          </w:tcPr>
          <w:p>
            <w:pPr>
              <w:jc w:val="center"/>
              <w:rPr>
                <w:rFonts w:ascii="宋体" w:hAnsi="宋体"/>
                <w:color w:val="000000"/>
                <w:sz w:val="18"/>
                <w:szCs w:val="18"/>
              </w:rPr>
            </w:pPr>
            <w:r>
              <w:rPr>
                <w:rFonts w:hint="eastAsia" w:ascii="宋体" w:hAnsi="宋体"/>
                <w:b/>
                <w:bCs/>
                <w:color w:val="000000"/>
                <w:sz w:val="18"/>
                <w:szCs w:val="18"/>
              </w:rPr>
              <w:t>空气声隔声</w:t>
            </w:r>
          </w:p>
        </w:tc>
        <w:tc>
          <w:tcPr>
            <w:tcW w:w="2127" w:type="dxa"/>
            <w:gridSpan w:val="2"/>
            <w:vAlign w:val="center"/>
          </w:tcPr>
          <w:p>
            <w:pPr>
              <w:jc w:val="center"/>
              <w:rPr>
                <w:rFonts w:ascii="宋体" w:hAnsi="宋体"/>
                <w:color w:val="000000"/>
                <w:sz w:val="18"/>
                <w:szCs w:val="18"/>
              </w:rPr>
            </w:pPr>
            <w:r>
              <w:rPr>
                <w:rFonts w:hint="eastAsia" w:ascii="宋体" w:hAnsi="宋体"/>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 w:hRule="atLeast"/>
          <w:jc w:val="center"/>
        </w:trPr>
        <w:tc>
          <w:tcPr>
            <w:tcW w:w="1980" w:type="dxa"/>
            <w:gridSpan w:val="2"/>
            <w:vAlign w:val="center"/>
          </w:tcPr>
          <w:p>
            <w:pPr>
              <w:jc w:val="center"/>
              <w:rPr>
                <w:rFonts w:ascii="宋体" w:hAnsi="宋体"/>
                <w:b/>
                <w:bCs/>
                <w:color w:val="000000"/>
                <w:sz w:val="18"/>
                <w:szCs w:val="18"/>
              </w:rPr>
            </w:pPr>
            <w:r>
              <w:rPr>
                <w:rFonts w:hint="eastAsia" w:ascii="宋体" w:hAnsi="宋体"/>
                <w:b/>
                <w:bCs/>
                <w:color w:val="000000"/>
                <w:sz w:val="18"/>
                <w:szCs w:val="18"/>
              </w:rPr>
              <w:t>卧室、起居室（厅）与邻户房间之间</w:t>
            </w:r>
          </w:p>
        </w:tc>
        <w:tc>
          <w:tcPr>
            <w:tcW w:w="1134" w:type="dxa"/>
            <w:vAlign w:val="center"/>
          </w:tcPr>
          <w:p>
            <w:pPr>
              <w:jc w:val="center"/>
              <w:rPr>
                <w:rFonts w:ascii="宋体" w:hAnsi="宋体"/>
                <w:b/>
                <w:bCs/>
                <w:color w:val="000000"/>
                <w:sz w:val="18"/>
                <w:szCs w:val="18"/>
              </w:rPr>
            </w:pPr>
            <w:r>
              <w:rPr>
                <w:rFonts w:hint="eastAsia" w:ascii="宋体" w:hAnsi="宋体"/>
                <w:b/>
                <w:bCs/>
                <w:color w:val="000000"/>
                <w:sz w:val="18"/>
                <w:szCs w:val="18"/>
              </w:rPr>
              <w:t>≥</w:t>
            </w:r>
            <w:r>
              <w:rPr>
                <w:rFonts w:ascii="宋体" w:hAnsi="宋体"/>
                <w:b/>
                <w:bCs/>
                <w:color w:val="000000"/>
                <w:sz w:val="18"/>
                <w:szCs w:val="18"/>
              </w:rPr>
              <w:t>45</w:t>
            </w:r>
          </w:p>
        </w:tc>
        <w:tc>
          <w:tcPr>
            <w:tcW w:w="1984" w:type="dxa"/>
            <w:gridSpan w:val="3"/>
            <w:vMerge w:val="restart"/>
            <w:vAlign w:val="center"/>
          </w:tcPr>
          <w:p>
            <w:pPr>
              <w:jc w:val="left"/>
              <w:rPr>
                <w:rFonts w:ascii="宋体" w:hAnsi="宋体"/>
                <w:color w:val="000000"/>
                <w:sz w:val="18"/>
                <w:szCs w:val="18"/>
              </w:rPr>
            </w:pPr>
            <w:r>
              <w:rPr>
                <w:rFonts w:hint="eastAsia" w:ascii="宋体" w:hAnsi="宋体"/>
                <w:color w:val="000000"/>
                <w:sz w:val="18"/>
                <w:szCs w:val="18"/>
              </w:rPr>
              <w:t>《民用建筑隔声设计规范》第</w:t>
            </w:r>
            <w:r>
              <w:rPr>
                <w:rFonts w:ascii="宋体" w:hAnsi="宋体"/>
                <w:color w:val="000000"/>
                <w:sz w:val="18"/>
                <w:szCs w:val="18"/>
              </w:rPr>
              <w:t>4.2.2</w:t>
            </w:r>
            <w:r>
              <w:rPr>
                <w:rFonts w:hint="eastAsia" w:ascii="宋体" w:hAnsi="宋体"/>
                <w:color w:val="000000"/>
                <w:sz w:val="18"/>
                <w:szCs w:val="18"/>
              </w:rPr>
              <w:t>条</w:t>
            </w:r>
          </w:p>
        </w:tc>
        <w:tc>
          <w:tcPr>
            <w:tcW w:w="1134" w:type="dxa"/>
            <w:gridSpan w:val="3"/>
            <w:vAlign w:val="center"/>
          </w:tcPr>
          <w:p>
            <w:pPr>
              <w:jc w:val="center"/>
              <w:rPr>
                <w:rFonts w:ascii="宋体" w:hAnsi="宋体"/>
                <w:color w:val="000000"/>
                <w:sz w:val="18"/>
                <w:szCs w:val="18"/>
              </w:rPr>
            </w:pPr>
            <w:r>
              <w:rPr>
                <w:rFonts w:hint="eastAsia" w:ascii="宋体" w:hAnsi="宋体"/>
                <w:color w:val="000000"/>
                <w:sz w:val="18"/>
                <w:szCs w:val="18"/>
              </w:rPr>
              <w:t>≥</w:t>
            </w:r>
            <w:r>
              <w:rPr>
                <w:rFonts w:ascii="宋体" w:hAnsi="宋体"/>
                <w:color w:val="000000"/>
                <w:sz w:val="18"/>
                <w:szCs w:val="18"/>
              </w:rPr>
              <w:t>50</w:t>
            </w:r>
          </w:p>
        </w:tc>
        <w:tc>
          <w:tcPr>
            <w:tcW w:w="2127" w:type="dxa"/>
            <w:gridSpan w:val="2"/>
            <w:vAlign w:val="center"/>
          </w:tcPr>
          <w:p>
            <w:pPr>
              <w:jc w:val="left"/>
              <w:rPr>
                <w:rFonts w:ascii="宋体" w:hAnsi="宋体"/>
                <w:color w:val="000000"/>
                <w:sz w:val="18"/>
                <w:szCs w:val="18"/>
              </w:rPr>
            </w:pPr>
            <w:r>
              <w:rPr>
                <w:rFonts w:hint="eastAsia" w:ascii="宋体" w:hAnsi="宋体"/>
                <w:color w:val="000000"/>
                <w:sz w:val="18"/>
                <w:szCs w:val="18"/>
              </w:rPr>
              <w:t>《民用建筑隔声设计规范》第</w:t>
            </w:r>
            <w:r>
              <w:rPr>
                <w:rFonts w:ascii="宋体" w:hAnsi="宋体"/>
                <w:color w:val="000000"/>
                <w:sz w:val="18"/>
                <w:szCs w:val="18"/>
              </w:rPr>
              <w:t>4.2.4</w:t>
            </w:r>
            <w:r>
              <w:rPr>
                <w:rFonts w:hint="eastAsia" w:ascii="宋体" w:hAnsi="宋体"/>
                <w:color w:val="000000"/>
                <w:sz w:val="18"/>
                <w:szCs w:val="18"/>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 w:hRule="atLeast"/>
          <w:jc w:val="center"/>
        </w:trPr>
        <w:tc>
          <w:tcPr>
            <w:tcW w:w="1980" w:type="dxa"/>
            <w:gridSpan w:val="2"/>
            <w:vAlign w:val="center"/>
          </w:tcPr>
          <w:p>
            <w:pPr>
              <w:jc w:val="center"/>
              <w:rPr>
                <w:rFonts w:ascii="宋体" w:hAnsi="宋体"/>
                <w:b/>
                <w:bCs/>
                <w:color w:val="000000"/>
                <w:sz w:val="18"/>
                <w:szCs w:val="18"/>
              </w:rPr>
            </w:pPr>
            <w:r>
              <w:rPr>
                <w:rFonts w:hint="eastAsia" w:ascii="宋体" w:hAnsi="宋体"/>
                <w:b/>
                <w:bCs/>
                <w:color w:val="000000"/>
                <w:sz w:val="18"/>
                <w:szCs w:val="18"/>
              </w:rPr>
              <w:t>住宅和非居住用途空间、分隔楼板上下的房间之间</w:t>
            </w:r>
          </w:p>
        </w:tc>
        <w:tc>
          <w:tcPr>
            <w:tcW w:w="1134" w:type="dxa"/>
            <w:vAlign w:val="center"/>
          </w:tcPr>
          <w:p>
            <w:pPr>
              <w:jc w:val="center"/>
              <w:rPr>
                <w:rFonts w:ascii="宋体" w:hAnsi="宋体"/>
                <w:b/>
                <w:bCs/>
                <w:color w:val="000000"/>
                <w:sz w:val="18"/>
                <w:szCs w:val="18"/>
              </w:rPr>
            </w:pPr>
            <w:r>
              <w:rPr>
                <w:rFonts w:hint="eastAsia" w:ascii="宋体" w:hAnsi="宋体"/>
                <w:b/>
                <w:bCs/>
                <w:color w:val="000000"/>
                <w:sz w:val="18"/>
                <w:szCs w:val="18"/>
              </w:rPr>
              <w:t>≥</w:t>
            </w:r>
            <w:r>
              <w:rPr>
                <w:rFonts w:ascii="宋体" w:hAnsi="宋体"/>
                <w:b/>
                <w:bCs/>
                <w:color w:val="000000"/>
                <w:sz w:val="18"/>
                <w:szCs w:val="18"/>
              </w:rPr>
              <w:t>51</w:t>
            </w:r>
          </w:p>
        </w:tc>
        <w:tc>
          <w:tcPr>
            <w:tcW w:w="1984" w:type="dxa"/>
            <w:gridSpan w:val="3"/>
            <w:vMerge w:val="continue"/>
            <w:vAlign w:val="center"/>
          </w:tcPr>
          <w:p>
            <w:pPr>
              <w:jc w:val="center"/>
              <w:rPr>
                <w:rFonts w:ascii="宋体" w:hAnsi="宋体"/>
                <w:color w:val="000000"/>
                <w:sz w:val="18"/>
                <w:szCs w:val="18"/>
              </w:rPr>
            </w:pPr>
          </w:p>
        </w:tc>
        <w:tc>
          <w:tcPr>
            <w:tcW w:w="1134" w:type="dxa"/>
            <w:gridSpan w:val="3"/>
            <w:vAlign w:val="center"/>
          </w:tcPr>
          <w:p>
            <w:pPr>
              <w:jc w:val="center"/>
              <w:rPr>
                <w:rFonts w:ascii="宋体" w:hAnsi="宋体"/>
                <w:color w:val="000000"/>
                <w:sz w:val="18"/>
                <w:szCs w:val="18"/>
              </w:rPr>
            </w:pPr>
            <w:r>
              <w:rPr>
                <w:rFonts w:hint="eastAsia" w:ascii="宋体" w:hAnsi="宋体"/>
                <w:color w:val="000000"/>
                <w:sz w:val="18"/>
                <w:szCs w:val="18"/>
              </w:rPr>
              <w:t>-</w:t>
            </w:r>
          </w:p>
        </w:tc>
        <w:tc>
          <w:tcPr>
            <w:tcW w:w="2127" w:type="dxa"/>
            <w:gridSpan w:val="2"/>
            <w:vAlign w:val="center"/>
          </w:tcPr>
          <w:p>
            <w:pPr>
              <w:jc w:val="center"/>
              <w:rPr>
                <w:rFonts w:ascii="宋体" w:hAnsi="宋体"/>
                <w:color w:val="000000"/>
                <w:sz w:val="18"/>
                <w:szCs w:val="18"/>
              </w:rPr>
            </w:pPr>
            <w:r>
              <w:rPr>
                <w:rFonts w:hint="eastAsia" w:ascii="宋体" w:hAnsi="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 w:hRule="atLeast"/>
          <w:jc w:val="center"/>
        </w:trPr>
        <w:tc>
          <w:tcPr>
            <w:tcW w:w="1980" w:type="dxa"/>
            <w:gridSpan w:val="2"/>
            <w:vAlign w:val="center"/>
          </w:tcPr>
          <w:p>
            <w:pPr>
              <w:jc w:val="center"/>
              <w:rPr>
                <w:rFonts w:ascii="宋体" w:hAnsi="宋体"/>
                <w:b/>
                <w:bCs/>
                <w:color w:val="000000"/>
                <w:sz w:val="18"/>
                <w:szCs w:val="18"/>
              </w:rPr>
            </w:pPr>
            <w:r>
              <w:rPr>
                <w:rFonts w:hint="eastAsia" w:ascii="宋体" w:hAnsi="宋体"/>
                <w:b/>
                <w:bCs/>
                <w:color w:val="000000"/>
                <w:sz w:val="18"/>
                <w:szCs w:val="18"/>
              </w:rPr>
              <w:t>相邻两户的卫生间之间</w:t>
            </w:r>
          </w:p>
        </w:tc>
        <w:tc>
          <w:tcPr>
            <w:tcW w:w="1134" w:type="dxa"/>
            <w:vAlign w:val="center"/>
          </w:tcPr>
          <w:p>
            <w:pPr>
              <w:jc w:val="center"/>
              <w:rPr>
                <w:rFonts w:ascii="宋体" w:hAnsi="宋体"/>
                <w:color w:val="000000"/>
                <w:sz w:val="18"/>
                <w:szCs w:val="18"/>
              </w:rPr>
            </w:pPr>
            <w:r>
              <w:rPr>
                <w:rFonts w:hint="eastAsia" w:ascii="宋体" w:hAnsi="宋体"/>
                <w:color w:val="000000"/>
                <w:sz w:val="18"/>
                <w:szCs w:val="18"/>
              </w:rPr>
              <w:t>-</w:t>
            </w:r>
          </w:p>
        </w:tc>
        <w:tc>
          <w:tcPr>
            <w:tcW w:w="1984" w:type="dxa"/>
            <w:gridSpan w:val="3"/>
            <w:vAlign w:val="center"/>
          </w:tcPr>
          <w:p>
            <w:pPr>
              <w:jc w:val="center"/>
              <w:rPr>
                <w:rFonts w:ascii="宋体" w:hAnsi="宋体"/>
                <w:color w:val="000000"/>
                <w:sz w:val="18"/>
                <w:szCs w:val="18"/>
              </w:rPr>
            </w:pPr>
            <w:r>
              <w:rPr>
                <w:rFonts w:hint="eastAsia" w:ascii="宋体" w:hAnsi="宋体"/>
                <w:color w:val="000000"/>
                <w:sz w:val="18"/>
                <w:szCs w:val="18"/>
              </w:rPr>
              <w:t>-</w:t>
            </w:r>
          </w:p>
        </w:tc>
        <w:tc>
          <w:tcPr>
            <w:tcW w:w="1134" w:type="dxa"/>
            <w:gridSpan w:val="3"/>
            <w:vAlign w:val="center"/>
          </w:tcPr>
          <w:p>
            <w:pPr>
              <w:jc w:val="center"/>
              <w:rPr>
                <w:rFonts w:ascii="宋体" w:hAnsi="宋体"/>
                <w:color w:val="000000"/>
                <w:sz w:val="18"/>
                <w:szCs w:val="18"/>
              </w:rPr>
            </w:pPr>
            <w:r>
              <w:rPr>
                <w:rFonts w:hint="eastAsia" w:ascii="宋体" w:hAnsi="宋体"/>
                <w:color w:val="000000"/>
                <w:sz w:val="18"/>
                <w:szCs w:val="18"/>
              </w:rPr>
              <w:t>≥</w:t>
            </w:r>
            <w:r>
              <w:rPr>
                <w:rFonts w:ascii="宋体" w:hAnsi="宋体"/>
                <w:color w:val="000000"/>
                <w:sz w:val="18"/>
                <w:szCs w:val="18"/>
              </w:rPr>
              <w:t>45</w:t>
            </w:r>
          </w:p>
        </w:tc>
        <w:tc>
          <w:tcPr>
            <w:tcW w:w="2127" w:type="dxa"/>
            <w:gridSpan w:val="2"/>
            <w:vAlign w:val="center"/>
          </w:tcPr>
          <w:p>
            <w:pPr>
              <w:jc w:val="center"/>
              <w:rPr>
                <w:rFonts w:ascii="宋体" w:hAnsi="宋体"/>
                <w:color w:val="000000"/>
                <w:sz w:val="18"/>
                <w:szCs w:val="18"/>
              </w:rPr>
            </w:pPr>
            <w:r>
              <w:rPr>
                <w:rFonts w:hint="eastAsia" w:ascii="宋体" w:hAnsi="宋体"/>
                <w:color w:val="000000"/>
                <w:sz w:val="18"/>
                <w:szCs w:val="18"/>
              </w:rPr>
              <w:t>《民用建筑隔声设计规范》第</w:t>
            </w:r>
            <w:r>
              <w:rPr>
                <w:rFonts w:ascii="宋体" w:hAnsi="宋体"/>
                <w:color w:val="000000"/>
                <w:sz w:val="18"/>
                <w:szCs w:val="18"/>
              </w:rPr>
              <w:t>4.2.4</w:t>
            </w:r>
            <w:r>
              <w:rPr>
                <w:rFonts w:hint="eastAsia" w:ascii="宋体" w:hAnsi="宋体"/>
                <w:color w:val="000000"/>
                <w:sz w:val="18"/>
                <w:szCs w:val="18"/>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80" w:type="dxa"/>
            <w:gridSpan w:val="2"/>
            <w:vMerge w:val="restart"/>
            <w:vAlign w:val="center"/>
          </w:tcPr>
          <w:p>
            <w:pPr>
              <w:jc w:val="center"/>
              <w:rPr>
                <w:rFonts w:ascii="宋体" w:hAnsi="宋体"/>
                <w:b/>
                <w:bCs/>
                <w:color w:val="000000"/>
                <w:sz w:val="18"/>
                <w:szCs w:val="18"/>
              </w:rPr>
            </w:pPr>
            <w:r>
              <w:rPr>
                <w:rFonts w:hint="eastAsia" w:ascii="宋体" w:hAnsi="宋体"/>
                <w:b/>
                <w:bCs/>
                <w:color w:val="000000"/>
                <w:sz w:val="18"/>
                <w:szCs w:val="18"/>
              </w:rPr>
              <w:t>构件名称</w:t>
            </w:r>
          </w:p>
        </w:tc>
        <w:tc>
          <w:tcPr>
            <w:tcW w:w="6379" w:type="dxa"/>
            <w:gridSpan w:val="9"/>
            <w:vAlign w:val="center"/>
          </w:tcPr>
          <w:p>
            <w:pPr>
              <w:jc w:val="center"/>
              <w:rPr>
                <w:rFonts w:ascii="宋体" w:hAnsi="宋体"/>
                <w:color w:val="000000"/>
                <w:sz w:val="18"/>
                <w:szCs w:val="18"/>
              </w:rPr>
            </w:pPr>
            <w:r>
              <w:rPr>
                <w:rFonts w:hint="eastAsia" w:ascii="宋体" w:hAnsi="宋体"/>
                <w:b/>
                <w:bCs/>
                <w:color w:val="000000"/>
                <w:sz w:val="18"/>
                <w:szCs w:val="18"/>
              </w:rPr>
              <w:t>撞击声隔声标准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80" w:type="dxa"/>
            <w:gridSpan w:val="2"/>
            <w:vMerge w:val="continue"/>
            <w:vAlign w:val="center"/>
          </w:tcPr>
          <w:p>
            <w:pPr>
              <w:jc w:val="center"/>
              <w:rPr>
                <w:rFonts w:ascii="宋体" w:hAnsi="宋体"/>
                <w:b/>
                <w:bCs/>
                <w:color w:val="000000"/>
                <w:sz w:val="18"/>
                <w:szCs w:val="18"/>
              </w:rPr>
            </w:pPr>
          </w:p>
        </w:tc>
        <w:tc>
          <w:tcPr>
            <w:tcW w:w="3118" w:type="dxa"/>
            <w:gridSpan w:val="4"/>
            <w:vAlign w:val="center"/>
          </w:tcPr>
          <w:p>
            <w:pPr>
              <w:jc w:val="center"/>
              <w:rPr>
                <w:rFonts w:ascii="宋体" w:hAnsi="宋体"/>
                <w:color w:val="000000"/>
                <w:sz w:val="18"/>
                <w:szCs w:val="18"/>
              </w:rPr>
            </w:pPr>
            <w:r>
              <w:rPr>
                <w:rFonts w:hint="eastAsia" w:ascii="宋体" w:hAnsi="宋体"/>
                <w:b/>
                <w:bCs/>
                <w:color w:val="000000"/>
                <w:sz w:val="18"/>
                <w:szCs w:val="18"/>
              </w:rPr>
              <w:t>常规住宅</w:t>
            </w:r>
          </w:p>
        </w:tc>
        <w:tc>
          <w:tcPr>
            <w:tcW w:w="3261" w:type="dxa"/>
            <w:gridSpan w:val="5"/>
            <w:vAlign w:val="center"/>
          </w:tcPr>
          <w:p>
            <w:pPr>
              <w:jc w:val="center"/>
              <w:rPr>
                <w:rFonts w:ascii="宋体" w:hAnsi="宋体"/>
                <w:color w:val="000000"/>
                <w:sz w:val="18"/>
                <w:szCs w:val="18"/>
              </w:rPr>
            </w:pPr>
            <w:r>
              <w:rPr>
                <w:rFonts w:hint="eastAsia" w:ascii="宋体" w:hAnsi="宋体"/>
                <w:b/>
                <w:bCs/>
                <w:color w:val="000000"/>
                <w:sz w:val="18"/>
                <w:szCs w:val="18"/>
              </w:rPr>
              <w:t>高要求住宅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80" w:type="dxa"/>
            <w:gridSpan w:val="2"/>
            <w:vMerge w:val="continue"/>
            <w:vAlign w:val="center"/>
          </w:tcPr>
          <w:p>
            <w:pPr>
              <w:jc w:val="center"/>
              <w:rPr>
                <w:rFonts w:ascii="宋体" w:hAnsi="宋体"/>
                <w:b/>
                <w:bCs/>
                <w:color w:val="000000"/>
                <w:sz w:val="18"/>
                <w:szCs w:val="18"/>
              </w:rPr>
            </w:pPr>
          </w:p>
        </w:tc>
        <w:tc>
          <w:tcPr>
            <w:tcW w:w="1134" w:type="dxa"/>
            <w:vAlign w:val="center"/>
          </w:tcPr>
          <w:p>
            <w:pPr>
              <w:jc w:val="center"/>
              <w:rPr>
                <w:rFonts w:ascii="宋体" w:hAnsi="宋体"/>
                <w:color w:val="000000"/>
                <w:sz w:val="18"/>
                <w:szCs w:val="18"/>
              </w:rPr>
            </w:pPr>
            <w:r>
              <w:rPr>
                <w:rFonts w:hint="eastAsia" w:ascii="宋体" w:hAnsi="宋体"/>
                <w:b/>
                <w:bCs/>
                <w:color w:val="000000"/>
                <w:sz w:val="18"/>
                <w:szCs w:val="18"/>
              </w:rPr>
              <w:t>空气声隔声</w:t>
            </w:r>
          </w:p>
        </w:tc>
        <w:tc>
          <w:tcPr>
            <w:tcW w:w="1984" w:type="dxa"/>
            <w:gridSpan w:val="3"/>
            <w:vAlign w:val="center"/>
          </w:tcPr>
          <w:p>
            <w:pPr>
              <w:jc w:val="center"/>
              <w:rPr>
                <w:rFonts w:ascii="宋体" w:hAnsi="宋体"/>
                <w:color w:val="000000"/>
                <w:sz w:val="18"/>
                <w:szCs w:val="18"/>
              </w:rPr>
            </w:pPr>
            <w:r>
              <w:rPr>
                <w:rFonts w:hint="eastAsia" w:ascii="宋体" w:hAnsi="宋体"/>
                <w:b/>
                <w:bCs/>
                <w:color w:val="000000"/>
                <w:sz w:val="18"/>
                <w:szCs w:val="18"/>
              </w:rPr>
              <w:t>备注</w:t>
            </w:r>
          </w:p>
        </w:tc>
        <w:tc>
          <w:tcPr>
            <w:tcW w:w="1134" w:type="dxa"/>
            <w:gridSpan w:val="3"/>
            <w:vAlign w:val="center"/>
          </w:tcPr>
          <w:p>
            <w:pPr>
              <w:jc w:val="center"/>
              <w:rPr>
                <w:rFonts w:ascii="宋体" w:hAnsi="宋体"/>
                <w:color w:val="000000"/>
                <w:sz w:val="18"/>
                <w:szCs w:val="18"/>
              </w:rPr>
            </w:pPr>
            <w:r>
              <w:rPr>
                <w:rFonts w:hint="eastAsia" w:ascii="宋体" w:hAnsi="宋体"/>
                <w:b/>
                <w:bCs/>
                <w:color w:val="000000"/>
                <w:sz w:val="18"/>
                <w:szCs w:val="18"/>
              </w:rPr>
              <w:t>空气声隔声</w:t>
            </w:r>
          </w:p>
        </w:tc>
        <w:tc>
          <w:tcPr>
            <w:tcW w:w="2127" w:type="dxa"/>
            <w:gridSpan w:val="2"/>
            <w:vAlign w:val="center"/>
          </w:tcPr>
          <w:p>
            <w:pPr>
              <w:jc w:val="center"/>
              <w:rPr>
                <w:rFonts w:ascii="宋体" w:hAnsi="宋体"/>
                <w:color w:val="000000"/>
                <w:sz w:val="18"/>
                <w:szCs w:val="18"/>
              </w:rPr>
            </w:pPr>
            <w:r>
              <w:rPr>
                <w:rFonts w:hint="eastAsia" w:ascii="宋体" w:hAnsi="宋体"/>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80" w:type="dxa"/>
            <w:gridSpan w:val="2"/>
            <w:vAlign w:val="center"/>
          </w:tcPr>
          <w:p>
            <w:pPr>
              <w:jc w:val="center"/>
              <w:rPr>
                <w:rFonts w:ascii="宋体" w:hAnsi="宋体"/>
                <w:b/>
                <w:bCs/>
                <w:color w:val="000000"/>
                <w:sz w:val="18"/>
                <w:szCs w:val="18"/>
              </w:rPr>
            </w:pPr>
            <w:r>
              <w:rPr>
                <w:rFonts w:hint="eastAsia" w:ascii="宋体" w:hAnsi="宋体"/>
                <w:b/>
                <w:bCs/>
                <w:color w:val="000000"/>
                <w:sz w:val="18"/>
                <w:szCs w:val="18"/>
              </w:rPr>
              <w:t>卧室、起居室（厅）的分户楼板</w:t>
            </w:r>
          </w:p>
        </w:tc>
        <w:tc>
          <w:tcPr>
            <w:tcW w:w="1134" w:type="dxa"/>
            <w:vAlign w:val="center"/>
          </w:tcPr>
          <w:p>
            <w:pPr>
              <w:jc w:val="center"/>
              <w:rPr>
                <w:rFonts w:ascii="宋体" w:hAnsi="宋体"/>
                <w:b/>
                <w:bCs/>
                <w:color w:val="000000"/>
                <w:sz w:val="18"/>
                <w:szCs w:val="18"/>
              </w:rPr>
            </w:pPr>
            <w:r>
              <w:rPr>
                <w:rFonts w:hint="eastAsia" w:ascii="宋体" w:hAnsi="宋体"/>
                <w:b/>
                <w:bCs/>
                <w:color w:val="000000"/>
                <w:sz w:val="18"/>
                <w:szCs w:val="18"/>
              </w:rPr>
              <w:t>＜7</w:t>
            </w:r>
            <w:r>
              <w:rPr>
                <w:rFonts w:ascii="宋体" w:hAnsi="宋体"/>
                <w:b/>
                <w:bCs/>
                <w:color w:val="000000"/>
                <w:sz w:val="18"/>
                <w:szCs w:val="18"/>
              </w:rPr>
              <w:t>5</w:t>
            </w:r>
            <w:r>
              <w:rPr>
                <w:rFonts w:hint="eastAsia" w:ascii="宋体" w:hAnsi="宋体"/>
                <w:b/>
                <w:bCs/>
                <w:color w:val="000000"/>
                <w:sz w:val="18"/>
                <w:szCs w:val="18"/>
              </w:rPr>
              <w:t>（实验室测量）</w:t>
            </w:r>
          </w:p>
          <w:p>
            <w:pPr>
              <w:jc w:val="center"/>
              <w:rPr>
                <w:rFonts w:ascii="宋体" w:hAnsi="宋体"/>
                <w:color w:val="000000"/>
                <w:sz w:val="18"/>
                <w:szCs w:val="18"/>
              </w:rPr>
            </w:pPr>
            <w:r>
              <w:rPr>
                <w:rFonts w:hint="eastAsia" w:ascii="宋体" w:hAnsi="宋体"/>
                <w:color w:val="000000"/>
                <w:sz w:val="18"/>
                <w:szCs w:val="18"/>
              </w:rPr>
              <w:t>≤</w:t>
            </w:r>
            <w:r>
              <w:rPr>
                <w:rFonts w:ascii="宋体" w:hAnsi="宋体"/>
                <w:color w:val="000000"/>
                <w:sz w:val="18"/>
                <w:szCs w:val="18"/>
              </w:rPr>
              <w:t>75</w:t>
            </w:r>
            <w:r>
              <w:rPr>
                <w:rFonts w:hint="eastAsia" w:ascii="宋体" w:hAnsi="宋体"/>
                <w:color w:val="000000"/>
                <w:sz w:val="18"/>
                <w:szCs w:val="18"/>
              </w:rPr>
              <w:t>（现场测量）</w:t>
            </w:r>
          </w:p>
        </w:tc>
        <w:tc>
          <w:tcPr>
            <w:tcW w:w="1984" w:type="dxa"/>
            <w:gridSpan w:val="3"/>
            <w:vAlign w:val="center"/>
          </w:tcPr>
          <w:p>
            <w:pPr>
              <w:jc w:val="left"/>
              <w:rPr>
                <w:rFonts w:ascii="宋体" w:hAnsi="宋体"/>
                <w:color w:val="000000"/>
                <w:sz w:val="18"/>
                <w:szCs w:val="18"/>
              </w:rPr>
            </w:pPr>
            <w:r>
              <w:rPr>
                <w:rFonts w:hint="eastAsia" w:ascii="宋体" w:hAnsi="宋体"/>
                <w:color w:val="000000"/>
                <w:sz w:val="18"/>
                <w:szCs w:val="18"/>
              </w:rPr>
              <w:t>《民用建筑隔声设计规范》第</w:t>
            </w:r>
            <w:r>
              <w:rPr>
                <w:rFonts w:ascii="宋体" w:hAnsi="宋体"/>
                <w:color w:val="000000"/>
                <w:sz w:val="18"/>
                <w:szCs w:val="18"/>
              </w:rPr>
              <w:t>4.2.7</w:t>
            </w:r>
            <w:r>
              <w:rPr>
                <w:rFonts w:hint="eastAsia" w:ascii="宋体" w:hAnsi="宋体"/>
                <w:color w:val="000000"/>
                <w:sz w:val="18"/>
                <w:szCs w:val="18"/>
              </w:rPr>
              <w:t>条</w:t>
            </w:r>
          </w:p>
          <w:p>
            <w:pPr>
              <w:jc w:val="left"/>
              <w:rPr>
                <w:rFonts w:ascii="宋体" w:hAnsi="宋体"/>
                <w:color w:val="000000"/>
                <w:sz w:val="18"/>
                <w:szCs w:val="18"/>
              </w:rPr>
            </w:pPr>
            <w:r>
              <w:rPr>
                <w:rFonts w:hint="eastAsia" w:ascii="宋体" w:hAnsi="宋体"/>
                <w:color w:val="000000"/>
                <w:sz w:val="18"/>
                <w:szCs w:val="18"/>
              </w:rPr>
              <w:t>《住宅建筑规范》第7</w:t>
            </w:r>
            <w:r>
              <w:rPr>
                <w:rFonts w:ascii="宋体" w:hAnsi="宋体"/>
                <w:color w:val="000000"/>
                <w:sz w:val="18"/>
                <w:szCs w:val="18"/>
              </w:rPr>
              <w:t>.1.2</w:t>
            </w:r>
            <w:r>
              <w:rPr>
                <w:rFonts w:hint="eastAsia" w:ascii="宋体" w:hAnsi="宋体"/>
                <w:color w:val="000000"/>
                <w:sz w:val="18"/>
                <w:szCs w:val="18"/>
              </w:rPr>
              <w:t>条</w:t>
            </w:r>
          </w:p>
          <w:p>
            <w:pPr>
              <w:jc w:val="left"/>
              <w:rPr>
                <w:rFonts w:ascii="宋体" w:hAnsi="宋体"/>
                <w:color w:val="000000"/>
                <w:sz w:val="18"/>
                <w:szCs w:val="18"/>
              </w:rPr>
            </w:pPr>
            <w:r>
              <w:rPr>
                <w:rFonts w:hint="eastAsia" w:ascii="宋体" w:hAnsi="宋体"/>
                <w:color w:val="000000"/>
                <w:sz w:val="18"/>
                <w:szCs w:val="18"/>
              </w:rPr>
              <w:t>《住宅设计规范》第7</w:t>
            </w:r>
            <w:r>
              <w:rPr>
                <w:rFonts w:ascii="宋体" w:hAnsi="宋体"/>
                <w:color w:val="000000"/>
                <w:sz w:val="18"/>
                <w:szCs w:val="18"/>
              </w:rPr>
              <w:t>.3.3</w:t>
            </w:r>
            <w:r>
              <w:rPr>
                <w:rFonts w:hint="eastAsia" w:ascii="宋体" w:hAnsi="宋体"/>
                <w:color w:val="000000"/>
                <w:sz w:val="18"/>
                <w:szCs w:val="18"/>
              </w:rPr>
              <w:t>条</w:t>
            </w:r>
          </w:p>
        </w:tc>
        <w:tc>
          <w:tcPr>
            <w:tcW w:w="1134" w:type="dxa"/>
            <w:gridSpan w:val="3"/>
            <w:vAlign w:val="center"/>
          </w:tcPr>
          <w:p>
            <w:pPr>
              <w:jc w:val="center"/>
              <w:rPr>
                <w:rFonts w:ascii="宋体" w:hAnsi="宋体"/>
                <w:color w:val="000000"/>
                <w:sz w:val="18"/>
                <w:szCs w:val="18"/>
              </w:rPr>
            </w:pPr>
            <w:r>
              <w:rPr>
                <w:rFonts w:hint="eastAsia" w:ascii="宋体" w:hAnsi="宋体"/>
                <w:color w:val="000000"/>
                <w:sz w:val="18"/>
                <w:szCs w:val="18"/>
              </w:rPr>
              <w:t>＜</w:t>
            </w:r>
            <w:r>
              <w:rPr>
                <w:rFonts w:ascii="宋体" w:hAnsi="宋体"/>
                <w:color w:val="000000"/>
                <w:sz w:val="18"/>
                <w:szCs w:val="18"/>
              </w:rPr>
              <w:t>65</w:t>
            </w:r>
            <w:r>
              <w:rPr>
                <w:rFonts w:hint="eastAsia" w:ascii="宋体" w:hAnsi="宋体"/>
                <w:color w:val="000000"/>
                <w:sz w:val="18"/>
                <w:szCs w:val="18"/>
              </w:rPr>
              <w:t>（实验室测量）</w:t>
            </w:r>
          </w:p>
          <w:p>
            <w:pPr>
              <w:jc w:val="center"/>
              <w:rPr>
                <w:rFonts w:ascii="宋体" w:hAnsi="宋体"/>
                <w:color w:val="000000"/>
                <w:sz w:val="18"/>
                <w:szCs w:val="18"/>
              </w:rPr>
            </w:pPr>
            <w:r>
              <w:rPr>
                <w:rFonts w:hint="eastAsia" w:ascii="宋体" w:hAnsi="宋体"/>
                <w:color w:val="000000"/>
                <w:sz w:val="18"/>
                <w:szCs w:val="18"/>
              </w:rPr>
              <w:t>≤</w:t>
            </w:r>
            <w:r>
              <w:rPr>
                <w:rFonts w:ascii="宋体" w:hAnsi="宋体"/>
                <w:color w:val="000000"/>
                <w:sz w:val="18"/>
                <w:szCs w:val="18"/>
              </w:rPr>
              <w:t>65</w:t>
            </w:r>
            <w:r>
              <w:rPr>
                <w:rFonts w:hint="eastAsia" w:ascii="宋体" w:hAnsi="宋体"/>
                <w:color w:val="000000"/>
                <w:sz w:val="18"/>
                <w:szCs w:val="18"/>
              </w:rPr>
              <w:t>（现场测量）</w:t>
            </w:r>
          </w:p>
        </w:tc>
        <w:tc>
          <w:tcPr>
            <w:tcW w:w="2127" w:type="dxa"/>
            <w:gridSpan w:val="2"/>
            <w:vAlign w:val="center"/>
          </w:tcPr>
          <w:p>
            <w:pPr>
              <w:jc w:val="left"/>
              <w:rPr>
                <w:rFonts w:ascii="宋体" w:hAnsi="宋体"/>
                <w:color w:val="000000"/>
                <w:sz w:val="18"/>
                <w:szCs w:val="18"/>
              </w:rPr>
            </w:pPr>
            <w:r>
              <w:rPr>
                <w:rFonts w:hint="eastAsia" w:ascii="宋体" w:hAnsi="宋体"/>
                <w:color w:val="000000"/>
                <w:sz w:val="18"/>
                <w:szCs w:val="18"/>
              </w:rPr>
              <w:t>《民用建筑隔声设计规范》第</w:t>
            </w:r>
            <w:r>
              <w:rPr>
                <w:rFonts w:ascii="宋体" w:hAnsi="宋体"/>
                <w:color w:val="000000"/>
                <w:sz w:val="18"/>
                <w:szCs w:val="18"/>
              </w:rPr>
              <w:t>4.2.8</w:t>
            </w:r>
            <w:r>
              <w:rPr>
                <w:rFonts w:hint="eastAsia" w:ascii="宋体" w:hAnsi="宋体"/>
                <w:color w:val="000000"/>
                <w:sz w:val="18"/>
                <w:szCs w:val="18"/>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80" w:type="dxa"/>
            <w:gridSpan w:val="2"/>
            <w:vMerge w:val="restart"/>
            <w:vAlign w:val="center"/>
          </w:tcPr>
          <w:p>
            <w:pPr>
              <w:jc w:val="center"/>
              <w:rPr>
                <w:rFonts w:ascii="宋体" w:hAnsi="宋体"/>
                <w:b/>
                <w:bCs/>
                <w:color w:val="000000"/>
                <w:sz w:val="18"/>
                <w:szCs w:val="18"/>
              </w:rPr>
            </w:pPr>
            <w:r>
              <w:rPr>
                <w:rFonts w:hint="eastAsia" w:ascii="宋体" w:hAnsi="宋体"/>
                <w:b/>
                <w:bCs/>
                <w:color w:val="000000"/>
                <w:sz w:val="18"/>
                <w:szCs w:val="18"/>
              </w:rPr>
              <w:t>房间名称</w:t>
            </w:r>
          </w:p>
        </w:tc>
        <w:tc>
          <w:tcPr>
            <w:tcW w:w="6379" w:type="dxa"/>
            <w:gridSpan w:val="9"/>
            <w:vAlign w:val="center"/>
          </w:tcPr>
          <w:p>
            <w:pPr>
              <w:jc w:val="center"/>
              <w:rPr>
                <w:rFonts w:ascii="宋体" w:hAnsi="宋体"/>
                <w:color w:val="000000"/>
                <w:sz w:val="18"/>
                <w:szCs w:val="18"/>
              </w:rPr>
            </w:pPr>
            <w:r>
              <w:rPr>
                <w:rFonts w:hint="eastAsia" w:ascii="宋体" w:hAnsi="宋体"/>
                <w:b/>
                <w:bCs/>
                <w:color w:val="000000"/>
                <w:sz w:val="18"/>
                <w:szCs w:val="18"/>
              </w:rPr>
              <w:t>卧室、起居室内的建筑设备结构噪声限值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80" w:type="dxa"/>
            <w:gridSpan w:val="2"/>
            <w:vMerge w:val="continue"/>
            <w:vAlign w:val="center"/>
          </w:tcPr>
          <w:p>
            <w:pPr>
              <w:jc w:val="center"/>
              <w:rPr>
                <w:rFonts w:ascii="宋体" w:hAnsi="宋体"/>
                <w:b/>
                <w:bCs/>
                <w:color w:val="000000"/>
                <w:sz w:val="18"/>
                <w:szCs w:val="18"/>
              </w:rPr>
            </w:pPr>
          </w:p>
        </w:tc>
        <w:tc>
          <w:tcPr>
            <w:tcW w:w="4252" w:type="dxa"/>
            <w:gridSpan w:val="7"/>
            <w:vAlign w:val="center"/>
          </w:tcPr>
          <w:p>
            <w:pPr>
              <w:jc w:val="center"/>
              <w:rPr>
                <w:rFonts w:ascii="宋体" w:hAnsi="宋体"/>
                <w:color w:val="000000"/>
                <w:sz w:val="18"/>
                <w:szCs w:val="18"/>
              </w:rPr>
            </w:pPr>
            <w:r>
              <w:rPr>
                <w:rFonts w:hint="eastAsia" w:ascii="宋体" w:hAnsi="宋体"/>
                <w:color w:val="000000"/>
                <w:sz w:val="18"/>
                <w:szCs w:val="18"/>
              </w:rPr>
              <w:t>倍频带等效声压级 （dB）</w:t>
            </w:r>
          </w:p>
        </w:tc>
        <w:tc>
          <w:tcPr>
            <w:tcW w:w="2127" w:type="dxa"/>
            <w:gridSpan w:val="2"/>
            <w:vMerge w:val="restart"/>
            <w:vAlign w:val="center"/>
          </w:tcPr>
          <w:p>
            <w:pPr>
              <w:jc w:val="left"/>
              <w:rPr>
                <w:rFonts w:ascii="宋体" w:hAnsi="宋体"/>
                <w:color w:val="000000"/>
                <w:sz w:val="18"/>
                <w:szCs w:val="18"/>
              </w:rPr>
            </w:pPr>
            <w:r>
              <w:rPr>
                <w:rFonts w:hint="eastAsia" w:ascii="宋体" w:hAnsi="宋体"/>
                <w:color w:val="000000"/>
                <w:sz w:val="18"/>
                <w:szCs w:val="18"/>
              </w:rPr>
              <w:t>低频等效声级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80" w:type="dxa"/>
            <w:gridSpan w:val="2"/>
            <w:vMerge w:val="continue"/>
            <w:vAlign w:val="center"/>
          </w:tcPr>
          <w:p>
            <w:pPr>
              <w:jc w:val="center"/>
              <w:rPr>
                <w:rFonts w:ascii="宋体" w:hAnsi="宋体"/>
                <w:b/>
                <w:bCs/>
                <w:color w:val="000000"/>
                <w:sz w:val="18"/>
                <w:szCs w:val="18"/>
              </w:rPr>
            </w:pPr>
          </w:p>
        </w:tc>
        <w:tc>
          <w:tcPr>
            <w:tcW w:w="1134" w:type="dxa"/>
            <w:vAlign w:val="center"/>
          </w:tcPr>
          <w:p>
            <w:pPr>
              <w:jc w:val="center"/>
              <w:rPr>
                <w:rFonts w:ascii="宋体" w:hAnsi="宋体"/>
                <w:b/>
                <w:bCs/>
                <w:color w:val="000000"/>
                <w:sz w:val="18"/>
                <w:szCs w:val="18"/>
              </w:rPr>
            </w:pPr>
            <w:r>
              <w:rPr>
                <w:rFonts w:hint="eastAsia" w:ascii="宋体" w:hAnsi="宋体"/>
                <w:color w:val="000000"/>
                <w:sz w:val="18"/>
                <w:szCs w:val="18"/>
              </w:rPr>
              <w:t>3</w:t>
            </w:r>
            <w:r>
              <w:rPr>
                <w:rFonts w:ascii="宋体" w:hAnsi="宋体"/>
                <w:color w:val="000000"/>
                <w:sz w:val="18"/>
                <w:szCs w:val="18"/>
              </w:rPr>
              <w:t>1.5H</w:t>
            </w:r>
            <w:r>
              <w:rPr>
                <w:rFonts w:hint="eastAsia" w:ascii="宋体" w:hAnsi="宋体"/>
                <w:color w:val="000000"/>
                <w:sz w:val="18"/>
                <w:szCs w:val="18"/>
              </w:rPr>
              <w:t>z</w:t>
            </w:r>
          </w:p>
        </w:tc>
        <w:tc>
          <w:tcPr>
            <w:tcW w:w="992" w:type="dxa"/>
            <w:gridSpan w:val="2"/>
            <w:vAlign w:val="center"/>
          </w:tcPr>
          <w:p>
            <w:pPr>
              <w:jc w:val="center"/>
              <w:rPr>
                <w:rFonts w:ascii="宋体" w:hAnsi="宋体"/>
                <w:color w:val="000000"/>
                <w:sz w:val="18"/>
                <w:szCs w:val="18"/>
              </w:rPr>
            </w:pPr>
            <w:r>
              <w:rPr>
                <w:rFonts w:hint="eastAsia" w:ascii="宋体" w:hAnsi="宋体"/>
                <w:color w:val="000000"/>
                <w:sz w:val="18"/>
                <w:szCs w:val="18"/>
              </w:rPr>
              <w:t>6</w:t>
            </w:r>
            <w:r>
              <w:rPr>
                <w:rFonts w:ascii="宋体" w:hAnsi="宋体"/>
                <w:color w:val="000000"/>
                <w:sz w:val="18"/>
                <w:szCs w:val="18"/>
              </w:rPr>
              <w:t>3H</w:t>
            </w:r>
            <w:r>
              <w:rPr>
                <w:rFonts w:hint="eastAsia" w:ascii="宋体" w:hAnsi="宋体"/>
                <w:color w:val="000000"/>
                <w:sz w:val="18"/>
                <w:szCs w:val="18"/>
              </w:rPr>
              <w:t>z</w:t>
            </w:r>
          </w:p>
        </w:tc>
        <w:tc>
          <w:tcPr>
            <w:tcW w:w="992" w:type="dxa"/>
            <w:vAlign w:val="center"/>
          </w:tcPr>
          <w:p>
            <w:pPr>
              <w:jc w:val="center"/>
              <w:rPr>
                <w:rFonts w:ascii="宋体" w:hAnsi="宋体"/>
                <w:color w:val="000000"/>
                <w:sz w:val="18"/>
                <w:szCs w:val="18"/>
              </w:rPr>
            </w:pPr>
            <w:r>
              <w:rPr>
                <w:rFonts w:hint="eastAsia" w:ascii="宋体" w:hAnsi="宋体"/>
                <w:color w:val="000000"/>
                <w:sz w:val="18"/>
                <w:szCs w:val="18"/>
              </w:rPr>
              <w:t>1</w:t>
            </w:r>
            <w:r>
              <w:rPr>
                <w:rFonts w:ascii="宋体" w:hAnsi="宋体"/>
                <w:color w:val="000000"/>
                <w:sz w:val="18"/>
                <w:szCs w:val="18"/>
              </w:rPr>
              <w:t>25H</w:t>
            </w:r>
            <w:r>
              <w:rPr>
                <w:rFonts w:hint="eastAsia" w:ascii="宋体" w:hAnsi="宋体"/>
                <w:color w:val="000000"/>
                <w:sz w:val="18"/>
                <w:szCs w:val="18"/>
              </w:rPr>
              <w:t>z</w:t>
            </w:r>
          </w:p>
        </w:tc>
        <w:tc>
          <w:tcPr>
            <w:tcW w:w="1134" w:type="dxa"/>
            <w:gridSpan w:val="3"/>
            <w:vAlign w:val="center"/>
          </w:tcPr>
          <w:p>
            <w:pPr>
              <w:jc w:val="center"/>
              <w:rPr>
                <w:rFonts w:ascii="宋体" w:hAnsi="宋体"/>
                <w:color w:val="000000"/>
                <w:sz w:val="18"/>
                <w:szCs w:val="18"/>
              </w:rPr>
            </w:pPr>
            <w:r>
              <w:rPr>
                <w:rFonts w:hint="eastAsia" w:ascii="宋体" w:hAnsi="宋体"/>
                <w:color w:val="000000"/>
                <w:sz w:val="18"/>
                <w:szCs w:val="18"/>
              </w:rPr>
              <w:t>2</w:t>
            </w:r>
            <w:r>
              <w:rPr>
                <w:rFonts w:ascii="宋体" w:hAnsi="宋体"/>
                <w:color w:val="000000"/>
                <w:sz w:val="18"/>
                <w:szCs w:val="18"/>
              </w:rPr>
              <w:t>50H</w:t>
            </w:r>
            <w:r>
              <w:rPr>
                <w:rFonts w:hint="eastAsia" w:ascii="宋体" w:hAnsi="宋体"/>
                <w:color w:val="000000"/>
                <w:sz w:val="18"/>
                <w:szCs w:val="18"/>
              </w:rPr>
              <w:t>z</w:t>
            </w:r>
          </w:p>
        </w:tc>
        <w:tc>
          <w:tcPr>
            <w:tcW w:w="2127" w:type="dxa"/>
            <w:gridSpan w:val="2"/>
            <w:vMerge w:val="continue"/>
            <w:vAlign w:val="center"/>
          </w:tcPr>
          <w:p>
            <w:pPr>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80" w:type="dxa"/>
            <w:gridSpan w:val="2"/>
            <w:vAlign w:val="center"/>
          </w:tcPr>
          <w:p>
            <w:pPr>
              <w:jc w:val="center"/>
              <w:rPr>
                <w:rFonts w:ascii="宋体" w:hAnsi="宋体"/>
                <w:b/>
                <w:bCs/>
                <w:color w:val="000000"/>
                <w:sz w:val="18"/>
                <w:szCs w:val="18"/>
              </w:rPr>
            </w:pPr>
            <w:r>
              <w:rPr>
                <w:rFonts w:hint="eastAsia" w:ascii="宋体" w:hAnsi="宋体"/>
                <w:b/>
                <w:bCs/>
                <w:color w:val="000000"/>
                <w:sz w:val="18"/>
                <w:szCs w:val="18"/>
              </w:rPr>
              <w:t>卧室</w:t>
            </w:r>
          </w:p>
        </w:tc>
        <w:tc>
          <w:tcPr>
            <w:tcW w:w="1134" w:type="dxa"/>
            <w:vAlign w:val="center"/>
          </w:tcPr>
          <w:p>
            <w:pPr>
              <w:jc w:val="center"/>
              <w:rPr>
                <w:rFonts w:ascii="宋体" w:hAnsi="宋体"/>
                <w:color w:val="000000"/>
                <w:sz w:val="18"/>
                <w:szCs w:val="18"/>
              </w:rPr>
            </w:pPr>
            <w:r>
              <w:rPr>
                <w:rFonts w:hint="eastAsia" w:ascii="宋体" w:hAnsi="宋体"/>
                <w:color w:val="000000"/>
                <w:sz w:val="18"/>
                <w:szCs w:val="18"/>
              </w:rPr>
              <w:t>7</w:t>
            </w:r>
            <w:r>
              <w:rPr>
                <w:rFonts w:ascii="宋体" w:hAnsi="宋体"/>
                <w:color w:val="000000"/>
                <w:sz w:val="18"/>
                <w:szCs w:val="18"/>
              </w:rPr>
              <w:t>2</w:t>
            </w:r>
          </w:p>
        </w:tc>
        <w:tc>
          <w:tcPr>
            <w:tcW w:w="992" w:type="dxa"/>
            <w:gridSpan w:val="2"/>
            <w:vAlign w:val="center"/>
          </w:tcPr>
          <w:p>
            <w:pPr>
              <w:jc w:val="center"/>
              <w:rPr>
                <w:rFonts w:ascii="宋体" w:hAnsi="宋体"/>
                <w:color w:val="000000"/>
                <w:sz w:val="18"/>
                <w:szCs w:val="18"/>
              </w:rPr>
            </w:pPr>
            <w:r>
              <w:rPr>
                <w:rFonts w:hint="eastAsia" w:ascii="宋体" w:hAnsi="宋体"/>
                <w:color w:val="000000"/>
                <w:sz w:val="18"/>
                <w:szCs w:val="18"/>
              </w:rPr>
              <w:t>5</w:t>
            </w:r>
            <w:r>
              <w:rPr>
                <w:rFonts w:ascii="宋体" w:hAnsi="宋体"/>
                <w:color w:val="000000"/>
                <w:sz w:val="18"/>
                <w:szCs w:val="18"/>
              </w:rPr>
              <w:t>5</w:t>
            </w:r>
          </w:p>
        </w:tc>
        <w:tc>
          <w:tcPr>
            <w:tcW w:w="992" w:type="dxa"/>
            <w:vAlign w:val="center"/>
          </w:tcPr>
          <w:p>
            <w:pPr>
              <w:jc w:val="center"/>
              <w:rPr>
                <w:rFonts w:ascii="宋体" w:hAnsi="宋体"/>
                <w:color w:val="000000"/>
                <w:sz w:val="18"/>
                <w:szCs w:val="18"/>
              </w:rPr>
            </w:pPr>
            <w:r>
              <w:rPr>
                <w:rFonts w:hint="eastAsia" w:ascii="宋体" w:hAnsi="宋体"/>
                <w:color w:val="000000"/>
                <w:sz w:val="18"/>
                <w:szCs w:val="18"/>
              </w:rPr>
              <w:t>4</w:t>
            </w:r>
            <w:r>
              <w:rPr>
                <w:rFonts w:ascii="宋体" w:hAnsi="宋体"/>
                <w:color w:val="000000"/>
                <w:sz w:val="18"/>
                <w:szCs w:val="18"/>
              </w:rPr>
              <w:t>3</w:t>
            </w:r>
          </w:p>
        </w:tc>
        <w:tc>
          <w:tcPr>
            <w:tcW w:w="1134" w:type="dxa"/>
            <w:gridSpan w:val="3"/>
            <w:vAlign w:val="center"/>
          </w:tcPr>
          <w:p>
            <w:pPr>
              <w:jc w:val="center"/>
              <w:rPr>
                <w:rFonts w:ascii="宋体" w:hAnsi="宋体"/>
                <w:color w:val="000000"/>
                <w:sz w:val="18"/>
                <w:szCs w:val="18"/>
              </w:rPr>
            </w:pPr>
            <w:r>
              <w:rPr>
                <w:rFonts w:hint="eastAsia" w:ascii="宋体" w:hAnsi="宋体"/>
                <w:color w:val="000000"/>
                <w:sz w:val="18"/>
                <w:szCs w:val="18"/>
              </w:rPr>
              <w:t>3</w:t>
            </w:r>
            <w:r>
              <w:rPr>
                <w:rFonts w:ascii="宋体" w:hAnsi="宋体"/>
                <w:color w:val="000000"/>
                <w:sz w:val="18"/>
                <w:szCs w:val="18"/>
              </w:rPr>
              <w:t>5</w:t>
            </w:r>
          </w:p>
        </w:tc>
        <w:tc>
          <w:tcPr>
            <w:tcW w:w="2127" w:type="dxa"/>
            <w:gridSpan w:val="2"/>
            <w:vAlign w:val="center"/>
          </w:tcPr>
          <w:p>
            <w:pPr>
              <w:jc w:val="center"/>
              <w:rPr>
                <w:rFonts w:ascii="宋体" w:hAnsi="宋体"/>
                <w:color w:val="000000"/>
                <w:sz w:val="18"/>
                <w:szCs w:val="18"/>
              </w:rPr>
            </w:pPr>
            <w:r>
              <w:rPr>
                <w:rFonts w:hint="eastAsia" w:ascii="宋体" w:hAnsi="宋体"/>
                <w:color w:val="000000"/>
                <w:sz w:val="18"/>
                <w:szCs w:val="18"/>
              </w:rPr>
              <w:t>3</w:t>
            </w:r>
            <w:r>
              <w:rPr>
                <w:rFonts w:ascii="宋体" w:hAnsi="宋体"/>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80" w:type="dxa"/>
            <w:gridSpan w:val="2"/>
            <w:vAlign w:val="center"/>
          </w:tcPr>
          <w:p>
            <w:pPr>
              <w:jc w:val="center"/>
              <w:rPr>
                <w:rFonts w:ascii="宋体" w:hAnsi="宋体"/>
                <w:b/>
                <w:bCs/>
                <w:color w:val="000000"/>
                <w:sz w:val="18"/>
                <w:szCs w:val="18"/>
              </w:rPr>
            </w:pPr>
            <w:r>
              <w:rPr>
                <w:rFonts w:hint="eastAsia" w:ascii="宋体" w:hAnsi="宋体"/>
                <w:b/>
                <w:bCs/>
                <w:color w:val="000000"/>
                <w:sz w:val="18"/>
                <w:szCs w:val="18"/>
              </w:rPr>
              <w:t>起居室</w:t>
            </w:r>
          </w:p>
        </w:tc>
        <w:tc>
          <w:tcPr>
            <w:tcW w:w="1134" w:type="dxa"/>
            <w:vAlign w:val="center"/>
          </w:tcPr>
          <w:p>
            <w:pPr>
              <w:jc w:val="center"/>
              <w:rPr>
                <w:rFonts w:ascii="宋体" w:hAnsi="宋体"/>
                <w:color w:val="000000"/>
                <w:sz w:val="18"/>
                <w:szCs w:val="18"/>
              </w:rPr>
            </w:pPr>
            <w:r>
              <w:rPr>
                <w:rFonts w:hint="eastAsia" w:ascii="宋体" w:hAnsi="宋体"/>
                <w:color w:val="000000"/>
                <w:sz w:val="18"/>
                <w:szCs w:val="18"/>
              </w:rPr>
              <w:t>7</w:t>
            </w:r>
            <w:r>
              <w:rPr>
                <w:rFonts w:ascii="宋体" w:hAnsi="宋体"/>
                <w:color w:val="000000"/>
                <w:sz w:val="18"/>
                <w:szCs w:val="18"/>
              </w:rPr>
              <w:t>9</w:t>
            </w:r>
          </w:p>
        </w:tc>
        <w:tc>
          <w:tcPr>
            <w:tcW w:w="992" w:type="dxa"/>
            <w:gridSpan w:val="2"/>
            <w:vAlign w:val="center"/>
          </w:tcPr>
          <w:p>
            <w:pPr>
              <w:jc w:val="center"/>
              <w:rPr>
                <w:rFonts w:ascii="宋体" w:hAnsi="宋体"/>
                <w:color w:val="000000"/>
                <w:sz w:val="18"/>
                <w:szCs w:val="18"/>
              </w:rPr>
            </w:pPr>
            <w:r>
              <w:rPr>
                <w:rFonts w:hint="eastAsia" w:ascii="宋体" w:hAnsi="宋体"/>
                <w:color w:val="000000"/>
                <w:sz w:val="18"/>
                <w:szCs w:val="18"/>
              </w:rPr>
              <w:t>6</w:t>
            </w:r>
            <w:r>
              <w:rPr>
                <w:rFonts w:ascii="宋体" w:hAnsi="宋体"/>
                <w:color w:val="000000"/>
                <w:sz w:val="18"/>
                <w:szCs w:val="18"/>
              </w:rPr>
              <w:t>3</w:t>
            </w:r>
          </w:p>
        </w:tc>
        <w:tc>
          <w:tcPr>
            <w:tcW w:w="992" w:type="dxa"/>
            <w:vAlign w:val="center"/>
          </w:tcPr>
          <w:p>
            <w:pPr>
              <w:jc w:val="center"/>
              <w:rPr>
                <w:rFonts w:ascii="宋体" w:hAnsi="宋体"/>
                <w:color w:val="000000"/>
                <w:sz w:val="18"/>
                <w:szCs w:val="18"/>
              </w:rPr>
            </w:pPr>
            <w:r>
              <w:rPr>
                <w:rFonts w:hint="eastAsia" w:ascii="宋体" w:hAnsi="宋体"/>
                <w:color w:val="000000"/>
                <w:sz w:val="18"/>
                <w:szCs w:val="18"/>
              </w:rPr>
              <w:t>5</w:t>
            </w:r>
            <w:r>
              <w:rPr>
                <w:rFonts w:ascii="宋体" w:hAnsi="宋体"/>
                <w:color w:val="000000"/>
                <w:sz w:val="18"/>
                <w:szCs w:val="18"/>
              </w:rPr>
              <w:t>2</w:t>
            </w:r>
          </w:p>
        </w:tc>
        <w:tc>
          <w:tcPr>
            <w:tcW w:w="1134" w:type="dxa"/>
            <w:gridSpan w:val="3"/>
            <w:vAlign w:val="center"/>
          </w:tcPr>
          <w:p>
            <w:pPr>
              <w:jc w:val="center"/>
              <w:rPr>
                <w:rFonts w:ascii="宋体" w:hAnsi="宋体"/>
                <w:color w:val="000000"/>
                <w:sz w:val="18"/>
                <w:szCs w:val="18"/>
              </w:rPr>
            </w:pPr>
            <w:r>
              <w:rPr>
                <w:rFonts w:hint="eastAsia" w:ascii="宋体" w:hAnsi="宋体"/>
                <w:color w:val="000000"/>
                <w:sz w:val="18"/>
                <w:szCs w:val="18"/>
              </w:rPr>
              <w:t>4</w:t>
            </w:r>
            <w:r>
              <w:rPr>
                <w:rFonts w:ascii="宋体" w:hAnsi="宋体"/>
                <w:color w:val="000000"/>
                <w:sz w:val="18"/>
                <w:szCs w:val="18"/>
              </w:rPr>
              <w:t>4</w:t>
            </w:r>
          </w:p>
        </w:tc>
        <w:tc>
          <w:tcPr>
            <w:tcW w:w="2127" w:type="dxa"/>
            <w:gridSpan w:val="2"/>
            <w:vAlign w:val="center"/>
          </w:tcPr>
          <w:p>
            <w:pPr>
              <w:jc w:val="center"/>
              <w:rPr>
                <w:rFonts w:ascii="宋体" w:hAnsi="宋体"/>
                <w:color w:val="000000"/>
                <w:sz w:val="18"/>
                <w:szCs w:val="18"/>
              </w:rPr>
            </w:pPr>
            <w:r>
              <w:rPr>
                <w:rFonts w:hint="eastAsia" w:ascii="宋体" w:hAnsi="宋体"/>
                <w:color w:val="000000"/>
                <w:sz w:val="18"/>
                <w:szCs w:val="18"/>
              </w:rPr>
              <w:t>4</w:t>
            </w:r>
            <w:r>
              <w:rPr>
                <w:rFonts w:ascii="宋体" w:hAnsi="宋体"/>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359" w:type="dxa"/>
            <w:gridSpan w:val="11"/>
            <w:vAlign w:val="center"/>
          </w:tcPr>
          <w:p>
            <w:pPr>
              <w:jc w:val="center"/>
              <w:rPr>
                <w:rFonts w:ascii="宋体" w:hAnsi="宋体"/>
                <w:b/>
                <w:bCs/>
                <w:color w:val="000000"/>
                <w:sz w:val="24"/>
                <w:szCs w:val="24"/>
              </w:rPr>
            </w:pPr>
            <w:r>
              <w:rPr>
                <w:rFonts w:hint="eastAsia" w:ascii="宋体" w:hAnsi="宋体"/>
                <w:b/>
                <w:bCs/>
                <w:color w:val="000000"/>
                <w:sz w:val="24"/>
                <w:szCs w:val="24"/>
              </w:rPr>
              <w:t>室内空气质量要求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665" w:type="dxa"/>
            <w:gridSpan w:val="8"/>
            <w:vAlign w:val="center"/>
          </w:tcPr>
          <w:p>
            <w:pPr>
              <w:jc w:val="center"/>
              <w:rPr>
                <w:rFonts w:ascii="宋体" w:hAnsi="宋体"/>
                <w:b/>
                <w:bCs/>
                <w:color w:val="000000"/>
                <w:sz w:val="18"/>
                <w:szCs w:val="18"/>
              </w:rPr>
            </w:pPr>
            <w:r>
              <w:rPr>
                <w:rFonts w:hint="eastAsia" w:ascii="宋体" w:hAnsi="宋体"/>
                <w:b/>
                <w:bCs/>
                <w:color w:val="000000"/>
                <w:sz w:val="18"/>
                <w:szCs w:val="18"/>
              </w:rPr>
              <w:t>住宅室内空气污染物限制</w:t>
            </w:r>
          </w:p>
        </w:tc>
        <w:tc>
          <w:tcPr>
            <w:tcW w:w="2694" w:type="dxa"/>
            <w:gridSpan w:val="3"/>
            <w:vMerge w:val="restart"/>
            <w:vAlign w:val="center"/>
          </w:tcPr>
          <w:p>
            <w:pPr>
              <w:jc w:val="center"/>
              <w:rPr>
                <w:rFonts w:ascii="宋体" w:hAnsi="宋体"/>
                <w:color w:val="000000"/>
                <w:sz w:val="18"/>
                <w:szCs w:val="18"/>
              </w:rPr>
            </w:pPr>
            <w:r>
              <w:rPr>
                <w:rFonts w:hint="eastAsia" w:ascii="宋体" w:hAnsi="宋体"/>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539" w:type="dxa"/>
            <w:gridSpan w:val="4"/>
            <w:vAlign w:val="center"/>
          </w:tcPr>
          <w:p>
            <w:pPr>
              <w:jc w:val="center"/>
              <w:rPr>
                <w:rFonts w:ascii="宋体" w:hAnsi="宋体"/>
                <w:b/>
                <w:bCs/>
                <w:color w:val="000000"/>
                <w:sz w:val="18"/>
                <w:szCs w:val="18"/>
              </w:rPr>
            </w:pPr>
            <w:r>
              <w:rPr>
                <w:rFonts w:hint="eastAsia" w:ascii="宋体" w:hAnsi="宋体"/>
                <w:b/>
                <w:bCs/>
                <w:color w:val="000000"/>
                <w:sz w:val="18"/>
                <w:szCs w:val="18"/>
              </w:rPr>
              <w:t>污染物名称</w:t>
            </w:r>
          </w:p>
        </w:tc>
        <w:tc>
          <w:tcPr>
            <w:tcW w:w="2126" w:type="dxa"/>
            <w:gridSpan w:val="4"/>
            <w:vAlign w:val="center"/>
          </w:tcPr>
          <w:p>
            <w:pPr>
              <w:jc w:val="center"/>
              <w:rPr>
                <w:rFonts w:ascii="宋体" w:hAnsi="宋体"/>
                <w:b/>
                <w:bCs/>
                <w:color w:val="000000"/>
                <w:sz w:val="18"/>
                <w:szCs w:val="18"/>
              </w:rPr>
            </w:pPr>
            <w:r>
              <w:rPr>
                <w:rFonts w:hint="eastAsia" w:ascii="宋体" w:hAnsi="宋体"/>
                <w:b/>
                <w:bCs/>
                <w:color w:val="000000"/>
                <w:sz w:val="18"/>
                <w:szCs w:val="18"/>
              </w:rPr>
              <w:t>活度、浓度限值</w:t>
            </w:r>
          </w:p>
        </w:tc>
        <w:tc>
          <w:tcPr>
            <w:tcW w:w="2694" w:type="dxa"/>
            <w:gridSpan w:val="3"/>
            <w:vMerge w:val="continue"/>
            <w:vAlign w:val="center"/>
          </w:tcPr>
          <w:p>
            <w:pPr>
              <w:jc w:val="center"/>
              <w:rPr>
                <w:rFonts w:ascii="宋体" w:hAnsi="宋体"/>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539" w:type="dxa"/>
            <w:gridSpan w:val="4"/>
            <w:vAlign w:val="center"/>
          </w:tcPr>
          <w:p>
            <w:pPr>
              <w:jc w:val="center"/>
              <w:rPr>
                <w:rFonts w:ascii="宋体" w:hAnsi="宋体"/>
                <w:color w:val="000000"/>
                <w:sz w:val="18"/>
                <w:szCs w:val="18"/>
              </w:rPr>
            </w:pPr>
            <w:r>
              <w:rPr>
                <w:rFonts w:hint="eastAsia" w:ascii="宋体" w:hAnsi="宋体"/>
                <w:color w:val="000000"/>
                <w:sz w:val="18"/>
                <w:szCs w:val="18"/>
              </w:rPr>
              <w:t>氡</w:t>
            </w:r>
          </w:p>
        </w:tc>
        <w:tc>
          <w:tcPr>
            <w:tcW w:w="2126" w:type="dxa"/>
            <w:gridSpan w:val="4"/>
            <w:vAlign w:val="center"/>
          </w:tcPr>
          <w:p>
            <w:pPr>
              <w:jc w:val="center"/>
              <w:rPr>
                <w:rFonts w:ascii="宋体" w:hAnsi="宋体"/>
                <w:color w:val="000000"/>
                <w:sz w:val="18"/>
                <w:szCs w:val="18"/>
              </w:rPr>
            </w:pPr>
            <w:r>
              <w:rPr>
                <w:rFonts w:hint="eastAsia" w:ascii="宋体" w:hAnsi="宋体"/>
                <w:color w:val="000000"/>
                <w:sz w:val="18"/>
                <w:szCs w:val="18"/>
              </w:rPr>
              <w:t>≤</w:t>
            </w:r>
            <w:r>
              <w:rPr>
                <w:rFonts w:ascii="宋体" w:hAnsi="宋体"/>
                <w:color w:val="000000"/>
                <w:sz w:val="18"/>
                <w:szCs w:val="18"/>
              </w:rPr>
              <w:t>150B</w:t>
            </w:r>
            <w:r>
              <w:rPr>
                <w:rFonts w:hint="eastAsia" w:ascii="宋体" w:hAnsi="宋体"/>
                <w:color w:val="000000"/>
                <w:sz w:val="18"/>
                <w:szCs w:val="18"/>
              </w:rPr>
              <w:t>q</w:t>
            </w:r>
            <w:r>
              <w:rPr>
                <w:rFonts w:ascii="宋体" w:hAnsi="宋体"/>
                <w:color w:val="000000"/>
                <w:sz w:val="18"/>
                <w:szCs w:val="18"/>
              </w:rPr>
              <w:t>/</w:t>
            </w:r>
            <w:r>
              <w:rPr>
                <w:rFonts w:hint="eastAsia" w:ascii="宋体" w:hAnsi="宋体"/>
                <w:color w:val="000000"/>
                <w:sz w:val="18"/>
                <w:szCs w:val="18"/>
              </w:rPr>
              <w:t>m</w:t>
            </w:r>
            <w:r>
              <w:rPr>
                <w:rFonts w:ascii="宋体" w:hAnsi="宋体"/>
                <w:color w:val="000000"/>
                <w:sz w:val="18"/>
                <w:szCs w:val="18"/>
                <w:vertAlign w:val="superscript"/>
              </w:rPr>
              <w:t>3</w:t>
            </w:r>
          </w:p>
        </w:tc>
        <w:tc>
          <w:tcPr>
            <w:tcW w:w="2694" w:type="dxa"/>
            <w:gridSpan w:val="3"/>
            <w:vMerge w:val="restart"/>
            <w:vAlign w:val="center"/>
          </w:tcPr>
          <w:p>
            <w:pPr>
              <w:jc w:val="center"/>
              <w:rPr>
                <w:rFonts w:ascii="宋体" w:hAnsi="宋体"/>
                <w:color w:val="000000"/>
                <w:sz w:val="18"/>
                <w:szCs w:val="18"/>
              </w:rPr>
            </w:pPr>
            <w:r>
              <w:rPr>
                <w:rFonts w:hint="eastAsia" w:ascii="宋体" w:hAnsi="宋体"/>
                <w:color w:val="000000"/>
                <w:sz w:val="18"/>
                <w:szCs w:val="18"/>
              </w:rPr>
              <w:t>《民用建筑工程室内环境污染控制标准》第</w:t>
            </w:r>
            <w:r>
              <w:rPr>
                <w:rFonts w:ascii="宋体" w:hAnsi="宋体"/>
                <w:color w:val="000000"/>
                <w:sz w:val="18"/>
                <w:szCs w:val="18"/>
              </w:rPr>
              <w:t>6.0.4</w:t>
            </w:r>
            <w:r>
              <w:rPr>
                <w:rFonts w:hint="eastAsia" w:ascii="宋体" w:hAnsi="宋体"/>
                <w:color w:val="000000"/>
                <w:sz w:val="18"/>
                <w:szCs w:val="18"/>
              </w:rPr>
              <w:t>条</w:t>
            </w:r>
          </w:p>
          <w:p>
            <w:pPr>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539" w:type="dxa"/>
            <w:gridSpan w:val="4"/>
            <w:vAlign w:val="center"/>
          </w:tcPr>
          <w:p>
            <w:pPr>
              <w:jc w:val="center"/>
              <w:rPr>
                <w:rFonts w:ascii="宋体" w:hAnsi="宋体"/>
                <w:color w:val="000000"/>
                <w:sz w:val="18"/>
                <w:szCs w:val="18"/>
              </w:rPr>
            </w:pPr>
            <w:r>
              <w:rPr>
                <w:rFonts w:hint="eastAsia" w:ascii="宋体" w:hAnsi="宋体"/>
                <w:color w:val="000000"/>
                <w:sz w:val="18"/>
                <w:szCs w:val="18"/>
              </w:rPr>
              <w:t>游离甲醛</w:t>
            </w:r>
          </w:p>
        </w:tc>
        <w:tc>
          <w:tcPr>
            <w:tcW w:w="2126" w:type="dxa"/>
            <w:gridSpan w:val="4"/>
            <w:vAlign w:val="center"/>
          </w:tcPr>
          <w:p>
            <w:pPr>
              <w:jc w:val="center"/>
              <w:rPr>
                <w:rFonts w:ascii="宋体" w:hAnsi="宋体"/>
                <w:color w:val="000000"/>
                <w:sz w:val="18"/>
                <w:szCs w:val="18"/>
              </w:rPr>
            </w:pPr>
            <w:r>
              <w:rPr>
                <w:rFonts w:hint="eastAsia" w:ascii="宋体" w:hAnsi="宋体"/>
                <w:color w:val="000000"/>
                <w:sz w:val="18"/>
                <w:szCs w:val="18"/>
              </w:rPr>
              <w:t>≤</w:t>
            </w:r>
            <w:r>
              <w:rPr>
                <w:rFonts w:ascii="宋体" w:hAnsi="宋体"/>
                <w:color w:val="000000"/>
                <w:sz w:val="18"/>
                <w:szCs w:val="18"/>
              </w:rPr>
              <w:t>0.07</w:t>
            </w:r>
            <w:r>
              <w:rPr>
                <w:rFonts w:hint="eastAsia" w:ascii="宋体" w:hAnsi="宋体"/>
                <w:color w:val="000000"/>
                <w:sz w:val="18"/>
                <w:szCs w:val="18"/>
              </w:rPr>
              <w:t>mg</w:t>
            </w:r>
            <w:r>
              <w:rPr>
                <w:rFonts w:ascii="宋体" w:hAnsi="宋体"/>
                <w:color w:val="000000"/>
                <w:sz w:val="18"/>
                <w:szCs w:val="18"/>
              </w:rPr>
              <w:t>/</w:t>
            </w:r>
            <w:r>
              <w:rPr>
                <w:rFonts w:hint="eastAsia" w:ascii="宋体" w:hAnsi="宋体"/>
                <w:color w:val="000000"/>
                <w:sz w:val="18"/>
                <w:szCs w:val="18"/>
              </w:rPr>
              <w:t>m</w:t>
            </w:r>
            <w:r>
              <w:rPr>
                <w:rFonts w:ascii="宋体" w:hAnsi="宋体"/>
                <w:color w:val="000000"/>
                <w:sz w:val="18"/>
                <w:szCs w:val="18"/>
                <w:vertAlign w:val="superscript"/>
              </w:rPr>
              <w:t>3</w:t>
            </w:r>
          </w:p>
        </w:tc>
        <w:tc>
          <w:tcPr>
            <w:tcW w:w="2694" w:type="dxa"/>
            <w:gridSpan w:val="3"/>
            <w:vMerge w:val="continue"/>
            <w:vAlign w:val="center"/>
          </w:tcPr>
          <w:p>
            <w:pPr>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539" w:type="dxa"/>
            <w:gridSpan w:val="4"/>
            <w:vAlign w:val="center"/>
          </w:tcPr>
          <w:p>
            <w:pPr>
              <w:jc w:val="center"/>
              <w:rPr>
                <w:rFonts w:ascii="宋体" w:hAnsi="宋体"/>
                <w:color w:val="000000"/>
                <w:sz w:val="18"/>
                <w:szCs w:val="18"/>
              </w:rPr>
            </w:pPr>
            <w:r>
              <w:rPr>
                <w:rFonts w:hint="eastAsia" w:ascii="宋体" w:hAnsi="宋体"/>
                <w:color w:val="000000"/>
                <w:sz w:val="18"/>
                <w:szCs w:val="18"/>
              </w:rPr>
              <w:t>苯</w:t>
            </w:r>
          </w:p>
        </w:tc>
        <w:tc>
          <w:tcPr>
            <w:tcW w:w="2126" w:type="dxa"/>
            <w:gridSpan w:val="4"/>
            <w:vAlign w:val="center"/>
          </w:tcPr>
          <w:p>
            <w:pPr>
              <w:jc w:val="center"/>
              <w:rPr>
                <w:rFonts w:ascii="宋体" w:hAnsi="宋体"/>
                <w:color w:val="000000"/>
                <w:sz w:val="18"/>
                <w:szCs w:val="18"/>
              </w:rPr>
            </w:pPr>
            <w:r>
              <w:rPr>
                <w:rFonts w:hint="eastAsia" w:ascii="宋体" w:hAnsi="宋体"/>
                <w:color w:val="000000"/>
                <w:sz w:val="18"/>
                <w:szCs w:val="18"/>
              </w:rPr>
              <w:t>≤</w:t>
            </w:r>
            <w:r>
              <w:rPr>
                <w:rFonts w:ascii="宋体" w:hAnsi="宋体"/>
                <w:color w:val="000000"/>
                <w:sz w:val="18"/>
                <w:szCs w:val="18"/>
              </w:rPr>
              <w:t>0.06</w:t>
            </w:r>
            <w:r>
              <w:rPr>
                <w:rFonts w:hint="eastAsia" w:ascii="宋体" w:hAnsi="宋体"/>
                <w:color w:val="000000"/>
                <w:sz w:val="18"/>
                <w:szCs w:val="18"/>
              </w:rPr>
              <w:t>mg</w:t>
            </w:r>
            <w:r>
              <w:rPr>
                <w:rFonts w:ascii="宋体" w:hAnsi="宋体"/>
                <w:color w:val="000000"/>
                <w:sz w:val="18"/>
                <w:szCs w:val="18"/>
              </w:rPr>
              <w:t>/</w:t>
            </w:r>
            <w:r>
              <w:rPr>
                <w:rFonts w:hint="eastAsia" w:ascii="宋体" w:hAnsi="宋体"/>
                <w:color w:val="000000"/>
                <w:sz w:val="18"/>
                <w:szCs w:val="18"/>
              </w:rPr>
              <w:t>m</w:t>
            </w:r>
            <w:r>
              <w:rPr>
                <w:rFonts w:ascii="宋体" w:hAnsi="宋体"/>
                <w:color w:val="000000"/>
                <w:sz w:val="18"/>
                <w:szCs w:val="18"/>
                <w:vertAlign w:val="superscript"/>
              </w:rPr>
              <w:t>3</w:t>
            </w:r>
          </w:p>
        </w:tc>
        <w:tc>
          <w:tcPr>
            <w:tcW w:w="2694" w:type="dxa"/>
            <w:gridSpan w:val="3"/>
            <w:vMerge w:val="continue"/>
            <w:vAlign w:val="center"/>
          </w:tcPr>
          <w:p>
            <w:pPr>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539" w:type="dxa"/>
            <w:gridSpan w:val="4"/>
            <w:vAlign w:val="center"/>
          </w:tcPr>
          <w:p>
            <w:pPr>
              <w:jc w:val="center"/>
              <w:rPr>
                <w:rFonts w:ascii="宋体" w:hAnsi="宋体"/>
                <w:color w:val="000000"/>
                <w:sz w:val="18"/>
                <w:szCs w:val="18"/>
              </w:rPr>
            </w:pPr>
            <w:r>
              <w:rPr>
                <w:rFonts w:hint="eastAsia" w:ascii="宋体" w:hAnsi="宋体"/>
                <w:color w:val="000000"/>
                <w:sz w:val="18"/>
                <w:szCs w:val="18"/>
              </w:rPr>
              <w:t>氨</w:t>
            </w:r>
          </w:p>
        </w:tc>
        <w:tc>
          <w:tcPr>
            <w:tcW w:w="2126" w:type="dxa"/>
            <w:gridSpan w:val="4"/>
            <w:vAlign w:val="center"/>
          </w:tcPr>
          <w:p>
            <w:pPr>
              <w:jc w:val="center"/>
              <w:rPr>
                <w:rFonts w:ascii="宋体" w:hAnsi="宋体"/>
                <w:color w:val="000000"/>
                <w:sz w:val="18"/>
                <w:szCs w:val="18"/>
              </w:rPr>
            </w:pPr>
            <w:r>
              <w:rPr>
                <w:rFonts w:hint="eastAsia" w:ascii="宋体" w:hAnsi="宋体"/>
                <w:color w:val="000000"/>
                <w:sz w:val="18"/>
                <w:szCs w:val="18"/>
              </w:rPr>
              <w:t>≤</w:t>
            </w:r>
            <w:r>
              <w:rPr>
                <w:rFonts w:ascii="宋体" w:hAnsi="宋体"/>
                <w:color w:val="000000"/>
                <w:sz w:val="18"/>
                <w:szCs w:val="18"/>
              </w:rPr>
              <w:t>0.15</w:t>
            </w:r>
            <w:r>
              <w:rPr>
                <w:rFonts w:hint="eastAsia" w:ascii="宋体" w:hAnsi="宋体"/>
                <w:color w:val="000000"/>
                <w:sz w:val="18"/>
                <w:szCs w:val="18"/>
              </w:rPr>
              <w:t>mg</w:t>
            </w:r>
            <w:r>
              <w:rPr>
                <w:rFonts w:ascii="宋体" w:hAnsi="宋体"/>
                <w:color w:val="000000"/>
                <w:sz w:val="18"/>
                <w:szCs w:val="18"/>
              </w:rPr>
              <w:t>/</w:t>
            </w:r>
            <w:r>
              <w:rPr>
                <w:rFonts w:hint="eastAsia" w:ascii="宋体" w:hAnsi="宋体"/>
                <w:color w:val="000000"/>
                <w:sz w:val="18"/>
                <w:szCs w:val="18"/>
              </w:rPr>
              <w:t>m</w:t>
            </w:r>
            <w:r>
              <w:rPr>
                <w:rFonts w:ascii="宋体" w:hAnsi="宋体"/>
                <w:color w:val="000000"/>
                <w:sz w:val="18"/>
                <w:szCs w:val="18"/>
                <w:vertAlign w:val="superscript"/>
              </w:rPr>
              <w:t>3</w:t>
            </w:r>
          </w:p>
        </w:tc>
        <w:tc>
          <w:tcPr>
            <w:tcW w:w="2694" w:type="dxa"/>
            <w:gridSpan w:val="3"/>
            <w:vMerge w:val="continue"/>
            <w:vAlign w:val="center"/>
          </w:tcPr>
          <w:p>
            <w:pPr>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539" w:type="dxa"/>
            <w:gridSpan w:val="4"/>
            <w:vAlign w:val="center"/>
          </w:tcPr>
          <w:p>
            <w:pPr>
              <w:jc w:val="center"/>
              <w:rPr>
                <w:rFonts w:ascii="宋体" w:hAnsi="宋体"/>
                <w:color w:val="000000"/>
                <w:sz w:val="18"/>
                <w:szCs w:val="18"/>
              </w:rPr>
            </w:pPr>
            <w:r>
              <w:rPr>
                <w:rFonts w:hint="eastAsia" w:ascii="宋体" w:hAnsi="宋体"/>
                <w:color w:val="000000"/>
                <w:sz w:val="18"/>
                <w:szCs w:val="18"/>
              </w:rPr>
              <w:t>甲苯</w:t>
            </w:r>
          </w:p>
        </w:tc>
        <w:tc>
          <w:tcPr>
            <w:tcW w:w="2126" w:type="dxa"/>
            <w:gridSpan w:val="4"/>
            <w:vAlign w:val="center"/>
          </w:tcPr>
          <w:p>
            <w:pPr>
              <w:jc w:val="center"/>
              <w:rPr>
                <w:rFonts w:ascii="宋体" w:hAnsi="宋体"/>
                <w:color w:val="000000"/>
                <w:sz w:val="18"/>
                <w:szCs w:val="18"/>
              </w:rPr>
            </w:pPr>
            <w:r>
              <w:rPr>
                <w:rFonts w:hint="eastAsia" w:ascii="宋体" w:hAnsi="宋体"/>
                <w:color w:val="000000"/>
                <w:sz w:val="18"/>
                <w:szCs w:val="18"/>
              </w:rPr>
              <w:t>≤</w:t>
            </w:r>
            <w:r>
              <w:rPr>
                <w:rFonts w:ascii="宋体" w:hAnsi="宋体"/>
                <w:color w:val="000000"/>
                <w:sz w:val="18"/>
                <w:szCs w:val="18"/>
              </w:rPr>
              <w:t>0.15</w:t>
            </w:r>
            <w:r>
              <w:rPr>
                <w:rFonts w:hint="eastAsia" w:ascii="宋体" w:hAnsi="宋体"/>
                <w:color w:val="000000"/>
                <w:sz w:val="18"/>
                <w:szCs w:val="18"/>
              </w:rPr>
              <w:t>mg</w:t>
            </w:r>
            <w:r>
              <w:rPr>
                <w:rFonts w:ascii="宋体" w:hAnsi="宋体"/>
                <w:color w:val="000000"/>
                <w:sz w:val="18"/>
                <w:szCs w:val="18"/>
              </w:rPr>
              <w:t>/</w:t>
            </w:r>
            <w:r>
              <w:rPr>
                <w:rFonts w:hint="eastAsia" w:ascii="宋体" w:hAnsi="宋体"/>
                <w:color w:val="000000"/>
                <w:sz w:val="18"/>
                <w:szCs w:val="18"/>
              </w:rPr>
              <w:t>m</w:t>
            </w:r>
            <w:r>
              <w:rPr>
                <w:rFonts w:ascii="宋体" w:hAnsi="宋体"/>
                <w:color w:val="000000"/>
                <w:sz w:val="18"/>
                <w:szCs w:val="18"/>
                <w:vertAlign w:val="superscript"/>
              </w:rPr>
              <w:t>3</w:t>
            </w:r>
          </w:p>
        </w:tc>
        <w:tc>
          <w:tcPr>
            <w:tcW w:w="2694" w:type="dxa"/>
            <w:gridSpan w:val="3"/>
            <w:vMerge w:val="continue"/>
            <w:vAlign w:val="center"/>
          </w:tcPr>
          <w:p>
            <w:pPr>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 w:hRule="atLeast"/>
          <w:jc w:val="center"/>
        </w:trPr>
        <w:tc>
          <w:tcPr>
            <w:tcW w:w="3539" w:type="dxa"/>
            <w:gridSpan w:val="4"/>
            <w:vAlign w:val="center"/>
          </w:tcPr>
          <w:p>
            <w:pPr>
              <w:jc w:val="center"/>
              <w:rPr>
                <w:rFonts w:ascii="宋体" w:hAnsi="宋体"/>
                <w:color w:val="000000"/>
                <w:sz w:val="18"/>
                <w:szCs w:val="18"/>
              </w:rPr>
            </w:pPr>
            <w:r>
              <w:rPr>
                <w:rFonts w:hint="eastAsia" w:ascii="宋体" w:hAnsi="宋体"/>
                <w:color w:val="000000"/>
                <w:sz w:val="18"/>
                <w:szCs w:val="18"/>
              </w:rPr>
              <w:t>二甲苯</w:t>
            </w:r>
          </w:p>
        </w:tc>
        <w:tc>
          <w:tcPr>
            <w:tcW w:w="2126" w:type="dxa"/>
            <w:gridSpan w:val="4"/>
            <w:vAlign w:val="center"/>
          </w:tcPr>
          <w:p>
            <w:pPr>
              <w:jc w:val="center"/>
              <w:rPr>
                <w:rFonts w:ascii="宋体" w:hAnsi="宋体"/>
                <w:color w:val="000000"/>
                <w:sz w:val="18"/>
                <w:szCs w:val="18"/>
              </w:rPr>
            </w:pPr>
            <w:r>
              <w:rPr>
                <w:rFonts w:hint="eastAsia" w:ascii="宋体" w:hAnsi="宋体"/>
                <w:color w:val="000000"/>
                <w:sz w:val="18"/>
                <w:szCs w:val="18"/>
              </w:rPr>
              <w:t>≤</w:t>
            </w:r>
            <w:r>
              <w:rPr>
                <w:rFonts w:ascii="宋体" w:hAnsi="宋体"/>
                <w:color w:val="000000"/>
                <w:sz w:val="18"/>
                <w:szCs w:val="18"/>
              </w:rPr>
              <w:t>0.20</w:t>
            </w:r>
            <w:r>
              <w:rPr>
                <w:rFonts w:hint="eastAsia" w:ascii="宋体" w:hAnsi="宋体"/>
                <w:color w:val="000000"/>
                <w:sz w:val="18"/>
                <w:szCs w:val="18"/>
              </w:rPr>
              <w:t>mg</w:t>
            </w:r>
            <w:r>
              <w:rPr>
                <w:rFonts w:ascii="宋体" w:hAnsi="宋体"/>
                <w:color w:val="000000"/>
                <w:sz w:val="18"/>
                <w:szCs w:val="18"/>
              </w:rPr>
              <w:t>/</w:t>
            </w:r>
            <w:r>
              <w:rPr>
                <w:rFonts w:hint="eastAsia" w:ascii="宋体" w:hAnsi="宋体"/>
                <w:color w:val="000000"/>
                <w:sz w:val="18"/>
                <w:szCs w:val="18"/>
              </w:rPr>
              <w:t>m</w:t>
            </w:r>
            <w:r>
              <w:rPr>
                <w:rFonts w:ascii="宋体" w:hAnsi="宋体"/>
                <w:color w:val="000000"/>
                <w:sz w:val="18"/>
                <w:szCs w:val="18"/>
                <w:vertAlign w:val="superscript"/>
              </w:rPr>
              <w:t>3</w:t>
            </w:r>
          </w:p>
        </w:tc>
        <w:tc>
          <w:tcPr>
            <w:tcW w:w="2694" w:type="dxa"/>
            <w:gridSpan w:val="3"/>
            <w:vMerge w:val="continue"/>
            <w:vAlign w:val="center"/>
          </w:tcPr>
          <w:p>
            <w:pPr>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539" w:type="dxa"/>
            <w:gridSpan w:val="4"/>
            <w:vAlign w:val="center"/>
          </w:tcPr>
          <w:p>
            <w:pPr>
              <w:jc w:val="center"/>
              <w:rPr>
                <w:rFonts w:ascii="宋体" w:hAnsi="宋体"/>
                <w:color w:val="000000"/>
                <w:sz w:val="18"/>
                <w:szCs w:val="18"/>
              </w:rPr>
            </w:pPr>
            <w:r>
              <w:rPr>
                <w:rFonts w:hint="eastAsia" w:ascii="宋体" w:hAnsi="宋体"/>
                <w:color w:val="000000"/>
                <w:sz w:val="18"/>
                <w:szCs w:val="18"/>
              </w:rPr>
              <w:t>总挥发性有机化合物（T</w:t>
            </w:r>
            <w:r>
              <w:rPr>
                <w:rFonts w:ascii="宋体" w:hAnsi="宋体"/>
                <w:color w:val="000000"/>
                <w:sz w:val="18"/>
                <w:szCs w:val="18"/>
              </w:rPr>
              <w:t>VOC</w:t>
            </w:r>
            <w:r>
              <w:rPr>
                <w:rFonts w:hint="eastAsia" w:ascii="宋体" w:hAnsi="宋体"/>
                <w:color w:val="000000"/>
                <w:sz w:val="18"/>
                <w:szCs w:val="18"/>
              </w:rPr>
              <w:t>）</w:t>
            </w:r>
          </w:p>
        </w:tc>
        <w:tc>
          <w:tcPr>
            <w:tcW w:w="2126" w:type="dxa"/>
            <w:gridSpan w:val="4"/>
            <w:vAlign w:val="center"/>
          </w:tcPr>
          <w:p>
            <w:pPr>
              <w:jc w:val="center"/>
              <w:rPr>
                <w:rFonts w:ascii="宋体" w:hAnsi="宋体"/>
                <w:color w:val="000000"/>
                <w:sz w:val="18"/>
                <w:szCs w:val="18"/>
              </w:rPr>
            </w:pPr>
            <w:r>
              <w:rPr>
                <w:rFonts w:hint="eastAsia" w:ascii="宋体" w:hAnsi="宋体"/>
                <w:color w:val="000000"/>
                <w:sz w:val="18"/>
                <w:szCs w:val="18"/>
              </w:rPr>
              <w:t>≤</w:t>
            </w:r>
            <w:r>
              <w:rPr>
                <w:rFonts w:ascii="宋体" w:hAnsi="宋体"/>
                <w:color w:val="000000"/>
                <w:sz w:val="18"/>
                <w:szCs w:val="18"/>
              </w:rPr>
              <w:t>0.45</w:t>
            </w:r>
            <w:r>
              <w:rPr>
                <w:rFonts w:hint="eastAsia" w:ascii="宋体" w:hAnsi="宋体"/>
                <w:color w:val="000000"/>
                <w:sz w:val="18"/>
                <w:szCs w:val="18"/>
              </w:rPr>
              <w:t>mg</w:t>
            </w:r>
            <w:r>
              <w:rPr>
                <w:rFonts w:ascii="宋体" w:hAnsi="宋体"/>
                <w:color w:val="000000"/>
                <w:sz w:val="18"/>
                <w:szCs w:val="18"/>
              </w:rPr>
              <w:t>/</w:t>
            </w:r>
            <w:r>
              <w:rPr>
                <w:rFonts w:hint="eastAsia" w:ascii="宋体" w:hAnsi="宋体"/>
                <w:color w:val="000000"/>
                <w:sz w:val="18"/>
                <w:szCs w:val="18"/>
              </w:rPr>
              <w:t>m</w:t>
            </w:r>
            <w:r>
              <w:rPr>
                <w:rFonts w:ascii="宋体" w:hAnsi="宋体"/>
                <w:color w:val="000000"/>
                <w:sz w:val="18"/>
                <w:szCs w:val="18"/>
                <w:vertAlign w:val="superscript"/>
              </w:rPr>
              <w:t>3</w:t>
            </w:r>
          </w:p>
        </w:tc>
        <w:tc>
          <w:tcPr>
            <w:tcW w:w="2694" w:type="dxa"/>
            <w:gridSpan w:val="3"/>
            <w:vMerge w:val="continue"/>
            <w:vAlign w:val="center"/>
          </w:tcPr>
          <w:p>
            <w:pPr>
              <w:jc w:val="center"/>
              <w:rPr>
                <w:rFonts w:ascii="宋体" w:hAnsi="宋体"/>
                <w:sz w:val="18"/>
                <w:szCs w:val="18"/>
              </w:rPr>
            </w:pPr>
          </w:p>
        </w:tc>
      </w:tr>
    </w:tbl>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 xml:space="preserve">.2.6 </w:t>
      </w:r>
      <w:r>
        <w:rPr>
          <w:rFonts w:hint="eastAsia" w:ascii="宋体" w:hAnsi="宋体" w:cs="黑体"/>
          <w:bCs/>
          <w:color w:val="auto"/>
          <w:sz w:val="24"/>
          <w:szCs w:val="24"/>
        </w:rPr>
        <w:t>钢结构住宅热工性能应符合国家现行标准《建筑节能与可再生能源利用通用规范》G</w:t>
      </w:r>
      <w:r>
        <w:rPr>
          <w:rFonts w:ascii="宋体" w:hAnsi="宋体" w:cs="黑体"/>
          <w:bCs/>
          <w:color w:val="auto"/>
          <w:sz w:val="24"/>
          <w:szCs w:val="24"/>
        </w:rPr>
        <w:t>B 55015</w:t>
      </w:r>
      <w:r>
        <w:rPr>
          <w:rFonts w:hint="eastAsia" w:ascii="宋体" w:hAnsi="宋体" w:cs="黑体"/>
          <w:bCs/>
          <w:color w:val="auto"/>
          <w:sz w:val="24"/>
          <w:szCs w:val="24"/>
        </w:rPr>
        <w:t>、《建筑环境通用规范》G</w:t>
      </w:r>
      <w:r>
        <w:rPr>
          <w:rFonts w:ascii="宋体" w:hAnsi="宋体" w:cs="黑体"/>
          <w:bCs/>
          <w:color w:val="auto"/>
          <w:sz w:val="24"/>
          <w:szCs w:val="24"/>
        </w:rPr>
        <w:t>B55016</w:t>
      </w:r>
      <w:r>
        <w:rPr>
          <w:rFonts w:hint="eastAsia" w:ascii="宋体" w:hAnsi="宋体" w:cs="黑体"/>
          <w:bCs/>
          <w:color w:val="auto"/>
          <w:sz w:val="24"/>
          <w:szCs w:val="24"/>
        </w:rPr>
        <w:t>、《民用建筑热工设计规范》G</w:t>
      </w:r>
      <w:r>
        <w:rPr>
          <w:rFonts w:ascii="宋体" w:hAnsi="宋体" w:cs="黑体"/>
          <w:bCs/>
          <w:color w:val="auto"/>
          <w:sz w:val="24"/>
          <w:szCs w:val="24"/>
        </w:rPr>
        <w:t>B 50176</w:t>
      </w:r>
      <w:r>
        <w:rPr>
          <w:rFonts w:hint="eastAsia" w:ascii="宋体" w:hAnsi="宋体" w:cs="黑体"/>
          <w:bCs/>
          <w:color w:val="auto"/>
          <w:sz w:val="24"/>
          <w:szCs w:val="24"/>
        </w:rPr>
        <w:t>、《严寒和寒冷地区居住建筑节能设计标准》J</w:t>
      </w:r>
      <w:r>
        <w:rPr>
          <w:rFonts w:ascii="宋体" w:hAnsi="宋体" w:cs="黑体"/>
          <w:bCs/>
          <w:color w:val="auto"/>
          <w:sz w:val="24"/>
          <w:szCs w:val="24"/>
        </w:rPr>
        <w:t>GJ 26</w:t>
      </w:r>
      <w:r>
        <w:rPr>
          <w:rFonts w:hint="eastAsia" w:ascii="宋体" w:hAnsi="宋体" w:cs="黑体"/>
          <w:bCs/>
          <w:color w:val="auto"/>
          <w:sz w:val="24"/>
          <w:szCs w:val="24"/>
        </w:rPr>
        <w:t>、《夏热冬冷地区居住建筑节能设计标准》J</w:t>
      </w:r>
      <w:r>
        <w:rPr>
          <w:rFonts w:ascii="宋体" w:hAnsi="宋体" w:cs="黑体"/>
          <w:bCs/>
          <w:color w:val="auto"/>
          <w:sz w:val="24"/>
          <w:szCs w:val="24"/>
        </w:rPr>
        <w:t>GJ 134</w:t>
      </w:r>
      <w:r>
        <w:rPr>
          <w:rFonts w:hint="eastAsia" w:ascii="宋体" w:hAnsi="宋体" w:cs="黑体"/>
          <w:bCs/>
          <w:color w:val="auto"/>
          <w:sz w:val="24"/>
          <w:szCs w:val="24"/>
        </w:rPr>
        <w:t>、《夏热冬暖地区居住建筑节能设计标准》J</w:t>
      </w:r>
      <w:r>
        <w:rPr>
          <w:rFonts w:ascii="宋体" w:hAnsi="宋体" w:cs="黑体"/>
          <w:bCs/>
          <w:color w:val="auto"/>
          <w:sz w:val="24"/>
          <w:szCs w:val="24"/>
        </w:rPr>
        <w:t>GJ 75</w:t>
      </w:r>
      <w:r>
        <w:rPr>
          <w:rFonts w:hint="eastAsia" w:ascii="宋体" w:hAnsi="宋体" w:cs="黑体"/>
          <w:bCs/>
          <w:color w:val="auto"/>
          <w:sz w:val="24"/>
          <w:szCs w:val="24"/>
        </w:rPr>
        <w:t>、《温和地区居住建筑节能设计标准》J</w:t>
      </w:r>
      <w:r>
        <w:rPr>
          <w:rFonts w:ascii="宋体" w:hAnsi="宋体" w:cs="黑体"/>
          <w:bCs/>
          <w:color w:val="auto"/>
          <w:sz w:val="24"/>
          <w:szCs w:val="24"/>
        </w:rPr>
        <w:t>GJ 475</w:t>
      </w:r>
      <w:r>
        <w:rPr>
          <w:rFonts w:hint="eastAsia" w:ascii="宋体" w:hAnsi="宋体" w:cs="黑体"/>
          <w:bCs/>
          <w:color w:val="auto"/>
          <w:sz w:val="24"/>
          <w:szCs w:val="24"/>
        </w:rPr>
        <w:t>的规定，还应符合行业或建筑所属地方的现行建筑节能设计标准的规定。</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钢结构住宅热工设计主要包括住宅及其围护结构的保温、隔热和防潮设计。目前居住建筑节能标准还沿用2</w:t>
      </w:r>
      <w:r>
        <w:rPr>
          <w:rFonts w:ascii="宋体" w:hAnsi="宋体" w:cs="黑体"/>
          <w:bCs/>
          <w:color w:val="5B9BD5"/>
        </w:rPr>
        <w:t>016</w:t>
      </w:r>
      <w:r>
        <w:rPr>
          <w:rFonts w:hint="eastAsia" w:ascii="宋体" w:hAnsi="宋体" w:cs="黑体"/>
          <w:bCs/>
          <w:color w:val="5B9BD5"/>
        </w:rPr>
        <w:t>年节能6</w:t>
      </w:r>
      <w:r>
        <w:rPr>
          <w:rFonts w:ascii="宋体" w:hAnsi="宋体" w:cs="黑体"/>
          <w:bCs/>
          <w:color w:val="5B9BD5"/>
        </w:rPr>
        <w:t>5</w:t>
      </w:r>
      <w:r>
        <w:rPr>
          <w:rFonts w:hint="eastAsia" w:ascii="宋体" w:hAnsi="宋体" w:cs="黑体"/>
          <w:bCs/>
          <w:color w:val="5B9BD5"/>
        </w:rPr>
        <w:t>%的标准，新规范《建筑节能与可再生能源利用通用规范》G</w:t>
      </w:r>
      <w:r>
        <w:rPr>
          <w:rFonts w:ascii="宋体" w:hAnsi="宋体" w:cs="黑体"/>
          <w:bCs/>
          <w:color w:val="5B9BD5"/>
        </w:rPr>
        <w:t>B 55015</w:t>
      </w:r>
      <w:r>
        <w:rPr>
          <w:rFonts w:hint="eastAsia" w:ascii="宋体" w:hAnsi="宋体" w:cs="黑体"/>
          <w:bCs/>
          <w:color w:val="5B9BD5"/>
        </w:rPr>
        <w:t>要求居住建筑平均设计能耗水平应在2</w:t>
      </w:r>
      <w:r>
        <w:rPr>
          <w:rFonts w:ascii="宋体" w:hAnsi="宋体" w:cs="黑体"/>
          <w:bCs/>
          <w:color w:val="5B9BD5"/>
        </w:rPr>
        <w:t>016</w:t>
      </w:r>
      <w:r>
        <w:rPr>
          <w:rFonts w:hint="eastAsia" w:ascii="宋体" w:hAnsi="宋体" w:cs="黑体"/>
          <w:bCs/>
          <w:color w:val="5B9BD5"/>
        </w:rPr>
        <w:t>年执行的节能设计标准的基础上分别降低3</w:t>
      </w:r>
      <w:r>
        <w:rPr>
          <w:rFonts w:ascii="宋体" w:hAnsi="宋体" w:cs="黑体"/>
          <w:bCs/>
          <w:color w:val="5B9BD5"/>
        </w:rPr>
        <w:t>0</w:t>
      </w:r>
      <w:r>
        <w:rPr>
          <w:rFonts w:hint="eastAsia" w:ascii="宋体" w:hAnsi="宋体" w:cs="黑体"/>
          <w:bCs/>
          <w:color w:val="5B9BD5"/>
        </w:rPr>
        <w:t>%，其中严寒和寒冷地区居住建筑平均节能率为7</w:t>
      </w:r>
      <w:r>
        <w:rPr>
          <w:rFonts w:ascii="宋体" w:hAnsi="宋体" w:cs="黑体"/>
          <w:bCs/>
          <w:color w:val="5B9BD5"/>
        </w:rPr>
        <w:t>5</w:t>
      </w:r>
      <w:r>
        <w:rPr>
          <w:rFonts w:hint="eastAsia" w:ascii="宋体" w:hAnsi="宋体" w:cs="黑体"/>
          <w:bCs/>
          <w:color w:val="5B9BD5"/>
        </w:rPr>
        <w:t>%，除严寒和寒冷地区外，其他气候区居住建筑平均节能率应为6</w:t>
      </w:r>
      <w:r>
        <w:rPr>
          <w:rFonts w:ascii="宋体" w:hAnsi="宋体" w:cs="黑体"/>
          <w:bCs/>
          <w:color w:val="5B9BD5"/>
        </w:rPr>
        <w:t>5</w:t>
      </w:r>
      <w:r>
        <w:rPr>
          <w:rFonts w:hint="eastAsia" w:ascii="宋体" w:hAnsi="宋体" w:cs="黑体"/>
          <w:bCs/>
          <w:color w:val="5B9BD5"/>
        </w:rPr>
        <w:t>%。</w:t>
      </w:r>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 xml:space="preserve">.2.7 </w:t>
      </w:r>
      <w:r>
        <w:rPr>
          <w:rFonts w:hint="eastAsia" w:ascii="宋体" w:hAnsi="宋体" w:cs="黑体"/>
          <w:bCs/>
          <w:color w:val="auto"/>
          <w:sz w:val="24"/>
          <w:szCs w:val="24"/>
        </w:rPr>
        <w:t>钢结构住宅宜采用减振、隔振技术，楼板舒适度验算应符合行业标准《建筑楼盖结构振动舒适度技术标准》JGJ/T 441的规定。</w:t>
      </w:r>
    </w:p>
    <w:p>
      <w:pPr>
        <w:spacing w:line="360" w:lineRule="auto"/>
        <w:rPr>
          <w:rFonts w:ascii="宋体" w:hAnsi="宋体" w:cs="黑体"/>
          <w:bCs/>
          <w:color w:val="auto"/>
          <w:sz w:val="24"/>
          <w:szCs w:val="24"/>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楼板的自振频率虽然不是声学指标，但低频结构的楼板会使撞击声压级较高，同时人行走时会有震颤感，采用减振、隔振等宜居技术可以有效提高钢结构住宅舒适性。降低楼板撞击声指数（d</w:t>
      </w:r>
      <w:r>
        <w:rPr>
          <w:rFonts w:ascii="宋体" w:hAnsi="宋体" w:cs="黑体"/>
          <w:bCs/>
          <w:color w:val="5B9BD5"/>
        </w:rPr>
        <w:t>B</w:t>
      </w:r>
      <w:r>
        <w:rPr>
          <w:rFonts w:hint="eastAsia" w:ascii="宋体" w:hAnsi="宋体" w:cs="黑体"/>
          <w:bCs/>
          <w:color w:val="5B9BD5"/>
        </w:rPr>
        <w:t>）的主要措施为：1楼板应有一定质量；2设置吊顶；3铺设垫层；4选用弹性楼面材料。</w:t>
      </w:r>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 xml:space="preserve">.2.8 </w:t>
      </w:r>
      <w:r>
        <w:rPr>
          <w:rFonts w:hint="eastAsia" w:ascii="宋体" w:hAnsi="宋体" w:cs="黑体"/>
          <w:bCs/>
          <w:color w:val="auto"/>
          <w:sz w:val="24"/>
          <w:szCs w:val="24"/>
        </w:rPr>
        <w:t>钢结构住宅地下车库宜设置与排风设备联动的一氧化碳浓度监测装置。</w:t>
      </w:r>
    </w:p>
    <w:p>
      <w:pPr>
        <w:spacing w:line="360" w:lineRule="auto"/>
        <w:rPr>
          <w:rFonts w:ascii="宋体" w:hAnsi="宋体" w:cs="黑体"/>
          <w:bCs/>
          <w:color w:val="auto"/>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地下车库空气流通不好，容易导致有害气体浓度过大，对人体造成伤害。</w:t>
      </w:r>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.2.9</w:t>
      </w:r>
      <w:r>
        <w:rPr>
          <w:rFonts w:ascii="宋体" w:hAnsi="宋体" w:cs="黑体"/>
          <w:bCs/>
          <w:color w:val="auto"/>
          <w:sz w:val="24"/>
          <w:szCs w:val="24"/>
        </w:rPr>
        <w:t xml:space="preserve"> </w:t>
      </w:r>
      <w:r>
        <w:rPr>
          <w:rFonts w:hint="eastAsia" w:ascii="宋体" w:hAnsi="宋体" w:cs="黑体"/>
          <w:bCs/>
          <w:color w:val="auto"/>
          <w:sz w:val="24"/>
          <w:szCs w:val="24"/>
        </w:rPr>
        <w:t>钢结构住宅间距应以满足日照要求为基础，综合考虑采光、通风、消防、防灾、管线埋设、视觉卫生等要求确定，室外环境应考虑噪声、有害物质、电磁辐射和工程地质灾害、水文地质灾害等的不利影响。</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钢结构住宅间距不但直接影响居住用地的建筑密度，开发强度和住宅室内外环境质量，更与居民的阳光权益密切相关，除少数地区（如低于北纬2</w:t>
      </w:r>
      <w:r>
        <w:rPr>
          <w:rFonts w:ascii="宋体" w:hAnsi="宋体" w:cs="黑体"/>
          <w:bCs/>
          <w:color w:val="5B9BD5"/>
        </w:rPr>
        <w:t>5</w:t>
      </w:r>
      <w:r>
        <w:rPr>
          <w:rFonts w:hint="eastAsia" w:ascii="宋体" w:hAnsi="宋体" w:cs="黑体"/>
          <w:bCs/>
          <w:color w:val="5B9BD5"/>
        </w:rPr>
        <w:t>°的地区）由于气候原因，与日照要求相比更侧重于通风和视觉卫生，大多数地区需满足下表要求。同时选址也应考虑上述问题，体现环境友好型社会的政策要求。</w:t>
      </w:r>
    </w:p>
    <w:p>
      <w:pPr>
        <w:spacing w:line="360" w:lineRule="auto"/>
        <w:rPr>
          <w:rFonts w:ascii="宋体" w:hAnsi="宋体" w:cs="黑体"/>
          <w:bCs/>
          <w:color w:val="5B9BD5"/>
        </w:rPr>
      </w:pPr>
      <w:r>
        <w:drawing>
          <wp:inline distT="0" distB="0" distL="0" distR="0">
            <wp:extent cx="4366895" cy="2209165"/>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noChangeArrowheads="1"/>
                    </pic:cNvPicPr>
                  </pic:nvPicPr>
                  <pic:blipFill>
                    <a:blip r:embed="rId5" cstate="print">
                      <a:extLst>
                        <a:ext uri="{28A0092B-C50C-407E-A947-70E740481C1C}">
                          <a14:useLocalDpi xmlns:a14="http://schemas.microsoft.com/office/drawing/2010/main" val="0"/>
                        </a:ext>
                      </a:extLst>
                    </a:blip>
                    <a:srcRect b="9819"/>
                    <a:stretch>
                      <a:fillRect/>
                    </a:stretch>
                  </pic:blipFill>
                  <pic:spPr>
                    <a:xfrm>
                      <a:off x="0" y="0"/>
                      <a:ext cx="4366895" cy="2209165"/>
                    </a:xfrm>
                    <a:prstGeom prst="rect">
                      <a:avLst/>
                    </a:prstGeom>
                    <a:noFill/>
                    <a:ln>
                      <a:noFill/>
                    </a:ln>
                  </pic:spPr>
                </pic:pic>
              </a:graphicData>
            </a:graphic>
          </wp:inline>
        </w:drawing>
      </w:r>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 xml:space="preserve">.2.10 </w:t>
      </w:r>
      <w:r>
        <w:rPr>
          <w:rFonts w:hint="eastAsia" w:ascii="宋体" w:hAnsi="宋体" w:cs="黑体"/>
          <w:bCs/>
          <w:color w:val="auto"/>
          <w:sz w:val="24"/>
          <w:szCs w:val="24"/>
        </w:rPr>
        <w:t>钢结构住宅应具有与其居住人口规模相适应的配套公共服务设施，道路和公共绿地。室外场地、公共绿地、城市道路相互之间应设置连贯的无障碍步行系统。</w:t>
      </w:r>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 xml:space="preserve">.2.11 </w:t>
      </w:r>
      <w:r>
        <w:rPr>
          <w:rFonts w:hint="eastAsia" w:ascii="宋体" w:hAnsi="宋体" w:cs="黑体"/>
          <w:bCs/>
          <w:color w:val="auto"/>
          <w:sz w:val="24"/>
          <w:szCs w:val="24"/>
        </w:rPr>
        <w:t>钢结构住宅停车场应具有电动汽车充电设施或具备充电设施的安装条件，并应合理设置电动汽车和无障碍汽车停车位。</w:t>
      </w:r>
    </w:p>
    <w:p>
      <w:pPr>
        <w:spacing w:line="360" w:lineRule="auto"/>
        <w:rPr>
          <w:rFonts w:ascii="宋体" w:hAnsi="宋体" w:cs="黑体"/>
          <w:bCs/>
          <w:color w:val="auto"/>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停车场设置电动汽车充电设施是为贯彻落实国家关于新能源汽车发展的需求，是实现国家碳达峰、碳中和的重要支撑。</w:t>
      </w:r>
    </w:p>
    <w:p>
      <w:pPr>
        <w:pStyle w:val="3"/>
        <w:spacing w:line="360" w:lineRule="auto"/>
        <w:jc w:val="center"/>
        <w:rPr>
          <w:rFonts w:ascii="宋体" w:hAnsi="宋体" w:eastAsia="宋体"/>
          <w:color w:val="auto"/>
          <w:sz w:val="28"/>
          <w:szCs w:val="28"/>
        </w:rPr>
      </w:pPr>
      <w:bookmarkStart w:id="9" w:name="_Toc103958739"/>
      <w:r>
        <w:rPr>
          <w:rFonts w:ascii="Times New Roman" w:hAnsi="Times New Roman" w:eastAsia="宋体" w:cs="Times New Roman"/>
          <w:color w:val="auto"/>
          <w:sz w:val="28"/>
          <w:szCs w:val="28"/>
        </w:rPr>
        <w:t>3.3</w:t>
      </w:r>
      <w:r>
        <w:rPr>
          <w:rFonts w:ascii="宋体" w:hAnsi="宋体" w:eastAsia="宋体"/>
          <w:color w:val="auto"/>
          <w:sz w:val="28"/>
          <w:szCs w:val="28"/>
        </w:rPr>
        <w:t xml:space="preserve">  </w:t>
      </w:r>
      <w:r>
        <w:rPr>
          <w:rFonts w:hint="eastAsia" w:ascii="宋体" w:hAnsi="宋体" w:eastAsia="宋体"/>
          <w:color w:val="auto"/>
          <w:sz w:val="28"/>
          <w:szCs w:val="28"/>
        </w:rPr>
        <w:t>住宅安全性能要求</w:t>
      </w:r>
      <w:bookmarkEnd w:id="9"/>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.4.1</w:t>
      </w:r>
      <w:r>
        <w:rPr>
          <w:rFonts w:hint="eastAsia" w:ascii="宋体" w:hAnsi="宋体" w:cs="黑体"/>
          <w:bCs/>
          <w:color w:val="auto"/>
          <w:sz w:val="24"/>
          <w:szCs w:val="24"/>
        </w:rPr>
        <w:t>钢结构住宅结构应符合国家现行标准《建筑抗震设计规范》GB</w:t>
      </w:r>
      <w:r>
        <w:rPr>
          <w:rFonts w:ascii="宋体" w:hAnsi="宋体" w:cs="黑体"/>
          <w:bCs/>
          <w:color w:val="auto"/>
          <w:sz w:val="24"/>
          <w:szCs w:val="24"/>
        </w:rPr>
        <w:t xml:space="preserve"> </w:t>
      </w:r>
      <w:r>
        <w:rPr>
          <w:rFonts w:hint="eastAsia" w:ascii="宋体" w:hAnsi="宋体" w:cs="黑体"/>
          <w:bCs/>
          <w:color w:val="auto"/>
          <w:sz w:val="24"/>
          <w:szCs w:val="24"/>
        </w:rPr>
        <w:t>50011、《钢结构设计标准》GB</w:t>
      </w:r>
      <w:r>
        <w:rPr>
          <w:rFonts w:ascii="宋体" w:hAnsi="宋体" w:cs="黑体"/>
          <w:bCs/>
          <w:color w:val="auto"/>
          <w:sz w:val="24"/>
          <w:szCs w:val="24"/>
        </w:rPr>
        <w:t xml:space="preserve"> </w:t>
      </w:r>
      <w:r>
        <w:rPr>
          <w:rFonts w:hint="eastAsia" w:ascii="宋体" w:hAnsi="宋体" w:cs="黑体"/>
          <w:bCs/>
          <w:color w:val="auto"/>
          <w:sz w:val="24"/>
          <w:szCs w:val="24"/>
        </w:rPr>
        <w:t>50017、《高层民用建筑钢结构技术规程》JGJ</w:t>
      </w:r>
      <w:r>
        <w:rPr>
          <w:rFonts w:ascii="宋体" w:hAnsi="宋体" w:cs="黑体"/>
          <w:bCs/>
          <w:color w:val="auto"/>
          <w:sz w:val="24"/>
          <w:szCs w:val="24"/>
        </w:rPr>
        <w:t xml:space="preserve"> </w:t>
      </w:r>
      <w:r>
        <w:rPr>
          <w:rFonts w:hint="eastAsia" w:ascii="宋体" w:hAnsi="宋体" w:cs="黑体"/>
          <w:bCs/>
          <w:color w:val="auto"/>
          <w:sz w:val="24"/>
          <w:szCs w:val="24"/>
        </w:rPr>
        <w:t>99、《低层冷弯薄壁型钢房屋建筑技术规程》JGJ</w:t>
      </w:r>
      <w:r>
        <w:rPr>
          <w:rFonts w:ascii="宋体" w:hAnsi="宋体" w:cs="黑体"/>
          <w:bCs/>
          <w:color w:val="auto"/>
          <w:sz w:val="24"/>
          <w:szCs w:val="24"/>
        </w:rPr>
        <w:t xml:space="preserve"> </w:t>
      </w:r>
      <w:r>
        <w:rPr>
          <w:rFonts w:hint="eastAsia" w:ascii="宋体" w:hAnsi="宋体" w:cs="黑体"/>
          <w:bCs/>
          <w:color w:val="auto"/>
          <w:sz w:val="24"/>
          <w:szCs w:val="24"/>
        </w:rPr>
        <w:t>227的规定。</w:t>
      </w:r>
    </w:p>
    <w:p>
      <w:pPr>
        <w:spacing w:line="360" w:lineRule="auto"/>
        <w:rPr>
          <w:rFonts w:ascii="宋体" w:hAnsi="宋体" w:cs="黑体"/>
          <w:bCs/>
          <w:color w:val="auto"/>
          <w:sz w:val="24"/>
          <w:szCs w:val="24"/>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本条采用直接引用的方法，规定了钢结构住宅的结构必须遵守的规范，保证结构安全可靠。</w:t>
      </w:r>
    </w:p>
    <w:p>
      <w:pPr>
        <w:spacing w:line="360" w:lineRule="auto"/>
        <w:rPr>
          <w:rFonts w:ascii="宋体" w:hAnsi="宋体" w:cs="黑体"/>
          <w:bCs/>
          <w:color w:val="auto"/>
          <w:sz w:val="24"/>
          <w:szCs w:val="24"/>
        </w:rPr>
      </w:pPr>
      <w:r>
        <w:rPr>
          <w:b/>
          <w:bCs/>
          <w:color w:val="auto"/>
          <w:sz w:val="24"/>
          <w:szCs w:val="24"/>
        </w:rPr>
        <w:t>3.4.2</w:t>
      </w:r>
      <w:r>
        <w:rPr>
          <w:rFonts w:hint="eastAsia" w:ascii="宋体" w:hAnsi="宋体" w:cs="黑体"/>
          <w:bCs/>
          <w:color w:val="auto"/>
          <w:sz w:val="24"/>
          <w:szCs w:val="24"/>
        </w:rPr>
        <w:t>钢结构住宅外露钢结构承重构件应加设防火保护层，宜选择防火涂料或包覆无机耐火材料，有特殊需要的部位宜采用特种耐火钢，其防火设计尚应符合国家现行标准《建筑设计防火规范》G</w:t>
      </w:r>
      <w:r>
        <w:rPr>
          <w:rFonts w:ascii="宋体" w:hAnsi="宋体" w:cs="黑体"/>
          <w:bCs/>
          <w:color w:val="auto"/>
          <w:sz w:val="24"/>
          <w:szCs w:val="24"/>
        </w:rPr>
        <w:t>B 50016</w:t>
      </w:r>
      <w:r>
        <w:rPr>
          <w:rFonts w:hint="eastAsia" w:ascii="宋体" w:hAnsi="宋体" w:cs="黑体"/>
          <w:bCs/>
          <w:color w:val="auto"/>
          <w:sz w:val="24"/>
          <w:szCs w:val="24"/>
        </w:rPr>
        <w:t>的规定，钢结构部（构）件及其连接防火设计应符合国家现行标准《建筑钢结构防火技术规范》G</w:t>
      </w:r>
      <w:r>
        <w:rPr>
          <w:rFonts w:ascii="宋体" w:hAnsi="宋体" w:cs="黑体"/>
          <w:bCs/>
          <w:color w:val="auto"/>
          <w:sz w:val="24"/>
          <w:szCs w:val="24"/>
        </w:rPr>
        <w:t>B 51249</w:t>
      </w:r>
      <w:r>
        <w:rPr>
          <w:rFonts w:hint="eastAsia" w:ascii="宋体" w:hAnsi="宋体" w:cs="黑体"/>
          <w:bCs/>
          <w:color w:val="auto"/>
          <w:sz w:val="24"/>
          <w:szCs w:val="24"/>
        </w:rPr>
        <w:t>的规定。</w:t>
      </w:r>
    </w:p>
    <w:p>
      <w:pPr>
        <w:spacing w:line="360" w:lineRule="auto"/>
        <w:rPr>
          <w:rFonts w:ascii="宋体" w:hAnsi="宋体" w:cs="黑体"/>
          <w:bCs/>
          <w:color w:val="auto"/>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钢结构住宅耐火等级应符合国家现行标准《建筑设计防火规范》G</w:t>
      </w:r>
      <w:r>
        <w:rPr>
          <w:rFonts w:ascii="宋体" w:hAnsi="宋体" w:cs="黑体"/>
          <w:bCs/>
          <w:color w:val="5B9BD5"/>
        </w:rPr>
        <w:t>B 50016</w:t>
      </w:r>
      <w:r>
        <w:rPr>
          <w:rFonts w:hint="eastAsia" w:ascii="宋体" w:hAnsi="宋体" w:cs="黑体"/>
          <w:bCs/>
          <w:color w:val="5B9BD5"/>
        </w:rPr>
        <w:t>的规定，当采用钢管混凝土结构时，可考虑内部填充混凝土对防火的有利作用；对于采用遇热膨胀型防火涂料，尤其薄型防火涂料，装饰层应预留防火涂料的膨胀空间，否则影响防火隔热效果。</w:t>
      </w:r>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.4.3</w:t>
      </w:r>
      <w:r>
        <w:rPr>
          <w:rFonts w:ascii="宋体" w:hAnsi="宋体" w:cs="黑体"/>
          <w:bCs/>
          <w:color w:val="auto"/>
          <w:sz w:val="24"/>
          <w:szCs w:val="24"/>
        </w:rPr>
        <w:t xml:space="preserve"> </w:t>
      </w:r>
      <w:r>
        <w:rPr>
          <w:rFonts w:hint="eastAsia" w:ascii="宋体" w:hAnsi="宋体" w:cs="黑体"/>
          <w:bCs/>
          <w:color w:val="auto"/>
          <w:sz w:val="24"/>
          <w:szCs w:val="24"/>
        </w:rPr>
        <w:t>钢结构住宅防盗、防滑防跌、防坠落应符合国家现行标准《民用建筑设计统一标准》G</w:t>
      </w:r>
      <w:r>
        <w:rPr>
          <w:rFonts w:ascii="宋体" w:hAnsi="宋体" w:cs="黑体"/>
          <w:bCs/>
          <w:color w:val="auto"/>
          <w:sz w:val="24"/>
          <w:szCs w:val="24"/>
        </w:rPr>
        <w:t>B 50352</w:t>
      </w:r>
      <w:r>
        <w:rPr>
          <w:rFonts w:hint="eastAsia" w:ascii="宋体" w:hAnsi="宋体" w:cs="黑体"/>
          <w:bCs/>
          <w:color w:val="auto"/>
          <w:sz w:val="24"/>
          <w:szCs w:val="24"/>
        </w:rPr>
        <w:t>、《住宅设计规范》G</w:t>
      </w:r>
      <w:r>
        <w:rPr>
          <w:rFonts w:ascii="宋体" w:hAnsi="宋体" w:cs="黑体"/>
          <w:bCs/>
          <w:color w:val="auto"/>
          <w:sz w:val="24"/>
          <w:szCs w:val="24"/>
        </w:rPr>
        <w:t>B 50096</w:t>
      </w:r>
      <w:r>
        <w:rPr>
          <w:rFonts w:hint="eastAsia" w:ascii="宋体" w:hAnsi="宋体" w:cs="黑体"/>
          <w:bCs/>
          <w:color w:val="auto"/>
          <w:sz w:val="24"/>
          <w:szCs w:val="24"/>
        </w:rPr>
        <w:t>的相关规定；一层外窗宜设置防盗报警设施。</w:t>
      </w:r>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 xml:space="preserve">.4.4 </w:t>
      </w:r>
      <w:r>
        <w:rPr>
          <w:rFonts w:hint="eastAsia"/>
          <w:b/>
          <w:bCs/>
          <w:color w:val="auto"/>
          <w:sz w:val="24"/>
          <w:szCs w:val="24"/>
        </w:rPr>
        <w:t xml:space="preserve"> </w:t>
      </w:r>
      <w:r>
        <w:rPr>
          <w:rFonts w:hint="eastAsia" w:ascii="宋体" w:hAnsi="宋体" w:cs="黑体"/>
          <w:bCs/>
          <w:color w:val="auto"/>
          <w:sz w:val="24"/>
          <w:szCs w:val="24"/>
        </w:rPr>
        <w:t>钢结构住宅外围护系统及其他附属设施应考虑防脱落、坠落。</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墙体保温板材与基层之间及各构造层之间连接牢固，连接方式、拉伸粘结强度和粘结面积比应符合标准要求。建筑外保温系统与主体结构连接可靠，满足安全、耐久要求，不得空鼓、开裂和脱落。建筑的立面装饰构件与主体结构的连接应进行抗震设防。填充墙、女儿墙等非承重墙体应与主体结构连接可靠。</w:t>
      </w:r>
    </w:p>
    <w:p>
      <w:pPr>
        <w:spacing w:line="360" w:lineRule="auto"/>
        <w:rPr>
          <w:rFonts w:ascii="宋体" w:hAnsi="宋体" w:cs="黑体"/>
          <w:bCs/>
          <w:color w:val="auto"/>
          <w:sz w:val="24"/>
          <w:szCs w:val="24"/>
        </w:rPr>
      </w:pPr>
      <w:r>
        <w:rPr>
          <w:rFonts w:hint="eastAsia"/>
          <w:b/>
          <w:bCs/>
          <w:color w:val="auto"/>
          <w:sz w:val="24"/>
          <w:szCs w:val="24"/>
        </w:rPr>
        <w:t>3.4.5</w:t>
      </w:r>
      <w:r>
        <w:rPr>
          <w:rFonts w:hint="eastAsia" w:ascii="宋体" w:hAnsi="宋体" w:cs="黑体"/>
          <w:bCs/>
          <w:color w:val="auto"/>
          <w:sz w:val="24"/>
          <w:szCs w:val="24"/>
        </w:rPr>
        <w:t>钢结构住宅防水应符合国家现行标准《屋面工程技术规程》GB</w:t>
      </w:r>
      <w:r>
        <w:rPr>
          <w:rFonts w:ascii="宋体" w:hAnsi="宋体" w:cs="黑体"/>
          <w:bCs/>
          <w:color w:val="auto"/>
          <w:sz w:val="24"/>
          <w:szCs w:val="24"/>
        </w:rPr>
        <w:t xml:space="preserve"> </w:t>
      </w:r>
      <w:r>
        <w:rPr>
          <w:rFonts w:hint="eastAsia" w:ascii="宋体" w:hAnsi="宋体" w:cs="黑体"/>
          <w:bCs/>
          <w:color w:val="auto"/>
          <w:sz w:val="24"/>
          <w:szCs w:val="24"/>
        </w:rPr>
        <w:t>50345、《住宅室内防水工程技术规范》J</w:t>
      </w:r>
      <w:r>
        <w:rPr>
          <w:rFonts w:ascii="宋体" w:hAnsi="宋体" w:cs="黑体"/>
          <w:bCs/>
          <w:color w:val="auto"/>
          <w:sz w:val="24"/>
          <w:szCs w:val="24"/>
        </w:rPr>
        <w:t>GJ 298</w:t>
      </w:r>
      <w:r>
        <w:rPr>
          <w:rFonts w:hint="eastAsia" w:ascii="宋体" w:hAnsi="宋体" w:cs="黑体"/>
          <w:bCs/>
          <w:color w:val="auto"/>
          <w:sz w:val="24"/>
          <w:szCs w:val="24"/>
        </w:rPr>
        <w:t>、《地下工程防水技术规范》G</w:t>
      </w:r>
      <w:r>
        <w:rPr>
          <w:rFonts w:ascii="宋体" w:hAnsi="宋体" w:cs="黑体"/>
          <w:bCs/>
          <w:color w:val="auto"/>
          <w:sz w:val="24"/>
          <w:szCs w:val="24"/>
        </w:rPr>
        <w:t>B50108</w:t>
      </w:r>
      <w:r>
        <w:rPr>
          <w:rFonts w:hint="eastAsia" w:ascii="宋体" w:hAnsi="宋体" w:cs="黑体"/>
          <w:bCs/>
          <w:color w:val="auto"/>
          <w:sz w:val="24"/>
          <w:szCs w:val="24"/>
        </w:rPr>
        <w:t>、《建筑外墙防水工程技术规程》JGJ/T 235的有关规定，其中承重构件、屋面、地下室等位置应加强构造设计，避免结构主体受到侵蚀。外围护系统防水应采用构造防水和材料防水结合的方式。</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室外迎水面防水应考虑以下方面：伸出屋面管井管道、雨水管以及女儿墙等泛水处应设防水附加层或进行多重防水处理。女儿墙压顶向内排水坡度不应小于5％，压顶内侧下端应作滴水处理。外门窗应满足气密性、水密性要求，与墙体间连接处应有效密封，门窗洞口上沿应设置滴水线，下沿应设置排水构造，排水坡度不应小于5%。地下室迎水面主体结构应为防水混凝土且抗渗等级满足要求，厚度不应小于250mm。</w:t>
      </w:r>
    </w:p>
    <w:p>
      <w:pPr>
        <w:spacing w:line="360" w:lineRule="auto"/>
        <w:rPr>
          <w:rFonts w:ascii="宋体" w:hAnsi="宋体" w:cs="黑体"/>
          <w:bCs/>
          <w:color w:val="5B9BD5"/>
        </w:rPr>
      </w:pPr>
      <w:r>
        <w:rPr>
          <w:rFonts w:hint="eastAsia" w:ascii="宋体" w:hAnsi="宋体" w:cs="黑体"/>
          <w:bCs/>
          <w:color w:val="5B9BD5"/>
        </w:rPr>
        <w:t>室内房间应考虑以下方面：卫生间楼地面和墙面应设置防水层，淋浴区墙面防水层翻起高度不应小于2m，且不低于淋浴喷淋口高度，洗面器处墙面防水层翻起高度不应小于1.2m，其他墙面防水层翻起高度不应小于0.3m。管道连接严密、维修更换便捷，连接部位不渗不漏。安装在楼板内的套管，其顶部应高出装饰地面20mm；安装在卫生间及厨房楼板内的套管，其顶部应高出装饰地面50mm。卫生洁具、厨房水槽与台面、墙面、地面等接触部位应密封防水。</w:t>
      </w:r>
    </w:p>
    <w:p>
      <w:pPr>
        <w:spacing w:line="360" w:lineRule="auto"/>
        <w:rPr>
          <w:rFonts w:ascii="宋体" w:hAnsi="宋体" w:cs="黑体"/>
          <w:bCs/>
          <w:color w:val="auto"/>
          <w:sz w:val="24"/>
          <w:szCs w:val="24"/>
        </w:rPr>
      </w:pPr>
      <w:r>
        <w:rPr>
          <w:b/>
          <w:bCs/>
          <w:color w:val="auto"/>
          <w:sz w:val="24"/>
          <w:szCs w:val="24"/>
        </w:rPr>
        <w:t>3.4.</w:t>
      </w:r>
      <w:r>
        <w:rPr>
          <w:rFonts w:hint="eastAsia"/>
          <w:b/>
          <w:bCs/>
          <w:color w:val="auto"/>
          <w:sz w:val="24"/>
          <w:szCs w:val="24"/>
        </w:rPr>
        <w:t>6</w:t>
      </w:r>
      <w:r>
        <w:rPr>
          <w:b/>
          <w:bCs/>
          <w:color w:val="auto"/>
          <w:sz w:val="24"/>
          <w:szCs w:val="24"/>
        </w:rPr>
        <w:t xml:space="preserve"> </w:t>
      </w:r>
      <w:r>
        <w:rPr>
          <w:rFonts w:hint="eastAsia" w:ascii="宋体" w:hAnsi="宋体" w:cs="黑体"/>
          <w:bCs/>
          <w:color w:val="auto"/>
          <w:sz w:val="24"/>
          <w:szCs w:val="24"/>
        </w:rPr>
        <w:t>钢结构住宅建筑材料应符合国家现行标准《民用建筑工程室内环境污染控制标准》G</w:t>
      </w:r>
      <w:r>
        <w:rPr>
          <w:rFonts w:ascii="宋体" w:hAnsi="宋体" w:cs="黑体"/>
          <w:bCs/>
          <w:color w:val="auto"/>
          <w:sz w:val="24"/>
          <w:szCs w:val="24"/>
        </w:rPr>
        <w:t>B 50325</w:t>
      </w:r>
      <w:r>
        <w:rPr>
          <w:rFonts w:hint="eastAsia" w:ascii="宋体" w:hAnsi="宋体" w:cs="黑体"/>
          <w:bCs/>
          <w:color w:val="auto"/>
          <w:sz w:val="24"/>
          <w:szCs w:val="24"/>
        </w:rPr>
        <w:t>、《建筑材料放射性核素限量》G</w:t>
      </w:r>
      <w:r>
        <w:rPr>
          <w:rFonts w:ascii="宋体" w:hAnsi="宋体" w:cs="黑体"/>
          <w:bCs/>
          <w:color w:val="auto"/>
          <w:sz w:val="24"/>
          <w:szCs w:val="24"/>
        </w:rPr>
        <w:t>B 6566</w:t>
      </w:r>
      <w:r>
        <w:rPr>
          <w:rFonts w:hint="eastAsia" w:ascii="宋体" w:hAnsi="宋体" w:cs="黑体"/>
          <w:bCs/>
          <w:color w:val="auto"/>
          <w:sz w:val="24"/>
          <w:szCs w:val="24"/>
        </w:rPr>
        <w:t>的相关要求。</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《民用建筑工程室内环境污染控制标准》G</w:t>
      </w:r>
      <w:r>
        <w:rPr>
          <w:rFonts w:ascii="宋体" w:hAnsi="宋体" w:cs="黑体"/>
          <w:bCs/>
          <w:color w:val="5B9BD5"/>
        </w:rPr>
        <w:t>B 50325</w:t>
      </w:r>
      <w:r>
        <w:rPr>
          <w:rFonts w:hint="eastAsia" w:ascii="宋体" w:hAnsi="宋体" w:cs="黑体"/>
          <w:bCs/>
          <w:color w:val="5B9BD5"/>
        </w:rPr>
        <w:t>主要预防和控制民用建筑工程中主体材料和装饰装修材料产生的室内环境污染，保障公众健康；《建筑材料放射性核素限量》GB 6566主要控制建筑材料放射性限量要求。</w:t>
      </w:r>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.4.</w:t>
      </w:r>
      <w:r>
        <w:rPr>
          <w:rFonts w:hint="eastAsia"/>
          <w:b/>
          <w:bCs/>
          <w:color w:val="auto"/>
          <w:sz w:val="24"/>
          <w:szCs w:val="24"/>
        </w:rPr>
        <w:t>7</w:t>
      </w:r>
      <w:r>
        <w:rPr>
          <w:b/>
          <w:bCs/>
          <w:color w:val="auto"/>
          <w:sz w:val="24"/>
          <w:szCs w:val="24"/>
        </w:rPr>
        <w:t xml:space="preserve"> </w:t>
      </w:r>
      <w:r>
        <w:rPr>
          <w:rFonts w:hint="eastAsia" w:ascii="宋体" w:hAnsi="宋体" w:cs="黑体"/>
          <w:bCs/>
          <w:color w:val="auto"/>
          <w:sz w:val="24"/>
          <w:szCs w:val="24"/>
        </w:rPr>
        <w:t>钢结构住宅宜采用经过产品质量认证的部品部件。部品部件的生产应符合国家现行产品技术标准或企业标准；生产和安装企业应具备相应的安全、质量和环境管理体系。</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是建筑工业化的一种生产建造方式转型，本身具有工厂制造、现场装配的基本特点。基于产品的理念，强调性能要求，提高建筑质量和品质。在此前提下各项部品部件的质量尤为关键，需经过相关部门质量认证。</w:t>
      </w:r>
    </w:p>
    <w:p>
      <w:pPr>
        <w:pStyle w:val="3"/>
        <w:spacing w:line="360" w:lineRule="auto"/>
        <w:jc w:val="center"/>
        <w:rPr>
          <w:rFonts w:ascii="宋体" w:hAnsi="宋体" w:eastAsia="宋体"/>
          <w:color w:val="auto"/>
          <w:sz w:val="28"/>
          <w:szCs w:val="28"/>
        </w:rPr>
      </w:pPr>
      <w:bookmarkStart w:id="10" w:name="_Toc103958740"/>
      <w:r>
        <w:rPr>
          <w:rFonts w:ascii="Times New Roman" w:hAnsi="Times New Roman" w:eastAsia="宋体" w:cs="Times New Roman"/>
          <w:color w:val="auto"/>
          <w:sz w:val="28"/>
          <w:szCs w:val="28"/>
        </w:rPr>
        <w:t>3.4</w:t>
      </w:r>
      <w:r>
        <w:rPr>
          <w:rFonts w:ascii="宋体" w:hAnsi="宋体" w:eastAsia="宋体"/>
          <w:color w:val="auto"/>
          <w:sz w:val="28"/>
          <w:szCs w:val="28"/>
        </w:rPr>
        <w:t xml:space="preserve">  </w:t>
      </w:r>
      <w:r>
        <w:rPr>
          <w:rFonts w:hint="eastAsia" w:ascii="宋体" w:hAnsi="宋体" w:eastAsia="宋体"/>
          <w:color w:val="auto"/>
          <w:sz w:val="28"/>
          <w:szCs w:val="28"/>
        </w:rPr>
        <w:t>住宅耐久性能要求</w:t>
      </w:r>
      <w:bookmarkEnd w:id="10"/>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 xml:space="preserve">.5.1 </w:t>
      </w:r>
      <w:r>
        <w:rPr>
          <w:rFonts w:hint="eastAsia" w:ascii="宋体" w:hAnsi="宋体" w:cs="黑体"/>
          <w:bCs/>
          <w:color w:val="auto"/>
          <w:sz w:val="24"/>
          <w:szCs w:val="24"/>
        </w:rPr>
        <w:t>钢结构住宅设计使用年限应符合表3.5.1的规定，并符合国家现行标准《民用建筑设计统一标准》GB 50352的规定。</w:t>
      </w:r>
    </w:p>
    <w:p>
      <w:pPr>
        <w:spacing w:line="360" w:lineRule="auto"/>
        <w:jc w:val="center"/>
        <w:rPr>
          <w:rFonts w:ascii="宋体" w:hAnsi="宋体" w:cs="黑体"/>
          <w:bCs/>
          <w:color w:val="auto"/>
        </w:rPr>
      </w:pPr>
      <w:r>
        <w:rPr>
          <w:rFonts w:hint="eastAsia" w:ascii="宋体" w:hAnsi="宋体" w:cs="黑体"/>
          <w:bCs/>
          <w:color w:val="auto"/>
        </w:rPr>
        <w:t>表3</w:t>
      </w:r>
      <w:r>
        <w:rPr>
          <w:rFonts w:ascii="宋体" w:hAnsi="宋体" w:cs="黑体"/>
          <w:bCs/>
          <w:color w:val="auto"/>
        </w:rPr>
        <w:t>.5.1</w:t>
      </w:r>
      <w:r>
        <w:rPr>
          <w:rFonts w:hint="eastAsia" w:ascii="宋体" w:hAnsi="宋体" w:cs="黑体"/>
          <w:bCs/>
          <w:color w:val="auto"/>
        </w:rPr>
        <w:t>钢结构住宅设计使用年限</w:t>
      </w:r>
    </w:p>
    <w:tbl>
      <w:tblPr>
        <w:tblStyle w:val="17"/>
        <w:tblW w:w="8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2536"/>
        <w:gridCol w:w="4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3621" w:type="dxa"/>
            <w:gridSpan w:val="2"/>
            <w:vAlign w:val="center"/>
          </w:tcPr>
          <w:p>
            <w:pPr>
              <w:adjustRightInd w:val="0"/>
              <w:snapToGrid w:val="0"/>
              <w:spacing w:line="300" w:lineRule="auto"/>
              <w:jc w:val="center"/>
              <w:rPr>
                <w:rFonts w:ascii="宋体" w:hAnsi="宋体" w:cs="黑体"/>
                <w:bCs/>
                <w:color w:val="auto"/>
              </w:rPr>
            </w:pPr>
            <w:r>
              <w:rPr>
                <w:rFonts w:hint="eastAsia" w:ascii="宋体" w:hAnsi="宋体" w:cs="黑体"/>
                <w:bCs/>
                <w:color w:val="auto"/>
              </w:rPr>
              <w:t>类别</w:t>
            </w:r>
          </w:p>
        </w:tc>
        <w:tc>
          <w:tcPr>
            <w:tcW w:w="4494" w:type="dxa"/>
            <w:vAlign w:val="center"/>
          </w:tcPr>
          <w:p>
            <w:pPr>
              <w:adjustRightInd w:val="0"/>
              <w:snapToGrid w:val="0"/>
              <w:spacing w:line="300" w:lineRule="auto"/>
              <w:jc w:val="center"/>
              <w:rPr>
                <w:rFonts w:ascii="宋体" w:hAnsi="宋体" w:cs="黑体"/>
                <w:bCs/>
                <w:color w:val="auto"/>
              </w:rPr>
            </w:pPr>
            <w:r>
              <w:rPr>
                <w:rFonts w:hint="eastAsia" w:ascii="宋体" w:hAnsi="宋体" w:cs="黑体"/>
                <w:bCs/>
                <w:color w:val="auto"/>
              </w:rPr>
              <w:t>设计工作年限（年）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3621" w:type="dxa"/>
            <w:gridSpan w:val="2"/>
            <w:vAlign w:val="center"/>
          </w:tcPr>
          <w:p>
            <w:pPr>
              <w:adjustRightInd w:val="0"/>
              <w:snapToGrid w:val="0"/>
              <w:spacing w:line="300" w:lineRule="auto"/>
              <w:jc w:val="center"/>
              <w:rPr>
                <w:rFonts w:ascii="宋体" w:hAnsi="宋体" w:cs="黑体"/>
                <w:bCs/>
                <w:color w:val="auto"/>
              </w:rPr>
            </w:pPr>
            <w:r>
              <w:rPr>
                <w:rFonts w:hint="eastAsia" w:ascii="宋体" w:hAnsi="宋体" w:cs="黑体"/>
                <w:bCs/>
                <w:color w:val="auto"/>
              </w:rPr>
              <w:t>建筑结构</w:t>
            </w:r>
          </w:p>
        </w:tc>
        <w:tc>
          <w:tcPr>
            <w:tcW w:w="4494" w:type="dxa"/>
            <w:vAlign w:val="center"/>
          </w:tcPr>
          <w:p>
            <w:pPr>
              <w:adjustRightInd w:val="0"/>
              <w:snapToGrid w:val="0"/>
              <w:spacing w:line="300" w:lineRule="auto"/>
              <w:jc w:val="center"/>
              <w:rPr>
                <w:rFonts w:ascii="宋体" w:hAnsi="宋体" w:cs="黑体"/>
                <w:bCs/>
                <w:color w:val="auto"/>
              </w:rPr>
            </w:pPr>
            <w:r>
              <w:rPr>
                <w:rFonts w:hint="eastAsia" w:ascii="宋体" w:hAnsi="宋体" w:cs="黑体"/>
                <w:bCs/>
                <w:color w:val="auto"/>
              </w:rPr>
              <w:t>不应低于</w:t>
            </w:r>
            <w:r>
              <w:rPr>
                <w:rFonts w:ascii="宋体" w:hAnsi="宋体" w:cs="黑体"/>
                <w:bCs/>
                <w:color w:val="auto"/>
              </w:rPr>
              <w:t>50</w:t>
            </w:r>
            <w:r>
              <w:rPr>
                <w:rFonts w:hint="eastAsia" w:ascii="宋体" w:hAnsi="宋体" w:cs="黑体"/>
                <w:bCs/>
                <w:color w:val="auto"/>
              </w:rPr>
              <w:t>年</w:t>
            </w:r>
          </w:p>
          <w:p>
            <w:pPr>
              <w:rPr>
                <w:rFonts w:ascii="宋体" w:hAnsi="宋体" w:cs="黑体"/>
                <w:bCs/>
                <w:color w:val="auto"/>
              </w:rPr>
            </w:pPr>
          </w:p>
          <w:p>
            <w:pPr>
              <w:rPr>
                <w:rFonts w:ascii="宋体" w:hAnsi="宋体" w:cs="黑体"/>
                <w:bCs/>
                <w:color w:val="auto"/>
              </w:rPr>
            </w:pPr>
          </w:p>
          <w:p>
            <w:pPr>
              <w:rPr>
                <w:rFonts w:ascii="宋体" w:hAnsi="宋体" w:cs="黑体"/>
                <w:bCs/>
                <w:color w:val="auto"/>
              </w:rPr>
            </w:pPr>
          </w:p>
          <w:p>
            <w:pPr>
              <w:rPr>
                <w:rFonts w:ascii="宋体" w:hAnsi="宋体" w:cs="黑体"/>
                <w:bCs/>
                <w:color w:val="auto"/>
              </w:rPr>
            </w:pPr>
          </w:p>
          <w:p>
            <w:pPr>
              <w:rPr>
                <w:rFonts w:ascii="宋体" w:hAnsi="宋体" w:cs="黑体"/>
                <w:bCs/>
                <w:color w:val="auto"/>
              </w:rPr>
            </w:pPr>
          </w:p>
          <w:p>
            <w:pPr>
              <w:rPr>
                <w:rFonts w:ascii="宋体" w:hAnsi="宋体" w:cs="黑体"/>
                <w:bCs/>
                <w:color w:val="auto"/>
              </w:rPr>
            </w:pPr>
          </w:p>
          <w:p>
            <w:pPr>
              <w:rPr>
                <w:rFonts w:ascii="宋体" w:hAnsi="宋体" w:cs="黑体"/>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1085" w:type="dxa"/>
            <w:vMerge w:val="restart"/>
            <w:vAlign w:val="center"/>
          </w:tcPr>
          <w:p>
            <w:pPr>
              <w:adjustRightInd w:val="0"/>
              <w:snapToGrid w:val="0"/>
              <w:spacing w:line="300" w:lineRule="auto"/>
              <w:jc w:val="center"/>
              <w:rPr>
                <w:rFonts w:ascii="宋体" w:hAnsi="宋体" w:cs="黑体"/>
                <w:bCs/>
                <w:color w:val="auto"/>
              </w:rPr>
            </w:pPr>
            <w:r>
              <w:rPr>
                <w:rFonts w:hint="eastAsia" w:ascii="宋体" w:hAnsi="宋体" w:cs="黑体"/>
                <w:bCs/>
                <w:color w:val="auto"/>
              </w:rPr>
              <w:t>防水</w:t>
            </w:r>
          </w:p>
        </w:tc>
        <w:tc>
          <w:tcPr>
            <w:tcW w:w="2536" w:type="dxa"/>
            <w:vAlign w:val="center"/>
          </w:tcPr>
          <w:p>
            <w:pPr>
              <w:adjustRightInd w:val="0"/>
              <w:snapToGrid w:val="0"/>
              <w:spacing w:line="300" w:lineRule="auto"/>
              <w:jc w:val="center"/>
              <w:rPr>
                <w:rFonts w:ascii="宋体" w:hAnsi="宋体" w:cs="黑体"/>
                <w:bCs/>
                <w:color w:val="auto"/>
              </w:rPr>
            </w:pPr>
            <w:r>
              <w:rPr>
                <w:rFonts w:hint="eastAsia" w:ascii="宋体" w:hAnsi="宋体" w:cs="黑体"/>
                <w:bCs/>
                <w:color w:val="auto"/>
              </w:rPr>
              <w:t>屋面工程</w:t>
            </w:r>
          </w:p>
        </w:tc>
        <w:tc>
          <w:tcPr>
            <w:tcW w:w="4494" w:type="dxa"/>
            <w:vAlign w:val="center"/>
          </w:tcPr>
          <w:p>
            <w:pPr>
              <w:adjustRightInd w:val="0"/>
              <w:snapToGrid w:val="0"/>
              <w:spacing w:line="300" w:lineRule="auto"/>
              <w:jc w:val="center"/>
              <w:rPr>
                <w:rFonts w:ascii="宋体" w:hAnsi="宋体" w:cs="黑体"/>
                <w:bCs/>
                <w:color w:val="auto"/>
              </w:rPr>
            </w:pPr>
            <w:r>
              <w:rPr>
                <w:rFonts w:hint="eastAsia" w:ascii="宋体" w:hAnsi="宋体" w:cs="黑体"/>
                <w:bCs/>
                <w:color w:val="auto"/>
              </w:rPr>
              <w:t>不应低于</w:t>
            </w:r>
            <w:r>
              <w:rPr>
                <w:rFonts w:ascii="宋体" w:hAnsi="宋体" w:cs="黑体"/>
                <w:bCs/>
                <w:color w:val="auto"/>
              </w:rPr>
              <w:t>20</w:t>
            </w:r>
            <w:r>
              <w:rPr>
                <w:rFonts w:hint="eastAsia" w:ascii="宋体" w:hAnsi="宋体" w:cs="黑体"/>
                <w:bCs/>
                <w:color w:val="auto"/>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6" w:hRule="exact"/>
          <w:jc w:val="center"/>
        </w:trPr>
        <w:tc>
          <w:tcPr>
            <w:tcW w:w="1085" w:type="dxa"/>
            <w:vMerge w:val="continue"/>
            <w:vAlign w:val="center"/>
          </w:tcPr>
          <w:p>
            <w:pPr>
              <w:adjustRightInd w:val="0"/>
              <w:snapToGrid w:val="0"/>
              <w:spacing w:line="300" w:lineRule="auto"/>
              <w:jc w:val="center"/>
              <w:rPr>
                <w:rFonts w:ascii="宋体" w:hAnsi="宋体" w:cs="黑体"/>
                <w:bCs/>
                <w:color w:val="auto"/>
              </w:rPr>
            </w:pPr>
          </w:p>
        </w:tc>
        <w:tc>
          <w:tcPr>
            <w:tcW w:w="2536" w:type="dxa"/>
            <w:vAlign w:val="center"/>
          </w:tcPr>
          <w:p>
            <w:pPr>
              <w:adjustRightInd w:val="0"/>
              <w:snapToGrid w:val="0"/>
              <w:spacing w:line="300" w:lineRule="auto"/>
              <w:jc w:val="center"/>
              <w:rPr>
                <w:rFonts w:ascii="宋体" w:hAnsi="宋体" w:cs="黑体"/>
                <w:bCs/>
                <w:color w:val="auto"/>
              </w:rPr>
            </w:pPr>
            <w:r>
              <w:rPr>
                <w:rFonts w:hint="eastAsia" w:ascii="宋体" w:hAnsi="宋体" w:cs="黑体"/>
                <w:bCs/>
                <w:color w:val="auto"/>
              </w:rPr>
              <w:t>室内工程</w:t>
            </w:r>
          </w:p>
        </w:tc>
        <w:tc>
          <w:tcPr>
            <w:tcW w:w="4494" w:type="dxa"/>
            <w:vAlign w:val="center"/>
          </w:tcPr>
          <w:p>
            <w:pPr>
              <w:adjustRightInd w:val="0"/>
              <w:snapToGrid w:val="0"/>
              <w:spacing w:line="300" w:lineRule="auto"/>
              <w:jc w:val="center"/>
              <w:rPr>
                <w:rFonts w:ascii="宋体" w:hAnsi="宋体" w:cs="黑体"/>
                <w:bCs/>
                <w:color w:val="auto"/>
              </w:rPr>
            </w:pPr>
            <w:r>
              <w:rPr>
                <w:rFonts w:hint="eastAsia" w:ascii="宋体" w:hAnsi="宋体" w:cs="黑体"/>
                <w:bCs/>
                <w:color w:val="auto"/>
              </w:rPr>
              <w:t>不应低于</w:t>
            </w:r>
            <w:r>
              <w:rPr>
                <w:rFonts w:ascii="宋体" w:hAnsi="宋体" w:cs="黑体"/>
                <w:bCs/>
                <w:color w:val="auto"/>
              </w:rPr>
              <w:t>25</w:t>
            </w:r>
            <w:r>
              <w:rPr>
                <w:rFonts w:hint="eastAsia" w:ascii="宋体" w:hAnsi="宋体" w:cs="黑体"/>
                <w:bCs/>
                <w:color w:val="auto"/>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1085" w:type="dxa"/>
            <w:vMerge w:val="continue"/>
            <w:vAlign w:val="center"/>
          </w:tcPr>
          <w:p>
            <w:pPr>
              <w:adjustRightInd w:val="0"/>
              <w:snapToGrid w:val="0"/>
              <w:spacing w:line="300" w:lineRule="auto"/>
              <w:jc w:val="center"/>
              <w:rPr>
                <w:rFonts w:ascii="宋体" w:hAnsi="宋体" w:cs="黑体"/>
                <w:bCs/>
                <w:color w:val="auto"/>
              </w:rPr>
            </w:pPr>
          </w:p>
        </w:tc>
        <w:tc>
          <w:tcPr>
            <w:tcW w:w="2536" w:type="dxa"/>
            <w:vAlign w:val="center"/>
          </w:tcPr>
          <w:p>
            <w:pPr>
              <w:adjustRightInd w:val="0"/>
              <w:snapToGrid w:val="0"/>
              <w:spacing w:line="300" w:lineRule="auto"/>
              <w:jc w:val="center"/>
              <w:rPr>
                <w:rFonts w:ascii="宋体" w:hAnsi="宋体" w:cs="黑体"/>
                <w:bCs/>
                <w:color w:val="auto"/>
              </w:rPr>
            </w:pPr>
            <w:r>
              <w:rPr>
                <w:rFonts w:hint="eastAsia" w:ascii="宋体" w:hAnsi="宋体" w:cs="黑体"/>
                <w:bCs/>
                <w:color w:val="auto"/>
              </w:rPr>
              <w:t>地下工程</w:t>
            </w:r>
          </w:p>
        </w:tc>
        <w:tc>
          <w:tcPr>
            <w:tcW w:w="4494" w:type="dxa"/>
            <w:vAlign w:val="center"/>
          </w:tcPr>
          <w:p>
            <w:pPr>
              <w:adjustRightInd w:val="0"/>
              <w:snapToGrid w:val="0"/>
              <w:spacing w:line="300" w:lineRule="auto"/>
              <w:jc w:val="center"/>
              <w:rPr>
                <w:rFonts w:ascii="宋体" w:hAnsi="宋体" w:cs="黑体"/>
                <w:bCs/>
                <w:color w:val="auto"/>
              </w:rPr>
            </w:pPr>
            <w:r>
              <w:rPr>
                <w:rFonts w:hint="eastAsia" w:ascii="宋体" w:hAnsi="宋体" w:cs="黑体"/>
                <w:bCs/>
                <w:color w:val="auto"/>
              </w:rPr>
              <w:t>不应低于建筑结构设计工作年限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3621" w:type="dxa"/>
            <w:gridSpan w:val="2"/>
            <w:vAlign w:val="center"/>
          </w:tcPr>
          <w:p>
            <w:pPr>
              <w:adjustRightInd w:val="0"/>
              <w:snapToGrid w:val="0"/>
              <w:spacing w:line="300" w:lineRule="auto"/>
              <w:jc w:val="center"/>
              <w:rPr>
                <w:rFonts w:ascii="宋体" w:hAnsi="宋体" w:cs="黑体"/>
                <w:bCs/>
                <w:color w:val="auto"/>
              </w:rPr>
            </w:pPr>
            <w:r>
              <w:rPr>
                <w:rFonts w:hint="eastAsia" w:ascii="宋体" w:hAnsi="宋体" w:cs="黑体"/>
                <w:bCs/>
                <w:color w:val="auto"/>
              </w:rPr>
              <w:t>外窗</w:t>
            </w:r>
          </w:p>
        </w:tc>
        <w:tc>
          <w:tcPr>
            <w:tcW w:w="4494" w:type="dxa"/>
            <w:vAlign w:val="center"/>
          </w:tcPr>
          <w:p>
            <w:pPr>
              <w:adjustRightInd w:val="0"/>
              <w:snapToGrid w:val="0"/>
              <w:spacing w:line="300" w:lineRule="auto"/>
              <w:jc w:val="center"/>
              <w:rPr>
                <w:rFonts w:ascii="宋体" w:hAnsi="宋体" w:cs="黑体"/>
                <w:bCs/>
                <w:color w:val="auto"/>
              </w:rPr>
            </w:pPr>
            <w:r>
              <w:rPr>
                <w:rFonts w:hint="eastAsia" w:ascii="宋体" w:hAnsi="宋体" w:cs="黑体"/>
                <w:bCs/>
                <w:color w:val="auto"/>
              </w:rPr>
              <w:t>不应低于</w:t>
            </w:r>
            <w:r>
              <w:rPr>
                <w:rFonts w:ascii="宋体" w:hAnsi="宋体" w:cs="黑体"/>
                <w:bCs/>
                <w:color w:val="auto"/>
              </w:rPr>
              <w:t>20</w:t>
            </w:r>
            <w:r>
              <w:rPr>
                <w:rFonts w:hint="eastAsia" w:ascii="宋体" w:hAnsi="宋体" w:cs="黑体"/>
                <w:bCs/>
                <w:color w:val="auto"/>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3621" w:type="dxa"/>
            <w:gridSpan w:val="2"/>
            <w:vAlign w:val="center"/>
          </w:tcPr>
          <w:p>
            <w:pPr>
              <w:adjustRightInd w:val="0"/>
              <w:snapToGrid w:val="0"/>
              <w:spacing w:line="300" w:lineRule="auto"/>
              <w:jc w:val="center"/>
              <w:rPr>
                <w:rFonts w:ascii="宋体" w:hAnsi="宋体" w:cs="黑体"/>
                <w:bCs/>
                <w:color w:val="auto"/>
              </w:rPr>
            </w:pPr>
            <w:r>
              <w:rPr>
                <w:rFonts w:hint="eastAsia" w:ascii="宋体" w:hAnsi="宋体" w:cs="黑体"/>
                <w:bCs/>
                <w:color w:val="auto"/>
              </w:rPr>
              <w:t>外保温系统</w:t>
            </w:r>
          </w:p>
        </w:tc>
        <w:tc>
          <w:tcPr>
            <w:tcW w:w="4494" w:type="dxa"/>
            <w:vAlign w:val="center"/>
          </w:tcPr>
          <w:p>
            <w:pPr>
              <w:adjustRightInd w:val="0"/>
              <w:snapToGrid w:val="0"/>
              <w:spacing w:line="300" w:lineRule="auto"/>
              <w:jc w:val="center"/>
              <w:rPr>
                <w:rFonts w:ascii="宋体" w:hAnsi="宋体" w:cs="黑体"/>
                <w:bCs/>
                <w:color w:val="auto"/>
              </w:rPr>
            </w:pPr>
            <w:r>
              <w:rPr>
                <w:rFonts w:hint="eastAsia" w:ascii="宋体" w:hAnsi="宋体" w:cs="黑体"/>
                <w:bCs/>
                <w:color w:val="auto"/>
              </w:rPr>
              <w:t>不应低于</w:t>
            </w:r>
            <w:r>
              <w:rPr>
                <w:rFonts w:ascii="宋体" w:hAnsi="宋体" w:cs="黑体"/>
                <w:bCs/>
                <w:color w:val="auto"/>
              </w:rPr>
              <w:t>25</w:t>
            </w:r>
            <w:r>
              <w:rPr>
                <w:rFonts w:hint="eastAsia" w:ascii="宋体" w:hAnsi="宋体" w:cs="黑体"/>
                <w:bCs/>
                <w:color w:val="auto"/>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3621" w:type="dxa"/>
            <w:gridSpan w:val="2"/>
            <w:vAlign w:val="center"/>
          </w:tcPr>
          <w:p>
            <w:pPr>
              <w:adjustRightInd w:val="0"/>
              <w:snapToGrid w:val="0"/>
              <w:spacing w:line="300" w:lineRule="auto"/>
              <w:jc w:val="center"/>
              <w:rPr>
                <w:rFonts w:ascii="宋体" w:hAnsi="宋体" w:cs="黑体"/>
                <w:bCs/>
                <w:color w:val="auto"/>
              </w:rPr>
            </w:pPr>
            <w:r>
              <w:rPr>
                <w:rFonts w:hint="eastAsia" w:ascii="宋体" w:hAnsi="宋体" w:cs="黑体"/>
                <w:bCs/>
                <w:color w:val="auto"/>
              </w:rPr>
              <w:t>管线工程</w:t>
            </w:r>
          </w:p>
        </w:tc>
        <w:tc>
          <w:tcPr>
            <w:tcW w:w="4494" w:type="dxa"/>
            <w:vAlign w:val="center"/>
          </w:tcPr>
          <w:p>
            <w:pPr>
              <w:adjustRightInd w:val="0"/>
              <w:snapToGrid w:val="0"/>
              <w:spacing w:line="300" w:lineRule="auto"/>
              <w:jc w:val="center"/>
              <w:rPr>
                <w:rFonts w:ascii="宋体" w:hAnsi="宋体" w:cs="黑体"/>
                <w:bCs/>
                <w:color w:val="auto"/>
              </w:rPr>
            </w:pPr>
            <w:r>
              <w:rPr>
                <w:rFonts w:hint="eastAsia" w:ascii="宋体" w:hAnsi="宋体" w:cs="黑体"/>
                <w:bCs/>
                <w:color w:val="auto"/>
              </w:rPr>
              <w:t>不应低于15年</w:t>
            </w:r>
          </w:p>
        </w:tc>
      </w:tr>
    </w:tbl>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.5.2</w:t>
      </w:r>
      <w:r>
        <w:rPr>
          <w:rFonts w:hint="eastAsia" w:ascii="宋体" w:hAnsi="宋体" w:cs="黑体"/>
          <w:bCs/>
          <w:color w:val="auto"/>
          <w:sz w:val="24"/>
          <w:szCs w:val="24"/>
        </w:rPr>
        <w:t>钢结构住宅中的钢结构部（构）件，宜采用使用年限长的防火防腐措施，并应在设计文件中规定其检测周期及最低使用年限，进行定期检测和维护。</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钢结构住宅钢构件应根据使用环境确定防腐措施和维护年限，钢构件的锈蚀速度与大气环境关系很大。通过《建筑钢结构防腐蚀技术规程》</w:t>
      </w:r>
      <w:r>
        <w:rPr>
          <w:rFonts w:ascii="宋体" w:hAnsi="宋体" w:cs="黑体"/>
          <w:bCs/>
          <w:color w:val="5B9BD5"/>
        </w:rPr>
        <w:t>JGJ/T 251</w:t>
      </w:r>
      <w:r>
        <w:rPr>
          <w:rFonts w:hint="eastAsia" w:ascii="宋体" w:hAnsi="宋体" w:cs="黑体"/>
          <w:bCs/>
          <w:color w:val="5B9BD5"/>
        </w:rPr>
        <w:t>计算选择防锈措施，调整基材厚度，评估耐久年限。结合项目所在地气候条件，宜适当加强建筑外露金属件的防腐措施。</w:t>
      </w:r>
    </w:p>
    <w:p>
      <w:pPr>
        <w:spacing w:line="360" w:lineRule="auto"/>
        <w:rPr>
          <w:rFonts w:ascii="宋体" w:hAnsi="宋体" w:cs="黑体"/>
          <w:bCs/>
          <w:color w:val="5B9BD5"/>
        </w:rPr>
      </w:pPr>
      <w:r>
        <w:rPr>
          <w:rFonts w:hint="eastAsia" w:ascii="宋体" w:hAnsi="宋体" w:cs="黑体"/>
          <w:bCs/>
          <w:color w:val="5B9BD5"/>
        </w:rPr>
        <w:t>钢构件防火保护可采用喷涂防火涂料、包覆防火板、包覆柔性毡状隔热材料、外包混凝土、金属网抹砂浆等措施。防火措施需提供相应检测报告，供设计选用。</w:t>
      </w:r>
    </w:p>
    <w:p>
      <w:pPr>
        <w:pStyle w:val="14"/>
        <w:shd w:val="clear" w:color="auto" w:fill="FFFFFF"/>
        <w:spacing w:before="0" w:beforeAutospacing="0" w:after="0" w:afterAutospacing="0" w:line="360" w:lineRule="auto"/>
        <w:rPr>
          <w:rFonts w:ascii="Times New Roman" w:hAnsi="Times New Roman" w:cs="Times New Roman"/>
          <w:kern w:val="2"/>
        </w:rPr>
      </w:pPr>
      <w:r>
        <w:rPr>
          <w:rFonts w:hint="eastAsia" w:ascii="Times New Roman" w:hAnsi="Times New Roman" w:cs="Times New Roman"/>
          <w:b/>
          <w:bCs/>
        </w:rPr>
        <w:t>3.5.3</w:t>
      </w:r>
      <w:r>
        <w:rPr>
          <w:rFonts w:hint="eastAsia" w:cs="黑体"/>
          <w:bCs/>
        </w:rPr>
        <w:t>钢结构住宅外围护系统的设计</w:t>
      </w:r>
      <w:r>
        <w:rPr>
          <w:rFonts w:hint="eastAsia" w:ascii="Times New Roman" w:hAnsi="Times New Roman" w:cs="Times New Roman"/>
          <w:kern w:val="2"/>
        </w:rPr>
        <w:t>年限应与主体结构设计使用年限相适应，内围护系统宜易于更换，并应明确配套防水材料、保温材料、装饰材料的设计使用年限及使用维护、检查及更新要求。</w:t>
      </w:r>
    </w:p>
    <w:p>
      <w:pPr>
        <w:pStyle w:val="14"/>
        <w:shd w:val="clear" w:color="auto" w:fill="FFFFFF"/>
        <w:spacing w:before="0" w:beforeAutospacing="0" w:after="0" w:afterAutospacing="0" w:line="360" w:lineRule="auto"/>
        <w:rPr>
          <w:rFonts w:cs="黑体"/>
          <w:bCs/>
          <w:color w:val="5B9BD5"/>
          <w:sz w:val="21"/>
          <w:szCs w:val="21"/>
        </w:rPr>
      </w:pPr>
      <w:r>
        <w:rPr>
          <w:rFonts w:hint="eastAsia" w:cs="黑体"/>
          <w:b/>
        </w:rPr>
        <w:t>【条文说明】</w:t>
      </w:r>
      <w:r>
        <w:rPr>
          <w:rFonts w:hint="eastAsia" w:cs="黑体"/>
          <w:bCs/>
        </w:rPr>
        <w:t>：</w:t>
      </w:r>
      <w:r>
        <w:rPr>
          <w:rFonts w:hint="eastAsia" w:cs="黑体"/>
          <w:bCs/>
          <w:color w:val="5B9BD5"/>
          <w:sz w:val="21"/>
          <w:szCs w:val="21"/>
        </w:rPr>
        <w:t>外围护系统中的结构构（部）件的设计使用年限应与主体结构设计使用年限相同，且不应低于5</w:t>
      </w:r>
      <w:r>
        <w:rPr>
          <w:rFonts w:cs="黑体"/>
          <w:bCs/>
          <w:color w:val="5B9BD5"/>
          <w:sz w:val="21"/>
          <w:szCs w:val="21"/>
        </w:rPr>
        <w:t>0</w:t>
      </w:r>
      <w:r>
        <w:rPr>
          <w:rFonts w:hint="eastAsia" w:cs="黑体"/>
          <w:bCs/>
          <w:color w:val="5B9BD5"/>
          <w:sz w:val="21"/>
          <w:szCs w:val="21"/>
        </w:rPr>
        <w:t>年；与结构构(部)件复合的防水材料、保温材料、装饰材料也应尽可能选用耐久性较好的材料，井注明其使用维护、检查及更新要求，为建筑长寿化和检查、维护更新创造良好条件。</w:t>
      </w:r>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 xml:space="preserve">.5.4 </w:t>
      </w:r>
      <w:r>
        <w:rPr>
          <w:rFonts w:hint="eastAsia" w:ascii="宋体" w:hAnsi="宋体" w:cs="黑体"/>
          <w:bCs/>
          <w:color w:val="auto"/>
          <w:sz w:val="24"/>
          <w:szCs w:val="24"/>
        </w:rPr>
        <w:t>钢结构住宅可更换的非承重部品部件，应在设计文件中规定其耐用指标，其中独立的非承重部品部件，设计使用年限不应少于25年。</w:t>
      </w:r>
    </w:p>
    <w:p>
      <w:pPr>
        <w:spacing w:line="360" w:lineRule="auto"/>
        <w:rPr>
          <w:rFonts w:ascii="宋体" w:hAnsi="宋体" w:cs="黑体"/>
          <w:bCs/>
          <w:color w:val="auto"/>
          <w:sz w:val="24"/>
          <w:szCs w:val="24"/>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的非承重部品部件主要指的是空调支架、室外栏杆、雨蓬和工业化内装部品部件、管线部品部件等。钢结构住宅主要特点是钢结构承重，装修和部分管线是可改可换的，这些部品部件应设计为可维修、易维修或可更换。</w:t>
      </w:r>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.5.5</w:t>
      </w:r>
      <w:r>
        <w:rPr>
          <w:rFonts w:hint="eastAsia" w:ascii="宋体" w:hAnsi="宋体" w:cs="黑体"/>
          <w:bCs/>
          <w:color w:val="auto"/>
          <w:sz w:val="24"/>
          <w:szCs w:val="24"/>
        </w:rPr>
        <w:t>钢结构住宅可维修部位，应在设计文件中规定维修周期和最低使用年限。并进行定期检测和维修。</w:t>
      </w:r>
    </w:p>
    <w:p>
      <w:pPr>
        <w:spacing w:line="360" w:lineRule="auto"/>
        <w:rPr>
          <w:rFonts w:ascii="宋体" w:hAnsi="宋体" w:cs="黑体"/>
          <w:bCs/>
          <w:color w:val="auto"/>
          <w:sz w:val="24"/>
          <w:szCs w:val="24"/>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应考虑部品部件的后期运维，明确不同材料、设备、设施的最低使用年限。部品部件的连接和设计应遵循以下原则：1应以专用部品的维修与更换不影响共用部品为原则；2应以使用年限较短部品的维修和更换不破坏使用年限较长部品为原则；3应以专用部品的维修和更换不影响其他用户为原则。可维修部位或部品部件到了相关使用年限应对其做质量鉴定，评估是否继续使用或更换。例如钢梁、钢柱处预留检修的可能性。</w:t>
      </w:r>
    </w:p>
    <w:p>
      <w:pPr>
        <w:pStyle w:val="3"/>
        <w:spacing w:line="360" w:lineRule="auto"/>
        <w:jc w:val="center"/>
        <w:rPr>
          <w:rFonts w:ascii="宋体" w:hAnsi="宋体" w:eastAsia="宋体"/>
          <w:color w:val="auto"/>
          <w:sz w:val="28"/>
          <w:szCs w:val="28"/>
        </w:rPr>
      </w:pPr>
      <w:bookmarkStart w:id="11" w:name="_Toc103958741"/>
      <w:r>
        <w:rPr>
          <w:rFonts w:ascii="Times New Roman" w:hAnsi="Times New Roman" w:eastAsia="宋体" w:cs="Times New Roman"/>
          <w:color w:val="auto"/>
          <w:sz w:val="28"/>
          <w:szCs w:val="28"/>
        </w:rPr>
        <w:t>3.5</w:t>
      </w:r>
      <w:r>
        <w:rPr>
          <w:rFonts w:ascii="宋体" w:hAnsi="宋体" w:eastAsia="宋体"/>
          <w:color w:val="auto"/>
          <w:sz w:val="28"/>
          <w:szCs w:val="28"/>
        </w:rPr>
        <w:t xml:space="preserve">  </w:t>
      </w:r>
      <w:r>
        <w:rPr>
          <w:rFonts w:hint="eastAsia" w:ascii="宋体" w:hAnsi="宋体" w:eastAsia="宋体"/>
          <w:color w:val="auto"/>
          <w:sz w:val="28"/>
          <w:szCs w:val="28"/>
        </w:rPr>
        <w:t>住宅绿色低碳要求</w:t>
      </w:r>
      <w:bookmarkEnd w:id="11"/>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 xml:space="preserve">.6.1 </w:t>
      </w:r>
      <w:r>
        <w:rPr>
          <w:rFonts w:hint="eastAsia" w:ascii="宋体" w:hAnsi="宋体" w:cs="黑体"/>
          <w:bCs/>
          <w:color w:val="auto"/>
          <w:sz w:val="24"/>
          <w:szCs w:val="24"/>
        </w:rPr>
        <w:t>钢结构住宅应遵循建筑全寿命周期的可持续性原则，宜采用绿色建筑技术、绿色建材和性能优良的部品部件来进行绿色施工。</w:t>
      </w:r>
    </w:p>
    <w:p>
      <w:pPr>
        <w:spacing w:line="360" w:lineRule="auto"/>
        <w:rPr>
          <w:rFonts w:ascii="宋体" w:hAnsi="宋体" w:cs="黑体"/>
          <w:bCs/>
          <w:color w:val="auto"/>
          <w:sz w:val="24"/>
          <w:szCs w:val="24"/>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强调性能要求，应具备高质量和品质。钢结构住宅的结构系统本身就是绿色建造技术，是国家重点推广的内容，符合可持续发展战略。因此围护系统，设备与管线系统以及内装系统也应遵循绿色建筑全寿命期的理念，结合地域特点和地方有优势，优先采用节能环保的技术、工艺、材料和设备，实现节约资源、保护环境和减少污染的目标，为人们提供健康舒适的居住环境。</w:t>
      </w:r>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 xml:space="preserve">.6.2 </w:t>
      </w:r>
      <w:r>
        <w:rPr>
          <w:rFonts w:hint="eastAsia" w:ascii="宋体" w:hAnsi="宋体" w:cs="黑体"/>
          <w:bCs/>
          <w:color w:val="auto"/>
          <w:sz w:val="24"/>
          <w:szCs w:val="24"/>
        </w:rPr>
        <w:t>钢结构住宅宜采用超低能耗建筑技术。</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建筑能耗大约占社会总能耗的三分之一，建筑减碳是国家实现2</w:t>
      </w:r>
      <w:r>
        <w:rPr>
          <w:rFonts w:ascii="宋体" w:hAnsi="宋体" w:cs="黑体"/>
          <w:bCs/>
          <w:color w:val="5B9BD5"/>
        </w:rPr>
        <w:t>030</w:t>
      </w:r>
      <w:r>
        <w:rPr>
          <w:rFonts w:hint="eastAsia" w:ascii="宋体" w:hAnsi="宋体" w:cs="黑体"/>
          <w:bCs/>
          <w:color w:val="5B9BD5"/>
        </w:rPr>
        <w:t>碳达峰2</w:t>
      </w:r>
      <w:r>
        <w:rPr>
          <w:rFonts w:ascii="宋体" w:hAnsi="宋体" w:cs="黑体"/>
          <w:bCs/>
          <w:color w:val="5B9BD5"/>
        </w:rPr>
        <w:t>060</w:t>
      </w:r>
      <w:r>
        <w:rPr>
          <w:rFonts w:hint="eastAsia" w:ascii="宋体" w:hAnsi="宋体" w:cs="黑体"/>
          <w:bCs/>
          <w:color w:val="5B9BD5"/>
        </w:rPr>
        <w:t>碳中和目标的重要一环，鼓励钢结构住宅进行被动式低能耗建筑设计，契合现阶段国家整体节能减排的重要方针，对国家全方位迈向低碳社会，实现高质量发展具有重要意义。</w:t>
      </w:r>
    </w:p>
    <w:p>
      <w:pPr>
        <w:spacing w:line="360" w:lineRule="auto"/>
        <w:rPr>
          <w:rFonts w:ascii="宋体" w:hAnsi="宋体" w:cs="黑体"/>
          <w:bCs/>
          <w:color w:val="auto"/>
          <w:sz w:val="24"/>
          <w:szCs w:val="24"/>
        </w:rPr>
      </w:pPr>
      <w:r>
        <w:rPr>
          <w:rFonts w:hint="eastAsia"/>
          <w:b/>
          <w:bCs/>
          <w:color w:val="auto"/>
          <w:sz w:val="24"/>
          <w:szCs w:val="24"/>
        </w:rPr>
        <w:t>3</w:t>
      </w:r>
      <w:r>
        <w:rPr>
          <w:b/>
          <w:bCs/>
          <w:color w:val="auto"/>
          <w:sz w:val="24"/>
          <w:szCs w:val="24"/>
        </w:rPr>
        <w:t xml:space="preserve">.6.3 </w:t>
      </w:r>
      <w:r>
        <w:rPr>
          <w:rFonts w:hint="eastAsia" w:ascii="宋体" w:hAnsi="宋体" w:cs="黑体"/>
          <w:bCs/>
          <w:color w:val="auto"/>
          <w:sz w:val="24"/>
          <w:szCs w:val="24"/>
        </w:rPr>
        <w:t>钢结构住宅宜结合当地气候和自然资源合理利用可再生能源。</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可再生能源主要有太阳能系统、地源热泵系统、空气源热泵系统等，新建住宅时应根据适用条件和投资规模确定该类能源可提供的用能比例或保证率，以及系统费效比，并应根据项目负荷特点和当地资源条件进行适宜性分析。</w:t>
      </w:r>
    </w:p>
    <w:p>
      <w:pPr>
        <w:spacing w:line="360" w:lineRule="auto"/>
        <w:rPr>
          <w:rFonts w:ascii="宋体" w:hAnsi="宋体" w:cs="黑体"/>
          <w:bCs/>
          <w:color w:val="auto"/>
          <w:sz w:val="24"/>
          <w:szCs w:val="24"/>
        </w:rPr>
      </w:pPr>
      <w:r>
        <w:rPr>
          <w:b/>
          <w:bCs/>
          <w:color w:val="auto"/>
          <w:sz w:val="24"/>
          <w:szCs w:val="24"/>
        </w:rPr>
        <w:t xml:space="preserve">3.6.4 </w:t>
      </w:r>
      <w:r>
        <w:rPr>
          <w:rFonts w:hint="eastAsia" w:ascii="宋体" w:hAnsi="宋体" w:cs="黑体"/>
          <w:bCs/>
          <w:color w:val="auto"/>
          <w:sz w:val="24"/>
          <w:szCs w:val="24"/>
        </w:rPr>
        <w:t>钢结构住宅宜采用节能型电气设备及节能控制措施。</w:t>
      </w:r>
    </w:p>
    <w:p>
      <w:pPr>
        <w:spacing w:line="360" w:lineRule="auto"/>
        <w:rPr>
          <w:rFonts w:ascii="宋体" w:hAnsi="宋体" w:cs="黑体"/>
          <w:bCs/>
          <w:color w:val="auto"/>
          <w:sz w:val="24"/>
          <w:szCs w:val="24"/>
        </w:rPr>
      </w:pPr>
      <w:r>
        <w:rPr>
          <w:b/>
          <w:bCs/>
          <w:color w:val="auto"/>
          <w:sz w:val="24"/>
          <w:szCs w:val="24"/>
        </w:rPr>
        <w:t>3.6.</w:t>
      </w:r>
      <w:r>
        <w:rPr>
          <w:rFonts w:hint="eastAsia"/>
          <w:b/>
          <w:bCs/>
          <w:color w:val="auto"/>
          <w:sz w:val="24"/>
          <w:szCs w:val="24"/>
        </w:rPr>
        <w:t>5</w:t>
      </w:r>
      <w:r>
        <w:rPr>
          <w:rFonts w:hint="eastAsia" w:ascii="宋体" w:hAnsi="宋体" w:cs="黑体"/>
          <w:bCs/>
          <w:color w:val="auto"/>
          <w:sz w:val="24"/>
          <w:szCs w:val="24"/>
        </w:rPr>
        <w:t>钢结构住宅场地竖向设计应有利于雨水的收集或排放，应有效组织雨水的下渗、滞蓄或再利用。</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竖向设计应防止因降雨导致场地积水或内涝，应建设海绵城市，统筹发挥自然生态功能和人工干预功能，有效控制雨水径流，实现自然积存、自然渗透、自然净化的城市发展方式，促进人与自然和谐发展。</w:t>
      </w:r>
    </w:p>
    <w:p>
      <w:pPr>
        <w:spacing w:line="360" w:lineRule="auto"/>
        <w:rPr>
          <w:rFonts w:ascii="宋体" w:hAnsi="宋体" w:cs="黑体"/>
          <w:bCs/>
          <w:color w:val="auto"/>
          <w:sz w:val="24"/>
          <w:szCs w:val="24"/>
        </w:rPr>
      </w:pPr>
      <w:r>
        <w:rPr>
          <w:b/>
          <w:bCs/>
          <w:color w:val="auto"/>
          <w:sz w:val="24"/>
          <w:szCs w:val="24"/>
        </w:rPr>
        <w:t xml:space="preserve">3.6.6 </w:t>
      </w:r>
      <w:r>
        <w:rPr>
          <w:rFonts w:hint="eastAsia" w:ascii="宋体" w:hAnsi="宋体" w:cs="黑体"/>
          <w:bCs/>
          <w:color w:val="auto"/>
          <w:sz w:val="24"/>
          <w:szCs w:val="24"/>
        </w:rPr>
        <w:t>钢结构住宅宜进行建筑碳排放计算分析，并采取措施降低单位建筑面积碳排放强度。</w:t>
      </w:r>
    </w:p>
    <w:p>
      <w:pPr>
        <w:spacing w:line="360" w:lineRule="auto"/>
        <w:rPr>
          <w:rFonts w:ascii="宋体" w:hAnsi="宋体" w:cs="黑体"/>
          <w:bCs/>
          <w:color w:val="auto"/>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进行碳排放计算分析包括住宅固有的碳排放量和标准运行工况下的碳排放量。对其碳足迹分析，不仅有助于帮助钢结构住宅进一步达到和优化节能、节水、节材等资源节约目标，而且有助于进一步明确住宅建筑对于我国碳排放的贡献量。</w:t>
      </w:r>
    </w:p>
    <w:p>
      <w:pPr>
        <w:spacing w:line="360" w:lineRule="auto"/>
        <w:rPr>
          <w:rFonts w:ascii="宋体" w:hAnsi="宋体" w:cs="黑体"/>
          <w:bCs/>
          <w:color w:val="auto"/>
          <w:sz w:val="24"/>
          <w:szCs w:val="24"/>
        </w:rPr>
      </w:pPr>
    </w:p>
    <w:p>
      <w:pPr>
        <w:spacing w:line="360" w:lineRule="auto"/>
        <w:rPr>
          <w:rFonts w:ascii="宋体" w:hAnsi="宋体" w:cs="黑体"/>
          <w:bCs/>
          <w:color w:val="auto"/>
          <w:sz w:val="24"/>
          <w:szCs w:val="24"/>
        </w:rPr>
      </w:pPr>
    </w:p>
    <w:p>
      <w:pPr>
        <w:spacing w:line="360" w:lineRule="auto"/>
        <w:rPr>
          <w:rFonts w:ascii="宋体" w:hAnsi="宋体" w:cs="黑体"/>
          <w:bCs/>
          <w:color w:val="auto"/>
          <w:sz w:val="24"/>
          <w:szCs w:val="24"/>
        </w:rPr>
      </w:pPr>
    </w:p>
    <w:p>
      <w:pPr>
        <w:spacing w:line="360" w:lineRule="auto"/>
        <w:rPr>
          <w:rFonts w:ascii="宋体" w:hAnsi="宋体" w:cs="黑体"/>
          <w:bCs/>
          <w:color w:val="auto"/>
          <w:sz w:val="24"/>
          <w:szCs w:val="24"/>
        </w:rPr>
      </w:pPr>
    </w:p>
    <w:p>
      <w:pPr>
        <w:spacing w:line="360" w:lineRule="auto"/>
        <w:rPr>
          <w:rFonts w:ascii="宋体" w:hAnsi="宋体" w:cs="黑体"/>
          <w:bCs/>
          <w:color w:val="auto"/>
          <w:sz w:val="24"/>
          <w:szCs w:val="24"/>
        </w:rPr>
      </w:pPr>
    </w:p>
    <w:p>
      <w:pPr>
        <w:spacing w:line="360" w:lineRule="auto"/>
        <w:rPr>
          <w:rFonts w:ascii="宋体" w:hAnsi="宋体" w:cs="黑体"/>
          <w:bCs/>
          <w:color w:val="auto"/>
          <w:sz w:val="24"/>
          <w:szCs w:val="24"/>
        </w:rPr>
      </w:pPr>
    </w:p>
    <w:p>
      <w:pPr>
        <w:spacing w:line="360" w:lineRule="auto"/>
        <w:rPr>
          <w:rFonts w:ascii="宋体" w:hAnsi="宋体" w:cs="黑体"/>
          <w:bCs/>
          <w:color w:val="auto"/>
          <w:sz w:val="24"/>
          <w:szCs w:val="24"/>
        </w:rPr>
      </w:pPr>
    </w:p>
    <w:p>
      <w:pPr>
        <w:spacing w:line="360" w:lineRule="auto"/>
        <w:rPr>
          <w:rFonts w:ascii="宋体" w:hAnsi="宋体" w:cs="黑体"/>
          <w:bCs/>
          <w:color w:val="auto"/>
          <w:sz w:val="24"/>
          <w:szCs w:val="24"/>
        </w:rPr>
      </w:pPr>
    </w:p>
    <w:p>
      <w:pPr>
        <w:spacing w:line="360" w:lineRule="auto"/>
        <w:rPr>
          <w:rFonts w:ascii="宋体" w:hAnsi="宋体" w:cs="黑体"/>
          <w:bCs/>
          <w:color w:val="auto"/>
          <w:sz w:val="24"/>
          <w:szCs w:val="24"/>
        </w:rPr>
      </w:pPr>
    </w:p>
    <w:p>
      <w:pPr>
        <w:pStyle w:val="2"/>
        <w:jc w:val="center"/>
        <w:rPr>
          <w:rFonts w:ascii="仿宋" w:hAnsi="仿宋" w:eastAsia="仿宋"/>
          <w:color w:val="auto"/>
          <w:sz w:val="32"/>
          <w:szCs w:val="32"/>
        </w:rPr>
      </w:pPr>
      <w:bookmarkStart w:id="12" w:name="_Toc103958742"/>
      <w:r>
        <w:rPr>
          <w:rFonts w:eastAsia="仿宋"/>
          <w:color w:val="auto"/>
          <w:sz w:val="32"/>
          <w:szCs w:val="32"/>
        </w:rPr>
        <w:t>4</w:t>
      </w:r>
      <w:r>
        <w:rPr>
          <w:rFonts w:hint="eastAsia" w:ascii="仿宋" w:hAnsi="仿宋" w:eastAsia="仿宋"/>
          <w:color w:val="auto"/>
          <w:sz w:val="32"/>
          <w:szCs w:val="32"/>
        </w:rPr>
        <w:t xml:space="preserve"> </w:t>
      </w:r>
      <w:r>
        <w:rPr>
          <w:rFonts w:ascii="仿宋" w:hAnsi="仿宋" w:eastAsia="仿宋"/>
          <w:color w:val="auto"/>
          <w:sz w:val="32"/>
          <w:szCs w:val="32"/>
        </w:rPr>
        <w:t xml:space="preserve"> </w:t>
      </w:r>
      <w:r>
        <w:rPr>
          <w:rFonts w:hint="eastAsia" w:ascii="宋体" w:hAnsi="宋体"/>
          <w:color w:val="auto"/>
          <w:sz w:val="32"/>
          <w:szCs w:val="32"/>
        </w:rPr>
        <w:t>设计基本规定</w:t>
      </w:r>
      <w:bookmarkEnd w:id="6"/>
      <w:bookmarkEnd w:id="12"/>
      <w:r>
        <w:rPr>
          <w:rFonts w:hint="eastAsia" w:ascii="宋体" w:hAnsi="宋体"/>
          <w:b w:val="0"/>
          <w:color w:val="auto"/>
          <w:sz w:val="21"/>
          <w:szCs w:val="21"/>
        </w:rPr>
        <w:t xml:space="preserve"> </w:t>
      </w:r>
      <w:r>
        <w:rPr>
          <w:rFonts w:ascii="宋体" w:hAnsi="宋体"/>
          <w:b w:val="0"/>
          <w:color w:val="auto"/>
          <w:sz w:val="21"/>
          <w:szCs w:val="21"/>
        </w:rPr>
        <w:t xml:space="preserve"> </w:t>
      </w:r>
    </w:p>
    <w:p>
      <w:pPr>
        <w:spacing w:line="360" w:lineRule="auto"/>
        <w:rPr>
          <w:color w:val="auto"/>
          <w:sz w:val="24"/>
          <w:szCs w:val="24"/>
        </w:rPr>
      </w:pPr>
      <w:bookmarkStart w:id="13" w:name="_Toc96586918"/>
      <w:bookmarkStart w:id="14" w:name="_Toc96587279"/>
      <w:bookmarkStart w:id="15" w:name="_Toc76376945"/>
      <w:bookmarkStart w:id="16" w:name="_Toc84835494"/>
      <w:r>
        <w:rPr>
          <w:b/>
          <w:bCs/>
          <w:color w:val="auto"/>
          <w:sz w:val="24"/>
          <w:szCs w:val="24"/>
        </w:rPr>
        <w:t>4.0.1</w:t>
      </w:r>
      <w:r>
        <w:rPr>
          <w:color w:val="auto"/>
          <w:sz w:val="24"/>
          <w:szCs w:val="24"/>
        </w:rPr>
        <w:t xml:space="preserve"> </w:t>
      </w:r>
      <w:r>
        <w:rPr>
          <w:rFonts w:hint="eastAsia"/>
          <w:color w:val="auto"/>
          <w:sz w:val="24"/>
          <w:szCs w:val="24"/>
        </w:rPr>
        <w:t>钢结构住宅设计应满足适用、健康舒适、安全、耐久和绿色低碳性能要求。应采用标准化设计、工厂化生产、装配化施工、信息化管理和智能化应用，实现高品质的住宅建筑产品。</w:t>
      </w:r>
    </w:p>
    <w:p>
      <w:pPr>
        <w:spacing w:line="360" w:lineRule="auto"/>
        <w:rPr>
          <w:color w:val="auto"/>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是住宅工业化的一种生产建造方式转型，这种新型生产方式具有工厂制造、现场装配的基本特点，目的是提高效率，保证质量。由于大量采用工厂化部品部件，不仅要求部品部件集成化程度高，而且各环节、各工种应密切配合，安装一次到位，通过工业化的管理及现场集约化工序环节，既确保建设效率，又保证建筑产品质量。</w:t>
      </w:r>
    </w:p>
    <w:p>
      <w:pPr>
        <w:spacing w:line="360" w:lineRule="auto"/>
        <w:rPr>
          <w:b/>
          <w:color w:val="auto"/>
          <w:sz w:val="24"/>
          <w:szCs w:val="24"/>
        </w:rPr>
      </w:pPr>
      <w:r>
        <w:rPr>
          <w:rFonts w:hint="eastAsia"/>
          <w:b/>
          <w:bCs/>
          <w:color w:val="auto"/>
          <w:sz w:val="24"/>
          <w:szCs w:val="24"/>
        </w:rPr>
        <w:t>4</w:t>
      </w:r>
      <w:r>
        <w:rPr>
          <w:b/>
          <w:bCs/>
          <w:color w:val="auto"/>
          <w:sz w:val="24"/>
          <w:szCs w:val="24"/>
        </w:rPr>
        <w:t>.0.2</w:t>
      </w:r>
      <w:r>
        <w:rPr>
          <w:color w:val="auto"/>
          <w:sz w:val="24"/>
          <w:szCs w:val="24"/>
        </w:rPr>
        <w:t xml:space="preserve"> </w:t>
      </w:r>
      <w:r>
        <w:rPr>
          <w:rFonts w:hint="eastAsia" w:ascii="宋体" w:hAnsi="宋体" w:cs="黑体"/>
          <w:bCs/>
          <w:color w:val="auto"/>
          <w:sz w:val="24"/>
          <w:szCs w:val="24"/>
        </w:rPr>
        <w:t>钢结构住宅</w:t>
      </w:r>
      <w:r>
        <w:rPr>
          <w:rFonts w:hint="eastAsia"/>
          <w:color w:val="auto"/>
          <w:sz w:val="24"/>
          <w:szCs w:val="24"/>
        </w:rPr>
        <w:t>设计应在方案设计阶段进行整体技术策划，对技术选型、技术经济可行性和可建造性进行评估，并应科学合理地确定建造目标与技术实施方案。</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钢结构住宅设计应包含：1建筑方案和结构选型的确定；2生产部品部件工厂的技术水平和生产能力的评定；3部品部件运输的可行性与经济性分析；4施工组织设计及技术路线的制定；5工程造价及经济性的评估。</w:t>
      </w:r>
    </w:p>
    <w:p>
      <w:pPr>
        <w:spacing w:line="360" w:lineRule="auto"/>
        <w:rPr>
          <w:rFonts w:ascii="宋体" w:hAnsi="宋体" w:cs="黑体"/>
          <w:bCs/>
          <w:color w:val="5B9BD5"/>
        </w:rPr>
      </w:pPr>
      <w:r>
        <w:rPr>
          <w:rFonts w:ascii="宋体" w:hAnsi="宋体" w:cs="黑体"/>
          <w:bCs/>
          <w:color w:val="5B9BD5"/>
        </w:rPr>
        <w:t>A</w:t>
      </w:r>
      <w:r>
        <w:rPr>
          <w:rFonts w:hint="eastAsia" w:ascii="宋体" w:hAnsi="宋体" w:cs="黑体"/>
          <w:bCs/>
          <w:color w:val="5B9BD5"/>
        </w:rPr>
        <w:t xml:space="preserve"> 设计策划应结合总图概念方案或建筑概念方案，对建筑平面、结构系统、围护系统、设备与管线系统等进行标准化设计策划，并结合成本估算，选择相应的技术配置。</w:t>
      </w:r>
    </w:p>
    <w:p>
      <w:pPr>
        <w:spacing w:line="360" w:lineRule="auto"/>
        <w:rPr>
          <w:rFonts w:ascii="宋体" w:hAnsi="宋体" w:cs="黑体"/>
          <w:bCs/>
          <w:color w:val="5B9BD5"/>
        </w:rPr>
      </w:pPr>
      <w:r>
        <w:rPr>
          <w:rFonts w:ascii="宋体" w:hAnsi="宋体" w:cs="黑体"/>
          <w:bCs/>
          <w:color w:val="5B9BD5"/>
        </w:rPr>
        <w:t>B</w:t>
      </w:r>
      <w:r>
        <w:rPr>
          <w:rFonts w:hint="eastAsia" w:ascii="宋体" w:hAnsi="宋体" w:cs="黑体"/>
          <w:bCs/>
          <w:color w:val="5B9BD5"/>
        </w:rPr>
        <w:t>部品部件生产策划根据供应商的技术水平、生产能力和质量管理水平、确定供应商范围；部品部件运输策划应根据供应商生产基地与项目用地之间的距离、道路状况交通管理及现场放置等条件，选择稳定可靠的运输方法。</w:t>
      </w:r>
    </w:p>
    <w:p>
      <w:pPr>
        <w:spacing w:line="360" w:lineRule="auto"/>
        <w:rPr>
          <w:rFonts w:ascii="宋体" w:hAnsi="宋体" w:cs="黑体"/>
          <w:bCs/>
          <w:color w:val="5B9BD5"/>
        </w:rPr>
      </w:pPr>
      <w:r>
        <w:rPr>
          <w:rFonts w:hint="eastAsia" w:ascii="宋体" w:hAnsi="宋体" w:cs="黑体"/>
          <w:bCs/>
          <w:color w:val="5B9BD5"/>
        </w:rPr>
        <w:t>C施工安装策划应根据建筑概念方案，确定施工组织方案、关键施工技术方案、机具设备的选择方案、质量保障方案等。</w:t>
      </w:r>
    </w:p>
    <w:p>
      <w:pPr>
        <w:spacing w:line="360" w:lineRule="auto"/>
        <w:rPr>
          <w:rFonts w:ascii="宋体" w:hAnsi="宋体" w:cs="黑体"/>
          <w:bCs/>
          <w:color w:val="5B9BD5"/>
        </w:rPr>
      </w:pPr>
      <w:r>
        <w:rPr>
          <w:rFonts w:hint="eastAsia" w:ascii="宋体" w:hAnsi="宋体" w:cs="黑体"/>
          <w:bCs/>
          <w:color w:val="5B9BD5"/>
        </w:rPr>
        <w:t>D经济成本策划要确定项目的成本目标，并对钢结构住宅实施重要环节的成本优化提出具体指标和控制要求。</w:t>
      </w:r>
    </w:p>
    <w:p>
      <w:pPr>
        <w:spacing w:line="360" w:lineRule="auto"/>
        <w:rPr>
          <w:rFonts w:ascii="宋体" w:hAnsi="宋体" w:cs="黑体"/>
          <w:bCs/>
          <w:color w:val="auto"/>
          <w:sz w:val="24"/>
          <w:szCs w:val="24"/>
        </w:rPr>
      </w:pPr>
      <w:r>
        <w:rPr>
          <w:b/>
          <w:bCs/>
          <w:color w:val="auto"/>
          <w:sz w:val="24"/>
          <w:szCs w:val="24"/>
        </w:rPr>
        <w:t xml:space="preserve">4.0.3 </w:t>
      </w:r>
      <w:r>
        <w:rPr>
          <w:rFonts w:hint="eastAsia" w:ascii="宋体" w:hAnsi="宋体" w:cs="黑体"/>
          <w:bCs/>
          <w:color w:val="auto"/>
          <w:sz w:val="24"/>
          <w:szCs w:val="24"/>
        </w:rPr>
        <w:t>钢结构住宅设计应</w:t>
      </w:r>
      <w:r>
        <w:rPr>
          <w:color w:val="auto"/>
          <w:sz w:val="24"/>
          <w:szCs w:val="24"/>
        </w:rPr>
        <w:t>将结构系统</w:t>
      </w:r>
      <w:r>
        <w:rPr>
          <w:rFonts w:hint="eastAsia"/>
          <w:color w:val="auto"/>
          <w:sz w:val="24"/>
          <w:szCs w:val="24"/>
        </w:rPr>
        <w:t>、</w:t>
      </w:r>
      <w:r>
        <w:rPr>
          <w:color w:val="auto"/>
          <w:sz w:val="24"/>
          <w:szCs w:val="24"/>
        </w:rPr>
        <w:t>围护系统</w:t>
      </w:r>
      <w:r>
        <w:rPr>
          <w:rFonts w:hint="eastAsia"/>
          <w:color w:val="auto"/>
          <w:sz w:val="24"/>
          <w:szCs w:val="24"/>
        </w:rPr>
        <w:t>、</w:t>
      </w:r>
      <w:r>
        <w:rPr>
          <w:color w:val="auto"/>
          <w:sz w:val="24"/>
          <w:szCs w:val="24"/>
        </w:rPr>
        <w:t>设备与管线系统</w:t>
      </w:r>
      <w:r>
        <w:rPr>
          <w:rFonts w:hint="eastAsia"/>
          <w:color w:val="auto"/>
          <w:sz w:val="24"/>
          <w:szCs w:val="24"/>
        </w:rPr>
        <w:t>、</w:t>
      </w:r>
      <w:r>
        <w:rPr>
          <w:color w:val="auto"/>
          <w:sz w:val="24"/>
          <w:szCs w:val="24"/>
        </w:rPr>
        <w:t>内装系统采用集成的方法进行一体化设计</w:t>
      </w:r>
      <w:r>
        <w:rPr>
          <w:rFonts w:hint="eastAsia"/>
          <w:color w:val="auto"/>
          <w:sz w:val="24"/>
          <w:szCs w:val="24"/>
        </w:rPr>
        <w:t>。</w:t>
      </w:r>
    </w:p>
    <w:p>
      <w:pPr>
        <w:spacing w:line="360" w:lineRule="auto"/>
        <w:rPr>
          <w:b/>
          <w:color w:val="auto"/>
          <w:sz w:val="24"/>
          <w:szCs w:val="24"/>
        </w:rPr>
      </w:pPr>
      <w:r>
        <w:rPr>
          <w:b/>
          <w:bCs/>
          <w:color w:val="auto"/>
          <w:sz w:val="24"/>
          <w:szCs w:val="24"/>
        </w:rPr>
        <w:t>4.0.4</w:t>
      </w:r>
      <w:r>
        <w:rPr>
          <w:rFonts w:hint="eastAsia"/>
          <w:color w:val="auto"/>
          <w:sz w:val="24"/>
          <w:szCs w:val="24"/>
        </w:rPr>
        <w:t xml:space="preserve"> 钢结构住宅应通用化、模数化和标准化，并应符合以下规定：</w:t>
      </w:r>
    </w:p>
    <w:p>
      <w:pPr>
        <w:spacing w:line="360" w:lineRule="auto"/>
        <w:ind w:firstLine="240" w:firstLineChars="100"/>
        <w:rPr>
          <w:rFonts w:ascii="宋体" w:hAnsi="宋体"/>
          <w:color w:val="auto"/>
          <w:sz w:val="24"/>
          <w:szCs w:val="24"/>
        </w:rPr>
      </w:pPr>
      <w:r>
        <w:rPr>
          <w:rFonts w:ascii="宋体" w:hAnsi="宋体"/>
          <w:color w:val="auto"/>
          <w:sz w:val="24"/>
          <w:szCs w:val="24"/>
        </w:rPr>
        <w:t>1</w:t>
      </w:r>
      <w:r>
        <w:rPr>
          <w:rFonts w:hint="eastAsia" w:ascii="宋体" w:hAnsi="宋体"/>
          <w:color w:val="auto"/>
          <w:sz w:val="24"/>
          <w:szCs w:val="24"/>
        </w:rPr>
        <w:t>应采用模块及模块组合的设计方法，遵循少规格、多组合为原则。</w:t>
      </w:r>
    </w:p>
    <w:p>
      <w:pPr>
        <w:spacing w:line="360" w:lineRule="auto"/>
        <w:ind w:firstLine="240" w:firstLineChars="100"/>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建筑参数模数化和规格化。</w:t>
      </w:r>
    </w:p>
    <w:p>
      <w:pPr>
        <w:spacing w:line="360" w:lineRule="auto"/>
        <w:ind w:firstLine="240" w:firstLineChars="100"/>
        <w:rPr>
          <w:rFonts w:ascii="宋体" w:hAnsi="宋体"/>
          <w:color w:val="auto"/>
          <w:sz w:val="24"/>
          <w:szCs w:val="24"/>
        </w:rPr>
      </w:pPr>
      <w:r>
        <w:rPr>
          <w:rFonts w:ascii="宋体" w:hAnsi="宋体"/>
          <w:color w:val="auto"/>
          <w:sz w:val="24"/>
          <w:szCs w:val="24"/>
        </w:rPr>
        <w:t>3</w:t>
      </w:r>
      <w:r>
        <w:rPr>
          <w:rFonts w:hint="eastAsia" w:ascii="宋体" w:hAnsi="宋体"/>
          <w:color w:val="auto"/>
          <w:sz w:val="24"/>
          <w:szCs w:val="24"/>
        </w:rPr>
        <w:t>套型定型化、系列化，达到居住多样化。</w:t>
      </w:r>
    </w:p>
    <w:p>
      <w:pPr>
        <w:spacing w:line="360" w:lineRule="auto"/>
        <w:ind w:firstLine="240" w:firstLineChars="100"/>
        <w:rPr>
          <w:rFonts w:ascii="宋体" w:hAnsi="宋体"/>
          <w:color w:val="auto"/>
          <w:sz w:val="24"/>
          <w:szCs w:val="24"/>
        </w:rPr>
      </w:pPr>
      <w:r>
        <w:rPr>
          <w:rFonts w:ascii="宋体" w:hAnsi="宋体"/>
          <w:color w:val="auto"/>
          <w:sz w:val="24"/>
          <w:szCs w:val="24"/>
        </w:rPr>
        <w:t>4</w:t>
      </w:r>
      <w:r>
        <w:rPr>
          <w:rFonts w:hint="eastAsia" w:ascii="宋体" w:hAnsi="宋体"/>
          <w:color w:val="auto"/>
          <w:sz w:val="24"/>
          <w:szCs w:val="24"/>
        </w:rPr>
        <w:t>部品部件通用化，接口标准化。</w:t>
      </w:r>
    </w:p>
    <w:p>
      <w:pPr>
        <w:spacing w:line="360" w:lineRule="auto"/>
        <w:ind w:firstLine="240" w:firstLineChars="100"/>
        <w:rPr>
          <w:rFonts w:ascii="宋体" w:hAnsi="宋体"/>
          <w:color w:val="auto"/>
          <w:sz w:val="24"/>
          <w:szCs w:val="24"/>
        </w:rPr>
      </w:pPr>
      <w:r>
        <w:rPr>
          <w:rFonts w:ascii="宋体" w:hAnsi="宋体"/>
          <w:color w:val="auto"/>
          <w:sz w:val="24"/>
          <w:szCs w:val="24"/>
        </w:rPr>
        <w:t>5</w:t>
      </w:r>
      <w:r>
        <w:rPr>
          <w:rFonts w:hint="eastAsia" w:ascii="宋体" w:hAnsi="宋体"/>
          <w:color w:val="auto"/>
          <w:sz w:val="24"/>
          <w:szCs w:val="24"/>
        </w:rPr>
        <w:t>内装菜单化和定制化。</w:t>
      </w:r>
    </w:p>
    <w:p>
      <w:pPr>
        <w:spacing w:line="360" w:lineRule="auto"/>
        <w:ind w:firstLine="240" w:firstLineChars="100"/>
        <w:rPr>
          <w:color w:val="auto"/>
        </w:rPr>
      </w:pPr>
      <w:r>
        <w:rPr>
          <w:rFonts w:ascii="宋体" w:hAnsi="宋体"/>
          <w:color w:val="auto"/>
          <w:sz w:val="24"/>
          <w:szCs w:val="24"/>
        </w:rPr>
        <w:t>6</w:t>
      </w:r>
      <w:r>
        <w:rPr>
          <w:rFonts w:hint="eastAsia" w:ascii="宋体" w:hAnsi="宋体"/>
          <w:color w:val="auto"/>
          <w:sz w:val="24"/>
          <w:szCs w:val="24"/>
        </w:rPr>
        <w:t>建造方式体系化。</w:t>
      </w:r>
    </w:p>
    <w:p>
      <w:pPr>
        <w:spacing w:line="360" w:lineRule="auto"/>
        <w:rPr>
          <w:color w:val="auto"/>
          <w:sz w:val="24"/>
          <w:szCs w:val="24"/>
        </w:rPr>
      </w:pPr>
      <w:r>
        <w:rPr>
          <w:rFonts w:hint="eastAsia"/>
          <w:b/>
          <w:bCs/>
          <w:color w:val="auto"/>
          <w:sz w:val="24"/>
          <w:szCs w:val="24"/>
        </w:rPr>
        <w:t>4.0.5</w:t>
      </w:r>
      <w:r>
        <w:rPr>
          <w:rFonts w:hint="eastAsia" w:ascii="宋体" w:hAnsi="宋体" w:cs="黑体"/>
          <w:bCs/>
          <w:color w:val="auto"/>
          <w:sz w:val="24"/>
          <w:szCs w:val="24"/>
        </w:rPr>
        <w:t>钢结构住宅设计宜采用BIM技术实现建筑、结构、设备、内装等专业的协同；并宜</w:t>
      </w:r>
      <w:r>
        <w:rPr>
          <w:rFonts w:hint="eastAsia"/>
          <w:color w:val="auto"/>
          <w:sz w:val="24"/>
          <w:szCs w:val="24"/>
        </w:rPr>
        <w:t>建立信息化协同平台，共享数据信息，实现设计、生产、建设和维护全过程的管理和控制。</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 xml:space="preserve"> 系统性和集成性是钢结构住宅的基本特征，钢结构住宅是以完整的建筑产品为对象，提供性能优良的完成建筑产品，通过系统集成的方法，实现设计、生产运输、施工安装和使用维护全过程一体化，同时通过信息数据平台管理系统将设计、生产、施工和运维各环节联系为一体化管理，对提高工程建设各阶段之间协同配合的效率，以及一体化管理水平具有重要作用。</w:t>
      </w:r>
    </w:p>
    <w:p>
      <w:pPr>
        <w:spacing w:line="360" w:lineRule="auto"/>
        <w:rPr>
          <w:b/>
          <w:bCs/>
          <w:color w:val="auto"/>
          <w:sz w:val="24"/>
          <w:szCs w:val="24"/>
        </w:rPr>
      </w:pPr>
      <w:r>
        <w:rPr>
          <w:rFonts w:hint="eastAsia"/>
          <w:b/>
          <w:bCs/>
          <w:color w:val="auto"/>
          <w:sz w:val="24"/>
          <w:szCs w:val="24"/>
        </w:rPr>
        <w:t xml:space="preserve">4.0.6  </w:t>
      </w:r>
      <w:r>
        <w:rPr>
          <w:rFonts w:hint="eastAsia"/>
          <w:color w:val="auto"/>
          <w:sz w:val="24"/>
          <w:szCs w:val="24"/>
        </w:rPr>
        <w:t>钢结构住宅宜遵循产品设计的方法。</w:t>
      </w:r>
    </w:p>
    <w:p>
      <w:pPr>
        <w:spacing w:line="360" w:lineRule="auto"/>
        <w:rPr>
          <w:color w:val="auto"/>
          <w:sz w:val="24"/>
          <w:szCs w:val="24"/>
        </w:rPr>
      </w:pPr>
      <w:r>
        <w:rPr>
          <w:rFonts w:hint="eastAsia"/>
          <w:b/>
          <w:bCs/>
          <w:color w:val="auto"/>
          <w:sz w:val="24"/>
          <w:szCs w:val="24"/>
        </w:rPr>
        <w:t>4.0.7</w:t>
      </w:r>
      <w:r>
        <w:rPr>
          <w:rFonts w:hint="eastAsia"/>
          <w:color w:val="auto"/>
          <w:sz w:val="24"/>
          <w:szCs w:val="24"/>
        </w:rPr>
        <w:t>钢结构住宅设计应实现全装修，并基于住宅适变性要求，宜采用装配式装修，采用结构系统与设备管线、内装系统相分离的SI体系。</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钢结构住宅全装修配置表，详见附录C</w:t>
      </w:r>
    </w:p>
    <w:bookmarkEnd w:id="13"/>
    <w:bookmarkEnd w:id="14"/>
    <w:bookmarkEnd w:id="15"/>
    <w:bookmarkEnd w:id="16"/>
    <w:p>
      <w:pPr>
        <w:spacing w:line="360" w:lineRule="auto"/>
        <w:rPr>
          <w:color w:val="auto"/>
          <w:sz w:val="24"/>
          <w:szCs w:val="24"/>
        </w:rPr>
      </w:pPr>
      <w:r>
        <w:rPr>
          <w:rFonts w:hint="eastAsia"/>
          <w:b/>
          <w:bCs/>
          <w:color w:val="auto"/>
          <w:sz w:val="24"/>
          <w:szCs w:val="24"/>
        </w:rPr>
        <w:t>4</w:t>
      </w:r>
      <w:r>
        <w:rPr>
          <w:b/>
          <w:bCs/>
          <w:color w:val="auto"/>
          <w:sz w:val="24"/>
          <w:szCs w:val="24"/>
        </w:rPr>
        <w:t>.0.</w:t>
      </w:r>
      <w:r>
        <w:rPr>
          <w:rFonts w:hint="eastAsia"/>
          <w:b/>
          <w:bCs/>
          <w:color w:val="auto"/>
          <w:sz w:val="24"/>
          <w:szCs w:val="24"/>
        </w:rPr>
        <w:t>8</w:t>
      </w:r>
      <w:r>
        <w:rPr>
          <w:color w:val="auto"/>
          <w:sz w:val="24"/>
          <w:szCs w:val="24"/>
        </w:rPr>
        <w:t xml:space="preserve"> </w:t>
      </w:r>
      <w:r>
        <w:rPr>
          <w:rFonts w:hint="eastAsia"/>
          <w:color w:val="auto"/>
          <w:sz w:val="24"/>
          <w:szCs w:val="24"/>
        </w:rPr>
        <w:t>钢结构住宅设计宜采用智能化技术，提升建筑使用的安全、便利、舒适和环保等性能。</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钢结构住宅智能化设备配置表，详见附录D</w:t>
      </w:r>
    </w:p>
    <w:p>
      <w:pPr>
        <w:spacing w:line="360" w:lineRule="auto"/>
        <w:rPr>
          <w:rFonts w:ascii="宋体" w:hAnsi="宋体" w:cs="黑体"/>
          <w:bCs/>
          <w:color w:val="5B9BD5"/>
        </w:rPr>
      </w:pPr>
    </w:p>
    <w:p>
      <w:pPr>
        <w:spacing w:line="360" w:lineRule="auto"/>
        <w:rPr>
          <w:rFonts w:ascii="宋体" w:hAnsi="宋体" w:cs="黑体"/>
          <w:bCs/>
          <w:color w:val="5B9BD5"/>
        </w:rPr>
      </w:pPr>
    </w:p>
    <w:p>
      <w:pPr>
        <w:spacing w:line="360" w:lineRule="auto"/>
        <w:rPr>
          <w:rFonts w:ascii="宋体" w:hAnsi="宋体" w:cs="黑体"/>
          <w:bCs/>
          <w:color w:val="5B9BD5"/>
        </w:rPr>
      </w:pPr>
    </w:p>
    <w:p>
      <w:pPr>
        <w:spacing w:line="360" w:lineRule="auto"/>
        <w:rPr>
          <w:rFonts w:ascii="宋体" w:hAnsi="宋体" w:cs="黑体"/>
          <w:bCs/>
          <w:color w:val="5B9BD5"/>
        </w:rPr>
      </w:pPr>
    </w:p>
    <w:p>
      <w:pPr>
        <w:spacing w:line="360" w:lineRule="auto"/>
        <w:rPr>
          <w:rFonts w:ascii="宋体" w:hAnsi="宋体" w:cs="黑体"/>
          <w:bCs/>
          <w:color w:val="5B9BD5"/>
        </w:rPr>
      </w:pPr>
    </w:p>
    <w:p>
      <w:pPr>
        <w:spacing w:line="360" w:lineRule="auto"/>
        <w:rPr>
          <w:rFonts w:ascii="宋体" w:hAnsi="宋体" w:cs="黑体"/>
          <w:bCs/>
          <w:color w:val="5B9BD5"/>
        </w:rPr>
      </w:pPr>
    </w:p>
    <w:p>
      <w:pPr>
        <w:spacing w:line="360" w:lineRule="auto"/>
        <w:rPr>
          <w:rFonts w:ascii="宋体" w:hAnsi="宋体" w:cs="黑体"/>
          <w:bCs/>
          <w:color w:val="5B9BD5"/>
        </w:rPr>
      </w:pPr>
    </w:p>
    <w:p>
      <w:pPr>
        <w:spacing w:line="360" w:lineRule="auto"/>
        <w:rPr>
          <w:rFonts w:ascii="宋体" w:hAnsi="宋体" w:cs="黑体"/>
          <w:bCs/>
          <w:color w:val="5B9BD5"/>
        </w:rPr>
      </w:pPr>
    </w:p>
    <w:p>
      <w:pPr>
        <w:spacing w:line="360" w:lineRule="auto"/>
        <w:rPr>
          <w:rFonts w:ascii="宋体" w:hAnsi="宋体" w:cs="黑体"/>
          <w:bCs/>
          <w:color w:val="5B9BD5"/>
        </w:rPr>
      </w:pPr>
    </w:p>
    <w:p>
      <w:pPr>
        <w:spacing w:line="360" w:lineRule="auto"/>
        <w:rPr>
          <w:color w:val="auto"/>
          <w:sz w:val="24"/>
          <w:szCs w:val="24"/>
        </w:rPr>
      </w:pPr>
    </w:p>
    <w:p>
      <w:pPr>
        <w:pStyle w:val="2"/>
        <w:jc w:val="center"/>
        <w:rPr>
          <w:rFonts w:ascii="仿宋" w:hAnsi="仿宋" w:eastAsia="仿宋"/>
          <w:color w:val="auto"/>
          <w:sz w:val="32"/>
          <w:szCs w:val="32"/>
        </w:rPr>
      </w:pPr>
      <w:bookmarkStart w:id="17" w:name="_Toc103958743"/>
      <w:r>
        <w:rPr>
          <w:rFonts w:eastAsia="仿宋"/>
          <w:color w:val="auto"/>
          <w:sz w:val="32"/>
          <w:szCs w:val="32"/>
        </w:rPr>
        <w:t>5</w:t>
      </w:r>
      <w:r>
        <w:rPr>
          <w:rFonts w:hint="eastAsia" w:ascii="仿宋" w:hAnsi="仿宋" w:eastAsia="仿宋"/>
          <w:color w:val="auto"/>
          <w:sz w:val="32"/>
          <w:szCs w:val="32"/>
        </w:rPr>
        <w:t xml:space="preserve"> </w:t>
      </w:r>
      <w:r>
        <w:rPr>
          <w:rFonts w:ascii="仿宋" w:hAnsi="仿宋" w:eastAsia="仿宋"/>
          <w:color w:val="auto"/>
          <w:sz w:val="32"/>
          <w:szCs w:val="32"/>
        </w:rPr>
        <w:t xml:space="preserve"> </w:t>
      </w:r>
      <w:r>
        <w:rPr>
          <w:rFonts w:hint="eastAsia" w:ascii="宋体" w:hAnsi="宋体"/>
          <w:color w:val="auto"/>
          <w:sz w:val="32"/>
          <w:szCs w:val="32"/>
        </w:rPr>
        <w:t>建筑设计</w:t>
      </w:r>
      <w:bookmarkEnd w:id="17"/>
    </w:p>
    <w:p>
      <w:pPr>
        <w:pStyle w:val="3"/>
        <w:spacing w:line="360" w:lineRule="auto"/>
        <w:jc w:val="center"/>
        <w:rPr>
          <w:rFonts w:ascii="宋体" w:hAnsi="宋体" w:eastAsia="宋体"/>
          <w:color w:val="auto"/>
          <w:sz w:val="28"/>
          <w:szCs w:val="28"/>
        </w:rPr>
      </w:pPr>
      <w:bookmarkStart w:id="18" w:name="_Toc103958744"/>
      <w:r>
        <w:rPr>
          <w:rFonts w:ascii="Times New Roman" w:hAnsi="Times New Roman" w:eastAsia="宋体" w:cs="Times New Roman"/>
          <w:color w:val="auto"/>
          <w:sz w:val="28"/>
          <w:szCs w:val="28"/>
        </w:rPr>
        <w:t>5.1</w:t>
      </w:r>
      <w:r>
        <w:rPr>
          <w:rFonts w:ascii="宋体" w:hAnsi="宋体" w:eastAsia="宋体"/>
          <w:color w:val="auto"/>
          <w:sz w:val="28"/>
          <w:szCs w:val="28"/>
        </w:rPr>
        <w:t xml:space="preserve">  一般规定</w:t>
      </w:r>
      <w:bookmarkEnd w:id="18"/>
    </w:p>
    <w:p>
      <w:pPr>
        <w:spacing w:line="360" w:lineRule="auto"/>
        <w:rPr>
          <w:color w:val="auto"/>
          <w:sz w:val="24"/>
          <w:szCs w:val="24"/>
        </w:rPr>
      </w:pPr>
      <w:r>
        <w:rPr>
          <w:b/>
          <w:bCs/>
          <w:color w:val="auto"/>
          <w:sz w:val="24"/>
          <w:szCs w:val="24"/>
        </w:rPr>
        <w:t>5.1.1</w:t>
      </w:r>
      <w:r>
        <w:rPr>
          <w:color w:val="auto"/>
          <w:sz w:val="24"/>
          <w:szCs w:val="24"/>
        </w:rPr>
        <w:t xml:space="preserve"> 钢结构住宅</w:t>
      </w:r>
      <w:r>
        <w:rPr>
          <w:rFonts w:hint="eastAsia"/>
          <w:color w:val="auto"/>
          <w:sz w:val="24"/>
          <w:szCs w:val="24"/>
        </w:rPr>
        <w:t>规划设计除应符合国家及地方城市规划设计要求外，还应符合国家现行标准《城市居住区规划设计规范》G</w:t>
      </w:r>
      <w:r>
        <w:rPr>
          <w:color w:val="auto"/>
          <w:sz w:val="24"/>
          <w:szCs w:val="24"/>
        </w:rPr>
        <w:t>B 50180</w:t>
      </w:r>
      <w:r>
        <w:rPr>
          <w:rFonts w:hint="eastAsia"/>
          <w:color w:val="auto"/>
          <w:sz w:val="24"/>
          <w:szCs w:val="24"/>
        </w:rPr>
        <w:t>的规定。</w:t>
      </w:r>
    </w:p>
    <w:p>
      <w:pPr>
        <w:spacing w:line="360" w:lineRule="auto"/>
        <w:rPr>
          <w:color w:val="auto"/>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新建住宅群及住宅的总体规划应有利于冬季增加日照和降低冷风对建筑影响，夏季增加自然通风和减轻热岛效应。</w:t>
      </w:r>
    </w:p>
    <w:p>
      <w:pPr>
        <w:spacing w:line="360" w:lineRule="auto"/>
        <w:rPr>
          <w:color w:val="auto"/>
          <w:sz w:val="24"/>
          <w:szCs w:val="24"/>
        </w:rPr>
      </w:pPr>
      <w:r>
        <w:rPr>
          <w:b/>
          <w:bCs/>
          <w:color w:val="auto"/>
          <w:sz w:val="24"/>
          <w:szCs w:val="24"/>
        </w:rPr>
        <w:t>5.1.2</w:t>
      </w:r>
      <w:r>
        <w:rPr>
          <w:rFonts w:hint="eastAsia"/>
          <w:color w:val="auto"/>
          <w:sz w:val="24"/>
          <w:szCs w:val="24"/>
        </w:rPr>
        <w:t>钢结构住宅建筑</w:t>
      </w:r>
      <w:r>
        <w:rPr>
          <w:color w:val="auto"/>
          <w:sz w:val="24"/>
          <w:szCs w:val="24"/>
        </w:rPr>
        <w:t>设计</w:t>
      </w:r>
      <w:r>
        <w:rPr>
          <w:rFonts w:hint="eastAsia"/>
          <w:color w:val="auto"/>
          <w:sz w:val="24"/>
          <w:szCs w:val="24"/>
        </w:rPr>
        <w:t>除应符合本规范规定外，尚</w:t>
      </w:r>
      <w:r>
        <w:rPr>
          <w:color w:val="auto"/>
          <w:sz w:val="24"/>
          <w:szCs w:val="24"/>
        </w:rPr>
        <w:t>应符合</w:t>
      </w:r>
      <w:r>
        <w:rPr>
          <w:rFonts w:hint="eastAsia"/>
          <w:color w:val="auto"/>
          <w:sz w:val="24"/>
          <w:szCs w:val="24"/>
        </w:rPr>
        <w:t>国家现行标准</w:t>
      </w:r>
      <w:r>
        <w:rPr>
          <w:color w:val="auto"/>
          <w:sz w:val="24"/>
          <w:szCs w:val="24"/>
        </w:rPr>
        <w:t>《住宅设计规范》GB 50096、《住宅建筑规范》GB 50368</w:t>
      </w:r>
      <w:r>
        <w:rPr>
          <w:rFonts w:hint="eastAsia"/>
          <w:color w:val="auto"/>
          <w:sz w:val="24"/>
          <w:szCs w:val="24"/>
        </w:rPr>
        <w:t>、《装配式钢结构建筑技术标准》G</w:t>
      </w:r>
      <w:r>
        <w:rPr>
          <w:color w:val="auto"/>
          <w:sz w:val="24"/>
          <w:szCs w:val="24"/>
        </w:rPr>
        <w:t>B/T 51232的规定</w:t>
      </w:r>
      <w:r>
        <w:rPr>
          <w:rFonts w:hint="eastAsia"/>
          <w:color w:val="auto"/>
          <w:sz w:val="24"/>
          <w:szCs w:val="24"/>
        </w:rPr>
        <w:t>。</w:t>
      </w:r>
    </w:p>
    <w:p>
      <w:pPr>
        <w:spacing w:line="360" w:lineRule="auto"/>
        <w:rPr>
          <w:color w:val="auto"/>
          <w:sz w:val="24"/>
          <w:szCs w:val="24"/>
        </w:rPr>
      </w:pPr>
      <w:r>
        <w:rPr>
          <w:b/>
          <w:bCs/>
          <w:color w:val="auto"/>
          <w:sz w:val="24"/>
          <w:szCs w:val="24"/>
        </w:rPr>
        <w:t xml:space="preserve">5.1.3 </w:t>
      </w:r>
      <w:r>
        <w:rPr>
          <w:rFonts w:hint="eastAsia" w:ascii="宋体" w:hAnsi="宋体" w:cs="黑体"/>
          <w:bCs/>
          <w:color w:val="auto"/>
          <w:sz w:val="24"/>
          <w:szCs w:val="24"/>
        </w:rPr>
        <w:t>钢结构住宅建筑设计应根据住宅功能、结构体系、施工方案等要求，综合确定技术方案，统筹考虑项目经济性。</w:t>
      </w:r>
    </w:p>
    <w:p>
      <w:pPr>
        <w:spacing w:line="360" w:lineRule="auto"/>
        <w:rPr>
          <w:rFonts w:eastAsia="仿宋_GB2312"/>
          <w:b/>
          <w:bCs/>
          <w:color w:val="auto"/>
          <w:sz w:val="24"/>
          <w:szCs w:val="24"/>
        </w:rPr>
      </w:pPr>
      <w:r>
        <w:rPr>
          <w:b/>
          <w:bCs/>
          <w:color w:val="auto"/>
          <w:sz w:val="24"/>
          <w:szCs w:val="24"/>
        </w:rPr>
        <w:t>5</w:t>
      </w:r>
      <w:r>
        <w:rPr>
          <w:rFonts w:hint="eastAsia"/>
          <w:b/>
          <w:bCs/>
          <w:color w:val="auto"/>
          <w:sz w:val="24"/>
          <w:szCs w:val="24"/>
        </w:rPr>
        <w:t>.1.</w:t>
      </w:r>
      <w:r>
        <w:rPr>
          <w:b/>
          <w:bCs/>
          <w:color w:val="auto"/>
          <w:sz w:val="24"/>
          <w:szCs w:val="24"/>
        </w:rPr>
        <w:t>4</w:t>
      </w:r>
      <w:r>
        <w:rPr>
          <w:rFonts w:hint="eastAsia"/>
          <w:b/>
          <w:bCs/>
          <w:color w:val="auto"/>
          <w:sz w:val="24"/>
          <w:szCs w:val="24"/>
        </w:rPr>
        <w:t xml:space="preserve"> </w:t>
      </w:r>
      <w:r>
        <w:rPr>
          <w:rFonts w:hint="eastAsia"/>
          <w:color w:val="auto"/>
          <w:sz w:val="24"/>
          <w:szCs w:val="24"/>
        </w:rPr>
        <w:t>钢结构住宅的建筑设计应</w:t>
      </w:r>
      <w:r>
        <w:rPr>
          <w:color w:val="auto"/>
          <w:sz w:val="24"/>
          <w:szCs w:val="24"/>
        </w:rPr>
        <w:t>采用大开间、大空间设计</w:t>
      </w:r>
      <w:r>
        <w:rPr>
          <w:rFonts w:hint="eastAsia"/>
          <w:color w:val="auto"/>
          <w:sz w:val="24"/>
          <w:szCs w:val="24"/>
        </w:rPr>
        <w:t xml:space="preserve">的布置方式。 </w:t>
      </w:r>
    </w:p>
    <w:p>
      <w:pPr>
        <w:spacing w:line="360" w:lineRule="auto"/>
        <w:rPr>
          <w:rFonts w:eastAsia="仿宋_GB2312" w:cs="仿宋_GB2312"/>
          <w:b/>
          <w:bCs/>
          <w:color w:val="auto"/>
          <w:sz w:val="24"/>
          <w:szCs w:val="24"/>
        </w:rPr>
      </w:pPr>
      <w:r>
        <w:rPr>
          <w:b/>
          <w:bCs/>
          <w:color w:val="auto"/>
          <w:sz w:val="24"/>
          <w:szCs w:val="24"/>
        </w:rPr>
        <w:t>5</w:t>
      </w:r>
      <w:r>
        <w:rPr>
          <w:rFonts w:hint="eastAsia"/>
          <w:b/>
          <w:bCs/>
          <w:color w:val="auto"/>
          <w:sz w:val="24"/>
          <w:szCs w:val="24"/>
        </w:rPr>
        <w:t>.1.</w:t>
      </w:r>
      <w:r>
        <w:rPr>
          <w:b/>
          <w:bCs/>
          <w:color w:val="auto"/>
          <w:sz w:val="24"/>
          <w:szCs w:val="24"/>
        </w:rPr>
        <w:t>5</w:t>
      </w:r>
      <w:r>
        <w:rPr>
          <w:rFonts w:hint="eastAsia"/>
          <w:b/>
          <w:bCs/>
          <w:color w:val="auto"/>
          <w:sz w:val="24"/>
          <w:szCs w:val="24"/>
        </w:rPr>
        <w:t xml:space="preserve"> </w:t>
      </w:r>
      <w:r>
        <w:rPr>
          <w:rFonts w:hint="eastAsia"/>
          <w:color w:val="auto"/>
          <w:sz w:val="24"/>
          <w:szCs w:val="24"/>
        </w:rPr>
        <w:t>钢结构住宅的建筑设计应与结构、给水排水、暖通空调、电气、燃气和智能化各专业协调，做到设计合理、技术先进。</w:t>
      </w:r>
    </w:p>
    <w:p>
      <w:pPr>
        <w:pStyle w:val="3"/>
        <w:spacing w:line="360" w:lineRule="auto"/>
        <w:jc w:val="center"/>
        <w:rPr>
          <w:rFonts w:ascii="宋体" w:hAnsi="宋体" w:eastAsia="宋体"/>
          <w:color w:val="auto"/>
          <w:sz w:val="28"/>
          <w:szCs w:val="28"/>
        </w:rPr>
      </w:pPr>
      <w:bookmarkStart w:id="19" w:name="_Toc103958745"/>
      <w:r>
        <w:rPr>
          <w:rFonts w:ascii="Times New Roman" w:hAnsi="Times New Roman" w:eastAsia="宋体" w:cs="Times New Roman"/>
          <w:color w:val="auto"/>
          <w:sz w:val="28"/>
          <w:szCs w:val="28"/>
        </w:rPr>
        <w:t>5.2</w:t>
      </w:r>
      <w:r>
        <w:rPr>
          <w:rFonts w:ascii="宋体" w:hAnsi="宋体" w:eastAsia="宋体"/>
          <w:color w:val="auto"/>
          <w:sz w:val="28"/>
          <w:szCs w:val="28"/>
        </w:rPr>
        <w:t xml:space="preserve">  </w:t>
      </w:r>
      <w:r>
        <w:rPr>
          <w:rFonts w:hint="eastAsia" w:ascii="宋体" w:hAnsi="宋体" w:eastAsia="宋体"/>
          <w:color w:val="auto"/>
          <w:sz w:val="28"/>
          <w:szCs w:val="28"/>
        </w:rPr>
        <w:t>模数协调</w:t>
      </w:r>
      <w:bookmarkEnd w:id="19"/>
    </w:p>
    <w:p>
      <w:pPr>
        <w:spacing w:line="360" w:lineRule="auto"/>
        <w:jc w:val="left"/>
        <w:rPr>
          <w:color w:val="auto"/>
          <w:sz w:val="24"/>
          <w:szCs w:val="24"/>
        </w:rPr>
      </w:pPr>
      <w:r>
        <w:rPr>
          <w:b/>
          <w:bCs/>
          <w:color w:val="auto"/>
          <w:sz w:val="24"/>
          <w:szCs w:val="24"/>
        </w:rPr>
        <w:t>5</w:t>
      </w:r>
      <w:r>
        <w:rPr>
          <w:rFonts w:hint="eastAsia"/>
          <w:b/>
          <w:bCs/>
          <w:color w:val="auto"/>
          <w:sz w:val="24"/>
          <w:szCs w:val="24"/>
        </w:rPr>
        <w:t>.2.1 </w:t>
      </w:r>
      <w:r>
        <w:rPr>
          <w:rFonts w:hint="eastAsia"/>
          <w:color w:val="auto"/>
          <w:sz w:val="24"/>
          <w:szCs w:val="24"/>
        </w:rPr>
        <w:t>钢结构住宅设计应采用基本模数或扩大模数数列，并应符合国家现行标准《建筑模数协调标准》GB</w:t>
      </w:r>
      <w:r>
        <w:rPr>
          <w:color w:val="auto"/>
          <w:sz w:val="24"/>
          <w:szCs w:val="24"/>
        </w:rPr>
        <w:t>/T 50002</w:t>
      </w:r>
      <w:r>
        <w:rPr>
          <w:rFonts w:hint="eastAsia"/>
          <w:color w:val="auto"/>
          <w:sz w:val="24"/>
          <w:szCs w:val="24"/>
        </w:rPr>
        <w:t>的规定。</w:t>
      </w:r>
    </w:p>
    <w:p>
      <w:pPr>
        <w:spacing w:line="360" w:lineRule="auto"/>
        <w:jc w:val="left"/>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模数协调的应用，有利于协调建筑空间与建筑部件的尺寸关系，有利于建筑部件的定位和安装，是推进建筑工业化发展的基础。</w:t>
      </w:r>
    </w:p>
    <w:p>
      <w:pPr>
        <w:spacing w:line="360" w:lineRule="auto"/>
        <w:jc w:val="left"/>
        <w:rPr>
          <w:color w:val="auto"/>
          <w:sz w:val="24"/>
          <w:szCs w:val="24"/>
        </w:rPr>
      </w:pPr>
      <w:r>
        <w:rPr>
          <w:b/>
          <w:bCs/>
          <w:color w:val="auto"/>
          <w:sz w:val="24"/>
          <w:szCs w:val="24"/>
        </w:rPr>
        <w:t>5.2.2</w:t>
      </w:r>
      <w:r>
        <w:rPr>
          <w:color w:val="auto"/>
          <w:sz w:val="24"/>
          <w:szCs w:val="24"/>
        </w:rPr>
        <w:t xml:space="preserve"> </w:t>
      </w:r>
      <w:r>
        <w:rPr>
          <w:rFonts w:hint="eastAsia"/>
          <w:color w:val="auto"/>
          <w:sz w:val="24"/>
          <w:szCs w:val="24"/>
        </w:rPr>
        <w:t>钢结构住宅开间或柱距、进深或跨度、门窗洞口宽度等宜采用水平基本模数数列和水平扩大模数数列，且水平扩大模数数列宜采用2n</w:t>
      </w:r>
      <w:r>
        <w:rPr>
          <w:color w:val="auto"/>
          <w:sz w:val="24"/>
          <w:szCs w:val="24"/>
        </w:rPr>
        <w:t>M</w:t>
      </w:r>
      <w:r>
        <w:rPr>
          <w:rFonts w:hint="eastAsia"/>
          <w:color w:val="auto"/>
          <w:sz w:val="24"/>
          <w:szCs w:val="24"/>
        </w:rPr>
        <w:t>、3n</w:t>
      </w:r>
      <w:r>
        <w:rPr>
          <w:color w:val="auto"/>
          <w:sz w:val="24"/>
          <w:szCs w:val="24"/>
        </w:rPr>
        <w:t>M</w:t>
      </w:r>
      <w:r>
        <w:rPr>
          <w:rFonts w:hint="eastAsia"/>
          <w:color w:val="auto"/>
          <w:sz w:val="24"/>
          <w:szCs w:val="24"/>
        </w:rPr>
        <w:t>（n为自然数）。</w:t>
      </w:r>
    </w:p>
    <w:p>
      <w:pPr>
        <w:spacing w:line="360" w:lineRule="auto"/>
        <w:jc w:val="left"/>
        <w:rPr>
          <w:color w:val="auto"/>
          <w:sz w:val="24"/>
          <w:szCs w:val="24"/>
        </w:rPr>
      </w:pPr>
      <w:r>
        <w:rPr>
          <w:b/>
          <w:bCs/>
          <w:color w:val="auto"/>
          <w:sz w:val="24"/>
          <w:szCs w:val="24"/>
        </w:rPr>
        <w:t>5.2.3</w:t>
      </w:r>
      <w:r>
        <w:rPr>
          <w:color w:val="auto"/>
          <w:sz w:val="24"/>
          <w:szCs w:val="24"/>
        </w:rPr>
        <w:t xml:space="preserve"> </w:t>
      </w:r>
      <w:r>
        <w:rPr>
          <w:rFonts w:hint="eastAsia"/>
          <w:color w:val="auto"/>
          <w:sz w:val="24"/>
          <w:szCs w:val="24"/>
        </w:rPr>
        <w:t>钢结构住宅梁、柱、墙、板等构件的截面尺寸宜采用竖向扩大模数数列n</w:t>
      </w:r>
      <w:r>
        <w:rPr>
          <w:color w:val="auto"/>
          <w:sz w:val="24"/>
          <w:szCs w:val="24"/>
        </w:rPr>
        <w:t>M</w:t>
      </w:r>
      <w:r>
        <w:rPr>
          <w:rFonts w:hint="eastAsia"/>
          <w:color w:val="auto"/>
          <w:sz w:val="24"/>
          <w:szCs w:val="24"/>
        </w:rPr>
        <w:t>。</w:t>
      </w:r>
    </w:p>
    <w:p>
      <w:pPr>
        <w:spacing w:line="360" w:lineRule="auto"/>
        <w:jc w:val="left"/>
        <w:rPr>
          <w:color w:val="auto"/>
          <w:sz w:val="24"/>
          <w:szCs w:val="24"/>
        </w:rPr>
      </w:pPr>
      <w:r>
        <w:rPr>
          <w:b/>
          <w:bCs/>
          <w:color w:val="auto"/>
          <w:sz w:val="24"/>
          <w:szCs w:val="24"/>
        </w:rPr>
        <w:t>5.2.4</w:t>
      </w:r>
      <w:r>
        <w:rPr>
          <w:color w:val="auto"/>
          <w:sz w:val="24"/>
          <w:szCs w:val="24"/>
        </w:rPr>
        <w:t xml:space="preserve"> </w:t>
      </w:r>
      <w:r>
        <w:rPr>
          <w:rFonts w:hint="eastAsia"/>
          <w:color w:val="auto"/>
          <w:sz w:val="24"/>
          <w:szCs w:val="24"/>
        </w:rPr>
        <w:t>钢结构住宅构造节点和部品部件的接口尺寸宜采用分模数数列n</w:t>
      </w:r>
      <w:r>
        <w:rPr>
          <w:color w:val="auto"/>
          <w:sz w:val="24"/>
          <w:szCs w:val="24"/>
        </w:rPr>
        <w:t>M/2</w:t>
      </w:r>
      <w:r>
        <w:rPr>
          <w:rFonts w:hint="eastAsia"/>
          <w:color w:val="auto"/>
          <w:sz w:val="24"/>
          <w:szCs w:val="24"/>
        </w:rPr>
        <w:t>、n</w:t>
      </w:r>
      <w:r>
        <w:rPr>
          <w:color w:val="auto"/>
          <w:sz w:val="24"/>
          <w:szCs w:val="24"/>
        </w:rPr>
        <w:t>M/5</w:t>
      </w:r>
      <w:r>
        <w:rPr>
          <w:rFonts w:hint="eastAsia"/>
          <w:color w:val="auto"/>
          <w:sz w:val="24"/>
          <w:szCs w:val="24"/>
        </w:rPr>
        <w:t>、n</w:t>
      </w:r>
      <w:r>
        <w:rPr>
          <w:color w:val="auto"/>
          <w:sz w:val="24"/>
          <w:szCs w:val="24"/>
        </w:rPr>
        <w:t>M/10</w:t>
      </w:r>
      <w:r>
        <w:rPr>
          <w:rFonts w:hint="eastAsia"/>
          <w:color w:val="auto"/>
          <w:sz w:val="24"/>
          <w:szCs w:val="24"/>
        </w:rPr>
        <w:t>。</w:t>
      </w:r>
    </w:p>
    <w:p>
      <w:pPr>
        <w:spacing w:line="360" w:lineRule="auto"/>
        <w:jc w:val="left"/>
        <w:rPr>
          <w:color w:val="auto"/>
          <w:sz w:val="24"/>
          <w:szCs w:val="24"/>
        </w:rPr>
      </w:pPr>
      <w:r>
        <w:rPr>
          <w:b/>
          <w:bCs/>
          <w:color w:val="auto"/>
          <w:sz w:val="24"/>
          <w:szCs w:val="24"/>
        </w:rPr>
        <w:t>5.2.5</w:t>
      </w:r>
      <w:r>
        <w:rPr>
          <w:color w:val="auto"/>
          <w:sz w:val="24"/>
          <w:szCs w:val="24"/>
        </w:rPr>
        <w:t xml:space="preserve"> </w:t>
      </w:r>
      <w:r>
        <w:rPr>
          <w:rFonts w:hint="eastAsia"/>
          <w:color w:val="auto"/>
          <w:sz w:val="24"/>
          <w:szCs w:val="24"/>
        </w:rPr>
        <w:t>钢结构住宅层高和门窗洞口高度宜采用竖向基本模数和竖向扩大模数数列，且竖向扩大模数数列宜采用n</w:t>
      </w:r>
      <w:r>
        <w:rPr>
          <w:color w:val="auto"/>
          <w:sz w:val="24"/>
          <w:szCs w:val="24"/>
        </w:rPr>
        <w:t>M</w:t>
      </w:r>
      <w:r>
        <w:rPr>
          <w:rFonts w:hint="eastAsia"/>
          <w:color w:val="auto"/>
          <w:sz w:val="24"/>
          <w:szCs w:val="24"/>
        </w:rPr>
        <w:t>。</w:t>
      </w:r>
    </w:p>
    <w:p>
      <w:pPr>
        <w:spacing w:line="360" w:lineRule="auto"/>
        <w:jc w:val="left"/>
        <w:rPr>
          <w:color w:val="auto"/>
          <w:sz w:val="24"/>
          <w:szCs w:val="24"/>
        </w:rPr>
      </w:pPr>
      <w:r>
        <w:rPr>
          <w:b/>
          <w:bCs/>
          <w:color w:val="auto"/>
          <w:sz w:val="24"/>
          <w:szCs w:val="24"/>
        </w:rPr>
        <w:t>5.2.6</w:t>
      </w:r>
      <w:r>
        <w:rPr>
          <w:color w:val="auto"/>
          <w:sz w:val="24"/>
          <w:szCs w:val="24"/>
        </w:rPr>
        <w:t xml:space="preserve"> </w:t>
      </w:r>
      <w:r>
        <w:rPr>
          <w:rFonts w:hint="eastAsia"/>
          <w:color w:val="auto"/>
          <w:sz w:val="24"/>
          <w:szCs w:val="24"/>
        </w:rPr>
        <w:t>钢结构住宅建筑构件宜采用扩大模数网格，优先尺寸为2nM、3nM模数系列。</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ascii="宋体" w:hAnsi="宋体" w:cs="黑体"/>
          <w:bCs/>
          <w:color w:val="5B9BD5"/>
        </w:rPr>
        <w:t>5.2.2</w:t>
      </w:r>
      <w:r>
        <w:rPr>
          <w:rFonts w:hint="eastAsia" w:ascii="宋体" w:hAnsi="宋体" w:cs="黑体"/>
          <w:bCs/>
          <w:color w:val="5B9BD5"/>
        </w:rPr>
        <w:t>~</w:t>
      </w:r>
      <w:r>
        <w:rPr>
          <w:rFonts w:ascii="宋体" w:hAnsi="宋体" w:cs="黑体"/>
          <w:bCs/>
          <w:color w:val="5B9BD5"/>
        </w:rPr>
        <w:t>5.2.6</w:t>
      </w:r>
      <w:r>
        <w:rPr>
          <w:rFonts w:hint="eastAsia" w:ascii="宋体" w:hAnsi="宋体" w:cs="黑体"/>
          <w:bCs/>
          <w:color w:val="5B9BD5"/>
        </w:rPr>
        <w:t>条中的M是住宅建筑模数协调的最小单位，1M=100mm，与其它标准相同，可对有关部位进行设计技术处理：</w:t>
      </w:r>
    </w:p>
    <w:p>
      <w:pPr>
        <w:pStyle w:val="21"/>
        <w:numPr>
          <w:ilvl w:val="0"/>
          <w:numId w:val="6"/>
        </w:numPr>
        <w:spacing w:line="360" w:lineRule="auto"/>
        <w:ind w:hanging="436" w:firstLineChars="0"/>
        <w:rPr>
          <w:rFonts w:ascii="宋体" w:hAnsi="宋体" w:cs="黑体"/>
          <w:bCs/>
          <w:color w:val="5B9BD5"/>
        </w:rPr>
      </w:pPr>
      <w:r>
        <w:rPr>
          <w:rFonts w:hint="eastAsia" w:ascii="宋体" w:hAnsi="宋体" w:cs="黑体"/>
          <w:bCs/>
          <w:color w:val="5B9BD5"/>
        </w:rPr>
        <w:t>钢结构柱网采用中心线定位法，边跨和边开间的平面尺寸可采用非模数；</w:t>
      </w:r>
    </w:p>
    <w:p>
      <w:pPr>
        <w:pStyle w:val="21"/>
        <w:numPr>
          <w:ilvl w:val="0"/>
          <w:numId w:val="6"/>
        </w:numPr>
        <w:spacing w:line="360" w:lineRule="auto"/>
        <w:ind w:hanging="436" w:firstLineChars="0"/>
        <w:rPr>
          <w:rFonts w:ascii="宋体" w:hAnsi="宋体" w:cs="黑体"/>
          <w:bCs/>
          <w:color w:val="5B9BD5"/>
        </w:rPr>
      </w:pPr>
      <w:r>
        <w:rPr>
          <w:rFonts w:hint="eastAsia" w:ascii="宋体" w:hAnsi="宋体" w:cs="黑体"/>
          <w:bCs/>
          <w:color w:val="5B9BD5"/>
        </w:rPr>
        <w:t>采用界面定位法时，钢结构柱网中心线为非模数；</w:t>
      </w:r>
    </w:p>
    <w:p>
      <w:pPr>
        <w:pStyle w:val="21"/>
        <w:numPr>
          <w:ilvl w:val="0"/>
          <w:numId w:val="6"/>
        </w:numPr>
        <w:spacing w:line="360" w:lineRule="auto"/>
        <w:ind w:hanging="436" w:firstLineChars="0"/>
        <w:rPr>
          <w:rFonts w:ascii="宋体" w:hAnsi="宋体" w:cs="黑体"/>
          <w:bCs/>
          <w:color w:val="5B9BD5"/>
        </w:rPr>
      </w:pPr>
      <w:r>
        <w:rPr>
          <w:rFonts w:hint="eastAsia" w:ascii="宋体" w:hAnsi="宋体" w:cs="黑体"/>
          <w:bCs/>
          <w:color w:val="5B9BD5"/>
        </w:rPr>
        <w:t>在下层钢结构采用中心线定位的情况下，钢柱截面随高度改变可采用非模数；</w:t>
      </w:r>
    </w:p>
    <w:p>
      <w:pPr>
        <w:pStyle w:val="21"/>
        <w:numPr>
          <w:ilvl w:val="0"/>
          <w:numId w:val="6"/>
        </w:numPr>
        <w:spacing w:line="360" w:lineRule="auto"/>
        <w:ind w:hanging="436" w:firstLineChars="0"/>
        <w:rPr>
          <w:rFonts w:ascii="宋体" w:hAnsi="宋体" w:cs="黑体"/>
          <w:bCs/>
          <w:color w:val="5B9BD5"/>
        </w:rPr>
      </w:pPr>
      <w:r>
        <w:rPr>
          <w:rFonts w:hint="eastAsia" w:ascii="宋体" w:hAnsi="宋体" w:cs="黑体"/>
          <w:bCs/>
          <w:color w:val="5B9BD5"/>
        </w:rPr>
        <w:t>钢梁偏离轴线，可采用非模数；</w:t>
      </w:r>
    </w:p>
    <w:p>
      <w:pPr>
        <w:pStyle w:val="21"/>
        <w:numPr>
          <w:ilvl w:val="0"/>
          <w:numId w:val="6"/>
        </w:numPr>
        <w:spacing w:line="360" w:lineRule="auto"/>
        <w:ind w:hanging="436" w:firstLineChars="0"/>
        <w:rPr>
          <w:rFonts w:ascii="宋体" w:hAnsi="宋体" w:cs="黑体"/>
          <w:bCs/>
          <w:color w:val="5B9BD5"/>
        </w:rPr>
      </w:pPr>
      <w:r>
        <w:rPr>
          <w:rFonts w:hint="eastAsia" w:ascii="宋体" w:hAnsi="宋体" w:cs="黑体"/>
          <w:bCs/>
          <w:color w:val="5B9BD5"/>
        </w:rPr>
        <w:t>为隐蔽钢梁、钢柱，内墙向一侧移动，可采用非模数；</w:t>
      </w:r>
    </w:p>
    <w:p>
      <w:pPr>
        <w:pStyle w:val="21"/>
        <w:numPr>
          <w:ilvl w:val="0"/>
          <w:numId w:val="6"/>
        </w:numPr>
        <w:spacing w:line="360" w:lineRule="auto"/>
        <w:ind w:hanging="436" w:firstLineChars="0"/>
        <w:rPr>
          <w:rFonts w:ascii="宋体" w:hAnsi="宋体" w:cs="黑体"/>
          <w:bCs/>
          <w:color w:val="5B9BD5"/>
        </w:rPr>
      </w:pPr>
      <w:r>
        <w:rPr>
          <w:rFonts w:hint="eastAsia" w:ascii="宋体" w:hAnsi="宋体" w:cs="黑体"/>
          <w:bCs/>
          <w:color w:val="5B9BD5"/>
        </w:rPr>
        <w:t>受技术经济原因限制的楼盖高度可采用非模数；</w:t>
      </w:r>
    </w:p>
    <w:p>
      <w:pPr>
        <w:pStyle w:val="21"/>
        <w:numPr>
          <w:ilvl w:val="0"/>
          <w:numId w:val="6"/>
        </w:numPr>
        <w:spacing w:line="360" w:lineRule="auto"/>
        <w:ind w:hanging="436" w:firstLineChars="0"/>
        <w:rPr>
          <w:rFonts w:ascii="宋体" w:hAnsi="宋体" w:cs="黑体"/>
          <w:bCs/>
          <w:color w:val="5B9BD5"/>
        </w:rPr>
      </w:pPr>
      <w:r>
        <w:rPr>
          <w:rFonts w:hint="eastAsia" w:ascii="宋体" w:hAnsi="宋体" w:cs="黑体"/>
          <w:bCs/>
          <w:color w:val="5B9BD5"/>
        </w:rPr>
        <w:t>专用体系的特殊构法，可采用非模数。</w:t>
      </w:r>
    </w:p>
    <w:p>
      <w:pPr>
        <w:pStyle w:val="32"/>
        <w:snapToGrid w:val="0"/>
        <w:spacing w:line="360" w:lineRule="auto"/>
        <w:rPr>
          <w:rFonts w:ascii="Times New Roman" w:hAnsi="Times New Roman"/>
        </w:rPr>
      </w:pPr>
      <w:r>
        <w:rPr>
          <w:rFonts w:ascii="Times New Roman" w:hAnsi="Times New Roman"/>
          <w:b/>
          <w:bCs/>
        </w:rPr>
        <w:t>5</w:t>
      </w:r>
      <w:r>
        <w:rPr>
          <w:rFonts w:hint="eastAsia" w:ascii="Times New Roman" w:hAnsi="Times New Roman"/>
          <w:b/>
          <w:bCs/>
        </w:rPr>
        <w:t>.2.</w:t>
      </w:r>
      <w:r>
        <w:rPr>
          <w:rFonts w:ascii="Times New Roman" w:hAnsi="Times New Roman"/>
          <w:b/>
          <w:bCs/>
        </w:rPr>
        <w:t>7</w:t>
      </w:r>
      <w:r>
        <w:rPr>
          <w:rFonts w:hint="eastAsia" w:ascii="Times New Roman" w:hAnsi="Times New Roman"/>
          <w:b/>
          <w:bCs/>
        </w:rPr>
        <w:t xml:space="preserve"> </w:t>
      </w:r>
      <w:r>
        <w:rPr>
          <w:rFonts w:hint="eastAsia" w:ascii="Times New Roman" w:hAnsi="Times New Roman"/>
        </w:rPr>
        <w:t>钢结构住宅整体厨房、整体卫浴内部空间净尺寸应为基本模数的倍数，必要时插入M/2（50mm）或M/5（20mm）模数尺寸，还应符合现行行业标准《住宅厨房模数协调标准》J</w:t>
      </w:r>
      <w:r>
        <w:rPr>
          <w:rFonts w:ascii="Times New Roman" w:hAnsi="Times New Roman"/>
        </w:rPr>
        <w:t>GJ/T 262</w:t>
      </w:r>
      <w:r>
        <w:rPr>
          <w:rFonts w:hint="eastAsia" w:ascii="Times New Roman" w:hAnsi="Times New Roman"/>
        </w:rPr>
        <w:t>和《住宅卫生间模数协调标准》J</w:t>
      </w:r>
      <w:r>
        <w:rPr>
          <w:rFonts w:ascii="Times New Roman" w:hAnsi="Times New Roman"/>
        </w:rPr>
        <w:t>GJ/T 263</w:t>
      </w:r>
      <w:r>
        <w:rPr>
          <w:rFonts w:hint="eastAsia" w:ascii="Times New Roman" w:hAnsi="Times New Roman"/>
        </w:rPr>
        <w:t>的规定。</w:t>
      </w:r>
    </w:p>
    <w:p>
      <w:pPr>
        <w:pStyle w:val="32"/>
        <w:snapToGrid w:val="0"/>
        <w:spacing w:line="360" w:lineRule="auto"/>
        <w:rPr>
          <w:rFonts w:ascii="Times New Roman" w:hAnsi="Times New Roman"/>
        </w:rPr>
      </w:pPr>
      <w:r>
        <w:rPr>
          <w:rFonts w:ascii="Times New Roman" w:hAnsi="Times New Roman"/>
          <w:b/>
          <w:bCs/>
        </w:rPr>
        <w:t>5</w:t>
      </w:r>
      <w:r>
        <w:rPr>
          <w:rFonts w:hint="eastAsia" w:ascii="Times New Roman" w:hAnsi="Times New Roman"/>
          <w:b/>
          <w:bCs/>
        </w:rPr>
        <w:t>.2.</w:t>
      </w:r>
      <w:r>
        <w:rPr>
          <w:rFonts w:ascii="Times New Roman" w:hAnsi="Times New Roman"/>
          <w:b/>
          <w:bCs/>
        </w:rPr>
        <w:t>8</w:t>
      </w:r>
      <w:r>
        <w:rPr>
          <w:rFonts w:hint="eastAsia" w:ascii="Times New Roman" w:hAnsi="Times New Roman"/>
          <w:b/>
          <w:bCs/>
        </w:rPr>
        <w:t xml:space="preserve"> </w:t>
      </w:r>
      <w:r>
        <w:rPr>
          <w:rFonts w:hint="eastAsia" w:ascii="Times New Roman" w:hAnsi="Times New Roman"/>
        </w:rPr>
        <w:t>钢结构住宅建筑设计确定功能空间模块模数时应与结构、机电、内装修等专业相关部品部件的选型相结合。</w:t>
      </w:r>
    </w:p>
    <w:p>
      <w:pPr>
        <w:pStyle w:val="32"/>
        <w:snapToGrid w:val="0"/>
        <w:spacing w:line="360" w:lineRule="auto"/>
        <w:rPr>
          <w:rFonts w:ascii="Times New Roman" w:hAnsi="Times New Roman"/>
        </w:rPr>
      </w:pPr>
      <w:r>
        <w:rPr>
          <w:rFonts w:ascii="Times New Roman" w:hAnsi="Times New Roman"/>
        </w:rPr>
        <w:t xml:space="preserve">1 </w:t>
      </w:r>
      <w:r>
        <w:rPr>
          <w:rFonts w:hint="eastAsia" w:ascii="Times New Roman" w:hAnsi="Times New Roman"/>
        </w:rPr>
        <w:t>主要使用功能（客厅、卧室）模数组成的套型模块模数宜与公共交通核模块模数保持协调统一，提高钢结构体系布置合理性。</w:t>
      </w:r>
    </w:p>
    <w:p>
      <w:pPr>
        <w:pStyle w:val="32"/>
        <w:snapToGrid w:val="0"/>
        <w:spacing w:line="360" w:lineRule="auto"/>
        <w:rPr>
          <w:rFonts w:ascii="Times New Roman" w:hAnsi="Times New Roman"/>
        </w:rPr>
      </w:pPr>
      <w:r>
        <w:rPr>
          <w:rFonts w:ascii="Times New Roman" w:hAnsi="Times New Roman"/>
        </w:rPr>
        <w:t xml:space="preserve">2 </w:t>
      </w:r>
      <w:r>
        <w:rPr>
          <w:rFonts w:hint="eastAsia" w:ascii="Times New Roman" w:hAnsi="Times New Roman"/>
        </w:rPr>
        <w:t>厨卫内部功能模块模数应与市场各产品模数相匹配。</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钢结构住宅平面设计时应考虑不同套型大小（9</w:t>
      </w:r>
      <w:r>
        <w:rPr>
          <w:rFonts w:ascii="宋体" w:hAnsi="宋体" w:cs="黑体"/>
          <w:bCs/>
          <w:color w:val="5B9BD5"/>
        </w:rPr>
        <w:t>0</w:t>
      </w:r>
      <w:r>
        <w:rPr>
          <w:rFonts w:hint="eastAsia" w:ascii="宋体" w:hAnsi="宋体" w:cs="黑体"/>
          <w:bCs/>
          <w:color w:val="5B9BD5"/>
        </w:rPr>
        <w:t>㎡、1</w:t>
      </w:r>
      <w:r>
        <w:rPr>
          <w:rFonts w:ascii="宋体" w:hAnsi="宋体" w:cs="黑体"/>
          <w:bCs/>
          <w:color w:val="5B9BD5"/>
        </w:rPr>
        <w:t>20</w:t>
      </w:r>
      <w:r>
        <w:rPr>
          <w:rFonts w:hint="eastAsia" w:ascii="宋体" w:hAnsi="宋体" w:cs="黑体"/>
          <w:bCs/>
          <w:color w:val="5B9BD5"/>
        </w:rPr>
        <w:t>㎡、1</w:t>
      </w:r>
      <w:r>
        <w:rPr>
          <w:rFonts w:ascii="宋体" w:hAnsi="宋体" w:cs="黑体"/>
          <w:bCs/>
          <w:color w:val="5B9BD5"/>
        </w:rPr>
        <w:t>40</w:t>
      </w:r>
      <w:r>
        <w:rPr>
          <w:rFonts w:hint="eastAsia" w:ascii="宋体" w:hAnsi="宋体" w:cs="黑体"/>
          <w:bCs/>
          <w:color w:val="5B9BD5"/>
        </w:rPr>
        <w:t>㎡）下对应的主要使用功能模块与公共交通交通核模块进行组合时，使其面宽或进深拼合后的模数与公共交通核整体模数保持统一，最大限度的保持钢框架体系的合理性；厨卫模块内部功能单元进行组合时应充分考虑市场中成熟的成品模数，与之保持统一。</w:t>
      </w:r>
    </w:p>
    <w:p>
      <w:pPr>
        <w:pStyle w:val="32"/>
        <w:snapToGrid w:val="0"/>
        <w:spacing w:line="360" w:lineRule="auto"/>
        <w:rPr>
          <w:rFonts w:ascii="Times New Roman" w:hAnsi="Times New Roman"/>
        </w:rPr>
      </w:pPr>
      <w:r>
        <w:rPr>
          <w:rFonts w:ascii="Times New Roman" w:hAnsi="Times New Roman"/>
          <w:b/>
          <w:bCs/>
        </w:rPr>
        <w:t>5</w:t>
      </w:r>
      <w:r>
        <w:rPr>
          <w:rFonts w:hint="eastAsia" w:ascii="Times New Roman" w:hAnsi="Times New Roman"/>
          <w:b/>
          <w:bCs/>
        </w:rPr>
        <w:t>.2.</w:t>
      </w:r>
      <w:r>
        <w:rPr>
          <w:rFonts w:ascii="Times New Roman" w:hAnsi="Times New Roman"/>
          <w:b/>
          <w:bCs/>
        </w:rPr>
        <w:t>9</w:t>
      </w:r>
      <w:r>
        <w:rPr>
          <w:rFonts w:hint="eastAsia" w:ascii="Times New Roman" w:hAnsi="Times New Roman"/>
          <w:b/>
          <w:bCs/>
        </w:rPr>
        <w:t xml:space="preserve"> </w:t>
      </w:r>
      <w:r>
        <w:rPr>
          <w:rFonts w:hint="eastAsia" w:ascii="Times New Roman" w:hAnsi="Times New Roman"/>
        </w:rPr>
        <w:t>住宅功能空间的优先尺寸应符合现行行业标准《工业化住宅尺寸协调标准》JGJ/T 445的规定。</w:t>
      </w:r>
    </w:p>
    <w:p>
      <w:pPr>
        <w:pStyle w:val="32"/>
        <w:snapToGrid w:val="0"/>
        <w:spacing w:line="360" w:lineRule="auto"/>
        <w:rPr>
          <w:rFonts w:ascii="Times New Roman" w:hAnsi="Times New Roman"/>
        </w:rPr>
      </w:pPr>
      <w:r>
        <w:rPr>
          <w:rFonts w:ascii="Times New Roman" w:hAnsi="Times New Roman"/>
          <w:b/>
          <w:bCs/>
        </w:rPr>
        <w:t>5</w:t>
      </w:r>
      <w:r>
        <w:rPr>
          <w:rFonts w:hint="eastAsia" w:ascii="Times New Roman" w:hAnsi="Times New Roman"/>
          <w:b/>
          <w:bCs/>
        </w:rPr>
        <w:t>.2.</w:t>
      </w:r>
      <w:r>
        <w:rPr>
          <w:rFonts w:ascii="Times New Roman" w:hAnsi="Times New Roman"/>
          <w:b/>
          <w:bCs/>
        </w:rPr>
        <w:t>10</w:t>
      </w:r>
      <w:r>
        <w:rPr>
          <w:rFonts w:hint="eastAsia" w:ascii="Times New Roman" w:hAnsi="Times New Roman"/>
        </w:rPr>
        <w:t xml:space="preserve"> 钢结构住宅部品部件尺寸及安装位置的公差协调应根据生产装配要求、主体结构层间变形、密封材料变形能力、材料干缩、温差变形、施工误差等确定。</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钢结构住宅应严格控制钢构件与其它部品部件之间的建筑公差。接缝的宽度应满足主体结构结构层间变形、密封材料变形能力、施工误差、温差引起变形等的要求，防止接缝漏水等质量事故发生。</w:t>
      </w:r>
    </w:p>
    <w:p>
      <w:pPr>
        <w:pStyle w:val="32"/>
        <w:snapToGrid w:val="0"/>
        <w:spacing w:line="360" w:lineRule="auto"/>
        <w:rPr>
          <w:rFonts w:ascii="Times New Roman" w:hAnsi="Times New Roman"/>
        </w:rPr>
      </w:pPr>
      <w:r>
        <w:rPr>
          <w:rFonts w:ascii="Times New Roman" w:hAnsi="Times New Roman"/>
          <w:b/>
          <w:bCs/>
        </w:rPr>
        <w:t>5</w:t>
      </w:r>
      <w:r>
        <w:rPr>
          <w:rFonts w:hint="eastAsia" w:ascii="Times New Roman" w:hAnsi="Times New Roman"/>
          <w:b/>
          <w:bCs/>
        </w:rPr>
        <w:t>.2.</w:t>
      </w:r>
      <w:r>
        <w:rPr>
          <w:rFonts w:ascii="Times New Roman" w:hAnsi="Times New Roman"/>
          <w:b/>
          <w:bCs/>
        </w:rPr>
        <w:t xml:space="preserve">11 </w:t>
      </w:r>
      <w:r>
        <w:rPr>
          <w:rFonts w:hint="eastAsia" w:ascii="Times New Roman" w:hAnsi="Times New Roman"/>
        </w:rPr>
        <w:t xml:space="preserve">钢结构住宅应通过模数协调实现建筑的设计、制造、施工安装等互相协调。 </w:t>
      </w:r>
    </w:p>
    <w:p>
      <w:pPr>
        <w:pStyle w:val="3"/>
        <w:spacing w:line="360" w:lineRule="auto"/>
        <w:jc w:val="center"/>
        <w:rPr>
          <w:rFonts w:ascii="宋体" w:hAnsi="宋体" w:eastAsia="宋体"/>
          <w:color w:val="auto"/>
          <w:sz w:val="28"/>
          <w:szCs w:val="28"/>
        </w:rPr>
      </w:pPr>
      <w:bookmarkStart w:id="20" w:name="_Toc103958746"/>
      <w:r>
        <w:rPr>
          <w:rFonts w:ascii="Times New Roman" w:hAnsi="Times New Roman" w:eastAsia="宋体" w:cs="Times New Roman"/>
          <w:color w:val="auto"/>
          <w:sz w:val="28"/>
          <w:szCs w:val="28"/>
        </w:rPr>
        <w:t>5.3</w:t>
      </w:r>
      <w:r>
        <w:rPr>
          <w:rFonts w:ascii="宋体" w:hAnsi="宋体" w:eastAsia="宋体"/>
          <w:color w:val="auto"/>
          <w:sz w:val="28"/>
          <w:szCs w:val="28"/>
        </w:rPr>
        <w:t xml:space="preserve">  </w:t>
      </w:r>
      <w:r>
        <w:rPr>
          <w:rFonts w:hint="eastAsia" w:ascii="宋体" w:hAnsi="宋体" w:eastAsia="宋体"/>
          <w:color w:val="auto"/>
          <w:sz w:val="28"/>
          <w:szCs w:val="28"/>
        </w:rPr>
        <w:t>标准化设计</w:t>
      </w:r>
      <w:bookmarkEnd w:id="20"/>
    </w:p>
    <w:p>
      <w:pPr>
        <w:pStyle w:val="32"/>
        <w:snapToGrid w:val="0"/>
        <w:spacing w:line="360" w:lineRule="auto"/>
        <w:rPr>
          <w:rFonts w:ascii="Times New Roman" w:hAnsi="Times New Roman"/>
        </w:rPr>
      </w:pPr>
      <w:r>
        <w:rPr>
          <w:rFonts w:ascii="Times New Roman" w:hAnsi="Times New Roman"/>
          <w:b/>
          <w:bCs/>
        </w:rPr>
        <w:t>5</w:t>
      </w:r>
      <w:r>
        <w:rPr>
          <w:rFonts w:hint="eastAsia" w:ascii="Times New Roman" w:hAnsi="Times New Roman"/>
          <w:b/>
          <w:bCs/>
        </w:rPr>
        <w:t>.</w:t>
      </w:r>
      <w:r>
        <w:rPr>
          <w:rFonts w:ascii="Times New Roman" w:hAnsi="Times New Roman"/>
          <w:b/>
          <w:bCs/>
        </w:rPr>
        <w:t>3</w:t>
      </w:r>
      <w:r>
        <w:rPr>
          <w:rFonts w:hint="eastAsia" w:ascii="Times New Roman" w:hAnsi="Times New Roman"/>
          <w:b/>
          <w:bCs/>
        </w:rPr>
        <w:t>.</w:t>
      </w:r>
      <w:r>
        <w:rPr>
          <w:rFonts w:ascii="Times New Roman" w:hAnsi="Times New Roman"/>
          <w:b/>
          <w:bCs/>
        </w:rPr>
        <w:t xml:space="preserve">1 </w:t>
      </w:r>
      <w:r>
        <w:rPr>
          <w:rFonts w:hint="eastAsia" w:ascii="Times New Roman" w:hAnsi="Times New Roman"/>
        </w:rPr>
        <w:t>钢结构住宅应在模数协调的基础上，采用模块化、标准化集成设计，提高模块、部品构件的重复使用率及通用性。</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建筑既要符合建筑设计功能、技术性能（安全、防火、节能、防水、隔声、采光等）的要求，又要重点突出钢结构住宅建筑的标准化；通过采用模块化、标准化的设计方法，实现尺寸模数化、部品部件标准化、设备集成化、装修一体化。钢结构住宅建筑只有通过标准化设计、批量化生产，才能真正进入市场竞争。</w:t>
      </w:r>
    </w:p>
    <w:p>
      <w:pPr>
        <w:pStyle w:val="32"/>
        <w:snapToGrid w:val="0"/>
        <w:spacing w:line="360" w:lineRule="auto"/>
        <w:rPr>
          <w:rFonts w:ascii="Times New Roman" w:hAnsi="Times New Roman"/>
        </w:rPr>
      </w:pPr>
      <w:r>
        <w:rPr>
          <w:rFonts w:ascii="Times New Roman" w:hAnsi="Times New Roman"/>
          <w:b/>
          <w:bCs/>
        </w:rPr>
        <w:t>5.3.2</w:t>
      </w:r>
      <w:r>
        <w:rPr>
          <w:rFonts w:hint="eastAsia" w:ascii="Times New Roman" w:hAnsi="Times New Roman"/>
        </w:rPr>
        <w:t>钢结构住宅应根据使用功能建立不同层级模块，各功能模块应由标准化的部品部件通过标准化的接口组成，并应满足功能性的要求。</w:t>
      </w:r>
    </w:p>
    <w:p>
      <w:pPr>
        <w:pStyle w:val="32"/>
        <w:snapToGrid w:val="0"/>
        <w:spacing w:line="360" w:lineRule="auto"/>
        <w:rPr>
          <w:rFonts w:ascii="Times New Roman" w:hAnsi="Times New Roman"/>
        </w:rPr>
      </w:pPr>
      <w:r>
        <w:rPr>
          <w:rFonts w:hint="eastAsia" w:ascii="Times New Roman" w:hAnsi="Times New Roman"/>
        </w:rPr>
        <w:t>1</w:t>
      </w:r>
      <w:r>
        <w:rPr>
          <w:rFonts w:ascii="Times New Roman" w:hAnsi="Times New Roman"/>
        </w:rPr>
        <w:t xml:space="preserve"> </w:t>
      </w:r>
      <w:r>
        <w:rPr>
          <w:rFonts w:hint="eastAsia" w:ascii="Times New Roman" w:hAnsi="Times New Roman"/>
        </w:rPr>
        <w:t>钢结构住宅套型模块（使用功能模块、厨房模块、卫生间模块）、公共交通核模块（楼电梯模块、公共管井模块）应采用模块及模块组合的设计方法。</w:t>
      </w:r>
    </w:p>
    <w:p>
      <w:pPr>
        <w:pStyle w:val="32"/>
        <w:snapToGrid w:val="0"/>
        <w:spacing w:line="360" w:lineRule="auto"/>
        <w:rPr>
          <w:rFonts w:ascii="Times New Roman" w:hAnsi="Times New Roman"/>
        </w:rPr>
      </w:pPr>
      <w:r>
        <w:rPr>
          <w:rFonts w:hint="eastAsia" w:ascii="Times New Roman" w:hAnsi="Times New Roman"/>
        </w:rPr>
        <w:t>2</w:t>
      </w:r>
      <w:r>
        <w:rPr>
          <w:rFonts w:ascii="Times New Roman" w:hAnsi="Times New Roman"/>
        </w:rPr>
        <w:t xml:space="preserve"> </w:t>
      </w:r>
      <w:r>
        <w:rPr>
          <w:rFonts w:hint="eastAsia" w:ascii="Times New Roman" w:hAnsi="Times New Roman"/>
        </w:rPr>
        <w:t>钢结构住宅宜做到套型模块在同一地域，不同建筑高度区间通用化。</w:t>
      </w:r>
    </w:p>
    <w:p>
      <w:pPr>
        <w:pStyle w:val="32"/>
        <w:snapToGrid w:val="0"/>
        <w:spacing w:line="360" w:lineRule="auto"/>
        <w:rPr>
          <w:rFonts w:ascii="Times New Roman" w:hAnsi="Times New Roman"/>
        </w:rPr>
      </w:pPr>
      <w:r>
        <w:rPr>
          <w:rFonts w:hint="eastAsia" w:ascii="Times New Roman" w:hAnsi="Times New Roman"/>
        </w:rPr>
        <w:t>3</w:t>
      </w:r>
      <w:r>
        <w:rPr>
          <w:rFonts w:ascii="Times New Roman" w:hAnsi="Times New Roman"/>
        </w:rPr>
        <w:t xml:space="preserve"> </w:t>
      </w:r>
      <w:r>
        <w:rPr>
          <w:rFonts w:hint="eastAsia" w:ascii="Times New Roman" w:hAnsi="Times New Roman"/>
        </w:rPr>
        <w:t>公共交通核模块平面应规整，宜做到在同一建筑高度区间，不同地域之间通用化，以及在不同标准单元平面中模块化。</w:t>
      </w:r>
    </w:p>
    <w:p>
      <w:pPr>
        <w:pStyle w:val="32"/>
        <w:snapToGrid w:val="0"/>
        <w:spacing w:line="360" w:lineRule="auto"/>
        <w:rPr>
          <w:rFonts w:ascii="Times New Roman" w:hAnsi="Times New Roman"/>
        </w:rPr>
      </w:pPr>
      <w:r>
        <w:rPr>
          <w:rFonts w:hint="eastAsia" w:ascii="Times New Roman" w:hAnsi="Times New Roman"/>
        </w:rPr>
        <w:t>4</w:t>
      </w:r>
      <w:r>
        <w:rPr>
          <w:rFonts w:ascii="Times New Roman" w:hAnsi="Times New Roman"/>
        </w:rPr>
        <w:t xml:space="preserve"> </w:t>
      </w:r>
      <w:r>
        <w:rPr>
          <w:rFonts w:hint="eastAsia" w:ascii="Times New Roman" w:hAnsi="Times New Roman"/>
        </w:rPr>
        <w:t>厨卫模块应标准化，宜在不同套型模块中通用化。</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平面设计应尽量标准化、模块化；标准单元平面拆分为套型模块和公共交通核模块；各大模块进行进一步拆分，分别得到主要使用功能（卧室、起居室）和厨卫模块，楼电梯、公共管井模块，各模块之间采用组合的方式设计。</w:t>
      </w:r>
    </w:p>
    <w:p>
      <w:pPr>
        <w:spacing w:line="360" w:lineRule="auto"/>
        <w:rPr>
          <w:rFonts w:ascii="宋体" w:hAnsi="宋体" w:cs="黑体"/>
          <w:bCs/>
          <w:color w:val="5B9BD5"/>
        </w:rPr>
      </w:pPr>
      <w:r>
        <w:rPr>
          <w:rFonts w:hint="eastAsia" w:ascii="宋体" w:hAnsi="宋体" w:cs="黑体"/>
          <w:bCs/>
          <w:color w:val="5B9BD5"/>
        </w:rPr>
        <w:t>考虑标准单元平面的地域性（北方注重日照保温，南方注重通风），套型模块在组合过程中宜做到在同一地域不同建筑高度区间通用化。</w:t>
      </w:r>
    </w:p>
    <w:p>
      <w:pPr>
        <w:spacing w:line="360" w:lineRule="auto"/>
        <w:rPr>
          <w:rFonts w:ascii="宋体" w:hAnsi="宋体" w:cs="黑体"/>
          <w:bCs/>
          <w:color w:val="5B9BD5"/>
        </w:rPr>
      </w:pPr>
      <w:r>
        <w:rPr>
          <w:rFonts w:hint="eastAsia" w:ascii="宋体" w:hAnsi="宋体" w:cs="黑体"/>
          <w:bCs/>
          <w:color w:val="5B9BD5"/>
        </w:rPr>
        <w:t>考虑住宅疏散要求，公共交通核模块宜做到在同一建筑高度区间，不同地域之间通用化。</w:t>
      </w:r>
    </w:p>
    <w:p>
      <w:pPr>
        <w:pStyle w:val="32"/>
        <w:snapToGrid w:val="0"/>
        <w:spacing w:line="360" w:lineRule="auto"/>
        <w:rPr>
          <w:rFonts w:ascii="Times New Roman" w:hAnsi="Times New Roman"/>
        </w:rPr>
      </w:pPr>
      <w:r>
        <w:rPr>
          <w:rFonts w:ascii="Times New Roman" w:hAnsi="Times New Roman"/>
          <w:b/>
          <w:bCs/>
        </w:rPr>
        <w:t xml:space="preserve">5.3.3 </w:t>
      </w:r>
      <w:r>
        <w:rPr>
          <w:rFonts w:hint="eastAsia" w:ascii="Times New Roman" w:hAnsi="Times New Roman"/>
        </w:rPr>
        <w:t>钢结构住宅的构件、部品宜按造型样式、规格尺寸和使用功能归并整合，并建立标准化构件、部品库。</w:t>
      </w:r>
    </w:p>
    <w:p>
      <w:pPr>
        <w:pStyle w:val="32"/>
        <w:snapToGrid w:val="0"/>
        <w:spacing w:line="360" w:lineRule="auto"/>
        <w:rPr>
          <w:rFonts w:ascii="Times New Roman" w:hAnsi="Times New Roman"/>
        </w:rPr>
      </w:pPr>
      <w:r>
        <w:rPr>
          <w:rFonts w:ascii="Times New Roman" w:hAnsi="Times New Roman"/>
          <w:b/>
          <w:bCs/>
        </w:rPr>
        <w:t xml:space="preserve">5.3.4 </w:t>
      </w:r>
      <w:r>
        <w:rPr>
          <w:rFonts w:hint="eastAsia" w:ascii="Times New Roman" w:hAnsi="Times New Roman"/>
        </w:rPr>
        <w:t>钢结构住宅设计宜在标准化构件、部品库内进行选择与组合，构件、部品之间应采用标准化接口。</w:t>
      </w:r>
    </w:p>
    <w:p>
      <w:pPr>
        <w:pStyle w:val="32"/>
        <w:snapToGrid w:val="0"/>
        <w:spacing w:line="360" w:lineRule="auto"/>
        <w:rPr>
          <w:rFonts w:ascii="Times New Roman" w:hAnsi="Times New Roman"/>
        </w:rPr>
      </w:pPr>
      <w:r>
        <w:rPr>
          <w:rFonts w:hint="eastAsia" w:cs="黑体"/>
          <w:b/>
          <w:sz w:val="21"/>
          <w:szCs w:val="21"/>
        </w:rPr>
        <w:t>【条文说明】</w:t>
      </w:r>
      <w:r>
        <w:rPr>
          <w:rFonts w:hint="eastAsia" w:cs="黑体"/>
          <w:bCs/>
          <w:sz w:val="21"/>
          <w:szCs w:val="21"/>
        </w:rPr>
        <w:t>：</w:t>
      </w:r>
      <w:r>
        <w:rPr>
          <w:rFonts w:hint="eastAsia" w:cs="黑体"/>
          <w:bCs/>
          <w:color w:val="5B9BD5"/>
          <w:sz w:val="21"/>
          <w:szCs w:val="21"/>
        </w:rPr>
        <w:t>5.3.3~5.3.4条中标准化设计的对象不应该是针对单一项目，而应该是针对建筑类型。就钢结构住宅建筑的特点来说，应该从科学的角度出发，以客观的视角进行标准化设计，最终实现同一种建筑类型同一标准化原则，建立标准化构件库。更新的钢结构住宅建筑设计生产方式应当是设计过程通过科学的逻辑关系与接口设计，在标准化构件库内进行选择与拼装，即最终达到的目的是“选”与“拼”，而不是在设计过程中进行再创造。标准化的钢结构住宅建筑生产方式，应实现设计与构件生产两个环节的相互分离。</w:t>
      </w:r>
    </w:p>
    <w:p>
      <w:pPr>
        <w:pStyle w:val="3"/>
        <w:spacing w:line="360" w:lineRule="auto"/>
        <w:jc w:val="center"/>
        <w:rPr>
          <w:rFonts w:ascii="宋体" w:hAnsi="宋体" w:eastAsia="宋体"/>
          <w:color w:val="auto"/>
          <w:sz w:val="28"/>
          <w:szCs w:val="28"/>
        </w:rPr>
      </w:pPr>
      <w:bookmarkStart w:id="21" w:name="_Toc103958747"/>
      <w:r>
        <w:rPr>
          <w:rFonts w:ascii="Times New Roman" w:hAnsi="Times New Roman" w:eastAsia="宋体" w:cs="Times New Roman"/>
          <w:color w:val="auto"/>
          <w:sz w:val="28"/>
          <w:szCs w:val="28"/>
        </w:rPr>
        <w:t>5.4</w:t>
      </w:r>
      <w:r>
        <w:rPr>
          <w:rFonts w:ascii="宋体" w:hAnsi="宋体" w:eastAsia="宋体"/>
          <w:color w:val="auto"/>
          <w:sz w:val="28"/>
          <w:szCs w:val="28"/>
        </w:rPr>
        <w:t xml:space="preserve">  </w:t>
      </w:r>
      <w:r>
        <w:rPr>
          <w:rFonts w:hint="eastAsia" w:ascii="宋体" w:hAnsi="宋体" w:eastAsia="宋体"/>
          <w:color w:val="auto"/>
          <w:sz w:val="28"/>
          <w:szCs w:val="28"/>
        </w:rPr>
        <w:t>平立面设计</w:t>
      </w:r>
      <w:bookmarkEnd w:id="21"/>
    </w:p>
    <w:p>
      <w:pPr>
        <w:pStyle w:val="32"/>
        <w:snapToGrid w:val="0"/>
        <w:spacing w:line="360" w:lineRule="auto"/>
        <w:rPr>
          <w:rFonts w:ascii="Times New Roman" w:hAnsi="Times New Roman"/>
          <w:b/>
          <w:bCs/>
          <w:kern w:val="0"/>
        </w:rPr>
      </w:pPr>
      <w:r>
        <w:rPr>
          <w:rFonts w:ascii="Times New Roman" w:hAnsi="Times New Roman"/>
          <w:b/>
          <w:bCs/>
          <w:kern w:val="0"/>
        </w:rPr>
        <w:t>5</w:t>
      </w:r>
      <w:r>
        <w:rPr>
          <w:rFonts w:hint="eastAsia" w:ascii="Times New Roman" w:hAnsi="Times New Roman"/>
          <w:b/>
          <w:bCs/>
          <w:kern w:val="0"/>
        </w:rPr>
        <w:t>.</w:t>
      </w:r>
      <w:r>
        <w:rPr>
          <w:rFonts w:ascii="Times New Roman" w:hAnsi="Times New Roman"/>
          <w:b/>
          <w:bCs/>
          <w:kern w:val="0"/>
        </w:rPr>
        <w:t>4</w:t>
      </w:r>
      <w:r>
        <w:rPr>
          <w:rFonts w:hint="eastAsia" w:ascii="Times New Roman" w:hAnsi="Times New Roman"/>
          <w:b/>
          <w:bCs/>
          <w:kern w:val="0"/>
        </w:rPr>
        <w:t>.1</w:t>
      </w:r>
      <w:r>
        <w:rPr>
          <w:rFonts w:hint="eastAsia"/>
          <w:b/>
          <w:bCs/>
        </w:rPr>
        <w:t xml:space="preserve"> </w:t>
      </w:r>
      <w:r>
        <w:rPr>
          <w:rFonts w:hint="eastAsia" w:ascii="Times New Roman" w:hAnsi="Times New Roman"/>
        </w:rPr>
        <w:t>钢结构住宅建筑平面设计应与结构体系相协调，并应符合下列要求：</w:t>
      </w:r>
    </w:p>
    <w:p>
      <w:pPr>
        <w:pStyle w:val="32"/>
        <w:snapToGrid w:val="0"/>
        <w:spacing w:line="360" w:lineRule="auto"/>
        <w:rPr>
          <w:rFonts w:ascii="Times New Roman" w:hAnsi="Times New Roman"/>
        </w:rPr>
      </w:pPr>
      <w:r>
        <w:rPr>
          <w:rFonts w:hint="eastAsia" w:ascii="Times New Roman" w:hAnsi="Times New Roman"/>
        </w:rPr>
        <w:t>1平面几何形状宜规则，其凹凸变化及长宽比例应满足结构对质量刚度均匀的要求，平面刚度中心与质心宜接近或重合。</w:t>
      </w:r>
    </w:p>
    <w:p>
      <w:pPr>
        <w:pStyle w:val="32"/>
        <w:snapToGrid w:val="0"/>
        <w:spacing w:line="360" w:lineRule="auto"/>
        <w:rPr>
          <w:rFonts w:ascii="Times New Roman" w:hAnsi="Times New Roman"/>
        </w:rPr>
      </w:pPr>
      <w:r>
        <w:rPr>
          <w:rFonts w:hint="eastAsia" w:ascii="Times New Roman" w:hAnsi="Times New Roman"/>
        </w:rPr>
        <w:t>2</w:t>
      </w:r>
      <w:r>
        <w:rPr>
          <w:rFonts w:ascii="Times New Roman" w:hAnsi="Times New Roman"/>
        </w:rPr>
        <w:t xml:space="preserve"> </w:t>
      </w:r>
      <w:r>
        <w:rPr>
          <w:rFonts w:hint="eastAsia" w:ascii="Times New Roman" w:hAnsi="Times New Roman"/>
        </w:rPr>
        <w:t>空间布局应有利于结构抗侧力体系的设置及优化。</w:t>
      </w:r>
    </w:p>
    <w:p>
      <w:pPr>
        <w:pStyle w:val="32"/>
        <w:snapToGrid w:val="0"/>
        <w:spacing w:line="360" w:lineRule="auto"/>
        <w:rPr>
          <w:rFonts w:ascii="Times New Roman" w:hAnsi="Times New Roman"/>
        </w:rPr>
      </w:pPr>
      <w:r>
        <w:rPr>
          <w:rFonts w:hint="eastAsia" w:ascii="Times New Roman" w:hAnsi="Times New Roman"/>
        </w:rPr>
        <w:t>3</w:t>
      </w:r>
      <w:r>
        <w:rPr>
          <w:rFonts w:ascii="Times New Roman" w:hAnsi="Times New Roman"/>
        </w:rPr>
        <w:t xml:space="preserve"> </w:t>
      </w:r>
      <w:r>
        <w:rPr>
          <w:rFonts w:hint="eastAsia" w:ascii="Times New Roman" w:hAnsi="Times New Roman"/>
        </w:rPr>
        <w:t>平面应控制体形系数，平立面不应出现过多凹凸，且应符合项目所在地居住建筑节能设计标准相关规定。</w:t>
      </w:r>
    </w:p>
    <w:p>
      <w:pPr>
        <w:pStyle w:val="32"/>
        <w:snapToGrid w:val="0"/>
        <w:spacing w:line="360" w:lineRule="auto"/>
        <w:rPr>
          <w:rFonts w:cs="黑体"/>
          <w:bCs/>
          <w:color w:val="5B9BD5"/>
          <w:sz w:val="21"/>
          <w:szCs w:val="21"/>
        </w:rPr>
      </w:pPr>
      <w:r>
        <w:rPr>
          <w:rFonts w:hint="eastAsia" w:cs="黑体"/>
          <w:b/>
          <w:sz w:val="21"/>
          <w:szCs w:val="21"/>
        </w:rPr>
        <w:t>【条文说明】：</w:t>
      </w:r>
      <w:r>
        <w:rPr>
          <w:rFonts w:hint="eastAsia" w:cs="黑体"/>
          <w:bCs/>
          <w:color w:val="5B9BD5"/>
          <w:sz w:val="21"/>
          <w:szCs w:val="21"/>
        </w:rPr>
        <w:t>钢结构住宅建筑平面布置以钢框架结构为基础，以框架柱为设计要素，宜避免出现单跨柱网，且不宜有过多的凸凹。上、下开间宜适当对齐，方便结构布置贯通进深的抗侧力构件，形成合理的结构体系。同时，规则的建筑平面体形系数较小，符合国家工程建设节能减排，绿色环保的发展策略。</w:t>
      </w:r>
    </w:p>
    <w:p>
      <w:pPr>
        <w:pStyle w:val="32"/>
        <w:snapToGrid w:val="0"/>
        <w:spacing w:line="360" w:lineRule="auto"/>
        <w:rPr>
          <w:rFonts w:ascii="Times New Roman" w:hAnsi="Times New Roman"/>
        </w:rPr>
      </w:pPr>
      <w:r>
        <w:rPr>
          <w:rFonts w:ascii="Times New Roman" w:hAnsi="Times New Roman"/>
          <w:b/>
          <w:bCs/>
          <w:kern w:val="0"/>
        </w:rPr>
        <w:t xml:space="preserve">5.4.2 </w:t>
      </w:r>
      <w:r>
        <w:rPr>
          <w:rFonts w:hint="eastAsia" w:ascii="Times New Roman" w:hAnsi="Times New Roman"/>
        </w:rPr>
        <w:t>钢结构住宅套型平面设计应符合下列规定：</w:t>
      </w:r>
    </w:p>
    <w:p>
      <w:pPr>
        <w:pStyle w:val="32"/>
        <w:snapToGrid w:val="0"/>
        <w:spacing w:line="360" w:lineRule="auto"/>
        <w:rPr>
          <w:rFonts w:ascii="Times New Roman" w:hAnsi="Times New Roman"/>
        </w:rPr>
      </w:pPr>
      <w:r>
        <w:rPr>
          <w:rFonts w:hint="eastAsia" w:ascii="Times New Roman" w:hAnsi="Times New Roman"/>
        </w:rPr>
        <w:t>1</w:t>
      </w:r>
      <w:r>
        <w:rPr>
          <w:rFonts w:ascii="Times New Roman" w:hAnsi="Times New Roman"/>
        </w:rPr>
        <w:t xml:space="preserve"> </w:t>
      </w:r>
      <w:r>
        <w:rPr>
          <w:rFonts w:hint="eastAsia" w:ascii="Times New Roman" w:hAnsi="Times New Roman"/>
        </w:rPr>
        <w:t>平面设计应标准化，并根据使用功能需求形成系列化套型。</w:t>
      </w:r>
    </w:p>
    <w:p>
      <w:pPr>
        <w:pStyle w:val="32"/>
        <w:snapToGrid w:val="0"/>
        <w:spacing w:line="360" w:lineRule="auto"/>
        <w:rPr>
          <w:rFonts w:ascii="Times New Roman" w:hAnsi="Times New Roman"/>
        </w:rPr>
      </w:pPr>
      <w:r>
        <w:rPr>
          <w:rFonts w:hint="eastAsia" w:ascii="Times New Roman" w:hAnsi="Times New Roman"/>
        </w:rPr>
        <w:t>2</w:t>
      </w:r>
      <w:r>
        <w:rPr>
          <w:rFonts w:ascii="Times New Roman" w:hAnsi="Times New Roman"/>
        </w:rPr>
        <w:t xml:space="preserve"> </w:t>
      </w:r>
      <w:r>
        <w:rPr>
          <w:rFonts w:hint="eastAsia" w:ascii="Times New Roman" w:hAnsi="Times New Roman"/>
        </w:rPr>
        <w:t>平面宜采用大开间平面布置，并应符合结构布置特点，楼电梯及设备管井等区域宜独立集中布置，满足内部空间灵活性、可变性要求。</w:t>
      </w:r>
    </w:p>
    <w:p>
      <w:pPr>
        <w:pStyle w:val="32"/>
        <w:snapToGrid w:val="0"/>
        <w:spacing w:line="360" w:lineRule="auto"/>
        <w:rPr>
          <w:rFonts w:ascii="Times New Roman" w:hAnsi="Times New Roman"/>
        </w:rPr>
      </w:pPr>
      <w:r>
        <w:rPr>
          <w:rFonts w:hint="eastAsia" w:ascii="Times New Roman" w:hAnsi="Times New Roman"/>
        </w:rPr>
        <w:t>3</w:t>
      </w:r>
      <w:r>
        <w:rPr>
          <w:rFonts w:ascii="Times New Roman" w:hAnsi="Times New Roman"/>
        </w:rPr>
        <w:t xml:space="preserve"> </w:t>
      </w:r>
      <w:r>
        <w:rPr>
          <w:rFonts w:hint="eastAsia" w:ascii="Times New Roman" w:hAnsi="Times New Roman"/>
        </w:rPr>
        <w:t>平面应规则平整，宜以连续柱跨为基础布置，开间与进深宜模数化，与结构构件相协调。</w:t>
      </w:r>
    </w:p>
    <w:p>
      <w:pPr>
        <w:pStyle w:val="32"/>
        <w:snapToGrid w:val="0"/>
        <w:spacing w:line="360" w:lineRule="auto"/>
        <w:rPr>
          <w:rFonts w:ascii="Times New Roman" w:hAnsi="Times New Roman"/>
        </w:rPr>
      </w:pPr>
      <w:r>
        <w:rPr>
          <w:rFonts w:hint="eastAsia" w:cs="黑体"/>
          <w:b/>
          <w:sz w:val="21"/>
          <w:szCs w:val="21"/>
        </w:rPr>
        <w:t>【条文说明】：</w:t>
      </w:r>
      <w:r>
        <w:rPr>
          <w:rFonts w:hint="eastAsia" w:cs="黑体"/>
          <w:bCs/>
          <w:color w:val="5B9BD5"/>
          <w:sz w:val="21"/>
          <w:szCs w:val="21"/>
        </w:rPr>
        <w:t>钢结构住宅套型设计应重视平面、立面和剖面的规则性，宜优先选用规则的形体，同时便于工厂化、集约化生产加工，提高工程质量，并降低工程造价。</w:t>
      </w:r>
    </w:p>
    <w:p>
      <w:pPr>
        <w:spacing w:line="360" w:lineRule="auto"/>
        <w:rPr>
          <w:color w:val="auto"/>
          <w:kern w:val="2"/>
          <w:sz w:val="24"/>
          <w:szCs w:val="24"/>
        </w:rPr>
      </w:pPr>
      <w:r>
        <w:rPr>
          <w:b/>
          <w:bCs/>
          <w:color w:val="auto"/>
          <w:kern w:val="2"/>
          <w:sz w:val="24"/>
          <w:szCs w:val="24"/>
        </w:rPr>
        <w:t>5</w:t>
      </w:r>
      <w:r>
        <w:rPr>
          <w:rFonts w:hint="eastAsia"/>
          <w:b/>
          <w:bCs/>
          <w:color w:val="auto"/>
          <w:kern w:val="2"/>
          <w:sz w:val="24"/>
          <w:szCs w:val="24"/>
        </w:rPr>
        <w:t>.</w:t>
      </w:r>
      <w:r>
        <w:rPr>
          <w:b/>
          <w:bCs/>
          <w:color w:val="auto"/>
          <w:kern w:val="2"/>
          <w:sz w:val="24"/>
          <w:szCs w:val="24"/>
        </w:rPr>
        <w:t>4</w:t>
      </w:r>
      <w:r>
        <w:rPr>
          <w:rFonts w:hint="eastAsia"/>
          <w:b/>
          <w:bCs/>
          <w:color w:val="auto"/>
          <w:kern w:val="2"/>
          <w:sz w:val="24"/>
          <w:szCs w:val="24"/>
        </w:rPr>
        <w:t>.</w:t>
      </w:r>
      <w:r>
        <w:rPr>
          <w:b/>
          <w:bCs/>
          <w:color w:val="auto"/>
          <w:kern w:val="2"/>
          <w:sz w:val="24"/>
          <w:szCs w:val="24"/>
        </w:rPr>
        <w:t>3</w:t>
      </w:r>
      <w:r>
        <w:rPr>
          <w:color w:val="auto"/>
          <w:kern w:val="2"/>
          <w:sz w:val="24"/>
          <w:szCs w:val="24"/>
        </w:rPr>
        <w:t xml:space="preserve"> </w:t>
      </w:r>
      <w:r>
        <w:rPr>
          <w:rFonts w:hint="eastAsia"/>
          <w:color w:val="auto"/>
          <w:kern w:val="2"/>
          <w:sz w:val="24"/>
          <w:szCs w:val="24"/>
        </w:rPr>
        <w:t>套型设计中厨房和卫生间的位置应结合功能要求和管线布置，合理确定。宜采用集成式或整体厨房、集成式或整体卫浴基本模块。</w:t>
      </w:r>
    </w:p>
    <w:p>
      <w:pPr>
        <w:spacing w:line="360" w:lineRule="auto"/>
        <w:rPr>
          <w:rFonts w:cs="黑体"/>
          <w:bCs/>
          <w:color w:val="5B9BD5"/>
        </w:rPr>
      </w:pPr>
      <w:r>
        <w:rPr>
          <w:rFonts w:hint="eastAsia" w:ascii="宋体" w:hAnsi="宋体" w:cs="黑体"/>
          <w:b/>
          <w:color w:val="auto"/>
          <w:kern w:val="2"/>
        </w:rPr>
        <w:t>【条文说明】：</w:t>
      </w:r>
      <w:r>
        <w:rPr>
          <w:rFonts w:hint="eastAsia" w:cs="黑体"/>
          <w:bCs/>
          <w:color w:val="5B9BD5"/>
        </w:rPr>
        <w:t>钢结构住宅厨房和卫生间是住宅建筑的核心功能空间，其功能主要是通过其功能部品和设备设施实现的。一方面，其空间不大但设施复杂，需要用标准化、集成化的手段来实现；另一方面，其功能部品的工业化程度高，适宜标准化、集成化。因此在套型设计中要重点考虑厨房和卫生间的标准化，宜将用水空间集中布置，结合功能管线要求合理确定整体厨房和整体卫生间的位置。</w:t>
      </w:r>
    </w:p>
    <w:p>
      <w:pPr>
        <w:spacing w:line="360" w:lineRule="auto"/>
        <w:rPr>
          <w:rFonts w:cs="黑体"/>
          <w:bCs/>
          <w:color w:val="5B9BD5"/>
        </w:rPr>
      </w:pPr>
      <w:r>
        <w:rPr>
          <w:rFonts w:hint="eastAsia" w:cs="黑体"/>
          <w:bCs/>
          <w:color w:val="5B9BD5"/>
        </w:rPr>
        <w:t>就目前生产建造水平而言，实施模块化住宅是一个渐进的过程，对于成熟的、重要的以及影响面较大的部位可先期运行，如建筑部品中的集成厨房、集成卫生间。采用整体厨房、卫生间符合绿色建筑的要求，符合建筑工业化发展的要求。</w:t>
      </w:r>
    </w:p>
    <w:p>
      <w:pPr>
        <w:spacing w:line="360" w:lineRule="auto"/>
        <w:rPr>
          <w:color w:val="auto"/>
          <w:kern w:val="2"/>
          <w:sz w:val="24"/>
          <w:szCs w:val="24"/>
        </w:rPr>
      </w:pPr>
      <w:r>
        <w:rPr>
          <w:b/>
          <w:bCs/>
          <w:color w:val="auto"/>
          <w:kern w:val="2"/>
          <w:sz w:val="24"/>
          <w:szCs w:val="24"/>
        </w:rPr>
        <w:t>5</w:t>
      </w:r>
      <w:r>
        <w:rPr>
          <w:rFonts w:hint="eastAsia"/>
          <w:b/>
          <w:bCs/>
          <w:color w:val="auto"/>
          <w:kern w:val="2"/>
          <w:sz w:val="24"/>
          <w:szCs w:val="24"/>
        </w:rPr>
        <w:t>.</w:t>
      </w:r>
      <w:r>
        <w:rPr>
          <w:b/>
          <w:bCs/>
          <w:color w:val="auto"/>
          <w:kern w:val="2"/>
          <w:sz w:val="24"/>
          <w:szCs w:val="24"/>
        </w:rPr>
        <w:t>4</w:t>
      </w:r>
      <w:r>
        <w:rPr>
          <w:rFonts w:hint="eastAsia"/>
          <w:b/>
          <w:bCs/>
          <w:color w:val="auto"/>
          <w:kern w:val="2"/>
          <w:sz w:val="24"/>
          <w:szCs w:val="24"/>
        </w:rPr>
        <w:t>.</w:t>
      </w:r>
      <w:r>
        <w:rPr>
          <w:b/>
          <w:bCs/>
          <w:color w:val="auto"/>
          <w:kern w:val="2"/>
          <w:sz w:val="24"/>
          <w:szCs w:val="24"/>
        </w:rPr>
        <w:t>4</w:t>
      </w:r>
      <w:r>
        <w:rPr>
          <w:color w:val="auto"/>
          <w:kern w:val="2"/>
          <w:sz w:val="24"/>
          <w:szCs w:val="24"/>
        </w:rPr>
        <w:t xml:space="preserve"> </w:t>
      </w:r>
      <w:r>
        <w:rPr>
          <w:rFonts w:hint="eastAsia"/>
          <w:color w:val="auto"/>
          <w:kern w:val="2"/>
          <w:sz w:val="24"/>
          <w:szCs w:val="24"/>
        </w:rPr>
        <w:t>钢结构住宅建筑设备的竖向管线布置应紧凑，宜集中设置，并宜设置专用管道井。水平管线的布置应减少相互交叉和干扰。</w:t>
      </w:r>
    </w:p>
    <w:p>
      <w:pPr>
        <w:spacing w:line="360" w:lineRule="auto"/>
        <w:rPr>
          <w:color w:val="auto"/>
          <w:kern w:val="2"/>
          <w:sz w:val="24"/>
          <w:szCs w:val="24"/>
        </w:rPr>
      </w:pPr>
      <w:r>
        <w:rPr>
          <w:b/>
          <w:bCs/>
          <w:color w:val="auto"/>
          <w:kern w:val="2"/>
          <w:sz w:val="24"/>
          <w:szCs w:val="24"/>
        </w:rPr>
        <w:t xml:space="preserve">5.4.5 </w:t>
      </w:r>
      <w:r>
        <w:rPr>
          <w:rFonts w:hint="eastAsia"/>
          <w:color w:val="auto"/>
          <w:kern w:val="2"/>
          <w:sz w:val="24"/>
          <w:szCs w:val="24"/>
        </w:rPr>
        <w:t>钢结构住宅应按每1</w:t>
      </w:r>
      <w:r>
        <w:rPr>
          <w:color w:val="auto"/>
          <w:kern w:val="2"/>
          <w:sz w:val="24"/>
          <w:szCs w:val="24"/>
        </w:rPr>
        <w:t>00</w:t>
      </w:r>
      <w:r>
        <w:rPr>
          <w:rFonts w:hint="eastAsia"/>
          <w:color w:val="auto"/>
          <w:kern w:val="2"/>
          <w:sz w:val="24"/>
          <w:szCs w:val="24"/>
        </w:rPr>
        <w:t>套住房设置不少于2套无障碍住房，宜设置在底层。</w:t>
      </w:r>
    </w:p>
    <w:p>
      <w:pPr>
        <w:spacing w:line="360" w:lineRule="auto"/>
        <w:rPr>
          <w:b/>
          <w:bCs/>
          <w:color w:val="auto"/>
          <w:kern w:val="2"/>
          <w:sz w:val="24"/>
          <w:szCs w:val="24"/>
        </w:rPr>
      </w:pPr>
      <w:r>
        <w:rPr>
          <w:rFonts w:hint="eastAsia" w:ascii="宋体" w:hAnsi="宋体" w:cs="黑体"/>
          <w:b/>
          <w:color w:val="auto"/>
          <w:kern w:val="2"/>
        </w:rPr>
        <w:t>【条文说明】：</w:t>
      </w:r>
      <w:r>
        <w:rPr>
          <w:rFonts w:hint="eastAsia" w:cs="黑体"/>
          <w:bCs/>
          <w:color w:val="5B9BD5"/>
        </w:rPr>
        <w:t>现行国家标准《无障碍设计规范》GB 50763已明确规定了居住建筑相应的无障碍设计要求。</w:t>
      </w:r>
    </w:p>
    <w:p>
      <w:pPr>
        <w:spacing w:line="360" w:lineRule="auto"/>
        <w:rPr>
          <w:color w:val="auto"/>
          <w:kern w:val="2"/>
          <w:sz w:val="24"/>
          <w:szCs w:val="24"/>
        </w:rPr>
      </w:pPr>
      <w:r>
        <w:rPr>
          <w:b/>
          <w:bCs/>
          <w:color w:val="auto"/>
          <w:kern w:val="2"/>
          <w:sz w:val="24"/>
          <w:szCs w:val="24"/>
        </w:rPr>
        <w:t>5</w:t>
      </w:r>
      <w:r>
        <w:rPr>
          <w:rFonts w:hint="eastAsia"/>
          <w:b/>
          <w:bCs/>
          <w:color w:val="auto"/>
          <w:kern w:val="2"/>
          <w:sz w:val="24"/>
          <w:szCs w:val="24"/>
        </w:rPr>
        <w:t>.</w:t>
      </w:r>
      <w:r>
        <w:rPr>
          <w:b/>
          <w:bCs/>
          <w:color w:val="auto"/>
          <w:kern w:val="2"/>
          <w:sz w:val="24"/>
          <w:szCs w:val="24"/>
        </w:rPr>
        <w:t>4</w:t>
      </w:r>
      <w:r>
        <w:rPr>
          <w:rFonts w:hint="eastAsia"/>
          <w:b/>
          <w:bCs/>
          <w:color w:val="auto"/>
          <w:kern w:val="2"/>
          <w:sz w:val="24"/>
          <w:szCs w:val="24"/>
        </w:rPr>
        <w:t>.</w:t>
      </w:r>
      <w:r>
        <w:rPr>
          <w:b/>
          <w:bCs/>
          <w:color w:val="auto"/>
          <w:kern w:val="2"/>
          <w:sz w:val="24"/>
          <w:szCs w:val="24"/>
        </w:rPr>
        <w:t>6</w:t>
      </w:r>
      <w:r>
        <w:rPr>
          <w:color w:val="auto"/>
          <w:kern w:val="2"/>
          <w:sz w:val="24"/>
          <w:szCs w:val="24"/>
        </w:rPr>
        <w:t xml:space="preserve"> </w:t>
      </w:r>
      <w:r>
        <w:rPr>
          <w:rFonts w:hint="eastAsia"/>
          <w:color w:val="auto"/>
          <w:kern w:val="2"/>
          <w:sz w:val="24"/>
          <w:szCs w:val="24"/>
        </w:rPr>
        <w:t>住宅套内和公共部分的净高应符合国家现行标准《住宅建筑规范》GB50368、《住宅设计规范》GB50096的相关规定，根据功能、结构、设备管线及装修等要求，层高应不小于3m。</w:t>
      </w:r>
    </w:p>
    <w:p>
      <w:pPr>
        <w:pStyle w:val="32"/>
        <w:snapToGrid w:val="0"/>
        <w:spacing w:line="360" w:lineRule="auto"/>
        <w:rPr>
          <w:rFonts w:ascii="Times New Roman" w:hAnsi="Times New Roman"/>
        </w:rPr>
      </w:pPr>
      <w:r>
        <w:rPr>
          <w:rFonts w:ascii="Times New Roman" w:hAnsi="Times New Roman"/>
          <w:b/>
          <w:bCs/>
        </w:rPr>
        <w:t>5</w:t>
      </w:r>
      <w:r>
        <w:rPr>
          <w:rFonts w:hint="eastAsia" w:ascii="Times New Roman" w:hAnsi="Times New Roman"/>
          <w:b/>
          <w:bCs/>
        </w:rPr>
        <w:t>.</w:t>
      </w:r>
      <w:r>
        <w:rPr>
          <w:rFonts w:ascii="Times New Roman" w:hAnsi="Times New Roman"/>
          <w:b/>
          <w:bCs/>
        </w:rPr>
        <w:t>4</w:t>
      </w:r>
      <w:r>
        <w:rPr>
          <w:rFonts w:hint="eastAsia" w:ascii="Times New Roman" w:hAnsi="Times New Roman"/>
          <w:b/>
          <w:bCs/>
        </w:rPr>
        <w:t>.</w:t>
      </w:r>
      <w:r>
        <w:rPr>
          <w:rFonts w:ascii="Times New Roman" w:hAnsi="Times New Roman"/>
          <w:b/>
          <w:bCs/>
        </w:rPr>
        <w:t>7</w:t>
      </w:r>
      <w:r>
        <w:rPr>
          <w:rFonts w:hint="eastAsia" w:ascii="Times New Roman" w:hAnsi="Times New Roman"/>
        </w:rPr>
        <w:t xml:space="preserve"> 钢结构住宅立面宜采用装配式，并应符合下列要求： </w:t>
      </w:r>
    </w:p>
    <w:p>
      <w:pPr>
        <w:adjustRightInd w:val="0"/>
        <w:snapToGrid w:val="0"/>
        <w:spacing w:line="360" w:lineRule="auto"/>
        <w:ind w:firstLine="480" w:firstLineChars="200"/>
        <w:rPr>
          <w:color w:val="auto"/>
          <w:kern w:val="2"/>
          <w:sz w:val="24"/>
          <w:szCs w:val="24"/>
        </w:rPr>
      </w:pPr>
      <w:r>
        <w:rPr>
          <w:rFonts w:hint="eastAsia"/>
          <w:color w:val="auto"/>
          <w:kern w:val="2"/>
          <w:sz w:val="24"/>
          <w:szCs w:val="24"/>
        </w:rPr>
        <w:t>1 立面造型设计宜采用部品部件和空间模块重复组合与韵律控制的方法，形成有秩序的变化和有规律的重复，实现韵律美感。</w:t>
      </w:r>
    </w:p>
    <w:p>
      <w:pPr>
        <w:adjustRightInd w:val="0"/>
        <w:snapToGrid w:val="0"/>
        <w:spacing w:line="360" w:lineRule="auto"/>
        <w:ind w:firstLine="480" w:firstLineChars="200"/>
        <w:rPr>
          <w:color w:val="auto"/>
          <w:kern w:val="2"/>
          <w:sz w:val="24"/>
          <w:szCs w:val="24"/>
        </w:rPr>
      </w:pPr>
      <w:r>
        <w:rPr>
          <w:rFonts w:hint="eastAsia"/>
          <w:color w:val="auto"/>
          <w:kern w:val="2"/>
          <w:sz w:val="24"/>
          <w:szCs w:val="24"/>
        </w:rPr>
        <w:t>2 应结合项目定位以及气候特征，合理选用外墙板、外门窗、幕墙、阳台板、空调板及遮阳设施等标准化部品部件，并通过多样化的排列组合形成丰富的立面效果。</w:t>
      </w:r>
    </w:p>
    <w:p>
      <w:pPr>
        <w:adjustRightInd w:val="0"/>
        <w:snapToGrid w:val="0"/>
        <w:spacing w:line="360" w:lineRule="auto"/>
        <w:ind w:firstLine="480" w:firstLineChars="200"/>
        <w:rPr>
          <w:color w:val="auto"/>
          <w:kern w:val="2"/>
          <w:sz w:val="24"/>
          <w:szCs w:val="24"/>
        </w:rPr>
      </w:pPr>
      <w:r>
        <w:rPr>
          <w:rFonts w:hint="eastAsia"/>
          <w:color w:val="auto"/>
          <w:kern w:val="2"/>
          <w:sz w:val="24"/>
          <w:szCs w:val="24"/>
        </w:rPr>
        <w:t>3 立面门窗洞口的平面位置和尺寸应满足结构受力及标准化设计要求，宜上下对齐、成列布置，宜采用标准化建筑部品。</w:t>
      </w:r>
    </w:p>
    <w:p>
      <w:pPr>
        <w:adjustRightInd w:val="0"/>
        <w:snapToGrid w:val="0"/>
        <w:spacing w:line="360" w:lineRule="auto"/>
        <w:ind w:firstLine="422" w:firstLineChars="200"/>
        <w:rPr>
          <w:color w:val="auto"/>
          <w:kern w:val="2"/>
          <w:sz w:val="24"/>
          <w:szCs w:val="24"/>
        </w:rPr>
      </w:pPr>
      <w:r>
        <w:rPr>
          <w:rFonts w:hint="eastAsia" w:ascii="宋体" w:hAnsi="宋体" w:cs="黑体"/>
          <w:b/>
          <w:color w:val="auto"/>
          <w:kern w:val="2"/>
        </w:rPr>
        <w:t>【条文说明】：</w:t>
      </w:r>
      <w:r>
        <w:rPr>
          <w:rFonts w:hint="eastAsia" w:cs="黑体"/>
          <w:bCs/>
          <w:color w:val="5B9BD5"/>
        </w:rPr>
        <w:t>钢结构住宅立面采用装配式，其预制构件、轻型外墙板的标准化、大批量的规格化、定型化生产可稳定质量、降低成本，通用化部件所具有的互换能力可促进市场的竞争和部件生产水平的提高。</w:t>
      </w:r>
    </w:p>
    <w:p>
      <w:pPr>
        <w:adjustRightInd w:val="0"/>
        <w:snapToGrid w:val="0"/>
        <w:spacing w:line="360" w:lineRule="auto"/>
        <w:rPr>
          <w:color w:val="auto"/>
          <w:kern w:val="2"/>
          <w:sz w:val="24"/>
          <w:szCs w:val="24"/>
        </w:rPr>
      </w:pPr>
      <w:r>
        <w:rPr>
          <w:b/>
          <w:bCs/>
          <w:color w:val="auto"/>
          <w:kern w:val="2"/>
          <w:sz w:val="24"/>
          <w:szCs w:val="24"/>
        </w:rPr>
        <w:t xml:space="preserve">5.4.8 </w:t>
      </w:r>
      <w:r>
        <w:rPr>
          <w:rFonts w:hint="eastAsia"/>
          <w:color w:val="auto"/>
          <w:kern w:val="2"/>
          <w:sz w:val="24"/>
          <w:szCs w:val="24"/>
        </w:rPr>
        <w:t>钢结构住宅平面及体型设计应有技术深化设计阶段，应包括以下内容：</w:t>
      </w:r>
    </w:p>
    <w:p>
      <w:pPr>
        <w:adjustRightInd w:val="0"/>
        <w:snapToGrid w:val="0"/>
        <w:spacing w:line="360" w:lineRule="auto"/>
        <w:rPr>
          <w:color w:val="auto"/>
          <w:kern w:val="2"/>
          <w:sz w:val="24"/>
          <w:szCs w:val="24"/>
        </w:rPr>
      </w:pPr>
      <w:r>
        <w:rPr>
          <w:rFonts w:hint="eastAsia"/>
          <w:color w:val="auto"/>
          <w:kern w:val="2"/>
          <w:sz w:val="24"/>
          <w:szCs w:val="24"/>
        </w:rPr>
        <w:t>1</w:t>
      </w:r>
      <w:r>
        <w:rPr>
          <w:color w:val="auto"/>
          <w:kern w:val="2"/>
          <w:sz w:val="24"/>
          <w:szCs w:val="24"/>
        </w:rPr>
        <w:t xml:space="preserve"> </w:t>
      </w:r>
      <w:r>
        <w:rPr>
          <w:rFonts w:hint="eastAsia"/>
          <w:color w:val="auto"/>
          <w:kern w:val="2"/>
          <w:sz w:val="24"/>
          <w:szCs w:val="24"/>
        </w:rPr>
        <w:t>满足生产加工和施工安装的要求；</w:t>
      </w:r>
    </w:p>
    <w:p>
      <w:pPr>
        <w:adjustRightInd w:val="0"/>
        <w:snapToGrid w:val="0"/>
        <w:spacing w:line="360" w:lineRule="auto"/>
        <w:rPr>
          <w:color w:val="auto"/>
          <w:kern w:val="2"/>
          <w:sz w:val="24"/>
          <w:szCs w:val="24"/>
        </w:rPr>
      </w:pPr>
      <w:r>
        <w:rPr>
          <w:rFonts w:hint="eastAsia"/>
          <w:color w:val="auto"/>
          <w:kern w:val="2"/>
          <w:sz w:val="24"/>
          <w:szCs w:val="24"/>
        </w:rPr>
        <w:t>2</w:t>
      </w:r>
      <w:r>
        <w:rPr>
          <w:color w:val="auto"/>
          <w:kern w:val="2"/>
          <w:sz w:val="24"/>
          <w:szCs w:val="24"/>
        </w:rPr>
        <w:t xml:space="preserve"> </w:t>
      </w:r>
      <w:r>
        <w:rPr>
          <w:rFonts w:hint="eastAsia"/>
          <w:color w:val="auto"/>
          <w:kern w:val="2"/>
          <w:sz w:val="24"/>
          <w:szCs w:val="24"/>
        </w:rPr>
        <w:t>外围护系统部品的选材、排板及预留预埋；</w:t>
      </w:r>
    </w:p>
    <w:p>
      <w:pPr>
        <w:adjustRightInd w:val="0"/>
        <w:snapToGrid w:val="0"/>
        <w:spacing w:line="360" w:lineRule="auto"/>
        <w:rPr>
          <w:color w:val="auto"/>
          <w:kern w:val="2"/>
          <w:sz w:val="24"/>
          <w:szCs w:val="24"/>
        </w:rPr>
      </w:pPr>
      <w:r>
        <w:rPr>
          <w:rFonts w:hint="eastAsia"/>
          <w:color w:val="auto"/>
          <w:kern w:val="2"/>
          <w:sz w:val="24"/>
          <w:szCs w:val="24"/>
        </w:rPr>
        <w:t>3</w:t>
      </w:r>
      <w:r>
        <w:rPr>
          <w:color w:val="auto"/>
          <w:kern w:val="2"/>
          <w:sz w:val="24"/>
          <w:szCs w:val="24"/>
        </w:rPr>
        <w:t xml:space="preserve"> </w:t>
      </w:r>
      <w:r>
        <w:rPr>
          <w:rFonts w:hint="eastAsia"/>
          <w:color w:val="auto"/>
          <w:kern w:val="2"/>
          <w:sz w:val="24"/>
          <w:szCs w:val="24"/>
        </w:rPr>
        <w:t>安装设备及用户家用设施在楼板、内墙等构件中的预留预埋；</w:t>
      </w:r>
    </w:p>
    <w:p>
      <w:pPr>
        <w:adjustRightInd w:val="0"/>
        <w:snapToGrid w:val="0"/>
        <w:spacing w:line="360" w:lineRule="auto"/>
        <w:rPr>
          <w:color w:val="auto"/>
          <w:kern w:val="2"/>
          <w:sz w:val="24"/>
          <w:szCs w:val="24"/>
        </w:rPr>
      </w:pPr>
      <w:r>
        <w:rPr>
          <w:color w:val="auto"/>
          <w:kern w:val="2"/>
          <w:sz w:val="24"/>
          <w:szCs w:val="24"/>
        </w:rPr>
        <w:t xml:space="preserve">4 </w:t>
      </w:r>
      <w:r>
        <w:rPr>
          <w:rFonts w:hint="eastAsia"/>
          <w:color w:val="auto"/>
          <w:kern w:val="2"/>
          <w:sz w:val="24"/>
          <w:szCs w:val="24"/>
        </w:rPr>
        <w:t>内装修系统及部品安装节点；</w:t>
      </w:r>
    </w:p>
    <w:p>
      <w:pPr>
        <w:adjustRightInd w:val="0"/>
        <w:snapToGrid w:val="0"/>
        <w:spacing w:line="360" w:lineRule="auto"/>
        <w:rPr>
          <w:rFonts w:ascii="宋体" w:hAnsi="宋体" w:cs="黑体"/>
          <w:bCs/>
          <w:color w:val="5B9BD5"/>
          <w:kern w:val="2"/>
        </w:rPr>
      </w:pPr>
      <w:r>
        <w:rPr>
          <w:rFonts w:hint="eastAsia" w:ascii="宋体" w:hAnsi="宋体" w:cs="黑体"/>
          <w:b/>
          <w:color w:val="auto"/>
        </w:rPr>
        <w:t>【条文说明】</w:t>
      </w:r>
      <w:r>
        <w:rPr>
          <w:rFonts w:hint="eastAsia" w:cs="黑体"/>
          <w:b/>
          <w:color w:val="auto"/>
        </w:rPr>
        <w:t>：</w:t>
      </w:r>
      <w:r>
        <w:rPr>
          <w:rFonts w:hint="eastAsia" w:ascii="宋体" w:hAnsi="宋体" w:cs="黑体"/>
          <w:bCs/>
          <w:color w:val="5B9BD5"/>
          <w:kern w:val="2"/>
        </w:rPr>
        <w:t>钢结构住宅的设计除常规图纸要求外，还应包括主体部（构）件、外围护系统部品和内装部品的施工图和深化设计部分。其图纸应整体反映主体部（构）件、外围护系统部品和内装部品的规格、类型、加工尺寸、连接形式和设备与管线种类及定位尺寸，设计应满足部品部（构）件的生产安装要求。</w:t>
      </w:r>
    </w:p>
    <w:p>
      <w:pPr>
        <w:pStyle w:val="3"/>
        <w:spacing w:line="360" w:lineRule="auto"/>
        <w:jc w:val="center"/>
        <w:rPr>
          <w:rFonts w:ascii="宋体" w:hAnsi="宋体" w:eastAsia="宋体"/>
          <w:color w:val="auto"/>
          <w:sz w:val="28"/>
          <w:szCs w:val="28"/>
        </w:rPr>
      </w:pPr>
      <w:bookmarkStart w:id="22" w:name="_Toc103958748"/>
      <w:r>
        <w:rPr>
          <w:rFonts w:ascii="宋体" w:hAnsi="宋体" w:eastAsia="宋体"/>
          <w:color w:val="auto"/>
          <w:sz w:val="24"/>
          <w:szCs w:val="24"/>
        </w:rPr>
        <w:t>5</w:t>
      </w:r>
      <w:r>
        <w:rPr>
          <w:rFonts w:hint="eastAsia" w:ascii="宋体" w:hAnsi="宋体" w:eastAsia="宋体"/>
          <w:color w:val="auto"/>
          <w:sz w:val="24"/>
          <w:szCs w:val="24"/>
        </w:rPr>
        <w:t>.</w:t>
      </w:r>
      <w:r>
        <w:rPr>
          <w:rFonts w:ascii="宋体" w:hAnsi="宋体" w:eastAsia="宋体"/>
          <w:color w:val="auto"/>
          <w:sz w:val="24"/>
          <w:szCs w:val="24"/>
        </w:rPr>
        <w:t>5</w:t>
      </w:r>
      <w:r>
        <w:rPr>
          <w:rFonts w:ascii="宋体" w:hAnsi="宋体" w:eastAsia="宋体"/>
          <w:color w:val="auto"/>
          <w:sz w:val="28"/>
          <w:szCs w:val="28"/>
        </w:rPr>
        <w:t xml:space="preserve"> </w:t>
      </w:r>
      <w:r>
        <w:rPr>
          <w:rFonts w:hint="eastAsia" w:ascii="宋体" w:hAnsi="宋体" w:eastAsia="宋体"/>
          <w:color w:val="auto"/>
          <w:sz w:val="28"/>
          <w:szCs w:val="28"/>
        </w:rPr>
        <w:t xml:space="preserve"> 室内环境</w:t>
      </w:r>
      <w:bookmarkEnd w:id="22"/>
    </w:p>
    <w:p>
      <w:pPr>
        <w:pStyle w:val="14"/>
        <w:shd w:val="clear" w:color="auto" w:fill="FFFFFF"/>
        <w:spacing w:before="0" w:beforeAutospacing="0" w:after="0" w:afterAutospacing="0" w:line="360" w:lineRule="auto"/>
        <w:rPr>
          <w:rFonts w:ascii="Times New Roman" w:hAnsi="Times New Roman" w:cs="Times New Roman"/>
          <w:kern w:val="2"/>
        </w:rPr>
      </w:pPr>
      <w:r>
        <w:rPr>
          <w:rFonts w:ascii="Times New Roman" w:hAnsi="Times New Roman" w:cs="Times New Roman"/>
          <w:b/>
          <w:bCs/>
          <w:kern w:val="2"/>
        </w:rPr>
        <w:t>5</w:t>
      </w:r>
      <w:r>
        <w:rPr>
          <w:rFonts w:hint="eastAsia" w:ascii="Times New Roman" w:hAnsi="Times New Roman" w:cs="Times New Roman"/>
          <w:b/>
          <w:bCs/>
          <w:kern w:val="2"/>
        </w:rPr>
        <w:t>.</w:t>
      </w:r>
      <w:r>
        <w:rPr>
          <w:rFonts w:ascii="Times New Roman" w:hAnsi="Times New Roman" w:cs="Times New Roman"/>
          <w:b/>
          <w:bCs/>
          <w:kern w:val="2"/>
        </w:rPr>
        <w:t>5</w:t>
      </w:r>
      <w:r>
        <w:rPr>
          <w:rFonts w:hint="eastAsia" w:ascii="Times New Roman" w:hAnsi="Times New Roman" w:cs="Times New Roman"/>
          <w:b/>
          <w:bCs/>
          <w:kern w:val="2"/>
        </w:rPr>
        <w:t>.1</w:t>
      </w:r>
      <w:r>
        <w:rPr>
          <w:rFonts w:hint="eastAsia" w:ascii="Times New Roman" w:hAnsi="Times New Roman" w:cs="Times New Roman"/>
          <w:kern w:val="2"/>
        </w:rPr>
        <w:t xml:space="preserve"> 钢结构住宅应采用热工性能较好的围护结构并选择先进、适用的供热、供冷系统和运行方法，以提高室内热环境质量，提高能源利用效率，并应符合下列要求：</w:t>
      </w:r>
    </w:p>
    <w:p>
      <w:pPr>
        <w:pStyle w:val="14"/>
        <w:shd w:val="clear" w:color="auto" w:fill="FFFFFF"/>
        <w:spacing w:before="0" w:beforeAutospacing="0" w:after="0" w:afterAutospacing="0" w:line="360" w:lineRule="auto"/>
        <w:rPr>
          <w:rFonts w:ascii="Times New Roman" w:hAnsi="Times New Roman" w:cs="Times New Roman"/>
          <w:kern w:val="2"/>
        </w:rPr>
      </w:pPr>
      <w:r>
        <w:rPr>
          <w:rFonts w:hint="eastAsia" w:ascii="Times New Roman" w:hAnsi="Times New Roman" w:cs="Times New Roman"/>
          <w:kern w:val="2"/>
        </w:rPr>
        <w:t>1</w:t>
      </w:r>
      <w:r>
        <w:rPr>
          <w:rFonts w:ascii="Times New Roman" w:hAnsi="Times New Roman" w:cs="Times New Roman"/>
          <w:kern w:val="2"/>
        </w:rPr>
        <w:t xml:space="preserve"> </w:t>
      </w:r>
      <w:r>
        <w:rPr>
          <w:rFonts w:hint="eastAsia" w:ascii="Times New Roman" w:hAnsi="Times New Roman" w:cs="Times New Roman"/>
          <w:kern w:val="2"/>
        </w:rPr>
        <w:t>住宅朝向宜为南北向或近南北向。</w:t>
      </w:r>
    </w:p>
    <w:p>
      <w:pPr>
        <w:pStyle w:val="14"/>
        <w:shd w:val="clear" w:color="auto" w:fill="FFFFFF"/>
        <w:spacing w:before="0" w:beforeAutospacing="0" w:after="0" w:afterAutospacing="0" w:line="360" w:lineRule="auto"/>
        <w:rPr>
          <w:rFonts w:ascii="Times New Roman" w:hAnsi="Times New Roman" w:cs="Times New Roman"/>
          <w:kern w:val="2"/>
        </w:rPr>
      </w:pPr>
      <w:r>
        <w:rPr>
          <w:rFonts w:hint="eastAsia" w:ascii="Times New Roman" w:hAnsi="Times New Roman" w:cs="Times New Roman"/>
          <w:kern w:val="2"/>
        </w:rPr>
        <w:t>2</w:t>
      </w:r>
      <w:r>
        <w:rPr>
          <w:rFonts w:ascii="Times New Roman" w:hAnsi="Times New Roman" w:cs="Times New Roman"/>
          <w:kern w:val="2"/>
        </w:rPr>
        <w:t xml:space="preserve"> </w:t>
      </w:r>
      <w:r>
        <w:rPr>
          <w:rFonts w:hint="eastAsia" w:ascii="Times New Roman" w:hAnsi="Times New Roman" w:cs="Times New Roman"/>
          <w:kern w:val="2"/>
        </w:rPr>
        <w:t>结合项目地域气候特征，注重日照、通风和遮阳设计。</w:t>
      </w:r>
    </w:p>
    <w:p>
      <w:pPr>
        <w:pStyle w:val="14"/>
        <w:shd w:val="clear" w:color="auto" w:fill="FFFFFF"/>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 xml:space="preserve">3 </w:t>
      </w:r>
      <w:r>
        <w:rPr>
          <w:rFonts w:hint="eastAsia" w:ascii="Times New Roman" w:hAnsi="Times New Roman" w:cs="Times New Roman"/>
          <w:kern w:val="2"/>
        </w:rPr>
        <w:t>外墙和屋顶宜采用含有重质材料和轻质高效保温隔热材料组合的复合结构；构造适宜时，可设置空气间层、铝箔反射层、防水层；当保温隔热材料可能受潮时，宜采用防水透气膜或覆铝的防水透气膜外包，使保温隔热材料保持干燥。</w:t>
      </w:r>
    </w:p>
    <w:p>
      <w:pPr>
        <w:pStyle w:val="14"/>
        <w:shd w:val="clear" w:color="auto" w:fill="FFFFFF"/>
        <w:spacing w:before="0" w:beforeAutospacing="0" w:after="0" w:afterAutospacing="0" w:line="360" w:lineRule="auto"/>
        <w:rPr>
          <w:rFonts w:ascii="Times New Roman" w:hAnsi="Times New Roman" w:cs="Times New Roman"/>
          <w:kern w:val="2"/>
        </w:rPr>
      </w:pPr>
      <w:r>
        <w:rPr>
          <w:rFonts w:hint="eastAsia" w:ascii="Times New Roman" w:hAnsi="Times New Roman" w:cs="Times New Roman"/>
          <w:kern w:val="2"/>
        </w:rPr>
        <w:t>4</w:t>
      </w:r>
      <w:r>
        <w:rPr>
          <w:rFonts w:ascii="Times New Roman" w:hAnsi="Times New Roman" w:cs="Times New Roman"/>
          <w:kern w:val="2"/>
        </w:rPr>
        <w:t xml:space="preserve"> </w:t>
      </w:r>
      <w:r>
        <w:rPr>
          <w:rFonts w:hint="eastAsia" w:ascii="Times New Roman" w:hAnsi="Times New Roman" w:cs="Times New Roman"/>
          <w:kern w:val="2"/>
        </w:rPr>
        <w:t>严寒地区围护结构保温层内侧宜设置防水隔汽膜，敷设时应连续。</w:t>
      </w:r>
    </w:p>
    <w:p>
      <w:pPr>
        <w:pStyle w:val="14"/>
        <w:shd w:val="clear" w:color="auto" w:fill="FFFFFF"/>
        <w:spacing w:before="0" w:beforeAutospacing="0" w:after="0" w:afterAutospacing="0" w:line="360" w:lineRule="auto"/>
        <w:rPr>
          <w:rFonts w:ascii="Times New Roman" w:hAnsi="Times New Roman" w:cs="Times New Roman"/>
          <w:kern w:val="2"/>
        </w:rPr>
      </w:pPr>
      <w:r>
        <w:rPr>
          <w:rFonts w:hint="eastAsia" w:ascii="Times New Roman" w:hAnsi="Times New Roman" w:cs="Times New Roman"/>
          <w:kern w:val="2"/>
        </w:rPr>
        <w:t>5</w:t>
      </w:r>
      <w:r>
        <w:rPr>
          <w:rFonts w:ascii="Times New Roman" w:hAnsi="Times New Roman" w:cs="Times New Roman"/>
          <w:kern w:val="2"/>
        </w:rPr>
        <w:t xml:space="preserve"> </w:t>
      </w:r>
      <w:r>
        <w:rPr>
          <w:rFonts w:hint="eastAsia" w:ascii="Times New Roman" w:hAnsi="Times New Roman" w:cs="Times New Roman"/>
          <w:kern w:val="2"/>
        </w:rPr>
        <w:t>应采取措施减少热桥。当无法避免时，应使热桥部位内表面温度不低于室内空气露点温度。</w:t>
      </w:r>
    </w:p>
    <w:p>
      <w:pPr>
        <w:pStyle w:val="14"/>
        <w:shd w:val="clear" w:color="auto" w:fill="FFFFFF"/>
        <w:spacing w:before="0" w:beforeAutospacing="0" w:after="0" w:afterAutospacing="0" w:line="360" w:lineRule="auto"/>
        <w:rPr>
          <w:rFonts w:ascii="Times New Roman" w:hAnsi="Times New Roman" w:cs="Times New Roman"/>
          <w:kern w:val="2"/>
        </w:rPr>
      </w:pPr>
      <w:r>
        <w:rPr>
          <w:rFonts w:hint="eastAsia" w:ascii="Times New Roman" w:hAnsi="Times New Roman" w:cs="Times New Roman"/>
          <w:kern w:val="2"/>
        </w:rPr>
        <w:t>6</w:t>
      </w:r>
      <w:r>
        <w:rPr>
          <w:rFonts w:ascii="Times New Roman" w:hAnsi="Times New Roman" w:cs="Times New Roman"/>
          <w:kern w:val="2"/>
        </w:rPr>
        <w:t xml:space="preserve"> </w:t>
      </w:r>
      <w:r>
        <w:rPr>
          <w:rFonts w:hint="eastAsia" w:ascii="Times New Roman" w:hAnsi="Times New Roman" w:cs="Times New Roman"/>
          <w:kern w:val="2"/>
        </w:rPr>
        <w:t>外墙保温层宜设置在钢构件外侧，当钢构件外侧保温材料厚度受限制时，应进行露点验算。</w:t>
      </w:r>
    </w:p>
    <w:p>
      <w:pPr>
        <w:pStyle w:val="14"/>
        <w:shd w:val="clear" w:color="auto" w:fill="FFFFFF"/>
        <w:spacing w:before="0" w:beforeAutospacing="0" w:after="0" w:afterAutospacing="0" w:line="360" w:lineRule="auto"/>
        <w:rPr>
          <w:rFonts w:ascii="Times New Roman" w:hAnsi="Times New Roman" w:cs="Times New Roman"/>
          <w:kern w:val="2"/>
        </w:rPr>
      </w:pPr>
      <w:r>
        <w:rPr>
          <w:rFonts w:hint="eastAsia" w:ascii="Times New Roman" w:hAnsi="Times New Roman" w:cs="Times New Roman"/>
          <w:kern w:val="2"/>
        </w:rPr>
        <w:t>7</w:t>
      </w:r>
      <w:r>
        <w:rPr>
          <w:rFonts w:ascii="Times New Roman" w:hAnsi="Times New Roman" w:cs="Times New Roman"/>
          <w:kern w:val="2"/>
        </w:rPr>
        <w:t xml:space="preserve"> </w:t>
      </w:r>
      <w:r>
        <w:rPr>
          <w:rFonts w:hint="eastAsia" w:ascii="Times New Roman" w:hAnsi="Times New Roman" w:cs="Times New Roman"/>
          <w:kern w:val="2"/>
        </w:rPr>
        <w:t>采暖地区室内钢构件与与室内主体结构的连接宜采用铰接(如腹板连接)或特殊设计,以减少传热截面。连接部位宜采用保温层覆盖。当室外钢构件伸人室内时,在室内部分的一定长度范围内应采取延续保温措施,并进行露点验算。</w:t>
      </w:r>
    </w:p>
    <w:p>
      <w:pPr>
        <w:spacing w:line="360" w:lineRule="auto"/>
        <w:rPr>
          <w:rFonts w:ascii="宋体" w:hAnsi="宋体" w:cs="宋体"/>
          <w:color w:val="auto"/>
          <w:sz w:val="24"/>
          <w:szCs w:val="24"/>
        </w:rPr>
      </w:pPr>
      <w:r>
        <w:rPr>
          <w:b/>
          <w:bCs/>
          <w:color w:val="auto"/>
          <w:kern w:val="2"/>
          <w:sz w:val="24"/>
          <w:szCs w:val="24"/>
        </w:rPr>
        <w:t>5</w:t>
      </w:r>
      <w:r>
        <w:rPr>
          <w:rFonts w:hint="eastAsia"/>
          <w:b/>
          <w:bCs/>
          <w:color w:val="auto"/>
          <w:kern w:val="2"/>
          <w:sz w:val="24"/>
          <w:szCs w:val="24"/>
        </w:rPr>
        <w:t>.</w:t>
      </w:r>
      <w:r>
        <w:rPr>
          <w:b/>
          <w:bCs/>
          <w:color w:val="auto"/>
          <w:kern w:val="2"/>
          <w:sz w:val="24"/>
          <w:szCs w:val="24"/>
        </w:rPr>
        <w:t>5</w:t>
      </w:r>
      <w:r>
        <w:rPr>
          <w:rFonts w:hint="eastAsia"/>
          <w:b/>
          <w:bCs/>
          <w:color w:val="auto"/>
          <w:kern w:val="2"/>
          <w:sz w:val="24"/>
          <w:szCs w:val="24"/>
        </w:rPr>
        <w:t>.2</w:t>
      </w:r>
      <w:r>
        <w:rPr>
          <w:rFonts w:hint="eastAsia" w:ascii="宋体" w:hAnsi="宋体" w:cs="宋体"/>
          <w:color w:val="auto"/>
          <w:sz w:val="24"/>
          <w:szCs w:val="24"/>
        </w:rPr>
        <w:t>钢构件在户间、户内空间可能形成声桥的部位，应采用柔性连接或间接连接，对隔声部位的梁、柱、延性墙板等使用隔声材料或重质材料填充或包裹，对穿管线设备部位采用隔声封堵等措施，使相邻空间隔声指标达到设计标准。</w:t>
      </w:r>
      <w:r>
        <w:rPr>
          <w:rFonts w:ascii="宋体" w:hAnsi="宋体" w:cs="宋体"/>
          <w:color w:val="auto"/>
          <w:sz w:val="24"/>
          <w:szCs w:val="24"/>
        </w:rPr>
        <w:t xml:space="preserve"> </w:t>
      </w:r>
    </w:p>
    <w:p>
      <w:pPr>
        <w:spacing w:line="360" w:lineRule="auto"/>
        <w:rPr>
          <w:rFonts w:ascii="宋体" w:hAnsi="宋体" w:cs="宋体"/>
          <w:color w:val="auto"/>
          <w:sz w:val="24"/>
          <w:szCs w:val="24"/>
        </w:rPr>
      </w:pPr>
      <w:r>
        <w:rPr>
          <w:rFonts w:hint="eastAsia" w:ascii="宋体" w:hAnsi="宋体" w:cs="黑体"/>
          <w:b/>
          <w:color w:val="auto"/>
        </w:rPr>
        <w:t>【条文说明】</w:t>
      </w:r>
      <w:r>
        <w:rPr>
          <w:rFonts w:hint="eastAsia" w:cs="黑体"/>
          <w:b/>
          <w:color w:val="auto"/>
        </w:rPr>
        <w:t>：</w:t>
      </w:r>
      <w:r>
        <w:rPr>
          <w:rFonts w:hint="eastAsia" w:ascii="宋体" w:hAnsi="宋体" w:cs="黑体"/>
          <w:bCs/>
          <w:color w:val="5B9BD5"/>
          <w:kern w:val="2"/>
        </w:rPr>
        <w:t>钢结构住宅钢构件的结构传声比其他构件要严重，任何直接或间接的敲击、撞击都可以导致声的远传，因此在可能发生撞击的部位应采取相应措施，并应满足本规范3</w:t>
      </w:r>
      <w:r>
        <w:rPr>
          <w:rFonts w:ascii="宋体" w:hAnsi="宋体" w:cs="黑体"/>
          <w:bCs/>
          <w:color w:val="5B9BD5"/>
          <w:kern w:val="2"/>
        </w:rPr>
        <w:t>.2.5</w:t>
      </w:r>
      <w:r>
        <w:rPr>
          <w:rFonts w:hint="eastAsia" w:ascii="宋体" w:hAnsi="宋体" w:cs="黑体"/>
          <w:bCs/>
          <w:color w:val="5B9BD5"/>
          <w:kern w:val="2"/>
        </w:rPr>
        <w:t>条中表3</w:t>
      </w:r>
      <w:r>
        <w:rPr>
          <w:rFonts w:ascii="宋体" w:hAnsi="宋体" w:cs="黑体"/>
          <w:bCs/>
          <w:color w:val="5B9BD5"/>
          <w:kern w:val="2"/>
        </w:rPr>
        <w:t>.2.5-1</w:t>
      </w:r>
      <w:r>
        <w:rPr>
          <w:rFonts w:hint="eastAsia" w:ascii="宋体" w:hAnsi="宋体" w:cs="黑体"/>
          <w:bCs/>
          <w:color w:val="5B9BD5"/>
          <w:kern w:val="2"/>
        </w:rPr>
        <w:t>的要求。</w:t>
      </w:r>
    </w:p>
    <w:p>
      <w:pPr>
        <w:spacing w:line="360" w:lineRule="auto"/>
        <w:rPr>
          <w:rFonts w:ascii="宋体" w:hAnsi="宋体" w:cs="宋体"/>
          <w:color w:val="auto"/>
          <w:sz w:val="24"/>
          <w:szCs w:val="24"/>
        </w:rPr>
      </w:pPr>
      <w:r>
        <w:rPr>
          <w:b/>
          <w:bCs/>
          <w:color w:val="auto"/>
          <w:kern w:val="2"/>
          <w:sz w:val="24"/>
          <w:szCs w:val="24"/>
        </w:rPr>
        <w:t>5</w:t>
      </w:r>
      <w:r>
        <w:rPr>
          <w:rFonts w:hint="eastAsia"/>
          <w:b/>
          <w:bCs/>
          <w:color w:val="auto"/>
          <w:kern w:val="2"/>
          <w:sz w:val="24"/>
          <w:szCs w:val="24"/>
        </w:rPr>
        <w:t>.</w:t>
      </w:r>
      <w:r>
        <w:rPr>
          <w:b/>
          <w:bCs/>
          <w:color w:val="auto"/>
          <w:kern w:val="2"/>
          <w:sz w:val="24"/>
          <w:szCs w:val="24"/>
        </w:rPr>
        <w:t>5</w:t>
      </w:r>
      <w:r>
        <w:rPr>
          <w:rFonts w:hint="eastAsia"/>
          <w:b/>
          <w:bCs/>
          <w:color w:val="auto"/>
          <w:kern w:val="2"/>
          <w:sz w:val="24"/>
          <w:szCs w:val="24"/>
        </w:rPr>
        <w:t>.3</w:t>
      </w:r>
      <w:r>
        <w:rPr>
          <w:rFonts w:ascii="宋体" w:hAnsi="宋体" w:cs="宋体"/>
          <w:color w:val="auto"/>
          <w:sz w:val="24"/>
          <w:szCs w:val="24"/>
        </w:rPr>
        <w:t xml:space="preserve"> </w:t>
      </w:r>
      <w:r>
        <w:rPr>
          <w:rFonts w:hint="eastAsia" w:ascii="宋体" w:hAnsi="宋体" w:cs="宋体"/>
          <w:color w:val="auto"/>
          <w:sz w:val="24"/>
          <w:szCs w:val="24"/>
        </w:rPr>
        <w:t>压型钢板组合楼板、倒置槽形板的下方应设置隔声吊顶。</w:t>
      </w:r>
    </w:p>
    <w:p>
      <w:pPr>
        <w:spacing w:line="360" w:lineRule="auto"/>
        <w:rPr>
          <w:rFonts w:ascii="宋体" w:hAnsi="宋体" w:cs="宋体"/>
          <w:color w:val="auto"/>
          <w:sz w:val="24"/>
          <w:szCs w:val="24"/>
        </w:rPr>
      </w:pPr>
      <w:r>
        <w:rPr>
          <w:b/>
          <w:bCs/>
          <w:color w:val="auto"/>
          <w:kern w:val="2"/>
          <w:sz w:val="24"/>
          <w:szCs w:val="24"/>
        </w:rPr>
        <w:t>5</w:t>
      </w:r>
      <w:r>
        <w:rPr>
          <w:rFonts w:hint="eastAsia"/>
          <w:b/>
          <w:bCs/>
          <w:color w:val="auto"/>
          <w:kern w:val="2"/>
          <w:sz w:val="24"/>
          <w:szCs w:val="24"/>
        </w:rPr>
        <w:t>.</w:t>
      </w:r>
      <w:r>
        <w:rPr>
          <w:b/>
          <w:bCs/>
          <w:color w:val="auto"/>
          <w:kern w:val="2"/>
          <w:sz w:val="24"/>
          <w:szCs w:val="24"/>
        </w:rPr>
        <w:t>5</w:t>
      </w:r>
      <w:r>
        <w:rPr>
          <w:rFonts w:hint="eastAsia"/>
          <w:b/>
          <w:bCs/>
          <w:color w:val="auto"/>
          <w:kern w:val="2"/>
          <w:sz w:val="24"/>
          <w:szCs w:val="24"/>
        </w:rPr>
        <w:t>.4</w:t>
      </w:r>
      <w:r>
        <w:rPr>
          <w:rFonts w:ascii="宋体" w:hAnsi="宋体" w:cs="宋体"/>
          <w:color w:val="auto"/>
          <w:sz w:val="24"/>
          <w:szCs w:val="24"/>
        </w:rPr>
        <w:t xml:space="preserve"> </w:t>
      </w:r>
      <w:r>
        <w:rPr>
          <w:rFonts w:hint="eastAsia" w:ascii="宋体" w:hAnsi="宋体" w:cs="宋体"/>
          <w:color w:val="auto"/>
          <w:sz w:val="24"/>
          <w:szCs w:val="24"/>
        </w:rPr>
        <w:t>外墙与楼板端面间的缝隙应以防火、防水、保温、隔声材料填实。</w:t>
      </w:r>
    </w:p>
    <w:p>
      <w:pPr>
        <w:spacing w:line="360" w:lineRule="auto"/>
        <w:rPr>
          <w:rFonts w:ascii="宋体" w:hAnsi="宋体" w:cs="宋体"/>
          <w:color w:val="auto"/>
          <w:sz w:val="24"/>
          <w:szCs w:val="24"/>
        </w:rPr>
      </w:pPr>
      <w:r>
        <w:rPr>
          <w:b/>
          <w:bCs/>
          <w:color w:val="auto"/>
          <w:kern w:val="2"/>
          <w:sz w:val="24"/>
          <w:szCs w:val="24"/>
        </w:rPr>
        <w:t>5</w:t>
      </w:r>
      <w:r>
        <w:rPr>
          <w:rFonts w:hint="eastAsia"/>
          <w:b/>
          <w:bCs/>
          <w:color w:val="auto"/>
          <w:kern w:val="2"/>
          <w:sz w:val="24"/>
          <w:szCs w:val="24"/>
        </w:rPr>
        <w:t>.</w:t>
      </w:r>
      <w:r>
        <w:rPr>
          <w:b/>
          <w:bCs/>
          <w:color w:val="auto"/>
          <w:kern w:val="2"/>
          <w:sz w:val="24"/>
          <w:szCs w:val="24"/>
        </w:rPr>
        <w:t>5</w:t>
      </w:r>
      <w:r>
        <w:rPr>
          <w:rFonts w:hint="eastAsia"/>
          <w:b/>
          <w:bCs/>
          <w:color w:val="auto"/>
          <w:kern w:val="2"/>
          <w:sz w:val="24"/>
          <w:szCs w:val="24"/>
        </w:rPr>
        <w:t>.5</w:t>
      </w:r>
      <w:r>
        <w:rPr>
          <w:rFonts w:ascii="宋体" w:hAnsi="宋体" w:cs="宋体"/>
          <w:color w:val="auto"/>
          <w:sz w:val="24"/>
          <w:szCs w:val="24"/>
        </w:rPr>
        <w:t xml:space="preserve"> </w:t>
      </w:r>
      <w:r>
        <w:rPr>
          <w:rFonts w:hint="eastAsia" w:ascii="宋体" w:hAnsi="宋体" w:cs="宋体"/>
          <w:color w:val="auto"/>
          <w:sz w:val="24"/>
          <w:szCs w:val="24"/>
        </w:rPr>
        <w:t>钢结构住宅通风设计应符合下列要求：</w:t>
      </w:r>
    </w:p>
    <w:p>
      <w:pPr>
        <w:spacing w:line="360" w:lineRule="auto"/>
        <w:rPr>
          <w:rFonts w:ascii="宋体" w:hAnsi="宋体" w:cs="宋体"/>
          <w:color w:val="auto"/>
          <w:sz w:val="24"/>
          <w:szCs w:val="24"/>
        </w:rPr>
      </w:pPr>
      <w:r>
        <w:rPr>
          <w:rFonts w:hint="eastAsia" w:ascii="宋体" w:hAnsi="宋体" w:cs="宋体"/>
          <w:color w:val="auto"/>
          <w:sz w:val="24"/>
          <w:szCs w:val="24"/>
        </w:rPr>
        <w:t>1</w:t>
      </w:r>
      <w:r>
        <w:rPr>
          <w:rFonts w:ascii="宋体" w:hAnsi="宋体" w:cs="宋体"/>
          <w:color w:val="auto"/>
          <w:sz w:val="24"/>
          <w:szCs w:val="24"/>
        </w:rPr>
        <w:t xml:space="preserve"> </w:t>
      </w:r>
      <w:r>
        <w:rPr>
          <w:rFonts w:hint="eastAsia" w:ascii="宋体" w:hAnsi="宋体" w:cs="宋体"/>
          <w:color w:val="auto"/>
          <w:sz w:val="24"/>
          <w:szCs w:val="24"/>
        </w:rPr>
        <w:t>住宅套型宜组织自然通风；</w:t>
      </w:r>
    </w:p>
    <w:p>
      <w:pPr>
        <w:spacing w:line="360" w:lineRule="auto"/>
        <w:rPr>
          <w:rFonts w:ascii="宋体" w:hAnsi="宋体" w:cs="宋体"/>
          <w:color w:val="auto"/>
          <w:sz w:val="24"/>
          <w:szCs w:val="24"/>
        </w:rPr>
      </w:pPr>
      <w:r>
        <w:rPr>
          <w:rFonts w:hint="eastAsia" w:ascii="宋体" w:hAnsi="宋体" w:cs="宋体"/>
          <w:color w:val="auto"/>
          <w:sz w:val="24"/>
          <w:szCs w:val="24"/>
        </w:rPr>
        <w:t>2应满足卫生、节能和防灾的综合要求；</w:t>
      </w:r>
    </w:p>
    <w:p>
      <w:pPr>
        <w:spacing w:line="360" w:lineRule="auto"/>
        <w:rPr>
          <w:rFonts w:ascii="宋体" w:hAnsi="宋体" w:cs="黑体"/>
          <w:bCs/>
          <w:color w:val="5B9BD5"/>
          <w:kern w:val="2"/>
        </w:rPr>
      </w:pPr>
      <w:r>
        <w:rPr>
          <w:rFonts w:hint="eastAsia" w:ascii="宋体" w:hAnsi="宋体" w:cs="黑体"/>
          <w:b/>
          <w:color w:val="auto"/>
        </w:rPr>
        <w:t>【条文说明】</w:t>
      </w:r>
      <w:r>
        <w:rPr>
          <w:rFonts w:hint="eastAsia" w:cs="黑体"/>
          <w:b/>
          <w:color w:val="auto"/>
        </w:rPr>
        <w:t>：</w:t>
      </w:r>
      <w:r>
        <w:rPr>
          <w:rFonts w:hint="eastAsia" w:ascii="宋体" w:hAnsi="宋体" w:cs="黑体"/>
          <w:bCs/>
          <w:color w:val="5B9BD5"/>
          <w:kern w:val="2"/>
        </w:rPr>
        <w:t>钢结构住宅通风设计应考虑以下内容：</w:t>
      </w:r>
    </w:p>
    <w:p>
      <w:pPr>
        <w:spacing w:line="360" w:lineRule="auto"/>
        <w:rPr>
          <w:rFonts w:ascii="宋体" w:hAnsi="宋体" w:cs="黑体"/>
          <w:bCs/>
          <w:color w:val="5B9BD5"/>
          <w:kern w:val="2"/>
        </w:rPr>
      </w:pPr>
      <w:r>
        <w:rPr>
          <w:rFonts w:hint="eastAsia" w:ascii="宋体" w:hAnsi="宋体" w:cs="黑体"/>
          <w:bCs/>
          <w:color w:val="5B9BD5"/>
          <w:kern w:val="2"/>
        </w:rPr>
        <w:t>1.</w:t>
      </w:r>
      <w:r>
        <w:rPr>
          <w:rFonts w:hint="eastAsia" w:ascii="宋体" w:hAnsi="宋体" w:cs="黑体"/>
          <w:bCs/>
          <w:color w:val="5B9BD5"/>
          <w:kern w:val="2"/>
        </w:rPr>
        <w:tab/>
      </w:r>
      <w:r>
        <w:rPr>
          <w:rFonts w:hint="eastAsia" w:ascii="宋体" w:hAnsi="宋体" w:cs="黑体"/>
          <w:bCs/>
          <w:color w:val="5B9BD5"/>
          <w:kern w:val="2"/>
        </w:rPr>
        <w:t>住宅的卧室、起居室宜有穿堂风或转角风，当受设计条件限制采用但朝向套型时，应采用户门上方通风（防盗）窗或可通风的户门，也可采取机械通风；</w:t>
      </w:r>
    </w:p>
    <w:p>
      <w:pPr>
        <w:spacing w:line="360" w:lineRule="auto"/>
        <w:rPr>
          <w:rFonts w:ascii="宋体" w:hAnsi="宋体" w:cs="黑体"/>
          <w:bCs/>
          <w:color w:val="5B9BD5"/>
          <w:kern w:val="2"/>
        </w:rPr>
      </w:pPr>
      <w:r>
        <w:rPr>
          <w:rFonts w:hint="eastAsia" w:ascii="宋体" w:hAnsi="宋体" w:cs="黑体"/>
          <w:bCs/>
          <w:color w:val="5B9BD5"/>
          <w:kern w:val="2"/>
        </w:rPr>
        <w:t>2.</w:t>
      </w:r>
      <w:r>
        <w:rPr>
          <w:rFonts w:hint="eastAsia" w:ascii="宋体" w:hAnsi="宋体" w:cs="黑体"/>
          <w:bCs/>
          <w:color w:val="5B9BD5"/>
          <w:kern w:val="2"/>
        </w:rPr>
        <w:tab/>
      </w:r>
      <w:r>
        <w:rPr>
          <w:rFonts w:hint="eastAsia" w:ascii="宋体" w:hAnsi="宋体" w:cs="黑体"/>
          <w:bCs/>
          <w:color w:val="5B9BD5"/>
          <w:kern w:val="2"/>
        </w:rPr>
        <w:t>冬季使用采暖（或空调）设备时，通风换气量应兼顾卫生、建筑节能和防灾的要求，表1给出各房间适宜的换气量。</w:t>
      </w:r>
    </w:p>
    <w:p>
      <w:pPr>
        <w:spacing w:line="360" w:lineRule="auto"/>
        <w:jc w:val="center"/>
        <w:rPr>
          <w:rFonts w:ascii="宋体" w:hAnsi="宋体" w:cs="黑体"/>
          <w:bCs/>
          <w:color w:val="5B9BD5"/>
          <w:kern w:val="2"/>
        </w:rPr>
      </w:pPr>
      <w:r>
        <w:rPr>
          <w:rFonts w:hint="eastAsia" w:ascii="宋体" w:hAnsi="宋体" w:cs="黑体"/>
          <w:bCs/>
          <w:color w:val="5B9BD5"/>
          <w:kern w:val="2"/>
        </w:rPr>
        <w:t>表1  钢结构住宅的通风换气要求</w:t>
      </w:r>
    </w:p>
    <w:tbl>
      <w:tblPr>
        <w:tblStyle w:val="17"/>
        <w:tblW w:w="8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417"/>
        <w:gridCol w:w="1480"/>
        <w:gridCol w:w="1659"/>
        <w:gridCol w:w="1822"/>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gridSpan w:val="2"/>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房间名称</w:t>
            </w:r>
          </w:p>
        </w:tc>
        <w:tc>
          <w:tcPr>
            <w:tcW w:w="1480"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换气次数（次/h）</w:t>
            </w:r>
          </w:p>
        </w:tc>
        <w:tc>
          <w:tcPr>
            <w:tcW w:w="1659"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进风</w:t>
            </w:r>
          </w:p>
        </w:tc>
        <w:tc>
          <w:tcPr>
            <w:tcW w:w="1822"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排风</w:t>
            </w:r>
          </w:p>
        </w:tc>
        <w:tc>
          <w:tcPr>
            <w:tcW w:w="1497"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风机设置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gridSpan w:val="2"/>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卧室、起居室（厅）、书房</w:t>
            </w:r>
          </w:p>
        </w:tc>
        <w:tc>
          <w:tcPr>
            <w:tcW w:w="1480"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1</w:t>
            </w:r>
          </w:p>
        </w:tc>
        <w:tc>
          <w:tcPr>
            <w:tcW w:w="1659"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开窗、渗透、微量通风器</w:t>
            </w:r>
          </w:p>
        </w:tc>
        <w:tc>
          <w:tcPr>
            <w:tcW w:w="1822"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开窗、渗透；其他负压房间</w:t>
            </w:r>
          </w:p>
        </w:tc>
        <w:tc>
          <w:tcPr>
            <w:tcW w:w="1497"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厨房</w:t>
            </w:r>
          </w:p>
        </w:tc>
        <w:tc>
          <w:tcPr>
            <w:tcW w:w="1417"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有燃烧器具</w:t>
            </w:r>
          </w:p>
        </w:tc>
        <w:tc>
          <w:tcPr>
            <w:tcW w:w="1480"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按现行行业标准《家用燃气燃烧器具安装及验收规程》C</w:t>
            </w:r>
            <w:r>
              <w:rPr>
                <w:rFonts w:ascii="宋体" w:hAnsi="宋体" w:cs="黑体"/>
                <w:bCs/>
                <w:color w:val="5B9BD5"/>
                <w:kern w:val="2"/>
                <w:szCs w:val="20"/>
              </w:rPr>
              <w:t>JJ 12</w:t>
            </w:r>
            <w:r>
              <w:rPr>
                <w:rFonts w:hint="eastAsia" w:ascii="宋体" w:hAnsi="宋体" w:cs="黑体"/>
                <w:bCs/>
                <w:color w:val="5B9BD5"/>
                <w:kern w:val="2"/>
                <w:szCs w:val="20"/>
              </w:rPr>
              <w:t>计算</w:t>
            </w:r>
          </w:p>
        </w:tc>
        <w:tc>
          <w:tcPr>
            <w:tcW w:w="1659"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窗、户内空间（通风开口面积不小于0</w:t>
            </w:r>
            <w:r>
              <w:rPr>
                <w:rFonts w:ascii="宋体" w:hAnsi="宋体" w:cs="黑体"/>
                <w:bCs/>
                <w:color w:val="5B9BD5"/>
                <w:kern w:val="2"/>
                <w:szCs w:val="20"/>
              </w:rPr>
              <w:t>.6</w:t>
            </w:r>
            <w:r>
              <w:rPr>
                <w:rFonts w:hint="eastAsia" w:ascii="宋体" w:hAnsi="宋体" w:cs="黑体"/>
                <w:bCs/>
                <w:color w:val="5B9BD5"/>
                <w:kern w:val="2"/>
                <w:szCs w:val="20"/>
              </w:rPr>
              <w:t>㎡）</w:t>
            </w:r>
          </w:p>
        </w:tc>
        <w:tc>
          <w:tcPr>
            <w:tcW w:w="1822"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烟道、外墙风扇</w:t>
            </w:r>
          </w:p>
        </w:tc>
        <w:tc>
          <w:tcPr>
            <w:tcW w:w="1497"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应设风机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21"/>
              <w:ind w:firstLine="0" w:firstLineChars="0"/>
              <w:jc w:val="center"/>
              <w:rPr>
                <w:rFonts w:ascii="宋体" w:hAnsi="宋体" w:cs="黑体"/>
                <w:bCs/>
                <w:color w:val="5B9BD5"/>
                <w:kern w:val="2"/>
                <w:szCs w:val="20"/>
              </w:rPr>
            </w:pPr>
          </w:p>
        </w:tc>
        <w:tc>
          <w:tcPr>
            <w:tcW w:w="1417"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无燃烧器具</w:t>
            </w:r>
          </w:p>
        </w:tc>
        <w:tc>
          <w:tcPr>
            <w:tcW w:w="1480"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3</w:t>
            </w:r>
            <w:r>
              <w:rPr>
                <w:rFonts w:ascii="宋体" w:hAnsi="宋体" w:cs="黑体"/>
                <w:bCs/>
                <w:color w:val="5B9BD5"/>
                <w:kern w:val="2"/>
                <w:szCs w:val="20"/>
              </w:rPr>
              <w:t>~5</w:t>
            </w:r>
          </w:p>
        </w:tc>
        <w:tc>
          <w:tcPr>
            <w:tcW w:w="1659"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窗、户内空间</w:t>
            </w:r>
          </w:p>
        </w:tc>
        <w:tc>
          <w:tcPr>
            <w:tcW w:w="1822"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烟道、外墙风扇</w:t>
            </w:r>
          </w:p>
        </w:tc>
        <w:tc>
          <w:tcPr>
            <w:tcW w:w="1497"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应设风机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浴室</w:t>
            </w:r>
          </w:p>
        </w:tc>
        <w:tc>
          <w:tcPr>
            <w:tcW w:w="1417"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冬</w:t>
            </w:r>
          </w:p>
        </w:tc>
        <w:tc>
          <w:tcPr>
            <w:tcW w:w="1480"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5</w:t>
            </w:r>
          </w:p>
        </w:tc>
        <w:tc>
          <w:tcPr>
            <w:tcW w:w="1659"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窗、户内空间</w:t>
            </w:r>
          </w:p>
        </w:tc>
        <w:tc>
          <w:tcPr>
            <w:tcW w:w="1822"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风道</w:t>
            </w:r>
          </w:p>
        </w:tc>
        <w:tc>
          <w:tcPr>
            <w:tcW w:w="1497"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宜设两档风机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21"/>
              <w:ind w:firstLine="0" w:firstLineChars="0"/>
              <w:jc w:val="center"/>
              <w:rPr>
                <w:rFonts w:ascii="宋体" w:hAnsi="宋体" w:cs="黑体"/>
                <w:bCs/>
                <w:color w:val="5B9BD5"/>
                <w:kern w:val="2"/>
                <w:szCs w:val="20"/>
              </w:rPr>
            </w:pPr>
          </w:p>
        </w:tc>
        <w:tc>
          <w:tcPr>
            <w:tcW w:w="1417"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夏</w:t>
            </w:r>
          </w:p>
        </w:tc>
        <w:tc>
          <w:tcPr>
            <w:tcW w:w="1480"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1</w:t>
            </w:r>
            <w:r>
              <w:rPr>
                <w:rFonts w:ascii="宋体" w:hAnsi="宋体" w:cs="黑体"/>
                <w:bCs/>
                <w:color w:val="5B9BD5"/>
                <w:kern w:val="2"/>
                <w:szCs w:val="20"/>
              </w:rPr>
              <w:t>0</w:t>
            </w:r>
          </w:p>
        </w:tc>
        <w:tc>
          <w:tcPr>
            <w:tcW w:w="1659"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窗、户内空间</w:t>
            </w:r>
          </w:p>
        </w:tc>
        <w:tc>
          <w:tcPr>
            <w:tcW w:w="1822"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风道或窗</w:t>
            </w:r>
          </w:p>
        </w:tc>
        <w:tc>
          <w:tcPr>
            <w:tcW w:w="1497"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宜设两档风机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26" w:type="dxa"/>
            <w:vMerge w:val="restart"/>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卫生间</w:t>
            </w:r>
          </w:p>
        </w:tc>
        <w:tc>
          <w:tcPr>
            <w:tcW w:w="1417"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有窗</w:t>
            </w:r>
          </w:p>
        </w:tc>
        <w:tc>
          <w:tcPr>
            <w:tcW w:w="1480"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1</w:t>
            </w:r>
            <w:r>
              <w:rPr>
                <w:rFonts w:ascii="宋体" w:hAnsi="宋体" w:cs="黑体"/>
                <w:bCs/>
                <w:color w:val="5B9BD5"/>
                <w:kern w:val="2"/>
                <w:szCs w:val="20"/>
              </w:rPr>
              <w:t>5</w:t>
            </w:r>
          </w:p>
        </w:tc>
        <w:tc>
          <w:tcPr>
            <w:tcW w:w="1659"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窗、户内空间</w:t>
            </w:r>
          </w:p>
        </w:tc>
        <w:tc>
          <w:tcPr>
            <w:tcW w:w="1822"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风道</w:t>
            </w:r>
          </w:p>
        </w:tc>
        <w:tc>
          <w:tcPr>
            <w:tcW w:w="1497"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宜设两档风机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pStyle w:val="21"/>
              <w:ind w:firstLine="0" w:firstLineChars="0"/>
              <w:jc w:val="center"/>
              <w:rPr>
                <w:rFonts w:ascii="宋体" w:hAnsi="宋体" w:cs="黑体"/>
                <w:bCs/>
                <w:color w:val="5B9BD5"/>
                <w:kern w:val="2"/>
                <w:szCs w:val="20"/>
              </w:rPr>
            </w:pPr>
          </w:p>
        </w:tc>
        <w:tc>
          <w:tcPr>
            <w:tcW w:w="1417"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无窗</w:t>
            </w:r>
          </w:p>
        </w:tc>
        <w:tc>
          <w:tcPr>
            <w:tcW w:w="1480"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1</w:t>
            </w:r>
            <w:r>
              <w:rPr>
                <w:rFonts w:ascii="宋体" w:hAnsi="宋体" w:cs="黑体"/>
                <w:bCs/>
                <w:color w:val="5B9BD5"/>
                <w:kern w:val="2"/>
                <w:szCs w:val="20"/>
              </w:rPr>
              <w:t>5</w:t>
            </w:r>
          </w:p>
        </w:tc>
        <w:tc>
          <w:tcPr>
            <w:tcW w:w="1659"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户内空间</w:t>
            </w:r>
          </w:p>
        </w:tc>
        <w:tc>
          <w:tcPr>
            <w:tcW w:w="1822"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风道</w:t>
            </w:r>
          </w:p>
        </w:tc>
        <w:tc>
          <w:tcPr>
            <w:tcW w:w="1497"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宜设两档风机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gridSpan w:val="2"/>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洗衣（盥洗）间</w:t>
            </w:r>
          </w:p>
        </w:tc>
        <w:tc>
          <w:tcPr>
            <w:tcW w:w="1480"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1</w:t>
            </w:r>
            <w:r>
              <w:rPr>
                <w:rFonts w:ascii="宋体" w:hAnsi="宋体" w:cs="黑体"/>
                <w:bCs/>
                <w:color w:val="5B9BD5"/>
                <w:kern w:val="2"/>
                <w:szCs w:val="20"/>
              </w:rPr>
              <w:t>0</w:t>
            </w:r>
          </w:p>
        </w:tc>
        <w:tc>
          <w:tcPr>
            <w:tcW w:w="1659"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窗、户内空间</w:t>
            </w:r>
          </w:p>
        </w:tc>
        <w:tc>
          <w:tcPr>
            <w:tcW w:w="1822"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风道、连通的负压房间</w:t>
            </w:r>
          </w:p>
        </w:tc>
        <w:tc>
          <w:tcPr>
            <w:tcW w:w="1497" w:type="dxa"/>
            <w:vAlign w:val="center"/>
          </w:tcPr>
          <w:p>
            <w:pPr>
              <w:pStyle w:val="21"/>
              <w:ind w:firstLine="0" w:firstLineChars="0"/>
              <w:jc w:val="center"/>
              <w:rPr>
                <w:rFonts w:ascii="宋体" w:hAnsi="宋体" w:cs="黑体"/>
                <w:bCs/>
                <w:color w:val="5B9BD5"/>
                <w:kern w:val="2"/>
                <w:szCs w:val="20"/>
              </w:rPr>
            </w:pPr>
            <w:r>
              <w:rPr>
                <w:rFonts w:hint="eastAsia" w:ascii="宋体" w:hAnsi="宋体" w:cs="黑体"/>
                <w:bCs/>
                <w:color w:val="5B9BD5"/>
                <w:kern w:val="2"/>
                <w:szCs w:val="20"/>
              </w:rPr>
              <w:t>可设风机</w:t>
            </w:r>
          </w:p>
        </w:tc>
      </w:tr>
    </w:tbl>
    <w:p>
      <w:pPr>
        <w:spacing w:line="360" w:lineRule="auto"/>
        <w:rPr>
          <w:rFonts w:ascii="宋体" w:hAnsi="宋体" w:cs="黑体"/>
          <w:bCs/>
          <w:color w:val="5B9BD5"/>
          <w:kern w:val="2"/>
        </w:rPr>
      </w:pPr>
      <w:r>
        <w:rPr>
          <w:rFonts w:hint="eastAsia" w:ascii="宋体" w:hAnsi="宋体" w:cs="黑体"/>
          <w:bCs/>
          <w:color w:val="5B9BD5"/>
          <w:kern w:val="2"/>
        </w:rPr>
        <w:t>说明如下：</w:t>
      </w:r>
    </w:p>
    <w:p>
      <w:pPr>
        <w:spacing w:line="360" w:lineRule="auto"/>
        <w:rPr>
          <w:rFonts w:ascii="宋体" w:hAnsi="宋体" w:cs="黑体"/>
          <w:bCs/>
          <w:color w:val="5B9BD5"/>
          <w:kern w:val="2"/>
        </w:rPr>
      </w:pPr>
      <w:r>
        <w:rPr>
          <w:rFonts w:hint="eastAsia" w:ascii="宋体" w:hAnsi="宋体" w:cs="黑体"/>
          <w:bCs/>
          <w:color w:val="5B9BD5"/>
          <w:kern w:val="2"/>
        </w:rPr>
        <w:t>1）</w:t>
      </w:r>
      <w:r>
        <w:rPr>
          <w:rFonts w:hint="eastAsia" w:ascii="宋体" w:hAnsi="宋体" w:cs="黑体"/>
          <w:bCs/>
          <w:color w:val="5B9BD5"/>
          <w:kern w:val="2"/>
        </w:rPr>
        <w:tab/>
      </w:r>
      <w:r>
        <w:rPr>
          <w:rFonts w:hint="eastAsia" w:ascii="宋体" w:hAnsi="宋体" w:cs="黑体"/>
          <w:bCs/>
          <w:color w:val="5B9BD5"/>
          <w:kern w:val="2"/>
        </w:rPr>
        <w:t>通常情况下，外窗相应的进气量远远达不到规定的换气量，同时由于存在进气阻力，厨房、卫生间的风扇效率会降低，达不到标定的换气量；在夏热地区关窗使用空调时也存在同样的问题。如果采用开窗换气则容易产生换气过量造成热损失，故表中建议使用窗用微量通风器（带过滤层）或微量通风窗框，有条件时也可以采用节能型的双向换气机；</w:t>
      </w:r>
    </w:p>
    <w:p>
      <w:pPr>
        <w:spacing w:line="360" w:lineRule="auto"/>
        <w:rPr>
          <w:rFonts w:ascii="宋体" w:hAnsi="宋体" w:cs="黑体"/>
          <w:bCs/>
          <w:color w:val="5B9BD5"/>
          <w:kern w:val="2"/>
        </w:rPr>
      </w:pPr>
      <w:r>
        <w:rPr>
          <w:rFonts w:hint="eastAsia" w:ascii="宋体" w:hAnsi="宋体" w:cs="黑体"/>
          <w:bCs/>
          <w:color w:val="5B9BD5"/>
          <w:kern w:val="2"/>
        </w:rPr>
        <w:t>2）</w:t>
      </w:r>
      <w:r>
        <w:rPr>
          <w:rFonts w:hint="eastAsia" w:ascii="宋体" w:hAnsi="宋体" w:cs="黑体"/>
          <w:bCs/>
          <w:color w:val="5B9BD5"/>
          <w:kern w:val="2"/>
        </w:rPr>
        <w:tab/>
      </w:r>
      <w:r>
        <w:rPr>
          <w:rFonts w:hint="eastAsia" w:ascii="宋体" w:hAnsi="宋体" w:cs="黑体"/>
          <w:bCs/>
          <w:color w:val="5B9BD5"/>
          <w:kern w:val="2"/>
        </w:rPr>
        <w:t>住宅厨房、浴室和卫生间采用排风扇时，启动后产生负压，其他厅、室至门窗处相对正压，可提供气源，故应保证气流的通道，可通过门百页、扫地缝等开口部进风。如设有窗用微量通风器装置，就可能达到一个比较理想的气量平衡；</w:t>
      </w:r>
    </w:p>
    <w:p>
      <w:pPr>
        <w:spacing w:line="360" w:lineRule="auto"/>
        <w:rPr>
          <w:rFonts w:ascii="宋体" w:hAnsi="宋体" w:cs="黑体"/>
          <w:bCs/>
          <w:color w:val="5B9BD5"/>
          <w:kern w:val="2"/>
        </w:rPr>
      </w:pPr>
      <w:r>
        <w:rPr>
          <w:rFonts w:hint="eastAsia" w:ascii="宋体" w:hAnsi="宋体" w:cs="黑体"/>
          <w:bCs/>
          <w:color w:val="5B9BD5"/>
          <w:kern w:val="2"/>
        </w:rPr>
        <w:t>3）</w:t>
      </w:r>
      <w:r>
        <w:rPr>
          <w:rFonts w:hint="eastAsia" w:ascii="宋体" w:hAnsi="宋体" w:cs="黑体"/>
          <w:bCs/>
          <w:color w:val="5B9BD5"/>
          <w:kern w:val="2"/>
        </w:rPr>
        <w:tab/>
      </w:r>
      <w:r>
        <w:rPr>
          <w:rFonts w:hint="eastAsia" w:ascii="宋体" w:hAnsi="宋体" w:cs="黑体"/>
          <w:bCs/>
          <w:color w:val="5B9BD5"/>
          <w:kern w:val="2"/>
        </w:rPr>
        <w:t>目前市场上提供的浴室、卫生间排气扇一般排气量较大，只要开启就会超过合理的换气次数，使用者感到不舒服。日本的一些住宅使用带有强弱档的风扇，平时弱档常开，需要时换强档加大换气量，同时也使套内存在一个经常性的负压源，有利于整个套内的换气；</w:t>
      </w:r>
    </w:p>
    <w:p>
      <w:pPr>
        <w:spacing w:line="360" w:lineRule="auto"/>
        <w:rPr>
          <w:rFonts w:ascii="宋体" w:hAnsi="宋体" w:cs="黑体"/>
          <w:bCs/>
          <w:color w:val="5B9BD5"/>
          <w:kern w:val="2"/>
        </w:rPr>
      </w:pPr>
      <w:r>
        <w:rPr>
          <w:rFonts w:hint="eastAsia" w:ascii="宋体" w:hAnsi="宋体" w:cs="黑体"/>
          <w:bCs/>
          <w:color w:val="5B9BD5"/>
          <w:kern w:val="2"/>
        </w:rPr>
        <w:t>4）</w:t>
      </w:r>
      <w:r>
        <w:rPr>
          <w:rFonts w:hint="eastAsia" w:ascii="宋体" w:hAnsi="宋体" w:cs="黑体"/>
          <w:bCs/>
          <w:color w:val="5B9BD5"/>
          <w:kern w:val="2"/>
        </w:rPr>
        <w:tab/>
      </w:r>
      <w:r>
        <w:rPr>
          <w:rFonts w:hint="eastAsia" w:ascii="宋体" w:hAnsi="宋体" w:cs="黑体"/>
          <w:bCs/>
          <w:color w:val="5B9BD5"/>
          <w:kern w:val="2"/>
        </w:rPr>
        <w:t>按照现行行业标准《家用燃气燃烧器具安装及验收规程》CJJ 12计算厨房换气量，需要按燃气理论烟气量和燃具热流量计算自然换气和机械换气，计算比较复杂，故也可参照日本标准取420m³/h,或取20~30次/h；</w:t>
      </w:r>
    </w:p>
    <w:p>
      <w:pPr>
        <w:spacing w:line="360" w:lineRule="auto"/>
        <w:rPr>
          <w:rFonts w:ascii="宋体" w:hAnsi="宋体" w:cs="黑体"/>
          <w:bCs/>
          <w:color w:val="5B9BD5"/>
          <w:kern w:val="2"/>
        </w:rPr>
      </w:pPr>
      <w:r>
        <w:rPr>
          <w:rFonts w:hint="eastAsia" w:ascii="宋体" w:hAnsi="宋体" w:cs="黑体"/>
          <w:bCs/>
          <w:color w:val="5B9BD5"/>
          <w:kern w:val="2"/>
        </w:rPr>
        <w:t>5）</w:t>
      </w:r>
      <w:r>
        <w:rPr>
          <w:rFonts w:hint="eastAsia" w:ascii="宋体" w:hAnsi="宋体" w:cs="黑体"/>
          <w:bCs/>
          <w:color w:val="5B9BD5"/>
          <w:kern w:val="2"/>
        </w:rPr>
        <w:tab/>
      </w:r>
      <w:r>
        <w:rPr>
          <w:rFonts w:hint="eastAsia" w:ascii="宋体" w:hAnsi="宋体" w:cs="黑体"/>
          <w:bCs/>
          <w:color w:val="5B9BD5"/>
          <w:kern w:val="2"/>
        </w:rPr>
        <w:t>家用换气风扇额定排气量一般在4m³/min~10m³/min，可根据需要选用。目前许多国产的换气风扇噪声较大，影响室内环境，因此开发低噪声、多档级的换气风扇，在设计中考虑换气风扇的综合调节作用，将有助于改善住宅的空气质量环境。</w:t>
      </w:r>
    </w:p>
    <w:p>
      <w:pPr>
        <w:spacing w:line="360" w:lineRule="auto"/>
        <w:rPr>
          <w:rFonts w:ascii="宋体" w:hAnsi="宋体" w:cs="宋体"/>
          <w:color w:val="auto"/>
          <w:sz w:val="24"/>
          <w:szCs w:val="24"/>
        </w:rPr>
      </w:pPr>
      <w:r>
        <w:rPr>
          <w:b/>
          <w:bCs/>
          <w:color w:val="auto"/>
          <w:kern w:val="2"/>
          <w:sz w:val="24"/>
          <w:szCs w:val="24"/>
        </w:rPr>
        <w:t xml:space="preserve">5.5.6 </w:t>
      </w:r>
      <w:r>
        <w:rPr>
          <w:rFonts w:hint="eastAsia" w:ascii="宋体" w:hAnsi="宋体" w:cs="宋体"/>
          <w:color w:val="auto"/>
          <w:sz w:val="24"/>
          <w:szCs w:val="24"/>
        </w:rPr>
        <w:t>钢结构住宅室内装修应控制的空气污染物为氡、游离甲醛、氨、苯和总挥发性有机物（T</w:t>
      </w:r>
      <w:r>
        <w:rPr>
          <w:rFonts w:ascii="宋体" w:hAnsi="宋体" w:cs="宋体"/>
          <w:color w:val="auto"/>
          <w:sz w:val="24"/>
          <w:szCs w:val="24"/>
        </w:rPr>
        <w:t>VOC</w:t>
      </w:r>
      <w:r>
        <w:rPr>
          <w:rFonts w:hint="eastAsia" w:ascii="宋体" w:hAnsi="宋体" w:cs="宋体"/>
          <w:color w:val="auto"/>
          <w:sz w:val="24"/>
          <w:szCs w:val="24"/>
        </w:rPr>
        <w:t>）和无机非金属材料放射性，其各项浓度限值应符合现行国家标准《民用建筑工程室内环境污染控制标准》G</w:t>
      </w:r>
      <w:r>
        <w:rPr>
          <w:rFonts w:ascii="宋体" w:hAnsi="宋体" w:cs="宋体"/>
          <w:color w:val="auto"/>
          <w:sz w:val="24"/>
          <w:szCs w:val="24"/>
        </w:rPr>
        <w:t>B 50325</w:t>
      </w:r>
      <w:r>
        <w:rPr>
          <w:rFonts w:hint="eastAsia" w:ascii="宋体" w:hAnsi="宋体" w:cs="宋体"/>
          <w:color w:val="auto"/>
          <w:sz w:val="24"/>
          <w:szCs w:val="24"/>
        </w:rPr>
        <w:t>和《住宅装饰装修工程施工规范》G</w:t>
      </w:r>
      <w:r>
        <w:rPr>
          <w:rFonts w:ascii="宋体" w:hAnsi="宋体" w:cs="宋体"/>
          <w:color w:val="auto"/>
          <w:sz w:val="24"/>
          <w:szCs w:val="24"/>
        </w:rPr>
        <w:t>B 50327</w:t>
      </w:r>
      <w:r>
        <w:rPr>
          <w:rFonts w:hint="eastAsia" w:ascii="宋体" w:hAnsi="宋体" w:cs="宋体"/>
          <w:color w:val="auto"/>
          <w:sz w:val="24"/>
          <w:szCs w:val="24"/>
        </w:rPr>
        <w:t>的规定。</w:t>
      </w:r>
    </w:p>
    <w:p>
      <w:pPr>
        <w:spacing w:line="360" w:lineRule="auto"/>
        <w:rPr>
          <w:rFonts w:ascii="宋体" w:hAnsi="宋体" w:cs="黑体"/>
          <w:bCs/>
          <w:color w:val="5B9BD5"/>
          <w:kern w:val="2"/>
        </w:rPr>
      </w:pPr>
      <w:r>
        <w:rPr>
          <w:rFonts w:hint="eastAsia" w:ascii="宋体" w:hAnsi="宋体" w:cs="黑体"/>
          <w:b/>
          <w:color w:val="auto"/>
        </w:rPr>
        <w:t>【条文说明】</w:t>
      </w:r>
      <w:r>
        <w:rPr>
          <w:rFonts w:hint="eastAsia" w:cs="黑体"/>
          <w:b/>
          <w:color w:val="auto"/>
        </w:rPr>
        <w:t>：</w:t>
      </w:r>
      <w:r>
        <w:rPr>
          <w:rFonts w:hint="eastAsia" w:ascii="宋体" w:hAnsi="宋体" w:cs="黑体"/>
          <w:bCs/>
          <w:color w:val="5B9BD5"/>
          <w:kern w:val="2"/>
        </w:rPr>
        <w:t>现行国家标准《民用建筑工程室内环境污染控制规范》GB 50325规定了为达到室内环境污染物浓度限值而必须采取的设计措施和施工措施，但实际上一般住宅设计文件达不到对等的深度；施工中对种类繁多的材料及工程做法的监督也是非常繁杂的业务。如果是二次装修，则为若干分散的合同，难以事前控制，在这种情况下，钢结构住宅一次装修到位，进而发展为工厂化预制装配式装修和现场用料集中配送就会有极大的优势，表现在：</w:t>
      </w:r>
    </w:p>
    <w:p>
      <w:pPr>
        <w:spacing w:line="360" w:lineRule="auto"/>
        <w:rPr>
          <w:rFonts w:ascii="宋体" w:hAnsi="宋体" w:cs="黑体"/>
          <w:bCs/>
          <w:color w:val="5B9BD5"/>
          <w:kern w:val="2"/>
        </w:rPr>
      </w:pPr>
      <w:r>
        <w:rPr>
          <w:rFonts w:hint="eastAsia" w:ascii="宋体" w:hAnsi="宋体" w:cs="黑体"/>
          <w:bCs/>
          <w:color w:val="5B9BD5"/>
          <w:kern w:val="2"/>
        </w:rPr>
        <w:t>1）</w:t>
      </w:r>
      <w:r>
        <w:rPr>
          <w:rFonts w:hint="eastAsia" w:ascii="宋体" w:hAnsi="宋体" w:cs="黑体"/>
          <w:bCs/>
          <w:color w:val="5B9BD5"/>
          <w:kern w:val="2"/>
        </w:rPr>
        <w:tab/>
      </w:r>
      <w:r>
        <w:rPr>
          <w:rFonts w:hint="eastAsia" w:ascii="宋体" w:hAnsi="宋体" w:cs="黑体"/>
          <w:bCs/>
          <w:color w:val="5B9BD5"/>
          <w:kern w:val="2"/>
        </w:rPr>
        <w:t>工厂用料和现场用料可集中检验，便于质量控制；</w:t>
      </w:r>
    </w:p>
    <w:p>
      <w:pPr>
        <w:spacing w:line="360" w:lineRule="auto"/>
        <w:rPr>
          <w:rFonts w:ascii="宋体" w:hAnsi="宋体" w:cs="黑体"/>
          <w:bCs/>
          <w:color w:val="5B9BD5"/>
          <w:kern w:val="2"/>
        </w:rPr>
      </w:pPr>
      <w:r>
        <w:rPr>
          <w:rFonts w:hint="eastAsia" w:ascii="宋体" w:hAnsi="宋体" w:cs="黑体"/>
          <w:bCs/>
          <w:color w:val="5B9BD5"/>
          <w:kern w:val="2"/>
        </w:rPr>
        <w:t>2）</w:t>
      </w:r>
      <w:r>
        <w:rPr>
          <w:rFonts w:hint="eastAsia" w:ascii="宋体" w:hAnsi="宋体" w:cs="黑体"/>
          <w:bCs/>
          <w:color w:val="5B9BD5"/>
          <w:kern w:val="2"/>
        </w:rPr>
        <w:tab/>
      </w:r>
      <w:r>
        <w:rPr>
          <w:rFonts w:hint="eastAsia" w:ascii="宋体" w:hAnsi="宋体" w:cs="黑体"/>
          <w:bCs/>
          <w:color w:val="5B9BD5"/>
          <w:kern w:val="2"/>
        </w:rPr>
        <w:t>预制装修部件在工厂用机械化手段生产，会大大减少污染材料的用量和现场挥发性作业。</w:t>
      </w:r>
    </w:p>
    <w:p>
      <w:pPr>
        <w:spacing w:line="360" w:lineRule="auto"/>
        <w:rPr>
          <w:rFonts w:ascii="宋体" w:hAnsi="宋体" w:cs="黑体"/>
          <w:bCs/>
          <w:color w:val="5B9BD5"/>
          <w:kern w:val="2"/>
        </w:rPr>
      </w:pPr>
      <w:r>
        <w:rPr>
          <w:rFonts w:hint="eastAsia" w:ascii="宋体" w:hAnsi="宋体" w:cs="黑体"/>
          <w:bCs/>
          <w:color w:val="5B9BD5"/>
          <w:kern w:val="2"/>
        </w:rPr>
        <w:t>因此，工厂化预制装配式装修应能有效控制污染。</w:t>
      </w:r>
    </w:p>
    <w:p>
      <w:pPr>
        <w:pStyle w:val="3"/>
        <w:spacing w:line="360" w:lineRule="auto"/>
        <w:jc w:val="center"/>
        <w:rPr>
          <w:rFonts w:ascii="宋体" w:hAnsi="宋体" w:eastAsia="宋体"/>
          <w:color w:val="auto"/>
          <w:sz w:val="28"/>
          <w:szCs w:val="28"/>
        </w:rPr>
      </w:pPr>
      <w:bookmarkStart w:id="23" w:name="_Toc103958749"/>
      <w:r>
        <w:rPr>
          <w:rFonts w:ascii="Times New Roman" w:hAnsi="Times New Roman" w:eastAsia="宋体" w:cs="Times New Roman"/>
          <w:color w:val="auto"/>
          <w:sz w:val="28"/>
          <w:szCs w:val="28"/>
        </w:rPr>
        <w:t>5.6</w:t>
      </w:r>
      <w:r>
        <w:rPr>
          <w:rFonts w:ascii="宋体" w:hAnsi="宋体" w:eastAsia="宋体"/>
          <w:color w:val="auto"/>
          <w:sz w:val="28"/>
          <w:szCs w:val="28"/>
        </w:rPr>
        <w:t xml:space="preserve">  </w:t>
      </w:r>
      <w:r>
        <w:rPr>
          <w:rFonts w:hint="eastAsia" w:ascii="宋体" w:hAnsi="宋体" w:eastAsia="宋体"/>
          <w:color w:val="auto"/>
          <w:sz w:val="28"/>
          <w:szCs w:val="28"/>
        </w:rPr>
        <w:t>围护系统</w:t>
      </w:r>
      <w:bookmarkEnd w:id="23"/>
    </w:p>
    <w:p>
      <w:pPr>
        <w:pStyle w:val="14"/>
        <w:shd w:val="clear" w:color="auto" w:fill="FFFFFF"/>
        <w:spacing w:before="0" w:beforeAutospacing="0" w:after="0" w:afterAutospacing="0" w:line="360" w:lineRule="auto"/>
        <w:rPr>
          <w:rFonts w:ascii="Times New Roman" w:hAnsi="Times New Roman" w:cs="Times New Roman"/>
          <w:b/>
          <w:bCs/>
          <w:kern w:val="2"/>
        </w:rPr>
      </w:pPr>
      <w:r>
        <w:rPr>
          <w:rFonts w:ascii="Times New Roman" w:hAnsi="Times New Roman" w:cs="Times New Roman"/>
          <w:b/>
          <w:bCs/>
          <w:kern w:val="2"/>
        </w:rPr>
        <w:t>5</w:t>
      </w:r>
      <w:r>
        <w:rPr>
          <w:rFonts w:hint="eastAsia" w:ascii="Times New Roman" w:hAnsi="Times New Roman" w:cs="Times New Roman"/>
          <w:b/>
          <w:bCs/>
          <w:kern w:val="2"/>
        </w:rPr>
        <w:t>.</w:t>
      </w:r>
      <w:r>
        <w:rPr>
          <w:rFonts w:ascii="Times New Roman" w:hAnsi="Times New Roman" w:cs="Times New Roman"/>
          <w:b/>
          <w:bCs/>
          <w:kern w:val="2"/>
        </w:rPr>
        <w:t>6</w:t>
      </w:r>
      <w:r>
        <w:rPr>
          <w:rFonts w:hint="eastAsia" w:ascii="Times New Roman" w:hAnsi="Times New Roman" w:cs="Times New Roman"/>
          <w:b/>
          <w:bCs/>
          <w:kern w:val="2"/>
        </w:rPr>
        <w:t xml:space="preserve">.1 </w:t>
      </w:r>
      <w:r>
        <w:rPr>
          <w:rFonts w:hint="eastAsia" w:ascii="Times New Roman" w:hAnsi="Times New Roman" w:cs="Times New Roman"/>
          <w:kern w:val="2"/>
        </w:rPr>
        <w:t>钢结构住宅围护系统应遵循标准化、模块化、通用化的原则，宜采用结构、保温、隔声、防火、防水、防腐、装饰等一体化协同设计，并应与结构系统、内装系统，设备及管线系统协调，预留安装条件。</w:t>
      </w:r>
    </w:p>
    <w:p>
      <w:pPr>
        <w:pStyle w:val="14"/>
        <w:shd w:val="clear" w:color="auto" w:fill="FFFFFF"/>
        <w:spacing w:before="0" w:beforeAutospacing="0" w:after="0" w:afterAutospacing="0" w:line="360" w:lineRule="auto"/>
        <w:rPr>
          <w:rFonts w:ascii="Times New Roman" w:hAnsi="Times New Roman" w:cs="Times New Roman"/>
          <w:kern w:val="2"/>
        </w:rPr>
      </w:pPr>
      <w:r>
        <w:rPr>
          <w:rFonts w:ascii="Times New Roman" w:hAnsi="Times New Roman" w:cs="Times New Roman"/>
          <w:b/>
          <w:bCs/>
          <w:kern w:val="2"/>
        </w:rPr>
        <w:t>5.6.2</w:t>
      </w:r>
      <w:r>
        <w:rPr>
          <w:rFonts w:hint="eastAsia" w:ascii="Times New Roman" w:hAnsi="Times New Roman" w:cs="Times New Roman"/>
          <w:b/>
          <w:bCs/>
          <w:kern w:val="2"/>
        </w:rPr>
        <w:t xml:space="preserve"> </w:t>
      </w:r>
      <w:r>
        <w:rPr>
          <w:rFonts w:hint="eastAsia" w:ascii="Times New Roman" w:hAnsi="Times New Roman" w:cs="Times New Roman"/>
          <w:kern w:val="2"/>
        </w:rPr>
        <w:t>钢结构住宅围护系统设计应考虑以下内容：</w:t>
      </w:r>
    </w:p>
    <w:p>
      <w:pPr>
        <w:pStyle w:val="14"/>
        <w:shd w:val="clear" w:color="auto" w:fill="FFFFFF"/>
        <w:spacing w:before="0" w:beforeAutospacing="0" w:after="0" w:afterAutospacing="0" w:line="360" w:lineRule="auto"/>
        <w:rPr>
          <w:rFonts w:ascii="Times New Roman" w:hAnsi="Times New Roman" w:cs="Times New Roman"/>
          <w:kern w:val="2"/>
        </w:rPr>
      </w:pPr>
      <w:r>
        <w:rPr>
          <w:rFonts w:hint="eastAsia" w:ascii="Times New Roman" w:hAnsi="Times New Roman" w:cs="Times New Roman"/>
          <w:kern w:val="2"/>
        </w:rPr>
        <w:t>1</w:t>
      </w:r>
      <w:r>
        <w:rPr>
          <w:rFonts w:ascii="Times New Roman" w:hAnsi="Times New Roman" w:cs="Times New Roman"/>
          <w:kern w:val="2"/>
        </w:rPr>
        <w:t xml:space="preserve"> </w:t>
      </w:r>
      <w:r>
        <w:rPr>
          <w:rFonts w:hint="eastAsia" w:ascii="Times New Roman" w:hAnsi="Times New Roman" w:cs="Times New Roman"/>
          <w:kern w:val="2"/>
        </w:rPr>
        <w:t>围护系统应根据项目所在地的气候条件、使用功能等综合确定安全性、功能性和耐久性能等要求。其中内外墙体性能要求应符合本规范第</w:t>
      </w:r>
      <w:r>
        <w:rPr>
          <w:rFonts w:ascii="Times New Roman" w:hAnsi="Times New Roman" w:cs="Times New Roman"/>
          <w:kern w:val="2"/>
        </w:rPr>
        <w:t>7.2</w:t>
      </w:r>
      <w:r>
        <w:rPr>
          <w:rFonts w:hint="eastAsia" w:ascii="Times New Roman" w:hAnsi="Times New Roman" w:cs="Times New Roman"/>
          <w:kern w:val="2"/>
        </w:rPr>
        <w:t>小节各项要求，屋面系统性能要求应符合本规范</w:t>
      </w:r>
      <w:r>
        <w:rPr>
          <w:rFonts w:ascii="Times New Roman" w:hAnsi="Times New Roman" w:cs="Times New Roman"/>
          <w:kern w:val="2"/>
        </w:rPr>
        <w:t>6.7</w:t>
      </w:r>
      <w:r>
        <w:rPr>
          <w:rFonts w:hint="eastAsia" w:ascii="Times New Roman" w:hAnsi="Times New Roman" w:cs="Times New Roman"/>
          <w:kern w:val="2"/>
        </w:rPr>
        <w:t>条要求。</w:t>
      </w:r>
    </w:p>
    <w:p>
      <w:pPr>
        <w:pStyle w:val="14"/>
        <w:shd w:val="clear" w:color="auto" w:fill="FFFFFF"/>
        <w:spacing w:before="0" w:beforeAutospacing="0" w:after="0" w:afterAutospacing="0" w:line="360" w:lineRule="auto"/>
        <w:rPr>
          <w:rFonts w:ascii="Times New Roman" w:hAnsi="Times New Roman" w:cs="Times New Roman"/>
          <w:kern w:val="2"/>
        </w:rPr>
      </w:pPr>
      <w:r>
        <w:rPr>
          <w:rFonts w:hint="eastAsia" w:ascii="Times New Roman" w:hAnsi="Times New Roman" w:cs="Times New Roman"/>
          <w:kern w:val="2"/>
        </w:rPr>
        <w:t>2</w:t>
      </w:r>
      <w:r>
        <w:rPr>
          <w:rFonts w:ascii="Times New Roman" w:hAnsi="Times New Roman" w:cs="Times New Roman"/>
          <w:kern w:val="2"/>
        </w:rPr>
        <w:t xml:space="preserve"> </w:t>
      </w:r>
      <w:r>
        <w:rPr>
          <w:rFonts w:hint="eastAsia" w:ascii="Times New Roman" w:hAnsi="Times New Roman" w:cs="Times New Roman"/>
          <w:kern w:val="2"/>
        </w:rPr>
        <w:t>外墙板、内墙板及屋面板的模数协调要求。</w:t>
      </w:r>
    </w:p>
    <w:p>
      <w:pPr>
        <w:pStyle w:val="14"/>
        <w:shd w:val="clear" w:color="auto" w:fill="FFFFFF"/>
        <w:spacing w:before="0" w:beforeAutospacing="0" w:after="0" w:afterAutospacing="0" w:line="360" w:lineRule="auto"/>
        <w:rPr>
          <w:rFonts w:ascii="Times New Roman" w:hAnsi="Times New Roman" w:cs="Times New Roman"/>
          <w:kern w:val="2"/>
        </w:rPr>
      </w:pPr>
      <w:r>
        <w:rPr>
          <w:rFonts w:hint="eastAsia" w:ascii="Times New Roman" w:hAnsi="Times New Roman" w:cs="Times New Roman"/>
          <w:kern w:val="2"/>
        </w:rPr>
        <w:t>3</w:t>
      </w:r>
      <w:r>
        <w:rPr>
          <w:rFonts w:ascii="Times New Roman" w:hAnsi="Times New Roman" w:cs="Times New Roman"/>
          <w:kern w:val="2"/>
        </w:rPr>
        <w:t xml:space="preserve"> </w:t>
      </w:r>
      <w:r>
        <w:rPr>
          <w:rFonts w:hint="eastAsia" w:ascii="Times New Roman" w:hAnsi="Times New Roman" w:cs="Times New Roman"/>
          <w:kern w:val="2"/>
        </w:rPr>
        <w:t>内、外墙板连接、接缝及外门窗洞口、吊挂或放置重物的加强措施等构造节点。</w:t>
      </w:r>
    </w:p>
    <w:p>
      <w:pPr>
        <w:pStyle w:val="14"/>
        <w:shd w:val="clear" w:color="auto" w:fill="FFFFFF"/>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 xml:space="preserve">4 </w:t>
      </w:r>
      <w:r>
        <w:rPr>
          <w:rFonts w:hint="eastAsia" w:ascii="Times New Roman" w:hAnsi="Times New Roman" w:cs="Times New Roman"/>
          <w:kern w:val="2"/>
        </w:rPr>
        <w:t>阳台、空调板、装饰构件等连接构造节点。</w:t>
      </w:r>
    </w:p>
    <w:p>
      <w:pPr>
        <w:pStyle w:val="14"/>
        <w:shd w:val="clear" w:color="auto" w:fill="FFFFFF"/>
        <w:spacing w:before="0" w:beforeAutospacing="0" w:after="0" w:afterAutospacing="0" w:line="360" w:lineRule="auto"/>
        <w:rPr>
          <w:rFonts w:ascii="Times New Roman" w:hAnsi="Times New Roman" w:cs="Times New Roman"/>
          <w:kern w:val="2"/>
        </w:rPr>
      </w:pPr>
      <w:r>
        <w:rPr>
          <w:rFonts w:hint="eastAsia" w:ascii="Times New Roman" w:hAnsi="Times New Roman" w:cs="Times New Roman"/>
          <w:kern w:val="2"/>
        </w:rPr>
        <w:t>5</w:t>
      </w:r>
      <w:r>
        <w:rPr>
          <w:rFonts w:ascii="Times New Roman" w:hAnsi="Times New Roman" w:cs="Times New Roman"/>
          <w:kern w:val="2"/>
        </w:rPr>
        <w:t xml:space="preserve"> </w:t>
      </w:r>
      <w:r>
        <w:rPr>
          <w:rFonts w:hint="eastAsia" w:ascii="Times New Roman" w:hAnsi="Times New Roman" w:cs="Times New Roman"/>
          <w:kern w:val="2"/>
        </w:rPr>
        <w:t>屋面支撑结构构造节点、面板尺寸规格。</w:t>
      </w:r>
    </w:p>
    <w:p>
      <w:pPr>
        <w:pStyle w:val="14"/>
        <w:shd w:val="clear" w:color="auto" w:fill="FFFFFF"/>
        <w:spacing w:before="0" w:beforeAutospacing="0" w:after="0" w:afterAutospacing="0" w:line="360" w:lineRule="auto"/>
        <w:rPr>
          <w:rFonts w:ascii="Times New Roman" w:hAnsi="Times New Roman" w:cs="Times New Roman"/>
          <w:color w:val="0070C0"/>
          <w:kern w:val="2"/>
          <w:sz w:val="21"/>
          <w:szCs w:val="21"/>
        </w:rPr>
      </w:pPr>
      <w:r>
        <w:rPr>
          <w:rFonts w:hint="eastAsia" w:cs="黑体"/>
          <w:b/>
          <w:sz w:val="21"/>
          <w:szCs w:val="21"/>
        </w:rPr>
        <w:t>【条文说明】</w:t>
      </w:r>
      <w:r>
        <w:rPr>
          <w:rFonts w:hint="eastAsia" w:cs="黑体"/>
          <w:bCs/>
          <w:sz w:val="21"/>
          <w:szCs w:val="21"/>
        </w:rPr>
        <w:t>：</w:t>
      </w:r>
      <w:r>
        <w:rPr>
          <w:rFonts w:hint="eastAsia" w:ascii="Times New Roman" w:hAnsi="Times New Roman" w:cs="Times New Roman"/>
          <w:color w:val="0070C0"/>
          <w:kern w:val="2"/>
          <w:sz w:val="21"/>
          <w:szCs w:val="21"/>
        </w:rPr>
        <w:t>本条文是对设计文件提出的要求。围护系统的设计文件不仅包括传统的图纸内容，还应提出系统材料性能参数，包括对围护系统的性能指标及系统中所用材料的性能参数；系统构造至少应包含的内容有：内外墙板的模数协调要求，内外墙板连接、接缝及内外门窗洞口等构造节点，阳台、空调板及装饰件等连接构造节点等。</w:t>
      </w:r>
    </w:p>
    <w:p>
      <w:pPr>
        <w:pStyle w:val="14"/>
        <w:shd w:val="clear" w:color="auto" w:fill="FFFFFF"/>
        <w:spacing w:before="0" w:beforeAutospacing="0" w:after="0" w:afterAutospacing="0" w:line="360" w:lineRule="auto"/>
        <w:rPr>
          <w:rFonts w:ascii="Times New Roman" w:hAnsi="Times New Roman" w:cs="Times New Roman"/>
          <w:kern w:val="2"/>
        </w:rPr>
      </w:pPr>
      <w:r>
        <w:rPr>
          <w:rFonts w:ascii="Times New Roman" w:hAnsi="Times New Roman" w:cs="Times New Roman"/>
          <w:b/>
          <w:bCs/>
          <w:kern w:val="2"/>
        </w:rPr>
        <w:t>5</w:t>
      </w:r>
      <w:r>
        <w:rPr>
          <w:rFonts w:hint="eastAsia" w:ascii="Times New Roman" w:hAnsi="Times New Roman" w:cs="Times New Roman"/>
          <w:b/>
          <w:bCs/>
          <w:kern w:val="2"/>
        </w:rPr>
        <w:t>.</w:t>
      </w:r>
      <w:r>
        <w:rPr>
          <w:rFonts w:ascii="Times New Roman" w:hAnsi="Times New Roman" w:cs="Times New Roman"/>
          <w:b/>
          <w:bCs/>
          <w:kern w:val="2"/>
        </w:rPr>
        <w:t>6</w:t>
      </w:r>
      <w:r>
        <w:rPr>
          <w:rFonts w:hint="eastAsia" w:ascii="Times New Roman" w:hAnsi="Times New Roman" w:cs="Times New Roman"/>
          <w:b/>
          <w:bCs/>
          <w:kern w:val="2"/>
        </w:rPr>
        <w:t>.3</w:t>
      </w:r>
      <w:r>
        <w:rPr>
          <w:rFonts w:hint="eastAsia" w:ascii="Times New Roman" w:hAnsi="Times New Roman" w:cs="Times New Roman"/>
          <w:kern w:val="2"/>
        </w:rPr>
        <w:t>钢结构住宅围护系统选型应结合建筑设计、结构形式、制造工艺、施工条件、使用要求和综合成本等因素确定。</w:t>
      </w:r>
    </w:p>
    <w:p>
      <w:pPr>
        <w:pStyle w:val="14"/>
        <w:shd w:val="clear" w:color="auto" w:fill="FFFFFF"/>
        <w:spacing w:before="0" w:beforeAutospacing="0" w:after="0" w:afterAutospacing="0" w:line="360" w:lineRule="auto"/>
        <w:rPr>
          <w:rFonts w:ascii="Times New Roman" w:hAnsi="Times New Roman" w:cs="Times New Roman"/>
          <w:kern w:val="2"/>
          <w:sz w:val="21"/>
          <w:szCs w:val="21"/>
        </w:rPr>
      </w:pPr>
      <w:r>
        <w:rPr>
          <w:rFonts w:hint="eastAsia" w:cs="黑体"/>
          <w:b/>
          <w:sz w:val="21"/>
          <w:szCs w:val="21"/>
        </w:rPr>
        <w:t>【条文说明】</w:t>
      </w:r>
      <w:r>
        <w:rPr>
          <w:rFonts w:hint="eastAsia" w:cs="黑体"/>
          <w:bCs/>
          <w:sz w:val="21"/>
          <w:szCs w:val="21"/>
        </w:rPr>
        <w:t>：</w:t>
      </w:r>
      <w:r>
        <w:rPr>
          <w:rFonts w:hint="eastAsia" w:ascii="Times New Roman" w:hAnsi="Times New Roman" w:cs="Times New Roman"/>
          <w:color w:val="0070C0"/>
          <w:kern w:val="2"/>
          <w:sz w:val="21"/>
          <w:szCs w:val="21"/>
        </w:rPr>
        <w:t>钢结构住宅围护系统合理选型是整个设计的重中之重，应根据项目所在地的实际情况并结合工程实践合理制定。</w:t>
      </w:r>
      <w:r>
        <w:rPr>
          <w:rFonts w:ascii="Times New Roman" w:hAnsi="Times New Roman" w:cs="Times New Roman"/>
          <w:color w:val="FF0000"/>
          <w:kern w:val="2"/>
          <w:sz w:val="21"/>
          <w:szCs w:val="21"/>
        </w:rPr>
        <w:t xml:space="preserve"> </w:t>
      </w:r>
    </w:p>
    <w:p>
      <w:pPr>
        <w:pStyle w:val="14"/>
        <w:shd w:val="clear" w:color="auto" w:fill="FFFFFF"/>
        <w:spacing w:before="0" w:beforeAutospacing="0" w:after="0" w:afterAutospacing="0" w:line="360" w:lineRule="auto"/>
        <w:rPr>
          <w:rFonts w:ascii="Times New Roman" w:hAnsi="Times New Roman" w:cs="Times New Roman"/>
          <w:kern w:val="2"/>
        </w:rPr>
      </w:pPr>
      <w:r>
        <w:rPr>
          <w:rFonts w:ascii="Times New Roman" w:hAnsi="Times New Roman" w:cs="Times New Roman"/>
          <w:b/>
          <w:bCs/>
          <w:kern w:val="2"/>
        </w:rPr>
        <w:t>5</w:t>
      </w:r>
      <w:r>
        <w:rPr>
          <w:rFonts w:hint="eastAsia" w:ascii="Times New Roman" w:hAnsi="Times New Roman" w:cs="Times New Roman"/>
          <w:b/>
          <w:bCs/>
          <w:kern w:val="2"/>
        </w:rPr>
        <w:t>.</w:t>
      </w:r>
      <w:r>
        <w:rPr>
          <w:rFonts w:ascii="Times New Roman" w:hAnsi="Times New Roman" w:cs="Times New Roman"/>
          <w:b/>
          <w:bCs/>
          <w:kern w:val="2"/>
        </w:rPr>
        <w:t>6</w:t>
      </w:r>
      <w:r>
        <w:rPr>
          <w:rFonts w:hint="eastAsia" w:ascii="Times New Roman" w:hAnsi="Times New Roman" w:cs="Times New Roman"/>
          <w:b/>
          <w:bCs/>
          <w:kern w:val="2"/>
        </w:rPr>
        <w:t>.4</w:t>
      </w:r>
      <w:r>
        <w:rPr>
          <w:rFonts w:ascii="Times New Roman" w:hAnsi="Times New Roman" w:cs="Times New Roman"/>
          <w:b/>
          <w:bCs/>
          <w:kern w:val="2"/>
        </w:rPr>
        <w:t xml:space="preserve"> </w:t>
      </w:r>
      <w:r>
        <w:rPr>
          <w:rFonts w:hint="eastAsia" w:ascii="Times New Roman" w:hAnsi="Times New Roman" w:cs="Times New Roman"/>
          <w:kern w:val="2"/>
        </w:rPr>
        <w:t>墙体系统应根据不同的结构形式选择适宜的类型，宜采用轻量化设计，选择轻质材料和构造，与主体结构宜采用以干式连接为主的可分离方式。</w:t>
      </w:r>
    </w:p>
    <w:p>
      <w:pPr>
        <w:pStyle w:val="14"/>
        <w:shd w:val="clear" w:color="auto" w:fill="FFFFFF"/>
        <w:spacing w:before="0" w:beforeAutospacing="0" w:after="0" w:afterAutospacing="0" w:line="360" w:lineRule="auto"/>
        <w:jc w:val="both"/>
        <w:rPr>
          <w:rFonts w:ascii="Times New Roman" w:hAnsi="Times New Roman" w:cs="Times New Roman"/>
          <w:kern w:val="2"/>
        </w:rPr>
      </w:pPr>
      <w:r>
        <w:rPr>
          <w:rFonts w:ascii="Times New Roman" w:hAnsi="Times New Roman" w:cs="Times New Roman"/>
          <w:b/>
          <w:bCs/>
          <w:kern w:val="2"/>
        </w:rPr>
        <w:t>5.6.</w:t>
      </w:r>
      <w:r>
        <w:rPr>
          <w:rFonts w:hint="eastAsia" w:ascii="Times New Roman" w:hAnsi="Times New Roman" w:cs="Times New Roman"/>
          <w:b/>
          <w:bCs/>
          <w:kern w:val="2"/>
        </w:rPr>
        <w:t>5</w:t>
      </w:r>
      <w:r>
        <w:rPr>
          <w:rFonts w:hint="eastAsia" w:ascii="Times New Roman" w:hAnsi="Times New Roman" w:cs="Times New Roman"/>
          <w:kern w:val="2"/>
        </w:rPr>
        <w:t>围护系统应采用设备管线与主体结构分离的方式，并采用隐蔽钢结构梁柱等构件的设计。</w:t>
      </w:r>
    </w:p>
    <w:p>
      <w:pPr>
        <w:pStyle w:val="14"/>
        <w:shd w:val="clear" w:color="auto" w:fill="FFFFFF"/>
        <w:spacing w:before="0" w:beforeAutospacing="0" w:after="0" w:afterAutospacing="0" w:line="360" w:lineRule="auto"/>
        <w:jc w:val="both"/>
        <w:rPr>
          <w:rFonts w:ascii="Times New Roman" w:hAnsi="Times New Roman" w:cs="Times New Roman"/>
          <w:kern w:val="2"/>
        </w:rPr>
      </w:pPr>
      <w:r>
        <w:rPr>
          <w:rFonts w:hint="eastAsia" w:cs="黑体"/>
          <w:b/>
          <w:sz w:val="21"/>
          <w:szCs w:val="21"/>
        </w:rPr>
        <w:t>【条文说明】</w:t>
      </w:r>
      <w:r>
        <w:rPr>
          <w:rFonts w:hint="eastAsia" w:cs="黑体"/>
          <w:bCs/>
          <w:sz w:val="21"/>
          <w:szCs w:val="21"/>
        </w:rPr>
        <w:t>：</w:t>
      </w:r>
      <w:r>
        <w:rPr>
          <w:rFonts w:hint="eastAsia" w:ascii="Times New Roman" w:hAnsi="Times New Roman" w:cs="Times New Roman"/>
          <w:color w:val="0070C0"/>
          <w:kern w:val="2"/>
          <w:sz w:val="21"/>
          <w:szCs w:val="21"/>
        </w:rPr>
        <w:t>钢结构住宅在设计中，结构构件、建筑填充墙、管线设备三部分本身就是自然分离，只要管线不埋于楼板现浇层、管线不穿钢梁，就可以实现内装修、管道设备与主体结构的分离设计。结构主体与填充体分离使住宅具备结构耐久性，室内空间在全生命周期内可根据需要灵活多变，装修及设备管线可更新，同时兼备低能耗、高品质和长寿命的优势。</w:t>
      </w:r>
    </w:p>
    <w:p>
      <w:pPr>
        <w:pStyle w:val="14"/>
        <w:shd w:val="clear" w:color="auto" w:fill="FFFFFF"/>
        <w:spacing w:before="0" w:beforeAutospacing="0" w:after="0" w:afterAutospacing="0" w:line="360" w:lineRule="auto"/>
        <w:rPr>
          <w:rFonts w:ascii="Times New Roman" w:hAnsi="Times New Roman" w:cs="Times New Roman"/>
          <w:color w:val="0070C0"/>
          <w:kern w:val="2"/>
        </w:rPr>
      </w:pPr>
      <w:r>
        <w:rPr>
          <w:rFonts w:ascii="Times New Roman" w:hAnsi="Times New Roman" w:cs="Times New Roman"/>
          <w:b/>
          <w:bCs/>
          <w:kern w:val="2"/>
        </w:rPr>
        <w:t>5</w:t>
      </w:r>
      <w:r>
        <w:rPr>
          <w:rFonts w:hint="eastAsia" w:ascii="Times New Roman" w:hAnsi="Times New Roman" w:cs="Times New Roman"/>
          <w:b/>
          <w:bCs/>
          <w:kern w:val="2"/>
        </w:rPr>
        <w:t>.</w:t>
      </w:r>
      <w:r>
        <w:rPr>
          <w:rFonts w:ascii="Times New Roman" w:hAnsi="Times New Roman" w:cs="Times New Roman"/>
          <w:b/>
          <w:bCs/>
          <w:kern w:val="2"/>
        </w:rPr>
        <w:t>6</w:t>
      </w:r>
      <w:r>
        <w:rPr>
          <w:rFonts w:hint="eastAsia" w:ascii="Times New Roman" w:hAnsi="Times New Roman" w:cs="Times New Roman"/>
          <w:b/>
          <w:bCs/>
          <w:kern w:val="2"/>
        </w:rPr>
        <w:t>.6</w:t>
      </w:r>
      <w:r>
        <w:rPr>
          <w:rFonts w:ascii="Times New Roman" w:hAnsi="Times New Roman" w:cs="Times New Roman"/>
          <w:b/>
          <w:bCs/>
          <w:kern w:val="2"/>
        </w:rPr>
        <w:t xml:space="preserve"> </w:t>
      </w:r>
      <w:r>
        <w:rPr>
          <w:rFonts w:hint="eastAsia" w:ascii="Times New Roman" w:hAnsi="Times New Roman" w:cs="Times New Roman"/>
          <w:kern w:val="2"/>
        </w:rPr>
        <w:t>屋面系统设计应包含结构设计和构造系统设计，明确防排水设计、保温隔热、防雷设计及材料部品的选用要求等内容。</w:t>
      </w:r>
    </w:p>
    <w:p>
      <w:pPr>
        <w:pStyle w:val="14"/>
        <w:shd w:val="clear" w:color="auto" w:fill="FFFFFF"/>
        <w:spacing w:before="0" w:beforeAutospacing="0" w:after="0" w:afterAutospacing="0" w:line="360" w:lineRule="auto"/>
        <w:rPr>
          <w:rFonts w:ascii="Times New Roman" w:hAnsi="Times New Roman" w:cs="Times New Roman"/>
          <w:kern w:val="2"/>
        </w:rPr>
      </w:pPr>
      <w:r>
        <w:rPr>
          <w:rFonts w:ascii="Times New Roman" w:hAnsi="Times New Roman" w:cs="Times New Roman"/>
          <w:b/>
          <w:bCs/>
          <w:kern w:val="2"/>
        </w:rPr>
        <w:t>5</w:t>
      </w:r>
      <w:r>
        <w:rPr>
          <w:rFonts w:hint="eastAsia" w:ascii="Times New Roman" w:hAnsi="Times New Roman" w:cs="Times New Roman"/>
          <w:b/>
          <w:bCs/>
          <w:kern w:val="2"/>
        </w:rPr>
        <w:t>.</w:t>
      </w:r>
      <w:r>
        <w:rPr>
          <w:rFonts w:ascii="Times New Roman" w:hAnsi="Times New Roman" w:cs="Times New Roman"/>
          <w:b/>
          <w:bCs/>
          <w:kern w:val="2"/>
        </w:rPr>
        <w:t>6</w:t>
      </w:r>
      <w:r>
        <w:rPr>
          <w:rFonts w:hint="eastAsia" w:ascii="Times New Roman" w:hAnsi="Times New Roman" w:cs="Times New Roman"/>
          <w:b/>
          <w:bCs/>
          <w:kern w:val="2"/>
        </w:rPr>
        <w:t>.7</w:t>
      </w:r>
      <w:r>
        <w:rPr>
          <w:rFonts w:hint="eastAsia" w:ascii="Times New Roman" w:hAnsi="Times New Roman" w:cs="Times New Roman"/>
          <w:kern w:val="2"/>
        </w:rPr>
        <w:t xml:space="preserve"> 钢结构住宅屋面宜釆用屋面上部保温系统，并做好女儿墙、檐沟等热桥部位的保温措施。</w:t>
      </w:r>
    </w:p>
    <w:p>
      <w:pPr>
        <w:pStyle w:val="14"/>
        <w:shd w:val="clear" w:color="auto" w:fill="FFFFFF"/>
        <w:spacing w:before="0" w:beforeAutospacing="0" w:after="0" w:afterAutospacing="0" w:line="360" w:lineRule="auto"/>
        <w:rPr>
          <w:rFonts w:ascii="Times New Roman" w:hAnsi="Times New Roman" w:cs="Times New Roman"/>
          <w:kern w:val="2"/>
        </w:rPr>
      </w:pPr>
      <w:r>
        <w:rPr>
          <w:rFonts w:ascii="Times New Roman" w:hAnsi="Times New Roman" w:cs="Times New Roman"/>
          <w:b/>
          <w:bCs/>
          <w:kern w:val="2"/>
        </w:rPr>
        <w:t>5</w:t>
      </w:r>
      <w:r>
        <w:rPr>
          <w:rFonts w:hint="eastAsia" w:ascii="Times New Roman" w:hAnsi="Times New Roman" w:cs="Times New Roman"/>
          <w:b/>
          <w:bCs/>
          <w:kern w:val="2"/>
        </w:rPr>
        <w:t>.</w:t>
      </w:r>
      <w:r>
        <w:rPr>
          <w:rFonts w:ascii="Times New Roman" w:hAnsi="Times New Roman" w:cs="Times New Roman"/>
          <w:b/>
          <w:bCs/>
          <w:kern w:val="2"/>
        </w:rPr>
        <w:t>6</w:t>
      </w:r>
      <w:r>
        <w:rPr>
          <w:rFonts w:hint="eastAsia" w:ascii="Times New Roman" w:hAnsi="Times New Roman" w:cs="Times New Roman"/>
          <w:b/>
          <w:bCs/>
          <w:kern w:val="2"/>
        </w:rPr>
        <w:t>.8</w:t>
      </w:r>
      <w:r>
        <w:rPr>
          <w:rFonts w:hint="eastAsia" w:ascii="Times New Roman" w:hAnsi="Times New Roman" w:cs="Times New Roman"/>
          <w:kern w:val="2"/>
        </w:rPr>
        <w:t xml:space="preserve"> 门窗固定在钢构件时，连接件应具有弹性且应在连接处采用软柔性材料填缝。</w:t>
      </w:r>
    </w:p>
    <w:p>
      <w:pPr>
        <w:pStyle w:val="14"/>
        <w:shd w:val="clear" w:color="auto" w:fill="FFFFFF"/>
        <w:spacing w:before="0" w:beforeAutospacing="0" w:after="0" w:afterAutospacing="0" w:line="360" w:lineRule="auto"/>
        <w:rPr>
          <w:rFonts w:ascii="Times New Roman" w:hAnsi="Times New Roman" w:cs="Times New Roman"/>
          <w:color w:val="0070C0"/>
          <w:kern w:val="2"/>
          <w:sz w:val="21"/>
          <w:szCs w:val="21"/>
        </w:rPr>
      </w:pPr>
      <w:r>
        <w:rPr>
          <w:rFonts w:hint="eastAsia" w:cs="黑体"/>
          <w:b/>
          <w:sz w:val="21"/>
          <w:szCs w:val="21"/>
        </w:rPr>
        <w:t>【条文说明】：</w:t>
      </w:r>
      <w:r>
        <w:rPr>
          <w:rFonts w:hint="eastAsia" w:ascii="Times New Roman" w:hAnsi="Times New Roman" w:cs="Times New Roman"/>
          <w:color w:val="0070C0"/>
          <w:kern w:val="2"/>
          <w:sz w:val="21"/>
          <w:szCs w:val="21"/>
        </w:rPr>
        <w:t>钢结构主体钢构件均为工业化生产建造，施工精度比传统混凝土结构要高，利于工业化墙板和门窗的安装，在门窗与钢结构梁柱直接连接时，要注意钢结构传声的特性，做好隔声措施。</w:t>
      </w:r>
      <w:r>
        <w:rPr>
          <w:rFonts w:ascii="Times New Roman" w:hAnsi="Times New Roman" w:cs="Times New Roman"/>
          <w:color w:val="0070C0"/>
          <w:kern w:val="2"/>
          <w:sz w:val="21"/>
          <w:szCs w:val="21"/>
        </w:rPr>
        <w:t xml:space="preserve"> </w:t>
      </w:r>
      <w:r>
        <w:rPr>
          <w:rFonts w:hint="eastAsia" w:ascii="Times New Roman" w:hAnsi="Times New Roman" w:cs="Times New Roman"/>
          <w:color w:val="0070C0"/>
          <w:kern w:val="2"/>
          <w:sz w:val="21"/>
          <w:szCs w:val="21"/>
        </w:rPr>
        <w:t>而且一般门窗都会在完成楼板后施工，钢梁已经承受楼板荷载完成一定的挠度变形，但门窗位置处温度变化较大，不应直接与钢梁刚性连接。</w:t>
      </w:r>
    </w:p>
    <w:p>
      <w:pPr>
        <w:pStyle w:val="14"/>
        <w:shd w:val="clear" w:color="auto" w:fill="FFFFFF"/>
        <w:spacing w:before="0" w:beforeAutospacing="0" w:after="0" w:afterAutospacing="0" w:line="360" w:lineRule="auto"/>
        <w:rPr>
          <w:rFonts w:ascii="Times New Roman" w:hAnsi="Times New Roman" w:cs="Times New Roman"/>
          <w:kern w:val="2"/>
          <w:sz w:val="21"/>
          <w:szCs w:val="21"/>
        </w:rPr>
      </w:pPr>
    </w:p>
    <w:p>
      <w:pPr>
        <w:pStyle w:val="14"/>
        <w:shd w:val="clear" w:color="auto" w:fill="FFFFFF"/>
        <w:spacing w:before="0" w:beforeAutospacing="0" w:after="0" w:afterAutospacing="0" w:line="360" w:lineRule="auto"/>
        <w:rPr>
          <w:rFonts w:ascii="Times New Roman" w:hAnsi="Times New Roman" w:cs="Times New Roman"/>
          <w:kern w:val="2"/>
          <w:sz w:val="21"/>
          <w:szCs w:val="21"/>
        </w:rPr>
      </w:pPr>
    </w:p>
    <w:p>
      <w:pPr>
        <w:pStyle w:val="14"/>
        <w:shd w:val="clear" w:color="auto" w:fill="FFFFFF"/>
        <w:spacing w:before="0" w:beforeAutospacing="0" w:after="0" w:afterAutospacing="0" w:line="360" w:lineRule="auto"/>
        <w:rPr>
          <w:rFonts w:ascii="Times New Roman" w:hAnsi="Times New Roman" w:cs="Times New Roman"/>
          <w:kern w:val="2"/>
          <w:sz w:val="21"/>
          <w:szCs w:val="21"/>
        </w:rPr>
      </w:pPr>
    </w:p>
    <w:p>
      <w:pPr>
        <w:pStyle w:val="14"/>
        <w:shd w:val="clear" w:color="auto" w:fill="FFFFFF"/>
        <w:spacing w:before="0" w:beforeAutospacing="0" w:after="0" w:afterAutospacing="0" w:line="360" w:lineRule="auto"/>
        <w:rPr>
          <w:rFonts w:ascii="Times New Roman" w:hAnsi="Times New Roman" w:cs="Times New Roman"/>
          <w:kern w:val="2"/>
          <w:sz w:val="21"/>
          <w:szCs w:val="21"/>
        </w:rPr>
      </w:pPr>
    </w:p>
    <w:p>
      <w:pPr>
        <w:pStyle w:val="14"/>
        <w:shd w:val="clear" w:color="auto" w:fill="FFFFFF"/>
        <w:spacing w:before="0" w:beforeAutospacing="0" w:after="0" w:afterAutospacing="0" w:line="360" w:lineRule="auto"/>
        <w:rPr>
          <w:rFonts w:ascii="Times New Roman" w:hAnsi="Times New Roman" w:cs="Times New Roman"/>
          <w:kern w:val="2"/>
          <w:sz w:val="21"/>
          <w:szCs w:val="21"/>
        </w:rPr>
      </w:pPr>
    </w:p>
    <w:p>
      <w:pPr>
        <w:pStyle w:val="14"/>
        <w:shd w:val="clear" w:color="auto" w:fill="FFFFFF"/>
        <w:spacing w:before="0" w:beforeAutospacing="0" w:after="0" w:afterAutospacing="0" w:line="360" w:lineRule="auto"/>
        <w:rPr>
          <w:rFonts w:ascii="Times New Roman" w:hAnsi="Times New Roman" w:cs="Times New Roman"/>
          <w:kern w:val="2"/>
          <w:sz w:val="21"/>
          <w:szCs w:val="21"/>
        </w:rPr>
      </w:pPr>
    </w:p>
    <w:p>
      <w:pPr>
        <w:pStyle w:val="14"/>
        <w:shd w:val="clear" w:color="auto" w:fill="FFFFFF"/>
        <w:spacing w:before="0" w:beforeAutospacing="0" w:after="0" w:afterAutospacing="0" w:line="360" w:lineRule="auto"/>
        <w:rPr>
          <w:rFonts w:ascii="Times New Roman" w:hAnsi="Times New Roman" w:cs="Times New Roman"/>
          <w:kern w:val="2"/>
          <w:sz w:val="21"/>
          <w:szCs w:val="21"/>
        </w:rPr>
      </w:pPr>
    </w:p>
    <w:p>
      <w:pPr>
        <w:pStyle w:val="14"/>
        <w:shd w:val="clear" w:color="auto" w:fill="FFFFFF"/>
        <w:spacing w:before="0" w:beforeAutospacing="0" w:after="0" w:afterAutospacing="0" w:line="360" w:lineRule="auto"/>
        <w:rPr>
          <w:rFonts w:ascii="Times New Roman" w:hAnsi="Times New Roman" w:cs="Times New Roman"/>
          <w:kern w:val="2"/>
          <w:sz w:val="21"/>
          <w:szCs w:val="21"/>
        </w:rPr>
      </w:pPr>
    </w:p>
    <w:p>
      <w:pPr>
        <w:pStyle w:val="14"/>
        <w:shd w:val="clear" w:color="auto" w:fill="FFFFFF"/>
        <w:spacing w:before="0" w:beforeAutospacing="0" w:after="0" w:afterAutospacing="0" w:line="360" w:lineRule="auto"/>
        <w:rPr>
          <w:rFonts w:ascii="Times New Roman" w:hAnsi="Times New Roman" w:cs="Times New Roman"/>
          <w:kern w:val="2"/>
          <w:sz w:val="21"/>
          <w:szCs w:val="21"/>
        </w:rPr>
      </w:pPr>
    </w:p>
    <w:p>
      <w:pPr>
        <w:pStyle w:val="14"/>
        <w:shd w:val="clear" w:color="auto" w:fill="FFFFFF"/>
        <w:spacing w:before="0" w:beforeAutospacing="0" w:after="0" w:afterAutospacing="0" w:line="360" w:lineRule="auto"/>
        <w:rPr>
          <w:rFonts w:ascii="Times New Roman" w:hAnsi="Times New Roman" w:cs="Times New Roman"/>
          <w:kern w:val="2"/>
          <w:sz w:val="21"/>
          <w:szCs w:val="21"/>
        </w:rPr>
      </w:pPr>
    </w:p>
    <w:p>
      <w:pPr>
        <w:pStyle w:val="14"/>
        <w:shd w:val="clear" w:color="auto" w:fill="FFFFFF"/>
        <w:spacing w:before="0" w:beforeAutospacing="0" w:after="0" w:afterAutospacing="0" w:line="360" w:lineRule="auto"/>
        <w:rPr>
          <w:rFonts w:ascii="Times New Roman" w:hAnsi="Times New Roman" w:cs="Times New Roman"/>
          <w:kern w:val="2"/>
          <w:sz w:val="21"/>
          <w:szCs w:val="21"/>
        </w:rPr>
      </w:pPr>
    </w:p>
    <w:p>
      <w:pPr>
        <w:pStyle w:val="14"/>
        <w:shd w:val="clear" w:color="auto" w:fill="FFFFFF"/>
        <w:spacing w:before="0" w:beforeAutospacing="0" w:after="0" w:afterAutospacing="0" w:line="360" w:lineRule="auto"/>
        <w:rPr>
          <w:rFonts w:ascii="Times New Roman" w:hAnsi="Times New Roman" w:cs="Times New Roman"/>
          <w:kern w:val="2"/>
          <w:sz w:val="21"/>
          <w:szCs w:val="21"/>
        </w:rPr>
      </w:pPr>
    </w:p>
    <w:p>
      <w:pPr>
        <w:pStyle w:val="14"/>
        <w:shd w:val="clear" w:color="auto" w:fill="FFFFFF"/>
        <w:spacing w:before="0" w:beforeAutospacing="0" w:after="0" w:afterAutospacing="0" w:line="360" w:lineRule="auto"/>
        <w:rPr>
          <w:rFonts w:ascii="Times New Roman" w:hAnsi="Times New Roman" w:cs="Times New Roman"/>
          <w:kern w:val="2"/>
          <w:sz w:val="21"/>
          <w:szCs w:val="21"/>
        </w:rPr>
      </w:pPr>
    </w:p>
    <w:p>
      <w:pPr>
        <w:pStyle w:val="14"/>
        <w:shd w:val="clear" w:color="auto" w:fill="FFFFFF"/>
        <w:spacing w:before="0" w:beforeAutospacing="0" w:after="0" w:afterAutospacing="0" w:line="360" w:lineRule="auto"/>
        <w:rPr>
          <w:rFonts w:ascii="Times New Roman" w:hAnsi="Times New Roman" w:cs="Times New Roman"/>
          <w:kern w:val="2"/>
          <w:sz w:val="21"/>
          <w:szCs w:val="21"/>
        </w:rPr>
      </w:pPr>
    </w:p>
    <w:p>
      <w:pPr>
        <w:pStyle w:val="14"/>
        <w:shd w:val="clear" w:color="auto" w:fill="FFFFFF"/>
        <w:spacing w:before="0" w:beforeAutospacing="0" w:after="0" w:afterAutospacing="0" w:line="360" w:lineRule="auto"/>
        <w:rPr>
          <w:rFonts w:ascii="Times New Roman" w:hAnsi="Times New Roman" w:cs="Times New Roman"/>
          <w:kern w:val="2"/>
          <w:sz w:val="21"/>
          <w:szCs w:val="21"/>
        </w:rPr>
      </w:pPr>
    </w:p>
    <w:p>
      <w:pPr>
        <w:pStyle w:val="14"/>
        <w:shd w:val="clear" w:color="auto" w:fill="FFFFFF"/>
        <w:spacing w:before="0" w:beforeAutospacing="0" w:after="0" w:afterAutospacing="0" w:line="360" w:lineRule="auto"/>
        <w:rPr>
          <w:rFonts w:ascii="Times New Roman" w:hAnsi="Times New Roman" w:cs="Times New Roman"/>
          <w:kern w:val="2"/>
          <w:sz w:val="21"/>
          <w:szCs w:val="21"/>
        </w:rPr>
      </w:pPr>
    </w:p>
    <w:p>
      <w:pPr>
        <w:pStyle w:val="14"/>
        <w:shd w:val="clear" w:color="auto" w:fill="FFFFFF"/>
        <w:spacing w:before="0" w:beforeAutospacing="0" w:after="0" w:afterAutospacing="0" w:line="360" w:lineRule="auto"/>
        <w:rPr>
          <w:rFonts w:ascii="Times New Roman" w:hAnsi="Times New Roman" w:cs="Times New Roman"/>
          <w:kern w:val="2"/>
          <w:sz w:val="21"/>
          <w:szCs w:val="21"/>
        </w:rPr>
      </w:pPr>
    </w:p>
    <w:p>
      <w:pPr>
        <w:pStyle w:val="14"/>
        <w:shd w:val="clear" w:color="auto" w:fill="FFFFFF"/>
        <w:spacing w:before="0" w:beforeAutospacing="0" w:after="0" w:afterAutospacing="0" w:line="360" w:lineRule="auto"/>
        <w:rPr>
          <w:rFonts w:ascii="Times New Roman" w:hAnsi="Times New Roman" w:cs="Times New Roman"/>
          <w:kern w:val="2"/>
          <w:sz w:val="21"/>
          <w:szCs w:val="21"/>
        </w:rPr>
      </w:pPr>
    </w:p>
    <w:p>
      <w:pPr>
        <w:pStyle w:val="2"/>
        <w:jc w:val="center"/>
        <w:rPr>
          <w:rFonts w:eastAsia="仿宋"/>
          <w:color w:val="auto"/>
          <w:sz w:val="32"/>
          <w:szCs w:val="32"/>
        </w:rPr>
      </w:pPr>
      <w:bookmarkStart w:id="24" w:name="_Toc103958750"/>
      <w:r>
        <w:rPr>
          <w:rFonts w:eastAsia="仿宋"/>
          <w:color w:val="auto"/>
          <w:sz w:val="32"/>
          <w:szCs w:val="32"/>
        </w:rPr>
        <w:t>6</w:t>
      </w:r>
      <w:r>
        <w:rPr>
          <w:rFonts w:hint="eastAsia" w:eastAsia="仿宋"/>
          <w:color w:val="auto"/>
          <w:sz w:val="32"/>
          <w:szCs w:val="32"/>
        </w:rPr>
        <w:t xml:space="preserve"> </w:t>
      </w:r>
      <w:r>
        <w:rPr>
          <w:rFonts w:eastAsia="仿宋"/>
          <w:color w:val="auto"/>
          <w:sz w:val="32"/>
          <w:szCs w:val="32"/>
        </w:rPr>
        <w:t xml:space="preserve"> </w:t>
      </w:r>
      <w:r>
        <w:rPr>
          <w:rFonts w:hint="eastAsia" w:ascii="宋体" w:hAnsi="宋体"/>
          <w:color w:val="auto"/>
          <w:sz w:val="32"/>
          <w:szCs w:val="32"/>
        </w:rPr>
        <w:t>结构系统设计</w:t>
      </w:r>
      <w:bookmarkEnd w:id="24"/>
    </w:p>
    <w:p>
      <w:pPr>
        <w:pStyle w:val="3"/>
        <w:spacing w:line="360" w:lineRule="auto"/>
        <w:jc w:val="center"/>
        <w:rPr>
          <w:rFonts w:ascii="Times New Roman" w:hAnsi="Times New Roman" w:eastAsia="宋体" w:cs="Times New Roman"/>
          <w:color w:val="auto"/>
          <w:sz w:val="28"/>
          <w:szCs w:val="28"/>
        </w:rPr>
      </w:pPr>
      <w:bookmarkStart w:id="25" w:name="_Toc76376956"/>
      <w:bookmarkStart w:id="26" w:name="_Toc69283557"/>
      <w:bookmarkStart w:id="27" w:name="_Toc103958751"/>
      <w:bookmarkStart w:id="28" w:name="_Hlk67325777"/>
      <w:r>
        <w:rPr>
          <w:rFonts w:ascii="Times New Roman" w:hAnsi="Times New Roman" w:eastAsia="宋体" w:cs="Times New Roman"/>
          <w:color w:val="auto"/>
          <w:sz w:val="28"/>
          <w:szCs w:val="28"/>
        </w:rPr>
        <w:t>6</w:t>
      </w:r>
      <w:r>
        <w:rPr>
          <w:rFonts w:hint="eastAsia" w:ascii="Times New Roman" w:hAnsi="Times New Roman" w:eastAsia="宋体" w:cs="Times New Roman"/>
          <w:color w:val="auto"/>
          <w:sz w:val="28"/>
          <w:szCs w:val="28"/>
        </w:rPr>
        <w:t>.1</w:t>
      </w:r>
      <w:r>
        <w:rPr>
          <w:rFonts w:ascii="Times New Roman" w:hAnsi="Times New Roman" w:eastAsia="宋体" w:cs="Times New Roman"/>
          <w:color w:val="auto"/>
          <w:sz w:val="28"/>
          <w:szCs w:val="28"/>
        </w:rPr>
        <w:t xml:space="preserve">  </w:t>
      </w:r>
      <w:bookmarkEnd w:id="25"/>
      <w:bookmarkEnd w:id="26"/>
      <w:r>
        <w:rPr>
          <w:rFonts w:hint="eastAsia" w:ascii="Times New Roman" w:hAnsi="Times New Roman" w:eastAsia="宋体" w:cs="Times New Roman"/>
          <w:color w:val="auto"/>
          <w:sz w:val="28"/>
          <w:szCs w:val="28"/>
        </w:rPr>
        <w:t>一般规定</w:t>
      </w:r>
      <w:bookmarkEnd w:id="27"/>
    </w:p>
    <w:bookmarkEnd w:id="28"/>
    <w:p>
      <w:pPr>
        <w:spacing w:line="360" w:lineRule="auto"/>
        <w:rPr>
          <w:rFonts w:ascii="仿宋" w:hAnsi="仿宋" w:eastAsia="仿宋"/>
          <w:color w:val="auto"/>
        </w:rPr>
      </w:pPr>
      <w:r>
        <w:rPr>
          <w:b/>
          <w:bCs/>
          <w:color w:val="auto"/>
          <w:kern w:val="2"/>
          <w:sz w:val="24"/>
          <w:szCs w:val="24"/>
        </w:rPr>
        <w:t xml:space="preserve">6.1.1 </w:t>
      </w:r>
      <w:r>
        <w:rPr>
          <w:rFonts w:hint="eastAsia"/>
          <w:color w:val="auto"/>
          <w:kern w:val="2"/>
          <w:sz w:val="24"/>
          <w:szCs w:val="24"/>
        </w:rPr>
        <w:t>钢结构住宅结构分析与设计除符合本标准规定外，尚应符合国家和行业现行标准《建筑抗震设计规范》GB50011、《钢结构设计标准》GB50017、《高层民用建筑钢结构技术规程》JGJ99、</w:t>
      </w:r>
      <w:r>
        <w:rPr>
          <w:rFonts w:hint="eastAsia" w:ascii="宋体" w:hAnsi="宋体"/>
          <w:color w:val="auto"/>
          <w:sz w:val="24"/>
          <w:szCs w:val="24"/>
        </w:rPr>
        <w:t>《低层冷弯薄壁型钢房屋建筑技术规程》J</w:t>
      </w:r>
      <w:r>
        <w:rPr>
          <w:rFonts w:ascii="宋体" w:hAnsi="宋体"/>
          <w:color w:val="auto"/>
          <w:sz w:val="24"/>
          <w:szCs w:val="24"/>
        </w:rPr>
        <w:t>GJ 227</w:t>
      </w:r>
      <w:r>
        <w:rPr>
          <w:rFonts w:hint="eastAsia" w:ascii="宋体" w:hAnsi="宋体"/>
          <w:color w:val="auto"/>
          <w:sz w:val="24"/>
          <w:szCs w:val="24"/>
        </w:rPr>
        <w:t>、《冷弯薄壁型钢多层住宅技术标准》JGJ/T 421</w:t>
      </w:r>
      <w:r>
        <w:rPr>
          <w:rFonts w:hint="eastAsia"/>
          <w:color w:val="auto"/>
          <w:kern w:val="2"/>
          <w:sz w:val="24"/>
          <w:szCs w:val="24"/>
        </w:rPr>
        <w:t>的规定。</w:t>
      </w:r>
    </w:p>
    <w:p>
      <w:pPr>
        <w:spacing w:line="360" w:lineRule="auto"/>
        <w:rPr>
          <w:color w:val="auto"/>
          <w:kern w:val="2"/>
          <w:sz w:val="24"/>
          <w:szCs w:val="24"/>
        </w:rPr>
      </w:pPr>
      <w:r>
        <w:rPr>
          <w:b/>
          <w:bCs/>
          <w:color w:val="auto"/>
          <w:kern w:val="2"/>
          <w:sz w:val="24"/>
          <w:szCs w:val="24"/>
        </w:rPr>
        <w:t>6.1.2</w:t>
      </w:r>
      <w:r>
        <w:rPr>
          <w:rFonts w:ascii="宋体" w:hAnsi="宋体"/>
          <w:color w:val="auto"/>
        </w:rPr>
        <w:t xml:space="preserve"> </w:t>
      </w:r>
      <w:r>
        <w:rPr>
          <w:rFonts w:hint="eastAsia"/>
          <w:color w:val="auto"/>
          <w:kern w:val="2"/>
          <w:sz w:val="24"/>
          <w:szCs w:val="24"/>
        </w:rPr>
        <w:t>钢结构住宅结构布置应与建筑套型、平面和立面、室内空间及各系统相协调，并具有良好的规则性。结构构件不宜凸出在房间内；不可避免时，应凸出在次要房间或可通过内装系统隐藏的部位。</w:t>
      </w:r>
    </w:p>
    <w:p>
      <w:pPr>
        <w:spacing w:line="360" w:lineRule="auto"/>
        <w:rPr>
          <w:color w:val="0070C0"/>
          <w:kern w:val="2"/>
        </w:rPr>
      </w:pPr>
      <w:r>
        <w:rPr>
          <w:rFonts w:hint="eastAsia" w:ascii="宋体" w:hAnsi="宋体" w:cs="黑体"/>
          <w:b/>
          <w:color w:val="auto"/>
        </w:rPr>
        <w:t>【条文说明】：</w:t>
      </w:r>
      <w:r>
        <w:rPr>
          <w:rFonts w:hint="eastAsia"/>
          <w:color w:val="0070C0"/>
          <w:kern w:val="2"/>
        </w:rPr>
        <w:t>住宅钢结构构件布置除满足结构受力外，尚应与围护系统、内装系统、设备及管线等协调统一，以为部件部品的标准化、规格化和通用化创造条件，从而实现部品部件工业化生产和现场装配。</w:t>
      </w:r>
    </w:p>
    <w:p>
      <w:pPr>
        <w:spacing w:line="360" w:lineRule="auto"/>
        <w:rPr>
          <w:color w:val="auto"/>
          <w:kern w:val="2"/>
          <w:sz w:val="24"/>
          <w:szCs w:val="24"/>
        </w:rPr>
      </w:pPr>
      <w:r>
        <w:rPr>
          <w:b/>
          <w:bCs/>
          <w:color w:val="auto"/>
          <w:kern w:val="2"/>
          <w:sz w:val="24"/>
          <w:szCs w:val="24"/>
        </w:rPr>
        <w:t>6.1.3</w:t>
      </w:r>
      <w:r>
        <w:rPr>
          <w:rFonts w:ascii="宋体" w:hAnsi="宋体"/>
          <w:color w:val="auto"/>
        </w:rPr>
        <w:t xml:space="preserve"> </w:t>
      </w:r>
      <w:r>
        <w:rPr>
          <w:rFonts w:hint="eastAsia"/>
          <w:color w:val="auto"/>
          <w:kern w:val="2"/>
          <w:sz w:val="24"/>
          <w:szCs w:val="24"/>
        </w:rPr>
        <w:t>钢结构住宅结构构件的截面形式与尺寸选择应满足结构安全性、适用性、经济性，同时应与构件生产、运输、施工安装相互协调，宜采用标准化和规格化的成品型材，空心型材宜灌实，并应符合以下要求：</w:t>
      </w:r>
    </w:p>
    <w:p>
      <w:pPr>
        <w:spacing w:line="360" w:lineRule="auto"/>
        <w:ind w:firstLine="240" w:firstLineChars="100"/>
        <w:rPr>
          <w:color w:val="auto"/>
          <w:kern w:val="2"/>
          <w:sz w:val="24"/>
          <w:szCs w:val="24"/>
        </w:rPr>
      </w:pPr>
      <w:r>
        <w:rPr>
          <w:rFonts w:hint="eastAsia"/>
          <w:color w:val="auto"/>
          <w:kern w:val="2"/>
          <w:sz w:val="24"/>
          <w:szCs w:val="24"/>
        </w:rPr>
        <w:t>1.柱截面宜采用方（矩）形钢管、宽翼缘H型钢及由方形钢管、H型钢、T型钢、C型钢通过机械自动焊接形成的组合异形柱；</w:t>
      </w:r>
    </w:p>
    <w:p>
      <w:pPr>
        <w:spacing w:line="360" w:lineRule="auto"/>
        <w:ind w:firstLine="240" w:firstLineChars="100"/>
        <w:rPr>
          <w:color w:val="auto"/>
          <w:kern w:val="2"/>
          <w:sz w:val="24"/>
          <w:szCs w:val="24"/>
        </w:rPr>
      </w:pPr>
      <w:r>
        <w:rPr>
          <w:rFonts w:hint="eastAsia"/>
          <w:color w:val="auto"/>
          <w:kern w:val="2"/>
          <w:sz w:val="24"/>
          <w:szCs w:val="24"/>
        </w:rPr>
        <w:t>2.梁截面宜选用中翼缘或窄翼缘H型钢；</w:t>
      </w:r>
    </w:p>
    <w:p>
      <w:pPr>
        <w:spacing w:line="360" w:lineRule="auto"/>
        <w:ind w:firstLine="240" w:firstLineChars="100"/>
        <w:rPr>
          <w:color w:val="auto"/>
          <w:kern w:val="2"/>
          <w:sz w:val="24"/>
          <w:szCs w:val="24"/>
        </w:rPr>
      </w:pPr>
      <w:r>
        <w:rPr>
          <w:rFonts w:hint="eastAsia"/>
          <w:color w:val="auto"/>
          <w:kern w:val="2"/>
          <w:sz w:val="24"/>
          <w:szCs w:val="24"/>
        </w:rPr>
        <w:t>3.支撑宜选用热轧H型钢或方（矩）形、圆钢管。耗能支撑符合《建筑消能减震技术规程》JGJ 297的规定。</w:t>
      </w:r>
    </w:p>
    <w:p>
      <w:pPr>
        <w:spacing w:line="360" w:lineRule="auto"/>
        <w:ind w:firstLine="240" w:firstLineChars="100"/>
        <w:rPr>
          <w:color w:val="auto"/>
          <w:kern w:val="2"/>
          <w:sz w:val="24"/>
          <w:szCs w:val="24"/>
        </w:rPr>
      </w:pPr>
      <w:r>
        <w:rPr>
          <w:rFonts w:hint="eastAsia"/>
          <w:color w:val="auto"/>
          <w:kern w:val="2"/>
          <w:sz w:val="24"/>
          <w:szCs w:val="24"/>
        </w:rPr>
        <w:t>4. 低层冷弯薄壁型钢基本构件宜采用U形截面或C形截面。</w:t>
      </w:r>
    </w:p>
    <w:p>
      <w:pPr>
        <w:spacing w:line="360" w:lineRule="auto"/>
        <w:ind w:firstLine="240" w:firstLineChars="100"/>
        <w:rPr>
          <w:color w:val="auto"/>
          <w:kern w:val="2"/>
          <w:sz w:val="24"/>
          <w:szCs w:val="24"/>
        </w:rPr>
      </w:pPr>
      <w:r>
        <w:rPr>
          <w:rFonts w:hint="eastAsia"/>
          <w:color w:val="auto"/>
          <w:kern w:val="2"/>
          <w:sz w:val="24"/>
          <w:szCs w:val="24"/>
        </w:rPr>
        <w:t>5. 钢板剪力墙应符合《钢板剪力墙技术规程》JGJ/T 380的规定。</w:t>
      </w:r>
    </w:p>
    <w:p>
      <w:pPr>
        <w:spacing w:line="360" w:lineRule="auto"/>
        <w:rPr>
          <w:color w:val="0070C0"/>
          <w:kern w:val="2"/>
        </w:rPr>
      </w:pPr>
      <w:r>
        <w:rPr>
          <w:rFonts w:hint="eastAsia" w:ascii="宋体" w:hAnsi="宋体" w:cs="黑体"/>
          <w:b/>
          <w:color w:val="auto"/>
        </w:rPr>
        <w:t>【条文说明】：</w:t>
      </w:r>
      <w:r>
        <w:rPr>
          <w:rFonts w:hint="eastAsia"/>
          <w:color w:val="0070C0"/>
          <w:kern w:val="2"/>
        </w:rPr>
        <w:t>钢柱、钢梁、钢支撑、冷弯薄壁型钢常用截面形式与尺寸参见《钢结构住宅主要构件尺寸指南》。成品型材主要包括热轧型钢、冷弯钢管和型材等。梁、柱、支撑等构件应选用外轮廓尺寸统一的截面形式，可通过调整板厚以适用于不同受力要求，以为构件连接节点、内外墙、装饰装修等部品部件的通用化提供必要条件。因空心型材隔声性能差，因此应采用混凝土或其他材料灌实。</w:t>
      </w:r>
    </w:p>
    <w:p>
      <w:pPr>
        <w:spacing w:line="360" w:lineRule="auto"/>
        <w:rPr>
          <w:color w:val="auto"/>
          <w:kern w:val="2"/>
          <w:sz w:val="24"/>
          <w:szCs w:val="24"/>
        </w:rPr>
      </w:pPr>
      <w:r>
        <w:rPr>
          <w:b/>
          <w:bCs/>
          <w:color w:val="auto"/>
          <w:kern w:val="2"/>
          <w:sz w:val="24"/>
          <w:szCs w:val="24"/>
        </w:rPr>
        <w:t>6.1.4</w:t>
      </w:r>
      <w:r>
        <w:rPr>
          <w:rFonts w:ascii="宋体" w:hAnsi="宋体"/>
          <w:color w:val="auto"/>
        </w:rPr>
        <w:t xml:space="preserve"> </w:t>
      </w:r>
      <w:r>
        <w:rPr>
          <w:rFonts w:hint="eastAsia"/>
          <w:color w:val="auto"/>
          <w:kern w:val="2"/>
          <w:sz w:val="24"/>
          <w:szCs w:val="24"/>
        </w:rPr>
        <w:t>钢结构住宅的连接节点宜标准化和通用化，并应与建筑相协调，宜采用利于主体结构施工、墙板安装及不影响建筑使用功能的节点形式。</w:t>
      </w:r>
    </w:p>
    <w:p>
      <w:pPr>
        <w:spacing w:line="360" w:lineRule="auto"/>
        <w:rPr>
          <w:color w:val="auto"/>
          <w:kern w:val="2"/>
          <w:sz w:val="24"/>
          <w:szCs w:val="24"/>
        </w:rPr>
      </w:pPr>
      <w:r>
        <w:rPr>
          <w:rFonts w:hint="eastAsia" w:ascii="宋体" w:hAnsi="宋体" w:cs="黑体"/>
          <w:b/>
          <w:color w:val="auto"/>
        </w:rPr>
        <w:t>【条文说明】：</w:t>
      </w:r>
      <w:r>
        <w:rPr>
          <w:rFonts w:hint="eastAsia"/>
          <w:color w:val="0070C0"/>
          <w:kern w:val="2"/>
        </w:rPr>
        <w:t>节点设计应符合工厂加工和现场装配的工业化生产要求，做到标准化和通用化。梁柱节点避免采用外环板及框架梁端隅撑的构造；当采用梁端加强型构造时，不应采用梁端加腋、加宽的构造；柱变截面应置于梁高范围内，以避免节点构造对建筑使用能力的影响。</w:t>
      </w:r>
    </w:p>
    <w:p>
      <w:pPr>
        <w:spacing w:line="360" w:lineRule="auto"/>
        <w:rPr>
          <w:color w:val="auto"/>
          <w:kern w:val="2"/>
          <w:sz w:val="24"/>
          <w:szCs w:val="24"/>
        </w:rPr>
      </w:pPr>
      <w:r>
        <w:rPr>
          <w:b/>
          <w:bCs/>
          <w:color w:val="auto"/>
          <w:kern w:val="2"/>
          <w:sz w:val="24"/>
          <w:szCs w:val="24"/>
        </w:rPr>
        <w:t>6.1.5</w:t>
      </w:r>
      <w:r>
        <w:rPr>
          <w:rFonts w:ascii="宋体" w:hAnsi="宋体"/>
          <w:color w:val="auto"/>
        </w:rPr>
        <w:t xml:space="preserve"> </w:t>
      </w:r>
      <w:r>
        <w:rPr>
          <w:rFonts w:hint="eastAsia"/>
          <w:color w:val="auto"/>
          <w:kern w:val="2"/>
          <w:sz w:val="24"/>
          <w:szCs w:val="24"/>
        </w:rPr>
        <w:t>钢结构住宅的主体钢结构构件应结合设备管线、风管等布置准确预留孔洞，并作相应加强，不应现场开孔。</w:t>
      </w:r>
    </w:p>
    <w:p>
      <w:pPr>
        <w:pStyle w:val="3"/>
        <w:spacing w:line="360" w:lineRule="auto"/>
        <w:jc w:val="center"/>
        <w:rPr>
          <w:rFonts w:ascii="Times New Roman" w:hAnsi="Times New Roman" w:eastAsia="宋体" w:cs="Times New Roman"/>
          <w:color w:val="auto"/>
          <w:sz w:val="28"/>
          <w:szCs w:val="28"/>
        </w:rPr>
      </w:pPr>
      <w:bookmarkStart w:id="29" w:name="_Toc69283558"/>
      <w:bookmarkStart w:id="30" w:name="_Toc76376957"/>
      <w:bookmarkStart w:id="31" w:name="_Toc103958752"/>
      <w:r>
        <w:rPr>
          <w:rFonts w:ascii="Times New Roman" w:hAnsi="Times New Roman" w:eastAsia="宋体" w:cs="Times New Roman"/>
          <w:color w:val="auto"/>
          <w:sz w:val="28"/>
          <w:szCs w:val="28"/>
        </w:rPr>
        <w:t xml:space="preserve">6.2  </w:t>
      </w:r>
      <w:r>
        <w:rPr>
          <w:rFonts w:hint="eastAsia" w:ascii="Times New Roman" w:hAnsi="Times New Roman" w:eastAsia="宋体" w:cs="Times New Roman"/>
          <w:color w:val="auto"/>
          <w:sz w:val="28"/>
          <w:szCs w:val="28"/>
        </w:rPr>
        <w:t>结构</w:t>
      </w:r>
      <w:bookmarkEnd w:id="29"/>
      <w:bookmarkEnd w:id="30"/>
      <w:r>
        <w:rPr>
          <w:rFonts w:hint="eastAsia" w:ascii="Times New Roman" w:hAnsi="Times New Roman" w:eastAsia="宋体" w:cs="Times New Roman"/>
          <w:color w:val="auto"/>
          <w:sz w:val="28"/>
          <w:szCs w:val="28"/>
        </w:rPr>
        <w:t>体系</w:t>
      </w:r>
      <w:bookmarkEnd w:id="31"/>
    </w:p>
    <w:p>
      <w:pPr>
        <w:widowControl/>
        <w:spacing w:line="360" w:lineRule="auto"/>
        <w:rPr>
          <w:color w:val="auto"/>
          <w:kern w:val="2"/>
          <w:sz w:val="24"/>
          <w:szCs w:val="24"/>
        </w:rPr>
      </w:pPr>
      <w:r>
        <w:rPr>
          <w:b/>
          <w:bCs/>
          <w:color w:val="auto"/>
          <w:kern w:val="2"/>
          <w:sz w:val="24"/>
          <w:szCs w:val="24"/>
        </w:rPr>
        <w:t>6.2.1</w:t>
      </w:r>
      <w:r>
        <w:rPr>
          <w:rFonts w:ascii="宋体" w:hAnsi="宋体"/>
          <w:b/>
          <w:bCs/>
          <w:color w:val="auto"/>
        </w:rPr>
        <w:t xml:space="preserve"> </w:t>
      </w:r>
      <w:r>
        <w:rPr>
          <w:rFonts w:hint="eastAsia"/>
          <w:color w:val="auto"/>
          <w:kern w:val="2"/>
          <w:sz w:val="24"/>
          <w:szCs w:val="24"/>
        </w:rPr>
        <w:t>结构体系选型</w:t>
      </w:r>
    </w:p>
    <w:p>
      <w:pPr>
        <w:widowControl/>
        <w:spacing w:line="360" w:lineRule="auto"/>
        <w:ind w:firstLine="480" w:firstLineChars="200"/>
        <w:rPr>
          <w:rFonts w:ascii="宋体" w:hAnsi="宋体"/>
          <w:color w:val="auto"/>
          <w:sz w:val="24"/>
          <w:szCs w:val="24"/>
        </w:rPr>
      </w:pPr>
      <w:r>
        <w:rPr>
          <w:rFonts w:hint="eastAsia" w:ascii="宋体" w:hAnsi="宋体"/>
          <w:color w:val="auto"/>
          <w:sz w:val="24"/>
          <w:szCs w:val="24"/>
        </w:rPr>
        <w:t>钢结构住宅宜根据结构高度、所在地区烈度选取合适的结构体系，各类结构体系的适用高度宜符合表</w:t>
      </w:r>
      <w:r>
        <w:rPr>
          <w:color w:val="auto"/>
          <w:sz w:val="24"/>
          <w:szCs w:val="24"/>
        </w:rPr>
        <w:t>6.2.1-1</w:t>
      </w:r>
      <w:r>
        <w:rPr>
          <w:rFonts w:hint="eastAsia" w:ascii="宋体" w:hAnsi="宋体"/>
          <w:color w:val="auto"/>
          <w:sz w:val="24"/>
          <w:szCs w:val="24"/>
        </w:rPr>
        <w:t>的规定：</w:t>
      </w:r>
    </w:p>
    <w:p>
      <w:pPr>
        <w:spacing w:line="360" w:lineRule="auto"/>
        <w:ind w:left="630" w:hanging="630" w:hangingChars="300"/>
        <w:jc w:val="center"/>
        <w:rPr>
          <w:rFonts w:ascii="宋体" w:hAnsi="宋体"/>
          <w:color w:val="auto"/>
        </w:rPr>
      </w:pPr>
      <w:r>
        <w:rPr>
          <w:rFonts w:hint="eastAsia" w:ascii="宋体" w:hAnsi="宋体"/>
          <w:color w:val="auto"/>
        </w:rPr>
        <w:t>表</w:t>
      </w:r>
      <w:r>
        <w:rPr>
          <w:color w:val="auto"/>
        </w:rPr>
        <w:t>6.2.1-1</w:t>
      </w:r>
      <w:r>
        <w:rPr>
          <w:rFonts w:hint="eastAsia" w:ascii="宋体" w:hAnsi="宋体"/>
          <w:color w:val="auto"/>
        </w:rPr>
        <w:t>钢结构住宅结构体系的适用高度（</w:t>
      </w:r>
      <w:r>
        <w:rPr>
          <w:color w:val="auto"/>
        </w:rPr>
        <w:t>m</w:t>
      </w:r>
      <w:r>
        <w:rPr>
          <w:rFonts w:hint="eastAsia" w:ascii="宋体" w:hAnsi="宋体"/>
          <w:color w:val="auto"/>
        </w:rPr>
        <w:t>）</w:t>
      </w:r>
    </w:p>
    <w:tbl>
      <w:tblPr>
        <w:tblStyle w:val="17"/>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1"/>
        <w:gridCol w:w="2272"/>
        <w:gridCol w:w="941"/>
        <w:gridCol w:w="679"/>
        <w:gridCol w:w="374"/>
        <w:gridCol w:w="652"/>
        <w:gridCol w:w="652"/>
        <w:gridCol w:w="652"/>
        <w:gridCol w:w="652"/>
        <w:gridCol w:w="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1" w:type="dxa"/>
            <w:vMerge w:val="restart"/>
            <w:vAlign w:val="center"/>
          </w:tcPr>
          <w:p>
            <w:pPr>
              <w:spacing w:line="276" w:lineRule="auto"/>
              <w:jc w:val="center"/>
              <w:rPr>
                <w:rFonts w:ascii="宋体" w:hAnsi="宋体"/>
                <w:color w:val="auto"/>
                <w:sz w:val="20"/>
                <w:szCs w:val="20"/>
              </w:rPr>
            </w:pPr>
            <w:r>
              <w:rPr>
                <w:rFonts w:hint="eastAsia" w:ascii="宋体" w:hAnsi="宋体"/>
                <w:color w:val="auto"/>
                <w:sz w:val="20"/>
                <w:szCs w:val="20"/>
              </w:rPr>
              <w:t>结构类型</w:t>
            </w:r>
          </w:p>
        </w:tc>
        <w:tc>
          <w:tcPr>
            <w:tcW w:w="2272" w:type="dxa"/>
            <w:vMerge w:val="restart"/>
            <w:vAlign w:val="center"/>
          </w:tcPr>
          <w:p>
            <w:pPr>
              <w:spacing w:line="276" w:lineRule="auto"/>
              <w:jc w:val="center"/>
              <w:rPr>
                <w:rFonts w:ascii="宋体" w:hAnsi="宋体"/>
                <w:color w:val="auto"/>
                <w:sz w:val="20"/>
                <w:szCs w:val="20"/>
              </w:rPr>
            </w:pPr>
            <w:r>
              <w:rPr>
                <w:rFonts w:hint="eastAsia" w:ascii="宋体" w:hAnsi="宋体"/>
                <w:color w:val="auto"/>
                <w:sz w:val="20"/>
                <w:szCs w:val="20"/>
              </w:rPr>
              <w:t>结构体系</w:t>
            </w:r>
          </w:p>
        </w:tc>
        <w:tc>
          <w:tcPr>
            <w:tcW w:w="941" w:type="dxa"/>
            <w:vMerge w:val="restart"/>
            <w:vAlign w:val="center"/>
          </w:tcPr>
          <w:p>
            <w:pPr>
              <w:spacing w:line="276" w:lineRule="auto"/>
              <w:jc w:val="center"/>
              <w:rPr>
                <w:rFonts w:ascii="宋体" w:hAnsi="宋体"/>
                <w:color w:val="auto"/>
                <w:sz w:val="20"/>
                <w:szCs w:val="20"/>
              </w:rPr>
            </w:pPr>
            <w:r>
              <w:rPr>
                <w:rFonts w:hint="eastAsia" w:ascii="宋体" w:hAnsi="宋体"/>
                <w:color w:val="auto"/>
                <w:sz w:val="20"/>
                <w:szCs w:val="20"/>
              </w:rPr>
              <w:t>适用</w:t>
            </w:r>
          </w:p>
          <w:p>
            <w:pPr>
              <w:spacing w:line="276" w:lineRule="auto"/>
              <w:jc w:val="center"/>
              <w:rPr>
                <w:rFonts w:ascii="宋体" w:hAnsi="宋体"/>
                <w:color w:val="auto"/>
                <w:sz w:val="20"/>
                <w:szCs w:val="20"/>
              </w:rPr>
            </w:pPr>
            <w:r>
              <w:rPr>
                <w:rFonts w:hint="eastAsia" w:ascii="宋体" w:hAnsi="宋体"/>
                <w:color w:val="auto"/>
                <w:sz w:val="20"/>
                <w:szCs w:val="20"/>
              </w:rPr>
              <w:t>住宅类型</w:t>
            </w:r>
          </w:p>
        </w:tc>
        <w:tc>
          <w:tcPr>
            <w:tcW w:w="4062" w:type="dxa"/>
            <w:gridSpan w:val="7"/>
          </w:tcPr>
          <w:p>
            <w:pPr>
              <w:spacing w:line="276" w:lineRule="auto"/>
              <w:jc w:val="center"/>
              <w:rPr>
                <w:rFonts w:ascii="宋体" w:hAnsi="宋体"/>
                <w:color w:val="auto"/>
                <w:sz w:val="20"/>
                <w:szCs w:val="20"/>
              </w:rPr>
            </w:pPr>
            <w:r>
              <w:rPr>
                <w:rFonts w:hint="eastAsia" w:ascii="宋体" w:hAnsi="宋体"/>
                <w:color w:val="auto"/>
                <w:sz w:val="20"/>
                <w:szCs w:val="20"/>
              </w:rPr>
              <w:t>适用高度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1" w:type="dxa"/>
            <w:vMerge w:val="continue"/>
            <w:vAlign w:val="center"/>
          </w:tcPr>
          <w:p>
            <w:pPr>
              <w:spacing w:line="276" w:lineRule="auto"/>
              <w:jc w:val="center"/>
              <w:rPr>
                <w:rFonts w:ascii="宋体" w:hAnsi="宋体"/>
                <w:color w:val="auto"/>
                <w:sz w:val="20"/>
                <w:szCs w:val="20"/>
              </w:rPr>
            </w:pPr>
          </w:p>
        </w:tc>
        <w:tc>
          <w:tcPr>
            <w:tcW w:w="2272" w:type="dxa"/>
            <w:vMerge w:val="continue"/>
            <w:vAlign w:val="center"/>
          </w:tcPr>
          <w:p>
            <w:pPr>
              <w:spacing w:line="276" w:lineRule="auto"/>
              <w:jc w:val="center"/>
              <w:rPr>
                <w:rFonts w:ascii="宋体" w:hAnsi="宋体"/>
                <w:color w:val="auto"/>
                <w:sz w:val="20"/>
                <w:szCs w:val="20"/>
              </w:rPr>
            </w:pPr>
          </w:p>
        </w:tc>
        <w:tc>
          <w:tcPr>
            <w:tcW w:w="941" w:type="dxa"/>
            <w:vMerge w:val="continue"/>
            <w:vAlign w:val="center"/>
          </w:tcPr>
          <w:p>
            <w:pPr>
              <w:spacing w:line="276" w:lineRule="auto"/>
              <w:jc w:val="center"/>
              <w:rPr>
                <w:rFonts w:ascii="宋体" w:hAnsi="宋体"/>
                <w:color w:val="auto"/>
                <w:sz w:val="20"/>
                <w:szCs w:val="20"/>
              </w:rPr>
            </w:pPr>
          </w:p>
        </w:tc>
        <w:tc>
          <w:tcPr>
            <w:tcW w:w="679" w:type="dxa"/>
            <w:tcMar>
              <w:left w:w="28" w:type="dxa"/>
              <w:right w:w="28" w:type="dxa"/>
            </w:tcMar>
            <w:vAlign w:val="center"/>
          </w:tcPr>
          <w:p>
            <w:pPr>
              <w:spacing w:line="276" w:lineRule="auto"/>
              <w:jc w:val="center"/>
              <w:rPr>
                <w:rFonts w:ascii="宋体" w:hAnsi="宋体"/>
                <w:color w:val="auto"/>
                <w:sz w:val="20"/>
                <w:szCs w:val="20"/>
              </w:rPr>
            </w:pPr>
            <w:r>
              <w:rPr>
                <w:rFonts w:hint="eastAsia" w:ascii="宋体" w:hAnsi="宋体"/>
                <w:color w:val="auto"/>
                <w:sz w:val="20"/>
                <w:szCs w:val="20"/>
              </w:rPr>
              <w:t>非抗震设防</w:t>
            </w:r>
          </w:p>
        </w:tc>
        <w:tc>
          <w:tcPr>
            <w:tcW w:w="374" w:type="dxa"/>
            <w:vAlign w:val="center"/>
          </w:tcPr>
          <w:p>
            <w:pPr>
              <w:jc w:val="center"/>
              <w:rPr>
                <w:rFonts w:ascii="宋体" w:hAnsi="宋体"/>
                <w:color w:val="auto"/>
                <w:sz w:val="20"/>
                <w:szCs w:val="20"/>
              </w:rPr>
            </w:pPr>
            <w:r>
              <w:rPr>
                <w:color w:val="auto"/>
                <w:sz w:val="20"/>
                <w:szCs w:val="20"/>
              </w:rPr>
              <w:t>6</w:t>
            </w:r>
            <w:r>
              <w:rPr>
                <w:rFonts w:hint="eastAsia" w:ascii="宋体" w:hAnsi="宋体"/>
                <w:color w:val="auto"/>
                <w:sz w:val="20"/>
                <w:szCs w:val="20"/>
              </w:rPr>
              <w:t>度</w:t>
            </w:r>
          </w:p>
        </w:tc>
        <w:tc>
          <w:tcPr>
            <w:tcW w:w="652" w:type="dxa"/>
            <w:vAlign w:val="center"/>
          </w:tcPr>
          <w:p>
            <w:pPr>
              <w:jc w:val="center"/>
              <w:rPr>
                <w:rFonts w:ascii="宋体" w:hAnsi="宋体"/>
                <w:color w:val="auto"/>
                <w:sz w:val="20"/>
                <w:szCs w:val="20"/>
              </w:rPr>
            </w:pPr>
            <w:r>
              <w:rPr>
                <w:color w:val="auto"/>
                <w:sz w:val="20"/>
                <w:szCs w:val="20"/>
              </w:rPr>
              <w:t>7</w:t>
            </w:r>
            <w:r>
              <w:rPr>
                <w:rFonts w:hint="eastAsia" w:ascii="宋体" w:hAnsi="宋体"/>
                <w:color w:val="auto"/>
                <w:sz w:val="20"/>
                <w:szCs w:val="20"/>
              </w:rPr>
              <w:t>度</w:t>
            </w:r>
          </w:p>
          <w:p>
            <w:pPr>
              <w:jc w:val="center"/>
              <w:rPr>
                <w:color w:val="auto"/>
                <w:sz w:val="20"/>
                <w:szCs w:val="20"/>
              </w:rPr>
            </w:pPr>
            <w:r>
              <w:rPr>
                <w:color w:val="auto"/>
                <w:sz w:val="20"/>
                <w:szCs w:val="20"/>
              </w:rPr>
              <w:t>0.10g</w:t>
            </w:r>
          </w:p>
        </w:tc>
        <w:tc>
          <w:tcPr>
            <w:tcW w:w="652" w:type="dxa"/>
          </w:tcPr>
          <w:p>
            <w:pPr>
              <w:jc w:val="center"/>
              <w:rPr>
                <w:rFonts w:ascii="宋体" w:hAnsi="宋体"/>
                <w:color w:val="auto"/>
                <w:sz w:val="20"/>
                <w:szCs w:val="20"/>
              </w:rPr>
            </w:pPr>
            <w:r>
              <w:rPr>
                <w:color w:val="auto"/>
                <w:sz w:val="20"/>
                <w:szCs w:val="20"/>
              </w:rPr>
              <w:t>7</w:t>
            </w:r>
            <w:r>
              <w:rPr>
                <w:rFonts w:hint="eastAsia" w:ascii="宋体" w:hAnsi="宋体"/>
                <w:color w:val="auto"/>
                <w:sz w:val="20"/>
                <w:szCs w:val="20"/>
              </w:rPr>
              <w:t>度</w:t>
            </w:r>
          </w:p>
          <w:p>
            <w:pPr>
              <w:jc w:val="center"/>
              <w:rPr>
                <w:color w:val="auto"/>
                <w:sz w:val="20"/>
                <w:szCs w:val="20"/>
              </w:rPr>
            </w:pPr>
            <w:r>
              <w:rPr>
                <w:color w:val="auto"/>
                <w:sz w:val="20"/>
                <w:szCs w:val="20"/>
              </w:rPr>
              <w:t>0.15g</w:t>
            </w:r>
          </w:p>
        </w:tc>
        <w:tc>
          <w:tcPr>
            <w:tcW w:w="652" w:type="dxa"/>
            <w:vAlign w:val="center"/>
          </w:tcPr>
          <w:p>
            <w:pPr>
              <w:jc w:val="center"/>
              <w:rPr>
                <w:rFonts w:ascii="宋体" w:hAnsi="宋体"/>
                <w:color w:val="auto"/>
                <w:sz w:val="20"/>
                <w:szCs w:val="20"/>
              </w:rPr>
            </w:pPr>
            <w:r>
              <w:rPr>
                <w:color w:val="auto"/>
                <w:sz w:val="20"/>
                <w:szCs w:val="20"/>
              </w:rPr>
              <w:t>8</w:t>
            </w:r>
            <w:r>
              <w:rPr>
                <w:rFonts w:hint="eastAsia" w:ascii="宋体" w:hAnsi="宋体"/>
                <w:color w:val="auto"/>
                <w:sz w:val="20"/>
                <w:szCs w:val="20"/>
              </w:rPr>
              <w:t>度</w:t>
            </w:r>
          </w:p>
          <w:p>
            <w:pPr>
              <w:jc w:val="center"/>
              <w:rPr>
                <w:color w:val="auto"/>
                <w:sz w:val="20"/>
                <w:szCs w:val="20"/>
              </w:rPr>
            </w:pPr>
            <w:r>
              <w:rPr>
                <w:color w:val="auto"/>
                <w:sz w:val="20"/>
                <w:szCs w:val="20"/>
              </w:rPr>
              <w:t>0.20g</w:t>
            </w:r>
          </w:p>
        </w:tc>
        <w:tc>
          <w:tcPr>
            <w:tcW w:w="652" w:type="dxa"/>
          </w:tcPr>
          <w:p>
            <w:pPr>
              <w:jc w:val="center"/>
              <w:rPr>
                <w:rFonts w:ascii="宋体" w:hAnsi="宋体"/>
                <w:color w:val="auto"/>
                <w:sz w:val="20"/>
                <w:szCs w:val="20"/>
              </w:rPr>
            </w:pPr>
            <w:r>
              <w:rPr>
                <w:color w:val="auto"/>
                <w:sz w:val="20"/>
                <w:szCs w:val="20"/>
              </w:rPr>
              <w:t>8</w:t>
            </w:r>
            <w:r>
              <w:rPr>
                <w:rFonts w:hint="eastAsia" w:ascii="宋体" w:hAnsi="宋体"/>
                <w:color w:val="auto"/>
                <w:sz w:val="20"/>
                <w:szCs w:val="20"/>
              </w:rPr>
              <w:t>度</w:t>
            </w:r>
          </w:p>
          <w:p>
            <w:pPr>
              <w:jc w:val="center"/>
              <w:rPr>
                <w:color w:val="auto"/>
                <w:sz w:val="20"/>
                <w:szCs w:val="20"/>
              </w:rPr>
            </w:pPr>
            <w:r>
              <w:rPr>
                <w:color w:val="auto"/>
                <w:sz w:val="20"/>
                <w:szCs w:val="20"/>
              </w:rPr>
              <w:t>0.30g</w:t>
            </w:r>
          </w:p>
        </w:tc>
        <w:tc>
          <w:tcPr>
            <w:tcW w:w="401" w:type="dxa"/>
            <w:vAlign w:val="center"/>
          </w:tcPr>
          <w:p>
            <w:pPr>
              <w:jc w:val="center"/>
              <w:rPr>
                <w:rFonts w:ascii="宋体" w:hAnsi="宋体"/>
                <w:color w:val="auto"/>
                <w:sz w:val="20"/>
                <w:szCs w:val="20"/>
              </w:rPr>
            </w:pPr>
            <w:r>
              <w:rPr>
                <w:color w:val="auto"/>
                <w:sz w:val="20"/>
                <w:szCs w:val="20"/>
              </w:rPr>
              <w:t>9</w:t>
            </w:r>
            <w:r>
              <w:rPr>
                <w:rFonts w:hint="eastAsia" w:ascii="宋体" w:hAnsi="宋体"/>
                <w:color w:val="auto"/>
                <w:sz w:val="20"/>
                <w:szCs w:val="20"/>
              </w:rPr>
              <w:t>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8" w:hRule="atLeast"/>
        </w:trPr>
        <w:tc>
          <w:tcPr>
            <w:tcW w:w="1041" w:type="dxa"/>
            <w:vMerge w:val="restart"/>
            <w:vAlign w:val="center"/>
          </w:tcPr>
          <w:p>
            <w:pPr>
              <w:spacing w:line="276" w:lineRule="auto"/>
              <w:jc w:val="center"/>
              <w:rPr>
                <w:rFonts w:ascii="宋体" w:hAnsi="宋体"/>
                <w:color w:val="auto"/>
                <w:sz w:val="20"/>
                <w:szCs w:val="20"/>
              </w:rPr>
            </w:pPr>
            <w:r>
              <w:rPr>
                <w:rFonts w:hint="eastAsia" w:ascii="宋体" w:hAnsi="宋体"/>
                <w:color w:val="auto"/>
                <w:sz w:val="20"/>
                <w:szCs w:val="20"/>
              </w:rPr>
              <w:t>轻型截面</w:t>
            </w:r>
          </w:p>
          <w:p>
            <w:pPr>
              <w:spacing w:line="276" w:lineRule="auto"/>
              <w:jc w:val="center"/>
              <w:rPr>
                <w:rFonts w:ascii="宋体" w:hAnsi="宋体"/>
                <w:color w:val="auto"/>
                <w:sz w:val="20"/>
                <w:szCs w:val="20"/>
              </w:rPr>
            </w:pPr>
            <w:r>
              <w:rPr>
                <w:rFonts w:hint="eastAsia" w:ascii="宋体" w:hAnsi="宋体"/>
                <w:color w:val="auto"/>
                <w:sz w:val="20"/>
                <w:szCs w:val="20"/>
              </w:rPr>
              <w:t>钢结构</w:t>
            </w:r>
          </w:p>
        </w:tc>
        <w:tc>
          <w:tcPr>
            <w:tcW w:w="2272" w:type="dxa"/>
            <w:vAlign w:val="center"/>
          </w:tcPr>
          <w:p>
            <w:pPr>
              <w:spacing w:line="276" w:lineRule="auto"/>
              <w:jc w:val="center"/>
              <w:rPr>
                <w:rFonts w:ascii="宋体" w:hAnsi="宋体"/>
                <w:color w:val="auto"/>
                <w:sz w:val="20"/>
                <w:szCs w:val="20"/>
              </w:rPr>
            </w:pPr>
            <w:r>
              <w:rPr>
                <w:rFonts w:hint="eastAsia" w:ascii="宋体" w:hAnsi="宋体"/>
                <w:color w:val="auto"/>
                <w:sz w:val="20"/>
                <w:szCs w:val="20"/>
              </w:rPr>
              <w:t>冷弯薄壁型钢结构</w:t>
            </w:r>
          </w:p>
        </w:tc>
        <w:tc>
          <w:tcPr>
            <w:tcW w:w="941" w:type="dxa"/>
            <w:vAlign w:val="center"/>
          </w:tcPr>
          <w:p>
            <w:pPr>
              <w:spacing w:line="276" w:lineRule="auto"/>
              <w:jc w:val="center"/>
              <w:rPr>
                <w:rFonts w:ascii="宋体" w:hAnsi="宋体"/>
                <w:color w:val="auto"/>
                <w:sz w:val="20"/>
                <w:szCs w:val="20"/>
              </w:rPr>
            </w:pPr>
            <w:r>
              <w:rPr>
                <w:rFonts w:hint="eastAsia" w:ascii="宋体" w:hAnsi="宋体"/>
                <w:color w:val="auto"/>
                <w:sz w:val="20"/>
                <w:szCs w:val="20"/>
              </w:rPr>
              <w:t>低层住宅</w:t>
            </w:r>
          </w:p>
        </w:tc>
        <w:tc>
          <w:tcPr>
            <w:tcW w:w="679" w:type="dxa"/>
            <w:tcMar>
              <w:left w:w="28" w:type="dxa"/>
              <w:right w:w="28" w:type="dxa"/>
            </w:tcMar>
            <w:vAlign w:val="center"/>
          </w:tcPr>
          <w:p>
            <w:pPr>
              <w:spacing w:line="276" w:lineRule="auto"/>
              <w:jc w:val="center"/>
              <w:rPr>
                <w:color w:val="auto"/>
                <w:sz w:val="20"/>
                <w:szCs w:val="20"/>
              </w:rPr>
            </w:pPr>
            <w:r>
              <w:rPr>
                <w:color w:val="auto"/>
                <w:sz w:val="20"/>
                <w:szCs w:val="20"/>
              </w:rPr>
              <w:t>12</w:t>
            </w:r>
          </w:p>
        </w:tc>
        <w:tc>
          <w:tcPr>
            <w:tcW w:w="374" w:type="dxa"/>
            <w:vAlign w:val="center"/>
          </w:tcPr>
          <w:p>
            <w:pPr>
              <w:spacing w:line="276" w:lineRule="auto"/>
              <w:jc w:val="center"/>
              <w:rPr>
                <w:color w:val="auto"/>
                <w:sz w:val="20"/>
                <w:szCs w:val="20"/>
              </w:rPr>
            </w:pPr>
            <w:r>
              <w:rPr>
                <w:color w:val="auto"/>
                <w:sz w:val="20"/>
                <w:szCs w:val="20"/>
              </w:rPr>
              <w:t>12</w:t>
            </w:r>
          </w:p>
        </w:tc>
        <w:tc>
          <w:tcPr>
            <w:tcW w:w="652" w:type="dxa"/>
            <w:vAlign w:val="center"/>
          </w:tcPr>
          <w:p>
            <w:pPr>
              <w:spacing w:line="276" w:lineRule="auto"/>
              <w:jc w:val="center"/>
              <w:rPr>
                <w:color w:val="auto"/>
                <w:sz w:val="20"/>
                <w:szCs w:val="20"/>
              </w:rPr>
            </w:pPr>
            <w:r>
              <w:rPr>
                <w:color w:val="auto"/>
                <w:sz w:val="20"/>
                <w:szCs w:val="20"/>
              </w:rPr>
              <w:t>12</w:t>
            </w:r>
          </w:p>
        </w:tc>
        <w:tc>
          <w:tcPr>
            <w:tcW w:w="652" w:type="dxa"/>
            <w:vAlign w:val="center"/>
          </w:tcPr>
          <w:p>
            <w:pPr>
              <w:spacing w:line="276" w:lineRule="auto"/>
              <w:jc w:val="center"/>
              <w:rPr>
                <w:color w:val="auto"/>
                <w:sz w:val="20"/>
                <w:szCs w:val="20"/>
              </w:rPr>
            </w:pPr>
            <w:r>
              <w:rPr>
                <w:color w:val="auto"/>
                <w:sz w:val="20"/>
                <w:szCs w:val="20"/>
              </w:rPr>
              <w:t>12</w:t>
            </w:r>
          </w:p>
        </w:tc>
        <w:tc>
          <w:tcPr>
            <w:tcW w:w="652" w:type="dxa"/>
            <w:vAlign w:val="center"/>
          </w:tcPr>
          <w:p>
            <w:pPr>
              <w:spacing w:line="276" w:lineRule="auto"/>
              <w:jc w:val="center"/>
              <w:rPr>
                <w:color w:val="auto"/>
                <w:sz w:val="20"/>
                <w:szCs w:val="20"/>
              </w:rPr>
            </w:pPr>
            <w:r>
              <w:rPr>
                <w:color w:val="auto"/>
                <w:sz w:val="20"/>
                <w:szCs w:val="20"/>
              </w:rPr>
              <w:t>12</w:t>
            </w:r>
          </w:p>
        </w:tc>
        <w:tc>
          <w:tcPr>
            <w:tcW w:w="652" w:type="dxa"/>
            <w:vAlign w:val="center"/>
          </w:tcPr>
          <w:p>
            <w:pPr>
              <w:spacing w:line="276" w:lineRule="auto"/>
              <w:jc w:val="center"/>
              <w:rPr>
                <w:color w:val="auto"/>
                <w:sz w:val="20"/>
                <w:szCs w:val="20"/>
              </w:rPr>
            </w:pPr>
            <w:r>
              <w:rPr>
                <w:color w:val="auto"/>
                <w:sz w:val="20"/>
                <w:szCs w:val="20"/>
              </w:rPr>
              <w:t>12</w:t>
            </w:r>
          </w:p>
        </w:tc>
        <w:tc>
          <w:tcPr>
            <w:tcW w:w="401" w:type="dxa"/>
            <w:vAlign w:val="center"/>
          </w:tcPr>
          <w:p>
            <w:pPr>
              <w:spacing w:line="276" w:lineRule="auto"/>
              <w:jc w:val="center"/>
              <w:rPr>
                <w:color w:val="auto"/>
                <w:sz w:val="20"/>
                <w:szCs w:val="20"/>
              </w:rPr>
            </w:pPr>
            <w:r>
              <w:rPr>
                <w:color w:val="auto"/>
                <w:sz w:val="20"/>
                <w:szCs w:val="2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1" w:type="dxa"/>
            <w:vMerge w:val="continue"/>
            <w:vAlign w:val="center"/>
          </w:tcPr>
          <w:p>
            <w:pPr>
              <w:spacing w:line="276" w:lineRule="auto"/>
              <w:jc w:val="center"/>
              <w:rPr>
                <w:rFonts w:ascii="宋体" w:hAnsi="宋体"/>
                <w:color w:val="auto"/>
                <w:sz w:val="20"/>
                <w:szCs w:val="20"/>
              </w:rPr>
            </w:pPr>
          </w:p>
        </w:tc>
        <w:tc>
          <w:tcPr>
            <w:tcW w:w="2272" w:type="dxa"/>
            <w:vAlign w:val="center"/>
          </w:tcPr>
          <w:p>
            <w:pPr>
              <w:spacing w:line="276" w:lineRule="auto"/>
              <w:jc w:val="center"/>
              <w:rPr>
                <w:rFonts w:ascii="宋体" w:hAnsi="宋体"/>
                <w:color w:val="auto"/>
                <w:sz w:val="20"/>
                <w:szCs w:val="20"/>
              </w:rPr>
            </w:pPr>
            <w:r>
              <w:rPr>
                <w:rFonts w:hint="eastAsia" w:ascii="宋体" w:hAnsi="宋体"/>
                <w:color w:val="auto"/>
                <w:sz w:val="20"/>
                <w:szCs w:val="20"/>
              </w:rPr>
              <w:t>框架结构</w:t>
            </w:r>
          </w:p>
        </w:tc>
        <w:tc>
          <w:tcPr>
            <w:tcW w:w="941" w:type="dxa"/>
            <w:vAlign w:val="center"/>
          </w:tcPr>
          <w:p>
            <w:pPr>
              <w:spacing w:line="276" w:lineRule="auto"/>
              <w:jc w:val="center"/>
              <w:rPr>
                <w:rFonts w:ascii="宋体" w:hAnsi="宋体"/>
                <w:color w:val="auto"/>
                <w:sz w:val="20"/>
                <w:szCs w:val="20"/>
              </w:rPr>
            </w:pPr>
            <w:r>
              <w:rPr>
                <w:rFonts w:hint="eastAsia" w:ascii="宋体" w:hAnsi="宋体"/>
                <w:color w:val="auto"/>
                <w:sz w:val="20"/>
                <w:szCs w:val="20"/>
              </w:rPr>
              <w:t>低层住宅</w:t>
            </w:r>
          </w:p>
          <w:p>
            <w:pPr>
              <w:spacing w:line="276" w:lineRule="auto"/>
              <w:jc w:val="center"/>
              <w:rPr>
                <w:rFonts w:ascii="宋体" w:hAnsi="宋体"/>
                <w:color w:val="auto"/>
                <w:sz w:val="20"/>
                <w:szCs w:val="20"/>
              </w:rPr>
            </w:pPr>
            <w:r>
              <w:rPr>
                <w:rFonts w:hint="eastAsia" w:ascii="宋体" w:hAnsi="宋体"/>
                <w:color w:val="auto"/>
                <w:sz w:val="20"/>
                <w:szCs w:val="20"/>
              </w:rPr>
              <w:t>多层住宅</w:t>
            </w:r>
          </w:p>
        </w:tc>
        <w:tc>
          <w:tcPr>
            <w:tcW w:w="679" w:type="dxa"/>
            <w:tcMar>
              <w:left w:w="28" w:type="dxa"/>
              <w:right w:w="28" w:type="dxa"/>
            </w:tcMar>
            <w:vAlign w:val="center"/>
          </w:tcPr>
          <w:p>
            <w:pPr>
              <w:spacing w:line="276" w:lineRule="auto"/>
              <w:jc w:val="center"/>
              <w:rPr>
                <w:color w:val="auto"/>
                <w:sz w:val="20"/>
                <w:szCs w:val="20"/>
              </w:rPr>
            </w:pPr>
            <w:r>
              <w:rPr>
                <w:color w:val="auto"/>
                <w:sz w:val="20"/>
                <w:szCs w:val="20"/>
              </w:rPr>
              <w:t>18</w:t>
            </w:r>
          </w:p>
        </w:tc>
        <w:tc>
          <w:tcPr>
            <w:tcW w:w="374" w:type="dxa"/>
            <w:vAlign w:val="center"/>
          </w:tcPr>
          <w:p>
            <w:pPr>
              <w:spacing w:line="276" w:lineRule="auto"/>
              <w:jc w:val="center"/>
              <w:rPr>
                <w:color w:val="auto"/>
                <w:sz w:val="20"/>
                <w:szCs w:val="20"/>
              </w:rPr>
            </w:pPr>
            <w:r>
              <w:rPr>
                <w:color w:val="auto"/>
                <w:sz w:val="20"/>
                <w:szCs w:val="20"/>
              </w:rPr>
              <w:t>18</w:t>
            </w:r>
          </w:p>
        </w:tc>
        <w:tc>
          <w:tcPr>
            <w:tcW w:w="652" w:type="dxa"/>
            <w:vAlign w:val="center"/>
          </w:tcPr>
          <w:p>
            <w:pPr>
              <w:spacing w:line="276" w:lineRule="auto"/>
              <w:jc w:val="center"/>
              <w:rPr>
                <w:color w:val="auto"/>
                <w:sz w:val="20"/>
                <w:szCs w:val="20"/>
              </w:rPr>
            </w:pPr>
            <w:r>
              <w:rPr>
                <w:color w:val="auto"/>
                <w:sz w:val="20"/>
                <w:szCs w:val="20"/>
              </w:rPr>
              <w:t>18</w:t>
            </w:r>
          </w:p>
        </w:tc>
        <w:tc>
          <w:tcPr>
            <w:tcW w:w="652" w:type="dxa"/>
            <w:vAlign w:val="center"/>
          </w:tcPr>
          <w:p>
            <w:pPr>
              <w:spacing w:line="276" w:lineRule="auto"/>
              <w:jc w:val="center"/>
              <w:rPr>
                <w:color w:val="auto"/>
                <w:sz w:val="20"/>
                <w:szCs w:val="20"/>
              </w:rPr>
            </w:pPr>
            <w:r>
              <w:rPr>
                <w:color w:val="auto"/>
                <w:sz w:val="20"/>
                <w:szCs w:val="20"/>
              </w:rPr>
              <w:t>18</w:t>
            </w:r>
          </w:p>
        </w:tc>
        <w:tc>
          <w:tcPr>
            <w:tcW w:w="652" w:type="dxa"/>
            <w:vAlign w:val="center"/>
          </w:tcPr>
          <w:p>
            <w:pPr>
              <w:spacing w:line="276" w:lineRule="auto"/>
              <w:jc w:val="center"/>
              <w:rPr>
                <w:color w:val="auto"/>
                <w:sz w:val="20"/>
                <w:szCs w:val="20"/>
              </w:rPr>
            </w:pPr>
            <w:r>
              <w:rPr>
                <w:color w:val="auto"/>
                <w:sz w:val="20"/>
                <w:szCs w:val="20"/>
              </w:rPr>
              <w:t>18</w:t>
            </w:r>
          </w:p>
        </w:tc>
        <w:tc>
          <w:tcPr>
            <w:tcW w:w="652" w:type="dxa"/>
            <w:vAlign w:val="center"/>
          </w:tcPr>
          <w:p>
            <w:pPr>
              <w:spacing w:line="276" w:lineRule="auto"/>
              <w:jc w:val="center"/>
              <w:rPr>
                <w:color w:val="auto"/>
                <w:sz w:val="20"/>
                <w:szCs w:val="20"/>
              </w:rPr>
            </w:pPr>
            <w:r>
              <w:rPr>
                <w:color w:val="auto"/>
                <w:sz w:val="20"/>
                <w:szCs w:val="20"/>
              </w:rPr>
              <w:t>18</w:t>
            </w:r>
          </w:p>
        </w:tc>
        <w:tc>
          <w:tcPr>
            <w:tcW w:w="401" w:type="dxa"/>
            <w:vAlign w:val="center"/>
          </w:tcPr>
          <w:p>
            <w:pPr>
              <w:spacing w:line="276" w:lineRule="auto"/>
              <w:jc w:val="center"/>
              <w:rPr>
                <w:color w:val="auto"/>
                <w:sz w:val="20"/>
                <w:szCs w:val="20"/>
              </w:rPr>
            </w:pPr>
            <w:r>
              <w:rPr>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1" w:type="dxa"/>
            <w:vMerge w:val="restart"/>
            <w:vAlign w:val="center"/>
          </w:tcPr>
          <w:p>
            <w:pPr>
              <w:spacing w:line="276" w:lineRule="auto"/>
              <w:jc w:val="center"/>
              <w:rPr>
                <w:rFonts w:ascii="宋体" w:hAnsi="宋体"/>
                <w:color w:val="auto"/>
                <w:sz w:val="20"/>
                <w:szCs w:val="20"/>
              </w:rPr>
            </w:pPr>
            <w:r>
              <w:rPr>
                <w:rFonts w:hint="eastAsia" w:ascii="宋体" w:hAnsi="宋体"/>
                <w:color w:val="auto"/>
                <w:sz w:val="20"/>
                <w:szCs w:val="20"/>
              </w:rPr>
              <w:t>普通</w:t>
            </w:r>
          </w:p>
          <w:p>
            <w:pPr>
              <w:spacing w:line="276" w:lineRule="auto"/>
              <w:jc w:val="center"/>
              <w:rPr>
                <w:rFonts w:ascii="宋体" w:hAnsi="宋体"/>
                <w:color w:val="auto"/>
                <w:sz w:val="20"/>
                <w:szCs w:val="20"/>
              </w:rPr>
            </w:pPr>
            <w:r>
              <w:rPr>
                <w:rFonts w:hint="eastAsia" w:ascii="宋体" w:hAnsi="宋体"/>
                <w:color w:val="auto"/>
                <w:sz w:val="20"/>
                <w:szCs w:val="20"/>
              </w:rPr>
              <w:t>钢结构</w:t>
            </w:r>
          </w:p>
        </w:tc>
        <w:tc>
          <w:tcPr>
            <w:tcW w:w="2272" w:type="dxa"/>
            <w:vAlign w:val="center"/>
          </w:tcPr>
          <w:p>
            <w:pPr>
              <w:spacing w:line="276" w:lineRule="auto"/>
              <w:jc w:val="center"/>
              <w:rPr>
                <w:rFonts w:ascii="宋体" w:hAnsi="宋体"/>
                <w:color w:val="auto"/>
                <w:sz w:val="20"/>
                <w:szCs w:val="20"/>
              </w:rPr>
            </w:pPr>
            <w:r>
              <w:rPr>
                <w:rFonts w:hint="eastAsia" w:ascii="宋体" w:hAnsi="宋体"/>
                <w:color w:val="auto"/>
                <w:sz w:val="20"/>
                <w:szCs w:val="20"/>
              </w:rPr>
              <w:t>框架结构</w:t>
            </w:r>
          </w:p>
        </w:tc>
        <w:tc>
          <w:tcPr>
            <w:tcW w:w="941" w:type="dxa"/>
            <w:vAlign w:val="center"/>
          </w:tcPr>
          <w:p>
            <w:pPr>
              <w:spacing w:line="276" w:lineRule="auto"/>
              <w:jc w:val="center"/>
              <w:rPr>
                <w:rFonts w:ascii="宋体" w:hAnsi="宋体"/>
                <w:color w:val="auto"/>
                <w:sz w:val="20"/>
                <w:szCs w:val="20"/>
                <w:highlight w:val="yellow"/>
              </w:rPr>
            </w:pPr>
            <w:r>
              <w:rPr>
                <w:rFonts w:hint="eastAsia" w:ascii="宋体" w:hAnsi="宋体"/>
                <w:color w:val="auto"/>
                <w:sz w:val="20"/>
                <w:szCs w:val="20"/>
              </w:rPr>
              <w:t>多层及高层住宅</w:t>
            </w:r>
          </w:p>
        </w:tc>
        <w:tc>
          <w:tcPr>
            <w:tcW w:w="679" w:type="dxa"/>
            <w:vAlign w:val="center"/>
          </w:tcPr>
          <w:p>
            <w:pPr>
              <w:spacing w:line="276" w:lineRule="auto"/>
              <w:jc w:val="center"/>
              <w:rPr>
                <w:color w:val="auto"/>
                <w:sz w:val="20"/>
                <w:szCs w:val="20"/>
              </w:rPr>
            </w:pPr>
            <w:r>
              <w:rPr>
                <w:color w:val="auto"/>
                <w:sz w:val="20"/>
                <w:szCs w:val="20"/>
              </w:rPr>
              <w:t>1</w:t>
            </w:r>
            <w:r>
              <w:rPr>
                <w:rFonts w:hint="eastAsia"/>
                <w:color w:val="auto"/>
                <w:sz w:val="20"/>
                <w:szCs w:val="20"/>
              </w:rPr>
              <w:t>0</w:t>
            </w:r>
            <w:r>
              <w:rPr>
                <w:color w:val="auto"/>
                <w:sz w:val="20"/>
                <w:szCs w:val="20"/>
              </w:rPr>
              <w:t>0</w:t>
            </w:r>
          </w:p>
        </w:tc>
        <w:tc>
          <w:tcPr>
            <w:tcW w:w="374" w:type="dxa"/>
            <w:vAlign w:val="center"/>
          </w:tcPr>
          <w:p>
            <w:pPr>
              <w:spacing w:line="276" w:lineRule="auto"/>
              <w:jc w:val="center"/>
              <w:rPr>
                <w:color w:val="auto"/>
                <w:sz w:val="20"/>
                <w:szCs w:val="20"/>
              </w:rPr>
            </w:pPr>
            <w:r>
              <w:rPr>
                <w:color w:val="auto"/>
                <w:sz w:val="20"/>
                <w:szCs w:val="20"/>
              </w:rPr>
              <w:t>1</w:t>
            </w:r>
            <w:r>
              <w:rPr>
                <w:rFonts w:hint="eastAsia"/>
                <w:color w:val="auto"/>
                <w:sz w:val="20"/>
                <w:szCs w:val="20"/>
              </w:rPr>
              <w:t>0</w:t>
            </w:r>
            <w:r>
              <w:rPr>
                <w:color w:val="auto"/>
                <w:sz w:val="20"/>
                <w:szCs w:val="20"/>
              </w:rPr>
              <w:t>0</w:t>
            </w:r>
          </w:p>
        </w:tc>
        <w:tc>
          <w:tcPr>
            <w:tcW w:w="652" w:type="dxa"/>
            <w:vAlign w:val="center"/>
          </w:tcPr>
          <w:p>
            <w:pPr>
              <w:spacing w:line="276" w:lineRule="auto"/>
              <w:jc w:val="center"/>
              <w:rPr>
                <w:color w:val="auto"/>
                <w:sz w:val="20"/>
                <w:szCs w:val="20"/>
              </w:rPr>
            </w:pPr>
            <w:r>
              <w:rPr>
                <w:color w:val="auto"/>
                <w:sz w:val="20"/>
                <w:szCs w:val="20"/>
              </w:rPr>
              <w:t>1</w:t>
            </w:r>
            <w:r>
              <w:rPr>
                <w:rFonts w:hint="eastAsia"/>
                <w:color w:val="auto"/>
                <w:sz w:val="20"/>
                <w:szCs w:val="20"/>
              </w:rPr>
              <w:t>0</w:t>
            </w:r>
            <w:r>
              <w:rPr>
                <w:color w:val="auto"/>
                <w:sz w:val="20"/>
                <w:szCs w:val="20"/>
              </w:rPr>
              <w:t>0</w:t>
            </w:r>
          </w:p>
        </w:tc>
        <w:tc>
          <w:tcPr>
            <w:tcW w:w="652" w:type="dxa"/>
            <w:vAlign w:val="center"/>
          </w:tcPr>
          <w:p>
            <w:pPr>
              <w:spacing w:line="276" w:lineRule="auto"/>
              <w:jc w:val="center"/>
              <w:rPr>
                <w:color w:val="auto"/>
                <w:sz w:val="20"/>
                <w:szCs w:val="20"/>
              </w:rPr>
            </w:pPr>
            <w:r>
              <w:rPr>
                <w:color w:val="auto"/>
                <w:sz w:val="20"/>
                <w:szCs w:val="20"/>
              </w:rPr>
              <w:t>90</w:t>
            </w:r>
          </w:p>
        </w:tc>
        <w:tc>
          <w:tcPr>
            <w:tcW w:w="652" w:type="dxa"/>
            <w:vAlign w:val="center"/>
          </w:tcPr>
          <w:p>
            <w:pPr>
              <w:spacing w:line="276" w:lineRule="auto"/>
              <w:jc w:val="center"/>
              <w:rPr>
                <w:color w:val="auto"/>
                <w:sz w:val="20"/>
                <w:szCs w:val="20"/>
              </w:rPr>
            </w:pPr>
            <w:r>
              <w:rPr>
                <w:color w:val="auto"/>
                <w:sz w:val="20"/>
                <w:szCs w:val="20"/>
              </w:rPr>
              <w:t>90</w:t>
            </w:r>
          </w:p>
        </w:tc>
        <w:tc>
          <w:tcPr>
            <w:tcW w:w="652" w:type="dxa"/>
            <w:vAlign w:val="center"/>
          </w:tcPr>
          <w:p>
            <w:pPr>
              <w:spacing w:line="276" w:lineRule="auto"/>
              <w:jc w:val="center"/>
              <w:rPr>
                <w:color w:val="auto"/>
                <w:sz w:val="20"/>
                <w:szCs w:val="20"/>
              </w:rPr>
            </w:pPr>
            <w:r>
              <w:rPr>
                <w:color w:val="auto"/>
                <w:sz w:val="20"/>
                <w:szCs w:val="20"/>
              </w:rPr>
              <w:t>70</w:t>
            </w:r>
          </w:p>
        </w:tc>
        <w:tc>
          <w:tcPr>
            <w:tcW w:w="401" w:type="dxa"/>
            <w:vAlign w:val="center"/>
          </w:tcPr>
          <w:p>
            <w:pPr>
              <w:spacing w:line="276" w:lineRule="auto"/>
              <w:jc w:val="center"/>
              <w:rPr>
                <w:color w:val="auto"/>
                <w:sz w:val="20"/>
                <w:szCs w:val="20"/>
              </w:rPr>
            </w:pPr>
            <w:r>
              <w:rPr>
                <w:color w:val="auto"/>
                <w:sz w:val="20"/>
                <w:szCs w:val="2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1" w:type="dxa"/>
            <w:vMerge w:val="continue"/>
            <w:vAlign w:val="center"/>
          </w:tcPr>
          <w:p>
            <w:pPr>
              <w:spacing w:line="276" w:lineRule="auto"/>
              <w:jc w:val="center"/>
              <w:rPr>
                <w:rFonts w:ascii="宋体" w:hAnsi="宋体"/>
                <w:color w:val="auto"/>
                <w:sz w:val="20"/>
                <w:szCs w:val="20"/>
              </w:rPr>
            </w:pPr>
          </w:p>
        </w:tc>
        <w:tc>
          <w:tcPr>
            <w:tcW w:w="2272" w:type="dxa"/>
            <w:vAlign w:val="center"/>
          </w:tcPr>
          <w:p>
            <w:pPr>
              <w:spacing w:line="276" w:lineRule="auto"/>
              <w:jc w:val="center"/>
              <w:rPr>
                <w:rFonts w:ascii="宋体" w:hAnsi="宋体"/>
                <w:color w:val="auto"/>
                <w:sz w:val="20"/>
                <w:szCs w:val="20"/>
              </w:rPr>
            </w:pPr>
            <w:r>
              <w:rPr>
                <w:rFonts w:hint="eastAsia" w:ascii="宋体" w:hAnsi="宋体"/>
                <w:color w:val="auto"/>
                <w:sz w:val="20"/>
                <w:szCs w:val="20"/>
              </w:rPr>
              <w:t>框架-支撑结构</w:t>
            </w:r>
          </w:p>
          <w:p>
            <w:pPr>
              <w:spacing w:line="276" w:lineRule="auto"/>
              <w:jc w:val="center"/>
              <w:rPr>
                <w:rFonts w:ascii="宋体" w:hAnsi="宋体"/>
                <w:color w:val="auto"/>
                <w:sz w:val="20"/>
                <w:szCs w:val="20"/>
              </w:rPr>
            </w:pPr>
            <w:r>
              <w:rPr>
                <w:rFonts w:hint="eastAsia" w:ascii="宋体" w:hAnsi="宋体"/>
                <w:color w:val="auto"/>
                <w:sz w:val="20"/>
                <w:szCs w:val="20"/>
              </w:rPr>
              <w:t>框架-钢板剪力墙结构</w:t>
            </w:r>
          </w:p>
          <w:p>
            <w:pPr>
              <w:spacing w:line="276" w:lineRule="auto"/>
              <w:jc w:val="center"/>
              <w:rPr>
                <w:rFonts w:ascii="宋体" w:hAnsi="宋体"/>
                <w:color w:val="auto"/>
                <w:sz w:val="20"/>
                <w:szCs w:val="20"/>
              </w:rPr>
            </w:pPr>
            <w:r>
              <w:rPr>
                <w:rFonts w:ascii="宋体" w:hAnsi="宋体"/>
                <w:color w:val="auto"/>
                <w:sz w:val="20"/>
                <w:szCs w:val="20"/>
              </w:rPr>
              <w:t>钢板组合剪力墙结构</w:t>
            </w:r>
          </w:p>
        </w:tc>
        <w:tc>
          <w:tcPr>
            <w:tcW w:w="941" w:type="dxa"/>
            <w:vAlign w:val="center"/>
          </w:tcPr>
          <w:p>
            <w:pPr>
              <w:spacing w:line="276" w:lineRule="auto"/>
              <w:jc w:val="center"/>
              <w:rPr>
                <w:rFonts w:ascii="宋体" w:hAnsi="宋体"/>
                <w:color w:val="auto"/>
                <w:sz w:val="20"/>
                <w:szCs w:val="20"/>
                <w:highlight w:val="yellow"/>
              </w:rPr>
            </w:pPr>
            <w:r>
              <w:rPr>
                <w:rFonts w:hint="eastAsia" w:ascii="宋体" w:hAnsi="宋体"/>
                <w:color w:val="auto"/>
                <w:sz w:val="20"/>
                <w:szCs w:val="20"/>
              </w:rPr>
              <w:t>多层及高层住宅</w:t>
            </w:r>
          </w:p>
        </w:tc>
        <w:tc>
          <w:tcPr>
            <w:tcW w:w="679" w:type="dxa"/>
            <w:vAlign w:val="center"/>
          </w:tcPr>
          <w:p>
            <w:pPr>
              <w:spacing w:line="276" w:lineRule="auto"/>
              <w:jc w:val="center"/>
              <w:rPr>
                <w:color w:val="auto"/>
                <w:sz w:val="20"/>
                <w:szCs w:val="20"/>
              </w:rPr>
            </w:pPr>
            <w:r>
              <w:rPr>
                <w:color w:val="auto"/>
                <w:sz w:val="20"/>
                <w:szCs w:val="20"/>
              </w:rPr>
              <w:t>100</w:t>
            </w:r>
          </w:p>
        </w:tc>
        <w:tc>
          <w:tcPr>
            <w:tcW w:w="374" w:type="dxa"/>
            <w:vAlign w:val="center"/>
          </w:tcPr>
          <w:p>
            <w:pPr>
              <w:spacing w:line="276" w:lineRule="auto"/>
              <w:jc w:val="center"/>
              <w:rPr>
                <w:color w:val="auto"/>
                <w:sz w:val="20"/>
                <w:szCs w:val="20"/>
              </w:rPr>
            </w:pPr>
            <w:r>
              <w:rPr>
                <w:color w:val="auto"/>
                <w:sz w:val="20"/>
                <w:szCs w:val="20"/>
              </w:rPr>
              <w:t>100</w:t>
            </w:r>
          </w:p>
        </w:tc>
        <w:tc>
          <w:tcPr>
            <w:tcW w:w="652" w:type="dxa"/>
            <w:vAlign w:val="center"/>
          </w:tcPr>
          <w:p>
            <w:pPr>
              <w:spacing w:line="276" w:lineRule="auto"/>
              <w:jc w:val="center"/>
              <w:rPr>
                <w:color w:val="auto"/>
                <w:sz w:val="20"/>
                <w:szCs w:val="20"/>
              </w:rPr>
            </w:pPr>
            <w:r>
              <w:rPr>
                <w:color w:val="auto"/>
                <w:sz w:val="20"/>
                <w:szCs w:val="20"/>
              </w:rPr>
              <w:t>100</w:t>
            </w:r>
          </w:p>
        </w:tc>
        <w:tc>
          <w:tcPr>
            <w:tcW w:w="652" w:type="dxa"/>
            <w:vAlign w:val="center"/>
          </w:tcPr>
          <w:p>
            <w:pPr>
              <w:spacing w:line="276" w:lineRule="auto"/>
              <w:jc w:val="center"/>
              <w:rPr>
                <w:color w:val="auto"/>
                <w:sz w:val="20"/>
                <w:szCs w:val="20"/>
              </w:rPr>
            </w:pPr>
            <w:r>
              <w:rPr>
                <w:color w:val="auto"/>
                <w:sz w:val="20"/>
                <w:szCs w:val="20"/>
              </w:rPr>
              <w:t>100</w:t>
            </w:r>
          </w:p>
        </w:tc>
        <w:tc>
          <w:tcPr>
            <w:tcW w:w="652" w:type="dxa"/>
            <w:vAlign w:val="center"/>
          </w:tcPr>
          <w:p>
            <w:pPr>
              <w:spacing w:line="276" w:lineRule="auto"/>
              <w:jc w:val="center"/>
              <w:rPr>
                <w:color w:val="auto"/>
                <w:sz w:val="20"/>
                <w:szCs w:val="20"/>
              </w:rPr>
            </w:pPr>
            <w:r>
              <w:rPr>
                <w:color w:val="auto"/>
                <w:sz w:val="20"/>
                <w:szCs w:val="20"/>
              </w:rPr>
              <w:t>100</w:t>
            </w:r>
          </w:p>
        </w:tc>
        <w:tc>
          <w:tcPr>
            <w:tcW w:w="652" w:type="dxa"/>
            <w:vAlign w:val="center"/>
          </w:tcPr>
          <w:p>
            <w:pPr>
              <w:spacing w:line="276" w:lineRule="auto"/>
              <w:jc w:val="center"/>
              <w:rPr>
                <w:color w:val="auto"/>
                <w:sz w:val="20"/>
                <w:szCs w:val="20"/>
              </w:rPr>
            </w:pPr>
            <w:r>
              <w:rPr>
                <w:color w:val="auto"/>
                <w:sz w:val="20"/>
                <w:szCs w:val="20"/>
              </w:rPr>
              <w:t>100</w:t>
            </w:r>
          </w:p>
        </w:tc>
        <w:tc>
          <w:tcPr>
            <w:tcW w:w="401" w:type="dxa"/>
            <w:vAlign w:val="center"/>
          </w:tcPr>
          <w:p>
            <w:pPr>
              <w:spacing w:line="276" w:lineRule="auto"/>
              <w:jc w:val="center"/>
              <w:rPr>
                <w:color w:val="auto"/>
                <w:sz w:val="20"/>
                <w:szCs w:val="20"/>
              </w:rPr>
            </w:pPr>
            <w:r>
              <w:rPr>
                <w:color w:val="auto"/>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1" w:type="dxa"/>
            <w:vMerge w:val="restart"/>
            <w:vAlign w:val="center"/>
          </w:tcPr>
          <w:p>
            <w:pPr>
              <w:spacing w:line="276" w:lineRule="auto"/>
              <w:jc w:val="center"/>
              <w:rPr>
                <w:rFonts w:ascii="宋体" w:hAnsi="宋体"/>
                <w:color w:val="auto"/>
                <w:sz w:val="20"/>
                <w:szCs w:val="20"/>
              </w:rPr>
            </w:pPr>
            <w:r>
              <w:rPr>
                <w:rFonts w:hint="eastAsia" w:ascii="宋体" w:hAnsi="宋体"/>
                <w:color w:val="auto"/>
                <w:sz w:val="20"/>
                <w:szCs w:val="20"/>
              </w:rPr>
              <w:t>异形柱钢结构</w:t>
            </w:r>
          </w:p>
        </w:tc>
        <w:tc>
          <w:tcPr>
            <w:tcW w:w="2272" w:type="dxa"/>
            <w:vAlign w:val="center"/>
          </w:tcPr>
          <w:p>
            <w:pPr>
              <w:spacing w:line="276" w:lineRule="auto"/>
              <w:jc w:val="center"/>
              <w:rPr>
                <w:rFonts w:ascii="宋体" w:hAnsi="宋体"/>
                <w:color w:val="auto"/>
                <w:sz w:val="20"/>
                <w:szCs w:val="20"/>
              </w:rPr>
            </w:pPr>
            <w:r>
              <w:rPr>
                <w:rFonts w:hint="eastAsia" w:ascii="宋体" w:hAnsi="宋体"/>
                <w:color w:val="auto"/>
                <w:sz w:val="20"/>
                <w:szCs w:val="20"/>
              </w:rPr>
              <w:t>框架结构</w:t>
            </w:r>
          </w:p>
        </w:tc>
        <w:tc>
          <w:tcPr>
            <w:tcW w:w="941" w:type="dxa"/>
            <w:vAlign w:val="center"/>
          </w:tcPr>
          <w:p>
            <w:pPr>
              <w:spacing w:line="276" w:lineRule="auto"/>
              <w:jc w:val="center"/>
              <w:rPr>
                <w:rFonts w:ascii="宋体" w:hAnsi="宋体"/>
                <w:color w:val="auto"/>
                <w:sz w:val="20"/>
                <w:szCs w:val="20"/>
              </w:rPr>
            </w:pPr>
            <w:r>
              <w:rPr>
                <w:rFonts w:hint="eastAsia" w:ascii="宋体" w:hAnsi="宋体"/>
                <w:color w:val="auto"/>
                <w:sz w:val="20"/>
                <w:szCs w:val="20"/>
              </w:rPr>
              <w:t>多层及中高层住宅</w:t>
            </w:r>
          </w:p>
        </w:tc>
        <w:tc>
          <w:tcPr>
            <w:tcW w:w="679" w:type="dxa"/>
            <w:vAlign w:val="center"/>
          </w:tcPr>
          <w:p>
            <w:pPr>
              <w:spacing w:line="276" w:lineRule="auto"/>
              <w:jc w:val="center"/>
              <w:rPr>
                <w:color w:val="auto"/>
                <w:sz w:val="20"/>
                <w:szCs w:val="20"/>
              </w:rPr>
            </w:pPr>
            <w:r>
              <w:rPr>
                <w:color w:val="auto"/>
                <w:sz w:val="20"/>
                <w:szCs w:val="20"/>
              </w:rPr>
              <w:t>36</w:t>
            </w:r>
          </w:p>
        </w:tc>
        <w:tc>
          <w:tcPr>
            <w:tcW w:w="374" w:type="dxa"/>
            <w:vAlign w:val="center"/>
          </w:tcPr>
          <w:p>
            <w:pPr>
              <w:spacing w:line="276" w:lineRule="auto"/>
              <w:jc w:val="center"/>
              <w:rPr>
                <w:color w:val="auto"/>
                <w:sz w:val="20"/>
                <w:szCs w:val="20"/>
              </w:rPr>
            </w:pPr>
            <w:r>
              <w:rPr>
                <w:color w:val="auto"/>
                <w:sz w:val="20"/>
                <w:szCs w:val="20"/>
              </w:rPr>
              <w:t>36</w:t>
            </w:r>
          </w:p>
        </w:tc>
        <w:tc>
          <w:tcPr>
            <w:tcW w:w="652" w:type="dxa"/>
            <w:vAlign w:val="center"/>
          </w:tcPr>
          <w:p>
            <w:pPr>
              <w:spacing w:line="276" w:lineRule="auto"/>
              <w:jc w:val="center"/>
              <w:rPr>
                <w:color w:val="auto"/>
                <w:sz w:val="20"/>
                <w:szCs w:val="20"/>
              </w:rPr>
            </w:pPr>
            <w:r>
              <w:rPr>
                <w:color w:val="auto"/>
                <w:sz w:val="20"/>
                <w:szCs w:val="20"/>
              </w:rPr>
              <w:t>36</w:t>
            </w:r>
          </w:p>
        </w:tc>
        <w:tc>
          <w:tcPr>
            <w:tcW w:w="652" w:type="dxa"/>
            <w:vAlign w:val="center"/>
          </w:tcPr>
          <w:p>
            <w:pPr>
              <w:spacing w:line="276" w:lineRule="auto"/>
              <w:jc w:val="center"/>
              <w:rPr>
                <w:color w:val="auto"/>
                <w:sz w:val="20"/>
                <w:szCs w:val="20"/>
              </w:rPr>
            </w:pPr>
            <w:r>
              <w:rPr>
                <w:color w:val="auto"/>
                <w:sz w:val="20"/>
                <w:szCs w:val="20"/>
              </w:rPr>
              <w:t>36</w:t>
            </w:r>
          </w:p>
        </w:tc>
        <w:tc>
          <w:tcPr>
            <w:tcW w:w="652" w:type="dxa"/>
            <w:vAlign w:val="center"/>
          </w:tcPr>
          <w:p>
            <w:pPr>
              <w:spacing w:line="276" w:lineRule="auto"/>
              <w:jc w:val="center"/>
              <w:rPr>
                <w:color w:val="auto"/>
                <w:sz w:val="20"/>
                <w:szCs w:val="20"/>
              </w:rPr>
            </w:pPr>
            <w:r>
              <w:rPr>
                <w:color w:val="auto"/>
                <w:sz w:val="20"/>
                <w:szCs w:val="20"/>
              </w:rPr>
              <w:t>30</w:t>
            </w:r>
          </w:p>
        </w:tc>
        <w:tc>
          <w:tcPr>
            <w:tcW w:w="652" w:type="dxa"/>
            <w:vAlign w:val="center"/>
          </w:tcPr>
          <w:p>
            <w:pPr>
              <w:spacing w:line="276" w:lineRule="auto"/>
              <w:jc w:val="center"/>
              <w:rPr>
                <w:color w:val="auto"/>
                <w:sz w:val="20"/>
                <w:szCs w:val="20"/>
              </w:rPr>
            </w:pPr>
            <w:r>
              <w:rPr>
                <w:color w:val="auto"/>
                <w:sz w:val="20"/>
                <w:szCs w:val="20"/>
              </w:rPr>
              <w:t>12</w:t>
            </w:r>
          </w:p>
        </w:tc>
        <w:tc>
          <w:tcPr>
            <w:tcW w:w="401" w:type="dxa"/>
            <w:vAlign w:val="center"/>
          </w:tcPr>
          <w:p>
            <w:pPr>
              <w:spacing w:line="276" w:lineRule="auto"/>
              <w:jc w:val="center"/>
              <w:rPr>
                <w:color w:val="auto"/>
                <w:sz w:val="20"/>
                <w:szCs w:val="20"/>
              </w:rPr>
            </w:pPr>
            <w:r>
              <w:rPr>
                <w:color w:val="auto"/>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1" w:type="dxa"/>
            <w:vMerge w:val="continue"/>
            <w:vAlign w:val="center"/>
          </w:tcPr>
          <w:p>
            <w:pPr>
              <w:spacing w:line="276" w:lineRule="auto"/>
              <w:jc w:val="center"/>
              <w:rPr>
                <w:rFonts w:ascii="宋体" w:hAnsi="宋体"/>
                <w:color w:val="auto"/>
                <w:sz w:val="20"/>
                <w:szCs w:val="20"/>
              </w:rPr>
            </w:pPr>
          </w:p>
        </w:tc>
        <w:tc>
          <w:tcPr>
            <w:tcW w:w="2272" w:type="dxa"/>
            <w:vAlign w:val="center"/>
          </w:tcPr>
          <w:p>
            <w:pPr>
              <w:spacing w:line="276" w:lineRule="auto"/>
              <w:jc w:val="center"/>
              <w:rPr>
                <w:rFonts w:ascii="宋体" w:hAnsi="宋体"/>
                <w:color w:val="auto"/>
                <w:sz w:val="20"/>
                <w:szCs w:val="20"/>
              </w:rPr>
            </w:pPr>
            <w:r>
              <w:rPr>
                <w:rFonts w:hint="eastAsia" w:ascii="宋体" w:hAnsi="宋体"/>
                <w:color w:val="auto"/>
                <w:sz w:val="20"/>
                <w:szCs w:val="20"/>
              </w:rPr>
              <w:t>框架-支撑结构</w:t>
            </w:r>
          </w:p>
        </w:tc>
        <w:tc>
          <w:tcPr>
            <w:tcW w:w="941" w:type="dxa"/>
            <w:vAlign w:val="center"/>
          </w:tcPr>
          <w:p>
            <w:pPr>
              <w:spacing w:line="276" w:lineRule="auto"/>
              <w:jc w:val="center"/>
              <w:rPr>
                <w:rFonts w:ascii="宋体" w:hAnsi="宋体"/>
                <w:color w:val="auto"/>
                <w:sz w:val="20"/>
                <w:szCs w:val="20"/>
              </w:rPr>
            </w:pPr>
            <w:r>
              <w:rPr>
                <w:rFonts w:hint="eastAsia" w:ascii="宋体" w:hAnsi="宋体"/>
                <w:color w:val="auto"/>
                <w:sz w:val="20"/>
                <w:szCs w:val="20"/>
              </w:rPr>
              <w:t>中高层及高层住宅</w:t>
            </w:r>
          </w:p>
        </w:tc>
        <w:tc>
          <w:tcPr>
            <w:tcW w:w="679" w:type="dxa"/>
            <w:vAlign w:val="center"/>
          </w:tcPr>
          <w:p>
            <w:pPr>
              <w:spacing w:line="276" w:lineRule="auto"/>
              <w:jc w:val="center"/>
              <w:rPr>
                <w:color w:val="auto"/>
                <w:sz w:val="20"/>
                <w:szCs w:val="20"/>
              </w:rPr>
            </w:pPr>
            <w:r>
              <w:rPr>
                <w:color w:val="auto"/>
                <w:sz w:val="20"/>
                <w:szCs w:val="20"/>
              </w:rPr>
              <w:t>90</w:t>
            </w:r>
          </w:p>
        </w:tc>
        <w:tc>
          <w:tcPr>
            <w:tcW w:w="374" w:type="dxa"/>
            <w:vAlign w:val="center"/>
          </w:tcPr>
          <w:p>
            <w:pPr>
              <w:spacing w:line="276" w:lineRule="auto"/>
              <w:jc w:val="center"/>
              <w:rPr>
                <w:color w:val="auto"/>
                <w:sz w:val="20"/>
                <w:szCs w:val="20"/>
              </w:rPr>
            </w:pPr>
            <w:r>
              <w:rPr>
                <w:color w:val="auto"/>
                <w:sz w:val="20"/>
                <w:szCs w:val="20"/>
              </w:rPr>
              <w:t>90</w:t>
            </w:r>
          </w:p>
        </w:tc>
        <w:tc>
          <w:tcPr>
            <w:tcW w:w="652" w:type="dxa"/>
            <w:vAlign w:val="center"/>
          </w:tcPr>
          <w:p>
            <w:pPr>
              <w:spacing w:line="276" w:lineRule="auto"/>
              <w:jc w:val="center"/>
              <w:rPr>
                <w:color w:val="auto"/>
                <w:sz w:val="20"/>
                <w:szCs w:val="20"/>
              </w:rPr>
            </w:pPr>
            <w:r>
              <w:rPr>
                <w:color w:val="auto"/>
                <w:sz w:val="20"/>
                <w:szCs w:val="20"/>
              </w:rPr>
              <w:t>90</w:t>
            </w:r>
          </w:p>
        </w:tc>
        <w:tc>
          <w:tcPr>
            <w:tcW w:w="652" w:type="dxa"/>
            <w:vAlign w:val="center"/>
          </w:tcPr>
          <w:p>
            <w:pPr>
              <w:spacing w:line="276" w:lineRule="auto"/>
              <w:jc w:val="center"/>
              <w:rPr>
                <w:color w:val="auto"/>
                <w:sz w:val="20"/>
                <w:szCs w:val="20"/>
              </w:rPr>
            </w:pPr>
            <w:r>
              <w:rPr>
                <w:color w:val="auto"/>
                <w:sz w:val="20"/>
                <w:szCs w:val="20"/>
              </w:rPr>
              <w:t>70</w:t>
            </w:r>
          </w:p>
        </w:tc>
        <w:tc>
          <w:tcPr>
            <w:tcW w:w="652" w:type="dxa"/>
            <w:vAlign w:val="center"/>
          </w:tcPr>
          <w:p>
            <w:pPr>
              <w:spacing w:line="276" w:lineRule="auto"/>
              <w:jc w:val="center"/>
              <w:rPr>
                <w:color w:val="auto"/>
                <w:sz w:val="20"/>
                <w:szCs w:val="20"/>
              </w:rPr>
            </w:pPr>
            <w:r>
              <w:rPr>
                <w:color w:val="auto"/>
                <w:sz w:val="20"/>
                <w:szCs w:val="20"/>
              </w:rPr>
              <w:t>50</w:t>
            </w:r>
          </w:p>
        </w:tc>
        <w:tc>
          <w:tcPr>
            <w:tcW w:w="652" w:type="dxa"/>
            <w:vAlign w:val="center"/>
          </w:tcPr>
          <w:p>
            <w:pPr>
              <w:spacing w:line="276" w:lineRule="auto"/>
              <w:jc w:val="center"/>
              <w:rPr>
                <w:color w:val="auto"/>
                <w:sz w:val="20"/>
                <w:szCs w:val="20"/>
              </w:rPr>
            </w:pPr>
            <w:r>
              <w:rPr>
                <w:color w:val="auto"/>
                <w:sz w:val="20"/>
                <w:szCs w:val="20"/>
              </w:rPr>
              <w:t>24</w:t>
            </w:r>
          </w:p>
        </w:tc>
        <w:tc>
          <w:tcPr>
            <w:tcW w:w="401" w:type="dxa"/>
            <w:vAlign w:val="center"/>
          </w:tcPr>
          <w:p>
            <w:pPr>
              <w:spacing w:line="276" w:lineRule="auto"/>
              <w:jc w:val="center"/>
              <w:rPr>
                <w:color w:val="auto"/>
                <w:sz w:val="20"/>
                <w:szCs w:val="20"/>
              </w:rPr>
            </w:pPr>
            <w:r>
              <w:rPr>
                <w:color w:val="auto"/>
                <w:sz w:val="20"/>
                <w:szCs w:val="20"/>
              </w:rPr>
              <w:t>12</w:t>
            </w:r>
          </w:p>
        </w:tc>
      </w:tr>
    </w:tbl>
    <w:p>
      <w:pPr>
        <w:ind w:firstLine="360" w:firstLineChars="200"/>
        <w:rPr>
          <w:rFonts w:ascii="宋体" w:hAnsi="宋体"/>
          <w:color w:val="auto"/>
          <w:sz w:val="18"/>
          <w:szCs w:val="18"/>
        </w:rPr>
      </w:pPr>
      <w:r>
        <w:rPr>
          <w:rFonts w:hint="eastAsia" w:ascii="宋体" w:hAnsi="宋体"/>
          <w:color w:val="auto"/>
          <w:sz w:val="18"/>
          <w:szCs w:val="18"/>
        </w:rPr>
        <w:t>注</w:t>
      </w:r>
      <w:r>
        <w:rPr>
          <w:rFonts w:ascii="宋体" w:hAnsi="宋体"/>
          <w:color w:val="auto"/>
          <w:sz w:val="18"/>
          <w:szCs w:val="18"/>
        </w:rPr>
        <w:t xml:space="preserve">: 1 </w:t>
      </w:r>
      <w:r>
        <w:rPr>
          <w:rFonts w:hint="eastAsia" w:ascii="宋体" w:hAnsi="宋体"/>
          <w:color w:val="auto"/>
          <w:sz w:val="18"/>
          <w:szCs w:val="18"/>
        </w:rPr>
        <w:t>轻型截面框架系指梁、柱由高频焊接薄壁</w:t>
      </w:r>
      <w:r>
        <w:rPr>
          <w:rFonts w:ascii="宋体" w:hAnsi="宋体"/>
          <w:color w:val="auto"/>
          <w:sz w:val="18"/>
          <w:szCs w:val="18"/>
        </w:rPr>
        <w:t>H</w:t>
      </w:r>
      <w:r>
        <w:rPr>
          <w:rFonts w:hint="eastAsia" w:ascii="宋体" w:hAnsi="宋体"/>
          <w:color w:val="auto"/>
          <w:sz w:val="18"/>
          <w:szCs w:val="18"/>
        </w:rPr>
        <w:t>型钢或热轧薄壁</w:t>
      </w:r>
      <w:r>
        <w:rPr>
          <w:rFonts w:ascii="宋体" w:hAnsi="宋体"/>
          <w:color w:val="auto"/>
          <w:sz w:val="18"/>
          <w:szCs w:val="18"/>
        </w:rPr>
        <w:t>H</w:t>
      </w:r>
      <w:r>
        <w:rPr>
          <w:rFonts w:hint="eastAsia" w:ascii="宋体" w:hAnsi="宋体"/>
          <w:color w:val="auto"/>
          <w:sz w:val="18"/>
          <w:szCs w:val="18"/>
        </w:rPr>
        <w:t>型钢等组成的框架；</w:t>
      </w:r>
    </w:p>
    <w:p>
      <w:pPr>
        <w:ind w:firstLine="720" w:firstLineChars="400"/>
        <w:rPr>
          <w:rFonts w:ascii="宋体" w:hAnsi="宋体"/>
          <w:color w:val="auto"/>
          <w:sz w:val="18"/>
          <w:szCs w:val="18"/>
        </w:rPr>
      </w:pPr>
      <w:r>
        <w:rPr>
          <w:rFonts w:ascii="宋体" w:hAnsi="宋体"/>
          <w:color w:val="auto"/>
          <w:sz w:val="18"/>
          <w:szCs w:val="18"/>
        </w:rPr>
        <w:t xml:space="preserve">2 </w:t>
      </w:r>
      <w:r>
        <w:rPr>
          <w:rFonts w:hint="eastAsia" w:ascii="宋体" w:hAnsi="宋体"/>
          <w:color w:val="auto"/>
          <w:sz w:val="18"/>
          <w:szCs w:val="18"/>
        </w:rPr>
        <w:t>普通钢框架系指梁、柱由普通热轧或焊接</w:t>
      </w:r>
      <w:r>
        <w:rPr>
          <w:rFonts w:ascii="宋体" w:hAnsi="宋体"/>
          <w:color w:val="auto"/>
          <w:sz w:val="18"/>
          <w:szCs w:val="18"/>
        </w:rPr>
        <w:t>H</w:t>
      </w:r>
      <w:r>
        <w:rPr>
          <w:rFonts w:hint="eastAsia" w:ascii="宋体" w:hAnsi="宋体"/>
          <w:color w:val="auto"/>
          <w:sz w:val="18"/>
          <w:szCs w:val="18"/>
        </w:rPr>
        <w:t>型钢、钢管、箱形截面等组成的框架；</w:t>
      </w:r>
    </w:p>
    <w:p>
      <w:pPr>
        <w:ind w:firstLine="720" w:firstLineChars="400"/>
        <w:rPr>
          <w:rFonts w:ascii="宋体" w:hAnsi="宋体"/>
          <w:color w:val="auto"/>
          <w:sz w:val="18"/>
          <w:szCs w:val="18"/>
        </w:rPr>
      </w:pPr>
      <w:r>
        <w:rPr>
          <w:rFonts w:hint="eastAsia" w:ascii="宋体" w:hAnsi="宋体"/>
          <w:color w:val="auto"/>
          <w:sz w:val="18"/>
          <w:szCs w:val="18"/>
        </w:rPr>
        <w:t>3冷弯薄壁型钢结构系指由冷弯薄壁型钢组成的密柱（龙骨）体系；</w:t>
      </w:r>
    </w:p>
    <w:p>
      <w:pPr>
        <w:ind w:left="871" w:leftChars="329" w:hanging="180" w:hangingChars="100"/>
        <w:rPr>
          <w:rFonts w:ascii="宋体" w:hAnsi="宋体"/>
          <w:color w:val="auto"/>
          <w:sz w:val="18"/>
          <w:szCs w:val="18"/>
        </w:rPr>
      </w:pPr>
      <w:r>
        <w:rPr>
          <w:rFonts w:ascii="宋体" w:hAnsi="宋体"/>
          <w:color w:val="auto"/>
          <w:sz w:val="18"/>
          <w:szCs w:val="18"/>
        </w:rPr>
        <w:t>4</w:t>
      </w:r>
      <w:r>
        <w:rPr>
          <w:rFonts w:hint="eastAsia" w:ascii="宋体" w:hAnsi="宋体"/>
          <w:color w:val="auto"/>
          <w:sz w:val="18"/>
          <w:szCs w:val="18"/>
        </w:rPr>
        <w:t>矩形钢管异形柱结构系指截面几何形状为</w:t>
      </w:r>
      <w:r>
        <w:rPr>
          <w:rFonts w:ascii="宋体" w:hAnsi="宋体"/>
          <w:color w:val="auto"/>
          <w:sz w:val="18"/>
          <w:szCs w:val="18"/>
        </w:rPr>
        <w:t>L</w:t>
      </w:r>
      <w:r>
        <w:rPr>
          <w:rFonts w:hint="eastAsia" w:ascii="宋体" w:hAnsi="宋体"/>
          <w:color w:val="auto"/>
          <w:sz w:val="18"/>
          <w:szCs w:val="18"/>
        </w:rPr>
        <w:t>形、</w:t>
      </w:r>
      <w:r>
        <w:rPr>
          <w:rFonts w:ascii="宋体" w:hAnsi="宋体"/>
          <w:color w:val="auto"/>
          <w:sz w:val="18"/>
          <w:szCs w:val="18"/>
        </w:rPr>
        <w:t>T</w:t>
      </w:r>
      <w:r>
        <w:rPr>
          <w:rFonts w:hint="eastAsia" w:ascii="宋体" w:hAnsi="宋体"/>
          <w:color w:val="auto"/>
          <w:sz w:val="18"/>
          <w:szCs w:val="18"/>
        </w:rPr>
        <w:t>形和十字形，且截面各肢的肢高与肢厚比不大于</w:t>
      </w:r>
      <w:r>
        <w:rPr>
          <w:rFonts w:ascii="宋体" w:hAnsi="宋体"/>
          <w:color w:val="auto"/>
          <w:sz w:val="18"/>
          <w:szCs w:val="18"/>
        </w:rPr>
        <w:t>4</w:t>
      </w:r>
      <w:r>
        <w:rPr>
          <w:rFonts w:hint="eastAsia" w:ascii="宋体" w:hAnsi="宋体"/>
          <w:color w:val="auto"/>
          <w:sz w:val="18"/>
          <w:szCs w:val="18"/>
        </w:rPr>
        <w:t>的矩形钢管混凝土柱组合成的异形柱与钢梁组成的框架；</w:t>
      </w:r>
    </w:p>
    <w:p>
      <w:pPr>
        <w:ind w:left="871" w:leftChars="329" w:hanging="180" w:hangingChars="100"/>
        <w:rPr>
          <w:rFonts w:ascii="宋体" w:hAnsi="宋体"/>
          <w:color w:val="auto"/>
          <w:sz w:val="18"/>
          <w:szCs w:val="18"/>
        </w:rPr>
      </w:pPr>
      <w:r>
        <w:rPr>
          <w:rFonts w:ascii="宋体" w:hAnsi="宋体"/>
          <w:color w:val="auto"/>
          <w:sz w:val="18"/>
          <w:szCs w:val="18"/>
        </w:rPr>
        <w:t>5</w:t>
      </w:r>
      <w:r>
        <w:rPr>
          <w:rFonts w:hint="eastAsia" w:ascii="宋体" w:hAnsi="宋体"/>
          <w:color w:val="auto"/>
          <w:sz w:val="18"/>
          <w:szCs w:val="18"/>
        </w:rPr>
        <w:t>钢板剪力墙系指非加劲钢板剪力墙、加劲钢板剪力墙、防屈曲钢板剪力墙、钢板组合剪力墙、开缝钢板剪力墙；</w:t>
      </w:r>
    </w:p>
    <w:p>
      <w:pPr>
        <w:ind w:firstLine="720" w:firstLineChars="400"/>
        <w:rPr>
          <w:rFonts w:ascii="宋体" w:hAnsi="宋体"/>
          <w:color w:val="auto"/>
          <w:sz w:val="18"/>
          <w:szCs w:val="18"/>
        </w:rPr>
      </w:pPr>
      <w:r>
        <w:rPr>
          <w:rFonts w:ascii="宋体" w:hAnsi="宋体"/>
          <w:color w:val="auto"/>
          <w:sz w:val="18"/>
          <w:szCs w:val="18"/>
        </w:rPr>
        <w:t>6</w:t>
      </w:r>
      <w:r>
        <w:rPr>
          <w:rFonts w:hint="eastAsia" w:ascii="宋体" w:hAnsi="宋体"/>
          <w:color w:val="auto"/>
          <w:sz w:val="18"/>
          <w:szCs w:val="18"/>
        </w:rPr>
        <w:t>平面和竖向均不规则的结构或</w:t>
      </w:r>
      <w:r>
        <w:rPr>
          <w:rFonts w:ascii="宋体" w:hAnsi="宋体"/>
          <w:color w:val="auto"/>
          <w:sz w:val="18"/>
          <w:szCs w:val="18"/>
        </w:rPr>
        <w:t>IV</w:t>
      </w:r>
      <w:r>
        <w:rPr>
          <w:rFonts w:hint="eastAsia" w:ascii="宋体" w:hAnsi="宋体"/>
          <w:color w:val="auto"/>
          <w:sz w:val="18"/>
          <w:szCs w:val="18"/>
        </w:rPr>
        <w:t>类场地上的结构，最大适用高度应适当降低。</w:t>
      </w:r>
    </w:p>
    <w:p>
      <w:pPr>
        <w:widowControl/>
        <w:spacing w:line="360" w:lineRule="auto"/>
        <w:rPr>
          <w:rFonts w:ascii="宋体" w:hAnsi="宋体"/>
          <w:color w:val="auto"/>
        </w:rPr>
      </w:pPr>
      <w:r>
        <w:rPr>
          <w:rFonts w:hint="eastAsia" w:ascii="宋体" w:hAnsi="宋体" w:cs="黑体"/>
          <w:b/>
          <w:color w:val="auto"/>
        </w:rPr>
        <w:t>【条文说明】：</w:t>
      </w:r>
      <w:r>
        <w:rPr>
          <w:rFonts w:hint="eastAsia"/>
          <w:color w:val="0070C0"/>
          <w:kern w:val="2"/>
        </w:rPr>
        <w:t>本表系综合了《轻型钢结构住宅技术规程》JGJ209-2010、《低层冷弯薄壁型钢房屋建筑技术规程》JGJ227-2011、《高层民用建筑钢结构技术规程》JGJ99-2015、《组合结构设计规范》JGJ138-2016、《钢管混凝土结构技术规范》GB50936-2014、《矩形钢管混凝土组合异形柱技术规程》（CECS ：2021）等有关规范，并结合《钢结构住宅设计规范》CECS261：2009给出的钢结构最大适用高度。注意表中给出的适用高度限值仍是一个适当考虑技术经济合理性的适用范围建议值,并非技术上的一个最高界定限值。特别是对高层住宅所用结构体系的100m适用高度值是按本标准适用范围提出的，并非该体系适用的最大高度限值。</w:t>
      </w:r>
    </w:p>
    <w:p>
      <w:pPr>
        <w:widowControl/>
        <w:spacing w:line="360" w:lineRule="auto"/>
        <w:rPr>
          <w:color w:val="auto"/>
          <w:kern w:val="2"/>
          <w:sz w:val="24"/>
          <w:szCs w:val="24"/>
        </w:rPr>
      </w:pPr>
      <w:r>
        <w:rPr>
          <w:b/>
          <w:bCs/>
          <w:color w:val="auto"/>
          <w:kern w:val="2"/>
          <w:sz w:val="24"/>
          <w:szCs w:val="24"/>
        </w:rPr>
        <w:t xml:space="preserve">6.2.2 </w:t>
      </w:r>
      <w:r>
        <w:rPr>
          <w:rFonts w:hint="eastAsia"/>
          <w:color w:val="auto"/>
          <w:kern w:val="2"/>
          <w:sz w:val="24"/>
          <w:szCs w:val="24"/>
        </w:rPr>
        <w:t>冷弯薄壁型钢结构设计应符合下列规定：</w:t>
      </w:r>
    </w:p>
    <w:p>
      <w:pPr>
        <w:spacing w:line="360" w:lineRule="auto"/>
        <w:ind w:firstLine="480" w:firstLineChars="200"/>
        <w:rPr>
          <w:rFonts w:ascii="宋体" w:hAnsi="宋体"/>
          <w:color w:val="auto"/>
          <w:sz w:val="24"/>
          <w:szCs w:val="24"/>
        </w:rPr>
      </w:pPr>
      <w:r>
        <w:rPr>
          <w:rFonts w:ascii="宋体" w:hAnsi="宋体"/>
          <w:color w:val="auto"/>
          <w:sz w:val="24"/>
          <w:szCs w:val="24"/>
        </w:rPr>
        <w:t>1</w:t>
      </w:r>
      <w:r>
        <w:rPr>
          <w:rFonts w:hint="eastAsia" w:ascii="宋体" w:hAnsi="宋体"/>
          <w:color w:val="auto"/>
          <w:sz w:val="24"/>
          <w:szCs w:val="24"/>
        </w:rPr>
        <w:t>冷弯薄壁型钢结构体系的结构设计应符合现行行业标准《低层冷弯薄壁型钢房屋建筑技术规程》J</w:t>
      </w:r>
      <w:r>
        <w:rPr>
          <w:rFonts w:ascii="宋体" w:hAnsi="宋体"/>
          <w:color w:val="auto"/>
          <w:sz w:val="24"/>
          <w:szCs w:val="24"/>
        </w:rPr>
        <w:t>GJ 227</w:t>
      </w:r>
      <w:r>
        <w:rPr>
          <w:rFonts w:hint="eastAsia" w:ascii="宋体" w:hAnsi="宋体"/>
          <w:color w:val="auto"/>
          <w:sz w:val="24"/>
          <w:szCs w:val="24"/>
        </w:rPr>
        <w:t>、《冷弯薄壁型钢多层住宅技术标准》JGJ/T 421的规定。</w:t>
      </w:r>
    </w:p>
    <w:p>
      <w:pPr>
        <w:spacing w:line="360" w:lineRule="auto"/>
        <w:ind w:firstLine="480" w:firstLineChars="200"/>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冷弯薄壁型钢结构</w:t>
      </w:r>
      <w:r>
        <w:rPr>
          <w:rFonts w:ascii="宋体" w:hAnsi="宋体"/>
          <w:color w:val="auto"/>
          <w:sz w:val="24"/>
          <w:szCs w:val="24"/>
        </w:rPr>
        <w:t>承重构件的壁厚不应小于0</w:t>
      </w:r>
      <w:r>
        <w:rPr>
          <w:rFonts w:hint="eastAsia" w:ascii="宋体" w:hAnsi="宋体"/>
          <w:color w:val="auto"/>
          <w:sz w:val="24"/>
          <w:szCs w:val="24"/>
        </w:rPr>
        <w:t>.</w:t>
      </w:r>
      <w:r>
        <w:rPr>
          <w:rFonts w:ascii="宋体" w:hAnsi="宋体"/>
          <w:color w:val="auto"/>
          <w:sz w:val="24"/>
          <w:szCs w:val="24"/>
        </w:rPr>
        <w:t>6mm，</w:t>
      </w:r>
      <w:r>
        <w:rPr>
          <w:rFonts w:hint="eastAsia" w:ascii="宋体" w:hAnsi="宋体"/>
          <w:color w:val="auto"/>
          <w:sz w:val="24"/>
          <w:szCs w:val="24"/>
        </w:rPr>
        <w:t>主</w:t>
      </w:r>
      <w:r>
        <w:rPr>
          <w:rFonts w:ascii="宋体" w:hAnsi="宋体"/>
          <w:color w:val="auto"/>
          <w:sz w:val="24"/>
          <w:szCs w:val="24"/>
        </w:rPr>
        <w:t>要承重构件的壁厚不应小于0</w:t>
      </w:r>
      <w:r>
        <w:rPr>
          <w:rFonts w:hint="eastAsia" w:ascii="宋体" w:hAnsi="宋体"/>
          <w:color w:val="auto"/>
          <w:sz w:val="24"/>
          <w:szCs w:val="24"/>
        </w:rPr>
        <w:t>.</w:t>
      </w:r>
      <w:r>
        <w:rPr>
          <w:rFonts w:ascii="宋体" w:hAnsi="宋体"/>
          <w:color w:val="auto"/>
          <w:sz w:val="24"/>
          <w:szCs w:val="24"/>
        </w:rPr>
        <w:t>75mm，构件截面形式</w:t>
      </w:r>
      <w:r>
        <w:rPr>
          <w:rFonts w:hint="eastAsia" w:ascii="宋体" w:hAnsi="宋体"/>
          <w:color w:val="auto"/>
          <w:sz w:val="24"/>
          <w:szCs w:val="24"/>
        </w:rPr>
        <w:t>宜选用</w:t>
      </w:r>
      <w:r>
        <w:rPr>
          <w:rFonts w:ascii="宋体" w:hAnsi="宋体"/>
          <w:color w:val="auto"/>
          <w:sz w:val="24"/>
          <w:szCs w:val="24"/>
        </w:rPr>
        <w:t>C型、U型及π型</w:t>
      </w:r>
      <w:r>
        <w:rPr>
          <w:rFonts w:hint="eastAsia" w:ascii="宋体" w:hAnsi="宋体"/>
          <w:color w:val="auto"/>
          <w:sz w:val="24"/>
          <w:szCs w:val="24"/>
        </w:rPr>
        <w:t>，以及其它可靠截面类型</w:t>
      </w:r>
      <w:r>
        <w:rPr>
          <w:rFonts w:ascii="宋体" w:hAnsi="宋体"/>
          <w:color w:val="auto"/>
          <w:sz w:val="24"/>
          <w:szCs w:val="24"/>
        </w:rPr>
        <w:t>。</w:t>
      </w:r>
    </w:p>
    <w:p>
      <w:pPr>
        <w:spacing w:line="360" w:lineRule="auto"/>
        <w:ind w:firstLine="480" w:firstLineChars="200"/>
        <w:rPr>
          <w:rFonts w:ascii="宋体" w:hAnsi="宋体"/>
          <w:color w:val="auto"/>
          <w:sz w:val="24"/>
          <w:szCs w:val="24"/>
        </w:rPr>
      </w:pPr>
      <w:r>
        <w:rPr>
          <w:rFonts w:hint="eastAsia" w:ascii="宋体" w:hAnsi="宋体"/>
          <w:color w:val="auto"/>
          <w:sz w:val="24"/>
          <w:szCs w:val="24"/>
        </w:rPr>
        <w:t>3 冷弯薄壁型钢结构应采用轻质的墙体、楼盖和屋盖系统。</w:t>
      </w:r>
      <w:r>
        <w:rPr>
          <w:rFonts w:ascii="宋体" w:hAnsi="宋体"/>
          <w:color w:val="auto"/>
          <w:sz w:val="24"/>
          <w:szCs w:val="24"/>
        </w:rPr>
        <w:t xml:space="preserve"> </w:t>
      </w:r>
    </w:p>
    <w:p>
      <w:pPr>
        <w:spacing w:line="360" w:lineRule="auto"/>
        <w:ind w:firstLine="480" w:firstLineChars="200"/>
        <w:rPr>
          <w:rFonts w:ascii="宋体" w:hAnsi="宋体"/>
          <w:color w:val="auto"/>
          <w:sz w:val="24"/>
          <w:szCs w:val="24"/>
        </w:rPr>
      </w:pPr>
      <w:r>
        <w:rPr>
          <w:rFonts w:hint="eastAsia" w:ascii="宋体" w:hAnsi="宋体"/>
          <w:color w:val="auto"/>
          <w:sz w:val="24"/>
          <w:szCs w:val="24"/>
        </w:rPr>
        <w:t>4 设计时应合理选用材料、结构方案和构造措施，应保证结构满足强度、稳定性和刚度要求，并符合防火、防腐要求。</w:t>
      </w:r>
    </w:p>
    <w:p>
      <w:pPr>
        <w:spacing w:line="360" w:lineRule="auto"/>
        <w:rPr>
          <w:color w:val="0070C0"/>
          <w:kern w:val="2"/>
        </w:rPr>
      </w:pPr>
      <w:r>
        <w:rPr>
          <w:rFonts w:hint="eastAsia" w:ascii="宋体" w:hAnsi="宋体" w:cs="黑体"/>
          <w:b/>
          <w:color w:val="auto"/>
        </w:rPr>
        <w:t>【条文说明】：</w:t>
      </w:r>
      <w:r>
        <w:rPr>
          <w:rFonts w:hint="eastAsia"/>
          <w:color w:val="0070C0"/>
          <w:kern w:val="2"/>
        </w:rPr>
        <w:t>冷弯薄壁型钢低多层住宅设计时除应遵循上述规范外，尚应符合现行国家标准《钢结构设计标准》GB 50017、《建筑抗震设计规范》GB 50011、《冷弯薄壁型钢结构技术规范》GB 50018、《建筑设计防火规范》GB 50016及现行国家标准的要求。</w:t>
      </w:r>
    </w:p>
    <w:p>
      <w:pPr>
        <w:spacing w:line="360" w:lineRule="auto"/>
        <w:ind w:firstLine="420" w:firstLineChars="200"/>
        <w:rPr>
          <w:color w:val="0070C0"/>
          <w:kern w:val="2"/>
        </w:rPr>
      </w:pPr>
      <w:r>
        <w:rPr>
          <w:rFonts w:hint="eastAsia"/>
          <w:color w:val="0070C0"/>
          <w:kern w:val="2"/>
        </w:rPr>
        <w:t>冷弯薄壁型钢低多层住宅，结构骨架的基本构件主要为镀锌或镀铝锌冷弯薄壁C形钢和U形钢两类，再辅助以定向刨花板（OSB板）、纸面石膏板等结构板材；其承重体系主要采用组合墙体和组合楼盖。组合墙体由密布的冷弯薄壁型钢立柱、顶梁、底梁和两侧的墙面板或扁钢拉条支撑组成；组合楼盖采用密布的冷弯薄壁型钢梁（与墙体立柱对应）、边梁和楼面板或支撑组合而成。板和冷弯薄壁型钢构件之间采用自攻螺钉连接，使之成为可靠的板肋复合结构体系。</w:t>
      </w:r>
    </w:p>
    <w:p>
      <w:pPr>
        <w:spacing w:line="360" w:lineRule="auto"/>
        <w:ind w:firstLine="420" w:firstLineChars="200"/>
        <w:rPr>
          <w:rFonts w:ascii="仿宋" w:hAnsi="仿宋" w:eastAsia="仿宋" w:cs="仿宋"/>
          <w:sz w:val="22"/>
        </w:rPr>
      </w:pPr>
      <w:r>
        <w:rPr>
          <w:rFonts w:hint="eastAsia"/>
          <w:color w:val="0070C0"/>
          <w:kern w:val="2"/>
        </w:rPr>
        <w:t>冷弯薄壁型钢低多层住宅设计时平、立面布置尚宜符合下表6.2.2-1的规定</w:t>
      </w:r>
      <w:r>
        <w:rPr>
          <w:rFonts w:hint="eastAsia" w:ascii="仿宋" w:hAnsi="仿宋" w:eastAsia="仿宋" w:cs="仿宋"/>
          <w:sz w:val="22"/>
        </w:rPr>
        <w:t xml:space="preserve"> </w:t>
      </w:r>
    </w:p>
    <w:p>
      <w:pPr>
        <w:spacing w:line="360" w:lineRule="auto"/>
        <w:jc w:val="center"/>
        <w:rPr>
          <w:color w:val="0070C0"/>
          <w:kern w:val="2"/>
        </w:rPr>
      </w:pPr>
      <w:r>
        <w:rPr>
          <w:rFonts w:hint="eastAsia"/>
          <w:color w:val="0070C0"/>
          <w:kern w:val="2"/>
        </w:rPr>
        <w:t>表6.2.2-1 平面布置原则</w:t>
      </w:r>
    </w:p>
    <w:tbl>
      <w:tblPr>
        <w:tblStyle w:val="17"/>
        <w:tblW w:w="821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spacing w:line="360" w:lineRule="auto"/>
              <w:jc w:val="left"/>
              <w:rPr>
                <w:color w:val="0070C0"/>
                <w:kern w:val="2"/>
                <w:szCs w:val="20"/>
              </w:rPr>
            </w:pPr>
            <w:r>
              <w:rPr>
                <w:rFonts w:hint="eastAsia"/>
                <w:color w:val="0070C0"/>
                <w:kern w:val="2"/>
                <w:szCs w:val="20"/>
              </w:rPr>
              <w:t>项目</w:t>
            </w:r>
          </w:p>
        </w:tc>
        <w:tc>
          <w:tcPr>
            <w:tcW w:w="5245" w:type="dxa"/>
          </w:tcPr>
          <w:p>
            <w:pPr>
              <w:spacing w:line="360" w:lineRule="auto"/>
              <w:jc w:val="left"/>
              <w:rPr>
                <w:color w:val="0070C0"/>
                <w:kern w:val="2"/>
                <w:szCs w:val="20"/>
              </w:rPr>
            </w:pPr>
            <w:r>
              <w:rPr>
                <w:rFonts w:hint="eastAsia"/>
                <w:color w:val="0070C0"/>
                <w:kern w:val="2"/>
                <w:szCs w:val="20"/>
              </w:rPr>
              <w:t>设计要求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trPr>
        <w:tc>
          <w:tcPr>
            <w:tcW w:w="2972" w:type="dxa"/>
          </w:tcPr>
          <w:p>
            <w:pPr>
              <w:spacing w:line="360" w:lineRule="auto"/>
              <w:jc w:val="left"/>
              <w:rPr>
                <w:color w:val="0070C0"/>
                <w:kern w:val="2"/>
                <w:szCs w:val="20"/>
              </w:rPr>
            </w:pPr>
          </w:p>
          <w:p>
            <w:pPr>
              <w:spacing w:line="360" w:lineRule="auto"/>
              <w:jc w:val="left"/>
              <w:rPr>
                <w:color w:val="0070C0"/>
                <w:kern w:val="2"/>
                <w:szCs w:val="20"/>
              </w:rPr>
            </w:pPr>
            <w:r>
              <w:rPr>
                <w:rFonts w:hint="eastAsia"/>
                <w:color w:val="0070C0"/>
                <w:kern w:val="2"/>
                <w:szCs w:val="20"/>
              </w:rPr>
              <w:t>抗剪墙墙面开洞布置原则</w:t>
            </w:r>
          </w:p>
        </w:tc>
        <w:tc>
          <w:tcPr>
            <w:tcW w:w="5245" w:type="dxa"/>
          </w:tcPr>
          <w:p>
            <w:pPr>
              <w:spacing w:line="360" w:lineRule="auto"/>
              <w:jc w:val="left"/>
              <w:rPr>
                <w:color w:val="0070C0"/>
                <w:kern w:val="2"/>
                <w:szCs w:val="20"/>
              </w:rPr>
            </w:pPr>
            <w:r>
              <w:rPr>
                <w:rFonts w:hint="eastAsia"/>
                <w:color w:val="0070C0"/>
                <w:kern w:val="2"/>
                <w:szCs w:val="20"/>
              </w:rPr>
              <w:t>墙体转角两侧900mm范围内不宜设置门窗洞口；若设置门窗洞口，洞口宽度宜≤2.0m</w:t>
            </w:r>
          </w:p>
          <w:p>
            <w:pPr>
              <w:spacing w:line="360" w:lineRule="auto"/>
              <w:jc w:val="left"/>
              <w:rPr>
                <w:color w:val="0070C0"/>
                <w:kern w:val="2"/>
                <w:szCs w:val="20"/>
              </w:rPr>
            </w:pPr>
            <w:r>
              <w:rPr>
                <w:rFonts w:hint="eastAsia"/>
                <w:color w:val="0070C0"/>
                <w:kern w:val="2"/>
                <w:szCs w:val="20"/>
              </w:rPr>
              <w:t>同一道墙体不得同时设置两处转角洞口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2972" w:type="dxa"/>
          </w:tcPr>
          <w:p>
            <w:pPr>
              <w:spacing w:line="360" w:lineRule="auto"/>
              <w:jc w:val="left"/>
              <w:rPr>
                <w:color w:val="0070C0"/>
                <w:kern w:val="2"/>
                <w:szCs w:val="20"/>
              </w:rPr>
            </w:pPr>
          </w:p>
          <w:p>
            <w:pPr>
              <w:spacing w:line="360" w:lineRule="auto"/>
              <w:jc w:val="left"/>
              <w:rPr>
                <w:color w:val="0070C0"/>
                <w:kern w:val="2"/>
                <w:szCs w:val="20"/>
              </w:rPr>
            </w:pPr>
            <w:r>
              <w:rPr>
                <w:rFonts w:hint="eastAsia"/>
                <w:color w:val="0070C0"/>
                <w:kern w:val="2"/>
                <w:szCs w:val="20"/>
              </w:rPr>
              <w:t>楼面开洞布置原则</w:t>
            </w:r>
          </w:p>
        </w:tc>
        <w:tc>
          <w:tcPr>
            <w:tcW w:w="5245" w:type="dxa"/>
          </w:tcPr>
          <w:p>
            <w:pPr>
              <w:spacing w:line="360" w:lineRule="auto"/>
              <w:jc w:val="left"/>
              <w:rPr>
                <w:color w:val="0070C0"/>
                <w:kern w:val="2"/>
                <w:szCs w:val="20"/>
              </w:rPr>
            </w:pPr>
            <w:r>
              <w:rPr>
                <w:rFonts w:hint="eastAsia"/>
                <w:color w:val="0070C0"/>
                <w:kern w:val="2"/>
                <w:szCs w:val="20"/>
              </w:rPr>
              <w:t>楼板开洞不宜超过2.4m，最大不应超过3.6m。</w:t>
            </w:r>
          </w:p>
          <w:p>
            <w:pPr>
              <w:spacing w:line="360" w:lineRule="auto"/>
              <w:jc w:val="left"/>
              <w:rPr>
                <w:color w:val="0070C0"/>
                <w:kern w:val="2"/>
                <w:szCs w:val="20"/>
              </w:rPr>
            </w:pPr>
            <w:r>
              <w:rPr>
                <w:rFonts w:hint="eastAsia"/>
                <w:color w:val="0070C0"/>
                <w:kern w:val="2"/>
                <w:szCs w:val="20"/>
              </w:rPr>
              <w:t>洞口长边尺寸不宜大于楼面最小尺寸的50%。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spacing w:line="360" w:lineRule="auto"/>
              <w:jc w:val="left"/>
              <w:rPr>
                <w:color w:val="0070C0"/>
                <w:kern w:val="2"/>
                <w:szCs w:val="20"/>
              </w:rPr>
            </w:pPr>
          </w:p>
          <w:p>
            <w:pPr>
              <w:spacing w:line="360" w:lineRule="auto"/>
              <w:jc w:val="left"/>
              <w:rPr>
                <w:color w:val="0070C0"/>
                <w:kern w:val="2"/>
                <w:szCs w:val="20"/>
              </w:rPr>
            </w:pPr>
            <w:r>
              <w:rPr>
                <w:rFonts w:hint="eastAsia"/>
                <w:color w:val="0070C0"/>
                <w:kern w:val="2"/>
                <w:szCs w:val="20"/>
              </w:rPr>
              <w:t>分户墙及屋架布置原则</w:t>
            </w:r>
          </w:p>
        </w:tc>
        <w:tc>
          <w:tcPr>
            <w:tcW w:w="5245" w:type="dxa"/>
          </w:tcPr>
          <w:p>
            <w:pPr>
              <w:spacing w:line="360" w:lineRule="auto"/>
              <w:jc w:val="left"/>
              <w:rPr>
                <w:color w:val="0070C0"/>
                <w:kern w:val="2"/>
                <w:szCs w:val="20"/>
              </w:rPr>
            </w:pPr>
            <w:r>
              <w:rPr>
                <w:rFonts w:hint="eastAsia"/>
                <w:color w:val="0070C0"/>
                <w:kern w:val="2"/>
                <w:szCs w:val="20"/>
              </w:rPr>
              <w:t>宜设置双排轻钢龙骨墙体；</w:t>
            </w:r>
          </w:p>
          <w:p>
            <w:pPr>
              <w:spacing w:line="360" w:lineRule="auto"/>
              <w:jc w:val="left"/>
              <w:rPr>
                <w:color w:val="0070C0"/>
                <w:kern w:val="2"/>
                <w:szCs w:val="20"/>
              </w:rPr>
            </w:pPr>
            <w:r>
              <w:rPr>
                <w:rFonts w:hint="eastAsia"/>
                <w:color w:val="0070C0"/>
                <w:kern w:val="2"/>
                <w:szCs w:val="20"/>
              </w:rPr>
              <w:t>分户墙应伸至屋面板底。</w:t>
            </w:r>
          </w:p>
          <w:p>
            <w:pPr>
              <w:spacing w:line="360" w:lineRule="auto"/>
              <w:jc w:val="left"/>
              <w:rPr>
                <w:color w:val="0070C0"/>
                <w:kern w:val="2"/>
                <w:szCs w:val="20"/>
              </w:rPr>
            </w:pPr>
            <w:r>
              <w:rPr>
                <w:rFonts w:hint="eastAsia"/>
                <w:color w:val="0070C0"/>
                <w:kern w:val="2"/>
                <w:szCs w:val="20"/>
              </w:rPr>
              <w:t>屋架宜与分户墙平行设置。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spacing w:line="360" w:lineRule="auto"/>
              <w:jc w:val="left"/>
              <w:rPr>
                <w:color w:val="0070C0"/>
                <w:kern w:val="2"/>
                <w:szCs w:val="20"/>
              </w:rPr>
            </w:pPr>
            <w:r>
              <w:rPr>
                <w:rFonts w:hint="eastAsia"/>
                <w:color w:val="0070C0"/>
                <w:kern w:val="2"/>
                <w:szCs w:val="20"/>
              </w:rPr>
              <w:t>上下层墙体布置原则</w:t>
            </w:r>
          </w:p>
        </w:tc>
        <w:tc>
          <w:tcPr>
            <w:tcW w:w="5245" w:type="dxa"/>
          </w:tcPr>
          <w:p>
            <w:pPr>
              <w:spacing w:line="360" w:lineRule="auto"/>
              <w:jc w:val="left"/>
              <w:rPr>
                <w:color w:val="0070C0"/>
                <w:kern w:val="2"/>
                <w:szCs w:val="20"/>
              </w:rPr>
            </w:pPr>
            <w:r>
              <w:rPr>
                <w:rFonts w:hint="eastAsia"/>
                <w:color w:val="0070C0"/>
                <w:kern w:val="2"/>
                <w:szCs w:val="20"/>
              </w:rPr>
              <w:t>宜在同一竖向平面位置。</w:t>
            </w:r>
          </w:p>
          <w:p>
            <w:pPr>
              <w:spacing w:line="360" w:lineRule="auto"/>
              <w:jc w:val="left"/>
              <w:rPr>
                <w:color w:val="0070C0"/>
                <w:kern w:val="2"/>
                <w:szCs w:val="20"/>
              </w:rPr>
            </w:pPr>
            <w:r>
              <w:rPr>
                <w:rFonts w:hint="eastAsia"/>
                <w:color w:val="0070C0"/>
                <w:kern w:val="2"/>
                <w:szCs w:val="20"/>
              </w:rPr>
              <w:t>退台及内部墙体错位不宜大于2.0m。</w:t>
            </w:r>
          </w:p>
        </w:tc>
      </w:tr>
    </w:tbl>
    <w:p>
      <w:pPr>
        <w:spacing w:line="360" w:lineRule="auto"/>
        <w:ind w:firstLine="420" w:firstLineChars="200"/>
        <w:rPr>
          <w:color w:val="0070C0"/>
          <w:kern w:val="2"/>
        </w:rPr>
      </w:pPr>
      <w:r>
        <w:rPr>
          <w:rFonts w:hint="eastAsia"/>
          <w:color w:val="0070C0"/>
          <w:kern w:val="2"/>
        </w:rPr>
        <w:t>低层冷弯薄壁型结构体系中同一榀构架的立柱、楼板梁、屋架宜在同一平面内，构件形心之间的偏心不宜超过20mm。结构安装时，构件吊装就位后，应及时与支撑及其它联系构件固定，以形成稳定的结构体系，保证结构的稳定性，如若组装完成的墙体、屋架等构件安装时暂无法与其它构件形成稳定的结构体系，可采用备用龙骨临时加固，待结构基本完成形成可靠的结构体系后方可拆除。</w:t>
      </w:r>
    </w:p>
    <w:p>
      <w:pPr>
        <w:spacing w:line="360" w:lineRule="auto"/>
        <w:ind w:firstLine="420" w:firstLineChars="200"/>
        <w:rPr>
          <w:color w:val="0070C0"/>
          <w:kern w:val="2"/>
        </w:rPr>
      </w:pPr>
      <w:r>
        <w:rPr>
          <w:rFonts w:hint="eastAsia"/>
          <w:color w:val="0070C0"/>
          <w:kern w:val="2"/>
        </w:rPr>
        <w:t>低层冷弯薄壁型结构体系可采用条形基础，局部框架柱可采用独立基础，有地下室的房屋可采用筏板基础，底层承重墙体的地梁与基础应采用预埋抗拔、抗剪锚栓连接，且其之间应通长设置厚度不小于1mm的防潮层，其宽度不应小于底梁腹板宽度。</w:t>
      </w:r>
    </w:p>
    <w:p>
      <w:pPr>
        <w:widowControl/>
        <w:spacing w:line="360" w:lineRule="auto"/>
        <w:rPr>
          <w:color w:val="auto"/>
          <w:kern w:val="2"/>
          <w:sz w:val="24"/>
          <w:szCs w:val="24"/>
        </w:rPr>
      </w:pPr>
      <w:r>
        <w:rPr>
          <w:b/>
          <w:bCs/>
          <w:color w:val="auto"/>
          <w:kern w:val="2"/>
          <w:sz w:val="24"/>
          <w:szCs w:val="24"/>
        </w:rPr>
        <w:t xml:space="preserve">6.2.3 </w:t>
      </w:r>
      <w:r>
        <w:rPr>
          <w:rFonts w:hint="eastAsia"/>
          <w:color w:val="auto"/>
          <w:kern w:val="2"/>
          <w:sz w:val="24"/>
          <w:szCs w:val="24"/>
        </w:rPr>
        <w:t>钢框架和钢框架—支撑结构设计应符合下列规定：</w:t>
      </w:r>
    </w:p>
    <w:p>
      <w:pPr>
        <w:widowControl/>
        <w:spacing w:line="360" w:lineRule="auto"/>
        <w:ind w:firstLine="480" w:firstLineChars="200"/>
        <w:rPr>
          <w:color w:val="auto"/>
          <w:kern w:val="2"/>
          <w:sz w:val="24"/>
          <w:szCs w:val="24"/>
        </w:rPr>
      </w:pPr>
      <w:r>
        <w:rPr>
          <w:color w:val="auto"/>
          <w:kern w:val="2"/>
          <w:sz w:val="24"/>
          <w:szCs w:val="24"/>
        </w:rPr>
        <w:t>1</w:t>
      </w:r>
      <w:r>
        <w:rPr>
          <w:rFonts w:hint="eastAsia" w:ascii="宋体" w:hAnsi="宋体"/>
          <w:bCs/>
          <w:color w:val="auto"/>
          <w:sz w:val="24"/>
          <w:szCs w:val="24"/>
        </w:rPr>
        <w:t>钢框架</w:t>
      </w:r>
      <w:r>
        <w:rPr>
          <w:rFonts w:ascii="宋体" w:hAnsi="宋体"/>
          <w:bCs/>
          <w:color w:val="auto"/>
          <w:sz w:val="24"/>
          <w:szCs w:val="24"/>
        </w:rPr>
        <w:t>和钢框架</w:t>
      </w:r>
      <w:r>
        <w:rPr>
          <w:rFonts w:hint="eastAsia" w:ascii="宋体" w:hAnsi="宋体"/>
          <w:bCs/>
          <w:color w:val="auto"/>
          <w:sz w:val="24"/>
          <w:szCs w:val="24"/>
        </w:rPr>
        <w:t>-</w:t>
      </w:r>
      <w:r>
        <w:rPr>
          <w:rFonts w:ascii="宋体" w:hAnsi="宋体"/>
          <w:bCs/>
          <w:color w:val="auto"/>
          <w:sz w:val="24"/>
          <w:szCs w:val="24"/>
        </w:rPr>
        <w:t>支撑结构设计应符合现行标准《钢结构设计标准》GB</w:t>
      </w:r>
      <w:r>
        <w:rPr>
          <w:rFonts w:hint="eastAsia" w:ascii="宋体" w:hAnsi="宋体"/>
          <w:bCs/>
          <w:color w:val="auto"/>
          <w:sz w:val="24"/>
          <w:szCs w:val="24"/>
        </w:rPr>
        <w:t xml:space="preserve"> </w:t>
      </w:r>
      <w:r>
        <w:rPr>
          <w:rFonts w:ascii="宋体" w:hAnsi="宋体"/>
          <w:bCs/>
          <w:color w:val="auto"/>
          <w:sz w:val="24"/>
          <w:szCs w:val="24"/>
        </w:rPr>
        <w:t>50017、《建筑抗震设计规范》GB 50011</w:t>
      </w:r>
      <w:r>
        <w:rPr>
          <w:rFonts w:hint="eastAsia" w:ascii="宋体" w:hAnsi="宋体"/>
          <w:bCs/>
          <w:color w:val="auto"/>
          <w:sz w:val="24"/>
          <w:szCs w:val="24"/>
        </w:rPr>
        <w:t>、</w:t>
      </w:r>
      <w:r>
        <w:rPr>
          <w:rFonts w:ascii="宋体" w:hAnsi="宋体"/>
          <w:bCs/>
          <w:color w:val="auto"/>
          <w:sz w:val="24"/>
          <w:szCs w:val="24"/>
        </w:rPr>
        <w:t>《高层民用建筑钢结构技术规程》JGJ</w:t>
      </w:r>
      <w:r>
        <w:rPr>
          <w:rFonts w:hint="eastAsia" w:ascii="宋体" w:hAnsi="宋体"/>
          <w:bCs/>
          <w:color w:val="auto"/>
          <w:sz w:val="24"/>
          <w:szCs w:val="24"/>
        </w:rPr>
        <w:t xml:space="preserve"> </w:t>
      </w:r>
      <w:r>
        <w:rPr>
          <w:rFonts w:ascii="宋体" w:hAnsi="宋体"/>
          <w:bCs/>
          <w:color w:val="auto"/>
          <w:sz w:val="24"/>
          <w:szCs w:val="24"/>
        </w:rPr>
        <w:t>99</w:t>
      </w:r>
      <w:r>
        <w:rPr>
          <w:rFonts w:hint="eastAsia" w:ascii="宋体" w:hAnsi="宋体"/>
          <w:bCs/>
          <w:color w:val="auto"/>
          <w:sz w:val="24"/>
          <w:szCs w:val="24"/>
        </w:rPr>
        <w:t>的</w:t>
      </w:r>
      <w:r>
        <w:rPr>
          <w:rFonts w:ascii="宋体" w:hAnsi="宋体"/>
          <w:bCs/>
          <w:color w:val="auto"/>
          <w:sz w:val="24"/>
          <w:szCs w:val="24"/>
        </w:rPr>
        <w:t>规定。钢管混凝土柱的设计和构造尚应符合现行标准《钢管混凝土结构技术规范》GB</w:t>
      </w:r>
      <w:r>
        <w:rPr>
          <w:rFonts w:hint="eastAsia" w:ascii="宋体" w:hAnsi="宋体"/>
          <w:bCs/>
          <w:color w:val="auto"/>
          <w:sz w:val="24"/>
          <w:szCs w:val="24"/>
        </w:rPr>
        <w:t xml:space="preserve"> </w:t>
      </w:r>
      <w:r>
        <w:rPr>
          <w:rFonts w:ascii="宋体" w:hAnsi="宋体"/>
          <w:bCs/>
          <w:color w:val="auto"/>
          <w:sz w:val="24"/>
          <w:szCs w:val="24"/>
        </w:rPr>
        <w:t>50936。</w:t>
      </w:r>
    </w:p>
    <w:p>
      <w:pPr>
        <w:autoSpaceDN w:val="0"/>
        <w:spacing w:line="360" w:lineRule="auto"/>
        <w:ind w:firstLine="482"/>
        <w:rPr>
          <w:color w:val="auto"/>
          <w:kern w:val="2"/>
          <w:sz w:val="24"/>
          <w:szCs w:val="24"/>
        </w:rPr>
      </w:pPr>
      <w:r>
        <w:rPr>
          <w:rFonts w:hint="eastAsia"/>
          <w:color w:val="auto"/>
          <w:kern w:val="2"/>
          <w:sz w:val="24"/>
          <w:szCs w:val="24"/>
        </w:rPr>
        <w:t xml:space="preserve">2  </w:t>
      </w:r>
      <w:r>
        <w:rPr>
          <w:color w:val="auto"/>
          <w:kern w:val="2"/>
          <w:sz w:val="24"/>
          <w:szCs w:val="24"/>
        </w:rPr>
        <w:t>钢结构住宅采用钢框架结构时，其布置应符合下列要求：</w:t>
      </w:r>
    </w:p>
    <w:p>
      <w:pPr>
        <w:autoSpaceDN w:val="0"/>
        <w:spacing w:line="360" w:lineRule="auto"/>
        <w:ind w:left="871" w:hanging="241"/>
        <w:jc w:val="left"/>
        <w:rPr>
          <w:color w:val="auto"/>
          <w:kern w:val="2"/>
          <w:sz w:val="24"/>
          <w:szCs w:val="24"/>
        </w:rPr>
      </w:pPr>
      <w:bookmarkStart w:id="32" w:name="_Hlk71223052"/>
      <w:r>
        <w:rPr>
          <w:color w:val="auto"/>
          <w:kern w:val="2"/>
          <w:sz w:val="24"/>
          <w:szCs w:val="24"/>
        </w:rPr>
        <w:t>1）钢框架可沿住宅建筑的纵向或横向布置，尽量保证框架连续，且高层住宅钢框架结构不应采用单跨框架结构；</w:t>
      </w:r>
    </w:p>
    <w:p>
      <w:pPr>
        <w:autoSpaceDN w:val="0"/>
        <w:spacing w:line="360" w:lineRule="auto"/>
        <w:ind w:firstLine="600" w:firstLineChars="250"/>
        <w:jc w:val="left"/>
        <w:rPr>
          <w:color w:val="auto"/>
          <w:kern w:val="2"/>
          <w:sz w:val="24"/>
          <w:szCs w:val="24"/>
        </w:rPr>
      </w:pPr>
      <w:r>
        <w:rPr>
          <w:color w:val="auto"/>
          <w:kern w:val="2"/>
          <w:sz w:val="24"/>
          <w:szCs w:val="24"/>
        </w:rPr>
        <w:t>2）建筑方案结合结构平面布置宜规则齐整，应减小结构平面不规则</w:t>
      </w:r>
      <w:r>
        <w:rPr>
          <w:rFonts w:hint="eastAsia"/>
          <w:color w:val="auto"/>
          <w:kern w:val="2"/>
          <w:sz w:val="24"/>
          <w:szCs w:val="24"/>
        </w:rPr>
        <w:t>；</w:t>
      </w:r>
    </w:p>
    <w:p>
      <w:pPr>
        <w:autoSpaceDN w:val="0"/>
        <w:spacing w:line="360" w:lineRule="auto"/>
        <w:ind w:firstLine="600" w:firstLineChars="250"/>
        <w:jc w:val="left"/>
        <w:rPr>
          <w:color w:val="auto"/>
          <w:kern w:val="2"/>
          <w:sz w:val="24"/>
          <w:szCs w:val="24"/>
        </w:rPr>
      </w:pPr>
      <w:r>
        <w:rPr>
          <w:rFonts w:hint="eastAsia"/>
          <w:color w:val="auto"/>
          <w:kern w:val="2"/>
          <w:sz w:val="24"/>
          <w:szCs w:val="24"/>
        </w:rPr>
        <w:t>3）</w:t>
      </w:r>
      <w:r>
        <w:rPr>
          <w:color w:val="auto"/>
          <w:kern w:val="2"/>
          <w:sz w:val="24"/>
          <w:szCs w:val="24"/>
        </w:rPr>
        <w:t>高层钢框架结构的梁柱节点应采用刚性连接；</w:t>
      </w:r>
    </w:p>
    <w:p>
      <w:pPr>
        <w:autoSpaceDN w:val="0"/>
        <w:spacing w:line="360" w:lineRule="auto"/>
        <w:ind w:left="838" w:leftChars="285" w:hanging="240" w:hangingChars="100"/>
        <w:jc w:val="left"/>
        <w:rPr>
          <w:color w:val="auto"/>
          <w:kern w:val="2"/>
          <w:sz w:val="24"/>
          <w:szCs w:val="24"/>
        </w:rPr>
      </w:pPr>
      <w:r>
        <w:rPr>
          <w:rFonts w:hint="eastAsia"/>
          <w:color w:val="auto"/>
          <w:kern w:val="2"/>
          <w:sz w:val="24"/>
          <w:szCs w:val="24"/>
        </w:rPr>
        <w:t>4</w:t>
      </w:r>
      <w:r>
        <w:rPr>
          <w:color w:val="auto"/>
          <w:kern w:val="2"/>
          <w:sz w:val="24"/>
          <w:szCs w:val="24"/>
        </w:rPr>
        <w:t>）框架梁、柱中心线宜重合，当梁、柱中心线不能重合时，计算中应考虑偏心影响；</w:t>
      </w:r>
    </w:p>
    <w:bookmarkEnd w:id="32"/>
    <w:p>
      <w:pPr>
        <w:autoSpaceDN w:val="0"/>
        <w:spacing w:line="360" w:lineRule="auto"/>
        <w:ind w:firstLine="482"/>
        <w:rPr>
          <w:color w:val="auto"/>
          <w:kern w:val="2"/>
          <w:sz w:val="24"/>
          <w:szCs w:val="24"/>
        </w:rPr>
      </w:pPr>
      <w:r>
        <w:rPr>
          <w:rFonts w:hint="eastAsia"/>
          <w:color w:val="auto"/>
          <w:kern w:val="2"/>
          <w:sz w:val="24"/>
          <w:szCs w:val="24"/>
        </w:rPr>
        <w:t>3</w:t>
      </w:r>
      <w:r>
        <w:rPr>
          <w:color w:val="auto"/>
          <w:kern w:val="2"/>
          <w:sz w:val="24"/>
          <w:szCs w:val="24"/>
        </w:rPr>
        <w:t xml:space="preserve">  钢结构住宅采用钢框架-支撑结构时，其布置应符合下列要求：</w:t>
      </w:r>
    </w:p>
    <w:p>
      <w:pPr>
        <w:autoSpaceDN w:val="0"/>
        <w:spacing w:line="360" w:lineRule="auto"/>
        <w:ind w:left="871" w:hanging="241"/>
        <w:rPr>
          <w:color w:val="auto"/>
          <w:kern w:val="2"/>
          <w:sz w:val="24"/>
          <w:szCs w:val="24"/>
        </w:rPr>
      </w:pPr>
      <w:r>
        <w:rPr>
          <w:color w:val="auto"/>
          <w:kern w:val="2"/>
          <w:sz w:val="24"/>
          <w:szCs w:val="24"/>
        </w:rPr>
        <w:t>1）钢框架-支撑结构宜沿纵、横向布置支撑；也可沿一个方向布置钢框架-支撑结构，另一个方向布置钢框架结构，结构最大适用高度应按钢框架结构确定。</w:t>
      </w:r>
    </w:p>
    <w:p>
      <w:pPr>
        <w:autoSpaceDN w:val="0"/>
        <w:spacing w:line="360" w:lineRule="auto"/>
        <w:ind w:left="871" w:hanging="241"/>
        <w:rPr>
          <w:color w:val="auto"/>
          <w:kern w:val="2"/>
          <w:sz w:val="24"/>
          <w:szCs w:val="24"/>
        </w:rPr>
      </w:pPr>
      <w:r>
        <w:rPr>
          <w:color w:val="auto"/>
          <w:kern w:val="2"/>
          <w:sz w:val="24"/>
          <w:szCs w:val="24"/>
        </w:rPr>
        <w:t>2）支撑其形式宜采用十字交叉</w:t>
      </w:r>
      <w:r>
        <w:rPr>
          <w:rFonts w:hint="eastAsia"/>
          <w:color w:val="auto"/>
          <w:kern w:val="2"/>
          <w:sz w:val="24"/>
          <w:szCs w:val="24"/>
        </w:rPr>
        <w:t>支撑</w:t>
      </w:r>
      <w:r>
        <w:rPr>
          <w:color w:val="auto"/>
          <w:kern w:val="2"/>
          <w:sz w:val="24"/>
          <w:szCs w:val="24"/>
        </w:rPr>
        <w:t>、单斜杆支</w:t>
      </w:r>
      <w:r>
        <w:rPr>
          <w:rFonts w:hint="eastAsia"/>
          <w:color w:val="auto"/>
          <w:kern w:val="2"/>
          <w:sz w:val="24"/>
          <w:szCs w:val="24"/>
        </w:rPr>
        <w:t>撑</w:t>
      </w:r>
      <w:r>
        <w:rPr>
          <w:color w:val="auto"/>
          <w:kern w:val="2"/>
          <w:sz w:val="24"/>
          <w:szCs w:val="24"/>
        </w:rPr>
        <w:t>、人字形斜杆支撑、V形斜杆支撑、带拉链柱的人字撑及</w:t>
      </w:r>
      <w:bookmarkStart w:id="33" w:name="_Hlk71234328"/>
      <w:r>
        <w:rPr>
          <w:color w:val="auto"/>
          <w:kern w:val="2"/>
          <w:sz w:val="24"/>
          <w:szCs w:val="24"/>
        </w:rPr>
        <w:t>带竖杆的K形支撑</w:t>
      </w:r>
      <w:bookmarkEnd w:id="33"/>
      <w:r>
        <w:rPr>
          <w:color w:val="auto"/>
          <w:kern w:val="2"/>
          <w:sz w:val="24"/>
          <w:szCs w:val="24"/>
        </w:rPr>
        <w:t>。由于开洞需要，支撑可以中心支撑与偏心支撑混用，结构高度和计算指标，宜按框架—中心支撑结构来设计，当偏心支撑框架所承受基底剪力大于等于整个结构90%时，可按框架—偏心支撑结构来设计。</w:t>
      </w:r>
    </w:p>
    <w:p>
      <w:pPr>
        <w:spacing w:line="360" w:lineRule="auto"/>
        <w:ind w:left="840" w:leftChars="300" w:hanging="210" w:hangingChars="100"/>
        <w:rPr>
          <w:rFonts w:ascii="宋体" w:hAnsi="宋体"/>
          <w:color w:val="auto"/>
        </w:rPr>
      </w:pPr>
      <w:r>
        <w:rPr>
          <w:color w:val="auto"/>
        </w:rPr>
        <w:drawing>
          <wp:inline distT="0" distB="0" distL="0" distR="0">
            <wp:extent cx="647065" cy="1442085"/>
            <wp:effectExtent l="0" t="0" r="635"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47065" cy="1442085"/>
                    </a:xfrm>
                    <a:prstGeom prst="rect">
                      <a:avLst/>
                    </a:prstGeom>
                    <a:noFill/>
                    <a:ln>
                      <a:noFill/>
                    </a:ln>
                  </pic:spPr>
                </pic:pic>
              </a:graphicData>
            </a:graphic>
          </wp:inline>
        </w:drawing>
      </w:r>
      <w:r>
        <w:rPr>
          <w:rFonts w:ascii="宋体" w:hAnsi="宋体"/>
          <w:color w:val="auto"/>
        </w:rPr>
        <w:t xml:space="preserve">     </w:t>
      </w:r>
      <w:r>
        <w:rPr>
          <w:rFonts w:hint="eastAsia" w:ascii="宋体" w:hAnsi="宋体"/>
          <w:color w:val="auto"/>
        </w:rPr>
        <w:t xml:space="preserve"> </w:t>
      </w:r>
      <w:r>
        <w:rPr>
          <w:color w:val="auto"/>
        </w:rPr>
        <w:drawing>
          <wp:inline distT="0" distB="0" distL="0" distR="0">
            <wp:extent cx="631825" cy="14420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31825" cy="1442085"/>
                    </a:xfrm>
                    <a:prstGeom prst="rect">
                      <a:avLst/>
                    </a:prstGeom>
                    <a:noFill/>
                    <a:ln>
                      <a:noFill/>
                    </a:ln>
                  </pic:spPr>
                </pic:pic>
              </a:graphicData>
            </a:graphic>
          </wp:inline>
        </w:drawing>
      </w:r>
      <w:r>
        <w:rPr>
          <w:rFonts w:ascii="宋体" w:hAnsi="宋体"/>
          <w:color w:val="auto"/>
        </w:rPr>
        <w:t xml:space="preserve">     </w:t>
      </w:r>
      <w:r>
        <w:rPr>
          <w:color w:val="auto"/>
        </w:rPr>
        <w:drawing>
          <wp:inline distT="0" distB="0" distL="0" distR="0">
            <wp:extent cx="669290" cy="144208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69290" cy="1442085"/>
                    </a:xfrm>
                    <a:prstGeom prst="rect">
                      <a:avLst/>
                    </a:prstGeom>
                    <a:noFill/>
                    <a:ln>
                      <a:noFill/>
                    </a:ln>
                  </pic:spPr>
                </pic:pic>
              </a:graphicData>
            </a:graphic>
          </wp:inline>
        </w:drawing>
      </w:r>
      <w:r>
        <w:rPr>
          <w:rFonts w:ascii="宋体" w:hAnsi="宋体"/>
          <w:color w:val="auto"/>
        </w:rPr>
        <w:t xml:space="preserve">      </w:t>
      </w:r>
      <w:r>
        <w:rPr>
          <w:color w:val="auto"/>
        </w:rPr>
        <w:drawing>
          <wp:inline distT="0" distB="0" distL="0" distR="0">
            <wp:extent cx="617220" cy="1442085"/>
            <wp:effectExtent l="0" t="0" r="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17220" cy="1442085"/>
                    </a:xfrm>
                    <a:prstGeom prst="rect">
                      <a:avLst/>
                    </a:prstGeom>
                    <a:noFill/>
                    <a:ln>
                      <a:noFill/>
                    </a:ln>
                  </pic:spPr>
                </pic:pic>
              </a:graphicData>
            </a:graphic>
          </wp:inline>
        </w:drawing>
      </w:r>
      <w:r>
        <w:rPr>
          <w:rFonts w:ascii="宋体" w:hAnsi="宋体"/>
          <w:color w:val="auto"/>
        </w:rPr>
        <w:t xml:space="preserve">      </w:t>
      </w:r>
      <w:r>
        <w:rPr>
          <w:color w:val="auto"/>
        </w:rPr>
        <w:drawing>
          <wp:inline distT="0" distB="0" distL="0" distR="0">
            <wp:extent cx="594995" cy="14420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995" cy="1442085"/>
                    </a:xfrm>
                    <a:prstGeom prst="rect">
                      <a:avLst/>
                    </a:prstGeom>
                    <a:noFill/>
                    <a:ln>
                      <a:noFill/>
                    </a:ln>
                  </pic:spPr>
                </pic:pic>
              </a:graphicData>
            </a:graphic>
          </wp:inline>
        </w:drawing>
      </w:r>
    </w:p>
    <w:p>
      <w:pPr>
        <w:spacing w:line="360" w:lineRule="auto"/>
        <w:ind w:left="840" w:leftChars="300" w:hanging="210" w:hangingChars="100"/>
        <w:rPr>
          <w:rFonts w:ascii="宋体" w:hAnsi="宋体"/>
          <w:color w:val="auto"/>
        </w:rPr>
      </w:pPr>
      <w:r>
        <w:rPr>
          <w:rFonts w:hint="eastAsia" w:ascii="宋体" w:hAnsi="宋体"/>
          <w:color w:val="auto"/>
        </w:rPr>
        <w:t>（</w:t>
      </w:r>
      <w:r>
        <w:rPr>
          <w:rFonts w:ascii="宋体" w:hAnsi="宋体"/>
          <w:color w:val="auto"/>
        </w:rPr>
        <w:t>a）交叉撑</w:t>
      </w:r>
      <w:r>
        <w:rPr>
          <w:rFonts w:ascii="宋体" w:hAnsi="宋体"/>
          <w:color w:val="auto"/>
        </w:rPr>
        <w:tab/>
      </w:r>
      <w:r>
        <w:rPr>
          <w:rFonts w:ascii="宋体" w:hAnsi="宋体"/>
          <w:color w:val="auto"/>
        </w:rPr>
        <w:t>（b）交叉撑</w:t>
      </w:r>
      <w:r>
        <w:rPr>
          <w:rFonts w:ascii="宋体" w:hAnsi="宋体"/>
          <w:color w:val="auto"/>
        </w:rPr>
        <w:tab/>
      </w:r>
      <w:r>
        <w:rPr>
          <w:rFonts w:ascii="宋体" w:hAnsi="宋体"/>
          <w:color w:val="auto"/>
        </w:rPr>
        <w:t xml:space="preserve">  （c）单斜杆撑</w:t>
      </w:r>
      <w:r>
        <w:rPr>
          <w:rFonts w:ascii="宋体" w:hAnsi="宋体"/>
          <w:color w:val="auto"/>
        </w:rPr>
        <w:tab/>
      </w:r>
      <w:r>
        <w:rPr>
          <w:rFonts w:ascii="宋体" w:hAnsi="宋体"/>
          <w:color w:val="auto"/>
        </w:rPr>
        <w:t xml:space="preserve"> （d） 单斜杆撑</w:t>
      </w:r>
      <w:r>
        <w:rPr>
          <w:rFonts w:ascii="宋体" w:hAnsi="宋体"/>
          <w:color w:val="auto"/>
        </w:rPr>
        <w:tab/>
      </w:r>
      <w:r>
        <w:rPr>
          <w:rFonts w:ascii="宋体" w:hAnsi="宋体"/>
          <w:color w:val="auto"/>
        </w:rPr>
        <w:t>（e） 单斜杆撑</w:t>
      </w:r>
    </w:p>
    <w:p>
      <w:pPr>
        <w:spacing w:line="360" w:lineRule="auto"/>
        <w:ind w:left="840" w:leftChars="300" w:hanging="210" w:hangingChars="100"/>
        <w:rPr>
          <w:rFonts w:ascii="宋体" w:hAnsi="宋体"/>
          <w:color w:val="auto"/>
        </w:rPr>
      </w:pPr>
      <w:r>
        <w:rPr>
          <w:color w:val="auto"/>
        </w:rPr>
        <w:drawing>
          <wp:inline distT="0" distB="0" distL="0" distR="0">
            <wp:extent cx="669290" cy="14420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69290" cy="1442085"/>
                    </a:xfrm>
                    <a:prstGeom prst="rect">
                      <a:avLst/>
                    </a:prstGeom>
                    <a:noFill/>
                    <a:ln>
                      <a:noFill/>
                    </a:ln>
                  </pic:spPr>
                </pic:pic>
              </a:graphicData>
            </a:graphic>
          </wp:inline>
        </w:drawing>
      </w:r>
      <w:r>
        <w:rPr>
          <w:rFonts w:ascii="宋体" w:hAnsi="宋体"/>
          <w:color w:val="auto"/>
        </w:rPr>
        <w:t xml:space="preserve">    </w:t>
      </w:r>
      <w:r>
        <w:rPr>
          <w:rFonts w:hint="eastAsia" w:ascii="宋体" w:hAnsi="宋体"/>
          <w:color w:val="auto"/>
        </w:rPr>
        <w:t xml:space="preserve"> </w:t>
      </w:r>
      <w:r>
        <w:rPr>
          <w:color w:val="auto"/>
        </w:rPr>
        <w:drawing>
          <wp:inline distT="0" distB="0" distL="0" distR="0">
            <wp:extent cx="617220" cy="14420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17220" cy="1442085"/>
                    </a:xfrm>
                    <a:prstGeom prst="rect">
                      <a:avLst/>
                    </a:prstGeom>
                    <a:noFill/>
                    <a:ln>
                      <a:noFill/>
                    </a:ln>
                  </pic:spPr>
                </pic:pic>
              </a:graphicData>
            </a:graphic>
          </wp:inline>
        </w:drawing>
      </w:r>
      <w:r>
        <w:rPr>
          <w:rFonts w:ascii="宋体" w:hAnsi="宋体"/>
          <w:color w:val="auto"/>
        </w:rPr>
        <w:t xml:space="preserve">     </w:t>
      </w:r>
      <w:r>
        <w:drawing>
          <wp:inline distT="0" distB="0" distL="0" distR="0">
            <wp:extent cx="698500" cy="1435100"/>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l="45720" t="33453" r="43761" b="13669"/>
                    <a:stretch>
                      <a:fillRect/>
                    </a:stretch>
                  </pic:blipFill>
                  <pic:spPr>
                    <a:xfrm>
                      <a:off x="0" y="0"/>
                      <a:ext cx="698500" cy="1435100"/>
                    </a:xfrm>
                    <a:prstGeom prst="rect">
                      <a:avLst/>
                    </a:prstGeom>
                    <a:noFill/>
                    <a:ln>
                      <a:noFill/>
                    </a:ln>
                  </pic:spPr>
                </pic:pic>
              </a:graphicData>
            </a:graphic>
          </wp:inline>
        </w:drawing>
      </w:r>
      <w:r>
        <w:rPr>
          <w:rFonts w:ascii="宋体" w:hAnsi="宋体"/>
          <w:color w:val="auto"/>
        </w:rPr>
        <w:t xml:space="preserve">    </w:t>
      </w:r>
      <w:r>
        <w:rPr>
          <w:color w:val="auto"/>
        </w:rPr>
        <w:drawing>
          <wp:inline distT="0" distB="0" distL="0" distR="0">
            <wp:extent cx="854710" cy="1494155"/>
            <wp:effectExtent l="0" t="0" r="2540" b="0"/>
            <wp:docPr id="18" name="图片 18" descr="1618135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18135932(1)"/>
                    <pic:cNvPicPr>
                      <a:picLocks noChangeAspect="1" noChangeArrowheads="1"/>
                    </pic:cNvPicPr>
                  </pic:nvPicPr>
                  <pic:blipFill>
                    <a:blip r:embed="rId14" cstate="print">
                      <a:extLst>
                        <a:ext uri="{28A0092B-C50C-407E-A947-70E740481C1C}">
                          <a14:useLocalDpi xmlns:a14="http://schemas.microsoft.com/office/drawing/2010/main" val="0"/>
                        </a:ext>
                      </a:extLst>
                    </a:blip>
                    <a:srcRect t="5849"/>
                    <a:stretch>
                      <a:fillRect/>
                    </a:stretch>
                  </pic:blipFill>
                  <pic:spPr>
                    <a:xfrm>
                      <a:off x="0" y="0"/>
                      <a:ext cx="854710" cy="1494155"/>
                    </a:xfrm>
                    <a:prstGeom prst="rect">
                      <a:avLst/>
                    </a:prstGeom>
                    <a:noFill/>
                    <a:ln>
                      <a:noFill/>
                    </a:ln>
                  </pic:spPr>
                </pic:pic>
              </a:graphicData>
            </a:graphic>
          </wp:inline>
        </w:drawing>
      </w:r>
      <w:r>
        <w:rPr>
          <w:rFonts w:ascii="宋体" w:hAnsi="宋体"/>
          <w:color w:val="auto"/>
        </w:rPr>
        <w:t xml:space="preserve">   </w:t>
      </w:r>
      <w:r>
        <w:drawing>
          <wp:inline distT="0" distB="0" distL="0" distR="0">
            <wp:extent cx="862330" cy="1576070"/>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62330" cy="1576070"/>
                    </a:xfrm>
                    <a:prstGeom prst="rect">
                      <a:avLst/>
                    </a:prstGeom>
                    <a:noFill/>
                    <a:ln>
                      <a:noFill/>
                    </a:ln>
                  </pic:spPr>
                </pic:pic>
              </a:graphicData>
            </a:graphic>
          </wp:inline>
        </w:drawing>
      </w:r>
    </w:p>
    <w:p>
      <w:pPr>
        <w:spacing w:line="360" w:lineRule="auto"/>
        <w:ind w:left="840" w:leftChars="300" w:hanging="210" w:hangingChars="100"/>
        <w:rPr>
          <w:rFonts w:ascii="宋体" w:hAnsi="宋体"/>
          <w:color w:val="auto"/>
        </w:rPr>
      </w:pPr>
      <w:r>
        <w:rPr>
          <w:rFonts w:hint="eastAsia" w:ascii="宋体" w:hAnsi="宋体"/>
          <w:color w:val="auto"/>
        </w:rPr>
        <w:t>（</w:t>
      </w:r>
      <w:r>
        <w:rPr>
          <w:rFonts w:ascii="宋体" w:hAnsi="宋体"/>
          <w:color w:val="auto"/>
        </w:rPr>
        <w:t>f）人字撑  （g）人字撑</w:t>
      </w:r>
      <w:r>
        <w:rPr>
          <w:rFonts w:ascii="宋体" w:hAnsi="宋体"/>
          <w:color w:val="auto"/>
        </w:rPr>
        <w:tab/>
      </w:r>
      <w:r>
        <w:rPr>
          <w:rFonts w:ascii="宋体" w:hAnsi="宋体"/>
          <w:color w:val="auto"/>
        </w:rPr>
        <w:t xml:space="preserve"> （h）V字撑</w:t>
      </w:r>
      <w:r>
        <w:rPr>
          <w:rFonts w:ascii="宋体" w:hAnsi="宋体"/>
          <w:color w:val="auto"/>
        </w:rPr>
        <w:tab/>
      </w:r>
      <w:r>
        <w:rPr>
          <w:rFonts w:ascii="宋体" w:hAnsi="宋体"/>
          <w:color w:val="auto"/>
        </w:rPr>
        <w:t xml:space="preserve">    （i）带拉链柱人字撑</w:t>
      </w:r>
      <w:r>
        <w:rPr>
          <w:rFonts w:ascii="宋体" w:hAnsi="宋体"/>
          <w:color w:val="auto"/>
        </w:rPr>
        <w:tab/>
      </w:r>
      <w:r>
        <w:rPr>
          <w:rFonts w:ascii="宋体" w:hAnsi="宋体"/>
          <w:color w:val="auto"/>
        </w:rPr>
        <w:t xml:space="preserve">   （j）带竖杆K形支撑</w:t>
      </w:r>
    </w:p>
    <w:p>
      <w:pPr>
        <w:autoSpaceDN w:val="0"/>
        <w:spacing w:line="360" w:lineRule="auto"/>
        <w:ind w:left="871" w:hanging="241"/>
        <w:rPr>
          <w:color w:val="auto"/>
          <w:kern w:val="2"/>
          <w:sz w:val="24"/>
          <w:szCs w:val="24"/>
        </w:rPr>
      </w:pPr>
      <w:r>
        <w:rPr>
          <w:color w:val="auto"/>
          <w:kern w:val="2"/>
          <w:sz w:val="24"/>
          <w:szCs w:val="24"/>
        </w:rPr>
        <w:t>3）住宅钢结构的支撑形式与布置应与建筑设计协调，并宜布置于分户墙，端壁墙或楼（电）梯间等部位。不应妨碍和限制住宅建筑的使用功能。</w:t>
      </w:r>
    </w:p>
    <w:p>
      <w:pPr>
        <w:autoSpaceDN w:val="0"/>
        <w:spacing w:line="360" w:lineRule="auto"/>
        <w:ind w:firstLine="482"/>
        <w:rPr>
          <w:color w:val="auto"/>
          <w:kern w:val="2"/>
          <w:sz w:val="24"/>
          <w:szCs w:val="24"/>
        </w:rPr>
      </w:pPr>
      <w:bookmarkStart w:id="34" w:name="_Hlk71224191"/>
      <w:r>
        <w:rPr>
          <w:rFonts w:hint="eastAsia"/>
          <w:color w:val="auto"/>
          <w:kern w:val="2"/>
          <w:sz w:val="24"/>
          <w:szCs w:val="24"/>
        </w:rPr>
        <w:t>4</w:t>
      </w:r>
      <w:r>
        <w:rPr>
          <w:color w:val="auto"/>
          <w:kern w:val="2"/>
          <w:sz w:val="24"/>
          <w:szCs w:val="24"/>
        </w:rPr>
        <w:t>  框架-支撑结构体系按空间模型计算时，楼盖应为平面刚性楼盖。其支撑框架之间楼盖（平面尺寸）的长宽比不宜大于4（6、7度设防区）、3（8度设防区）或2（9度设防）。</w:t>
      </w:r>
    </w:p>
    <w:bookmarkEnd w:id="34"/>
    <w:p>
      <w:pPr>
        <w:autoSpaceDN w:val="0"/>
        <w:spacing w:line="360" w:lineRule="auto"/>
        <w:ind w:firstLine="482"/>
        <w:rPr>
          <w:color w:val="auto"/>
          <w:kern w:val="2"/>
          <w:sz w:val="24"/>
          <w:szCs w:val="24"/>
        </w:rPr>
      </w:pPr>
      <w:r>
        <w:rPr>
          <w:rFonts w:hint="eastAsia"/>
          <w:color w:val="auto"/>
          <w:kern w:val="2"/>
          <w:sz w:val="24"/>
          <w:szCs w:val="24"/>
        </w:rPr>
        <w:t>5</w:t>
      </w:r>
      <w:r>
        <w:rPr>
          <w:color w:val="auto"/>
          <w:kern w:val="2"/>
          <w:sz w:val="24"/>
          <w:szCs w:val="24"/>
        </w:rPr>
        <w:t>  高层钢结构住宅设置地下室时，除外围地下室外挡墙外，地下结构也可采用钢结构。竖向连续布置的支撑应延伸至基础，钢框架柱应至少延伸至地下一层；当地下室顶板可作为上部结构嵌固端时，竖向连续布置的支撑可采用混凝土墙延伸至基础，且延伸至地下一层的钢框架柱宜采用钢骨混凝土柱。</w:t>
      </w:r>
    </w:p>
    <w:p>
      <w:pPr>
        <w:widowControl/>
        <w:spacing w:line="360" w:lineRule="auto"/>
        <w:rPr>
          <w:color w:val="auto"/>
          <w:kern w:val="2"/>
          <w:sz w:val="24"/>
          <w:szCs w:val="24"/>
        </w:rPr>
      </w:pPr>
      <w:r>
        <w:rPr>
          <w:b/>
          <w:bCs/>
          <w:color w:val="auto"/>
          <w:kern w:val="2"/>
          <w:sz w:val="24"/>
          <w:szCs w:val="24"/>
        </w:rPr>
        <w:t xml:space="preserve">6.2.4 </w:t>
      </w:r>
      <w:r>
        <w:rPr>
          <w:rFonts w:hint="eastAsia"/>
          <w:b/>
          <w:bCs/>
          <w:color w:val="auto"/>
          <w:kern w:val="2"/>
          <w:sz w:val="24"/>
          <w:szCs w:val="24"/>
        </w:rPr>
        <w:t xml:space="preserve"> </w:t>
      </w:r>
      <w:r>
        <w:rPr>
          <w:rFonts w:hint="eastAsia"/>
          <w:color w:val="auto"/>
          <w:kern w:val="2"/>
          <w:sz w:val="24"/>
          <w:szCs w:val="24"/>
        </w:rPr>
        <w:t>钢框架—钢板剪力墙结构设计应符合下列规定：</w:t>
      </w:r>
    </w:p>
    <w:p>
      <w:pPr>
        <w:spacing w:line="360" w:lineRule="auto"/>
        <w:ind w:firstLine="480" w:firstLineChars="200"/>
        <w:rPr>
          <w:color w:val="auto"/>
          <w:kern w:val="2"/>
          <w:sz w:val="24"/>
          <w:szCs w:val="24"/>
        </w:rPr>
      </w:pPr>
      <w:r>
        <w:rPr>
          <w:color w:val="auto"/>
          <w:kern w:val="2"/>
          <w:sz w:val="24"/>
          <w:szCs w:val="24"/>
        </w:rPr>
        <w:t>1</w:t>
      </w:r>
      <w:r>
        <w:rPr>
          <w:rFonts w:hint="eastAsia"/>
          <w:color w:val="auto"/>
          <w:kern w:val="2"/>
          <w:sz w:val="24"/>
          <w:szCs w:val="24"/>
        </w:rPr>
        <w:t>钢框架—钢板剪力墙结构体系，除本规范规定外，尚应符合现行标准《钢结构设计标准》GB 50017、《建筑抗震设计规范》GB 50011、《高层民用建筑钢结构技术规程》JGJ 99、《钢板剪力墙技术规程》JGJ/T  380的规定。</w:t>
      </w:r>
    </w:p>
    <w:p>
      <w:pPr>
        <w:spacing w:line="360" w:lineRule="auto"/>
        <w:ind w:firstLine="480" w:firstLineChars="200"/>
        <w:rPr>
          <w:color w:val="auto"/>
          <w:kern w:val="2"/>
          <w:sz w:val="24"/>
          <w:szCs w:val="24"/>
        </w:rPr>
      </w:pPr>
      <w:r>
        <w:rPr>
          <w:color w:val="auto"/>
          <w:kern w:val="2"/>
          <w:sz w:val="24"/>
          <w:szCs w:val="24"/>
        </w:rPr>
        <w:t>2</w:t>
      </w:r>
      <w:r>
        <w:rPr>
          <w:rFonts w:hint="eastAsia"/>
          <w:color w:val="auto"/>
          <w:kern w:val="2"/>
          <w:sz w:val="24"/>
          <w:szCs w:val="24"/>
        </w:rPr>
        <w:t>根据使用条件、建筑功能以及技术经济性能要求确定钢板剪力墙类型，可选用的钢板剪力墙类型包括非加劲钢板剪力墙(图6．2．4a、b)、加劲钢板剪力墙(图6．2．4c)、防屈曲钢板剪力墙(图6.2.4d)、钢板组合剪力墙(图6.2.4e)及开缝钢板剪力墙(图6.2.4f)等。</w:t>
      </w:r>
    </w:p>
    <w:p>
      <w:pPr>
        <w:spacing w:line="360" w:lineRule="auto"/>
        <w:ind w:firstLine="480" w:firstLineChars="200"/>
        <w:rPr>
          <w:color w:val="auto"/>
          <w:kern w:val="2"/>
          <w:sz w:val="24"/>
          <w:szCs w:val="24"/>
        </w:rPr>
      </w:pPr>
      <w:r>
        <w:rPr>
          <w:color w:val="auto"/>
          <w:kern w:val="2"/>
          <w:sz w:val="24"/>
          <w:szCs w:val="24"/>
        </w:rPr>
        <w:t>3</w:t>
      </w:r>
      <w:r>
        <w:rPr>
          <w:rFonts w:hint="eastAsia"/>
          <w:color w:val="auto"/>
          <w:kern w:val="2"/>
          <w:sz w:val="24"/>
          <w:szCs w:val="24"/>
        </w:rPr>
        <w:t xml:space="preserve"> 钢板剪力墙的墙板宽度和高度之比应介于0.8和2.5之间，各类钢板剪力墙的适应最大高度见下表6.2.4-1。</w:t>
      </w:r>
    </w:p>
    <w:p>
      <w:pPr>
        <w:spacing w:line="360" w:lineRule="auto"/>
        <w:ind w:firstLine="480" w:firstLineChars="200"/>
        <w:rPr>
          <w:color w:val="auto"/>
          <w:kern w:val="2"/>
          <w:sz w:val="24"/>
          <w:szCs w:val="24"/>
        </w:rPr>
      </w:pPr>
      <w:r>
        <w:rPr>
          <w:color w:val="auto"/>
          <w:kern w:val="2"/>
          <w:sz w:val="24"/>
          <w:szCs w:val="24"/>
        </w:rPr>
        <w:t>4</w:t>
      </w:r>
      <w:r>
        <w:rPr>
          <w:rFonts w:hint="eastAsia"/>
          <w:color w:val="auto"/>
          <w:kern w:val="2"/>
          <w:sz w:val="24"/>
          <w:szCs w:val="24"/>
        </w:rPr>
        <w:t>当钢柱采用钢扁柱或异形钢柱时，不宜将钢</w:t>
      </w:r>
      <w:r>
        <w:rPr>
          <w:color w:val="auto"/>
          <w:kern w:val="2"/>
          <w:sz w:val="24"/>
          <w:szCs w:val="24"/>
        </w:rPr>
        <w:t>柱弱轴与剪力墙进行连接</w:t>
      </w:r>
      <w:r>
        <w:rPr>
          <w:rFonts w:hint="eastAsia"/>
          <w:color w:val="auto"/>
          <w:kern w:val="2"/>
          <w:sz w:val="24"/>
          <w:szCs w:val="24"/>
        </w:rPr>
        <w:t>。</w:t>
      </w:r>
    </w:p>
    <w:p>
      <w:pPr>
        <w:spacing w:line="360" w:lineRule="auto"/>
        <w:ind w:firstLine="480" w:firstLineChars="200"/>
        <w:rPr>
          <w:color w:val="auto"/>
          <w:kern w:val="2"/>
          <w:sz w:val="24"/>
          <w:szCs w:val="24"/>
        </w:rPr>
      </w:pPr>
      <w:r>
        <w:rPr>
          <w:color w:val="auto"/>
          <w:kern w:val="2"/>
          <w:sz w:val="24"/>
          <w:szCs w:val="24"/>
        </w:rPr>
        <w:t>5</w:t>
      </w:r>
      <w:r>
        <w:rPr>
          <w:rFonts w:hint="eastAsia"/>
          <w:color w:val="auto"/>
          <w:kern w:val="2"/>
          <w:sz w:val="24"/>
          <w:szCs w:val="24"/>
        </w:rPr>
        <w:t>钢板剪力墙宜按不承受竖向荷载设计计算，并应采用相应的构造和施工措施来实现计算假定。当实际情况不易实现时，承受竖向荷载的钢板剪力墙，其竖向应力导致抗剪承载力的下降不应大于20%。</w:t>
      </w:r>
    </w:p>
    <w:p>
      <w:pPr>
        <w:spacing w:line="360" w:lineRule="auto"/>
        <w:ind w:firstLine="480" w:firstLineChars="200"/>
        <w:rPr>
          <w:color w:val="auto"/>
          <w:kern w:val="2"/>
          <w:sz w:val="24"/>
          <w:szCs w:val="24"/>
        </w:rPr>
      </w:pPr>
      <w:r>
        <w:rPr>
          <w:color w:val="auto"/>
          <w:kern w:val="2"/>
          <w:sz w:val="24"/>
          <w:szCs w:val="24"/>
        </w:rPr>
        <w:t>6</w:t>
      </w:r>
      <w:r>
        <w:rPr>
          <w:rFonts w:hint="eastAsia"/>
          <w:color w:val="auto"/>
          <w:kern w:val="2"/>
          <w:sz w:val="24"/>
          <w:szCs w:val="24"/>
        </w:rPr>
        <w:t>钢板剪力墙宜满足建筑、结构、设备和装修一体化的设计需求，同时设计文件中应注明钢板剪力墙与边缘构件的连接时间。</w:t>
      </w:r>
    </w:p>
    <w:p>
      <w:pPr>
        <w:spacing w:line="360" w:lineRule="auto"/>
        <w:ind w:firstLine="480" w:firstLineChars="200"/>
        <w:rPr>
          <w:color w:val="auto"/>
          <w:kern w:val="2"/>
          <w:sz w:val="24"/>
          <w:szCs w:val="24"/>
        </w:rPr>
      </w:pPr>
      <w:r>
        <w:rPr>
          <w:color w:val="auto"/>
          <w:kern w:val="2"/>
          <w:sz w:val="24"/>
          <w:szCs w:val="24"/>
        </w:rPr>
        <w:t>7</w:t>
      </w:r>
      <w:r>
        <w:rPr>
          <w:rFonts w:hint="eastAsia"/>
          <w:color w:val="auto"/>
          <w:kern w:val="2"/>
          <w:sz w:val="24"/>
          <w:szCs w:val="24"/>
        </w:rPr>
        <w:t>钢板剪力墙应根据主体结构类型与使用条件，采用合理的防腐与防火措施。钢板剪力墙防火应符合现行国家标准《钢结构设计规范》GB50017的规定。</w:t>
      </w:r>
    </w:p>
    <w:p>
      <w:pPr>
        <w:spacing w:line="360" w:lineRule="auto"/>
      </w:pPr>
      <w:r>
        <w:drawing>
          <wp:inline distT="0" distB="0" distL="0" distR="0">
            <wp:extent cx="5266690" cy="21285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t="8067" b="6363"/>
                    <a:stretch>
                      <a:fillRect/>
                    </a:stretch>
                  </pic:blipFill>
                  <pic:spPr>
                    <a:xfrm>
                      <a:off x="0" y="0"/>
                      <a:ext cx="5266690" cy="2128520"/>
                    </a:xfrm>
                    <a:prstGeom prst="rect">
                      <a:avLst/>
                    </a:prstGeom>
                    <a:noFill/>
                    <a:ln>
                      <a:noFill/>
                    </a:ln>
                  </pic:spPr>
                </pic:pic>
              </a:graphicData>
            </a:graphic>
          </wp:inline>
        </w:drawing>
      </w:r>
    </w:p>
    <w:p>
      <w:pPr>
        <w:numPr>
          <w:ilvl w:val="0"/>
          <w:numId w:val="7"/>
        </w:numPr>
        <w:spacing w:line="360" w:lineRule="auto"/>
        <w:ind w:firstLine="1260" w:firstLineChars="600"/>
        <w:rPr>
          <w:color w:val="auto"/>
        </w:rPr>
      </w:pPr>
      <w:r>
        <w:rPr>
          <w:rFonts w:hint="eastAsia"/>
          <w:color w:val="auto"/>
        </w:rPr>
        <w:t xml:space="preserve">                                  </w:t>
      </w:r>
      <w:r>
        <w:rPr>
          <w:color w:val="auto"/>
        </w:rPr>
        <w:t xml:space="preserve">                                                   </w:t>
      </w:r>
      <w:r>
        <w:rPr>
          <w:rFonts w:hint="eastAsia"/>
          <w:color w:val="auto"/>
        </w:rPr>
        <w:t>（b）</w:t>
      </w:r>
    </w:p>
    <w:p>
      <w:pPr>
        <w:spacing w:line="360" w:lineRule="auto"/>
      </w:pPr>
      <w:r>
        <w:drawing>
          <wp:anchor distT="0" distB="0" distL="114300" distR="114300" simplePos="0" relativeHeight="251659264" behindDoc="0" locked="0" layoutInCell="1" allowOverlap="1">
            <wp:simplePos x="0" y="0"/>
            <wp:positionH relativeFrom="column">
              <wp:posOffset>2992120</wp:posOffset>
            </wp:positionH>
            <wp:positionV relativeFrom="paragraph">
              <wp:posOffset>33655</wp:posOffset>
            </wp:positionV>
            <wp:extent cx="2129790" cy="2124075"/>
            <wp:effectExtent l="0" t="0" r="0" b="0"/>
            <wp:wrapSquare wrapText="bothSides"/>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noChangeArrowheads="1"/>
                    </pic:cNvPicPr>
                  </pic:nvPicPr>
                  <pic:blipFill>
                    <a:blip r:embed="rId17" cstate="print">
                      <a:extLst>
                        <a:ext uri="{28A0092B-C50C-407E-A947-70E740481C1C}">
                          <a14:useLocalDpi xmlns:a14="http://schemas.microsoft.com/office/drawing/2010/main" val="0"/>
                        </a:ext>
                      </a:extLst>
                    </a:blip>
                    <a:srcRect l="16916" t="1964" r="15297"/>
                    <a:stretch>
                      <a:fillRect/>
                    </a:stretch>
                  </pic:blipFill>
                  <pic:spPr>
                    <a:xfrm>
                      <a:off x="0" y="0"/>
                      <a:ext cx="2129790" cy="2124075"/>
                    </a:xfrm>
                    <a:prstGeom prst="rect">
                      <a:avLst/>
                    </a:prstGeom>
                    <a:noFill/>
                  </pic:spPr>
                </pic:pic>
              </a:graphicData>
            </a:graphic>
          </wp:anchor>
        </w:drawing>
      </w:r>
      <w:r>
        <w:drawing>
          <wp:inline distT="0" distB="0" distL="0" distR="0">
            <wp:extent cx="2340610" cy="2113915"/>
            <wp:effectExtent l="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40610" cy="2113915"/>
                    </a:xfrm>
                    <a:prstGeom prst="rect">
                      <a:avLst/>
                    </a:prstGeom>
                    <a:noFill/>
                    <a:ln>
                      <a:noFill/>
                    </a:ln>
                  </pic:spPr>
                </pic:pic>
              </a:graphicData>
            </a:graphic>
          </wp:inline>
        </w:drawing>
      </w:r>
    </w:p>
    <w:p>
      <w:pPr>
        <w:spacing w:line="360" w:lineRule="auto"/>
        <w:ind w:firstLine="1050" w:firstLineChars="500"/>
        <w:rPr>
          <w:color w:val="auto"/>
        </w:rPr>
      </w:pPr>
      <w:r>
        <w:rPr>
          <w:rFonts w:hint="eastAsia"/>
          <w:color w:val="auto"/>
        </w:rPr>
        <w:t xml:space="preserve">（c）                               </w:t>
      </w:r>
      <w:r>
        <w:rPr>
          <w:color w:val="auto"/>
        </w:rPr>
        <w:t xml:space="preserve">                                                         </w:t>
      </w:r>
      <w:r>
        <w:rPr>
          <w:rFonts w:hint="eastAsia"/>
          <w:color w:val="auto"/>
        </w:rPr>
        <w:t>（d）</w:t>
      </w:r>
    </w:p>
    <w:p>
      <w:pPr>
        <w:spacing w:line="360" w:lineRule="auto"/>
      </w:pPr>
      <w:r>
        <w:drawing>
          <wp:inline distT="0" distB="0" distL="0" distR="0">
            <wp:extent cx="5354955" cy="215773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l="1410" b="14638"/>
                    <a:stretch>
                      <a:fillRect/>
                    </a:stretch>
                  </pic:blipFill>
                  <pic:spPr>
                    <a:xfrm>
                      <a:off x="0" y="0"/>
                      <a:ext cx="5354955" cy="2157730"/>
                    </a:xfrm>
                    <a:prstGeom prst="rect">
                      <a:avLst/>
                    </a:prstGeom>
                    <a:noFill/>
                    <a:ln>
                      <a:noFill/>
                    </a:ln>
                  </pic:spPr>
                </pic:pic>
              </a:graphicData>
            </a:graphic>
          </wp:inline>
        </w:drawing>
      </w:r>
    </w:p>
    <w:p>
      <w:pPr>
        <w:spacing w:line="360" w:lineRule="auto"/>
        <w:ind w:firstLine="1050" w:firstLineChars="500"/>
        <w:rPr>
          <w:color w:val="auto"/>
        </w:rPr>
      </w:pPr>
      <w:r>
        <w:rPr>
          <w:rFonts w:hint="eastAsia"/>
          <w:color w:val="auto"/>
        </w:rPr>
        <w:t xml:space="preserve">（e）                                    </w:t>
      </w:r>
      <w:r>
        <w:rPr>
          <w:color w:val="auto"/>
        </w:rPr>
        <w:t xml:space="preserve">                                                  </w:t>
      </w:r>
      <w:r>
        <w:rPr>
          <w:rFonts w:hint="eastAsia"/>
          <w:color w:val="auto"/>
        </w:rPr>
        <w:t xml:space="preserve"> （f）</w:t>
      </w:r>
    </w:p>
    <w:p>
      <w:pPr>
        <w:spacing w:line="360" w:lineRule="auto"/>
        <w:jc w:val="center"/>
        <w:rPr>
          <w:rFonts w:ascii="宋体" w:hAnsi="宋体"/>
          <w:color w:val="auto"/>
        </w:rPr>
      </w:pPr>
      <w:r>
        <w:rPr>
          <w:rFonts w:hint="eastAsia" w:ascii="宋体" w:hAnsi="宋体"/>
          <w:color w:val="auto"/>
        </w:rPr>
        <w:t>图</w:t>
      </w:r>
      <w:r>
        <w:rPr>
          <w:color w:val="auto"/>
        </w:rPr>
        <w:t>6.2.4</w:t>
      </w:r>
      <w:r>
        <w:rPr>
          <w:rFonts w:hint="eastAsia" w:ascii="宋体" w:hAnsi="宋体"/>
          <w:color w:val="auto"/>
        </w:rPr>
        <w:t xml:space="preserve"> 钢板剪力墙的类型示意</w:t>
      </w:r>
    </w:p>
    <w:p>
      <w:pPr>
        <w:spacing w:line="360" w:lineRule="auto"/>
        <w:jc w:val="center"/>
        <w:rPr>
          <w:rFonts w:ascii="宋体" w:hAnsi="宋体"/>
          <w:color w:val="auto"/>
          <w:sz w:val="22"/>
        </w:rPr>
      </w:pPr>
      <w:r>
        <w:rPr>
          <w:rFonts w:hint="eastAsia" w:ascii="宋体" w:hAnsi="宋体"/>
          <w:color w:val="auto"/>
          <w:sz w:val="22"/>
        </w:rPr>
        <w:t>1-鱼尾板；2-边框梁；3-边框柱；4-内嵌钢板；5-螺栓连接；</w:t>
      </w:r>
    </w:p>
    <w:p>
      <w:pPr>
        <w:spacing w:line="360" w:lineRule="auto"/>
        <w:jc w:val="center"/>
        <w:rPr>
          <w:rFonts w:ascii="宋体" w:hAnsi="宋体"/>
          <w:color w:val="auto"/>
          <w:sz w:val="22"/>
        </w:rPr>
      </w:pPr>
      <w:r>
        <w:rPr>
          <w:rFonts w:hint="eastAsia" w:ascii="宋体" w:hAnsi="宋体"/>
          <w:color w:val="auto"/>
          <w:sz w:val="22"/>
        </w:rPr>
        <w:t>6-焊接连接；7-加劲肋；8-冷弯薄壁型钢约束龙骨；9-高强螺栓；</w:t>
      </w:r>
    </w:p>
    <w:p>
      <w:pPr>
        <w:spacing w:line="360" w:lineRule="auto"/>
        <w:jc w:val="center"/>
        <w:rPr>
          <w:rFonts w:ascii="宋体" w:hAnsi="宋体"/>
          <w:color w:val="auto"/>
          <w:sz w:val="22"/>
        </w:rPr>
      </w:pPr>
      <w:r>
        <w:rPr>
          <w:rFonts w:hint="eastAsia" w:ascii="宋体" w:hAnsi="宋体"/>
          <w:color w:val="auto"/>
          <w:sz w:val="22"/>
        </w:rPr>
        <w:t>10-内填混凝土双侧外包钢板(内侧设置加劲肋和栓钉)；</w:t>
      </w:r>
    </w:p>
    <w:p>
      <w:pPr>
        <w:spacing w:line="360" w:lineRule="auto"/>
        <w:jc w:val="center"/>
        <w:rPr>
          <w:rFonts w:ascii="宋体" w:hAnsi="宋体"/>
          <w:color w:val="auto"/>
          <w:sz w:val="22"/>
        </w:rPr>
      </w:pPr>
      <w:r>
        <w:rPr>
          <w:rFonts w:hint="eastAsia" w:ascii="宋体" w:hAnsi="宋体"/>
          <w:color w:val="auto"/>
          <w:sz w:val="22"/>
        </w:rPr>
        <w:t>11-高强度螺栓(摩擦型连接)；12-竖向切割缝(激光或等离子切割)；</w:t>
      </w:r>
    </w:p>
    <w:p>
      <w:pPr>
        <w:spacing w:line="360" w:lineRule="auto"/>
        <w:jc w:val="center"/>
        <w:rPr>
          <w:rFonts w:ascii="宋体" w:hAnsi="宋体"/>
          <w:color w:val="auto"/>
          <w:sz w:val="22"/>
        </w:rPr>
      </w:pPr>
      <w:r>
        <w:rPr>
          <w:rFonts w:hint="eastAsia" w:ascii="宋体" w:hAnsi="宋体"/>
          <w:color w:val="auto"/>
          <w:sz w:val="22"/>
        </w:rPr>
        <w:t>13-边缘加劲肋</w:t>
      </w:r>
    </w:p>
    <w:p>
      <w:pPr>
        <w:spacing w:line="360" w:lineRule="auto"/>
        <w:ind w:firstLine="420" w:firstLineChars="200"/>
        <w:jc w:val="center"/>
        <w:rPr>
          <w:rFonts w:ascii="宋体" w:hAnsi="宋体"/>
          <w:color w:val="auto"/>
        </w:rPr>
      </w:pPr>
      <w:r>
        <w:rPr>
          <w:rFonts w:hint="eastAsia" w:ascii="宋体" w:hAnsi="宋体"/>
          <w:color w:val="auto"/>
        </w:rPr>
        <w:t>表</w:t>
      </w:r>
      <w:r>
        <w:rPr>
          <w:color w:val="auto"/>
        </w:rPr>
        <w:t>6.2.4-1</w:t>
      </w:r>
      <w:r>
        <w:rPr>
          <w:rFonts w:hint="eastAsia" w:ascii="宋体" w:hAnsi="宋体"/>
          <w:color w:val="auto"/>
        </w:rPr>
        <w:t xml:space="preserve"> 平面布置原则（待修改与6.2.1统一）</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914"/>
        <w:gridCol w:w="826"/>
        <w:gridCol w:w="974"/>
        <w:gridCol w:w="974"/>
        <w:gridCol w:w="974"/>
        <w:gridCol w:w="979"/>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06" w:type="dxa"/>
            <w:vMerge w:val="restart"/>
            <w:vAlign w:val="center"/>
          </w:tcPr>
          <w:p>
            <w:pPr>
              <w:spacing w:line="360" w:lineRule="auto"/>
              <w:jc w:val="center"/>
              <w:rPr>
                <w:rFonts w:ascii="宋体" w:hAnsi="宋体"/>
                <w:color w:val="auto"/>
                <w:sz w:val="20"/>
                <w:szCs w:val="20"/>
              </w:rPr>
            </w:pPr>
            <w:r>
              <w:rPr>
                <w:rFonts w:hint="eastAsia" w:ascii="宋体" w:hAnsi="宋体"/>
                <w:color w:val="auto"/>
                <w:sz w:val="20"/>
                <w:szCs w:val="20"/>
              </w:rPr>
              <w:t>剪力墙类型</w:t>
            </w:r>
          </w:p>
        </w:tc>
        <w:tc>
          <w:tcPr>
            <w:tcW w:w="914" w:type="dxa"/>
            <w:vMerge w:val="restart"/>
            <w:vAlign w:val="center"/>
          </w:tcPr>
          <w:p>
            <w:pPr>
              <w:spacing w:line="360" w:lineRule="auto"/>
              <w:jc w:val="center"/>
              <w:rPr>
                <w:rFonts w:ascii="宋体" w:hAnsi="宋体"/>
                <w:color w:val="auto"/>
                <w:sz w:val="20"/>
                <w:szCs w:val="20"/>
              </w:rPr>
            </w:pPr>
            <w:r>
              <w:rPr>
                <w:rFonts w:hint="eastAsia" w:ascii="宋体" w:hAnsi="宋体"/>
                <w:color w:val="auto"/>
                <w:sz w:val="20"/>
                <w:szCs w:val="20"/>
              </w:rPr>
              <w:t>非抗震设计</w:t>
            </w:r>
          </w:p>
        </w:tc>
        <w:tc>
          <w:tcPr>
            <w:tcW w:w="5702" w:type="dxa"/>
            <w:gridSpan w:val="6"/>
            <w:vAlign w:val="center"/>
          </w:tcPr>
          <w:p>
            <w:pPr>
              <w:spacing w:line="360" w:lineRule="auto"/>
              <w:jc w:val="center"/>
              <w:rPr>
                <w:rFonts w:ascii="宋体" w:hAnsi="宋体"/>
                <w:color w:val="auto"/>
                <w:sz w:val="20"/>
                <w:szCs w:val="20"/>
              </w:rPr>
            </w:pPr>
            <w:r>
              <w:rPr>
                <w:rFonts w:hint="eastAsia" w:ascii="宋体" w:hAnsi="宋体"/>
                <w:color w:val="auto"/>
                <w:sz w:val="20"/>
                <w:szCs w:val="20"/>
              </w:rPr>
              <w:t>抗震设防烈度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906" w:type="dxa"/>
            <w:vMerge w:val="continue"/>
            <w:vAlign w:val="center"/>
          </w:tcPr>
          <w:p>
            <w:pPr>
              <w:spacing w:line="360" w:lineRule="auto"/>
              <w:jc w:val="center"/>
              <w:rPr>
                <w:rFonts w:ascii="宋体" w:hAnsi="宋体"/>
                <w:color w:val="auto"/>
                <w:sz w:val="20"/>
                <w:szCs w:val="20"/>
              </w:rPr>
            </w:pPr>
          </w:p>
        </w:tc>
        <w:tc>
          <w:tcPr>
            <w:tcW w:w="914" w:type="dxa"/>
            <w:vMerge w:val="continue"/>
            <w:vAlign w:val="center"/>
          </w:tcPr>
          <w:p>
            <w:pPr>
              <w:spacing w:line="360" w:lineRule="auto"/>
              <w:jc w:val="center"/>
              <w:rPr>
                <w:rFonts w:ascii="宋体" w:hAnsi="宋体"/>
                <w:color w:val="auto"/>
                <w:sz w:val="20"/>
                <w:szCs w:val="20"/>
              </w:rPr>
            </w:pPr>
          </w:p>
        </w:tc>
        <w:tc>
          <w:tcPr>
            <w:tcW w:w="826" w:type="dxa"/>
            <w:vMerge w:val="restart"/>
            <w:vAlign w:val="center"/>
          </w:tcPr>
          <w:p>
            <w:pPr>
              <w:spacing w:line="360" w:lineRule="auto"/>
              <w:jc w:val="center"/>
              <w:rPr>
                <w:rFonts w:ascii="宋体" w:hAnsi="宋体"/>
                <w:color w:val="auto"/>
                <w:sz w:val="20"/>
                <w:szCs w:val="20"/>
              </w:rPr>
            </w:pPr>
            <w:r>
              <w:rPr>
                <w:rFonts w:hint="eastAsia" w:ascii="宋体" w:hAnsi="宋体"/>
                <w:color w:val="auto"/>
                <w:sz w:val="20"/>
                <w:szCs w:val="20"/>
              </w:rPr>
              <w:t>6度</w:t>
            </w:r>
          </w:p>
        </w:tc>
        <w:tc>
          <w:tcPr>
            <w:tcW w:w="1948" w:type="dxa"/>
            <w:gridSpan w:val="2"/>
            <w:vAlign w:val="center"/>
          </w:tcPr>
          <w:p>
            <w:pPr>
              <w:spacing w:line="360" w:lineRule="auto"/>
              <w:jc w:val="center"/>
              <w:rPr>
                <w:rFonts w:ascii="宋体" w:hAnsi="宋体"/>
                <w:color w:val="auto"/>
                <w:sz w:val="20"/>
                <w:szCs w:val="20"/>
              </w:rPr>
            </w:pPr>
            <w:r>
              <w:rPr>
                <w:rFonts w:hint="eastAsia" w:ascii="宋体" w:hAnsi="宋体"/>
                <w:color w:val="auto"/>
                <w:sz w:val="20"/>
                <w:szCs w:val="20"/>
              </w:rPr>
              <w:t>7度</w:t>
            </w:r>
          </w:p>
        </w:tc>
        <w:tc>
          <w:tcPr>
            <w:tcW w:w="1953" w:type="dxa"/>
            <w:gridSpan w:val="2"/>
            <w:vAlign w:val="center"/>
          </w:tcPr>
          <w:p>
            <w:pPr>
              <w:spacing w:line="360" w:lineRule="auto"/>
              <w:jc w:val="center"/>
              <w:rPr>
                <w:rFonts w:ascii="宋体" w:hAnsi="宋体"/>
                <w:color w:val="auto"/>
                <w:sz w:val="20"/>
                <w:szCs w:val="20"/>
              </w:rPr>
            </w:pPr>
            <w:r>
              <w:rPr>
                <w:rFonts w:hint="eastAsia" w:ascii="宋体" w:hAnsi="宋体"/>
                <w:color w:val="auto"/>
                <w:sz w:val="20"/>
                <w:szCs w:val="20"/>
              </w:rPr>
              <w:t>8度</w:t>
            </w:r>
          </w:p>
        </w:tc>
        <w:tc>
          <w:tcPr>
            <w:tcW w:w="975" w:type="dxa"/>
            <w:vAlign w:val="center"/>
          </w:tcPr>
          <w:p>
            <w:pPr>
              <w:spacing w:line="360" w:lineRule="auto"/>
              <w:jc w:val="center"/>
              <w:rPr>
                <w:rFonts w:ascii="宋体" w:hAnsi="宋体"/>
                <w:color w:val="auto"/>
                <w:sz w:val="20"/>
                <w:szCs w:val="20"/>
              </w:rPr>
            </w:pPr>
            <w:r>
              <w:rPr>
                <w:rFonts w:hint="eastAsia" w:ascii="宋体" w:hAnsi="宋体"/>
                <w:color w:val="auto"/>
                <w:sz w:val="20"/>
                <w:szCs w:val="20"/>
              </w:rPr>
              <w:t>9度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906" w:type="dxa"/>
            <w:vMerge w:val="continue"/>
            <w:vAlign w:val="center"/>
          </w:tcPr>
          <w:p>
            <w:pPr>
              <w:spacing w:line="360" w:lineRule="auto"/>
              <w:jc w:val="center"/>
              <w:rPr>
                <w:rFonts w:ascii="宋体" w:hAnsi="宋体"/>
                <w:color w:val="auto"/>
                <w:sz w:val="20"/>
                <w:szCs w:val="20"/>
              </w:rPr>
            </w:pPr>
          </w:p>
        </w:tc>
        <w:tc>
          <w:tcPr>
            <w:tcW w:w="914" w:type="dxa"/>
            <w:vMerge w:val="continue"/>
            <w:vAlign w:val="center"/>
          </w:tcPr>
          <w:p>
            <w:pPr>
              <w:spacing w:line="360" w:lineRule="auto"/>
              <w:jc w:val="center"/>
              <w:rPr>
                <w:rFonts w:ascii="宋体" w:hAnsi="宋体"/>
                <w:color w:val="auto"/>
                <w:sz w:val="20"/>
                <w:szCs w:val="20"/>
              </w:rPr>
            </w:pPr>
          </w:p>
        </w:tc>
        <w:tc>
          <w:tcPr>
            <w:tcW w:w="826" w:type="dxa"/>
            <w:vMerge w:val="continue"/>
            <w:vAlign w:val="center"/>
          </w:tcPr>
          <w:p>
            <w:pPr>
              <w:spacing w:line="360" w:lineRule="auto"/>
              <w:jc w:val="center"/>
              <w:rPr>
                <w:rFonts w:ascii="宋体" w:hAnsi="宋体"/>
                <w:color w:val="auto"/>
                <w:sz w:val="20"/>
                <w:szCs w:val="20"/>
              </w:rPr>
            </w:pPr>
          </w:p>
        </w:tc>
        <w:tc>
          <w:tcPr>
            <w:tcW w:w="974" w:type="dxa"/>
            <w:vAlign w:val="center"/>
          </w:tcPr>
          <w:p>
            <w:pPr>
              <w:spacing w:line="360" w:lineRule="auto"/>
              <w:jc w:val="center"/>
              <w:rPr>
                <w:rFonts w:ascii="宋体" w:hAnsi="宋体"/>
                <w:color w:val="auto"/>
                <w:sz w:val="20"/>
                <w:szCs w:val="20"/>
              </w:rPr>
            </w:pPr>
            <w:r>
              <w:rPr>
                <w:rFonts w:hint="eastAsia" w:ascii="宋体" w:hAnsi="宋体"/>
                <w:color w:val="auto"/>
                <w:sz w:val="20"/>
                <w:szCs w:val="20"/>
              </w:rPr>
              <w:t>0.10g</w:t>
            </w:r>
          </w:p>
        </w:tc>
        <w:tc>
          <w:tcPr>
            <w:tcW w:w="974" w:type="dxa"/>
            <w:vAlign w:val="center"/>
          </w:tcPr>
          <w:p>
            <w:pPr>
              <w:spacing w:line="360" w:lineRule="auto"/>
              <w:jc w:val="center"/>
              <w:rPr>
                <w:rFonts w:ascii="宋体" w:hAnsi="宋体"/>
                <w:color w:val="auto"/>
                <w:sz w:val="20"/>
                <w:szCs w:val="20"/>
              </w:rPr>
            </w:pPr>
            <w:r>
              <w:rPr>
                <w:rFonts w:hint="eastAsia" w:ascii="宋体" w:hAnsi="宋体"/>
                <w:color w:val="auto"/>
                <w:sz w:val="20"/>
                <w:szCs w:val="20"/>
              </w:rPr>
              <w:t>0.15g</w:t>
            </w:r>
          </w:p>
        </w:tc>
        <w:tc>
          <w:tcPr>
            <w:tcW w:w="974" w:type="dxa"/>
            <w:vAlign w:val="center"/>
          </w:tcPr>
          <w:p>
            <w:pPr>
              <w:spacing w:line="360" w:lineRule="auto"/>
              <w:jc w:val="center"/>
              <w:rPr>
                <w:rFonts w:ascii="宋体" w:hAnsi="宋体"/>
                <w:color w:val="auto"/>
                <w:sz w:val="20"/>
                <w:szCs w:val="20"/>
              </w:rPr>
            </w:pPr>
            <w:r>
              <w:rPr>
                <w:rFonts w:hint="eastAsia" w:ascii="宋体" w:hAnsi="宋体"/>
                <w:color w:val="auto"/>
                <w:sz w:val="20"/>
                <w:szCs w:val="20"/>
              </w:rPr>
              <w:t>0.20g</w:t>
            </w:r>
          </w:p>
        </w:tc>
        <w:tc>
          <w:tcPr>
            <w:tcW w:w="979" w:type="dxa"/>
            <w:vAlign w:val="center"/>
          </w:tcPr>
          <w:p>
            <w:pPr>
              <w:spacing w:line="360" w:lineRule="auto"/>
              <w:jc w:val="center"/>
              <w:rPr>
                <w:rFonts w:ascii="宋体" w:hAnsi="宋体"/>
                <w:color w:val="auto"/>
                <w:sz w:val="20"/>
                <w:szCs w:val="20"/>
              </w:rPr>
            </w:pPr>
            <w:r>
              <w:rPr>
                <w:rFonts w:hint="eastAsia" w:ascii="宋体" w:hAnsi="宋体"/>
                <w:color w:val="auto"/>
                <w:sz w:val="20"/>
                <w:szCs w:val="20"/>
              </w:rPr>
              <w:t>0.30g</w:t>
            </w:r>
          </w:p>
        </w:tc>
        <w:tc>
          <w:tcPr>
            <w:tcW w:w="975" w:type="dxa"/>
            <w:vAlign w:val="center"/>
          </w:tcPr>
          <w:p>
            <w:pPr>
              <w:spacing w:line="360" w:lineRule="auto"/>
              <w:jc w:val="center"/>
              <w:rPr>
                <w:rFonts w:ascii="宋体" w:hAnsi="宋体"/>
                <w:color w:val="auto"/>
                <w:sz w:val="20"/>
                <w:szCs w:val="20"/>
              </w:rPr>
            </w:pPr>
            <w:r>
              <w:rPr>
                <w:rFonts w:hint="eastAsia" w:ascii="宋体" w:hAnsi="宋体"/>
                <w:color w:val="auto"/>
                <w:sz w:val="20"/>
                <w:szCs w:val="20"/>
              </w:rPr>
              <w:t>0.40g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906" w:type="dxa"/>
            <w:vAlign w:val="center"/>
          </w:tcPr>
          <w:p>
            <w:pPr>
              <w:spacing w:line="360" w:lineRule="auto"/>
              <w:jc w:val="center"/>
              <w:rPr>
                <w:rFonts w:ascii="宋体" w:hAnsi="宋体"/>
                <w:color w:val="auto"/>
                <w:sz w:val="20"/>
                <w:szCs w:val="20"/>
              </w:rPr>
            </w:pPr>
            <w:r>
              <w:rPr>
                <w:rFonts w:hint="eastAsia" w:ascii="宋体" w:hAnsi="宋体"/>
                <w:color w:val="auto"/>
                <w:sz w:val="20"/>
                <w:szCs w:val="20"/>
              </w:rPr>
              <w:t>非加劲钢板剪力墙</w:t>
            </w:r>
          </w:p>
        </w:tc>
        <w:tc>
          <w:tcPr>
            <w:tcW w:w="914" w:type="dxa"/>
            <w:vMerge w:val="restart"/>
            <w:vAlign w:val="center"/>
          </w:tcPr>
          <w:p>
            <w:pPr>
              <w:spacing w:line="360" w:lineRule="auto"/>
              <w:jc w:val="center"/>
              <w:rPr>
                <w:rFonts w:ascii="宋体" w:hAnsi="宋体"/>
                <w:color w:val="auto"/>
                <w:sz w:val="20"/>
                <w:szCs w:val="20"/>
              </w:rPr>
            </w:pPr>
            <w:r>
              <w:rPr>
                <w:rFonts w:hint="eastAsia" w:ascii="宋体" w:hAnsi="宋体"/>
                <w:color w:val="auto"/>
                <w:sz w:val="20"/>
                <w:szCs w:val="20"/>
              </w:rPr>
              <w:t>240</w:t>
            </w:r>
          </w:p>
        </w:tc>
        <w:tc>
          <w:tcPr>
            <w:tcW w:w="1800" w:type="dxa"/>
            <w:gridSpan w:val="2"/>
            <w:vMerge w:val="restart"/>
            <w:vAlign w:val="center"/>
          </w:tcPr>
          <w:p>
            <w:pPr>
              <w:spacing w:line="360" w:lineRule="auto"/>
              <w:jc w:val="center"/>
              <w:rPr>
                <w:rFonts w:ascii="宋体" w:hAnsi="宋体"/>
                <w:color w:val="auto"/>
                <w:sz w:val="20"/>
                <w:szCs w:val="20"/>
              </w:rPr>
            </w:pPr>
            <w:r>
              <w:rPr>
                <w:rFonts w:hint="eastAsia" w:ascii="宋体" w:hAnsi="宋体"/>
                <w:color w:val="auto"/>
                <w:sz w:val="20"/>
                <w:szCs w:val="20"/>
              </w:rPr>
              <w:t>220</w:t>
            </w:r>
          </w:p>
        </w:tc>
        <w:tc>
          <w:tcPr>
            <w:tcW w:w="974" w:type="dxa"/>
            <w:vMerge w:val="restart"/>
            <w:vAlign w:val="center"/>
          </w:tcPr>
          <w:p>
            <w:pPr>
              <w:spacing w:line="360" w:lineRule="auto"/>
              <w:jc w:val="center"/>
              <w:rPr>
                <w:rFonts w:ascii="宋体" w:hAnsi="宋体"/>
                <w:color w:val="auto"/>
                <w:sz w:val="20"/>
                <w:szCs w:val="20"/>
              </w:rPr>
            </w:pPr>
            <w:r>
              <w:rPr>
                <w:rFonts w:hint="eastAsia" w:ascii="宋体" w:hAnsi="宋体"/>
                <w:color w:val="auto"/>
                <w:sz w:val="20"/>
                <w:szCs w:val="20"/>
              </w:rPr>
              <w:t>200</w:t>
            </w:r>
          </w:p>
        </w:tc>
        <w:tc>
          <w:tcPr>
            <w:tcW w:w="974" w:type="dxa"/>
            <w:vMerge w:val="restart"/>
            <w:vAlign w:val="center"/>
          </w:tcPr>
          <w:p>
            <w:pPr>
              <w:spacing w:line="360" w:lineRule="auto"/>
              <w:jc w:val="center"/>
              <w:rPr>
                <w:rFonts w:ascii="宋体" w:hAnsi="宋体"/>
                <w:color w:val="auto"/>
                <w:sz w:val="20"/>
                <w:szCs w:val="20"/>
              </w:rPr>
            </w:pPr>
            <w:r>
              <w:rPr>
                <w:rFonts w:hint="eastAsia" w:ascii="宋体" w:hAnsi="宋体"/>
                <w:color w:val="auto"/>
                <w:sz w:val="20"/>
                <w:szCs w:val="20"/>
              </w:rPr>
              <w:t>180</w:t>
            </w:r>
          </w:p>
        </w:tc>
        <w:tc>
          <w:tcPr>
            <w:tcW w:w="979" w:type="dxa"/>
            <w:vMerge w:val="restart"/>
            <w:vAlign w:val="center"/>
          </w:tcPr>
          <w:p>
            <w:pPr>
              <w:spacing w:line="360" w:lineRule="auto"/>
              <w:jc w:val="center"/>
              <w:rPr>
                <w:rFonts w:ascii="宋体" w:hAnsi="宋体"/>
                <w:color w:val="auto"/>
                <w:sz w:val="20"/>
                <w:szCs w:val="20"/>
              </w:rPr>
            </w:pPr>
            <w:r>
              <w:rPr>
                <w:rFonts w:hint="eastAsia" w:ascii="宋体" w:hAnsi="宋体"/>
                <w:color w:val="auto"/>
                <w:sz w:val="20"/>
                <w:szCs w:val="20"/>
              </w:rPr>
              <w:t>150</w:t>
            </w:r>
          </w:p>
        </w:tc>
        <w:tc>
          <w:tcPr>
            <w:tcW w:w="975" w:type="dxa"/>
            <w:vMerge w:val="restart"/>
            <w:vAlign w:val="center"/>
          </w:tcPr>
          <w:p>
            <w:pPr>
              <w:spacing w:line="360" w:lineRule="auto"/>
              <w:jc w:val="center"/>
              <w:rPr>
                <w:rFonts w:ascii="宋体" w:hAnsi="宋体"/>
                <w:color w:val="auto"/>
                <w:sz w:val="20"/>
                <w:szCs w:val="20"/>
              </w:rPr>
            </w:pPr>
            <w:r>
              <w:rPr>
                <w:rFonts w:hint="eastAsia" w:ascii="宋体" w:hAnsi="宋体"/>
                <w:color w:val="auto"/>
                <w:sz w:val="20"/>
                <w:szCs w:val="20"/>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906" w:type="dxa"/>
            <w:vAlign w:val="center"/>
          </w:tcPr>
          <w:p>
            <w:pPr>
              <w:spacing w:line="360" w:lineRule="auto"/>
              <w:jc w:val="center"/>
              <w:rPr>
                <w:rFonts w:ascii="宋体" w:hAnsi="宋体"/>
                <w:color w:val="auto"/>
                <w:sz w:val="20"/>
                <w:szCs w:val="20"/>
              </w:rPr>
            </w:pPr>
            <w:r>
              <w:rPr>
                <w:rFonts w:hint="eastAsia" w:ascii="宋体" w:hAnsi="宋体"/>
                <w:color w:val="auto"/>
                <w:sz w:val="20"/>
                <w:szCs w:val="20"/>
              </w:rPr>
              <w:t>加劲钢板剪力墙</w:t>
            </w:r>
          </w:p>
        </w:tc>
        <w:tc>
          <w:tcPr>
            <w:tcW w:w="914" w:type="dxa"/>
            <w:vMerge w:val="continue"/>
            <w:vAlign w:val="center"/>
          </w:tcPr>
          <w:p>
            <w:pPr>
              <w:spacing w:line="360" w:lineRule="auto"/>
              <w:jc w:val="center"/>
              <w:rPr>
                <w:rFonts w:ascii="宋体" w:hAnsi="宋体"/>
                <w:color w:val="auto"/>
                <w:sz w:val="20"/>
                <w:szCs w:val="20"/>
              </w:rPr>
            </w:pPr>
          </w:p>
        </w:tc>
        <w:tc>
          <w:tcPr>
            <w:tcW w:w="1800" w:type="dxa"/>
            <w:gridSpan w:val="2"/>
            <w:vMerge w:val="continue"/>
            <w:vAlign w:val="center"/>
          </w:tcPr>
          <w:p>
            <w:pPr>
              <w:spacing w:line="360" w:lineRule="auto"/>
              <w:jc w:val="center"/>
              <w:rPr>
                <w:rFonts w:ascii="宋体" w:hAnsi="宋体"/>
                <w:color w:val="auto"/>
                <w:sz w:val="20"/>
                <w:szCs w:val="20"/>
              </w:rPr>
            </w:pPr>
          </w:p>
        </w:tc>
        <w:tc>
          <w:tcPr>
            <w:tcW w:w="974" w:type="dxa"/>
            <w:vMerge w:val="continue"/>
            <w:vAlign w:val="center"/>
          </w:tcPr>
          <w:p>
            <w:pPr>
              <w:spacing w:line="360" w:lineRule="auto"/>
              <w:jc w:val="center"/>
              <w:rPr>
                <w:rFonts w:ascii="宋体" w:hAnsi="宋体"/>
                <w:color w:val="auto"/>
                <w:sz w:val="20"/>
                <w:szCs w:val="20"/>
              </w:rPr>
            </w:pPr>
          </w:p>
        </w:tc>
        <w:tc>
          <w:tcPr>
            <w:tcW w:w="974" w:type="dxa"/>
            <w:vMerge w:val="continue"/>
            <w:vAlign w:val="center"/>
          </w:tcPr>
          <w:p>
            <w:pPr>
              <w:spacing w:line="360" w:lineRule="auto"/>
              <w:jc w:val="center"/>
              <w:rPr>
                <w:rFonts w:ascii="宋体" w:hAnsi="宋体"/>
                <w:color w:val="auto"/>
                <w:sz w:val="20"/>
                <w:szCs w:val="20"/>
              </w:rPr>
            </w:pPr>
          </w:p>
        </w:tc>
        <w:tc>
          <w:tcPr>
            <w:tcW w:w="979" w:type="dxa"/>
            <w:vMerge w:val="continue"/>
            <w:vAlign w:val="center"/>
          </w:tcPr>
          <w:p>
            <w:pPr>
              <w:spacing w:line="360" w:lineRule="auto"/>
              <w:jc w:val="center"/>
              <w:rPr>
                <w:rFonts w:ascii="宋体" w:hAnsi="宋体"/>
                <w:color w:val="auto"/>
                <w:sz w:val="20"/>
                <w:szCs w:val="20"/>
              </w:rPr>
            </w:pPr>
          </w:p>
        </w:tc>
        <w:tc>
          <w:tcPr>
            <w:tcW w:w="975" w:type="dxa"/>
            <w:vMerge w:val="continue"/>
            <w:vAlign w:val="center"/>
          </w:tcPr>
          <w:p>
            <w:pPr>
              <w:spacing w:line="360" w:lineRule="auto"/>
              <w:jc w:val="center"/>
              <w:rPr>
                <w:rFonts w:ascii="宋体" w:hAnsi="宋体"/>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906" w:type="dxa"/>
            <w:vAlign w:val="center"/>
          </w:tcPr>
          <w:p>
            <w:pPr>
              <w:spacing w:line="360" w:lineRule="auto"/>
              <w:jc w:val="center"/>
              <w:rPr>
                <w:rFonts w:ascii="宋体" w:hAnsi="宋体"/>
                <w:color w:val="auto"/>
                <w:sz w:val="20"/>
                <w:szCs w:val="20"/>
              </w:rPr>
            </w:pPr>
            <w:r>
              <w:rPr>
                <w:rFonts w:hint="eastAsia" w:ascii="宋体" w:hAnsi="宋体"/>
                <w:color w:val="auto"/>
                <w:sz w:val="20"/>
                <w:szCs w:val="20"/>
              </w:rPr>
              <w:t>防屈曲钢板剪力墙</w:t>
            </w:r>
          </w:p>
        </w:tc>
        <w:tc>
          <w:tcPr>
            <w:tcW w:w="914" w:type="dxa"/>
            <w:vMerge w:val="continue"/>
            <w:vAlign w:val="center"/>
          </w:tcPr>
          <w:p>
            <w:pPr>
              <w:spacing w:line="360" w:lineRule="auto"/>
              <w:jc w:val="center"/>
              <w:rPr>
                <w:rFonts w:ascii="宋体" w:hAnsi="宋体"/>
                <w:color w:val="auto"/>
                <w:sz w:val="20"/>
                <w:szCs w:val="20"/>
              </w:rPr>
            </w:pPr>
          </w:p>
        </w:tc>
        <w:tc>
          <w:tcPr>
            <w:tcW w:w="1800" w:type="dxa"/>
            <w:gridSpan w:val="2"/>
            <w:vMerge w:val="continue"/>
            <w:vAlign w:val="center"/>
          </w:tcPr>
          <w:p>
            <w:pPr>
              <w:spacing w:line="360" w:lineRule="auto"/>
              <w:jc w:val="center"/>
              <w:rPr>
                <w:rFonts w:ascii="宋体" w:hAnsi="宋体"/>
                <w:color w:val="auto"/>
                <w:sz w:val="20"/>
                <w:szCs w:val="20"/>
              </w:rPr>
            </w:pPr>
          </w:p>
        </w:tc>
        <w:tc>
          <w:tcPr>
            <w:tcW w:w="974" w:type="dxa"/>
            <w:vMerge w:val="continue"/>
            <w:vAlign w:val="center"/>
          </w:tcPr>
          <w:p>
            <w:pPr>
              <w:spacing w:line="360" w:lineRule="auto"/>
              <w:jc w:val="center"/>
              <w:rPr>
                <w:rFonts w:ascii="宋体" w:hAnsi="宋体"/>
                <w:color w:val="auto"/>
                <w:sz w:val="20"/>
                <w:szCs w:val="20"/>
              </w:rPr>
            </w:pPr>
          </w:p>
        </w:tc>
        <w:tc>
          <w:tcPr>
            <w:tcW w:w="974" w:type="dxa"/>
            <w:vMerge w:val="continue"/>
            <w:vAlign w:val="center"/>
          </w:tcPr>
          <w:p>
            <w:pPr>
              <w:spacing w:line="360" w:lineRule="auto"/>
              <w:jc w:val="center"/>
              <w:rPr>
                <w:rFonts w:ascii="宋体" w:hAnsi="宋体"/>
                <w:color w:val="auto"/>
                <w:sz w:val="20"/>
                <w:szCs w:val="20"/>
              </w:rPr>
            </w:pPr>
          </w:p>
        </w:tc>
        <w:tc>
          <w:tcPr>
            <w:tcW w:w="979" w:type="dxa"/>
            <w:vMerge w:val="continue"/>
            <w:vAlign w:val="center"/>
          </w:tcPr>
          <w:p>
            <w:pPr>
              <w:spacing w:line="360" w:lineRule="auto"/>
              <w:jc w:val="center"/>
              <w:rPr>
                <w:rFonts w:ascii="宋体" w:hAnsi="宋体"/>
                <w:color w:val="auto"/>
                <w:sz w:val="20"/>
                <w:szCs w:val="20"/>
              </w:rPr>
            </w:pPr>
          </w:p>
        </w:tc>
        <w:tc>
          <w:tcPr>
            <w:tcW w:w="975" w:type="dxa"/>
            <w:vMerge w:val="continue"/>
            <w:vAlign w:val="center"/>
          </w:tcPr>
          <w:p>
            <w:pPr>
              <w:spacing w:line="360" w:lineRule="auto"/>
              <w:jc w:val="center"/>
              <w:rPr>
                <w:rFonts w:ascii="宋体" w:hAnsi="宋体"/>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6" w:type="dxa"/>
            <w:vAlign w:val="center"/>
          </w:tcPr>
          <w:p>
            <w:pPr>
              <w:spacing w:line="360" w:lineRule="auto"/>
              <w:jc w:val="center"/>
              <w:rPr>
                <w:rFonts w:ascii="宋体" w:hAnsi="宋体"/>
                <w:color w:val="auto"/>
                <w:sz w:val="20"/>
                <w:szCs w:val="20"/>
              </w:rPr>
            </w:pPr>
            <w:r>
              <w:rPr>
                <w:rFonts w:hint="eastAsia" w:ascii="宋体" w:hAnsi="宋体"/>
                <w:color w:val="auto"/>
                <w:sz w:val="20"/>
                <w:szCs w:val="20"/>
              </w:rPr>
              <w:t>钢板组合剪力墙</w:t>
            </w:r>
          </w:p>
        </w:tc>
        <w:tc>
          <w:tcPr>
            <w:tcW w:w="914" w:type="dxa"/>
            <w:vAlign w:val="center"/>
          </w:tcPr>
          <w:p>
            <w:pPr>
              <w:spacing w:line="360" w:lineRule="auto"/>
              <w:jc w:val="center"/>
              <w:rPr>
                <w:rFonts w:ascii="宋体" w:hAnsi="宋体"/>
                <w:color w:val="auto"/>
                <w:sz w:val="20"/>
                <w:szCs w:val="20"/>
              </w:rPr>
            </w:pPr>
            <w:r>
              <w:rPr>
                <w:rFonts w:hint="eastAsia" w:ascii="宋体" w:hAnsi="宋体"/>
                <w:color w:val="auto"/>
                <w:sz w:val="20"/>
                <w:szCs w:val="20"/>
              </w:rPr>
              <w:t>360</w:t>
            </w:r>
          </w:p>
        </w:tc>
        <w:tc>
          <w:tcPr>
            <w:tcW w:w="1800" w:type="dxa"/>
            <w:gridSpan w:val="2"/>
            <w:vAlign w:val="center"/>
          </w:tcPr>
          <w:p>
            <w:pPr>
              <w:spacing w:line="360" w:lineRule="auto"/>
              <w:jc w:val="center"/>
              <w:rPr>
                <w:rFonts w:ascii="宋体" w:hAnsi="宋体"/>
                <w:color w:val="auto"/>
                <w:sz w:val="20"/>
                <w:szCs w:val="20"/>
              </w:rPr>
            </w:pPr>
            <w:r>
              <w:rPr>
                <w:rFonts w:hint="eastAsia" w:ascii="宋体" w:hAnsi="宋体"/>
                <w:color w:val="auto"/>
                <w:sz w:val="20"/>
                <w:szCs w:val="20"/>
              </w:rPr>
              <w:t>300</w:t>
            </w:r>
          </w:p>
        </w:tc>
        <w:tc>
          <w:tcPr>
            <w:tcW w:w="974" w:type="dxa"/>
            <w:vAlign w:val="center"/>
          </w:tcPr>
          <w:p>
            <w:pPr>
              <w:spacing w:line="360" w:lineRule="auto"/>
              <w:jc w:val="center"/>
              <w:rPr>
                <w:rFonts w:ascii="宋体" w:hAnsi="宋体"/>
                <w:color w:val="auto"/>
                <w:sz w:val="20"/>
                <w:szCs w:val="20"/>
              </w:rPr>
            </w:pPr>
            <w:r>
              <w:rPr>
                <w:rFonts w:hint="eastAsia" w:ascii="宋体" w:hAnsi="宋体"/>
                <w:color w:val="auto"/>
                <w:sz w:val="20"/>
                <w:szCs w:val="20"/>
              </w:rPr>
              <w:t>260</w:t>
            </w:r>
          </w:p>
        </w:tc>
        <w:tc>
          <w:tcPr>
            <w:tcW w:w="974" w:type="dxa"/>
            <w:vAlign w:val="center"/>
          </w:tcPr>
          <w:p>
            <w:pPr>
              <w:spacing w:line="360" w:lineRule="auto"/>
              <w:jc w:val="center"/>
              <w:rPr>
                <w:rFonts w:ascii="宋体" w:hAnsi="宋体"/>
                <w:color w:val="auto"/>
                <w:sz w:val="20"/>
                <w:szCs w:val="20"/>
              </w:rPr>
            </w:pPr>
            <w:r>
              <w:rPr>
                <w:rFonts w:hint="eastAsia" w:ascii="宋体" w:hAnsi="宋体"/>
                <w:color w:val="auto"/>
                <w:sz w:val="20"/>
                <w:szCs w:val="20"/>
              </w:rPr>
              <w:t>240</w:t>
            </w:r>
          </w:p>
        </w:tc>
        <w:tc>
          <w:tcPr>
            <w:tcW w:w="979" w:type="dxa"/>
            <w:vAlign w:val="center"/>
          </w:tcPr>
          <w:p>
            <w:pPr>
              <w:spacing w:line="360" w:lineRule="auto"/>
              <w:jc w:val="center"/>
              <w:rPr>
                <w:rFonts w:ascii="宋体" w:hAnsi="宋体"/>
                <w:color w:val="auto"/>
                <w:sz w:val="20"/>
                <w:szCs w:val="20"/>
              </w:rPr>
            </w:pPr>
            <w:r>
              <w:rPr>
                <w:rFonts w:hint="eastAsia" w:ascii="宋体" w:hAnsi="宋体"/>
                <w:color w:val="auto"/>
                <w:sz w:val="20"/>
                <w:szCs w:val="20"/>
              </w:rPr>
              <w:t>220</w:t>
            </w:r>
          </w:p>
        </w:tc>
        <w:tc>
          <w:tcPr>
            <w:tcW w:w="975" w:type="dxa"/>
            <w:vAlign w:val="center"/>
          </w:tcPr>
          <w:p>
            <w:pPr>
              <w:spacing w:line="360" w:lineRule="auto"/>
              <w:jc w:val="center"/>
              <w:rPr>
                <w:rFonts w:ascii="宋体" w:hAnsi="宋体"/>
                <w:color w:val="auto"/>
                <w:sz w:val="20"/>
                <w:szCs w:val="20"/>
              </w:rPr>
            </w:pPr>
            <w:r>
              <w:rPr>
                <w:rFonts w:hint="eastAsia" w:ascii="宋体" w:hAnsi="宋体"/>
                <w:color w:val="auto"/>
                <w:sz w:val="20"/>
                <w:szCs w:val="2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6" w:type="dxa"/>
            <w:vAlign w:val="center"/>
          </w:tcPr>
          <w:p>
            <w:pPr>
              <w:spacing w:line="360" w:lineRule="auto"/>
              <w:jc w:val="center"/>
              <w:rPr>
                <w:rFonts w:ascii="宋体" w:hAnsi="宋体"/>
                <w:color w:val="auto"/>
                <w:sz w:val="20"/>
                <w:szCs w:val="20"/>
              </w:rPr>
            </w:pPr>
            <w:r>
              <w:rPr>
                <w:rFonts w:hint="eastAsia" w:ascii="宋体" w:hAnsi="宋体"/>
                <w:color w:val="auto"/>
                <w:sz w:val="20"/>
                <w:szCs w:val="20"/>
              </w:rPr>
              <w:t>开缝钢板剪力墙</w:t>
            </w:r>
          </w:p>
        </w:tc>
        <w:tc>
          <w:tcPr>
            <w:tcW w:w="914" w:type="dxa"/>
            <w:vAlign w:val="center"/>
          </w:tcPr>
          <w:p>
            <w:pPr>
              <w:spacing w:line="360" w:lineRule="auto"/>
              <w:jc w:val="center"/>
              <w:rPr>
                <w:rFonts w:ascii="宋体" w:hAnsi="宋体"/>
                <w:color w:val="auto"/>
                <w:sz w:val="20"/>
                <w:szCs w:val="20"/>
              </w:rPr>
            </w:pPr>
            <w:r>
              <w:rPr>
                <w:rFonts w:hint="eastAsia" w:ascii="宋体" w:hAnsi="宋体"/>
                <w:color w:val="auto"/>
                <w:sz w:val="20"/>
                <w:szCs w:val="20"/>
              </w:rPr>
              <w:t>110</w:t>
            </w:r>
          </w:p>
        </w:tc>
        <w:tc>
          <w:tcPr>
            <w:tcW w:w="1800" w:type="dxa"/>
            <w:gridSpan w:val="2"/>
            <w:vAlign w:val="center"/>
          </w:tcPr>
          <w:p>
            <w:pPr>
              <w:spacing w:line="360" w:lineRule="auto"/>
              <w:jc w:val="center"/>
              <w:rPr>
                <w:rFonts w:ascii="宋体" w:hAnsi="宋体"/>
                <w:color w:val="auto"/>
                <w:sz w:val="20"/>
                <w:szCs w:val="20"/>
              </w:rPr>
            </w:pPr>
            <w:r>
              <w:rPr>
                <w:rFonts w:hint="eastAsia" w:ascii="宋体" w:hAnsi="宋体"/>
                <w:color w:val="auto"/>
                <w:sz w:val="20"/>
                <w:szCs w:val="20"/>
              </w:rPr>
              <w:t>110</w:t>
            </w:r>
          </w:p>
        </w:tc>
        <w:tc>
          <w:tcPr>
            <w:tcW w:w="974" w:type="dxa"/>
            <w:vAlign w:val="center"/>
          </w:tcPr>
          <w:p>
            <w:pPr>
              <w:spacing w:line="360" w:lineRule="auto"/>
              <w:jc w:val="center"/>
              <w:rPr>
                <w:rFonts w:ascii="宋体" w:hAnsi="宋体"/>
                <w:color w:val="auto"/>
                <w:sz w:val="20"/>
                <w:szCs w:val="20"/>
              </w:rPr>
            </w:pPr>
            <w:r>
              <w:rPr>
                <w:rFonts w:hint="eastAsia" w:ascii="宋体" w:hAnsi="宋体"/>
                <w:color w:val="auto"/>
                <w:sz w:val="20"/>
                <w:szCs w:val="20"/>
              </w:rPr>
              <w:t>90</w:t>
            </w:r>
          </w:p>
        </w:tc>
        <w:tc>
          <w:tcPr>
            <w:tcW w:w="974" w:type="dxa"/>
            <w:vAlign w:val="center"/>
          </w:tcPr>
          <w:p>
            <w:pPr>
              <w:spacing w:line="360" w:lineRule="auto"/>
              <w:jc w:val="center"/>
              <w:rPr>
                <w:rFonts w:ascii="宋体" w:hAnsi="宋体"/>
                <w:color w:val="auto"/>
                <w:sz w:val="20"/>
                <w:szCs w:val="20"/>
              </w:rPr>
            </w:pPr>
            <w:r>
              <w:rPr>
                <w:rFonts w:hint="eastAsia" w:ascii="宋体" w:hAnsi="宋体"/>
                <w:color w:val="auto"/>
                <w:sz w:val="20"/>
                <w:szCs w:val="20"/>
              </w:rPr>
              <w:t>90</w:t>
            </w:r>
          </w:p>
        </w:tc>
        <w:tc>
          <w:tcPr>
            <w:tcW w:w="979" w:type="dxa"/>
            <w:vAlign w:val="center"/>
          </w:tcPr>
          <w:p>
            <w:pPr>
              <w:spacing w:line="360" w:lineRule="auto"/>
              <w:jc w:val="center"/>
              <w:rPr>
                <w:rFonts w:ascii="宋体" w:hAnsi="宋体"/>
                <w:color w:val="auto"/>
                <w:sz w:val="20"/>
                <w:szCs w:val="20"/>
              </w:rPr>
            </w:pPr>
            <w:r>
              <w:rPr>
                <w:rFonts w:hint="eastAsia" w:ascii="宋体" w:hAnsi="宋体"/>
                <w:color w:val="auto"/>
                <w:sz w:val="20"/>
                <w:szCs w:val="20"/>
              </w:rPr>
              <w:t>70</w:t>
            </w:r>
          </w:p>
        </w:tc>
        <w:tc>
          <w:tcPr>
            <w:tcW w:w="975" w:type="dxa"/>
            <w:vAlign w:val="center"/>
          </w:tcPr>
          <w:p>
            <w:pPr>
              <w:spacing w:line="360" w:lineRule="auto"/>
              <w:jc w:val="center"/>
              <w:rPr>
                <w:rFonts w:ascii="宋体" w:hAnsi="宋体"/>
                <w:color w:val="auto"/>
                <w:sz w:val="20"/>
                <w:szCs w:val="20"/>
              </w:rPr>
            </w:pPr>
            <w:r>
              <w:rPr>
                <w:rFonts w:hint="eastAsia" w:ascii="宋体" w:hAnsi="宋体"/>
                <w:color w:val="auto"/>
                <w:sz w:val="20"/>
                <w:szCs w:val="20"/>
              </w:rPr>
              <w:t>50</w:t>
            </w:r>
          </w:p>
        </w:tc>
      </w:tr>
    </w:tbl>
    <w:p>
      <w:pPr>
        <w:widowControl/>
        <w:spacing w:line="360" w:lineRule="auto"/>
        <w:rPr>
          <w:color w:val="0070C0"/>
          <w:kern w:val="2"/>
        </w:rPr>
      </w:pPr>
      <w:r>
        <w:rPr>
          <w:rFonts w:hint="eastAsia" w:ascii="宋体" w:hAnsi="宋体" w:cs="黑体"/>
          <w:b/>
          <w:color w:val="auto"/>
        </w:rPr>
        <w:t>【条文说明】：</w:t>
      </w:r>
      <w:r>
        <w:rPr>
          <w:rFonts w:hint="eastAsia"/>
          <w:color w:val="0070C0"/>
          <w:kern w:val="2"/>
        </w:rPr>
        <w:t>钢框架—钢板剪力墙结构体系中，钢板剪力墙结构单元由内嵌钢板及边缘构件（梁、柱）组成，其内嵌钢板与框架的连接一般由鱼尾板过渡，即预先将鱼尾板与框架焊接，内嵌钢板再与鱼尾板焊接或栓接。当内嵌钢板沿结构某跨连续布置时，即形成钢板剪力墙体系。钢板剪力墙抵抗水平荷载主要通过墙板的拉力带和邻接柱子的抗倾覆力，整体受力特性类似于底端固接的竖向悬臂板梁：竖向边缘构件相当于翼缘，内嵌钢板相当于腹板；水平边缘构件则可近似等效为横向加劲肋。因为钢板是嵌入框架来参与抗侧移，一般不能脱离框架而独立地做成剪力墙。</w:t>
      </w:r>
    </w:p>
    <w:p>
      <w:pPr>
        <w:widowControl/>
        <w:spacing w:line="360" w:lineRule="auto"/>
        <w:rPr>
          <w:color w:val="0070C0"/>
          <w:kern w:val="2"/>
        </w:rPr>
      </w:pPr>
      <w:r>
        <w:rPr>
          <w:rFonts w:hint="eastAsia"/>
          <w:color w:val="0070C0"/>
          <w:kern w:val="2"/>
        </w:rPr>
        <w:t>根据内嵌钢板高厚比的不同，可将钢板剪力墙分为薄钢板剪力墙和厚钢板剪力墙。目前，国内外已有的试验研究和理论分析表明，薄钢板剪力墙性能上存在一些不足：往复水平荷载作用下，薄钢板墙经历面外鼓曲变形再到拉平的循环过程，滞回曲线存在明显的“捏缩”现象，且其屈曲荷载较低，耗能能力不强，且屈曲变形时伴有明显噪音和震颤，边框构件在附加弯矩作用下易提早发生破坏。而厚钢板剪力墙虽然刚度大、承载力高，滞回耗能理想，但是其耗钢量大且安装施工不方便，发展受到了较大的制约。为改善薄钢板面外变形过大带来的抗震性能不足，需要采取合理的构造方式抑制钢板墙的面外屈曲变形，通过大量的项目实践，目前较为有效主要为增设冷弯薄壁型钢约束龙骨、焊接加劲肋约束等措施，这些约束方式不同程度地改善了结构的耗能能力。</w:t>
      </w:r>
    </w:p>
    <w:p>
      <w:pPr>
        <w:widowControl/>
        <w:spacing w:line="360" w:lineRule="auto"/>
        <w:rPr>
          <w:color w:val="auto"/>
          <w:kern w:val="2"/>
          <w:sz w:val="24"/>
          <w:szCs w:val="24"/>
        </w:rPr>
      </w:pPr>
      <w:r>
        <w:rPr>
          <w:rFonts w:hint="eastAsia"/>
          <w:color w:val="0070C0"/>
          <w:kern w:val="2"/>
        </w:rPr>
        <w:t>钢板剪力墙试验和理论研究成果是基于钢板剪力墙承受水平荷载的基础上获得的。欧美日等国的抗震设计规范中，对钢板剪力墙的要求是不承担竖向荷载。建议整个结构按钢板剪力墙不承受竖向荷载进行设计分析，并采取连接构造和施工措施予以实现。当实际情况不宜实现时，设置了钢板剪力墙开间的框架梁和柱，不能因为钢板剪力墙承担了竖向荷载而减小截面。这样，即使钢板剪力墙发生了屈曲，框架梁和柱也能够承担竖向荷载，从而限制钢板剪力墙屈曲变形的发展。</w:t>
      </w:r>
    </w:p>
    <w:p>
      <w:pPr>
        <w:widowControl/>
        <w:spacing w:line="360" w:lineRule="auto"/>
        <w:rPr>
          <w:color w:val="auto"/>
          <w:kern w:val="2"/>
          <w:sz w:val="24"/>
          <w:szCs w:val="24"/>
        </w:rPr>
      </w:pPr>
      <w:r>
        <w:rPr>
          <w:b/>
          <w:bCs/>
          <w:color w:val="auto"/>
          <w:kern w:val="2"/>
          <w:sz w:val="24"/>
          <w:szCs w:val="24"/>
        </w:rPr>
        <w:t xml:space="preserve">6.2.5 </w:t>
      </w:r>
      <w:r>
        <w:rPr>
          <w:rFonts w:hint="eastAsia"/>
          <w:color w:val="auto"/>
          <w:kern w:val="2"/>
          <w:sz w:val="24"/>
          <w:szCs w:val="24"/>
        </w:rPr>
        <w:t>异形柱结构设计应符合下列规定：</w:t>
      </w:r>
    </w:p>
    <w:p>
      <w:pPr>
        <w:widowControl/>
        <w:spacing w:line="360" w:lineRule="auto"/>
        <w:ind w:firstLine="240" w:firstLineChars="100"/>
        <w:rPr>
          <w:color w:val="auto"/>
          <w:kern w:val="2"/>
          <w:sz w:val="24"/>
          <w:szCs w:val="24"/>
        </w:rPr>
      </w:pPr>
      <w:r>
        <w:rPr>
          <w:rFonts w:hint="eastAsia"/>
          <w:color w:val="auto"/>
          <w:kern w:val="2"/>
          <w:sz w:val="24"/>
          <w:szCs w:val="24"/>
        </w:rPr>
        <w:t>1方钢管混凝土组合异形柱结构的设计、施工与验收，除应符合本标准外，尚应符合国家、行业和有关专门标准的规定。</w:t>
      </w:r>
    </w:p>
    <w:p>
      <w:pPr>
        <w:widowControl/>
        <w:spacing w:line="360" w:lineRule="auto"/>
        <w:ind w:firstLine="240" w:firstLineChars="100"/>
        <w:rPr>
          <w:color w:val="auto"/>
          <w:kern w:val="2"/>
          <w:sz w:val="24"/>
          <w:szCs w:val="24"/>
        </w:rPr>
      </w:pPr>
      <w:r>
        <w:rPr>
          <w:rFonts w:hint="eastAsia"/>
          <w:color w:val="auto"/>
          <w:kern w:val="2"/>
          <w:sz w:val="24"/>
          <w:szCs w:val="24"/>
        </w:rPr>
        <w:t>2方钢管混凝土异形柱体系包括由组合异形柱和钢梁为主要构件组成的框架结构、框架支撑（延性墙板）结构和框架-混凝土剪力墙结构。</w:t>
      </w:r>
    </w:p>
    <w:p>
      <w:pPr>
        <w:widowControl/>
        <w:spacing w:line="360" w:lineRule="auto"/>
        <w:rPr>
          <w:color w:val="0070C0"/>
          <w:kern w:val="2"/>
        </w:rPr>
      </w:pPr>
      <w:r>
        <w:rPr>
          <w:rFonts w:hint="eastAsia" w:ascii="宋体" w:hAnsi="宋体" w:cs="黑体"/>
          <w:b/>
          <w:color w:val="auto"/>
        </w:rPr>
        <w:t>【条文说明】：</w:t>
      </w:r>
      <w:r>
        <w:rPr>
          <w:rFonts w:hint="eastAsia"/>
          <w:color w:val="0070C0"/>
          <w:kern w:val="2"/>
        </w:rPr>
        <w:t>为避免住宅室内凸梁漏柱，可采用由方钢管混凝土组合异形柱和钢梁为主要构件组成的框架结构、框架支撑（延性墙板）结构和框架-混凝土剪力墙结构。</w:t>
      </w:r>
    </w:p>
    <w:p>
      <w:pPr>
        <w:widowControl/>
        <w:spacing w:line="360" w:lineRule="auto"/>
        <w:ind w:firstLine="240" w:firstLineChars="100"/>
        <w:rPr>
          <w:color w:val="auto"/>
          <w:kern w:val="2"/>
          <w:sz w:val="24"/>
          <w:szCs w:val="24"/>
        </w:rPr>
      </w:pPr>
      <w:r>
        <w:rPr>
          <w:rFonts w:hint="eastAsia"/>
          <w:color w:val="auto"/>
          <w:kern w:val="2"/>
          <w:sz w:val="24"/>
          <w:szCs w:val="24"/>
        </w:rPr>
        <w:t>3按照弹性方法计算时，方钢管混凝土组合异形柱框架结构、框架-支撑结构、框架-延性墙板结构在风荷载和多遇地震作用下的楼层层间最大水平位移与层高之比不宜大于1/400，；当采用有较高变形限制的非结构构件和装饰材料时，层间相对位移与层高之比应从严控制；当非结构构件和装饰材料采用延性材料或柔性连接时，则可适当增大。</w:t>
      </w:r>
    </w:p>
    <w:p>
      <w:pPr>
        <w:pStyle w:val="3"/>
        <w:spacing w:line="360" w:lineRule="auto"/>
        <w:jc w:val="center"/>
        <w:rPr>
          <w:rFonts w:ascii="Times New Roman" w:hAnsi="Times New Roman" w:eastAsia="宋体" w:cs="Times New Roman"/>
          <w:color w:val="auto"/>
          <w:sz w:val="28"/>
          <w:szCs w:val="28"/>
        </w:rPr>
      </w:pPr>
      <w:bookmarkStart w:id="35" w:name="_Toc76376958"/>
      <w:bookmarkStart w:id="36" w:name="_Toc69283559"/>
      <w:bookmarkStart w:id="37" w:name="_Toc103958753"/>
      <w:r>
        <w:rPr>
          <w:rFonts w:ascii="Times New Roman" w:hAnsi="Times New Roman" w:eastAsia="宋体" w:cs="Times New Roman"/>
          <w:color w:val="auto"/>
          <w:sz w:val="28"/>
          <w:szCs w:val="28"/>
        </w:rPr>
        <w:t>6</w:t>
      </w:r>
      <w:r>
        <w:rPr>
          <w:rFonts w:hint="eastAsia" w:ascii="Times New Roman" w:hAnsi="Times New Roman" w:eastAsia="宋体" w:cs="Times New Roman"/>
          <w:color w:val="auto"/>
          <w:sz w:val="28"/>
          <w:szCs w:val="28"/>
        </w:rPr>
        <w:t>.3</w:t>
      </w:r>
      <w:r>
        <w:rPr>
          <w:rFonts w:ascii="Times New Roman" w:hAnsi="Times New Roman" w:eastAsia="宋体" w:cs="Times New Roman"/>
          <w:color w:val="auto"/>
          <w:sz w:val="28"/>
          <w:szCs w:val="28"/>
        </w:rPr>
        <w:t xml:space="preserve">  </w:t>
      </w:r>
      <w:bookmarkEnd w:id="35"/>
      <w:bookmarkEnd w:id="36"/>
      <w:r>
        <w:rPr>
          <w:rFonts w:hint="eastAsia" w:ascii="Times New Roman" w:hAnsi="Times New Roman" w:eastAsia="宋体" w:cs="Times New Roman"/>
          <w:color w:val="auto"/>
          <w:sz w:val="28"/>
          <w:szCs w:val="28"/>
        </w:rPr>
        <w:t>节点与连接</w:t>
      </w:r>
      <w:bookmarkEnd w:id="37"/>
    </w:p>
    <w:p>
      <w:pPr>
        <w:spacing w:line="360" w:lineRule="auto"/>
        <w:rPr>
          <w:rFonts w:ascii="宋体" w:hAnsi="宋体"/>
          <w:b/>
          <w:bCs/>
          <w:color w:val="auto"/>
          <w:sz w:val="24"/>
          <w:szCs w:val="24"/>
        </w:rPr>
      </w:pPr>
      <w:bookmarkStart w:id="38" w:name="_Hlk65366398"/>
      <w:r>
        <w:rPr>
          <w:b/>
          <w:bCs/>
          <w:color w:val="auto"/>
          <w:kern w:val="2"/>
          <w:sz w:val="24"/>
          <w:szCs w:val="24"/>
        </w:rPr>
        <w:t>6.3.1</w:t>
      </w:r>
      <w:r>
        <w:rPr>
          <w:rFonts w:ascii="宋体" w:hAnsi="宋体"/>
          <w:b/>
          <w:bCs/>
          <w:color w:val="auto"/>
        </w:rPr>
        <w:t xml:space="preserve"> </w:t>
      </w:r>
      <w:r>
        <w:rPr>
          <w:rFonts w:hint="eastAsia" w:ascii="宋体" w:hAnsi="宋体"/>
          <w:color w:val="auto"/>
          <w:sz w:val="24"/>
          <w:szCs w:val="24"/>
        </w:rPr>
        <w:t>冷弯薄壁型钢结构体系的节点连接应符合下列规定：</w:t>
      </w:r>
    </w:p>
    <w:bookmarkEnd w:id="38"/>
    <w:p>
      <w:pPr>
        <w:spacing w:line="360" w:lineRule="auto"/>
        <w:ind w:firstLine="480" w:firstLineChars="200"/>
        <w:rPr>
          <w:rFonts w:ascii="宋体" w:hAnsi="宋体"/>
          <w:color w:val="auto"/>
          <w:sz w:val="24"/>
          <w:szCs w:val="24"/>
        </w:rPr>
      </w:pPr>
      <w:bookmarkStart w:id="39" w:name="_Hlk65364543"/>
      <w:r>
        <w:rPr>
          <w:rFonts w:hint="eastAsia" w:ascii="宋体" w:hAnsi="宋体"/>
          <w:color w:val="auto"/>
          <w:sz w:val="24"/>
          <w:szCs w:val="24"/>
        </w:rPr>
        <w:t>1冷弯薄壁型钢结构体系的节点连接应符合《低层冷弯薄壁型钢房屋建筑技术规程》JGJ 227、《冷弯薄壁型钢多层住宅技术标准》JGJ/T 421的规定。</w:t>
      </w:r>
    </w:p>
    <w:p>
      <w:pPr>
        <w:spacing w:line="360" w:lineRule="auto"/>
        <w:ind w:firstLine="480" w:firstLineChars="200"/>
        <w:rPr>
          <w:rFonts w:ascii="宋体" w:hAnsi="宋体"/>
          <w:color w:val="auto"/>
          <w:sz w:val="24"/>
          <w:szCs w:val="24"/>
        </w:rPr>
      </w:pPr>
      <w:r>
        <w:rPr>
          <w:rFonts w:hint="eastAsia" w:ascii="宋体" w:hAnsi="宋体"/>
          <w:color w:val="auto"/>
          <w:sz w:val="24"/>
          <w:szCs w:val="24"/>
        </w:rPr>
        <w:t>2冷弯薄壁型钢低多层住宅宜选用标准化通用化的节点设计形式，各连接节点宜采用自攻螺钉或螺栓连接，不宜采用焊接的连接做法。</w:t>
      </w:r>
    </w:p>
    <w:p>
      <w:pPr>
        <w:spacing w:line="360" w:lineRule="auto"/>
        <w:ind w:firstLine="480" w:firstLineChars="200"/>
        <w:rPr>
          <w:rFonts w:ascii="宋体" w:hAnsi="宋体"/>
          <w:color w:val="auto"/>
          <w:sz w:val="24"/>
          <w:szCs w:val="24"/>
        </w:rPr>
      </w:pPr>
      <w:r>
        <w:rPr>
          <w:rFonts w:hint="eastAsia" w:ascii="宋体" w:hAnsi="宋体"/>
          <w:color w:val="auto"/>
          <w:sz w:val="24"/>
          <w:szCs w:val="24"/>
        </w:rPr>
        <w:t>3 钢板之间的连接应采用自钻自攻钉，螺钉规格不应小于ST4.2，螺钉应从较薄钢板的一侧穿入；钢板与其他板材之间的连接应采用自攻螺钉，螺钉规格不应小于ST3.5。螺钉应穿透所有被连接的构件，且在连接钢板外露出不应少于3个螺纹的长度（图6.3.1）。螺钉中心距、端距和边距不得小于其直径的3倍。</w:t>
      </w:r>
    </w:p>
    <w:p>
      <w:pPr>
        <w:spacing w:line="360" w:lineRule="auto"/>
        <w:ind w:firstLine="480" w:firstLineChars="200"/>
        <w:rPr>
          <w:rFonts w:ascii="宋体" w:hAnsi="宋体"/>
          <w:color w:val="auto"/>
          <w:sz w:val="24"/>
          <w:szCs w:val="24"/>
        </w:rPr>
      </w:pPr>
      <w:r>
        <w:rPr>
          <w:rFonts w:ascii="宋体" w:hAnsi="宋体"/>
          <w:color w:val="auto"/>
          <w:sz w:val="24"/>
          <w:szCs w:val="24"/>
        </w:rPr>
        <w:t xml:space="preserve"> </w:t>
      </w:r>
      <w:r>
        <w:drawing>
          <wp:inline distT="0" distB="0" distL="0" distR="0">
            <wp:extent cx="5266690" cy="168973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66690" cy="1689735"/>
                    </a:xfrm>
                    <a:prstGeom prst="rect">
                      <a:avLst/>
                    </a:prstGeom>
                    <a:noFill/>
                    <a:ln>
                      <a:noFill/>
                    </a:ln>
                  </pic:spPr>
                </pic:pic>
              </a:graphicData>
            </a:graphic>
          </wp:inline>
        </w:drawing>
      </w:r>
    </w:p>
    <w:p>
      <w:pPr>
        <w:spacing w:line="360" w:lineRule="auto"/>
        <w:ind w:firstLine="480" w:firstLineChars="200"/>
        <w:jc w:val="center"/>
        <w:rPr>
          <w:rFonts w:ascii="宋体" w:hAnsi="宋体"/>
          <w:color w:val="auto"/>
          <w:sz w:val="24"/>
          <w:szCs w:val="24"/>
        </w:rPr>
      </w:pPr>
      <w:r>
        <w:rPr>
          <w:rFonts w:hint="eastAsia" w:ascii="宋体" w:hAnsi="宋体"/>
          <w:color w:val="auto"/>
          <w:sz w:val="24"/>
          <w:szCs w:val="24"/>
        </w:rPr>
        <w:t>图6.3.1-1 螺钉连接示意</w:t>
      </w:r>
    </w:p>
    <w:p>
      <w:pPr>
        <w:spacing w:line="360" w:lineRule="auto"/>
        <w:ind w:firstLine="480" w:firstLineChars="200"/>
        <w:jc w:val="center"/>
        <w:rPr>
          <w:rFonts w:ascii="宋体" w:hAnsi="宋体"/>
          <w:color w:val="auto"/>
          <w:sz w:val="24"/>
          <w:szCs w:val="24"/>
        </w:rPr>
      </w:pPr>
      <w:r>
        <w:rPr>
          <w:rFonts w:hint="eastAsia" w:ascii="宋体" w:hAnsi="宋体"/>
          <w:color w:val="auto"/>
          <w:sz w:val="24"/>
          <w:szCs w:val="24"/>
        </w:rPr>
        <w:t>1-至少3个螺纹；2-从较薄板到较厚板</w:t>
      </w:r>
    </w:p>
    <w:bookmarkEnd w:id="39"/>
    <w:p>
      <w:pPr>
        <w:spacing w:line="360" w:lineRule="auto"/>
        <w:rPr>
          <w:color w:val="0070C0"/>
          <w:kern w:val="2"/>
        </w:rPr>
      </w:pPr>
      <w:bookmarkStart w:id="40" w:name="_Hlk65371735"/>
      <w:r>
        <w:rPr>
          <w:rFonts w:hint="eastAsia" w:ascii="宋体" w:hAnsi="宋体" w:cs="黑体"/>
          <w:b/>
          <w:color w:val="auto"/>
        </w:rPr>
        <w:t>【条文说明】：</w:t>
      </w:r>
      <w:r>
        <w:rPr>
          <w:rFonts w:hint="eastAsia"/>
          <w:color w:val="0070C0"/>
          <w:kern w:val="2"/>
        </w:rPr>
        <w:t>为有效规范冷弯薄壁型钢建筑市场，有效保证工程质量，提供工业化水平，节点设计时应采用标准化通用化的连接形式，节点连接可参考《冷弯薄壁型钢多层房屋技术图集》20JG502相关典型节点与构造做法。</w:t>
      </w:r>
    </w:p>
    <w:p>
      <w:pPr>
        <w:spacing w:line="360" w:lineRule="auto"/>
        <w:rPr>
          <w:b/>
          <w:bCs/>
          <w:color w:val="auto"/>
          <w:kern w:val="2"/>
          <w:sz w:val="24"/>
          <w:szCs w:val="24"/>
        </w:rPr>
      </w:pPr>
      <w:r>
        <w:rPr>
          <w:rFonts w:hint="eastAsia"/>
          <w:color w:val="0070C0"/>
          <w:kern w:val="2"/>
        </w:rPr>
        <w:t>冷弯薄壁型结构体系结构骨架的基本构件主要为镀锌或镀铝锌冷弯薄壁C形钢和U形钢两类，节点连接时宜选用机械连接的节点形式，对于连接开孔处可不做防腐处理，因为开孔后，断面附近防腐镀层会发生电化学反应，镀层将自动延伸数毫米至开孔断面暴露区域，对该区域进行防腐保护（又称之为电化学保护），而采用焊接连接时，由于冷弯薄壁型钢构件厚度较小（一般≤2mm）易导致焊接穿孔以及表面防腐涂层的破坏，导致结构安全性能降低以及成本的增加，而确实需要采用焊接连接时应采取有效的措施保证节点设计安全可靠性能，同时对于构件表面镀层破坏缺损的部位及时采取可靠的方式进行处理。</w:t>
      </w:r>
    </w:p>
    <w:p>
      <w:pPr>
        <w:spacing w:line="360" w:lineRule="auto"/>
        <w:rPr>
          <w:rFonts w:ascii="宋体" w:hAnsi="宋体"/>
          <w:color w:val="auto"/>
          <w:sz w:val="24"/>
          <w:szCs w:val="24"/>
        </w:rPr>
      </w:pPr>
      <w:r>
        <w:rPr>
          <w:b/>
          <w:bCs/>
          <w:color w:val="auto"/>
          <w:kern w:val="2"/>
          <w:sz w:val="24"/>
          <w:szCs w:val="24"/>
        </w:rPr>
        <w:t>6.3.2</w:t>
      </w:r>
      <w:r>
        <w:rPr>
          <w:rFonts w:hint="eastAsia" w:ascii="宋体" w:hAnsi="宋体"/>
          <w:color w:val="auto"/>
          <w:sz w:val="24"/>
          <w:szCs w:val="24"/>
        </w:rPr>
        <w:t>钢框架和钢框架—支撑结构体系的节点连接应符合下列规定：</w:t>
      </w:r>
    </w:p>
    <w:p>
      <w:pPr>
        <w:autoSpaceDN w:val="0"/>
        <w:spacing w:line="360" w:lineRule="auto"/>
        <w:ind w:firstLine="482"/>
        <w:rPr>
          <w:rFonts w:ascii="宋体" w:hAnsi="宋体"/>
          <w:color w:val="auto"/>
          <w:sz w:val="24"/>
          <w:szCs w:val="24"/>
        </w:rPr>
      </w:pPr>
      <w:r>
        <w:rPr>
          <w:rFonts w:ascii="宋体" w:hAnsi="宋体"/>
          <w:color w:val="auto"/>
          <w:sz w:val="24"/>
          <w:szCs w:val="24"/>
        </w:rPr>
        <w:t>1  多、高层钢框架、钢框架-支撑结构的节点与连接设计应符合现行国家标准《钢结构设计标准》GB50017、《建筑抗震设计规范》GB 50011及现行行业标准《高层民用建筑钢结构技术规程》JGJ 99 等标准 的规定；当柱采用钢管混凝土柱时，尚应符合现行国家标准《钢 管混凝土结构技术规范》GB50936的规定。</w:t>
      </w:r>
    </w:p>
    <w:p>
      <w:pPr>
        <w:autoSpaceDN w:val="0"/>
        <w:spacing w:line="360" w:lineRule="auto"/>
        <w:ind w:firstLine="482"/>
        <w:rPr>
          <w:rFonts w:ascii="宋体" w:hAnsi="宋体"/>
          <w:color w:val="auto"/>
          <w:sz w:val="24"/>
          <w:szCs w:val="24"/>
        </w:rPr>
      </w:pPr>
      <w:r>
        <w:rPr>
          <w:rFonts w:ascii="宋体" w:hAnsi="宋体"/>
          <w:color w:val="auto"/>
          <w:sz w:val="24"/>
          <w:szCs w:val="24"/>
        </w:rPr>
        <w:t>2  框架梁与柱的连接构造应符合下列要求：</w:t>
      </w:r>
    </w:p>
    <w:p>
      <w:pPr>
        <w:autoSpaceDN w:val="0"/>
        <w:spacing w:line="360" w:lineRule="auto"/>
        <w:ind w:left="871" w:hanging="241"/>
        <w:rPr>
          <w:rFonts w:ascii="宋体" w:hAnsi="宋体"/>
          <w:color w:val="auto"/>
          <w:sz w:val="24"/>
          <w:szCs w:val="24"/>
        </w:rPr>
      </w:pPr>
      <w:r>
        <w:rPr>
          <w:rFonts w:ascii="宋体" w:hAnsi="宋体"/>
          <w:color w:val="auto"/>
          <w:sz w:val="24"/>
          <w:szCs w:val="24"/>
        </w:rPr>
        <w:t>1</w:t>
      </w:r>
      <w:bookmarkStart w:id="41" w:name="_Hlk69282011"/>
      <w:r>
        <w:rPr>
          <w:rFonts w:ascii="宋体" w:hAnsi="宋体"/>
          <w:color w:val="auto"/>
          <w:sz w:val="24"/>
          <w:szCs w:val="24"/>
        </w:rPr>
        <w:t>）</w:t>
      </w:r>
      <w:bookmarkEnd w:id="41"/>
      <w:r>
        <w:rPr>
          <w:rFonts w:ascii="宋体" w:hAnsi="宋体"/>
          <w:color w:val="auto"/>
          <w:sz w:val="24"/>
          <w:szCs w:val="24"/>
        </w:rPr>
        <w:t>节点与其连接设计应做到安全可靠、传力明确、构造合理、便于施工。同时节点构造应具有必要的延性，并避免产生应力集中和过大的焊接约束应力。</w:t>
      </w:r>
    </w:p>
    <w:p>
      <w:pPr>
        <w:autoSpaceDN w:val="0"/>
        <w:spacing w:line="360" w:lineRule="auto"/>
        <w:ind w:left="871" w:hanging="241"/>
        <w:rPr>
          <w:rFonts w:ascii="宋体" w:hAnsi="宋体"/>
          <w:color w:val="auto"/>
          <w:sz w:val="24"/>
          <w:szCs w:val="24"/>
        </w:rPr>
      </w:pPr>
      <w:r>
        <w:rPr>
          <w:rFonts w:ascii="宋体" w:hAnsi="宋体"/>
          <w:color w:val="auto"/>
          <w:sz w:val="24"/>
          <w:szCs w:val="24"/>
        </w:rPr>
        <w:t>2）多、高层住宅钢框架的节点连接，应按节点连接强于构件的原则设计。非抗震设防时应按弹性受力设计，进行节点域及各项连接的计算；抗震设防时，除按弹性方法进行节点域及连接极限承载力等项计算外，尚应按结构进入弹塑性阶段进行节点区梁端、柱端全塑性承载力与节点域屈服承载力的验算。</w:t>
      </w:r>
    </w:p>
    <w:p>
      <w:pPr>
        <w:autoSpaceDN w:val="0"/>
        <w:spacing w:line="360" w:lineRule="auto"/>
        <w:ind w:left="871" w:hanging="241"/>
        <w:rPr>
          <w:rFonts w:ascii="宋体" w:hAnsi="宋体"/>
          <w:color w:val="auto"/>
          <w:sz w:val="24"/>
          <w:szCs w:val="24"/>
        </w:rPr>
      </w:pPr>
      <w:r>
        <w:rPr>
          <w:rFonts w:ascii="宋体" w:hAnsi="宋体"/>
          <w:color w:val="auto"/>
          <w:sz w:val="24"/>
          <w:szCs w:val="24"/>
        </w:rPr>
        <w:t>3）箱形截面柱、钢管混凝土柱与梁的连接可采用柱贯通构造 或隔板贯通构造，当柱壁板厚度小于16mm时，宜采用隔板贯通构造；冷成型箱形截面柱应采用隔板贯通构造。</w:t>
      </w:r>
    </w:p>
    <w:p>
      <w:pPr>
        <w:autoSpaceDN w:val="0"/>
        <w:spacing w:line="360" w:lineRule="auto"/>
        <w:ind w:left="871" w:hanging="241"/>
        <w:rPr>
          <w:rFonts w:ascii="宋体" w:hAnsi="宋体"/>
          <w:color w:val="auto"/>
          <w:sz w:val="24"/>
          <w:szCs w:val="24"/>
        </w:rPr>
      </w:pPr>
      <w:r>
        <w:rPr>
          <w:rFonts w:ascii="宋体" w:hAnsi="宋体"/>
          <w:color w:val="auto"/>
          <w:sz w:val="24"/>
          <w:szCs w:val="24"/>
        </w:rPr>
        <w:t>4）梁柱节点宜采用梁翼缘熔透焊并腹板高强螺栓连接的栓焊连接刚接节点；柱脚宜采用埋人式柱脚。</w:t>
      </w:r>
    </w:p>
    <w:p>
      <w:pPr>
        <w:autoSpaceDN w:val="0"/>
        <w:spacing w:line="360" w:lineRule="auto"/>
        <w:ind w:left="871" w:hanging="241"/>
        <w:rPr>
          <w:rFonts w:ascii="宋体" w:hAnsi="宋体"/>
          <w:color w:val="auto"/>
          <w:sz w:val="24"/>
          <w:szCs w:val="24"/>
        </w:rPr>
      </w:pPr>
      <w:r>
        <w:rPr>
          <w:rFonts w:ascii="宋体" w:hAnsi="宋体"/>
          <w:color w:val="auto"/>
          <w:sz w:val="24"/>
          <w:szCs w:val="24"/>
        </w:rPr>
        <w:t>5） 钢框架梁柱，支撑等杆件的拼接接头，应按与构件等强度设计构造。当抗震设防时，对拼接接头尚应进行极限承载力验算。</w:t>
      </w:r>
    </w:p>
    <w:p>
      <w:pPr>
        <w:autoSpaceDN w:val="0"/>
        <w:spacing w:line="360" w:lineRule="auto"/>
        <w:ind w:left="871" w:hanging="241"/>
        <w:rPr>
          <w:rFonts w:ascii="宋体" w:hAnsi="宋体"/>
          <w:color w:val="auto"/>
          <w:sz w:val="24"/>
          <w:szCs w:val="24"/>
        </w:rPr>
      </w:pPr>
      <w:r>
        <w:rPr>
          <w:rFonts w:ascii="宋体" w:hAnsi="宋体"/>
          <w:color w:val="auto"/>
          <w:sz w:val="24"/>
          <w:szCs w:val="24"/>
        </w:rPr>
        <w:t>6） 非地震区或6、7度设防区低（多）层住宅的轻型截面钢框架，其梁柱刚接节点可采用符合刚性连接要求的外伸端板高强度螺栓连接构造。</w:t>
      </w:r>
    </w:p>
    <w:p>
      <w:pPr>
        <w:autoSpaceDN w:val="0"/>
        <w:spacing w:line="360" w:lineRule="auto"/>
        <w:ind w:left="871" w:hanging="241"/>
        <w:rPr>
          <w:rFonts w:ascii="宋体" w:hAnsi="宋体"/>
          <w:color w:val="auto"/>
          <w:sz w:val="24"/>
          <w:szCs w:val="24"/>
        </w:rPr>
      </w:pPr>
      <w:r>
        <w:rPr>
          <w:rFonts w:ascii="宋体" w:hAnsi="宋体"/>
          <w:color w:val="auto"/>
          <w:sz w:val="24"/>
          <w:szCs w:val="24"/>
        </w:rPr>
        <w:t>7） 梁、柱腹板为翼缘对焊而开的扇形切口，应在设计中给出细部尺寸与详图，并要求以专门设备进行切割，切口处的单面焊垫板应与梁翼缘以连续焊缝连接，质量等级为外观检查二级焊缝。</w:t>
      </w:r>
    </w:p>
    <w:p>
      <w:pPr>
        <w:autoSpaceDN w:val="0"/>
        <w:spacing w:line="360" w:lineRule="auto"/>
        <w:ind w:firstLine="482"/>
        <w:rPr>
          <w:rFonts w:ascii="宋体" w:hAnsi="宋体"/>
          <w:color w:val="auto"/>
          <w:sz w:val="24"/>
          <w:szCs w:val="24"/>
        </w:rPr>
      </w:pPr>
      <w:bookmarkStart w:id="42" w:name="_Hlk71233615"/>
      <w:bookmarkStart w:id="43" w:name="_Hlk71233605"/>
      <w:r>
        <w:rPr>
          <w:rFonts w:ascii="宋体" w:hAnsi="宋体"/>
          <w:color w:val="auto"/>
          <w:sz w:val="24"/>
          <w:szCs w:val="24"/>
        </w:rPr>
        <w:t>3  中心支撑与框架连接和支撑拼接处的承载力设计、偏心支撑消能梁段与支撑、柱的连接、各类柱脚均应进行受压、受弯、受剪承载力计算，应符合现行行业标准《高层民用建筑钢结构技术规程》JGJ99的规定。</w:t>
      </w:r>
    </w:p>
    <w:bookmarkEnd w:id="42"/>
    <w:bookmarkEnd w:id="43"/>
    <w:p>
      <w:pPr>
        <w:autoSpaceDN w:val="0"/>
        <w:spacing w:line="360" w:lineRule="auto"/>
        <w:ind w:firstLine="482"/>
        <w:rPr>
          <w:rFonts w:ascii="宋体" w:hAnsi="宋体"/>
          <w:color w:val="auto"/>
          <w:sz w:val="24"/>
          <w:szCs w:val="24"/>
        </w:rPr>
      </w:pPr>
      <w:r>
        <w:rPr>
          <w:rFonts w:ascii="宋体" w:hAnsi="宋体"/>
          <w:color w:val="auto"/>
          <w:sz w:val="24"/>
          <w:szCs w:val="24"/>
        </w:rPr>
        <w:t>4  中心支撑框架的支撑节点构造与计算应符合下列要求:</w:t>
      </w:r>
    </w:p>
    <w:p>
      <w:pPr>
        <w:autoSpaceDN w:val="0"/>
        <w:spacing w:line="360" w:lineRule="auto"/>
        <w:ind w:left="871" w:hanging="241"/>
        <w:rPr>
          <w:rFonts w:ascii="宋体" w:hAnsi="宋体"/>
          <w:color w:val="auto"/>
          <w:sz w:val="24"/>
          <w:szCs w:val="24"/>
        </w:rPr>
      </w:pPr>
      <w:r>
        <w:rPr>
          <w:rFonts w:ascii="宋体" w:hAnsi="宋体"/>
          <w:color w:val="auto"/>
          <w:sz w:val="24"/>
          <w:szCs w:val="24"/>
        </w:rPr>
        <w:t>1）支撑节点处的支撑与梁、柱应以杆件的重心线相交汇。因构造原因有少量偏心时，宜在计算中计入由偏心引起的附加内力。</w:t>
      </w:r>
    </w:p>
    <w:p>
      <w:pPr>
        <w:autoSpaceDN w:val="0"/>
        <w:spacing w:line="360" w:lineRule="auto"/>
        <w:ind w:left="871" w:hanging="241"/>
        <w:rPr>
          <w:rFonts w:ascii="宋体" w:hAnsi="宋体"/>
          <w:color w:val="auto"/>
          <w:sz w:val="24"/>
          <w:szCs w:val="24"/>
        </w:rPr>
      </w:pPr>
      <w:r>
        <w:rPr>
          <w:rFonts w:ascii="宋体" w:hAnsi="宋体"/>
          <w:color w:val="auto"/>
          <w:sz w:val="24"/>
          <w:szCs w:val="24"/>
        </w:rPr>
        <w:t>2）住宅框架支撑宜置于内墙或分户墙之间，在满足长细比与强度条件下，宜尽量选用外轮廓尺寸较窄的组合截面。</w:t>
      </w:r>
    </w:p>
    <w:p>
      <w:pPr>
        <w:autoSpaceDN w:val="0"/>
        <w:spacing w:line="360" w:lineRule="auto"/>
        <w:ind w:firstLine="482"/>
        <w:rPr>
          <w:rFonts w:ascii="宋体" w:hAnsi="宋体"/>
          <w:color w:val="auto"/>
          <w:sz w:val="24"/>
          <w:szCs w:val="24"/>
        </w:rPr>
      </w:pPr>
      <w:r>
        <w:rPr>
          <w:rFonts w:ascii="宋体" w:hAnsi="宋体"/>
          <w:color w:val="auto"/>
          <w:sz w:val="24"/>
          <w:szCs w:val="24"/>
        </w:rPr>
        <w:t>5  柱和梁在与支撑翼缘的连接处，应设置加劲肋，加劲肋的截面及其连接应按计算确定。</w:t>
      </w:r>
    </w:p>
    <w:p>
      <w:pPr>
        <w:autoSpaceDN w:val="0"/>
        <w:spacing w:line="360" w:lineRule="auto"/>
        <w:ind w:firstLine="482"/>
        <w:rPr>
          <w:rFonts w:ascii="宋体" w:hAnsi="宋体"/>
          <w:color w:val="auto"/>
          <w:sz w:val="24"/>
          <w:szCs w:val="24"/>
        </w:rPr>
      </w:pPr>
      <w:r>
        <w:rPr>
          <w:rFonts w:ascii="宋体" w:hAnsi="宋体"/>
          <w:color w:val="auto"/>
          <w:sz w:val="24"/>
          <w:szCs w:val="24"/>
        </w:rPr>
        <w:t xml:space="preserve">6  </w:t>
      </w:r>
      <w:bookmarkStart w:id="44" w:name="_Hlk71233706"/>
      <w:r>
        <w:rPr>
          <w:rFonts w:ascii="宋体" w:hAnsi="宋体"/>
          <w:color w:val="auto"/>
          <w:sz w:val="24"/>
          <w:szCs w:val="24"/>
        </w:rPr>
        <w:t>主次梁的连接宜采用铰接连接，也可采用刚性连接。主次梁 节点设计应考虑剪力偏心对连接受力的影响；采用现浇钢筋混凝土楼板将主梁和次梁连成整体时，可不考虑偏心作用。</w:t>
      </w:r>
    </w:p>
    <w:p>
      <w:pPr>
        <w:autoSpaceDN w:val="0"/>
        <w:spacing w:line="360" w:lineRule="auto"/>
        <w:ind w:firstLine="482"/>
        <w:rPr>
          <w:rFonts w:ascii="宋体" w:hAnsi="宋体"/>
          <w:color w:val="auto"/>
          <w:sz w:val="24"/>
          <w:szCs w:val="24"/>
        </w:rPr>
      </w:pPr>
      <w:r>
        <w:rPr>
          <w:rFonts w:ascii="宋体" w:hAnsi="宋体"/>
          <w:color w:val="auto"/>
          <w:sz w:val="24"/>
          <w:szCs w:val="24"/>
        </w:rPr>
        <w:t xml:space="preserve">7 </w:t>
      </w:r>
      <w:bookmarkEnd w:id="44"/>
      <w:r>
        <w:rPr>
          <w:rFonts w:ascii="宋体" w:hAnsi="宋体"/>
          <w:color w:val="auto"/>
          <w:sz w:val="24"/>
          <w:szCs w:val="24"/>
        </w:rPr>
        <w:t xml:space="preserve"> 当节点域的柱腹板厚度不满足节点域抗剪承载力要求时，应 采取加厚柱腹板或贴焊补强板的加强措施。腹板加厚的范围应伸 出梁上下翼缘外不小于 150mm。补强板的厚度及其焊缝应按传递 补强板所分担剪力的要求设计。</w:t>
      </w:r>
    </w:p>
    <w:p>
      <w:pPr>
        <w:autoSpaceDN w:val="0"/>
        <w:spacing w:line="360" w:lineRule="auto"/>
        <w:ind w:firstLine="482"/>
        <w:rPr>
          <w:rFonts w:ascii="宋体" w:hAnsi="宋体"/>
          <w:color w:val="auto"/>
          <w:sz w:val="24"/>
          <w:szCs w:val="24"/>
        </w:rPr>
      </w:pPr>
      <w:r>
        <w:rPr>
          <w:rFonts w:ascii="宋体" w:hAnsi="宋体"/>
          <w:color w:val="auto"/>
          <w:sz w:val="24"/>
          <w:szCs w:val="24"/>
        </w:rPr>
        <w:t>8  框架梁受压翼缘根据需要设置侧向隅撑，在影响室内使用功能时，无法设隅撑时，需在梁对应位置对称两侧设置加劲肋，且不少于两道。</w:t>
      </w:r>
    </w:p>
    <w:p>
      <w:pPr>
        <w:spacing w:line="360" w:lineRule="auto"/>
        <w:rPr>
          <w:b/>
          <w:bCs/>
          <w:color w:val="auto"/>
          <w:kern w:val="2"/>
          <w:sz w:val="24"/>
          <w:szCs w:val="24"/>
        </w:rPr>
      </w:pPr>
      <w:r>
        <w:rPr>
          <w:rFonts w:hint="eastAsia"/>
          <w:b/>
          <w:bCs/>
          <w:color w:val="auto"/>
          <w:kern w:val="2"/>
          <w:sz w:val="24"/>
          <w:szCs w:val="24"/>
        </w:rPr>
        <w:t>6.3.3</w:t>
      </w:r>
      <w:r>
        <w:rPr>
          <w:b/>
          <w:bCs/>
          <w:color w:val="auto"/>
          <w:kern w:val="2"/>
          <w:sz w:val="24"/>
          <w:szCs w:val="24"/>
        </w:rPr>
        <w:t xml:space="preserve"> </w:t>
      </w:r>
      <w:r>
        <w:rPr>
          <w:rFonts w:hint="eastAsia" w:ascii="宋体" w:hAnsi="宋体"/>
          <w:color w:val="auto"/>
          <w:sz w:val="24"/>
          <w:szCs w:val="24"/>
        </w:rPr>
        <w:t>钢框架—钢板剪力墙结构体系的节点连接应符合下列规定：</w:t>
      </w:r>
    </w:p>
    <w:p>
      <w:pPr>
        <w:spacing w:line="360" w:lineRule="auto"/>
        <w:ind w:firstLine="480" w:firstLineChars="200"/>
        <w:rPr>
          <w:rFonts w:ascii="宋体" w:hAnsi="宋体"/>
          <w:color w:val="auto"/>
          <w:sz w:val="24"/>
          <w:szCs w:val="24"/>
        </w:rPr>
      </w:pPr>
      <w:r>
        <w:rPr>
          <w:rFonts w:ascii="宋体" w:hAnsi="宋体"/>
          <w:color w:val="auto"/>
          <w:sz w:val="24"/>
          <w:szCs w:val="24"/>
        </w:rPr>
        <w:t>1</w:t>
      </w:r>
      <w:r>
        <w:rPr>
          <w:rFonts w:hint="eastAsia" w:ascii="宋体" w:hAnsi="宋体"/>
          <w:color w:val="auto"/>
          <w:sz w:val="24"/>
          <w:szCs w:val="24"/>
        </w:rPr>
        <w:t>节点及连接应便于安装及检查。</w:t>
      </w:r>
    </w:p>
    <w:p>
      <w:pPr>
        <w:spacing w:line="360" w:lineRule="auto"/>
        <w:ind w:firstLine="480" w:firstLineChars="200"/>
        <w:rPr>
          <w:rFonts w:ascii="宋体" w:hAnsi="宋体"/>
          <w:color w:val="auto"/>
          <w:sz w:val="24"/>
          <w:szCs w:val="24"/>
        </w:rPr>
      </w:pPr>
      <w:r>
        <w:rPr>
          <w:rFonts w:hint="eastAsia" w:ascii="宋体" w:hAnsi="宋体"/>
          <w:color w:val="auto"/>
          <w:sz w:val="24"/>
          <w:szCs w:val="24"/>
        </w:rPr>
        <w:t>2 钢板剪力墙与边缘构件宜通过鱼尾板过渡连接，鱼尾板与钢柱、钢梁应采用熔透焊缝焊接，且鱼尾板厚度不应小于钢板剪力墙厚度。</w:t>
      </w:r>
    </w:p>
    <w:p>
      <w:pPr>
        <w:spacing w:line="360" w:lineRule="auto"/>
        <w:ind w:firstLine="480" w:firstLineChars="200"/>
        <w:rPr>
          <w:rFonts w:ascii="宋体" w:hAnsi="宋体"/>
          <w:color w:val="auto"/>
          <w:sz w:val="24"/>
          <w:szCs w:val="24"/>
        </w:rPr>
      </w:pPr>
      <w:r>
        <w:rPr>
          <w:rFonts w:hint="eastAsia" w:ascii="宋体" w:hAnsi="宋体"/>
          <w:color w:val="auto"/>
          <w:sz w:val="24"/>
          <w:szCs w:val="24"/>
        </w:rPr>
        <w:t>3 钢板剪力墙与鱼尾板宜优先采用高强度螺栓连接，连接时端部连接应加强处理。当采用焊接连接时，钢板剪力墙与鱼尾板应等强连接。</w:t>
      </w:r>
    </w:p>
    <w:p>
      <w:pPr>
        <w:spacing w:line="360" w:lineRule="auto"/>
        <w:ind w:firstLine="480" w:firstLineChars="200"/>
        <w:rPr>
          <w:rFonts w:ascii="宋体" w:hAnsi="宋体"/>
          <w:color w:val="auto"/>
          <w:sz w:val="24"/>
          <w:szCs w:val="24"/>
        </w:rPr>
      </w:pPr>
      <w:r>
        <w:rPr>
          <w:rFonts w:hint="eastAsia" w:ascii="宋体" w:hAnsi="宋体"/>
          <w:color w:val="auto"/>
          <w:sz w:val="24"/>
          <w:szCs w:val="24"/>
        </w:rPr>
        <w:t>4 钢板剪力墙与周边框架梁柱采用鱼尾板过渡连接，当采用高强螺栓连接时计算时应考虑螺栓开孔的削弱，当采用角焊缝焊接连接时，应计算确定相应焊脚高度且应满足内侧焊缝的施工可行性。</w:t>
      </w:r>
    </w:p>
    <w:p>
      <w:pPr>
        <w:spacing w:line="360" w:lineRule="auto"/>
        <w:rPr>
          <w:b/>
          <w:bCs/>
          <w:color w:val="auto"/>
          <w:kern w:val="2"/>
          <w:sz w:val="24"/>
          <w:szCs w:val="24"/>
        </w:rPr>
      </w:pPr>
      <w:r>
        <w:rPr>
          <w:rFonts w:hint="eastAsia" w:ascii="宋体" w:hAnsi="宋体" w:cs="黑体"/>
          <w:b/>
          <w:color w:val="auto"/>
        </w:rPr>
        <w:t>【条文说明】：</w:t>
      </w:r>
      <w:r>
        <w:rPr>
          <w:rFonts w:hint="eastAsia"/>
          <w:color w:val="0070C0"/>
          <w:kern w:val="2"/>
        </w:rPr>
        <w:t>根据《高层民用建筑钢结构技术规程》JGJ 99要求，钢柱上应焊接鱼尾板作为钢板剪力墙的安装临时固定用，鱼尾板与钢柱应采用熔透焊缝连接。因此，鱼尾板与梁柱之间需采用对接熔透焊缝，焊缝强度不宜低于鱼尾板钢材强度。由于屈曲约束钢板剪力墙在循环荷载作用下存在强化，因此鱼尾板厚度不应小于钢板剪力墙厚度且不宜小于钢板剪力墙厚度的1.5倍，具体焊接方式通过计算确定，焊缝的抗剪承载力不应低于钢板剪力墙的屈服强度，如焊缝承载力允许，可采用断续焊缝。</w:t>
      </w:r>
    </w:p>
    <w:p>
      <w:pPr>
        <w:spacing w:line="360" w:lineRule="auto"/>
        <w:ind w:firstLine="480" w:firstLineChars="200"/>
        <w:rPr>
          <w:b/>
          <w:bCs/>
          <w:color w:val="auto"/>
          <w:kern w:val="2"/>
          <w:sz w:val="24"/>
          <w:szCs w:val="24"/>
        </w:rPr>
      </w:pPr>
      <w:r>
        <w:rPr>
          <w:rFonts w:ascii="宋体" w:hAnsi="宋体"/>
          <w:color w:val="auto"/>
          <w:sz w:val="24"/>
          <w:szCs w:val="24"/>
        </w:rPr>
        <w:t>5</w:t>
      </w:r>
      <w:r>
        <w:rPr>
          <w:rFonts w:hint="eastAsia" w:ascii="宋体" w:hAnsi="宋体"/>
          <w:color w:val="auto"/>
          <w:sz w:val="24"/>
          <w:szCs w:val="24"/>
        </w:rPr>
        <w:t xml:space="preserve"> 钢板剪力墙上开设洞口的边长或直径不宜大于700mm。当钢板剪力墙上开设单独洞口的边长或直径不大于300mm时可不做补强；当洞口的边长或直径大于300mm且不大于700mm时，应避开加劲肋并采取补强措施。</w:t>
      </w:r>
    </w:p>
    <w:p>
      <w:pPr>
        <w:spacing w:line="360" w:lineRule="auto"/>
        <w:rPr>
          <w:b/>
          <w:bCs/>
          <w:color w:val="auto"/>
          <w:kern w:val="2"/>
          <w:sz w:val="24"/>
          <w:szCs w:val="24"/>
        </w:rPr>
      </w:pPr>
      <w:r>
        <w:rPr>
          <w:rFonts w:hint="eastAsia" w:ascii="宋体" w:hAnsi="宋体" w:cs="黑体"/>
          <w:b/>
          <w:color w:val="auto"/>
        </w:rPr>
        <w:t>【条文说明】：</w:t>
      </w:r>
      <w:r>
        <w:rPr>
          <w:rFonts w:hint="eastAsia"/>
          <w:color w:val="0070C0"/>
          <w:kern w:val="2"/>
        </w:rPr>
        <w:t>设计中需要根据洞口的数量、分布、洞口尺寸对墙整体刚度的影响，考虑是否需要在整体计算中予以反映。当洞口大于700mm时，对钢板剪力墙的整体刚度影响宜在计算中予以反映。洞口补强可采用洞边设加劲肋、贴焊钢板或其他措施。</w:t>
      </w:r>
    </w:p>
    <w:p>
      <w:pPr>
        <w:spacing w:line="360" w:lineRule="auto"/>
        <w:rPr>
          <w:rFonts w:ascii="宋体" w:hAnsi="宋体"/>
          <w:color w:val="auto"/>
          <w:sz w:val="24"/>
          <w:szCs w:val="24"/>
        </w:rPr>
      </w:pPr>
      <w:r>
        <w:rPr>
          <w:b/>
          <w:bCs/>
          <w:color w:val="auto"/>
          <w:kern w:val="2"/>
          <w:sz w:val="24"/>
          <w:szCs w:val="24"/>
        </w:rPr>
        <w:t xml:space="preserve">6.3.4 </w:t>
      </w:r>
      <w:r>
        <w:rPr>
          <w:rFonts w:ascii="宋体" w:hAnsi="宋体"/>
          <w:color w:val="auto"/>
        </w:rPr>
        <w:t xml:space="preserve"> </w:t>
      </w:r>
      <w:r>
        <w:rPr>
          <w:rFonts w:hint="eastAsia" w:ascii="宋体" w:hAnsi="宋体"/>
          <w:color w:val="auto"/>
          <w:sz w:val="24"/>
          <w:szCs w:val="24"/>
        </w:rPr>
        <w:t>异形柱结构</w:t>
      </w:r>
      <w:bookmarkEnd w:id="40"/>
      <w:r>
        <w:rPr>
          <w:rFonts w:hint="eastAsia" w:ascii="宋体" w:hAnsi="宋体"/>
          <w:color w:val="auto"/>
          <w:sz w:val="24"/>
          <w:szCs w:val="24"/>
        </w:rPr>
        <w:t>体系的节点连接应符合下列规定：</w:t>
      </w:r>
    </w:p>
    <w:p>
      <w:pPr>
        <w:spacing w:line="360" w:lineRule="auto"/>
        <w:ind w:firstLine="480" w:firstLineChars="200"/>
        <w:rPr>
          <w:rFonts w:ascii="宋体" w:hAnsi="宋体"/>
          <w:color w:val="auto"/>
          <w:sz w:val="24"/>
          <w:szCs w:val="24"/>
        </w:rPr>
      </w:pPr>
      <w:r>
        <w:rPr>
          <w:rFonts w:ascii="宋体" w:hAnsi="宋体"/>
          <w:color w:val="auto"/>
          <w:sz w:val="24"/>
          <w:szCs w:val="24"/>
        </w:rPr>
        <w:t>1框架</w:t>
      </w:r>
      <w:r>
        <w:rPr>
          <w:rFonts w:hint="eastAsia" w:ascii="宋体" w:hAnsi="宋体"/>
          <w:color w:val="auto"/>
          <w:sz w:val="24"/>
          <w:szCs w:val="24"/>
        </w:rPr>
        <w:t>结构的</w:t>
      </w:r>
      <w:r>
        <w:rPr>
          <w:rFonts w:ascii="宋体" w:hAnsi="宋体"/>
          <w:color w:val="auto"/>
          <w:sz w:val="24"/>
          <w:szCs w:val="24"/>
        </w:rPr>
        <w:t>梁柱</w:t>
      </w:r>
      <w:r>
        <w:rPr>
          <w:rFonts w:hint="eastAsia" w:ascii="宋体" w:hAnsi="宋体"/>
          <w:color w:val="auto"/>
          <w:sz w:val="24"/>
          <w:szCs w:val="24"/>
        </w:rPr>
        <w:t>节点宜采用刚性连接，</w:t>
      </w:r>
      <w:r>
        <w:rPr>
          <w:rFonts w:ascii="宋体" w:hAnsi="宋体"/>
          <w:color w:val="auto"/>
          <w:sz w:val="24"/>
          <w:szCs w:val="24"/>
        </w:rPr>
        <w:t>梁与柱的连接</w:t>
      </w:r>
      <w:r>
        <w:rPr>
          <w:rFonts w:hint="eastAsia" w:ascii="宋体" w:hAnsi="宋体"/>
          <w:color w:val="auto"/>
          <w:sz w:val="24"/>
          <w:szCs w:val="24"/>
        </w:rPr>
        <w:t>可</w:t>
      </w:r>
      <w:r>
        <w:rPr>
          <w:rFonts w:ascii="宋体" w:hAnsi="宋体"/>
          <w:color w:val="auto"/>
          <w:sz w:val="24"/>
          <w:szCs w:val="24"/>
        </w:rPr>
        <w:t>采用翼缘焊接和腹板高强度螺栓连接的形式，也可采用</w:t>
      </w:r>
      <w:r>
        <w:rPr>
          <w:rFonts w:hint="eastAsia" w:ascii="宋体" w:hAnsi="宋体"/>
          <w:color w:val="auto"/>
          <w:sz w:val="24"/>
          <w:szCs w:val="24"/>
        </w:rPr>
        <w:t>全螺栓连接</w:t>
      </w:r>
      <w:r>
        <w:rPr>
          <w:rFonts w:ascii="宋体" w:hAnsi="宋体"/>
          <w:color w:val="auto"/>
          <w:sz w:val="24"/>
          <w:szCs w:val="24"/>
        </w:rPr>
        <w:t>。</w:t>
      </w:r>
    </w:p>
    <w:p>
      <w:pPr>
        <w:spacing w:line="360" w:lineRule="auto"/>
        <w:ind w:firstLine="480" w:firstLineChars="200"/>
        <w:rPr>
          <w:rFonts w:ascii="宋体" w:hAnsi="宋体"/>
          <w:color w:val="auto"/>
          <w:sz w:val="24"/>
          <w:szCs w:val="24"/>
        </w:rPr>
      </w:pPr>
      <w:r>
        <w:rPr>
          <w:rFonts w:hint="eastAsia" w:ascii="宋体" w:hAnsi="宋体"/>
          <w:color w:val="auto"/>
          <w:sz w:val="24"/>
          <w:szCs w:val="24"/>
        </w:rPr>
        <w:t>2方钢管混凝土组合异形柱框架梁柱刚性连接可采用外套管连接（图1），套管壁厚不应小于方钢管柱壁厚，其中与梁连接一侧的套管壁厚宜适当增大，外套管伸出梁翼缘高度不宜小于100mm。外套管与方钢管混凝土组合异形柱上下采用角焊缝连接，侧面采用塞焊缝或槽焊缝连接，连接焊缝的计算与构造应符合现行国家标准《钢结构设计标准》GB 50017的相关规定，节点承载力应符合《高层民用建筑钢结构技术规程》（JGJ99）的有关规定。</w:t>
      </w:r>
    </w:p>
    <w:p>
      <w:pPr>
        <w:spacing w:line="360" w:lineRule="auto"/>
        <w:ind w:firstLine="480" w:firstLineChars="200"/>
        <w:rPr>
          <w:rFonts w:ascii="宋体" w:hAnsi="宋体"/>
          <w:sz w:val="24"/>
          <w:szCs w:val="24"/>
        </w:rPr>
      </w:pPr>
      <w:r>
        <w:rPr>
          <w:rFonts w:ascii="宋体" w:hAnsi="宋体"/>
          <w:sz w:val="24"/>
          <w:szCs w:val="24"/>
        </w:rPr>
        <w:drawing>
          <wp:anchor distT="0" distB="0" distL="114300" distR="114300" simplePos="0" relativeHeight="251660288" behindDoc="0" locked="0" layoutInCell="1" allowOverlap="1">
            <wp:simplePos x="0" y="0"/>
            <wp:positionH relativeFrom="column">
              <wp:posOffset>3162300</wp:posOffset>
            </wp:positionH>
            <wp:positionV relativeFrom="paragraph">
              <wp:posOffset>69850</wp:posOffset>
            </wp:positionV>
            <wp:extent cx="1767840" cy="2465705"/>
            <wp:effectExtent l="0" t="0" r="0" b="0"/>
            <wp:wrapSquare wrapText="bothSides"/>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rcRect l="31580" t="14627" r="24316" b="14432"/>
                    <a:stretch>
                      <a:fillRect/>
                    </a:stretch>
                  </pic:blipFill>
                  <pic:spPr>
                    <a:xfrm>
                      <a:off x="0" y="0"/>
                      <a:ext cx="1767840" cy="2465705"/>
                    </a:xfrm>
                    <a:prstGeom prst="rect">
                      <a:avLst/>
                    </a:prstGeom>
                    <a:noFill/>
                  </pic:spPr>
                </pic:pic>
              </a:graphicData>
            </a:graphic>
          </wp:anchor>
        </w:drawing>
      </w:r>
      <w:r>
        <w:rPr>
          <w:rFonts w:ascii="宋体" w:hAnsi="宋体"/>
          <w:sz w:val="24"/>
          <w:szCs w:val="24"/>
        </w:rPr>
        <w:drawing>
          <wp:inline distT="0" distB="0" distL="0" distR="0">
            <wp:extent cx="2223770" cy="2501900"/>
            <wp:effectExtent l="0" t="0" r="0"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223770" cy="2501900"/>
                    </a:xfrm>
                    <a:prstGeom prst="rect">
                      <a:avLst/>
                    </a:prstGeom>
                    <a:noFill/>
                    <a:ln>
                      <a:noFill/>
                    </a:ln>
                  </pic:spPr>
                </pic:pic>
              </a:graphicData>
            </a:graphic>
          </wp:inline>
        </w:drawing>
      </w:r>
    </w:p>
    <w:p>
      <w:pPr>
        <w:spacing w:line="360" w:lineRule="auto"/>
        <w:ind w:firstLine="1440" w:firstLineChars="600"/>
        <w:rPr>
          <w:rFonts w:ascii="宋体" w:hAnsi="宋体"/>
          <w:color w:val="auto"/>
          <w:sz w:val="24"/>
          <w:szCs w:val="24"/>
        </w:rPr>
      </w:pPr>
      <w:r>
        <w:rPr>
          <w:rFonts w:hint="eastAsia" w:ascii="宋体" w:hAnsi="宋体"/>
          <w:color w:val="auto"/>
          <w:sz w:val="24"/>
          <w:szCs w:val="24"/>
        </w:rPr>
        <w:t>(a</w:t>
      </w:r>
      <w:r>
        <w:rPr>
          <w:rFonts w:ascii="宋体" w:hAnsi="宋体"/>
          <w:color w:val="auto"/>
          <w:sz w:val="24"/>
          <w:szCs w:val="24"/>
        </w:rPr>
        <w:t>)</w:t>
      </w:r>
      <w:r>
        <w:rPr>
          <w:rFonts w:hint="eastAsia" w:ascii="宋体" w:hAnsi="宋体"/>
          <w:color w:val="auto"/>
          <w:sz w:val="24"/>
          <w:szCs w:val="24"/>
        </w:rPr>
        <w:t xml:space="preserve">立面图 </w:t>
      </w:r>
      <w:r>
        <w:rPr>
          <w:rFonts w:ascii="宋体" w:hAnsi="宋体"/>
          <w:color w:val="auto"/>
          <w:sz w:val="24"/>
          <w:szCs w:val="24"/>
        </w:rPr>
        <w:t xml:space="preserve">                           (</w:t>
      </w:r>
      <w:r>
        <w:rPr>
          <w:rFonts w:hint="eastAsia" w:ascii="宋体" w:hAnsi="宋体"/>
          <w:color w:val="auto"/>
          <w:sz w:val="24"/>
          <w:szCs w:val="24"/>
        </w:rPr>
        <w:t>b</w:t>
      </w:r>
      <w:r>
        <w:rPr>
          <w:rFonts w:ascii="宋体" w:hAnsi="宋体"/>
          <w:color w:val="auto"/>
          <w:sz w:val="24"/>
          <w:szCs w:val="24"/>
        </w:rPr>
        <w:t>)</w:t>
      </w:r>
      <w:r>
        <w:rPr>
          <w:rFonts w:hint="eastAsia" w:ascii="宋体" w:hAnsi="宋体"/>
          <w:color w:val="auto"/>
          <w:sz w:val="24"/>
          <w:szCs w:val="24"/>
        </w:rPr>
        <w:t>平面图</w:t>
      </w:r>
    </w:p>
    <w:p>
      <w:pPr>
        <w:spacing w:line="360" w:lineRule="auto"/>
        <w:ind w:firstLine="420" w:firstLineChars="200"/>
        <w:jc w:val="center"/>
        <w:rPr>
          <w:rFonts w:ascii="宋体" w:hAnsi="宋体"/>
          <w:color w:val="auto"/>
        </w:rPr>
      </w:pPr>
      <w:r>
        <w:rPr>
          <w:rFonts w:hint="eastAsia" w:ascii="宋体" w:hAnsi="宋体"/>
          <w:color w:val="auto"/>
        </w:rPr>
        <w:t>图</w:t>
      </w:r>
      <w:r>
        <w:rPr>
          <w:rFonts w:ascii="宋体" w:hAnsi="宋体"/>
          <w:bCs/>
          <w:color w:val="auto"/>
        </w:rPr>
        <w:t>6.3.4-1</w:t>
      </w:r>
      <w:r>
        <w:rPr>
          <w:rFonts w:hint="eastAsia" w:ascii="宋体" w:hAnsi="宋体"/>
          <w:color w:val="auto"/>
        </w:rPr>
        <w:t>钢梁-方钢管混凝土异形柱外套管连接节点构造</w:t>
      </w:r>
    </w:p>
    <w:p>
      <w:pPr>
        <w:spacing w:line="360" w:lineRule="auto"/>
        <w:ind w:firstLine="480" w:firstLineChars="200"/>
        <w:rPr>
          <w:rFonts w:ascii="宋体" w:hAnsi="宋体"/>
          <w:color w:val="auto"/>
          <w:sz w:val="24"/>
          <w:szCs w:val="24"/>
        </w:rPr>
      </w:pPr>
      <w:r>
        <w:rPr>
          <w:rFonts w:hint="eastAsia" w:ascii="宋体" w:hAnsi="宋体"/>
          <w:color w:val="auto"/>
          <w:sz w:val="24"/>
          <w:szCs w:val="24"/>
        </w:rPr>
        <w:t>3 钢板剪力墙与鱼尾板宜优先采用高强度螺栓连接，连接时端部连接应加强处理。当采用焊接连接时，钢板剪力墙与鱼尾板应等强连接。</w:t>
      </w:r>
    </w:p>
    <w:p>
      <w:pPr>
        <w:pStyle w:val="3"/>
        <w:spacing w:line="360" w:lineRule="auto"/>
        <w:jc w:val="center"/>
        <w:rPr>
          <w:rFonts w:ascii="Times New Roman" w:hAnsi="Times New Roman" w:eastAsia="宋体" w:cs="Times New Roman"/>
          <w:bCs w:val="0"/>
        </w:rPr>
      </w:pPr>
      <w:bookmarkStart w:id="45" w:name="_Toc76376962"/>
      <w:bookmarkStart w:id="46" w:name="_Toc69283563"/>
      <w:bookmarkStart w:id="47" w:name="_Toc103958754"/>
      <w:r>
        <w:rPr>
          <w:rFonts w:ascii="Times New Roman" w:hAnsi="Times New Roman" w:eastAsia="宋体" w:cs="Times New Roman"/>
          <w:color w:val="auto"/>
          <w:sz w:val="28"/>
          <w:szCs w:val="28"/>
        </w:rPr>
        <w:t>6</w:t>
      </w:r>
      <w:r>
        <w:rPr>
          <w:rFonts w:hint="eastAsia" w:ascii="Times New Roman" w:hAnsi="Times New Roman" w:eastAsia="宋体" w:cs="Times New Roman"/>
          <w:color w:val="auto"/>
          <w:sz w:val="28"/>
          <w:szCs w:val="28"/>
        </w:rPr>
        <w:t>.</w:t>
      </w:r>
      <w:r>
        <w:rPr>
          <w:rFonts w:ascii="Times New Roman" w:hAnsi="Times New Roman" w:eastAsia="宋体" w:cs="Times New Roman"/>
          <w:color w:val="auto"/>
          <w:sz w:val="28"/>
          <w:szCs w:val="28"/>
        </w:rPr>
        <w:t xml:space="preserve">4  </w:t>
      </w:r>
      <w:r>
        <w:rPr>
          <w:rFonts w:hint="eastAsia" w:ascii="Times New Roman" w:hAnsi="Times New Roman" w:eastAsia="宋体" w:cs="Times New Roman"/>
          <w:color w:val="auto"/>
          <w:sz w:val="28"/>
          <w:szCs w:val="28"/>
        </w:rPr>
        <w:t>楼盖</w:t>
      </w:r>
      <w:bookmarkEnd w:id="45"/>
      <w:bookmarkEnd w:id="46"/>
      <w:r>
        <w:rPr>
          <w:rFonts w:hint="eastAsia" w:ascii="Times New Roman" w:hAnsi="Times New Roman" w:eastAsia="宋体" w:cs="Times New Roman"/>
          <w:color w:val="auto"/>
          <w:sz w:val="28"/>
          <w:szCs w:val="28"/>
        </w:rPr>
        <w:t>设计</w:t>
      </w:r>
      <w:bookmarkEnd w:id="47"/>
    </w:p>
    <w:p>
      <w:pPr>
        <w:pStyle w:val="27"/>
        <w:spacing w:line="360" w:lineRule="auto"/>
        <w:rPr>
          <w:rStyle w:val="50"/>
          <w:rFonts w:ascii="宋体" w:hAnsi="宋体" w:eastAsia="宋体" w:cs="Times New Roman"/>
          <w:szCs w:val="21"/>
        </w:rPr>
      </w:pPr>
      <w:r>
        <w:rPr>
          <w:rFonts w:ascii="Times New Roman" w:hAnsi="Times New Roman" w:eastAsia="宋体" w:cs="Times New Roman"/>
          <w:b/>
          <w:bCs/>
          <w:sz w:val="24"/>
          <w:szCs w:val="24"/>
        </w:rPr>
        <w:t>6.4.1</w:t>
      </w:r>
      <w:r>
        <w:rPr>
          <w:rStyle w:val="50"/>
          <w:rFonts w:ascii="宋体" w:hAnsi="宋体" w:eastAsia="宋体"/>
          <w:b/>
          <w:szCs w:val="21"/>
        </w:rPr>
        <w:t xml:space="preserve">  </w:t>
      </w:r>
      <w:r>
        <w:rPr>
          <w:rStyle w:val="50"/>
          <w:rFonts w:ascii="宋体" w:hAnsi="宋体" w:eastAsia="宋体"/>
          <w:sz w:val="24"/>
          <w:szCs w:val="24"/>
        </w:rPr>
        <w:t>钢结构住宅</w:t>
      </w:r>
      <w:r>
        <w:rPr>
          <w:rStyle w:val="50"/>
          <w:rFonts w:hint="eastAsia" w:ascii="宋体" w:hAnsi="宋体" w:eastAsia="宋体"/>
          <w:sz w:val="24"/>
          <w:szCs w:val="24"/>
        </w:rPr>
        <w:t>的</w:t>
      </w:r>
      <w:r>
        <w:rPr>
          <w:rStyle w:val="50"/>
          <w:rFonts w:ascii="宋体" w:hAnsi="宋体" w:eastAsia="宋体"/>
          <w:sz w:val="24"/>
          <w:szCs w:val="24"/>
        </w:rPr>
        <w:t>楼板</w:t>
      </w:r>
      <w:r>
        <w:rPr>
          <w:rStyle w:val="50"/>
          <w:rFonts w:hint="eastAsia" w:ascii="宋体" w:hAnsi="宋体" w:eastAsia="宋体"/>
          <w:sz w:val="24"/>
          <w:szCs w:val="24"/>
        </w:rPr>
        <w:t>宜</w:t>
      </w:r>
      <w:r>
        <w:rPr>
          <w:rStyle w:val="50"/>
          <w:rFonts w:ascii="宋体" w:hAnsi="宋体" w:eastAsia="宋体"/>
          <w:sz w:val="24"/>
          <w:szCs w:val="24"/>
        </w:rPr>
        <w:t>采用钢筋桁架组合楼板</w:t>
      </w:r>
      <w:r>
        <w:rPr>
          <w:rStyle w:val="50"/>
          <w:rFonts w:hint="eastAsia" w:ascii="宋体" w:hAnsi="宋体" w:eastAsia="宋体"/>
          <w:sz w:val="24"/>
          <w:szCs w:val="24"/>
        </w:rPr>
        <w:t>、</w:t>
      </w:r>
      <w:r>
        <w:rPr>
          <w:rStyle w:val="50"/>
          <w:rFonts w:ascii="宋体" w:hAnsi="宋体" w:eastAsia="宋体"/>
          <w:sz w:val="24"/>
          <w:szCs w:val="24"/>
        </w:rPr>
        <w:t>混凝土叠合楼板</w:t>
      </w:r>
      <w:r>
        <w:rPr>
          <w:rStyle w:val="50"/>
          <w:rFonts w:hint="eastAsia" w:ascii="宋体" w:hAnsi="宋体" w:eastAsia="宋体"/>
          <w:sz w:val="24"/>
          <w:szCs w:val="24"/>
        </w:rPr>
        <w:t>，</w:t>
      </w:r>
      <w:r>
        <w:rPr>
          <w:rStyle w:val="50"/>
          <w:rFonts w:ascii="宋体" w:hAnsi="宋体" w:eastAsia="宋体"/>
          <w:sz w:val="24"/>
          <w:szCs w:val="24"/>
        </w:rPr>
        <w:t>也可采用现浇混凝土楼板</w:t>
      </w:r>
      <w:r>
        <w:rPr>
          <w:rStyle w:val="50"/>
          <w:rFonts w:hint="eastAsia" w:ascii="宋体" w:hAnsi="宋体" w:eastAsia="宋体"/>
          <w:sz w:val="24"/>
          <w:szCs w:val="24"/>
        </w:rPr>
        <w:t>、</w:t>
      </w:r>
      <w:r>
        <w:rPr>
          <w:rStyle w:val="50"/>
          <w:rFonts w:ascii="宋体" w:hAnsi="宋体" w:eastAsia="宋体"/>
          <w:sz w:val="24"/>
          <w:szCs w:val="24"/>
        </w:rPr>
        <w:t>压型钢板组合楼板。</w:t>
      </w:r>
      <w:r>
        <w:rPr>
          <w:rStyle w:val="50"/>
          <w:rFonts w:hint="eastAsia" w:ascii="宋体" w:hAnsi="宋体" w:eastAsia="宋体"/>
          <w:sz w:val="24"/>
          <w:szCs w:val="24"/>
        </w:rPr>
        <w:t>结构</w:t>
      </w:r>
      <w:r>
        <w:rPr>
          <w:rStyle w:val="50"/>
          <w:rFonts w:ascii="宋体" w:hAnsi="宋体" w:eastAsia="宋体"/>
          <w:sz w:val="24"/>
          <w:szCs w:val="24"/>
        </w:rPr>
        <w:t>转换层、</w:t>
      </w:r>
      <w:r>
        <w:rPr>
          <w:rStyle w:val="50"/>
          <w:rFonts w:ascii="宋体" w:hAnsi="宋体" w:eastAsia="宋体" w:cs="Times New Roman"/>
          <w:sz w:val="24"/>
          <w:szCs w:val="24"/>
        </w:rPr>
        <w:t>平面复杂或开洞</w:t>
      </w:r>
      <w:r>
        <w:rPr>
          <w:rStyle w:val="50"/>
          <w:rFonts w:hint="eastAsia" w:ascii="宋体" w:hAnsi="宋体" w:eastAsia="宋体" w:cs="Times New Roman"/>
          <w:sz w:val="24"/>
          <w:szCs w:val="24"/>
        </w:rPr>
        <w:t>较</w:t>
      </w:r>
      <w:r>
        <w:rPr>
          <w:rStyle w:val="50"/>
          <w:rFonts w:ascii="宋体" w:hAnsi="宋体" w:eastAsia="宋体" w:cs="Times New Roman"/>
          <w:sz w:val="24"/>
          <w:szCs w:val="24"/>
        </w:rPr>
        <w:t>大的楼层</w:t>
      </w:r>
      <w:r>
        <w:rPr>
          <w:rStyle w:val="50"/>
          <w:rFonts w:hint="eastAsia" w:ascii="宋体" w:hAnsi="宋体" w:eastAsia="宋体" w:cs="Times New Roman"/>
          <w:sz w:val="24"/>
          <w:szCs w:val="24"/>
        </w:rPr>
        <w:t>的</w:t>
      </w:r>
      <w:r>
        <w:rPr>
          <w:rStyle w:val="50"/>
          <w:rFonts w:ascii="宋体" w:hAnsi="宋体" w:eastAsia="宋体" w:cs="Times New Roman"/>
          <w:sz w:val="24"/>
          <w:szCs w:val="24"/>
        </w:rPr>
        <w:t>楼板、作为上部结构嵌固部位楼层和地下室顶层应采用</w:t>
      </w:r>
      <w:r>
        <w:rPr>
          <w:rStyle w:val="50"/>
          <w:rFonts w:ascii="宋体" w:hAnsi="宋体" w:eastAsia="宋体"/>
          <w:sz w:val="24"/>
          <w:szCs w:val="24"/>
        </w:rPr>
        <w:t>钢筋桁架组合楼板</w:t>
      </w:r>
      <w:r>
        <w:rPr>
          <w:rStyle w:val="50"/>
          <w:rFonts w:hint="eastAsia" w:ascii="宋体" w:hAnsi="宋体" w:eastAsia="宋体"/>
          <w:sz w:val="24"/>
          <w:szCs w:val="24"/>
        </w:rPr>
        <w:t>或</w:t>
      </w:r>
      <w:r>
        <w:rPr>
          <w:rStyle w:val="50"/>
          <w:rFonts w:ascii="宋体" w:hAnsi="宋体" w:eastAsia="宋体" w:cs="Times New Roman"/>
          <w:sz w:val="24"/>
          <w:szCs w:val="24"/>
        </w:rPr>
        <w:t>现浇混凝土楼板</w:t>
      </w:r>
      <w:r>
        <w:rPr>
          <w:rStyle w:val="50"/>
          <w:rFonts w:hint="eastAsia" w:ascii="宋体" w:hAnsi="宋体" w:eastAsia="宋体" w:cs="Times New Roman"/>
          <w:sz w:val="24"/>
          <w:szCs w:val="24"/>
        </w:rPr>
        <w:t>。</w:t>
      </w:r>
      <w:r>
        <w:rPr>
          <w:rFonts w:hint="eastAsia" w:ascii="宋体" w:hAnsi="宋体" w:eastAsia="宋体"/>
          <w:sz w:val="24"/>
          <w:szCs w:val="24"/>
        </w:rPr>
        <w:t>当房屋高度不超过50m且抗震设防烈度不超过7度（0</w:t>
      </w:r>
      <w:r>
        <w:rPr>
          <w:rFonts w:ascii="宋体" w:hAnsi="宋体" w:eastAsia="宋体"/>
          <w:sz w:val="24"/>
          <w:szCs w:val="24"/>
        </w:rPr>
        <w:t>.10g）</w:t>
      </w:r>
      <w:r>
        <w:rPr>
          <w:rFonts w:hint="eastAsia" w:ascii="宋体" w:hAnsi="宋体" w:eastAsia="宋体"/>
          <w:sz w:val="24"/>
          <w:szCs w:val="24"/>
        </w:rPr>
        <w:t>时，可采用无现浇层的预制装配式楼板或其他轻型楼盖，楼盖应与钢梁可靠连接，保证楼盖的整体性。冷弯薄壁型钢住宅可采用轻型楼盖。</w:t>
      </w:r>
    </w:p>
    <w:p>
      <w:pPr>
        <w:spacing w:line="440" w:lineRule="exact"/>
        <w:rPr>
          <w:rStyle w:val="50"/>
          <w:rFonts w:ascii="宋体" w:hAnsi="宋体"/>
          <w:b/>
          <w:color w:val="auto"/>
        </w:rPr>
      </w:pPr>
    </w:p>
    <w:p>
      <w:pPr>
        <w:jc w:val="center"/>
        <w:rPr>
          <w:rStyle w:val="50"/>
          <w:rFonts w:ascii="宋体" w:hAnsi="宋体"/>
          <w:color w:val="auto"/>
        </w:rPr>
      </w:pPr>
      <w:r>
        <w:rPr>
          <w:rFonts w:ascii="宋体" w:hAnsi="宋体"/>
          <w:color w:val="auto"/>
        </w:rPr>
        <w:t xml:space="preserve">     </w:t>
      </w:r>
      <w:r>
        <w:rPr>
          <w:rFonts w:ascii="宋体" w:hAnsi="宋体"/>
          <w:color w:val="auto"/>
        </w:rPr>
        <w:drawing>
          <wp:inline distT="0" distB="0" distL="0" distR="0">
            <wp:extent cx="1163320" cy="11195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163320" cy="1119505"/>
                    </a:xfrm>
                    <a:prstGeom prst="rect">
                      <a:avLst/>
                    </a:prstGeom>
                    <a:noFill/>
                    <a:ln>
                      <a:noFill/>
                    </a:ln>
                  </pic:spPr>
                </pic:pic>
              </a:graphicData>
            </a:graphic>
          </wp:inline>
        </w:drawing>
      </w:r>
      <w:r>
        <w:rPr>
          <w:rStyle w:val="50"/>
          <w:rFonts w:ascii="宋体" w:hAnsi="宋体"/>
          <w:color w:val="auto"/>
        </w:rPr>
        <w:t xml:space="preserve">                 </w:t>
      </w:r>
      <w:r>
        <w:rPr>
          <w:rFonts w:ascii="宋体" w:hAnsi="宋体"/>
          <w:color w:val="auto"/>
        </w:rPr>
        <w:drawing>
          <wp:inline distT="0" distB="0" distL="0" distR="0">
            <wp:extent cx="1565275" cy="1024255"/>
            <wp:effectExtent l="0" t="0" r="0" b="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565275" cy="1024255"/>
                    </a:xfrm>
                    <a:prstGeom prst="rect">
                      <a:avLst/>
                    </a:prstGeom>
                    <a:noFill/>
                    <a:ln>
                      <a:noFill/>
                    </a:ln>
                  </pic:spPr>
                </pic:pic>
              </a:graphicData>
            </a:graphic>
          </wp:inline>
        </w:drawing>
      </w:r>
      <w:r>
        <w:rPr>
          <w:rStyle w:val="50"/>
          <w:rFonts w:ascii="宋体" w:hAnsi="宋体"/>
          <w:color w:val="auto"/>
        </w:rPr>
        <w:t xml:space="preserve">   </w:t>
      </w:r>
    </w:p>
    <w:p>
      <w:pPr>
        <w:pStyle w:val="27"/>
        <w:ind w:firstLine="840" w:firstLineChars="400"/>
        <w:rPr>
          <w:rStyle w:val="50"/>
          <w:rFonts w:ascii="宋体" w:hAnsi="宋体" w:eastAsia="宋体" w:cs="Times New Roman"/>
          <w:szCs w:val="21"/>
        </w:rPr>
      </w:pPr>
      <w:r>
        <w:rPr>
          <w:rStyle w:val="50"/>
          <w:rFonts w:ascii="宋体" w:hAnsi="宋体" w:eastAsia="宋体" w:cs="Times New Roman"/>
          <w:szCs w:val="21"/>
        </w:rPr>
        <w:t xml:space="preserve">（a）压型钢板组合楼板                   （b）钢筋桁架组合楼板          </w:t>
      </w:r>
    </w:p>
    <w:p>
      <w:pPr>
        <w:ind w:firstLine="1260" w:firstLineChars="600"/>
        <w:rPr>
          <w:rStyle w:val="50"/>
          <w:rFonts w:ascii="宋体" w:hAnsi="宋体"/>
          <w:color w:val="auto"/>
        </w:rPr>
      </w:pPr>
      <w:r>
        <w:rPr>
          <w:rFonts w:ascii="宋体" w:hAnsi="宋体"/>
          <w:color w:val="auto"/>
        </w:rPr>
        <w:drawing>
          <wp:anchor distT="0" distB="0" distL="114300" distR="114300" simplePos="0" relativeHeight="251661312" behindDoc="0" locked="0" layoutInCell="1" allowOverlap="1">
            <wp:simplePos x="0" y="0"/>
            <wp:positionH relativeFrom="column">
              <wp:posOffset>3473450</wp:posOffset>
            </wp:positionH>
            <wp:positionV relativeFrom="paragraph">
              <wp:posOffset>20320</wp:posOffset>
            </wp:positionV>
            <wp:extent cx="953770" cy="1143000"/>
            <wp:effectExtent l="0" t="0" r="0" b="0"/>
            <wp:wrapSquare wrapText="bothSides"/>
            <wp:docPr id="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3770" cy="1143000"/>
                    </a:xfrm>
                    <a:prstGeom prst="rect">
                      <a:avLst/>
                    </a:prstGeom>
                    <a:noFill/>
                  </pic:spPr>
                </pic:pic>
              </a:graphicData>
            </a:graphic>
          </wp:anchor>
        </w:drawing>
      </w:r>
      <w:r>
        <w:rPr>
          <w:rFonts w:ascii="宋体" w:hAnsi="宋体"/>
          <w:color w:val="auto"/>
        </w:rPr>
        <w:drawing>
          <wp:inline distT="0" distB="0" distL="0" distR="0">
            <wp:extent cx="1170305" cy="1104900"/>
            <wp:effectExtent l="0" t="0" r="0" b="0"/>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70305" cy="1104900"/>
                    </a:xfrm>
                    <a:prstGeom prst="rect">
                      <a:avLst/>
                    </a:prstGeom>
                    <a:noFill/>
                    <a:ln>
                      <a:noFill/>
                    </a:ln>
                  </pic:spPr>
                </pic:pic>
              </a:graphicData>
            </a:graphic>
          </wp:inline>
        </w:drawing>
      </w:r>
      <w:r>
        <w:rPr>
          <w:rFonts w:ascii="宋体" w:hAnsi="宋体"/>
          <w:color w:val="auto"/>
        </w:rPr>
        <w:t xml:space="preserve">                </w:t>
      </w:r>
    </w:p>
    <w:p>
      <w:pPr>
        <w:pStyle w:val="27"/>
        <w:ind w:firstLine="840" w:firstLineChars="400"/>
        <w:rPr>
          <w:rStyle w:val="50"/>
          <w:rFonts w:ascii="宋体" w:hAnsi="宋体" w:eastAsia="宋体" w:cs="Times New Roman"/>
          <w:szCs w:val="21"/>
        </w:rPr>
      </w:pPr>
      <w:r>
        <w:rPr>
          <w:rStyle w:val="50"/>
          <w:rFonts w:ascii="宋体" w:hAnsi="宋体" w:eastAsia="宋体" w:cs="Times New Roman"/>
          <w:szCs w:val="21"/>
        </w:rPr>
        <w:t>（c）</w:t>
      </w:r>
      <w:r>
        <w:rPr>
          <w:rStyle w:val="50"/>
          <w:rFonts w:hint="eastAsia" w:ascii="宋体" w:hAnsi="宋体" w:eastAsia="宋体" w:cs="Times New Roman"/>
          <w:szCs w:val="21"/>
        </w:rPr>
        <w:t>混凝土</w:t>
      </w:r>
      <w:r>
        <w:rPr>
          <w:rStyle w:val="50"/>
          <w:rFonts w:ascii="宋体" w:hAnsi="宋体" w:eastAsia="宋体" w:cs="Times New Roman"/>
          <w:szCs w:val="21"/>
        </w:rPr>
        <w:t>叠合</w:t>
      </w:r>
      <w:r>
        <w:rPr>
          <w:rStyle w:val="50"/>
          <w:rFonts w:hint="eastAsia" w:ascii="宋体" w:hAnsi="宋体" w:eastAsia="宋体" w:cs="Times New Roman"/>
          <w:szCs w:val="21"/>
        </w:rPr>
        <w:t>楼</w:t>
      </w:r>
      <w:r>
        <w:rPr>
          <w:rStyle w:val="50"/>
          <w:rFonts w:ascii="宋体" w:hAnsi="宋体" w:eastAsia="宋体" w:cs="Times New Roman"/>
          <w:szCs w:val="21"/>
        </w:rPr>
        <w:t>板                     （d）现浇</w:t>
      </w:r>
      <w:r>
        <w:rPr>
          <w:rStyle w:val="50"/>
          <w:rFonts w:hint="eastAsia" w:ascii="宋体" w:hAnsi="宋体" w:eastAsia="宋体" w:cs="Times New Roman"/>
          <w:szCs w:val="21"/>
        </w:rPr>
        <w:t>钢筋混凝土楼</w:t>
      </w:r>
      <w:r>
        <w:rPr>
          <w:rStyle w:val="50"/>
          <w:rFonts w:ascii="宋体" w:hAnsi="宋体" w:eastAsia="宋体" w:cs="Times New Roman"/>
          <w:szCs w:val="21"/>
        </w:rPr>
        <w:t>板</w:t>
      </w:r>
    </w:p>
    <w:p>
      <w:pPr>
        <w:pStyle w:val="27"/>
        <w:jc w:val="center"/>
        <w:rPr>
          <w:rStyle w:val="50"/>
          <w:rFonts w:ascii="宋体" w:hAnsi="宋体" w:eastAsia="宋体" w:cs="Times New Roman"/>
          <w:szCs w:val="21"/>
        </w:rPr>
      </w:pPr>
      <w:r>
        <w:rPr>
          <w:rStyle w:val="50"/>
          <w:rFonts w:hint="eastAsia" w:ascii="宋体" w:hAnsi="宋体" w:eastAsia="宋体" w:cs="Times New Roman"/>
          <w:szCs w:val="21"/>
        </w:rPr>
        <w:t xml:space="preserve">   </w:t>
      </w:r>
      <w:r>
        <w:rPr>
          <w:rStyle w:val="50"/>
          <w:rFonts w:ascii="宋体" w:hAnsi="宋体" w:eastAsia="宋体" w:cs="Times New Roman"/>
          <w:szCs w:val="21"/>
        </w:rPr>
        <w:t>图6.4.1-1 组合楼盖楼板类型</w:t>
      </w:r>
    </w:p>
    <w:p>
      <w:pPr>
        <w:pStyle w:val="27"/>
        <w:jc w:val="left"/>
        <w:rPr>
          <w:rFonts w:ascii="Times New Roman" w:hAnsi="Times New Roman"/>
          <w:bCs/>
          <w:color w:val="0070C0"/>
        </w:rPr>
      </w:pPr>
      <w:r>
        <w:rPr>
          <w:rFonts w:hint="eastAsia" w:ascii="宋体" w:hAnsi="宋体" w:eastAsia="宋体" w:cs="黑体"/>
          <w:b/>
          <w:bCs/>
          <w:kern w:val="0"/>
        </w:rPr>
        <w:t>【条文说明】：</w:t>
      </w:r>
      <w:r>
        <w:rPr>
          <w:rFonts w:hint="eastAsia" w:ascii="宋体" w:hAnsi="宋体" w:eastAsia="宋体"/>
          <w:bCs/>
          <w:color w:val="0070C0"/>
        </w:rPr>
        <w:t>楼板设计时，卫生间等有水房间楼板应采取水平防水措施，防止水沿钢柱周边向下渗透，高端住宅对此要求较高，以解决普通钢结构的这个通病。</w:t>
      </w:r>
    </w:p>
    <w:p>
      <w:pPr>
        <w:pStyle w:val="27"/>
        <w:spacing w:line="360" w:lineRule="auto"/>
        <w:rPr>
          <w:rStyle w:val="50"/>
          <w:rFonts w:ascii="宋体" w:hAnsi="宋体" w:eastAsia="宋体"/>
          <w:szCs w:val="21"/>
        </w:rPr>
      </w:pPr>
      <w:r>
        <w:rPr>
          <w:rFonts w:ascii="Times New Roman" w:hAnsi="Times New Roman" w:eastAsia="宋体" w:cs="Times New Roman"/>
          <w:b/>
          <w:bCs/>
          <w:sz w:val="24"/>
          <w:szCs w:val="24"/>
        </w:rPr>
        <w:t>6.4.2</w:t>
      </w:r>
      <w:r>
        <w:rPr>
          <w:rStyle w:val="50"/>
          <w:rFonts w:ascii="宋体" w:hAnsi="宋体" w:eastAsia="宋体"/>
          <w:b/>
          <w:szCs w:val="21"/>
        </w:rPr>
        <w:t xml:space="preserve"> </w:t>
      </w:r>
      <w:r>
        <w:rPr>
          <w:rStyle w:val="50"/>
          <w:rFonts w:ascii="宋体" w:hAnsi="宋体" w:eastAsia="宋体"/>
          <w:sz w:val="24"/>
          <w:szCs w:val="24"/>
        </w:rPr>
        <w:t>钢结构住宅的楼板</w:t>
      </w:r>
      <w:r>
        <w:rPr>
          <w:rStyle w:val="50"/>
          <w:rFonts w:hint="eastAsia" w:ascii="宋体" w:hAnsi="宋体" w:eastAsia="宋体"/>
          <w:sz w:val="24"/>
          <w:szCs w:val="24"/>
        </w:rPr>
        <w:t>应进行承载能力极限状态和正常使用极限状态设计。</w:t>
      </w:r>
      <w:r>
        <w:rPr>
          <w:rStyle w:val="50"/>
          <w:rFonts w:ascii="宋体" w:hAnsi="宋体" w:eastAsia="宋体"/>
          <w:sz w:val="24"/>
          <w:szCs w:val="24"/>
        </w:rPr>
        <w:t>施工阶段</w:t>
      </w:r>
      <w:r>
        <w:rPr>
          <w:rStyle w:val="50"/>
          <w:rFonts w:hint="eastAsia" w:ascii="宋体" w:hAnsi="宋体" w:eastAsia="宋体"/>
          <w:sz w:val="24"/>
          <w:szCs w:val="24"/>
        </w:rPr>
        <w:t>设置</w:t>
      </w:r>
      <w:r>
        <w:rPr>
          <w:rStyle w:val="50"/>
          <w:rFonts w:ascii="宋体" w:hAnsi="宋体" w:eastAsia="宋体"/>
          <w:sz w:val="24"/>
          <w:szCs w:val="24"/>
        </w:rPr>
        <w:t>可靠支撑的钢筋桁架组合楼板</w:t>
      </w:r>
      <w:r>
        <w:rPr>
          <w:rStyle w:val="50"/>
          <w:rFonts w:hint="eastAsia" w:ascii="宋体" w:hAnsi="宋体" w:eastAsia="宋体"/>
          <w:sz w:val="24"/>
          <w:szCs w:val="24"/>
        </w:rPr>
        <w:t>、</w:t>
      </w:r>
      <w:r>
        <w:rPr>
          <w:rStyle w:val="50"/>
          <w:rFonts w:ascii="宋体" w:hAnsi="宋体" w:eastAsia="宋体"/>
          <w:sz w:val="24"/>
          <w:szCs w:val="24"/>
        </w:rPr>
        <w:t>混凝土叠合楼板</w:t>
      </w:r>
      <w:r>
        <w:rPr>
          <w:rStyle w:val="50"/>
          <w:rFonts w:hint="eastAsia" w:ascii="宋体" w:hAnsi="宋体" w:eastAsia="宋体"/>
          <w:sz w:val="24"/>
          <w:szCs w:val="24"/>
        </w:rPr>
        <w:t>、</w:t>
      </w:r>
      <w:r>
        <w:rPr>
          <w:rStyle w:val="50"/>
          <w:rFonts w:ascii="宋体" w:hAnsi="宋体" w:eastAsia="宋体"/>
          <w:sz w:val="24"/>
          <w:szCs w:val="24"/>
        </w:rPr>
        <w:t>压型钢板组合楼板</w:t>
      </w:r>
      <w:r>
        <w:rPr>
          <w:rStyle w:val="50"/>
          <w:rFonts w:hint="eastAsia" w:ascii="宋体" w:hAnsi="宋体" w:eastAsia="宋体"/>
          <w:sz w:val="24"/>
          <w:szCs w:val="24"/>
        </w:rPr>
        <w:t>、</w:t>
      </w:r>
      <w:r>
        <w:rPr>
          <w:rStyle w:val="50"/>
          <w:rFonts w:ascii="宋体" w:hAnsi="宋体" w:eastAsia="宋体"/>
          <w:sz w:val="24"/>
          <w:szCs w:val="24"/>
        </w:rPr>
        <w:t>现浇混凝土楼板</w:t>
      </w:r>
      <w:r>
        <w:rPr>
          <w:rStyle w:val="50"/>
          <w:rFonts w:hint="eastAsia" w:ascii="宋体" w:hAnsi="宋体" w:eastAsia="宋体"/>
          <w:sz w:val="24"/>
          <w:szCs w:val="24"/>
        </w:rPr>
        <w:t>，</w:t>
      </w:r>
      <w:r>
        <w:rPr>
          <w:rStyle w:val="50"/>
          <w:rFonts w:ascii="宋体" w:hAnsi="宋体" w:eastAsia="宋体"/>
          <w:sz w:val="24"/>
          <w:szCs w:val="24"/>
        </w:rPr>
        <w:t>可仅进行使用阶段设计。施工阶段未设置可靠支撑的钢筋桁架组合楼板</w:t>
      </w:r>
      <w:r>
        <w:rPr>
          <w:rStyle w:val="50"/>
          <w:rFonts w:hint="eastAsia" w:ascii="宋体" w:hAnsi="宋体" w:eastAsia="宋体"/>
          <w:sz w:val="24"/>
          <w:szCs w:val="24"/>
        </w:rPr>
        <w:t>、</w:t>
      </w:r>
      <w:r>
        <w:rPr>
          <w:rStyle w:val="50"/>
          <w:rFonts w:ascii="宋体" w:hAnsi="宋体" w:eastAsia="宋体"/>
          <w:sz w:val="24"/>
          <w:szCs w:val="24"/>
        </w:rPr>
        <w:t>混凝土叠合楼板</w:t>
      </w:r>
      <w:r>
        <w:rPr>
          <w:rStyle w:val="50"/>
          <w:rFonts w:hint="eastAsia" w:ascii="宋体" w:hAnsi="宋体" w:eastAsia="宋体"/>
          <w:sz w:val="24"/>
          <w:szCs w:val="24"/>
        </w:rPr>
        <w:t>、</w:t>
      </w:r>
      <w:r>
        <w:rPr>
          <w:rStyle w:val="50"/>
          <w:rFonts w:ascii="宋体" w:hAnsi="宋体" w:eastAsia="宋体"/>
          <w:sz w:val="24"/>
          <w:szCs w:val="24"/>
        </w:rPr>
        <w:t>压型钢板组合楼板，应进行施工</w:t>
      </w:r>
      <w:r>
        <w:rPr>
          <w:rStyle w:val="50"/>
          <w:rFonts w:hint="eastAsia" w:ascii="宋体" w:hAnsi="宋体" w:eastAsia="宋体"/>
          <w:sz w:val="24"/>
          <w:szCs w:val="24"/>
        </w:rPr>
        <w:t>阶段</w:t>
      </w:r>
      <w:r>
        <w:rPr>
          <w:rStyle w:val="50"/>
          <w:rFonts w:ascii="宋体" w:hAnsi="宋体" w:eastAsia="宋体"/>
          <w:sz w:val="24"/>
          <w:szCs w:val="24"/>
        </w:rPr>
        <w:t>和使用阶段设计。</w:t>
      </w:r>
    </w:p>
    <w:p>
      <w:pPr>
        <w:pStyle w:val="27"/>
        <w:spacing w:line="360" w:lineRule="auto"/>
        <w:rPr>
          <w:rStyle w:val="50"/>
          <w:rFonts w:ascii="宋体" w:hAnsi="宋体" w:eastAsia="宋体"/>
          <w:sz w:val="24"/>
          <w:szCs w:val="24"/>
        </w:rPr>
      </w:pPr>
      <w:r>
        <w:rPr>
          <w:rFonts w:ascii="Times New Roman" w:hAnsi="Times New Roman" w:eastAsia="宋体" w:cs="Times New Roman"/>
          <w:b/>
          <w:bCs/>
          <w:sz w:val="24"/>
          <w:szCs w:val="24"/>
        </w:rPr>
        <w:t>6.4.3</w:t>
      </w:r>
      <w:r>
        <w:rPr>
          <w:rStyle w:val="50"/>
          <w:rFonts w:ascii="宋体" w:hAnsi="宋体" w:eastAsia="宋体"/>
          <w:b/>
          <w:szCs w:val="21"/>
        </w:rPr>
        <w:t xml:space="preserve"> </w:t>
      </w:r>
      <w:r>
        <w:rPr>
          <w:rStyle w:val="50"/>
          <w:rFonts w:ascii="宋体" w:hAnsi="宋体" w:eastAsia="宋体"/>
          <w:sz w:val="24"/>
          <w:szCs w:val="24"/>
        </w:rPr>
        <w:t>钢结构住宅</w:t>
      </w:r>
      <w:r>
        <w:rPr>
          <w:rStyle w:val="50"/>
          <w:rFonts w:hint="eastAsia" w:ascii="宋体" w:hAnsi="宋体" w:eastAsia="宋体"/>
          <w:sz w:val="24"/>
          <w:szCs w:val="24"/>
        </w:rPr>
        <w:t>的</w:t>
      </w:r>
      <w:r>
        <w:rPr>
          <w:rStyle w:val="50"/>
          <w:rFonts w:ascii="宋体" w:hAnsi="宋体" w:eastAsia="宋体"/>
          <w:sz w:val="24"/>
          <w:szCs w:val="24"/>
        </w:rPr>
        <w:t>楼板应与钢梁形成整体共同受力</w:t>
      </w:r>
      <w:r>
        <w:rPr>
          <w:rStyle w:val="50"/>
          <w:rFonts w:hint="eastAsia" w:ascii="宋体" w:hAnsi="宋体" w:eastAsia="宋体"/>
          <w:sz w:val="24"/>
          <w:szCs w:val="24"/>
        </w:rPr>
        <w:t>，楼板的现浇混凝土与钢梁应通过抗剪连接件可靠连接，抗剪连接件宜采用圆柱头焊钉；</w:t>
      </w:r>
      <w:r>
        <w:rPr>
          <w:rStyle w:val="50"/>
          <w:rFonts w:ascii="宋体" w:hAnsi="宋体" w:eastAsia="宋体"/>
          <w:sz w:val="24"/>
          <w:szCs w:val="24"/>
        </w:rPr>
        <w:t>混凝土叠合楼板</w:t>
      </w:r>
      <w:r>
        <w:rPr>
          <w:rStyle w:val="50"/>
          <w:rFonts w:hint="eastAsia" w:ascii="宋体" w:hAnsi="宋体" w:eastAsia="宋体"/>
          <w:sz w:val="24"/>
          <w:szCs w:val="24"/>
        </w:rPr>
        <w:t>的预制板应通过预埋件与钢梁可靠连接，连接方式宜采用焊接连接</w:t>
      </w:r>
      <w:r>
        <w:rPr>
          <w:rStyle w:val="50"/>
          <w:rFonts w:ascii="宋体" w:hAnsi="宋体" w:eastAsia="宋体"/>
          <w:sz w:val="24"/>
          <w:szCs w:val="24"/>
        </w:rPr>
        <w:t>。</w:t>
      </w:r>
    </w:p>
    <w:p>
      <w:pPr>
        <w:pStyle w:val="27"/>
        <w:spacing w:line="360" w:lineRule="auto"/>
        <w:rPr>
          <w:rStyle w:val="50"/>
          <w:rFonts w:ascii="宋体" w:hAnsi="宋体" w:eastAsia="宋体"/>
          <w:b/>
          <w:sz w:val="24"/>
          <w:szCs w:val="24"/>
        </w:rPr>
      </w:pPr>
      <w:r>
        <w:rPr>
          <w:rFonts w:ascii="Times New Roman" w:hAnsi="Times New Roman" w:eastAsia="宋体" w:cs="Times New Roman"/>
          <w:b/>
          <w:bCs/>
          <w:sz w:val="24"/>
          <w:szCs w:val="24"/>
        </w:rPr>
        <w:t>6.4.4</w:t>
      </w:r>
      <w:r>
        <w:rPr>
          <w:rStyle w:val="50"/>
          <w:rFonts w:ascii="宋体" w:hAnsi="宋体" w:eastAsia="宋体"/>
          <w:b/>
          <w:szCs w:val="21"/>
        </w:rPr>
        <w:t xml:space="preserve"> </w:t>
      </w:r>
      <w:r>
        <w:rPr>
          <w:rStyle w:val="50"/>
          <w:rFonts w:hint="eastAsia" w:ascii="宋体" w:hAnsi="宋体" w:eastAsia="宋体"/>
          <w:sz w:val="24"/>
          <w:szCs w:val="24"/>
        </w:rPr>
        <w:t>现浇混凝土</w:t>
      </w:r>
      <w:r>
        <w:rPr>
          <w:rStyle w:val="50"/>
          <w:rFonts w:ascii="宋体" w:hAnsi="宋体" w:eastAsia="宋体"/>
          <w:sz w:val="24"/>
          <w:szCs w:val="24"/>
        </w:rPr>
        <w:t>组合楼板应具有必要的刚度，并应满足下列要求：</w:t>
      </w:r>
    </w:p>
    <w:p>
      <w:pPr>
        <w:pStyle w:val="27"/>
        <w:spacing w:line="360" w:lineRule="auto"/>
        <w:ind w:firstLine="482" w:firstLineChars="200"/>
        <w:rPr>
          <w:rStyle w:val="50"/>
          <w:rFonts w:ascii="宋体" w:hAnsi="宋体" w:eastAsia="宋体" w:cs="Times New Roman"/>
          <w:sz w:val="24"/>
          <w:szCs w:val="24"/>
        </w:rPr>
      </w:pPr>
      <w:r>
        <w:rPr>
          <w:rStyle w:val="50"/>
          <w:rFonts w:ascii="宋体" w:hAnsi="宋体" w:eastAsia="宋体" w:cs="Times New Roman"/>
          <w:b/>
          <w:sz w:val="24"/>
          <w:szCs w:val="24"/>
        </w:rPr>
        <w:t xml:space="preserve">1 </w:t>
      </w:r>
      <w:r>
        <w:rPr>
          <w:rStyle w:val="50"/>
          <w:rFonts w:ascii="宋体" w:hAnsi="宋体" w:eastAsia="宋体"/>
          <w:sz w:val="24"/>
          <w:szCs w:val="24"/>
        </w:rPr>
        <w:t>钢筋桁架</w:t>
      </w:r>
      <w:r>
        <w:rPr>
          <w:rStyle w:val="50"/>
          <w:rFonts w:hint="eastAsia" w:ascii="宋体" w:hAnsi="宋体" w:eastAsia="宋体"/>
          <w:sz w:val="24"/>
          <w:szCs w:val="24"/>
        </w:rPr>
        <w:t>楼承板</w:t>
      </w:r>
      <w:r>
        <w:rPr>
          <w:rStyle w:val="50"/>
          <w:rFonts w:ascii="宋体" w:hAnsi="宋体" w:eastAsia="宋体"/>
          <w:sz w:val="24"/>
          <w:szCs w:val="24"/>
        </w:rPr>
        <w:t>或</w:t>
      </w:r>
      <w:r>
        <w:rPr>
          <w:rStyle w:val="50"/>
          <w:rFonts w:ascii="宋体" w:hAnsi="宋体" w:eastAsia="宋体" w:cs="Times New Roman"/>
          <w:sz w:val="24"/>
          <w:szCs w:val="24"/>
        </w:rPr>
        <w:t>组合楼板底部的压型钢板在施工阶段的挠度不应大于板跨的1/180，且不应大于20mm</w:t>
      </w:r>
      <w:r>
        <w:rPr>
          <w:rStyle w:val="50"/>
          <w:rFonts w:hint="eastAsia" w:ascii="宋体" w:hAnsi="宋体" w:eastAsia="宋体" w:cs="Times New Roman"/>
          <w:sz w:val="24"/>
          <w:szCs w:val="24"/>
        </w:rPr>
        <w:t>；</w:t>
      </w:r>
    </w:p>
    <w:p>
      <w:pPr>
        <w:pStyle w:val="27"/>
        <w:spacing w:line="360" w:lineRule="auto"/>
        <w:ind w:firstLine="482" w:firstLineChars="200"/>
        <w:rPr>
          <w:rStyle w:val="50"/>
          <w:rFonts w:ascii="宋体" w:hAnsi="宋体" w:eastAsia="宋体" w:cs="Times New Roman"/>
          <w:sz w:val="24"/>
          <w:szCs w:val="24"/>
        </w:rPr>
      </w:pPr>
      <w:r>
        <w:rPr>
          <w:rStyle w:val="50"/>
          <w:rFonts w:ascii="宋体" w:hAnsi="宋体" w:eastAsia="宋体" w:cs="Times New Roman"/>
          <w:b/>
          <w:sz w:val="24"/>
          <w:szCs w:val="24"/>
        </w:rPr>
        <w:t xml:space="preserve">2 </w:t>
      </w:r>
      <w:r>
        <w:rPr>
          <w:rStyle w:val="50"/>
          <w:rFonts w:ascii="宋体" w:hAnsi="宋体" w:eastAsia="宋体" w:cs="Times New Roman"/>
          <w:sz w:val="24"/>
          <w:szCs w:val="24"/>
        </w:rPr>
        <w:t>组合楼板使用阶段的挠度不应大于板跨的1/200</w:t>
      </w:r>
      <w:r>
        <w:rPr>
          <w:rStyle w:val="50"/>
          <w:rFonts w:hint="eastAsia" w:ascii="宋体" w:hAnsi="宋体" w:eastAsia="宋体" w:cs="Times New Roman"/>
          <w:sz w:val="24"/>
          <w:szCs w:val="24"/>
        </w:rPr>
        <w:t>；</w:t>
      </w:r>
    </w:p>
    <w:p>
      <w:pPr>
        <w:pStyle w:val="27"/>
        <w:spacing w:line="360" w:lineRule="auto"/>
        <w:rPr>
          <w:rStyle w:val="50"/>
          <w:rFonts w:ascii="宋体" w:hAnsi="宋体" w:eastAsia="宋体" w:cs="Times New Roman"/>
          <w:b/>
          <w:sz w:val="24"/>
          <w:szCs w:val="24"/>
        </w:rPr>
      </w:pPr>
      <w:r>
        <w:rPr>
          <w:rFonts w:ascii="Times New Roman" w:hAnsi="Times New Roman" w:eastAsia="宋体" w:cs="Times New Roman"/>
          <w:b/>
          <w:bCs/>
          <w:sz w:val="24"/>
          <w:szCs w:val="24"/>
        </w:rPr>
        <w:t>6.4.5</w:t>
      </w:r>
      <w:r>
        <w:rPr>
          <w:rStyle w:val="50"/>
          <w:rFonts w:ascii="宋体" w:hAnsi="宋体" w:eastAsia="宋体" w:cs="Times New Roman"/>
          <w:b/>
          <w:szCs w:val="21"/>
        </w:rPr>
        <w:t xml:space="preserve"> </w:t>
      </w:r>
      <w:r>
        <w:rPr>
          <w:rStyle w:val="50"/>
          <w:rFonts w:ascii="宋体" w:hAnsi="宋体" w:eastAsia="宋体" w:cs="Times New Roman"/>
          <w:sz w:val="24"/>
          <w:szCs w:val="24"/>
        </w:rPr>
        <w:t>主梁和次梁的布置宜采用平接</w:t>
      </w:r>
      <w:r>
        <w:rPr>
          <w:rStyle w:val="50"/>
          <w:rFonts w:hint="eastAsia" w:ascii="宋体" w:hAnsi="宋体" w:eastAsia="宋体" w:cs="Times New Roman"/>
          <w:sz w:val="24"/>
          <w:szCs w:val="24"/>
        </w:rPr>
        <w:t>，因楼板</w:t>
      </w:r>
      <w:r>
        <w:rPr>
          <w:rStyle w:val="50"/>
          <w:rFonts w:ascii="宋体" w:hAnsi="宋体" w:eastAsia="宋体" w:cs="Times New Roman"/>
          <w:sz w:val="24"/>
          <w:szCs w:val="24"/>
        </w:rPr>
        <w:t>厚度</w:t>
      </w:r>
      <w:r>
        <w:rPr>
          <w:rStyle w:val="50"/>
          <w:rFonts w:hint="eastAsia" w:ascii="宋体" w:hAnsi="宋体" w:eastAsia="宋体" w:cs="Times New Roman"/>
          <w:sz w:val="24"/>
          <w:szCs w:val="24"/>
        </w:rPr>
        <w:t>变化或</w:t>
      </w:r>
      <w:r>
        <w:rPr>
          <w:rStyle w:val="50"/>
          <w:rFonts w:ascii="宋体" w:hAnsi="宋体" w:eastAsia="宋体" w:cs="Times New Roman"/>
          <w:sz w:val="24"/>
          <w:szCs w:val="24"/>
        </w:rPr>
        <w:t>卫生间等局部</w:t>
      </w:r>
      <w:r>
        <w:rPr>
          <w:rStyle w:val="50"/>
          <w:rFonts w:hint="eastAsia" w:ascii="宋体" w:hAnsi="宋体" w:eastAsia="宋体" w:cs="Times New Roman"/>
          <w:sz w:val="24"/>
          <w:szCs w:val="24"/>
        </w:rPr>
        <w:t>楼</w:t>
      </w:r>
      <w:r>
        <w:rPr>
          <w:rStyle w:val="50"/>
          <w:rFonts w:ascii="宋体" w:hAnsi="宋体" w:eastAsia="宋体" w:cs="Times New Roman"/>
          <w:sz w:val="24"/>
          <w:szCs w:val="24"/>
        </w:rPr>
        <w:t>板降低</w:t>
      </w:r>
      <w:r>
        <w:rPr>
          <w:rStyle w:val="50"/>
          <w:rFonts w:hint="eastAsia" w:ascii="宋体" w:hAnsi="宋体" w:eastAsia="宋体" w:cs="Times New Roman"/>
          <w:sz w:val="24"/>
          <w:szCs w:val="24"/>
        </w:rPr>
        <w:t>造成的楼板底标高</w:t>
      </w:r>
      <w:r>
        <w:rPr>
          <w:rStyle w:val="50"/>
          <w:rFonts w:ascii="宋体" w:hAnsi="宋体" w:eastAsia="宋体" w:cs="Times New Roman"/>
          <w:sz w:val="24"/>
          <w:szCs w:val="24"/>
        </w:rPr>
        <w:t>不一致</w:t>
      </w:r>
      <w:r>
        <w:rPr>
          <w:rStyle w:val="50"/>
          <w:rFonts w:hint="eastAsia" w:ascii="宋体" w:hAnsi="宋体" w:eastAsia="宋体" w:cs="Times New Roman"/>
          <w:sz w:val="24"/>
          <w:szCs w:val="24"/>
        </w:rPr>
        <w:t>，可</w:t>
      </w:r>
      <w:r>
        <w:rPr>
          <w:rStyle w:val="50"/>
          <w:rFonts w:ascii="宋体" w:hAnsi="宋体" w:eastAsia="宋体" w:cs="Times New Roman"/>
          <w:sz w:val="24"/>
          <w:szCs w:val="24"/>
        </w:rPr>
        <w:t>通过</w:t>
      </w:r>
      <w:r>
        <w:rPr>
          <w:rStyle w:val="50"/>
          <w:rFonts w:hint="eastAsia" w:ascii="宋体" w:hAnsi="宋体" w:eastAsia="宋体" w:cs="Times New Roman"/>
          <w:sz w:val="24"/>
          <w:szCs w:val="24"/>
        </w:rPr>
        <w:t>改变钢梁</w:t>
      </w:r>
      <w:r>
        <w:rPr>
          <w:rStyle w:val="50"/>
          <w:rFonts w:ascii="宋体" w:hAnsi="宋体" w:eastAsia="宋体" w:cs="Times New Roman"/>
          <w:sz w:val="24"/>
          <w:szCs w:val="24"/>
        </w:rPr>
        <w:t>标高</w:t>
      </w:r>
      <w:r>
        <w:rPr>
          <w:rStyle w:val="50"/>
          <w:rFonts w:hint="eastAsia" w:ascii="宋体" w:hAnsi="宋体" w:eastAsia="宋体" w:cs="Times New Roman"/>
          <w:sz w:val="24"/>
          <w:szCs w:val="24"/>
        </w:rPr>
        <w:t>或</w:t>
      </w:r>
      <w:r>
        <w:rPr>
          <w:rStyle w:val="50"/>
          <w:rFonts w:ascii="宋体" w:hAnsi="宋体" w:eastAsia="宋体" w:cs="Times New Roman"/>
          <w:sz w:val="24"/>
          <w:szCs w:val="24"/>
        </w:rPr>
        <w:t>截面高度</w:t>
      </w:r>
      <w:r>
        <w:rPr>
          <w:rStyle w:val="50"/>
          <w:rFonts w:hint="eastAsia" w:ascii="宋体" w:hAnsi="宋体" w:eastAsia="宋体" w:cs="Times New Roman"/>
          <w:sz w:val="24"/>
          <w:szCs w:val="24"/>
        </w:rPr>
        <w:t>的</w:t>
      </w:r>
      <w:r>
        <w:rPr>
          <w:rStyle w:val="50"/>
          <w:rFonts w:ascii="宋体" w:hAnsi="宋体" w:eastAsia="宋体" w:cs="Times New Roman"/>
          <w:sz w:val="24"/>
          <w:szCs w:val="24"/>
        </w:rPr>
        <w:t>方式</w:t>
      </w:r>
      <w:r>
        <w:rPr>
          <w:rStyle w:val="50"/>
          <w:rFonts w:hint="eastAsia" w:ascii="宋体" w:hAnsi="宋体" w:eastAsia="宋体" w:cs="Times New Roman"/>
          <w:sz w:val="24"/>
          <w:szCs w:val="24"/>
        </w:rPr>
        <w:t>进行</w:t>
      </w:r>
      <w:r>
        <w:rPr>
          <w:rStyle w:val="50"/>
          <w:rFonts w:ascii="宋体" w:hAnsi="宋体" w:eastAsia="宋体" w:cs="Times New Roman"/>
          <w:sz w:val="24"/>
          <w:szCs w:val="24"/>
        </w:rPr>
        <w:t>调整</w:t>
      </w:r>
      <w:r>
        <w:rPr>
          <w:rStyle w:val="50"/>
          <w:rFonts w:hint="eastAsia" w:ascii="宋体" w:hAnsi="宋体" w:eastAsia="宋体" w:cs="Times New Roman"/>
          <w:sz w:val="24"/>
          <w:szCs w:val="24"/>
        </w:rPr>
        <w:t>。</w:t>
      </w:r>
      <w:r>
        <w:rPr>
          <w:rFonts w:ascii="宋体" w:hAnsi="宋体" w:eastAsia="宋体" w:cs="Times New Roman"/>
          <w:bCs/>
          <w:sz w:val="24"/>
          <w:szCs w:val="24"/>
        </w:rPr>
        <w:t>卫生间等局部</w:t>
      </w:r>
      <w:r>
        <w:rPr>
          <w:rFonts w:hint="eastAsia" w:ascii="宋体" w:hAnsi="宋体" w:eastAsia="宋体" w:cs="Times New Roman"/>
          <w:bCs/>
          <w:sz w:val="24"/>
          <w:szCs w:val="24"/>
        </w:rPr>
        <w:t>楼</w:t>
      </w:r>
      <w:r>
        <w:rPr>
          <w:rFonts w:ascii="宋体" w:hAnsi="宋体" w:eastAsia="宋体" w:cs="Times New Roman"/>
          <w:bCs/>
          <w:sz w:val="24"/>
          <w:szCs w:val="24"/>
        </w:rPr>
        <w:t>板</w:t>
      </w:r>
      <w:r>
        <w:rPr>
          <w:rFonts w:hint="eastAsia" w:ascii="宋体" w:hAnsi="宋体" w:eastAsia="宋体" w:cs="Times New Roman"/>
          <w:bCs/>
          <w:sz w:val="24"/>
          <w:szCs w:val="24"/>
        </w:rPr>
        <w:t>部分</w:t>
      </w:r>
      <w:r>
        <w:rPr>
          <w:rFonts w:ascii="宋体" w:hAnsi="宋体" w:eastAsia="宋体" w:cs="Times New Roman"/>
          <w:bCs/>
          <w:sz w:val="24"/>
          <w:szCs w:val="24"/>
        </w:rPr>
        <w:t>宜采用</w:t>
      </w:r>
      <w:r>
        <w:rPr>
          <w:rFonts w:hint="eastAsia" w:ascii="宋体" w:hAnsi="宋体" w:eastAsia="宋体" w:cs="Times New Roman"/>
          <w:bCs/>
          <w:sz w:val="24"/>
          <w:szCs w:val="24"/>
        </w:rPr>
        <w:t>现浇楼板</w:t>
      </w:r>
      <w:r>
        <w:rPr>
          <w:rFonts w:ascii="宋体" w:hAnsi="宋体" w:eastAsia="宋体" w:cs="Times New Roman"/>
          <w:bCs/>
          <w:sz w:val="24"/>
          <w:szCs w:val="24"/>
        </w:rPr>
        <w:t>。</w:t>
      </w:r>
    </w:p>
    <w:p>
      <w:pPr>
        <w:pStyle w:val="27"/>
        <w:spacing w:line="360" w:lineRule="auto"/>
        <w:rPr>
          <w:rStyle w:val="50"/>
          <w:rFonts w:ascii="宋体" w:hAnsi="宋体" w:eastAsia="宋体" w:cs="Times New Roman"/>
          <w:sz w:val="24"/>
          <w:szCs w:val="24"/>
        </w:rPr>
      </w:pPr>
      <w:r>
        <w:rPr>
          <w:rFonts w:ascii="Times New Roman" w:hAnsi="Times New Roman"/>
          <w:b/>
          <w:sz w:val="24"/>
          <w:szCs w:val="24"/>
        </w:rPr>
        <w:t>6.4.6</w:t>
      </w:r>
      <w:r>
        <w:rPr>
          <w:rStyle w:val="50"/>
          <w:rFonts w:ascii="宋体" w:hAnsi="宋体" w:eastAsia="宋体" w:cs="Times New Roman"/>
          <w:b/>
          <w:szCs w:val="21"/>
        </w:rPr>
        <w:t xml:space="preserve"> </w:t>
      </w:r>
      <w:r>
        <w:rPr>
          <w:rStyle w:val="50"/>
          <w:rFonts w:ascii="宋体" w:hAnsi="宋体" w:eastAsia="宋体"/>
          <w:sz w:val="24"/>
          <w:szCs w:val="24"/>
        </w:rPr>
        <w:t>钢结构住宅</w:t>
      </w:r>
      <w:r>
        <w:rPr>
          <w:rStyle w:val="50"/>
          <w:rFonts w:hint="eastAsia" w:ascii="宋体" w:hAnsi="宋体" w:eastAsia="宋体"/>
          <w:sz w:val="24"/>
          <w:szCs w:val="24"/>
        </w:rPr>
        <w:t>的组合</w:t>
      </w:r>
      <w:r>
        <w:rPr>
          <w:rStyle w:val="50"/>
          <w:rFonts w:ascii="宋体" w:hAnsi="宋体" w:eastAsia="宋体" w:cs="Times New Roman"/>
          <w:sz w:val="24"/>
          <w:szCs w:val="24"/>
        </w:rPr>
        <w:t>楼盖</w:t>
      </w:r>
      <w:r>
        <w:rPr>
          <w:rStyle w:val="50"/>
          <w:rFonts w:hint="eastAsia" w:ascii="宋体" w:hAnsi="宋体" w:eastAsia="宋体" w:cs="Times New Roman"/>
          <w:sz w:val="24"/>
          <w:szCs w:val="24"/>
        </w:rPr>
        <w:t>中钢梁上表面</w:t>
      </w:r>
      <w:r>
        <w:rPr>
          <w:rStyle w:val="50"/>
          <w:rFonts w:ascii="宋体" w:hAnsi="宋体" w:eastAsia="宋体" w:cs="Times New Roman"/>
          <w:sz w:val="24"/>
          <w:szCs w:val="24"/>
        </w:rPr>
        <w:t>和</w:t>
      </w:r>
      <w:r>
        <w:rPr>
          <w:rStyle w:val="50"/>
          <w:rFonts w:hint="eastAsia" w:ascii="宋体" w:hAnsi="宋体" w:eastAsia="宋体" w:cs="Times New Roman"/>
          <w:sz w:val="24"/>
          <w:szCs w:val="24"/>
        </w:rPr>
        <w:t>与混凝土结合部位应</w:t>
      </w:r>
      <w:r>
        <w:rPr>
          <w:rStyle w:val="50"/>
          <w:rFonts w:ascii="宋体" w:hAnsi="宋体" w:eastAsia="宋体" w:cs="Times New Roman"/>
          <w:sz w:val="24"/>
          <w:szCs w:val="24"/>
        </w:rPr>
        <w:t>清除污垢</w:t>
      </w:r>
      <w:r>
        <w:rPr>
          <w:rStyle w:val="50"/>
          <w:rFonts w:hint="eastAsia" w:ascii="宋体" w:hAnsi="宋体" w:eastAsia="宋体" w:cs="Times New Roman"/>
          <w:sz w:val="24"/>
          <w:szCs w:val="24"/>
        </w:rPr>
        <w:t>并作防锈处理，不做防锈涂层。</w:t>
      </w:r>
    </w:p>
    <w:p>
      <w:pPr>
        <w:pStyle w:val="27"/>
        <w:spacing w:line="360" w:lineRule="auto"/>
        <w:rPr>
          <w:rStyle w:val="50"/>
          <w:rFonts w:ascii="宋体" w:hAnsi="宋体" w:eastAsia="宋体" w:cs="Times New Roman"/>
          <w:sz w:val="24"/>
          <w:szCs w:val="24"/>
        </w:rPr>
      </w:pPr>
      <w:r>
        <w:rPr>
          <w:rFonts w:ascii="Times New Roman" w:hAnsi="Times New Roman"/>
          <w:b/>
          <w:bCs/>
          <w:sz w:val="24"/>
          <w:szCs w:val="24"/>
        </w:rPr>
        <w:t>6.4.7</w:t>
      </w:r>
      <w:r>
        <w:rPr>
          <w:rStyle w:val="50"/>
          <w:rFonts w:ascii="宋体" w:hAnsi="宋体" w:eastAsia="宋体" w:cs="Times New Roman"/>
          <w:szCs w:val="21"/>
        </w:rPr>
        <w:t xml:space="preserve"> </w:t>
      </w:r>
      <w:r>
        <w:rPr>
          <w:rStyle w:val="50"/>
          <w:rFonts w:ascii="宋体" w:hAnsi="宋体" w:eastAsia="宋体"/>
          <w:sz w:val="24"/>
          <w:szCs w:val="24"/>
        </w:rPr>
        <w:t>钢结构住宅</w:t>
      </w:r>
      <w:r>
        <w:rPr>
          <w:rStyle w:val="50"/>
          <w:rFonts w:hint="eastAsia" w:ascii="宋体" w:hAnsi="宋体" w:eastAsia="宋体"/>
          <w:sz w:val="24"/>
          <w:szCs w:val="24"/>
        </w:rPr>
        <w:t>的组合</w:t>
      </w:r>
      <w:r>
        <w:rPr>
          <w:rStyle w:val="50"/>
          <w:rFonts w:ascii="宋体" w:hAnsi="宋体" w:eastAsia="宋体" w:cs="Times New Roman"/>
          <w:sz w:val="24"/>
          <w:szCs w:val="24"/>
        </w:rPr>
        <w:t>楼盖应</w:t>
      </w:r>
      <w:r>
        <w:rPr>
          <w:rStyle w:val="50"/>
          <w:rFonts w:hint="eastAsia" w:ascii="宋体" w:hAnsi="宋体" w:eastAsia="宋体" w:cs="Times New Roman"/>
          <w:sz w:val="24"/>
          <w:szCs w:val="24"/>
        </w:rPr>
        <w:t>进行抗火和</w:t>
      </w:r>
      <w:r>
        <w:rPr>
          <w:rStyle w:val="50"/>
          <w:rFonts w:ascii="宋体" w:hAnsi="宋体" w:eastAsia="宋体" w:cs="Times New Roman"/>
          <w:sz w:val="24"/>
          <w:szCs w:val="24"/>
        </w:rPr>
        <w:t>防腐蚀</w:t>
      </w:r>
      <w:r>
        <w:rPr>
          <w:rStyle w:val="50"/>
          <w:rFonts w:hint="eastAsia" w:ascii="宋体" w:hAnsi="宋体" w:eastAsia="宋体" w:cs="Times New Roman"/>
          <w:sz w:val="24"/>
          <w:szCs w:val="24"/>
        </w:rPr>
        <w:t>设计</w:t>
      </w:r>
      <w:r>
        <w:rPr>
          <w:rStyle w:val="50"/>
          <w:rFonts w:ascii="宋体" w:hAnsi="宋体" w:eastAsia="宋体" w:cs="Times New Roman"/>
          <w:sz w:val="24"/>
          <w:szCs w:val="24"/>
        </w:rPr>
        <w:t>，其耐火极限、防腐蚀</w:t>
      </w:r>
      <w:r>
        <w:rPr>
          <w:rStyle w:val="50"/>
          <w:rFonts w:hint="eastAsia" w:ascii="宋体" w:hAnsi="宋体" w:eastAsia="宋体" w:cs="Times New Roman"/>
          <w:sz w:val="24"/>
          <w:szCs w:val="24"/>
        </w:rPr>
        <w:t>措施应</w:t>
      </w:r>
      <w:r>
        <w:rPr>
          <w:rStyle w:val="50"/>
          <w:rFonts w:ascii="宋体" w:hAnsi="宋体" w:eastAsia="宋体" w:cs="Times New Roman"/>
          <w:sz w:val="24"/>
          <w:szCs w:val="24"/>
        </w:rPr>
        <w:t>符合</w:t>
      </w:r>
      <w:r>
        <w:rPr>
          <w:rStyle w:val="50"/>
          <w:rFonts w:hint="eastAsia" w:ascii="宋体" w:hAnsi="宋体" w:eastAsia="宋体" w:cs="Times New Roman"/>
          <w:sz w:val="24"/>
          <w:szCs w:val="24"/>
        </w:rPr>
        <w:t>本标准及</w:t>
      </w:r>
      <w:r>
        <w:rPr>
          <w:rStyle w:val="50"/>
          <w:rFonts w:ascii="宋体" w:hAnsi="宋体" w:eastAsia="宋体" w:cs="Times New Roman"/>
          <w:sz w:val="24"/>
          <w:szCs w:val="24"/>
        </w:rPr>
        <w:t>国家现行有关标准的规定。</w:t>
      </w:r>
    </w:p>
    <w:p>
      <w:pPr>
        <w:pStyle w:val="27"/>
        <w:spacing w:line="360" w:lineRule="auto"/>
        <w:rPr>
          <w:rStyle w:val="50"/>
          <w:rFonts w:ascii="宋体" w:hAnsi="宋体" w:eastAsia="宋体" w:cs="Times New Roman"/>
          <w:sz w:val="24"/>
          <w:szCs w:val="24"/>
        </w:rPr>
      </w:pPr>
      <w:r>
        <w:rPr>
          <w:rFonts w:ascii="Times New Roman" w:hAnsi="Times New Roman"/>
          <w:b/>
          <w:sz w:val="24"/>
          <w:szCs w:val="24"/>
        </w:rPr>
        <w:t>6.4.8</w:t>
      </w:r>
      <w:r>
        <w:rPr>
          <w:rFonts w:ascii="Times New Roman" w:hAnsi="Times New Roman"/>
          <w:bCs/>
          <w:sz w:val="24"/>
          <w:szCs w:val="24"/>
        </w:rPr>
        <w:t xml:space="preserve">  </w:t>
      </w:r>
      <w:r>
        <w:rPr>
          <w:rStyle w:val="50"/>
          <w:rFonts w:ascii="宋体" w:hAnsi="宋体" w:eastAsia="宋体" w:cs="Times New Roman"/>
          <w:sz w:val="24"/>
          <w:szCs w:val="24"/>
        </w:rPr>
        <w:t>钢筋桁架组合楼板的设计</w:t>
      </w:r>
      <w:r>
        <w:rPr>
          <w:rStyle w:val="50"/>
          <w:rFonts w:hint="eastAsia" w:ascii="宋体" w:hAnsi="宋体" w:eastAsia="宋体" w:cs="Times New Roman"/>
          <w:sz w:val="24"/>
          <w:szCs w:val="24"/>
        </w:rPr>
        <w:t>与</w:t>
      </w:r>
      <w:r>
        <w:rPr>
          <w:rStyle w:val="50"/>
          <w:rFonts w:ascii="宋体" w:hAnsi="宋体" w:eastAsia="宋体" w:cs="Times New Roman"/>
          <w:sz w:val="24"/>
          <w:szCs w:val="24"/>
        </w:rPr>
        <w:t>构造应满足下列规定：</w:t>
      </w:r>
    </w:p>
    <w:p>
      <w:pPr>
        <w:pStyle w:val="27"/>
        <w:spacing w:line="360" w:lineRule="auto"/>
        <w:ind w:firstLine="480" w:firstLineChars="200"/>
        <w:jc w:val="left"/>
        <w:rPr>
          <w:rStyle w:val="50"/>
          <w:rFonts w:ascii="宋体" w:hAnsi="宋体" w:eastAsia="宋体" w:cs="Times New Roman"/>
          <w:sz w:val="24"/>
          <w:szCs w:val="24"/>
        </w:rPr>
      </w:pPr>
      <w:r>
        <w:rPr>
          <w:rStyle w:val="50"/>
          <w:rFonts w:ascii="宋体" w:hAnsi="宋体" w:eastAsia="宋体" w:cs="Times New Roman"/>
          <w:bCs w:val="0"/>
          <w:sz w:val="24"/>
          <w:szCs w:val="24"/>
        </w:rPr>
        <w:t>1</w:t>
      </w:r>
      <w:r>
        <w:rPr>
          <w:rStyle w:val="50"/>
          <w:rFonts w:ascii="宋体" w:hAnsi="宋体" w:eastAsia="宋体" w:cs="Times New Roman"/>
          <w:sz w:val="24"/>
          <w:szCs w:val="24"/>
        </w:rPr>
        <w:t xml:space="preserve"> </w:t>
      </w:r>
      <w:r>
        <w:rPr>
          <w:rStyle w:val="50"/>
          <w:rFonts w:hint="eastAsia" w:ascii="宋体" w:hAnsi="宋体" w:eastAsia="宋体" w:cs="Times New Roman"/>
          <w:sz w:val="24"/>
          <w:szCs w:val="24"/>
        </w:rPr>
        <w:t>钢筋桁架</w:t>
      </w:r>
      <w:r>
        <w:rPr>
          <w:rStyle w:val="50"/>
          <w:rFonts w:ascii="宋体" w:hAnsi="宋体" w:eastAsia="宋体" w:cs="Times New Roman"/>
          <w:sz w:val="24"/>
          <w:szCs w:val="24"/>
        </w:rPr>
        <w:t>组合楼板的设计</w:t>
      </w:r>
      <w:r>
        <w:rPr>
          <w:rStyle w:val="50"/>
          <w:rFonts w:hint="eastAsia" w:ascii="宋体" w:hAnsi="宋体" w:eastAsia="宋体" w:cs="Times New Roman"/>
          <w:sz w:val="24"/>
          <w:szCs w:val="24"/>
        </w:rPr>
        <w:t>与</w:t>
      </w:r>
      <w:r>
        <w:rPr>
          <w:rStyle w:val="50"/>
          <w:rFonts w:ascii="宋体" w:hAnsi="宋体" w:eastAsia="宋体" w:cs="Times New Roman"/>
          <w:sz w:val="24"/>
          <w:szCs w:val="24"/>
        </w:rPr>
        <w:t>构造</w:t>
      </w:r>
      <w:r>
        <w:rPr>
          <w:rStyle w:val="50"/>
          <w:rFonts w:hint="eastAsia" w:ascii="宋体" w:hAnsi="宋体" w:eastAsia="宋体" w:cs="Times New Roman"/>
          <w:sz w:val="24"/>
          <w:szCs w:val="24"/>
        </w:rPr>
        <w:t>除应满足本标准外，尚应符合国家</w:t>
      </w:r>
      <w:r>
        <w:rPr>
          <w:rStyle w:val="50"/>
          <w:rFonts w:ascii="宋体" w:hAnsi="宋体" w:eastAsia="宋体" w:cs="Times New Roman"/>
          <w:sz w:val="24"/>
          <w:szCs w:val="24"/>
        </w:rPr>
        <w:t>现行</w:t>
      </w:r>
      <w:r>
        <w:rPr>
          <w:rStyle w:val="50"/>
          <w:rFonts w:hint="eastAsia" w:ascii="宋体" w:hAnsi="宋体" w:eastAsia="宋体" w:cs="Times New Roman"/>
          <w:sz w:val="24"/>
          <w:szCs w:val="24"/>
        </w:rPr>
        <w:t>有关</w:t>
      </w:r>
      <w:r>
        <w:rPr>
          <w:rStyle w:val="50"/>
          <w:rFonts w:ascii="宋体" w:hAnsi="宋体" w:eastAsia="宋体" w:cs="Times New Roman"/>
          <w:sz w:val="24"/>
          <w:szCs w:val="24"/>
        </w:rPr>
        <w:t>标准的规定。</w:t>
      </w:r>
    </w:p>
    <w:p>
      <w:pPr>
        <w:spacing w:line="360" w:lineRule="auto"/>
        <w:ind w:firstLine="480" w:firstLineChars="200"/>
        <w:jc w:val="left"/>
        <w:rPr>
          <w:rStyle w:val="50"/>
          <w:rFonts w:ascii="宋体" w:hAnsi="宋体"/>
          <w:color w:val="auto"/>
          <w:sz w:val="24"/>
          <w:szCs w:val="24"/>
        </w:rPr>
      </w:pPr>
      <w:r>
        <w:rPr>
          <w:rStyle w:val="50"/>
          <w:rFonts w:ascii="宋体" w:hAnsi="宋体"/>
          <w:bCs w:val="0"/>
          <w:color w:val="auto"/>
          <w:sz w:val="24"/>
          <w:szCs w:val="24"/>
        </w:rPr>
        <w:t>2</w:t>
      </w:r>
      <w:r>
        <w:rPr>
          <w:rStyle w:val="50"/>
          <w:rFonts w:ascii="宋体" w:hAnsi="宋体"/>
          <w:b/>
          <w:color w:val="auto"/>
          <w:sz w:val="24"/>
          <w:szCs w:val="24"/>
        </w:rPr>
        <w:t xml:space="preserve"> </w:t>
      </w:r>
      <w:r>
        <w:rPr>
          <w:rStyle w:val="50"/>
          <w:rFonts w:hint="eastAsia" w:ascii="宋体" w:hAnsi="宋体"/>
          <w:color w:val="auto"/>
          <w:sz w:val="24"/>
          <w:szCs w:val="24"/>
        </w:rPr>
        <w:t>钢筋桁架楼承板</w:t>
      </w:r>
      <w:r>
        <w:rPr>
          <w:rStyle w:val="50"/>
          <w:rFonts w:ascii="宋体" w:hAnsi="宋体"/>
          <w:color w:val="auto"/>
          <w:sz w:val="24"/>
          <w:szCs w:val="24"/>
        </w:rPr>
        <w:t>施工阶段</w:t>
      </w:r>
      <w:r>
        <w:rPr>
          <w:rStyle w:val="50"/>
          <w:rFonts w:hint="eastAsia" w:ascii="宋体" w:hAnsi="宋体"/>
          <w:color w:val="auto"/>
          <w:sz w:val="24"/>
          <w:szCs w:val="24"/>
        </w:rPr>
        <w:t>设计时，应计算钢筋桁架弦杆和腹杆的承载力及稳定性、钢筋桁架和底板连接点的承载力、钢筋桁架楼承板的挠度。</w:t>
      </w:r>
      <w:r>
        <w:rPr>
          <w:rStyle w:val="50"/>
          <w:rFonts w:ascii="宋体" w:hAnsi="宋体"/>
          <w:color w:val="auto"/>
          <w:sz w:val="24"/>
          <w:szCs w:val="24"/>
        </w:rPr>
        <w:t>可采用弹性分析方法分别计算钢筋桁架和</w:t>
      </w:r>
      <w:r>
        <w:rPr>
          <w:rStyle w:val="50"/>
          <w:rFonts w:hint="eastAsia" w:ascii="宋体" w:hAnsi="宋体"/>
          <w:color w:val="auto"/>
          <w:sz w:val="24"/>
          <w:szCs w:val="24"/>
        </w:rPr>
        <w:t>底板焊点或</w:t>
      </w:r>
      <w:r>
        <w:rPr>
          <w:rStyle w:val="50"/>
          <w:rFonts w:ascii="宋体" w:hAnsi="宋体"/>
          <w:color w:val="auto"/>
          <w:sz w:val="24"/>
          <w:szCs w:val="24"/>
        </w:rPr>
        <w:t>连接件的荷载效应。计算钢筋桁架时，应按桁架承担全部荷载计算；</w:t>
      </w:r>
      <w:r>
        <w:rPr>
          <w:rFonts w:ascii="宋体" w:hAnsi="宋体"/>
          <w:color w:val="auto"/>
          <w:sz w:val="24"/>
        </w:rPr>
        <w:t>计算连接点</w:t>
      </w:r>
      <w:r>
        <w:rPr>
          <w:rStyle w:val="50"/>
          <w:rFonts w:ascii="宋体" w:hAnsi="宋体"/>
          <w:color w:val="auto"/>
          <w:sz w:val="24"/>
          <w:szCs w:val="24"/>
        </w:rPr>
        <w:t>时，应按底模承担全部荷载计算。</w:t>
      </w:r>
    </w:p>
    <w:p>
      <w:pPr>
        <w:pStyle w:val="27"/>
        <w:spacing w:line="360" w:lineRule="auto"/>
        <w:ind w:firstLine="480" w:firstLineChars="200"/>
        <w:jc w:val="left"/>
        <w:rPr>
          <w:rStyle w:val="50"/>
          <w:rFonts w:ascii="宋体" w:hAnsi="宋体" w:eastAsia="宋体" w:cs="Times New Roman"/>
          <w:sz w:val="24"/>
          <w:szCs w:val="24"/>
        </w:rPr>
      </w:pPr>
      <w:r>
        <w:rPr>
          <w:rStyle w:val="50"/>
          <w:rFonts w:ascii="宋体" w:hAnsi="宋体" w:eastAsia="宋体"/>
          <w:bCs w:val="0"/>
          <w:sz w:val="24"/>
          <w:szCs w:val="24"/>
        </w:rPr>
        <w:t>3</w:t>
      </w:r>
      <w:r>
        <w:rPr>
          <w:rStyle w:val="50"/>
          <w:rFonts w:ascii="宋体" w:hAnsi="宋体" w:eastAsia="宋体"/>
          <w:b/>
          <w:sz w:val="24"/>
          <w:szCs w:val="24"/>
        </w:rPr>
        <w:t xml:space="preserve"> </w:t>
      </w:r>
      <w:r>
        <w:rPr>
          <w:rStyle w:val="50"/>
          <w:rFonts w:hint="eastAsia" w:ascii="宋体" w:hAnsi="宋体" w:eastAsia="宋体" w:cs="Times New Roman"/>
          <w:sz w:val="24"/>
          <w:szCs w:val="24"/>
        </w:rPr>
        <w:t>钢筋桁架组合楼板的正截面承载力、斜截面承载力、正截面裂缝宽度、挠度应符合国家现行标准《混凝土结构设计规范》GB50010的规定。设计时不考虑腹杆钢筋的作用。</w:t>
      </w:r>
    </w:p>
    <w:p>
      <w:pPr>
        <w:pStyle w:val="27"/>
        <w:spacing w:line="360" w:lineRule="auto"/>
        <w:ind w:firstLine="480" w:firstLineChars="200"/>
        <w:jc w:val="left"/>
        <w:rPr>
          <w:rStyle w:val="50"/>
          <w:rFonts w:ascii="宋体" w:hAnsi="宋体" w:eastAsia="宋体" w:cs="Times New Roman"/>
          <w:sz w:val="24"/>
          <w:szCs w:val="24"/>
        </w:rPr>
      </w:pPr>
      <w:r>
        <w:rPr>
          <w:rStyle w:val="50"/>
          <w:rFonts w:ascii="宋体" w:hAnsi="宋体" w:eastAsia="宋体" w:cs="Times New Roman"/>
          <w:bCs w:val="0"/>
          <w:sz w:val="24"/>
          <w:szCs w:val="24"/>
        </w:rPr>
        <w:t>4</w:t>
      </w:r>
      <w:r>
        <w:rPr>
          <w:rStyle w:val="50"/>
          <w:rFonts w:ascii="宋体" w:hAnsi="宋体" w:eastAsia="宋体" w:cs="Times New Roman"/>
          <w:b/>
          <w:sz w:val="24"/>
          <w:szCs w:val="24"/>
        </w:rPr>
        <w:t xml:space="preserve"> </w:t>
      </w:r>
      <w:r>
        <w:rPr>
          <w:rStyle w:val="50"/>
          <w:rFonts w:hint="eastAsia" w:ascii="宋体" w:hAnsi="宋体" w:eastAsia="宋体" w:cs="Times New Roman"/>
          <w:sz w:val="24"/>
          <w:szCs w:val="24"/>
        </w:rPr>
        <w:t>钢筋桁架</w:t>
      </w:r>
      <w:r>
        <w:rPr>
          <w:rStyle w:val="50"/>
          <w:rFonts w:ascii="宋体" w:hAnsi="宋体" w:eastAsia="宋体" w:cs="Times New Roman"/>
          <w:sz w:val="24"/>
          <w:szCs w:val="24"/>
        </w:rPr>
        <w:t>组合</w:t>
      </w:r>
      <w:r>
        <w:rPr>
          <w:rStyle w:val="50"/>
          <w:rFonts w:hint="eastAsia" w:ascii="宋体" w:hAnsi="宋体" w:eastAsia="宋体" w:cs="Times New Roman"/>
          <w:sz w:val="24"/>
          <w:szCs w:val="24"/>
        </w:rPr>
        <w:t>楼板在正常使用状态下的挠度计算，应考虑施工阶段和使用阶段的挠度叠加。</w:t>
      </w:r>
    </w:p>
    <w:p>
      <w:pPr>
        <w:pStyle w:val="27"/>
        <w:spacing w:line="360" w:lineRule="auto"/>
        <w:ind w:firstLine="480" w:firstLineChars="200"/>
        <w:jc w:val="left"/>
        <w:rPr>
          <w:rStyle w:val="50"/>
          <w:rFonts w:ascii="宋体" w:hAnsi="宋体" w:eastAsia="宋体" w:cs="Times New Roman"/>
          <w:sz w:val="24"/>
          <w:szCs w:val="24"/>
        </w:rPr>
      </w:pPr>
      <w:r>
        <w:rPr>
          <w:rStyle w:val="50"/>
          <w:rFonts w:ascii="宋体" w:hAnsi="宋体" w:eastAsia="宋体" w:cs="Times New Roman"/>
          <w:bCs w:val="0"/>
          <w:sz w:val="24"/>
          <w:szCs w:val="24"/>
        </w:rPr>
        <w:t>5</w:t>
      </w:r>
      <w:r>
        <w:rPr>
          <w:rStyle w:val="50"/>
          <w:rFonts w:ascii="宋体" w:hAnsi="宋体" w:eastAsia="宋体" w:cs="Times New Roman"/>
          <w:b/>
          <w:sz w:val="24"/>
          <w:szCs w:val="24"/>
        </w:rPr>
        <w:t xml:space="preserve"> </w:t>
      </w:r>
      <w:r>
        <w:rPr>
          <w:rStyle w:val="50"/>
          <w:rFonts w:hint="eastAsia" w:ascii="宋体" w:hAnsi="宋体" w:eastAsia="宋体" w:cs="Times New Roman"/>
          <w:sz w:val="24"/>
          <w:szCs w:val="24"/>
        </w:rPr>
        <w:t>钢筋桁架楼承板中的底模板可采用钢板、铝板、竹木胶合板或其他材质板材，底模板宜在混凝土达到设计要求后拆除。宜</w:t>
      </w:r>
      <w:r>
        <w:rPr>
          <w:rStyle w:val="50"/>
          <w:rFonts w:ascii="宋体" w:hAnsi="宋体" w:eastAsia="宋体" w:cs="Times New Roman"/>
          <w:sz w:val="24"/>
          <w:szCs w:val="24"/>
        </w:rPr>
        <w:t>采用</w:t>
      </w:r>
      <w:r>
        <w:rPr>
          <w:rStyle w:val="50"/>
          <w:rFonts w:hint="eastAsia" w:ascii="宋体" w:hAnsi="宋体" w:eastAsia="宋体" w:cs="Times New Roman"/>
          <w:sz w:val="24"/>
          <w:szCs w:val="24"/>
        </w:rPr>
        <w:t>底模板可</w:t>
      </w:r>
      <w:r>
        <w:rPr>
          <w:rStyle w:val="50"/>
          <w:rFonts w:ascii="宋体" w:hAnsi="宋体" w:eastAsia="宋体" w:cs="Times New Roman"/>
          <w:sz w:val="24"/>
          <w:szCs w:val="24"/>
        </w:rPr>
        <w:t>拆卸重复使用的</w:t>
      </w:r>
      <w:r>
        <w:rPr>
          <w:rStyle w:val="50"/>
          <w:rFonts w:hint="eastAsia" w:ascii="宋体" w:hAnsi="宋体" w:eastAsia="宋体" w:cs="Times New Roman"/>
          <w:sz w:val="24"/>
          <w:szCs w:val="24"/>
        </w:rPr>
        <w:t>钢筋桁架楼承板。</w:t>
      </w:r>
    </w:p>
    <w:p>
      <w:pPr>
        <w:pStyle w:val="27"/>
        <w:spacing w:line="360" w:lineRule="auto"/>
        <w:ind w:firstLine="480" w:firstLineChars="200"/>
        <w:jc w:val="left"/>
        <w:rPr>
          <w:rStyle w:val="50"/>
          <w:rFonts w:ascii="宋体" w:hAnsi="宋体" w:eastAsia="宋体" w:cs="Times New Roman"/>
          <w:sz w:val="24"/>
          <w:szCs w:val="24"/>
        </w:rPr>
      </w:pPr>
      <w:r>
        <w:rPr>
          <w:rStyle w:val="50"/>
          <w:rFonts w:ascii="宋体" w:hAnsi="宋体" w:eastAsia="宋体" w:cs="Times New Roman"/>
          <w:bCs w:val="0"/>
          <w:sz w:val="24"/>
          <w:szCs w:val="24"/>
        </w:rPr>
        <w:t>6</w:t>
      </w:r>
      <w:r>
        <w:rPr>
          <w:rStyle w:val="50"/>
          <w:rFonts w:hint="eastAsia" w:ascii="宋体" w:hAnsi="宋体" w:eastAsia="宋体" w:cs="Times New Roman"/>
          <w:b/>
          <w:sz w:val="24"/>
          <w:szCs w:val="24"/>
        </w:rPr>
        <w:t xml:space="preserve"> </w:t>
      </w:r>
      <w:r>
        <w:rPr>
          <w:rStyle w:val="50"/>
          <w:rFonts w:ascii="宋体" w:hAnsi="宋体" w:eastAsia="宋体" w:cs="Times New Roman"/>
          <w:sz w:val="24"/>
          <w:szCs w:val="24"/>
        </w:rPr>
        <w:t>钢筋桁架和</w:t>
      </w:r>
      <w:r>
        <w:rPr>
          <w:rStyle w:val="50"/>
          <w:rFonts w:hint="eastAsia" w:ascii="宋体" w:hAnsi="宋体" w:eastAsia="宋体" w:cs="Times New Roman"/>
          <w:sz w:val="24"/>
          <w:szCs w:val="24"/>
        </w:rPr>
        <w:t>底板可采用焊接固定或连接件紧固连接，焊点或</w:t>
      </w:r>
      <w:r>
        <w:rPr>
          <w:rStyle w:val="50"/>
          <w:rFonts w:ascii="宋体" w:hAnsi="宋体" w:eastAsia="宋体" w:cs="Times New Roman"/>
          <w:sz w:val="24"/>
          <w:szCs w:val="24"/>
        </w:rPr>
        <w:t>连接件的荷载效应</w:t>
      </w:r>
      <w:r>
        <w:rPr>
          <w:rStyle w:val="50"/>
          <w:rFonts w:hint="eastAsia" w:ascii="宋体" w:hAnsi="宋体" w:eastAsia="宋体" w:cs="Times New Roman"/>
          <w:sz w:val="24"/>
          <w:szCs w:val="24"/>
        </w:rPr>
        <w:t>应满足施工荷载的承载力要求。</w:t>
      </w:r>
    </w:p>
    <w:p>
      <w:pPr>
        <w:pStyle w:val="27"/>
        <w:spacing w:line="360" w:lineRule="auto"/>
        <w:ind w:firstLine="480" w:firstLineChars="200"/>
        <w:jc w:val="left"/>
        <w:rPr>
          <w:rStyle w:val="50"/>
          <w:rFonts w:ascii="宋体" w:hAnsi="宋体" w:eastAsia="宋体" w:cs="Times New Roman"/>
          <w:sz w:val="24"/>
          <w:szCs w:val="24"/>
        </w:rPr>
      </w:pPr>
      <w:r>
        <w:rPr>
          <w:rStyle w:val="50"/>
          <w:rFonts w:ascii="宋体" w:hAnsi="宋体" w:eastAsia="宋体" w:cs="Times New Roman"/>
          <w:bCs w:val="0"/>
          <w:sz w:val="24"/>
          <w:szCs w:val="24"/>
        </w:rPr>
        <w:t>7</w:t>
      </w:r>
      <w:r>
        <w:rPr>
          <w:rStyle w:val="50"/>
          <w:rFonts w:ascii="宋体" w:hAnsi="宋体" w:eastAsia="宋体" w:cs="Times New Roman"/>
          <w:b/>
          <w:sz w:val="24"/>
          <w:szCs w:val="24"/>
        </w:rPr>
        <w:t xml:space="preserve"> </w:t>
      </w:r>
      <w:r>
        <w:rPr>
          <w:rStyle w:val="50"/>
          <w:rFonts w:hint="eastAsia" w:ascii="宋体" w:hAnsi="宋体" w:eastAsia="宋体" w:cs="Times New Roman"/>
          <w:sz w:val="24"/>
          <w:szCs w:val="24"/>
        </w:rPr>
        <w:t>钢筋桁架楼承板中钢筋桁架上、下弦钢筋宜采用HPB</w:t>
      </w:r>
      <w:r>
        <w:rPr>
          <w:rStyle w:val="50"/>
          <w:rFonts w:ascii="宋体" w:hAnsi="宋体" w:eastAsia="宋体" w:cs="Times New Roman"/>
          <w:sz w:val="24"/>
          <w:szCs w:val="24"/>
        </w:rPr>
        <w:t>300</w:t>
      </w:r>
      <w:r>
        <w:rPr>
          <w:rStyle w:val="50"/>
          <w:rFonts w:hint="eastAsia" w:ascii="宋体" w:hAnsi="宋体" w:eastAsia="宋体" w:cs="Times New Roman"/>
          <w:sz w:val="24"/>
          <w:szCs w:val="24"/>
        </w:rPr>
        <w:t>、</w:t>
      </w:r>
      <w:r>
        <w:rPr>
          <w:rStyle w:val="50"/>
          <w:rFonts w:ascii="宋体" w:hAnsi="宋体" w:eastAsia="宋体" w:cs="Times New Roman"/>
          <w:sz w:val="24"/>
          <w:szCs w:val="24"/>
        </w:rPr>
        <w:t>HRB400</w:t>
      </w:r>
      <w:r>
        <w:rPr>
          <w:rStyle w:val="50"/>
          <w:rFonts w:hint="eastAsia" w:ascii="宋体" w:hAnsi="宋体" w:eastAsia="宋体" w:cs="Times New Roman"/>
          <w:sz w:val="24"/>
          <w:szCs w:val="24"/>
        </w:rPr>
        <w:t>热轧带肋</w:t>
      </w:r>
      <w:r>
        <w:rPr>
          <w:rStyle w:val="50"/>
          <w:rFonts w:ascii="宋体" w:hAnsi="宋体" w:eastAsia="宋体" w:cs="Times New Roman"/>
          <w:sz w:val="24"/>
          <w:szCs w:val="24"/>
        </w:rPr>
        <w:t>钢筋</w:t>
      </w:r>
      <w:r>
        <w:rPr>
          <w:rStyle w:val="50"/>
          <w:rFonts w:hint="eastAsia" w:ascii="宋体" w:hAnsi="宋体" w:eastAsia="宋体" w:cs="Times New Roman"/>
          <w:sz w:val="24"/>
          <w:szCs w:val="24"/>
        </w:rPr>
        <w:t>；钢筋桁架腹杆钢筋宜采用光圆钢筋，强度级别等同于HRB400或CRB550；钢筋桁架支座钢筋可采用HPB300、HRB400钢筋；组合楼板中除钢筋桁架以外其他附加钢筋宜采用HPB300、HRB400钢筋。</w:t>
      </w:r>
      <w:r>
        <w:rPr>
          <w:rStyle w:val="50"/>
          <w:rFonts w:ascii="宋体" w:hAnsi="宋体" w:eastAsia="宋体" w:cs="Times New Roman"/>
          <w:sz w:val="24"/>
          <w:szCs w:val="24"/>
        </w:rPr>
        <w:t>钢筋桁架钢筋的直径应按计算确定，且弦杆直径不应小于6mm，腹杆直径不应小于4mm。</w:t>
      </w:r>
    </w:p>
    <w:p>
      <w:pPr>
        <w:pStyle w:val="27"/>
        <w:spacing w:line="360" w:lineRule="auto"/>
        <w:ind w:firstLine="420" w:firstLineChars="200"/>
        <w:jc w:val="left"/>
        <w:rPr>
          <w:rStyle w:val="50"/>
          <w:rFonts w:ascii="宋体" w:hAnsi="宋体" w:eastAsia="宋体" w:cs="Times New Roman"/>
          <w:sz w:val="24"/>
          <w:szCs w:val="24"/>
        </w:rPr>
      </w:pPr>
      <w:r>
        <w:rPr>
          <w:rStyle w:val="50"/>
          <w:rFonts w:ascii="宋体" w:hAnsi="宋体" w:eastAsia="宋体" w:cs="Times New Roman"/>
          <w:bCs w:val="0"/>
          <w:szCs w:val="21"/>
        </w:rPr>
        <w:t>8</w:t>
      </w:r>
      <w:r>
        <w:rPr>
          <w:rStyle w:val="50"/>
          <w:rFonts w:ascii="宋体" w:hAnsi="宋体" w:eastAsia="宋体" w:cs="Times New Roman"/>
          <w:b/>
          <w:szCs w:val="21"/>
        </w:rPr>
        <w:t xml:space="preserve"> </w:t>
      </w:r>
      <w:r>
        <w:rPr>
          <w:rStyle w:val="50"/>
          <w:rFonts w:hint="eastAsia" w:ascii="宋体" w:hAnsi="宋体" w:eastAsia="宋体" w:cs="Times New Roman"/>
          <w:sz w:val="24"/>
          <w:szCs w:val="24"/>
        </w:rPr>
        <w:t>钢筋桁架混凝土楼板中的钢筋桁架使用阶段为混凝土楼板中的部分配筋，应根据计算及构造要求，在桁架钢筋未布置位置（不限于平行桁架方向）或钢筋桁架断开处增设附加钢筋，附加钢筋和桁架钢筋可采用绑扎搭接连接，绑扎搭接要求应符合国家现行标准《混凝土结构设计规范》GB50010的规定。</w:t>
      </w:r>
    </w:p>
    <w:p>
      <w:pPr>
        <w:spacing w:line="360" w:lineRule="auto"/>
        <w:ind w:firstLine="480" w:firstLineChars="200"/>
        <w:jc w:val="left"/>
        <w:rPr>
          <w:rStyle w:val="50"/>
          <w:rFonts w:ascii="宋体" w:hAnsi="宋体"/>
          <w:color w:val="auto"/>
          <w:sz w:val="24"/>
          <w:szCs w:val="24"/>
        </w:rPr>
      </w:pPr>
      <w:r>
        <w:rPr>
          <w:rStyle w:val="50"/>
          <w:rFonts w:ascii="宋体" w:hAnsi="宋体"/>
          <w:bCs w:val="0"/>
          <w:color w:val="auto"/>
          <w:sz w:val="24"/>
          <w:szCs w:val="24"/>
        </w:rPr>
        <w:t>9</w:t>
      </w:r>
      <w:r>
        <w:rPr>
          <w:rStyle w:val="50"/>
          <w:rFonts w:ascii="宋体" w:hAnsi="宋体"/>
          <w:b/>
          <w:color w:val="auto"/>
          <w:sz w:val="24"/>
          <w:szCs w:val="24"/>
        </w:rPr>
        <w:t xml:space="preserve"> </w:t>
      </w:r>
      <w:r>
        <w:rPr>
          <w:rStyle w:val="50"/>
          <w:rFonts w:hint="eastAsia" w:ascii="宋体" w:hAnsi="宋体"/>
          <w:color w:val="auto"/>
          <w:sz w:val="24"/>
          <w:szCs w:val="24"/>
        </w:rPr>
        <w:t>钢筋桁架楼承板的下弦钢筋伸入梁边的支承长度不应小于5倍的下弦钢筋直径，并不小于50mm；钢筋桁架楼承板端部支座钢筋应与钢梁点焊固定。</w:t>
      </w:r>
    </w:p>
    <w:p>
      <w:pPr>
        <w:spacing w:line="360" w:lineRule="auto"/>
        <w:ind w:firstLine="480" w:firstLineChars="200"/>
        <w:jc w:val="left"/>
        <w:rPr>
          <w:rStyle w:val="50"/>
          <w:rFonts w:ascii="宋体" w:hAnsi="宋体"/>
          <w:color w:val="auto"/>
          <w:sz w:val="24"/>
          <w:szCs w:val="24"/>
        </w:rPr>
      </w:pPr>
      <w:r>
        <w:rPr>
          <w:rStyle w:val="50"/>
          <w:rFonts w:ascii="宋体" w:hAnsi="宋体"/>
          <w:bCs w:val="0"/>
          <w:color w:val="auto"/>
          <w:sz w:val="24"/>
          <w:szCs w:val="24"/>
        </w:rPr>
        <w:t>10</w:t>
      </w:r>
      <w:r>
        <w:rPr>
          <w:rStyle w:val="50"/>
          <w:rFonts w:ascii="宋体" w:hAnsi="宋体"/>
          <w:b/>
          <w:color w:val="auto"/>
          <w:sz w:val="24"/>
          <w:szCs w:val="24"/>
        </w:rPr>
        <w:t xml:space="preserve"> </w:t>
      </w:r>
      <w:r>
        <w:rPr>
          <w:rStyle w:val="50"/>
          <w:rFonts w:hint="eastAsia" w:ascii="宋体" w:hAnsi="宋体"/>
          <w:color w:val="auto"/>
          <w:sz w:val="24"/>
          <w:szCs w:val="24"/>
        </w:rPr>
        <w:t>楼板中钢柱位置，板内钢筋碰到钢柱被切断，柱边应根据计算布置附加钢筋，每侧附加钢筋不少于被切断受力钢筋面积的一半且不少于2根，直径不小于1</w:t>
      </w:r>
      <w:r>
        <w:rPr>
          <w:rStyle w:val="50"/>
          <w:rFonts w:ascii="宋体" w:hAnsi="宋体"/>
          <w:color w:val="auto"/>
          <w:sz w:val="24"/>
          <w:szCs w:val="24"/>
        </w:rPr>
        <w:t>4</w:t>
      </w:r>
      <w:r>
        <w:rPr>
          <w:rStyle w:val="50"/>
          <w:rFonts w:hint="eastAsia" w:ascii="宋体" w:hAnsi="宋体"/>
          <w:color w:val="auto"/>
          <w:sz w:val="24"/>
          <w:szCs w:val="24"/>
        </w:rPr>
        <w:t>mm。钢柱在与钢筋桁架楼承板搭接部位宜设置支承件。如钢柱需要与楼板中钢筋焊接时，宜在钢柱上增加焊接连接板，避免钢筋直接焊接在钢柱、梁翼、腹板上。</w:t>
      </w:r>
    </w:p>
    <w:p>
      <w:pPr>
        <w:spacing w:line="360" w:lineRule="auto"/>
        <w:ind w:firstLine="480" w:firstLineChars="200"/>
        <w:jc w:val="left"/>
        <w:rPr>
          <w:rStyle w:val="50"/>
          <w:rFonts w:ascii="宋体" w:hAnsi="宋体"/>
          <w:color w:val="auto"/>
          <w:sz w:val="24"/>
          <w:szCs w:val="24"/>
        </w:rPr>
      </w:pPr>
      <w:r>
        <w:rPr>
          <w:rStyle w:val="50"/>
          <w:rFonts w:hint="eastAsia" w:ascii="宋体" w:hAnsi="宋体"/>
          <w:bCs w:val="0"/>
          <w:color w:val="auto"/>
          <w:sz w:val="24"/>
          <w:szCs w:val="24"/>
        </w:rPr>
        <w:t>1</w:t>
      </w:r>
      <w:r>
        <w:rPr>
          <w:rStyle w:val="50"/>
          <w:rFonts w:ascii="宋体" w:hAnsi="宋体"/>
          <w:bCs w:val="0"/>
          <w:color w:val="auto"/>
          <w:sz w:val="24"/>
          <w:szCs w:val="24"/>
        </w:rPr>
        <w:t>1</w:t>
      </w:r>
      <w:r>
        <w:rPr>
          <w:rStyle w:val="50"/>
          <w:rFonts w:hint="eastAsia" w:ascii="宋体" w:hAnsi="宋体"/>
          <w:b/>
          <w:color w:val="auto"/>
          <w:sz w:val="24"/>
          <w:szCs w:val="24"/>
        </w:rPr>
        <w:t xml:space="preserve"> </w:t>
      </w:r>
      <w:r>
        <w:rPr>
          <w:rStyle w:val="50"/>
          <w:rFonts w:hint="eastAsia" w:ascii="宋体" w:hAnsi="宋体"/>
          <w:color w:val="auto"/>
          <w:sz w:val="24"/>
          <w:szCs w:val="24"/>
        </w:rPr>
        <w:t>钢筋桁架组合楼板与混凝土剪力墙连接时，剪力墙宜预留钢筋，当为钢板剪力墙时，剪力墙宜预留钢筋锚固孔。混凝土剪力墙外侧宜采用预埋件来固定楼承板支承构件，不得采用膨胀螺栓固定楼承板支承构件。混凝土剪力墙预留钢筋、预埋件的设置应符合国家现行标准《混凝土结构设计规范》GB50010的要求。楼承板支承构件和预埋件或钢板通过焊接固定时，应符合国家现行标准《钢结构设计规定》GB50017的要求。</w:t>
      </w:r>
    </w:p>
    <w:p>
      <w:pPr>
        <w:spacing w:line="360" w:lineRule="auto"/>
        <w:ind w:firstLine="480" w:firstLineChars="200"/>
        <w:jc w:val="left"/>
        <w:rPr>
          <w:rStyle w:val="50"/>
          <w:rFonts w:ascii="宋体" w:hAnsi="宋体"/>
          <w:color w:val="auto"/>
          <w:sz w:val="24"/>
          <w:szCs w:val="24"/>
        </w:rPr>
      </w:pPr>
      <w:r>
        <w:rPr>
          <w:rStyle w:val="50"/>
          <w:rFonts w:hint="eastAsia" w:ascii="宋体" w:hAnsi="宋体"/>
          <w:bCs w:val="0"/>
          <w:color w:val="auto"/>
          <w:sz w:val="24"/>
          <w:szCs w:val="24"/>
        </w:rPr>
        <w:t>1</w:t>
      </w:r>
      <w:r>
        <w:rPr>
          <w:rStyle w:val="50"/>
          <w:rFonts w:ascii="宋体" w:hAnsi="宋体"/>
          <w:bCs w:val="0"/>
          <w:color w:val="auto"/>
          <w:sz w:val="24"/>
          <w:szCs w:val="24"/>
        </w:rPr>
        <w:t>2</w:t>
      </w:r>
      <w:r>
        <w:rPr>
          <w:rStyle w:val="50"/>
          <w:rFonts w:ascii="宋体" w:hAnsi="宋体"/>
          <w:b/>
          <w:color w:val="auto"/>
          <w:sz w:val="24"/>
          <w:szCs w:val="24"/>
        </w:rPr>
        <w:t xml:space="preserve"> </w:t>
      </w:r>
      <w:r>
        <w:rPr>
          <w:rStyle w:val="50"/>
          <w:rFonts w:hint="eastAsia" w:ascii="宋体" w:hAnsi="宋体"/>
          <w:color w:val="auto"/>
          <w:sz w:val="24"/>
          <w:szCs w:val="24"/>
        </w:rPr>
        <w:t>钢筋桁架组合楼板开洞时，洞口边应设置加强钢筋，加强钢筋构造做法应符合国家现行规范《混凝土结构设计规范》GB50010的要求。当洞口边有较大集中荷载或洞边长（圆孔直径）大于1000mm时，应在洞口边设置边梁。无边梁洞口范围的钢筋桁架楼承板施工阶段尽量保留不切割，在混凝土达到设计要求后再切除洞口范围内的钢筋桁架楼承板，如预先切开桁架，则应设置支撑措施，保证施工安全。</w:t>
      </w:r>
    </w:p>
    <w:p>
      <w:pPr>
        <w:pStyle w:val="27"/>
        <w:spacing w:line="360" w:lineRule="auto"/>
        <w:rPr>
          <w:rStyle w:val="50"/>
          <w:rFonts w:ascii="宋体" w:hAnsi="宋体" w:eastAsia="宋体" w:cs="Times New Roman"/>
          <w:sz w:val="24"/>
          <w:szCs w:val="24"/>
        </w:rPr>
      </w:pPr>
      <w:r>
        <w:rPr>
          <w:rFonts w:ascii="Times New Roman" w:hAnsi="Times New Roman"/>
          <w:b/>
          <w:sz w:val="24"/>
          <w:szCs w:val="24"/>
        </w:rPr>
        <w:t>6.4.9</w:t>
      </w:r>
      <w:r>
        <w:rPr>
          <w:rStyle w:val="50"/>
          <w:rFonts w:ascii="宋体" w:hAnsi="宋体" w:eastAsia="宋体" w:cs="Times New Roman"/>
          <w:b/>
          <w:szCs w:val="21"/>
        </w:rPr>
        <w:t xml:space="preserve"> </w:t>
      </w:r>
      <w:r>
        <w:rPr>
          <w:rStyle w:val="50"/>
          <w:rFonts w:ascii="宋体" w:hAnsi="宋体" w:eastAsia="宋体" w:cs="Times New Roman"/>
          <w:sz w:val="24"/>
          <w:szCs w:val="24"/>
        </w:rPr>
        <w:t>现浇混凝土楼板</w:t>
      </w:r>
      <w:r>
        <w:rPr>
          <w:rStyle w:val="50"/>
          <w:rFonts w:hint="eastAsia" w:ascii="宋体" w:hAnsi="宋体" w:eastAsia="宋体" w:cs="Times New Roman"/>
          <w:sz w:val="24"/>
          <w:szCs w:val="24"/>
        </w:rPr>
        <w:t>、</w:t>
      </w:r>
      <w:r>
        <w:rPr>
          <w:rStyle w:val="50"/>
          <w:rFonts w:ascii="宋体" w:hAnsi="宋体" w:eastAsia="宋体" w:cs="Times New Roman"/>
          <w:sz w:val="24"/>
          <w:szCs w:val="24"/>
        </w:rPr>
        <w:t>混凝土叠合楼板的设计</w:t>
      </w:r>
      <w:r>
        <w:rPr>
          <w:rStyle w:val="50"/>
          <w:rFonts w:hint="eastAsia" w:ascii="宋体" w:hAnsi="宋体" w:eastAsia="宋体" w:cs="Times New Roman"/>
          <w:sz w:val="24"/>
          <w:szCs w:val="24"/>
        </w:rPr>
        <w:t>与</w:t>
      </w:r>
      <w:r>
        <w:rPr>
          <w:rStyle w:val="50"/>
          <w:rFonts w:ascii="宋体" w:hAnsi="宋体" w:eastAsia="宋体" w:cs="Times New Roman"/>
          <w:sz w:val="24"/>
          <w:szCs w:val="24"/>
        </w:rPr>
        <w:t>构造应符合现行国家标准《混凝土结构设计规范》GB 50010</w:t>
      </w:r>
      <w:r>
        <w:rPr>
          <w:rFonts w:hint="eastAsia" w:ascii="宋体" w:hAnsi="宋体" w:eastAsia="宋体"/>
          <w:sz w:val="24"/>
          <w:szCs w:val="24"/>
        </w:rPr>
        <w:t>和《装配式混凝土结构技术规程》JGJ1</w:t>
      </w:r>
      <w:r>
        <w:rPr>
          <w:rStyle w:val="50"/>
          <w:rFonts w:ascii="宋体" w:hAnsi="宋体" w:eastAsia="宋体" w:cs="Times New Roman"/>
          <w:sz w:val="24"/>
          <w:szCs w:val="24"/>
        </w:rPr>
        <w:t>的规定</w:t>
      </w:r>
      <w:r>
        <w:rPr>
          <w:rStyle w:val="50"/>
          <w:rFonts w:hint="eastAsia" w:ascii="宋体" w:hAnsi="宋体" w:eastAsia="宋体" w:cs="Times New Roman"/>
          <w:sz w:val="24"/>
          <w:szCs w:val="24"/>
        </w:rPr>
        <w:t>。</w:t>
      </w:r>
    </w:p>
    <w:p>
      <w:pPr>
        <w:spacing w:line="360" w:lineRule="auto"/>
        <w:rPr>
          <w:rStyle w:val="50"/>
          <w:rFonts w:ascii="宋体" w:hAnsi="宋体"/>
          <w:color w:val="auto"/>
          <w:kern w:val="2"/>
          <w:sz w:val="24"/>
          <w:szCs w:val="24"/>
        </w:rPr>
      </w:pPr>
      <w:r>
        <w:rPr>
          <w:rStyle w:val="50"/>
          <w:rFonts w:ascii="宋体" w:hAnsi="宋体"/>
          <w:color w:val="auto"/>
          <w:kern w:val="2"/>
          <w:sz w:val="24"/>
          <w:szCs w:val="24"/>
        </w:rPr>
        <w:t>6.4.10 现浇混凝土楼板应</w:t>
      </w:r>
      <w:r>
        <w:rPr>
          <w:rStyle w:val="50"/>
          <w:rFonts w:hint="eastAsia" w:ascii="宋体" w:hAnsi="宋体"/>
          <w:color w:val="auto"/>
          <w:kern w:val="2"/>
          <w:sz w:val="24"/>
          <w:szCs w:val="24"/>
        </w:rPr>
        <w:t>根据工程实际情况减小后浇带间距，</w:t>
      </w:r>
      <w:r>
        <w:rPr>
          <w:rStyle w:val="50"/>
          <w:rFonts w:ascii="宋体" w:hAnsi="宋体"/>
          <w:color w:val="auto"/>
          <w:kern w:val="2"/>
          <w:sz w:val="24"/>
          <w:szCs w:val="24"/>
        </w:rPr>
        <w:t>宜</w:t>
      </w:r>
      <w:r>
        <w:rPr>
          <w:rStyle w:val="50"/>
          <w:rFonts w:hint="eastAsia" w:ascii="宋体" w:hAnsi="宋体"/>
          <w:color w:val="auto"/>
          <w:kern w:val="2"/>
          <w:sz w:val="24"/>
          <w:szCs w:val="24"/>
        </w:rPr>
        <w:t>按温度应力计算混凝土楼盖和钢梁的变形结果进行配筋设计，并配置温度钢筋。</w:t>
      </w:r>
    </w:p>
    <w:p>
      <w:pPr>
        <w:pStyle w:val="27"/>
        <w:spacing w:line="360" w:lineRule="auto"/>
        <w:rPr>
          <w:rStyle w:val="50"/>
          <w:rFonts w:ascii="宋体" w:hAnsi="宋体" w:eastAsia="宋体" w:cs="Times New Roman"/>
          <w:sz w:val="24"/>
          <w:szCs w:val="24"/>
        </w:rPr>
      </w:pPr>
      <w:r>
        <w:rPr>
          <w:rFonts w:ascii="Times New Roman" w:hAnsi="Times New Roman"/>
          <w:b/>
          <w:sz w:val="24"/>
          <w:szCs w:val="24"/>
        </w:rPr>
        <w:t>6.4.11</w:t>
      </w:r>
      <w:r>
        <w:rPr>
          <w:rStyle w:val="50"/>
          <w:rFonts w:ascii="宋体" w:hAnsi="宋体" w:eastAsia="宋体" w:cs="Times New Roman"/>
          <w:b/>
          <w:szCs w:val="21"/>
        </w:rPr>
        <w:t xml:space="preserve"> </w:t>
      </w:r>
      <w:r>
        <w:rPr>
          <w:rStyle w:val="50"/>
          <w:rFonts w:ascii="宋体" w:hAnsi="宋体" w:eastAsia="宋体" w:cs="Times New Roman"/>
          <w:sz w:val="24"/>
          <w:szCs w:val="24"/>
        </w:rPr>
        <w:t>压型钢板混凝土组合楼板</w:t>
      </w:r>
      <w:r>
        <w:rPr>
          <w:rStyle w:val="50"/>
          <w:rFonts w:hint="eastAsia" w:ascii="宋体" w:hAnsi="宋体" w:eastAsia="宋体" w:cs="Times New Roman"/>
          <w:sz w:val="24"/>
          <w:szCs w:val="24"/>
        </w:rPr>
        <w:t>的设计与构造应满足下列规定：</w:t>
      </w:r>
    </w:p>
    <w:p>
      <w:pPr>
        <w:pStyle w:val="27"/>
        <w:spacing w:line="360" w:lineRule="auto"/>
        <w:ind w:firstLine="480" w:firstLineChars="200"/>
        <w:rPr>
          <w:rStyle w:val="50"/>
          <w:rFonts w:ascii="宋体" w:hAnsi="宋体" w:eastAsia="宋体" w:cs="Times New Roman"/>
          <w:sz w:val="24"/>
          <w:szCs w:val="24"/>
        </w:rPr>
      </w:pPr>
      <w:r>
        <w:rPr>
          <w:rStyle w:val="50"/>
          <w:rFonts w:hint="eastAsia" w:ascii="宋体" w:hAnsi="宋体" w:eastAsia="宋体" w:cs="Times New Roman"/>
          <w:bCs w:val="0"/>
          <w:sz w:val="24"/>
          <w:szCs w:val="24"/>
        </w:rPr>
        <w:t>1</w:t>
      </w:r>
      <w:r>
        <w:rPr>
          <w:rStyle w:val="50"/>
          <w:rFonts w:ascii="宋体" w:hAnsi="宋体" w:eastAsia="宋体" w:cs="Times New Roman"/>
          <w:b/>
          <w:sz w:val="24"/>
          <w:szCs w:val="24"/>
        </w:rPr>
        <w:t xml:space="preserve"> </w:t>
      </w:r>
      <w:r>
        <w:rPr>
          <w:rStyle w:val="50"/>
          <w:rFonts w:hint="eastAsia" w:ascii="宋体" w:hAnsi="宋体" w:eastAsia="宋体" w:cs="Times New Roman"/>
          <w:sz w:val="24"/>
          <w:szCs w:val="24"/>
        </w:rPr>
        <w:t>组合楼板设计应符合现行行业协会标准《组合楼板设计与施工规范》CECS 273的规定。</w:t>
      </w:r>
    </w:p>
    <w:p>
      <w:pPr>
        <w:pStyle w:val="27"/>
        <w:spacing w:line="360" w:lineRule="auto"/>
        <w:ind w:firstLine="480" w:firstLineChars="200"/>
        <w:rPr>
          <w:rStyle w:val="50"/>
          <w:rFonts w:ascii="宋体" w:hAnsi="宋体" w:eastAsia="宋体" w:cs="Times New Roman"/>
          <w:sz w:val="24"/>
          <w:szCs w:val="24"/>
        </w:rPr>
      </w:pPr>
      <w:r>
        <w:rPr>
          <w:rStyle w:val="50"/>
          <w:rFonts w:hint="eastAsia" w:ascii="宋体" w:hAnsi="宋体" w:eastAsia="宋体" w:cs="Times New Roman"/>
          <w:sz w:val="24"/>
          <w:szCs w:val="24"/>
        </w:rPr>
        <w:t>2</w:t>
      </w:r>
      <w:r>
        <w:rPr>
          <w:rStyle w:val="50"/>
          <w:rFonts w:ascii="宋体" w:hAnsi="宋体" w:eastAsia="宋体" w:cs="Times New Roman"/>
          <w:sz w:val="24"/>
          <w:szCs w:val="24"/>
        </w:rPr>
        <w:t xml:space="preserve"> 压型钢板的基板可选用双面热浸镀锌卷板，材质可选用S250钢或S350钢，镀锌量最小值应符合表6.4.11</w:t>
      </w:r>
      <w:r>
        <w:rPr>
          <w:rStyle w:val="50"/>
          <w:rFonts w:hint="eastAsia" w:ascii="宋体" w:hAnsi="宋体" w:eastAsia="宋体" w:cs="Times New Roman"/>
          <w:sz w:val="24"/>
          <w:szCs w:val="24"/>
        </w:rPr>
        <w:t>-</w:t>
      </w:r>
      <w:r>
        <w:rPr>
          <w:rStyle w:val="50"/>
          <w:rFonts w:ascii="宋体" w:hAnsi="宋体" w:eastAsia="宋体" w:cs="Times New Roman"/>
          <w:sz w:val="24"/>
          <w:szCs w:val="24"/>
        </w:rPr>
        <w:t>1的规定。</w:t>
      </w:r>
    </w:p>
    <w:p>
      <w:pPr>
        <w:pStyle w:val="27"/>
        <w:jc w:val="center"/>
        <w:rPr>
          <w:rStyle w:val="50"/>
          <w:rFonts w:ascii="宋体" w:hAnsi="宋体" w:eastAsia="宋体" w:cs="Times New Roman"/>
          <w:bCs w:val="0"/>
          <w:szCs w:val="21"/>
        </w:rPr>
      </w:pPr>
      <w:r>
        <w:rPr>
          <w:rStyle w:val="51"/>
          <w:rFonts w:ascii="宋体" w:hAnsi="宋体" w:eastAsia="宋体" w:cs="Times New Roman"/>
          <w:bCs/>
          <w:szCs w:val="21"/>
        </w:rPr>
        <w:t>表6.4.11</w:t>
      </w:r>
      <w:r>
        <w:rPr>
          <w:rStyle w:val="51"/>
          <w:rFonts w:hint="eastAsia" w:ascii="宋体" w:hAnsi="宋体" w:eastAsia="宋体" w:cs="Times New Roman"/>
          <w:bCs/>
          <w:szCs w:val="21"/>
        </w:rPr>
        <w:t>-</w:t>
      </w:r>
      <w:r>
        <w:rPr>
          <w:rStyle w:val="51"/>
          <w:rFonts w:ascii="宋体" w:hAnsi="宋体" w:eastAsia="宋体" w:cs="Times New Roman"/>
          <w:bCs/>
          <w:szCs w:val="21"/>
        </w:rPr>
        <w:t>1 压型钢板镀锌量限值</w:t>
      </w:r>
    </w:p>
    <w:tbl>
      <w:tblPr>
        <w:tblStyle w:val="17"/>
        <w:tblW w:w="7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8"/>
        <w:gridCol w:w="2399"/>
        <w:gridCol w:w="2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8" w:type="dxa"/>
            <w:vAlign w:val="center"/>
          </w:tcPr>
          <w:p>
            <w:pPr>
              <w:pStyle w:val="27"/>
              <w:jc w:val="center"/>
              <w:rPr>
                <w:rStyle w:val="50"/>
                <w:rFonts w:ascii="宋体" w:hAnsi="宋体" w:eastAsia="宋体" w:cs="Times New Roman"/>
                <w:szCs w:val="21"/>
              </w:rPr>
            </w:pPr>
            <w:r>
              <w:rPr>
                <w:rStyle w:val="50"/>
                <w:rFonts w:ascii="宋体" w:hAnsi="宋体" w:eastAsia="宋体" w:cs="Times New Roman"/>
                <w:szCs w:val="21"/>
              </w:rPr>
              <w:t>使用用途</w:t>
            </w:r>
          </w:p>
        </w:tc>
        <w:tc>
          <w:tcPr>
            <w:tcW w:w="2399" w:type="dxa"/>
            <w:vAlign w:val="center"/>
          </w:tcPr>
          <w:p>
            <w:pPr>
              <w:pStyle w:val="27"/>
              <w:jc w:val="center"/>
              <w:rPr>
                <w:rStyle w:val="50"/>
                <w:rFonts w:ascii="宋体" w:hAnsi="宋体" w:eastAsia="宋体" w:cs="Times New Roman"/>
                <w:szCs w:val="21"/>
              </w:rPr>
            </w:pPr>
            <w:r>
              <w:rPr>
                <w:rStyle w:val="50"/>
                <w:rFonts w:ascii="宋体" w:hAnsi="宋体" w:eastAsia="宋体" w:cs="Times New Roman"/>
                <w:szCs w:val="21"/>
              </w:rPr>
              <w:t>环境条件</w:t>
            </w:r>
          </w:p>
        </w:tc>
        <w:tc>
          <w:tcPr>
            <w:tcW w:w="2399" w:type="dxa"/>
            <w:vAlign w:val="center"/>
          </w:tcPr>
          <w:p>
            <w:pPr>
              <w:pStyle w:val="27"/>
              <w:jc w:val="center"/>
              <w:rPr>
                <w:rStyle w:val="50"/>
                <w:rFonts w:ascii="宋体" w:hAnsi="宋体" w:eastAsia="宋体" w:cs="Times New Roman"/>
                <w:szCs w:val="21"/>
              </w:rPr>
            </w:pPr>
            <w:r>
              <w:rPr>
                <w:rStyle w:val="50"/>
                <w:rFonts w:ascii="宋体" w:hAnsi="宋体" w:eastAsia="宋体" w:cs="Times New Roman"/>
                <w:szCs w:val="21"/>
              </w:rPr>
              <w:t>镀锌量</w:t>
            </w:r>
            <w:r>
              <w:rPr>
                <w:rFonts w:ascii="宋体" w:hAnsi="宋体" w:eastAsia="宋体" w:cs="Times New Roman"/>
                <w:szCs w:val="21"/>
              </w:rPr>
              <w:t>g/m</w:t>
            </w:r>
            <w:r>
              <w:rPr>
                <w:rFonts w:ascii="宋体" w:hAnsi="宋体" w:eastAsia="宋体" w:cs="Times New Roman"/>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8" w:type="dxa"/>
            <w:vMerge w:val="restart"/>
            <w:vAlign w:val="center"/>
          </w:tcPr>
          <w:p>
            <w:pPr>
              <w:pStyle w:val="27"/>
              <w:jc w:val="center"/>
              <w:rPr>
                <w:rStyle w:val="50"/>
                <w:rFonts w:ascii="宋体" w:hAnsi="宋体" w:eastAsia="宋体" w:cs="Times New Roman"/>
                <w:szCs w:val="21"/>
              </w:rPr>
            </w:pPr>
            <w:r>
              <w:rPr>
                <w:rStyle w:val="50"/>
                <w:rFonts w:ascii="宋体" w:hAnsi="宋体" w:eastAsia="宋体" w:cs="Times New Roman"/>
                <w:szCs w:val="21"/>
              </w:rPr>
              <w:t>组合楼板</w:t>
            </w:r>
          </w:p>
        </w:tc>
        <w:tc>
          <w:tcPr>
            <w:tcW w:w="2399" w:type="dxa"/>
            <w:vAlign w:val="center"/>
          </w:tcPr>
          <w:p>
            <w:pPr>
              <w:pStyle w:val="27"/>
              <w:jc w:val="center"/>
              <w:rPr>
                <w:rStyle w:val="50"/>
                <w:rFonts w:ascii="宋体" w:hAnsi="宋体" w:eastAsia="宋体" w:cs="Times New Roman"/>
                <w:szCs w:val="21"/>
              </w:rPr>
            </w:pPr>
            <w:r>
              <w:rPr>
                <w:rFonts w:ascii="宋体" w:hAnsi="宋体" w:eastAsia="宋体" w:cs="Times New Roman"/>
                <w:szCs w:val="21"/>
              </w:rPr>
              <w:t>无侵蚀</w:t>
            </w:r>
          </w:p>
        </w:tc>
        <w:tc>
          <w:tcPr>
            <w:tcW w:w="2399" w:type="dxa"/>
            <w:vAlign w:val="center"/>
          </w:tcPr>
          <w:p>
            <w:pPr>
              <w:pStyle w:val="27"/>
              <w:jc w:val="center"/>
              <w:rPr>
                <w:rStyle w:val="50"/>
                <w:rFonts w:ascii="宋体" w:hAnsi="宋体" w:eastAsia="宋体" w:cs="Times New Roman"/>
                <w:szCs w:val="21"/>
              </w:rPr>
            </w:pPr>
            <w:r>
              <w:rPr>
                <w:rStyle w:val="50"/>
                <w:rFonts w:ascii="宋体" w:hAnsi="宋体" w:eastAsia="宋体" w:cs="Times New Roman"/>
                <w:szCs w:val="21"/>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8" w:type="dxa"/>
            <w:vMerge w:val="continue"/>
            <w:vAlign w:val="center"/>
          </w:tcPr>
          <w:p>
            <w:pPr>
              <w:pStyle w:val="27"/>
              <w:jc w:val="center"/>
              <w:rPr>
                <w:rStyle w:val="50"/>
                <w:rFonts w:ascii="宋体" w:hAnsi="宋体" w:eastAsia="宋体" w:cs="Times New Roman"/>
                <w:szCs w:val="21"/>
              </w:rPr>
            </w:pPr>
          </w:p>
        </w:tc>
        <w:tc>
          <w:tcPr>
            <w:tcW w:w="2399" w:type="dxa"/>
            <w:vAlign w:val="center"/>
          </w:tcPr>
          <w:p>
            <w:pPr>
              <w:pStyle w:val="27"/>
              <w:jc w:val="center"/>
              <w:rPr>
                <w:rFonts w:ascii="宋体" w:hAnsi="宋体" w:eastAsia="宋体" w:cs="Times New Roman"/>
                <w:szCs w:val="21"/>
              </w:rPr>
            </w:pPr>
            <w:r>
              <w:rPr>
                <w:rFonts w:ascii="宋体" w:hAnsi="宋体" w:eastAsia="宋体" w:cs="Times New Roman"/>
                <w:szCs w:val="21"/>
              </w:rPr>
              <w:t>弱侵蚀</w:t>
            </w:r>
          </w:p>
        </w:tc>
        <w:tc>
          <w:tcPr>
            <w:tcW w:w="2399" w:type="dxa"/>
            <w:vAlign w:val="center"/>
          </w:tcPr>
          <w:p>
            <w:pPr>
              <w:pStyle w:val="27"/>
              <w:jc w:val="center"/>
              <w:rPr>
                <w:rStyle w:val="50"/>
                <w:rFonts w:ascii="宋体" w:hAnsi="宋体" w:eastAsia="宋体" w:cs="Times New Roman"/>
                <w:szCs w:val="21"/>
              </w:rPr>
            </w:pPr>
            <w:r>
              <w:rPr>
                <w:rStyle w:val="50"/>
                <w:rFonts w:ascii="宋体" w:hAnsi="宋体" w:eastAsia="宋体" w:cs="Times New Roman"/>
                <w:szCs w:val="21"/>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8" w:type="dxa"/>
            <w:vAlign w:val="center"/>
          </w:tcPr>
          <w:p>
            <w:pPr>
              <w:pStyle w:val="27"/>
              <w:jc w:val="center"/>
              <w:rPr>
                <w:rStyle w:val="50"/>
                <w:rFonts w:ascii="宋体" w:hAnsi="宋体" w:eastAsia="宋体" w:cs="Times New Roman"/>
                <w:szCs w:val="21"/>
              </w:rPr>
            </w:pPr>
            <w:r>
              <w:rPr>
                <w:rStyle w:val="50"/>
                <w:rFonts w:ascii="宋体" w:hAnsi="宋体" w:eastAsia="宋体" w:cs="Times New Roman"/>
                <w:szCs w:val="21"/>
              </w:rPr>
              <w:t>施工模板</w:t>
            </w:r>
          </w:p>
        </w:tc>
        <w:tc>
          <w:tcPr>
            <w:tcW w:w="2399" w:type="dxa"/>
            <w:vAlign w:val="center"/>
          </w:tcPr>
          <w:p>
            <w:pPr>
              <w:pStyle w:val="27"/>
              <w:jc w:val="center"/>
              <w:rPr>
                <w:rStyle w:val="50"/>
                <w:rFonts w:ascii="宋体" w:hAnsi="宋体" w:eastAsia="宋体" w:cs="Times New Roman"/>
                <w:szCs w:val="21"/>
              </w:rPr>
            </w:pPr>
            <w:r>
              <w:rPr>
                <w:rStyle w:val="50"/>
                <w:rFonts w:ascii="宋体" w:hAnsi="宋体" w:eastAsia="宋体" w:cs="Times New Roman"/>
                <w:szCs w:val="21"/>
              </w:rPr>
              <w:t>—</w:t>
            </w:r>
          </w:p>
        </w:tc>
        <w:tc>
          <w:tcPr>
            <w:tcW w:w="2399" w:type="dxa"/>
            <w:vAlign w:val="center"/>
          </w:tcPr>
          <w:p>
            <w:pPr>
              <w:pStyle w:val="27"/>
              <w:jc w:val="center"/>
              <w:rPr>
                <w:rStyle w:val="50"/>
                <w:rFonts w:ascii="宋体" w:hAnsi="宋体" w:eastAsia="宋体" w:cs="Times New Roman"/>
                <w:szCs w:val="21"/>
              </w:rPr>
            </w:pPr>
            <w:r>
              <w:rPr>
                <w:rStyle w:val="50"/>
                <w:rFonts w:ascii="宋体" w:hAnsi="宋体" w:eastAsia="宋体" w:cs="Times New Roman"/>
                <w:szCs w:val="21"/>
              </w:rPr>
              <w:t>120</w:t>
            </w:r>
          </w:p>
        </w:tc>
      </w:tr>
    </w:tbl>
    <w:p>
      <w:pPr>
        <w:pStyle w:val="27"/>
        <w:spacing w:line="360" w:lineRule="auto"/>
        <w:ind w:firstLine="480" w:firstLineChars="200"/>
        <w:rPr>
          <w:rStyle w:val="50"/>
          <w:rFonts w:ascii="宋体" w:hAnsi="宋体" w:eastAsia="宋体" w:cs="Times New Roman"/>
          <w:sz w:val="24"/>
          <w:szCs w:val="24"/>
        </w:rPr>
      </w:pPr>
      <w:r>
        <w:rPr>
          <w:rStyle w:val="50"/>
          <w:rFonts w:ascii="宋体" w:hAnsi="宋体" w:eastAsia="宋体" w:cs="Times New Roman"/>
          <w:bCs w:val="0"/>
          <w:sz w:val="24"/>
          <w:szCs w:val="24"/>
        </w:rPr>
        <w:t>3</w:t>
      </w:r>
      <w:r>
        <w:rPr>
          <w:rStyle w:val="50"/>
          <w:rFonts w:hint="eastAsia" w:ascii="宋体" w:hAnsi="宋体" w:eastAsia="宋体" w:cs="Times New Roman"/>
          <w:b/>
          <w:sz w:val="24"/>
          <w:szCs w:val="24"/>
        </w:rPr>
        <w:t xml:space="preserve"> </w:t>
      </w:r>
      <w:r>
        <w:rPr>
          <w:rFonts w:ascii="宋体" w:hAnsi="宋体" w:eastAsia="宋体" w:cs="Times New Roman"/>
          <w:bCs/>
          <w:sz w:val="24"/>
          <w:szCs w:val="24"/>
        </w:rPr>
        <w:t>宜选用闭口型压型钢板，压型钢板厚度不应小于0.75mm，作为永久模板使用的压型钢板净厚度不宜小于0.5mm。</w:t>
      </w:r>
    </w:p>
    <w:p>
      <w:pPr>
        <w:pStyle w:val="3"/>
        <w:spacing w:line="360" w:lineRule="auto"/>
        <w:jc w:val="center"/>
        <w:rPr>
          <w:rFonts w:ascii="Times New Roman" w:hAnsi="Times New Roman" w:eastAsia="宋体" w:cs="Times New Roman"/>
          <w:bCs w:val="0"/>
        </w:rPr>
      </w:pPr>
      <w:bookmarkStart w:id="48" w:name="_Toc69283564"/>
      <w:bookmarkStart w:id="49" w:name="_Toc76376963"/>
      <w:bookmarkStart w:id="50" w:name="_Toc103958755"/>
      <w:bookmarkStart w:id="51" w:name="_Hlk69283373"/>
      <w:r>
        <w:rPr>
          <w:rFonts w:ascii="Times New Roman" w:hAnsi="Times New Roman" w:eastAsia="宋体" w:cs="Times New Roman"/>
          <w:color w:val="auto"/>
          <w:sz w:val="28"/>
          <w:szCs w:val="28"/>
        </w:rPr>
        <w:t>6</w:t>
      </w:r>
      <w:r>
        <w:rPr>
          <w:rFonts w:hint="eastAsia" w:ascii="Times New Roman" w:hAnsi="Times New Roman" w:eastAsia="宋体" w:cs="Times New Roman"/>
          <w:color w:val="auto"/>
          <w:sz w:val="28"/>
          <w:szCs w:val="28"/>
        </w:rPr>
        <w:t>.</w:t>
      </w:r>
      <w:r>
        <w:rPr>
          <w:rFonts w:ascii="Times New Roman" w:hAnsi="Times New Roman" w:eastAsia="宋体" w:cs="Times New Roman"/>
          <w:color w:val="auto"/>
          <w:sz w:val="28"/>
          <w:szCs w:val="28"/>
        </w:rPr>
        <w:t xml:space="preserve">5  </w:t>
      </w:r>
      <w:r>
        <w:rPr>
          <w:rFonts w:hint="eastAsia" w:ascii="Times New Roman" w:hAnsi="Times New Roman" w:eastAsia="宋体" w:cs="Times New Roman"/>
          <w:color w:val="auto"/>
          <w:sz w:val="28"/>
          <w:szCs w:val="28"/>
        </w:rPr>
        <w:t>钢结构防护设计</w:t>
      </w:r>
      <w:bookmarkEnd w:id="48"/>
      <w:bookmarkEnd w:id="49"/>
      <w:bookmarkEnd w:id="50"/>
    </w:p>
    <w:bookmarkEnd w:id="51"/>
    <w:p>
      <w:pPr>
        <w:pStyle w:val="27"/>
        <w:spacing w:line="360" w:lineRule="auto"/>
        <w:rPr>
          <w:rFonts w:ascii="宋体" w:hAnsi="宋体" w:eastAsia="宋体" w:cs="黑体"/>
          <w:sz w:val="24"/>
          <w:szCs w:val="24"/>
        </w:rPr>
      </w:pPr>
      <w:r>
        <w:rPr>
          <w:rFonts w:ascii="Times New Roman" w:hAnsi="Times New Roman"/>
          <w:b/>
          <w:sz w:val="24"/>
          <w:szCs w:val="24"/>
        </w:rPr>
        <w:t>6.5.1</w:t>
      </w:r>
      <w:r>
        <w:rPr>
          <w:rFonts w:hint="eastAsia" w:ascii="宋体" w:hAnsi="宋体" w:eastAsia="宋体" w:cs="黑体"/>
          <w:sz w:val="24"/>
          <w:szCs w:val="24"/>
        </w:rPr>
        <w:t>钢结构住宅的主体钢结构构件应根据室内环境进行防腐蚀和防火涂装，其耐久性年限宜与主体结构设计工作年限一致，且不应低于15年。</w:t>
      </w:r>
    </w:p>
    <w:p>
      <w:pPr>
        <w:pStyle w:val="27"/>
        <w:spacing w:line="360" w:lineRule="auto"/>
        <w:rPr>
          <w:rFonts w:ascii="宋体" w:hAnsi="宋体" w:eastAsia="宋体" w:cs="黑体"/>
          <w:szCs w:val="21"/>
        </w:rPr>
      </w:pPr>
      <w:r>
        <w:rPr>
          <w:rFonts w:hint="eastAsia" w:ascii="宋体" w:hAnsi="宋体" w:eastAsia="宋体" w:cs="黑体"/>
          <w:b/>
        </w:rPr>
        <w:t>【条文说明】</w:t>
      </w:r>
      <w:r>
        <w:rPr>
          <w:rFonts w:hint="eastAsia" w:ascii="宋体" w:hAnsi="宋体" w:eastAsia="宋体" w:cs="黑体"/>
          <w:bCs/>
        </w:rPr>
        <w:t>：</w:t>
      </w:r>
      <w:r>
        <w:rPr>
          <w:rFonts w:hint="eastAsia" w:ascii="宋体" w:hAnsi="宋体" w:eastAsia="宋体" w:cs="黑体"/>
          <w:bCs/>
          <w:color w:val="5B9BD5"/>
        </w:rPr>
        <w:t>钢结构住宅不便于在使用期间进行维护，因此其钢结构防护涂层的耐久性应与主体结构的设计工作年限一致，以保证结构安全；若耐久性低于主体结构的设计工作年限，钢结构构件应具备可维护的条件。</w:t>
      </w:r>
    </w:p>
    <w:p>
      <w:pPr>
        <w:pStyle w:val="27"/>
        <w:spacing w:line="360" w:lineRule="auto"/>
        <w:rPr>
          <w:rFonts w:ascii="宋体" w:hAnsi="宋体" w:eastAsia="宋体" w:cs="黑体"/>
          <w:sz w:val="24"/>
          <w:szCs w:val="24"/>
        </w:rPr>
      </w:pPr>
      <w:r>
        <w:rPr>
          <w:rFonts w:ascii="Times New Roman" w:hAnsi="Times New Roman"/>
          <w:b/>
          <w:sz w:val="24"/>
          <w:szCs w:val="24"/>
        </w:rPr>
        <w:t xml:space="preserve">6.5.2  </w:t>
      </w:r>
      <w:r>
        <w:rPr>
          <w:rFonts w:ascii="宋体" w:hAnsi="宋体" w:eastAsia="宋体" w:cs="黑体"/>
          <w:sz w:val="24"/>
          <w:szCs w:val="24"/>
        </w:rPr>
        <w:t>钢结构防腐设计应符合以下规定</w:t>
      </w:r>
      <w:r>
        <w:rPr>
          <w:rFonts w:hint="eastAsia" w:ascii="宋体" w:hAnsi="宋体" w:eastAsia="宋体" w:cs="黑体"/>
          <w:sz w:val="24"/>
          <w:szCs w:val="24"/>
        </w:rPr>
        <w:t>：</w:t>
      </w:r>
    </w:p>
    <w:p>
      <w:pPr>
        <w:spacing w:line="360" w:lineRule="auto"/>
        <w:ind w:firstLine="480" w:firstLineChars="200"/>
        <w:rPr>
          <w:rFonts w:ascii="宋体" w:hAnsi="宋体"/>
          <w:color w:val="auto"/>
          <w:sz w:val="24"/>
          <w:szCs w:val="24"/>
        </w:rPr>
      </w:pPr>
      <w:r>
        <w:rPr>
          <w:rFonts w:ascii="宋体" w:hAnsi="宋体"/>
          <w:color w:val="auto"/>
          <w:sz w:val="24"/>
          <w:szCs w:val="24"/>
        </w:rPr>
        <w:t>1</w:t>
      </w:r>
      <w:r>
        <w:rPr>
          <w:rFonts w:ascii="宋体" w:hAnsi="宋体"/>
          <w:b/>
          <w:bCs/>
          <w:color w:val="auto"/>
          <w:sz w:val="24"/>
          <w:szCs w:val="24"/>
        </w:rPr>
        <w:t xml:space="preserve"> </w:t>
      </w:r>
      <w:r>
        <w:rPr>
          <w:rFonts w:hint="eastAsia" w:ascii="宋体" w:hAnsi="宋体"/>
          <w:color w:val="auto"/>
          <w:sz w:val="24"/>
          <w:szCs w:val="24"/>
        </w:rPr>
        <w:t>钢结构防腐蚀设计应根据住宅室内环境条件、施工和维修条件等要求合理确定防腐蚀设计年限和涂装方案，对卫生间等环境条件较差部位的钢构件应加强防护，钢结构节点与相应构件的防腐要求一致。钢结构防腐蚀设计应符合现行标准《</w:t>
      </w:r>
      <w:r>
        <w:rPr>
          <w:rFonts w:ascii="宋体" w:hAnsi="宋体"/>
          <w:color w:val="auto"/>
          <w:sz w:val="24"/>
          <w:szCs w:val="24"/>
        </w:rPr>
        <w:t>建筑钢结构防腐蚀技术规程》JGJ/T 251和《冷弯薄壁型钢结构技术规范》GB 50018</w:t>
      </w:r>
      <w:r>
        <w:rPr>
          <w:rFonts w:hint="eastAsia" w:ascii="宋体" w:hAnsi="宋体"/>
          <w:color w:val="auto"/>
          <w:sz w:val="24"/>
          <w:szCs w:val="24"/>
        </w:rPr>
        <w:t>的规定。</w:t>
      </w:r>
    </w:p>
    <w:p>
      <w:pPr>
        <w:spacing w:line="360" w:lineRule="auto"/>
        <w:ind w:firstLine="480" w:firstLineChars="200"/>
        <w:rPr>
          <w:rFonts w:ascii="宋体" w:hAnsi="宋体"/>
          <w:color w:val="000000"/>
          <w:sz w:val="24"/>
          <w:szCs w:val="24"/>
        </w:rPr>
      </w:pPr>
      <w:r>
        <w:rPr>
          <w:rFonts w:hint="eastAsia" w:ascii="宋体" w:hAnsi="宋体"/>
          <w:color w:val="auto"/>
          <w:sz w:val="24"/>
          <w:szCs w:val="24"/>
        </w:rPr>
        <w:t>2</w:t>
      </w:r>
      <w:r>
        <w:rPr>
          <w:rFonts w:ascii="宋体" w:hAnsi="宋体"/>
          <w:color w:val="auto"/>
          <w:sz w:val="24"/>
          <w:szCs w:val="24"/>
        </w:rPr>
        <w:t xml:space="preserve"> </w:t>
      </w:r>
      <w:r>
        <w:rPr>
          <w:rFonts w:hint="eastAsia" w:ascii="宋体" w:hAnsi="宋体"/>
          <w:color w:val="auto"/>
          <w:sz w:val="24"/>
          <w:szCs w:val="24"/>
        </w:rPr>
        <w:t>有特殊要求的住宅钢结构，可采用</w:t>
      </w:r>
      <w:r>
        <w:rPr>
          <w:rFonts w:ascii="宋体" w:hAnsi="宋体"/>
          <w:color w:val="auto"/>
          <w:sz w:val="24"/>
          <w:szCs w:val="24"/>
        </w:rPr>
        <w:t>耐</w:t>
      </w:r>
      <w:r>
        <w:rPr>
          <w:rFonts w:hint="eastAsia" w:ascii="宋体" w:hAnsi="宋体"/>
          <w:color w:val="auto"/>
          <w:sz w:val="24"/>
          <w:szCs w:val="24"/>
        </w:rPr>
        <w:t>火</w:t>
      </w:r>
      <w:r>
        <w:rPr>
          <w:rFonts w:ascii="宋体" w:hAnsi="宋体"/>
          <w:color w:val="auto"/>
          <w:sz w:val="24"/>
          <w:szCs w:val="24"/>
        </w:rPr>
        <w:t>结构钢</w:t>
      </w:r>
      <w:r>
        <w:rPr>
          <w:rFonts w:hint="eastAsia" w:ascii="宋体" w:hAnsi="宋体"/>
          <w:color w:val="000000"/>
          <w:sz w:val="24"/>
          <w:szCs w:val="24"/>
        </w:rPr>
        <w:t>。</w:t>
      </w:r>
    </w:p>
    <w:p>
      <w:pPr>
        <w:autoSpaceDN w:val="0"/>
        <w:spacing w:line="360" w:lineRule="auto"/>
        <w:ind w:firstLine="482"/>
        <w:rPr>
          <w:rFonts w:ascii="宋体" w:hAnsi="宋体"/>
          <w:color w:val="auto"/>
          <w:sz w:val="24"/>
          <w:szCs w:val="24"/>
        </w:rPr>
      </w:pPr>
      <w:r>
        <w:rPr>
          <w:rFonts w:hint="eastAsia" w:ascii="宋体" w:hAnsi="宋体" w:cs="黑体"/>
          <w:b/>
          <w:color w:val="auto"/>
          <w:kern w:val="2"/>
          <w:szCs w:val="20"/>
        </w:rPr>
        <w:t>【条文说明】：</w:t>
      </w:r>
      <w:r>
        <w:rPr>
          <w:rFonts w:ascii="宋体" w:hAnsi="宋体" w:cs="黑体"/>
          <w:bCs/>
          <w:color w:val="5B9BD5"/>
          <w:kern w:val="2"/>
          <w:szCs w:val="20"/>
        </w:rPr>
        <w:t>耐火钢是通过合适的技术，增加钢材的特殊成分，从而改善钢材内在的耐火性。这种钢材在温度达600°C时，屈服强度下降不大于13</w:t>
      </w:r>
      <w:r>
        <w:rPr>
          <w:rFonts w:hint="eastAsia" w:ascii="宋体" w:hAnsi="宋体" w:cs="黑体"/>
          <w:bCs/>
          <w:color w:val="5B9BD5"/>
          <w:kern w:val="2"/>
          <w:szCs w:val="20"/>
        </w:rPr>
        <w:t>；</w:t>
      </w:r>
      <w:r>
        <w:rPr>
          <w:rFonts w:ascii="宋体" w:hAnsi="宋体" w:cs="黑体"/>
          <w:bCs/>
          <w:color w:val="5B9BD5"/>
          <w:kern w:val="2"/>
          <w:szCs w:val="20"/>
        </w:rPr>
        <w:t>此外它还具有自愈性或永久性</w:t>
      </w:r>
      <w:r>
        <w:rPr>
          <w:rFonts w:hint="eastAsia" w:ascii="宋体" w:hAnsi="宋体" w:cs="黑体"/>
          <w:bCs/>
          <w:color w:val="5B9BD5"/>
          <w:kern w:val="2"/>
          <w:szCs w:val="20"/>
        </w:rPr>
        <w:t>，</w:t>
      </w:r>
      <w:r>
        <w:rPr>
          <w:rFonts w:ascii="宋体" w:hAnsi="宋体" w:cs="黑体"/>
          <w:bCs/>
          <w:color w:val="5B9BD5"/>
          <w:kern w:val="2"/>
          <w:szCs w:val="20"/>
        </w:rPr>
        <w:t>即在钢材使用过程中表面受擦撞或火灾后，耐火性不变</w:t>
      </w:r>
      <w:r>
        <w:rPr>
          <w:rFonts w:hint="eastAsia" w:ascii="宋体" w:hAnsi="宋体" w:cs="黑体"/>
          <w:bCs/>
          <w:color w:val="5B9BD5"/>
          <w:kern w:val="2"/>
          <w:szCs w:val="20"/>
        </w:rPr>
        <w:t>；</w:t>
      </w:r>
      <w:r>
        <w:rPr>
          <w:rFonts w:ascii="宋体" w:hAnsi="宋体" w:cs="黑体"/>
          <w:bCs/>
          <w:color w:val="5B9BD5"/>
          <w:kern w:val="2"/>
          <w:szCs w:val="20"/>
        </w:rPr>
        <w:t>因此在建筑钢结构中使用这种钢材可明显降低防火保护层的厚度。</w:t>
      </w:r>
    </w:p>
    <w:p>
      <w:pPr>
        <w:pStyle w:val="27"/>
        <w:spacing w:line="360" w:lineRule="auto"/>
        <w:ind w:firstLine="480" w:firstLineChars="200"/>
        <w:rPr>
          <w:rFonts w:ascii="宋体" w:hAnsi="宋体" w:eastAsia="宋体" w:cs="黑体"/>
          <w:sz w:val="24"/>
          <w:szCs w:val="24"/>
        </w:rPr>
      </w:pPr>
      <w:r>
        <w:rPr>
          <w:rFonts w:ascii="宋体" w:hAnsi="宋体" w:eastAsia="宋体" w:cs="黑体"/>
          <w:sz w:val="24"/>
          <w:szCs w:val="24"/>
        </w:rPr>
        <w:t>3 </w:t>
      </w:r>
      <w:r>
        <w:rPr>
          <w:rFonts w:hint="eastAsia" w:ascii="宋体" w:hAnsi="宋体" w:eastAsia="宋体" w:cs="黑体"/>
          <w:sz w:val="24"/>
          <w:szCs w:val="24"/>
        </w:rPr>
        <w:t>处于外露环境，且对耐腐蚀有特殊要求或处于侵蚀性介质环境中的承重结构，宜采用耐候结构钢。</w:t>
      </w:r>
    </w:p>
    <w:p>
      <w:pPr>
        <w:spacing w:line="360" w:lineRule="auto"/>
        <w:ind w:firstLine="480" w:firstLineChars="200"/>
        <w:rPr>
          <w:rFonts w:ascii="宋体" w:hAnsi="宋体" w:cs="黑体"/>
          <w:color w:val="auto"/>
          <w:kern w:val="2"/>
          <w:sz w:val="24"/>
          <w:szCs w:val="24"/>
        </w:rPr>
      </w:pPr>
      <w:r>
        <w:rPr>
          <w:rFonts w:hint="eastAsia" w:ascii="宋体" w:hAnsi="宋体" w:cs="黑体"/>
          <w:color w:val="auto"/>
          <w:kern w:val="2"/>
          <w:sz w:val="24"/>
          <w:szCs w:val="24"/>
        </w:rPr>
        <w:t>4 住宅围护结构的设计构造应防止结露，室内湿度较大的部位（如厨房、卫生间等）不应有外露钢结构；当不可避免时，可采用外包混凝土隔护，构造做法参见附录</w:t>
      </w:r>
      <w:r>
        <w:rPr>
          <w:rFonts w:ascii="宋体" w:hAnsi="宋体" w:cs="黑体"/>
          <w:color w:val="auto"/>
          <w:kern w:val="2"/>
          <w:sz w:val="24"/>
          <w:szCs w:val="24"/>
        </w:rPr>
        <w:t>E</w:t>
      </w:r>
      <w:r>
        <w:rPr>
          <w:rFonts w:hint="eastAsia" w:ascii="宋体" w:hAnsi="宋体" w:cs="黑体"/>
          <w:color w:val="auto"/>
          <w:kern w:val="2"/>
          <w:sz w:val="24"/>
          <w:szCs w:val="24"/>
        </w:rPr>
        <w:t>。</w:t>
      </w:r>
    </w:p>
    <w:p>
      <w:pPr>
        <w:pStyle w:val="27"/>
        <w:spacing w:line="360" w:lineRule="auto"/>
        <w:ind w:firstLine="480" w:firstLineChars="200"/>
        <w:rPr>
          <w:rFonts w:ascii="宋体" w:hAnsi="宋体" w:eastAsia="宋体" w:cs="黑体"/>
          <w:sz w:val="24"/>
          <w:szCs w:val="24"/>
        </w:rPr>
      </w:pPr>
      <w:r>
        <w:rPr>
          <w:rFonts w:ascii="宋体" w:hAnsi="宋体" w:eastAsia="宋体" w:cs="黑体"/>
          <w:sz w:val="24"/>
          <w:szCs w:val="24"/>
        </w:rPr>
        <w:t>5 </w:t>
      </w:r>
      <w:r>
        <w:rPr>
          <w:rFonts w:hint="eastAsia" w:ascii="宋体" w:hAnsi="宋体" w:eastAsia="宋体" w:cs="黑体"/>
          <w:sz w:val="24"/>
          <w:szCs w:val="24"/>
        </w:rPr>
        <w:t>住宅钢结构不应采用带锈涂料（即允许钢材表面带锈涂刷的化学除锈涂料）作防锈涂装。</w:t>
      </w:r>
    </w:p>
    <w:p>
      <w:pPr>
        <w:pStyle w:val="27"/>
        <w:spacing w:line="360" w:lineRule="auto"/>
        <w:ind w:firstLine="480" w:firstLineChars="200"/>
        <w:rPr>
          <w:rFonts w:ascii="宋体" w:hAnsi="宋体" w:eastAsia="宋体" w:cs="黑体"/>
          <w:sz w:val="24"/>
          <w:szCs w:val="24"/>
        </w:rPr>
      </w:pPr>
      <w:r>
        <w:rPr>
          <w:rFonts w:hint="eastAsia" w:ascii="宋体" w:hAnsi="宋体" w:eastAsia="宋体" w:cs="黑体"/>
          <w:sz w:val="24"/>
          <w:szCs w:val="24"/>
        </w:rPr>
        <w:t>6</w:t>
      </w:r>
      <w:r>
        <w:rPr>
          <w:rFonts w:ascii="宋体" w:hAnsi="宋体" w:eastAsia="宋体" w:cs="黑体"/>
          <w:sz w:val="24"/>
          <w:szCs w:val="24"/>
        </w:rPr>
        <w:t xml:space="preserve"> </w:t>
      </w:r>
      <w:r>
        <w:rPr>
          <w:rFonts w:hint="eastAsia" w:ascii="宋体" w:hAnsi="宋体" w:eastAsia="宋体" w:cs="黑体"/>
          <w:sz w:val="24"/>
          <w:szCs w:val="24"/>
        </w:rPr>
        <w:t>不同种类金属材料的构件、部件连接时（如铝合金与钢材）应采取防止接触腐蚀的阻隔措施。</w:t>
      </w:r>
    </w:p>
    <w:p>
      <w:pPr>
        <w:pStyle w:val="27"/>
        <w:spacing w:line="360" w:lineRule="auto"/>
        <w:rPr>
          <w:rFonts w:ascii="宋体" w:hAnsi="宋体" w:eastAsia="宋体" w:cs="黑体"/>
          <w:sz w:val="24"/>
          <w:szCs w:val="24"/>
        </w:rPr>
      </w:pPr>
      <w:r>
        <w:rPr>
          <w:rFonts w:ascii="Times New Roman" w:hAnsi="Times New Roman"/>
          <w:b/>
          <w:sz w:val="24"/>
          <w:szCs w:val="24"/>
        </w:rPr>
        <w:t xml:space="preserve">6.5.3 </w:t>
      </w:r>
      <w:r>
        <w:rPr>
          <w:rFonts w:ascii="宋体" w:hAnsi="宋体" w:eastAsia="宋体" w:cs="黑体"/>
          <w:b/>
          <w:bCs/>
          <w:szCs w:val="21"/>
        </w:rPr>
        <w:t xml:space="preserve"> </w:t>
      </w:r>
      <w:r>
        <w:rPr>
          <w:rFonts w:ascii="宋体" w:hAnsi="宋体" w:eastAsia="宋体" w:cs="黑体"/>
          <w:sz w:val="24"/>
          <w:szCs w:val="24"/>
        </w:rPr>
        <w:t>钢结构防火设计应符合以下规定</w:t>
      </w:r>
      <w:r>
        <w:rPr>
          <w:rFonts w:hint="eastAsia" w:ascii="宋体" w:hAnsi="宋体" w:eastAsia="宋体" w:cs="黑体"/>
          <w:sz w:val="24"/>
          <w:szCs w:val="24"/>
        </w:rPr>
        <w:t>：</w:t>
      </w:r>
    </w:p>
    <w:p>
      <w:pPr>
        <w:spacing w:line="360" w:lineRule="auto"/>
        <w:ind w:firstLine="482" w:firstLineChars="200"/>
        <w:rPr>
          <w:rFonts w:ascii="宋体" w:hAnsi="宋体"/>
          <w:color w:val="auto"/>
          <w:sz w:val="24"/>
          <w:szCs w:val="24"/>
        </w:rPr>
      </w:pPr>
      <w:r>
        <w:rPr>
          <w:rFonts w:ascii="宋体" w:hAnsi="宋体"/>
          <w:b/>
          <w:bCs/>
          <w:color w:val="auto"/>
          <w:sz w:val="24"/>
          <w:szCs w:val="24"/>
        </w:rPr>
        <w:t>1</w:t>
      </w:r>
      <w:r>
        <w:rPr>
          <w:rFonts w:ascii="宋体" w:hAnsi="宋体"/>
          <w:color w:val="auto"/>
          <w:sz w:val="24"/>
          <w:szCs w:val="24"/>
        </w:rPr>
        <w:t xml:space="preserve"> </w:t>
      </w:r>
      <w:r>
        <w:rPr>
          <w:rFonts w:hint="eastAsia" w:ascii="宋体" w:hAnsi="宋体"/>
          <w:color w:val="auto"/>
          <w:sz w:val="24"/>
          <w:szCs w:val="24"/>
        </w:rPr>
        <w:t>钢结构的防火设计文件应注明建筑的耐火等级、构件的设计耐火极限、构件的防火保护措施、防火材料的性能要求及设计指标。</w:t>
      </w:r>
    </w:p>
    <w:p>
      <w:pPr>
        <w:pStyle w:val="27"/>
        <w:spacing w:line="360" w:lineRule="auto"/>
        <w:ind w:firstLine="482" w:firstLineChars="200"/>
        <w:rPr>
          <w:rFonts w:ascii="宋体" w:hAnsi="宋体" w:eastAsia="宋体" w:cs="黑体"/>
          <w:sz w:val="24"/>
          <w:szCs w:val="24"/>
        </w:rPr>
      </w:pPr>
      <w:r>
        <w:rPr>
          <w:rFonts w:ascii="宋体" w:hAnsi="宋体" w:eastAsia="宋体" w:cs="黑体"/>
          <w:b/>
          <w:bCs/>
          <w:sz w:val="24"/>
          <w:szCs w:val="24"/>
        </w:rPr>
        <w:t>2 </w:t>
      </w:r>
      <w:r>
        <w:rPr>
          <w:rFonts w:hint="eastAsia" w:ascii="宋体" w:hAnsi="宋体" w:eastAsia="宋体" w:cs="黑体"/>
          <w:sz w:val="24"/>
          <w:szCs w:val="24"/>
        </w:rPr>
        <w:t>钢构件的耐火极限应符合国家现行标准《建筑设计防火规范》GB</w:t>
      </w:r>
      <w:r>
        <w:rPr>
          <w:rFonts w:ascii="宋体" w:hAnsi="宋体" w:eastAsia="宋体" w:cs="黑体"/>
          <w:sz w:val="24"/>
          <w:szCs w:val="24"/>
        </w:rPr>
        <w:t xml:space="preserve"> </w:t>
      </w:r>
      <w:r>
        <w:rPr>
          <w:rFonts w:hint="eastAsia" w:ascii="宋体" w:hAnsi="宋体" w:eastAsia="宋体" w:cs="黑体"/>
          <w:sz w:val="24"/>
          <w:szCs w:val="24"/>
        </w:rPr>
        <w:t>50016中的有关规定；当钢构件的耐火时间不能达到规范规定的耐火极限时，应进行防火保护设计，建筑钢结构应按国家现行标准《建筑钢结构防火技术规范》GB</w:t>
      </w:r>
      <w:r>
        <w:rPr>
          <w:rFonts w:ascii="宋体" w:hAnsi="宋体" w:eastAsia="宋体" w:cs="黑体"/>
          <w:sz w:val="24"/>
          <w:szCs w:val="24"/>
        </w:rPr>
        <w:t xml:space="preserve"> </w:t>
      </w:r>
      <w:r>
        <w:rPr>
          <w:rFonts w:hint="eastAsia" w:ascii="宋体" w:hAnsi="宋体" w:eastAsia="宋体" w:cs="黑体"/>
          <w:sz w:val="24"/>
          <w:szCs w:val="24"/>
        </w:rPr>
        <w:t>51249进行抗火性能验算，钢结构节点的防火保护应与被连接构件中防火保护要求最高者相同。</w:t>
      </w:r>
    </w:p>
    <w:p>
      <w:pPr>
        <w:tabs>
          <w:tab w:val="left" w:pos="2603"/>
        </w:tabs>
        <w:autoSpaceDN w:val="0"/>
        <w:rPr>
          <w:rFonts w:ascii="等线" w:hAnsi="等线" w:eastAsia="等线"/>
          <w:kern w:val="2"/>
        </w:rPr>
      </w:pPr>
    </w:p>
    <w:p>
      <w:pPr>
        <w:pStyle w:val="23"/>
        <w:shd w:val="clear" w:color="auto" w:fill="FFFFFF"/>
        <w:jc w:val="center"/>
        <w:rPr>
          <w:b/>
          <w:bCs/>
          <w:sz w:val="21"/>
          <w:szCs w:val="21"/>
        </w:rPr>
      </w:pPr>
    </w:p>
    <w:p>
      <w:pPr>
        <w:pStyle w:val="23"/>
        <w:shd w:val="clear" w:color="auto" w:fill="FFFFFF"/>
        <w:jc w:val="center"/>
        <w:rPr>
          <w:sz w:val="21"/>
          <w:szCs w:val="21"/>
        </w:rPr>
      </w:pPr>
    </w:p>
    <w:p>
      <w:pPr>
        <w:pStyle w:val="23"/>
        <w:shd w:val="clear" w:color="auto" w:fill="FFFFFF"/>
        <w:jc w:val="center"/>
        <w:rPr>
          <w:sz w:val="21"/>
          <w:szCs w:val="21"/>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pStyle w:val="2"/>
        <w:jc w:val="center"/>
        <w:rPr>
          <w:rFonts w:eastAsia="仿宋"/>
          <w:color w:val="auto"/>
          <w:sz w:val="32"/>
          <w:szCs w:val="32"/>
        </w:rPr>
      </w:pPr>
      <w:bookmarkStart w:id="52" w:name="_Toc103958756"/>
      <w:r>
        <w:rPr>
          <w:rFonts w:eastAsia="仿宋"/>
          <w:color w:val="auto"/>
          <w:sz w:val="32"/>
          <w:szCs w:val="32"/>
        </w:rPr>
        <w:t>7</w:t>
      </w:r>
      <w:r>
        <w:rPr>
          <w:rFonts w:hint="eastAsia" w:eastAsia="仿宋"/>
          <w:color w:val="auto"/>
          <w:sz w:val="32"/>
          <w:szCs w:val="32"/>
        </w:rPr>
        <w:t xml:space="preserve"> </w:t>
      </w:r>
      <w:r>
        <w:rPr>
          <w:rFonts w:eastAsia="仿宋"/>
          <w:color w:val="auto"/>
          <w:sz w:val="32"/>
          <w:szCs w:val="32"/>
        </w:rPr>
        <w:t xml:space="preserve"> </w:t>
      </w:r>
      <w:r>
        <w:rPr>
          <w:rFonts w:hint="eastAsia" w:ascii="宋体" w:hAnsi="宋体"/>
          <w:color w:val="auto"/>
          <w:sz w:val="32"/>
          <w:szCs w:val="32"/>
        </w:rPr>
        <w:t>墙体系统设计</w:t>
      </w:r>
      <w:bookmarkEnd w:id="52"/>
    </w:p>
    <w:p>
      <w:pPr>
        <w:pStyle w:val="3"/>
        <w:spacing w:line="360" w:lineRule="auto"/>
        <w:jc w:val="center"/>
        <w:rPr>
          <w:rFonts w:ascii="Times New Roman" w:hAnsi="Times New Roman" w:eastAsia="宋体" w:cs="Times New Roman"/>
          <w:color w:val="auto"/>
          <w:sz w:val="28"/>
          <w:szCs w:val="28"/>
        </w:rPr>
      </w:pPr>
      <w:bookmarkStart w:id="53" w:name="_Toc76376965"/>
      <w:bookmarkStart w:id="54" w:name="_Toc103958757"/>
      <w:r>
        <w:rPr>
          <w:rFonts w:ascii="Times New Roman" w:hAnsi="Times New Roman" w:eastAsia="宋体" w:cs="Times New Roman"/>
          <w:color w:val="auto"/>
          <w:sz w:val="28"/>
          <w:szCs w:val="28"/>
        </w:rPr>
        <w:t xml:space="preserve">7.1 </w:t>
      </w:r>
      <w:r>
        <w:rPr>
          <w:rFonts w:hint="eastAsia" w:ascii="Times New Roman" w:hAnsi="Times New Roman" w:eastAsia="宋体" w:cs="Times New Roman"/>
          <w:color w:val="auto"/>
          <w:sz w:val="28"/>
          <w:szCs w:val="28"/>
        </w:rPr>
        <w:t>一般规定</w:t>
      </w:r>
      <w:bookmarkEnd w:id="53"/>
      <w:bookmarkEnd w:id="54"/>
    </w:p>
    <w:p>
      <w:pPr>
        <w:spacing w:line="360" w:lineRule="auto"/>
        <w:rPr>
          <w:rFonts w:ascii="宋体" w:hAnsi="宋体"/>
          <w:color w:val="auto"/>
          <w:sz w:val="24"/>
          <w:szCs w:val="24"/>
        </w:rPr>
      </w:pPr>
      <w:bookmarkStart w:id="55" w:name="_Toc84835519"/>
      <w:bookmarkStart w:id="56" w:name="_Toc76376966"/>
      <w:r>
        <w:rPr>
          <w:rFonts w:eastAsia="等线" w:cs="宋体"/>
          <w:b/>
          <w:color w:val="auto"/>
          <w:kern w:val="2"/>
          <w:sz w:val="24"/>
          <w:szCs w:val="24"/>
        </w:rPr>
        <w:t>7.1.1</w:t>
      </w:r>
      <w:r>
        <w:rPr>
          <w:rFonts w:ascii="宋体" w:hAnsi="宋体"/>
          <w:color w:val="auto"/>
          <w:sz w:val="24"/>
          <w:szCs w:val="24"/>
        </w:rPr>
        <w:t xml:space="preserve"> </w:t>
      </w:r>
      <w:r>
        <w:rPr>
          <w:rFonts w:hint="eastAsia" w:ascii="宋体" w:hAnsi="宋体"/>
          <w:color w:val="auto"/>
          <w:sz w:val="24"/>
          <w:szCs w:val="24"/>
        </w:rPr>
        <w:t>钢结构住宅墙体系统设计应综合考虑墙板之间、墙板与主体结构连接以及防水密封、防开裂等构造节点的性能。</w:t>
      </w:r>
      <w:bookmarkEnd w:id="55"/>
      <w:bookmarkEnd w:id="56"/>
    </w:p>
    <w:p>
      <w:pPr>
        <w:spacing w:line="360" w:lineRule="auto"/>
        <w:rPr>
          <w:rFonts w:ascii="宋体" w:hAnsi="宋体"/>
          <w:color w:val="auto"/>
          <w:sz w:val="24"/>
          <w:szCs w:val="24"/>
        </w:rPr>
      </w:pPr>
      <w:bookmarkStart w:id="57" w:name="_Toc76376967"/>
      <w:bookmarkStart w:id="58" w:name="_Toc84835520"/>
      <w:r>
        <w:rPr>
          <w:rFonts w:eastAsia="等线" w:cs="宋体"/>
          <w:b/>
          <w:color w:val="auto"/>
          <w:kern w:val="2"/>
          <w:sz w:val="24"/>
          <w:szCs w:val="24"/>
        </w:rPr>
        <w:t>7.1.2</w:t>
      </w:r>
      <w:r>
        <w:rPr>
          <w:rFonts w:hint="eastAsia" w:eastAsia="等线" w:cs="宋体"/>
          <w:b/>
          <w:color w:val="auto"/>
          <w:kern w:val="2"/>
          <w:sz w:val="24"/>
          <w:szCs w:val="24"/>
        </w:rPr>
        <w:t xml:space="preserve"> </w:t>
      </w:r>
      <w:r>
        <w:rPr>
          <w:rFonts w:eastAsia="等线" w:cs="宋体"/>
          <w:b/>
          <w:color w:val="auto"/>
          <w:kern w:val="2"/>
          <w:sz w:val="24"/>
          <w:szCs w:val="24"/>
        </w:rPr>
        <w:t xml:space="preserve"> </w:t>
      </w:r>
      <w:r>
        <w:rPr>
          <w:rFonts w:hint="eastAsia" w:ascii="宋体" w:hAnsi="宋体"/>
          <w:color w:val="auto"/>
          <w:sz w:val="24"/>
          <w:szCs w:val="24"/>
        </w:rPr>
        <w:t>钢结构住宅墙体系统应与结构系统、设备与管线系统、内装系统进行一体化设计，提高集成度、施工精度和效率。</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钢结构住宅墙体不宜现场开槽，且不应横向开槽。建议墙板根据图纸上孔洞、线槽的位置提前预制，现场直接安装。</w:t>
      </w:r>
    </w:p>
    <w:p>
      <w:pPr>
        <w:spacing w:line="360" w:lineRule="auto"/>
        <w:rPr>
          <w:rFonts w:ascii="宋体" w:hAnsi="宋体"/>
          <w:color w:val="auto"/>
          <w:sz w:val="24"/>
          <w:szCs w:val="24"/>
        </w:rPr>
      </w:pPr>
      <w:r>
        <w:rPr>
          <w:rFonts w:eastAsia="等线" w:cs="宋体"/>
          <w:b/>
          <w:color w:val="auto"/>
          <w:kern w:val="2"/>
          <w:sz w:val="24"/>
          <w:szCs w:val="24"/>
        </w:rPr>
        <w:t>7.1.3</w:t>
      </w:r>
      <w:bookmarkEnd w:id="57"/>
      <w:bookmarkEnd w:id="58"/>
      <w:r>
        <w:rPr>
          <w:rFonts w:hint="eastAsia" w:ascii="宋体" w:hAnsi="宋体"/>
          <w:color w:val="auto"/>
          <w:sz w:val="24"/>
          <w:szCs w:val="24"/>
        </w:rPr>
        <w:t>钢结构住宅墙体系统应根据项目所在地气候条件，结合建筑设计、结构形式、制造工艺、施工条件、使用要求和综合成本等因素确定。</w:t>
      </w:r>
    </w:p>
    <w:p>
      <w:pPr>
        <w:spacing w:line="360" w:lineRule="auto"/>
        <w:rPr>
          <w:rFonts w:ascii="宋体" w:hAnsi="宋体" w:cs="黑体"/>
          <w:bCs/>
          <w:color w:val="5B9BD5"/>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钢结构住宅外墙设计应考虑地域性，一般来说北方重点考虑保温，应选择传热系数小的墙体材料；南方主要考虑隔热，应选择热惰性指标和传热系数都适合的墙体材料。</w:t>
      </w:r>
    </w:p>
    <w:p>
      <w:pPr>
        <w:spacing w:line="360" w:lineRule="auto"/>
        <w:rPr>
          <w:rFonts w:ascii="宋体" w:hAnsi="宋体" w:cs="黑体"/>
          <w:bCs/>
          <w:color w:val="5B9BD5"/>
          <w:sz w:val="24"/>
          <w:szCs w:val="24"/>
        </w:rPr>
      </w:pPr>
      <w:bookmarkStart w:id="59" w:name="_Toc76376968"/>
      <w:bookmarkStart w:id="60" w:name="_Toc84835521"/>
      <w:r>
        <w:rPr>
          <w:rFonts w:eastAsia="等线" w:cs="宋体"/>
          <w:b/>
          <w:color w:val="auto"/>
          <w:kern w:val="2"/>
          <w:sz w:val="24"/>
          <w:szCs w:val="24"/>
        </w:rPr>
        <w:t>7.1.4</w:t>
      </w:r>
      <w:r>
        <w:rPr>
          <w:rFonts w:hint="eastAsia" w:eastAsia="等线" w:cs="宋体"/>
          <w:b/>
          <w:color w:val="auto"/>
          <w:kern w:val="2"/>
          <w:sz w:val="24"/>
          <w:szCs w:val="24"/>
        </w:rPr>
        <w:t xml:space="preserve"> </w:t>
      </w:r>
      <w:bookmarkEnd w:id="59"/>
      <w:bookmarkEnd w:id="60"/>
      <w:r>
        <w:rPr>
          <w:rFonts w:hint="eastAsia" w:ascii="宋体" w:hAnsi="宋体"/>
          <w:color w:val="auto"/>
          <w:sz w:val="24"/>
          <w:szCs w:val="24"/>
        </w:rPr>
        <w:t>钢结构住宅墙体系统的部品部件应遵循工业化、集成化的原则，满足建筑立面效果、制作、运输、堆放、吊装、连接、接缝处理等工艺技术要求。</w:t>
      </w:r>
    </w:p>
    <w:p>
      <w:pPr>
        <w:pStyle w:val="14"/>
        <w:shd w:val="clear" w:color="auto" w:fill="FFFFFF"/>
        <w:spacing w:before="0" w:beforeAutospacing="0" w:after="0" w:afterAutospacing="0" w:line="360" w:lineRule="auto"/>
        <w:rPr>
          <w:rFonts w:ascii="Times New Roman" w:hAnsi="Times New Roman" w:cs="Times New Roman"/>
          <w:color w:val="0070C0"/>
          <w:kern w:val="2"/>
          <w:sz w:val="21"/>
          <w:szCs w:val="21"/>
        </w:rPr>
      </w:pPr>
      <w:r>
        <w:rPr>
          <w:rFonts w:hint="eastAsia" w:cs="黑体"/>
          <w:b/>
          <w:sz w:val="21"/>
          <w:szCs w:val="21"/>
        </w:rPr>
        <w:t>【条文说明】</w:t>
      </w:r>
      <w:r>
        <w:rPr>
          <w:rFonts w:hint="eastAsia" w:cs="黑体"/>
          <w:bCs/>
          <w:sz w:val="21"/>
          <w:szCs w:val="21"/>
        </w:rPr>
        <w:t>：</w:t>
      </w:r>
      <w:r>
        <w:rPr>
          <w:rFonts w:hint="eastAsia" w:ascii="Times New Roman" w:hAnsi="Times New Roman" w:cs="Times New Roman"/>
          <w:color w:val="0070C0"/>
          <w:kern w:val="2"/>
          <w:sz w:val="21"/>
          <w:szCs w:val="21"/>
        </w:rPr>
        <w:t>标准化是墙体部品部件应符合工业化、标准化和批量化生产，标准化施工的要求。模块化是将各种规格和功能模块进行组合，满足建筑装饰、使用功能需求。通用化是不同类型的墙体或不同规格的同类墙体宜选用通用部品及零配件，可实现通用性和互换性。</w:t>
      </w:r>
    </w:p>
    <w:p>
      <w:pPr>
        <w:pStyle w:val="3"/>
        <w:spacing w:line="360" w:lineRule="auto"/>
        <w:jc w:val="center"/>
        <w:rPr>
          <w:rFonts w:ascii="Times New Roman" w:hAnsi="Times New Roman" w:eastAsia="宋体" w:cs="Times New Roman"/>
          <w:color w:val="auto"/>
          <w:sz w:val="28"/>
          <w:szCs w:val="28"/>
        </w:rPr>
      </w:pPr>
      <w:bookmarkStart w:id="61" w:name="_Toc76376972"/>
      <w:bookmarkStart w:id="62" w:name="_Toc103958758"/>
      <w:r>
        <w:rPr>
          <w:rFonts w:ascii="Times New Roman" w:hAnsi="Times New Roman" w:eastAsia="宋体" w:cs="Times New Roman"/>
          <w:color w:val="auto"/>
          <w:sz w:val="28"/>
          <w:szCs w:val="28"/>
        </w:rPr>
        <w:t xml:space="preserve">7.2 </w:t>
      </w:r>
      <w:r>
        <w:rPr>
          <w:rFonts w:hint="eastAsia" w:ascii="Times New Roman" w:hAnsi="Times New Roman" w:eastAsia="宋体" w:cs="Times New Roman"/>
          <w:color w:val="auto"/>
          <w:sz w:val="28"/>
          <w:szCs w:val="28"/>
        </w:rPr>
        <w:t>墙体</w:t>
      </w:r>
      <w:bookmarkEnd w:id="61"/>
      <w:r>
        <w:rPr>
          <w:rFonts w:hint="eastAsia" w:ascii="Times New Roman" w:hAnsi="Times New Roman" w:eastAsia="宋体" w:cs="Times New Roman"/>
          <w:color w:val="auto"/>
          <w:sz w:val="28"/>
          <w:szCs w:val="28"/>
        </w:rPr>
        <w:t>性能要求</w:t>
      </w:r>
      <w:bookmarkEnd w:id="62"/>
    </w:p>
    <w:p>
      <w:pPr>
        <w:spacing w:line="360" w:lineRule="auto"/>
        <w:rPr>
          <w:rFonts w:ascii="宋体" w:hAnsi="宋体"/>
          <w:color w:val="000000"/>
          <w:sz w:val="24"/>
          <w:szCs w:val="24"/>
        </w:rPr>
      </w:pPr>
      <w:bookmarkStart w:id="63" w:name="_Toc84835526"/>
      <w:bookmarkStart w:id="64" w:name="_Toc76376973"/>
      <w:r>
        <w:rPr>
          <w:rFonts w:eastAsia="等线" w:cs="宋体"/>
          <w:b/>
          <w:color w:val="auto"/>
          <w:kern w:val="2"/>
          <w:sz w:val="24"/>
          <w:szCs w:val="24"/>
        </w:rPr>
        <w:t>7.2.1</w:t>
      </w:r>
      <w:bookmarkEnd w:id="63"/>
      <w:bookmarkEnd w:id="64"/>
      <w:r>
        <w:rPr>
          <w:rFonts w:ascii="宋体" w:hAnsi="宋体"/>
          <w:color w:val="auto"/>
          <w:sz w:val="24"/>
          <w:szCs w:val="24"/>
        </w:rPr>
        <w:t xml:space="preserve"> </w:t>
      </w:r>
      <w:r>
        <w:rPr>
          <w:rFonts w:hint="eastAsia" w:ascii="宋体" w:hAnsi="宋体"/>
          <w:color w:val="auto"/>
          <w:sz w:val="24"/>
          <w:szCs w:val="24"/>
        </w:rPr>
        <w:t>钢结构住宅墙体</w:t>
      </w:r>
      <w:r>
        <w:rPr>
          <w:rFonts w:hint="eastAsia" w:ascii="宋体" w:hAnsi="宋体"/>
          <w:color w:val="000000"/>
          <w:sz w:val="24"/>
          <w:szCs w:val="24"/>
        </w:rPr>
        <w:t>系统性能应满足抗风压、抗震、耐撞击、防火、平面内变形等安全性能要求，满足气密性、水密性、隔声、热工等功能性要求和耐久性要求，并应满足国家现行标准《装配式建筑用墙板技术要求》J</w:t>
      </w:r>
      <w:r>
        <w:rPr>
          <w:rFonts w:ascii="宋体" w:hAnsi="宋体"/>
          <w:color w:val="000000"/>
          <w:sz w:val="24"/>
          <w:szCs w:val="24"/>
        </w:rPr>
        <w:t>C/T 578</w:t>
      </w:r>
      <w:r>
        <w:rPr>
          <w:rFonts w:hint="eastAsia" w:ascii="宋体" w:hAnsi="宋体"/>
          <w:color w:val="000000"/>
          <w:sz w:val="24"/>
          <w:szCs w:val="24"/>
        </w:rPr>
        <w:t>的规定。</w:t>
      </w:r>
    </w:p>
    <w:p>
      <w:pPr>
        <w:pStyle w:val="14"/>
        <w:shd w:val="clear" w:color="auto" w:fill="FFFFFF"/>
        <w:spacing w:before="0" w:beforeAutospacing="0" w:after="0" w:afterAutospacing="0" w:line="360" w:lineRule="auto"/>
        <w:rPr>
          <w:rFonts w:ascii="Times New Roman" w:hAnsi="Times New Roman" w:cs="Times New Roman"/>
          <w:color w:val="0070C0"/>
          <w:kern w:val="2"/>
          <w:sz w:val="21"/>
          <w:szCs w:val="21"/>
        </w:rPr>
      </w:pPr>
      <w:r>
        <w:rPr>
          <w:rFonts w:hint="eastAsia" w:cs="黑体"/>
          <w:b/>
          <w:sz w:val="21"/>
          <w:szCs w:val="21"/>
        </w:rPr>
        <w:t>【条文说明】</w:t>
      </w:r>
      <w:r>
        <w:rPr>
          <w:rFonts w:hint="eastAsia" w:cs="黑体"/>
          <w:bCs/>
          <w:sz w:val="21"/>
          <w:szCs w:val="21"/>
        </w:rPr>
        <w:t>：</w:t>
      </w:r>
      <w:r>
        <w:rPr>
          <w:rFonts w:hint="eastAsia" w:ascii="Times New Roman" w:hAnsi="Times New Roman" w:cs="Times New Roman"/>
          <w:color w:val="0070C0"/>
          <w:kern w:val="2"/>
          <w:sz w:val="21"/>
          <w:szCs w:val="21"/>
        </w:rPr>
        <w:t>墙体系统在集成设计时，应根据不同材料特性、施工工艺和节点构造特点明确具体的性能要求。</w:t>
      </w:r>
    </w:p>
    <w:p>
      <w:pPr>
        <w:pStyle w:val="14"/>
        <w:shd w:val="clear" w:color="auto" w:fill="FFFFFF"/>
        <w:spacing w:before="0" w:beforeAutospacing="0" w:after="0" w:afterAutospacing="0" w:line="360" w:lineRule="auto"/>
        <w:ind w:firstLine="210" w:firstLineChars="100"/>
        <w:rPr>
          <w:rFonts w:ascii="Times New Roman" w:hAnsi="Times New Roman" w:cs="Times New Roman"/>
          <w:color w:val="0070C0"/>
          <w:kern w:val="2"/>
          <w:sz w:val="21"/>
          <w:szCs w:val="21"/>
        </w:rPr>
      </w:pPr>
      <w:r>
        <w:rPr>
          <w:rFonts w:hint="eastAsia" w:ascii="Times New Roman" w:hAnsi="Times New Roman" w:cs="Times New Roman"/>
          <w:color w:val="0070C0"/>
          <w:kern w:val="2"/>
          <w:sz w:val="21"/>
          <w:szCs w:val="21"/>
        </w:rPr>
        <w:t>1安全性能要求是指关系到人身安全的关键性能指标，对于钢结构住宅墙体系统来说具体分为抗风压性能、抗震性能、耐撞击性能以及防火、平面内变形。</w:t>
      </w:r>
    </w:p>
    <w:p>
      <w:pPr>
        <w:pStyle w:val="14"/>
        <w:shd w:val="clear" w:color="auto" w:fill="FFFFFF"/>
        <w:spacing w:before="0" w:beforeAutospacing="0" w:after="0" w:afterAutospacing="0" w:line="360" w:lineRule="auto"/>
        <w:ind w:firstLine="210" w:firstLineChars="100"/>
        <w:rPr>
          <w:rFonts w:ascii="Times New Roman" w:hAnsi="Times New Roman" w:cs="Times New Roman"/>
          <w:color w:val="0070C0"/>
          <w:kern w:val="2"/>
          <w:sz w:val="21"/>
          <w:szCs w:val="21"/>
        </w:rPr>
      </w:pPr>
      <w:r>
        <w:rPr>
          <w:rFonts w:hint="eastAsia" w:ascii="Times New Roman" w:hAnsi="Times New Roman" w:cs="Times New Roman"/>
          <w:color w:val="0070C0"/>
          <w:kern w:val="2"/>
          <w:sz w:val="21"/>
          <w:szCs w:val="21"/>
        </w:rPr>
        <w:t>2功能性能要求是指作为墙体系统应该满足居住使用功能的基本要求。具体包括气密性能、水密性能、隔声性能、热工性能四个方面。气密性能主要为墙板接缝处的空气渗透性能；水密性能主要为墙板的不透水性和墙板接缝处的止水、排水性能。</w:t>
      </w:r>
    </w:p>
    <w:p>
      <w:pPr>
        <w:pStyle w:val="14"/>
        <w:shd w:val="clear" w:color="auto" w:fill="FFFFFF"/>
        <w:spacing w:before="0" w:beforeAutospacing="0" w:after="0" w:afterAutospacing="0" w:line="360" w:lineRule="auto"/>
        <w:ind w:firstLine="210" w:firstLineChars="100"/>
        <w:rPr>
          <w:rFonts w:ascii="Times New Roman" w:hAnsi="Times New Roman" w:cs="Times New Roman"/>
          <w:color w:val="0070C0"/>
          <w:kern w:val="2"/>
          <w:sz w:val="21"/>
          <w:szCs w:val="21"/>
        </w:rPr>
      </w:pPr>
      <w:r>
        <w:rPr>
          <w:rFonts w:hint="eastAsia" w:ascii="Times New Roman" w:hAnsi="Times New Roman" w:cs="Times New Roman"/>
          <w:color w:val="0070C0"/>
          <w:kern w:val="2"/>
          <w:sz w:val="21"/>
          <w:szCs w:val="21"/>
        </w:rPr>
        <w:t>3耐久性能要求直接影响到墙体系统使用寿命和维护保养时限。经耐久性实验后，还需对相关力学性能进行复测，以保证使用的稳定性。</w:t>
      </w:r>
    </w:p>
    <w:p>
      <w:pPr>
        <w:pStyle w:val="14"/>
        <w:shd w:val="clear" w:color="auto" w:fill="FFFFFF"/>
        <w:spacing w:before="0" w:beforeAutospacing="0" w:after="0" w:afterAutospacing="0" w:line="360" w:lineRule="auto"/>
        <w:ind w:firstLine="420" w:firstLineChars="200"/>
        <w:rPr>
          <w:rFonts w:ascii="Times New Roman" w:hAnsi="Times New Roman" w:cs="Times New Roman"/>
          <w:kern w:val="2"/>
          <w:sz w:val="21"/>
          <w:szCs w:val="21"/>
        </w:rPr>
      </w:pPr>
      <w:r>
        <w:rPr>
          <w:rFonts w:hint="eastAsia" w:ascii="Times New Roman" w:hAnsi="Times New Roman" w:cs="Times New Roman"/>
          <w:color w:val="0070C0"/>
          <w:kern w:val="2"/>
          <w:sz w:val="21"/>
          <w:szCs w:val="21"/>
        </w:rPr>
        <w:t>其中外墙系统需满足抗风压、抗震、耐撞击、防火、平面内变形、气密性、水密性、隔声性、热工性能；内墙系统需满足平面内变形、热工性能、隔声性能、防火性能。</w:t>
      </w:r>
    </w:p>
    <w:p>
      <w:pPr>
        <w:spacing w:line="360" w:lineRule="auto"/>
        <w:rPr>
          <w:rFonts w:ascii="宋体" w:hAnsi="宋体"/>
          <w:color w:val="auto"/>
          <w:sz w:val="24"/>
          <w:szCs w:val="24"/>
        </w:rPr>
      </w:pPr>
      <w:r>
        <w:rPr>
          <w:rFonts w:hint="eastAsia" w:eastAsia="等线" w:cs="宋体"/>
          <w:b/>
          <w:color w:val="auto"/>
          <w:kern w:val="2"/>
          <w:sz w:val="24"/>
          <w:szCs w:val="24"/>
        </w:rPr>
        <w:t>7</w:t>
      </w:r>
      <w:r>
        <w:rPr>
          <w:rFonts w:eastAsia="等线" w:cs="宋体"/>
          <w:b/>
          <w:color w:val="auto"/>
          <w:kern w:val="2"/>
          <w:sz w:val="24"/>
          <w:szCs w:val="24"/>
        </w:rPr>
        <w:t>.2.2</w:t>
      </w:r>
      <w:r>
        <w:rPr>
          <w:rFonts w:hint="eastAsia" w:ascii="宋体" w:hAnsi="宋体"/>
          <w:color w:val="auto"/>
          <w:sz w:val="24"/>
          <w:szCs w:val="24"/>
        </w:rPr>
        <w:t>外墙系统的抗风压性能指标，应根据墙板所受的按国家现行标准《建筑结构荷载规范》GB</w:t>
      </w:r>
      <w:r>
        <w:rPr>
          <w:rFonts w:ascii="宋体" w:hAnsi="宋体"/>
          <w:color w:val="auto"/>
          <w:sz w:val="24"/>
          <w:szCs w:val="24"/>
        </w:rPr>
        <w:t xml:space="preserve"> </w:t>
      </w:r>
      <w:r>
        <w:rPr>
          <w:rFonts w:hint="eastAsia" w:ascii="宋体" w:hAnsi="宋体"/>
          <w:color w:val="auto"/>
          <w:sz w:val="24"/>
          <w:szCs w:val="24"/>
        </w:rPr>
        <w:t>50009计算的风荷载标准值Wk确定，其指标值不应低于Wk，且不应小于1.0kPa。在抗风压性能指标作用下，外挂墙板及轻钢龙骨式复合墙板的面外最大跨中挠度不应大于L/250，轻质条板的面外最大跨中挠度不应大于L/200，L为墙板跨度。</w:t>
      </w:r>
    </w:p>
    <w:p>
      <w:pPr>
        <w:spacing w:line="360" w:lineRule="auto"/>
        <w:rPr>
          <w:rFonts w:ascii="宋体" w:hAnsi="宋体"/>
          <w:color w:val="auto"/>
          <w:sz w:val="24"/>
          <w:szCs w:val="24"/>
        </w:rPr>
      </w:pPr>
      <w:bookmarkStart w:id="65" w:name="_Toc76376974"/>
      <w:bookmarkStart w:id="66" w:name="_Toc84835527"/>
      <w:r>
        <w:rPr>
          <w:rFonts w:eastAsia="等线" w:cs="宋体"/>
          <w:b/>
          <w:color w:val="auto"/>
          <w:kern w:val="2"/>
          <w:sz w:val="24"/>
          <w:szCs w:val="24"/>
        </w:rPr>
        <w:t>7.2.3</w:t>
      </w:r>
      <w:r>
        <w:rPr>
          <w:rFonts w:hint="eastAsia" w:ascii="宋体" w:hAnsi="宋体"/>
          <w:color w:val="auto"/>
          <w:sz w:val="24"/>
          <w:szCs w:val="24"/>
        </w:rPr>
        <w:t>外墙系统的抗震性能应符合现行国家现行标准《非结构构件抗震设计规范》J</w:t>
      </w:r>
      <w:r>
        <w:rPr>
          <w:rFonts w:ascii="宋体" w:hAnsi="宋体"/>
          <w:color w:val="auto"/>
          <w:sz w:val="24"/>
          <w:szCs w:val="24"/>
        </w:rPr>
        <w:t>GJ 339</w:t>
      </w:r>
      <w:r>
        <w:rPr>
          <w:rFonts w:hint="eastAsia" w:ascii="宋体" w:hAnsi="宋体"/>
          <w:color w:val="auto"/>
          <w:sz w:val="24"/>
          <w:szCs w:val="24"/>
        </w:rPr>
        <w:t>、《建筑抗震设计规范》G</w:t>
      </w:r>
      <w:r>
        <w:rPr>
          <w:rFonts w:ascii="宋体" w:hAnsi="宋体"/>
          <w:color w:val="auto"/>
          <w:sz w:val="24"/>
          <w:szCs w:val="24"/>
        </w:rPr>
        <w:t>B 50011</w:t>
      </w:r>
      <w:r>
        <w:rPr>
          <w:rFonts w:hint="eastAsia" w:ascii="宋体" w:hAnsi="宋体"/>
          <w:color w:val="auto"/>
          <w:sz w:val="24"/>
          <w:szCs w:val="24"/>
        </w:rPr>
        <w:t>的规定，并应根据具体墙板种类需要进行抗震性能验算。</w:t>
      </w:r>
    </w:p>
    <w:p>
      <w:pPr>
        <w:spacing w:line="360" w:lineRule="auto"/>
        <w:rPr>
          <w:color w:val="0070C0"/>
          <w:kern w:val="2"/>
        </w:rPr>
      </w:pPr>
      <w:r>
        <w:rPr>
          <w:rFonts w:hint="eastAsia" w:ascii="宋体" w:hAnsi="宋体" w:cs="黑体"/>
          <w:b/>
          <w:color w:val="auto"/>
        </w:rPr>
        <w:t>【条文说明】</w:t>
      </w:r>
      <w:r>
        <w:rPr>
          <w:rFonts w:hint="eastAsia" w:ascii="宋体" w:hAnsi="宋体" w:cs="黑体"/>
          <w:bCs/>
          <w:color w:val="auto"/>
        </w:rPr>
        <w:t>：</w:t>
      </w:r>
      <w:r>
        <w:rPr>
          <w:rFonts w:hint="eastAsia"/>
          <w:color w:val="0070C0"/>
          <w:kern w:val="2"/>
        </w:rPr>
        <w:t>外墙系统结构分析的计算模型应与实际构造相符合。结构分析的基本假定和简化计算，应有理论或试验依据。多点支承板可采用有限元模型分析计算。</w:t>
      </w:r>
    </w:p>
    <w:bookmarkEnd w:id="65"/>
    <w:bookmarkEnd w:id="66"/>
    <w:p>
      <w:pPr>
        <w:spacing w:line="360" w:lineRule="auto"/>
        <w:rPr>
          <w:rFonts w:ascii="宋体" w:hAnsi="宋体"/>
          <w:color w:val="auto"/>
          <w:sz w:val="24"/>
          <w:szCs w:val="24"/>
        </w:rPr>
      </w:pPr>
      <w:bookmarkStart w:id="67" w:name="_Toc84835528"/>
      <w:bookmarkStart w:id="68" w:name="_Toc76376975"/>
      <w:r>
        <w:rPr>
          <w:rFonts w:eastAsia="等线" w:cs="宋体"/>
          <w:b/>
          <w:color w:val="auto"/>
          <w:kern w:val="2"/>
          <w:sz w:val="24"/>
          <w:szCs w:val="24"/>
        </w:rPr>
        <w:t>7.2.</w:t>
      </w:r>
      <w:bookmarkEnd w:id="67"/>
      <w:bookmarkEnd w:id="68"/>
      <w:r>
        <w:rPr>
          <w:rFonts w:eastAsia="等线" w:cs="宋体"/>
          <w:b/>
          <w:color w:val="auto"/>
          <w:kern w:val="2"/>
          <w:sz w:val="24"/>
          <w:szCs w:val="24"/>
        </w:rPr>
        <w:t>4</w:t>
      </w:r>
      <w:r>
        <w:rPr>
          <w:rFonts w:ascii="宋体" w:hAnsi="宋体"/>
          <w:color w:val="auto"/>
          <w:sz w:val="24"/>
          <w:szCs w:val="24"/>
        </w:rPr>
        <w:t xml:space="preserve"> </w:t>
      </w:r>
      <w:r>
        <w:rPr>
          <w:rFonts w:hint="eastAsia" w:ascii="宋体" w:hAnsi="宋体"/>
          <w:color w:val="auto"/>
          <w:sz w:val="24"/>
          <w:szCs w:val="24"/>
        </w:rPr>
        <w:t>墙体系统的耐撞击性能应符合国家现行标准《建筑幕墙、门窗通用技术条件》G</w:t>
      </w:r>
      <w:r>
        <w:rPr>
          <w:rFonts w:ascii="宋体" w:hAnsi="宋体"/>
          <w:color w:val="auto"/>
          <w:sz w:val="24"/>
          <w:szCs w:val="24"/>
        </w:rPr>
        <w:t>B/T 31433</w:t>
      </w:r>
      <w:r>
        <w:rPr>
          <w:rFonts w:hint="eastAsia" w:ascii="宋体" w:hAnsi="宋体"/>
          <w:color w:val="auto"/>
          <w:sz w:val="24"/>
          <w:szCs w:val="24"/>
        </w:rPr>
        <w:t>的规定。</w:t>
      </w:r>
    </w:p>
    <w:p>
      <w:pPr>
        <w:spacing w:line="360" w:lineRule="auto"/>
        <w:rPr>
          <w:color w:val="0070C0"/>
          <w:kern w:val="2"/>
        </w:rPr>
      </w:pPr>
      <w:r>
        <w:rPr>
          <w:rFonts w:hint="eastAsia" w:ascii="宋体" w:hAnsi="宋体" w:cs="黑体"/>
          <w:b/>
          <w:color w:val="auto"/>
        </w:rPr>
        <w:t>【条文说明】</w:t>
      </w:r>
      <w:r>
        <w:rPr>
          <w:rFonts w:hint="eastAsia" w:ascii="宋体" w:hAnsi="宋体" w:cs="黑体"/>
          <w:bCs/>
          <w:color w:val="auto"/>
        </w:rPr>
        <w:t>：</w:t>
      </w:r>
      <w:r>
        <w:rPr>
          <w:rFonts w:hint="eastAsia"/>
          <w:color w:val="0070C0"/>
          <w:kern w:val="2"/>
        </w:rPr>
        <w:t>耐撞击性能应根据墙体系统的构成确定。可参照现行国家标准《建筑幕墙、门窗通用技术条件》G</w:t>
      </w:r>
      <w:r>
        <w:rPr>
          <w:color w:val="0070C0"/>
          <w:kern w:val="2"/>
        </w:rPr>
        <w:t>B/T 31433</w:t>
      </w:r>
      <w:r>
        <w:rPr>
          <w:rFonts w:hint="eastAsia"/>
          <w:color w:val="0070C0"/>
          <w:kern w:val="2"/>
        </w:rPr>
        <w:t>的有关规定，试件的跨度及边界条件必须与实际工程相符。外墙系统室内外两侧装饰面，尤其是类似薄抹灰做法的外墙保温饰面层，还应明确抗冲击性能要求。</w:t>
      </w:r>
    </w:p>
    <w:p>
      <w:pPr>
        <w:spacing w:line="360" w:lineRule="auto"/>
        <w:rPr>
          <w:rFonts w:ascii="宋体" w:hAnsi="宋体"/>
          <w:color w:val="auto"/>
          <w:sz w:val="24"/>
          <w:szCs w:val="24"/>
        </w:rPr>
      </w:pPr>
      <w:r>
        <w:rPr>
          <w:rFonts w:eastAsia="等线" w:cs="宋体"/>
          <w:b/>
          <w:color w:val="auto"/>
          <w:kern w:val="2"/>
          <w:sz w:val="24"/>
          <w:szCs w:val="24"/>
        </w:rPr>
        <w:t xml:space="preserve">7.2.5 </w:t>
      </w:r>
      <w:r>
        <w:rPr>
          <w:rFonts w:hint="eastAsia" w:ascii="宋体" w:hAnsi="宋体"/>
          <w:color w:val="auto"/>
          <w:sz w:val="24"/>
          <w:szCs w:val="24"/>
        </w:rPr>
        <w:t>墙体系统部品的耐火极限应符合国家现行标准《建筑设计防火规范》G</w:t>
      </w:r>
      <w:r>
        <w:rPr>
          <w:rFonts w:ascii="宋体" w:hAnsi="宋体"/>
          <w:color w:val="auto"/>
          <w:sz w:val="24"/>
          <w:szCs w:val="24"/>
        </w:rPr>
        <w:t>B 50016</w:t>
      </w:r>
      <w:r>
        <w:rPr>
          <w:rFonts w:hint="eastAsia" w:ascii="宋体" w:hAnsi="宋体"/>
          <w:color w:val="auto"/>
          <w:sz w:val="24"/>
          <w:szCs w:val="24"/>
        </w:rPr>
        <w:t>的规定。墙体与墙体之间、墙体与主体结构之间、门窗洞口以及所有穿墙设备管线的缝隙都应采取防火封堵措施处理。</w:t>
      </w:r>
    </w:p>
    <w:p>
      <w:pPr>
        <w:spacing w:line="360" w:lineRule="auto"/>
        <w:rPr>
          <w:rFonts w:eastAsia="等线" w:cs="宋体"/>
          <w:b/>
          <w:color w:val="auto"/>
          <w:kern w:val="2"/>
        </w:rPr>
      </w:pPr>
      <w:r>
        <w:rPr>
          <w:rFonts w:hint="eastAsia" w:ascii="宋体" w:hAnsi="宋体" w:cs="黑体"/>
          <w:b/>
          <w:color w:val="auto"/>
        </w:rPr>
        <w:t>【条文说明】</w:t>
      </w:r>
      <w:r>
        <w:rPr>
          <w:rFonts w:hint="eastAsia" w:ascii="宋体" w:hAnsi="宋体" w:cs="黑体"/>
          <w:bCs/>
          <w:color w:val="auto"/>
        </w:rPr>
        <w:t>：</w:t>
      </w:r>
      <w:r>
        <w:rPr>
          <w:rFonts w:hint="eastAsia"/>
          <w:color w:val="0070C0"/>
          <w:kern w:val="2"/>
        </w:rPr>
        <w:t>《建筑设计防火规范》G</w:t>
      </w:r>
      <w:r>
        <w:rPr>
          <w:color w:val="0070C0"/>
          <w:kern w:val="2"/>
        </w:rPr>
        <w:t>B 50016</w:t>
      </w:r>
      <w:r>
        <w:rPr>
          <w:rFonts w:hint="eastAsia"/>
          <w:color w:val="0070C0"/>
          <w:kern w:val="2"/>
        </w:rPr>
        <w:t>-</w:t>
      </w:r>
      <w:r>
        <w:rPr>
          <w:color w:val="0070C0"/>
          <w:kern w:val="2"/>
        </w:rPr>
        <w:t>2014</w:t>
      </w:r>
      <w:r>
        <w:rPr>
          <w:rFonts w:hint="eastAsia"/>
          <w:color w:val="0070C0"/>
          <w:kern w:val="2"/>
        </w:rPr>
        <w:t>（2</w:t>
      </w:r>
      <w:r>
        <w:rPr>
          <w:color w:val="0070C0"/>
          <w:kern w:val="2"/>
        </w:rPr>
        <w:t>018</w:t>
      </w:r>
      <w:r>
        <w:rPr>
          <w:rFonts w:hint="eastAsia"/>
          <w:color w:val="0070C0"/>
          <w:kern w:val="2"/>
        </w:rPr>
        <w:t>版）规定，采用非承重外墙构件设计时，耐火等级为一级、二级的建筑应采用不燃材料，耐火极限为1</w:t>
      </w:r>
      <w:r>
        <w:rPr>
          <w:color w:val="0070C0"/>
          <w:kern w:val="2"/>
        </w:rPr>
        <w:t>.0</w:t>
      </w:r>
      <w:r>
        <w:rPr>
          <w:rFonts w:hint="eastAsia"/>
          <w:color w:val="0070C0"/>
          <w:kern w:val="2"/>
        </w:rPr>
        <w:t>h；耐火等级为三级的建筑应采用不燃材料，耐火极限为0</w:t>
      </w:r>
      <w:r>
        <w:rPr>
          <w:color w:val="0070C0"/>
          <w:kern w:val="2"/>
        </w:rPr>
        <w:t>.5</w:t>
      </w:r>
      <w:r>
        <w:rPr>
          <w:rFonts w:hint="eastAsia"/>
          <w:color w:val="0070C0"/>
          <w:kern w:val="2"/>
        </w:rPr>
        <w:t>h。室内分户墙和楼电梯的隔墙当耐火等级为一、二级时应采用不燃材料，耐火极限为2h，耐火等级为三级时应采用不燃材料，耐火极限为</w:t>
      </w:r>
      <w:r>
        <w:rPr>
          <w:color w:val="0070C0"/>
          <w:kern w:val="2"/>
        </w:rPr>
        <w:t>1.5</w:t>
      </w:r>
      <w:r>
        <w:rPr>
          <w:rFonts w:hint="eastAsia"/>
          <w:color w:val="0070C0"/>
          <w:kern w:val="2"/>
        </w:rPr>
        <w:t>h。套型内隔墙当耐火等级为一级时应采用不燃材料，耐火极限为</w:t>
      </w:r>
      <w:r>
        <w:rPr>
          <w:color w:val="0070C0"/>
          <w:kern w:val="2"/>
        </w:rPr>
        <w:t>0.75</w:t>
      </w:r>
      <w:r>
        <w:rPr>
          <w:rFonts w:hint="eastAsia"/>
          <w:color w:val="0070C0"/>
          <w:kern w:val="2"/>
        </w:rPr>
        <w:t>h，耐火等级为二级时应采用不燃材料，耐火极限为</w:t>
      </w:r>
      <w:r>
        <w:rPr>
          <w:color w:val="0070C0"/>
          <w:kern w:val="2"/>
        </w:rPr>
        <w:t>0.5</w:t>
      </w:r>
      <w:r>
        <w:rPr>
          <w:rFonts w:hint="eastAsia"/>
          <w:color w:val="0070C0"/>
          <w:kern w:val="2"/>
        </w:rPr>
        <w:t>h。耐火等级为三级时应采用难燃材料，耐火极限为</w:t>
      </w:r>
      <w:r>
        <w:rPr>
          <w:color w:val="0070C0"/>
          <w:kern w:val="2"/>
        </w:rPr>
        <w:t>0.5</w:t>
      </w:r>
      <w:r>
        <w:rPr>
          <w:rFonts w:hint="eastAsia"/>
          <w:color w:val="0070C0"/>
          <w:kern w:val="2"/>
        </w:rPr>
        <w:t>h。</w:t>
      </w:r>
    </w:p>
    <w:p>
      <w:pPr>
        <w:spacing w:line="360" w:lineRule="auto"/>
        <w:rPr>
          <w:rFonts w:ascii="宋体" w:hAnsi="宋体"/>
          <w:color w:val="auto"/>
          <w:sz w:val="24"/>
          <w:szCs w:val="24"/>
        </w:rPr>
      </w:pPr>
      <w:r>
        <w:rPr>
          <w:rFonts w:eastAsia="等线" w:cs="宋体"/>
          <w:b/>
          <w:color w:val="auto"/>
          <w:kern w:val="2"/>
          <w:sz w:val="24"/>
          <w:szCs w:val="24"/>
        </w:rPr>
        <w:t xml:space="preserve">7.2.6 </w:t>
      </w:r>
      <w:r>
        <w:rPr>
          <w:rFonts w:hint="eastAsia" w:ascii="宋体" w:hAnsi="宋体"/>
          <w:color w:val="auto"/>
          <w:sz w:val="24"/>
          <w:szCs w:val="24"/>
        </w:rPr>
        <w:t>墙体系统应具有适应结构层间变形性能的能力。在5</w:t>
      </w:r>
      <w:r>
        <w:rPr>
          <w:rFonts w:ascii="宋体" w:hAnsi="宋体"/>
          <w:color w:val="auto"/>
          <w:sz w:val="24"/>
          <w:szCs w:val="24"/>
        </w:rPr>
        <w:t>0</w:t>
      </w:r>
      <w:r>
        <w:rPr>
          <w:rFonts w:hint="eastAsia" w:ascii="宋体" w:hAnsi="宋体"/>
          <w:color w:val="auto"/>
          <w:sz w:val="24"/>
          <w:szCs w:val="24"/>
        </w:rPr>
        <w:t>年重现期的风荷载或多遇地震作用下，内嵌式墙板不得因主体结构的弹性层间位移而发生塑性变形、板面开裂；外挂墙板不得因主体结构的弹性层间位移而发生塑性变形版面板面开裂、零件脱落等损坏，并在设防地震作用下，不得掉落。</w:t>
      </w:r>
    </w:p>
    <w:p>
      <w:pPr>
        <w:spacing w:line="360" w:lineRule="auto"/>
        <w:rPr>
          <w:rFonts w:ascii="宋体" w:hAnsi="宋体"/>
          <w:color w:val="auto"/>
          <w:sz w:val="24"/>
          <w:szCs w:val="24"/>
        </w:rPr>
      </w:pPr>
      <w:r>
        <w:rPr>
          <w:rFonts w:eastAsia="等线" w:cs="宋体"/>
          <w:b/>
          <w:color w:val="auto"/>
          <w:kern w:val="2"/>
          <w:sz w:val="24"/>
          <w:szCs w:val="24"/>
        </w:rPr>
        <w:t>7.2.7</w:t>
      </w:r>
      <w:r>
        <w:rPr>
          <w:rFonts w:hint="eastAsia" w:ascii="宋体" w:hAnsi="宋体"/>
          <w:color w:val="auto"/>
          <w:sz w:val="24"/>
          <w:szCs w:val="24"/>
        </w:rPr>
        <w:t>外墙系统的气密性能应符合相应气候条件区域建筑节能设计的要求，并应符合国家现行标准《建筑幕墙、门窗通用技术条件》GB/T</w:t>
      </w:r>
      <w:r>
        <w:rPr>
          <w:rFonts w:ascii="宋体" w:hAnsi="宋体"/>
          <w:color w:val="auto"/>
          <w:sz w:val="24"/>
          <w:szCs w:val="24"/>
        </w:rPr>
        <w:t xml:space="preserve"> 31433</w:t>
      </w:r>
      <w:r>
        <w:rPr>
          <w:rFonts w:hint="eastAsia" w:ascii="宋体" w:hAnsi="宋体"/>
          <w:color w:val="auto"/>
          <w:sz w:val="24"/>
          <w:szCs w:val="24"/>
        </w:rPr>
        <w:t>的规定。</w:t>
      </w:r>
    </w:p>
    <w:p>
      <w:pPr>
        <w:spacing w:line="360" w:lineRule="auto"/>
        <w:rPr>
          <w:rFonts w:eastAsia="等线" w:cs="宋体"/>
          <w:b/>
          <w:color w:val="auto"/>
          <w:kern w:val="2"/>
          <w:sz w:val="24"/>
          <w:szCs w:val="24"/>
        </w:rPr>
      </w:pPr>
      <w:r>
        <w:rPr>
          <w:rFonts w:eastAsia="等线" w:cs="宋体"/>
          <w:b/>
          <w:color w:val="auto"/>
          <w:kern w:val="2"/>
          <w:sz w:val="24"/>
          <w:szCs w:val="24"/>
        </w:rPr>
        <w:t xml:space="preserve">7.2.8 </w:t>
      </w:r>
      <w:r>
        <w:rPr>
          <w:rFonts w:hint="eastAsia" w:ascii="宋体" w:hAnsi="宋体"/>
          <w:color w:val="auto"/>
          <w:sz w:val="24"/>
          <w:szCs w:val="24"/>
        </w:rPr>
        <w:t xml:space="preserve">外墙系统的水密性能应符合相应气候条件区域建筑水密性能的要求，并应符合国家现行标准《建筑幕墙、门窗通用技术条件》GB/T </w:t>
      </w:r>
      <w:r>
        <w:rPr>
          <w:rFonts w:ascii="宋体" w:hAnsi="宋体"/>
          <w:color w:val="auto"/>
          <w:sz w:val="24"/>
          <w:szCs w:val="24"/>
        </w:rPr>
        <w:t>31433</w:t>
      </w:r>
      <w:r>
        <w:rPr>
          <w:rFonts w:hint="eastAsia" w:ascii="宋体" w:hAnsi="宋体"/>
          <w:color w:val="auto"/>
          <w:sz w:val="24"/>
          <w:szCs w:val="24"/>
        </w:rPr>
        <w:t>的规定。</w:t>
      </w:r>
    </w:p>
    <w:p>
      <w:pPr>
        <w:spacing w:line="360" w:lineRule="auto"/>
        <w:rPr>
          <w:rFonts w:ascii="宋体" w:hAnsi="宋体"/>
          <w:color w:val="auto"/>
          <w:sz w:val="24"/>
          <w:szCs w:val="24"/>
        </w:rPr>
      </w:pPr>
      <w:r>
        <w:rPr>
          <w:rFonts w:eastAsia="等线" w:cs="宋体"/>
          <w:b/>
          <w:color w:val="auto"/>
          <w:kern w:val="2"/>
          <w:sz w:val="24"/>
          <w:szCs w:val="24"/>
        </w:rPr>
        <w:t>7.2.9</w:t>
      </w:r>
      <w:r>
        <w:rPr>
          <w:rFonts w:hint="eastAsia" w:ascii="宋体" w:hAnsi="宋体"/>
          <w:color w:val="auto"/>
          <w:sz w:val="24"/>
          <w:szCs w:val="24"/>
        </w:rPr>
        <w:t>外墙系统隔声减噪设计标准等级应按使用要求确定，其隔声性能应符合国家现行标准《民用建筑隔声设计规范》G</w:t>
      </w:r>
      <w:r>
        <w:rPr>
          <w:rFonts w:ascii="宋体" w:hAnsi="宋体"/>
          <w:color w:val="auto"/>
          <w:sz w:val="24"/>
          <w:szCs w:val="24"/>
        </w:rPr>
        <w:t>B 50118</w:t>
      </w:r>
      <w:r>
        <w:rPr>
          <w:rFonts w:hint="eastAsia" w:ascii="宋体" w:hAnsi="宋体"/>
          <w:color w:val="auto"/>
          <w:sz w:val="24"/>
          <w:szCs w:val="24"/>
        </w:rPr>
        <w:t>的规定，隔声量指标应提供系统检测报告；内墙系统中分户墙的隔声性能应符合国家现行标准《住宅设计规范》G</w:t>
      </w:r>
      <w:r>
        <w:rPr>
          <w:rFonts w:ascii="宋体" w:hAnsi="宋体"/>
          <w:color w:val="auto"/>
          <w:sz w:val="24"/>
          <w:szCs w:val="24"/>
        </w:rPr>
        <w:t>B 50096</w:t>
      </w:r>
      <w:r>
        <w:rPr>
          <w:rFonts w:hint="eastAsia" w:ascii="宋体" w:hAnsi="宋体"/>
          <w:color w:val="auto"/>
          <w:sz w:val="24"/>
          <w:szCs w:val="24"/>
        </w:rPr>
        <w:t>的规定。</w:t>
      </w:r>
    </w:p>
    <w:p>
      <w:pPr>
        <w:spacing w:line="360" w:lineRule="auto"/>
        <w:rPr>
          <w:rFonts w:ascii="宋体" w:hAnsi="宋体"/>
          <w:color w:val="auto"/>
          <w:sz w:val="24"/>
          <w:szCs w:val="24"/>
        </w:rPr>
      </w:pPr>
      <w:r>
        <w:rPr>
          <w:rFonts w:hint="eastAsia" w:ascii="宋体" w:hAnsi="宋体" w:cs="黑体"/>
          <w:b/>
          <w:color w:val="auto"/>
        </w:rPr>
        <w:t>【条文说明】</w:t>
      </w:r>
      <w:r>
        <w:rPr>
          <w:rFonts w:hint="eastAsia" w:ascii="宋体" w:hAnsi="宋体" w:cs="黑体"/>
          <w:bCs/>
          <w:color w:val="auto"/>
        </w:rPr>
        <w:t>：</w:t>
      </w:r>
      <w:r>
        <w:rPr>
          <w:rFonts w:hint="eastAsia"/>
          <w:color w:val="0070C0"/>
          <w:kern w:val="2"/>
        </w:rPr>
        <w:t>隔声是内外墙体系统的重要功能之一，为防止室外及周边环节噪声的影响，获取安静的工作和休息环节，内外墙体系统隔声应满足本标准3</w:t>
      </w:r>
      <w:r>
        <w:rPr>
          <w:color w:val="0070C0"/>
          <w:kern w:val="2"/>
        </w:rPr>
        <w:t>.2.4</w:t>
      </w:r>
      <w:r>
        <w:rPr>
          <w:rFonts w:hint="eastAsia"/>
          <w:color w:val="0070C0"/>
          <w:kern w:val="2"/>
        </w:rPr>
        <w:t>条的要求。</w:t>
      </w:r>
    </w:p>
    <w:p>
      <w:pPr>
        <w:spacing w:line="360" w:lineRule="auto"/>
        <w:rPr>
          <w:rFonts w:ascii="宋体" w:hAnsi="宋体"/>
          <w:color w:val="auto"/>
          <w:sz w:val="24"/>
          <w:szCs w:val="24"/>
        </w:rPr>
      </w:pPr>
      <w:r>
        <w:rPr>
          <w:rFonts w:eastAsia="等线" w:cs="宋体"/>
          <w:b/>
          <w:color w:val="auto"/>
          <w:kern w:val="2"/>
          <w:sz w:val="24"/>
          <w:szCs w:val="24"/>
        </w:rPr>
        <w:t>7.2.10</w:t>
      </w:r>
      <w:r>
        <w:rPr>
          <w:rFonts w:hint="eastAsia" w:ascii="宋体" w:hAnsi="宋体"/>
          <w:color w:val="auto"/>
          <w:sz w:val="24"/>
          <w:szCs w:val="24"/>
        </w:rPr>
        <w:t>外墙系统热工性能应符合国家现行标准</w:t>
      </w:r>
      <w:r>
        <w:rPr>
          <w:rFonts w:hint="eastAsia" w:ascii="宋体" w:hAnsi="宋体" w:cs="黑体"/>
          <w:bCs/>
          <w:color w:val="auto"/>
          <w:sz w:val="24"/>
          <w:szCs w:val="24"/>
        </w:rPr>
        <w:t>《建筑节能与可再生能源利用通用规范》G</w:t>
      </w:r>
      <w:r>
        <w:rPr>
          <w:rFonts w:ascii="宋体" w:hAnsi="宋体" w:cs="黑体"/>
          <w:bCs/>
          <w:color w:val="auto"/>
          <w:sz w:val="24"/>
          <w:szCs w:val="24"/>
        </w:rPr>
        <w:t>B 55015</w:t>
      </w:r>
      <w:r>
        <w:rPr>
          <w:rFonts w:hint="eastAsia" w:ascii="宋体" w:hAnsi="宋体"/>
          <w:color w:val="auto"/>
          <w:sz w:val="24"/>
          <w:szCs w:val="24"/>
        </w:rPr>
        <w:t>、《民用建筑热工设计规范》G</w:t>
      </w:r>
      <w:r>
        <w:rPr>
          <w:rFonts w:ascii="宋体" w:hAnsi="宋体"/>
          <w:color w:val="auto"/>
          <w:sz w:val="24"/>
          <w:szCs w:val="24"/>
        </w:rPr>
        <w:t>B 50176</w:t>
      </w:r>
      <w:r>
        <w:rPr>
          <w:rFonts w:hint="eastAsia" w:ascii="宋体" w:hAnsi="宋体"/>
          <w:color w:val="auto"/>
          <w:sz w:val="24"/>
          <w:szCs w:val="24"/>
        </w:rPr>
        <w:t>的规定，传热系数、热惰性指标等热工性能参数应满足钢结构住宅所在地节能设计要求。当部分参数不满足要求时，应进行外墙系统热工性能的综合计算。</w:t>
      </w:r>
      <w:r>
        <w:rPr>
          <w:rFonts w:ascii="宋体" w:hAnsi="宋体"/>
          <w:color w:val="auto"/>
          <w:sz w:val="24"/>
          <w:szCs w:val="24"/>
        </w:rPr>
        <w:t xml:space="preserve"> </w:t>
      </w:r>
    </w:p>
    <w:p>
      <w:pPr>
        <w:spacing w:line="360" w:lineRule="auto"/>
        <w:rPr>
          <w:rFonts w:ascii="宋体" w:hAnsi="宋体"/>
          <w:color w:val="auto"/>
          <w:sz w:val="24"/>
          <w:szCs w:val="24"/>
        </w:rPr>
      </w:pPr>
      <w:r>
        <w:rPr>
          <w:rFonts w:hint="eastAsia" w:eastAsia="等线" w:cs="宋体"/>
          <w:b/>
          <w:color w:val="auto"/>
          <w:kern w:val="2"/>
          <w:sz w:val="24"/>
          <w:szCs w:val="24"/>
        </w:rPr>
        <w:t>7</w:t>
      </w:r>
      <w:r>
        <w:rPr>
          <w:rFonts w:eastAsia="等线" w:cs="宋体"/>
          <w:b/>
          <w:color w:val="auto"/>
          <w:kern w:val="2"/>
          <w:sz w:val="24"/>
          <w:szCs w:val="24"/>
        </w:rPr>
        <w:t>.2.11</w:t>
      </w:r>
      <w:r>
        <w:rPr>
          <w:rFonts w:hint="eastAsia" w:ascii="宋体" w:hAnsi="宋体"/>
          <w:color w:val="auto"/>
          <w:sz w:val="24"/>
          <w:szCs w:val="24"/>
        </w:rPr>
        <w:t>外墙系统的墙板构件、节点连接件的设计使用年限应与主体结构相协调，根据设计使用要求注明保温材料、装饰材料、防水和密封材料的设计使用年限及使用维护、检查及更新要求。</w:t>
      </w:r>
    </w:p>
    <w:p>
      <w:pPr>
        <w:spacing w:line="360" w:lineRule="auto"/>
        <w:rPr>
          <w:rFonts w:ascii="宋体" w:hAnsi="宋体"/>
          <w:color w:val="auto"/>
          <w:sz w:val="24"/>
          <w:szCs w:val="24"/>
        </w:rPr>
      </w:pPr>
      <w:r>
        <w:rPr>
          <w:rFonts w:hint="eastAsia" w:ascii="宋体" w:hAnsi="宋体" w:cs="黑体"/>
          <w:b/>
          <w:color w:val="auto"/>
        </w:rPr>
        <w:t>【条文说明】</w:t>
      </w:r>
      <w:r>
        <w:rPr>
          <w:rFonts w:hint="eastAsia" w:ascii="宋体" w:hAnsi="宋体" w:cs="黑体"/>
          <w:bCs/>
          <w:color w:val="auto"/>
        </w:rPr>
        <w:t>：</w:t>
      </w:r>
      <w:r>
        <w:rPr>
          <w:rFonts w:hint="eastAsia"/>
          <w:color w:val="0070C0"/>
          <w:kern w:val="2"/>
        </w:rPr>
        <w:t>钢结构住宅中外墙系统的结构构件的设计使用年限应与主体结构相适应，主要是指钢结构住宅外墙系统的基层板、骨架系统、连接配件的设计使用年限应与建筑物主体结构一致，且不应低于5</w:t>
      </w:r>
      <w:r>
        <w:rPr>
          <w:color w:val="0070C0"/>
          <w:kern w:val="2"/>
        </w:rPr>
        <w:t>0</w:t>
      </w:r>
      <w:r>
        <w:rPr>
          <w:rFonts w:hint="eastAsia"/>
          <w:color w:val="0070C0"/>
          <w:kern w:val="2"/>
        </w:rPr>
        <w:t>年；其他附属非影响结构安全的材料也应尽可能选用耐久性较好的材料，并注明其使用维护、检查及更新要求，为建筑长寿化和检查、维护更新创造良好条件。</w:t>
      </w:r>
    </w:p>
    <w:p>
      <w:pPr>
        <w:spacing w:line="360" w:lineRule="auto"/>
        <w:rPr>
          <w:rFonts w:ascii="宋体" w:hAnsi="宋体"/>
          <w:color w:val="auto"/>
          <w:sz w:val="24"/>
          <w:szCs w:val="24"/>
        </w:rPr>
      </w:pPr>
      <w:r>
        <w:rPr>
          <w:rFonts w:eastAsia="等线" w:cs="宋体"/>
          <w:b/>
          <w:color w:val="auto"/>
          <w:kern w:val="2"/>
          <w:sz w:val="24"/>
          <w:szCs w:val="24"/>
        </w:rPr>
        <w:t>7.2.12</w:t>
      </w:r>
      <w:r>
        <w:rPr>
          <w:rFonts w:hint="eastAsia" w:ascii="宋体" w:hAnsi="宋体"/>
          <w:color w:val="auto"/>
          <w:sz w:val="24"/>
          <w:szCs w:val="24"/>
        </w:rPr>
        <w:t>钢结构住宅墙体单板性能应满足国家现行标准</w:t>
      </w:r>
      <w:r>
        <w:rPr>
          <w:rFonts w:hint="eastAsia" w:ascii="宋体" w:hAnsi="宋体"/>
          <w:color w:val="000000"/>
          <w:sz w:val="24"/>
          <w:szCs w:val="24"/>
        </w:rPr>
        <w:t>《装配式建筑用墙板技术要求》J</w:t>
      </w:r>
      <w:r>
        <w:rPr>
          <w:rFonts w:ascii="宋体" w:hAnsi="宋体"/>
          <w:color w:val="000000"/>
          <w:sz w:val="24"/>
          <w:szCs w:val="24"/>
        </w:rPr>
        <w:t>C/T 578</w:t>
      </w:r>
      <w:r>
        <w:rPr>
          <w:rFonts w:hint="eastAsia" w:ascii="宋体" w:hAnsi="宋体"/>
          <w:color w:val="auto"/>
          <w:sz w:val="24"/>
          <w:szCs w:val="24"/>
        </w:rPr>
        <w:t>的规定。</w:t>
      </w:r>
    </w:p>
    <w:p>
      <w:pPr>
        <w:spacing w:line="360" w:lineRule="auto"/>
        <w:rPr>
          <w:color w:val="0070C0"/>
          <w:kern w:val="2"/>
        </w:rPr>
      </w:pPr>
      <w:r>
        <w:rPr>
          <w:rFonts w:hint="eastAsia" w:ascii="宋体" w:hAnsi="宋体" w:cs="黑体"/>
          <w:b/>
          <w:color w:val="auto"/>
        </w:rPr>
        <w:t>【条文说明】</w:t>
      </w:r>
      <w:r>
        <w:rPr>
          <w:rFonts w:hint="eastAsia" w:ascii="宋体" w:hAnsi="宋体" w:cs="黑体"/>
          <w:bCs/>
          <w:color w:val="auto"/>
        </w:rPr>
        <w:t>：</w:t>
      </w:r>
      <w:r>
        <w:rPr>
          <w:rFonts w:hint="eastAsia"/>
          <w:color w:val="0070C0"/>
          <w:kern w:val="2"/>
        </w:rPr>
        <w:t>钢结构住宅外墙单板应满足冲击性能、抗压强度、抗弯强度、软化系数、面（表观）密度、不透水性、含水率、吸水率、吊挂力、干燥收缩值、燃烧性能、抗冻性、放射性核素限量等性能；内墙单板应满足冲击性能、抗压强度、抗弯强度、软化系数、面（表观）密度、含水率、吊挂力、干燥收缩值、燃烧性能、放射性核素限量等性能。</w:t>
      </w:r>
    </w:p>
    <w:p>
      <w:pPr>
        <w:spacing w:line="360" w:lineRule="auto"/>
        <w:rPr>
          <w:rFonts w:ascii="宋体" w:hAnsi="宋体"/>
          <w:color w:val="auto"/>
          <w:sz w:val="24"/>
          <w:szCs w:val="24"/>
        </w:rPr>
      </w:pPr>
      <w:r>
        <w:rPr>
          <w:rFonts w:hint="eastAsia" w:eastAsia="等线" w:cs="宋体"/>
          <w:b/>
          <w:color w:val="auto"/>
          <w:kern w:val="2"/>
          <w:sz w:val="24"/>
          <w:szCs w:val="24"/>
        </w:rPr>
        <w:t>7</w:t>
      </w:r>
      <w:r>
        <w:rPr>
          <w:rFonts w:eastAsia="等线" w:cs="宋体"/>
          <w:b/>
          <w:color w:val="auto"/>
          <w:kern w:val="2"/>
          <w:sz w:val="24"/>
          <w:szCs w:val="24"/>
        </w:rPr>
        <w:t>.2.13</w:t>
      </w:r>
      <w:r>
        <w:rPr>
          <w:rFonts w:hint="eastAsia" w:ascii="宋体" w:hAnsi="宋体"/>
          <w:color w:val="auto"/>
          <w:sz w:val="24"/>
          <w:szCs w:val="24"/>
        </w:rPr>
        <w:t>内、外墙单板材料性能应符合国家现行标准《墙体材料应用统一技术规范》G</w:t>
      </w:r>
      <w:r>
        <w:rPr>
          <w:rFonts w:ascii="宋体" w:hAnsi="宋体"/>
          <w:color w:val="auto"/>
          <w:sz w:val="24"/>
          <w:szCs w:val="24"/>
        </w:rPr>
        <w:t>B 50574</w:t>
      </w:r>
      <w:r>
        <w:rPr>
          <w:rFonts w:hint="eastAsia" w:ascii="宋体" w:hAnsi="宋体"/>
          <w:color w:val="auto"/>
          <w:sz w:val="24"/>
          <w:szCs w:val="24"/>
        </w:rPr>
        <w:t>的规定，其中外墙单板抗冻性能应满足，在50次的冻融循环作用下，墙板的质量损失不大于5%，强度损失不大于25%，外观无损坏要求。</w:t>
      </w:r>
    </w:p>
    <w:p>
      <w:pPr>
        <w:spacing w:line="360" w:lineRule="auto"/>
        <w:rPr>
          <w:rFonts w:ascii="宋体" w:hAnsi="宋体"/>
          <w:b/>
          <w:color w:val="auto"/>
          <w:sz w:val="24"/>
          <w:szCs w:val="24"/>
        </w:rPr>
      </w:pPr>
      <w:r>
        <w:rPr>
          <w:rFonts w:hint="eastAsia" w:eastAsia="等线" w:cs="宋体"/>
          <w:b/>
          <w:color w:val="auto"/>
          <w:kern w:val="2"/>
          <w:sz w:val="24"/>
          <w:szCs w:val="24"/>
        </w:rPr>
        <w:t>7</w:t>
      </w:r>
      <w:r>
        <w:rPr>
          <w:rFonts w:eastAsia="等线" w:cs="宋体"/>
          <w:b/>
          <w:color w:val="auto"/>
          <w:kern w:val="2"/>
          <w:sz w:val="24"/>
          <w:szCs w:val="24"/>
        </w:rPr>
        <w:t>.2.14</w:t>
      </w:r>
      <w:r>
        <w:rPr>
          <w:rFonts w:hint="eastAsia" w:ascii="宋体" w:hAnsi="宋体"/>
          <w:color w:val="auto"/>
          <w:sz w:val="24"/>
          <w:szCs w:val="24"/>
        </w:rPr>
        <w:t>外墙单板的燃烧性能不应低于国家现行标准《建筑材料及制品燃烧性能分级》GB 8624中不燃性A级要求；内墙单板的燃烧性能不应低于</w:t>
      </w:r>
      <w:r>
        <w:rPr>
          <w:rFonts w:ascii="宋体" w:hAnsi="宋体"/>
          <w:color w:val="auto"/>
          <w:sz w:val="24"/>
          <w:szCs w:val="24"/>
        </w:rPr>
        <w:t>B</w:t>
      </w:r>
      <w:r>
        <w:rPr>
          <w:rFonts w:ascii="宋体" w:hAnsi="宋体"/>
          <w:color w:val="auto"/>
          <w:sz w:val="24"/>
          <w:szCs w:val="24"/>
          <w:vertAlign w:val="subscript"/>
        </w:rPr>
        <w:t>1</w:t>
      </w:r>
      <w:r>
        <w:rPr>
          <w:rFonts w:hint="eastAsia" w:ascii="宋体" w:hAnsi="宋体"/>
          <w:color w:val="auto"/>
          <w:sz w:val="24"/>
          <w:szCs w:val="24"/>
        </w:rPr>
        <w:t>级要求。</w:t>
      </w:r>
    </w:p>
    <w:p>
      <w:pPr>
        <w:spacing w:line="360" w:lineRule="auto"/>
        <w:rPr>
          <w:rFonts w:ascii="宋体" w:hAnsi="宋体"/>
          <w:b/>
          <w:color w:val="auto"/>
          <w:sz w:val="24"/>
          <w:szCs w:val="24"/>
        </w:rPr>
      </w:pPr>
      <w:bookmarkStart w:id="69" w:name="_Toc84835535"/>
      <w:bookmarkStart w:id="70" w:name="_Toc76376982"/>
      <w:r>
        <w:rPr>
          <w:rFonts w:eastAsia="等线" w:cs="宋体"/>
          <w:b/>
          <w:color w:val="auto"/>
          <w:kern w:val="2"/>
          <w:sz w:val="24"/>
          <w:szCs w:val="24"/>
        </w:rPr>
        <w:t>7.2.15</w:t>
      </w:r>
      <w:r>
        <w:rPr>
          <w:rFonts w:hint="eastAsia" w:ascii="宋体" w:hAnsi="宋体"/>
          <w:color w:val="auto"/>
          <w:sz w:val="24"/>
          <w:szCs w:val="24"/>
        </w:rPr>
        <w:t>外墙单板材料的放射性核素限量应符合国家现行标准《建筑材料放射性核素限量》G</w:t>
      </w:r>
      <w:r>
        <w:rPr>
          <w:rFonts w:ascii="宋体" w:hAnsi="宋体"/>
          <w:color w:val="auto"/>
          <w:sz w:val="24"/>
          <w:szCs w:val="24"/>
        </w:rPr>
        <w:t>B 6566</w:t>
      </w:r>
      <w:r>
        <w:rPr>
          <w:rFonts w:hint="eastAsia" w:ascii="宋体" w:hAnsi="宋体"/>
          <w:color w:val="auto"/>
          <w:sz w:val="24"/>
          <w:szCs w:val="24"/>
        </w:rPr>
        <w:t>的规定；室内侧材料与部品的性能应符合国家现行标准《民用建筑工程室内环境污染控制规范》G</w:t>
      </w:r>
      <w:r>
        <w:rPr>
          <w:rFonts w:ascii="宋体" w:hAnsi="宋体"/>
          <w:color w:val="auto"/>
          <w:sz w:val="24"/>
          <w:szCs w:val="24"/>
        </w:rPr>
        <w:t>B 50325</w:t>
      </w:r>
      <w:r>
        <w:rPr>
          <w:rFonts w:hint="eastAsia" w:ascii="宋体" w:hAnsi="宋体"/>
          <w:color w:val="auto"/>
          <w:sz w:val="24"/>
          <w:szCs w:val="24"/>
        </w:rPr>
        <w:t>的规定。</w:t>
      </w:r>
      <w:bookmarkEnd w:id="69"/>
      <w:bookmarkEnd w:id="70"/>
    </w:p>
    <w:p>
      <w:pPr>
        <w:spacing w:line="360" w:lineRule="auto"/>
        <w:rPr>
          <w:rFonts w:ascii="宋体" w:hAnsi="宋体"/>
          <w:b/>
          <w:color w:val="auto"/>
          <w:sz w:val="24"/>
          <w:szCs w:val="24"/>
        </w:rPr>
      </w:pPr>
      <w:r>
        <w:rPr>
          <w:rFonts w:eastAsia="等线" w:cs="宋体"/>
          <w:b/>
          <w:color w:val="auto"/>
          <w:kern w:val="2"/>
          <w:sz w:val="24"/>
          <w:szCs w:val="24"/>
        </w:rPr>
        <w:t xml:space="preserve">7.2.16 </w:t>
      </w:r>
      <w:r>
        <w:rPr>
          <w:rFonts w:hint="eastAsia" w:ascii="宋体" w:hAnsi="宋体"/>
          <w:color w:val="auto"/>
          <w:sz w:val="24"/>
          <w:szCs w:val="24"/>
        </w:rPr>
        <w:t>内墙单板材料的有害物质限量应符合现行国家标准《建筑用墙面涂料中有害物质限量》G</w:t>
      </w:r>
      <w:r>
        <w:rPr>
          <w:rFonts w:ascii="宋体" w:hAnsi="宋体"/>
          <w:color w:val="auto"/>
          <w:sz w:val="24"/>
          <w:szCs w:val="24"/>
        </w:rPr>
        <w:t>B 18582</w:t>
      </w:r>
      <w:r>
        <w:rPr>
          <w:rFonts w:hint="eastAsia" w:ascii="宋体" w:hAnsi="宋体"/>
          <w:color w:val="auto"/>
          <w:sz w:val="24"/>
          <w:szCs w:val="24"/>
        </w:rPr>
        <w:t>的规定。</w:t>
      </w:r>
    </w:p>
    <w:p>
      <w:pPr>
        <w:pStyle w:val="3"/>
        <w:spacing w:line="360" w:lineRule="auto"/>
        <w:jc w:val="center"/>
        <w:rPr>
          <w:rFonts w:ascii="Times New Roman" w:hAnsi="Times New Roman" w:eastAsia="宋体" w:cs="Times New Roman"/>
          <w:color w:val="auto"/>
          <w:sz w:val="28"/>
          <w:szCs w:val="28"/>
        </w:rPr>
      </w:pPr>
      <w:bookmarkStart w:id="71" w:name="_Toc103958759"/>
      <w:bookmarkStart w:id="72" w:name="_Toc76376977"/>
      <w:r>
        <w:rPr>
          <w:rFonts w:ascii="Times New Roman" w:hAnsi="Times New Roman" w:eastAsia="宋体" w:cs="Times New Roman"/>
          <w:color w:val="auto"/>
          <w:sz w:val="28"/>
          <w:szCs w:val="28"/>
        </w:rPr>
        <w:t xml:space="preserve">7.3 </w:t>
      </w:r>
      <w:r>
        <w:rPr>
          <w:rFonts w:hint="eastAsia" w:ascii="Times New Roman" w:hAnsi="Times New Roman" w:eastAsia="宋体" w:cs="Times New Roman"/>
          <w:color w:val="auto"/>
          <w:sz w:val="28"/>
          <w:szCs w:val="28"/>
        </w:rPr>
        <w:t>外墙系统设计</w:t>
      </w:r>
      <w:bookmarkEnd w:id="71"/>
      <w:bookmarkEnd w:id="72"/>
    </w:p>
    <w:p>
      <w:pPr>
        <w:spacing w:line="360" w:lineRule="auto"/>
        <w:rPr>
          <w:rFonts w:ascii="宋体" w:hAnsi="宋体"/>
          <w:color w:val="auto"/>
          <w:sz w:val="24"/>
          <w:szCs w:val="24"/>
        </w:rPr>
      </w:pPr>
      <w:bookmarkStart w:id="73" w:name="_Toc84835531"/>
      <w:bookmarkStart w:id="74" w:name="_Toc76376978"/>
      <w:r>
        <w:rPr>
          <w:rFonts w:eastAsia="等线" w:cs="宋体"/>
          <w:b/>
          <w:color w:val="auto"/>
          <w:kern w:val="2"/>
          <w:sz w:val="24"/>
          <w:szCs w:val="24"/>
        </w:rPr>
        <w:t>7.3.1</w:t>
      </w:r>
      <w:r>
        <w:rPr>
          <w:rFonts w:hint="eastAsia" w:ascii="宋体" w:hAnsi="宋体"/>
          <w:color w:val="auto"/>
          <w:sz w:val="24"/>
          <w:szCs w:val="24"/>
        </w:rPr>
        <w:t>钢结构住宅外墙系统应按非结构构件部品设计，应采用结构、保温、隔声、防火、防水、防腐、装饰等一体化设计，宜选用部品体系配套成熟的轻质墙板或集成墙板等部品。</w:t>
      </w:r>
      <w:bookmarkEnd w:id="73"/>
      <w:bookmarkEnd w:id="74"/>
    </w:p>
    <w:p>
      <w:pPr>
        <w:spacing w:line="360" w:lineRule="auto"/>
        <w:rPr>
          <w:rFonts w:ascii="宋体" w:hAnsi="宋体"/>
          <w:color w:val="auto"/>
          <w:sz w:val="24"/>
          <w:szCs w:val="24"/>
        </w:rPr>
      </w:pPr>
      <w:r>
        <w:rPr>
          <w:rFonts w:hint="eastAsia" w:ascii="宋体" w:hAnsi="宋体" w:cs="黑体"/>
          <w:b/>
          <w:color w:val="auto"/>
        </w:rPr>
        <w:t>【条文说明】</w:t>
      </w:r>
      <w:r>
        <w:rPr>
          <w:rFonts w:hint="eastAsia" w:ascii="宋体" w:hAnsi="宋体" w:cs="黑体"/>
          <w:bCs/>
          <w:color w:val="auto"/>
        </w:rPr>
        <w:t>：</w:t>
      </w:r>
      <w:r>
        <w:rPr>
          <w:rFonts w:hint="eastAsia"/>
          <w:color w:val="0070C0"/>
          <w:kern w:val="2"/>
        </w:rPr>
        <w:t>此项要求钢结构住宅外墙系统在建筑方案、集成设计策划阶段应予以重视，也是装配式建筑的要求。</w:t>
      </w:r>
    </w:p>
    <w:p>
      <w:pPr>
        <w:spacing w:line="360" w:lineRule="auto"/>
        <w:rPr>
          <w:rFonts w:ascii="宋体" w:hAnsi="宋体"/>
          <w:b/>
          <w:color w:val="auto"/>
          <w:sz w:val="24"/>
          <w:szCs w:val="24"/>
        </w:rPr>
      </w:pPr>
      <w:bookmarkStart w:id="75" w:name="_Toc84835532"/>
      <w:bookmarkStart w:id="76" w:name="_Toc76376979"/>
      <w:r>
        <w:rPr>
          <w:rFonts w:eastAsia="等线" w:cs="宋体"/>
          <w:b/>
          <w:color w:val="auto"/>
          <w:kern w:val="2"/>
          <w:sz w:val="24"/>
          <w:szCs w:val="24"/>
        </w:rPr>
        <w:t>7.3.2</w:t>
      </w:r>
      <w:r>
        <w:rPr>
          <w:rFonts w:hint="eastAsia" w:ascii="宋体" w:hAnsi="宋体"/>
          <w:color w:val="auto"/>
          <w:sz w:val="24"/>
          <w:szCs w:val="24"/>
        </w:rPr>
        <w:t>钢结构住宅外墙系统材料宜选用节能绿色环保材料，材料应具有物理和化学稳定性，在气候变化、温度和湿度变化等环境因素影响下，应满足功能性、安全性、耐久性和美观的要求。</w:t>
      </w:r>
      <w:bookmarkEnd w:id="75"/>
      <w:bookmarkEnd w:id="76"/>
    </w:p>
    <w:p>
      <w:pPr>
        <w:spacing w:line="360" w:lineRule="auto"/>
        <w:rPr>
          <w:rFonts w:ascii="宋体" w:hAnsi="宋体" w:cs="仿宋_GB2312"/>
          <w:color w:val="auto"/>
          <w:sz w:val="24"/>
          <w:szCs w:val="24"/>
        </w:rPr>
      </w:pPr>
      <w:bookmarkStart w:id="77" w:name="_Toc76376983"/>
      <w:bookmarkStart w:id="78" w:name="_Toc84835536"/>
      <w:r>
        <w:rPr>
          <w:rFonts w:eastAsia="等线" w:cs="宋体"/>
          <w:b/>
          <w:color w:val="auto"/>
          <w:kern w:val="2"/>
          <w:sz w:val="24"/>
          <w:szCs w:val="24"/>
        </w:rPr>
        <w:t>7.3.3</w:t>
      </w:r>
      <w:r>
        <w:rPr>
          <w:rFonts w:hint="eastAsia" w:ascii="宋体" w:hAnsi="宋体"/>
          <w:color w:val="auto"/>
          <w:sz w:val="24"/>
          <w:szCs w:val="24"/>
        </w:rPr>
        <w:t>外墙系统配套材料中钢骨架</w:t>
      </w:r>
      <w:r>
        <w:rPr>
          <w:rFonts w:hint="eastAsia" w:ascii="宋体" w:hAnsi="宋体" w:cs="仿宋_GB2312"/>
          <w:color w:val="auto"/>
          <w:sz w:val="24"/>
          <w:szCs w:val="24"/>
        </w:rPr>
        <w:t>及钢制组件、连接件应采用热浸镀锌、镀铝锌或其他防腐措施；金属连接件宜选用不锈钢、高强合金或镀锌钢等，非金属连接件不宜采取再生材料制品。</w:t>
      </w:r>
      <w:bookmarkEnd w:id="77"/>
      <w:bookmarkEnd w:id="78"/>
    </w:p>
    <w:p>
      <w:pPr>
        <w:spacing w:line="360" w:lineRule="auto"/>
        <w:rPr>
          <w:color w:val="0070C0"/>
          <w:kern w:val="2"/>
        </w:rPr>
      </w:pPr>
      <w:r>
        <w:rPr>
          <w:rFonts w:hint="eastAsia" w:ascii="宋体" w:hAnsi="宋体" w:cs="黑体"/>
          <w:b/>
          <w:color w:val="auto"/>
        </w:rPr>
        <w:t>【条文说明】</w:t>
      </w:r>
      <w:r>
        <w:rPr>
          <w:rFonts w:hint="eastAsia" w:ascii="宋体" w:hAnsi="宋体" w:cs="黑体"/>
          <w:bCs/>
          <w:color w:val="auto"/>
        </w:rPr>
        <w:t>：</w:t>
      </w:r>
      <w:r>
        <w:rPr>
          <w:rFonts w:hint="eastAsia"/>
          <w:color w:val="0070C0"/>
          <w:kern w:val="2"/>
        </w:rPr>
        <w:t>应考虑建筑所在地环境类别、建筑使用部位的影响。热浸镀锌件的镀锌层，干燥环境下不宜低于180g/㎡ (双面) ;近海大气、工业化工大气、潮湿环境不宜低于275g/㎡ (双面)。不应采用电镀锌件。</w:t>
      </w:r>
    </w:p>
    <w:p>
      <w:pPr>
        <w:spacing w:line="360" w:lineRule="auto"/>
        <w:rPr>
          <w:rFonts w:ascii="宋体" w:hAnsi="宋体"/>
          <w:b/>
          <w:color w:val="auto"/>
          <w:sz w:val="24"/>
          <w:szCs w:val="24"/>
        </w:rPr>
      </w:pPr>
      <w:bookmarkStart w:id="79" w:name="_Toc76376984"/>
      <w:bookmarkStart w:id="80" w:name="_Toc84835537"/>
      <w:r>
        <w:rPr>
          <w:rFonts w:eastAsia="等线" w:cs="宋体"/>
          <w:b/>
          <w:color w:val="auto"/>
          <w:kern w:val="2"/>
          <w:sz w:val="24"/>
          <w:szCs w:val="24"/>
        </w:rPr>
        <w:t>7.3.4</w:t>
      </w:r>
      <w:r>
        <w:rPr>
          <w:rFonts w:hint="eastAsia" w:ascii="宋体" w:hAnsi="宋体"/>
          <w:color w:val="auto"/>
          <w:sz w:val="24"/>
          <w:szCs w:val="24"/>
        </w:rPr>
        <w:t>外墙系统中建筑密封胶应</w:t>
      </w:r>
      <w:r>
        <w:rPr>
          <w:rFonts w:hint="eastAsia" w:ascii="宋体" w:hAnsi="宋体" w:cs="仿宋_GB2312"/>
          <w:color w:val="auto"/>
          <w:sz w:val="24"/>
          <w:szCs w:val="24"/>
        </w:rPr>
        <w:t>根据基材界面材料和使用要求选用，其伸长率、压缩率、拉伸模量、相容性、耐污染性、耐久性应满足外墙系统的使用要求，并应符合下列规定：</w:t>
      </w:r>
      <w:bookmarkEnd w:id="79"/>
      <w:bookmarkEnd w:id="80"/>
    </w:p>
    <w:p>
      <w:pPr>
        <w:spacing w:line="360" w:lineRule="auto"/>
        <w:ind w:firstLine="480" w:firstLineChars="200"/>
        <w:rPr>
          <w:rFonts w:ascii="宋体" w:hAnsi="宋体" w:cs="仿宋_GB2312"/>
          <w:color w:val="auto"/>
          <w:sz w:val="24"/>
          <w:szCs w:val="24"/>
        </w:rPr>
      </w:pPr>
      <w:r>
        <w:rPr>
          <w:rFonts w:hint="eastAsia" w:ascii="宋体" w:hAnsi="宋体" w:cs="仿宋_GB2312"/>
          <w:color w:val="auto"/>
          <w:sz w:val="24"/>
          <w:szCs w:val="24"/>
        </w:rPr>
        <w:t>1</w:t>
      </w:r>
      <w:r>
        <w:rPr>
          <w:rFonts w:ascii="宋体" w:hAnsi="宋体" w:cs="仿宋_GB2312"/>
          <w:color w:val="auto"/>
          <w:sz w:val="24"/>
          <w:szCs w:val="24"/>
        </w:rPr>
        <w:t xml:space="preserve"> </w:t>
      </w:r>
      <w:r>
        <w:rPr>
          <w:rFonts w:hint="eastAsia" w:ascii="宋体" w:hAnsi="宋体" w:cs="仿宋_GB2312"/>
          <w:color w:val="auto"/>
          <w:sz w:val="24"/>
          <w:szCs w:val="24"/>
        </w:rPr>
        <w:t>当处理外墙外侧接缝处时应采用硅酮密封胶，密封胶性能应符合现行国家标准《硅酮和改性硅酮建筑密封胶》G</w:t>
      </w:r>
      <w:r>
        <w:rPr>
          <w:rFonts w:ascii="宋体" w:hAnsi="宋体" w:cs="仿宋_GB2312"/>
          <w:color w:val="auto"/>
          <w:sz w:val="24"/>
          <w:szCs w:val="24"/>
        </w:rPr>
        <w:t>B/T 14683</w:t>
      </w:r>
      <w:r>
        <w:rPr>
          <w:rFonts w:hint="eastAsia" w:ascii="宋体" w:hAnsi="宋体" w:cs="仿宋_GB2312"/>
          <w:color w:val="auto"/>
          <w:sz w:val="24"/>
          <w:szCs w:val="24"/>
        </w:rPr>
        <w:t>和《建筑用硅酮结构密封胶》G</w:t>
      </w:r>
      <w:r>
        <w:rPr>
          <w:rFonts w:ascii="宋体" w:hAnsi="宋体" w:cs="仿宋_GB2312"/>
          <w:color w:val="auto"/>
          <w:sz w:val="24"/>
          <w:szCs w:val="24"/>
        </w:rPr>
        <w:t>B 16776</w:t>
      </w:r>
      <w:r>
        <w:rPr>
          <w:rFonts w:hint="eastAsia" w:ascii="宋体" w:hAnsi="宋体" w:cs="仿宋_GB2312"/>
          <w:color w:val="auto"/>
          <w:sz w:val="24"/>
          <w:szCs w:val="24"/>
        </w:rPr>
        <w:t>的规定。</w:t>
      </w:r>
    </w:p>
    <w:p>
      <w:pPr>
        <w:spacing w:line="360" w:lineRule="auto"/>
        <w:ind w:firstLine="480" w:firstLineChars="200"/>
        <w:rPr>
          <w:rFonts w:ascii="宋体" w:hAnsi="宋体" w:cs="仿宋_GB2312"/>
          <w:color w:val="auto"/>
          <w:sz w:val="24"/>
          <w:szCs w:val="24"/>
        </w:rPr>
      </w:pPr>
      <w:r>
        <w:rPr>
          <w:rFonts w:hint="eastAsia" w:ascii="宋体" w:hAnsi="宋体" w:cs="仿宋_GB2312"/>
          <w:color w:val="auto"/>
          <w:sz w:val="24"/>
          <w:szCs w:val="24"/>
        </w:rPr>
        <w:t>2</w:t>
      </w:r>
      <w:r>
        <w:rPr>
          <w:rFonts w:ascii="宋体" w:hAnsi="宋体" w:cs="仿宋_GB2312"/>
          <w:color w:val="auto"/>
          <w:sz w:val="24"/>
          <w:szCs w:val="24"/>
        </w:rPr>
        <w:t xml:space="preserve"> </w:t>
      </w:r>
      <w:r>
        <w:rPr>
          <w:rFonts w:hint="eastAsia" w:ascii="宋体" w:hAnsi="宋体" w:cs="仿宋_GB2312"/>
          <w:color w:val="auto"/>
          <w:sz w:val="24"/>
          <w:szCs w:val="24"/>
        </w:rPr>
        <w:t>当处理外墙内侧接缝处时聚氨酯密封胶性能应符合现行行业标准《聚氨酯建筑密封胶》J</w:t>
      </w:r>
      <w:r>
        <w:rPr>
          <w:rFonts w:ascii="宋体" w:hAnsi="宋体" w:cs="仿宋_GB2312"/>
          <w:color w:val="auto"/>
          <w:sz w:val="24"/>
          <w:szCs w:val="24"/>
        </w:rPr>
        <w:t>C/T 482</w:t>
      </w:r>
      <w:r>
        <w:rPr>
          <w:rFonts w:hint="eastAsia" w:ascii="宋体" w:hAnsi="宋体" w:cs="仿宋_GB2312"/>
          <w:color w:val="auto"/>
          <w:sz w:val="24"/>
          <w:szCs w:val="24"/>
        </w:rPr>
        <w:t>的规定；聚硫密封胶性能应符合现行行业标准《聚硫建筑密封胶》J</w:t>
      </w:r>
      <w:r>
        <w:rPr>
          <w:rFonts w:ascii="宋体" w:hAnsi="宋体" w:cs="仿宋_GB2312"/>
          <w:color w:val="auto"/>
          <w:sz w:val="24"/>
          <w:szCs w:val="24"/>
        </w:rPr>
        <w:t>C/T 483</w:t>
      </w:r>
      <w:r>
        <w:rPr>
          <w:rFonts w:hint="eastAsia" w:ascii="宋体" w:hAnsi="宋体" w:cs="仿宋_GB2312"/>
          <w:color w:val="auto"/>
          <w:sz w:val="24"/>
          <w:szCs w:val="24"/>
        </w:rPr>
        <w:t>的规定；</w:t>
      </w:r>
    </w:p>
    <w:p>
      <w:pPr>
        <w:spacing w:line="360" w:lineRule="auto"/>
        <w:ind w:firstLine="480" w:firstLineChars="200"/>
        <w:rPr>
          <w:rFonts w:ascii="宋体" w:hAnsi="宋体" w:cs="仿宋_GB2312"/>
          <w:color w:val="auto"/>
          <w:sz w:val="24"/>
          <w:szCs w:val="24"/>
        </w:rPr>
      </w:pPr>
      <w:r>
        <w:rPr>
          <w:rFonts w:hint="eastAsia" w:ascii="宋体" w:hAnsi="宋体" w:cs="仿宋_GB2312"/>
          <w:color w:val="auto"/>
          <w:sz w:val="24"/>
          <w:szCs w:val="24"/>
        </w:rPr>
        <w:t>3</w:t>
      </w:r>
      <w:r>
        <w:rPr>
          <w:rFonts w:ascii="宋体" w:hAnsi="宋体" w:cs="仿宋_GB2312"/>
          <w:color w:val="auto"/>
          <w:sz w:val="24"/>
          <w:szCs w:val="24"/>
        </w:rPr>
        <w:t xml:space="preserve"> </w:t>
      </w:r>
      <w:r>
        <w:rPr>
          <w:rFonts w:hint="eastAsia" w:ascii="宋体" w:hAnsi="宋体" w:cs="仿宋_GB2312"/>
          <w:color w:val="auto"/>
          <w:sz w:val="24"/>
          <w:szCs w:val="24"/>
        </w:rPr>
        <w:t>接缝密封胶性能应符合现行国家标准《建筑密封胶分级和要求》G</w:t>
      </w:r>
      <w:r>
        <w:rPr>
          <w:rFonts w:ascii="宋体" w:hAnsi="宋体" w:cs="仿宋_GB2312"/>
          <w:color w:val="auto"/>
          <w:sz w:val="24"/>
          <w:szCs w:val="24"/>
        </w:rPr>
        <w:t>B/T 22083</w:t>
      </w:r>
      <w:r>
        <w:rPr>
          <w:rFonts w:hint="eastAsia" w:ascii="宋体" w:hAnsi="宋体" w:cs="仿宋_GB2312"/>
          <w:color w:val="auto"/>
          <w:sz w:val="24"/>
          <w:szCs w:val="24"/>
        </w:rPr>
        <w:t>的规定；外墙接缝材料应与外墙板具有相容性。</w:t>
      </w:r>
    </w:p>
    <w:p>
      <w:pPr>
        <w:spacing w:line="360" w:lineRule="auto"/>
        <w:rPr>
          <w:color w:val="0070C0"/>
          <w:kern w:val="2"/>
        </w:rPr>
      </w:pPr>
      <w:r>
        <w:rPr>
          <w:rFonts w:hint="eastAsia" w:ascii="宋体" w:hAnsi="宋体" w:cs="黑体"/>
          <w:b/>
          <w:color w:val="auto"/>
        </w:rPr>
        <w:t>【条文说明】</w:t>
      </w:r>
      <w:r>
        <w:rPr>
          <w:rFonts w:hint="eastAsia" w:ascii="宋体" w:hAnsi="宋体" w:cs="黑体"/>
          <w:bCs/>
          <w:color w:val="auto"/>
        </w:rPr>
        <w:t>：</w:t>
      </w:r>
      <w:r>
        <w:rPr>
          <w:rFonts w:hint="eastAsia"/>
          <w:color w:val="0070C0"/>
          <w:kern w:val="2"/>
        </w:rPr>
        <w:t>密封胶种类较多，主要包括: 硅酮密封胶、聚氨酯密封胶、聚硫密封胶、丙烯酸密封胶、环氧密封胶、丁基密封胶、氯丁密封胶、PVC密封胶等。对钢筋混凝土、金属等界面材料可按相对应的技术标准选用密封胶。</w:t>
      </w:r>
    </w:p>
    <w:p>
      <w:pPr>
        <w:spacing w:line="360" w:lineRule="auto"/>
        <w:rPr>
          <w:color w:val="0070C0"/>
          <w:kern w:val="2"/>
        </w:rPr>
      </w:pPr>
      <w:r>
        <w:rPr>
          <w:rFonts w:hint="eastAsia"/>
          <w:color w:val="0070C0"/>
          <w:kern w:val="2"/>
        </w:rPr>
        <w:t>密封胶主要性能要求包括: 断裂强度、粘结强度、断裂伸长率、抗老化能力、外观、保型性、保质期、固化时间等。</w:t>
      </w:r>
    </w:p>
    <w:p>
      <w:pPr>
        <w:spacing w:line="360" w:lineRule="auto"/>
        <w:rPr>
          <w:rFonts w:ascii="宋体" w:hAnsi="宋体"/>
          <w:b/>
          <w:color w:val="auto"/>
          <w:sz w:val="24"/>
          <w:szCs w:val="24"/>
        </w:rPr>
      </w:pPr>
      <w:bookmarkStart w:id="81" w:name="_Toc76376985"/>
      <w:bookmarkStart w:id="82" w:name="_Toc84835538"/>
      <w:r>
        <w:rPr>
          <w:rFonts w:eastAsia="等线" w:cs="宋体"/>
          <w:b/>
          <w:color w:val="auto"/>
          <w:kern w:val="2"/>
          <w:sz w:val="24"/>
          <w:szCs w:val="24"/>
        </w:rPr>
        <w:t>7.3.5</w:t>
      </w:r>
      <w:r>
        <w:rPr>
          <w:rFonts w:hint="eastAsia" w:ascii="宋体" w:hAnsi="宋体"/>
          <w:color w:val="auto"/>
          <w:sz w:val="24"/>
          <w:szCs w:val="24"/>
        </w:rPr>
        <w:t>外墙系统中配套防水材料性能应符合现行行业标准《建筑外墙防水工程技术规范》J</w:t>
      </w:r>
      <w:r>
        <w:rPr>
          <w:rFonts w:ascii="宋体" w:hAnsi="宋体"/>
          <w:color w:val="auto"/>
          <w:sz w:val="24"/>
          <w:szCs w:val="24"/>
        </w:rPr>
        <w:t>GJ/T 235</w:t>
      </w:r>
      <w:r>
        <w:rPr>
          <w:rFonts w:hint="eastAsia" w:ascii="宋体" w:hAnsi="宋体"/>
          <w:color w:val="auto"/>
          <w:sz w:val="24"/>
          <w:szCs w:val="24"/>
        </w:rPr>
        <w:t>的规定，并应注明防水透汽、耐老化、防开裂等技术参数要求。</w:t>
      </w:r>
      <w:bookmarkEnd w:id="81"/>
      <w:bookmarkEnd w:id="82"/>
    </w:p>
    <w:p>
      <w:pPr>
        <w:spacing w:line="360" w:lineRule="auto"/>
        <w:rPr>
          <w:rFonts w:ascii="宋体" w:hAnsi="宋体"/>
          <w:color w:val="auto"/>
          <w:sz w:val="24"/>
          <w:szCs w:val="24"/>
        </w:rPr>
      </w:pPr>
      <w:bookmarkStart w:id="83" w:name="_Toc76376986"/>
      <w:bookmarkStart w:id="84" w:name="_Toc84835539"/>
      <w:r>
        <w:rPr>
          <w:rFonts w:eastAsia="等线" w:cs="宋体"/>
          <w:b/>
          <w:color w:val="auto"/>
          <w:kern w:val="2"/>
          <w:sz w:val="24"/>
          <w:szCs w:val="24"/>
        </w:rPr>
        <w:t>7.3.6</w:t>
      </w:r>
      <w:r>
        <w:rPr>
          <w:rFonts w:hint="eastAsia" w:ascii="宋体" w:hAnsi="宋体"/>
          <w:color w:val="auto"/>
          <w:sz w:val="24"/>
          <w:szCs w:val="24"/>
        </w:rPr>
        <w:t>外墙系统中保温材料、防火隔离带材料、防火封堵材料等性能应符合国家现行标准《建筑设计防火规范》G</w:t>
      </w:r>
      <w:r>
        <w:rPr>
          <w:rFonts w:ascii="宋体" w:hAnsi="宋体"/>
          <w:color w:val="auto"/>
          <w:sz w:val="24"/>
          <w:szCs w:val="24"/>
        </w:rPr>
        <w:t>B50016</w:t>
      </w:r>
      <w:r>
        <w:rPr>
          <w:rFonts w:hint="eastAsia" w:ascii="宋体" w:hAnsi="宋体"/>
          <w:color w:val="auto"/>
          <w:sz w:val="24"/>
          <w:szCs w:val="24"/>
        </w:rPr>
        <w:t>、《建筑钢结构防火技术规范》G</w:t>
      </w:r>
      <w:r>
        <w:rPr>
          <w:rFonts w:ascii="宋体" w:hAnsi="宋体"/>
          <w:color w:val="auto"/>
          <w:sz w:val="24"/>
          <w:szCs w:val="24"/>
        </w:rPr>
        <w:t>B51249</w:t>
      </w:r>
      <w:r>
        <w:rPr>
          <w:rFonts w:hint="eastAsia" w:ascii="宋体" w:hAnsi="宋体"/>
          <w:color w:val="auto"/>
          <w:sz w:val="24"/>
          <w:szCs w:val="24"/>
        </w:rPr>
        <w:t>的规定；保温材料及其厚度、导热系数和蓄热系数应满足钢结构住宅所在地现行节能标准的要求。</w:t>
      </w:r>
      <w:bookmarkEnd w:id="83"/>
      <w:bookmarkEnd w:id="84"/>
    </w:p>
    <w:p>
      <w:pPr>
        <w:spacing w:line="360" w:lineRule="auto"/>
        <w:rPr>
          <w:rFonts w:ascii="宋体" w:hAnsi="宋体"/>
          <w:color w:val="auto"/>
          <w:sz w:val="24"/>
          <w:szCs w:val="24"/>
        </w:rPr>
      </w:pPr>
      <w:r>
        <w:rPr>
          <w:rFonts w:hint="eastAsia" w:eastAsia="等线" w:cs="宋体"/>
          <w:b/>
          <w:color w:val="auto"/>
          <w:kern w:val="2"/>
          <w:sz w:val="24"/>
          <w:szCs w:val="24"/>
        </w:rPr>
        <w:t>7</w:t>
      </w:r>
      <w:r>
        <w:rPr>
          <w:rFonts w:eastAsia="等线" w:cs="宋体"/>
          <w:b/>
          <w:color w:val="auto"/>
          <w:kern w:val="2"/>
          <w:sz w:val="24"/>
          <w:szCs w:val="24"/>
        </w:rPr>
        <w:t>.3.7</w:t>
      </w:r>
      <w:r>
        <w:rPr>
          <w:rFonts w:hint="eastAsia" w:ascii="宋体" w:hAnsi="宋体"/>
          <w:color w:val="auto"/>
          <w:sz w:val="24"/>
          <w:szCs w:val="24"/>
        </w:rPr>
        <w:t>外墙系统可选用下列新型外墙系统，根据墙板的构成和安装方式划分，可分为装配式外挂墙板系统、装配式轻钢龙骨复合墙板系统和装配式轻质条板外墙系统。实际工程选用的墙体构件和工程做法宜为经过工程试点并通过国家或省、部级鉴定的产品和技术。</w:t>
      </w:r>
    </w:p>
    <w:p>
      <w:pPr>
        <w:spacing w:line="360" w:lineRule="auto"/>
        <w:rPr>
          <w:color w:val="0070C0"/>
          <w:kern w:val="2"/>
        </w:rPr>
      </w:pPr>
      <w:r>
        <w:rPr>
          <w:rFonts w:hint="eastAsia" w:ascii="宋体" w:hAnsi="宋体" w:cs="黑体"/>
          <w:b/>
          <w:color w:val="auto"/>
        </w:rPr>
        <w:t>【条文说明】</w:t>
      </w:r>
      <w:r>
        <w:rPr>
          <w:rFonts w:hint="eastAsia" w:ascii="宋体" w:hAnsi="宋体" w:cs="黑体"/>
          <w:bCs/>
          <w:color w:val="auto"/>
        </w:rPr>
        <w:t>：</w:t>
      </w:r>
      <w:r>
        <w:rPr>
          <w:rFonts w:hint="eastAsia"/>
          <w:color w:val="0070C0"/>
          <w:kern w:val="2"/>
        </w:rPr>
        <w:t>装配式外挂墙板系统可选用玻璃纤维增强水泥墙板（简称GRC墙板）、预制混凝土外挂墙板，F</w:t>
      </w:r>
      <w:r>
        <w:rPr>
          <w:color w:val="0070C0"/>
          <w:kern w:val="2"/>
        </w:rPr>
        <w:t>K</w:t>
      </w:r>
      <w:r>
        <w:rPr>
          <w:rFonts w:hint="eastAsia"/>
          <w:color w:val="0070C0"/>
          <w:kern w:val="2"/>
        </w:rPr>
        <w:t>墙板等，分别应满足《预制混凝土外挂墙板应用技术标准》J</w:t>
      </w:r>
      <w:r>
        <w:rPr>
          <w:color w:val="0070C0"/>
          <w:kern w:val="2"/>
        </w:rPr>
        <w:t>GJ/T 458</w:t>
      </w:r>
      <w:r>
        <w:rPr>
          <w:rFonts w:hint="eastAsia"/>
          <w:color w:val="0070C0"/>
          <w:kern w:val="2"/>
        </w:rPr>
        <w:t>、《玻璃纤维增强水泥（G</w:t>
      </w:r>
      <w:r>
        <w:rPr>
          <w:color w:val="0070C0"/>
          <w:kern w:val="2"/>
        </w:rPr>
        <w:t>RC</w:t>
      </w:r>
      <w:r>
        <w:rPr>
          <w:rFonts w:hint="eastAsia"/>
          <w:color w:val="0070C0"/>
          <w:kern w:val="2"/>
        </w:rPr>
        <w:t>）建筑应用技术标准J</w:t>
      </w:r>
      <w:r>
        <w:rPr>
          <w:color w:val="0070C0"/>
          <w:kern w:val="2"/>
        </w:rPr>
        <w:t>GJ/T 423</w:t>
      </w:r>
      <w:r>
        <w:rPr>
          <w:rFonts w:hint="eastAsia"/>
          <w:color w:val="0070C0"/>
          <w:kern w:val="2"/>
        </w:rPr>
        <w:t>》、《模块化蒸压加气混凝土轻钢复合保温墙体工程技术标准》C</w:t>
      </w:r>
      <w:r>
        <w:rPr>
          <w:color w:val="0070C0"/>
          <w:kern w:val="2"/>
        </w:rPr>
        <w:t>ECS 454</w:t>
      </w:r>
      <w:r>
        <w:rPr>
          <w:rFonts w:hint="eastAsia"/>
          <w:color w:val="0070C0"/>
          <w:kern w:val="2"/>
        </w:rPr>
        <w:t>等相关标准的规定，其中装配式外挂墙板系统宜区别装配式混凝土建筑的外墙板技术方式，宜优先采用轻质材料或复合轻质大板与钢结构配合采用。</w:t>
      </w:r>
    </w:p>
    <w:p>
      <w:pPr>
        <w:spacing w:line="360" w:lineRule="auto"/>
        <w:rPr>
          <w:color w:val="0070C0"/>
          <w:kern w:val="2"/>
        </w:rPr>
      </w:pPr>
      <w:r>
        <w:rPr>
          <w:rFonts w:hint="eastAsia"/>
          <w:color w:val="0070C0"/>
          <w:kern w:val="2"/>
        </w:rPr>
        <w:t>装配式轻钢龙骨复合墙板系统可选用轻钢龙骨泡沫混凝土墙板。外墙围护的结构骨架可采用钢结构、铝合金结构的材料，其钢材性能应符合国家现行标准《钢结构设计标准》G</w:t>
      </w:r>
      <w:r>
        <w:rPr>
          <w:color w:val="0070C0"/>
          <w:kern w:val="2"/>
        </w:rPr>
        <w:t>B 50017</w:t>
      </w:r>
      <w:r>
        <w:rPr>
          <w:rFonts w:hint="eastAsia"/>
          <w:color w:val="0070C0"/>
          <w:kern w:val="2"/>
        </w:rPr>
        <w:t>、《冷弯薄壁型钢结构技术规范》G</w:t>
      </w:r>
      <w:r>
        <w:rPr>
          <w:color w:val="0070C0"/>
          <w:kern w:val="2"/>
        </w:rPr>
        <w:t>B 50018</w:t>
      </w:r>
      <w:r>
        <w:rPr>
          <w:rFonts w:hint="eastAsia"/>
          <w:color w:val="0070C0"/>
          <w:kern w:val="2"/>
        </w:rPr>
        <w:t>的要求，铝合金结构的材料应符合国家现行标准《铝合金结构设计规范》G</w:t>
      </w:r>
      <w:r>
        <w:rPr>
          <w:color w:val="0070C0"/>
          <w:kern w:val="2"/>
        </w:rPr>
        <w:t>B 50429</w:t>
      </w:r>
      <w:r>
        <w:rPr>
          <w:rFonts w:hint="eastAsia"/>
          <w:color w:val="0070C0"/>
          <w:kern w:val="2"/>
        </w:rPr>
        <w:t>的规定。</w:t>
      </w:r>
    </w:p>
    <w:p>
      <w:pPr>
        <w:spacing w:line="360" w:lineRule="auto"/>
        <w:rPr>
          <w:color w:val="0070C0"/>
          <w:kern w:val="2"/>
        </w:rPr>
      </w:pPr>
      <w:r>
        <w:rPr>
          <w:rFonts w:hint="eastAsia"/>
          <w:color w:val="0070C0"/>
          <w:kern w:val="2"/>
        </w:rPr>
        <w:t>装配式轻质条板外墙系统可选用挤出成型水泥墙板、蒸压(砂)加气混凝土墙板、轻骨料混凝土墙板等工厂生产的墙板，并满足《人造幕墙工程技术规范》J</w:t>
      </w:r>
      <w:r>
        <w:rPr>
          <w:color w:val="0070C0"/>
          <w:kern w:val="2"/>
        </w:rPr>
        <w:t>GJ 336</w:t>
      </w:r>
      <w:r>
        <w:rPr>
          <w:rFonts w:hint="eastAsia"/>
          <w:color w:val="0070C0"/>
          <w:kern w:val="2"/>
        </w:rPr>
        <w:t>、《蒸压加气混凝土墙板》G</w:t>
      </w:r>
      <w:r>
        <w:rPr>
          <w:color w:val="0070C0"/>
          <w:kern w:val="2"/>
        </w:rPr>
        <w:t>B/T 15762</w:t>
      </w:r>
      <w:r>
        <w:rPr>
          <w:rFonts w:hint="eastAsia"/>
          <w:color w:val="0070C0"/>
          <w:kern w:val="2"/>
        </w:rPr>
        <w:t>的相关规定。装配式轻质条板外墙系统一般在其外侧设置装饰板材或保温装饰一体板材，应满足装饰、防水、保温、防冷桥等要求。当单一外墙板材外挂满足要求时，也可采用外墙单一材料自保温的构造。</w:t>
      </w:r>
    </w:p>
    <w:p>
      <w:pPr>
        <w:spacing w:line="360" w:lineRule="auto"/>
        <w:rPr>
          <w:rFonts w:ascii="宋体" w:hAnsi="宋体"/>
          <w:color w:val="auto"/>
          <w:sz w:val="24"/>
          <w:szCs w:val="24"/>
        </w:rPr>
      </w:pPr>
      <w:bookmarkStart w:id="85" w:name="_Toc76376987"/>
      <w:bookmarkStart w:id="86" w:name="_Toc84835540"/>
      <w:r>
        <w:rPr>
          <w:rFonts w:eastAsia="等线" w:cs="宋体"/>
          <w:b/>
          <w:color w:val="auto"/>
          <w:kern w:val="2"/>
          <w:sz w:val="24"/>
          <w:szCs w:val="24"/>
        </w:rPr>
        <w:t>7.3.8</w:t>
      </w:r>
      <w:r>
        <w:rPr>
          <w:rFonts w:hint="eastAsia" w:ascii="宋体" w:hAnsi="宋体"/>
          <w:color w:val="auto"/>
          <w:sz w:val="24"/>
          <w:szCs w:val="24"/>
        </w:rPr>
        <w:t>外墙系统安装方式应根据不同的结构形式而定，可采用内嵌式、外挂式、嵌挂结合式等形式与主体结构连接，并宜分层悬挂或承托</w:t>
      </w:r>
      <w:bookmarkEnd w:id="85"/>
      <w:bookmarkEnd w:id="86"/>
      <w:r>
        <w:rPr>
          <w:rFonts w:hint="eastAsia" w:ascii="宋体" w:hAnsi="宋体"/>
          <w:color w:val="auto"/>
          <w:sz w:val="24"/>
          <w:szCs w:val="24"/>
        </w:rPr>
        <w:t>。</w:t>
      </w:r>
    </w:p>
    <w:p>
      <w:pPr>
        <w:spacing w:line="360" w:lineRule="auto"/>
        <w:rPr>
          <w:rFonts w:ascii="宋体" w:hAnsi="宋体"/>
          <w:color w:val="auto"/>
          <w:sz w:val="24"/>
          <w:szCs w:val="24"/>
        </w:rPr>
      </w:pPr>
      <w:r>
        <w:rPr>
          <w:rFonts w:hint="eastAsia" w:ascii="宋体" w:hAnsi="宋体" w:cs="黑体"/>
          <w:b/>
          <w:color w:val="auto"/>
        </w:rPr>
        <w:t>【条文说明】</w:t>
      </w:r>
      <w:r>
        <w:rPr>
          <w:rFonts w:hint="eastAsia" w:ascii="宋体" w:hAnsi="宋体" w:cs="黑体"/>
          <w:bCs/>
          <w:color w:val="auto"/>
        </w:rPr>
        <w:t>：</w:t>
      </w:r>
      <w:r>
        <w:rPr>
          <w:rFonts w:hint="eastAsia"/>
          <w:color w:val="0070C0"/>
          <w:kern w:val="2"/>
        </w:rPr>
        <w:t>外墙系统种类不同，安装连接方式也不相同，目前，主要的连接方式为内嵌式、外挂式、嵌挂结合式三种，设计施工时应根据外墙板的特点合理选择连接方式。</w:t>
      </w:r>
    </w:p>
    <w:p>
      <w:pPr>
        <w:spacing w:line="360" w:lineRule="auto"/>
        <w:rPr>
          <w:rFonts w:ascii="宋体" w:hAnsi="宋体"/>
          <w:color w:val="auto"/>
          <w:sz w:val="24"/>
          <w:szCs w:val="24"/>
        </w:rPr>
      </w:pPr>
      <w:r>
        <w:rPr>
          <w:rFonts w:hint="eastAsia" w:eastAsia="等线" w:cs="宋体"/>
          <w:b/>
          <w:color w:val="auto"/>
          <w:kern w:val="2"/>
          <w:sz w:val="24"/>
          <w:szCs w:val="24"/>
        </w:rPr>
        <w:t>7</w:t>
      </w:r>
      <w:r>
        <w:rPr>
          <w:rFonts w:eastAsia="等线" w:cs="宋体"/>
          <w:b/>
          <w:color w:val="auto"/>
          <w:kern w:val="2"/>
          <w:sz w:val="24"/>
          <w:szCs w:val="24"/>
        </w:rPr>
        <w:t xml:space="preserve">.3.9 </w:t>
      </w:r>
      <w:r>
        <w:rPr>
          <w:rFonts w:hint="eastAsia" w:ascii="宋体" w:hAnsi="宋体"/>
          <w:color w:val="auto"/>
          <w:sz w:val="24"/>
          <w:szCs w:val="24"/>
        </w:rPr>
        <w:t>外墙系统应根据住宅所在地气候条件选用构造防水、材料防水相结合的防排水措施，并应满足防水透气、防潮、隔汽、防开裂等构造要求。</w:t>
      </w:r>
    </w:p>
    <w:p>
      <w:pPr>
        <w:spacing w:line="360" w:lineRule="auto"/>
        <w:rPr>
          <w:rFonts w:eastAsia="等线" w:cs="宋体"/>
          <w:b/>
          <w:color w:val="auto"/>
          <w:kern w:val="2"/>
        </w:rPr>
      </w:pPr>
      <w:r>
        <w:rPr>
          <w:rFonts w:hint="eastAsia" w:ascii="宋体" w:hAnsi="宋体" w:cs="黑体"/>
          <w:b/>
          <w:color w:val="auto"/>
        </w:rPr>
        <w:t>【条文说明】</w:t>
      </w:r>
      <w:r>
        <w:rPr>
          <w:rFonts w:hint="eastAsia" w:ascii="宋体" w:hAnsi="宋体" w:cs="黑体"/>
          <w:bCs/>
          <w:color w:val="auto"/>
        </w:rPr>
        <w:t>：</w:t>
      </w:r>
      <w:r>
        <w:rPr>
          <w:rFonts w:hint="eastAsia"/>
          <w:color w:val="0070C0"/>
          <w:kern w:val="2"/>
        </w:rPr>
        <w:t xml:space="preserve">当外墙采用外保温技术施工前，宜在基墙、墙板外侧先进行第一道防水和防裂处理，可采用聚合物防水砂浆、防水界面剂、水泥基防水涂料等处方法；点挂保温装饰板材时，也可内衬防水透气膜等处理方法。 </w:t>
      </w:r>
      <w:r>
        <w:rPr>
          <w:color w:val="0070C0"/>
          <w:kern w:val="2"/>
        </w:rPr>
        <w:t xml:space="preserve"> </w:t>
      </w:r>
    </w:p>
    <w:p>
      <w:pPr>
        <w:spacing w:line="360" w:lineRule="auto"/>
        <w:rPr>
          <w:rFonts w:ascii="宋体" w:hAnsi="宋体"/>
          <w:b/>
          <w:color w:val="auto"/>
          <w:sz w:val="24"/>
          <w:szCs w:val="24"/>
        </w:rPr>
      </w:pPr>
      <w:bookmarkStart w:id="87" w:name="_Toc76376988"/>
      <w:bookmarkStart w:id="88" w:name="_Toc84835541"/>
      <w:r>
        <w:rPr>
          <w:rFonts w:eastAsia="等线" w:cs="宋体"/>
          <w:b/>
          <w:color w:val="auto"/>
          <w:kern w:val="2"/>
          <w:sz w:val="24"/>
          <w:szCs w:val="24"/>
        </w:rPr>
        <w:t>7.3.10</w:t>
      </w:r>
      <w:r>
        <w:rPr>
          <w:rFonts w:ascii="宋体" w:hAnsi="宋体"/>
          <w:color w:val="auto"/>
          <w:sz w:val="24"/>
          <w:szCs w:val="24"/>
        </w:rPr>
        <w:t xml:space="preserve"> </w:t>
      </w:r>
      <w:r>
        <w:rPr>
          <w:rFonts w:hint="eastAsia" w:ascii="宋体" w:hAnsi="宋体"/>
          <w:color w:val="auto"/>
          <w:sz w:val="24"/>
          <w:szCs w:val="24"/>
        </w:rPr>
        <w:t>外墙系统与主体钢结构的连接设计应符合现行国家标准《建筑抗震设计规范》G</w:t>
      </w:r>
      <w:r>
        <w:rPr>
          <w:rFonts w:ascii="宋体" w:hAnsi="宋体"/>
          <w:color w:val="auto"/>
          <w:sz w:val="24"/>
          <w:szCs w:val="24"/>
        </w:rPr>
        <w:t>B 50011</w:t>
      </w:r>
      <w:r>
        <w:rPr>
          <w:rFonts w:hint="eastAsia" w:ascii="宋体" w:hAnsi="宋体"/>
          <w:color w:val="auto"/>
          <w:sz w:val="24"/>
          <w:szCs w:val="24"/>
        </w:rPr>
        <w:t>的要求，还应满足以下规定：</w:t>
      </w:r>
      <w:bookmarkEnd w:id="87"/>
      <w:bookmarkEnd w:id="88"/>
    </w:p>
    <w:p>
      <w:pPr>
        <w:spacing w:line="360" w:lineRule="auto"/>
        <w:ind w:firstLine="480" w:firstLineChars="200"/>
        <w:rPr>
          <w:rFonts w:ascii="宋体" w:hAnsi="宋体" w:cs="仿宋_GB2312"/>
          <w:color w:val="auto"/>
          <w:sz w:val="24"/>
          <w:szCs w:val="24"/>
        </w:rPr>
      </w:pPr>
      <w:r>
        <w:rPr>
          <w:rFonts w:hint="eastAsia" w:ascii="宋体" w:hAnsi="宋体" w:cs="仿宋_GB2312"/>
          <w:color w:val="auto"/>
          <w:sz w:val="24"/>
          <w:szCs w:val="24"/>
        </w:rPr>
        <w:t>1</w:t>
      </w:r>
      <w:r>
        <w:rPr>
          <w:rFonts w:ascii="宋体" w:hAnsi="宋体" w:cs="仿宋_GB2312"/>
          <w:color w:val="auto"/>
          <w:sz w:val="24"/>
          <w:szCs w:val="24"/>
        </w:rPr>
        <w:t xml:space="preserve"> </w:t>
      </w:r>
      <w:r>
        <w:rPr>
          <w:rFonts w:hint="eastAsia" w:ascii="宋体" w:hAnsi="宋体" w:cs="仿宋_GB2312"/>
          <w:color w:val="auto"/>
          <w:sz w:val="24"/>
          <w:szCs w:val="24"/>
        </w:rPr>
        <w:t>墙体部（构）件及其连接的承载力与变形能力应符合设计要求，当遭受多遇地震影响时，外挂墙板及其接缝不应损坏或不需修理即可继续使用。</w:t>
      </w:r>
    </w:p>
    <w:p>
      <w:pPr>
        <w:spacing w:line="360" w:lineRule="auto"/>
        <w:ind w:firstLine="480" w:firstLineChars="200"/>
        <w:rPr>
          <w:rFonts w:ascii="宋体" w:hAnsi="宋体" w:cs="仿宋_GB2312"/>
          <w:color w:val="auto"/>
          <w:sz w:val="24"/>
          <w:szCs w:val="24"/>
        </w:rPr>
      </w:pPr>
      <w:r>
        <w:rPr>
          <w:rFonts w:hint="eastAsia" w:ascii="宋体" w:hAnsi="宋体" w:cs="仿宋_GB2312"/>
          <w:color w:val="auto"/>
          <w:sz w:val="24"/>
          <w:szCs w:val="24"/>
        </w:rPr>
        <w:t>2</w:t>
      </w:r>
      <w:r>
        <w:rPr>
          <w:rFonts w:ascii="宋体" w:hAnsi="宋体" w:cs="仿宋_GB2312"/>
          <w:color w:val="auto"/>
          <w:sz w:val="24"/>
          <w:szCs w:val="24"/>
        </w:rPr>
        <w:t xml:space="preserve"> </w:t>
      </w:r>
      <w:r>
        <w:rPr>
          <w:rFonts w:hint="eastAsia" w:ascii="宋体" w:hAnsi="宋体" w:cs="仿宋_GB2312"/>
          <w:color w:val="auto"/>
          <w:sz w:val="24"/>
          <w:szCs w:val="24"/>
        </w:rPr>
        <w:t>当遭受设防烈度地震影响时，节点连接件不应损坏，外挂墙板及其接缝可能发生损坏，但经一般性修理后仍可继续使用。</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3 </w:t>
      </w:r>
      <w:r>
        <w:rPr>
          <w:rFonts w:hint="eastAsia" w:ascii="宋体" w:hAnsi="宋体" w:cs="仿宋_GB2312"/>
          <w:color w:val="auto"/>
          <w:sz w:val="24"/>
          <w:szCs w:val="24"/>
        </w:rPr>
        <w:t>当遭受预估的罕遇地震作用时，外挂墙板不应脱落，节点连接件不应失效。</w:t>
      </w:r>
    </w:p>
    <w:p>
      <w:pPr>
        <w:spacing w:line="360" w:lineRule="auto"/>
        <w:ind w:firstLine="480" w:firstLineChars="200"/>
        <w:rPr>
          <w:rFonts w:ascii="宋体" w:hAnsi="宋体" w:cs="仿宋_GB2312"/>
          <w:color w:val="auto"/>
          <w:sz w:val="24"/>
          <w:szCs w:val="24"/>
        </w:rPr>
      </w:pPr>
      <w:r>
        <w:rPr>
          <w:rFonts w:hint="eastAsia" w:ascii="宋体" w:hAnsi="宋体" w:cs="仿宋_GB2312"/>
          <w:color w:val="auto"/>
          <w:sz w:val="24"/>
          <w:szCs w:val="24"/>
        </w:rPr>
        <w:t>4连接节点应牢固可靠、受力明确、传力简捷、构造合理，具有足够的承载力，在设计承载能力极限状态下，连接节点不应发生破坏和失效。当单个连接节点失效时，外墙板不应掉落。</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5 </w:t>
      </w:r>
      <w:r>
        <w:rPr>
          <w:rFonts w:hint="eastAsia" w:ascii="宋体" w:hAnsi="宋体" w:cs="仿宋_GB2312"/>
          <w:color w:val="auto"/>
          <w:sz w:val="24"/>
          <w:szCs w:val="24"/>
        </w:rPr>
        <w:t>连接节点应具备适应主体结构变形的能力，宜采用柔性连接方式。</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6 </w:t>
      </w:r>
      <w:r>
        <w:rPr>
          <w:rFonts w:hint="eastAsia" w:ascii="宋体" w:hAnsi="宋体" w:cs="仿宋_GB2312"/>
          <w:color w:val="auto"/>
          <w:sz w:val="24"/>
          <w:szCs w:val="24"/>
        </w:rPr>
        <w:t>连接节点设计宜采用标准化和通用化连接件，采用预置预埋或后置方式，通过机械连接固定，并合理设置可调整构造，满足尺寸偏差、工厂加工、现场装配和定位要求。</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7 </w:t>
      </w:r>
      <w:r>
        <w:rPr>
          <w:rFonts w:hint="eastAsia" w:ascii="宋体" w:hAnsi="宋体" w:cs="仿宋_GB2312"/>
          <w:color w:val="auto"/>
          <w:sz w:val="24"/>
          <w:szCs w:val="24"/>
        </w:rPr>
        <w:t>连接节点宜采用避免连接件外露的隐蔽式设计，并采用断热、隔声和减振措施，避免产生冷热桥和声桥效应。</w:t>
      </w:r>
    </w:p>
    <w:p>
      <w:pPr>
        <w:spacing w:line="360" w:lineRule="auto"/>
        <w:rPr>
          <w:rFonts w:ascii="宋体" w:hAnsi="宋体" w:cs="仿宋_GB2312"/>
          <w:color w:val="auto"/>
        </w:rPr>
      </w:pPr>
      <w:r>
        <w:rPr>
          <w:rFonts w:hint="eastAsia" w:ascii="宋体" w:hAnsi="宋体" w:cs="黑体"/>
          <w:b/>
          <w:color w:val="auto"/>
        </w:rPr>
        <w:t>【条文说明】</w:t>
      </w:r>
      <w:r>
        <w:rPr>
          <w:rFonts w:hint="eastAsia" w:ascii="宋体" w:hAnsi="宋体" w:cs="黑体"/>
          <w:bCs/>
          <w:color w:val="auto"/>
        </w:rPr>
        <w:t>：</w:t>
      </w:r>
      <w:r>
        <w:rPr>
          <w:rFonts w:hint="eastAsia"/>
          <w:color w:val="0070C0"/>
          <w:kern w:val="2"/>
        </w:rPr>
        <w:t>此条文主要是针对外挂墙板的构造要求，一般采用固定支座与滑动支座的构造，以满足结构层间变形要求；嵌入式墙体与钢结构宜采用留有变形缝隙的柔性连接构造。</w:t>
      </w:r>
      <w:r>
        <w:rPr>
          <w:rFonts w:eastAsia="等线" w:cs="宋体"/>
          <w:b/>
          <w:color w:val="auto"/>
          <w:kern w:val="2"/>
        </w:rPr>
        <w:t xml:space="preserve"> </w:t>
      </w:r>
    </w:p>
    <w:p>
      <w:pPr>
        <w:spacing w:line="360" w:lineRule="auto"/>
        <w:rPr>
          <w:rFonts w:ascii="宋体" w:hAnsi="宋体" w:cs="仿宋_GB2312"/>
          <w:color w:val="auto"/>
          <w:sz w:val="24"/>
          <w:szCs w:val="24"/>
        </w:rPr>
      </w:pPr>
      <w:bookmarkStart w:id="89" w:name="_Toc76376989"/>
      <w:bookmarkStart w:id="90" w:name="_Toc84835542"/>
      <w:r>
        <w:rPr>
          <w:rFonts w:eastAsia="等线" w:cs="宋体"/>
          <w:b/>
          <w:color w:val="auto"/>
          <w:kern w:val="2"/>
          <w:sz w:val="24"/>
          <w:szCs w:val="24"/>
        </w:rPr>
        <w:t>7.3.11</w:t>
      </w:r>
      <w:r>
        <w:rPr>
          <w:rFonts w:hint="eastAsia" w:ascii="宋体" w:hAnsi="宋体"/>
          <w:color w:val="auto"/>
          <w:sz w:val="24"/>
          <w:szCs w:val="24"/>
        </w:rPr>
        <w:t>外墙系统保温构造</w:t>
      </w:r>
      <w:r>
        <w:rPr>
          <w:rFonts w:hint="eastAsia" w:ascii="宋体" w:hAnsi="宋体" w:cs="仿宋_GB2312"/>
          <w:color w:val="auto"/>
          <w:sz w:val="24"/>
          <w:szCs w:val="24"/>
        </w:rPr>
        <w:t>形式可采用外墙外保温系统构造、外墙夹芯保温系统构造、外墙内保温系统构造和外墙单一材料自保温系统构造等；其热桥部位的内表面温度不应低于室内空气露点温度，若不满足要求时，应采取保温断桥构造措施。</w:t>
      </w:r>
      <w:bookmarkEnd w:id="89"/>
      <w:bookmarkEnd w:id="90"/>
    </w:p>
    <w:p>
      <w:pPr>
        <w:spacing w:line="360" w:lineRule="auto"/>
        <w:rPr>
          <w:rFonts w:ascii="宋体" w:hAnsi="宋体" w:cs="仿宋_GB2312"/>
          <w:b/>
          <w:color w:val="auto"/>
          <w:sz w:val="24"/>
          <w:szCs w:val="24"/>
        </w:rPr>
      </w:pPr>
      <w:r>
        <w:rPr>
          <w:rFonts w:hint="eastAsia" w:ascii="宋体" w:hAnsi="宋体" w:cs="黑体"/>
          <w:b/>
          <w:color w:val="auto"/>
        </w:rPr>
        <w:t>【条文说明】</w:t>
      </w:r>
      <w:r>
        <w:rPr>
          <w:rFonts w:hint="eastAsia" w:ascii="宋体" w:hAnsi="宋体" w:cs="黑体"/>
          <w:bCs/>
          <w:color w:val="auto"/>
        </w:rPr>
        <w:t>：</w:t>
      </w:r>
      <w:r>
        <w:rPr>
          <w:rFonts w:hint="eastAsia"/>
          <w:color w:val="0070C0"/>
          <w:kern w:val="2"/>
        </w:rPr>
        <w:t>外墙系统是钢结构住宅围护结构的重要组成部分，宜采用各类复合保温墙板，满足产业化的相关要求。钢是热的良导体，在钢结构局部温度低于露点温度时，空气中的水蒸气会凝结成液态水，导致该部位发生锈蚀。这些部位往往发生在外墙系统的热桥部位，以及钢结构的梁柱、金属连接件等与外墙系统交接的位置。外墙系统的防结露设计应确保热桥部位的内表面温度不应低于室内空气露点温度。钢结构住宅外墙保温应采用整体外包钢结构的安装方式。</w:t>
      </w:r>
    </w:p>
    <w:p>
      <w:pPr>
        <w:spacing w:line="360" w:lineRule="auto"/>
        <w:rPr>
          <w:rFonts w:ascii="宋体" w:hAnsi="宋体"/>
          <w:b/>
          <w:color w:val="auto"/>
          <w:sz w:val="24"/>
          <w:szCs w:val="24"/>
        </w:rPr>
      </w:pPr>
      <w:bookmarkStart w:id="91" w:name="_Toc84835543"/>
      <w:bookmarkStart w:id="92" w:name="_Toc76376990"/>
      <w:r>
        <w:rPr>
          <w:rFonts w:eastAsia="等线" w:cs="宋体"/>
          <w:b/>
          <w:color w:val="auto"/>
          <w:kern w:val="2"/>
          <w:sz w:val="24"/>
          <w:szCs w:val="24"/>
        </w:rPr>
        <w:t xml:space="preserve">7.3.12 </w:t>
      </w:r>
      <w:r>
        <w:rPr>
          <w:rFonts w:hint="eastAsia" w:ascii="宋体" w:hAnsi="宋体"/>
          <w:color w:val="auto"/>
          <w:sz w:val="24"/>
          <w:szCs w:val="24"/>
        </w:rPr>
        <w:t>外墙系统连接缝构造应符合以下规定：</w:t>
      </w:r>
      <w:bookmarkEnd w:id="91"/>
      <w:bookmarkEnd w:id="92"/>
    </w:p>
    <w:p>
      <w:pPr>
        <w:spacing w:line="360" w:lineRule="auto"/>
        <w:ind w:firstLine="480" w:firstLineChars="200"/>
        <w:rPr>
          <w:rFonts w:ascii="宋体" w:hAnsi="宋体" w:cs="仿宋_GB2312"/>
          <w:color w:val="auto"/>
          <w:sz w:val="24"/>
          <w:szCs w:val="24"/>
        </w:rPr>
      </w:pPr>
      <w:r>
        <w:rPr>
          <w:rFonts w:hint="eastAsia" w:ascii="宋体" w:hAnsi="宋体" w:cs="仿宋_GB2312"/>
          <w:color w:val="auto"/>
          <w:sz w:val="24"/>
          <w:szCs w:val="24"/>
        </w:rPr>
        <w:t>1</w:t>
      </w:r>
      <w:r>
        <w:rPr>
          <w:rFonts w:ascii="宋体" w:hAnsi="宋体" w:cs="仿宋_GB2312"/>
          <w:color w:val="auto"/>
          <w:sz w:val="24"/>
          <w:szCs w:val="24"/>
        </w:rPr>
        <w:t xml:space="preserve"> </w:t>
      </w:r>
      <w:r>
        <w:rPr>
          <w:rFonts w:hint="eastAsia" w:ascii="宋体" w:hAnsi="宋体" w:cs="仿宋_GB2312"/>
          <w:color w:val="auto"/>
          <w:sz w:val="24"/>
          <w:szCs w:val="24"/>
        </w:rPr>
        <w:t>外墙板连接缝宽度应根据外墙材料、立面分格、结构层间位移、温度变形等综合因素进行设计，并满足构造、热工、防水、防火、隔声、建筑装饰和使用年限等要求，接缝应采取防裂措施。</w:t>
      </w:r>
    </w:p>
    <w:p>
      <w:pPr>
        <w:spacing w:line="360" w:lineRule="auto"/>
        <w:ind w:firstLine="480" w:firstLineChars="200"/>
        <w:rPr>
          <w:rFonts w:ascii="宋体" w:hAnsi="宋体" w:cs="仿宋_GB2312"/>
          <w:color w:val="auto"/>
          <w:sz w:val="24"/>
          <w:szCs w:val="24"/>
        </w:rPr>
      </w:pPr>
      <w:r>
        <w:rPr>
          <w:rFonts w:hint="eastAsia" w:ascii="宋体" w:hAnsi="宋体" w:cs="仿宋_GB2312"/>
          <w:color w:val="auto"/>
          <w:sz w:val="24"/>
          <w:szCs w:val="24"/>
        </w:rPr>
        <w:t>2</w:t>
      </w:r>
      <w:r>
        <w:rPr>
          <w:rFonts w:ascii="宋体" w:hAnsi="宋体" w:cs="仿宋_GB2312"/>
          <w:color w:val="auto"/>
          <w:sz w:val="24"/>
          <w:szCs w:val="24"/>
        </w:rPr>
        <w:t xml:space="preserve"> </w:t>
      </w:r>
      <w:r>
        <w:rPr>
          <w:rFonts w:hint="eastAsia" w:ascii="宋体" w:hAnsi="宋体" w:cs="仿宋_GB2312"/>
          <w:color w:val="auto"/>
          <w:sz w:val="24"/>
          <w:szCs w:val="24"/>
        </w:rPr>
        <w:t>外墙板连接缝应采取构造防水、材料防水相结合的防排水措施。</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3 </w:t>
      </w:r>
      <w:r>
        <w:rPr>
          <w:rFonts w:hint="eastAsia" w:ascii="宋体" w:hAnsi="宋体" w:cs="仿宋_GB2312"/>
          <w:color w:val="auto"/>
          <w:sz w:val="24"/>
          <w:szCs w:val="24"/>
        </w:rPr>
        <w:t>外墙板在正常使用状况下，接缝处的弹性密封材料不应破坏。</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4 </w:t>
      </w:r>
      <w:r>
        <w:rPr>
          <w:rFonts w:hint="eastAsia" w:ascii="宋体" w:hAnsi="宋体" w:cs="仿宋_GB2312"/>
          <w:color w:val="auto"/>
          <w:sz w:val="24"/>
          <w:szCs w:val="24"/>
        </w:rPr>
        <w:t>对于外挂墙板内侧与主体结构之间构造缝宜取30~40mm，；对于内嵌外墙板与柱、梁、基础、楼板主体结构之间的纵向和横向构造缝宜取15~25mm；</w:t>
      </w:r>
    </w:p>
    <w:p>
      <w:pPr>
        <w:spacing w:line="360" w:lineRule="auto"/>
        <w:ind w:firstLine="480" w:firstLineChars="200"/>
        <w:rPr>
          <w:rFonts w:ascii="宋体" w:hAnsi="宋体" w:cs="仿宋_GB2312"/>
          <w:color w:val="auto"/>
          <w:sz w:val="24"/>
          <w:szCs w:val="24"/>
        </w:rPr>
      </w:pPr>
      <w:r>
        <w:rPr>
          <w:rFonts w:hint="eastAsia" w:ascii="宋体" w:hAnsi="宋体" w:cs="仿宋_GB2312"/>
          <w:color w:val="auto"/>
          <w:sz w:val="24"/>
          <w:szCs w:val="24"/>
        </w:rPr>
        <w:t>5</w:t>
      </w:r>
      <w:r>
        <w:rPr>
          <w:rFonts w:ascii="宋体" w:hAnsi="宋体" w:cs="仿宋_GB2312"/>
          <w:color w:val="auto"/>
          <w:sz w:val="24"/>
          <w:szCs w:val="24"/>
        </w:rPr>
        <w:t xml:space="preserve"> </w:t>
      </w:r>
      <w:r>
        <w:rPr>
          <w:rFonts w:hint="eastAsia" w:ascii="宋体" w:hAnsi="宋体" w:cs="仿宋_GB2312"/>
          <w:color w:val="auto"/>
          <w:sz w:val="24"/>
          <w:szCs w:val="24"/>
        </w:rPr>
        <w:t>当采用整体墙板时，板与板之间的纵向和横向构造缝宜取15~25mm当采用装配式轻型条板外墙时，板与板之间的平缝拼接时板缝宽度不应大于5mm，安装时应以缝隙间挤出砂浆为宜。</w:t>
      </w:r>
    </w:p>
    <w:p>
      <w:pPr>
        <w:spacing w:line="360" w:lineRule="auto"/>
        <w:rPr>
          <w:rFonts w:ascii="宋体" w:hAnsi="宋体" w:cs="仿宋_GB2312"/>
          <w:color w:val="auto"/>
          <w:sz w:val="24"/>
          <w:szCs w:val="24"/>
        </w:rPr>
      </w:pPr>
      <w:r>
        <w:rPr>
          <w:rFonts w:hint="eastAsia" w:ascii="宋体" w:hAnsi="宋体" w:cs="黑体"/>
          <w:b/>
          <w:color w:val="auto"/>
        </w:rPr>
        <w:t>【条文说明】</w:t>
      </w:r>
      <w:r>
        <w:rPr>
          <w:rFonts w:hint="eastAsia" w:ascii="宋体" w:hAnsi="宋体" w:cs="黑体"/>
          <w:bCs/>
          <w:color w:val="auto"/>
        </w:rPr>
        <w:t>：</w:t>
      </w:r>
      <w:r>
        <w:rPr>
          <w:rFonts w:hint="eastAsia"/>
          <w:color w:val="0070C0"/>
          <w:kern w:val="2"/>
        </w:rPr>
        <w:t>外墙系统连接缝是外墙系统设计的重点环节，设计的合理性和适用性，直接关系到外墙系统的性能。</w:t>
      </w:r>
    </w:p>
    <w:p>
      <w:pPr>
        <w:spacing w:line="360" w:lineRule="auto"/>
        <w:rPr>
          <w:rFonts w:ascii="宋体" w:hAnsi="宋体"/>
          <w:b/>
          <w:color w:val="auto"/>
          <w:sz w:val="24"/>
          <w:szCs w:val="24"/>
        </w:rPr>
      </w:pPr>
      <w:bookmarkStart w:id="93" w:name="_Toc84835544"/>
      <w:bookmarkStart w:id="94" w:name="_Toc76376991"/>
      <w:r>
        <w:rPr>
          <w:rFonts w:eastAsia="等线" w:cs="宋体"/>
          <w:b/>
          <w:color w:val="auto"/>
          <w:kern w:val="2"/>
          <w:sz w:val="24"/>
          <w:szCs w:val="24"/>
        </w:rPr>
        <w:t>7.3.13</w:t>
      </w:r>
      <w:r>
        <w:rPr>
          <w:rFonts w:hint="eastAsia" w:ascii="宋体" w:hAnsi="宋体"/>
          <w:color w:val="auto"/>
          <w:sz w:val="24"/>
          <w:szCs w:val="24"/>
        </w:rPr>
        <w:t>外墙系统的门窗应符合现行国家标准《建筑幕墙、门窗通用技术条件》G</w:t>
      </w:r>
      <w:r>
        <w:rPr>
          <w:rFonts w:ascii="宋体" w:hAnsi="宋体"/>
          <w:color w:val="auto"/>
          <w:sz w:val="24"/>
          <w:szCs w:val="24"/>
        </w:rPr>
        <w:t>B/T 31433</w:t>
      </w:r>
      <w:r>
        <w:rPr>
          <w:rFonts w:hint="eastAsia" w:ascii="宋体" w:hAnsi="宋体"/>
          <w:color w:val="auto"/>
          <w:sz w:val="24"/>
          <w:szCs w:val="24"/>
        </w:rPr>
        <w:t>的规定，还应符合以下规定：</w:t>
      </w:r>
      <w:bookmarkEnd w:id="93"/>
      <w:bookmarkEnd w:id="94"/>
    </w:p>
    <w:p>
      <w:pPr>
        <w:spacing w:line="360" w:lineRule="auto"/>
        <w:ind w:firstLine="480" w:firstLineChars="200"/>
        <w:rPr>
          <w:rFonts w:ascii="宋体" w:hAnsi="宋体" w:cs="仿宋_GB2312"/>
          <w:color w:val="auto"/>
          <w:sz w:val="24"/>
          <w:szCs w:val="24"/>
        </w:rPr>
      </w:pPr>
      <w:r>
        <w:rPr>
          <w:rFonts w:hint="eastAsia" w:ascii="宋体" w:hAnsi="宋体" w:cs="仿宋_GB2312"/>
          <w:color w:val="auto"/>
          <w:sz w:val="24"/>
          <w:szCs w:val="24"/>
        </w:rPr>
        <w:t>1</w:t>
      </w:r>
      <w:r>
        <w:rPr>
          <w:rFonts w:ascii="宋体" w:hAnsi="宋体" w:cs="仿宋_GB2312"/>
          <w:color w:val="auto"/>
          <w:sz w:val="24"/>
          <w:szCs w:val="24"/>
        </w:rPr>
        <w:t xml:space="preserve"> </w:t>
      </w:r>
      <w:r>
        <w:rPr>
          <w:rFonts w:hint="eastAsia" w:ascii="宋体" w:hAnsi="宋体" w:cs="仿宋_GB2312"/>
          <w:color w:val="auto"/>
          <w:sz w:val="24"/>
          <w:szCs w:val="24"/>
        </w:rPr>
        <w:t>外门窗等部品应与外墙进行一体化设计，应采用在工厂生产的标准化系列产品，并采用带有披水板等的成套化、模块化的外门窗配套系列部品。</w:t>
      </w:r>
    </w:p>
    <w:p>
      <w:pPr>
        <w:spacing w:line="360" w:lineRule="auto"/>
        <w:ind w:firstLine="480" w:firstLineChars="200"/>
        <w:rPr>
          <w:rFonts w:ascii="宋体" w:hAnsi="宋体" w:cs="仿宋_GB2312"/>
          <w:color w:val="auto"/>
          <w:sz w:val="24"/>
          <w:szCs w:val="24"/>
        </w:rPr>
      </w:pPr>
      <w:r>
        <w:rPr>
          <w:rFonts w:hint="eastAsia" w:ascii="宋体" w:hAnsi="宋体" w:cs="仿宋_GB2312"/>
          <w:color w:val="auto"/>
          <w:sz w:val="24"/>
          <w:szCs w:val="24"/>
        </w:rPr>
        <w:t>2</w:t>
      </w:r>
      <w:r>
        <w:rPr>
          <w:rFonts w:ascii="宋体" w:hAnsi="宋体" w:cs="仿宋_GB2312"/>
          <w:color w:val="auto"/>
          <w:sz w:val="24"/>
          <w:szCs w:val="24"/>
        </w:rPr>
        <w:t xml:space="preserve"> </w:t>
      </w:r>
      <w:r>
        <w:rPr>
          <w:rFonts w:hint="eastAsia" w:ascii="宋体" w:hAnsi="宋体" w:cs="仿宋_GB2312"/>
          <w:color w:val="auto"/>
          <w:sz w:val="24"/>
          <w:szCs w:val="24"/>
        </w:rPr>
        <w:t>设计文件应注明外门窗抗风压、气密性、水密性、保温、空气声隔声等性能的要求，且应注明门窗材料、颜色、玻璃品种及开启方式等要求。</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3 </w:t>
      </w:r>
      <w:r>
        <w:rPr>
          <w:rFonts w:hint="eastAsia" w:ascii="宋体" w:hAnsi="宋体" w:cs="仿宋_GB2312"/>
          <w:color w:val="auto"/>
          <w:sz w:val="24"/>
          <w:szCs w:val="24"/>
        </w:rPr>
        <w:t>外墙系统外门窗玻璃组件的性能应符合现行行业标准《建筑玻璃应用技术规程》</w:t>
      </w:r>
      <w:r>
        <w:rPr>
          <w:rFonts w:ascii="宋体" w:hAnsi="宋体" w:cs="仿宋_GB2312"/>
          <w:color w:val="auto"/>
          <w:sz w:val="24"/>
          <w:szCs w:val="24"/>
        </w:rPr>
        <w:t>JGJ 113</w:t>
      </w:r>
      <w:r>
        <w:rPr>
          <w:rFonts w:hint="eastAsia" w:ascii="宋体" w:hAnsi="宋体" w:cs="仿宋_GB2312"/>
          <w:color w:val="auto"/>
          <w:sz w:val="24"/>
          <w:szCs w:val="24"/>
        </w:rPr>
        <w:t>的规定。</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4 </w:t>
      </w:r>
      <w:r>
        <w:rPr>
          <w:rFonts w:hint="eastAsia" w:ascii="宋体" w:hAnsi="宋体" w:cs="仿宋_GB2312"/>
          <w:color w:val="auto"/>
          <w:sz w:val="24"/>
          <w:szCs w:val="24"/>
        </w:rPr>
        <w:t>外门窗与墙体要可靠连接，门窗洞口与外门窗框架接缝处的气密性能、水密性能和保温性能不应低于外门窗的相关性能。</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5 </w:t>
      </w:r>
      <w:r>
        <w:rPr>
          <w:rFonts w:hint="eastAsia" w:ascii="宋体" w:hAnsi="宋体" w:cs="仿宋_GB2312"/>
          <w:color w:val="auto"/>
          <w:sz w:val="24"/>
          <w:szCs w:val="24"/>
        </w:rPr>
        <w:t>预制外墙中的外门窗宜采用企口或预埋件等方式固定，外门窗可采用预装法或后装法施工；采用预装法时，外门窗框应在工厂与预制外墙整体成型；采用后装法时，预制外墙的门窗洞口应设置预埋件。</w:t>
      </w:r>
    </w:p>
    <w:p>
      <w:pPr>
        <w:spacing w:line="360" w:lineRule="auto"/>
        <w:ind w:firstLine="480" w:firstLineChars="200"/>
        <w:rPr>
          <w:rFonts w:ascii="宋体" w:hAnsi="宋体" w:cs="仿宋_GB2312"/>
          <w:color w:val="auto"/>
          <w:sz w:val="24"/>
          <w:szCs w:val="24"/>
        </w:rPr>
      </w:pPr>
      <w:r>
        <w:rPr>
          <w:rFonts w:hint="eastAsia" w:ascii="宋体" w:hAnsi="宋体" w:cs="仿宋_GB2312"/>
          <w:color w:val="auto"/>
          <w:sz w:val="24"/>
          <w:szCs w:val="24"/>
        </w:rPr>
        <w:t>6</w:t>
      </w:r>
      <w:r>
        <w:rPr>
          <w:rFonts w:ascii="宋体" w:hAnsi="宋体" w:cs="仿宋_GB2312"/>
          <w:color w:val="auto"/>
          <w:sz w:val="24"/>
          <w:szCs w:val="24"/>
        </w:rPr>
        <w:t xml:space="preserve"> </w:t>
      </w:r>
      <w:r>
        <w:rPr>
          <w:rFonts w:hint="eastAsia" w:ascii="宋体" w:hAnsi="宋体" w:cs="仿宋_GB2312"/>
          <w:color w:val="auto"/>
          <w:sz w:val="24"/>
          <w:szCs w:val="24"/>
        </w:rPr>
        <w:t>外墙采用蒸压加气混凝土条板拼装大板，洞口两边和上部过梁板最小尺寸应符合现行行业标准《蒸压加气混凝土建筑应用技术规程》JGJ/T 17的相关规定。外墙采用蒸压加气混凝土条板时，门窗洞口采用镀锌扁钢或镀锌角钢进行加固处理。</w:t>
      </w:r>
    </w:p>
    <w:p>
      <w:pPr>
        <w:spacing w:line="360" w:lineRule="auto"/>
        <w:ind w:firstLine="480" w:firstLineChars="200"/>
        <w:rPr>
          <w:rFonts w:ascii="宋体" w:hAnsi="宋体" w:cs="仿宋_GB2312"/>
          <w:color w:val="auto"/>
          <w:sz w:val="24"/>
          <w:szCs w:val="24"/>
        </w:rPr>
      </w:pPr>
      <w:r>
        <w:rPr>
          <w:rFonts w:hint="eastAsia" w:ascii="宋体" w:hAnsi="宋体" w:cs="仿宋_GB2312"/>
          <w:color w:val="auto"/>
          <w:sz w:val="24"/>
          <w:szCs w:val="24"/>
        </w:rPr>
        <w:t>7</w:t>
      </w:r>
      <w:r>
        <w:rPr>
          <w:rFonts w:ascii="宋体" w:hAnsi="宋体" w:cs="仿宋_GB2312"/>
          <w:color w:val="auto"/>
          <w:sz w:val="24"/>
          <w:szCs w:val="24"/>
        </w:rPr>
        <w:t xml:space="preserve"> </w:t>
      </w:r>
      <w:r>
        <w:rPr>
          <w:rFonts w:hint="eastAsia" w:ascii="宋体" w:hAnsi="宋体" w:cs="仿宋_GB2312"/>
          <w:color w:val="auto"/>
          <w:sz w:val="24"/>
          <w:szCs w:val="24"/>
        </w:rPr>
        <w:t>铝合金门窗的设计应符合现行行业标准《铝合金门窗工程技术规范》J</w:t>
      </w:r>
      <w:r>
        <w:rPr>
          <w:rFonts w:ascii="宋体" w:hAnsi="宋体" w:cs="仿宋_GB2312"/>
          <w:color w:val="auto"/>
          <w:sz w:val="24"/>
          <w:szCs w:val="24"/>
        </w:rPr>
        <w:t>GJ  214</w:t>
      </w:r>
      <w:r>
        <w:rPr>
          <w:rFonts w:hint="eastAsia" w:ascii="宋体" w:hAnsi="宋体" w:cs="仿宋_GB2312"/>
          <w:color w:val="auto"/>
          <w:sz w:val="24"/>
          <w:szCs w:val="24"/>
        </w:rPr>
        <w:t>的规定；塑料门窗的设计应符合现行行业标准《塑料门窗工程技术规程》J</w:t>
      </w:r>
      <w:r>
        <w:rPr>
          <w:rFonts w:ascii="宋体" w:hAnsi="宋体" w:cs="仿宋_GB2312"/>
          <w:color w:val="auto"/>
          <w:sz w:val="24"/>
          <w:szCs w:val="24"/>
        </w:rPr>
        <w:t>GJ 103</w:t>
      </w:r>
      <w:r>
        <w:rPr>
          <w:rFonts w:hint="eastAsia" w:ascii="宋体" w:hAnsi="宋体" w:cs="仿宋_GB2312"/>
          <w:color w:val="auto"/>
          <w:sz w:val="24"/>
          <w:szCs w:val="24"/>
        </w:rPr>
        <w:t>的规定。</w:t>
      </w:r>
    </w:p>
    <w:p>
      <w:pPr>
        <w:spacing w:line="360" w:lineRule="auto"/>
        <w:rPr>
          <w:color w:val="0070C0"/>
          <w:kern w:val="2"/>
        </w:rPr>
      </w:pPr>
      <w:r>
        <w:rPr>
          <w:rFonts w:hint="eastAsia" w:ascii="宋体" w:hAnsi="宋体" w:cs="黑体"/>
          <w:b/>
          <w:color w:val="auto"/>
        </w:rPr>
        <w:t>【条文说明】</w:t>
      </w:r>
      <w:r>
        <w:rPr>
          <w:rFonts w:hint="eastAsia" w:ascii="宋体" w:hAnsi="宋体" w:cs="黑体"/>
          <w:bCs/>
          <w:color w:val="auto"/>
        </w:rPr>
        <w:t>：</w:t>
      </w:r>
      <w:bookmarkStart w:id="95" w:name="_Toc76376992"/>
      <w:bookmarkStart w:id="96" w:name="_Toc84835545"/>
      <w:r>
        <w:rPr>
          <w:rFonts w:hint="eastAsia"/>
          <w:color w:val="0070C0"/>
          <w:kern w:val="2"/>
        </w:rPr>
        <w:t>门窗洞口与外门窗框接缝是节能及防渗漏的薄弱环节，接缝处的气密性能、水密性能和保温性能直接影响外围护系统的性能指标。门窗框与墙体间的缝隙宜采用发泡聚氨酯填充;外墙防水层应延伸至门窗框，防水层与门窗框间应预留凹槽，应嵌填密封胶;门窗上框的外口应做滴水线;外窗台应设置不小于5%的外排水坡度。</w:t>
      </w:r>
    </w:p>
    <w:p>
      <w:pPr>
        <w:spacing w:line="360" w:lineRule="auto"/>
        <w:rPr>
          <w:color w:val="0070C0"/>
          <w:kern w:val="2"/>
          <w:sz w:val="24"/>
          <w:szCs w:val="24"/>
        </w:rPr>
      </w:pPr>
      <w:r>
        <w:rPr>
          <w:rFonts w:eastAsia="等线" w:cs="宋体"/>
          <w:b/>
          <w:color w:val="auto"/>
          <w:kern w:val="2"/>
          <w:sz w:val="24"/>
          <w:szCs w:val="24"/>
        </w:rPr>
        <w:t>7</w:t>
      </w:r>
      <w:r>
        <w:rPr>
          <w:rFonts w:hint="eastAsia" w:eastAsia="等线" w:cs="宋体"/>
          <w:b/>
          <w:color w:val="auto"/>
          <w:kern w:val="2"/>
          <w:sz w:val="24"/>
          <w:szCs w:val="24"/>
        </w:rPr>
        <w:t>.</w:t>
      </w:r>
      <w:r>
        <w:rPr>
          <w:rFonts w:eastAsia="等线" w:cs="宋体"/>
          <w:b/>
          <w:color w:val="auto"/>
          <w:kern w:val="2"/>
          <w:sz w:val="24"/>
          <w:szCs w:val="24"/>
        </w:rPr>
        <w:t>3.14</w:t>
      </w:r>
      <w:r>
        <w:rPr>
          <w:rFonts w:hint="eastAsia" w:ascii="宋体" w:hAnsi="宋体"/>
          <w:color w:val="auto"/>
          <w:sz w:val="24"/>
          <w:szCs w:val="24"/>
        </w:rPr>
        <w:t>外墙系统管线安装应符合以下规定：</w:t>
      </w:r>
      <w:bookmarkEnd w:id="95"/>
      <w:bookmarkEnd w:id="96"/>
    </w:p>
    <w:p>
      <w:pPr>
        <w:spacing w:line="360" w:lineRule="auto"/>
        <w:ind w:firstLine="480" w:firstLineChars="200"/>
        <w:rPr>
          <w:rFonts w:ascii="宋体" w:hAnsi="宋体" w:cs="仿宋_GB2312"/>
          <w:color w:val="auto"/>
          <w:sz w:val="24"/>
          <w:szCs w:val="24"/>
        </w:rPr>
      </w:pPr>
      <w:r>
        <w:rPr>
          <w:rFonts w:hint="eastAsia" w:ascii="宋体" w:hAnsi="宋体" w:cs="仿宋_GB2312"/>
          <w:color w:val="auto"/>
          <w:sz w:val="24"/>
          <w:szCs w:val="24"/>
        </w:rPr>
        <w:t>1</w:t>
      </w:r>
      <w:r>
        <w:rPr>
          <w:rFonts w:ascii="宋体" w:hAnsi="宋体" w:cs="仿宋_GB2312"/>
          <w:color w:val="auto"/>
          <w:sz w:val="24"/>
          <w:szCs w:val="24"/>
        </w:rPr>
        <w:t xml:space="preserve"> </w:t>
      </w:r>
      <w:r>
        <w:rPr>
          <w:rFonts w:hint="eastAsia" w:ascii="宋体" w:hAnsi="宋体" w:cs="仿宋_GB2312"/>
          <w:color w:val="auto"/>
          <w:sz w:val="24"/>
          <w:szCs w:val="24"/>
        </w:rPr>
        <w:t>设置在外墙系统中的户内管线，宜利用墙体空腔或结合户内装修装饰层设置，不得在施工现场开槽敷设，并应便于检修和更换。</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2 </w:t>
      </w:r>
      <w:r>
        <w:rPr>
          <w:rFonts w:hint="eastAsia" w:ascii="宋体" w:hAnsi="宋体" w:cs="仿宋_GB2312"/>
          <w:color w:val="auto"/>
          <w:sz w:val="24"/>
          <w:szCs w:val="24"/>
        </w:rPr>
        <w:t>穿越外墙系统的管线、洞口，应采取防水构造措施；穿越外墙系统的管线、洞口及有可能产生声桥和振动的部位，应采取隔声降噪等构造措施。</w:t>
      </w:r>
    </w:p>
    <w:p>
      <w:pPr>
        <w:spacing w:line="360" w:lineRule="auto"/>
        <w:rPr>
          <w:rFonts w:ascii="宋体" w:hAnsi="宋体"/>
          <w:b/>
          <w:color w:val="auto"/>
          <w:sz w:val="24"/>
          <w:szCs w:val="24"/>
        </w:rPr>
      </w:pPr>
      <w:bookmarkStart w:id="97" w:name="_Toc84835546"/>
      <w:bookmarkStart w:id="98" w:name="_Toc76376993"/>
      <w:r>
        <w:rPr>
          <w:rFonts w:eastAsia="等线" w:cs="宋体"/>
          <w:b/>
          <w:color w:val="auto"/>
          <w:kern w:val="2"/>
          <w:sz w:val="24"/>
          <w:szCs w:val="24"/>
        </w:rPr>
        <w:t>7.3.15</w:t>
      </w:r>
      <w:r>
        <w:rPr>
          <w:rFonts w:hint="eastAsia" w:ascii="宋体" w:hAnsi="宋体"/>
          <w:color w:val="auto"/>
          <w:sz w:val="24"/>
          <w:szCs w:val="24"/>
        </w:rPr>
        <w:t>外墙系统附属部（构）件应进行构造设计与承载力验算。建筑遮阳、雨蓬、空调板、栏杆、装饰件、雨水管等应与主体结构或外墙系统可靠连接，并应加强连接部位的保温防水构造。</w:t>
      </w:r>
      <w:bookmarkEnd w:id="97"/>
      <w:bookmarkEnd w:id="98"/>
    </w:p>
    <w:p>
      <w:pPr>
        <w:spacing w:line="360" w:lineRule="auto"/>
        <w:rPr>
          <w:rFonts w:ascii="宋体" w:hAnsi="宋体" w:cs="黑体"/>
          <w:bCs/>
          <w:color w:val="auto"/>
          <w:kern w:val="28"/>
          <w:sz w:val="24"/>
          <w:szCs w:val="24"/>
        </w:rPr>
      </w:pPr>
      <w:r>
        <w:rPr>
          <w:rFonts w:eastAsia="等线" w:cs="宋体"/>
          <w:b/>
          <w:color w:val="auto"/>
          <w:kern w:val="2"/>
          <w:sz w:val="24"/>
          <w:szCs w:val="24"/>
        </w:rPr>
        <w:t>7.3.16</w:t>
      </w:r>
      <w:r>
        <w:rPr>
          <w:rFonts w:hint="eastAsia" w:ascii="宋体" w:hAnsi="宋体" w:cs="黑体"/>
          <w:bCs/>
          <w:color w:val="auto"/>
          <w:kern w:val="28"/>
          <w:sz w:val="24"/>
          <w:szCs w:val="24"/>
        </w:rPr>
        <w:t>外墙系统装饰装修的更新不应影响墙体结构性能。外挂墙板的结构安全性和墙体裂缝防治措施应有试验或工程实践经验验证其可靠性。</w:t>
      </w:r>
    </w:p>
    <w:p>
      <w:pPr>
        <w:spacing w:line="360" w:lineRule="auto"/>
        <w:rPr>
          <w:color w:val="0070C0"/>
          <w:kern w:val="2"/>
        </w:rPr>
      </w:pPr>
      <w:r>
        <w:rPr>
          <w:rFonts w:hint="eastAsia" w:ascii="宋体" w:hAnsi="宋体" w:cs="黑体"/>
          <w:b/>
          <w:color w:val="auto"/>
        </w:rPr>
        <w:t>【条文说明】</w:t>
      </w:r>
      <w:r>
        <w:rPr>
          <w:rFonts w:hint="eastAsia" w:ascii="宋体" w:hAnsi="宋体" w:cs="黑体"/>
          <w:bCs/>
          <w:color w:val="auto"/>
        </w:rPr>
        <w:t>：</w:t>
      </w:r>
      <w:r>
        <w:rPr>
          <w:rFonts w:hint="eastAsia"/>
          <w:color w:val="0070C0"/>
          <w:kern w:val="2"/>
        </w:rPr>
        <w:t>外墙系统是钢结构住宅的关键技术，选择其墙板的必要条件是其耐久性。外装修或房间重新装修不得影响墙体的安全性。外墙板安装拼缝要有防止产生通缝的构造措施。另外，外墙挂板的连接节点要按幕墙技术要求进行设计和试验。</w:t>
      </w:r>
    </w:p>
    <w:p>
      <w:pPr>
        <w:pStyle w:val="3"/>
        <w:spacing w:line="360" w:lineRule="auto"/>
        <w:jc w:val="center"/>
        <w:rPr>
          <w:rFonts w:ascii="Times New Roman" w:hAnsi="Times New Roman" w:eastAsia="宋体" w:cs="Times New Roman"/>
          <w:color w:val="auto"/>
          <w:sz w:val="28"/>
          <w:szCs w:val="28"/>
        </w:rPr>
      </w:pPr>
      <w:bookmarkStart w:id="99" w:name="_Toc103958760"/>
      <w:bookmarkStart w:id="100" w:name="_Toc76376994"/>
      <w:r>
        <w:rPr>
          <w:rFonts w:ascii="Times New Roman" w:hAnsi="Times New Roman" w:eastAsia="宋体" w:cs="Times New Roman"/>
          <w:color w:val="auto"/>
          <w:sz w:val="28"/>
          <w:szCs w:val="28"/>
        </w:rPr>
        <w:t xml:space="preserve">7.4 </w:t>
      </w:r>
      <w:r>
        <w:rPr>
          <w:rFonts w:hint="eastAsia" w:ascii="Times New Roman" w:hAnsi="Times New Roman" w:eastAsia="宋体" w:cs="Times New Roman"/>
          <w:color w:val="auto"/>
          <w:sz w:val="28"/>
          <w:szCs w:val="28"/>
        </w:rPr>
        <w:t>内墙系统设计</w:t>
      </w:r>
      <w:bookmarkEnd w:id="99"/>
      <w:bookmarkEnd w:id="100"/>
    </w:p>
    <w:p>
      <w:pPr>
        <w:spacing w:line="360" w:lineRule="auto"/>
        <w:rPr>
          <w:rFonts w:ascii="宋体" w:hAnsi="宋体"/>
          <w:color w:val="auto"/>
          <w:sz w:val="24"/>
          <w:szCs w:val="24"/>
        </w:rPr>
      </w:pPr>
      <w:bookmarkStart w:id="101" w:name="_Toc76376995"/>
      <w:bookmarkStart w:id="102" w:name="_Toc84835548"/>
      <w:r>
        <w:rPr>
          <w:rFonts w:eastAsia="等线" w:cs="宋体"/>
          <w:b/>
          <w:color w:val="auto"/>
          <w:kern w:val="2"/>
          <w:sz w:val="24"/>
          <w:szCs w:val="24"/>
        </w:rPr>
        <w:t>7.4.1</w:t>
      </w:r>
      <w:r>
        <w:rPr>
          <w:rFonts w:hint="eastAsia" w:ascii="宋体" w:hAnsi="宋体"/>
          <w:color w:val="auto"/>
          <w:sz w:val="24"/>
          <w:szCs w:val="24"/>
        </w:rPr>
        <w:t xml:space="preserve"> 内墙系统设计应与装饰墙面、设备及管线系统进行一体化设计，宜采用干法施工为主的可分离连接以实现室内空间可变性，同时满足内装部品的连接、检修与更换。</w:t>
      </w:r>
      <w:bookmarkEnd w:id="101"/>
      <w:bookmarkEnd w:id="102"/>
    </w:p>
    <w:p>
      <w:pPr>
        <w:spacing w:line="360" w:lineRule="auto"/>
        <w:rPr>
          <w:color w:val="0070C0"/>
          <w:kern w:val="2"/>
        </w:rPr>
      </w:pPr>
      <w:r>
        <w:rPr>
          <w:rFonts w:hint="eastAsia" w:ascii="宋体" w:hAnsi="宋体" w:cs="黑体"/>
          <w:b/>
          <w:color w:val="auto"/>
        </w:rPr>
        <w:t>【条文说明】</w:t>
      </w:r>
      <w:r>
        <w:rPr>
          <w:rFonts w:hint="eastAsia" w:ascii="宋体" w:hAnsi="宋体" w:cs="黑体"/>
          <w:bCs/>
          <w:color w:val="auto"/>
        </w:rPr>
        <w:t>：</w:t>
      </w:r>
      <w:r>
        <w:rPr>
          <w:rFonts w:hint="eastAsia"/>
          <w:color w:val="0070C0"/>
          <w:kern w:val="2"/>
        </w:rPr>
        <w:t>钢结构住宅内墙系统设计应考虑后期改造更新时不影响建筑主体结构的安全性，因此采用干式工法和管线分离的方式，同时考虑内装系统及设备管线的维修更换，保证建筑的长期使用价值。</w:t>
      </w:r>
    </w:p>
    <w:p>
      <w:pPr>
        <w:spacing w:line="360" w:lineRule="auto"/>
        <w:rPr>
          <w:rFonts w:ascii="宋体" w:hAnsi="宋体"/>
          <w:color w:val="auto"/>
          <w:sz w:val="24"/>
          <w:szCs w:val="24"/>
        </w:rPr>
      </w:pPr>
      <w:bookmarkStart w:id="103" w:name="_Toc76376996"/>
      <w:bookmarkStart w:id="104" w:name="_Toc84835549"/>
      <w:r>
        <w:rPr>
          <w:rFonts w:eastAsia="等线" w:cs="宋体"/>
          <w:b/>
          <w:color w:val="auto"/>
          <w:kern w:val="2"/>
          <w:sz w:val="24"/>
          <w:szCs w:val="24"/>
        </w:rPr>
        <w:t>7.4.2</w:t>
      </w:r>
      <w:r>
        <w:rPr>
          <w:rFonts w:hint="eastAsia" w:ascii="宋体" w:hAnsi="宋体"/>
          <w:color w:val="auto"/>
          <w:sz w:val="24"/>
          <w:szCs w:val="24"/>
        </w:rPr>
        <w:t>钢结构住宅内墙系统材料应满足轻质、高强、防火、隔声的要求，卫生间和厨房隔墙应满足防潮要求，并应根据钢结构住宅的特点选用标准化、产业化、装配化的材料。</w:t>
      </w:r>
      <w:bookmarkEnd w:id="103"/>
      <w:bookmarkEnd w:id="104"/>
    </w:p>
    <w:p>
      <w:pPr>
        <w:spacing w:line="360" w:lineRule="auto"/>
        <w:rPr>
          <w:color w:val="0070C0"/>
          <w:kern w:val="2"/>
        </w:rPr>
      </w:pPr>
      <w:r>
        <w:rPr>
          <w:rFonts w:hint="eastAsia" w:ascii="宋体" w:hAnsi="宋体" w:cs="黑体"/>
          <w:b/>
          <w:color w:val="auto"/>
        </w:rPr>
        <w:t>【条文说明】</w:t>
      </w:r>
      <w:r>
        <w:rPr>
          <w:rFonts w:hint="eastAsia" w:ascii="宋体" w:hAnsi="宋体" w:cs="黑体"/>
          <w:bCs/>
          <w:color w:val="auto"/>
        </w:rPr>
        <w:t>：</w:t>
      </w:r>
      <w:r>
        <w:rPr>
          <w:rFonts w:hint="eastAsia"/>
          <w:color w:val="0070C0"/>
          <w:kern w:val="2"/>
        </w:rPr>
        <w:t>钢结构住宅采用装配式轻质内墙，既可利用轻质隔墙的空腔敷设管线，有利于工业化建造施工与管理，也有利于后期空间的灵活改造和使用维护。隔墙内的防火、保温、隔声填充材料宜选用岩棉、玻璃棉等不燃材料；</w:t>
      </w:r>
    </w:p>
    <w:p>
      <w:pPr>
        <w:spacing w:line="360" w:lineRule="auto"/>
        <w:rPr>
          <w:rFonts w:ascii="宋体" w:hAnsi="宋体"/>
          <w:color w:val="auto"/>
          <w:sz w:val="24"/>
          <w:szCs w:val="24"/>
        </w:rPr>
      </w:pPr>
      <w:r>
        <w:rPr>
          <w:rFonts w:hint="eastAsia" w:eastAsia="等线" w:cs="宋体"/>
          <w:b/>
          <w:color w:val="auto"/>
          <w:kern w:val="2"/>
          <w:sz w:val="24"/>
          <w:szCs w:val="24"/>
        </w:rPr>
        <w:t>7</w:t>
      </w:r>
      <w:r>
        <w:rPr>
          <w:rFonts w:eastAsia="等线" w:cs="宋体"/>
          <w:b/>
          <w:color w:val="auto"/>
          <w:kern w:val="2"/>
          <w:sz w:val="24"/>
          <w:szCs w:val="24"/>
        </w:rPr>
        <w:t xml:space="preserve">.4.3 </w:t>
      </w:r>
      <w:r>
        <w:rPr>
          <w:rFonts w:hint="eastAsia" w:ascii="宋体" w:hAnsi="宋体"/>
          <w:color w:val="auto"/>
          <w:sz w:val="24"/>
          <w:szCs w:val="24"/>
        </w:rPr>
        <w:t>内墙系统应提高装配化程度，应采用龙骨类内墙、轻质水泥基板类内墙或轻质复合板类内墙等非砌筑墙体，并应符合相应国家现行规范。</w:t>
      </w:r>
    </w:p>
    <w:p>
      <w:pPr>
        <w:spacing w:line="360" w:lineRule="auto"/>
        <w:rPr>
          <w:rFonts w:ascii="宋体" w:hAnsi="宋体" w:cs="仿宋_GB2312"/>
          <w:b/>
          <w:color w:val="auto"/>
          <w:sz w:val="24"/>
          <w:szCs w:val="24"/>
        </w:rPr>
      </w:pPr>
      <w:bookmarkStart w:id="105" w:name="_Toc76377000"/>
      <w:bookmarkStart w:id="106" w:name="_Toc84835553"/>
      <w:r>
        <w:rPr>
          <w:rFonts w:eastAsia="等线" w:cs="宋体"/>
          <w:b/>
          <w:color w:val="auto"/>
          <w:kern w:val="2"/>
          <w:sz w:val="24"/>
          <w:szCs w:val="24"/>
        </w:rPr>
        <w:t>7.4.4</w:t>
      </w:r>
      <w:r>
        <w:rPr>
          <w:rFonts w:hint="eastAsia" w:ascii="宋体" w:hAnsi="宋体"/>
          <w:color w:val="auto"/>
          <w:sz w:val="24"/>
          <w:szCs w:val="24"/>
        </w:rPr>
        <w:t>内墙系统接缝材料</w:t>
      </w:r>
      <w:r>
        <w:rPr>
          <w:rFonts w:hint="eastAsia" w:ascii="宋体" w:hAnsi="宋体" w:cs="仿宋_GB2312"/>
          <w:color w:val="auto"/>
          <w:sz w:val="24"/>
          <w:szCs w:val="24"/>
        </w:rPr>
        <w:t>应根据内墙板材料、结构层间位移、温度变形综合因素确定；选用的接缝材料应满足防水、防渗、抗裂、耐久等要求；用于内墙接缝处的密封、嵌缝、粘结及防裂增强材料的性能应与内墙材料性能具有相容性；内墙板在正常使用状况下，接缝材料不应发生破坏。</w:t>
      </w:r>
      <w:bookmarkEnd w:id="105"/>
      <w:bookmarkEnd w:id="106"/>
    </w:p>
    <w:p>
      <w:pPr>
        <w:spacing w:line="360" w:lineRule="auto"/>
        <w:rPr>
          <w:rFonts w:ascii="宋体" w:hAnsi="宋体"/>
          <w:b/>
          <w:color w:val="auto"/>
          <w:sz w:val="24"/>
          <w:szCs w:val="24"/>
        </w:rPr>
      </w:pPr>
      <w:bookmarkStart w:id="107" w:name="_Toc84835555"/>
      <w:bookmarkStart w:id="108" w:name="_Toc76377002"/>
      <w:r>
        <w:rPr>
          <w:rFonts w:eastAsia="等线" w:cs="宋体"/>
          <w:b/>
          <w:color w:val="auto"/>
          <w:kern w:val="2"/>
          <w:sz w:val="24"/>
          <w:szCs w:val="24"/>
        </w:rPr>
        <w:t>7.4.5</w:t>
      </w:r>
      <w:r>
        <w:rPr>
          <w:rFonts w:hint="eastAsia" w:ascii="宋体" w:hAnsi="宋体"/>
          <w:color w:val="auto"/>
          <w:sz w:val="24"/>
          <w:szCs w:val="24"/>
        </w:rPr>
        <w:t>内墙系统与主体结构连接应符合以下规定：</w:t>
      </w:r>
      <w:bookmarkEnd w:id="107"/>
      <w:bookmarkEnd w:id="108"/>
    </w:p>
    <w:p>
      <w:pPr>
        <w:spacing w:line="360" w:lineRule="auto"/>
        <w:ind w:firstLine="480" w:firstLineChars="200"/>
        <w:rPr>
          <w:rFonts w:ascii="宋体" w:hAnsi="宋体" w:cs="仿宋_GB2312"/>
          <w:color w:val="auto"/>
          <w:sz w:val="24"/>
          <w:szCs w:val="24"/>
        </w:rPr>
      </w:pPr>
      <w:r>
        <w:rPr>
          <w:rFonts w:hint="eastAsia" w:ascii="宋体" w:hAnsi="宋体" w:cs="仿宋_GB2312"/>
          <w:color w:val="auto"/>
          <w:sz w:val="24"/>
          <w:szCs w:val="24"/>
        </w:rPr>
        <w:t>1</w:t>
      </w:r>
      <w:r>
        <w:rPr>
          <w:rFonts w:ascii="宋体" w:hAnsi="宋体" w:cs="仿宋_GB2312"/>
          <w:color w:val="auto"/>
          <w:sz w:val="24"/>
          <w:szCs w:val="24"/>
        </w:rPr>
        <w:t xml:space="preserve"> </w:t>
      </w:r>
      <w:r>
        <w:rPr>
          <w:rFonts w:hint="eastAsia" w:ascii="宋体" w:hAnsi="宋体" w:cs="仿宋_GB2312"/>
          <w:color w:val="auto"/>
          <w:sz w:val="24"/>
          <w:szCs w:val="24"/>
        </w:rPr>
        <w:t>内墙与主体结构连接可靠，不应影响主体结构的整体稳定和使用安全，在地震时不应脱落；</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2 </w:t>
      </w:r>
      <w:r>
        <w:rPr>
          <w:rFonts w:hint="eastAsia" w:ascii="宋体" w:hAnsi="宋体" w:cs="仿宋_GB2312"/>
          <w:color w:val="auto"/>
          <w:sz w:val="24"/>
          <w:szCs w:val="24"/>
        </w:rPr>
        <w:t>内墙应设置相应连接件与主体结构连接固定，并应设置变形空间，分户墙的变形空间应采用轻质防火材料填充。分户内隔墙宜采用双层墙板并错缝布置。</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3 </w:t>
      </w:r>
      <w:r>
        <w:rPr>
          <w:rFonts w:hint="eastAsia" w:ascii="宋体" w:hAnsi="宋体" w:cs="仿宋_GB2312"/>
          <w:color w:val="auto"/>
          <w:sz w:val="24"/>
          <w:szCs w:val="24"/>
        </w:rPr>
        <w:t>对于内墙部位的梁、柱及其它钢构件，宜进行整体性包覆处理，满足装饰、防火、隔声等要求。</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4 </w:t>
      </w:r>
      <w:r>
        <w:rPr>
          <w:rFonts w:hint="eastAsia" w:ascii="宋体" w:hAnsi="宋体" w:cs="仿宋_GB2312"/>
          <w:color w:val="auto"/>
          <w:sz w:val="24"/>
          <w:szCs w:val="24"/>
        </w:rPr>
        <w:t>有防水要求的轻质隔墙，应采用防水防潮措施，宜设置高度不小于3</w:t>
      </w:r>
      <w:r>
        <w:rPr>
          <w:rFonts w:ascii="宋体" w:hAnsi="宋体" w:cs="仿宋_GB2312"/>
          <w:color w:val="auto"/>
          <w:sz w:val="24"/>
          <w:szCs w:val="24"/>
        </w:rPr>
        <w:t>00</w:t>
      </w:r>
      <w:r>
        <w:rPr>
          <w:rFonts w:hint="eastAsia" w:ascii="宋体" w:hAnsi="宋体" w:cs="仿宋_GB2312"/>
          <w:color w:val="auto"/>
          <w:sz w:val="24"/>
          <w:szCs w:val="24"/>
        </w:rPr>
        <w:t>mm的混凝土条形反坎，且应做泛水处理；有水淋到的浴室墙面，防水层高度不应小于</w:t>
      </w:r>
      <w:r>
        <w:rPr>
          <w:rFonts w:ascii="宋体" w:hAnsi="宋体" w:cs="仿宋_GB2312"/>
          <w:color w:val="auto"/>
          <w:sz w:val="24"/>
          <w:szCs w:val="24"/>
        </w:rPr>
        <w:t>2000</w:t>
      </w:r>
      <w:r>
        <w:rPr>
          <w:rFonts w:hint="eastAsia" w:ascii="宋体" w:hAnsi="宋体" w:cs="仿宋_GB2312"/>
          <w:color w:val="auto"/>
          <w:sz w:val="24"/>
          <w:szCs w:val="24"/>
        </w:rPr>
        <w:t>mm。</w:t>
      </w:r>
    </w:p>
    <w:p>
      <w:pPr>
        <w:spacing w:line="360" w:lineRule="auto"/>
        <w:rPr>
          <w:rFonts w:ascii="宋体" w:hAnsi="宋体"/>
          <w:b/>
          <w:color w:val="auto"/>
          <w:sz w:val="24"/>
          <w:szCs w:val="24"/>
        </w:rPr>
      </w:pPr>
      <w:bookmarkStart w:id="109" w:name="_Toc76377003"/>
      <w:bookmarkStart w:id="110" w:name="_Toc84835556"/>
      <w:r>
        <w:rPr>
          <w:rFonts w:eastAsia="等线" w:cs="宋体"/>
          <w:b/>
          <w:color w:val="auto"/>
          <w:kern w:val="2"/>
          <w:sz w:val="24"/>
          <w:szCs w:val="24"/>
        </w:rPr>
        <w:t>7.4.6</w:t>
      </w:r>
      <w:r>
        <w:rPr>
          <w:rFonts w:hint="eastAsia" w:ascii="宋体" w:hAnsi="宋体"/>
          <w:color w:val="auto"/>
          <w:sz w:val="24"/>
          <w:szCs w:val="24"/>
        </w:rPr>
        <w:t>内墙系统连接缝应符合以下规定：</w:t>
      </w:r>
      <w:bookmarkEnd w:id="109"/>
      <w:bookmarkEnd w:id="110"/>
    </w:p>
    <w:p>
      <w:pPr>
        <w:spacing w:line="360" w:lineRule="auto"/>
        <w:ind w:firstLine="480" w:firstLineChars="200"/>
        <w:rPr>
          <w:rFonts w:ascii="宋体" w:hAnsi="宋体" w:cs="仿宋_GB2312"/>
          <w:color w:val="auto"/>
          <w:sz w:val="24"/>
          <w:szCs w:val="24"/>
        </w:rPr>
      </w:pPr>
      <w:r>
        <w:rPr>
          <w:rFonts w:hint="eastAsia" w:ascii="宋体" w:hAnsi="宋体" w:cs="仿宋_GB2312"/>
          <w:color w:val="auto"/>
          <w:sz w:val="24"/>
          <w:szCs w:val="24"/>
        </w:rPr>
        <w:t>1</w:t>
      </w:r>
      <w:r>
        <w:rPr>
          <w:rFonts w:ascii="宋体" w:hAnsi="宋体" w:cs="仿宋_GB2312"/>
          <w:color w:val="auto"/>
          <w:sz w:val="24"/>
          <w:szCs w:val="24"/>
        </w:rPr>
        <w:t xml:space="preserve"> </w:t>
      </w:r>
      <w:r>
        <w:rPr>
          <w:rFonts w:hint="eastAsia" w:ascii="宋体" w:hAnsi="宋体" w:cs="仿宋_GB2312"/>
          <w:color w:val="auto"/>
          <w:sz w:val="24"/>
          <w:szCs w:val="24"/>
        </w:rPr>
        <w:t>内墙板顶部及侧边与墙、柱、梁、楼板交接部位两侧纵向和横向构造缝宜取10-20mm。</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2 </w:t>
      </w:r>
      <w:r>
        <w:rPr>
          <w:rFonts w:hint="eastAsia" w:ascii="宋体" w:hAnsi="宋体" w:cs="仿宋_GB2312"/>
          <w:color w:val="auto"/>
          <w:sz w:val="24"/>
          <w:szCs w:val="24"/>
        </w:rPr>
        <w:t>内墙板底部与基础、楼板交接部位的横向分离缝宜取20-30mm。</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3 </w:t>
      </w:r>
      <w:r>
        <w:rPr>
          <w:rFonts w:hint="eastAsia" w:ascii="宋体" w:hAnsi="宋体" w:cs="仿宋_GB2312"/>
          <w:color w:val="auto"/>
          <w:sz w:val="24"/>
          <w:szCs w:val="24"/>
        </w:rPr>
        <w:t>当采用轻质条板做内隔墙时，板与板之间的平缝拼接时板缝宽度不应大于5mm，安装时应以缝隙间挤出砂浆为宜。</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4 </w:t>
      </w:r>
      <w:r>
        <w:rPr>
          <w:rFonts w:hint="eastAsia" w:ascii="宋体" w:hAnsi="宋体" w:cs="仿宋_GB2312"/>
          <w:color w:val="auto"/>
          <w:sz w:val="24"/>
          <w:szCs w:val="24"/>
        </w:rPr>
        <w:t>不同材质墙体间的板缝应采用弹性密封材料并采用玻纤网格布或钢板网进行抗裂处理。</w:t>
      </w:r>
    </w:p>
    <w:p>
      <w:pPr>
        <w:spacing w:line="360" w:lineRule="auto"/>
        <w:ind w:firstLine="480" w:firstLineChars="200"/>
        <w:rPr>
          <w:rFonts w:ascii="宋体" w:hAnsi="宋体" w:cs="仿宋_GB2312"/>
          <w:color w:val="auto"/>
          <w:sz w:val="24"/>
          <w:szCs w:val="24"/>
        </w:rPr>
      </w:pPr>
      <w:r>
        <w:rPr>
          <w:rFonts w:hint="eastAsia" w:ascii="宋体" w:hAnsi="宋体" w:cs="仿宋_GB2312"/>
          <w:color w:val="auto"/>
          <w:sz w:val="24"/>
          <w:szCs w:val="24"/>
        </w:rPr>
        <w:t>5</w:t>
      </w:r>
      <w:r>
        <w:rPr>
          <w:rFonts w:ascii="宋体" w:hAnsi="宋体" w:cs="仿宋_GB2312"/>
          <w:color w:val="auto"/>
          <w:sz w:val="24"/>
          <w:szCs w:val="24"/>
        </w:rPr>
        <w:t xml:space="preserve"> </w:t>
      </w:r>
    </w:p>
    <w:p>
      <w:pPr>
        <w:spacing w:line="360" w:lineRule="auto"/>
        <w:rPr>
          <w:rFonts w:ascii="宋体" w:hAnsi="宋体"/>
          <w:b/>
          <w:color w:val="auto"/>
          <w:sz w:val="24"/>
          <w:szCs w:val="24"/>
        </w:rPr>
      </w:pPr>
      <w:bookmarkStart w:id="111" w:name="_Toc76377004"/>
      <w:bookmarkStart w:id="112" w:name="_Toc84835557"/>
      <w:r>
        <w:rPr>
          <w:rFonts w:eastAsia="等线" w:cs="宋体"/>
          <w:b/>
          <w:color w:val="auto"/>
          <w:kern w:val="2"/>
          <w:sz w:val="24"/>
          <w:szCs w:val="24"/>
        </w:rPr>
        <w:t>7.4.7</w:t>
      </w:r>
      <w:r>
        <w:rPr>
          <w:rFonts w:hint="eastAsia" w:ascii="宋体" w:hAnsi="宋体"/>
          <w:color w:val="auto"/>
          <w:sz w:val="24"/>
          <w:szCs w:val="24"/>
        </w:rPr>
        <w:t>内墙系统的门窗应符合以下规定：</w:t>
      </w:r>
      <w:bookmarkEnd w:id="111"/>
      <w:bookmarkEnd w:id="112"/>
    </w:p>
    <w:p>
      <w:pPr>
        <w:spacing w:line="360" w:lineRule="auto"/>
        <w:ind w:firstLine="480" w:firstLineChars="200"/>
        <w:rPr>
          <w:rFonts w:ascii="宋体" w:hAnsi="宋体" w:cs="仿宋_GB2312"/>
          <w:color w:val="auto"/>
          <w:sz w:val="24"/>
          <w:szCs w:val="24"/>
        </w:rPr>
      </w:pPr>
      <w:r>
        <w:rPr>
          <w:rFonts w:hint="eastAsia" w:ascii="宋体" w:hAnsi="宋体" w:cs="仿宋_GB2312"/>
          <w:color w:val="auto"/>
          <w:sz w:val="24"/>
          <w:szCs w:val="24"/>
        </w:rPr>
        <w:t>1</w:t>
      </w:r>
      <w:r>
        <w:rPr>
          <w:rFonts w:ascii="宋体" w:hAnsi="宋体" w:cs="仿宋_GB2312"/>
          <w:color w:val="auto"/>
          <w:sz w:val="24"/>
          <w:szCs w:val="24"/>
        </w:rPr>
        <w:t xml:space="preserve"> </w:t>
      </w:r>
      <w:r>
        <w:rPr>
          <w:rFonts w:hint="eastAsia" w:ascii="宋体" w:hAnsi="宋体" w:cs="仿宋_GB2312"/>
          <w:color w:val="auto"/>
          <w:sz w:val="24"/>
          <w:szCs w:val="24"/>
        </w:rPr>
        <w:t>内门窗宜采用与墙面、地面、天花板一体化设计，门窗宜选用成套化、模块化、易更换的内装部品。</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2 </w:t>
      </w:r>
      <w:r>
        <w:rPr>
          <w:rFonts w:hint="eastAsia" w:ascii="宋体" w:hAnsi="宋体" w:cs="仿宋_GB2312"/>
          <w:color w:val="auto"/>
          <w:sz w:val="24"/>
          <w:szCs w:val="24"/>
        </w:rPr>
        <w:t>内门窗设计宜采用通高规格的标准模块化方式，门窗模块独立固定在原结构楼板和梁上，与相邻内隔墙采用弱连接。门框、窗框与墙体连接应满足可靠、牢固、安装方便的要求，并宜选用工厂化门窗套进行门窗收口。</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3 </w:t>
      </w:r>
      <w:r>
        <w:rPr>
          <w:rFonts w:hint="eastAsia" w:ascii="宋体" w:hAnsi="宋体" w:cs="仿宋_GB2312"/>
          <w:color w:val="auto"/>
          <w:sz w:val="24"/>
          <w:szCs w:val="24"/>
        </w:rPr>
        <w:t>在选用轻质条板做内墙时，门窗洞口应选用门窗框板、门窗洞口预制混凝土柱、预埋件、门框套板、过梁板或采用固定件等加固措施。</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4 </w:t>
      </w:r>
      <w:r>
        <w:rPr>
          <w:rFonts w:hint="eastAsia" w:ascii="宋体" w:hAnsi="宋体" w:cs="仿宋_GB2312"/>
          <w:color w:val="auto"/>
          <w:sz w:val="24"/>
          <w:szCs w:val="24"/>
        </w:rPr>
        <w:t>内墙内门窗应满足室内防火、隔声、防水、隔热保温等要求。</w:t>
      </w:r>
    </w:p>
    <w:p>
      <w:pPr>
        <w:spacing w:line="360" w:lineRule="auto"/>
        <w:ind w:firstLine="480" w:firstLineChars="200"/>
        <w:rPr>
          <w:rFonts w:ascii="宋体" w:hAnsi="宋体"/>
          <w:color w:val="auto"/>
          <w:sz w:val="24"/>
          <w:szCs w:val="24"/>
        </w:rPr>
      </w:pPr>
      <w:r>
        <w:rPr>
          <w:rFonts w:hint="eastAsia" w:ascii="宋体" w:hAnsi="宋体"/>
          <w:color w:val="auto"/>
          <w:sz w:val="24"/>
          <w:szCs w:val="24"/>
        </w:rPr>
        <w:t>5内门窗洞口宜为1M的整数倍，各功能空间内门洞口的优先尺寸可按表</w:t>
      </w:r>
      <w:r>
        <w:rPr>
          <w:rFonts w:ascii="宋体" w:hAnsi="宋体"/>
          <w:color w:val="auto"/>
          <w:sz w:val="24"/>
          <w:szCs w:val="24"/>
        </w:rPr>
        <w:t>7</w:t>
      </w:r>
      <w:r>
        <w:rPr>
          <w:rFonts w:hint="eastAsia" w:ascii="宋体" w:hAnsi="宋体"/>
          <w:color w:val="auto"/>
          <w:sz w:val="24"/>
          <w:szCs w:val="24"/>
        </w:rPr>
        <w:t>.</w:t>
      </w:r>
      <w:r>
        <w:rPr>
          <w:rFonts w:ascii="宋体" w:hAnsi="宋体"/>
          <w:color w:val="auto"/>
          <w:sz w:val="24"/>
          <w:szCs w:val="24"/>
        </w:rPr>
        <w:t>4.7</w:t>
      </w:r>
      <w:r>
        <w:rPr>
          <w:rFonts w:hint="eastAsia" w:ascii="宋体" w:hAnsi="宋体"/>
          <w:color w:val="auto"/>
          <w:sz w:val="24"/>
          <w:szCs w:val="24"/>
        </w:rPr>
        <w:t>采用。</w:t>
      </w:r>
    </w:p>
    <w:p>
      <w:pPr>
        <w:spacing w:line="360" w:lineRule="auto"/>
        <w:jc w:val="center"/>
        <w:rPr>
          <w:rFonts w:ascii="宋体" w:hAnsi="宋体"/>
          <w:color w:val="auto"/>
          <w:sz w:val="24"/>
          <w:szCs w:val="24"/>
        </w:rPr>
      </w:pPr>
      <w:r>
        <w:rPr>
          <w:rFonts w:hint="eastAsia" w:ascii="宋体" w:hAnsi="宋体"/>
          <w:color w:val="auto"/>
          <w:sz w:val="24"/>
          <w:szCs w:val="24"/>
        </w:rPr>
        <w:t>表</w:t>
      </w:r>
      <w:r>
        <w:rPr>
          <w:rFonts w:ascii="宋体" w:hAnsi="宋体"/>
          <w:color w:val="auto"/>
          <w:sz w:val="24"/>
          <w:szCs w:val="24"/>
        </w:rPr>
        <w:t>7</w:t>
      </w:r>
      <w:r>
        <w:rPr>
          <w:rFonts w:hint="eastAsia" w:ascii="宋体" w:hAnsi="宋体"/>
          <w:color w:val="auto"/>
          <w:sz w:val="24"/>
          <w:szCs w:val="24"/>
        </w:rPr>
        <w:t>.</w:t>
      </w:r>
      <w:r>
        <w:rPr>
          <w:rFonts w:ascii="宋体" w:hAnsi="宋体"/>
          <w:color w:val="auto"/>
          <w:sz w:val="24"/>
          <w:szCs w:val="24"/>
        </w:rPr>
        <w:t>4</w:t>
      </w:r>
      <w:r>
        <w:rPr>
          <w:rFonts w:hint="eastAsia" w:ascii="宋体" w:hAnsi="宋体"/>
          <w:color w:val="auto"/>
          <w:sz w:val="24"/>
          <w:szCs w:val="24"/>
        </w:rPr>
        <w:t>.7 内隔墙门洞口的优先尺寸(mm)</w:t>
      </w:r>
    </w:p>
    <w:tbl>
      <w:tblPr>
        <w:tblStyle w:val="17"/>
        <w:tblW w:w="8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5"/>
        <w:gridCol w:w="4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3975" w:type="dxa"/>
            <w:vAlign w:val="center"/>
          </w:tcPr>
          <w:p>
            <w:pPr>
              <w:spacing w:line="360" w:lineRule="auto"/>
              <w:rPr>
                <w:rFonts w:ascii="宋体" w:hAnsi="宋体"/>
                <w:color w:val="auto"/>
              </w:rPr>
            </w:pPr>
            <w:r>
              <w:rPr>
                <w:rFonts w:hint="eastAsia" w:ascii="宋体" w:hAnsi="宋体"/>
                <w:color w:val="auto"/>
              </w:rPr>
              <w:t>项目</w:t>
            </w:r>
          </w:p>
        </w:tc>
        <w:tc>
          <w:tcPr>
            <w:tcW w:w="4305" w:type="dxa"/>
            <w:vAlign w:val="center"/>
          </w:tcPr>
          <w:p>
            <w:pPr>
              <w:spacing w:line="360" w:lineRule="auto"/>
              <w:rPr>
                <w:rFonts w:ascii="宋体" w:hAnsi="宋体"/>
                <w:color w:val="auto"/>
              </w:rPr>
            </w:pPr>
            <w:r>
              <w:rPr>
                <w:rFonts w:hint="eastAsia" w:ascii="宋体" w:hAnsi="宋体"/>
                <w:color w:val="auto"/>
              </w:rPr>
              <w:t>优先尺寸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975" w:type="dxa"/>
            <w:vAlign w:val="center"/>
          </w:tcPr>
          <w:p>
            <w:pPr>
              <w:spacing w:line="360" w:lineRule="auto"/>
              <w:rPr>
                <w:rFonts w:ascii="宋体" w:hAnsi="宋体"/>
                <w:color w:val="auto"/>
              </w:rPr>
            </w:pPr>
            <w:r>
              <w:rPr>
                <w:rFonts w:hint="eastAsia" w:ascii="宋体" w:hAnsi="宋体"/>
                <w:color w:val="auto"/>
              </w:rPr>
              <w:t>起居室门洞口</w:t>
            </w:r>
            <w:r>
              <w:rPr>
                <w:rFonts w:ascii="宋体" w:hAnsi="宋体"/>
                <w:color w:val="auto"/>
              </w:rPr>
              <w:t>宽度</w:t>
            </w:r>
          </w:p>
        </w:tc>
        <w:tc>
          <w:tcPr>
            <w:tcW w:w="4305" w:type="dxa"/>
            <w:vAlign w:val="center"/>
          </w:tcPr>
          <w:p>
            <w:pPr>
              <w:spacing w:line="360" w:lineRule="auto"/>
              <w:rPr>
                <w:rFonts w:ascii="宋体" w:hAnsi="宋体"/>
                <w:color w:val="auto"/>
              </w:rPr>
            </w:pPr>
            <w:r>
              <w:rPr>
                <w:rFonts w:hint="eastAsia" w:ascii="宋体" w:hAnsi="宋体"/>
                <w:color w:val="auto"/>
              </w:rPr>
              <w:t>9</w:t>
            </w:r>
            <w:r>
              <w:rPr>
                <w:rFonts w:ascii="宋体" w:hAnsi="宋体"/>
                <w:color w:val="auto"/>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3975" w:type="dxa"/>
            <w:vAlign w:val="center"/>
          </w:tcPr>
          <w:p>
            <w:pPr>
              <w:spacing w:line="360" w:lineRule="auto"/>
              <w:rPr>
                <w:rFonts w:ascii="宋体" w:hAnsi="宋体"/>
                <w:color w:val="auto"/>
              </w:rPr>
            </w:pPr>
            <w:r>
              <w:rPr>
                <w:rFonts w:hint="eastAsia" w:ascii="宋体" w:hAnsi="宋体"/>
                <w:color w:val="auto"/>
              </w:rPr>
              <w:t>卧室门洞口</w:t>
            </w:r>
            <w:r>
              <w:rPr>
                <w:rFonts w:ascii="宋体" w:hAnsi="宋体"/>
                <w:color w:val="auto"/>
              </w:rPr>
              <w:t>宽度</w:t>
            </w:r>
          </w:p>
        </w:tc>
        <w:tc>
          <w:tcPr>
            <w:tcW w:w="4305" w:type="dxa"/>
            <w:vAlign w:val="center"/>
          </w:tcPr>
          <w:p>
            <w:pPr>
              <w:spacing w:line="360" w:lineRule="auto"/>
              <w:rPr>
                <w:rFonts w:ascii="宋体" w:hAnsi="宋体"/>
                <w:color w:val="auto"/>
              </w:rPr>
            </w:pPr>
            <w:r>
              <w:rPr>
                <w:rFonts w:ascii="宋体" w:hAnsi="宋体"/>
                <w:color w:val="auto"/>
              </w:rPr>
              <w:t>9</w:t>
            </w:r>
            <w:r>
              <w:rPr>
                <w:rFonts w:hint="eastAsia" w:ascii="宋体" w:hAnsi="宋体"/>
                <w:color w:val="auto"/>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5" w:type="dxa"/>
            <w:vAlign w:val="center"/>
          </w:tcPr>
          <w:p>
            <w:pPr>
              <w:spacing w:line="360" w:lineRule="auto"/>
              <w:rPr>
                <w:rFonts w:ascii="宋体" w:hAnsi="宋体"/>
                <w:color w:val="auto"/>
              </w:rPr>
            </w:pPr>
            <w:r>
              <w:rPr>
                <w:rFonts w:ascii="宋体" w:hAnsi="宋体"/>
                <w:color w:val="auto"/>
              </w:rPr>
              <w:t>厨房门</w:t>
            </w:r>
            <w:r>
              <w:rPr>
                <w:rFonts w:hint="eastAsia" w:ascii="宋体" w:hAnsi="宋体"/>
                <w:color w:val="auto"/>
              </w:rPr>
              <w:t>洞口</w:t>
            </w:r>
            <w:r>
              <w:rPr>
                <w:rFonts w:ascii="宋体" w:hAnsi="宋体"/>
                <w:color w:val="auto"/>
              </w:rPr>
              <w:t>宽度</w:t>
            </w:r>
          </w:p>
        </w:tc>
        <w:tc>
          <w:tcPr>
            <w:tcW w:w="4305" w:type="dxa"/>
            <w:vAlign w:val="center"/>
          </w:tcPr>
          <w:p>
            <w:pPr>
              <w:spacing w:line="360" w:lineRule="auto"/>
              <w:rPr>
                <w:rFonts w:ascii="宋体" w:hAnsi="宋体"/>
                <w:color w:val="auto"/>
              </w:rPr>
            </w:pPr>
            <w:r>
              <w:rPr>
                <w:rFonts w:ascii="宋体" w:hAnsi="宋体"/>
                <w:color w:val="auto"/>
              </w:rPr>
              <w:t>800</w:t>
            </w:r>
            <w:r>
              <w:rPr>
                <w:rFonts w:hint="eastAsia" w:ascii="宋体" w:hAnsi="宋体"/>
                <w:color w:val="auto"/>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975" w:type="dxa"/>
            <w:vAlign w:val="center"/>
          </w:tcPr>
          <w:p>
            <w:pPr>
              <w:spacing w:line="360" w:lineRule="auto"/>
              <w:rPr>
                <w:rFonts w:ascii="宋体" w:hAnsi="宋体"/>
                <w:color w:val="auto"/>
              </w:rPr>
            </w:pPr>
            <w:r>
              <w:rPr>
                <w:rFonts w:ascii="宋体" w:hAnsi="宋体"/>
                <w:color w:val="auto"/>
              </w:rPr>
              <w:t>卫生间门</w:t>
            </w:r>
            <w:r>
              <w:rPr>
                <w:rFonts w:hint="eastAsia" w:ascii="宋体" w:hAnsi="宋体"/>
                <w:color w:val="auto"/>
              </w:rPr>
              <w:t>洞口</w:t>
            </w:r>
            <w:r>
              <w:rPr>
                <w:rFonts w:ascii="宋体" w:hAnsi="宋体"/>
                <w:color w:val="auto"/>
              </w:rPr>
              <w:t>宽度</w:t>
            </w:r>
          </w:p>
        </w:tc>
        <w:tc>
          <w:tcPr>
            <w:tcW w:w="4305" w:type="dxa"/>
            <w:vAlign w:val="center"/>
          </w:tcPr>
          <w:p>
            <w:pPr>
              <w:spacing w:line="360" w:lineRule="auto"/>
              <w:rPr>
                <w:rFonts w:ascii="宋体" w:hAnsi="宋体"/>
                <w:color w:val="auto"/>
              </w:rPr>
            </w:pPr>
            <w:r>
              <w:rPr>
                <w:rFonts w:ascii="宋体" w:hAnsi="宋体"/>
                <w:color w:val="auto"/>
              </w:rPr>
              <w:t>700</w:t>
            </w:r>
            <w:r>
              <w:rPr>
                <w:rFonts w:hint="eastAsia" w:ascii="宋体" w:hAnsi="宋体"/>
                <w:color w:val="auto"/>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975" w:type="dxa"/>
            <w:vAlign w:val="center"/>
          </w:tcPr>
          <w:p>
            <w:pPr>
              <w:spacing w:line="360" w:lineRule="auto"/>
              <w:rPr>
                <w:rFonts w:ascii="宋体" w:hAnsi="宋体"/>
                <w:color w:val="auto"/>
              </w:rPr>
            </w:pPr>
            <w:r>
              <w:rPr>
                <w:rFonts w:ascii="宋体" w:hAnsi="宋体"/>
                <w:color w:val="auto"/>
              </w:rPr>
              <w:t>考虑无障碍设计的</w:t>
            </w:r>
            <w:r>
              <w:rPr>
                <w:rFonts w:hint="eastAsia" w:ascii="宋体" w:hAnsi="宋体"/>
                <w:color w:val="auto"/>
              </w:rPr>
              <w:t>门洞口</w:t>
            </w:r>
            <w:r>
              <w:rPr>
                <w:rFonts w:ascii="宋体" w:hAnsi="宋体"/>
                <w:color w:val="auto"/>
              </w:rPr>
              <w:t>宽度</w:t>
            </w:r>
          </w:p>
        </w:tc>
        <w:tc>
          <w:tcPr>
            <w:tcW w:w="4305" w:type="dxa"/>
            <w:vAlign w:val="center"/>
          </w:tcPr>
          <w:p>
            <w:pPr>
              <w:spacing w:line="360" w:lineRule="auto"/>
              <w:rPr>
                <w:rFonts w:ascii="宋体" w:hAnsi="宋体"/>
                <w:color w:val="auto"/>
              </w:rPr>
            </w:pPr>
            <w:r>
              <w:rPr>
                <w:rFonts w:ascii="宋体" w:hAnsi="宋体"/>
                <w:color w:val="auto"/>
              </w:rPr>
              <w:t>10</w:t>
            </w:r>
            <w:r>
              <w:rPr>
                <w:rFonts w:hint="eastAsia" w:ascii="宋体" w:hAnsi="宋体"/>
                <w:color w:val="auto"/>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75" w:type="dxa"/>
            <w:vAlign w:val="center"/>
          </w:tcPr>
          <w:p>
            <w:pPr>
              <w:spacing w:line="360" w:lineRule="auto"/>
              <w:rPr>
                <w:rFonts w:ascii="宋体" w:hAnsi="宋体"/>
                <w:color w:val="auto"/>
              </w:rPr>
            </w:pPr>
            <w:r>
              <w:rPr>
                <w:rFonts w:ascii="宋体" w:hAnsi="宋体"/>
                <w:color w:val="auto"/>
              </w:rPr>
              <w:t>门</w:t>
            </w:r>
            <w:r>
              <w:rPr>
                <w:rFonts w:hint="eastAsia" w:ascii="宋体" w:hAnsi="宋体"/>
                <w:color w:val="auto"/>
              </w:rPr>
              <w:t>口高</w:t>
            </w:r>
            <w:r>
              <w:rPr>
                <w:rFonts w:ascii="宋体" w:hAnsi="宋体"/>
                <w:color w:val="auto"/>
              </w:rPr>
              <w:t>度</w:t>
            </w:r>
          </w:p>
        </w:tc>
        <w:tc>
          <w:tcPr>
            <w:tcW w:w="4305" w:type="dxa"/>
            <w:vAlign w:val="center"/>
          </w:tcPr>
          <w:p>
            <w:pPr>
              <w:spacing w:line="360" w:lineRule="auto"/>
              <w:rPr>
                <w:rFonts w:ascii="宋体" w:hAnsi="宋体"/>
                <w:color w:val="auto"/>
              </w:rPr>
            </w:pPr>
            <w:r>
              <w:rPr>
                <w:rFonts w:hint="eastAsia" w:ascii="宋体" w:hAnsi="宋体"/>
                <w:color w:val="auto"/>
              </w:rPr>
              <w:t>2100、2200</w:t>
            </w:r>
          </w:p>
        </w:tc>
      </w:tr>
    </w:tbl>
    <w:p>
      <w:pPr>
        <w:spacing w:line="360" w:lineRule="auto"/>
        <w:ind w:firstLine="480" w:firstLineChars="200"/>
        <w:rPr>
          <w:rFonts w:ascii="宋体" w:hAnsi="宋体" w:cs="仿宋_GB2312"/>
          <w:color w:val="auto"/>
          <w:sz w:val="24"/>
          <w:szCs w:val="24"/>
        </w:rPr>
      </w:pPr>
    </w:p>
    <w:p>
      <w:pPr>
        <w:spacing w:line="360" w:lineRule="auto"/>
        <w:rPr>
          <w:rFonts w:ascii="宋体" w:hAnsi="宋体"/>
          <w:b/>
          <w:color w:val="auto"/>
          <w:sz w:val="24"/>
          <w:szCs w:val="24"/>
        </w:rPr>
      </w:pPr>
      <w:bookmarkStart w:id="113" w:name="_Toc84835558"/>
      <w:bookmarkStart w:id="114" w:name="_Toc76377005"/>
      <w:r>
        <w:rPr>
          <w:rFonts w:eastAsia="等线" w:cs="宋体"/>
          <w:b/>
          <w:color w:val="auto"/>
          <w:kern w:val="2"/>
          <w:sz w:val="24"/>
          <w:szCs w:val="24"/>
        </w:rPr>
        <w:t>7.4.8</w:t>
      </w:r>
      <w:r>
        <w:rPr>
          <w:rFonts w:hint="eastAsia" w:ascii="宋体" w:hAnsi="宋体"/>
          <w:color w:val="auto"/>
          <w:sz w:val="24"/>
          <w:szCs w:val="24"/>
        </w:rPr>
        <w:t>内墙系统管线安装应符合以下规定：</w:t>
      </w:r>
      <w:bookmarkEnd w:id="113"/>
      <w:bookmarkEnd w:id="114"/>
    </w:p>
    <w:p>
      <w:pPr>
        <w:spacing w:line="360" w:lineRule="auto"/>
        <w:ind w:firstLine="480" w:firstLineChars="200"/>
        <w:rPr>
          <w:rFonts w:ascii="宋体" w:hAnsi="宋体" w:cs="仿宋_GB2312"/>
          <w:color w:val="auto"/>
          <w:sz w:val="24"/>
          <w:szCs w:val="24"/>
        </w:rPr>
      </w:pPr>
      <w:r>
        <w:rPr>
          <w:rFonts w:hint="eastAsia" w:ascii="宋体" w:hAnsi="宋体" w:cs="仿宋_GB2312"/>
          <w:color w:val="auto"/>
          <w:sz w:val="24"/>
          <w:szCs w:val="24"/>
        </w:rPr>
        <w:t>1</w:t>
      </w:r>
      <w:r>
        <w:rPr>
          <w:rFonts w:ascii="宋体" w:hAnsi="宋体" w:cs="仿宋_GB2312"/>
          <w:color w:val="auto"/>
          <w:sz w:val="24"/>
          <w:szCs w:val="24"/>
        </w:rPr>
        <w:t xml:space="preserve"> </w:t>
      </w:r>
      <w:r>
        <w:rPr>
          <w:rFonts w:hint="eastAsia" w:ascii="宋体" w:hAnsi="宋体" w:cs="仿宋_GB2312"/>
          <w:color w:val="auto"/>
          <w:sz w:val="24"/>
          <w:szCs w:val="24"/>
        </w:rPr>
        <w:t>开关、插座、管线穿过内墙时采取防火封堵、密封隔声和加固措施；振动管道穿墙应采取减振隔振措施。</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2 </w:t>
      </w:r>
      <w:r>
        <w:rPr>
          <w:rFonts w:hint="eastAsia" w:ascii="宋体" w:hAnsi="宋体" w:cs="仿宋_GB2312"/>
          <w:color w:val="auto"/>
          <w:sz w:val="24"/>
          <w:szCs w:val="24"/>
        </w:rPr>
        <w:t>穿越墙体的水暖、电气管线宜采用专用敷设管线墙板组件，不得后凿墙体埋设管线；应避免管线安装和维修更换对墙体造成破坏。</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3 </w:t>
      </w:r>
      <w:r>
        <w:rPr>
          <w:rFonts w:hint="eastAsia" w:ascii="宋体" w:hAnsi="宋体" w:cs="仿宋_GB2312"/>
          <w:color w:val="auto"/>
          <w:sz w:val="24"/>
          <w:szCs w:val="24"/>
        </w:rPr>
        <w:t>宜采用BIM信息模型进行三维管线综合设计，对结构预制件内的机电设备、管线、预留孔槽等做精确定位，尽量减少平面交叉，合理利用空间。</w:t>
      </w:r>
    </w:p>
    <w:p>
      <w:pPr>
        <w:spacing w:line="360" w:lineRule="auto"/>
        <w:rPr>
          <w:rFonts w:ascii="宋体" w:hAnsi="宋体" w:cs="仿宋_GB2312"/>
          <w:color w:val="auto"/>
          <w:sz w:val="24"/>
          <w:szCs w:val="24"/>
        </w:rPr>
      </w:pPr>
      <w:r>
        <w:rPr>
          <w:rFonts w:hint="eastAsia" w:ascii="宋体" w:hAnsi="宋体" w:cs="黑体"/>
          <w:b/>
          <w:color w:val="auto"/>
        </w:rPr>
        <w:t>【条文说明】</w:t>
      </w:r>
      <w:r>
        <w:rPr>
          <w:rFonts w:hint="eastAsia" w:ascii="宋体" w:hAnsi="宋体" w:cs="黑体"/>
          <w:bCs/>
          <w:color w:val="auto"/>
        </w:rPr>
        <w:t>：</w:t>
      </w:r>
      <w:r>
        <w:rPr>
          <w:rFonts w:hint="eastAsia"/>
          <w:color w:val="0070C0"/>
          <w:kern w:val="2"/>
        </w:rPr>
        <w:t>内墙系统表面可以采用适宜干式工法要求的集成化部品，设置墙面架空层，在架空层内敷设管道管线，或采用预埋管线盒的专用墙板和预制构件等，也可以结合踢脚线、装饰线脚、专用管线设备槽带进行敷设管线、开关、插座等方式。</w:t>
      </w:r>
    </w:p>
    <w:p>
      <w:pPr>
        <w:spacing w:line="360" w:lineRule="auto"/>
        <w:rPr>
          <w:rFonts w:ascii="宋体" w:hAnsi="宋体"/>
          <w:b/>
          <w:color w:val="auto"/>
          <w:sz w:val="24"/>
          <w:szCs w:val="24"/>
        </w:rPr>
      </w:pPr>
      <w:bookmarkStart w:id="115" w:name="_Toc76377006"/>
      <w:bookmarkStart w:id="116" w:name="_Toc84835559"/>
      <w:r>
        <w:rPr>
          <w:rFonts w:eastAsia="等线" w:cs="宋体"/>
          <w:b/>
          <w:color w:val="auto"/>
          <w:kern w:val="2"/>
          <w:sz w:val="24"/>
          <w:szCs w:val="24"/>
        </w:rPr>
        <w:t>7.4.9</w:t>
      </w:r>
      <w:r>
        <w:rPr>
          <w:rFonts w:ascii="宋体" w:hAnsi="宋体"/>
          <w:color w:val="auto"/>
          <w:sz w:val="24"/>
          <w:szCs w:val="24"/>
        </w:rPr>
        <w:t xml:space="preserve"> </w:t>
      </w:r>
      <w:r>
        <w:rPr>
          <w:rFonts w:hint="eastAsia" w:ascii="宋体" w:hAnsi="宋体"/>
          <w:color w:val="auto"/>
          <w:sz w:val="24"/>
          <w:szCs w:val="24"/>
        </w:rPr>
        <w:t>内墙系统附属构件安装应符合以下规定：</w:t>
      </w:r>
      <w:bookmarkEnd w:id="115"/>
      <w:bookmarkEnd w:id="116"/>
    </w:p>
    <w:p>
      <w:pPr>
        <w:spacing w:line="360" w:lineRule="auto"/>
        <w:ind w:firstLine="480" w:firstLineChars="200"/>
        <w:rPr>
          <w:rFonts w:ascii="宋体" w:hAnsi="宋体" w:cs="仿宋_GB2312"/>
          <w:color w:val="auto"/>
          <w:sz w:val="24"/>
          <w:szCs w:val="24"/>
        </w:rPr>
      </w:pPr>
      <w:r>
        <w:rPr>
          <w:rFonts w:hint="eastAsia" w:ascii="宋体" w:hAnsi="宋体" w:cs="仿宋_GB2312"/>
          <w:color w:val="auto"/>
          <w:sz w:val="24"/>
          <w:szCs w:val="24"/>
        </w:rPr>
        <w:t>1</w:t>
      </w:r>
      <w:r>
        <w:rPr>
          <w:rFonts w:ascii="宋体" w:hAnsi="宋体" w:cs="仿宋_GB2312"/>
          <w:color w:val="auto"/>
          <w:sz w:val="24"/>
          <w:szCs w:val="24"/>
        </w:rPr>
        <w:t xml:space="preserve"> </w:t>
      </w:r>
      <w:r>
        <w:rPr>
          <w:rFonts w:hint="eastAsia" w:ascii="宋体" w:hAnsi="宋体" w:cs="仿宋_GB2312"/>
          <w:color w:val="auto"/>
          <w:sz w:val="24"/>
          <w:szCs w:val="24"/>
        </w:rPr>
        <w:t>内墙上需要固定电器、橱柜、洁具等较重设备或其他物品时，应在墙板上采取可靠的固定和加强措施，使其承载力应满足相关要求。卫生间、厨房采用轻钢龙骨复合隔墙时，应设置预埋件以便于物品安装和固定；龙骨间距不宜大于 300mm；条板墙需要吊挂重物或设备时，不得单点固定，且两点的间距应大于3</w:t>
      </w:r>
      <w:r>
        <w:rPr>
          <w:rFonts w:ascii="宋体" w:hAnsi="宋体" w:cs="仿宋_GB2312"/>
          <w:color w:val="auto"/>
          <w:sz w:val="24"/>
          <w:szCs w:val="24"/>
        </w:rPr>
        <w:t>00</w:t>
      </w:r>
      <w:r>
        <w:rPr>
          <w:rFonts w:hint="eastAsia" w:ascii="宋体" w:hAnsi="宋体" w:cs="仿宋_GB2312"/>
          <w:color w:val="auto"/>
          <w:sz w:val="24"/>
          <w:szCs w:val="24"/>
        </w:rPr>
        <w:t>mm。</w:t>
      </w:r>
    </w:p>
    <w:p>
      <w:pPr>
        <w:spacing w:line="360" w:lineRule="auto"/>
        <w:ind w:firstLine="480" w:firstLineChars="200"/>
        <w:rPr>
          <w:rFonts w:ascii="宋体" w:hAnsi="宋体" w:cs="仿宋_GB2312"/>
          <w:color w:val="auto"/>
          <w:sz w:val="24"/>
          <w:szCs w:val="24"/>
        </w:rPr>
      </w:pPr>
      <w:r>
        <w:rPr>
          <w:rFonts w:ascii="宋体" w:hAnsi="宋体" w:cs="仿宋_GB2312"/>
          <w:color w:val="auto"/>
          <w:sz w:val="24"/>
          <w:szCs w:val="24"/>
        </w:rPr>
        <w:t xml:space="preserve">2 </w:t>
      </w:r>
      <w:r>
        <w:rPr>
          <w:rFonts w:hint="eastAsia" w:ascii="宋体" w:hAnsi="宋体" w:cs="仿宋_GB2312"/>
          <w:color w:val="auto"/>
          <w:sz w:val="24"/>
          <w:szCs w:val="24"/>
        </w:rPr>
        <w:t>内墙应便于埋设和维修各种管线，并应避免管线维修更换对墙体造成破坏。</w:t>
      </w:r>
    </w:p>
    <w:p>
      <w:pPr>
        <w:spacing w:line="360" w:lineRule="auto"/>
        <w:rPr>
          <w:rFonts w:ascii="宋体" w:hAnsi="宋体" w:cs="仿宋_GB2312"/>
          <w:color w:val="auto"/>
          <w:sz w:val="24"/>
          <w:szCs w:val="24"/>
        </w:rPr>
      </w:pPr>
      <w:r>
        <w:rPr>
          <w:rFonts w:hint="eastAsia" w:ascii="宋体" w:hAnsi="宋体" w:cs="黑体"/>
          <w:b/>
          <w:color w:val="auto"/>
        </w:rPr>
        <w:t>【条文说明】</w:t>
      </w:r>
      <w:r>
        <w:rPr>
          <w:rFonts w:hint="eastAsia" w:ascii="宋体" w:hAnsi="宋体" w:cs="黑体"/>
          <w:bCs/>
          <w:color w:val="auto"/>
        </w:rPr>
        <w:t>：</w:t>
      </w:r>
      <w:r>
        <w:rPr>
          <w:rFonts w:hint="eastAsia"/>
          <w:color w:val="0070C0"/>
          <w:kern w:val="2"/>
        </w:rPr>
        <w:t>内墙系统应预先确定固定点的位置、形式和荷载，并应通过调整龙骨间距、增设龙骨横撑和预埋木方等措施为外挂安装提供条件。</w:t>
      </w:r>
    </w:p>
    <w:p>
      <w:pPr>
        <w:spacing w:line="300" w:lineRule="auto"/>
        <w:rPr>
          <w:rFonts w:ascii="宋体" w:hAnsi="宋体" w:cs="仿宋_GB2312"/>
          <w:color w:val="auto"/>
          <w:sz w:val="24"/>
          <w:szCs w:val="24"/>
        </w:rPr>
      </w:pPr>
    </w:p>
    <w:p>
      <w:pPr>
        <w:spacing w:line="300" w:lineRule="auto"/>
        <w:rPr>
          <w:rFonts w:ascii="宋体" w:hAnsi="宋体" w:cs="仿宋_GB2312"/>
          <w:color w:val="auto"/>
          <w:sz w:val="24"/>
          <w:szCs w:val="24"/>
        </w:rPr>
      </w:pPr>
    </w:p>
    <w:p>
      <w:pPr>
        <w:spacing w:line="300" w:lineRule="auto"/>
        <w:rPr>
          <w:rFonts w:ascii="宋体" w:hAnsi="宋体" w:cs="仿宋_GB2312"/>
          <w:color w:val="auto"/>
          <w:sz w:val="24"/>
          <w:szCs w:val="24"/>
        </w:rPr>
      </w:pPr>
    </w:p>
    <w:p>
      <w:pPr>
        <w:spacing w:line="300" w:lineRule="auto"/>
        <w:rPr>
          <w:rFonts w:ascii="宋体" w:hAnsi="宋体" w:cs="仿宋_GB2312"/>
          <w:color w:val="auto"/>
          <w:sz w:val="24"/>
          <w:szCs w:val="24"/>
        </w:rPr>
      </w:pPr>
    </w:p>
    <w:p>
      <w:pPr>
        <w:spacing w:line="300" w:lineRule="auto"/>
        <w:rPr>
          <w:rFonts w:ascii="宋体" w:hAnsi="宋体" w:cs="仿宋_GB2312"/>
          <w:color w:val="auto"/>
          <w:sz w:val="24"/>
          <w:szCs w:val="24"/>
        </w:rPr>
      </w:pPr>
    </w:p>
    <w:p>
      <w:pPr>
        <w:spacing w:line="300" w:lineRule="auto"/>
        <w:rPr>
          <w:rFonts w:ascii="宋体" w:hAnsi="宋体" w:cs="仿宋_GB2312"/>
          <w:color w:val="auto"/>
          <w:sz w:val="24"/>
          <w:szCs w:val="24"/>
        </w:rPr>
      </w:pPr>
    </w:p>
    <w:p>
      <w:pPr>
        <w:spacing w:line="300" w:lineRule="auto"/>
        <w:rPr>
          <w:rFonts w:ascii="宋体" w:hAnsi="宋体" w:cs="仿宋_GB2312"/>
          <w:color w:val="auto"/>
          <w:sz w:val="24"/>
          <w:szCs w:val="24"/>
        </w:rPr>
      </w:pPr>
    </w:p>
    <w:p>
      <w:pPr>
        <w:spacing w:line="300" w:lineRule="auto"/>
        <w:rPr>
          <w:rFonts w:ascii="宋体" w:hAnsi="宋体" w:cs="仿宋_GB2312"/>
          <w:color w:val="auto"/>
          <w:sz w:val="24"/>
          <w:szCs w:val="24"/>
        </w:rPr>
      </w:pPr>
    </w:p>
    <w:p>
      <w:pPr>
        <w:spacing w:line="300" w:lineRule="auto"/>
        <w:rPr>
          <w:rFonts w:ascii="宋体" w:hAnsi="宋体" w:cs="仿宋_GB2312"/>
          <w:color w:val="auto"/>
          <w:sz w:val="24"/>
          <w:szCs w:val="24"/>
        </w:rPr>
      </w:pPr>
    </w:p>
    <w:p>
      <w:pPr>
        <w:spacing w:line="300" w:lineRule="auto"/>
        <w:rPr>
          <w:rFonts w:ascii="宋体" w:hAnsi="宋体" w:cs="仿宋_GB2312"/>
          <w:color w:val="auto"/>
          <w:sz w:val="24"/>
          <w:szCs w:val="24"/>
        </w:rPr>
      </w:pPr>
    </w:p>
    <w:p>
      <w:pPr>
        <w:spacing w:line="300" w:lineRule="auto"/>
        <w:rPr>
          <w:rFonts w:ascii="宋体" w:hAnsi="宋体" w:cs="仿宋_GB2312"/>
          <w:color w:val="auto"/>
          <w:sz w:val="24"/>
          <w:szCs w:val="24"/>
        </w:rPr>
      </w:pPr>
    </w:p>
    <w:p>
      <w:pPr>
        <w:spacing w:line="300" w:lineRule="auto"/>
        <w:rPr>
          <w:rFonts w:ascii="宋体" w:hAnsi="宋体" w:cs="仿宋_GB2312"/>
          <w:color w:val="auto"/>
          <w:sz w:val="24"/>
          <w:szCs w:val="24"/>
        </w:rPr>
      </w:pPr>
    </w:p>
    <w:p>
      <w:pPr>
        <w:spacing w:line="300" w:lineRule="auto"/>
        <w:rPr>
          <w:rFonts w:ascii="宋体" w:hAnsi="宋体" w:cs="仿宋_GB2312"/>
          <w:color w:val="auto"/>
          <w:sz w:val="24"/>
          <w:szCs w:val="24"/>
        </w:rPr>
      </w:pPr>
    </w:p>
    <w:p>
      <w:pPr>
        <w:spacing w:line="300" w:lineRule="auto"/>
        <w:rPr>
          <w:rFonts w:ascii="宋体" w:hAnsi="宋体" w:cs="仿宋_GB2312"/>
          <w:color w:val="auto"/>
          <w:sz w:val="24"/>
          <w:szCs w:val="24"/>
        </w:rPr>
      </w:pPr>
    </w:p>
    <w:p>
      <w:pPr>
        <w:spacing w:line="300" w:lineRule="auto"/>
        <w:rPr>
          <w:rFonts w:ascii="宋体" w:hAnsi="宋体" w:cs="仿宋_GB2312"/>
          <w:color w:val="auto"/>
          <w:sz w:val="24"/>
          <w:szCs w:val="24"/>
        </w:rPr>
      </w:pPr>
    </w:p>
    <w:p>
      <w:pPr>
        <w:spacing w:line="300" w:lineRule="auto"/>
        <w:rPr>
          <w:rFonts w:ascii="宋体" w:hAnsi="宋体" w:cs="仿宋_GB2312"/>
          <w:color w:val="auto"/>
          <w:sz w:val="24"/>
          <w:szCs w:val="24"/>
        </w:rPr>
      </w:pPr>
    </w:p>
    <w:p>
      <w:pPr>
        <w:spacing w:line="300" w:lineRule="auto"/>
        <w:rPr>
          <w:rFonts w:ascii="宋体" w:hAnsi="宋体" w:cs="仿宋_GB2312"/>
          <w:color w:val="auto"/>
          <w:sz w:val="24"/>
          <w:szCs w:val="24"/>
        </w:rPr>
      </w:pPr>
    </w:p>
    <w:p>
      <w:pPr>
        <w:spacing w:line="300" w:lineRule="auto"/>
        <w:rPr>
          <w:rFonts w:ascii="宋体" w:hAnsi="宋体" w:cs="仿宋_GB2312"/>
          <w:color w:val="auto"/>
          <w:sz w:val="24"/>
          <w:szCs w:val="24"/>
        </w:rPr>
      </w:pPr>
    </w:p>
    <w:p>
      <w:pPr>
        <w:spacing w:line="300" w:lineRule="auto"/>
        <w:rPr>
          <w:rFonts w:ascii="宋体" w:hAnsi="宋体" w:cs="仿宋_GB2312"/>
          <w:color w:val="auto"/>
          <w:sz w:val="24"/>
          <w:szCs w:val="24"/>
        </w:rPr>
      </w:pPr>
    </w:p>
    <w:p>
      <w:pPr>
        <w:spacing w:line="300" w:lineRule="auto"/>
        <w:rPr>
          <w:rFonts w:ascii="宋体" w:hAnsi="宋体" w:cs="仿宋_GB2312"/>
          <w:color w:val="auto"/>
          <w:sz w:val="24"/>
          <w:szCs w:val="24"/>
        </w:rPr>
      </w:pPr>
    </w:p>
    <w:p>
      <w:pPr>
        <w:pStyle w:val="2"/>
        <w:jc w:val="center"/>
        <w:rPr>
          <w:rFonts w:ascii="仿宋" w:hAnsi="仿宋" w:eastAsia="仿宋"/>
          <w:color w:val="auto"/>
          <w:sz w:val="32"/>
          <w:szCs w:val="32"/>
        </w:rPr>
      </w:pPr>
      <w:bookmarkStart w:id="117" w:name="_Toc103958761"/>
      <w:r>
        <w:rPr>
          <w:rFonts w:ascii="宋体" w:hAnsi="宋体"/>
          <w:color w:val="auto"/>
          <w:sz w:val="32"/>
          <w:szCs w:val="32"/>
        </w:rPr>
        <w:t xml:space="preserve">8 </w:t>
      </w:r>
      <w:r>
        <w:rPr>
          <w:rFonts w:ascii="仿宋" w:hAnsi="仿宋" w:eastAsia="仿宋"/>
          <w:color w:val="auto"/>
          <w:sz w:val="32"/>
          <w:szCs w:val="32"/>
        </w:rPr>
        <w:t xml:space="preserve"> </w:t>
      </w:r>
      <w:r>
        <w:rPr>
          <w:rFonts w:hint="eastAsia" w:ascii="宋体" w:hAnsi="宋体"/>
          <w:color w:val="auto"/>
          <w:sz w:val="32"/>
          <w:szCs w:val="32"/>
        </w:rPr>
        <w:t>设备与管线系统设计</w:t>
      </w:r>
      <w:bookmarkEnd w:id="117"/>
    </w:p>
    <w:p>
      <w:pPr>
        <w:pStyle w:val="3"/>
        <w:spacing w:line="360" w:lineRule="auto"/>
        <w:jc w:val="center"/>
        <w:rPr>
          <w:rFonts w:ascii="Times New Roman" w:hAnsi="Times New Roman" w:eastAsia="宋体" w:cs="Times New Roman"/>
          <w:color w:val="auto"/>
          <w:sz w:val="28"/>
          <w:szCs w:val="28"/>
        </w:rPr>
      </w:pPr>
      <w:bookmarkStart w:id="118" w:name="_Toc76377008"/>
      <w:bookmarkStart w:id="119" w:name="_Toc103958762"/>
      <w:r>
        <w:rPr>
          <w:rFonts w:ascii="Times New Roman" w:hAnsi="Times New Roman" w:eastAsia="宋体" w:cs="Times New Roman"/>
          <w:color w:val="auto"/>
          <w:sz w:val="28"/>
          <w:szCs w:val="28"/>
        </w:rPr>
        <w:t>8</w:t>
      </w:r>
      <w:r>
        <w:rPr>
          <w:rFonts w:hint="eastAsia" w:ascii="Times New Roman" w:hAnsi="Times New Roman" w:eastAsia="宋体" w:cs="Times New Roman"/>
          <w:color w:val="auto"/>
          <w:sz w:val="28"/>
          <w:szCs w:val="28"/>
        </w:rPr>
        <w:t xml:space="preserve">.1 </w:t>
      </w:r>
      <w:r>
        <w:rPr>
          <w:rFonts w:ascii="Times New Roman" w:hAnsi="Times New Roman" w:eastAsia="宋体" w:cs="Times New Roman"/>
          <w:color w:val="auto"/>
          <w:sz w:val="28"/>
          <w:szCs w:val="28"/>
        </w:rPr>
        <w:t xml:space="preserve"> </w:t>
      </w:r>
      <w:r>
        <w:rPr>
          <w:rFonts w:hint="eastAsia" w:ascii="Times New Roman" w:hAnsi="Times New Roman" w:eastAsia="宋体" w:cs="Times New Roman"/>
          <w:color w:val="auto"/>
          <w:sz w:val="28"/>
          <w:szCs w:val="28"/>
        </w:rPr>
        <w:t>一般规定</w:t>
      </w:r>
      <w:bookmarkEnd w:id="118"/>
      <w:bookmarkEnd w:id="119"/>
    </w:p>
    <w:p>
      <w:pPr>
        <w:spacing w:line="360" w:lineRule="auto"/>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.1.1</w:t>
      </w:r>
      <w:r>
        <w:rPr>
          <w:rFonts w:hint="eastAsia" w:ascii="宋体" w:hAnsi="宋体"/>
          <w:color w:val="auto"/>
          <w:sz w:val="24"/>
          <w:szCs w:val="24"/>
        </w:rPr>
        <w:t>钢结构住宅建筑设备与管线系统设计应符合现行国家标准《住宅建筑规范》GB 50386、《住宅设计规范》GB 50096的规定。</w:t>
      </w:r>
    </w:p>
    <w:p>
      <w:pPr>
        <w:spacing w:line="360" w:lineRule="auto"/>
        <w:ind w:left="723" w:hanging="723" w:hangingChars="300"/>
        <w:jc w:val="left"/>
        <w:rPr>
          <w:rFonts w:ascii="宋体" w:hAnsi="宋体"/>
          <w:color w:val="000000" w:themeColor="text1"/>
          <w:sz w:val="24"/>
          <w:szCs w:val="24"/>
        </w:rPr>
      </w:pPr>
      <w:r>
        <w:rPr>
          <w:rFonts w:hint="eastAsia" w:cs="宋体" w:eastAsiaTheme="minorEastAsia"/>
          <w:b/>
          <w:color w:val="auto"/>
          <w:kern w:val="2"/>
          <w:sz w:val="24"/>
          <w:szCs w:val="24"/>
        </w:rPr>
        <w:t>8.1.2</w:t>
      </w:r>
      <w:r>
        <w:rPr>
          <w:rFonts w:hint="eastAsia" w:ascii="宋体" w:hAnsi="宋体"/>
          <w:color w:val="auto"/>
          <w:sz w:val="24"/>
          <w:szCs w:val="24"/>
        </w:rPr>
        <w:t>设备与管线系统</w:t>
      </w:r>
      <w:r>
        <w:rPr>
          <w:rFonts w:hint="eastAsia" w:ascii="宋体" w:hAnsi="宋体"/>
          <w:color w:val="000000" w:themeColor="text1"/>
          <w:sz w:val="24"/>
          <w:szCs w:val="24"/>
        </w:rPr>
        <w:t>设计应满足适老化同时兼顾全龄化的设计要求。</w:t>
      </w:r>
    </w:p>
    <w:p>
      <w:pPr>
        <w:spacing w:line="360" w:lineRule="auto"/>
        <w:jc w:val="left"/>
        <w:rPr>
          <w:rFonts w:ascii="宋体" w:hAnsi="宋体"/>
          <w:color w:val="FF0000"/>
          <w:sz w:val="24"/>
          <w:szCs w:val="24"/>
        </w:rPr>
      </w:pPr>
      <w:r>
        <w:rPr>
          <w:rFonts w:hint="eastAsia" w:cs="宋体" w:eastAsiaTheme="minorEastAsia"/>
          <w:b/>
          <w:color w:val="auto"/>
          <w:kern w:val="2"/>
          <w:sz w:val="24"/>
          <w:szCs w:val="24"/>
        </w:rPr>
        <w:t>8.1.</w:t>
      </w:r>
      <w:r>
        <w:rPr>
          <w:rFonts w:cs="宋体" w:eastAsiaTheme="minorEastAsia"/>
          <w:b/>
          <w:color w:val="auto"/>
          <w:kern w:val="2"/>
          <w:sz w:val="24"/>
          <w:szCs w:val="24"/>
        </w:rPr>
        <w:t>3</w:t>
      </w:r>
      <w:r>
        <w:rPr>
          <w:rFonts w:hint="eastAsia" w:ascii="宋体" w:hAnsi="宋体" w:cs="宋体"/>
          <w:color w:val="auto"/>
          <w:kern w:val="2"/>
          <w:sz w:val="24"/>
          <w:szCs w:val="24"/>
        </w:rPr>
        <w:t>设备与管线设计应根据项目建筑方案，结合项目场地及市政条件，提出机电部品的集成方案，并应优先选用功能型模块机电部品或集成度高的部品。</w:t>
      </w:r>
    </w:p>
    <w:p>
      <w:pPr>
        <w:spacing w:line="360" w:lineRule="auto"/>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.1.</w:t>
      </w:r>
      <w:r>
        <w:rPr>
          <w:rFonts w:cs="宋体" w:eastAsiaTheme="minorEastAsia"/>
          <w:b/>
          <w:color w:val="auto"/>
          <w:kern w:val="2"/>
          <w:sz w:val="24"/>
          <w:szCs w:val="24"/>
        </w:rPr>
        <w:t>4</w:t>
      </w:r>
      <w:r>
        <w:rPr>
          <w:rFonts w:hint="eastAsia" w:ascii="宋体" w:hAnsi="宋体"/>
          <w:color w:val="auto"/>
          <w:sz w:val="24"/>
          <w:szCs w:val="24"/>
        </w:rPr>
        <w:t>设备与管线系统设计应采用集成化设计，并应符合下列要求：</w:t>
      </w:r>
    </w:p>
    <w:p>
      <w:pPr>
        <w:spacing w:line="360" w:lineRule="auto"/>
        <w:ind w:left="800" w:leftChars="300" w:hanging="170"/>
        <w:jc w:val="left"/>
        <w:rPr>
          <w:rFonts w:ascii="宋体" w:hAnsi="宋体"/>
          <w:color w:val="auto"/>
          <w:sz w:val="24"/>
          <w:szCs w:val="24"/>
        </w:rPr>
      </w:pPr>
      <w:r>
        <w:rPr>
          <w:rFonts w:hint="eastAsia" w:ascii="宋体" w:hAnsi="宋体"/>
          <w:color w:val="auto"/>
          <w:sz w:val="24"/>
          <w:szCs w:val="24"/>
        </w:rPr>
        <w:t>1应与建筑设计同步进行，满足卫生、环保和系统功能设计的要求，不应对用户的健康、噪声控制和使用安全产生不利影响；</w:t>
      </w:r>
    </w:p>
    <w:p>
      <w:pPr>
        <w:spacing w:line="360" w:lineRule="auto"/>
        <w:ind w:left="630" w:leftChars="300"/>
        <w:jc w:val="left"/>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机电管井应采用模数化、模块化设计，模数应与建筑模数相协调；</w:t>
      </w:r>
    </w:p>
    <w:p>
      <w:pPr>
        <w:spacing w:line="360" w:lineRule="auto"/>
        <w:ind w:left="630" w:leftChars="300"/>
        <w:jc w:val="left"/>
        <w:rPr>
          <w:rFonts w:ascii="宋体" w:hAnsi="宋体"/>
          <w:color w:val="auto"/>
          <w:sz w:val="24"/>
          <w:szCs w:val="24"/>
        </w:rPr>
      </w:pPr>
      <w:r>
        <w:rPr>
          <w:rFonts w:ascii="宋体" w:hAnsi="宋体"/>
          <w:color w:val="auto"/>
          <w:sz w:val="24"/>
          <w:szCs w:val="24"/>
        </w:rPr>
        <w:t>3</w:t>
      </w:r>
      <w:r>
        <w:rPr>
          <w:rFonts w:hint="eastAsia" w:ascii="宋体" w:hAnsi="宋体"/>
          <w:color w:val="auto"/>
          <w:sz w:val="24"/>
          <w:szCs w:val="24"/>
        </w:rPr>
        <w:t>管线入户应根据不同的楼板形式采用集约化设计，规范管线路径；</w:t>
      </w:r>
    </w:p>
    <w:p>
      <w:pPr>
        <w:spacing w:line="360" w:lineRule="auto"/>
        <w:ind w:left="800" w:leftChars="300" w:hanging="170"/>
        <w:jc w:val="left"/>
        <w:rPr>
          <w:rFonts w:ascii="宋体" w:hAnsi="宋体"/>
          <w:color w:val="auto"/>
          <w:sz w:val="24"/>
          <w:szCs w:val="24"/>
        </w:rPr>
      </w:pPr>
      <w:r>
        <w:rPr>
          <w:rFonts w:ascii="宋体" w:hAnsi="宋体"/>
          <w:color w:val="auto"/>
          <w:sz w:val="24"/>
          <w:szCs w:val="24"/>
        </w:rPr>
        <w:t>4</w:t>
      </w:r>
      <w:r>
        <w:rPr>
          <w:rFonts w:hint="eastAsia" w:ascii="宋体" w:hAnsi="宋体"/>
          <w:color w:val="auto"/>
          <w:sz w:val="24"/>
          <w:szCs w:val="24"/>
        </w:rPr>
        <w:t>户内管线设计应与内维护结构，装饰装修相结合，设备设施的布置应采取与建筑功能和空间变化相适应的方式，设备管线系统宜与主体结构支撑结构分离；</w:t>
      </w:r>
    </w:p>
    <w:p>
      <w:pPr>
        <w:spacing w:line="360" w:lineRule="auto"/>
        <w:ind w:left="630" w:leftChars="300"/>
        <w:jc w:val="left"/>
        <w:rPr>
          <w:rFonts w:ascii="宋体" w:hAnsi="宋体"/>
          <w:color w:val="auto"/>
          <w:sz w:val="24"/>
          <w:szCs w:val="24"/>
        </w:rPr>
      </w:pPr>
      <w:r>
        <w:rPr>
          <w:rFonts w:ascii="宋体" w:hAnsi="宋体"/>
          <w:color w:val="auto"/>
          <w:sz w:val="24"/>
          <w:szCs w:val="24"/>
        </w:rPr>
        <w:t>5</w:t>
      </w:r>
      <w:r>
        <w:rPr>
          <w:rFonts w:hint="eastAsia" w:ascii="宋体" w:hAnsi="宋体"/>
          <w:color w:val="auto"/>
          <w:sz w:val="24"/>
          <w:szCs w:val="24"/>
        </w:rPr>
        <w:t>公共管线，调节、计量装置等应设置在公共区域；</w:t>
      </w:r>
    </w:p>
    <w:p>
      <w:pPr>
        <w:spacing w:line="360" w:lineRule="auto"/>
        <w:ind w:left="800" w:leftChars="300" w:hanging="170"/>
        <w:jc w:val="left"/>
        <w:rPr>
          <w:rFonts w:ascii="宋体" w:hAnsi="宋体"/>
          <w:color w:val="auto"/>
          <w:sz w:val="24"/>
          <w:szCs w:val="24"/>
        </w:rPr>
      </w:pPr>
      <w:r>
        <w:rPr>
          <w:rFonts w:ascii="宋体" w:hAnsi="宋体"/>
          <w:color w:val="auto"/>
          <w:sz w:val="24"/>
          <w:szCs w:val="24"/>
        </w:rPr>
        <w:t>6</w:t>
      </w:r>
      <w:r>
        <w:rPr>
          <w:rFonts w:hint="eastAsia" w:ascii="宋体" w:hAnsi="宋体"/>
          <w:color w:val="auto"/>
          <w:sz w:val="24"/>
          <w:szCs w:val="24"/>
        </w:rPr>
        <w:t>采用整体卫浴整体厨房等标准化部品时，应在设计时统一考虑预留安装条件和标准化管线接口；</w:t>
      </w:r>
    </w:p>
    <w:p>
      <w:pPr>
        <w:spacing w:line="360" w:lineRule="auto"/>
        <w:ind w:left="800" w:leftChars="300" w:hanging="170"/>
        <w:jc w:val="left"/>
        <w:rPr>
          <w:rFonts w:ascii="宋体" w:hAnsi="宋体"/>
          <w:color w:val="auto"/>
          <w:sz w:val="24"/>
          <w:szCs w:val="24"/>
        </w:rPr>
      </w:pPr>
      <w:r>
        <w:rPr>
          <w:rFonts w:ascii="宋体" w:hAnsi="宋体"/>
          <w:color w:val="auto"/>
          <w:sz w:val="24"/>
          <w:szCs w:val="24"/>
        </w:rPr>
        <w:t>7</w:t>
      </w:r>
      <w:r>
        <w:rPr>
          <w:rFonts w:hint="eastAsia" w:ascii="宋体" w:hAnsi="宋体"/>
          <w:color w:val="auto"/>
          <w:sz w:val="24"/>
          <w:szCs w:val="24"/>
        </w:rPr>
        <w:t>管线集成设计采用的支吊架系统应优先采用装配式支吊架，装配式支吊架应采用标准化连接组件，装配式支吊架应安装在实体结构上，牢固可靠且具有耐久性。</w:t>
      </w:r>
    </w:p>
    <w:p>
      <w:pPr>
        <w:spacing w:line="360" w:lineRule="auto"/>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.1.</w:t>
      </w:r>
      <w:r>
        <w:rPr>
          <w:rFonts w:cs="宋体" w:eastAsiaTheme="minorEastAsia"/>
          <w:b/>
          <w:color w:val="auto"/>
          <w:kern w:val="2"/>
          <w:sz w:val="24"/>
          <w:szCs w:val="24"/>
        </w:rPr>
        <w:t xml:space="preserve">5 </w:t>
      </w:r>
      <w:r>
        <w:rPr>
          <w:rFonts w:hint="eastAsia" w:ascii="宋体" w:hAnsi="宋体"/>
          <w:color w:val="auto"/>
          <w:sz w:val="24"/>
          <w:szCs w:val="24"/>
        </w:rPr>
        <w:t>设备与管线的抗震设计应符合现行国家标准《建筑机电工程抗震设计规范》GB50981的有关规定。</w:t>
      </w:r>
    </w:p>
    <w:p>
      <w:pPr>
        <w:spacing w:line="360" w:lineRule="auto"/>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.1.</w:t>
      </w:r>
      <w:r>
        <w:rPr>
          <w:rFonts w:cs="宋体" w:eastAsiaTheme="minorEastAsia"/>
          <w:b/>
          <w:color w:val="auto"/>
          <w:kern w:val="2"/>
          <w:sz w:val="24"/>
          <w:szCs w:val="24"/>
        </w:rPr>
        <w:t>6</w:t>
      </w:r>
      <w:r>
        <w:rPr>
          <w:rFonts w:hint="eastAsia" w:ascii="宋体" w:hAnsi="宋体"/>
          <w:color w:val="auto"/>
          <w:sz w:val="24"/>
          <w:szCs w:val="24"/>
        </w:rPr>
        <w:t>设备与管线宜选用耐腐蚀、抗老化、耐久性好的管线、管材、组合式管件，活动配件宜选用长寿命产品并考虑部品组合的同寿命性。</w:t>
      </w:r>
    </w:p>
    <w:p>
      <w:pPr>
        <w:spacing w:line="360" w:lineRule="auto"/>
        <w:ind w:left="82" w:leftChars="39"/>
        <w:jc w:val="left"/>
        <w:rPr>
          <w:color w:val="0070C0"/>
          <w:kern w:val="2"/>
        </w:rPr>
      </w:pPr>
      <w:r>
        <w:rPr>
          <w:rFonts w:hint="eastAsia" w:ascii="宋体" w:hAnsi="宋体" w:cs="黑体"/>
          <w:b/>
          <w:color w:val="auto"/>
        </w:rPr>
        <w:t>【条文解释】：</w:t>
      </w:r>
      <w:r>
        <w:rPr>
          <w:rFonts w:hint="eastAsia"/>
          <w:color w:val="0070C0"/>
          <w:kern w:val="2"/>
        </w:rPr>
        <w:t>通过优化组合，产生最少的管件规格组合数量也非常重要，尤其是安装尺寸小的管件在施工现场安装繁琐时，完全可以在工厂内制造出部分管道的组合式管件，可以减少施工现场装配工作量。</w:t>
      </w:r>
    </w:p>
    <w:p>
      <w:pPr>
        <w:spacing w:line="360" w:lineRule="auto"/>
        <w:jc w:val="left"/>
        <w:rPr>
          <w:rFonts w:ascii="宋体" w:hAnsi="宋体"/>
          <w:color w:val="auto"/>
          <w:sz w:val="24"/>
          <w:szCs w:val="24"/>
        </w:rPr>
      </w:pPr>
      <w:r>
        <w:rPr>
          <w:rFonts w:hint="eastAsia" w:cs="宋体" w:eastAsiaTheme="minorEastAsia"/>
          <w:b/>
          <w:color w:val="auto"/>
          <w:kern w:val="2"/>
          <w:sz w:val="24"/>
          <w:szCs w:val="24"/>
        </w:rPr>
        <w:t>8.1.</w:t>
      </w:r>
      <w:r>
        <w:rPr>
          <w:rFonts w:cs="宋体" w:eastAsiaTheme="minorEastAsia"/>
          <w:b/>
          <w:color w:val="auto"/>
          <w:kern w:val="2"/>
          <w:sz w:val="24"/>
          <w:szCs w:val="24"/>
        </w:rPr>
        <w:t>7</w:t>
      </w:r>
      <w:r>
        <w:rPr>
          <w:rFonts w:hint="eastAsia" w:ascii="宋体" w:hAnsi="宋体"/>
          <w:color w:val="auto"/>
          <w:sz w:val="24"/>
          <w:szCs w:val="24"/>
        </w:rPr>
        <w:t>机电部品接口应选择满足行业标准的通用性接口，并应考虑使用过程中部品更换的便捷性。</w:t>
      </w:r>
    </w:p>
    <w:p>
      <w:pPr>
        <w:spacing w:line="360" w:lineRule="auto"/>
        <w:ind w:left="539" w:hanging="539"/>
        <w:jc w:val="left"/>
        <w:rPr>
          <w:rFonts w:ascii="宋体" w:hAnsi="宋体"/>
          <w:color w:val="auto"/>
          <w:sz w:val="24"/>
          <w:szCs w:val="24"/>
        </w:rPr>
      </w:pPr>
      <w:r>
        <w:rPr>
          <w:rFonts w:hint="eastAsia" w:cs="宋体" w:eastAsiaTheme="minorEastAsia"/>
          <w:b/>
          <w:color w:val="auto"/>
          <w:kern w:val="2"/>
          <w:sz w:val="24"/>
          <w:szCs w:val="24"/>
        </w:rPr>
        <w:t>8.1.</w:t>
      </w:r>
      <w:r>
        <w:rPr>
          <w:rFonts w:cs="宋体" w:eastAsiaTheme="minorEastAsia"/>
          <w:b/>
          <w:color w:val="auto"/>
          <w:kern w:val="2"/>
          <w:sz w:val="24"/>
          <w:szCs w:val="24"/>
        </w:rPr>
        <w:t>8</w:t>
      </w:r>
      <w:r>
        <w:rPr>
          <w:rFonts w:hint="eastAsia" w:ascii="宋体" w:hAnsi="宋体"/>
          <w:color w:val="auto"/>
          <w:sz w:val="24"/>
          <w:szCs w:val="24"/>
        </w:rPr>
        <w:t>在集成化预制部品部件中预埋的管线与配件应符合下列规定：</w:t>
      </w:r>
    </w:p>
    <w:p>
      <w:pPr>
        <w:spacing w:line="360" w:lineRule="auto"/>
        <w:ind w:left="800" w:leftChars="300" w:hanging="170"/>
        <w:jc w:val="left"/>
        <w:rPr>
          <w:rFonts w:ascii="宋体" w:hAnsi="宋体"/>
          <w:color w:val="auto"/>
          <w:sz w:val="24"/>
          <w:szCs w:val="24"/>
        </w:rPr>
      </w:pPr>
      <w:r>
        <w:rPr>
          <w:rFonts w:hint="eastAsia" w:ascii="宋体" w:hAnsi="宋体"/>
          <w:color w:val="auto"/>
          <w:sz w:val="24"/>
          <w:szCs w:val="24"/>
        </w:rPr>
        <w:t>1管线与配件的敷设应保障结构安全，且不应敷设在贴邻预制结构部品部件的拼接处；</w:t>
      </w:r>
    </w:p>
    <w:p>
      <w:pPr>
        <w:spacing w:line="360" w:lineRule="auto"/>
        <w:ind w:left="800" w:leftChars="300" w:hanging="170"/>
        <w:jc w:val="left"/>
        <w:rPr>
          <w:rFonts w:ascii="宋体" w:hAnsi="宋体"/>
          <w:color w:val="auto"/>
          <w:sz w:val="24"/>
          <w:szCs w:val="24"/>
        </w:rPr>
      </w:pPr>
      <w:r>
        <w:rPr>
          <w:rFonts w:hint="eastAsia" w:ascii="宋体" w:hAnsi="宋体"/>
          <w:color w:val="auto"/>
          <w:sz w:val="24"/>
          <w:szCs w:val="24"/>
        </w:rPr>
        <w:t>2预制结构部品部件内预埋管道时，直径应符合预制结构部品部件的预制工艺规定，并应保障预制结构部品部件的安全性；</w:t>
      </w:r>
    </w:p>
    <w:p>
      <w:pPr>
        <w:spacing w:line="360" w:lineRule="auto"/>
        <w:ind w:left="800" w:leftChars="300" w:hanging="170"/>
        <w:jc w:val="left"/>
        <w:rPr>
          <w:rFonts w:ascii="宋体" w:hAnsi="宋体"/>
          <w:color w:val="auto"/>
          <w:sz w:val="24"/>
          <w:szCs w:val="24"/>
        </w:rPr>
      </w:pPr>
      <w:r>
        <w:rPr>
          <w:rFonts w:ascii="宋体" w:hAnsi="宋体"/>
          <w:color w:val="auto"/>
          <w:sz w:val="24"/>
          <w:szCs w:val="24"/>
        </w:rPr>
        <w:t>3</w:t>
      </w:r>
      <w:r>
        <w:rPr>
          <w:rFonts w:hint="eastAsia" w:ascii="宋体" w:hAnsi="宋体"/>
          <w:color w:val="auto"/>
          <w:sz w:val="24"/>
          <w:szCs w:val="24"/>
        </w:rPr>
        <w:t>在预制结构部品部件上进行管线预留设计时，宜采用预留管槽；</w:t>
      </w:r>
    </w:p>
    <w:p>
      <w:pPr>
        <w:spacing w:line="360" w:lineRule="auto"/>
        <w:ind w:left="800" w:leftChars="300" w:hanging="170"/>
        <w:jc w:val="left"/>
        <w:rPr>
          <w:rFonts w:ascii="宋体" w:hAnsi="宋体"/>
          <w:color w:val="auto"/>
          <w:sz w:val="24"/>
          <w:szCs w:val="24"/>
        </w:rPr>
      </w:pPr>
      <w:r>
        <w:rPr>
          <w:rFonts w:ascii="宋体" w:hAnsi="宋体"/>
          <w:color w:val="auto"/>
          <w:sz w:val="24"/>
          <w:szCs w:val="24"/>
        </w:rPr>
        <w:t>4</w:t>
      </w:r>
      <w:r>
        <w:rPr>
          <w:rFonts w:hint="eastAsia" w:ascii="宋体" w:hAnsi="宋体"/>
          <w:color w:val="auto"/>
          <w:sz w:val="24"/>
          <w:szCs w:val="24"/>
        </w:rPr>
        <w:t>预制结构部品部件施工完毕后，不应于预制结构部品部件上凿剔沟、槽和开设孔、洞。</w:t>
      </w:r>
    </w:p>
    <w:p>
      <w:pPr>
        <w:spacing w:line="360" w:lineRule="auto"/>
        <w:ind w:left="723" w:hanging="723" w:hangingChars="300"/>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.1.</w:t>
      </w:r>
      <w:r>
        <w:rPr>
          <w:rFonts w:cs="宋体" w:eastAsiaTheme="minorEastAsia"/>
          <w:b/>
          <w:color w:val="auto"/>
          <w:kern w:val="2"/>
          <w:sz w:val="24"/>
          <w:szCs w:val="24"/>
        </w:rPr>
        <w:t>9</w:t>
      </w:r>
      <w:r>
        <w:rPr>
          <w:rFonts w:hint="eastAsia" w:ascii="宋体" w:hAnsi="宋体"/>
          <w:color w:val="auto"/>
          <w:sz w:val="24"/>
          <w:szCs w:val="24"/>
        </w:rPr>
        <w:t>机电设备应采用安全节能型的产品。</w:t>
      </w:r>
    </w:p>
    <w:p>
      <w:pPr>
        <w:spacing w:line="360" w:lineRule="auto"/>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.1.</w:t>
      </w:r>
      <w:r>
        <w:rPr>
          <w:rFonts w:cs="宋体" w:eastAsiaTheme="minorEastAsia"/>
          <w:b/>
          <w:color w:val="auto"/>
          <w:kern w:val="2"/>
          <w:sz w:val="24"/>
          <w:szCs w:val="24"/>
        </w:rPr>
        <w:t>10</w:t>
      </w:r>
      <w:r>
        <w:rPr>
          <w:rFonts w:hint="eastAsia" w:ascii="宋体" w:hAnsi="宋体"/>
          <w:color w:val="auto"/>
          <w:sz w:val="24"/>
          <w:szCs w:val="24"/>
        </w:rPr>
        <w:t>当采用整体式橱柜和卫浴设施时，机电管线和整体设施的连接应安全可靠，便于施工，且管线布置宜相对集中。</w:t>
      </w:r>
    </w:p>
    <w:p>
      <w:pPr>
        <w:spacing w:line="360" w:lineRule="auto"/>
        <w:jc w:val="left"/>
        <w:rPr>
          <w:rFonts w:cs="宋体" w:eastAsiaTheme="minorEastAsia"/>
          <w:color w:val="auto"/>
          <w:kern w:val="2"/>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.1.</w:t>
      </w:r>
      <w:r>
        <w:rPr>
          <w:rFonts w:cs="宋体" w:eastAsiaTheme="minorEastAsia"/>
          <w:b/>
          <w:color w:val="auto"/>
          <w:kern w:val="2"/>
          <w:sz w:val="24"/>
          <w:szCs w:val="24"/>
        </w:rPr>
        <w:t>11</w:t>
      </w:r>
      <w:r>
        <w:rPr>
          <w:rFonts w:hint="eastAsia" w:ascii="宋体" w:hAnsi="宋体"/>
          <w:color w:val="auto"/>
          <w:sz w:val="24"/>
          <w:szCs w:val="24"/>
        </w:rPr>
        <w:t>设备与管线安装应满足结构安全要求，不应在结构构件安装后开槽，钻孔，打洞。不应损坏钢结构的防腐、防火性能。</w:t>
      </w:r>
    </w:p>
    <w:p>
      <w:pPr>
        <w:spacing w:line="360" w:lineRule="auto"/>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.1.</w:t>
      </w:r>
      <w:r>
        <w:rPr>
          <w:rFonts w:cs="宋体" w:eastAsiaTheme="minorEastAsia"/>
          <w:b/>
          <w:color w:val="auto"/>
          <w:kern w:val="2"/>
          <w:sz w:val="24"/>
          <w:szCs w:val="24"/>
        </w:rPr>
        <w:t>12</w:t>
      </w:r>
      <w:r>
        <w:rPr>
          <w:rFonts w:hint="eastAsia" w:ascii="宋体" w:hAnsi="宋体"/>
          <w:color w:val="auto"/>
          <w:sz w:val="24"/>
          <w:szCs w:val="24"/>
        </w:rPr>
        <w:t>设备与管线穿墙体、楼板、屋面时，应做好防水、防火、隔声及隔热等措施。防火封堵措施应符合现行国家标准《建筑设计防火规范》G</w:t>
      </w:r>
      <w:r>
        <w:rPr>
          <w:rFonts w:ascii="宋体" w:hAnsi="宋体"/>
          <w:color w:val="auto"/>
          <w:sz w:val="24"/>
          <w:szCs w:val="24"/>
        </w:rPr>
        <w:t>B</w:t>
      </w:r>
      <w:r>
        <w:rPr>
          <w:rFonts w:hint="eastAsia" w:ascii="宋体" w:hAnsi="宋体"/>
          <w:color w:val="auto"/>
          <w:sz w:val="24"/>
          <w:szCs w:val="24"/>
        </w:rPr>
        <w:t xml:space="preserve"> </w:t>
      </w:r>
      <w:r>
        <w:rPr>
          <w:rFonts w:ascii="宋体" w:hAnsi="宋体"/>
          <w:color w:val="auto"/>
          <w:sz w:val="24"/>
          <w:szCs w:val="24"/>
        </w:rPr>
        <w:t>50016</w:t>
      </w:r>
      <w:r>
        <w:rPr>
          <w:rFonts w:hint="eastAsia" w:ascii="宋体" w:hAnsi="宋体"/>
          <w:color w:val="auto"/>
          <w:sz w:val="24"/>
          <w:szCs w:val="24"/>
        </w:rPr>
        <w:t>、《建筑防火技术封堵应用技术标准》G</w:t>
      </w:r>
      <w:r>
        <w:rPr>
          <w:rFonts w:ascii="宋体" w:hAnsi="宋体"/>
          <w:color w:val="auto"/>
          <w:sz w:val="24"/>
          <w:szCs w:val="24"/>
        </w:rPr>
        <w:t>B</w:t>
      </w:r>
      <w:r>
        <w:rPr>
          <w:rFonts w:hint="eastAsia" w:ascii="宋体" w:hAnsi="宋体"/>
          <w:color w:val="auto"/>
          <w:sz w:val="24"/>
          <w:szCs w:val="24"/>
        </w:rPr>
        <w:t>/</w:t>
      </w:r>
      <w:r>
        <w:rPr>
          <w:rFonts w:ascii="宋体" w:hAnsi="宋体"/>
          <w:color w:val="auto"/>
          <w:sz w:val="24"/>
          <w:szCs w:val="24"/>
        </w:rPr>
        <w:t>T</w:t>
      </w:r>
      <w:r>
        <w:rPr>
          <w:rFonts w:hint="eastAsia" w:ascii="宋体" w:hAnsi="宋体"/>
          <w:color w:val="auto"/>
          <w:sz w:val="24"/>
          <w:szCs w:val="24"/>
        </w:rPr>
        <w:t xml:space="preserve"> </w:t>
      </w:r>
      <w:r>
        <w:rPr>
          <w:rFonts w:ascii="宋体" w:hAnsi="宋体"/>
          <w:color w:val="auto"/>
          <w:sz w:val="24"/>
          <w:szCs w:val="24"/>
        </w:rPr>
        <w:t>51410</w:t>
      </w:r>
      <w:r>
        <w:rPr>
          <w:rFonts w:hint="eastAsia" w:ascii="宋体" w:hAnsi="宋体"/>
          <w:color w:val="auto"/>
          <w:sz w:val="24"/>
          <w:szCs w:val="24"/>
        </w:rPr>
        <w:t>的规定。</w:t>
      </w:r>
    </w:p>
    <w:p>
      <w:pPr>
        <w:spacing w:line="360" w:lineRule="auto"/>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.1.1</w:t>
      </w:r>
      <w:r>
        <w:rPr>
          <w:rFonts w:cs="宋体" w:eastAsiaTheme="minorEastAsia"/>
          <w:b/>
          <w:color w:val="auto"/>
          <w:kern w:val="2"/>
          <w:sz w:val="24"/>
          <w:szCs w:val="24"/>
        </w:rPr>
        <w:t>3</w:t>
      </w:r>
      <w:r>
        <w:rPr>
          <w:rFonts w:hint="eastAsia" w:ascii="宋体" w:hAnsi="宋体"/>
          <w:color w:val="auto"/>
          <w:sz w:val="24"/>
          <w:szCs w:val="24"/>
        </w:rPr>
        <w:t>设备与管线固定连接不得影响钢结构构件的完整性与安全性，并宜采用预留埋件的连接方式。</w:t>
      </w:r>
    </w:p>
    <w:p>
      <w:pPr>
        <w:spacing w:line="360" w:lineRule="auto"/>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.1.</w:t>
      </w:r>
      <w:r>
        <w:rPr>
          <w:rFonts w:cs="宋体" w:eastAsiaTheme="minorEastAsia"/>
          <w:b/>
          <w:color w:val="auto"/>
          <w:kern w:val="2"/>
          <w:sz w:val="24"/>
          <w:szCs w:val="24"/>
        </w:rPr>
        <w:t>14</w:t>
      </w:r>
      <w:r>
        <w:rPr>
          <w:rFonts w:hint="eastAsia" w:ascii="宋体" w:hAnsi="宋体"/>
          <w:color w:val="auto"/>
          <w:sz w:val="24"/>
          <w:szCs w:val="24"/>
        </w:rPr>
        <w:t>设备与管线安装前应按设计文件核对结构构件预埋套管及预留孔洞的尺寸、位置，合格后方可施工。</w:t>
      </w:r>
    </w:p>
    <w:p>
      <w:pPr>
        <w:pStyle w:val="3"/>
        <w:spacing w:line="360" w:lineRule="auto"/>
        <w:jc w:val="center"/>
        <w:rPr>
          <w:rFonts w:ascii="Times New Roman" w:hAnsi="Times New Roman" w:eastAsia="宋体" w:cs="Times New Roman"/>
          <w:color w:val="auto"/>
          <w:sz w:val="28"/>
          <w:szCs w:val="28"/>
        </w:rPr>
      </w:pPr>
      <w:bookmarkStart w:id="120" w:name="_Toc90281548"/>
      <w:bookmarkStart w:id="121" w:name="_Toc76377009"/>
      <w:bookmarkStart w:id="122" w:name="_Toc103958763"/>
      <w:r>
        <w:rPr>
          <w:rFonts w:ascii="Times New Roman" w:hAnsi="Times New Roman" w:eastAsia="宋体" w:cs="Times New Roman"/>
          <w:color w:val="auto"/>
          <w:sz w:val="28"/>
          <w:szCs w:val="28"/>
        </w:rPr>
        <w:t>8</w:t>
      </w:r>
      <w:r>
        <w:rPr>
          <w:rFonts w:hint="eastAsia" w:ascii="Times New Roman" w:hAnsi="Times New Roman" w:eastAsia="宋体" w:cs="Times New Roman"/>
          <w:color w:val="auto"/>
          <w:sz w:val="28"/>
          <w:szCs w:val="28"/>
        </w:rPr>
        <w:t xml:space="preserve">.2 </w:t>
      </w:r>
      <w:r>
        <w:rPr>
          <w:rFonts w:ascii="Times New Roman" w:hAnsi="Times New Roman" w:eastAsia="宋体" w:cs="Times New Roman"/>
          <w:color w:val="auto"/>
          <w:sz w:val="28"/>
          <w:szCs w:val="28"/>
        </w:rPr>
        <w:t xml:space="preserve"> </w:t>
      </w:r>
      <w:r>
        <w:rPr>
          <w:rFonts w:hint="eastAsia" w:ascii="Times New Roman" w:hAnsi="Times New Roman" w:eastAsia="宋体" w:cs="Times New Roman"/>
          <w:color w:val="auto"/>
          <w:sz w:val="28"/>
          <w:szCs w:val="28"/>
        </w:rPr>
        <w:t>给水排水</w:t>
      </w:r>
      <w:bookmarkEnd w:id="120"/>
      <w:bookmarkEnd w:id="121"/>
      <w:bookmarkEnd w:id="122"/>
    </w:p>
    <w:p>
      <w:pPr>
        <w:spacing w:line="360" w:lineRule="auto"/>
        <w:jc w:val="left"/>
        <w:rPr>
          <w:rFonts w:cs="宋体" w:eastAsiaTheme="minorEastAsia"/>
          <w:b/>
          <w:color w:val="auto"/>
          <w:kern w:val="2"/>
          <w:sz w:val="24"/>
          <w:szCs w:val="24"/>
        </w:rPr>
      </w:pPr>
      <w:r>
        <w:rPr>
          <w:rFonts w:cs="宋体" w:eastAsiaTheme="minorEastAsia"/>
          <w:b/>
          <w:color w:val="auto"/>
          <w:kern w:val="2"/>
          <w:sz w:val="24"/>
          <w:szCs w:val="24"/>
        </w:rPr>
        <w:t>8.2.1</w:t>
      </w:r>
      <w:r>
        <w:rPr>
          <w:rFonts w:hint="eastAsia" w:ascii="宋体" w:hAnsi="宋体"/>
          <w:color w:val="auto"/>
          <w:sz w:val="24"/>
          <w:szCs w:val="24"/>
        </w:rPr>
        <w:t>钢结构住宅建筑各类生活供水水质应符合现行国家标准《生活饮用水卫生标准》G</w:t>
      </w:r>
      <w:r>
        <w:rPr>
          <w:rFonts w:ascii="宋体" w:hAnsi="宋体"/>
          <w:color w:val="auto"/>
          <w:sz w:val="24"/>
          <w:szCs w:val="24"/>
        </w:rPr>
        <w:t>B5749</w:t>
      </w:r>
      <w:r>
        <w:rPr>
          <w:rFonts w:hint="eastAsia" w:ascii="宋体" w:hAnsi="宋体"/>
          <w:color w:val="auto"/>
          <w:sz w:val="24"/>
          <w:szCs w:val="24"/>
        </w:rPr>
        <w:t>的规定。节水设计应符合现行国家标准《建筑给水排水与节水通则规范》G</w:t>
      </w:r>
      <w:r>
        <w:rPr>
          <w:rFonts w:ascii="宋体" w:hAnsi="宋体"/>
          <w:color w:val="auto"/>
          <w:sz w:val="24"/>
          <w:szCs w:val="24"/>
        </w:rPr>
        <w:t>B55020</w:t>
      </w:r>
      <w:r>
        <w:rPr>
          <w:rFonts w:hint="eastAsia" w:ascii="宋体" w:hAnsi="宋体"/>
          <w:color w:val="auto"/>
          <w:sz w:val="24"/>
          <w:szCs w:val="24"/>
        </w:rPr>
        <w:t>及《民用建筑节水设计标准》G</w:t>
      </w:r>
      <w:r>
        <w:rPr>
          <w:rFonts w:ascii="宋体" w:hAnsi="宋体"/>
          <w:color w:val="auto"/>
          <w:sz w:val="24"/>
          <w:szCs w:val="24"/>
        </w:rPr>
        <w:t>B50555</w:t>
      </w:r>
      <w:r>
        <w:rPr>
          <w:rFonts w:hint="eastAsia" w:ascii="宋体" w:hAnsi="宋体"/>
          <w:color w:val="auto"/>
          <w:sz w:val="24"/>
          <w:szCs w:val="24"/>
        </w:rPr>
        <w:t>的规定。</w:t>
      </w:r>
    </w:p>
    <w:p>
      <w:pPr>
        <w:spacing w:line="360" w:lineRule="auto"/>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.2.</w:t>
      </w:r>
      <w:r>
        <w:rPr>
          <w:rFonts w:cs="宋体" w:eastAsiaTheme="minorEastAsia"/>
          <w:b/>
          <w:color w:val="auto"/>
          <w:kern w:val="2"/>
          <w:sz w:val="24"/>
          <w:szCs w:val="24"/>
        </w:rPr>
        <w:t>2</w:t>
      </w:r>
      <w:r>
        <w:rPr>
          <w:rFonts w:hint="eastAsia" w:ascii="宋体" w:hAnsi="宋体"/>
          <w:color w:val="auto"/>
          <w:sz w:val="24"/>
          <w:szCs w:val="24"/>
        </w:rPr>
        <w:t>室内给水管道应选用耐腐蚀和安装连接方便可靠的管材，可采用不锈钢管、铜管、塑料给水管和金属塑料复合管。</w:t>
      </w:r>
    </w:p>
    <w:p>
      <w:pPr>
        <w:spacing w:line="360" w:lineRule="auto"/>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.2.</w:t>
      </w:r>
      <w:r>
        <w:rPr>
          <w:rFonts w:cs="宋体" w:eastAsiaTheme="minorEastAsia"/>
          <w:b/>
          <w:color w:val="auto"/>
          <w:kern w:val="2"/>
          <w:sz w:val="24"/>
          <w:szCs w:val="24"/>
        </w:rPr>
        <w:t>3</w:t>
      </w:r>
      <w:r>
        <w:rPr>
          <w:rFonts w:hint="eastAsia" w:ascii="宋体" w:hAnsi="宋体"/>
          <w:color w:val="auto"/>
          <w:sz w:val="24"/>
          <w:szCs w:val="24"/>
        </w:rPr>
        <w:t>住宅户内给水系统应采用装配率高的管道及配件，连接方式应安全可靠。当采用塑料给水管道时，宜采用分水器配水，分水器与用水器具的管道应一对一连接，埋设的给水管道不得设置连接接口，分水器设置的位置应便于检修。</w:t>
      </w:r>
    </w:p>
    <w:p>
      <w:pPr>
        <w:spacing w:line="360" w:lineRule="auto"/>
        <w:jc w:val="left"/>
        <w:rPr>
          <w:rFonts w:ascii="宋体" w:hAnsi="宋体"/>
          <w:color w:val="FF0000"/>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.2.</w:t>
      </w:r>
      <w:r>
        <w:rPr>
          <w:rFonts w:cs="宋体" w:eastAsiaTheme="minorEastAsia"/>
          <w:b/>
          <w:color w:val="auto"/>
          <w:kern w:val="2"/>
          <w:sz w:val="24"/>
          <w:szCs w:val="24"/>
        </w:rPr>
        <w:t>4</w:t>
      </w:r>
      <w:r>
        <w:rPr>
          <w:rFonts w:hint="eastAsia" w:ascii="宋体" w:hAnsi="宋体"/>
          <w:color w:val="auto"/>
          <w:sz w:val="24"/>
          <w:szCs w:val="24"/>
        </w:rPr>
        <w:t>排水管道宜采用柔性接口铸铁排水管道、钢塑复合排水管道、静音型塑料排水管道及相应的连接方式，管道及管道配件应选用配套产品。</w:t>
      </w:r>
    </w:p>
    <w:p>
      <w:pPr>
        <w:spacing w:line="360" w:lineRule="auto"/>
        <w:ind w:left="82" w:leftChars="39"/>
        <w:jc w:val="left"/>
        <w:rPr>
          <w:color w:val="0070C0"/>
          <w:kern w:val="2"/>
        </w:rPr>
      </w:pPr>
      <w:r>
        <w:rPr>
          <w:rFonts w:hint="eastAsia" w:ascii="宋体" w:hAnsi="宋体" w:cs="黑体"/>
          <w:b/>
          <w:color w:val="auto"/>
        </w:rPr>
        <w:t>【条文解释】：</w:t>
      </w:r>
      <w:r>
        <w:rPr>
          <w:rFonts w:hint="eastAsia"/>
          <w:color w:val="0070C0"/>
          <w:kern w:val="2"/>
        </w:rPr>
        <w:t>为降低住宅噪声污染，提高住宅生活品质，优先选用防噪声效果好的金属材料管材、复合材料管材和静音效果佳的塑料管材。</w:t>
      </w:r>
    </w:p>
    <w:p>
      <w:pPr>
        <w:spacing w:line="360" w:lineRule="auto"/>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.2.</w:t>
      </w:r>
      <w:r>
        <w:rPr>
          <w:rFonts w:cs="宋体" w:eastAsiaTheme="minorEastAsia"/>
          <w:b/>
          <w:color w:val="auto"/>
          <w:kern w:val="2"/>
          <w:sz w:val="24"/>
          <w:szCs w:val="24"/>
        </w:rPr>
        <w:t>5</w:t>
      </w:r>
      <w:r>
        <w:rPr>
          <w:rFonts w:hint="eastAsia" w:ascii="宋体" w:hAnsi="宋体"/>
          <w:color w:val="auto"/>
          <w:sz w:val="24"/>
          <w:szCs w:val="24"/>
        </w:rPr>
        <w:t>卫生间宜采用同层排水方式。可根据其使用功能、卫生器具布置、装修标准等要求选择沿墙敷设或地面敷设同层排水系统。</w:t>
      </w:r>
    </w:p>
    <w:p>
      <w:pPr>
        <w:spacing w:line="360" w:lineRule="auto"/>
        <w:ind w:left="723" w:hanging="723" w:hangingChars="300"/>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.2.</w:t>
      </w:r>
      <w:r>
        <w:rPr>
          <w:rFonts w:cs="宋体" w:eastAsiaTheme="minorEastAsia"/>
          <w:b/>
          <w:color w:val="auto"/>
          <w:kern w:val="2"/>
          <w:sz w:val="24"/>
          <w:szCs w:val="24"/>
        </w:rPr>
        <w:t>6</w:t>
      </w:r>
      <w:r>
        <w:rPr>
          <w:rFonts w:hint="eastAsia" w:ascii="宋体" w:hAnsi="宋体"/>
          <w:color w:val="auto"/>
          <w:sz w:val="24"/>
          <w:szCs w:val="24"/>
        </w:rPr>
        <w:t>集成式厨房和卫生间的给排水管道敷设应符合下列规定：</w:t>
      </w:r>
    </w:p>
    <w:p>
      <w:pPr>
        <w:spacing w:line="360" w:lineRule="auto"/>
        <w:ind w:left="630" w:leftChars="300"/>
        <w:jc w:val="left"/>
        <w:rPr>
          <w:rFonts w:ascii="宋体" w:hAnsi="宋体"/>
          <w:color w:val="auto"/>
          <w:sz w:val="24"/>
          <w:szCs w:val="24"/>
        </w:rPr>
      </w:pPr>
      <w:r>
        <w:rPr>
          <w:rFonts w:hint="eastAsia" w:ascii="宋体" w:hAnsi="宋体"/>
          <w:color w:val="auto"/>
          <w:sz w:val="24"/>
          <w:szCs w:val="24"/>
        </w:rPr>
        <w:t>1给水管道宜沿顶板或靠近墙角敷设，分水点宜设置在便于检修的位置；</w:t>
      </w:r>
    </w:p>
    <w:p>
      <w:pPr>
        <w:spacing w:line="360" w:lineRule="auto"/>
        <w:ind w:left="800" w:leftChars="300" w:hanging="170"/>
        <w:jc w:val="left"/>
        <w:rPr>
          <w:rFonts w:ascii="宋体" w:hAnsi="宋体"/>
          <w:color w:val="auto"/>
          <w:sz w:val="24"/>
          <w:szCs w:val="24"/>
        </w:rPr>
      </w:pPr>
      <w:r>
        <w:rPr>
          <w:rFonts w:hint="eastAsia" w:ascii="宋体" w:hAnsi="宋体"/>
          <w:color w:val="auto"/>
          <w:sz w:val="24"/>
          <w:szCs w:val="24"/>
        </w:rPr>
        <w:t>2当采用分水器配水系统时，卫生间、盥洗室冷热水管应分别设置分水器，且应集中设置，当采用上下设置时，热水分水器宜设在上方；</w:t>
      </w:r>
    </w:p>
    <w:p>
      <w:pPr>
        <w:spacing w:line="360" w:lineRule="auto"/>
        <w:ind w:left="630" w:leftChars="300"/>
        <w:jc w:val="left"/>
        <w:rPr>
          <w:rFonts w:ascii="宋体" w:hAnsi="宋体"/>
          <w:color w:val="auto"/>
          <w:sz w:val="24"/>
          <w:szCs w:val="24"/>
        </w:rPr>
      </w:pPr>
      <w:r>
        <w:rPr>
          <w:rFonts w:ascii="宋体" w:hAnsi="宋体"/>
          <w:color w:val="auto"/>
          <w:sz w:val="24"/>
          <w:szCs w:val="24"/>
        </w:rPr>
        <w:t>3</w:t>
      </w:r>
      <w:r>
        <w:rPr>
          <w:rFonts w:hint="eastAsia" w:ascii="宋体" w:hAnsi="宋体"/>
          <w:color w:val="auto"/>
          <w:sz w:val="24"/>
          <w:szCs w:val="24"/>
        </w:rPr>
        <w:t>当给水管道敷设在龙骨隔墙内时，应采用竖向敷设；</w:t>
      </w:r>
    </w:p>
    <w:p>
      <w:pPr>
        <w:spacing w:line="360" w:lineRule="auto"/>
        <w:ind w:left="630" w:leftChars="300"/>
        <w:jc w:val="left"/>
        <w:rPr>
          <w:rFonts w:ascii="宋体" w:hAnsi="宋体"/>
          <w:color w:val="auto"/>
          <w:sz w:val="24"/>
          <w:szCs w:val="24"/>
        </w:rPr>
      </w:pPr>
      <w:r>
        <w:rPr>
          <w:rFonts w:ascii="宋体" w:hAnsi="宋体"/>
          <w:color w:val="auto"/>
          <w:sz w:val="24"/>
          <w:szCs w:val="24"/>
        </w:rPr>
        <w:t>4</w:t>
      </w:r>
      <w:r>
        <w:rPr>
          <w:rFonts w:hint="eastAsia" w:ascii="宋体" w:hAnsi="宋体"/>
          <w:color w:val="auto"/>
          <w:sz w:val="24"/>
          <w:szCs w:val="24"/>
        </w:rPr>
        <w:t>当排水立管垂直穿过结构楼板时，宜采用预埋模式，预留孔洞应定位准确，不应采取施工现场开凿的方式进行立管垂直度的调整；</w:t>
      </w:r>
    </w:p>
    <w:p>
      <w:pPr>
        <w:spacing w:line="360" w:lineRule="auto"/>
        <w:ind w:left="630" w:leftChars="300"/>
        <w:jc w:val="left"/>
        <w:rPr>
          <w:rFonts w:ascii="宋体" w:hAnsi="宋体"/>
          <w:color w:val="auto"/>
          <w:sz w:val="24"/>
          <w:szCs w:val="24"/>
        </w:rPr>
      </w:pPr>
      <w:r>
        <w:rPr>
          <w:rFonts w:ascii="宋体" w:hAnsi="宋体"/>
          <w:color w:val="auto"/>
          <w:sz w:val="24"/>
          <w:szCs w:val="24"/>
        </w:rPr>
        <w:t>5</w:t>
      </w:r>
      <w:r>
        <w:rPr>
          <w:rFonts w:hint="eastAsia" w:ascii="宋体" w:hAnsi="宋体"/>
          <w:color w:val="auto"/>
          <w:sz w:val="24"/>
          <w:szCs w:val="24"/>
        </w:rPr>
        <w:t>排水立管的连接接头不得埋设在结构楼板内。</w:t>
      </w:r>
    </w:p>
    <w:p>
      <w:pPr>
        <w:spacing w:line="360" w:lineRule="auto"/>
        <w:ind w:left="76" w:leftChars="36"/>
        <w:jc w:val="left"/>
        <w:rPr>
          <w:color w:val="0070C0"/>
          <w:kern w:val="2"/>
        </w:rPr>
      </w:pPr>
      <w:r>
        <w:rPr>
          <w:rFonts w:hint="eastAsia" w:ascii="宋体" w:hAnsi="宋体" w:cs="黑体"/>
          <w:b/>
          <w:color w:val="auto"/>
        </w:rPr>
        <w:t>【条文解释】：</w:t>
      </w:r>
      <w:r>
        <w:rPr>
          <w:rFonts w:hint="eastAsia"/>
          <w:color w:val="0070C0"/>
          <w:kern w:val="2"/>
        </w:rPr>
        <w:t>1当给水管道沿顶板下敷设或地面墙角靠近排水立管敷设时，可利用排水立管包封管井空间的间隙敷设给水支管，既可节省安装空间又便于集中检修；</w:t>
      </w:r>
      <w:r>
        <w:rPr>
          <w:color w:val="0070C0"/>
          <w:kern w:val="2"/>
        </w:rPr>
        <w:t>2</w:t>
      </w:r>
      <w:r>
        <w:rPr>
          <w:rFonts w:hint="eastAsia"/>
          <w:color w:val="0070C0"/>
          <w:kern w:val="2"/>
        </w:rPr>
        <w:t>龙骨隔墙是指非混凝土构造的轻质隔墙，当给水管道敷设于龙骨隔墙内时，为避免穿越龙骨影响支撑，只允许竖向敷设；</w:t>
      </w:r>
      <w:r>
        <w:rPr>
          <w:color w:val="0070C0"/>
          <w:kern w:val="2"/>
        </w:rPr>
        <w:t>3</w:t>
      </w:r>
      <w:r>
        <w:rPr>
          <w:rFonts w:hint="eastAsia"/>
          <w:color w:val="0070C0"/>
          <w:kern w:val="2"/>
        </w:rPr>
        <w:t>排水立管穿越楼板处宜预埋带止水功能且中心可调的套管或管件，既可有效防止管道在安装过程中出现的渗漏问题，又可以微调立管的垂直度；</w:t>
      </w:r>
      <w:r>
        <w:rPr>
          <w:color w:val="0070C0"/>
          <w:kern w:val="2"/>
        </w:rPr>
        <w:t>4</w:t>
      </w:r>
      <w:r>
        <w:rPr>
          <w:rFonts w:hint="eastAsia"/>
          <w:color w:val="0070C0"/>
          <w:kern w:val="2"/>
        </w:rPr>
        <w:t>排水立管连接排水横支管的接头埋设在楼板中容易产生漏水，且无法检修维护。因此，排水立管在穿越楼板处预埋管件时，可采用整体的组合式管件。</w:t>
      </w:r>
    </w:p>
    <w:p>
      <w:pPr>
        <w:spacing w:line="360" w:lineRule="auto"/>
        <w:ind w:left="723" w:hanging="723" w:hangingChars="300"/>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.2.</w:t>
      </w:r>
      <w:r>
        <w:rPr>
          <w:rFonts w:cs="宋体" w:eastAsiaTheme="minorEastAsia"/>
          <w:b/>
          <w:color w:val="auto"/>
          <w:kern w:val="2"/>
          <w:sz w:val="24"/>
          <w:szCs w:val="24"/>
        </w:rPr>
        <w:t>7</w:t>
      </w:r>
      <w:r>
        <w:rPr>
          <w:rFonts w:hint="eastAsia" w:ascii="宋体" w:hAnsi="宋体"/>
          <w:color w:val="auto"/>
          <w:sz w:val="24"/>
          <w:szCs w:val="24"/>
        </w:rPr>
        <w:t>卫生器具应选用构造内自带水封的便器，且水封深度不应小于</w:t>
      </w:r>
      <w:r>
        <w:rPr>
          <w:rFonts w:ascii="宋体" w:hAnsi="宋体"/>
          <w:color w:val="auto"/>
          <w:sz w:val="24"/>
          <w:szCs w:val="24"/>
        </w:rPr>
        <w:t>50</w:t>
      </w:r>
      <w:r>
        <w:rPr>
          <w:rFonts w:hint="eastAsia" w:ascii="宋体" w:hAnsi="宋体"/>
          <w:color w:val="auto"/>
          <w:sz w:val="24"/>
          <w:szCs w:val="24"/>
        </w:rPr>
        <w:t>mm。</w:t>
      </w:r>
    </w:p>
    <w:p>
      <w:pPr>
        <w:spacing w:line="360" w:lineRule="auto"/>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.2.</w:t>
      </w:r>
      <w:r>
        <w:rPr>
          <w:rFonts w:cs="宋体" w:eastAsiaTheme="minorEastAsia"/>
          <w:b/>
          <w:color w:val="auto"/>
          <w:kern w:val="2"/>
          <w:sz w:val="24"/>
          <w:szCs w:val="24"/>
        </w:rPr>
        <w:t>8</w:t>
      </w:r>
      <w:r>
        <w:rPr>
          <w:rFonts w:hint="eastAsia" w:ascii="宋体" w:hAnsi="宋体"/>
          <w:color w:val="auto"/>
          <w:sz w:val="24"/>
          <w:szCs w:val="24"/>
        </w:rPr>
        <w:t>卫生器具、水嘴、淋浴器等应符合现行行业标准《节水型生活用水器具》C</w:t>
      </w:r>
      <w:r>
        <w:rPr>
          <w:rFonts w:ascii="宋体" w:hAnsi="宋体"/>
          <w:color w:val="auto"/>
          <w:sz w:val="24"/>
          <w:szCs w:val="24"/>
        </w:rPr>
        <w:t>J164</w:t>
      </w:r>
      <w:r>
        <w:rPr>
          <w:rFonts w:hint="eastAsia" w:ascii="宋体" w:hAnsi="宋体"/>
          <w:color w:val="auto"/>
          <w:sz w:val="24"/>
          <w:szCs w:val="24"/>
        </w:rPr>
        <w:t>的要求。</w:t>
      </w:r>
    </w:p>
    <w:p>
      <w:pPr>
        <w:spacing w:line="360" w:lineRule="auto"/>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.2.</w:t>
      </w:r>
      <w:r>
        <w:rPr>
          <w:rFonts w:cs="宋体" w:eastAsiaTheme="minorEastAsia"/>
          <w:b/>
          <w:color w:val="auto"/>
          <w:kern w:val="2"/>
          <w:sz w:val="24"/>
          <w:szCs w:val="24"/>
        </w:rPr>
        <w:t>9</w:t>
      </w:r>
      <w:r>
        <w:rPr>
          <w:rFonts w:hint="eastAsia" w:ascii="宋体" w:hAnsi="宋体"/>
          <w:color w:val="auto"/>
          <w:sz w:val="24"/>
          <w:szCs w:val="24"/>
        </w:rPr>
        <w:t>水封装置的设置应符合现行国家标准《建筑给水排水与节水通则规范》G</w:t>
      </w:r>
      <w:r>
        <w:rPr>
          <w:rFonts w:ascii="宋体" w:hAnsi="宋体"/>
          <w:color w:val="auto"/>
          <w:sz w:val="24"/>
          <w:szCs w:val="24"/>
        </w:rPr>
        <w:t>B55020</w:t>
      </w:r>
      <w:r>
        <w:rPr>
          <w:rFonts w:hint="eastAsia" w:ascii="宋体" w:hAnsi="宋体"/>
          <w:color w:val="auto"/>
          <w:sz w:val="24"/>
          <w:szCs w:val="24"/>
        </w:rPr>
        <w:t>的有关规定。地漏设置应符合现行国家标准《建筑给水排水设计标准》G</w:t>
      </w:r>
      <w:r>
        <w:rPr>
          <w:rFonts w:ascii="宋体" w:hAnsi="宋体"/>
          <w:color w:val="auto"/>
          <w:sz w:val="24"/>
          <w:szCs w:val="24"/>
        </w:rPr>
        <w:t>B50015</w:t>
      </w:r>
      <w:r>
        <w:rPr>
          <w:rFonts w:hint="eastAsia" w:ascii="宋体" w:hAnsi="宋体"/>
          <w:color w:val="auto"/>
          <w:sz w:val="24"/>
          <w:szCs w:val="24"/>
        </w:rPr>
        <w:t>的有关规定。</w:t>
      </w:r>
    </w:p>
    <w:p>
      <w:pPr>
        <w:spacing w:line="360" w:lineRule="auto"/>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.2.</w:t>
      </w:r>
      <w:r>
        <w:rPr>
          <w:rFonts w:cs="宋体" w:eastAsiaTheme="minorEastAsia"/>
          <w:b/>
          <w:color w:val="auto"/>
          <w:kern w:val="2"/>
          <w:sz w:val="24"/>
          <w:szCs w:val="24"/>
        </w:rPr>
        <w:t>10</w:t>
      </w:r>
      <w:r>
        <w:rPr>
          <w:rFonts w:hint="eastAsia" w:ascii="宋体" w:hAnsi="宋体"/>
          <w:color w:val="auto"/>
          <w:sz w:val="24"/>
          <w:szCs w:val="24"/>
        </w:rPr>
        <w:t>当设置太阳能热水系统时，集水器、储水罐等应与主体结构、外围护系统、内装系统一体化设计。</w:t>
      </w:r>
    </w:p>
    <w:p>
      <w:pPr>
        <w:spacing w:line="360" w:lineRule="auto"/>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.2.</w:t>
      </w:r>
      <w:r>
        <w:rPr>
          <w:rFonts w:cs="宋体" w:eastAsiaTheme="minorEastAsia"/>
          <w:b/>
          <w:color w:val="auto"/>
          <w:kern w:val="2"/>
          <w:sz w:val="24"/>
          <w:szCs w:val="24"/>
        </w:rPr>
        <w:t>11</w:t>
      </w:r>
      <w:r>
        <w:rPr>
          <w:rFonts w:hint="eastAsia" w:ascii="宋体" w:hAnsi="宋体"/>
          <w:color w:val="auto"/>
          <w:sz w:val="24"/>
          <w:szCs w:val="24"/>
        </w:rPr>
        <w:t>敷设在吊顶，地面、墙面架空层内的管线应采取防腐蚀、隔声减噪和防结露等措施。</w:t>
      </w:r>
    </w:p>
    <w:p>
      <w:pPr>
        <w:spacing w:line="360" w:lineRule="auto"/>
        <w:jc w:val="left"/>
        <w:rPr>
          <w:rFonts w:ascii="宋体" w:hAnsi="宋体"/>
          <w:color w:val="4F81BD" w:themeColor="accent1"/>
          <w:sz w:val="24"/>
          <w:szCs w:val="24"/>
        </w:rPr>
      </w:pPr>
      <w:r>
        <w:rPr>
          <w:rFonts w:cs="宋体" w:eastAsiaTheme="minorEastAsia"/>
          <w:b/>
          <w:color w:val="auto"/>
          <w:kern w:val="2"/>
          <w:sz w:val="24"/>
          <w:szCs w:val="24"/>
        </w:rPr>
        <w:t>8.2.12</w:t>
      </w:r>
      <w:r>
        <w:rPr>
          <w:rFonts w:hint="eastAsia" w:ascii="宋体" w:hAnsi="宋体"/>
          <w:color w:val="auto"/>
          <w:sz w:val="24"/>
          <w:szCs w:val="24"/>
        </w:rPr>
        <w:t>给水、消防加压泵房，增压稳压等设备不得设置在居住用房的上层、下层和毗邻的房间内，不得污染居住环境。</w:t>
      </w:r>
    </w:p>
    <w:p>
      <w:pPr>
        <w:spacing w:line="360" w:lineRule="auto"/>
        <w:ind w:left="124" w:leftChars="59"/>
        <w:jc w:val="left"/>
        <w:rPr>
          <w:color w:val="0070C0"/>
          <w:kern w:val="2"/>
        </w:rPr>
      </w:pPr>
      <w:r>
        <w:rPr>
          <w:rFonts w:hint="eastAsia" w:ascii="宋体" w:hAnsi="宋体" w:cs="黑体"/>
          <w:b/>
          <w:color w:val="auto"/>
        </w:rPr>
        <w:t>【条文解释】：</w:t>
      </w:r>
      <w:r>
        <w:rPr>
          <w:rFonts w:hint="eastAsia"/>
          <w:color w:val="0070C0"/>
          <w:kern w:val="2"/>
        </w:rPr>
        <w:t>根据调研，噪声和振动已经是住房质量常见问题之一。生活、消防加压水泵，消防增压稳压等设备在运行中都会产生噪声、振动，因此，为了保障人民群众切身利益，考虑钢结构材质及连接做法的特殊性，除工程应用中要选用性能好、噪声低、振动小的设备及采取必要的措施外，不得将这些设备设置在要求噪声级标准高的起居室（厅）、卧室等房间的上、下层及毗邻位置。给水、消防加压泵房等设备用房宜单独设置在室外位置，当其设置在住宅地下一层时，其上方不应有居住用房。</w:t>
      </w:r>
    </w:p>
    <w:p>
      <w:pPr>
        <w:pStyle w:val="3"/>
        <w:spacing w:line="360" w:lineRule="auto"/>
        <w:jc w:val="center"/>
        <w:rPr>
          <w:rFonts w:ascii="Times New Roman" w:hAnsi="Times New Roman" w:eastAsia="宋体" w:cs="Times New Roman"/>
          <w:color w:val="auto"/>
          <w:sz w:val="28"/>
          <w:szCs w:val="28"/>
        </w:rPr>
      </w:pPr>
      <w:bookmarkStart w:id="123" w:name="_Toc103958764"/>
      <w:r>
        <w:rPr>
          <w:rFonts w:ascii="Times New Roman" w:hAnsi="Times New Roman" w:eastAsia="宋体" w:cs="Times New Roman"/>
          <w:color w:val="auto"/>
          <w:sz w:val="28"/>
          <w:szCs w:val="28"/>
        </w:rPr>
        <w:t>8</w:t>
      </w:r>
      <w:r>
        <w:rPr>
          <w:rFonts w:hint="eastAsia" w:ascii="Times New Roman" w:hAnsi="Times New Roman" w:eastAsia="宋体" w:cs="Times New Roman"/>
          <w:color w:val="auto"/>
          <w:sz w:val="28"/>
          <w:szCs w:val="28"/>
        </w:rPr>
        <w:t>.3</w:t>
      </w:r>
      <w:r>
        <w:rPr>
          <w:rFonts w:ascii="Times New Roman" w:hAnsi="Times New Roman" w:eastAsia="宋体" w:cs="Times New Roman"/>
          <w:color w:val="auto"/>
          <w:sz w:val="28"/>
          <w:szCs w:val="28"/>
        </w:rPr>
        <w:t xml:space="preserve"> </w:t>
      </w:r>
      <w:r>
        <w:rPr>
          <w:rFonts w:hint="eastAsia" w:ascii="Times New Roman" w:hAnsi="Times New Roman" w:eastAsia="宋体" w:cs="Times New Roman"/>
          <w:color w:val="auto"/>
          <w:sz w:val="28"/>
          <w:szCs w:val="28"/>
        </w:rPr>
        <w:t xml:space="preserve"> 供暖、通风、空调和燃气</w:t>
      </w:r>
      <w:bookmarkEnd w:id="123"/>
    </w:p>
    <w:p>
      <w:pPr>
        <w:spacing w:line="360" w:lineRule="auto"/>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.3.1</w:t>
      </w:r>
      <w:r>
        <w:rPr>
          <w:rFonts w:hint="eastAsia" w:ascii="宋体" w:hAnsi="宋体"/>
          <w:color w:val="auto"/>
          <w:sz w:val="24"/>
          <w:szCs w:val="24"/>
        </w:rPr>
        <w:t>供暖系统设计应符合下列规定：</w:t>
      </w:r>
    </w:p>
    <w:p>
      <w:pPr>
        <w:spacing w:line="360" w:lineRule="auto"/>
        <w:ind w:left="630" w:leftChars="300"/>
        <w:jc w:val="left"/>
        <w:rPr>
          <w:rFonts w:ascii="宋体" w:hAnsi="宋体"/>
          <w:color w:val="auto"/>
          <w:sz w:val="24"/>
          <w:szCs w:val="24"/>
        </w:rPr>
      </w:pPr>
      <w:r>
        <w:rPr>
          <w:rFonts w:ascii="宋体" w:hAnsi="宋体"/>
          <w:color w:val="auto"/>
          <w:sz w:val="24"/>
          <w:szCs w:val="24"/>
        </w:rPr>
        <w:t>1</w:t>
      </w:r>
      <w:r>
        <w:rPr>
          <w:rFonts w:hint="eastAsia" w:ascii="宋体" w:hAnsi="宋体"/>
          <w:color w:val="auto"/>
          <w:sz w:val="24"/>
          <w:szCs w:val="24"/>
        </w:rPr>
        <w:t>宜选用干式低温热水地板辐射供暖系统。</w:t>
      </w:r>
    </w:p>
    <w:p>
      <w:pPr>
        <w:spacing w:line="360" w:lineRule="auto"/>
        <w:ind w:left="800" w:leftChars="300" w:hanging="170"/>
        <w:jc w:val="left"/>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当采用散热器供暖时，供回水管宜选用干法施工。安装散热器的墙板部 件应采取加强措施。</w:t>
      </w:r>
    </w:p>
    <w:p>
      <w:pPr>
        <w:spacing w:line="360" w:lineRule="auto"/>
        <w:ind w:left="124" w:leftChars="59"/>
        <w:jc w:val="left"/>
        <w:rPr>
          <w:color w:val="0070C0"/>
          <w:kern w:val="2"/>
        </w:rPr>
      </w:pPr>
      <w:r>
        <w:rPr>
          <w:rFonts w:hint="eastAsia" w:ascii="宋体" w:hAnsi="宋体" w:cs="黑体"/>
          <w:b/>
          <w:color w:val="auto"/>
        </w:rPr>
        <w:t>【条文解释】：</w:t>
      </w:r>
      <w:r>
        <w:rPr>
          <w:rFonts w:hint="eastAsia"/>
          <w:color w:val="0070C0"/>
          <w:kern w:val="2"/>
        </w:rPr>
        <w:t>与传统湿式地暖不同，装配式干式地暖具备施工周期短、荷载小、易于维修等优点。当采用散热器供暖时，散热器安装应牢固可靠，根据不同墙体结构，采取满足刚度要求的挂件、支架。</w:t>
      </w:r>
    </w:p>
    <w:p>
      <w:pPr>
        <w:spacing w:line="360" w:lineRule="auto"/>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.3.2</w:t>
      </w:r>
      <w:r>
        <w:rPr>
          <w:rFonts w:hint="eastAsia" w:ascii="宋体" w:hAnsi="宋体"/>
          <w:color w:val="auto"/>
          <w:sz w:val="24"/>
          <w:szCs w:val="24"/>
        </w:rPr>
        <w:t>供暖、通风、空调系统冷热输送管道应采取防结露和绝热措施，冷热水管道固定于钢构件上时，应采用绝热支架。</w:t>
      </w:r>
    </w:p>
    <w:p>
      <w:pPr>
        <w:spacing w:line="360" w:lineRule="auto"/>
        <w:jc w:val="left"/>
        <w:rPr>
          <w:rFonts w:ascii="宋体" w:hAnsi="宋体"/>
          <w:color w:val="auto"/>
          <w:sz w:val="24"/>
          <w:szCs w:val="24"/>
        </w:rPr>
      </w:pPr>
      <w:r>
        <w:rPr>
          <w:rFonts w:hint="eastAsia" w:cs="宋体" w:eastAsiaTheme="minorEastAsia"/>
          <w:b/>
          <w:color w:val="auto"/>
          <w:kern w:val="2"/>
          <w:sz w:val="24"/>
          <w:szCs w:val="24"/>
        </w:rPr>
        <w:t>8.3.3</w:t>
      </w:r>
      <w:r>
        <w:rPr>
          <w:rFonts w:hint="eastAsia" w:ascii="宋体" w:hAnsi="宋体"/>
          <w:color w:val="auto"/>
          <w:sz w:val="24"/>
          <w:szCs w:val="24"/>
        </w:rPr>
        <w:t>室内空调设备的冷凝水应能有组织地排放。</w:t>
      </w:r>
    </w:p>
    <w:p>
      <w:pPr>
        <w:spacing w:line="360" w:lineRule="auto"/>
        <w:jc w:val="left"/>
        <w:rPr>
          <w:rFonts w:ascii="宋体" w:hAnsi="宋体"/>
          <w:color w:val="00B050"/>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.3.4</w:t>
      </w:r>
      <w:r>
        <w:rPr>
          <w:rFonts w:hint="eastAsia" w:ascii="宋体" w:hAnsi="宋体"/>
          <w:color w:val="auto"/>
          <w:sz w:val="24"/>
          <w:szCs w:val="24"/>
        </w:rPr>
        <w:t>供暖、空调冷热水管道的固定支架不应直接固定在钢梁、钢柱上，不应影响钢结构构件的完整性与结构的安全性。</w:t>
      </w:r>
    </w:p>
    <w:p>
      <w:pPr>
        <w:spacing w:line="360" w:lineRule="auto"/>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.3.5</w:t>
      </w:r>
      <w:r>
        <w:rPr>
          <w:rFonts w:hint="eastAsia" w:ascii="宋体" w:hAnsi="宋体"/>
          <w:color w:val="auto"/>
          <w:sz w:val="24"/>
          <w:szCs w:val="24"/>
        </w:rPr>
        <w:t>设备基础，管线与钢结构主体固定连接时应采用牢固的支吊架并应有隔声、防颤措施。</w:t>
      </w:r>
    </w:p>
    <w:p>
      <w:pPr>
        <w:spacing w:line="360" w:lineRule="auto"/>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.3.6</w:t>
      </w:r>
      <w:r>
        <w:rPr>
          <w:rFonts w:hint="eastAsia" w:ascii="宋体" w:hAnsi="宋体"/>
          <w:color w:val="auto"/>
          <w:sz w:val="24"/>
          <w:szCs w:val="24"/>
        </w:rPr>
        <w:t>无外窗的暗卫生间应设置防止倒流的机械通风系统。</w:t>
      </w:r>
    </w:p>
    <w:p>
      <w:pPr>
        <w:spacing w:line="360" w:lineRule="auto"/>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.3.7</w:t>
      </w:r>
      <w:r>
        <w:rPr>
          <w:rFonts w:hint="eastAsia" w:ascii="宋体" w:hAnsi="宋体"/>
          <w:color w:val="auto"/>
          <w:sz w:val="24"/>
          <w:szCs w:val="24"/>
        </w:rPr>
        <w:t>通风及空调系统的设备及管道接口应与维护系统统一设计或预留。</w:t>
      </w:r>
    </w:p>
    <w:p>
      <w:pPr>
        <w:spacing w:line="360" w:lineRule="auto"/>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.3.8</w:t>
      </w:r>
      <w:r>
        <w:rPr>
          <w:rFonts w:hint="eastAsia" w:ascii="宋体" w:hAnsi="宋体"/>
          <w:color w:val="auto"/>
          <w:sz w:val="24"/>
          <w:szCs w:val="24"/>
        </w:rPr>
        <w:t>水管和风管应采用成品预制管道，管材及连接方式应满足工业化建筑安装要求。</w:t>
      </w:r>
    </w:p>
    <w:p>
      <w:pPr>
        <w:spacing w:line="360" w:lineRule="auto"/>
        <w:ind w:left="84" w:leftChars="40"/>
        <w:jc w:val="left"/>
        <w:rPr>
          <w:color w:val="0070C0"/>
          <w:kern w:val="2"/>
        </w:rPr>
      </w:pPr>
      <w:r>
        <w:rPr>
          <w:rFonts w:hint="eastAsia" w:ascii="宋体" w:hAnsi="宋体" w:cs="黑体"/>
          <w:b/>
          <w:color w:val="auto"/>
        </w:rPr>
        <w:t>【条文解释】：</w:t>
      </w:r>
      <w:r>
        <w:rPr>
          <w:rFonts w:hint="eastAsia"/>
          <w:color w:val="0070C0"/>
          <w:kern w:val="2"/>
        </w:rPr>
        <w:t>成品预制管道在保证质量的同时可节省现场制作所耗费的时间，结合工业化建筑安装技术有利于现场快速安装，便于后期维护、拆解和重复利用。</w:t>
      </w:r>
    </w:p>
    <w:p>
      <w:pPr>
        <w:spacing w:line="360" w:lineRule="auto"/>
        <w:jc w:val="left"/>
        <w:rPr>
          <w:rFonts w:ascii="宋体" w:hAnsi="宋体"/>
          <w:color w:val="FF0000"/>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.3.9</w:t>
      </w:r>
      <w:r>
        <w:rPr>
          <w:rFonts w:hint="eastAsia" w:ascii="宋体" w:hAnsi="宋体"/>
          <w:color w:val="auto"/>
          <w:sz w:val="24"/>
          <w:szCs w:val="24"/>
        </w:rPr>
        <w:t>换热机房不得贴临居住用房，在设计时应采取减振降噪措施。</w:t>
      </w:r>
    </w:p>
    <w:p>
      <w:pPr>
        <w:spacing w:line="360" w:lineRule="auto"/>
        <w:ind w:left="84" w:leftChars="40"/>
        <w:jc w:val="left"/>
        <w:rPr>
          <w:color w:val="0070C0"/>
          <w:kern w:val="2"/>
        </w:rPr>
      </w:pPr>
      <w:r>
        <w:rPr>
          <w:rFonts w:hint="eastAsia" w:ascii="宋体" w:hAnsi="宋体" w:cs="黑体"/>
          <w:b/>
          <w:color w:val="auto"/>
        </w:rPr>
        <w:t>【条文解释】：</w:t>
      </w:r>
      <w:r>
        <w:rPr>
          <w:rFonts w:hint="eastAsia"/>
          <w:color w:val="0070C0"/>
          <w:kern w:val="2"/>
        </w:rPr>
        <w:t>水泵设备及供热管路在运行中会产生噪音、振动，因此，不得将换热机房设置在要求噪声级标准高的起居室（厅）、卧室等居住房间的上、下层及毗邻位置。同时应采取必要的减振降噪措施。</w:t>
      </w:r>
    </w:p>
    <w:p>
      <w:pPr>
        <w:spacing w:line="360" w:lineRule="auto"/>
        <w:jc w:val="left"/>
        <w:rPr>
          <w:rFonts w:ascii="宋体" w:hAnsi="宋体"/>
          <w:color w:val="auto"/>
          <w:sz w:val="24"/>
          <w:szCs w:val="24"/>
        </w:rPr>
      </w:pPr>
      <w:r>
        <w:rPr>
          <w:rFonts w:cs="宋体" w:eastAsiaTheme="minorEastAsia"/>
          <w:b/>
          <w:color w:val="auto"/>
          <w:kern w:val="2"/>
          <w:sz w:val="24"/>
          <w:szCs w:val="24"/>
        </w:rPr>
        <w:t>8</w:t>
      </w:r>
      <w:r>
        <w:rPr>
          <w:rFonts w:hint="eastAsia" w:cs="宋体" w:eastAsiaTheme="minorEastAsia"/>
          <w:b/>
          <w:color w:val="auto"/>
          <w:kern w:val="2"/>
          <w:sz w:val="24"/>
          <w:szCs w:val="24"/>
        </w:rPr>
        <w:t>.3.10</w:t>
      </w:r>
      <w:r>
        <w:rPr>
          <w:rFonts w:hint="eastAsia" w:ascii="宋体" w:hAnsi="宋体"/>
          <w:color w:val="auto"/>
          <w:sz w:val="24"/>
          <w:szCs w:val="24"/>
        </w:rPr>
        <w:t>燃气系统设计应符合国家现行规范《城镇燃气设计规范》GB50028的规定。</w:t>
      </w:r>
    </w:p>
    <w:p>
      <w:pPr>
        <w:pStyle w:val="3"/>
        <w:spacing w:line="360" w:lineRule="auto"/>
        <w:jc w:val="center"/>
        <w:rPr>
          <w:rFonts w:ascii="Times New Roman" w:hAnsi="Times New Roman" w:eastAsia="宋体" w:cs="Times New Roman"/>
          <w:color w:val="auto"/>
          <w:sz w:val="28"/>
          <w:szCs w:val="28"/>
        </w:rPr>
      </w:pPr>
      <w:bookmarkStart w:id="124" w:name="_Toc103958765"/>
      <w:r>
        <w:rPr>
          <w:rFonts w:ascii="Times New Roman" w:hAnsi="Times New Roman" w:eastAsia="宋体" w:cs="Times New Roman"/>
          <w:color w:val="auto"/>
          <w:sz w:val="28"/>
          <w:szCs w:val="28"/>
        </w:rPr>
        <w:t xml:space="preserve">8.4  </w:t>
      </w:r>
      <w:r>
        <w:rPr>
          <w:rFonts w:hint="eastAsia" w:ascii="Times New Roman" w:hAnsi="Times New Roman" w:eastAsia="宋体" w:cs="Times New Roman"/>
          <w:color w:val="auto"/>
          <w:sz w:val="28"/>
          <w:szCs w:val="28"/>
        </w:rPr>
        <w:t>电气和智能化</w:t>
      </w:r>
      <w:bookmarkEnd w:id="124"/>
    </w:p>
    <w:p>
      <w:pPr>
        <w:pStyle w:val="33"/>
        <w:spacing w:line="360" w:lineRule="auto"/>
        <w:jc w:val="left"/>
        <w:rPr>
          <w:rFonts w:ascii="宋体" w:hAnsi="宋体"/>
          <w:color w:val="000000" w:themeColor="text1"/>
          <w:sz w:val="24"/>
          <w:szCs w:val="24"/>
        </w:rPr>
      </w:pPr>
      <w:r>
        <w:rPr>
          <w:rFonts w:cs="宋体" w:eastAsiaTheme="minorEastAsia"/>
          <w:b/>
          <w:kern w:val="2"/>
          <w:sz w:val="24"/>
          <w:szCs w:val="24"/>
        </w:rPr>
        <w:t>8.4.1</w:t>
      </w:r>
      <w:r>
        <w:rPr>
          <w:rFonts w:hint="eastAsia" w:ascii="宋体" w:hAnsi="宋体"/>
          <w:color w:val="000000" w:themeColor="text1"/>
          <w:sz w:val="24"/>
          <w:szCs w:val="24"/>
        </w:rPr>
        <w:t>电气和智能化设计应满足适老化同时兼顾全龄化的设计要求。.</w:t>
      </w:r>
    </w:p>
    <w:p>
      <w:pPr>
        <w:spacing w:line="360" w:lineRule="auto"/>
        <w:ind w:left="84" w:leftChars="40"/>
        <w:jc w:val="left"/>
        <w:rPr>
          <w:color w:val="0070C0"/>
          <w:kern w:val="2"/>
        </w:rPr>
      </w:pPr>
      <w:r>
        <w:rPr>
          <w:rFonts w:hint="eastAsia" w:ascii="宋体" w:hAnsi="宋体" w:cs="黑体"/>
          <w:b/>
          <w:color w:val="auto"/>
        </w:rPr>
        <w:t>【条文说明】：</w:t>
      </w:r>
      <w:r>
        <w:rPr>
          <w:rFonts w:hint="eastAsia"/>
          <w:color w:val="0070C0"/>
          <w:kern w:val="2"/>
        </w:rPr>
        <w:t>钢结构住宅应满足从儿童到老人全生命周期所有人员的使用要求，不同阶段人的生活习惯、对住宅的需求均不同，特别是老人对居住环境的安全性、舒适性和便捷性等要求。电气设计应体现对老人的人文关怀，</w:t>
      </w:r>
      <w:r>
        <w:rPr>
          <w:color w:val="0070C0"/>
          <w:kern w:val="2"/>
        </w:rPr>
        <w:t>同时</w:t>
      </w:r>
      <w:r>
        <w:rPr>
          <w:rFonts w:hint="eastAsia"/>
          <w:color w:val="0070C0"/>
          <w:kern w:val="2"/>
        </w:rPr>
        <w:t>还应</w:t>
      </w:r>
      <w:r>
        <w:rPr>
          <w:color w:val="0070C0"/>
          <w:kern w:val="2"/>
        </w:rPr>
        <w:t>兼顾</w:t>
      </w:r>
      <w:r>
        <w:rPr>
          <w:rFonts w:hint="eastAsia"/>
          <w:color w:val="0070C0"/>
          <w:kern w:val="2"/>
        </w:rPr>
        <w:t>儿童、</w:t>
      </w:r>
      <w:r>
        <w:rPr>
          <w:color w:val="0070C0"/>
          <w:kern w:val="2"/>
        </w:rPr>
        <w:t>年轻人</w:t>
      </w:r>
      <w:r>
        <w:rPr>
          <w:rFonts w:hint="eastAsia"/>
          <w:color w:val="0070C0"/>
          <w:kern w:val="2"/>
        </w:rPr>
        <w:t>等</w:t>
      </w:r>
      <w:r>
        <w:rPr>
          <w:color w:val="0070C0"/>
          <w:kern w:val="2"/>
        </w:rPr>
        <w:t>不同年龄段、不同人群的需求。</w:t>
      </w:r>
    </w:p>
    <w:p>
      <w:pPr>
        <w:pStyle w:val="33"/>
        <w:spacing w:line="360" w:lineRule="auto"/>
        <w:jc w:val="left"/>
        <w:rPr>
          <w:rFonts w:ascii="宋体" w:hAnsi="宋体"/>
          <w:color w:val="FF0000"/>
          <w:sz w:val="24"/>
          <w:szCs w:val="24"/>
        </w:rPr>
      </w:pPr>
      <w:r>
        <w:rPr>
          <w:rFonts w:cs="宋体" w:eastAsiaTheme="minorEastAsia"/>
          <w:b/>
          <w:kern w:val="2"/>
          <w:sz w:val="24"/>
          <w:szCs w:val="24"/>
        </w:rPr>
        <w:t>8</w:t>
      </w:r>
      <w:r>
        <w:rPr>
          <w:rFonts w:hint="eastAsia" w:cs="宋体" w:eastAsiaTheme="minorEastAsia"/>
          <w:b/>
          <w:kern w:val="2"/>
          <w:sz w:val="24"/>
          <w:szCs w:val="24"/>
        </w:rPr>
        <w:t>.</w:t>
      </w:r>
      <w:r>
        <w:rPr>
          <w:rFonts w:cs="宋体" w:eastAsiaTheme="minorEastAsia"/>
          <w:b/>
          <w:kern w:val="2"/>
          <w:sz w:val="24"/>
          <w:szCs w:val="24"/>
        </w:rPr>
        <w:t>4.2</w:t>
      </w:r>
      <w:r>
        <w:rPr>
          <w:rFonts w:hint="eastAsia" w:ascii="宋体" w:hAnsi="宋体"/>
          <w:color w:val="000000" w:themeColor="text1"/>
          <w:sz w:val="24"/>
          <w:szCs w:val="24"/>
        </w:rPr>
        <w:t>住宅套内应集成设置家居配电箱和智能化家居配线箱，并应预留智能智慧新技术融合接口。</w:t>
      </w:r>
    </w:p>
    <w:p>
      <w:pPr>
        <w:pStyle w:val="33"/>
        <w:spacing w:line="360" w:lineRule="auto"/>
        <w:jc w:val="left"/>
        <w:rPr>
          <w:rFonts w:ascii="宋体" w:hAnsi="宋体"/>
          <w:sz w:val="24"/>
          <w:szCs w:val="24"/>
        </w:rPr>
      </w:pPr>
      <w:r>
        <w:rPr>
          <w:rFonts w:hint="eastAsia" w:cs="宋体" w:eastAsiaTheme="minorEastAsia"/>
          <w:b/>
          <w:kern w:val="2"/>
          <w:sz w:val="24"/>
          <w:szCs w:val="24"/>
        </w:rPr>
        <w:t>8</w:t>
      </w:r>
      <w:r>
        <w:rPr>
          <w:rFonts w:cs="宋体" w:eastAsiaTheme="minorEastAsia"/>
          <w:b/>
          <w:kern w:val="2"/>
          <w:sz w:val="24"/>
          <w:szCs w:val="24"/>
        </w:rPr>
        <w:t>.4.3</w:t>
      </w:r>
      <w:r>
        <w:rPr>
          <w:rFonts w:hint="eastAsia" w:ascii="宋体" w:hAnsi="宋体"/>
          <w:sz w:val="24"/>
          <w:szCs w:val="24"/>
        </w:rPr>
        <w:t>电气和智能化设备设施及管线应与主体钢结构、墙体、集成部品部件和内装系统一体化集成设计，满足空间灵活分隔要求，并准确定位。</w:t>
      </w:r>
    </w:p>
    <w:p>
      <w:pPr>
        <w:spacing w:line="360" w:lineRule="auto"/>
        <w:ind w:left="84" w:leftChars="40"/>
        <w:jc w:val="left"/>
        <w:rPr>
          <w:rFonts w:ascii="仿宋" w:hAnsi="仿宋" w:eastAsia="仿宋"/>
          <w:color w:val="4F81BD" w:themeColor="accent1"/>
          <w:sz w:val="24"/>
          <w:szCs w:val="24"/>
        </w:rPr>
      </w:pPr>
      <w:r>
        <w:rPr>
          <w:rFonts w:hint="eastAsia" w:ascii="宋体" w:hAnsi="宋体" w:cs="黑体"/>
          <w:b/>
          <w:color w:val="auto"/>
        </w:rPr>
        <w:t>【条文说明】：</w:t>
      </w:r>
      <w:r>
        <w:rPr>
          <w:rFonts w:hint="eastAsia"/>
          <w:color w:val="0070C0"/>
          <w:kern w:val="2"/>
        </w:rPr>
        <w:t>电气设计时应综合考虑主体钢结构对电气布线的影响采用不同的进线方式，并与墙体、集成卫浴、厨房和内装系统充分结合，进行一体化设计，保证安装准确和维护方便，管线和设备不应布置在可灵活移动的墙体上。</w:t>
      </w:r>
    </w:p>
    <w:p>
      <w:pPr>
        <w:pStyle w:val="33"/>
        <w:spacing w:line="360" w:lineRule="auto"/>
        <w:jc w:val="left"/>
        <w:rPr>
          <w:rFonts w:ascii="宋体" w:hAnsi="宋体"/>
          <w:sz w:val="24"/>
          <w:szCs w:val="24"/>
        </w:rPr>
      </w:pPr>
      <w:r>
        <w:rPr>
          <w:rFonts w:cs="宋体" w:eastAsiaTheme="minorEastAsia"/>
          <w:b/>
          <w:kern w:val="2"/>
          <w:sz w:val="24"/>
          <w:szCs w:val="24"/>
        </w:rPr>
        <w:t>8</w:t>
      </w:r>
      <w:r>
        <w:rPr>
          <w:rFonts w:hint="eastAsia" w:cs="宋体" w:eastAsiaTheme="minorEastAsia"/>
          <w:b/>
          <w:kern w:val="2"/>
          <w:sz w:val="24"/>
          <w:szCs w:val="24"/>
        </w:rPr>
        <w:t>.</w:t>
      </w:r>
      <w:r>
        <w:rPr>
          <w:rFonts w:cs="宋体" w:eastAsiaTheme="minorEastAsia"/>
          <w:b/>
          <w:kern w:val="2"/>
          <w:sz w:val="24"/>
          <w:szCs w:val="24"/>
        </w:rPr>
        <w:t>4.4</w:t>
      </w:r>
      <w:r>
        <w:rPr>
          <w:rFonts w:hint="eastAsia" w:ascii="宋体" w:hAnsi="宋体"/>
          <w:sz w:val="24"/>
          <w:szCs w:val="24"/>
        </w:rPr>
        <w:t>电气与智能化系统和设备设施宜选用模块化集成部品，其接口应标准化，并应满足先进性、通用性和互换性的要求。</w:t>
      </w:r>
    </w:p>
    <w:p>
      <w:pPr>
        <w:pStyle w:val="33"/>
        <w:spacing w:line="360" w:lineRule="auto"/>
        <w:jc w:val="left"/>
        <w:rPr>
          <w:rFonts w:ascii="宋体" w:hAnsi="宋体"/>
          <w:sz w:val="24"/>
          <w:szCs w:val="24"/>
        </w:rPr>
      </w:pPr>
      <w:r>
        <w:rPr>
          <w:rFonts w:cs="宋体" w:eastAsiaTheme="minorEastAsia"/>
          <w:b/>
          <w:color w:val="000000" w:themeColor="text1"/>
          <w:kern w:val="2"/>
          <w:sz w:val="24"/>
          <w:szCs w:val="24"/>
        </w:rPr>
        <w:t>8.4.5</w:t>
      </w:r>
      <w:r>
        <w:rPr>
          <w:rFonts w:hint="eastAsia" w:ascii="宋体" w:hAnsi="宋体"/>
          <w:color w:val="000000" w:themeColor="text1"/>
          <w:sz w:val="24"/>
          <w:szCs w:val="24"/>
        </w:rPr>
        <w:t>电气和智能化设备设施宜采用无线通信技术控制，</w:t>
      </w:r>
      <w:r>
        <w:rPr>
          <w:rFonts w:hint="eastAsia" w:ascii="宋体" w:hAnsi="宋体"/>
          <w:sz w:val="24"/>
          <w:szCs w:val="24"/>
        </w:rPr>
        <w:t>公共区域的照明应设置照明感应装置。</w:t>
      </w:r>
    </w:p>
    <w:p>
      <w:pPr>
        <w:spacing w:line="360" w:lineRule="auto"/>
        <w:ind w:left="84" w:leftChars="40"/>
        <w:jc w:val="left"/>
        <w:rPr>
          <w:color w:val="0070C0"/>
          <w:kern w:val="2"/>
        </w:rPr>
      </w:pPr>
      <w:r>
        <w:rPr>
          <w:rFonts w:hint="eastAsia" w:ascii="宋体" w:hAnsi="宋体" w:cs="黑体"/>
          <w:b/>
          <w:color w:val="auto"/>
        </w:rPr>
        <w:t>【条文说明】：</w:t>
      </w:r>
      <w:r>
        <w:rPr>
          <w:rFonts w:hint="eastAsia"/>
          <w:color w:val="0070C0"/>
          <w:kern w:val="2"/>
        </w:rPr>
        <w:t>通过ZigBee、WiFi、蓝牙等无线通信控制技术可减少现场布线，更便于墙体和内装系统的标准化以及控制开关的灵活布置。照明感应装置包括红外感应灯具、声光控感应灯、声控开关、光控开关、照明装置定时器等，可最大程度节省建筑能耗。</w:t>
      </w:r>
    </w:p>
    <w:p>
      <w:pPr>
        <w:pStyle w:val="33"/>
        <w:spacing w:line="360" w:lineRule="auto"/>
        <w:jc w:val="left"/>
        <w:rPr>
          <w:rFonts w:ascii="宋体" w:hAnsi="宋体"/>
          <w:sz w:val="24"/>
          <w:szCs w:val="24"/>
        </w:rPr>
      </w:pPr>
      <w:r>
        <w:rPr>
          <w:rFonts w:cs="宋体" w:eastAsiaTheme="minorEastAsia"/>
          <w:b/>
          <w:kern w:val="2"/>
          <w:sz w:val="24"/>
          <w:szCs w:val="24"/>
        </w:rPr>
        <w:t>8</w:t>
      </w:r>
      <w:r>
        <w:rPr>
          <w:rFonts w:hint="eastAsia" w:cs="宋体" w:eastAsiaTheme="minorEastAsia"/>
          <w:b/>
          <w:kern w:val="2"/>
          <w:sz w:val="24"/>
          <w:szCs w:val="24"/>
        </w:rPr>
        <w:t>.</w:t>
      </w:r>
      <w:r>
        <w:rPr>
          <w:rFonts w:cs="宋体" w:eastAsiaTheme="minorEastAsia"/>
          <w:b/>
          <w:kern w:val="2"/>
          <w:sz w:val="24"/>
          <w:szCs w:val="24"/>
        </w:rPr>
        <w:t>4.6</w:t>
      </w:r>
      <w:r>
        <w:rPr>
          <w:rFonts w:hint="eastAsia" w:ascii="宋体" w:hAnsi="宋体"/>
          <w:sz w:val="24"/>
          <w:szCs w:val="24"/>
        </w:rPr>
        <w:t>电气管线应与主体结构分离，穿金属管或在金属线槽内敷设在楼板架空层或垫层、吊顶和隔墙空腔内等部位，其安装敷设应与内装系统相协调。</w:t>
      </w:r>
    </w:p>
    <w:p>
      <w:pPr>
        <w:pStyle w:val="33"/>
        <w:spacing w:line="360" w:lineRule="auto"/>
        <w:jc w:val="left"/>
        <w:rPr>
          <w:rFonts w:ascii="宋体" w:hAnsi="宋体"/>
          <w:sz w:val="24"/>
          <w:szCs w:val="24"/>
        </w:rPr>
      </w:pPr>
      <w:r>
        <w:rPr>
          <w:rFonts w:hint="eastAsia" w:cs="宋体" w:eastAsiaTheme="minorEastAsia"/>
          <w:b/>
          <w:kern w:val="2"/>
          <w:sz w:val="24"/>
          <w:szCs w:val="24"/>
        </w:rPr>
        <w:t>8.4.7</w:t>
      </w:r>
      <w:r>
        <w:rPr>
          <w:rFonts w:hint="eastAsia" w:ascii="宋体" w:hAnsi="宋体"/>
          <w:sz w:val="24"/>
          <w:szCs w:val="24"/>
        </w:rPr>
        <w:t>安装于墙体、吊顶、地板表面的灯具、开关插座、控制器、显示屏、管线等部品部件的位置与尺寸应与内装修相协调，并应采取可靠的固定措施，满足隔声、防火、便于检修等方面的要求。</w:t>
      </w:r>
    </w:p>
    <w:p>
      <w:pPr>
        <w:pStyle w:val="33"/>
        <w:spacing w:line="360" w:lineRule="auto"/>
        <w:jc w:val="left"/>
        <w:rPr>
          <w:rFonts w:ascii="宋体" w:hAnsi="宋体"/>
          <w:sz w:val="24"/>
          <w:szCs w:val="24"/>
        </w:rPr>
      </w:pPr>
      <w:r>
        <w:rPr>
          <w:rFonts w:cs="宋体" w:eastAsiaTheme="minorEastAsia"/>
          <w:b/>
          <w:kern w:val="2"/>
          <w:sz w:val="24"/>
          <w:szCs w:val="24"/>
        </w:rPr>
        <w:t>8.4.8</w:t>
      </w:r>
      <w:r>
        <w:rPr>
          <w:rFonts w:hint="eastAsia" w:ascii="宋体" w:hAnsi="宋体"/>
          <w:sz w:val="24"/>
          <w:szCs w:val="24"/>
        </w:rPr>
        <w:t>设备及管线穿过或安装在预制部（构)件上时，均应准确定位，并预留洞口或预埋埋件，不应现场凿剔沟槽、开孔、开洞等。</w:t>
      </w:r>
    </w:p>
    <w:p>
      <w:pPr>
        <w:pStyle w:val="33"/>
        <w:spacing w:line="360" w:lineRule="auto"/>
        <w:jc w:val="left"/>
        <w:rPr>
          <w:rFonts w:ascii="宋体" w:hAnsi="宋体"/>
          <w:sz w:val="24"/>
          <w:szCs w:val="24"/>
        </w:rPr>
      </w:pPr>
      <w:r>
        <w:rPr>
          <w:rFonts w:cs="宋体" w:eastAsiaTheme="minorEastAsia"/>
          <w:b/>
          <w:kern w:val="2"/>
          <w:sz w:val="24"/>
          <w:szCs w:val="24"/>
        </w:rPr>
        <w:t>8</w:t>
      </w:r>
      <w:r>
        <w:rPr>
          <w:rFonts w:hint="eastAsia" w:cs="宋体" w:eastAsiaTheme="minorEastAsia"/>
          <w:b/>
          <w:kern w:val="2"/>
          <w:sz w:val="24"/>
          <w:szCs w:val="24"/>
        </w:rPr>
        <w:t>.</w:t>
      </w:r>
      <w:r>
        <w:rPr>
          <w:rFonts w:cs="宋体" w:eastAsiaTheme="minorEastAsia"/>
          <w:b/>
          <w:kern w:val="2"/>
          <w:sz w:val="24"/>
          <w:szCs w:val="24"/>
        </w:rPr>
        <w:t>4</w:t>
      </w:r>
      <w:r>
        <w:rPr>
          <w:rFonts w:hint="eastAsia" w:cs="宋体" w:eastAsiaTheme="minorEastAsia"/>
          <w:b/>
          <w:kern w:val="2"/>
          <w:sz w:val="24"/>
          <w:szCs w:val="24"/>
        </w:rPr>
        <w:t>.9</w:t>
      </w:r>
      <w:r>
        <w:rPr>
          <w:rFonts w:hint="eastAsia" w:ascii="宋体" w:hAnsi="宋体"/>
          <w:sz w:val="24"/>
          <w:szCs w:val="24"/>
        </w:rPr>
        <w:t>电气线路入户方式应根据户内配电箱的位置进行合理规划，减少对建筑空间的影响。当箱体上方有钢梁时，宜采用下进线方式。</w:t>
      </w:r>
    </w:p>
    <w:p>
      <w:pPr>
        <w:pStyle w:val="33"/>
        <w:spacing w:line="360" w:lineRule="auto"/>
        <w:ind w:left="539" w:hanging="539"/>
        <w:jc w:val="left"/>
        <w:rPr>
          <w:rFonts w:ascii="宋体" w:hAnsi="宋体"/>
          <w:sz w:val="24"/>
          <w:szCs w:val="24"/>
        </w:rPr>
      </w:pPr>
      <w:r>
        <w:rPr>
          <w:rFonts w:cs="宋体" w:eastAsiaTheme="minorEastAsia"/>
          <w:b/>
          <w:kern w:val="2"/>
          <w:sz w:val="24"/>
          <w:szCs w:val="24"/>
        </w:rPr>
        <w:t>8</w:t>
      </w:r>
      <w:r>
        <w:rPr>
          <w:rFonts w:hint="eastAsia" w:cs="宋体" w:eastAsiaTheme="minorEastAsia"/>
          <w:b/>
          <w:kern w:val="2"/>
          <w:sz w:val="24"/>
          <w:szCs w:val="24"/>
        </w:rPr>
        <w:t>.</w:t>
      </w:r>
      <w:r>
        <w:rPr>
          <w:rFonts w:cs="宋体" w:eastAsiaTheme="minorEastAsia"/>
          <w:b/>
          <w:kern w:val="2"/>
          <w:sz w:val="24"/>
          <w:szCs w:val="24"/>
        </w:rPr>
        <w:t>4.</w:t>
      </w:r>
      <w:r>
        <w:rPr>
          <w:rFonts w:hint="eastAsia" w:cs="宋体" w:eastAsiaTheme="minorEastAsia"/>
          <w:b/>
          <w:kern w:val="2"/>
          <w:sz w:val="24"/>
          <w:szCs w:val="24"/>
        </w:rPr>
        <w:t>10</w:t>
      </w:r>
      <w:r>
        <w:rPr>
          <w:rFonts w:hint="eastAsia" w:ascii="宋体" w:hAnsi="宋体"/>
          <w:sz w:val="24"/>
          <w:szCs w:val="24"/>
        </w:rPr>
        <w:t>户内电气和智能化系统设计应符合下列规定：</w:t>
      </w:r>
    </w:p>
    <w:p>
      <w:pPr>
        <w:spacing w:line="360" w:lineRule="auto"/>
        <w:ind w:left="630" w:leftChars="300"/>
        <w:jc w:val="left"/>
        <w:rPr>
          <w:rFonts w:ascii="宋体" w:hAnsi="宋体"/>
          <w:color w:val="auto"/>
          <w:sz w:val="24"/>
          <w:szCs w:val="24"/>
        </w:rPr>
      </w:pPr>
      <w:r>
        <w:rPr>
          <w:rFonts w:hint="eastAsia" w:ascii="宋体" w:hAnsi="宋体"/>
          <w:color w:val="auto"/>
          <w:sz w:val="24"/>
          <w:szCs w:val="24"/>
        </w:rPr>
        <w:t>1电气和智能化设备与管线宜与主体结构分离；</w:t>
      </w:r>
    </w:p>
    <w:p>
      <w:pPr>
        <w:spacing w:line="360" w:lineRule="auto"/>
        <w:ind w:left="800" w:leftChars="300" w:hanging="170"/>
        <w:jc w:val="left"/>
        <w:rPr>
          <w:rFonts w:ascii="宋体" w:hAnsi="宋体"/>
          <w:color w:val="auto"/>
          <w:sz w:val="24"/>
          <w:szCs w:val="24"/>
        </w:rPr>
      </w:pPr>
      <w:r>
        <w:rPr>
          <w:rFonts w:hint="eastAsia" w:ascii="宋体" w:hAnsi="宋体"/>
          <w:color w:val="auto"/>
          <w:sz w:val="24"/>
          <w:szCs w:val="24"/>
        </w:rPr>
        <w:t>2当管线铺设在架空层时，应采取穿管或线槽保护等安全措施。在吊顶、隔墙楼地面、保温层及装饰面板内不应采用直敷布线。</w:t>
      </w:r>
    </w:p>
    <w:p>
      <w:pPr>
        <w:spacing w:line="360" w:lineRule="auto"/>
        <w:ind w:left="800" w:leftChars="300" w:hanging="170"/>
        <w:jc w:val="left"/>
        <w:rPr>
          <w:rFonts w:ascii="宋体" w:hAnsi="宋体"/>
          <w:color w:val="auto"/>
          <w:sz w:val="24"/>
          <w:szCs w:val="24"/>
        </w:rPr>
      </w:pPr>
      <w:r>
        <w:rPr>
          <w:rFonts w:hint="eastAsia" w:ascii="宋体" w:hAnsi="宋体"/>
          <w:color w:val="auto"/>
          <w:sz w:val="24"/>
          <w:szCs w:val="24"/>
        </w:rPr>
        <w:t>3管线排布应采取集成化设计，强弱电管线宜分开布置，减少交叉。垂直管线的布置应尽量避免与主体结构钢梁的交叉，插座宜采用下进线的方式。灯具和开关之间的管线敷设应与钢梁位置及建筑墙体统一设计。</w:t>
      </w:r>
    </w:p>
    <w:p>
      <w:pPr>
        <w:pStyle w:val="33"/>
        <w:spacing w:line="360" w:lineRule="auto"/>
        <w:jc w:val="left"/>
        <w:rPr>
          <w:rFonts w:ascii="宋体" w:hAnsi="宋体"/>
          <w:sz w:val="24"/>
          <w:szCs w:val="24"/>
        </w:rPr>
      </w:pPr>
      <w:r>
        <w:rPr>
          <w:rFonts w:hint="eastAsia" w:cs="宋体" w:eastAsiaTheme="minorEastAsia"/>
          <w:b/>
          <w:kern w:val="2"/>
          <w:sz w:val="24"/>
          <w:szCs w:val="24"/>
        </w:rPr>
        <w:t>8.4.11</w:t>
      </w:r>
      <w:r>
        <w:rPr>
          <w:rFonts w:hint="eastAsia" w:ascii="宋体" w:hAnsi="宋体"/>
          <w:sz w:val="24"/>
          <w:szCs w:val="24"/>
        </w:rPr>
        <w:t>防雷引下线和共用接地装置应充分利用钢结构自身作为防雷接地装置。构件连接部位应有永久性明显标记，其预留防雷装置的端头应可靠连接。</w:t>
      </w:r>
    </w:p>
    <w:p>
      <w:pPr>
        <w:pStyle w:val="33"/>
        <w:spacing w:line="360" w:lineRule="auto"/>
        <w:ind w:left="539" w:hanging="539"/>
        <w:jc w:val="left"/>
        <w:rPr>
          <w:rFonts w:ascii="宋体" w:hAnsi="宋体"/>
          <w:sz w:val="24"/>
          <w:szCs w:val="24"/>
        </w:rPr>
      </w:pPr>
      <w:r>
        <w:rPr>
          <w:rFonts w:hint="eastAsia" w:cs="宋体" w:eastAsiaTheme="minorEastAsia"/>
          <w:b/>
          <w:kern w:val="2"/>
          <w:sz w:val="24"/>
          <w:szCs w:val="24"/>
        </w:rPr>
        <w:t>8.4.12</w:t>
      </w:r>
      <w:r>
        <w:rPr>
          <w:rFonts w:hint="eastAsia" w:ascii="宋体" w:hAnsi="宋体"/>
          <w:sz w:val="24"/>
          <w:szCs w:val="24"/>
        </w:rPr>
        <w:t>等电位接地端子应与建筑物本身钢结构金属物连接。</w:t>
      </w:r>
    </w:p>
    <w:p>
      <w:pPr>
        <w:spacing w:line="360" w:lineRule="auto"/>
        <w:rPr>
          <w:rFonts w:ascii="仿宋" w:hAnsi="仿宋" w:eastAsia="仿宋" w:cs="黑体"/>
          <w:b/>
          <w:bCs/>
          <w:color w:val="auto"/>
          <w:kern w:val="28"/>
          <w:sz w:val="24"/>
          <w:szCs w:val="24"/>
        </w:rPr>
      </w:pPr>
    </w:p>
    <w:p>
      <w:pPr>
        <w:pStyle w:val="2"/>
        <w:jc w:val="center"/>
        <w:rPr>
          <w:rFonts w:ascii="宋体" w:hAnsi="宋体"/>
          <w:color w:val="auto"/>
          <w:sz w:val="32"/>
          <w:szCs w:val="32"/>
        </w:rPr>
      </w:pPr>
      <w:bookmarkStart w:id="125" w:name="_Toc103958766"/>
      <w:r>
        <w:rPr>
          <w:rFonts w:ascii="宋体" w:hAnsi="宋体"/>
          <w:color w:val="auto"/>
          <w:sz w:val="32"/>
          <w:szCs w:val="32"/>
        </w:rPr>
        <w:t xml:space="preserve">9  </w:t>
      </w:r>
      <w:r>
        <w:rPr>
          <w:rFonts w:hint="eastAsia" w:ascii="宋体" w:hAnsi="宋体"/>
          <w:color w:val="auto"/>
          <w:sz w:val="32"/>
          <w:szCs w:val="32"/>
        </w:rPr>
        <w:t>内装</w:t>
      </w:r>
      <w:r>
        <w:rPr>
          <w:rFonts w:ascii="宋体" w:hAnsi="宋体"/>
          <w:color w:val="auto"/>
          <w:sz w:val="32"/>
          <w:szCs w:val="32"/>
        </w:rPr>
        <w:t>系统设计</w:t>
      </w:r>
      <w:bookmarkEnd w:id="125"/>
    </w:p>
    <w:p>
      <w:pPr>
        <w:pStyle w:val="3"/>
        <w:spacing w:line="360" w:lineRule="auto"/>
        <w:jc w:val="center"/>
        <w:rPr>
          <w:rFonts w:ascii="Times New Roman" w:hAnsi="Times New Roman" w:eastAsia="宋体" w:cs="Times New Roman"/>
          <w:color w:val="auto"/>
          <w:sz w:val="28"/>
          <w:szCs w:val="28"/>
        </w:rPr>
      </w:pPr>
      <w:bookmarkStart w:id="126" w:name="_Toc76377013"/>
      <w:bookmarkStart w:id="127" w:name="_Toc103958767"/>
      <w:r>
        <w:rPr>
          <w:rFonts w:ascii="Times New Roman" w:hAnsi="Times New Roman" w:eastAsia="宋体" w:cs="Times New Roman"/>
          <w:color w:val="auto"/>
          <w:sz w:val="28"/>
          <w:szCs w:val="28"/>
        </w:rPr>
        <w:t xml:space="preserve">9.1 </w:t>
      </w:r>
      <w:r>
        <w:rPr>
          <w:rFonts w:hint="eastAsia" w:ascii="Times New Roman" w:hAnsi="Times New Roman" w:eastAsia="宋体" w:cs="Times New Roman"/>
          <w:color w:val="auto"/>
          <w:sz w:val="28"/>
          <w:szCs w:val="28"/>
        </w:rPr>
        <w:t>一般规定</w:t>
      </w:r>
      <w:bookmarkEnd w:id="126"/>
      <w:bookmarkEnd w:id="127"/>
    </w:p>
    <w:p>
      <w:pPr>
        <w:widowControl/>
        <w:spacing w:line="360" w:lineRule="auto"/>
        <w:jc w:val="left"/>
        <w:rPr>
          <w:rFonts w:ascii="宋体" w:hAnsi="宋体"/>
          <w:color w:val="auto"/>
          <w:sz w:val="24"/>
          <w:szCs w:val="24"/>
        </w:rPr>
      </w:pPr>
      <w:r>
        <w:rPr>
          <w:rFonts w:eastAsia="等线" w:cs="宋体"/>
          <w:b/>
          <w:color w:val="auto"/>
          <w:kern w:val="2"/>
          <w:sz w:val="24"/>
          <w:szCs w:val="24"/>
        </w:rPr>
        <w:t>9</w:t>
      </w:r>
      <w:r>
        <w:rPr>
          <w:rFonts w:hint="eastAsia" w:eastAsia="等线" w:cs="宋体"/>
          <w:b/>
          <w:color w:val="auto"/>
          <w:kern w:val="2"/>
          <w:sz w:val="24"/>
          <w:szCs w:val="24"/>
        </w:rPr>
        <w:t>.1.1</w:t>
      </w:r>
      <w:r>
        <w:rPr>
          <w:rFonts w:eastAsia="等线" w:cs="宋体"/>
          <w:b/>
          <w:color w:val="auto"/>
          <w:kern w:val="2"/>
          <w:sz w:val="24"/>
          <w:szCs w:val="24"/>
        </w:rPr>
        <w:t xml:space="preserve"> </w:t>
      </w:r>
      <w:r>
        <w:rPr>
          <w:rFonts w:hint="eastAsia" w:ascii="宋体" w:hAnsi="宋体"/>
          <w:color w:val="auto"/>
          <w:sz w:val="24"/>
          <w:szCs w:val="24"/>
        </w:rPr>
        <w:t>钢结构住宅内装系统设计应符合国家现行标准《建筑内部装修设计防火规范》G</w:t>
      </w:r>
      <w:r>
        <w:rPr>
          <w:rFonts w:ascii="宋体" w:hAnsi="宋体"/>
          <w:color w:val="auto"/>
          <w:sz w:val="24"/>
          <w:szCs w:val="24"/>
        </w:rPr>
        <w:t>B 50222</w:t>
      </w:r>
      <w:r>
        <w:rPr>
          <w:rFonts w:hint="eastAsia" w:ascii="宋体" w:hAnsi="宋体"/>
          <w:color w:val="auto"/>
          <w:sz w:val="24"/>
          <w:szCs w:val="24"/>
        </w:rPr>
        <w:t>、《建筑设计防火规范》GB 50016、《住宅室内装饰装修设计规程》J</w:t>
      </w:r>
      <w:r>
        <w:rPr>
          <w:rFonts w:ascii="宋体" w:hAnsi="宋体"/>
          <w:color w:val="auto"/>
          <w:sz w:val="24"/>
          <w:szCs w:val="24"/>
        </w:rPr>
        <w:t>GJ 367</w:t>
      </w:r>
      <w:r>
        <w:rPr>
          <w:rFonts w:hint="eastAsia" w:ascii="宋体" w:hAnsi="宋体"/>
          <w:color w:val="auto"/>
          <w:sz w:val="24"/>
          <w:szCs w:val="24"/>
        </w:rPr>
        <w:t>、《装配式内装修技术标准》J</w:t>
      </w:r>
      <w:r>
        <w:rPr>
          <w:rFonts w:ascii="宋体" w:hAnsi="宋体"/>
          <w:color w:val="auto"/>
          <w:sz w:val="24"/>
          <w:szCs w:val="24"/>
        </w:rPr>
        <w:t>GJ/T 491</w:t>
      </w:r>
      <w:r>
        <w:rPr>
          <w:rFonts w:hint="eastAsia" w:ascii="宋体" w:hAnsi="宋体"/>
          <w:color w:val="auto"/>
          <w:sz w:val="24"/>
          <w:szCs w:val="24"/>
        </w:rPr>
        <w:t>、《民用建筑工程室内环境污染控制规范》G</w:t>
      </w:r>
      <w:r>
        <w:rPr>
          <w:rFonts w:ascii="宋体" w:hAnsi="宋体"/>
          <w:color w:val="auto"/>
          <w:sz w:val="24"/>
          <w:szCs w:val="24"/>
        </w:rPr>
        <w:t>B 50325</w:t>
      </w:r>
      <w:r>
        <w:rPr>
          <w:rFonts w:hint="eastAsia" w:ascii="宋体" w:hAnsi="宋体"/>
          <w:color w:val="auto"/>
          <w:sz w:val="24"/>
          <w:szCs w:val="24"/>
        </w:rPr>
        <w:t>和《民用建筑隔声设计规范》G</w:t>
      </w:r>
      <w:r>
        <w:rPr>
          <w:rFonts w:ascii="宋体" w:hAnsi="宋体"/>
          <w:color w:val="auto"/>
          <w:sz w:val="24"/>
          <w:szCs w:val="24"/>
        </w:rPr>
        <w:t>B 50118</w:t>
      </w:r>
      <w:r>
        <w:rPr>
          <w:rFonts w:hint="eastAsia" w:ascii="宋体" w:hAnsi="宋体"/>
          <w:color w:val="auto"/>
          <w:sz w:val="24"/>
          <w:szCs w:val="24"/>
        </w:rPr>
        <w:t>的规定。</w:t>
      </w:r>
    </w:p>
    <w:p>
      <w:pPr>
        <w:widowControl/>
        <w:spacing w:line="360" w:lineRule="auto"/>
        <w:jc w:val="left"/>
        <w:rPr>
          <w:rFonts w:ascii="宋体" w:hAnsi="宋体"/>
          <w:color w:val="auto"/>
          <w:sz w:val="24"/>
          <w:szCs w:val="24"/>
        </w:rPr>
      </w:pPr>
      <w:r>
        <w:rPr>
          <w:rFonts w:eastAsia="等线" w:cs="宋体"/>
          <w:b/>
          <w:color w:val="auto"/>
          <w:kern w:val="2"/>
          <w:sz w:val="24"/>
          <w:szCs w:val="24"/>
        </w:rPr>
        <w:t>9</w:t>
      </w:r>
      <w:r>
        <w:rPr>
          <w:rFonts w:hint="eastAsia" w:eastAsia="等线" w:cs="宋体"/>
          <w:b/>
          <w:color w:val="auto"/>
          <w:kern w:val="2"/>
          <w:sz w:val="24"/>
          <w:szCs w:val="24"/>
        </w:rPr>
        <w:t>.1.2</w:t>
      </w:r>
      <w:r>
        <w:rPr>
          <w:rFonts w:eastAsia="等线" w:cs="宋体"/>
          <w:b/>
          <w:color w:val="auto"/>
          <w:kern w:val="2"/>
          <w:sz w:val="24"/>
          <w:szCs w:val="24"/>
        </w:rPr>
        <w:t xml:space="preserve"> </w:t>
      </w:r>
      <w:r>
        <w:rPr>
          <w:rFonts w:hint="eastAsia" w:ascii="宋体" w:hAnsi="宋体"/>
          <w:color w:val="auto"/>
          <w:sz w:val="24"/>
          <w:szCs w:val="24"/>
        </w:rPr>
        <w:t>钢结构住宅内装系统设计、部品与材料选型应符合结构受力、抗震、安全防护、防火、防水、防静电、防潮、防滑、隔声、节能绿色、环境保护、卫生防疫、适老化和无障碍等规定，并应满足生产、运输和安装等要求。</w:t>
      </w:r>
    </w:p>
    <w:p>
      <w:pPr>
        <w:widowControl/>
        <w:spacing w:line="360" w:lineRule="auto"/>
        <w:jc w:val="left"/>
        <w:rPr>
          <w:rFonts w:ascii="宋体" w:hAnsi="宋体"/>
          <w:color w:val="auto"/>
          <w:sz w:val="24"/>
          <w:szCs w:val="24"/>
        </w:rPr>
      </w:pPr>
      <w:r>
        <w:rPr>
          <w:rFonts w:hint="eastAsia" w:eastAsia="等线" w:cs="宋体"/>
          <w:b/>
          <w:color w:val="auto"/>
          <w:kern w:val="2"/>
          <w:sz w:val="24"/>
          <w:szCs w:val="24"/>
        </w:rPr>
        <w:t>9.1.3</w:t>
      </w:r>
      <w:r>
        <w:rPr>
          <w:rFonts w:hint="eastAsia" w:ascii="宋体" w:hAnsi="宋体"/>
          <w:color w:val="auto"/>
          <w:sz w:val="24"/>
          <w:szCs w:val="24"/>
        </w:rPr>
        <w:t>钢结构住宅内装系统应进行总体技术策划，统筹项目定位、建设条件、技术选择与成本控制等要求，由建筑专业协调结构、给排水、供暖、通风和空调、燃气、电气、智能化等各专业的要求，进行同步协同设计，并应满足设计、生产、安装和运维各阶段的需求。</w:t>
      </w:r>
    </w:p>
    <w:p>
      <w:pPr>
        <w:widowControl/>
        <w:spacing w:line="360" w:lineRule="auto"/>
        <w:jc w:val="left"/>
        <w:rPr>
          <w:rFonts w:ascii="宋体" w:hAnsi="宋体"/>
          <w:color w:val="auto"/>
          <w:sz w:val="24"/>
          <w:szCs w:val="24"/>
        </w:rPr>
      </w:pPr>
      <w:r>
        <w:rPr>
          <w:rFonts w:eastAsia="等线" w:cs="宋体"/>
          <w:b/>
          <w:color w:val="auto"/>
          <w:kern w:val="2"/>
          <w:sz w:val="24"/>
          <w:szCs w:val="24"/>
        </w:rPr>
        <w:t>9</w:t>
      </w:r>
      <w:r>
        <w:rPr>
          <w:rFonts w:hint="eastAsia" w:eastAsia="等线" w:cs="宋体"/>
          <w:b/>
          <w:color w:val="auto"/>
          <w:kern w:val="2"/>
          <w:sz w:val="24"/>
          <w:szCs w:val="24"/>
        </w:rPr>
        <w:t>.1.4</w:t>
      </w:r>
      <w:r>
        <w:rPr>
          <w:rFonts w:eastAsia="等线" w:cs="宋体"/>
          <w:b/>
          <w:color w:val="auto"/>
          <w:kern w:val="2"/>
          <w:sz w:val="24"/>
          <w:szCs w:val="24"/>
        </w:rPr>
        <w:t xml:space="preserve"> </w:t>
      </w:r>
      <w:r>
        <w:rPr>
          <w:rFonts w:hint="eastAsia" w:ascii="宋体" w:hAnsi="宋体"/>
          <w:color w:val="auto"/>
          <w:sz w:val="24"/>
          <w:szCs w:val="24"/>
        </w:rPr>
        <w:t>钢结构住宅应进行全装修，宜采用工业化生产的集成化、模块化的内装部品按照模块化和系列化的设计方法进行装配式内装设计。</w:t>
      </w:r>
    </w:p>
    <w:p>
      <w:pPr>
        <w:spacing w:line="360" w:lineRule="auto"/>
        <w:rPr>
          <w:rFonts w:ascii="宋体" w:hAnsi="宋体"/>
          <w:color w:val="auto"/>
          <w:sz w:val="24"/>
          <w:szCs w:val="24"/>
        </w:rPr>
      </w:pPr>
      <w:bookmarkStart w:id="128" w:name="_Toc84835568"/>
      <w:bookmarkStart w:id="129" w:name="_Toc76377015"/>
      <w:r>
        <w:rPr>
          <w:rFonts w:eastAsia="等线" w:cs="宋体"/>
          <w:b/>
          <w:color w:val="auto"/>
          <w:kern w:val="2"/>
          <w:sz w:val="24"/>
          <w:szCs w:val="24"/>
        </w:rPr>
        <w:t>9</w:t>
      </w:r>
      <w:r>
        <w:rPr>
          <w:rFonts w:hint="eastAsia" w:eastAsia="等线" w:cs="宋体"/>
          <w:b/>
          <w:color w:val="auto"/>
          <w:kern w:val="2"/>
          <w:sz w:val="24"/>
          <w:szCs w:val="24"/>
        </w:rPr>
        <w:t>.1.</w:t>
      </w:r>
      <w:bookmarkEnd w:id="128"/>
      <w:bookmarkEnd w:id="129"/>
      <w:r>
        <w:rPr>
          <w:rFonts w:hint="eastAsia" w:eastAsia="等线" w:cs="宋体"/>
          <w:b/>
          <w:color w:val="auto"/>
          <w:kern w:val="2"/>
          <w:sz w:val="24"/>
          <w:szCs w:val="24"/>
        </w:rPr>
        <w:t>5</w:t>
      </w:r>
      <w:r>
        <w:rPr>
          <w:rFonts w:eastAsia="等线" w:cs="宋体"/>
          <w:b/>
          <w:color w:val="auto"/>
          <w:kern w:val="2"/>
          <w:sz w:val="24"/>
          <w:szCs w:val="24"/>
        </w:rPr>
        <w:t xml:space="preserve"> </w:t>
      </w:r>
      <w:r>
        <w:rPr>
          <w:rFonts w:hint="eastAsia" w:ascii="宋体" w:hAnsi="宋体"/>
          <w:color w:val="auto"/>
          <w:sz w:val="24"/>
          <w:szCs w:val="24"/>
        </w:rPr>
        <w:t>钢结构住宅内装系统设计应满足内装部品的连接、检修更换、物权归属和设备及管线使用年限的要求，内装系统设计宜采用管线分离的方式，并应符合下列规定：</w:t>
      </w:r>
    </w:p>
    <w:p>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1 共用内装部品不宜设置在套内专用空间内。</w:t>
      </w:r>
    </w:p>
    <w:p>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2 内装系统设计应满足部品检修更换以及设备管线使用维护的要求，设计使用年限较短的内装部品进行维修和更换时，应避免破坏设计使用年限较长的部品，且不影响建筑结构体的安全性。</w:t>
      </w:r>
    </w:p>
    <w:p>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3 内装系统设计应综合考虑不同材料、设备、设施具有不同的使用年限，设计应具有可逆性和适应性，便于施工安装、使用维护和维修改造。</w:t>
      </w:r>
    </w:p>
    <w:p>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4 内装系统设计的施工应与主体结构明确施工界面，并应进行精细化管理，宜采用同步穿插施工的组织方式，提升施工效率。</w:t>
      </w:r>
    </w:p>
    <w:p>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5 钢结构住宅内装施工应采用绿色施工模式，减少现场切割作业和建筑垃圾。</w:t>
      </w:r>
    </w:p>
    <w:p>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6 内装系统设计应考虑家具、家电的布置方式。选用集成度高、质量稳定、耐用性强、抗菌防霉的系统化内装部品。</w:t>
      </w:r>
    </w:p>
    <w:p>
      <w:pPr>
        <w:spacing w:line="360" w:lineRule="auto"/>
        <w:ind w:firstLine="480" w:firstLineChars="200"/>
        <w:rPr>
          <w:rFonts w:ascii="宋体" w:hAnsi="宋体"/>
          <w:color w:val="auto"/>
          <w:sz w:val="24"/>
          <w:szCs w:val="24"/>
        </w:rPr>
      </w:pPr>
      <w:r>
        <w:rPr>
          <w:rFonts w:hint="eastAsia" w:ascii="宋体" w:hAnsi="宋体"/>
          <w:color w:val="auto"/>
          <w:sz w:val="24"/>
          <w:szCs w:val="24"/>
        </w:rPr>
        <w:t>7 内装系统设计的施工图纸应全面、准确，表达深度应满足施工装配的要求，并明确内装部品的选型和关键技术参数。</w:t>
      </w:r>
    </w:p>
    <w:p>
      <w:pPr>
        <w:spacing w:line="360" w:lineRule="auto"/>
        <w:rPr>
          <w:color w:val="0070C0"/>
          <w:kern w:val="2"/>
          <w:sz w:val="24"/>
          <w:szCs w:val="24"/>
        </w:rPr>
      </w:pPr>
      <w:r>
        <w:rPr>
          <w:rFonts w:hint="eastAsia" w:ascii="宋体" w:hAnsi="宋体" w:cs="黑体"/>
          <w:b/>
          <w:color w:val="auto"/>
          <w:sz w:val="24"/>
          <w:szCs w:val="24"/>
        </w:rPr>
        <w:t>【条文</w:t>
      </w:r>
      <w:r>
        <w:rPr>
          <w:rFonts w:ascii="宋体" w:hAnsi="宋体" w:cs="黑体"/>
          <w:b/>
          <w:color w:val="auto"/>
          <w:sz w:val="24"/>
          <w:szCs w:val="24"/>
        </w:rPr>
        <w:t>说明</w:t>
      </w:r>
      <w:r>
        <w:rPr>
          <w:rFonts w:hint="eastAsia" w:ascii="宋体" w:hAnsi="宋体" w:cs="黑体"/>
          <w:b/>
          <w:color w:val="auto"/>
          <w:sz w:val="24"/>
          <w:szCs w:val="24"/>
        </w:rPr>
        <w:t>】：</w:t>
      </w:r>
      <w:r>
        <w:rPr>
          <w:rFonts w:hint="eastAsia"/>
          <w:color w:val="0070C0"/>
          <w:kern w:val="2"/>
          <w:sz w:val="24"/>
          <w:szCs w:val="24"/>
        </w:rPr>
        <w:t>内装系统设计应考虑装修材料、部品、设施等的可拆解性，内装部品的接口设计应做到连接合理，拆装方便，使用可靠。</w:t>
      </w:r>
    </w:p>
    <w:p>
      <w:pPr>
        <w:spacing w:line="360" w:lineRule="auto"/>
        <w:rPr>
          <w:rFonts w:ascii="宋体" w:hAnsi="宋体"/>
          <w:color w:val="auto"/>
          <w:sz w:val="24"/>
          <w:szCs w:val="24"/>
        </w:rPr>
      </w:pPr>
      <w:bookmarkStart w:id="130" w:name="_Toc76377016"/>
      <w:bookmarkStart w:id="131" w:name="_Toc84835569"/>
      <w:r>
        <w:rPr>
          <w:rFonts w:eastAsia="等线" w:cs="宋体"/>
          <w:b/>
          <w:color w:val="auto"/>
          <w:kern w:val="2"/>
          <w:sz w:val="24"/>
          <w:szCs w:val="24"/>
        </w:rPr>
        <w:t>9</w:t>
      </w:r>
      <w:r>
        <w:rPr>
          <w:rFonts w:hint="eastAsia" w:eastAsia="等线" w:cs="宋体"/>
          <w:b/>
          <w:color w:val="auto"/>
          <w:kern w:val="2"/>
          <w:sz w:val="24"/>
          <w:szCs w:val="24"/>
        </w:rPr>
        <w:t>.1.</w:t>
      </w:r>
      <w:bookmarkEnd w:id="130"/>
      <w:bookmarkEnd w:id="131"/>
      <w:r>
        <w:rPr>
          <w:rFonts w:hint="eastAsia" w:eastAsia="等线" w:cs="宋体"/>
          <w:b/>
          <w:color w:val="auto"/>
          <w:kern w:val="2"/>
          <w:sz w:val="24"/>
          <w:szCs w:val="24"/>
        </w:rPr>
        <w:t>6</w:t>
      </w:r>
      <w:r>
        <w:rPr>
          <w:rFonts w:ascii="宋体" w:hAnsi="宋体"/>
          <w:color w:val="auto"/>
          <w:sz w:val="24"/>
          <w:szCs w:val="24"/>
        </w:rPr>
        <w:t xml:space="preserve"> </w:t>
      </w:r>
      <w:r>
        <w:rPr>
          <w:rFonts w:hint="eastAsia" w:ascii="宋体" w:hAnsi="宋体"/>
          <w:color w:val="auto"/>
          <w:sz w:val="24"/>
          <w:szCs w:val="24"/>
        </w:rPr>
        <w:t>钢结构住宅内装设计应考虑建筑生命周期内使用功能可变性的需求，宜考虑满足多种场景下的使用需求。</w:t>
      </w:r>
    </w:p>
    <w:p>
      <w:pPr>
        <w:spacing w:line="360" w:lineRule="auto"/>
        <w:rPr>
          <w:rFonts w:ascii="宋体" w:hAnsi="宋体"/>
          <w:color w:val="auto"/>
          <w:sz w:val="24"/>
          <w:szCs w:val="24"/>
        </w:rPr>
      </w:pPr>
      <w:r>
        <w:rPr>
          <w:rFonts w:eastAsia="等线" w:cs="宋体"/>
          <w:b/>
          <w:color w:val="auto"/>
          <w:kern w:val="2"/>
          <w:sz w:val="24"/>
          <w:szCs w:val="24"/>
        </w:rPr>
        <w:t>9</w:t>
      </w:r>
      <w:r>
        <w:rPr>
          <w:rFonts w:hint="eastAsia" w:eastAsia="等线" w:cs="宋体"/>
          <w:b/>
          <w:color w:val="auto"/>
          <w:kern w:val="2"/>
          <w:sz w:val="24"/>
          <w:szCs w:val="24"/>
        </w:rPr>
        <w:t>.1.7</w:t>
      </w:r>
      <w:r>
        <w:rPr>
          <w:rFonts w:ascii="宋体" w:hAnsi="宋体"/>
          <w:color w:val="auto"/>
          <w:sz w:val="24"/>
          <w:szCs w:val="24"/>
        </w:rPr>
        <w:t xml:space="preserve"> </w:t>
      </w:r>
      <w:r>
        <w:rPr>
          <w:rFonts w:hint="eastAsia" w:ascii="宋体" w:hAnsi="宋体"/>
          <w:color w:val="auto"/>
          <w:sz w:val="24"/>
          <w:szCs w:val="24"/>
        </w:rPr>
        <w:t>钢结构住宅梁柱包覆应与防火防腐构造结合，实现防火防腐包覆与内装系统的一体化，并应符合下列规定：</w:t>
      </w:r>
    </w:p>
    <w:p>
      <w:pPr>
        <w:spacing w:line="360" w:lineRule="auto"/>
        <w:ind w:firstLine="480" w:firstLineChars="200"/>
        <w:rPr>
          <w:rFonts w:ascii="宋体" w:hAnsi="宋体"/>
          <w:color w:val="auto"/>
          <w:sz w:val="24"/>
          <w:szCs w:val="24"/>
        </w:rPr>
      </w:pPr>
      <w:r>
        <w:rPr>
          <w:rFonts w:hint="eastAsia" w:ascii="宋体" w:hAnsi="宋体"/>
          <w:color w:val="auto"/>
          <w:sz w:val="24"/>
          <w:szCs w:val="24"/>
        </w:rPr>
        <w:t>1 内装部品安装不应破坏防火构造。</w:t>
      </w:r>
    </w:p>
    <w:p>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2 宜采用防腐防火复合涂料。</w:t>
      </w:r>
    </w:p>
    <w:p>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3 使用膨胀性防火涂料应预留膨胀空间。</w:t>
      </w:r>
    </w:p>
    <w:p>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4 设备与管线穿越防火保护层时，应按钢构件原耐火极限进行有效封堵。</w:t>
      </w:r>
    </w:p>
    <w:p>
      <w:pPr>
        <w:spacing w:line="360" w:lineRule="auto"/>
        <w:jc w:val="left"/>
        <w:rPr>
          <w:rFonts w:ascii="宋体" w:hAnsi="宋体"/>
          <w:color w:val="auto"/>
          <w:sz w:val="24"/>
          <w:szCs w:val="24"/>
        </w:rPr>
      </w:pPr>
      <w:r>
        <w:rPr>
          <w:rFonts w:eastAsia="等线" w:cs="宋体"/>
          <w:b/>
          <w:color w:val="auto"/>
          <w:kern w:val="2"/>
          <w:sz w:val="24"/>
          <w:szCs w:val="24"/>
        </w:rPr>
        <w:t>9</w:t>
      </w:r>
      <w:r>
        <w:rPr>
          <w:rFonts w:hint="eastAsia" w:eastAsia="等线" w:cs="宋体"/>
          <w:b/>
          <w:color w:val="auto"/>
          <w:kern w:val="2"/>
          <w:sz w:val="24"/>
          <w:szCs w:val="24"/>
        </w:rPr>
        <w:t>.1.8</w:t>
      </w:r>
      <w:r>
        <w:rPr>
          <w:rFonts w:ascii="宋体" w:hAnsi="宋体"/>
          <w:color w:val="auto"/>
          <w:sz w:val="24"/>
          <w:szCs w:val="24"/>
        </w:rPr>
        <w:t xml:space="preserve"> </w:t>
      </w:r>
      <w:r>
        <w:rPr>
          <w:rFonts w:hint="eastAsia" w:ascii="宋体" w:hAnsi="宋体"/>
          <w:color w:val="auto"/>
          <w:sz w:val="24"/>
          <w:szCs w:val="24"/>
        </w:rPr>
        <w:t>钢结构住宅内装系统设计时，对可能引起传声的钢构件、设备管道等应采取减振和隔声措施，对钢构件应进行隔声包覆，并应采取系统性隔声措施。</w:t>
      </w:r>
    </w:p>
    <w:p>
      <w:pPr>
        <w:spacing w:line="360" w:lineRule="auto"/>
        <w:jc w:val="left"/>
        <w:rPr>
          <w:rFonts w:ascii="宋体" w:hAnsi="宋体"/>
          <w:color w:val="auto"/>
          <w:sz w:val="24"/>
          <w:szCs w:val="24"/>
        </w:rPr>
      </w:pPr>
      <w:r>
        <w:rPr>
          <w:rFonts w:hint="eastAsia" w:eastAsia="等线" w:cs="宋体"/>
          <w:b/>
          <w:color w:val="auto"/>
          <w:kern w:val="2"/>
          <w:sz w:val="24"/>
          <w:szCs w:val="24"/>
        </w:rPr>
        <w:t xml:space="preserve">9.1.9 </w:t>
      </w:r>
      <w:r>
        <w:rPr>
          <w:rFonts w:hint="eastAsia" w:ascii="宋体" w:hAnsi="宋体"/>
          <w:color w:val="auto"/>
          <w:sz w:val="24"/>
          <w:szCs w:val="24"/>
        </w:rPr>
        <w:t>钢结构住宅内装系统设计宜采用建筑信息模型（BIM）技术，与结构系统、围护系统、设备与管线系统进行一体化设计，预留洞口、预埋件、连接件、接口设计应准确到位。</w:t>
      </w:r>
    </w:p>
    <w:p>
      <w:pPr>
        <w:spacing w:line="360" w:lineRule="auto"/>
        <w:rPr>
          <w:color w:val="0070C0"/>
          <w:kern w:val="2"/>
          <w:sz w:val="24"/>
          <w:szCs w:val="24"/>
        </w:rPr>
      </w:pPr>
      <w:r>
        <w:rPr>
          <w:rFonts w:hint="eastAsia" w:ascii="宋体" w:hAnsi="宋体" w:cs="黑体"/>
          <w:b/>
          <w:color w:val="auto"/>
          <w:sz w:val="24"/>
          <w:szCs w:val="24"/>
        </w:rPr>
        <w:t>【条文</w:t>
      </w:r>
      <w:r>
        <w:rPr>
          <w:rFonts w:ascii="宋体" w:hAnsi="宋体" w:cs="黑体"/>
          <w:b/>
          <w:color w:val="auto"/>
          <w:sz w:val="24"/>
          <w:szCs w:val="24"/>
        </w:rPr>
        <w:t>说明</w:t>
      </w:r>
      <w:r>
        <w:rPr>
          <w:rFonts w:hint="eastAsia" w:ascii="宋体" w:hAnsi="宋体" w:cs="黑体"/>
          <w:b/>
          <w:color w:val="auto"/>
          <w:sz w:val="24"/>
          <w:szCs w:val="24"/>
        </w:rPr>
        <w:t>】：</w:t>
      </w:r>
      <w:r>
        <w:rPr>
          <w:rFonts w:hint="eastAsia"/>
          <w:color w:val="0070C0"/>
          <w:kern w:val="2"/>
          <w:sz w:val="24"/>
          <w:szCs w:val="24"/>
        </w:rPr>
        <w:t>内装设计应与结构系统和外围护系统相关构件的深化设计紧密配合，在设计阶段应明确构件的开洞尺寸及定位位置，并提前做好连接件的预留预埋，需考虑的预留预埋可参照表</w:t>
      </w:r>
      <w:r>
        <w:rPr>
          <w:color w:val="0070C0"/>
          <w:kern w:val="2"/>
          <w:sz w:val="24"/>
          <w:szCs w:val="24"/>
        </w:rPr>
        <w:t>9</w:t>
      </w:r>
      <w:r>
        <w:rPr>
          <w:rFonts w:hint="eastAsia"/>
          <w:color w:val="0070C0"/>
          <w:kern w:val="2"/>
          <w:sz w:val="24"/>
          <w:szCs w:val="24"/>
        </w:rPr>
        <w:t>.1.9。</w:t>
      </w:r>
    </w:p>
    <w:p>
      <w:pPr>
        <w:jc w:val="center"/>
        <w:rPr>
          <w:color w:val="0070C0"/>
          <w:kern w:val="2"/>
          <w:sz w:val="24"/>
          <w:szCs w:val="24"/>
        </w:rPr>
      </w:pPr>
      <w:bookmarkStart w:id="132" w:name="_Toc76377032"/>
      <w:bookmarkStart w:id="133" w:name="_Toc84835585"/>
      <w:r>
        <w:rPr>
          <w:rFonts w:hint="eastAsia"/>
          <w:color w:val="0070C0"/>
          <w:kern w:val="2"/>
          <w:sz w:val="24"/>
          <w:szCs w:val="24"/>
        </w:rPr>
        <w:t>表</w:t>
      </w:r>
      <w:r>
        <w:rPr>
          <w:color w:val="0070C0"/>
          <w:kern w:val="2"/>
          <w:sz w:val="24"/>
          <w:szCs w:val="24"/>
        </w:rPr>
        <w:t>9</w:t>
      </w:r>
      <w:r>
        <w:rPr>
          <w:rFonts w:hint="eastAsia"/>
          <w:color w:val="0070C0"/>
          <w:kern w:val="2"/>
          <w:sz w:val="24"/>
          <w:szCs w:val="24"/>
        </w:rPr>
        <w:t>.1.9与内装系统配合的构件需考虑的预留预埋</w:t>
      </w:r>
      <w:bookmarkEnd w:id="132"/>
      <w:bookmarkEnd w:id="133"/>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7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384" w:type="dxa"/>
            <w:vAlign w:val="center"/>
          </w:tcPr>
          <w:p>
            <w:pPr>
              <w:pStyle w:val="28"/>
              <w:adjustRightInd w:val="0"/>
              <w:snapToGrid w:val="0"/>
              <w:spacing w:before="0" w:beforeAutospacing="0" w:after="0" w:afterAutospacing="0" w:line="360" w:lineRule="auto"/>
              <w:jc w:val="center"/>
              <w:rPr>
                <w:rFonts w:ascii="Times New Roman" w:hAnsi="Times New Roman" w:cs="Times New Roman"/>
                <w:color w:val="0070C0"/>
                <w:kern w:val="2"/>
                <w:sz w:val="21"/>
                <w:szCs w:val="21"/>
              </w:rPr>
            </w:pPr>
            <w:r>
              <w:rPr>
                <w:rFonts w:hint="eastAsia" w:ascii="Times New Roman" w:hAnsi="Times New Roman" w:cs="Times New Roman"/>
                <w:color w:val="0070C0"/>
                <w:kern w:val="2"/>
                <w:sz w:val="21"/>
                <w:szCs w:val="21"/>
              </w:rPr>
              <w:t>部位</w:t>
            </w:r>
          </w:p>
        </w:tc>
        <w:tc>
          <w:tcPr>
            <w:tcW w:w="7138" w:type="dxa"/>
            <w:vAlign w:val="center"/>
          </w:tcPr>
          <w:p>
            <w:pPr>
              <w:pStyle w:val="28"/>
              <w:adjustRightInd w:val="0"/>
              <w:snapToGrid w:val="0"/>
              <w:spacing w:before="0" w:beforeAutospacing="0" w:after="0" w:afterAutospacing="0" w:line="360" w:lineRule="auto"/>
              <w:jc w:val="center"/>
              <w:rPr>
                <w:rFonts w:ascii="Times New Roman" w:hAnsi="Times New Roman" w:cs="Times New Roman"/>
                <w:color w:val="0070C0"/>
                <w:kern w:val="2"/>
                <w:sz w:val="21"/>
                <w:szCs w:val="21"/>
              </w:rPr>
            </w:pPr>
            <w:r>
              <w:rPr>
                <w:rFonts w:hint="eastAsia" w:ascii="Times New Roman" w:hAnsi="Times New Roman" w:cs="Times New Roman"/>
                <w:color w:val="0070C0"/>
                <w:kern w:val="2"/>
                <w:sz w:val="21"/>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384" w:type="dxa"/>
            <w:vAlign w:val="center"/>
          </w:tcPr>
          <w:p>
            <w:pPr>
              <w:pStyle w:val="28"/>
              <w:adjustRightInd w:val="0"/>
              <w:snapToGrid w:val="0"/>
              <w:spacing w:before="0" w:beforeAutospacing="0" w:after="0" w:afterAutospacing="0" w:line="360" w:lineRule="auto"/>
              <w:jc w:val="center"/>
              <w:rPr>
                <w:rFonts w:ascii="Times New Roman" w:hAnsi="Times New Roman" w:cs="Times New Roman"/>
                <w:color w:val="0070C0"/>
                <w:kern w:val="2"/>
                <w:sz w:val="21"/>
                <w:szCs w:val="21"/>
              </w:rPr>
            </w:pPr>
            <w:r>
              <w:rPr>
                <w:rFonts w:hint="eastAsia" w:ascii="Times New Roman" w:hAnsi="Times New Roman" w:cs="Times New Roman"/>
                <w:color w:val="0070C0"/>
                <w:kern w:val="2"/>
                <w:sz w:val="21"/>
                <w:szCs w:val="21"/>
              </w:rPr>
              <w:t>墙体</w:t>
            </w:r>
          </w:p>
        </w:tc>
        <w:tc>
          <w:tcPr>
            <w:tcW w:w="7138" w:type="dxa"/>
            <w:vAlign w:val="center"/>
          </w:tcPr>
          <w:p>
            <w:pPr>
              <w:widowControl/>
              <w:adjustRightInd w:val="0"/>
              <w:snapToGrid w:val="0"/>
              <w:spacing w:line="360" w:lineRule="auto"/>
              <w:jc w:val="left"/>
              <w:rPr>
                <w:color w:val="0070C0"/>
                <w:kern w:val="2"/>
              </w:rPr>
            </w:pPr>
            <w:r>
              <w:rPr>
                <w:rFonts w:hint="eastAsia"/>
                <w:color w:val="0070C0"/>
                <w:kern w:val="2"/>
              </w:rPr>
              <w:t>（1）</w:t>
            </w:r>
            <w:r>
              <w:rPr>
                <w:color w:val="0070C0"/>
                <w:kern w:val="2"/>
              </w:rPr>
              <w:t>内装连接需要的埋件</w:t>
            </w:r>
            <w:r>
              <w:rPr>
                <w:rFonts w:hint="eastAsia"/>
                <w:color w:val="0070C0"/>
                <w:kern w:val="2"/>
              </w:rPr>
              <w:t>；</w:t>
            </w:r>
          </w:p>
          <w:p>
            <w:pPr>
              <w:widowControl/>
              <w:adjustRightInd w:val="0"/>
              <w:snapToGrid w:val="0"/>
              <w:spacing w:line="360" w:lineRule="auto"/>
              <w:jc w:val="left"/>
              <w:rPr>
                <w:color w:val="0070C0"/>
                <w:kern w:val="2"/>
              </w:rPr>
            </w:pPr>
            <w:r>
              <w:rPr>
                <w:rFonts w:hint="eastAsia"/>
                <w:color w:val="0070C0"/>
                <w:kern w:val="2"/>
              </w:rPr>
              <w:t>（2）预留</w:t>
            </w:r>
            <w:r>
              <w:rPr>
                <w:color w:val="0070C0"/>
                <w:kern w:val="2"/>
              </w:rPr>
              <w:t>厨房</w:t>
            </w:r>
            <w:r>
              <w:rPr>
                <w:rFonts w:hint="eastAsia"/>
                <w:color w:val="0070C0"/>
                <w:kern w:val="2"/>
              </w:rPr>
              <w:t>排烟管</w:t>
            </w:r>
            <w:r>
              <w:rPr>
                <w:color w:val="0070C0"/>
                <w:kern w:val="2"/>
              </w:rPr>
              <w:t>出风口帽</w:t>
            </w:r>
            <w:r>
              <w:rPr>
                <w:rFonts w:hint="eastAsia"/>
                <w:color w:val="0070C0"/>
                <w:kern w:val="2"/>
              </w:rPr>
              <w:t>、</w:t>
            </w:r>
            <w:r>
              <w:rPr>
                <w:color w:val="0070C0"/>
                <w:kern w:val="2"/>
              </w:rPr>
              <w:t>厨房止回风口；</w:t>
            </w:r>
          </w:p>
          <w:p>
            <w:pPr>
              <w:widowControl/>
              <w:adjustRightInd w:val="0"/>
              <w:snapToGrid w:val="0"/>
              <w:spacing w:line="360" w:lineRule="auto"/>
              <w:jc w:val="left"/>
              <w:rPr>
                <w:color w:val="0070C0"/>
                <w:kern w:val="2"/>
              </w:rPr>
            </w:pPr>
            <w:r>
              <w:rPr>
                <w:rFonts w:hint="eastAsia"/>
                <w:color w:val="0070C0"/>
                <w:kern w:val="2"/>
              </w:rPr>
              <w:t>（3）卫生间</w:t>
            </w:r>
            <w:r>
              <w:rPr>
                <w:color w:val="0070C0"/>
                <w:kern w:val="2"/>
              </w:rPr>
              <w:t>止回风口；</w:t>
            </w:r>
          </w:p>
          <w:p>
            <w:pPr>
              <w:widowControl/>
              <w:adjustRightInd w:val="0"/>
              <w:snapToGrid w:val="0"/>
              <w:spacing w:line="360" w:lineRule="auto"/>
              <w:jc w:val="left"/>
              <w:rPr>
                <w:color w:val="0070C0"/>
                <w:kern w:val="2"/>
              </w:rPr>
            </w:pPr>
            <w:r>
              <w:rPr>
                <w:rFonts w:hint="eastAsia"/>
                <w:color w:val="0070C0"/>
                <w:kern w:val="2"/>
              </w:rPr>
              <w:t>（4）空调</w:t>
            </w:r>
            <w:r>
              <w:rPr>
                <w:color w:val="0070C0"/>
                <w:kern w:val="2"/>
              </w:rPr>
              <w:t>交换机管道孔、空气净化机</w:t>
            </w:r>
            <w:r>
              <w:rPr>
                <w:rFonts w:hint="eastAsia"/>
                <w:color w:val="0070C0"/>
                <w:kern w:val="2"/>
              </w:rPr>
              <w:t>管道</w:t>
            </w:r>
            <w:r>
              <w:rPr>
                <w:color w:val="0070C0"/>
                <w:kern w:val="2"/>
              </w:rPr>
              <w:t>孔；</w:t>
            </w:r>
          </w:p>
          <w:p>
            <w:pPr>
              <w:pStyle w:val="28"/>
              <w:adjustRightInd w:val="0"/>
              <w:snapToGrid w:val="0"/>
              <w:spacing w:before="0" w:beforeAutospacing="0" w:after="0" w:afterAutospacing="0" w:line="360" w:lineRule="auto"/>
              <w:rPr>
                <w:rFonts w:ascii="Times New Roman" w:hAnsi="Times New Roman" w:cs="Times New Roman"/>
                <w:color w:val="0070C0"/>
                <w:kern w:val="2"/>
                <w:sz w:val="21"/>
                <w:szCs w:val="21"/>
              </w:rPr>
            </w:pPr>
            <w:r>
              <w:rPr>
                <w:rFonts w:hint="eastAsia" w:ascii="Times New Roman" w:hAnsi="Times New Roman" w:cs="Times New Roman"/>
                <w:color w:val="0070C0"/>
                <w:kern w:val="2"/>
                <w:sz w:val="21"/>
                <w:szCs w:val="21"/>
              </w:rPr>
              <w:t>（5）预留</w:t>
            </w:r>
            <w:r>
              <w:rPr>
                <w:rFonts w:ascii="Times New Roman" w:hAnsi="Times New Roman" w:cs="Times New Roman"/>
                <w:color w:val="0070C0"/>
                <w:kern w:val="2"/>
                <w:sz w:val="21"/>
                <w:szCs w:val="21"/>
              </w:rPr>
              <w:t>给水管、同层排水横支管、同层排水</w:t>
            </w:r>
            <w:r>
              <w:rPr>
                <w:rFonts w:hint="eastAsia" w:ascii="Times New Roman" w:hAnsi="Times New Roman" w:cs="Times New Roman"/>
                <w:color w:val="0070C0"/>
                <w:kern w:val="2"/>
                <w:sz w:val="21"/>
                <w:szCs w:val="21"/>
              </w:rPr>
              <w:t>坐便器</w:t>
            </w:r>
            <w:r>
              <w:rPr>
                <w:rFonts w:ascii="Times New Roman" w:hAnsi="Times New Roman" w:cs="Times New Roman"/>
                <w:color w:val="0070C0"/>
                <w:kern w:val="2"/>
                <w:sz w:val="21"/>
                <w:szCs w:val="21"/>
              </w:rPr>
              <w:t>的空洞等</w:t>
            </w:r>
            <w:r>
              <w:rPr>
                <w:rFonts w:hint="eastAsia" w:ascii="Times New Roman" w:hAnsi="Times New Roman" w:cs="Times New Roman"/>
                <w:color w:val="0070C0"/>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384" w:type="dxa"/>
            <w:vAlign w:val="center"/>
          </w:tcPr>
          <w:p>
            <w:pPr>
              <w:pStyle w:val="28"/>
              <w:adjustRightInd w:val="0"/>
              <w:snapToGrid w:val="0"/>
              <w:spacing w:before="0" w:beforeAutospacing="0" w:after="0" w:afterAutospacing="0" w:line="360" w:lineRule="auto"/>
              <w:rPr>
                <w:rFonts w:ascii="Times New Roman" w:hAnsi="Times New Roman" w:cs="Times New Roman"/>
                <w:color w:val="0070C0"/>
                <w:kern w:val="2"/>
                <w:sz w:val="21"/>
                <w:szCs w:val="21"/>
              </w:rPr>
            </w:pPr>
            <w:r>
              <w:rPr>
                <w:rFonts w:hint="eastAsia" w:ascii="Times New Roman" w:hAnsi="Times New Roman" w:cs="Times New Roman"/>
                <w:color w:val="0070C0"/>
                <w:kern w:val="2"/>
                <w:sz w:val="21"/>
                <w:szCs w:val="21"/>
              </w:rPr>
              <w:t>楼板</w:t>
            </w:r>
          </w:p>
        </w:tc>
        <w:tc>
          <w:tcPr>
            <w:tcW w:w="7138" w:type="dxa"/>
            <w:vAlign w:val="center"/>
          </w:tcPr>
          <w:p>
            <w:pPr>
              <w:widowControl/>
              <w:adjustRightInd w:val="0"/>
              <w:snapToGrid w:val="0"/>
              <w:spacing w:line="360" w:lineRule="auto"/>
              <w:jc w:val="left"/>
              <w:rPr>
                <w:color w:val="0070C0"/>
                <w:kern w:val="2"/>
              </w:rPr>
            </w:pPr>
            <w:r>
              <w:rPr>
                <w:rFonts w:hint="eastAsia"/>
                <w:color w:val="0070C0"/>
                <w:kern w:val="2"/>
              </w:rPr>
              <w:t>（</w:t>
            </w:r>
            <w:r>
              <w:rPr>
                <w:color w:val="0070C0"/>
                <w:kern w:val="2"/>
              </w:rPr>
              <w:t>1</w:t>
            </w:r>
            <w:r>
              <w:rPr>
                <w:rFonts w:hint="eastAsia"/>
                <w:color w:val="0070C0"/>
                <w:kern w:val="2"/>
              </w:rPr>
              <w:t>）</w:t>
            </w:r>
            <w:r>
              <w:rPr>
                <w:color w:val="0070C0"/>
                <w:kern w:val="2"/>
              </w:rPr>
              <w:t>预留内装连接需要的埋件；</w:t>
            </w:r>
          </w:p>
          <w:p>
            <w:pPr>
              <w:widowControl/>
              <w:adjustRightInd w:val="0"/>
              <w:snapToGrid w:val="0"/>
              <w:spacing w:line="360" w:lineRule="auto"/>
              <w:jc w:val="left"/>
              <w:rPr>
                <w:color w:val="0070C0"/>
                <w:kern w:val="2"/>
              </w:rPr>
            </w:pPr>
            <w:r>
              <w:rPr>
                <w:rFonts w:hint="eastAsia"/>
                <w:color w:val="0070C0"/>
                <w:kern w:val="2"/>
              </w:rPr>
              <w:t>（</w:t>
            </w:r>
            <w:r>
              <w:rPr>
                <w:color w:val="0070C0"/>
                <w:kern w:val="2"/>
              </w:rPr>
              <w:t>2</w:t>
            </w:r>
            <w:r>
              <w:rPr>
                <w:rFonts w:hint="eastAsia"/>
                <w:color w:val="0070C0"/>
                <w:kern w:val="2"/>
              </w:rPr>
              <w:t>）楼板</w:t>
            </w:r>
            <w:r>
              <w:rPr>
                <w:color w:val="0070C0"/>
                <w:kern w:val="2"/>
              </w:rPr>
              <w:t>应根据设计需要和定位预留排水管出口；</w:t>
            </w:r>
          </w:p>
          <w:p>
            <w:pPr>
              <w:pStyle w:val="28"/>
              <w:adjustRightInd w:val="0"/>
              <w:snapToGrid w:val="0"/>
              <w:spacing w:before="0" w:beforeAutospacing="0" w:after="0" w:afterAutospacing="0" w:line="360" w:lineRule="auto"/>
              <w:rPr>
                <w:rFonts w:ascii="Times New Roman" w:hAnsi="Times New Roman" w:cs="Times New Roman"/>
                <w:color w:val="0070C0"/>
                <w:kern w:val="2"/>
                <w:sz w:val="21"/>
                <w:szCs w:val="21"/>
              </w:rPr>
            </w:pPr>
            <w:r>
              <w:rPr>
                <w:rFonts w:hint="eastAsia" w:ascii="Times New Roman" w:hAnsi="Times New Roman" w:cs="Times New Roman"/>
                <w:color w:val="0070C0"/>
                <w:kern w:val="2"/>
                <w:sz w:val="21"/>
                <w:szCs w:val="21"/>
              </w:rPr>
              <w:t>（</w:t>
            </w:r>
            <w:r>
              <w:rPr>
                <w:rFonts w:ascii="Times New Roman" w:hAnsi="Times New Roman" w:cs="Times New Roman"/>
                <w:color w:val="0070C0"/>
                <w:kern w:val="2"/>
                <w:sz w:val="21"/>
                <w:szCs w:val="21"/>
              </w:rPr>
              <w:t>3</w:t>
            </w:r>
            <w:r>
              <w:rPr>
                <w:rFonts w:hint="eastAsia" w:ascii="Times New Roman" w:hAnsi="Times New Roman" w:cs="Times New Roman"/>
                <w:color w:val="0070C0"/>
                <w:kern w:val="2"/>
                <w:sz w:val="21"/>
                <w:szCs w:val="21"/>
              </w:rPr>
              <w:t>）预制</w:t>
            </w:r>
            <w:r>
              <w:rPr>
                <w:rFonts w:ascii="Times New Roman" w:hAnsi="Times New Roman" w:cs="Times New Roman"/>
                <w:color w:val="0070C0"/>
                <w:kern w:val="2"/>
                <w:sz w:val="21"/>
                <w:szCs w:val="21"/>
              </w:rPr>
              <w:t>楼板底部预埋热水器吊挂螺栓装置、预制楼板底部预埋中央空调主机吊挂螺栓装置等情况需要考虑预埋加固点</w:t>
            </w:r>
            <w:r>
              <w:rPr>
                <w:rFonts w:hint="eastAsia" w:ascii="Times New Roman" w:hAnsi="Times New Roman" w:cs="Times New Roman"/>
                <w:color w:val="0070C0"/>
                <w:kern w:val="2"/>
                <w:sz w:val="21"/>
                <w:szCs w:val="21"/>
              </w:rPr>
              <w:t>。</w:t>
            </w:r>
          </w:p>
        </w:tc>
      </w:tr>
    </w:tbl>
    <w:p>
      <w:pPr>
        <w:spacing w:line="360" w:lineRule="auto"/>
        <w:jc w:val="left"/>
        <w:rPr>
          <w:rFonts w:ascii="宋体" w:hAnsi="宋体"/>
          <w:color w:val="auto"/>
          <w:sz w:val="24"/>
          <w:szCs w:val="24"/>
        </w:rPr>
      </w:pPr>
    </w:p>
    <w:p>
      <w:pPr>
        <w:pStyle w:val="3"/>
        <w:spacing w:line="360" w:lineRule="auto"/>
        <w:jc w:val="center"/>
        <w:rPr>
          <w:rFonts w:ascii="Times New Roman" w:hAnsi="Times New Roman" w:eastAsia="宋体" w:cs="Times New Roman"/>
          <w:color w:val="auto"/>
          <w:sz w:val="28"/>
          <w:szCs w:val="28"/>
        </w:rPr>
      </w:pPr>
      <w:bookmarkStart w:id="134" w:name="_Toc103958768"/>
      <w:bookmarkStart w:id="135" w:name="_Toc76377017"/>
      <w:r>
        <w:rPr>
          <w:rFonts w:ascii="Times New Roman" w:hAnsi="Times New Roman" w:eastAsia="宋体" w:cs="Times New Roman"/>
          <w:color w:val="auto"/>
          <w:sz w:val="28"/>
          <w:szCs w:val="28"/>
        </w:rPr>
        <w:t xml:space="preserve">9.2 </w:t>
      </w:r>
      <w:r>
        <w:rPr>
          <w:rFonts w:hint="eastAsia" w:ascii="Times New Roman" w:hAnsi="Times New Roman" w:eastAsia="宋体" w:cs="Times New Roman"/>
          <w:color w:val="auto"/>
          <w:sz w:val="28"/>
          <w:szCs w:val="28"/>
        </w:rPr>
        <w:t>标准化设计与模数</w:t>
      </w:r>
      <w:r>
        <w:rPr>
          <w:rFonts w:ascii="Times New Roman" w:hAnsi="Times New Roman" w:eastAsia="宋体" w:cs="Times New Roman"/>
          <w:color w:val="auto"/>
          <w:sz w:val="28"/>
          <w:szCs w:val="28"/>
        </w:rPr>
        <w:t>协调</w:t>
      </w:r>
      <w:bookmarkEnd w:id="134"/>
      <w:bookmarkEnd w:id="135"/>
    </w:p>
    <w:p>
      <w:pPr>
        <w:spacing w:line="360" w:lineRule="auto"/>
        <w:rPr>
          <w:rFonts w:ascii="宋体" w:hAnsi="宋体"/>
          <w:color w:val="auto"/>
          <w:sz w:val="24"/>
          <w:szCs w:val="24"/>
        </w:rPr>
      </w:pPr>
      <w:bookmarkStart w:id="136" w:name="_Toc84835572"/>
      <w:bookmarkStart w:id="137" w:name="_Toc76377019"/>
      <w:r>
        <w:rPr>
          <w:rFonts w:eastAsia="等线" w:cs="宋体"/>
          <w:b/>
          <w:color w:val="auto"/>
          <w:kern w:val="2"/>
          <w:sz w:val="24"/>
          <w:szCs w:val="24"/>
        </w:rPr>
        <w:t>9.2.1</w:t>
      </w:r>
      <w:r>
        <w:rPr>
          <w:rFonts w:hint="eastAsia"/>
        </w:rPr>
        <w:t xml:space="preserve"> </w:t>
      </w:r>
      <w:r>
        <w:rPr>
          <w:rFonts w:hint="eastAsia" w:ascii="宋体" w:hAnsi="宋体"/>
          <w:color w:val="auto"/>
          <w:sz w:val="24"/>
          <w:szCs w:val="24"/>
        </w:rPr>
        <w:t>钢结构住宅内装系统应采用标准化、模数化、通用化的工艺设计、满足制造工厂化、施工装配化的要求，并宜采用装配式隔墙和墙面、装配式吊顶、装配式楼地面、装配式内门窗、集成式厨房、集成式卫生间、收纳系统等集成化部品。</w:t>
      </w:r>
    </w:p>
    <w:p>
      <w:pPr>
        <w:spacing w:line="360" w:lineRule="auto"/>
        <w:rPr>
          <w:rFonts w:ascii="宋体" w:hAnsi="宋体"/>
          <w:color w:val="auto"/>
          <w:sz w:val="24"/>
          <w:szCs w:val="24"/>
        </w:rPr>
      </w:pPr>
      <w:r>
        <w:rPr>
          <w:rFonts w:eastAsia="等线" w:cs="宋体"/>
          <w:b/>
          <w:color w:val="auto"/>
          <w:kern w:val="2"/>
          <w:sz w:val="24"/>
          <w:szCs w:val="24"/>
        </w:rPr>
        <w:t>9.2.2</w:t>
      </w:r>
      <w:r>
        <w:rPr>
          <w:rFonts w:hint="eastAsia" w:ascii="宋体" w:hAnsi="宋体"/>
          <w:color w:val="auto"/>
          <w:sz w:val="24"/>
          <w:szCs w:val="24"/>
        </w:rPr>
        <w:t>内装系统</w:t>
      </w:r>
      <w:r>
        <w:rPr>
          <w:rFonts w:ascii="宋体" w:hAnsi="宋体"/>
          <w:color w:val="auto"/>
          <w:sz w:val="24"/>
          <w:szCs w:val="24"/>
        </w:rPr>
        <w:t xml:space="preserve">设计应遵循模数化的原则，应符合国家现行标准《建筑模数协调标准》GB/T 50002 </w:t>
      </w:r>
      <w:r>
        <w:rPr>
          <w:rFonts w:hint="eastAsia" w:ascii="宋体" w:hAnsi="宋体"/>
          <w:color w:val="auto"/>
          <w:sz w:val="24"/>
          <w:szCs w:val="24"/>
        </w:rPr>
        <w:t>,宜符合</w:t>
      </w:r>
      <w:r>
        <w:rPr>
          <w:rFonts w:ascii="宋体" w:hAnsi="宋体"/>
          <w:color w:val="auto"/>
          <w:sz w:val="24"/>
          <w:szCs w:val="24"/>
        </w:rPr>
        <w:t>《工业化住宅尺寸协调标准》JGJ/T 445</w:t>
      </w:r>
      <w:r>
        <w:rPr>
          <w:rFonts w:hint="eastAsia" w:ascii="宋体" w:hAnsi="宋体"/>
          <w:color w:val="auto"/>
          <w:sz w:val="24"/>
          <w:szCs w:val="24"/>
        </w:rPr>
        <w:t>、《住宅厨房模数协调标准》JGJ/T 262、《住宅厨房家具及厨房设备模数系列》JGJ/T 219</w:t>
      </w:r>
      <w:r>
        <w:rPr>
          <w:rFonts w:ascii="宋体" w:hAnsi="宋体"/>
          <w:color w:val="auto"/>
          <w:sz w:val="24"/>
          <w:szCs w:val="24"/>
        </w:rPr>
        <w:t>的规定，并应符合</w:t>
      </w:r>
      <w:r>
        <w:rPr>
          <w:rFonts w:hint="eastAsia" w:ascii="宋体" w:hAnsi="宋体"/>
          <w:color w:val="auto"/>
          <w:sz w:val="24"/>
          <w:szCs w:val="24"/>
        </w:rPr>
        <w:t>以下规定</w:t>
      </w:r>
      <w:r>
        <w:rPr>
          <w:rFonts w:ascii="宋体" w:hAnsi="宋体"/>
          <w:color w:val="auto"/>
          <w:sz w:val="24"/>
          <w:szCs w:val="24"/>
        </w:rPr>
        <w:t>：</w:t>
      </w:r>
      <w:bookmarkEnd w:id="136"/>
      <w:bookmarkEnd w:id="137"/>
    </w:p>
    <w:p>
      <w:pPr>
        <w:spacing w:line="360" w:lineRule="auto"/>
        <w:ind w:firstLine="240" w:firstLineChars="100"/>
        <w:rPr>
          <w:rFonts w:ascii="宋体" w:hAnsi="宋体"/>
          <w:color w:val="auto"/>
          <w:sz w:val="24"/>
          <w:szCs w:val="24"/>
        </w:rPr>
      </w:pPr>
      <w:bookmarkStart w:id="138" w:name="_Toc84835573"/>
      <w:bookmarkStart w:id="139" w:name="_Toc76377020"/>
      <w:r>
        <w:rPr>
          <w:rFonts w:ascii="宋体" w:hAnsi="宋体"/>
          <w:color w:val="auto"/>
          <w:sz w:val="24"/>
          <w:szCs w:val="24"/>
        </w:rPr>
        <w:t>1内装</w:t>
      </w:r>
      <w:r>
        <w:rPr>
          <w:rFonts w:hint="eastAsia" w:ascii="宋体" w:hAnsi="宋体"/>
          <w:color w:val="auto"/>
          <w:sz w:val="24"/>
          <w:szCs w:val="24"/>
        </w:rPr>
        <w:t>系统</w:t>
      </w:r>
      <w:r>
        <w:rPr>
          <w:rFonts w:ascii="宋体" w:hAnsi="宋体"/>
          <w:color w:val="auto"/>
          <w:sz w:val="24"/>
          <w:szCs w:val="24"/>
        </w:rPr>
        <w:t>宜与功能空间采用同一模数网格;</w:t>
      </w:r>
      <w:bookmarkEnd w:id="138"/>
      <w:bookmarkEnd w:id="139"/>
    </w:p>
    <w:p>
      <w:pPr>
        <w:spacing w:line="360" w:lineRule="auto"/>
        <w:ind w:firstLine="240" w:firstLineChars="100"/>
        <w:rPr>
          <w:rFonts w:ascii="宋体" w:hAnsi="宋体"/>
          <w:color w:val="auto"/>
          <w:sz w:val="24"/>
          <w:szCs w:val="24"/>
        </w:rPr>
      </w:pPr>
      <w:bookmarkStart w:id="140" w:name="_Toc84835574"/>
      <w:bookmarkStart w:id="141" w:name="_Toc76377021"/>
      <w:r>
        <w:rPr>
          <w:rFonts w:ascii="宋体" w:hAnsi="宋体"/>
          <w:color w:val="auto"/>
          <w:sz w:val="24"/>
          <w:szCs w:val="24"/>
        </w:rPr>
        <w:t>2内装</w:t>
      </w:r>
      <w:r>
        <w:rPr>
          <w:rFonts w:hint="eastAsia" w:ascii="宋体" w:hAnsi="宋体"/>
          <w:color w:val="auto"/>
          <w:sz w:val="24"/>
          <w:szCs w:val="24"/>
        </w:rPr>
        <w:t>系统</w:t>
      </w:r>
      <w:r>
        <w:rPr>
          <w:rFonts w:ascii="宋体" w:hAnsi="宋体"/>
          <w:color w:val="auto"/>
          <w:sz w:val="24"/>
          <w:szCs w:val="24"/>
        </w:rPr>
        <w:t>的隔墙、固定橱柜、设备、管井等部品部件，宜采用分模数M/2模数网格；</w:t>
      </w:r>
      <w:bookmarkEnd w:id="140"/>
      <w:bookmarkEnd w:id="141"/>
    </w:p>
    <w:p>
      <w:pPr>
        <w:spacing w:line="360" w:lineRule="auto"/>
        <w:ind w:firstLine="240" w:firstLineChars="100"/>
        <w:rPr>
          <w:rFonts w:ascii="宋体" w:hAnsi="宋体"/>
          <w:color w:val="auto"/>
          <w:sz w:val="24"/>
          <w:szCs w:val="24"/>
        </w:rPr>
      </w:pPr>
      <w:bookmarkStart w:id="142" w:name="_Toc76377022"/>
      <w:bookmarkStart w:id="143" w:name="_Toc84835575"/>
      <w:r>
        <w:rPr>
          <w:rFonts w:ascii="宋体" w:hAnsi="宋体"/>
          <w:color w:val="auto"/>
          <w:sz w:val="24"/>
          <w:szCs w:val="24"/>
        </w:rPr>
        <w:t>3 构造节点和部品部件接口等宜采用分模数M/2、M/5、M/10。</w:t>
      </w:r>
      <w:bookmarkEnd w:id="142"/>
      <w:bookmarkEnd w:id="143"/>
    </w:p>
    <w:p>
      <w:pPr>
        <w:spacing w:line="360" w:lineRule="auto"/>
        <w:rPr>
          <w:rFonts w:ascii="宋体" w:hAnsi="宋体"/>
          <w:color w:val="auto"/>
          <w:sz w:val="24"/>
          <w:szCs w:val="24"/>
        </w:rPr>
      </w:pPr>
      <w:bookmarkStart w:id="144" w:name="_Toc84835576"/>
      <w:bookmarkStart w:id="145" w:name="_Toc76377023"/>
      <w:r>
        <w:rPr>
          <w:rFonts w:eastAsia="等线" w:cs="宋体"/>
          <w:b/>
          <w:color w:val="auto"/>
          <w:kern w:val="2"/>
          <w:sz w:val="24"/>
          <w:szCs w:val="24"/>
        </w:rPr>
        <w:t>9.2.3</w:t>
      </w:r>
      <w:r>
        <w:rPr>
          <w:rFonts w:ascii="宋体" w:hAnsi="宋体"/>
          <w:color w:val="auto"/>
          <w:sz w:val="24"/>
          <w:szCs w:val="24"/>
        </w:rPr>
        <w:t>内装</w:t>
      </w:r>
      <w:r>
        <w:rPr>
          <w:rFonts w:hint="eastAsia" w:ascii="宋体" w:hAnsi="宋体"/>
          <w:color w:val="auto"/>
          <w:sz w:val="24"/>
          <w:szCs w:val="24"/>
        </w:rPr>
        <w:t>系统</w:t>
      </w:r>
      <w:r>
        <w:rPr>
          <w:rFonts w:ascii="宋体" w:hAnsi="宋体"/>
          <w:color w:val="auto"/>
          <w:sz w:val="24"/>
          <w:szCs w:val="24"/>
        </w:rPr>
        <w:t>部品部件的定位可通过设置模数网格来控制，且宜采用界面定位法。</w:t>
      </w:r>
      <w:bookmarkEnd w:id="144"/>
      <w:bookmarkEnd w:id="145"/>
    </w:p>
    <w:p>
      <w:pPr>
        <w:spacing w:line="360" w:lineRule="auto"/>
        <w:rPr>
          <w:rFonts w:ascii="宋体" w:hAnsi="宋体"/>
          <w:color w:val="auto"/>
          <w:sz w:val="24"/>
          <w:szCs w:val="24"/>
        </w:rPr>
      </w:pPr>
      <w:bookmarkStart w:id="146" w:name="_Toc84835577"/>
      <w:bookmarkStart w:id="147" w:name="_Toc76377024"/>
      <w:r>
        <w:rPr>
          <w:rFonts w:eastAsia="等线" w:cs="宋体"/>
          <w:b/>
          <w:color w:val="auto"/>
          <w:kern w:val="2"/>
          <w:sz w:val="24"/>
          <w:szCs w:val="24"/>
        </w:rPr>
        <w:t>9.2.4</w:t>
      </w:r>
      <w:r>
        <w:rPr>
          <w:rFonts w:ascii="宋体" w:hAnsi="宋体"/>
          <w:color w:val="auto"/>
          <w:sz w:val="24"/>
          <w:szCs w:val="24"/>
        </w:rPr>
        <w:t>内装</w:t>
      </w:r>
      <w:r>
        <w:rPr>
          <w:rFonts w:hint="eastAsia" w:ascii="宋体" w:hAnsi="宋体"/>
          <w:color w:val="auto"/>
          <w:sz w:val="24"/>
          <w:szCs w:val="24"/>
        </w:rPr>
        <w:t>系统</w:t>
      </w:r>
      <w:r>
        <w:rPr>
          <w:rFonts w:ascii="宋体" w:hAnsi="宋体"/>
          <w:color w:val="auto"/>
          <w:sz w:val="24"/>
          <w:szCs w:val="24"/>
        </w:rPr>
        <w:t>设计应协调部品部件的设计、生产和安装过程的尺寸并对建筑设计模数与部品部件生产制造之间的尺寸进行统筹协调。</w:t>
      </w:r>
      <w:bookmarkEnd w:id="146"/>
      <w:bookmarkEnd w:id="147"/>
    </w:p>
    <w:p>
      <w:pPr>
        <w:spacing w:line="360" w:lineRule="auto"/>
        <w:rPr>
          <w:rFonts w:ascii="宋体" w:hAnsi="宋体"/>
          <w:color w:val="auto"/>
          <w:sz w:val="24"/>
          <w:szCs w:val="24"/>
        </w:rPr>
      </w:pPr>
      <w:r>
        <w:rPr>
          <w:rFonts w:eastAsia="等线" w:cs="宋体"/>
          <w:b/>
          <w:color w:val="auto"/>
          <w:kern w:val="2"/>
          <w:sz w:val="24"/>
          <w:szCs w:val="24"/>
        </w:rPr>
        <w:t>9</w:t>
      </w:r>
      <w:r>
        <w:rPr>
          <w:rFonts w:hint="eastAsia" w:eastAsia="等线" w:cs="宋体"/>
          <w:b/>
          <w:color w:val="auto"/>
          <w:kern w:val="2"/>
          <w:sz w:val="24"/>
          <w:szCs w:val="24"/>
        </w:rPr>
        <w:t>.2.5</w:t>
      </w:r>
      <w:bookmarkStart w:id="148" w:name="_bookmark10"/>
      <w:bookmarkEnd w:id="148"/>
      <w:r>
        <w:rPr>
          <w:rFonts w:hint="eastAsia" w:eastAsia="等线" w:cs="宋体"/>
          <w:b/>
          <w:color w:val="auto"/>
          <w:kern w:val="2"/>
          <w:sz w:val="24"/>
          <w:szCs w:val="24"/>
        </w:rPr>
        <w:t xml:space="preserve"> </w:t>
      </w:r>
      <w:r>
        <w:rPr>
          <w:color w:val="0070C0"/>
          <w:kern w:val="2"/>
          <w:sz w:val="24"/>
          <w:szCs w:val="24"/>
        </w:rPr>
        <w:t xml:space="preserve"> </w:t>
      </w:r>
      <w:r>
        <w:rPr>
          <w:rFonts w:hint="eastAsia" w:ascii="宋体" w:hAnsi="宋体"/>
          <w:color w:val="auto"/>
          <w:sz w:val="24"/>
          <w:szCs w:val="24"/>
        </w:rPr>
        <w:t>内装系统部品接口设计应符合部品与管线之间、部品之间连接的通用性和互换性要求，并应符合下列规定：</w:t>
      </w:r>
    </w:p>
    <w:p>
      <w:pPr>
        <w:spacing w:line="360" w:lineRule="auto"/>
        <w:rPr>
          <w:rFonts w:ascii="宋体" w:hAnsi="宋体"/>
          <w:color w:val="auto"/>
          <w:sz w:val="24"/>
          <w:szCs w:val="24"/>
        </w:rPr>
      </w:pPr>
      <w:r>
        <w:rPr>
          <w:rFonts w:hint="eastAsia" w:ascii="宋体" w:hAnsi="宋体"/>
          <w:color w:val="auto"/>
          <w:sz w:val="24"/>
          <w:szCs w:val="24"/>
        </w:rPr>
        <w:t xml:space="preserve">     1 接口应做到位置固定、连接合理、拆装方便及使用可靠。</w:t>
      </w:r>
    </w:p>
    <w:p>
      <w:pPr>
        <w:spacing w:line="360" w:lineRule="auto"/>
        <w:ind w:firstLine="600" w:firstLineChars="250"/>
        <w:rPr>
          <w:color w:val="0070C0"/>
          <w:kern w:val="2"/>
          <w:sz w:val="24"/>
          <w:szCs w:val="24"/>
        </w:rPr>
      </w:pPr>
      <w:r>
        <w:rPr>
          <w:rFonts w:hint="eastAsia" w:ascii="宋体" w:hAnsi="宋体"/>
          <w:color w:val="auto"/>
          <w:sz w:val="24"/>
          <w:szCs w:val="24"/>
        </w:rPr>
        <w:t>2 各类接口尺寸应符合公差协调要求。</w:t>
      </w:r>
    </w:p>
    <w:p>
      <w:pPr>
        <w:spacing w:line="360" w:lineRule="auto"/>
        <w:rPr>
          <w:rFonts w:ascii="宋体" w:hAnsi="宋体"/>
          <w:color w:val="auto"/>
          <w:sz w:val="24"/>
          <w:szCs w:val="24"/>
        </w:rPr>
      </w:pPr>
      <w:bookmarkStart w:id="149" w:name="_Toc76377035"/>
      <w:bookmarkStart w:id="150" w:name="_Toc84835588"/>
      <w:r>
        <w:rPr>
          <w:rFonts w:eastAsia="等线" w:cs="宋体"/>
          <w:b/>
          <w:color w:val="auto"/>
          <w:kern w:val="2"/>
          <w:sz w:val="24"/>
          <w:szCs w:val="24"/>
        </w:rPr>
        <w:t xml:space="preserve"> 9.</w:t>
      </w:r>
      <w:r>
        <w:rPr>
          <w:rFonts w:hint="eastAsia" w:eastAsia="等线" w:cs="宋体"/>
          <w:b/>
          <w:color w:val="auto"/>
          <w:kern w:val="2"/>
          <w:sz w:val="24"/>
          <w:szCs w:val="24"/>
        </w:rPr>
        <w:t>2</w:t>
      </w:r>
      <w:r>
        <w:rPr>
          <w:rFonts w:eastAsia="等线" w:cs="宋体"/>
          <w:b/>
          <w:color w:val="auto"/>
          <w:kern w:val="2"/>
          <w:sz w:val="24"/>
          <w:szCs w:val="24"/>
        </w:rPr>
        <w:t>.</w:t>
      </w:r>
      <w:r>
        <w:rPr>
          <w:rFonts w:hint="eastAsia" w:eastAsia="等线" w:cs="宋体"/>
          <w:b/>
          <w:color w:val="auto"/>
          <w:kern w:val="2"/>
          <w:sz w:val="24"/>
          <w:szCs w:val="24"/>
        </w:rPr>
        <w:t>6</w:t>
      </w:r>
      <w:bookmarkEnd w:id="149"/>
      <w:bookmarkEnd w:id="150"/>
      <w:bookmarkStart w:id="151" w:name="_Toc76377037"/>
      <w:bookmarkStart w:id="152" w:name="_Toc84835590"/>
      <w:r>
        <w:rPr>
          <w:rFonts w:hint="eastAsia" w:ascii="宋体" w:hAnsi="宋体"/>
          <w:color w:val="auto"/>
          <w:sz w:val="24"/>
          <w:szCs w:val="24"/>
        </w:rPr>
        <w:t>内装系统设计应充分考虑装修基层、部品部件生产安装过程中的偏差，宜采用可调节的构造、部件或设置容错尺寸来消除各种偏差带来的影响。</w:t>
      </w:r>
    </w:p>
    <w:p>
      <w:pPr>
        <w:spacing w:line="360" w:lineRule="auto"/>
        <w:rPr>
          <w:color w:val="0070C0"/>
          <w:kern w:val="2"/>
          <w:sz w:val="24"/>
          <w:szCs w:val="24"/>
        </w:rPr>
      </w:pPr>
      <w:r>
        <w:rPr>
          <w:rFonts w:hint="eastAsia" w:ascii="宋体" w:hAnsi="宋体"/>
          <w:b/>
          <w:bCs/>
          <w:color w:val="auto"/>
          <w:sz w:val="24"/>
          <w:szCs w:val="24"/>
        </w:rPr>
        <w:t>【条文说明】：</w:t>
      </w:r>
      <w:r>
        <w:rPr>
          <w:rFonts w:hint="eastAsia"/>
          <w:color w:val="0070C0"/>
          <w:kern w:val="2"/>
          <w:sz w:val="24"/>
          <w:szCs w:val="24"/>
        </w:rPr>
        <w:t>内装部品部件的净尺寸应是基本模数的倍数，设计、加工应满足模数网格安装的要求。对于板材、块材、卷材等装修面层的安装，当内装修面层所在一侧要求模数空间时，应采用界面定位法。装修面层的安装面材应避免剪裁加工，必要时可利用技术尺寸进行处理。</w:t>
      </w:r>
    </w:p>
    <w:p>
      <w:pPr>
        <w:pStyle w:val="3"/>
        <w:spacing w:line="360" w:lineRule="auto"/>
        <w:jc w:val="center"/>
        <w:rPr>
          <w:rFonts w:ascii="Times New Roman" w:hAnsi="Times New Roman" w:eastAsia="宋体" w:cs="Times New Roman"/>
          <w:color w:val="auto"/>
          <w:sz w:val="28"/>
          <w:szCs w:val="28"/>
        </w:rPr>
      </w:pPr>
      <w:bookmarkStart w:id="153" w:name="_Toc96586954"/>
      <w:bookmarkStart w:id="154" w:name="_Toc103958769"/>
      <w:bookmarkStart w:id="155" w:name="_Toc96587315"/>
      <w:r>
        <w:rPr>
          <w:rFonts w:hint="eastAsia" w:ascii="Times New Roman" w:hAnsi="Times New Roman" w:eastAsia="宋体" w:cs="Times New Roman"/>
          <w:color w:val="auto"/>
          <w:sz w:val="28"/>
          <w:szCs w:val="28"/>
        </w:rPr>
        <w:t>9.3 隔墙与墙面系统</w:t>
      </w:r>
      <w:bookmarkEnd w:id="153"/>
      <w:bookmarkEnd w:id="154"/>
      <w:bookmarkEnd w:id="155"/>
    </w:p>
    <w:p>
      <w:pPr>
        <w:spacing w:line="360" w:lineRule="auto"/>
        <w:rPr>
          <w:rFonts w:ascii="宋体" w:hAnsi="宋体"/>
          <w:color w:val="auto"/>
          <w:sz w:val="24"/>
          <w:szCs w:val="24"/>
        </w:rPr>
      </w:pPr>
      <w:r>
        <w:rPr>
          <w:rFonts w:hint="eastAsia" w:eastAsia="等线" w:cs="宋体"/>
          <w:b/>
          <w:color w:val="auto"/>
          <w:kern w:val="2"/>
          <w:sz w:val="24"/>
          <w:szCs w:val="24"/>
        </w:rPr>
        <w:t>9</w:t>
      </w:r>
      <w:r>
        <w:rPr>
          <w:rFonts w:eastAsia="等线" w:cs="宋体"/>
          <w:b/>
          <w:color w:val="auto"/>
          <w:kern w:val="2"/>
          <w:sz w:val="24"/>
          <w:szCs w:val="24"/>
        </w:rPr>
        <w:t xml:space="preserve">.3.1  </w:t>
      </w:r>
      <w:r>
        <w:rPr>
          <w:rFonts w:hint="eastAsia" w:ascii="宋体" w:hAnsi="宋体"/>
          <w:color w:val="auto"/>
          <w:sz w:val="24"/>
          <w:szCs w:val="24"/>
        </w:rPr>
        <w:t>钢结构住宅隔墙具体性能要求详见本规范7</w:t>
      </w:r>
      <w:r>
        <w:rPr>
          <w:rFonts w:ascii="宋体" w:hAnsi="宋体"/>
          <w:color w:val="auto"/>
          <w:sz w:val="24"/>
          <w:szCs w:val="24"/>
        </w:rPr>
        <w:t>.4</w:t>
      </w:r>
      <w:r>
        <w:rPr>
          <w:rFonts w:hint="eastAsia" w:ascii="宋体" w:hAnsi="宋体"/>
          <w:color w:val="auto"/>
          <w:sz w:val="24"/>
          <w:szCs w:val="24"/>
        </w:rPr>
        <w:t>相关条款。</w:t>
      </w:r>
      <w:bookmarkEnd w:id="151"/>
      <w:bookmarkEnd w:id="152"/>
    </w:p>
    <w:p>
      <w:pPr>
        <w:spacing w:line="360" w:lineRule="auto"/>
        <w:rPr>
          <w:rFonts w:ascii="宋体" w:hAnsi="宋体"/>
          <w:color w:val="auto"/>
          <w:sz w:val="24"/>
          <w:szCs w:val="24"/>
        </w:rPr>
      </w:pPr>
      <w:bookmarkStart w:id="156" w:name="_Toc84835591"/>
      <w:bookmarkStart w:id="157" w:name="_Toc76377038"/>
      <w:r>
        <w:rPr>
          <w:rFonts w:eastAsia="等线" w:cs="宋体"/>
          <w:b/>
          <w:color w:val="auto"/>
          <w:kern w:val="2"/>
          <w:sz w:val="24"/>
          <w:szCs w:val="24"/>
        </w:rPr>
        <w:t xml:space="preserve">9.3.2 </w:t>
      </w:r>
      <w:r>
        <w:rPr>
          <w:rFonts w:hint="eastAsia" w:ascii="宋体" w:hAnsi="宋体"/>
          <w:color w:val="auto"/>
          <w:sz w:val="24"/>
          <w:szCs w:val="24"/>
        </w:rPr>
        <w:t>钢结构住宅墙面系统宜分为调平模块和饰面模块，其构造应连接稳固、便于安装，并应与开关、插座、设备管线等的设计相协调。</w:t>
      </w:r>
      <w:bookmarkEnd w:id="156"/>
      <w:bookmarkEnd w:id="157"/>
    </w:p>
    <w:p>
      <w:pPr>
        <w:spacing w:line="360" w:lineRule="auto"/>
        <w:rPr>
          <w:rFonts w:ascii="宋体" w:hAnsi="宋体"/>
          <w:color w:val="auto"/>
          <w:sz w:val="24"/>
          <w:szCs w:val="24"/>
        </w:rPr>
      </w:pPr>
      <w:r>
        <w:rPr>
          <w:rFonts w:hint="eastAsia" w:ascii="宋体" w:hAnsi="宋体"/>
          <w:b/>
          <w:bCs/>
          <w:color w:val="auto"/>
          <w:sz w:val="24"/>
          <w:szCs w:val="24"/>
        </w:rPr>
        <w:t>【条文说明】：</w:t>
      </w:r>
      <w:r>
        <w:rPr>
          <w:rFonts w:hint="eastAsia"/>
          <w:color w:val="0070C0"/>
          <w:kern w:val="2"/>
          <w:sz w:val="24"/>
          <w:szCs w:val="24"/>
        </w:rPr>
        <w:t>调平模块具备墙面基层找平、墙面基层和饰面模块的连接两个功能。调平模块包含龙骨调平和调平件调平，调平参数宜定量化。</w:t>
      </w:r>
    </w:p>
    <w:p>
      <w:pPr>
        <w:spacing w:line="360" w:lineRule="auto"/>
        <w:rPr>
          <w:rFonts w:ascii="宋体" w:hAnsi="宋体"/>
          <w:color w:val="auto"/>
          <w:sz w:val="24"/>
          <w:szCs w:val="24"/>
        </w:rPr>
      </w:pPr>
      <w:bookmarkStart w:id="158" w:name="_Toc76377039"/>
      <w:bookmarkStart w:id="159" w:name="_Toc84835592"/>
      <w:r>
        <w:rPr>
          <w:rFonts w:eastAsia="等线" w:cs="宋体"/>
          <w:b/>
          <w:color w:val="auto"/>
          <w:kern w:val="2"/>
          <w:sz w:val="24"/>
          <w:szCs w:val="24"/>
        </w:rPr>
        <w:t xml:space="preserve">9.3.3 </w:t>
      </w:r>
      <w:r>
        <w:rPr>
          <w:rFonts w:hint="eastAsia" w:ascii="宋体" w:hAnsi="宋体"/>
          <w:color w:val="auto"/>
          <w:sz w:val="24"/>
          <w:szCs w:val="24"/>
        </w:rPr>
        <w:t>装配式墙面系统应符合下列要求：</w:t>
      </w:r>
      <w:bookmarkEnd w:id="158"/>
      <w:bookmarkEnd w:id="159"/>
    </w:p>
    <w:p>
      <w:pPr>
        <w:spacing w:line="360" w:lineRule="auto"/>
        <w:ind w:firstLine="240" w:firstLineChars="100"/>
        <w:rPr>
          <w:rFonts w:ascii="宋体" w:hAnsi="宋体"/>
          <w:color w:val="auto"/>
          <w:sz w:val="24"/>
          <w:szCs w:val="24"/>
        </w:rPr>
      </w:pPr>
      <w:r>
        <w:rPr>
          <w:rFonts w:hint="eastAsia" w:ascii="宋体" w:hAnsi="宋体"/>
          <w:color w:val="auto"/>
          <w:sz w:val="24"/>
          <w:szCs w:val="24"/>
        </w:rPr>
        <w:t>1卫生间等有防水、防潮要求的房间墙面板宜采用耐水饰面一体化集成板，门与板交界处、板缝之间应做防水处理；</w:t>
      </w:r>
    </w:p>
    <w:p>
      <w:pPr>
        <w:spacing w:line="360" w:lineRule="auto"/>
        <w:ind w:firstLine="240" w:firstLineChars="100"/>
        <w:rPr>
          <w:rFonts w:ascii="宋体" w:hAnsi="宋体"/>
          <w:color w:val="auto"/>
          <w:sz w:val="24"/>
          <w:szCs w:val="24"/>
        </w:rPr>
      </w:pPr>
      <w:r>
        <w:rPr>
          <w:rFonts w:hint="eastAsia" w:ascii="宋体" w:hAnsi="宋体"/>
          <w:color w:val="auto"/>
          <w:sz w:val="24"/>
          <w:szCs w:val="24"/>
        </w:rPr>
        <w:t>2墙面和隔墙所用的墙板饰面应符合不同室内空间要求的功能及效果表达，宜采用饰面与基层一体化的解决方案，并满足强度、隔音、防火、防潮的性能要求。</w:t>
      </w:r>
    </w:p>
    <w:p>
      <w:pPr>
        <w:spacing w:line="360" w:lineRule="auto"/>
        <w:ind w:firstLine="240" w:firstLineChars="100"/>
        <w:rPr>
          <w:rFonts w:ascii="宋体" w:hAnsi="宋体"/>
          <w:color w:val="auto"/>
          <w:sz w:val="24"/>
          <w:szCs w:val="24"/>
        </w:rPr>
      </w:pPr>
      <w:r>
        <w:rPr>
          <w:rFonts w:hint="eastAsia" w:ascii="宋体" w:hAnsi="宋体"/>
          <w:color w:val="auto"/>
          <w:sz w:val="24"/>
          <w:szCs w:val="24"/>
        </w:rPr>
        <w:t>3墙面系统悬挂较重物体时，应采用专用连接件与基层墙体连接固定。</w:t>
      </w:r>
    </w:p>
    <w:p>
      <w:pPr>
        <w:spacing w:line="360" w:lineRule="auto"/>
        <w:ind w:firstLine="240" w:firstLineChars="100"/>
        <w:rPr>
          <w:rFonts w:ascii="宋体" w:hAnsi="宋体"/>
          <w:color w:val="auto"/>
          <w:sz w:val="24"/>
          <w:szCs w:val="24"/>
        </w:rPr>
      </w:pPr>
      <w:r>
        <w:rPr>
          <w:rFonts w:hint="eastAsia" w:ascii="宋体" w:hAnsi="宋体"/>
          <w:color w:val="auto"/>
          <w:sz w:val="24"/>
          <w:szCs w:val="24"/>
        </w:rPr>
        <w:t>4 墙面系统的饰面模块应与基层连接紧密无异响，宜实现单块可拆装的需求；部品接缝处，应设置工艺缝或使用收边条。</w:t>
      </w:r>
    </w:p>
    <w:p>
      <w:pPr>
        <w:spacing w:line="360" w:lineRule="auto"/>
        <w:ind w:firstLine="240" w:firstLineChars="100"/>
        <w:rPr>
          <w:rFonts w:ascii="宋体" w:hAnsi="宋体"/>
          <w:color w:val="auto"/>
          <w:sz w:val="24"/>
          <w:szCs w:val="24"/>
        </w:rPr>
      </w:pPr>
      <w:r>
        <w:rPr>
          <w:rFonts w:hint="eastAsia" w:ascii="宋体" w:hAnsi="宋体"/>
          <w:color w:val="auto"/>
          <w:sz w:val="24"/>
          <w:szCs w:val="24"/>
        </w:rPr>
        <w:t>5饰面模块宜选择干挂式、插入式、锁扣式或连接线条等物理连接方式，宜满足多次无损拆卸要求，可重复使用。</w:t>
      </w:r>
    </w:p>
    <w:p>
      <w:pPr>
        <w:spacing w:line="360" w:lineRule="auto"/>
        <w:rPr>
          <w:rFonts w:ascii="宋体" w:hAnsi="宋体"/>
          <w:color w:val="auto"/>
          <w:sz w:val="24"/>
          <w:szCs w:val="24"/>
        </w:rPr>
      </w:pPr>
      <w:r>
        <w:rPr>
          <w:rFonts w:hint="eastAsia" w:eastAsia="等线" w:cs="宋体"/>
          <w:b/>
          <w:color w:val="auto"/>
          <w:kern w:val="2"/>
          <w:sz w:val="24"/>
          <w:szCs w:val="24"/>
        </w:rPr>
        <w:t xml:space="preserve">9.3.4 </w:t>
      </w:r>
      <w:r>
        <w:rPr>
          <w:rFonts w:hint="eastAsia" w:ascii="宋体" w:hAnsi="宋体"/>
          <w:color w:val="auto"/>
          <w:sz w:val="24"/>
          <w:szCs w:val="24"/>
        </w:rPr>
        <w:t>在钢结构支撑位置，应采取两侧布置墙板的设置方式进行包裹。</w:t>
      </w:r>
    </w:p>
    <w:p>
      <w:pPr>
        <w:pStyle w:val="3"/>
        <w:spacing w:line="360" w:lineRule="auto"/>
        <w:jc w:val="center"/>
        <w:rPr>
          <w:rFonts w:ascii="Times New Roman" w:hAnsi="Times New Roman" w:eastAsia="宋体" w:cs="Times New Roman"/>
          <w:color w:val="auto"/>
          <w:sz w:val="28"/>
          <w:szCs w:val="28"/>
        </w:rPr>
      </w:pPr>
      <w:bookmarkStart w:id="160" w:name="_Toc103958770"/>
      <w:bookmarkStart w:id="161" w:name="_Toc96587316"/>
      <w:bookmarkStart w:id="162" w:name="_Toc96586955"/>
      <w:r>
        <w:rPr>
          <w:rFonts w:hint="eastAsia" w:ascii="Times New Roman" w:hAnsi="Times New Roman" w:eastAsia="宋体" w:cs="Times New Roman"/>
          <w:color w:val="auto"/>
          <w:sz w:val="28"/>
          <w:szCs w:val="28"/>
        </w:rPr>
        <w:t>9.4 吊顶系统</w:t>
      </w:r>
      <w:bookmarkEnd w:id="160"/>
      <w:bookmarkEnd w:id="161"/>
      <w:bookmarkEnd w:id="162"/>
    </w:p>
    <w:p>
      <w:pPr>
        <w:spacing w:line="360" w:lineRule="auto"/>
        <w:rPr>
          <w:rFonts w:ascii="宋体" w:hAnsi="宋体"/>
          <w:color w:val="auto"/>
          <w:sz w:val="24"/>
          <w:szCs w:val="24"/>
        </w:rPr>
      </w:pPr>
      <w:bookmarkStart w:id="163" w:name="_Toc76377054"/>
      <w:bookmarkStart w:id="164" w:name="_Toc84835607"/>
      <w:r>
        <w:rPr>
          <w:rFonts w:eastAsia="等线" w:cs="宋体"/>
          <w:b/>
          <w:color w:val="auto"/>
          <w:kern w:val="2"/>
          <w:sz w:val="24"/>
          <w:szCs w:val="24"/>
        </w:rPr>
        <w:t>9.</w:t>
      </w:r>
      <w:r>
        <w:rPr>
          <w:rFonts w:hint="eastAsia" w:eastAsia="等线" w:cs="宋体"/>
          <w:b/>
          <w:color w:val="auto"/>
          <w:kern w:val="2"/>
          <w:sz w:val="24"/>
          <w:szCs w:val="24"/>
        </w:rPr>
        <w:t>4</w:t>
      </w:r>
      <w:r>
        <w:rPr>
          <w:rFonts w:eastAsia="等线" w:cs="宋体"/>
          <w:b/>
          <w:color w:val="auto"/>
          <w:kern w:val="2"/>
          <w:sz w:val="24"/>
          <w:szCs w:val="24"/>
        </w:rPr>
        <w:t>.</w:t>
      </w:r>
      <w:r>
        <w:rPr>
          <w:rFonts w:hint="eastAsia" w:eastAsia="等线" w:cs="宋体"/>
          <w:b/>
          <w:color w:val="auto"/>
          <w:kern w:val="2"/>
          <w:sz w:val="24"/>
          <w:szCs w:val="24"/>
        </w:rPr>
        <w:t>1</w:t>
      </w:r>
      <w:r>
        <w:rPr>
          <w:rFonts w:hint="eastAsia" w:ascii="宋体" w:hAnsi="宋体"/>
          <w:color w:val="auto"/>
          <w:sz w:val="24"/>
          <w:szCs w:val="24"/>
        </w:rPr>
        <w:t>钢结构住宅吊顶系统应采用明龙骨、暗龙骨或无龙骨吊顶、软膜天花或其它干式工法施工的吊顶</w:t>
      </w:r>
      <w:bookmarkEnd w:id="163"/>
      <w:bookmarkEnd w:id="164"/>
      <w:r>
        <w:rPr>
          <w:rFonts w:hint="eastAsia" w:ascii="宋体" w:hAnsi="宋体"/>
          <w:color w:val="auto"/>
          <w:sz w:val="24"/>
          <w:szCs w:val="24"/>
        </w:rPr>
        <w:t>。</w:t>
      </w:r>
    </w:p>
    <w:p>
      <w:pPr>
        <w:spacing w:line="360" w:lineRule="auto"/>
        <w:rPr>
          <w:rFonts w:eastAsia="等线" w:cs="宋体"/>
          <w:b/>
          <w:color w:val="auto"/>
          <w:kern w:val="2"/>
          <w:sz w:val="24"/>
          <w:szCs w:val="24"/>
        </w:rPr>
      </w:pPr>
      <w:r>
        <w:rPr>
          <w:rFonts w:hint="eastAsia" w:eastAsia="等线" w:cs="宋体"/>
          <w:b/>
          <w:color w:val="auto"/>
          <w:kern w:val="2"/>
          <w:sz w:val="24"/>
          <w:szCs w:val="24"/>
        </w:rPr>
        <w:t>9</w:t>
      </w:r>
      <w:r>
        <w:rPr>
          <w:rFonts w:eastAsia="等线" w:cs="宋体"/>
          <w:b/>
          <w:color w:val="auto"/>
          <w:kern w:val="2"/>
          <w:sz w:val="24"/>
          <w:szCs w:val="24"/>
        </w:rPr>
        <w:t>.</w:t>
      </w:r>
      <w:r>
        <w:rPr>
          <w:rFonts w:hint="eastAsia" w:eastAsia="等线" w:cs="宋体"/>
          <w:b/>
          <w:color w:val="auto"/>
          <w:kern w:val="2"/>
          <w:sz w:val="24"/>
          <w:szCs w:val="24"/>
        </w:rPr>
        <w:t>4</w:t>
      </w:r>
      <w:r>
        <w:rPr>
          <w:rFonts w:eastAsia="等线" w:cs="宋体"/>
          <w:b/>
          <w:color w:val="auto"/>
          <w:kern w:val="2"/>
          <w:sz w:val="24"/>
          <w:szCs w:val="24"/>
        </w:rPr>
        <w:t>.</w:t>
      </w:r>
      <w:r>
        <w:rPr>
          <w:rFonts w:hint="eastAsia" w:eastAsia="等线" w:cs="宋体"/>
          <w:b/>
          <w:color w:val="auto"/>
          <w:kern w:val="2"/>
          <w:sz w:val="24"/>
          <w:szCs w:val="24"/>
        </w:rPr>
        <w:t>2</w:t>
      </w:r>
      <w:r>
        <w:rPr>
          <w:rFonts w:hint="eastAsia" w:ascii="宋体" w:hAnsi="宋体"/>
          <w:color w:val="auto"/>
          <w:sz w:val="24"/>
          <w:szCs w:val="24"/>
        </w:rPr>
        <w:t xml:space="preserve"> 钢结构住宅吊顶系统应与新风、排风、给水、喷淋、烟感、灯具等设备和管线进行集成设计，敷设在吊顶与结构楼板的空腔内；宜根据需求设置全屋吊顶或局部吊顶。</w:t>
      </w:r>
    </w:p>
    <w:p>
      <w:pPr>
        <w:spacing w:line="360" w:lineRule="auto"/>
        <w:rPr>
          <w:rFonts w:ascii="宋体" w:hAnsi="宋体"/>
          <w:color w:val="auto"/>
          <w:sz w:val="24"/>
          <w:szCs w:val="24"/>
        </w:rPr>
      </w:pPr>
      <w:bookmarkStart w:id="165" w:name="_Toc76377055"/>
      <w:bookmarkStart w:id="166" w:name="_Toc84835608"/>
      <w:r>
        <w:rPr>
          <w:rFonts w:hint="eastAsia" w:ascii="宋体" w:hAnsi="宋体" w:cs="黑体"/>
          <w:b/>
          <w:color w:val="auto"/>
          <w:sz w:val="24"/>
          <w:szCs w:val="24"/>
        </w:rPr>
        <w:t>【条文</w:t>
      </w:r>
      <w:r>
        <w:rPr>
          <w:rFonts w:ascii="宋体" w:hAnsi="宋体" w:cs="黑体"/>
          <w:b/>
          <w:color w:val="auto"/>
          <w:sz w:val="24"/>
          <w:szCs w:val="24"/>
        </w:rPr>
        <w:t>说明</w:t>
      </w:r>
      <w:r>
        <w:rPr>
          <w:rFonts w:hint="eastAsia" w:ascii="宋体" w:hAnsi="宋体" w:cs="黑体"/>
          <w:b/>
          <w:color w:val="auto"/>
          <w:sz w:val="24"/>
          <w:szCs w:val="24"/>
        </w:rPr>
        <w:t>】：</w:t>
      </w:r>
      <w:r>
        <w:rPr>
          <w:rFonts w:hint="eastAsia"/>
          <w:color w:val="0070C0"/>
          <w:kern w:val="2"/>
          <w:sz w:val="24"/>
          <w:szCs w:val="24"/>
        </w:rPr>
        <w:t>吊顶可集成的有电气管线、灯具支座、给水排水管、排烟管、新风空调管线等，以方便维护和更换相应的管线和设备。</w:t>
      </w:r>
      <w:r>
        <w:rPr>
          <w:color w:val="0070C0"/>
          <w:kern w:val="2"/>
          <w:sz w:val="24"/>
          <w:szCs w:val="24"/>
        </w:rPr>
        <w:t>不可</w:t>
      </w:r>
      <w:r>
        <w:rPr>
          <w:rFonts w:hint="eastAsia"/>
          <w:color w:val="0070C0"/>
          <w:kern w:val="2"/>
          <w:sz w:val="24"/>
          <w:szCs w:val="24"/>
        </w:rPr>
        <w:t>拆卸钢筋桁架</w:t>
      </w:r>
      <w:r>
        <w:rPr>
          <w:color w:val="0070C0"/>
          <w:kern w:val="2"/>
          <w:sz w:val="24"/>
          <w:szCs w:val="24"/>
        </w:rPr>
        <w:t>楼承板</w:t>
      </w:r>
      <w:r>
        <w:rPr>
          <w:rFonts w:hint="eastAsia"/>
          <w:color w:val="0070C0"/>
          <w:kern w:val="2"/>
          <w:sz w:val="24"/>
          <w:szCs w:val="24"/>
        </w:rPr>
        <w:t>、压型钢板现浇钢筋混凝土楼盖、密肋钢梁薄板楼盖下方的居住空间宜设置吊顶。吊顶的平面尺寸应与功能空间的模数网格相协调；高度尺寸应在满足设备与管线正常安装和使用的同时，保证功能空间的室内净高最大化；</w:t>
      </w:r>
      <w:bookmarkEnd w:id="165"/>
      <w:bookmarkEnd w:id="166"/>
    </w:p>
    <w:p>
      <w:pPr>
        <w:spacing w:line="360" w:lineRule="auto"/>
        <w:rPr>
          <w:rFonts w:ascii="宋体" w:hAnsi="宋体"/>
          <w:color w:val="auto"/>
          <w:sz w:val="24"/>
          <w:szCs w:val="24"/>
        </w:rPr>
      </w:pPr>
      <w:bookmarkStart w:id="167" w:name="_Toc76377056"/>
      <w:bookmarkStart w:id="168" w:name="_Toc84835609"/>
      <w:r>
        <w:rPr>
          <w:rFonts w:eastAsia="等线" w:cs="宋体"/>
          <w:b/>
          <w:color w:val="auto"/>
          <w:kern w:val="2"/>
          <w:sz w:val="24"/>
          <w:szCs w:val="24"/>
        </w:rPr>
        <w:t>9.</w:t>
      </w:r>
      <w:r>
        <w:rPr>
          <w:rFonts w:hint="eastAsia" w:eastAsia="等线" w:cs="宋体"/>
          <w:b/>
          <w:color w:val="auto"/>
          <w:kern w:val="2"/>
          <w:sz w:val="24"/>
          <w:szCs w:val="24"/>
        </w:rPr>
        <w:t>4</w:t>
      </w:r>
      <w:r>
        <w:rPr>
          <w:rFonts w:eastAsia="等线" w:cs="宋体"/>
          <w:b/>
          <w:color w:val="auto"/>
          <w:kern w:val="2"/>
          <w:sz w:val="24"/>
          <w:szCs w:val="24"/>
        </w:rPr>
        <w:t>.</w:t>
      </w:r>
      <w:r>
        <w:rPr>
          <w:rFonts w:hint="eastAsia" w:eastAsia="等线" w:cs="宋体"/>
          <w:b/>
          <w:color w:val="auto"/>
          <w:kern w:val="2"/>
          <w:sz w:val="24"/>
          <w:szCs w:val="24"/>
        </w:rPr>
        <w:t>3</w:t>
      </w:r>
      <w:r>
        <w:rPr>
          <w:rFonts w:eastAsia="等线" w:cs="宋体"/>
          <w:b/>
          <w:color w:val="auto"/>
          <w:kern w:val="2"/>
          <w:sz w:val="24"/>
          <w:szCs w:val="24"/>
        </w:rPr>
        <w:t xml:space="preserve"> </w:t>
      </w:r>
      <w:r>
        <w:rPr>
          <w:rFonts w:hint="eastAsia" w:ascii="宋体" w:hAnsi="宋体"/>
          <w:color w:val="auto"/>
          <w:sz w:val="24"/>
          <w:szCs w:val="24"/>
        </w:rPr>
        <w:t>钢结构住宅吊顶系统与设备管线应各自设置吊件，宜采用金属龙骨，龙骨和吊件宜采用预置方式固定，并满足荷载计算要求；吊顶系统主龙骨不应被设备管线、风口、灯具、检修口等切断。</w:t>
      </w:r>
      <w:bookmarkEnd w:id="167"/>
      <w:bookmarkEnd w:id="168"/>
      <w:r>
        <w:rPr>
          <w:rFonts w:hint="eastAsia" w:ascii="宋体" w:hAnsi="宋体"/>
          <w:color w:val="auto"/>
          <w:sz w:val="24"/>
          <w:szCs w:val="24"/>
        </w:rPr>
        <w:t>吊顶周边应设置收边龙骨，并应预留合适的容差间隙。</w:t>
      </w:r>
    </w:p>
    <w:p>
      <w:pPr>
        <w:spacing w:line="360" w:lineRule="auto"/>
        <w:rPr>
          <w:color w:val="0070C0"/>
          <w:kern w:val="2"/>
          <w:sz w:val="24"/>
          <w:szCs w:val="24"/>
        </w:rPr>
      </w:pPr>
      <w:r>
        <w:rPr>
          <w:rFonts w:hint="eastAsia" w:ascii="宋体" w:hAnsi="宋体" w:cs="黑体"/>
          <w:b/>
          <w:color w:val="auto"/>
          <w:sz w:val="24"/>
          <w:szCs w:val="24"/>
        </w:rPr>
        <w:t>【条文</w:t>
      </w:r>
      <w:r>
        <w:rPr>
          <w:rFonts w:ascii="宋体" w:hAnsi="宋体" w:cs="黑体"/>
          <w:b/>
          <w:color w:val="auto"/>
          <w:sz w:val="24"/>
          <w:szCs w:val="24"/>
        </w:rPr>
        <w:t>说明</w:t>
      </w:r>
      <w:r>
        <w:rPr>
          <w:rFonts w:hint="eastAsia" w:ascii="宋体" w:hAnsi="宋体" w:cs="黑体"/>
          <w:b/>
          <w:color w:val="auto"/>
          <w:sz w:val="24"/>
          <w:szCs w:val="24"/>
        </w:rPr>
        <w:t>】：</w:t>
      </w:r>
      <w:r>
        <w:rPr>
          <w:rFonts w:hint="eastAsia"/>
          <w:color w:val="0070C0"/>
          <w:kern w:val="2"/>
          <w:sz w:val="24"/>
          <w:szCs w:val="24"/>
        </w:rPr>
        <w:t>压型钢板现浇楼盖宜在现浇前预置吊顶连接件，其设置精度应符合吊顶系统的要求；后装连接件（膨胀螺栓、射钉及其连接件）的承载力应满足吊顶系统的设计要求。吊顶系统在施工安装时不应破坏主体结构。重量较大的灯具应安装楼板或承重结构构件上，不得直接安装在吊顶上， 并应满足荷载计算要求。</w:t>
      </w:r>
    </w:p>
    <w:p>
      <w:pPr>
        <w:spacing w:line="360" w:lineRule="auto"/>
        <w:rPr>
          <w:rFonts w:ascii="宋体" w:hAnsi="宋体"/>
          <w:color w:val="auto"/>
          <w:sz w:val="24"/>
          <w:szCs w:val="24"/>
        </w:rPr>
      </w:pPr>
      <w:bookmarkStart w:id="169" w:name="_Toc76377058"/>
      <w:bookmarkStart w:id="170" w:name="_Toc84835611"/>
      <w:r>
        <w:rPr>
          <w:rFonts w:eastAsia="等线" w:cs="宋体"/>
          <w:b/>
          <w:color w:val="auto"/>
          <w:kern w:val="2"/>
          <w:sz w:val="24"/>
          <w:szCs w:val="24"/>
        </w:rPr>
        <w:t>9.</w:t>
      </w:r>
      <w:r>
        <w:rPr>
          <w:rFonts w:hint="eastAsia" w:eastAsia="等线" w:cs="宋体"/>
          <w:b/>
          <w:color w:val="auto"/>
          <w:kern w:val="2"/>
          <w:sz w:val="24"/>
          <w:szCs w:val="24"/>
        </w:rPr>
        <w:t>4</w:t>
      </w:r>
      <w:r>
        <w:rPr>
          <w:rFonts w:eastAsia="等线" w:cs="宋体"/>
          <w:b/>
          <w:color w:val="auto"/>
          <w:kern w:val="2"/>
          <w:sz w:val="24"/>
          <w:szCs w:val="24"/>
        </w:rPr>
        <w:t>.</w:t>
      </w:r>
      <w:bookmarkEnd w:id="169"/>
      <w:bookmarkEnd w:id="170"/>
      <w:r>
        <w:rPr>
          <w:rFonts w:hint="eastAsia" w:eastAsia="等线" w:cs="宋体"/>
          <w:b/>
          <w:color w:val="auto"/>
          <w:kern w:val="2"/>
          <w:sz w:val="24"/>
          <w:szCs w:val="24"/>
        </w:rPr>
        <w:t>4</w:t>
      </w:r>
      <w:r>
        <w:rPr>
          <w:rFonts w:ascii="宋体" w:hAnsi="宋体"/>
          <w:color w:val="auto"/>
          <w:sz w:val="24"/>
          <w:szCs w:val="24"/>
        </w:rPr>
        <w:t xml:space="preserve"> </w:t>
      </w:r>
      <w:r>
        <w:rPr>
          <w:rFonts w:hint="eastAsia" w:ascii="宋体" w:hAnsi="宋体"/>
          <w:color w:val="auto"/>
          <w:sz w:val="24"/>
          <w:szCs w:val="24"/>
        </w:rPr>
        <w:t>钢结构住宅吊顶系统面板宜采用防火纸面石膏板、纤维增强硅酸钙板、纤维增强水泥板、金属天花等符合环保、防火、防潮和防虫防蛀要求的板材。</w:t>
      </w:r>
    </w:p>
    <w:p>
      <w:pPr>
        <w:spacing w:line="360" w:lineRule="auto"/>
        <w:rPr>
          <w:rFonts w:ascii="宋体" w:hAnsi="宋体"/>
          <w:color w:val="auto"/>
          <w:sz w:val="24"/>
          <w:szCs w:val="24"/>
        </w:rPr>
      </w:pPr>
      <w:r>
        <w:rPr>
          <w:rFonts w:eastAsia="等线" w:cs="宋体"/>
          <w:b/>
          <w:color w:val="auto"/>
          <w:kern w:val="2"/>
          <w:sz w:val="24"/>
          <w:szCs w:val="24"/>
        </w:rPr>
        <w:t>9</w:t>
      </w:r>
      <w:r>
        <w:rPr>
          <w:rFonts w:hint="eastAsia" w:eastAsia="等线" w:cs="宋体"/>
          <w:b/>
          <w:color w:val="auto"/>
          <w:kern w:val="2"/>
          <w:sz w:val="24"/>
          <w:szCs w:val="24"/>
        </w:rPr>
        <w:t>.4.5</w:t>
      </w:r>
      <w:r>
        <w:rPr>
          <w:rFonts w:hint="eastAsia" w:ascii="宋体" w:hAnsi="宋体"/>
          <w:color w:val="auto"/>
          <w:sz w:val="24"/>
          <w:szCs w:val="24"/>
        </w:rPr>
        <w:t xml:space="preserve"> 钢结构住宅吊顶系统内敷设设备管线时，应在管线密集和接口集中的位置设置检修 口或设置可拆装吊顶。</w:t>
      </w:r>
    </w:p>
    <w:p>
      <w:pPr>
        <w:spacing w:line="360" w:lineRule="auto"/>
        <w:rPr>
          <w:rFonts w:ascii="宋体" w:hAnsi="宋体"/>
          <w:color w:val="auto"/>
          <w:sz w:val="24"/>
          <w:szCs w:val="24"/>
        </w:rPr>
      </w:pPr>
      <w:bookmarkStart w:id="171" w:name="_Toc84835612"/>
      <w:bookmarkStart w:id="172" w:name="_Toc76377059"/>
      <w:r>
        <w:rPr>
          <w:rFonts w:eastAsia="等线" w:cs="宋体"/>
          <w:b/>
          <w:color w:val="auto"/>
          <w:kern w:val="2"/>
          <w:sz w:val="24"/>
          <w:szCs w:val="24"/>
        </w:rPr>
        <w:t>9.</w:t>
      </w:r>
      <w:r>
        <w:rPr>
          <w:rFonts w:hint="eastAsia" w:eastAsia="等线" w:cs="宋体"/>
          <w:b/>
          <w:color w:val="auto"/>
          <w:kern w:val="2"/>
          <w:sz w:val="24"/>
          <w:szCs w:val="24"/>
        </w:rPr>
        <w:t>4</w:t>
      </w:r>
      <w:r>
        <w:rPr>
          <w:rFonts w:eastAsia="等线" w:cs="宋体"/>
          <w:b/>
          <w:color w:val="auto"/>
          <w:kern w:val="2"/>
          <w:sz w:val="24"/>
          <w:szCs w:val="24"/>
        </w:rPr>
        <w:t>.</w:t>
      </w:r>
      <w:r>
        <w:rPr>
          <w:rFonts w:hint="eastAsia" w:eastAsia="等线" w:cs="宋体"/>
          <w:b/>
          <w:color w:val="auto"/>
          <w:kern w:val="2"/>
          <w:sz w:val="24"/>
          <w:szCs w:val="24"/>
        </w:rPr>
        <w:t xml:space="preserve">6 </w:t>
      </w:r>
      <w:r>
        <w:rPr>
          <w:rFonts w:eastAsia="等线" w:cs="宋体"/>
          <w:b/>
          <w:color w:val="auto"/>
          <w:kern w:val="2"/>
          <w:sz w:val="24"/>
          <w:szCs w:val="24"/>
        </w:rPr>
        <w:t xml:space="preserve"> </w:t>
      </w:r>
      <w:r>
        <w:rPr>
          <w:rFonts w:hint="eastAsia" w:ascii="宋体" w:hAnsi="宋体"/>
          <w:color w:val="auto"/>
          <w:sz w:val="24"/>
          <w:szCs w:val="24"/>
        </w:rPr>
        <w:t>钢结构住宅吊顶系统与墙交接处，应设伸缩缝隙或收口线脚。</w:t>
      </w:r>
      <w:bookmarkEnd w:id="171"/>
      <w:bookmarkEnd w:id="172"/>
    </w:p>
    <w:p>
      <w:pPr>
        <w:pStyle w:val="3"/>
        <w:spacing w:line="360" w:lineRule="auto"/>
        <w:jc w:val="center"/>
        <w:rPr>
          <w:rFonts w:ascii="Times New Roman" w:hAnsi="Times New Roman" w:eastAsia="宋体" w:cs="Times New Roman"/>
          <w:color w:val="auto"/>
          <w:sz w:val="28"/>
          <w:szCs w:val="28"/>
        </w:rPr>
      </w:pPr>
      <w:bookmarkStart w:id="173" w:name="_Toc96586956"/>
      <w:bookmarkStart w:id="174" w:name="_Toc103958771"/>
      <w:bookmarkStart w:id="175" w:name="_Toc96587317"/>
      <w:r>
        <w:rPr>
          <w:rFonts w:hint="eastAsia" w:ascii="Times New Roman" w:hAnsi="Times New Roman" w:eastAsia="宋体" w:cs="Times New Roman"/>
          <w:color w:val="auto"/>
          <w:sz w:val="28"/>
          <w:szCs w:val="28"/>
        </w:rPr>
        <w:t>9.5 楼地面系统</w:t>
      </w:r>
      <w:bookmarkEnd w:id="173"/>
      <w:bookmarkEnd w:id="174"/>
      <w:bookmarkEnd w:id="175"/>
    </w:p>
    <w:p>
      <w:pPr>
        <w:spacing w:line="360" w:lineRule="auto"/>
        <w:rPr>
          <w:rFonts w:ascii="宋体" w:hAnsi="宋体"/>
          <w:color w:val="auto"/>
          <w:sz w:val="24"/>
          <w:szCs w:val="24"/>
        </w:rPr>
      </w:pPr>
      <w:bookmarkStart w:id="176" w:name="_Toc76377061"/>
      <w:bookmarkStart w:id="177" w:name="_Toc84835614"/>
      <w:r>
        <w:rPr>
          <w:rFonts w:eastAsia="等线" w:cs="宋体"/>
          <w:b/>
          <w:color w:val="auto"/>
          <w:kern w:val="2"/>
          <w:sz w:val="24"/>
          <w:szCs w:val="24"/>
        </w:rPr>
        <w:t>9.</w:t>
      </w:r>
      <w:r>
        <w:rPr>
          <w:rFonts w:hint="eastAsia" w:eastAsia="等线" w:cs="宋体"/>
          <w:b/>
          <w:color w:val="auto"/>
          <w:kern w:val="2"/>
          <w:sz w:val="24"/>
          <w:szCs w:val="24"/>
        </w:rPr>
        <w:t>5</w:t>
      </w:r>
      <w:r>
        <w:rPr>
          <w:rFonts w:eastAsia="等线" w:cs="宋体"/>
          <w:b/>
          <w:color w:val="auto"/>
          <w:kern w:val="2"/>
          <w:sz w:val="24"/>
          <w:szCs w:val="24"/>
        </w:rPr>
        <w:t>.1</w:t>
      </w:r>
      <w:bookmarkEnd w:id="176"/>
      <w:bookmarkEnd w:id="177"/>
      <w:r>
        <w:rPr>
          <w:rFonts w:hint="eastAsia" w:ascii="宋体" w:hAnsi="宋体"/>
          <w:color w:val="auto"/>
          <w:sz w:val="24"/>
          <w:szCs w:val="24"/>
        </w:rPr>
        <w:t>钢结构住宅楼地面系统应采用架空楼地面、非架空干铺楼地面或其他干式工法施工的楼地面。</w:t>
      </w:r>
    </w:p>
    <w:p>
      <w:pPr>
        <w:spacing w:line="360" w:lineRule="auto"/>
        <w:rPr>
          <w:rFonts w:ascii="宋体" w:hAnsi="宋体"/>
          <w:color w:val="auto"/>
          <w:sz w:val="24"/>
          <w:szCs w:val="24"/>
        </w:rPr>
      </w:pPr>
      <w:bookmarkStart w:id="178" w:name="_Toc84835624"/>
      <w:bookmarkStart w:id="179" w:name="_Toc76377071"/>
      <w:r>
        <w:rPr>
          <w:rFonts w:eastAsia="等线" w:cs="宋体"/>
          <w:b/>
          <w:color w:val="auto"/>
          <w:kern w:val="2"/>
          <w:sz w:val="24"/>
          <w:szCs w:val="24"/>
        </w:rPr>
        <w:t>9.</w:t>
      </w:r>
      <w:r>
        <w:rPr>
          <w:rFonts w:hint="eastAsia" w:eastAsia="等线" w:cs="宋体"/>
          <w:b/>
          <w:color w:val="auto"/>
          <w:kern w:val="2"/>
          <w:sz w:val="24"/>
          <w:szCs w:val="24"/>
        </w:rPr>
        <w:t>5</w:t>
      </w:r>
      <w:r>
        <w:rPr>
          <w:rFonts w:eastAsia="等线" w:cs="宋体"/>
          <w:b/>
          <w:color w:val="auto"/>
          <w:kern w:val="2"/>
          <w:sz w:val="24"/>
          <w:szCs w:val="24"/>
        </w:rPr>
        <w:t>.</w:t>
      </w:r>
      <w:r>
        <w:rPr>
          <w:rFonts w:hint="eastAsia" w:eastAsia="等线" w:cs="宋体"/>
          <w:b/>
          <w:color w:val="auto"/>
          <w:kern w:val="2"/>
          <w:sz w:val="24"/>
          <w:szCs w:val="24"/>
        </w:rPr>
        <w:t>2</w:t>
      </w:r>
      <w:bookmarkEnd w:id="178"/>
      <w:bookmarkEnd w:id="179"/>
      <w:r>
        <w:rPr>
          <w:rFonts w:hint="eastAsia" w:ascii="宋体" w:hAnsi="宋体"/>
          <w:color w:val="auto"/>
          <w:sz w:val="24"/>
          <w:szCs w:val="24"/>
        </w:rPr>
        <w:t>钢结构住宅楼地面系统应满足房间使用的承载、防水、防滑、高耐磨、抗污染、防静电等等各项基本功能需求，放置重物的部位应采取加强措施。</w:t>
      </w:r>
    </w:p>
    <w:p>
      <w:pPr>
        <w:spacing w:line="360" w:lineRule="auto"/>
        <w:rPr>
          <w:rFonts w:ascii="宋体" w:hAnsi="宋体"/>
          <w:color w:val="auto"/>
          <w:sz w:val="24"/>
          <w:szCs w:val="24"/>
        </w:rPr>
      </w:pPr>
      <w:r>
        <w:rPr>
          <w:rFonts w:eastAsia="等线" w:cs="宋体"/>
          <w:b/>
          <w:color w:val="auto"/>
          <w:kern w:val="2"/>
          <w:sz w:val="24"/>
          <w:szCs w:val="24"/>
        </w:rPr>
        <w:t>9</w:t>
      </w:r>
      <w:r>
        <w:rPr>
          <w:rFonts w:hint="eastAsia" w:eastAsia="等线" w:cs="宋体"/>
          <w:b/>
          <w:color w:val="auto"/>
          <w:kern w:val="2"/>
          <w:sz w:val="24"/>
          <w:szCs w:val="24"/>
        </w:rPr>
        <w:t>.5.3</w:t>
      </w:r>
      <w:r>
        <w:rPr>
          <w:rFonts w:hint="eastAsia" w:ascii="宋体" w:hAnsi="宋体"/>
          <w:color w:val="auto"/>
          <w:sz w:val="24"/>
          <w:szCs w:val="24"/>
        </w:rPr>
        <w:t xml:space="preserve"> 钢结构住宅楼地面系统宜与地面采暖、电气、给排水、新风等系统的管线进行集成设计。</w:t>
      </w:r>
    </w:p>
    <w:p>
      <w:pPr>
        <w:spacing w:line="360" w:lineRule="auto"/>
        <w:rPr>
          <w:rFonts w:ascii="宋体" w:hAnsi="宋体"/>
          <w:color w:val="auto"/>
          <w:sz w:val="24"/>
          <w:szCs w:val="24"/>
        </w:rPr>
      </w:pPr>
      <w:r>
        <w:rPr>
          <w:rFonts w:eastAsia="等线" w:cs="宋体"/>
          <w:b/>
          <w:color w:val="auto"/>
          <w:kern w:val="2"/>
          <w:sz w:val="24"/>
          <w:szCs w:val="24"/>
        </w:rPr>
        <w:t>9</w:t>
      </w:r>
      <w:r>
        <w:rPr>
          <w:rFonts w:hint="eastAsia" w:eastAsia="等线" w:cs="宋体"/>
          <w:b/>
          <w:color w:val="auto"/>
          <w:kern w:val="2"/>
          <w:sz w:val="24"/>
          <w:szCs w:val="24"/>
        </w:rPr>
        <w:t>.5.4</w:t>
      </w:r>
      <w:r>
        <w:rPr>
          <w:rFonts w:hint="eastAsia" w:ascii="宋体" w:hAnsi="宋体"/>
          <w:color w:val="auto"/>
          <w:sz w:val="24"/>
          <w:szCs w:val="24"/>
        </w:rPr>
        <w:t xml:space="preserve"> 钢结构住宅楼地面系统应与主体结构有可靠连接，且施工安装时不应破坏主体结构；楼地面系统应独立设置，与周边墙体宜采用柔性连接，各模块间应连接牢固，并采取隔声减振措施。</w:t>
      </w:r>
    </w:p>
    <w:p>
      <w:pPr>
        <w:spacing w:line="360" w:lineRule="auto"/>
        <w:rPr>
          <w:rFonts w:ascii="宋体" w:hAnsi="宋体"/>
          <w:color w:val="auto"/>
          <w:sz w:val="24"/>
          <w:szCs w:val="24"/>
        </w:rPr>
      </w:pPr>
      <w:r>
        <w:rPr>
          <w:rFonts w:eastAsia="等线" w:cs="宋体"/>
          <w:b/>
          <w:color w:val="auto"/>
          <w:kern w:val="2"/>
          <w:sz w:val="24"/>
          <w:szCs w:val="24"/>
        </w:rPr>
        <w:t>9</w:t>
      </w:r>
      <w:r>
        <w:rPr>
          <w:rFonts w:hint="eastAsia" w:eastAsia="等线" w:cs="宋体"/>
          <w:b/>
          <w:color w:val="auto"/>
          <w:kern w:val="2"/>
          <w:sz w:val="24"/>
          <w:szCs w:val="24"/>
        </w:rPr>
        <w:t>.5.5</w:t>
      </w:r>
      <w:r>
        <w:rPr>
          <w:rFonts w:hint="eastAsia" w:ascii="宋体" w:hAnsi="宋体"/>
          <w:color w:val="auto"/>
          <w:sz w:val="24"/>
          <w:szCs w:val="24"/>
        </w:rPr>
        <w:t xml:space="preserve"> 架空楼地面设计应符合下列规定：</w:t>
      </w:r>
    </w:p>
    <w:p>
      <w:pPr>
        <w:spacing w:line="360" w:lineRule="auto"/>
        <w:ind w:firstLine="720" w:firstLineChars="300"/>
        <w:rPr>
          <w:rFonts w:ascii="宋体" w:hAnsi="宋体"/>
          <w:color w:val="auto"/>
          <w:sz w:val="24"/>
          <w:szCs w:val="24"/>
        </w:rPr>
      </w:pPr>
      <w:r>
        <w:rPr>
          <w:rFonts w:ascii="宋体" w:hAnsi="宋体"/>
          <w:color w:val="auto"/>
          <w:sz w:val="24"/>
          <w:szCs w:val="24"/>
        </w:rPr>
        <w:t>1</w:t>
      </w:r>
      <w:r>
        <w:rPr>
          <w:rFonts w:hint="eastAsia" w:ascii="宋体" w:hAnsi="宋体"/>
          <w:color w:val="auto"/>
          <w:sz w:val="24"/>
          <w:szCs w:val="24"/>
        </w:rPr>
        <w:t>钢结构住宅厨房、卫生间等宜采用架空楼地面，架空空间内应分舱设置防水、防虫构造，并应采取防潮、防霉、易清扫、易维护的措施。</w:t>
      </w:r>
    </w:p>
    <w:p>
      <w:pPr>
        <w:spacing w:line="360" w:lineRule="auto"/>
        <w:ind w:firstLine="720" w:firstLineChars="300"/>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架空楼地面内敷设管线时，架空层高度应满足管线排布的需求，在管线集中连接处应设置检修口或采用便于拆装的构造方式。</w:t>
      </w:r>
    </w:p>
    <w:p>
      <w:pPr>
        <w:spacing w:line="360" w:lineRule="auto"/>
        <w:ind w:firstLine="720" w:firstLineChars="300"/>
        <w:rPr>
          <w:rFonts w:ascii="宋体" w:hAnsi="宋体"/>
          <w:color w:val="auto"/>
          <w:sz w:val="24"/>
          <w:szCs w:val="24"/>
        </w:rPr>
      </w:pPr>
      <w:r>
        <w:rPr>
          <w:rFonts w:hint="eastAsia" w:ascii="宋体" w:hAnsi="宋体"/>
          <w:color w:val="auto"/>
          <w:sz w:val="24"/>
          <w:szCs w:val="24"/>
        </w:rPr>
        <w:t>3架空楼地面宜采用工业化生产和集成的地板模块，宜由可调节支撑、基层衬板和饰面材料组成，应满足承载力和可调节架空层高度的要求。</w:t>
      </w:r>
    </w:p>
    <w:p>
      <w:pPr>
        <w:spacing w:line="360" w:lineRule="auto"/>
        <w:ind w:firstLine="720" w:firstLineChars="300"/>
        <w:rPr>
          <w:rFonts w:ascii="宋体" w:hAnsi="宋体"/>
          <w:color w:val="auto"/>
          <w:sz w:val="24"/>
          <w:szCs w:val="24"/>
        </w:rPr>
      </w:pPr>
      <w:r>
        <w:rPr>
          <w:rFonts w:hint="eastAsia" w:ascii="宋体" w:hAnsi="宋体"/>
          <w:color w:val="auto"/>
          <w:sz w:val="24"/>
          <w:szCs w:val="24"/>
        </w:rPr>
        <w:t>4架空楼地面基层衬板应根据饰面材料、设计荷载、抗变形能力等要求来选用；饰面材料宜选用spc地板、硅酸钙复合板和人造石材板。</w:t>
      </w:r>
    </w:p>
    <w:p>
      <w:pPr>
        <w:spacing w:line="360" w:lineRule="auto"/>
        <w:rPr>
          <w:rFonts w:ascii="宋体" w:hAnsi="宋体"/>
          <w:color w:val="auto"/>
          <w:sz w:val="24"/>
          <w:szCs w:val="24"/>
        </w:rPr>
      </w:pPr>
      <w:r>
        <w:rPr>
          <w:rFonts w:hint="eastAsia" w:ascii="宋体" w:hAnsi="宋体" w:cs="黑体"/>
          <w:b/>
          <w:color w:val="auto"/>
          <w:sz w:val="24"/>
          <w:szCs w:val="24"/>
        </w:rPr>
        <w:t>【条文</w:t>
      </w:r>
      <w:r>
        <w:rPr>
          <w:rFonts w:ascii="宋体" w:hAnsi="宋体" w:cs="黑体"/>
          <w:b/>
          <w:color w:val="auto"/>
          <w:sz w:val="24"/>
          <w:szCs w:val="24"/>
        </w:rPr>
        <w:t>说明</w:t>
      </w:r>
      <w:r>
        <w:rPr>
          <w:rFonts w:hint="eastAsia" w:ascii="宋体" w:hAnsi="宋体" w:cs="黑体"/>
          <w:b/>
          <w:color w:val="auto"/>
          <w:sz w:val="24"/>
          <w:szCs w:val="24"/>
        </w:rPr>
        <w:t>】：</w:t>
      </w:r>
      <w:r>
        <w:rPr>
          <w:rFonts w:hint="eastAsia"/>
          <w:color w:val="0070C0"/>
          <w:kern w:val="2"/>
          <w:sz w:val="24"/>
          <w:szCs w:val="24"/>
        </w:rPr>
        <w:t>架空层内铺设管线时，其地面高度应根据管线的高度、坡度进行计算；可调节支撑应稳定，自身不应因外力作用而发生松动和异响，宜与地面基层形成可靠连接，以保证其稳定性。当设计地暖时，应选用模块化地暖，地暖模块上不宜直接铺设面层，应加设基层衬板等持力层。</w:t>
      </w:r>
    </w:p>
    <w:p>
      <w:pPr>
        <w:spacing w:line="360" w:lineRule="auto"/>
        <w:rPr>
          <w:rFonts w:ascii="宋体" w:hAnsi="宋体"/>
          <w:color w:val="auto"/>
          <w:sz w:val="24"/>
          <w:szCs w:val="24"/>
        </w:rPr>
      </w:pPr>
      <w:r>
        <w:rPr>
          <w:rFonts w:eastAsia="等线" w:cs="宋体"/>
          <w:b/>
          <w:color w:val="auto"/>
          <w:kern w:val="2"/>
          <w:sz w:val="24"/>
          <w:szCs w:val="24"/>
        </w:rPr>
        <w:t>9</w:t>
      </w:r>
      <w:r>
        <w:rPr>
          <w:rFonts w:hint="eastAsia" w:eastAsia="等线" w:cs="宋体"/>
          <w:b/>
          <w:color w:val="auto"/>
          <w:kern w:val="2"/>
          <w:sz w:val="24"/>
          <w:szCs w:val="24"/>
        </w:rPr>
        <w:t>.5.6</w:t>
      </w:r>
      <w:r>
        <w:rPr>
          <w:rFonts w:hint="eastAsia" w:ascii="宋体" w:hAnsi="宋体"/>
          <w:color w:val="auto"/>
          <w:sz w:val="24"/>
          <w:szCs w:val="24"/>
        </w:rPr>
        <w:t xml:space="preserve"> 非架空干铺楼地面的基层应平整，当采用地面辐射供暖、供冷系统复合脆性面材地面时，应保证绝热层的强度。</w:t>
      </w:r>
    </w:p>
    <w:p>
      <w:pPr>
        <w:spacing w:line="360" w:lineRule="auto"/>
        <w:rPr>
          <w:rFonts w:ascii="宋体" w:hAnsi="宋体"/>
          <w:color w:val="auto"/>
          <w:sz w:val="24"/>
          <w:szCs w:val="24"/>
        </w:rPr>
      </w:pPr>
      <w:r>
        <w:rPr>
          <w:rFonts w:eastAsia="等线" w:cs="宋体"/>
          <w:b/>
          <w:color w:val="auto"/>
          <w:kern w:val="2"/>
          <w:sz w:val="24"/>
          <w:szCs w:val="24"/>
        </w:rPr>
        <w:t xml:space="preserve">9.5.7 </w:t>
      </w:r>
      <w:r>
        <w:rPr>
          <w:rFonts w:hint="eastAsia" w:ascii="宋体" w:hAnsi="宋体"/>
          <w:color w:val="auto"/>
          <w:sz w:val="24"/>
          <w:szCs w:val="24"/>
        </w:rPr>
        <w:t>非架空干铺楼地面的面层和填充构造层强度应满足设计要求，当填充层采用压缩变形的材料时，易产生局部受压凹陷，应采取加强措施。</w:t>
      </w:r>
    </w:p>
    <w:p>
      <w:pPr>
        <w:spacing w:line="360" w:lineRule="auto"/>
        <w:rPr>
          <w:rFonts w:ascii="宋体" w:hAnsi="宋体"/>
          <w:color w:val="auto"/>
          <w:sz w:val="24"/>
          <w:szCs w:val="24"/>
        </w:rPr>
      </w:pPr>
    </w:p>
    <w:p>
      <w:pPr>
        <w:pStyle w:val="3"/>
        <w:spacing w:line="360" w:lineRule="auto"/>
        <w:jc w:val="center"/>
        <w:rPr>
          <w:rFonts w:ascii="Times New Roman" w:hAnsi="Times New Roman" w:eastAsia="宋体" w:cs="Times New Roman"/>
          <w:color w:val="auto"/>
          <w:sz w:val="28"/>
          <w:szCs w:val="28"/>
        </w:rPr>
      </w:pPr>
      <w:bookmarkStart w:id="180" w:name="_Toc96586957"/>
      <w:bookmarkStart w:id="181" w:name="_Toc103958772"/>
      <w:bookmarkStart w:id="182" w:name="_Toc96587318"/>
      <w:r>
        <w:rPr>
          <w:rFonts w:hint="eastAsia" w:ascii="Times New Roman" w:hAnsi="Times New Roman" w:eastAsia="宋体" w:cs="Times New Roman"/>
          <w:color w:val="auto"/>
          <w:sz w:val="28"/>
          <w:szCs w:val="28"/>
        </w:rPr>
        <w:t>9.6 集成式厨房与</w:t>
      </w:r>
      <w:r>
        <w:rPr>
          <w:rFonts w:ascii="Times New Roman" w:hAnsi="Times New Roman" w:eastAsia="宋体" w:cs="Times New Roman"/>
          <w:color w:val="auto"/>
          <w:sz w:val="28"/>
          <w:szCs w:val="28"/>
        </w:rPr>
        <w:t>集成式卫生间</w:t>
      </w:r>
      <w:bookmarkEnd w:id="180"/>
      <w:bookmarkEnd w:id="181"/>
      <w:bookmarkEnd w:id="182"/>
    </w:p>
    <w:p>
      <w:pPr>
        <w:spacing w:line="360" w:lineRule="auto"/>
        <w:rPr>
          <w:rFonts w:ascii="宋体" w:hAnsi="宋体"/>
          <w:color w:val="auto"/>
          <w:sz w:val="24"/>
          <w:szCs w:val="24"/>
        </w:rPr>
      </w:pPr>
      <w:bookmarkStart w:id="183" w:name="_Toc84835630"/>
      <w:bookmarkStart w:id="184" w:name="_Toc76377077"/>
      <w:r>
        <w:rPr>
          <w:rFonts w:eastAsia="等线" w:cs="宋体"/>
          <w:b/>
          <w:color w:val="auto"/>
          <w:kern w:val="2"/>
          <w:sz w:val="24"/>
          <w:szCs w:val="24"/>
        </w:rPr>
        <w:t>9.</w:t>
      </w:r>
      <w:r>
        <w:rPr>
          <w:rFonts w:hint="eastAsia" w:eastAsia="等线" w:cs="宋体"/>
          <w:b/>
          <w:color w:val="auto"/>
          <w:kern w:val="2"/>
          <w:sz w:val="24"/>
          <w:szCs w:val="24"/>
        </w:rPr>
        <w:t>6</w:t>
      </w:r>
      <w:r>
        <w:rPr>
          <w:rFonts w:eastAsia="等线" w:cs="宋体"/>
          <w:b/>
          <w:color w:val="auto"/>
          <w:kern w:val="2"/>
          <w:sz w:val="24"/>
          <w:szCs w:val="24"/>
        </w:rPr>
        <w:t>.1</w:t>
      </w:r>
      <w:bookmarkEnd w:id="183"/>
      <w:bookmarkEnd w:id="184"/>
      <w:r>
        <w:rPr>
          <w:rFonts w:hint="eastAsia" w:ascii="宋体" w:hAnsi="宋体"/>
          <w:color w:val="auto"/>
          <w:sz w:val="24"/>
          <w:szCs w:val="24"/>
        </w:rPr>
        <w:t>集成式厨房设计应协调结构、内装、设备等专业合理确定厨房的布局方案、设备管线敷设方式和路径、主体结构孔洞预留尺寸及管道井位置等。</w:t>
      </w:r>
    </w:p>
    <w:p>
      <w:pPr>
        <w:spacing w:line="360" w:lineRule="auto"/>
        <w:rPr>
          <w:rFonts w:ascii="宋体" w:hAnsi="宋体"/>
          <w:color w:val="auto"/>
          <w:sz w:val="24"/>
          <w:szCs w:val="24"/>
        </w:rPr>
      </w:pPr>
      <w:bookmarkStart w:id="185" w:name="_Toc84835631"/>
      <w:bookmarkStart w:id="186" w:name="_Toc76377078"/>
      <w:r>
        <w:rPr>
          <w:rFonts w:eastAsia="等线" w:cs="宋体"/>
          <w:b/>
          <w:color w:val="auto"/>
          <w:kern w:val="2"/>
          <w:sz w:val="24"/>
          <w:szCs w:val="24"/>
        </w:rPr>
        <w:t>9.</w:t>
      </w:r>
      <w:r>
        <w:rPr>
          <w:rFonts w:hint="eastAsia" w:eastAsia="等线" w:cs="宋体"/>
          <w:b/>
          <w:color w:val="auto"/>
          <w:kern w:val="2"/>
          <w:sz w:val="24"/>
          <w:szCs w:val="24"/>
        </w:rPr>
        <w:t>6</w:t>
      </w:r>
      <w:r>
        <w:rPr>
          <w:rFonts w:eastAsia="等线" w:cs="宋体"/>
          <w:b/>
          <w:color w:val="auto"/>
          <w:kern w:val="2"/>
          <w:sz w:val="24"/>
          <w:szCs w:val="24"/>
        </w:rPr>
        <w:t>.2</w:t>
      </w:r>
      <w:r>
        <w:rPr>
          <w:rFonts w:ascii="宋体" w:hAnsi="宋体"/>
          <w:color w:val="auto"/>
          <w:sz w:val="24"/>
          <w:szCs w:val="24"/>
        </w:rPr>
        <w:t xml:space="preserve"> </w:t>
      </w:r>
      <w:r>
        <w:rPr>
          <w:rFonts w:hint="eastAsia" w:ascii="宋体" w:hAnsi="宋体"/>
          <w:color w:val="auto"/>
          <w:sz w:val="24"/>
          <w:szCs w:val="24"/>
        </w:rPr>
        <w:t>集成式厨房的设计应包含厨房楼地面、吊顶、墙面以及橱柜和厨房设备 及管线的设计，并应与内装修工程的其它系统进行协同设计。</w:t>
      </w:r>
      <w:bookmarkEnd w:id="185"/>
      <w:bookmarkEnd w:id="186"/>
    </w:p>
    <w:p>
      <w:pPr>
        <w:spacing w:line="360" w:lineRule="auto"/>
        <w:rPr>
          <w:rFonts w:ascii="宋体" w:hAnsi="宋体"/>
          <w:color w:val="auto"/>
          <w:sz w:val="24"/>
          <w:szCs w:val="24"/>
        </w:rPr>
      </w:pPr>
      <w:r>
        <w:rPr>
          <w:rFonts w:hint="eastAsia" w:ascii="宋体" w:hAnsi="宋体" w:cs="黑体"/>
          <w:b/>
          <w:color w:val="auto"/>
          <w:sz w:val="24"/>
          <w:szCs w:val="24"/>
        </w:rPr>
        <w:t>【条文</w:t>
      </w:r>
      <w:r>
        <w:rPr>
          <w:rFonts w:ascii="宋体" w:hAnsi="宋体" w:cs="黑体"/>
          <w:b/>
          <w:color w:val="auto"/>
          <w:sz w:val="24"/>
          <w:szCs w:val="24"/>
        </w:rPr>
        <w:t>说明</w:t>
      </w:r>
      <w:r>
        <w:rPr>
          <w:rFonts w:hint="eastAsia" w:ascii="宋体" w:hAnsi="宋体" w:cs="黑体"/>
          <w:b/>
          <w:color w:val="auto"/>
          <w:sz w:val="24"/>
          <w:szCs w:val="24"/>
        </w:rPr>
        <w:t>】：</w:t>
      </w:r>
      <w:r>
        <w:rPr>
          <w:rFonts w:hint="eastAsia"/>
          <w:color w:val="0070C0"/>
          <w:kern w:val="2"/>
          <w:sz w:val="24"/>
          <w:szCs w:val="24"/>
        </w:rPr>
        <w:t>集成式厨房是由结构（底板、顶板、墙）、厨房家具（橱柜及填充件、各式挂件）、厨房设备（冰箱、微波炉、电烤箱、抽油烟机、燃气灶具、消毒柜、洗碗机、水盆、垃圾粉碎机等）、厨房设施（给排水、电气、通风设备与管线）进行系统集成的新型厨房，其部品部件在工厂生产，现成进行拼装而成。</w:t>
      </w:r>
    </w:p>
    <w:p>
      <w:pPr>
        <w:spacing w:line="360" w:lineRule="auto"/>
        <w:rPr>
          <w:rFonts w:ascii="宋体" w:hAnsi="宋体"/>
          <w:color w:val="auto"/>
          <w:sz w:val="24"/>
          <w:szCs w:val="24"/>
        </w:rPr>
      </w:pPr>
      <w:bookmarkStart w:id="187" w:name="_Toc76377079"/>
      <w:bookmarkStart w:id="188" w:name="_Toc84835632"/>
      <w:r>
        <w:rPr>
          <w:rFonts w:eastAsia="等线" w:cs="宋体"/>
          <w:b/>
          <w:color w:val="auto"/>
          <w:kern w:val="2"/>
          <w:sz w:val="24"/>
          <w:szCs w:val="24"/>
        </w:rPr>
        <w:t>9.</w:t>
      </w:r>
      <w:r>
        <w:rPr>
          <w:rFonts w:hint="eastAsia" w:eastAsia="等线" w:cs="宋体"/>
          <w:b/>
          <w:color w:val="auto"/>
          <w:kern w:val="2"/>
          <w:sz w:val="24"/>
          <w:szCs w:val="24"/>
        </w:rPr>
        <w:t>6</w:t>
      </w:r>
      <w:r>
        <w:rPr>
          <w:rFonts w:eastAsia="等线" w:cs="宋体"/>
          <w:b/>
          <w:color w:val="auto"/>
          <w:kern w:val="2"/>
          <w:sz w:val="24"/>
          <w:szCs w:val="24"/>
        </w:rPr>
        <w:t xml:space="preserve">.3 </w:t>
      </w:r>
      <w:r>
        <w:rPr>
          <w:rFonts w:hint="eastAsia" w:eastAsia="等线" w:cs="宋体"/>
          <w:b/>
          <w:color w:val="auto"/>
          <w:kern w:val="2"/>
          <w:sz w:val="24"/>
          <w:szCs w:val="24"/>
        </w:rPr>
        <w:t xml:space="preserve"> </w:t>
      </w:r>
      <w:r>
        <w:rPr>
          <w:rFonts w:hint="eastAsia" w:ascii="宋体" w:hAnsi="宋体"/>
          <w:color w:val="auto"/>
          <w:sz w:val="24"/>
          <w:szCs w:val="24"/>
        </w:rPr>
        <w:t>集成式厨房的设计应根据人体工程学原理及使用功能，合理布置操作流线。应采用标准化、模块化的方法进行精细化设计，并满足以下要求：</w:t>
      </w:r>
    </w:p>
    <w:p>
      <w:pPr>
        <w:spacing w:line="360" w:lineRule="auto"/>
        <w:ind w:firstLine="240" w:firstLineChars="100"/>
        <w:rPr>
          <w:rFonts w:ascii="宋体" w:hAnsi="宋体"/>
          <w:color w:val="auto"/>
          <w:sz w:val="24"/>
          <w:szCs w:val="24"/>
        </w:rPr>
      </w:pPr>
      <w:r>
        <w:rPr>
          <w:rFonts w:hint="eastAsia" w:ascii="宋体" w:hAnsi="宋体"/>
          <w:color w:val="auto"/>
          <w:sz w:val="24"/>
          <w:szCs w:val="24"/>
        </w:rPr>
        <w:t>1集成式厨房应与钢结构住宅套型设计紧密结合，在设计阶段即应进行产品选型，确定产品的型号和尺寸。</w:t>
      </w:r>
    </w:p>
    <w:p>
      <w:pPr>
        <w:spacing w:line="360" w:lineRule="auto"/>
        <w:ind w:firstLine="240" w:firstLineChars="100"/>
        <w:rPr>
          <w:rFonts w:ascii="宋体" w:hAnsi="宋体"/>
          <w:color w:val="auto"/>
          <w:sz w:val="24"/>
          <w:szCs w:val="24"/>
        </w:rPr>
      </w:pPr>
      <w:r>
        <w:rPr>
          <w:rFonts w:hint="eastAsia" w:ascii="宋体" w:hAnsi="宋体"/>
          <w:color w:val="auto"/>
          <w:sz w:val="24"/>
          <w:szCs w:val="24"/>
        </w:rPr>
        <w:t>2集成式厨房的部品部件性能应符合现行行业标准《住宅整体厨房》JG/T 184的有关规定。</w:t>
      </w:r>
    </w:p>
    <w:p>
      <w:pPr>
        <w:spacing w:line="360" w:lineRule="auto"/>
        <w:ind w:firstLine="240" w:firstLineChars="100"/>
        <w:rPr>
          <w:rFonts w:ascii="宋体" w:hAnsi="宋体"/>
          <w:color w:val="auto"/>
          <w:sz w:val="24"/>
          <w:szCs w:val="24"/>
        </w:rPr>
      </w:pPr>
      <w:r>
        <w:rPr>
          <w:rFonts w:hint="eastAsia" w:ascii="宋体" w:hAnsi="宋体"/>
          <w:color w:val="auto"/>
          <w:sz w:val="24"/>
          <w:szCs w:val="24"/>
        </w:rPr>
        <w:t>3集成式厨房宜满足适老化的要求。</w:t>
      </w:r>
    </w:p>
    <w:p>
      <w:pPr>
        <w:spacing w:line="360" w:lineRule="auto"/>
        <w:rPr>
          <w:rFonts w:ascii="宋体" w:hAnsi="宋体"/>
          <w:color w:val="auto"/>
          <w:sz w:val="24"/>
          <w:szCs w:val="24"/>
        </w:rPr>
      </w:pPr>
      <w:r>
        <w:rPr>
          <w:rFonts w:hint="eastAsia" w:eastAsia="等线" w:cs="宋体"/>
          <w:b/>
          <w:color w:val="auto"/>
          <w:kern w:val="2"/>
          <w:sz w:val="24"/>
          <w:szCs w:val="24"/>
        </w:rPr>
        <w:t>9.6.4</w:t>
      </w:r>
      <w:r>
        <w:rPr>
          <w:rFonts w:hint="eastAsia" w:ascii="宋体" w:hAnsi="宋体"/>
          <w:color w:val="auto"/>
          <w:sz w:val="24"/>
          <w:szCs w:val="24"/>
        </w:rPr>
        <w:t>集成式厨房吊顶宜选择整体吊顶或集成吊顶，无吊顶的厨房宜采用防水涂料做装饰喷涂。</w:t>
      </w:r>
    </w:p>
    <w:p>
      <w:pPr>
        <w:spacing w:line="360" w:lineRule="auto"/>
        <w:rPr>
          <w:rFonts w:ascii="宋体" w:hAnsi="宋体"/>
          <w:color w:val="auto"/>
          <w:sz w:val="24"/>
          <w:szCs w:val="24"/>
        </w:rPr>
      </w:pPr>
      <w:r>
        <w:rPr>
          <w:rFonts w:hint="eastAsia" w:eastAsia="等线" w:cs="宋体"/>
          <w:b/>
          <w:color w:val="auto"/>
          <w:kern w:val="2"/>
          <w:sz w:val="24"/>
          <w:szCs w:val="24"/>
        </w:rPr>
        <w:t>9.6.5</w:t>
      </w:r>
      <w:r>
        <w:rPr>
          <w:rFonts w:hint="eastAsia" w:ascii="宋体" w:hAnsi="宋体"/>
          <w:color w:val="auto"/>
          <w:sz w:val="24"/>
          <w:szCs w:val="24"/>
        </w:rPr>
        <w:t>集成式厨房的吊柜、厨房电器等应与主体结构有可靠连接，如悬挂在轻质隔墙时，应采取加强措施。</w:t>
      </w:r>
    </w:p>
    <w:p>
      <w:pPr>
        <w:spacing w:line="360" w:lineRule="auto"/>
        <w:rPr>
          <w:rFonts w:eastAsia="等线" w:cs="宋体"/>
          <w:b/>
          <w:color w:val="auto"/>
          <w:kern w:val="2"/>
          <w:sz w:val="24"/>
          <w:szCs w:val="24"/>
        </w:rPr>
      </w:pPr>
      <w:r>
        <w:rPr>
          <w:rFonts w:hint="eastAsia" w:eastAsia="等线" w:cs="宋体"/>
          <w:b/>
          <w:color w:val="auto"/>
          <w:kern w:val="2"/>
          <w:sz w:val="24"/>
          <w:szCs w:val="24"/>
        </w:rPr>
        <w:t>9.6.6</w:t>
      </w:r>
      <w:r>
        <w:rPr>
          <w:rFonts w:hint="eastAsia" w:ascii="宋体" w:hAnsi="宋体"/>
          <w:color w:val="auto"/>
          <w:sz w:val="24"/>
          <w:szCs w:val="24"/>
        </w:rPr>
        <w:t>集成式厨房的墙面和吊顶应选用耐热和易清洗的材料，地面应选择防滑耐磨、吸水率低、耐污染和易清洁的材料；吊顶、墙面、地面材料应为燃烧性能 A级的材料。</w:t>
      </w:r>
    </w:p>
    <w:p>
      <w:pPr>
        <w:spacing w:line="360" w:lineRule="auto"/>
        <w:rPr>
          <w:rFonts w:eastAsia="等线" w:cs="宋体"/>
          <w:b/>
          <w:color w:val="auto"/>
          <w:kern w:val="2"/>
          <w:sz w:val="24"/>
          <w:szCs w:val="24"/>
        </w:rPr>
      </w:pPr>
      <w:r>
        <w:rPr>
          <w:rFonts w:hint="eastAsia" w:eastAsia="等线" w:cs="宋体"/>
          <w:b/>
          <w:color w:val="auto"/>
          <w:kern w:val="2"/>
          <w:sz w:val="24"/>
          <w:szCs w:val="24"/>
        </w:rPr>
        <w:t>9.6.7</w:t>
      </w:r>
      <w:r>
        <w:rPr>
          <w:rFonts w:hint="eastAsia" w:ascii="宋体" w:hAnsi="宋体"/>
          <w:color w:val="auto"/>
          <w:sz w:val="24"/>
          <w:szCs w:val="24"/>
        </w:rPr>
        <w:t>集成式厨房选用集成橱柜部品时，应考虑综合管线设计，满足厨房设备设施点位预留的要求。</w:t>
      </w:r>
    </w:p>
    <w:p>
      <w:pPr>
        <w:spacing w:line="360" w:lineRule="auto"/>
        <w:rPr>
          <w:rFonts w:ascii="宋体" w:hAnsi="宋体"/>
          <w:color w:val="auto"/>
          <w:sz w:val="24"/>
          <w:szCs w:val="24"/>
        </w:rPr>
      </w:pPr>
      <w:r>
        <w:rPr>
          <w:rFonts w:hint="eastAsia" w:eastAsia="等线" w:cs="宋体"/>
          <w:b/>
          <w:color w:val="auto"/>
          <w:kern w:val="2"/>
          <w:sz w:val="24"/>
          <w:szCs w:val="24"/>
        </w:rPr>
        <w:t>9.6.8</w:t>
      </w:r>
      <w:r>
        <w:rPr>
          <w:rFonts w:hint="eastAsia" w:ascii="宋体" w:hAnsi="宋体"/>
          <w:color w:val="auto"/>
          <w:sz w:val="24"/>
          <w:szCs w:val="24"/>
        </w:rPr>
        <w:t>集成式厨房管线应进行综合协同设计，应利用墙面、吊顶、楼地面系统的架空层进行集中设置，合理定位，接口应标准化，且便于查表和检修。</w:t>
      </w:r>
    </w:p>
    <w:p>
      <w:pPr>
        <w:spacing w:line="360" w:lineRule="auto"/>
        <w:rPr>
          <w:rFonts w:ascii="宋体" w:hAnsi="宋体"/>
          <w:color w:val="auto"/>
          <w:sz w:val="24"/>
          <w:szCs w:val="24"/>
        </w:rPr>
      </w:pPr>
      <w:r>
        <w:rPr>
          <w:rFonts w:hint="eastAsia" w:eastAsia="等线" w:cs="宋体"/>
          <w:b/>
          <w:color w:val="auto"/>
          <w:kern w:val="2"/>
          <w:sz w:val="24"/>
          <w:szCs w:val="24"/>
        </w:rPr>
        <w:t>9.6.9</w:t>
      </w:r>
      <w:r>
        <w:rPr>
          <w:rFonts w:hint="eastAsia" w:ascii="宋体" w:hAnsi="宋体"/>
          <w:color w:val="auto"/>
          <w:sz w:val="24"/>
          <w:szCs w:val="24"/>
        </w:rPr>
        <w:t>集成式厨房设计时应充分考虑设备管线更新、维护的需求，并在相应的部位设置检修口或检修门。</w:t>
      </w:r>
    </w:p>
    <w:bookmarkEnd w:id="187"/>
    <w:bookmarkEnd w:id="188"/>
    <w:p>
      <w:pPr>
        <w:spacing w:line="360" w:lineRule="auto"/>
        <w:rPr>
          <w:rFonts w:ascii="宋体" w:hAnsi="宋体"/>
          <w:color w:val="auto"/>
          <w:sz w:val="24"/>
          <w:szCs w:val="24"/>
        </w:rPr>
      </w:pPr>
      <w:bookmarkStart w:id="189" w:name="_Toc76377086"/>
      <w:bookmarkStart w:id="190" w:name="_Toc84835639"/>
      <w:r>
        <w:rPr>
          <w:rFonts w:eastAsia="等线" w:cs="宋体"/>
          <w:b/>
          <w:color w:val="auto"/>
          <w:kern w:val="2"/>
          <w:sz w:val="24"/>
          <w:szCs w:val="24"/>
        </w:rPr>
        <w:t>9.</w:t>
      </w:r>
      <w:r>
        <w:rPr>
          <w:rFonts w:hint="eastAsia" w:eastAsia="等线" w:cs="宋体"/>
          <w:b/>
          <w:color w:val="auto"/>
          <w:kern w:val="2"/>
          <w:sz w:val="24"/>
          <w:szCs w:val="24"/>
        </w:rPr>
        <w:t>6</w:t>
      </w:r>
      <w:r>
        <w:rPr>
          <w:rFonts w:eastAsia="等线" w:cs="宋体"/>
          <w:b/>
          <w:color w:val="auto"/>
          <w:kern w:val="2"/>
          <w:sz w:val="24"/>
          <w:szCs w:val="24"/>
        </w:rPr>
        <w:t>.</w:t>
      </w:r>
      <w:bookmarkEnd w:id="189"/>
      <w:bookmarkEnd w:id="190"/>
      <w:r>
        <w:rPr>
          <w:rFonts w:hint="eastAsia" w:eastAsia="等线" w:cs="宋体"/>
          <w:b/>
          <w:color w:val="auto"/>
          <w:kern w:val="2"/>
          <w:sz w:val="24"/>
          <w:szCs w:val="24"/>
        </w:rPr>
        <w:t>10</w:t>
      </w:r>
      <w:r>
        <w:rPr>
          <w:rFonts w:hint="eastAsia" w:ascii="宋体" w:hAnsi="宋体"/>
          <w:color w:val="auto"/>
          <w:sz w:val="24"/>
          <w:szCs w:val="24"/>
        </w:rPr>
        <w:t xml:space="preserve"> 集成卫生间设计应协调结构、内装、设备等专业共同确定集成式卫生间的布局方案、结构方案、设备管线敷设方式和路径、主体结构孔洞尺寸预留以及管道井位置等。</w:t>
      </w:r>
    </w:p>
    <w:p>
      <w:pPr>
        <w:spacing w:line="360" w:lineRule="auto"/>
        <w:rPr>
          <w:rFonts w:ascii="宋体" w:hAnsi="宋体"/>
          <w:color w:val="auto"/>
          <w:sz w:val="24"/>
          <w:szCs w:val="24"/>
        </w:rPr>
      </w:pPr>
      <w:r>
        <w:rPr>
          <w:rFonts w:eastAsia="等线" w:cs="宋体"/>
          <w:b/>
          <w:color w:val="auto"/>
          <w:kern w:val="2"/>
          <w:sz w:val="24"/>
          <w:szCs w:val="24"/>
        </w:rPr>
        <w:t>9</w:t>
      </w:r>
      <w:r>
        <w:rPr>
          <w:rFonts w:hint="eastAsia" w:eastAsia="等线" w:cs="宋体"/>
          <w:b/>
          <w:color w:val="auto"/>
          <w:kern w:val="2"/>
          <w:sz w:val="24"/>
          <w:szCs w:val="24"/>
        </w:rPr>
        <w:t>.6.11</w:t>
      </w:r>
      <w:r>
        <w:rPr>
          <w:rFonts w:hint="eastAsia" w:ascii="宋体" w:hAnsi="宋体"/>
          <w:color w:val="auto"/>
          <w:sz w:val="24"/>
          <w:szCs w:val="24"/>
        </w:rPr>
        <w:t xml:space="preserve"> 集成式卫生间的设计应包括卫生间楼地面、吊顶、墙面和卫生洁具设备及管线的设计，宜选择集成度高的卫生间部品，并应与内装修工程的其它系统进行协同设计。</w:t>
      </w:r>
    </w:p>
    <w:p>
      <w:pPr>
        <w:spacing w:line="360" w:lineRule="auto"/>
        <w:rPr>
          <w:rFonts w:ascii="宋体" w:hAnsi="宋体"/>
          <w:color w:val="auto"/>
          <w:sz w:val="24"/>
          <w:szCs w:val="24"/>
        </w:rPr>
      </w:pPr>
      <w:r>
        <w:rPr>
          <w:rFonts w:eastAsia="等线" w:cs="宋体"/>
          <w:b/>
          <w:color w:val="auto"/>
          <w:kern w:val="2"/>
          <w:sz w:val="24"/>
          <w:szCs w:val="24"/>
        </w:rPr>
        <w:t>9</w:t>
      </w:r>
      <w:r>
        <w:rPr>
          <w:rFonts w:hint="eastAsia" w:eastAsia="等线" w:cs="宋体"/>
          <w:b/>
          <w:color w:val="auto"/>
          <w:kern w:val="2"/>
          <w:sz w:val="24"/>
          <w:szCs w:val="24"/>
        </w:rPr>
        <w:t>.6.12</w:t>
      </w:r>
      <w:r>
        <w:rPr>
          <w:rFonts w:hint="eastAsia" w:ascii="宋体" w:hAnsi="宋体"/>
          <w:color w:val="auto"/>
          <w:sz w:val="24"/>
          <w:szCs w:val="24"/>
        </w:rPr>
        <w:t xml:space="preserve"> 集成式卫生间设计应符合下列规定：</w:t>
      </w:r>
    </w:p>
    <w:p>
      <w:pPr>
        <w:spacing w:line="360" w:lineRule="auto"/>
        <w:ind w:firstLine="240" w:firstLineChars="100"/>
        <w:rPr>
          <w:rFonts w:ascii="宋体" w:hAnsi="宋体"/>
          <w:color w:val="auto"/>
          <w:sz w:val="24"/>
          <w:szCs w:val="24"/>
        </w:rPr>
      </w:pPr>
      <w:r>
        <w:rPr>
          <w:rFonts w:hint="eastAsia" w:ascii="宋体" w:hAnsi="宋体"/>
          <w:color w:val="auto"/>
          <w:sz w:val="24"/>
          <w:szCs w:val="24"/>
        </w:rPr>
        <w:t>1集成式卫生间应与钢结构住宅套型设计紧密结合，在套型设计阶段应进行产品选型，确定产品的型号和尺寸。</w:t>
      </w:r>
    </w:p>
    <w:p>
      <w:pPr>
        <w:spacing w:line="360" w:lineRule="auto"/>
        <w:ind w:firstLine="240" w:firstLineChars="100"/>
        <w:rPr>
          <w:rFonts w:ascii="宋体" w:hAnsi="宋体"/>
          <w:color w:val="auto"/>
          <w:sz w:val="24"/>
          <w:szCs w:val="24"/>
        </w:rPr>
      </w:pPr>
      <w:r>
        <w:rPr>
          <w:rFonts w:hint="eastAsia" w:ascii="宋体" w:hAnsi="宋体"/>
          <w:color w:val="auto"/>
          <w:sz w:val="24"/>
          <w:szCs w:val="24"/>
        </w:rPr>
        <w:t>2集成式卫生间宜采用干湿分离的布置方式，并应满足设备设施点位预留的要求。</w:t>
      </w:r>
    </w:p>
    <w:p>
      <w:pPr>
        <w:spacing w:line="360" w:lineRule="auto"/>
        <w:ind w:firstLine="240" w:firstLineChars="100"/>
        <w:rPr>
          <w:rFonts w:ascii="宋体" w:hAnsi="宋体"/>
          <w:color w:val="auto"/>
          <w:sz w:val="24"/>
          <w:szCs w:val="24"/>
        </w:rPr>
      </w:pPr>
      <w:r>
        <w:rPr>
          <w:rFonts w:hint="eastAsia" w:ascii="宋体" w:hAnsi="宋体"/>
          <w:color w:val="auto"/>
          <w:sz w:val="24"/>
          <w:szCs w:val="24"/>
        </w:rPr>
        <w:t>3集成式卫生间宜采用同层排水方式；当采取结构局部降板方式实现同层排水时，应结合排水方案及检修要求等因素确定降板区域；降板高度应根据防水底盘厚度、卫生器具布置方案、管道尺寸及敷设路径等因素确定。</w:t>
      </w:r>
    </w:p>
    <w:p>
      <w:pPr>
        <w:spacing w:line="360" w:lineRule="auto"/>
        <w:ind w:firstLine="240" w:firstLineChars="100"/>
        <w:rPr>
          <w:rFonts w:ascii="宋体" w:hAnsi="宋体"/>
          <w:color w:val="auto"/>
          <w:sz w:val="24"/>
          <w:szCs w:val="24"/>
        </w:rPr>
      </w:pPr>
      <w:r>
        <w:rPr>
          <w:rFonts w:hint="eastAsia" w:ascii="宋体" w:hAnsi="宋体"/>
          <w:color w:val="auto"/>
          <w:sz w:val="24"/>
          <w:szCs w:val="24"/>
        </w:rPr>
        <w:t>4集成式卫生间墙面、顶面、地面各系统应与原建筑结构之间预留一定空间作为安装尺寸，同时给水排水、通风和电气等管道管线应在其预留空间内安装完成，并应在与给水排水、电气等系统预留的接口连接处设置检修口。</w:t>
      </w:r>
    </w:p>
    <w:p>
      <w:pPr>
        <w:spacing w:line="360" w:lineRule="auto"/>
        <w:ind w:firstLine="240" w:firstLineChars="100"/>
        <w:rPr>
          <w:rFonts w:ascii="宋体" w:hAnsi="宋体"/>
          <w:color w:val="auto"/>
          <w:sz w:val="24"/>
          <w:szCs w:val="24"/>
        </w:rPr>
      </w:pPr>
      <w:r>
        <w:rPr>
          <w:rFonts w:hint="eastAsia" w:ascii="宋体" w:hAnsi="宋体"/>
          <w:color w:val="auto"/>
          <w:sz w:val="24"/>
          <w:szCs w:val="24"/>
        </w:rPr>
        <w:t>5集成式卫生间应保证防水性能，宜采用干式防水底盘；防水底盘的固定安装不应破坏结构防水层。</w:t>
      </w:r>
    </w:p>
    <w:p>
      <w:pPr>
        <w:spacing w:line="360" w:lineRule="auto"/>
        <w:ind w:firstLine="240" w:firstLineChars="100"/>
        <w:rPr>
          <w:rFonts w:ascii="宋体" w:hAnsi="宋体"/>
          <w:color w:val="auto"/>
          <w:sz w:val="24"/>
          <w:szCs w:val="24"/>
        </w:rPr>
      </w:pPr>
      <w:r>
        <w:rPr>
          <w:rFonts w:hint="eastAsia" w:ascii="宋体" w:hAnsi="宋体"/>
          <w:color w:val="auto"/>
          <w:sz w:val="24"/>
          <w:szCs w:val="24"/>
        </w:rPr>
        <w:t>6集成式卫生间墙面（壁板）与地面底盘之间、墙面（壁板）与墙面（壁板）之间、墙面（壁板）与顶面、墙面（壁板）与外墙窗洞口之间的连接构造应可靠并应具有防渗漏功能，保证水密性。</w:t>
      </w:r>
    </w:p>
    <w:p>
      <w:pPr>
        <w:spacing w:line="360" w:lineRule="auto"/>
        <w:ind w:firstLine="240" w:firstLineChars="100"/>
        <w:rPr>
          <w:rFonts w:ascii="宋体" w:hAnsi="宋体"/>
          <w:color w:val="auto"/>
          <w:sz w:val="24"/>
          <w:szCs w:val="24"/>
        </w:rPr>
      </w:pPr>
      <w:r>
        <w:rPr>
          <w:rFonts w:hint="eastAsia" w:ascii="宋体" w:hAnsi="宋体"/>
          <w:color w:val="auto"/>
          <w:sz w:val="24"/>
          <w:szCs w:val="24"/>
        </w:rPr>
        <w:t>7集成式卫生间门框门套应与防水底盘、墙面（壁板）做好收口和防水措施。</w:t>
      </w:r>
    </w:p>
    <w:p>
      <w:pPr>
        <w:pStyle w:val="3"/>
        <w:spacing w:line="360" w:lineRule="auto"/>
        <w:jc w:val="center"/>
        <w:rPr>
          <w:rFonts w:ascii="Times New Roman" w:hAnsi="Times New Roman" w:eastAsia="宋体" w:cs="Times New Roman"/>
          <w:color w:val="auto"/>
          <w:sz w:val="28"/>
          <w:szCs w:val="28"/>
        </w:rPr>
      </w:pPr>
      <w:bookmarkStart w:id="191" w:name="_Toc103958773"/>
      <w:bookmarkStart w:id="192" w:name="_Toc96586958"/>
      <w:bookmarkStart w:id="193" w:name="_Toc96587319"/>
      <w:r>
        <w:rPr>
          <w:rFonts w:hint="eastAsia" w:ascii="Times New Roman" w:hAnsi="Times New Roman" w:eastAsia="宋体" w:cs="Times New Roman"/>
          <w:color w:val="auto"/>
          <w:sz w:val="28"/>
          <w:szCs w:val="28"/>
        </w:rPr>
        <w:t>9.7 收纳系统</w:t>
      </w:r>
      <w:bookmarkEnd w:id="191"/>
      <w:bookmarkEnd w:id="192"/>
      <w:bookmarkEnd w:id="193"/>
    </w:p>
    <w:p>
      <w:pPr>
        <w:spacing w:line="360" w:lineRule="auto"/>
        <w:rPr>
          <w:rFonts w:ascii="宋体" w:hAnsi="宋体"/>
          <w:color w:val="auto"/>
          <w:sz w:val="24"/>
          <w:szCs w:val="24"/>
        </w:rPr>
      </w:pPr>
      <w:bookmarkStart w:id="194" w:name="_Toc76377087"/>
      <w:bookmarkStart w:id="195" w:name="_Toc84835640"/>
      <w:r>
        <w:rPr>
          <w:rFonts w:eastAsia="等线" w:cs="宋体"/>
          <w:b/>
          <w:color w:val="auto"/>
          <w:kern w:val="2"/>
          <w:sz w:val="24"/>
          <w:szCs w:val="24"/>
        </w:rPr>
        <w:t>9.</w:t>
      </w:r>
      <w:r>
        <w:rPr>
          <w:rFonts w:hint="eastAsia" w:eastAsia="等线" w:cs="宋体"/>
          <w:b/>
          <w:color w:val="auto"/>
          <w:kern w:val="2"/>
          <w:sz w:val="24"/>
          <w:szCs w:val="24"/>
        </w:rPr>
        <w:t>7</w:t>
      </w:r>
      <w:r>
        <w:rPr>
          <w:rFonts w:eastAsia="等线" w:cs="宋体"/>
          <w:b/>
          <w:color w:val="auto"/>
          <w:kern w:val="2"/>
          <w:sz w:val="24"/>
          <w:szCs w:val="24"/>
        </w:rPr>
        <w:t>.</w:t>
      </w:r>
      <w:r>
        <w:rPr>
          <w:rFonts w:hint="eastAsia" w:eastAsia="等线" w:cs="宋体"/>
          <w:b/>
          <w:color w:val="auto"/>
          <w:kern w:val="2"/>
          <w:sz w:val="24"/>
          <w:szCs w:val="24"/>
        </w:rPr>
        <w:t>1</w:t>
      </w:r>
      <w:r>
        <w:rPr>
          <w:rFonts w:eastAsia="等线" w:cs="宋体"/>
          <w:b/>
          <w:color w:val="auto"/>
          <w:kern w:val="2"/>
          <w:sz w:val="24"/>
          <w:szCs w:val="24"/>
        </w:rPr>
        <w:t xml:space="preserve"> </w:t>
      </w:r>
      <w:bookmarkEnd w:id="194"/>
      <w:bookmarkEnd w:id="195"/>
      <w:r>
        <w:rPr>
          <w:rFonts w:hint="eastAsia" w:ascii="宋体" w:hAnsi="宋体"/>
          <w:color w:val="auto"/>
          <w:sz w:val="24"/>
          <w:szCs w:val="24"/>
        </w:rPr>
        <w:t>收纳系统应结合钢结构住宅功能空间需要进行布置，并按功能要求对收纳物品 种类和数量进行设计。</w:t>
      </w:r>
    </w:p>
    <w:p>
      <w:pPr>
        <w:spacing w:line="360" w:lineRule="auto"/>
        <w:rPr>
          <w:rFonts w:ascii="宋体" w:hAnsi="宋体"/>
          <w:color w:val="auto"/>
          <w:sz w:val="24"/>
          <w:szCs w:val="24"/>
        </w:rPr>
      </w:pPr>
      <w:bookmarkStart w:id="196" w:name="_Toc76377088"/>
      <w:bookmarkStart w:id="197" w:name="_Toc84835641"/>
      <w:r>
        <w:rPr>
          <w:rFonts w:eastAsia="等线" w:cs="宋体"/>
          <w:b/>
          <w:color w:val="auto"/>
          <w:kern w:val="2"/>
          <w:sz w:val="24"/>
          <w:szCs w:val="24"/>
        </w:rPr>
        <w:t>9.</w:t>
      </w:r>
      <w:r>
        <w:rPr>
          <w:rFonts w:hint="eastAsia" w:eastAsia="等线" w:cs="宋体"/>
          <w:b/>
          <w:color w:val="auto"/>
          <w:kern w:val="2"/>
          <w:sz w:val="24"/>
          <w:szCs w:val="24"/>
        </w:rPr>
        <w:t>7</w:t>
      </w:r>
      <w:r>
        <w:rPr>
          <w:rFonts w:eastAsia="等线" w:cs="宋体"/>
          <w:b/>
          <w:color w:val="auto"/>
          <w:kern w:val="2"/>
          <w:sz w:val="24"/>
          <w:szCs w:val="24"/>
        </w:rPr>
        <w:t>.</w:t>
      </w:r>
      <w:r>
        <w:rPr>
          <w:rFonts w:hint="eastAsia" w:eastAsia="等线" w:cs="宋体"/>
          <w:b/>
          <w:color w:val="auto"/>
          <w:kern w:val="2"/>
          <w:sz w:val="24"/>
          <w:szCs w:val="24"/>
        </w:rPr>
        <w:t>2</w:t>
      </w:r>
      <w:r>
        <w:rPr>
          <w:rFonts w:eastAsia="等线" w:cs="宋体"/>
          <w:b/>
          <w:color w:val="auto"/>
          <w:kern w:val="2"/>
          <w:sz w:val="24"/>
          <w:szCs w:val="24"/>
        </w:rPr>
        <w:t xml:space="preserve"> </w:t>
      </w:r>
      <w:bookmarkEnd w:id="196"/>
      <w:bookmarkEnd w:id="197"/>
      <w:r>
        <w:rPr>
          <w:rFonts w:hint="eastAsia" w:ascii="宋体" w:hAnsi="宋体"/>
          <w:color w:val="auto"/>
          <w:sz w:val="24"/>
          <w:szCs w:val="24"/>
        </w:rPr>
        <w:t>收纳系统宜采用工厂生产的标准化部品，应采用模块和模块组合的方法，采用少规格、多组合的原则，通过系列化的部品进行设计。</w:t>
      </w:r>
    </w:p>
    <w:p>
      <w:pPr>
        <w:spacing w:line="360" w:lineRule="auto"/>
        <w:rPr>
          <w:rFonts w:ascii="宋体" w:hAnsi="宋体"/>
          <w:color w:val="auto"/>
          <w:sz w:val="24"/>
          <w:szCs w:val="24"/>
        </w:rPr>
      </w:pPr>
      <w:r>
        <w:rPr>
          <w:rFonts w:eastAsia="等线" w:cs="宋体"/>
          <w:b/>
          <w:color w:val="auto"/>
          <w:kern w:val="2"/>
          <w:sz w:val="24"/>
          <w:szCs w:val="24"/>
        </w:rPr>
        <w:t>9.</w:t>
      </w:r>
      <w:r>
        <w:rPr>
          <w:rFonts w:hint="eastAsia" w:eastAsia="等线" w:cs="宋体"/>
          <w:b/>
          <w:color w:val="auto"/>
          <w:kern w:val="2"/>
          <w:sz w:val="24"/>
          <w:szCs w:val="24"/>
        </w:rPr>
        <w:t>7</w:t>
      </w:r>
      <w:r>
        <w:rPr>
          <w:rFonts w:eastAsia="等线" w:cs="宋体"/>
          <w:b/>
          <w:color w:val="auto"/>
          <w:kern w:val="2"/>
          <w:sz w:val="24"/>
          <w:szCs w:val="24"/>
        </w:rPr>
        <w:t>.</w:t>
      </w:r>
      <w:r>
        <w:rPr>
          <w:rFonts w:hint="eastAsia" w:eastAsia="等线" w:cs="宋体"/>
          <w:b/>
          <w:color w:val="auto"/>
          <w:kern w:val="2"/>
          <w:sz w:val="24"/>
          <w:szCs w:val="24"/>
        </w:rPr>
        <w:t>3</w:t>
      </w:r>
      <w:r>
        <w:rPr>
          <w:rFonts w:eastAsia="等线" w:cs="宋体"/>
          <w:b/>
          <w:color w:val="auto"/>
          <w:kern w:val="2"/>
          <w:sz w:val="24"/>
          <w:szCs w:val="24"/>
        </w:rPr>
        <w:t xml:space="preserve"> </w:t>
      </w:r>
      <w:r>
        <w:rPr>
          <w:rFonts w:hint="eastAsia" w:ascii="宋体" w:hAnsi="宋体"/>
          <w:color w:val="auto"/>
          <w:sz w:val="24"/>
          <w:szCs w:val="24"/>
        </w:rPr>
        <w:t>收纳系统部品应选用合适的材料并采取相应措施，根据房间功能分区满足防水、防潮、防腐、防蛀、防火的要求。</w:t>
      </w:r>
    </w:p>
    <w:p>
      <w:pPr>
        <w:spacing w:line="360" w:lineRule="auto"/>
        <w:rPr>
          <w:rFonts w:ascii="宋体" w:hAnsi="宋体"/>
          <w:color w:val="auto"/>
          <w:sz w:val="24"/>
          <w:szCs w:val="24"/>
        </w:rPr>
      </w:pPr>
      <w:r>
        <w:rPr>
          <w:rFonts w:hint="eastAsia" w:ascii="宋体" w:hAnsi="宋体" w:cs="黑体"/>
          <w:b/>
          <w:color w:val="auto"/>
          <w:sz w:val="24"/>
          <w:szCs w:val="24"/>
        </w:rPr>
        <w:t>【条文</w:t>
      </w:r>
      <w:r>
        <w:rPr>
          <w:rFonts w:ascii="宋体" w:hAnsi="宋体" w:cs="黑体"/>
          <w:b/>
          <w:color w:val="auto"/>
          <w:sz w:val="24"/>
          <w:szCs w:val="24"/>
        </w:rPr>
        <w:t>说明</w:t>
      </w:r>
      <w:r>
        <w:rPr>
          <w:rFonts w:hint="eastAsia" w:ascii="宋体" w:hAnsi="宋体" w:cs="黑体"/>
          <w:b/>
          <w:color w:val="auto"/>
          <w:sz w:val="24"/>
          <w:szCs w:val="24"/>
        </w:rPr>
        <w:t>】：</w:t>
      </w:r>
      <w:r>
        <w:rPr>
          <w:rFonts w:hint="eastAsia"/>
          <w:color w:val="0070C0"/>
          <w:kern w:val="2"/>
          <w:sz w:val="24"/>
          <w:szCs w:val="24"/>
        </w:rPr>
        <w:t>收纳系统内设置有电器、电线等时，收纳系统的板材燃烧性能不应低于B1级。</w:t>
      </w:r>
    </w:p>
    <w:p>
      <w:pPr>
        <w:spacing w:line="360" w:lineRule="auto"/>
        <w:rPr>
          <w:rFonts w:ascii="宋体" w:hAnsi="宋体"/>
          <w:color w:val="auto"/>
          <w:sz w:val="24"/>
          <w:szCs w:val="24"/>
        </w:rPr>
      </w:pPr>
      <w:r>
        <w:rPr>
          <w:rFonts w:hint="eastAsia" w:eastAsia="等线" w:cs="宋体"/>
          <w:b/>
          <w:color w:val="auto"/>
          <w:kern w:val="2"/>
          <w:sz w:val="24"/>
          <w:szCs w:val="24"/>
        </w:rPr>
        <w:t>9</w:t>
      </w:r>
      <w:r>
        <w:rPr>
          <w:rFonts w:eastAsia="等线" w:cs="宋体"/>
          <w:b/>
          <w:color w:val="auto"/>
          <w:kern w:val="2"/>
          <w:sz w:val="24"/>
          <w:szCs w:val="24"/>
        </w:rPr>
        <w:t>.</w:t>
      </w:r>
      <w:r>
        <w:rPr>
          <w:rFonts w:hint="eastAsia" w:eastAsia="等线" w:cs="宋体"/>
          <w:b/>
          <w:color w:val="auto"/>
          <w:kern w:val="2"/>
          <w:sz w:val="24"/>
          <w:szCs w:val="24"/>
        </w:rPr>
        <w:t>7</w:t>
      </w:r>
      <w:r>
        <w:rPr>
          <w:rFonts w:eastAsia="等线" w:cs="宋体"/>
          <w:b/>
          <w:color w:val="auto"/>
          <w:kern w:val="2"/>
          <w:sz w:val="24"/>
          <w:szCs w:val="24"/>
        </w:rPr>
        <w:t>.</w:t>
      </w:r>
      <w:r>
        <w:rPr>
          <w:rFonts w:hint="eastAsia" w:eastAsia="等线" w:cs="宋体"/>
          <w:b/>
          <w:color w:val="auto"/>
          <w:kern w:val="2"/>
          <w:sz w:val="24"/>
          <w:szCs w:val="24"/>
        </w:rPr>
        <w:t xml:space="preserve">4 </w:t>
      </w:r>
      <w:r>
        <w:rPr>
          <w:rFonts w:eastAsia="等线" w:cs="宋体"/>
          <w:b/>
          <w:color w:val="auto"/>
          <w:kern w:val="2"/>
          <w:sz w:val="24"/>
          <w:szCs w:val="24"/>
        </w:rPr>
        <w:t xml:space="preserve"> </w:t>
      </w:r>
      <w:r>
        <w:rPr>
          <w:rFonts w:hint="eastAsia" w:ascii="宋体" w:hAnsi="宋体"/>
          <w:color w:val="auto"/>
          <w:sz w:val="24"/>
          <w:szCs w:val="24"/>
        </w:rPr>
        <w:t>收纳系统的部品的外部尺寸应结合钢结构住宅使用要求合理设计，并采用具有不同肌理、材质、颜色的面层材料满足个性化的需求。</w:t>
      </w:r>
    </w:p>
    <w:p>
      <w:pPr>
        <w:spacing w:line="360" w:lineRule="auto"/>
        <w:rPr>
          <w:rFonts w:ascii="宋体" w:hAnsi="宋体"/>
          <w:color w:val="auto"/>
          <w:sz w:val="24"/>
          <w:szCs w:val="24"/>
        </w:rPr>
      </w:pPr>
      <w:r>
        <w:rPr>
          <w:rFonts w:hint="eastAsia" w:eastAsia="等线" w:cs="宋体"/>
          <w:b/>
          <w:color w:val="auto"/>
          <w:kern w:val="2"/>
          <w:sz w:val="24"/>
          <w:szCs w:val="24"/>
        </w:rPr>
        <w:t>9.7.5</w:t>
      </w:r>
      <w:r>
        <w:rPr>
          <w:rFonts w:hint="eastAsia" w:ascii="宋体" w:hAnsi="宋体"/>
          <w:color w:val="auto"/>
          <w:sz w:val="24"/>
          <w:szCs w:val="24"/>
        </w:rPr>
        <w:t>收纳系统设计应与原材料的规格尺寸协调，提高材料利用率，降低材料损耗。</w:t>
      </w: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pStyle w:val="2"/>
        <w:jc w:val="center"/>
        <w:rPr>
          <w:rFonts w:ascii="宋体" w:hAnsi="宋体"/>
          <w:color w:val="auto"/>
          <w:sz w:val="32"/>
          <w:szCs w:val="32"/>
        </w:rPr>
      </w:pPr>
      <w:bookmarkStart w:id="198" w:name="_Toc21722"/>
      <w:bookmarkStart w:id="199" w:name="_Toc17361"/>
      <w:bookmarkStart w:id="200" w:name="_Toc103958774"/>
      <w:r>
        <w:rPr>
          <w:rFonts w:ascii="宋体" w:hAnsi="宋体"/>
          <w:color w:val="auto"/>
          <w:sz w:val="32"/>
          <w:szCs w:val="32"/>
        </w:rPr>
        <w:t>10</w:t>
      </w:r>
      <w:r>
        <w:rPr>
          <w:rFonts w:hint="eastAsia" w:ascii="宋体" w:hAnsi="宋体"/>
          <w:color w:val="auto"/>
          <w:sz w:val="32"/>
          <w:szCs w:val="32"/>
        </w:rPr>
        <w:t xml:space="preserve"> </w:t>
      </w:r>
      <w:r>
        <w:rPr>
          <w:rFonts w:hint="eastAsia" w:ascii="仿宋" w:hAnsi="仿宋" w:eastAsia="仿宋"/>
          <w:color w:val="auto"/>
          <w:sz w:val="32"/>
          <w:szCs w:val="32"/>
        </w:rPr>
        <w:t xml:space="preserve"> </w:t>
      </w:r>
      <w:r>
        <w:rPr>
          <w:rFonts w:hint="eastAsia" w:ascii="宋体" w:hAnsi="宋体"/>
          <w:color w:val="auto"/>
          <w:sz w:val="32"/>
          <w:szCs w:val="32"/>
        </w:rPr>
        <w:t>交付、使用与维护</w:t>
      </w:r>
      <w:bookmarkEnd w:id="198"/>
      <w:bookmarkEnd w:id="199"/>
      <w:r>
        <w:rPr>
          <w:rFonts w:hint="eastAsia" w:ascii="宋体" w:hAnsi="宋体"/>
          <w:color w:val="auto"/>
          <w:sz w:val="32"/>
          <w:szCs w:val="32"/>
        </w:rPr>
        <w:t>要求</w:t>
      </w:r>
      <w:bookmarkEnd w:id="200"/>
    </w:p>
    <w:p>
      <w:pPr>
        <w:pStyle w:val="3"/>
        <w:spacing w:line="360" w:lineRule="auto"/>
        <w:jc w:val="center"/>
        <w:rPr>
          <w:rFonts w:ascii="Times New Roman" w:hAnsi="Times New Roman" w:eastAsia="宋体" w:cs="Times New Roman"/>
          <w:color w:val="auto"/>
          <w:sz w:val="28"/>
          <w:szCs w:val="28"/>
        </w:rPr>
      </w:pPr>
      <w:bookmarkStart w:id="201" w:name="_Toc16905"/>
      <w:bookmarkStart w:id="202" w:name="_Toc10825"/>
      <w:bookmarkStart w:id="203" w:name="_Toc5462"/>
      <w:bookmarkStart w:id="204" w:name="_Toc103958775"/>
      <w:bookmarkStart w:id="205" w:name="_Toc76377090"/>
      <w:r>
        <w:rPr>
          <w:rFonts w:ascii="Times New Roman" w:hAnsi="Times New Roman" w:eastAsia="宋体" w:cs="Times New Roman"/>
          <w:color w:val="auto"/>
          <w:sz w:val="28"/>
          <w:szCs w:val="28"/>
        </w:rPr>
        <w:t>10</w:t>
      </w:r>
      <w:r>
        <w:rPr>
          <w:rFonts w:hint="eastAsia" w:ascii="Times New Roman" w:hAnsi="Times New Roman" w:eastAsia="宋体" w:cs="Times New Roman"/>
          <w:color w:val="auto"/>
          <w:sz w:val="28"/>
          <w:szCs w:val="28"/>
        </w:rPr>
        <w:t xml:space="preserve">.1 </w:t>
      </w:r>
      <w:bookmarkEnd w:id="201"/>
      <w:bookmarkEnd w:id="202"/>
      <w:bookmarkEnd w:id="203"/>
      <w:r>
        <w:rPr>
          <w:rFonts w:ascii="Times New Roman" w:hAnsi="Times New Roman" w:eastAsia="宋体" w:cs="Times New Roman"/>
          <w:color w:val="auto"/>
          <w:sz w:val="28"/>
          <w:szCs w:val="28"/>
        </w:rPr>
        <w:t xml:space="preserve"> </w:t>
      </w:r>
      <w:r>
        <w:rPr>
          <w:rFonts w:hint="eastAsia" w:ascii="Times New Roman" w:hAnsi="Times New Roman" w:eastAsia="宋体" w:cs="Times New Roman"/>
          <w:color w:val="auto"/>
          <w:sz w:val="28"/>
          <w:szCs w:val="28"/>
        </w:rPr>
        <w:t>交付</w:t>
      </w:r>
      <w:bookmarkEnd w:id="204"/>
      <w:bookmarkEnd w:id="205"/>
    </w:p>
    <w:p>
      <w:pPr>
        <w:spacing w:line="360" w:lineRule="auto"/>
        <w:rPr>
          <w:rFonts w:ascii="宋体" w:hAnsi="宋体" w:cs="宋体"/>
          <w:color w:val="auto"/>
          <w:sz w:val="24"/>
          <w:szCs w:val="24"/>
        </w:rPr>
      </w:pPr>
      <w:r>
        <w:rPr>
          <w:b/>
          <w:bCs/>
          <w:color w:val="auto"/>
          <w:kern w:val="2"/>
          <w:sz w:val="24"/>
          <w:szCs w:val="24"/>
        </w:rPr>
        <w:t>10</w:t>
      </w:r>
      <w:r>
        <w:rPr>
          <w:rFonts w:hint="eastAsia"/>
          <w:b/>
          <w:bCs/>
          <w:color w:val="auto"/>
          <w:kern w:val="2"/>
          <w:sz w:val="24"/>
          <w:szCs w:val="24"/>
        </w:rPr>
        <w:t>.1.1</w:t>
      </w:r>
      <w:r>
        <w:rPr>
          <w:rFonts w:hint="eastAsia" w:ascii="宋体" w:hAnsi="宋体" w:cs="宋体"/>
          <w:color w:val="auto"/>
        </w:rPr>
        <w:t xml:space="preserve">  </w:t>
      </w:r>
      <w:r>
        <w:rPr>
          <w:rFonts w:hint="eastAsia" w:ascii="宋体" w:hAnsi="宋体" w:cs="宋体"/>
          <w:color w:val="auto"/>
          <w:sz w:val="24"/>
          <w:szCs w:val="24"/>
        </w:rPr>
        <w:t>将钢结构住宅交付时，应按国家有关规定的要求提供具有法律效力的《钢结构住宅质量保证书》、《钢结构住宅性能说明书》及《钢结构住宅使用说明书》。</w:t>
      </w:r>
    </w:p>
    <w:p>
      <w:pPr>
        <w:spacing w:line="360" w:lineRule="auto"/>
        <w:rPr>
          <w:rFonts w:ascii="宋体" w:hAnsi="宋体" w:cs="宋体"/>
          <w:color w:val="auto"/>
          <w:sz w:val="24"/>
          <w:szCs w:val="24"/>
        </w:rPr>
      </w:pPr>
      <w:r>
        <w:rPr>
          <w:b/>
          <w:bCs/>
          <w:color w:val="auto"/>
          <w:kern w:val="2"/>
          <w:sz w:val="24"/>
          <w:szCs w:val="24"/>
        </w:rPr>
        <w:t>10</w:t>
      </w:r>
      <w:r>
        <w:rPr>
          <w:rFonts w:hint="eastAsia"/>
          <w:b/>
          <w:bCs/>
          <w:color w:val="auto"/>
          <w:kern w:val="2"/>
          <w:sz w:val="24"/>
          <w:szCs w:val="24"/>
        </w:rPr>
        <w:t>.1.2</w:t>
      </w:r>
      <w:r>
        <w:rPr>
          <w:rFonts w:hint="eastAsia" w:ascii="宋体" w:hAnsi="宋体" w:cs="宋体"/>
          <w:bCs/>
          <w:color w:val="auto"/>
        </w:rPr>
        <w:t xml:space="preserve">  </w:t>
      </w:r>
      <w:r>
        <w:rPr>
          <w:rFonts w:hint="eastAsia" w:ascii="宋体" w:hAnsi="宋体" w:cs="宋体"/>
          <w:color w:val="auto"/>
          <w:sz w:val="24"/>
          <w:szCs w:val="24"/>
        </w:rPr>
        <w:t>钢结构住宅的质量保证书应包括所有相关国家及地方规范、标准与规程的质量要求，并应注明下列内容：</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  结构体系、所有部品、部件、设备管线的使用寿命；</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  部品、部件、设备管线保修期限、保修内容与时间。</w:t>
      </w:r>
    </w:p>
    <w:p>
      <w:pPr>
        <w:spacing w:line="360" w:lineRule="auto"/>
        <w:rPr>
          <w:rFonts w:ascii="宋体" w:hAnsi="宋体" w:cs="宋体"/>
          <w:color w:val="auto"/>
          <w:sz w:val="24"/>
          <w:szCs w:val="24"/>
        </w:rPr>
      </w:pPr>
      <w:r>
        <w:rPr>
          <w:b/>
          <w:bCs/>
          <w:color w:val="auto"/>
          <w:kern w:val="2"/>
          <w:sz w:val="24"/>
          <w:szCs w:val="24"/>
        </w:rPr>
        <w:t>10</w:t>
      </w:r>
      <w:r>
        <w:rPr>
          <w:rFonts w:hint="eastAsia"/>
          <w:b/>
          <w:bCs/>
          <w:color w:val="auto"/>
          <w:kern w:val="2"/>
          <w:sz w:val="24"/>
          <w:szCs w:val="24"/>
        </w:rPr>
        <w:t xml:space="preserve">.1.3 </w:t>
      </w:r>
      <w:r>
        <w:rPr>
          <w:rFonts w:hint="eastAsia" w:ascii="宋体" w:hAnsi="宋体" w:cs="宋体"/>
          <w:color w:val="auto"/>
        </w:rPr>
        <w:t xml:space="preserve"> </w:t>
      </w:r>
      <w:r>
        <w:rPr>
          <w:rFonts w:hint="eastAsia" w:ascii="宋体" w:hAnsi="宋体" w:cs="宋体"/>
          <w:color w:val="auto"/>
          <w:sz w:val="24"/>
          <w:szCs w:val="24"/>
        </w:rPr>
        <w:t>钢结构住宅性能说明书应包括下列内容：</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  住宅类型、日照情况说明；建筑平面布局，基本概况（单元面积、建筑高度和地下室高度）；无障碍设计说明；单元公共空间设计情况；消防疏散情况（楼梯、电梯位置和数量，疏散口位置与间距）；</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 住宅套型概况，包括套内建筑面积、使用面积、层高；套内功能空间情况，包括主次卧室、起居室、餐厅、卫生间、厨房使用面积大小，净高；套内楼梯、门宽、栏杆情况；</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 住宅套型全生命周期适应性，包含套内可拆卸墙体位置，套内空间对应不同家庭人员情况可变性；</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4 住宅套型室内环境概况，包含采光、通风、隔音（楼板、外墙、内墙）、照度情况；</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5 热工性能设计说明，包含体形系数、外墙保温隔热性能、气密性等参数；设备设施设计概况，包含给排水系统、燃气系统、采暖通风与空调系统、电气系统等；</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6 住宅整体绿地率、人均绿地指标、停车位情况</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7住宅主体结构类型，地基基础形式，风压、雪压、抗震设防烈度、耐火等级；钢结构防火说明，防火保护层材料，厚度，耐火极限设计时间；</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8  住宅钢结构防腐设计参数，防盗、防滑、防跌、防坠落设计说明；</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9  住宅防水设计、部分材料的放射性参数，室内环境污染控制要求、围护结构性能参数；</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10  住宅设计使用年限、安全等级，钢结构构件设计使用年限，其他所有可更换部品、部件耐用指标、非承重部品部件设计使用年限，可维修部位维修周期和使用年限；</w:t>
      </w:r>
    </w:p>
    <w:p>
      <w:pPr>
        <w:spacing w:line="360" w:lineRule="auto"/>
        <w:ind w:firstLine="480" w:firstLineChars="200"/>
        <w:rPr>
          <w:rFonts w:hint="eastAsia" w:ascii="宋体" w:hAnsi="宋体" w:cs="黑体"/>
          <w:b/>
          <w:color w:val="auto"/>
        </w:rPr>
      </w:pPr>
      <w:r>
        <w:rPr>
          <w:rFonts w:hint="eastAsia" w:ascii="宋体" w:hAnsi="宋体" w:cs="宋体"/>
          <w:color w:val="auto"/>
          <w:sz w:val="24"/>
          <w:szCs w:val="24"/>
        </w:rPr>
        <w:t>11  住宅健康建筑认证情况、绿色建筑三星、二星情况、采用绿色技术情况说明、被动式低能耗建筑设计说明、可再生能源设计概况、采用节能设备及措施、建筑碳排放计算情况说明等；总图海绵城市设计说明。</w:t>
      </w:r>
    </w:p>
    <w:p>
      <w:pPr>
        <w:spacing w:line="360" w:lineRule="auto"/>
        <w:rPr>
          <w:rFonts w:ascii="宋体" w:hAnsi="宋体" w:cs="宋体"/>
          <w:color w:val="auto"/>
          <w:sz w:val="24"/>
          <w:szCs w:val="24"/>
        </w:rPr>
      </w:pPr>
      <w:r>
        <w:rPr>
          <w:rFonts w:hint="eastAsia" w:ascii="宋体" w:hAnsi="宋体" w:cs="黑体"/>
          <w:b/>
          <w:color w:val="auto"/>
        </w:rPr>
        <w:t>【条文说明】</w:t>
      </w:r>
      <w:r>
        <w:rPr>
          <w:rFonts w:hint="eastAsia" w:ascii="宋体" w:hAnsi="宋体" w:cs="黑体"/>
          <w:bCs/>
          <w:color w:val="auto"/>
        </w:rPr>
        <w:t>：</w:t>
      </w:r>
      <w:r>
        <w:rPr>
          <w:rFonts w:hint="eastAsia" w:ascii="宋体" w:hAnsi="宋体" w:cs="黑体"/>
          <w:bCs/>
          <w:color w:val="5B9BD5"/>
        </w:rPr>
        <w:t>钢结构住宅应满足适用性能、健康舒适性能、安全性能、耐久性能、绿色低碳要求。详细要求参考附录A钢结构住宅性能说明书。</w:t>
      </w:r>
    </w:p>
    <w:p>
      <w:pPr>
        <w:spacing w:line="360" w:lineRule="auto"/>
        <w:rPr>
          <w:rFonts w:ascii="宋体" w:hAnsi="宋体" w:cs="宋体"/>
          <w:color w:val="auto"/>
          <w:sz w:val="24"/>
          <w:szCs w:val="24"/>
        </w:rPr>
      </w:pPr>
      <w:r>
        <w:rPr>
          <w:b/>
          <w:bCs/>
          <w:color w:val="auto"/>
          <w:kern w:val="2"/>
          <w:sz w:val="24"/>
          <w:szCs w:val="24"/>
        </w:rPr>
        <w:t>10</w:t>
      </w:r>
      <w:r>
        <w:rPr>
          <w:rFonts w:hint="eastAsia"/>
          <w:b/>
          <w:bCs/>
          <w:color w:val="auto"/>
          <w:kern w:val="2"/>
          <w:sz w:val="24"/>
          <w:szCs w:val="24"/>
        </w:rPr>
        <w:t>.1.4</w:t>
      </w:r>
      <w:r>
        <w:rPr>
          <w:rFonts w:hint="eastAsia" w:ascii="宋体" w:hAnsi="宋体" w:cs="宋体"/>
          <w:bCs/>
          <w:color w:val="auto"/>
        </w:rPr>
        <w:t xml:space="preserve"> </w:t>
      </w:r>
      <w:r>
        <w:rPr>
          <w:rFonts w:hint="eastAsia" w:ascii="宋体" w:hAnsi="宋体" w:cs="宋体"/>
          <w:color w:val="auto"/>
          <w:sz w:val="24"/>
          <w:szCs w:val="24"/>
        </w:rPr>
        <w:t>《钢结构住宅使用说明书》除应符合现行国家相关规定外，尚应包含下列内容：</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  主体结构、外围护、内装修、设备管线等系统的使用、检查和维护要求；</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  允许与禁止业主或使用者自行更改的部分；</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  合法认定的生产厂、供应商提供的部品、部（构）件使用维护说明书；</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4  合法认定的生产厂、供应商提供的设备与管线使用维护说明书。</w:t>
      </w:r>
    </w:p>
    <w:p>
      <w:pPr>
        <w:spacing w:line="360" w:lineRule="auto"/>
        <w:rPr>
          <w:rFonts w:ascii="宋体" w:hAnsi="宋体" w:cs="宋体"/>
          <w:color w:val="auto"/>
        </w:rPr>
      </w:pPr>
      <w:r>
        <w:rPr>
          <w:b/>
          <w:bCs/>
          <w:color w:val="auto"/>
          <w:kern w:val="2"/>
          <w:sz w:val="24"/>
          <w:szCs w:val="24"/>
        </w:rPr>
        <w:t>10</w:t>
      </w:r>
      <w:r>
        <w:rPr>
          <w:rFonts w:hint="eastAsia"/>
          <w:b/>
          <w:bCs/>
          <w:color w:val="auto"/>
          <w:kern w:val="2"/>
          <w:sz w:val="24"/>
          <w:szCs w:val="24"/>
        </w:rPr>
        <w:t>.1.5</w:t>
      </w:r>
      <w:r>
        <w:rPr>
          <w:rFonts w:hint="eastAsia" w:ascii="宋体" w:hAnsi="宋体" w:cs="宋体"/>
          <w:bCs/>
          <w:color w:val="auto"/>
        </w:rPr>
        <w:t xml:space="preserve">  </w:t>
      </w:r>
      <w:r>
        <w:rPr>
          <w:rFonts w:hint="eastAsia" w:ascii="宋体" w:hAnsi="宋体" w:cs="宋体"/>
          <w:color w:val="auto"/>
          <w:sz w:val="24"/>
          <w:szCs w:val="24"/>
        </w:rPr>
        <w:t>建设单位宜向运维单位提供完整的建筑信息模型，运维单位宜采用信息化手段进行使用与维护。</w:t>
      </w:r>
    </w:p>
    <w:p>
      <w:pPr>
        <w:pStyle w:val="3"/>
        <w:spacing w:line="360" w:lineRule="auto"/>
        <w:jc w:val="center"/>
        <w:rPr>
          <w:rFonts w:ascii="Times New Roman" w:hAnsi="Times New Roman" w:eastAsia="宋体" w:cs="Times New Roman"/>
          <w:color w:val="auto"/>
          <w:sz w:val="28"/>
          <w:szCs w:val="28"/>
        </w:rPr>
      </w:pPr>
      <w:bookmarkStart w:id="206" w:name="_Toc76377091"/>
      <w:bookmarkStart w:id="207" w:name="_Toc13588"/>
      <w:bookmarkStart w:id="208" w:name="_Toc28759"/>
      <w:bookmarkStart w:id="209" w:name="_Toc28740"/>
      <w:bookmarkStart w:id="210" w:name="_Toc103958776"/>
      <w:r>
        <w:rPr>
          <w:rFonts w:ascii="Times New Roman" w:hAnsi="Times New Roman" w:eastAsia="宋体" w:cs="Times New Roman"/>
          <w:color w:val="auto"/>
          <w:sz w:val="28"/>
          <w:szCs w:val="28"/>
        </w:rPr>
        <w:t>10</w:t>
      </w:r>
      <w:r>
        <w:rPr>
          <w:rFonts w:hint="eastAsia" w:ascii="Times New Roman" w:hAnsi="Times New Roman" w:eastAsia="宋体" w:cs="Times New Roman"/>
          <w:color w:val="auto"/>
          <w:sz w:val="28"/>
          <w:szCs w:val="28"/>
        </w:rPr>
        <w:t>.2  使用</w:t>
      </w:r>
      <w:bookmarkEnd w:id="206"/>
      <w:bookmarkEnd w:id="207"/>
      <w:bookmarkEnd w:id="208"/>
      <w:bookmarkEnd w:id="209"/>
      <w:bookmarkEnd w:id="210"/>
    </w:p>
    <w:p>
      <w:pPr>
        <w:spacing w:line="360" w:lineRule="auto"/>
        <w:rPr>
          <w:rFonts w:ascii="宋体" w:hAnsi="宋体" w:cs="宋体"/>
          <w:color w:val="auto"/>
          <w:sz w:val="24"/>
          <w:szCs w:val="24"/>
        </w:rPr>
      </w:pPr>
      <w:r>
        <w:rPr>
          <w:b/>
          <w:bCs/>
          <w:color w:val="auto"/>
          <w:kern w:val="2"/>
          <w:sz w:val="24"/>
          <w:szCs w:val="24"/>
        </w:rPr>
        <w:t>10</w:t>
      </w:r>
      <w:r>
        <w:rPr>
          <w:rFonts w:hint="eastAsia"/>
          <w:b/>
          <w:bCs/>
          <w:color w:val="auto"/>
          <w:kern w:val="2"/>
          <w:sz w:val="24"/>
          <w:szCs w:val="24"/>
        </w:rPr>
        <w:t>.2.1</w:t>
      </w:r>
      <w:r>
        <w:rPr>
          <w:rFonts w:hint="eastAsia" w:ascii="宋体" w:hAnsi="宋体" w:cs="宋体"/>
          <w:color w:val="auto"/>
          <w:sz w:val="24"/>
          <w:szCs w:val="24"/>
        </w:rPr>
        <w:t xml:space="preserve">  业主或使用者不应改变《钢结构住宅性能说明书》中规定的使用条件、使用性质及使用环境。</w:t>
      </w:r>
    </w:p>
    <w:p>
      <w:pPr>
        <w:spacing w:line="360" w:lineRule="auto"/>
        <w:rPr>
          <w:rFonts w:ascii="宋体" w:hAnsi="宋体" w:cs="宋体"/>
          <w:color w:val="auto"/>
          <w:sz w:val="24"/>
          <w:szCs w:val="24"/>
        </w:rPr>
      </w:pPr>
      <w:r>
        <w:rPr>
          <w:b/>
          <w:bCs/>
          <w:color w:val="auto"/>
          <w:kern w:val="2"/>
          <w:sz w:val="24"/>
          <w:szCs w:val="24"/>
        </w:rPr>
        <w:t>10</w:t>
      </w:r>
      <w:r>
        <w:rPr>
          <w:rFonts w:hint="eastAsia"/>
          <w:b/>
          <w:bCs/>
          <w:color w:val="auto"/>
          <w:kern w:val="2"/>
          <w:sz w:val="24"/>
          <w:szCs w:val="24"/>
        </w:rPr>
        <w:t>.2.2</w:t>
      </w:r>
      <w:r>
        <w:rPr>
          <w:rFonts w:hint="eastAsia" w:ascii="宋体" w:hAnsi="宋体" w:cs="宋体"/>
          <w:color w:val="auto"/>
          <w:sz w:val="24"/>
          <w:szCs w:val="24"/>
        </w:rPr>
        <w:t xml:space="preserve">  业主或使用者应按《钢结构住宅使用说明书》中的规定进行使用。</w:t>
      </w:r>
    </w:p>
    <w:p>
      <w:pPr>
        <w:spacing w:line="360" w:lineRule="auto"/>
        <w:rPr>
          <w:rFonts w:ascii="宋体" w:hAnsi="宋体" w:cs="宋体"/>
          <w:color w:val="auto"/>
          <w:sz w:val="24"/>
          <w:szCs w:val="24"/>
        </w:rPr>
      </w:pPr>
      <w:r>
        <w:rPr>
          <w:b/>
          <w:bCs/>
          <w:color w:val="auto"/>
          <w:kern w:val="2"/>
          <w:sz w:val="24"/>
          <w:szCs w:val="24"/>
        </w:rPr>
        <w:t>10</w:t>
      </w:r>
      <w:r>
        <w:rPr>
          <w:rFonts w:hint="eastAsia"/>
          <w:b/>
          <w:bCs/>
          <w:color w:val="auto"/>
          <w:kern w:val="2"/>
          <w:sz w:val="24"/>
          <w:szCs w:val="24"/>
        </w:rPr>
        <w:t>.2.3</w:t>
      </w:r>
      <w:r>
        <w:rPr>
          <w:rFonts w:hint="eastAsia" w:ascii="宋体" w:hAnsi="宋体" w:cs="宋体"/>
          <w:color w:val="auto"/>
          <w:sz w:val="24"/>
          <w:szCs w:val="24"/>
        </w:rPr>
        <w:t xml:space="preserve">  使用过程中，严禁损伤主体结构、分户墙体和外围护系统。使用中如遇如下情况，应经原设计单位或者具有相应资质的设计单位提出技术方案，并按设计规定的技术要求进行改造及验收：</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  超过规定楼面装修荷载或使用荷载；</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  改变或损坏钢结构防火、防腐的相关保护及构造措施；</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  改变或损坏建筑节能保温、外墙、屋面及楼地面防水相关构造措施。</w:t>
      </w:r>
    </w:p>
    <w:p>
      <w:pPr>
        <w:spacing w:line="360" w:lineRule="auto"/>
        <w:rPr>
          <w:rFonts w:ascii="宋体" w:hAnsi="宋体" w:cs="宋体"/>
          <w:color w:val="auto"/>
          <w:sz w:val="24"/>
          <w:szCs w:val="24"/>
        </w:rPr>
      </w:pPr>
      <w:r>
        <w:rPr>
          <w:b/>
          <w:bCs/>
          <w:color w:val="auto"/>
          <w:kern w:val="2"/>
          <w:sz w:val="24"/>
          <w:szCs w:val="24"/>
        </w:rPr>
        <w:t>10</w:t>
      </w:r>
      <w:r>
        <w:rPr>
          <w:rFonts w:hint="eastAsia"/>
          <w:b/>
          <w:bCs/>
          <w:color w:val="auto"/>
          <w:kern w:val="2"/>
          <w:sz w:val="24"/>
          <w:szCs w:val="24"/>
        </w:rPr>
        <w:t xml:space="preserve">.2.4 </w:t>
      </w:r>
      <w:r>
        <w:rPr>
          <w:rFonts w:hint="eastAsia" w:ascii="宋体" w:hAnsi="宋体" w:cs="宋体"/>
          <w:color w:val="auto"/>
          <w:sz w:val="24"/>
          <w:szCs w:val="24"/>
        </w:rPr>
        <w:t xml:space="preserve"> 用户进行户内装修改造应经运维单位备案批准后进行，涉及结构安全的改造应经原设计单位或者具有相应资质的设计单位复核。</w:t>
      </w:r>
    </w:p>
    <w:p>
      <w:pPr>
        <w:spacing w:line="360" w:lineRule="auto"/>
        <w:rPr>
          <w:rFonts w:ascii="宋体" w:hAnsi="宋体" w:cs="宋体"/>
          <w:color w:val="auto"/>
          <w:sz w:val="24"/>
          <w:szCs w:val="24"/>
        </w:rPr>
      </w:pPr>
      <w:r>
        <w:rPr>
          <w:b/>
          <w:bCs/>
          <w:color w:val="auto"/>
          <w:kern w:val="2"/>
          <w:sz w:val="24"/>
          <w:szCs w:val="24"/>
        </w:rPr>
        <w:t>10</w:t>
      </w:r>
      <w:r>
        <w:rPr>
          <w:rFonts w:hint="eastAsia"/>
          <w:b/>
          <w:bCs/>
          <w:color w:val="auto"/>
          <w:kern w:val="2"/>
          <w:sz w:val="24"/>
          <w:szCs w:val="24"/>
        </w:rPr>
        <w:t>.2.5</w:t>
      </w:r>
      <w:r>
        <w:rPr>
          <w:rFonts w:hint="eastAsia" w:ascii="宋体" w:hAnsi="宋体" w:cs="宋体"/>
          <w:color w:val="auto"/>
          <w:sz w:val="24"/>
          <w:szCs w:val="24"/>
        </w:rPr>
        <w:t xml:space="preserve">  改动卫生间、厨房、阳台防水层时应经原设计单位或者具有相应资质的设计单位进行防水设计、由具有资质的施工单位进行施工，并应经闭水试验达到质量要求后验收。</w:t>
      </w:r>
    </w:p>
    <w:p>
      <w:pPr>
        <w:pStyle w:val="3"/>
        <w:spacing w:line="360" w:lineRule="auto"/>
        <w:jc w:val="center"/>
        <w:rPr>
          <w:rFonts w:ascii="Times New Roman" w:hAnsi="Times New Roman" w:eastAsia="宋体" w:cs="Times New Roman"/>
          <w:color w:val="auto"/>
          <w:sz w:val="28"/>
          <w:szCs w:val="28"/>
        </w:rPr>
      </w:pPr>
      <w:bookmarkStart w:id="211" w:name="_Toc27275"/>
      <w:bookmarkStart w:id="212" w:name="_Toc76377092"/>
      <w:bookmarkStart w:id="213" w:name="_Toc19088"/>
      <w:bookmarkStart w:id="214" w:name="_Toc103958777"/>
      <w:r>
        <w:rPr>
          <w:rFonts w:ascii="Times New Roman" w:hAnsi="Times New Roman" w:eastAsia="宋体" w:cs="Times New Roman"/>
          <w:color w:val="auto"/>
          <w:sz w:val="28"/>
          <w:szCs w:val="28"/>
        </w:rPr>
        <w:t>10</w:t>
      </w:r>
      <w:r>
        <w:rPr>
          <w:rFonts w:hint="eastAsia" w:ascii="Times New Roman" w:hAnsi="Times New Roman" w:eastAsia="宋体" w:cs="Times New Roman"/>
          <w:color w:val="auto"/>
          <w:sz w:val="28"/>
          <w:szCs w:val="28"/>
        </w:rPr>
        <w:t>.3  维护</w:t>
      </w:r>
      <w:bookmarkEnd w:id="211"/>
      <w:bookmarkEnd w:id="212"/>
      <w:bookmarkEnd w:id="213"/>
      <w:bookmarkEnd w:id="214"/>
    </w:p>
    <w:p>
      <w:pPr>
        <w:spacing w:line="360" w:lineRule="auto"/>
        <w:rPr>
          <w:rFonts w:ascii="宋体" w:hAnsi="宋体" w:cs="宋体"/>
          <w:color w:val="auto"/>
          <w:sz w:val="24"/>
          <w:szCs w:val="24"/>
        </w:rPr>
      </w:pPr>
      <w:r>
        <w:rPr>
          <w:b/>
          <w:bCs/>
          <w:color w:val="auto"/>
          <w:kern w:val="2"/>
          <w:sz w:val="24"/>
          <w:szCs w:val="24"/>
        </w:rPr>
        <w:t>10</w:t>
      </w:r>
      <w:r>
        <w:rPr>
          <w:rFonts w:hint="eastAsia"/>
          <w:b/>
          <w:bCs/>
          <w:color w:val="auto"/>
          <w:kern w:val="2"/>
          <w:sz w:val="24"/>
          <w:szCs w:val="24"/>
        </w:rPr>
        <w:t>.3.1</w:t>
      </w:r>
      <w:r>
        <w:rPr>
          <w:rFonts w:hint="eastAsia" w:ascii="宋体" w:hAnsi="宋体" w:cs="宋体"/>
          <w:color w:val="auto"/>
          <w:sz w:val="24"/>
          <w:szCs w:val="24"/>
        </w:rPr>
        <w:t xml:space="preserve">  建设单位移交相关资料后，运维单位应按《钢结构住宅质量保证书》、《钢结构住宅性能说明书》、《钢结构住宅使用说明书》及相关的法律法规要求制定物业管理规定，并宜制定《检查与维护计划》。</w:t>
      </w:r>
    </w:p>
    <w:p>
      <w:pPr>
        <w:spacing w:line="360" w:lineRule="auto"/>
        <w:rPr>
          <w:rFonts w:ascii="宋体" w:hAnsi="宋体" w:cs="宋体"/>
          <w:color w:val="auto"/>
          <w:sz w:val="24"/>
          <w:szCs w:val="24"/>
        </w:rPr>
      </w:pPr>
      <w:r>
        <w:rPr>
          <w:b/>
          <w:bCs/>
          <w:color w:val="auto"/>
          <w:kern w:val="2"/>
          <w:sz w:val="24"/>
          <w:szCs w:val="24"/>
        </w:rPr>
        <w:t>10</w:t>
      </w:r>
      <w:r>
        <w:rPr>
          <w:rFonts w:hint="eastAsia"/>
          <w:b/>
          <w:bCs/>
          <w:color w:val="auto"/>
          <w:kern w:val="2"/>
          <w:sz w:val="24"/>
          <w:szCs w:val="24"/>
        </w:rPr>
        <w:t>.3.2</w:t>
      </w:r>
      <w:r>
        <w:rPr>
          <w:rFonts w:hint="eastAsia" w:ascii="宋体" w:hAnsi="宋体" w:cs="宋体"/>
          <w:color w:val="auto"/>
          <w:sz w:val="24"/>
          <w:szCs w:val="24"/>
        </w:rPr>
        <w:t xml:space="preserve">  物业管理部门应根据《检查与维护计划》进行定期检查与维护。检查与维护的重点应包括主体结构及其防腐防火措施损伤、建筑渗水、防水层及保温层、密封材料破损与老化等。并应建立检查档案，可输入建筑信息模型。</w:t>
      </w:r>
    </w:p>
    <w:p>
      <w:pPr>
        <w:spacing w:line="360" w:lineRule="auto"/>
        <w:rPr>
          <w:rFonts w:ascii="宋体" w:hAnsi="宋体" w:cs="宋体"/>
          <w:color w:val="auto"/>
          <w:sz w:val="24"/>
          <w:szCs w:val="24"/>
        </w:rPr>
      </w:pPr>
      <w:r>
        <w:rPr>
          <w:b/>
          <w:bCs/>
          <w:color w:val="auto"/>
          <w:kern w:val="2"/>
          <w:sz w:val="24"/>
          <w:szCs w:val="24"/>
        </w:rPr>
        <w:t>10</w:t>
      </w:r>
      <w:r>
        <w:rPr>
          <w:rFonts w:hint="eastAsia"/>
          <w:b/>
          <w:bCs/>
          <w:color w:val="auto"/>
          <w:kern w:val="2"/>
          <w:sz w:val="24"/>
          <w:szCs w:val="24"/>
        </w:rPr>
        <w:t>.3.3</w:t>
      </w:r>
      <w:r>
        <w:rPr>
          <w:rFonts w:hint="eastAsia" w:ascii="宋体" w:hAnsi="宋体" w:cs="宋体"/>
          <w:color w:val="auto"/>
          <w:sz w:val="24"/>
          <w:szCs w:val="24"/>
        </w:rPr>
        <w:t xml:space="preserve">  应定期检查与维护户内各类设施、设备、管线、部品、部件的性能与安全，并应建立检查档案，输入建筑信息化模型。</w:t>
      </w:r>
    </w:p>
    <w:p>
      <w:pPr>
        <w:spacing w:line="360" w:lineRule="auto"/>
        <w:rPr>
          <w:rFonts w:ascii="宋体" w:hAnsi="宋体" w:cs="宋体"/>
          <w:color w:val="auto"/>
          <w:sz w:val="24"/>
          <w:szCs w:val="24"/>
        </w:rPr>
      </w:pPr>
      <w:r>
        <w:rPr>
          <w:b/>
          <w:bCs/>
          <w:color w:val="auto"/>
          <w:kern w:val="2"/>
          <w:sz w:val="24"/>
          <w:szCs w:val="24"/>
        </w:rPr>
        <w:t>10</w:t>
      </w:r>
      <w:r>
        <w:rPr>
          <w:rFonts w:hint="eastAsia"/>
          <w:b/>
          <w:bCs/>
          <w:color w:val="auto"/>
          <w:kern w:val="2"/>
          <w:sz w:val="24"/>
          <w:szCs w:val="24"/>
        </w:rPr>
        <w:t xml:space="preserve">.3.4 </w:t>
      </w:r>
      <w:r>
        <w:rPr>
          <w:rFonts w:hint="eastAsia" w:ascii="宋体" w:hAnsi="宋体" w:cs="宋体"/>
          <w:color w:val="auto"/>
          <w:sz w:val="24"/>
          <w:szCs w:val="24"/>
        </w:rPr>
        <w:t xml:space="preserve"> 应定期巡检和维护公共部位及其公共设施设备与管线，重点包括水泵房、消防泵房、电机房、空调机房、电梯、电梯机房、中控室、锅炉房、管道设备间、配电室等，并应建立检查档案，可输入建筑信息模型。</w:t>
      </w:r>
    </w:p>
    <w:p>
      <w:pPr>
        <w:spacing w:line="360" w:lineRule="auto"/>
        <w:rPr>
          <w:rFonts w:ascii="宋体" w:hAnsi="宋体" w:cs="宋体"/>
          <w:color w:val="auto"/>
          <w:sz w:val="24"/>
          <w:szCs w:val="24"/>
        </w:rPr>
      </w:pPr>
      <w:r>
        <w:rPr>
          <w:b/>
          <w:bCs/>
          <w:color w:val="auto"/>
          <w:kern w:val="2"/>
          <w:sz w:val="24"/>
          <w:szCs w:val="24"/>
        </w:rPr>
        <w:t>10</w:t>
      </w:r>
      <w:r>
        <w:rPr>
          <w:rFonts w:hint="eastAsia"/>
          <w:b/>
          <w:bCs/>
          <w:color w:val="auto"/>
          <w:kern w:val="2"/>
          <w:sz w:val="24"/>
          <w:szCs w:val="24"/>
        </w:rPr>
        <w:t>.3.5</w:t>
      </w:r>
      <w:r>
        <w:rPr>
          <w:rFonts w:hint="eastAsia" w:ascii="宋体" w:hAnsi="宋体" w:cs="宋体"/>
          <w:color w:val="auto"/>
          <w:sz w:val="24"/>
          <w:szCs w:val="24"/>
        </w:rPr>
        <w:t xml:space="preserve">  运维单位应委托具有资质的检测鉴定单位对超出设计使用年限的主体结构、部品、部件、设施设备、管线、保温隔热、防水、密封、装饰材料等进行检测与鉴定，并应根据检测鉴定结果进行后续使用与维护。同时应建立档案，输入建筑信息模型。</w:t>
      </w:r>
    </w:p>
    <w:p>
      <w:pPr>
        <w:spacing w:line="360" w:lineRule="auto"/>
        <w:rPr>
          <w:rFonts w:ascii="宋体" w:hAnsi="宋体" w:cs="宋体"/>
          <w:color w:val="auto"/>
          <w:sz w:val="24"/>
          <w:szCs w:val="24"/>
        </w:rPr>
      </w:pPr>
      <w:r>
        <w:rPr>
          <w:b/>
          <w:bCs/>
          <w:color w:val="auto"/>
          <w:kern w:val="2"/>
          <w:sz w:val="24"/>
          <w:szCs w:val="24"/>
        </w:rPr>
        <w:t>10</w:t>
      </w:r>
      <w:r>
        <w:rPr>
          <w:rFonts w:hint="eastAsia"/>
          <w:b/>
          <w:bCs/>
          <w:color w:val="auto"/>
          <w:kern w:val="2"/>
          <w:sz w:val="24"/>
          <w:szCs w:val="24"/>
        </w:rPr>
        <w:t>.3.6</w:t>
      </w:r>
      <w:r>
        <w:rPr>
          <w:rFonts w:hint="eastAsia" w:ascii="宋体" w:hAnsi="宋体" w:cs="宋体"/>
          <w:color w:val="auto"/>
          <w:sz w:val="24"/>
          <w:szCs w:val="24"/>
        </w:rPr>
        <w:t>当遇地震或火灾等灾害后,应对建筑受灾部位进行检测鉴定,并根据检测鉴定结论进行后续使用与维修。</w:t>
      </w: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pStyle w:val="2"/>
        <w:jc w:val="center"/>
        <w:rPr>
          <w:rFonts w:ascii="宋体" w:hAnsi="宋体"/>
          <w:color w:val="auto"/>
          <w:sz w:val="32"/>
          <w:szCs w:val="32"/>
        </w:rPr>
      </w:pPr>
      <w:bookmarkStart w:id="215" w:name="_Toc103958778"/>
      <w:r>
        <w:rPr>
          <w:rFonts w:ascii="宋体" w:hAnsi="宋体"/>
          <w:color w:val="auto"/>
          <w:sz w:val="32"/>
          <w:szCs w:val="32"/>
        </w:rPr>
        <w:t>标准用词说明</w:t>
      </w:r>
      <w:bookmarkEnd w:id="215"/>
    </w:p>
    <w:p>
      <w:pPr>
        <w:tabs>
          <w:tab w:val="left" w:pos="19"/>
        </w:tabs>
        <w:spacing w:line="360" w:lineRule="auto"/>
        <w:rPr>
          <w:rFonts w:ascii="宋体" w:hAnsi="宋体" w:cs="宋体"/>
          <w:color w:val="auto"/>
          <w:sz w:val="24"/>
          <w:szCs w:val="24"/>
        </w:rPr>
      </w:pPr>
      <w:r>
        <w:rPr>
          <w:b/>
          <w:bCs/>
          <w:color w:val="auto"/>
          <w:sz w:val="24"/>
          <w:szCs w:val="24"/>
        </w:rPr>
        <w:t>1</w:t>
      </w:r>
      <w:r>
        <w:rPr>
          <w:rFonts w:hint="eastAsia"/>
          <w:b/>
          <w:bCs/>
          <w:color w:val="auto"/>
          <w:sz w:val="24"/>
          <w:szCs w:val="24"/>
        </w:rPr>
        <w:t xml:space="preserve"> </w:t>
      </w:r>
      <w:r>
        <w:rPr>
          <w:rFonts w:hint="eastAsia"/>
          <w:sz w:val="24"/>
          <w:szCs w:val="24"/>
        </w:rPr>
        <w:t xml:space="preserve"> </w:t>
      </w:r>
      <w:r>
        <w:rPr>
          <w:rFonts w:hint="eastAsia" w:ascii="宋体" w:hAnsi="宋体" w:cs="宋体"/>
          <w:color w:val="auto"/>
          <w:sz w:val="24"/>
          <w:szCs w:val="24"/>
        </w:rPr>
        <w:t>为便于在执行本标准条文时区别对待，对要求严格程度不同的用词说明如下：</w:t>
      </w:r>
    </w:p>
    <w:p>
      <w:pPr>
        <w:tabs>
          <w:tab w:val="left" w:pos="19"/>
        </w:tabs>
        <w:spacing w:line="360" w:lineRule="auto"/>
        <w:ind w:firstLine="240" w:firstLineChars="100"/>
        <w:rPr>
          <w:rFonts w:ascii="宋体" w:hAnsi="宋体" w:cs="宋体"/>
          <w:color w:val="auto"/>
          <w:sz w:val="24"/>
          <w:szCs w:val="24"/>
        </w:rPr>
      </w:pPr>
      <w:r>
        <w:rPr>
          <w:rFonts w:hint="eastAsia" w:ascii="宋体" w:hAnsi="宋体" w:cs="宋体"/>
          <w:color w:val="auto"/>
          <w:sz w:val="24"/>
          <w:szCs w:val="24"/>
        </w:rPr>
        <w:t>1）表示很严格，非这样做不可的：</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 xml:space="preserve">     正面词采用“必须”，反面词采用“严禁”；</w:t>
      </w:r>
    </w:p>
    <w:p>
      <w:pPr>
        <w:tabs>
          <w:tab w:val="left" w:pos="19"/>
        </w:tabs>
        <w:spacing w:line="360" w:lineRule="auto"/>
        <w:ind w:firstLine="240" w:firstLineChars="100"/>
        <w:rPr>
          <w:rFonts w:ascii="宋体" w:hAnsi="宋体" w:cs="宋体"/>
          <w:color w:val="auto"/>
          <w:sz w:val="24"/>
          <w:szCs w:val="24"/>
        </w:rPr>
      </w:pPr>
      <w:r>
        <w:rPr>
          <w:rFonts w:hint="eastAsia" w:ascii="宋体" w:hAnsi="宋体" w:cs="宋体"/>
          <w:color w:val="auto"/>
          <w:sz w:val="24"/>
          <w:szCs w:val="24"/>
        </w:rPr>
        <w:t>2）表示严格，在正常情况下均应这样做的：</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 xml:space="preserve">     正面词采用“应”，反面词采用“不应”或“不得”；</w:t>
      </w:r>
    </w:p>
    <w:p>
      <w:pPr>
        <w:tabs>
          <w:tab w:val="left" w:pos="19"/>
        </w:tabs>
        <w:spacing w:line="360" w:lineRule="auto"/>
        <w:ind w:firstLine="240" w:firstLineChars="100"/>
        <w:rPr>
          <w:rFonts w:ascii="宋体" w:hAnsi="宋体" w:cs="宋体"/>
          <w:color w:val="auto"/>
          <w:sz w:val="24"/>
          <w:szCs w:val="24"/>
        </w:rPr>
      </w:pPr>
      <w:r>
        <w:rPr>
          <w:rFonts w:hint="eastAsia" w:ascii="宋体" w:hAnsi="宋体" w:cs="宋体"/>
          <w:color w:val="auto"/>
          <w:sz w:val="24"/>
          <w:szCs w:val="24"/>
        </w:rPr>
        <w:t>3）表示允许稍有选择，在条件许可时首先这样做的：</w:t>
      </w:r>
    </w:p>
    <w:p>
      <w:pPr>
        <w:tabs>
          <w:tab w:val="left" w:pos="19"/>
        </w:tabs>
        <w:spacing w:line="360" w:lineRule="auto"/>
        <w:ind w:firstLine="600"/>
        <w:rPr>
          <w:rFonts w:ascii="宋体" w:hAnsi="宋体" w:cs="宋体"/>
          <w:color w:val="auto"/>
          <w:sz w:val="24"/>
          <w:szCs w:val="24"/>
        </w:rPr>
      </w:pPr>
      <w:r>
        <w:rPr>
          <w:rFonts w:hint="eastAsia" w:ascii="宋体" w:hAnsi="宋体" w:cs="宋体"/>
          <w:color w:val="auto"/>
          <w:sz w:val="24"/>
          <w:szCs w:val="24"/>
        </w:rPr>
        <w:t>正面词采用“宜”，反面词采用“不宜”；</w:t>
      </w:r>
    </w:p>
    <w:p>
      <w:pPr>
        <w:tabs>
          <w:tab w:val="left" w:pos="19"/>
        </w:tabs>
        <w:spacing w:line="360" w:lineRule="auto"/>
        <w:ind w:firstLine="240" w:firstLineChars="100"/>
        <w:rPr>
          <w:rFonts w:ascii="宋体" w:hAnsi="宋体" w:cs="宋体"/>
          <w:color w:val="auto"/>
          <w:sz w:val="24"/>
          <w:szCs w:val="24"/>
        </w:rPr>
      </w:pPr>
      <w:r>
        <w:rPr>
          <w:rFonts w:hint="eastAsia" w:ascii="宋体" w:hAnsi="宋体" w:cs="宋体"/>
          <w:color w:val="auto"/>
          <w:sz w:val="24"/>
          <w:szCs w:val="24"/>
        </w:rPr>
        <w:t>4）表示有选择，在一定条件下可以这样做的，可采用“可”。</w:t>
      </w:r>
    </w:p>
    <w:p>
      <w:pPr>
        <w:tabs>
          <w:tab w:val="left" w:pos="19"/>
        </w:tabs>
        <w:spacing w:line="360" w:lineRule="auto"/>
        <w:rPr>
          <w:rFonts w:ascii="宋体" w:hAnsi="宋体" w:cs="宋体"/>
          <w:color w:val="auto"/>
          <w:sz w:val="24"/>
          <w:szCs w:val="24"/>
        </w:rPr>
      </w:pPr>
      <w:r>
        <w:rPr>
          <w:b/>
          <w:bCs/>
          <w:color w:val="auto"/>
          <w:sz w:val="24"/>
          <w:szCs w:val="24"/>
        </w:rPr>
        <w:t>2</w:t>
      </w:r>
      <w:r>
        <w:rPr>
          <w:rFonts w:hint="eastAsia" w:ascii="宋体" w:hAnsi="宋体" w:cs="宋体"/>
          <w:color w:val="auto"/>
          <w:sz w:val="24"/>
          <w:szCs w:val="24"/>
        </w:rPr>
        <w:t xml:space="preserve">  条文中指明应按其他有关标准执行的写法为：“应符合……的规定”或“应按……执行”。</w:t>
      </w: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pStyle w:val="2"/>
        <w:jc w:val="center"/>
        <w:rPr>
          <w:rFonts w:ascii="宋体" w:hAnsi="宋体"/>
          <w:color w:val="auto"/>
          <w:sz w:val="32"/>
          <w:szCs w:val="32"/>
        </w:rPr>
      </w:pPr>
      <w:bookmarkStart w:id="216" w:name="_Toc103958779"/>
      <w:r>
        <w:rPr>
          <w:rFonts w:hint="eastAsia" w:ascii="宋体" w:hAnsi="宋体"/>
          <w:color w:val="auto"/>
          <w:sz w:val="32"/>
          <w:szCs w:val="32"/>
        </w:rPr>
        <w:t>引用</w:t>
      </w:r>
      <w:r>
        <w:rPr>
          <w:rFonts w:ascii="宋体" w:hAnsi="宋体"/>
          <w:color w:val="auto"/>
          <w:sz w:val="32"/>
          <w:szCs w:val="32"/>
        </w:rPr>
        <w:t>标准</w:t>
      </w:r>
      <w:r>
        <w:rPr>
          <w:rFonts w:hint="eastAsia" w:ascii="宋体" w:hAnsi="宋体"/>
          <w:color w:val="auto"/>
          <w:sz w:val="32"/>
          <w:szCs w:val="32"/>
        </w:rPr>
        <w:t>名录</w:t>
      </w:r>
      <w:bookmarkEnd w:id="216"/>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《建筑设计防火规范》GB 50016</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《建筑结构荷载规范》G</w:t>
      </w:r>
      <w:r>
        <w:rPr>
          <w:rFonts w:ascii="宋体" w:hAnsi="宋体" w:cs="宋体"/>
          <w:color w:val="auto"/>
          <w:sz w:val="24"/>
          <w:szCs w:val="24"/>
        </w:rPr>
        <w:t>B 50009</w:t>
      </w:r>
    </w:p>
    <w:p>
      <w:pPr>
        <w:tabs>
          <w:tab w:val="left" w:pos="19"/>
        </w:tabs>
        <w:spacing w:line="360" w:lineRule="auto"/>
        <w:rPr>
          <w:rFonts w:ascii="宋体" w:hAnsi="宋体" w:cs="宋体"/>
          <w:color w:val="auto"/>
          <w:sz w:val="24"/>
          <w:szCs w:val="24"/>
        </w:rPr>
      </w:pPr>
      <w:r>
        <w:rPr>
          <w:rFonts w:ascii="宋体" w:hAnsi="宋体" w:cs="宋体"/>
          <w:color w:val="auto"/>
          <w:sz w:val="24"/>
          <w:szCs w:val="24"/>
        </w:rPr>
        <w:tab/>
      </w:r>
      <w:r>
        <w:rPr>
          <w:rFonts w:hint="eastAsia" w:ascii="宋体" w:hAnsi="宋体" w:cs="宋体"/>
          <w:color w:val="auto"/>
          <w:sz w:val="24"/>
          <w:szCs w:val="24"/>
        </w:rPr>
        <w:t>《建筑抗震设计规范》G</w:t>
      </w:r>
      <w:r>
        <w:rPr>
          <w:rFonts w:ascii="宋体" w:hAnsi="宋体" w:cs="宋体"/>
          <w:color w:val="auto"/>
          <w:sz w:val="24"/>
          <w:szCs w:val="24"/>
        </w:rPr>
        <w:t>B 50011</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《钢结构设计标准》GB 50017</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《冷弯薄壁型钢结构技术规范》G</w:t>
      </w:r>
      <w:r>
        <w:rPr>
          <w:rFonts w:ascii="宋体" w:hAnsi="宋体" w:cs="宋体"/>
          <w:color w:val="auto"/>
          <w:sz w:val="24"/>
          <w:szCs w:val="24"/>
        </w:rPr>
        <w:t>B 50018</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《城镇燃气设计规范》G</w:t>
      </w:r>
      <w:r>
        <w:rPr>
          <w:rFonts w:ascii="宋体" w:hAnsi="宋体" w:cs="宋体"/>
          <w:color w:val="auto"/>
          <w:sz w:val="24"/>
          <w:szCs w:val="24"/>
        </w:rPr>
        <w:t>B 50028</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《民用建筑热工设计规范》G</w:t>
      </w:r>
      <w:r>
        <w:rPr>
          <w:rFonts w:ascii="宋体" w:hAnsi="宋体" w:cs="宋体"/>
          <w:color w:val="auto"/>
          <w:sz w:val="24"/>
          <w:szCs w:val="24"/>
        </w:rPr>
        <w:t>B 50176</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《民用建筑隔声设计规范》G</w:t>
      </w:r>
      <w:r>
        <w:rPr>
          <w:rFonts w:ascii="宋体" w:hAnsi="宋体" w:cs="宋体"/>
          <w:color w:val="auto"/>
          <w:sz w:val="24"/>
          <w:szCs w:val="24"/>
        </w:rPr>
        <w:t>B 50118</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《建筑工程抗震设防分类标准》G</w:t>
      </w:r>
      <w:r>
        <w:rPr>
          <w:rFonts w:ascii="宋体" w:hAnsi="宋体" w:cs="宋体"/>
          <w:color w:val="auto"/>
          <w:sz w:val="24"/>
          <w:szCs w:val="24"/>
        </w:rPr>
        <w:t>B 50223</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《工程结构可靠性设计统一标准》G</w:t>
      </w:r>
      <w:r>
        <w:rPr>
          <w:rFonts w:ascii="宋体" w:hAnsi="宋体" w:cs="宋体"/>
          <w:color w:val="auto"/>
          <w:sz w:val="24"/>
          <w:szCs w:val="24"/>
        </w:rPr>
        <w:t>B 50153</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《钢结构焊接规范》G</w:t>
      </w:r>
      <w:r>
        <w:rPr>
          <w:rFonts w:ascii="宋体" w:hAnsi="宋体" w:cs="宋体"/>
          <w:color w:val="auto"/>
          <w:sz w:val="24"/>
          <w:szCs w:val="24"/>
        </w:rPr>
        <w:t>B 50661</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《钢管混凝土结构技术规范》G</w:t>
      </w:r>
      <w:r>
        <w:rPr>
          <w:rFonts w:ascii="宋体" w:hAnsi="宋体" w:cs="宋体"/>
          <w:color w:val="auto"/>
          <w:sz w:val="24"/>
          <w:szCs w:val="24"/>
        </w:rPr>
        <w:t>B 50936</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《建筑机电工程抗震设计规范》G</w:t>
      </w:r>
      <w:r>
        <w:rPr>
          <w:rFonts w:ascii="宋体" w:hAnsi="宋体" w:cs="宋体"/>
          <w:color w:val="auto"/>
          <w:sz w:val="24"/>
          <w:szCs w:val="24"/>
        </w:rPr>
        <w:t>B 50981</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《民用建筑工程室内环境污染控制标准》GB 50325</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《建筑模数协调标准》G</w:t>
      </w:r>
      <w:r>
        <w:rPr>
          <w:rFonts w:ascii="宋体" w:hAnsi="宋体" w:cs="宋体"/>
          <w:color w:val="auto"/>
          <w:sz w:val="24"/>
          <w:szCs w:val="24"/>
        </w:rPr>
        <w:t>B/T 50002</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《建筑门窗洞口尺寸协调要求》GB/T 30591</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《蒸压加气混凝土板》G</w:t>
      </w:r>
      <w:r>
        <w:rPr>
          <w:rFonts w:ascii="宋体" w:hAnsi="宋体" w:cs="宋体"/>
          <w:color w:val="auto"/>
          <w:sz w:val="24"/>
          <w:szCs w:val="24"/>
        </w:rPr>
        <w:t>B/T 15762</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《装配式钢结构住宅建筑技术标准》JGJ</w:t>
      </w:r>
      <w:r>
        <w:rPr>
          <w:rFonts w:ascii="宋体" w:hAnsi="宋体" w:cs="宋体"/>
          <w:color w:val="auto"/>
          <w:sz w:val="24"/>
          <w:szCs w:val="24"/>
        </w:rPr>
        <w:t>/</w:t>
      </w:r>
      <w:r>
        <w:rPr>
          <w:rFonts w:hint="eastAsia" w:ascii="宋体" w:hAnsi="宋体" w:cs="宋体"/>
          <w:color w:val="auto"/>
          <w:sz w:val="24"/>
          <w:szCs w:val="24"/>
        </w:rPr>
        <w:t>T</w:t>
      </w:r>
      <w:r>
        <w:rPr>
          <w:rFonts w:ascii="宋体" w:hAnsi="宋体" w:cs="宋体"/>
          <w:color w:val="auto"/>
          <w:sz w:val="24"/>
          <w:szCs w:val="24"/>
        </w:rPr>
        <w:t xml:space="preserve"> </w:t>
      </w:r>
      <w:r>
        <w:rPr>
          <w:rFonts w:hint="eastAsia" w:ascii="宋体" w:hAnsi="宋体" w:cs="宋体"/>
          <w:color w:val="auto"/>
          <w:sz w:val="24"/>
          <w:szCs w:val="24"/>
        </w:rPr>
        <w:t>469</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《轻型钢结构住宅技术规程》JGJ</w:t>
      </w:r>
      <w:r>
        <w:rPr>
          <w:rFonts w:ascii="宋体" w:hAnsi="宋体" w:cs="宋体"/>
          <w:color w:val="auto"/>
          <w:sz w:val="24"/>
          <w:szCs w:val="24"/>
        </w:rPr>
        <w:t xml:space="preserve"> </w:t>
      </w:r>
      <w:r>
        <w:rPr>
          <w:rFonts w:hint="eastAsia" w:ascii="宋体" w:hAnsi="宋体" w:cs="宋体"/>
          <w:color w:val="auto"/>
          <w:sz w:val="24"/>
          <w:szCs w:val="24"/>
        </w:rPr>
        <w:t>209</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《组合结构设计规范》JGJ</w:t>
      </w:r>
      <w:r>
        <w:rPr>
          <w:rFonts w:ascii="宋体" w:hAnsi="宋体" w:cs="宋体"/>
          <w:color w:val="auto"/>
          <w:sz w:val="24"/>
          <w:szCs w:val="24"/>
        </w:rPr>
        <w:t xml:space="preserve"> </w:t>
      </w:r>
      <w:r>
        <w:rPr>
          <w:rFonts w:hint="eastAsia" w:ascii="宋体" w:hAnsi="宋体" w:cs="宋体"/>
          <w:color w:val="auto"/>
          <w:sz w:val="24"/>
          <w:szCs w:val="24"/>
        </w:rPr>
        <w:t>138</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《严寒和寒冷地区居住建筑节能设计标准》J</w:t>
      </w:r>
      <w:r>
        <w:rPr>
          <w:rFonts w:ascii="宋体" w:hAnsi="宋体" w:cs="宋体"/>
          <w:color w:val="auto"/>
          <w:sz w:val="24"/>
          <w:szCs w:val="24"/>
        </w:rPr>
        <w:t>GJ 26</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《夏热冬冷地区居住建筑节能设计标准》J</w:t>
      </w:r>
      <w:r>
        <w:rPr>
          <w:rFonts w:ascii="宋体" w:hAnsi="宋体" w:cs="宋体"/>
          <w:color w:val="auto"/>
          <w:sz w:val="24"/>
          <w:szCs w:val="24"/>
        </w:rPr>
        <w:t>GJ 134</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《夏热冬暖地区居住建筑节能设计标准》J</w:t>
      </w:r>
      <w:r>
        <w:rPr>
          <w:rFonts w:ascii="宋体" w:hAnsi="宋体" w:cs="宋体"/>
          <w:color w:val="auto"/>
          <w:sz w:val="24"/>
          <w:szCs w:val="24"/>
        </w:rPr>
        <w:t>GJ 75</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《温和地区居住建筑节能设计标准》J</w:t>
      </w:r>
      <w:r>
        <w:rPr>
          <w:rFonts w:ascii="宋体" w:hAnsi="宋体" w:cs="宋体"/>
          <w:color w:val="auto"/>
          <w:sz w:val="24"/>
          <w:szCs w:val="24"/>
        </w:rPr>
        <w:t>GJ 475</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《钢结构高强度螺栓连接技术规程》J</w:t>
      </w:r>
      <w:r>
        <w:rPr>
          <w:rFonts w:ascii="宋体" w:hAnsi="宋体" w:cs="宋体"/>
          <w:color w:val="auto"/>
          <w:sz w:val="24"/>
          <w:szCs w:val="24"/>
        </w:rPr>
        <w:t>GJ 82</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《高层民用建筑钢结构技术规程》J</w:t>
      </w:r>
      <w:r>
        <w:rPr>
          <w:rFonts w:ascii="宋体" w:hAnsi="宋体" w:cs="宋体"/>
          <w:color w:val="auto"/>
          <w:sz w:val="24"/>
          <w:szCs w:val="24"/>
        </w:rPr>
        <w:t>GJ 99</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《玻璃幕墙工程技术规范》J</w:t>
      </w:r>
      <w:r>
        <w:rPr>
          <w:rFonts w:ascii="宋体" w:hAnsi="宋体" w:cs="宋体"/>
          <w:color w:val="auto"/>
          <w:sz w:val="24"/>
          <w:szCs w:val="24"/>
        </w:rPr>
        <w:t>GJ 102</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《塑料门窗工程技术规程》J</w:t>
      </w:r>
      <w:r>
        <w:rPr>
          <w:rFonts w:ascii="宋体" w:hAnsi="宋体" w:cs="宋体"/>
          <w:color w:val="auto"/>
          <w:sz w:val="24"/>
          <w:szCs w:val="24"/>
        </w:rPr>
        <w:t>GJ 103</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《金属与石材幕墙工程技术规范》J</w:t>
      </w:r>
      <w:r>
        <w:rPr>
          <w:rFonts w:ascii="宋体" w:hAnsi="宋体" w:cs="宋体"/>
          <w:color w:val="auto"/>
          <w:sz w:val="24"/>
          <w:szCs w:val="24"/>
        </w:rPr>
        <w:t>GJ 133</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《建筑轻质条板隔墙技术规程》J</w:t>
      </w:r>
      <w:r>
        <w:rPr>
          <w:rFonts w:ascii="宋体" w:hAnsi="宋体" w:cs="宋体"/>
          <w:color w:val="auto"/>
          <w:sz w:val="24"/>
          <w:szCs w:val="24"/>
        </w:rPr>
        <w:t>GJ 157</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《低层冷弯薄壁型钢房屋建筑技术规程》J</w:t>
      </w:r>
      <w:r>
        <w:rPr>
          <w:rFonts w:ascii="宋体" w:hAnsi="宋体" w:cs="宋体"/>
          <w:color w:val="auto"/>
          <w:sz w:val="24"/>
          <w:szCs w:val="24"/>
        </w:rPr>
        <w:t>GJ 227</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《建筑钢结构防腐蚀技术规程》J</w:t>
      </w:r>
      <w:r>
        <w:rPr>
          <w:rFonts w:ascii="宋体" w:hAnsi="宋体" w:cs="宋体"/>
          <w:color w:val="auto"/>
          <w:sz w:val="24"/>
          <w:szCs w:val="24"/>
        </w:rPr>
        <w:t>GJ/T 251</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《建筑消能减震技术规程》J</w:t>
      </w:r>
      <w:r>
        <w:rPr>
          <w:rFonts w:ascii="宋体" w:hAnsi="宋体" w:cs="宋体"/>
          <w:color w:val="auto"/>
          <w:sz w:val="24"/>
          <w:szCs w:val="24"/>
        </w:rPr>
        <w:t>GJ 297</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《人造板材幕墙工程技术规范》J</w:t>
      </w:r>
      <w:r>
        <w:rPr>
          <w:rFonts w:ascii="宋体" w:hAnsi="宋体" w:cs="宋体"/>
          <w:color w:val="auto"/>
          <w:sz w:val="24"/>
          <w:szCs w:val="24"/>
        </w:rPr>
        <w:t>GJ 336</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《钢板剪力墙技术规程》J</w:t>
      </w:r>
      <w:r>
        <w:rPr>
          <w:rFonts w:ascii="宋体" w:hAnsi="宋体" w:cs="宋体"/>
          <w:color w:val="auto"/>
          <w:sz w:val="24"/>
          <w:szCs w:val="24"/>
        </w:rPr>
        <w:t>GJ/T 380</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《高层钢结构住宅技术规程》D</w:t>
      </w:r>
      <w:r>
        <w:rPr>
          <w:rFonts w:ascii="宋体" w:hAnsi="宋体" w:cs="宋体"/>
          <w:color w:val="auto"/>
          <w:sz w:val="24"/>
          <w:szCs w:val="24"/>
        </w:rPr>
        <w:t>B34/T 5001</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《装配式整体卫生间应用技术标准》JGJ/T 467</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《工业化住宅尺寸协调标准》JGJ/T 445</w:t>
      </w:r>
    </w:p>
    <w:p>
      <w:pPr>
        <w:tabs>
          <w:tab w:val="left" w:pos="19"/>
        </w:tabs>
        <w:spacing w:line="360" w:lineRule="auto"/>
        <w:rPr>
          <w:rFonts w:ascii="宋体" w:hAnsi="宋体" w:cs="宋体"/>
          <w:color w:val="auto"/>
          <w:sz w:val="24"/>
          <w:szCs w:val="24"/>
        </w:rPr>
      </w:pPr>
      <w:r>
        <w:rPr>
          <w:rFonts w:hint="eastAsia" w:ascii="宋体" w:hAnsi="宋体" w:cs="宋体"/>
          <w:color w:val="auto"/>
          <w:sz w:val="24"/>
          <w:szCs w:val="24"/>
        </w:rPr>
        <w:t>《建筑用集成吊顶》JG/T 413</w:t>
      </w:r>
    </w:p>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《铝合金门窗》G</w:t>
      </w:r>
      <w:r>
        <w:rPr>
          <w:rFonts w:ascii="宋体" w:hAnsi="宋体" w:cs="宋体"/>
          <w:color w:val="auto"/>
          <w:sz w:val="24"/>
          <w:szCs w:val="24"/>
        </w:rPr>
        <w:t>B/T 8478</w:t>
      </w:r>
    </w:p>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《绿色建材评价 建筑密封胶》T</w:t>
      </w:r>
      <w:r>
        <w:rPr>
          <w:rFonts w:ascii="宋体" w:hAnsi="宋体" w:cs="宋体"/>
          <w:color w:val="auto"/>
          <w:sz w:val="24"/>
          <w:szCs w:val="24"/>
        </w:rPr>
        <w:t>/CECS 10029</w:t>
      </w:r>
    </w:p>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《建筑用节能门窗第一部分：铝木复合门窗》G</w:t>
      </w:r>
      <w:r>
        <w:rPr>
          <w:rFonts w:ascii="宋体" w:hAnsi="宋体" w:cs="宋体"/>
          <w:color w:val="auto"/>
          <w:sz w:val="24"/>
          <w:szCs w:val="24"/>
        </w:rPr>
        <w:t>B/T 29734.1</w:t>
      </w:r>
    </w:p>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《居住建筑智能门技术要求》T</w:t>
      </w:r>
      <w:r>
        <w:rPr>
          <w:rFonts w:ascii="宋体" w:hAnsi="宋体" w:cs="宋体"/>
          <w:color w:val="auto"/>
          <w:sz w:val="24"/>
          <w:szCs w:val="24"/>
        </w:rPr>
        <w:t>/CCMSA 11027</w:t>
      </w:r>
    </w:p>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《建筑用铜门》T</w:t>
      </w:r>
      <w:r>
        <w:rPr>
          <w:rFonts w:ascii="宋体" w:hAnsi="宋体" w:cs="宋体"/>
          <w:color w:val="auto"/>
          <w:sz w:val="24"/>
          <w:szCs w:val="24"/>
        </w:rPr>
        <w:t>/CCMSA 10512</w:t>
      </w:r>
    </w:p>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《平开户门》J</w:t>
      </w:r>
      <w:r>
        <w:rPr>
          <w:rFonts w:ascii="宋体" w:hAnsi="宋体" w:cs="宋体"/>
          <w:color w:val="auto"/>
          <w:sz w:val="24"/>
          <w:szCs w:val="24"/>
        </w:rPr>
        <w:t>G/T 453</w:t>
      </w:r>
    </w:p>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《建筑用钢门窗型材》J</w:t>
      </w:r>
      <w:r>
        <w:rPr>
          <w:rFonts w:ascii="宋体" w:hAnsi="宋体" w:cs="宋体"/>
          <w:color w:val="auto"/>
          <w:sz w:val="24"/>
          <w:szCs w:val="24"/>
        </w:rPr>
        <w:t>G/T 115</w:t>
      </w:r>
    </w:p>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《电热毛巾架》T</w:t>
      </w:r>
      <w:r>
        <w:rPr>
          <w:rFonts w:ascii="宋体" w:hAnsi="宋体" w:cs="宋体"/>
          <w:color w:val="auto"/>
          <w:sz w:val="24"/>
          <w:szCs w:val="24"/>
        </w:rPr>
        <w:t>/CCMSA 50104</w:t>
      </w:r>
    </w:p>
    <w:p>
      <w:pPr>
        <w:adjustRightInd w:val="0"/>
        <w:snapToGrid w:val="0"/>
        <w:spacing w:line="300" w:lineRule="auto"/>
        <w:rPr>
          <w:rFonts w:ascii="宋体" w:hAnsi="宋体" w:cs="宋体"/>
          <w:color w:val="auto"/>
          <w:sz w:val="24"/>
          <w:szCs w:val="24"/>
        </w:rPr>
      </w:pPr>
    </w:p>
    <w:p>
      <w:pPr>
        <w:tabs>
          <w:tab w:val="left" w:pos="19"/>
        </w:tabs>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spacing w:line="360" w:lineRule="auto"/>
        <w:rPr>
          <w:rFonts w:ascii="宋体" w:hAnsi="宋体" w:cs="宋体"/>
          <w:color w:val="auto"/>
          <w:sz w:val="24"/>
          <w:szCs w:val="24"/>
        </w:rPr>
      </w:pPr>
    </w:p>
    <w:p>
      <w:pPr>
        <w:pStyle w:val="2"/>
        <w:jc w:val="center"/>
        <w:rPr>
          <w:rFonts w:ascii="宋体" w:hAnsi="宋体"/>
          <w:color w:val="auto"/>
          <w:sz w:val="32"/>
          <w:szCs w:val="32"/>
        </w:rPr>
      </w:pPr>
      <w:bookmarkStart w:id="217" w:name="_Toc103958780"/>
      <w:r>
        <w:rPr>
          <w:rFonts w:hint="eastAsia" w:ascii="宋体" w:hAnsi="宋体"/>
          <w:color w:val="auto"/>
          <w:sz w:val="32"/>
          <w:szCs w:val="32"/>
        </w:rPr>
        <w:t>附录A</w:t>
      </w:r>
      <w:r>
        <w:rPr>
          <w:rFonts w:ascii="宋体" w:hAnsi="宋体"/>
          <w:color w:val="auto"/>
          <w:sz w:val="32"/>
          <w:szCs w:val="32"/>
        </w:rPr>
        <w:t xml:space="preserve"> </w:t>
      </w:r>
      <w:r>
        <w:rPr>
          <w:rFonts w:hint="eastAsia" w:ascii="宋体" w:hAnsi="宋体"/>
          <w:color w:val="auto"/>
          <w:sz w:val="32"/>
          <w:szCs w:val="32"/>
        </w:rPr>
        <w:t>钢结构住宅性能说明书</w:t>
      </w:r>
      <w:bookmarkEnd w:id="217"/>
    </w:p>
    <w:tbl>
      <w:tblPr>
        <w:tblStyle w:val="17"/>
        <w:tblW w:w="8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992"/>
        <w:gridCol w:w="284"/>
        <w:gridCol w:w="425"/>
        <w:gridCol w:w="850"/>
        <w:gridCol w:w="142"/>
        <w:gridCol w:w="3544"/>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宋体" w:hAnsi="宋体"/>
                <w:color w:val="auto"/>
                <w:sz w:val="28"/>
                <w:szCs w:val="28"/>
              </w:rPr>
            </w:pPr>
            <w:r>
              <w:rPr>
                <w:rFonts w:hint="eastAsia" w:ascii="宋体" w:hAnsi="宋体"/>
                <w:color w:val="auto"/>
                <w:sz w:val="24"/>
                <w:szCs w:val="24"/>
              </w:rPr>
              <w:t>项目</w:t>
            </w:r>
          </w:p>
        </w:tc>
        <w:tc>
          <w:tcPr>
            <w:tcW w:w="6237" w:type="dxa"/>
            <w:gridSpan w:val="6"/>
          </w:tcPr>
          <w:p>
            <w:pPr>
              <w:jc w:val="center"/>
              <w:rPr>
                <w:rFonts w:ascii="宋体" w:hAnsi="宋体"/>
                <w:color w:val="auto"/>
                <w:sz w:val="24"/>
                <w:szCs w:val="24"/>
              </w:rPr>
            </w:pPr>
            <w:r>
              <w:rPr>
                <w:rFonts w:hint="eastAsia" w:ascii="宋体" w:hAnsi="宋体"/>
                <w:color w:val="auto"/>
                <w:sz w:val="24"/>
                <w:szCs w:val="24"/>
              </w:rPr>
              <w:t>技术要求</w:t>
            </w:r>
          </w:p>
        </w:tc>
        <w:tc>
          <w:tcPr>
            <w:tcW w:w="850" w:type="dxa"/>
          </w:tcPr>
          <w:p>
            <w:pPr>
              <w:jc w:val="center"/>
              <w:rPr>
                <w:rFonts w:ascii="宋体" w:hAnsi="宋体"/>
                <w:color w:val="auto"/>
                <w:sz w:val="24"/>
                <w:szCs w:val="24"/>
              </w:rPr>
            </w:pPr>
            <w:r>
              <w:rPr>
                <w:rFonts w:hint="eastAsia" w:ascii="宋体" w:hAnsi="宋体"/>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restart"/>
          </w:tcPr>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r>
              <w:rPr>
                <w:rFonts w:hint="eastAsia" w:ascii="宋体" w:hAnsi="宋体"/>
                <w:color w:val="auto"/>
                <w:sz w:val="24"/>
                <w:szCs w:val="24"/>
              </w:rPr>
              <w:t>适用性能</w:t>
            </w:r>
          </w:p>
        </w:tc>
        <w:tc>
          <w:tcPr>
            <w:tcW w:w="992" w:type="dxa"/>
            <w:vMerge w:val="restart"/>
          </w:tcPr>
          <w:p>
            <w:pPr>
              <w:jc w:val="left"/>
              <w:rPr>
                <w:rFonts w:ascii="宋体" w:hAnsi="宋体"/>
                <w:color w:val="auto"/>
                <w:sz w:val="18"/>
                <w:szCs w:val="18"/>
              </w:rPr>
            </w:pPr>
          </w:p>
          <w:p>
            <w:pPr>
              <w:jc w:val="left"/>
              <w:rPr>
                <w:rFonts w:ascii="宋体" w:hAnsi="宋体"/>
                <w:color w:val="auto"/>
                <w:sz w:val="18"/>
                <w:szCs w:val="18"/>
              </w:rPr>
            </w:pPr>
            <w:r>
              <w:rPr>
                <w:rFonts w:hint="eastAsia" w:ascii="宋体" w:hAnsi="宋体"/>
                <w:color w:val="auto"/>
                <w:sz w:val="18"/>
                <w:szCs w:val="18"/>
              </w:rPr>
              <w:t>总图规划</w:t>
            </w:r>
          </w:p>
        </w:tc>
        <w:tc>
          <w:tcPr>
            <w:tcW w:w="709" w:type="dxa"/>
            <w:gridSpan w:val="2"/>
            <w:vMerge w:val="restart"/>
          </w:tcPr>
          <w:p>
            <w:pPr>
              <w:jc w:val="left"/>
              <w:rPr>
                <w:rFonts w:ascii="宋体" w:hAnsi="宋体"/>
                <w:color w:val="auto"/>
                <w:sz w:val="15"/>
                <w:szCs w:val="15"/>
              </w:rPr>
            </w:pPr>
            <w:r>
              <w:rPr>
                <w:rFonts w:hint="eastAsia" w:ascii="宋体" w:hAnsi="宋体"/>
                <w:color w:val="auto"/>
                <w:sz w:val="15"/>
                <w:szCs w:val="15"/>
              </w:rPr>
              <w:t>日照</w:t>
            </w:r>
          </w:p>
          <w:p>
            <w:pPr>
              <w:jc w:val="left"/>
              <w:rPr>
                <w:rFonts w:ascii="宋体" w:hAnsi="宋体"/>
                <w:color w:val="auto"/>
                <w:sz w:val="15"/>
                <w:szCs w:val="15"/>
              </w:rPr>
            </w:pPr>
            <w:r>
              <w:rPr>
                <w:rFonts w:hint="eastAsia" w:ascii="宋体" w:hAnsi="宋体"/>
                <w:color w:val="auto"/>
                <w:sz w:val="15"/>
                <w:szCs w:val="15"/>
              </w:rPr>
              <w:t>情况</w:t>
            </w:r>
          </w:p>
        </w:tc>
        <w:tc>
          <w:tcPr>
            <w:tcW w:w="992" w:type="dxa"/>
            <w:gridSpan w:val="2"/>
          </w:tcPr>
          <w:p>
            <w:pPr>
              <w:jc w:val="left"/>
              <w:rPr>
                <w:rFonts w:ascii="宋体" w:hAnsi="宋体"/>
                <w:color w:val="auto"/>
                <w:sz w:val="15"/>
                <w:szCs w:val="15"/>
              </w:rPr>
            </w:pPr>
            <w:r>
              <w:rPr>
                <w:rFonts w:hint="eastAsia" w:ascii="宋体" w:hAnsi="宋体"/>
                <w:color w:val="auto"/>
                <w:sz w:val="15"/>
                <w:szCs w:val="15"/>
              </w:rPr>
              <w:t>老年人住宅</w:t>
            </w:r>
          </w:p>
        </w:tc>
        <w:tc>
          <w:tcPr>
            <w:tcW w:w="3544" w:type="dxa"/>
          </w:tcPr>
          <w:p>
            <w:pPr>
              <w:jc w:val="left"/>
              <w:rPr>
                <w:rFonts w:ascii="宋体" w:hAnsi="宋体"/>
                <w:color w:val="auto"/>
                <w:sz w:val="15"/>
                <w:szCs w:val="15"/>
              </w:rPr>
            </w:pPr>
            <w:r>
              <w:rPr>
                <w:rFonts w:hint="eastAsia" w:ascii="宋体" w:hAnsi="宋体"/>
                <w:color w:val="auto"/>
                <w:sz w:val="15"/>
                <w:szCs w:val="15"/>
              </w:rPr>
              <w:t>冬至日日照时数_</w:t>
            </w:r>
            <w:r>
              <w:rPr>
                <w:rFonts w:ascii="宋体" w:hAnsi="宋体"/>
                <w:color w:val="auto"/>
                <w:sz w:val="15"/>
                <w:szCs w:val="15"/>
              </w:rPr>
              <w:t>_____h</w:t>
            </w:r>
          </w:p>
        </w:tc>
        <w:tc>
          <w:tcPr>
            <w:tcW w:w="850" w:type="dxa"/>
          </w:tcPr>
          <w:p>
            <w:pPr>
              <w:jc w:val="left"/>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413" w:type="dxa"/>
            <w:vMerge w:val="continue"/>
          </w:tcPr>
          <w:p>
            <w:pPr>
              <w:jc w:val="left"/>
              <w:rPr>
                <w:rFonts w:ascii="宋体" w:hAnsi="宋体"/>
                <w:color w:val="auto"/>
                <w:sz w:val="24"/>
                <w:szCs w:val="24"/>
              </w:rPr>
            </w:pPr>
          </w:p>
        </w:tc>
        <w:tc>
          <w:tcPr>
            <w:tcW w:w="992" w:type="dxa"/>
            <w:vMerge w:val="continue"/>
          </w:tcPr>
          <w:p>
            <w:pPr>
              <w:jc w:val="left"/>
              <w:rPr>
                <w:rFonts w:ascii="宋体" w:hAnsi="宋体"/>
                <w:color w:val="auto"/>
                <w:sz w:val="18"/>
                <w:szCs w:val="18"/>
              </w:rPr>
            </w:pPr>
          </w:p>
        </w:tc>
        <w:tc>
          <w:tcPr>
            <w:tcW w:w="709" w:type="dxa"/>
            <w:gridSpan w:val="2"/>
            <w:vMerge w:val="continue"/>
          </w:tcPr>
          <w:p>
            <w:pPr>
              <w:jc w:val="left"/>
              <w:rPr>
                <w:rFonts w:ascii="宋体" w:hAnsi="宋体"/>
                <w:color w:val="auto"/>
                <w:sz w:val="15"/>
                <w:szCs w:val="15"/>
              </w:rPr>
            </w:pPr>
          </w:p>
        </w:tc>
        <w:tc>
          <w:tcPr>
            <w:tcW w:w="992" w:type="dxa"/>
            <w:gridSpan w:val="2"/>
          </w:tcPr>
          <w:p>
            <w:pPr>
              <w:jc w:val="left"/>
              <w:rPr>
                <w:rFonts w:ascii="宋体" w:hAnsi="宋体"/>
                <w:color w:val="auto"/>
                <w:sz w:val="15"/>
                <w:szCs w:val="15"/>
              </w:rPr>
            </w:pPr>
            <w:r>
              <w:rPr>
                <w:rFonts w:hint="eastAsia" w:ascii="宋体" w:hAnsi="宋体"/>
                <w:color w:val="auto"/>
                <w:sz w:val="15"/>
                <w:szCs w:val="15"/>
              </w:rPr>
              <w:t>普通住宅</w:t>
            </w:r>
          </w:p>
        </w:tc>
        <w:tc>
          <w:tcPr>
            <w:tcW w:w="3544" w:type="dxa"/>
          </w:tcPr>
          <w:p>
            <w:pPr>
              <w:jc w:val="left"/>
              <w:rPr>
                <w:rFonts w:ascii="宋体" w:hAnsi="宋体"/>
                <w:color w:val="auto"/>
                <w:sz w:val="15"/>
                <w:szCs w:val="15"/>
              </w:rPr>
            </w:pPr>
            <w:r>
              <w:rPr>
                <w:rFonts w:hint="eastAsia" w:ascii="宋体" w:hAnsi="宋体"/>
                <w:color w:val="auto"/>
                <w:sz w:val="15"/>
                <w:szCs w:val="15"/>
              </w:rPr>
              <w:t>1大寒日日照时数_</w:t>
            </w:r>
            <w:r>
              <w:rPr>
                <w:rFonts w:ascii="宋体" w:hAnsi="宋体"/>
                <w:color w:val="auto"/>
                <w:sz w:val="15"/>
                <w:szCs w:val="15"/>
              </w:rPr>
              <w:t>_____h</w:t>
            </w:r>
          </w:p>
          <w:p>
            <w:pPr>
              <w:jc w:val="left"/>
              <w:rPr>
                <w:rFonts w:ascii="宋体" w:hAnsi="宋体"/>
                <w:color w:val="auto"/>
                <w:sz w:val="15"/>
                <w:szCs w:val="15"/>
              </w:rPr>
            </w:pPr>
            <w:r>
              <w:rPr>
                <w:rFonts w:hint="eastAsia" w:ascii="宋体" w:hAnsi="宋体"/>
                <w:color w:val="auto"/>
                <w:sz w:val="15"/>
                <w:szCs w:val="15"/>
              </w:rPr>
              <w:t>2冬至日日照时数_</w:t>
            </w:r>
            <w:r>
              <w:rPr>
                <w:rFonts w:ascii="宋体" w:hAnsi="宋体"/>
                <w:color w:val="auto"/>
                <w:sz w:val="15"/>
                <w:szCs w:val="15"/>
              </w:rPr>
              <w:t>_____h</w:t>
            </w:r>
          </w:p>
        </w:tc>
        <w:tc>
          <w:tcPr>
            <w:tcW w:w="850" w:type="dxa"/>
          </w:tcPr>
          <w:p>
            <w:pPr>
              <w:jc w:val="left"/>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宋体" w:hAnsi="宋体"/>
                <w:color w:val="auto"/>
                <w:sz w:val="24"/>
                <w:szCs w:val="24"/>
              </w:rPr>
            </w:pPr>
          </w:p>
        </w:tc>
        <w:tc>
          <w:tcPr>
            <w:tcW w:w="992" w:type="dxa"/>
            <w:vMerge w:val="restart"/>
          </w:tcPr>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center"/>
              <w:rPr>
                <w:rFonts w:ascii="宋体" w:hAnsi="宋体"/>
                <w:color w:val="auto"/>
                <w:sz w:val="18"/>
                <w:szCs w:val="18"/>
              </w:rPr>
            </w:pPr>
            <w:r>
              <w:rPr>
                <w:rFonts w:hint="eastAsia" w:ascii="宋体" w:hAnsi="宋体"/>
                <w:color w:val="auto"/>
                <w:sz w:val="18"/>
                <w:szCs w:val="18"/>
              </w:rPr>
              <w:t>建筑单体</w:t>
            </w:r>
          </w:p>
        </w:tc>
        <w:tc>
          <w:tcPr>
            <w:tcW w:w="709" w:type="dxa"/>
            <w:gridSpan w:val="2"/>
          </w:tcPr>
          <w:p>
            <w:pPr>
              <w:spacing w:line="100" w:lineRule="atLeast"/>
              <w:jc w:val="left"/>
              <w:rPr>
                <w:rFonts w:ascii="宋体" w:hAnsi="宋体"/>
                <w:color w:val="auto"/>
                <w:sz w:val="15"/>
                <w:szCs w:val="15"/>
              </w:rPr>
            </w:pPr>
            <w:r>
              <w:rPr>
                <w:rFonts w:hint="eastAsia" w:ascii="宋体" w:hAnsi="宋体"/>
                <w:color w:val="auto"/>
                <w:sz w:val="15"/>
                <w:szCs w:val="15"/>
              </w:rPr>
              <w:t>基本</w:t>
            </w:r>
          </w:p>
          <w:p>
            <w:pPr>
              <w:spacing w:line="100" w:lineRule="atLeast"/>
              <w:jc w:val="left"/>
              <w:rPr>
                <w:rFonts w:ascii="宋体" w:hAnsi="宋体"/>
                <w:color w:val="auto"/>
                <w:sz w:val="15"/>
                <w:szCs w:val="15"/>
              </w:rPr>
            </w:pPr>
            <w:r>
              <w:rPr>
                <w:rFonts w:hint="eastAsia" w:ascii="宋体" w:hAnsi="宋体"/>
                <w:color w:val="auto"/>
                <w:sz w:val="15"/>
                <w:szCs w:val="15"/>
              </w:rPr>
              <w:t>概况</w:t>
            </w:r>
          </w:p>
        </w:tc>
        <w:tc>
          <w:tcPr>
            <w:tcW w:w="4536" w:type="dxa"/>
            <w:gridSpan w:val="3"/>
          </w:tcPr>
          <w:p>
            <w:pPr>
              <w:spacing w:line="100" w:lineRule="atLeast"/>
              <w:jc w:val="left"/>
              <w:rPr>
                <w:rFonts w:ascii="宋体" w:hAnsi="宋体"/>
                <w:color w:val="auto"/>
                <w:sz w:val="15"/>
                <w:szCs w:val="15"/>
              </w:rPr>
            </w:pPr>
            <w:r>
              <w:rPr>
                <w:rFonts w:hint="eastAsia" w:ascii="宋体" w:hAnsi="宋体"/>
                <w:color w:val="auto"/>
                <w:sz w:val="15"/>
                <w:szCs w:val="15"/>
              </w:rPr>
              <w:t>1单元面积_</w:t>
            </w:r>
            <w:r>
              <w:rPr>
                <w:rFonts w:ascii="宋体" w:hAnsi="宋体"/>
                <w:color w:val="auto"/>
                <w:sz w:val="15"/>
                <w:szCs w:val="15"/>
              </w:rPr>
              <w:t>_____</w:t>
            </w:r>
            <w:r>
              <w:rPr>
                <w:rFonts w:hint="eastAsia" w:ascii="宋体" w:hAnsi="宋体"/>
                <w:color w:val="auto"/>
                <w:sz w:val="15"/>
                <w:szCs w:val="15"/>
              </w:rPr>
              <w:t>㎡</w:t>
            </w:r>
            <w:r>
              <w:rPr>
                <w:rFonts w:ascii="宋体" w:hAnsi="宋体"/>
                <w:color w:val="auto"/>
                <w:sz w:val="15"/>
                <w:szCs w:val="15"/>
              </w:rPr>
              <w:t xml:space="preserve"> </w:t>
            </w:r>
          </w:p>
          <w:p>
            <w:pPr>
              <w:spacing w:line="100" w:lineRule="atLeast"/>
              <w:jc w:val="left"/>
              <w:rPr>
                <w:rFonts w:ascii="宋体" w:hAnsi="宋体"/>
                <w:color w:val="auto"/>
                <w:sz w:val="15"/>
                <w:szCs w:val="15"/>
              </w:rPr>
            </w:pPr>
            <w:r>
              <w:rPr>
                <w:rFonts w:ascii="宋体" w:hAnsi="宋体"/>
                <w:color w:val="auto"/>
                <w:sz w:val="15"/>
                <w:szCs w:val="15"/>
              </w:rPr>
              <w:t>2</w:t>
            </w:r>
            <w:r>
              <w:rPr>
                <w:rFonts w:hint="eastAsia" w:ascii="宋体" w:hAnsi="宋体"/>
                <w:color w:val="auto"/>
                <w:sz w:val="15"/>
                <w:szCs w:val="15"/>
              </w:rPr>
              <w:t>建筑高度_</w:t>
            </w:r>
            <w:r>
              <w:rPr>
                <w:rFonts w:ascii="宋体" w:hAnsi="宋体"/>
                <w:color w:val="auto"/>
                <w:sz w:val="15"/>
                <w:szCs w:val="15"/>
              </w:rPr>
              <w:t>___</w:t>
            </w:r>
            <w:r>
              <w:rPr>
                <w:rFonts w:hint="eastAsia" w:ascii="宋体" w:hAnsi="宋体"/>
                <w:color w:val="auto"/>
                <w:sz w:val="15"/>
                <w:szCs w:val="15"/>
              </w:rPr>
              <w:t>3地下室高度_</w:t>
            </w:r>
            <w:r>
              <w:rPr>
                <w:rFonts w:ascii="宋体" w:hAnsi="宋体"/>
                <w:color w:val="auto"/>
                <w:sz w:val="15"/>
                <w:szCs w:val="15"/>
              </w:rPr>
              <w:t>___</w:t>
            </w:r>
          </w:p>
        </w:tc>
        <w:tc>
          <w:tcPr>
            <w:tcW w:w="850" w:type="dxa"/>
          </w:tcPr>
          <w:p>
            <w:pPr>
              <w:jc w:val="left"/>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宋体" w:hAnsi="宋体"/>
                <w:color w:val="auto"/>
                <w:sz w:val="24"/>
                <w:szCs w:val="24"/>
              </w:rPr>
            </w:pPr>
          </w:p>
        </w:tc>
        <w:tc>
          <w:tcPr>
            <w:tcW w:w="992" w:type="dxa"/>
            <w:vMerge w:val="continue"/>
          </w:tcPr>
          <w:p>
            <w:pPr>
              <w:jc w:val="left"/>
              <w:rPr>
                <w:rFonts w:ascii="宋体" w:hAnsi="宋体"/>
                <w:color w:val="auto"/>
                <w:sz w:val="18"/>
                <w:szCs w:val="18"/>
              </w:rPr>
            </w:pPr>
          </w:p>
        </w:tc>
        <w:tc>
          <w:tcPr>
            <w:tcW w:w="709" w:type="dxa"/>
            <w:gridSpan w:val="2"/>
          </w:tcPr>
          <w:p>
            <w:pPr>
              <w:jc w:val="left"/>
              <w:rPr>
                <w:rFonts w:ascii="宋体" w:hAnsi="宋体"/>
                <w:color w:val="auto"/>
                <w:sz w:val="15"/>
                <w:szCs w:val="15"/>
              </w:rPr>
            </w:pPr>
            <w:r>
              <w:rPr>
                <w:rFonts w:hint="eastAsia" w:ascii="宋体" w:hAnsi="宋体"/>
                <w:color w:val="auto"/>
                <w:sz w:val="15"/>
                <w:szCs w:val="15"/>
              </w:rPr>
              <w:t>无障碍要求</w:t>
            </w:r>
          </w:p>
        </w:tc>
        <w:tc>
          <w:tcPr>
            <w:tcW w:w="4536" w:type="dxa"/>
            <w:gridSpan w:val="3"/>
          </w:tcPr>
          <w:p>
            <w:pPr>
              <w:jc w:val="left"/>
              <w:rPr>
                <w:rFonts w:ascii="宋体" w:hAnsi="宋体"/>
                <w:color w:val="auto"/>
                <w:sz w:val="15"/>
                <w:szCs w:val="15"/>
              </w:rPr>
            </w:pPr>
            <w:r>
              <w:rPr>
                <w:rFonts w:hint="eastAsia" w:ascii="宋体" w:hAnsi="宋体"/>
                <w:color w:val="auto"/>
                <w:sz w:val="15"/>
                <w:szCs w:val="15"/>
              </w:rPr>
              <w:t>1无障碍住房_</w:t>
            </w:r>
            <w:r>
              <w:rPr>
                <w:rFonts w:ascii="宋体" w:hAnsi="宋体"/>
                <w:color w:val="auto"/>
                <w:sz w:val="15"/>
                <w:szCs w:val="15"/>
              </w:rPr>
              <w:t>_____</w:t>
            </w:r>
            <w:r>
              <w:rPr>
                <w:rFonts w:hint="eastAsia" w:ascii="宋体" w:hAnsi="宋体"/>
                <w:color w:val="auto"/>
                <w:sz w:val="15"/>
                <w:szCs w:val="15"/>
              </w:rPr>
              <w:t>套</w:t>
            </w:r>
          </w:p>
          <w:p>
            <w:pPr>
              <w:jc w:val="left"/>
              <w:rPr>
                <w:rFonts w:ascii="宋体" w:hAnsi="宋体"/>
                <w:color w:val="auto"/>
                <w:sz w:val="15"/>
                <w:szCs w:val="15"/>
              </w:rPr>
            </w:pPr>
            <w:r>
              <w:rPr>
                <w:rFonts w:hint="eastAsia" w:ascii="宋体" w:hAnsi="宋体"/>
                <w:color w:val="auto"/>
                <w:sz w:val="15"/>
                <w:szCs w:val="15"/>
              </w:rPr>
              <w:t>2建筑入口平台宽度_</w:t>
            </w:r>
            <w:r>
              <w:rPr>
                <w:rFonts w:ascii="宋体" w:hAnsi="宋体"/>
                <w:color w:val="auto"/>
                <w:sz w:val="15"/>
                <w:szCs w:val="15"/>
              </w:rPr>
              <w:t>____</w:t>
            </w:r>
            <w:r>
              <w:rPr>
                <w:rFonts w:hint="eastAsia" w:ascii="宋体" w:hAnsi="宋体"/>
                <w:color w:val="auto"/>
                <w:sz w:val="15"/>
                <w:szCs w:val="15"/>
              </w:rPr>
              <w:t>，侯梯厅宽度_</w:t>
            </w:r>
            <w:r>
              <w:rPr>
                <w:rFonts w:ascii="宋体" w:hAnsi="宋体"/>
                <w:color w:val="auto"/>
                <w:sz w:val="15"/>
                <w:szCs w:val="15"/>
              </w:rPr>
              <w:t>___</w:t>
            </w:r>
          </w:p>
          <w:p>
            <w:pPr>
              <w:jc w:val="left"/>
              <w:rPr>
                <w:rFonts w:ascii="宋体" w:hAnsi="宋体"/>
                <w:color w:val="auto"/>
                <w:sz w:val="15"/>
                <w:szCs w:val="15"/>
              </w:rPr>
            </w:pPr>
            <w:r>
              <w:rPr>
                <w:rFonts w:hint="eastAsia" w:ascii="宋体" w:hAnsi="宋体"/>
                <w:color w:val="auto"/>
                <w:sz w:val="15"/>
                <w:szCs w:val="15"/>
              </w:rPr>
              <w:t>3入口坡道坡度_</w:t>
            </w:r>
            <w:r>
              <w:rPr>
                <w:rFonts w:ascii="宋体" w:hAnsi="宋体"/>
                <w:color w:val="auto"/>
                <w:sz w:val="15"/>
                <w:szCs w:val="15"/>
              </w:rPr>
              <w:t>___,</w:t>
            </w:r>
            <w:r>
              <w:rPr>
                <w:rFonts w:hint="eastAsia" w:ascii="宋体" w:hAnsi="宋体"/>
                <w:color w:val="auto"/>
                <w:sz w:val="15"/>
                <w:szCs w:val="15"/>
              </w:rPr>
              <w:t>供轮椅通行的通道净宽_</w:t>
            </w:r>
            <w:r>
              <w:rPr>
                <w:rFonts w:ascii="宋体" w:hAnsi="宋体"/>
                <w:color w:val="auto"/>
                <w:sz w:val="15"/>
                <w:szCs w:val="15"/>
              </w:rPr>
              <w:t>____</w:t>
            </w:r>
          </w:p>
        </w:tc>
        <w:tc>
          <w:tcPr>
            <w:tcW w:w="850" w:type="dxa"/>
          </w:tcPr>
          <w:p>
            <w:pPr>
              <w:jc w:val="left"/>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413" w:type="dxa"/>
            <w:vMerge w:val="continue"/>
          </w:tcPr>
          <w:p>
            <w:pPr>
              <w:jc w:val="left"/>
              <w:rPr>
                <w:rFonts w:ascii="宋体" w:hAnsi="宋体"/>
                <w:color w:val="auto"/>
                <w:sz w:val="24"/>
                <w:szCs w:val="24"/>
              </w:rPr>
            </w:pPr>
          </w:p>
        </w:tc>
        <w:tc>
          <w:tcPr>
            <w:tcW w:w="992" w:type="dxa"/>
            <w:vMerge w:val="continue"/>
          </w:tcPr>
          <w:p>
            <w:pPr>
              <w:jc w:val="left"/>
              <w:rPr>
                <w:rFonts w:ascii="宋体" w:hAnsi="宋体"/>
                <w:color w:val="auto"/>
                <w:sz w:val="18"/>
                <w:szCs w:val="18"/>
              </w:rPr>
            </w:pPr>
          </w:p>
        </w:tc>
        <w:tc>
          <w:tcPr>
            <w:tcW w:w="709" w:type="dxa"/>
            <w:gridSpan w:val="2"/>
          </w:tcPr>
          <w:p>
            <w:pPr>
              <w:jc w:val="left"/>
              <w:rPr>
                <w:rFonts w:ascii="宋体" w:hAnsi="宋体"/>
                <w:color w:val="auto"/>
                <w:sz w:val="15"/>
                <w:szCs w:val="15"/>
              </w:rPr>
            </w:pPr>
            <w:r>
              <w:rPr>
                <w:rFonts w:hint="eastAsia" w:ascii="宋体" w:hAnsi="宋体"/>
                <w:color w:val="auto"/>
                <w:sz w:val="15"/>
                <w:szCs w:val="15"/>
              </w:rPr>
              <w:t>单元</w:t>
            </w:r>
          </w:p>
          <w:p>
            <w:pPr>
              <w:jc w:val="left"/>
              <w:rPr>
                <w:rFonts w:ascii="宋体" w:hAnsi="宋体"/>
                <w:color w:val="auto"/>
                <w:sz w:val="15"/>
                <w:szCs w:val="15"/>
              </w:rPr>
            </w:pPr>
            <w:r>
              <w:rPr>
                <w:rFonts w:hint="eastAsia" w:ascii="宋体" w:hAnsi="宋体"/>
                <w:color w:val="auto"/>
                <w:sz w:val="15"/>
                <w:szCs w:val="15"/>
              </w:rPr>
              <w:t>平面</w:t>
            </w:r>
          </w:p>
        </w:tc>
        <w:tc>
          <w:tcPr>
            <w:tcW w:w="4536" w:type="dxa"/>
            <w:gridSpan w:val="3"/>
          </w:tcPr>
          <w:p>
            <w:pPr>
              <w:spacing w:line="100" w:lineRule="atLeast"/>
              <w:jc w:val="left"/>
              <w:rPr>
                <w:rFonts w:ascii="宋体" w:hAnsi="宋体"/>
                <w:color w:val="auto"/>
                <w:sz w:val="15"/>
                <w:szCs w:val="15"/>
              </w:rPr>
            </w:pPr>
            <w:r>
              <w:rPr>
                <w:rFonts w:hint="eastAsia" w:ascii="宋体" w:hAnsi="宋体"/>
                <w:color w:val="auto"/>
                <w:sz w:val="15"/>
                <w:szCs w:val="15"/>
              </w:rPr>
              <w:t>1门厅、侯梯厅有无自然采光_</w:t>
            </w:r>
            <w:r>
              <w:rPr>
                <w:rFonts w:ascii="宋体" w:hAnsi="宋体"/>
                <w:color w:val="auto"/>
                <w:sz w:val="15"/>
                <w:szCs w:val="15"/>
              </w:rPr>
              <w:t>____</w:t>
            </w:r>
            <w:r>
              <w:rPr>
                <w:rFonts w:hint="eastAsia" w:ascii="宋体" w:hAnsi="宋体"/>
                <w:color w:val="auto"/>
                <w:sz w:val="15"/>
                <w:szCs w:val="15"/>
              </w:rPr>
              <w:t>；2楼梯梯段净宽_</w:t>
            </w:r>
            <w:r>
              <w:rPr>
                <w:rFonts w:ascii="宋体" w:hAnsi="宋体"/>
                <w:color w:val="auto"/>
                <w:sz w:val="15"/>
                <w:szCs w:val="15"/>
              </w:rPr>
              <w:t>___m</w:t>
            </w:r>
            <w:r>
              <w:rPr>
                <w:rFonts w:hint="eastAsia" w:ascii="宋体" w:hAnsi="宋体"/>
                <w:color w:val="auto"/>
                <w:sz w:val="15"/>
                <w:szCs w:val="15"/>
              </w:rPr>
              <w:t>，平台宽_</w:t>
            </w:r>
            <w:r>
              <w:rPr>
                <w:rFonts w:ascii="宋体" w:hAnsi="宋体"/>
                <w:color w:val="auto"/>
                <w:sz w:val="15"/>
                <w:szCs w:val="15"/>
              </w:rPr>
              <w:t>____,</w:t>
            </w:r>
            <w:r>
              <w:rPr>
                <w:rFonts w:hint="eastAsia" w:ascii="宋体" w:hAnsi="宋体"/>
                <w:color w:val="auto"/>
                <w:sz w:val="15"/>
                <w:szCs w:val="15"/>
              </w:rPr>
              <w:t>踏步宽_</w:t>
            </w:r>
            <w:r>
              <w:rPr>
                <w:rFonts w:ascii="宋体" w:hAnsi="宋体"/>
                <w:color w:val="auto"/>
                <w:sz w:val="15"/>
                <w:szCs w:val="15"/>
              </w:rPr>
              <w:t>____,</w:t>
            </w:r>
            <w:r>
              <w:rPr>
                <w:rFonts w:hint="eastAsia" w:ascii="宋体" w:hAnsi="宋体"/>
                <w:color w:val="auto"/>
                <w:sz w:val="15"/>
                <w:szCs w:val="15"/>
              </w:rPr>
              <w:t>踏步高_</w:t>
            </w:r>
            <w:r>
              <w:rPr>
                <w:rFonts w:ascii="宋体" w:hAnsi="宋体"/>
                <w:color w:val="auto"/>
                <w:sz w:val="15"/>
                <w:szCs w:val="15"/>
              </w:rPr>
              <w:t>____</w:t>
            </w:r>
            <w:r>
              <w:rPr>
                <w:rFonts w:hint="eastAsia" w:ascii="宋体" w:hAnsi="宋体"/>
                <w:color w:val="auto"/>
                <w:sz w:val="15"/>
                <w:szCs w:val="15"/>
              </w:rPr>
              <w:t>；</w:t>
            </w:r>
            <w:r>
              <w:rPr>
                <w:rFonts w:ascii="宋体" w:hAnsi="宋体"/>
                <w:color w:val="auto"/>
                <w:sz w:val="15"/>
                <w:szCs w:val="15"/>
              </w:rPr>
              <w:t>3</w:t>
            </w:r>
            <w:r>
              <w:rPr>
                <w:rFonts w:hint="eastAsia" w:ascii="宋体" w:hAnsi="宋体"/>
                <w:color w:val="auto"/>
                <w:sz w:val="15"/>
                <w:szCs w:val="15"/>
              </w:rPr>
              <w:t>电梯载重量_</w:t>
            </w:r>
            <w:r>
              <w:rPr>
                <w:rFonts w:ascii="宋体" w:hAnsi="宋体"/>
                <w:color w:val="auto"/>
                <w:sz w:val="15"/>
                <w:szCs w:val="15"/>
              </w:rPr>
              <w:t>___kg</w:t>
            </w:r>
            <w:r>
              <w:rPr>
                <w:rFonts w:hint="eastAsia" w:ascii="宋体" w:hAnsi="宋体"/>
                <w:color w:val="auto"/>
                <w:sz w:val="15"/>
                <w:szCs w:val="15"/>
              </w:rPr>
              <w:t>，侯梯厅深度_</w:t>
            </w:r>
            <w:r>
              <w:rPr>
                <w:rFonts w:ascii="宋体" w:hAnsi="宋体"/>
                <w:color w:val="auto"/>
                <w:sz w:val="15"/>
                <w:szCs w:val="15"/>
              </w:rPr>
              <w:t>____</w:t>
            </w:r>
            <w:r>
              <w:rPr>
                <w:rFonts w:hint="eastAsia" w:ascii="宋体" w:hAnsi="宋体"/>
                <w:color w:val="auto"/>
                <w:sz w:val="15"/>
                <w:szCs w:val="15"/>
              </w:rPr>
              <w:t>；4单元平面进深_</w:t>
            </w:r>
            <w:r>
              <w:rPr>
                <w:rFonts w:ascii="宋体" w:hAnsi="宋体"/>
                <w:color w:val="auto"/>
                <w:sz w:val="15"/>
                <w:szCs w:val="15"/>
              </w:rPr>
              <w:t>___,</w:t>
            </w:r>
            <w:r>
              <w:rPr>
                <w:rFonts w:hint="eastAsia" w:ascii="宋体" w:hAnsi="宋体"/>
                <w:color w:val="auto"/>
                <w:sz w:val="15"/>
                <w:szCs w:val="15"/>
              </w:rPr>
              <w:t>面宽_</w:t>
            </w:r>
            <w:r>
              <w:rPr>
                <w:rFonts w:ascii="宋体" w:hAnsi="宋体"/>
                <w:color w:val="auto"/>
                <w:sz w:val="15"/>
                <w:szCs w:val="15"/>
              </w:rPr>
              <w:t>_____</w:t>
            </w:r>
            <w:r>
              <w:rPr>
                <w:rFonts w:hint="eastAsia" w:ascii="宋体" w:hAnsi="宋体"/>
                <w:color w:val="auto"/>
                <w:sz w:val="15"/>
                <w:szCs w:val="15"/>
              </w:rPr>
              <w:t>，套型进深_</w:t>
            </w:r>
            <w:r>
              <w:rPr>
                <w:rFonts w:ascii="宋体" w:hAnsi="宋体"/>
                <w:color w:val="auto"/>
                <w:sz w:val="15"/>
                <w:szCs w:val="15"/>
              </w:rPr>
              <w:t>__,</w:t>
            </w:r>
            <w:r>
              <w:rPr>
                <w:rFonts w:hint="eastAsia" w:ascii="宋体" w:hAnsi="宋体"/>
                <w:color w:val="auto"/>
                <w:sz w:val="15"/>
                <w:szCs w:val="15"/>
              </w:rPr>
              <w:t>面宽_</w:t>
            </w:r>
            <w:r>
              <w:rPr>
                <w:rFonts w:ascii="宋体" w:hAnsi="宋体"/>
                <w:color w:val="auto"/>
                <w:sz w:val="15"/>
                <w:szCs w:val="15"/>
              </w:rPr>
              <w:t>___</w:t>
            </w:r>
          </w:p>
        </w:tc>
        <w:tc>
          <w:tcPr>
            <w:tcW w:w="850" w:type="dxa"/>
          </w:tcPr>
          <w:p>
            <w:pPr>
              <w:jc w:val="left"/>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13" w:type="dxa"/>
            <w:vMerge w:val="continue"/>
          </w:tcPr>
          <w:p>
            <w:pPr>
              <w:jc w:val="left"/>
              <w:rPr>
                <w:rFonts w:ascii="宋体" w:hAnsi="宋体"/>
                <w:color w:val="auto"/>
                <w:sz w:val="24"/>
                <w:szCs w:val="24"/>
              </w:rPr>
            </w:pPr>
          </w:p>
        </w:tc>
        <w:tc>
          <w:tcPr>
            <w:tcW w:w="992" w:type="dxa"/>
            <w:vMerge w:val="continue"/>
          </w:tcPr>
          <w:p>
            <w:pPr>
              <w:jc w:val="left"/>
              <w:rPr>
                <w:rFonts w:ascii="宋体" w:hAnsi="宋体"/>
                <w:color w:val="auto"/>
                <w:sz w:val="18"/>
                <w:szCs w:val="18"/>
              </w:rPr>
            </w:pPr>
          </w:p>
        </w:tc>
        <w:tc>
          <w:tcPr>
            <w:tcW w:w="709" w:type="dxa"/>
            <w:gridSpan w:val="2"/>
          </w:tcPr>
          <w:p>
            <w:pPr>
              <w:jc w:val="left"/>
              <w:rPr>
                <w:rFonts w:ascii="宋体" w:hAnsi="宋体"/>
                <w:color w:val="auto"/>
                <w:sz w:val="15"/>
                <w:szCs w:val="15"/>
              </w:rPr>
            </w:pPr>
            <w:r>
              <w:rPr>
                <w:rFonts w:hint="eastAsia" w:ascii="宋体" w:hAnsi="宋体"/>
                <w:color w:val="auto"/>
                <w:sz w:val="15"/>
                <w:szCs w:val="15"/>
              </w:rPr>
              <w:t>消防</w:t>
            </w:r>
          </w:p>
          <w:p>
            <w:pPr>
              <w:jc w:val="left"/>
              <w:rPr>
                <w:rFonts w:ascii="宋体" w:hAnsi="宋体"/>
                <w:color w:val="auto"/>
                <w:sz w:val="15"/>
                <w:szCs w:val="15"/>
              </w:rPr>
            </w:pPr>
            <w:r>
              <w:rPr>
                <w:rFonts w:hint="eastAsia" w:ascii="宋体" w:hAnsi="宋体"/>
                <w:color w:val="auto"/>
                <w:sz w:val="15"/>
                <w:szCs w:val="15"/>
              </w:rPr>
              <w:t>疏散</w:t>
            </w:r>
          </w:p>
        </w:tc>
        <w:tc>
          <w:tcPr>
            <w:tcW w:w="4536" w:type="dxa"/>
            <w:gridSpan w:val="3"/>
          </w:tcPr>
          <w:p>
            <w:pPr>
              <w:jc w:val="left"/>
              <w:rPr>
                <w:rFonts w:ascii="宋体" w:hAnsi="宋体"/>
                <w:color w:val="auto"/>
                <w:sz w:val="15"/>
                <w:szCs w:val="15"/>
              </w:rPr>
            </w:pPr>
            <w:r>
              <w:rPr>
                <w:rFonts w:hint="eastAsia" w:ascii="宋体" w:hAnsi="宋体"/>
                <w:color w:val="auto"/>
                <w:sz w:val="15"/>
                <w:szCs w:val="15"/>
              </w:rPr>
              <w:t>1单元平面安全疏散出口数量_</w:t>
            </w:r>
            <w:r>
              <w:rPr>
                <w:rFonts w:ascii="宋体" w:hAnsi="宋体"/>
                <w:color w:val="auto"/>
                <w:sz w:val="15"/>
                <w:szCs w:val="15"/>
              </w:rPr>
              <w:t>___</w:t>
            </w:r>
            <w:r>
              <w:rPr>
                <w:rFonts w:hint="eastAsia" w:ascii="宋体" w:hAnsi="宋体"/>
                <w:color w:val="auto"/>
                <w:sz w:val="15"/>
                <w:szCs w:val="15"/>
              </w:rPr>
              <w:t>，两个安全出口距离_</w:t>
            </w:r>
            <w:r>
              <w:rPr>
                <w:rFonts w:ascii="宋体" w:hAnsi="宋体"/>
                <w:color w:val="auto"/>
                <w:sz w:val="15"/>
                <w:szCs w:val="15"/>
              </w:rPr>
              <w:t>____</w:t>
            </w:r>
          </w:p>
          <w:p>
            <w:pPr>
              <w:spacing w:line="100" w:lineRule="atLeast"/>
              <w:jc w:val="left"/>
              <w:rPr>
                <w:rFonts w:ascii="宋体" w:hAnsi="宋体"/>
                <w:color w:val="auto"/>
                <w:sz w:val="15"/>
                <w:szCs w:val="15"/>
              </w:rPr>
            </w:pPr>
            <w:r>
              <w:rPr>
                <w:rFonts w:ascii="宋体" w:hAnsi="宋体"/>
                <w:color w:val="auto"/>
                <w:sz w:val="15"/>
                <w:szCs w:val="15"/>
              </w:rPr>
              <w:t>2</w:t>
            </w:r>
            <w:r>
              <w:rPr>
                <w:rFonts w:hint="eastAsia" w:ascii="宋体" w:hAnsi="宋体"/>
                <w:color w:val="auto"/>
                <w:sz w:val="15"/>
                <w:szCs w:val="15"/>
              </w:rPr>
              <w:t>楼梯间有无自然采光和通风_</w:t>
            </w:r>
            <w:r>
              <w:rPr>
                <w:rFonts w:ascii="宋体" w:hAnsi="宋体"/>
                <w:color w:val="auto"/>
                <w:sz w:val="15"/>
                <w:szCs w:val="15"/>
              </w:rPr>
              <w:t>___</w:t>
            </w:r>
            <w:r>
              <w:rPr>
                <w:rFonts w:hint="eastAsia" w:ascii="宋体" w:hAnsi="宋体"/>
                <w:color w:val="auto"/>
                <w:sz w:val="15"/>
                <w:szCs w:val="15"/>
              </w:rPr>
              <w:t>，前室有无自然采光和通风_</w:t>
            </w:r>
            <w:r>
              <w:rPr>
                <w:rFonts w:ascii="宋体" w:hAnsi="宋体"/>
                <w:color w:val="auto"/>
                <w:sz w:val="15"/>
                <w:szCs w:val="15"/>
              </w:rPr>
              <w:t>___</w:t>
            </w:r>
          </w:p>
        </w:tc>
        <w:tc>
          <w:tcPr>
            <w:tcW w:w="850" w:type="dxa"/>
          </w:tcPr>
          <w:p>
            <w:pPr>
              <w:jc w:val="left"/>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13" w:type="dxa"/>
            <w:vMerge w:val="continue"/>
          </w:tcPr>
          <w:p>
            <w:pPr>
              <w:jc w:val="left"/>
              <w:rPr>
                <w:rFonts w:ascii="宋体" w:hAnsi="宋体"/>
                <w:color w:val="auto"/>
                <w:sz w:val="24"/>
                <w:szCs w:val="24"/>
              </w:rPr>
            </w:pPr>
          </w:p>
        </w:tc>
        <w:tc>
          <w:tcPr>
            <w:tcW w:w="992" w:type="dxa"/>
            <w:vMerge w:val="restart"/>
          </w:tcPr>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r>
              <w:rPr>
                <w:rFonts w:hint="eastAsia" w:ascii="宋体" w:hAnsi="宋体"/>
                <w:color w:val="auto"/>
                <w:sz w:val="18"/>
                <w:szCs w:val="18"/>
              </w:rPr>
              <w:t>套型概况</w:t>
            </w: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tc>
        <w:tc>
          <w:tcPr>
            <w:tcW w:w="709" w:type="dxa"/>
            <w:gridSpan w:val="2"/>
          </w:tcPr>
          <w:p>
            <w:pPr>
              <w:jc w:val="left"/>
              <w:rPr>
                <w:rFonts w:ascii="宋体" w:hAnsi="宋体"/>
                <w:color w:val="auto"/>
                <w:sz w:val="15"/>
                <w:szCs w:val="15"/>
              </w:rPr>
            </w:pPr>
            <w:r>
              <w:rPr>
                <w:rFonts w:hint="eastAsia" w:ascii="宋体" w:hAnsi="宋体"/>
                <w:color w:val="auto"/>
                <w:sz w:val="15"/>
                <w:szCs w:val="15"/>
              </w:rPr>
              <w:t>基本</w:t>
            </w:r>
          </w:p>
          <w:p>
            <w:pPr>
              <w:jc w:val="left"/>
              <w:rPr>
                <w:rFonts w:ascii="宋体" w:hAnsi="宋体"/>
                <w:color w:val="auto"/>
                <w:sz w:val="15"/>
                <w:szCs w:val="15"/>
              </w:rPr>
            </w:pPr>
            <w:r>
              <w:rPr>
                <w:rFonts w:hint="eastAsia" w:ascii="宋体" w:hAnsi="宋体"/>
                <w:color w:val="auto"/>
                <w:sz w:val="15"/>
                <w:szCs w:val="15"/>
              </w:rPr>
              <w:t>情况</w:t>
            </w:r>
          </w:p>
        </w:tc>
        <w:tc>
          <w:tcPr>
            <w:tcW w:w="4536" w:type="dxa"/>
            <w:gridSpan w:val="3"/>
          </w:tcPr>
          <w:p>
            <w:pPr>
              <w:jc w:val="left"/>
              <w:rPr>
                <w:rFonts w:ascii="宋体" w:hAnsi="宋体"/>
                <w:color w:val="auto"/>
                <w:sz w:val="15"/>
                <w:szCs w:val="15"/>
              </w:rPr>
            </w:pPr>
            <w:r>
              <w:rPr>
                <w:rFonts w:hint="eastAsia" w:ascii="宋体" w:hAnsi="宋体"/>
                <w:color w:val="auto"/>
                <w:sz w:val="15"/>
                <w:szCs w:val="15"/>
              </w:rPr>
              <w:t>1套型建筑面积_</w:t>
            </w:r>
            <w:r>
              <w:rPr>
                <w:rFonts w:ascii="宋体" w:hAnsi="宋体"/>
                <w:color w:val="auto"/>
                <w:sz w:val="15"/>
                <w:szCs w:val="15"/>
              </w:rPr>
              <w:t>___,</w:t>
            </w:r>
            <w:r>
              <w:rPr>
                <w:rFonts w:hint="eastAsia" w:ascii="宋体" w:hAnsi="宋体"/>
                <w:color w:val="auto"/>
                <w:sz w:val="15"/>
                <w:szCs w:val="15"/>
              </w:rPr>
              <w:t>套型使用面积_</w:t>
            </w:r>
            <w:r>
              <w:rPr>
                <w:rFonts w:ascii="宋体" w:hAnsi="宋体"/>
                <w:color w:val="auto"/>
                <w:sz w:val="15"/>
                <w:szCs w:val="15"/>
              </w:rPr>
              <w:t>____</w:t>
            </w:r>
            <w:r>
              <w:rPr>
                <w:rFonts w:hint="eastAsia" w:ascii="宋体" w:hAnsi="宋体"/>
                <w:color w:val="auto"/>
                <w:sz w:val="15"/>
                <w:szCs w:val="15"/>
              </w:rPr>
              <w:t>㎡</w:t>
            </w:r>
          </w:p>
          <w:p>
            <w:pPr>
              <w:jc w:val="left"/>
              <w:rPr>
                <w:rFonts w:ascii="宋体" w:hAnsi="宋体"/>
                <w:color w:val="auto"/>
                <w:sz w:val="15"/>
                <w:szCs w:val="15"/>
              </w:rPr>
            </w:pPr>
            <w:r>
              <w:rPr>
                <w:rFonts w:hint="eastAsia" w:ascii="宋体" w:hAnsi="宋体"/>
                <w:color w:val="auto"/>
                <w:sz w:val="15"/>
                <w:szCs w:val="15"/>
              </w:rPr>
              <w:t>2套型层高_</w:t>
            </w:r>
            <w:r>
              <w:rPr>
                <w:rFonts w:ascii="宋体" w:hAnsi="宋体"/>
                <w:color w:val="auto"/>
                <w:sz w:val="15"/>
                <w:szCs w:val="15"/>
              </w:rPr>
              <w:t>_____</w:t>
            </w:r>
          </w:p>
        </w:tc>
        <w:tc>
          <w:tcPr>
            <w:tcW w:w="850" w:type="dxa"/>
          </w:tcPr>
          <w:p>
            <w:pPr>
              <w:jc w:val="left"/>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宋体" w:hAnsi="宋体"/>
                <w:color w:val="auto"/>
                <w:sz w:val="24"/>
                <w:szCs w:val="24"/>
              </w:rPr>
            </w:pPr>
          </w:p>
        </w:tc>
        <w:tc>
          <w:tcPr>
            <w:tcW w:w="992" w:type="dxa"/>
            <w:vMerge w:val="continue"/>
          </w:tcPr>
          <w:p>
            <w:pPr>
              <w:jc w:val="left"/>
              <w:rPr>
                <w:rFonts w:ascii="宋体" w:hAnsi="宋体"/>
                <w:color w:val="auto"/>
                <w:sz w:val="18"/>
                <w:szCs w:val="18"/>
              </w:rPr>
            </w:pPr>
          </w:p>
        </w:tc>
        <w:tc>
          <w:tcPr>
            <w:tcW w:w="709" w:type="dxa"/>
            <w:gridSpan w:val="2"/>
          </w:tcPr>
          <w:p>
            <w:pPr>
              <w:jc w:val="left"/>
              <w:rPr>
                <w:rFonts w:ascii="宋体" w:hAnsi="宋体"/>
                <w:color w:val="auto"/>
                <w:sz w:val="15"/>
                <w:szCs w:val="15"/>
              </w:rPr>
            </w:pPr>
          </w:p>
          <w:p>
            <w:pPr>
              <w:jc w:val="left"/>
              <w:rPr>
                <w:rFonts w:ascii="宋体" w:hAnsi="宋体"/>
                <w:color w:val="auto"/>
                <w:sz w:val="15"/>
                <w:szCs w:val="15"/>
              </w:rPr>
            </w:pPr>
          </w:p>
          <w:p>
            <w:pPr>
              <w:jc w:val="left"/>
              <w:rPr>
                <w:rFonts w:ascii="宋体" w:hAnsi="宋体"/>
                <w:color w:val="auto"/>
                <w:sz w:val="15"/>
                <w:szCs w:val="15"/>
              </w:rPr>
            </w:pPr>
          </w:p>
          <w:p>
            <w:pPr>
              <w:jc w:val="left"/>
              <w:rPr>
                <w:rFonts w:ascii="宋体" w:hAnsi="宋体"/>
                <w:color w:val="auto"/>
                <w:sz w:val="15"/>
                <w:szCs w:val="15"/>
              </w:rPr>
            </w:pPr>
          </w:p>
          <w:p>
            <w:pPr>
              <w:jc w:val="left"/>
              <w:rPr>
                <w:rFonts w:ascii="宋体" w:hAnsi="宋体"/>
                <w:color w:val="auto"/>
                <w:sz w:val="15"/>
                <w:szCs w:val="15"/>
              </w:rPr>
            </w:pPr>
            <w:r>
              <w:rPr>
                <w:rFonts w:hint="eastAsia" w:ascii="宋体" w:hAnsi="宋体"/>
                <w:color w:val="auto"/>
                <w:sz w:val="15"/>
                <w:szCs w:val="15"/>
              </w:rPr>
              <w:t>套内功能空间</w:t>
            </w:r>
          </w:p>
        </w:tc>
        <w:tc>
          <w:tcPr>
            <w:tcW w:w="4536" w:type="dxa"/>
            <w:gridSpan w:val="3"/>
          </w:tcPr>
          <w:p>
            <w:pPr>
              <w:spacing w:line="100" w:lineRule="atLeast"/>
              <w:jc w:val="left"/>
              <w:rPr>
                <w:rFonts w:ascii="宋体" w:hAnsi="宋体"/>
                <w:color w:val="auto"/>
                <w:sz w:val="15"/>
                <w:szCs w:val="15"/>
              </w:rPr>
            </w:pPr>
            <w:r>
              <w:rPr>
                <w:rFonts w:hint="eastAsia" w:ascii="宋体" w:hAnsi="宋体"/>
                <w:color w:val="auto"/>
                <w:sz w:val="15"/>
                <w:szCs w:val="15"/>
              </w:rPr>
              <w:t>1、双人卧室使用面积_</w:t>
            </w:r>
            <w:r>
              <w:rPr>
                <w:rFonts w:ascii="宋体" w:hAnsi="宋体"/>
                <w:color w:val="auto"/>
                <w:sz w:val="15"/>
                <w:szCs w:val="15"/>
              </w:rPr>
              <w:t>___</w:t>
            </w:r>
            <w:r>
              <w:rPr>
                <w:rFonts w:hint="eastAsia" w:ascii="宋体" w:hAnsi="宋体"/>
                <w:color w:val="auto"/>
                <w:sz w:val="15"/>
                <w:szCs w:val="15"/>
              </w:rPr>
              <w:t>；2单人卧室使用面积_</w:t>
            </w:r>
            <w:r>
              <w:rPr>
                <w:rFonts w:ascii="宋体" w:hAnsi="宋体"/>
                <w:color w:val="auto"/>
                <w:sz w:val="15"/>
                <w:szCs w:val="15"/>
              </w:rPr>
              <w:t>___</w:t>
            </w:r>
            <w:r>
              <w:rPr>
                <w:rFonts w:hint="eastAsia" w:ascii="宋体" w:hAnsi="宋体"/>
                <w:color w:val="auto"/>
                <w:sz w:val="15"/>
                <w:szCs w:val="15"/>
              </w:rPr>
              <w:t>；3兼起居室的卧室使用面积_</w:t>
            </w:r>
            <w:r>
              <w:rPr>
                <w:rFonts w:ascii="宋体" w:hAnsi="宋体"/>
                <w:color w:val="auto"/>
                <w:sz w:val="15"/>
                <w:szCs w:val="15"/>
              </w:rPr>
              <w:t>___</w:t>
            </w:r>
            <w:r>
              <w:rPr>
                <w:rFonts w:hint="eastAsia" w:ascii="宋体" w:hAnsi="宋体"/>
                <w:color w:val="auto"/>
                <w:sz w:val="15"/>
                <w:szCs w:val="15"/>
              </w:rPr>
              <w:t>；4起居室使用面积_</w:t>
            </w:r>
            <w:r>
              <w:rPr>
                <w:rFonts w:ascii="宋体" w:hAnsi="宋体"/>
                <w:color w:val="auto"/>
                <w:sz w:val="15"/>
                <w:szCs w:val="15"/>
              </w:rPr>
              <w:t>___</w:t>
            </w:r>
            <w:r>
              <w:rPr>
                <w:rFonts w:hint="eastAsia" w:ascii="宋体" w:hAnsi="宋体"/>
                <w:color w:val="auto"/>
                <w:sz w:val="15"/>
                <w:szCs w:val="15"/>
              </w:rPr>
              <w:t>；5起居室布置家具的墙面直线长度_</w:t>
            </w:r>
            <w:r>
              <w:rPr>
                <w:rFonts w:ascii="宋体" w:hAnsi="宋体"/>
                <w:color w:val="auto"/>
                <w:sz w:val="15"/>
                <w:szCs w:val="15"/>
              </w:rPr>
              <w:t>___</w:t>
            </w:r>
            <w:r>
              <w:rPr>
                <w:rFonts w:hint="eastAsia" w:ascii="宋体" w:hAnsi="宋体"/>
                <w:color w:val="auto"/>
                <w:sz w:val="15"/>
                <w:szCs w:val="15"/>
              </w:rPr>
              <w:t>；6餐厅使用面积_</w:t>
            </w:r>
            <w:r>
              <w:rPr>
                <w:rFonts w:ascii="宋体" w:hAnsi="宋体"/>
                <w:color w:val="auto"/>
                <w:sz w:val="15"/>
                <w:szCs w:val="15"/>
              </w:rPr>
              <w:t>___</w:t>
            </w:r>
            <w:r>
              <w:rPr>
                <w:rFonts w:hint="eastAsia" w:ascii="宋体" w:hAnsi="宋体"/>
                <w:color w:val="auto"/>
                <w:sz w:val="15"/>
                <w:szCs w:val="15"/>
              </w:rPr>
              <w:t>；7普通套型厨房使用面积_</w:t>
            </w:r>
            <w:r>
              <w:rPr>
                <w:rFonts w:ascii="宋体" w:hAnsi="宋体"/>
                <w:color w:val="auto"/>
                <w:sz w:val="15"/>
                <w:szCs w:val="15"/>
              </w:rPr>
              <w:t>__</w:t>
            </w:r>
            <w:r>
              <w:rPr>
                <w:rFonts w:hint="eastAsia" w:ascii="宋体" w:hAnsi="宋体"/>
                <w:color w:val="auto"/>
                <w:sz w:val="15"/>
                <w:szCs w:val="15"/>
              </w:rPr>
              <w:t>，最小套型厨房使用面积_</w:t>
            </w:r>
            <w:r>
              <w:rPr>
                <w:rFonts w:ascii="宋体" w:hAnsi="宋体"/>
                <w:color w:val="auto"/>
                <w:sz w:val="15"/>
                <w:szCs w:val="15"/>
              </w:rPr>
              <w:t>___</w:t>
            </w:r>
            <w:r>
              <w:rPr>
                <w:rFonts w:hint="eastAsia" w:ascii="宋体" w:hAnsi="宋体"/>
                <w:color w:val="auto"/>
                <w:sz w:val="15"/>
                <w:szCs w:val="15"/>
              </w:rPr>
              <w:t>；单排布置设备厨房净宽_</w:t>
            </w:r>
            <w:r>
              <w:rPr>
                <w:rFonts w:ascii="宋体" w:hAnsi="宋体"/>
                <w:color w:val="auto"/>
                <w:sz w:val="15"/>
                <w:szCs w:val="15"/>
              </w:rPr>
              <w:t>___</w:t>
            </w:r>
            <w:r>
              <w:rPr>
                <w:rFonts w:hint="eastAsia" w:ascii="宋体" w:hAnsi="宋体"/>
                <w:color w:val="auto"/>
                <w:sz w:val="15"/>
                <w:szCs w:val="15"/>
              </w:rPr>
              <w:t>，双排布置设备厨房其两排设备之间的净距_</w:t>
            </w:r>
            <w:r>
              <w:rPr>
                <w:rFonts w:ascii="宋体" w:hAnsi="宋体"/>
                <w:color w:val="auto"/>
                <w:sz w:val="15"/>
                <w:szCs w:val="15"/>
              </w:rPr>
              <w:t>___</w:t>
            </w:r>
            <w:r>
              <w:rPr>
                <w:rFonts w:hint="eastAsia" w:ascii="宋体" w:hAnsi="宋体"/>
                <w:color w:val="auto"/>
                <w:sz w:val="15"/>
                <w:szCs w:val="15"/>
              </w:rPr>
              <w:t>；8卫生间使用面积_</w:t>
            </w:r>
            <w:r>
              <w:rPr>
                <w:rFonts w:ascii="宋体" w:hAnsi="宋体"/>
                <w:color w:val="auto"/>
                <w:sz w:val="15"/>
                <w:szCs w:val="15"/>
              </w:rPr>
              <w:t>____</w:t>
            </w:r>
            <w:r>
              <w:rPr>
                <w:rFonts w:hint="eastAsia" w:ascii="宋体" w:hAnsi="宋体"/>
                <w:color w:val="auto"/>
                <w:sz w:val="15"/>
                <w:szCs w:val="15"/>
              </w:rPr>
              <w:t>；9卧室、起居室净高_</w:t>
            </w:r>
            <w:r>
              <w:rPr>
                <w:rFonts w:ascii="宋体" w:hAnsi="宋体"/>
                <w:color w:val="auto"/>
                <w:sz w:val="15"/>
                <w:szCs w:val="15"/>
              </w:rPr>
              <w:t>___m</w:t>
            </w:r>
            <w:r>
              <w:rPr>
                <w:rFonts w:hint="eastAsia" w:ascii="宋体" w:hAnsi="宋体"/>
                <w:color w:val="auto"/>
                <w:sz w:val="15"/>
                <w:szCs w:val="15"/>
              </w:rPr>
              <w:t>，厨卫净高_</w:t>
            </w:r>
            <w:r>
              <w:rPr>
                <w:rFonts w:ascii="宋体" w:hAnsi="宋体"/>
                <w:color w:val="auto"/>
                <w:sz w:val="15"/>
                <w:szCs w:val="15"/>
              </w:rPr>
              <w:t>___m</w:t>
            </w:r>
            <w:r>
              <w:rPr>
                <w:rFonts w:hint="eastAsia" w:ascii="宋体" w:hAnsi="宋体"/>
                <w:color w:val="auto"/>
                <w:sz w:val="15"/>
                <w:szCs w:val="15"/>
              </w:rPr>
              <w:t>；1</w:t>
            </w:r>
            <w:r>
              <w:rPr>
                <w:rFonts w:ascii="宋体" w:hAnsi="宋体"/>
                <w:color w:val="auto"/>
                <w:sz w:val="15"/>
                <w:szCs w:val="15"/>
              </w:rPr>
              <w:t>0</w:t>
            </w:r>
            <w:r>
              <w:rPr>
                <w:rFonts w:hint="eastAsia" w:ascii="宋体" w:hAnsi="宋体"/>
                <w:color w:val="auto"/>
                <w:sz w:val="15"/>
                <w:szCs w:val="15"/>
              </w:rPr>
              <w:t>栏杆或栏板高度_</w:t>
            </w:r>
            <w:r>
              <w:rPr>
                <w:rFonts w:ascii="宋体" w:hAnsi="宋体"/>
                <w:color w:val="auto"/>
                <w:sz w:val="15"/>
                <w:szCs w:val="15"/>
              </w:rPr>
              <w:t>___</w:t>
            </w:r>
            <w:r>
              <w:rPr>
                <w:rFonts w:hint="eastAsia" w:ascii="宋体" w:hAnsi="宋体"/>
                <w:color w:val="auto"/>
                <w:sz w:val="15"/>
                <w:szCs w:val="15"/>
              </w:rPr>
              <w:t>；套内入口过道净宽_</w:t>
            </w:r>
            <w:r>
              <w:rPr>
                <w:rFonts w:ascii="宋体" w:hAnsi="宋体"/>
                <w:color w:val="auto"/>
                <w:sz w:val="15"/>
                <w:szCs w:val="15"/>
              </w:rPr>
              <w:t>__</w:t>
            </w:r>
            <w:r>
              <w:rPr>
                <w:rFonts w:hint="eastAsia" w:ascii="宋体" w:hAnsi="宋体"/>
                <w:color w:val="auto"/>
                <w:sz w:val="15"/>
                <w:szCs w:val="15"/>
              </w:rPr>
              <w:t>，通往卧室、起居室过道净宽_</w:t>
            </w:r>
            <w:r>
              <w:rPr>
                <w:rFonts w:ascii="宋体" w:hAnsi="宋体"/>
                <w:color w:val="auto"/>
                <w:sz w:val="15"/>
                <w:szCs w:val="15"/>
              </w:rPr>
              <w:t>___</w:t>
            </w:r>
            <w:r>
              <w:rPr>
                <w:rFonts w:hint="eastAsia" w:ascii="宋体" w:hAnsi="宋体"/>
                <w:color w:val="auto"/>
                <w:sz w:val="15"/>
                <w:szCs w:val="15"/>
              </w:rPr>
              <w:t>，通往厨房、卫生间、储藏室过道净宽_</w:t>
            </w:r>
            <w:r>
              <w:rPr>
                <w:rFonts w:ascii="宋体" w:hAnsi="宋体"/>
                <w:color w:val="auto"/>
                <w:sz w:val="15"/>
                <w:szCs w:val="15"/>
              </w:rPr>
              <w:t>___</w:t>
            </w:r>
            <w:r>
              <w:rPr>
                <w:rFonts w:hint="eastAsia" w:ascii="宋体" w:hAnsi="宋体"/>
                <w:color w:val="auto"/>
                <w:sz w:val="15"/>
                <w:szCs w:val="15"/>
              </w:rPr>
              <w:t>；1</w:t>
            </w:r>
            <w:r>
              <w:rPr>
                <w:rFonts w:ascii="宋体" w:hAnsi="宋体"/>
                <w:color w:val="auto"/>
                <w:sz w:val="15"/>
                <w:szCs w:val="15"/>
              </w:rPr>
              <w:t>1</w:t>
            </w:r>
            <w:r>
              <w:rPr>
                <w:rFonts w:hint="eastAsia" w:ascii="宋体" w:hAnsi="宋体"/>
                <w:color w:val="auto"/>
                <w:sz w:val="15"/>
                <w:szCs w:val="15"/>
              </w:rPr>
              <w:t>套内楼梯梯段净宽_</w:t>
            </w:r>
            <w:r>
              <w:rPr>
                <w:rFonts w:ascii="宋体" w:hAnsi="宋体"/>
                <w:color w:val="auto"/>
                <w:sz w:val="15"/>
                <w:szCs w:val="15"/>
              </w:rPr>
              <w:t>___</w:t>
            </w:r>
            <w:r>
              <w:rPr>
                <w:rFonts w:hint="eastAsia" w:ascii="宋体" w:hAnsi="宋体"/>
                <w:color w:val="auto"/>
                <w:sz w:val="15"/>
                <w:szCs w:val="15"/>
              </w:rPr>
              <w:t>，套内楼梯踏步宽度_</w:t>
            </w:r>
            <w:r>
              <w:rPr>
                <w:rFonts w:ascii="宋体" w:hAnsi="宋体"/>
                <w:color w:val="auto"/>
                <w:sz w:val="15"/>
                <w:szCs w:val="15"/>
              </w:rPr>
              <w:t>__</w:t>
            </w:r>
            <w:r>
              <w:rPr>
                <w:rFonts w:hint="eastAsia" w:ascii="宋体" w:hAnsi="宋体"/>
                <w:color w:val="auto"/>
                <w:sz w:val="15"/>
                <w:szCs w:val="15"/>
              </w:rPr>
              <w:t>，踏步高度_</w:t>
            </w:r>
            <w:r>
              <w:rPr>
                <w:rFonts w:ascii="宋体" w:hAnsi="宋体"/>
                <w:color w:val="auto"/>
                <w:sz w:val="15"/>
                <w:szCs w:val="15"/>
              </w:rPr>
              <w:t>___;12</w:t>
            </w:r>
            <w:r>
              <w:rPr>
                <w:rFonts w:hint="eastAsia" w:ascii="宋体" w:hAnsi="宋体"/>
                <w:color w:val="auto"/>
                <w:sz w:val="15"/>
                <w:szCs w:val="15"/>
              </w:rPr>
              <w:t>套内户门尺寸_</w:t>
            </w:r>
            <w:r>
              <w:rPr>
                <w:rFonts w:ascii="宋体" w:hAnsi="宋体"/>
                <w:color w:val="auto"/>
                <w:sz w:val="15"/>
                <w:szCs w:val="15"/>
              </w:rPr>
              <w:t>__,</w:t>
            </w:r>
            <w:r>
              <w:rPr>
                <w:rFonts w:hint="eastAsia" w:ascii="宋体" w:hAnsi="宋体"/>
                <w:color w:val="auto"/>
                <w:sz w:val="15"/>
                <w:szCs w:val="15"/>
              </w:rPr>
              <w:t>起居室门尺寸_</w:t>
            </w:r>
            <w:r>
              <w:rPr>
                <w:rFonts w:ascii="宋体" w:hAnsi="宋体"/>
                <w:color w:val="auto"/>
                <w:sz w:val="15"/>
                <w:szCs w:val="15"/>
              </w:rPr>
              <w:t>__,</w:t>
            </w:r>
            <w:r>
              <w:rPr>
                <w:rFonts w:hint="eastAsia" w:ascii="宋体" w:hAnsi="宋体"/>
                <w:color w:val="auto"/>
                <w:sz w:val="15"/>
                <w:szCs w:val="15"/>
              </w:rPr>
              <w:t>卧室门尺寸_</w:t>
            </w:r>
            <w:r>
              <w:rPr>
                <w:rFonts w:ascii="宋体" w:hAnsi="宋体"/>
                <w:color w:val="auto"/>
                <w:sz w:val="15"/>
                <w:szCs w:val="15"/>
              </w:rPr>
              <w:t>__,</w:t>
            </w:r>
            <w:r>
              <w:rPr>
                <w:rFonts w:hint="eastAsia" w:ascii="宋体" w:hAnsi="宋体"/>
                <w:color w:val="auto"/>
                <w:sz w:val="15"/>
                <w:szCs w:val="15"/>
              </w:rPr>
              <w:t>厨房门尺寸_</w:t>
            </w:r>
            <w:r>
              <w:rPr>
                <w:rFonts w:ascii="宋体" w:hAnsi="宋体"/>
                <w:color w:val="auto"/>
                <w:sz w:val="15"/>
                <w:szCs w:val="15"/>
              </w:rPr>
              <w:t>__,</w:t>
            </w:r>
            <w:r>
              <w:rPr>
                <w:rFonts w:hint="eastAsia" w:ascii="宋体" w:hAnsi="宋体"/>
                <w:color w:val="auto"/>
                <w:sz w:val="15"/>
                <w:szCs w:val="15"/>
              </w:rPr>
              <w:t>卫生间门尺寸_</w:t>
            </w:r>
            <w:r>
              <w:rPr>
                <w:rFonts w:ascii="宋体" w:hAnsi="宋体"/>
                <w:color w:val="auto"/>
                <w:sz w:val="15"/>
                <w:szCs w:val="15"/>
              </w:rPr>
              <w:t>___,</w:t>
            </w:r>
            <w:r>
              <w:rPr>
                <w:rFonts w:hint="eastAsia" w:ascii="宋体" w:hAnsi="宋体"/>
                <w:color w:val="auto"/>
                <w:sz w:val="15"/>
                <w:szCs w:val="15"/>
              </w:rPr>
              <w:t>阳台门尺寸_</w:t>
            </w:r>
            <w:r>
              <w:rPr>
                <w:rFonts w:ascii="宋体" w:hAnsi="宋体"/>
                <w:color w:val="auto"/>
                <w:sz w:val="15"/>
                <w:szCs w:val="15"/>
              </w:rPr>
              <w:t>____</w:t>
            </w:r>
          </w:p>
        </w:tc>
        <w:tc>
          <w:tcPr>
            <w:tcW w:w="850" w:type="dxa"/>
          </w:tcPr>
          <w:p>
            <w:pPr>
              <w:jc w:val="left"/>
              <w:rPr>
                <w:rFonts w:ascii="宋体" w:hAnsi="宋体"/>
                <w:color w:val="auto"/>
                <w:sz w:val="15"/>
                <w:szCs w:val="15"/>
              </w:rPr>
            </w:pPr>
            <w:r>
              <w:rPr>
                <w:rFonts w:hint="eastAsia" w:ascii="宋体" w:hAnsi="宋体"/>
                <w:color w:val="auto"/>
                <w:sz w:val="15"/>
                <w:szCs w:val="15"/>
              </w:rPr>
              <w:t>双人卧室不应小于9㎡</w:t>
            </w:r>
          </w:p>
          <w:p>
            <w:pPr>
              <w:jc w:val="left"/>
              <w:rPr>
                <w:rFonts w:ascii="宋体" w:hAnsi="宋体"/>
                <w:color w:val="auto"/>
                <w:sz w:val="15"/>
                <w:szCs w:val="15"/>
              </w:rPr>
            </w:pPr>
          </w:p>
          <w:p>
            <w:pPr>
              <w:jc w:val="left"/>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宋体" w:hAnsi="宋体"/>
                <w:color w:val="auto"/>
                <w:sz w:val="24"/>
                <w:szCs w:val="24"/>
              </w:rPr>
            </w:pPr>
          </w:p>
        </w:tc>
        <w:tc>
          <w:tcPr>
            <w:tcW w:w="992" w:type="dxa"/>
            <w:vMerge w:val="continue"/>
          </w:tcPr>
          <w:p>
            <w:pPr>
              <w:jc w:val="left"/>
              <w:rPr>
                <w:rFonts w:ascii="宋体" w:hAnsi="宋体"/>
                <w:color w:val="auto"/>
                <w:sz w:val="18"/>
                <w:szCs w:val="18"/>
              </w:rPr>
            </w:pPr>
          </w:p>
        </w:tc>
        <w:tc>
          <w:tcPr>
            <w:tcW w:w="709" w:type="dxa"/>
            <w:gridSpan w:val="2"/>
          </w:tcPr>
          <w:p>
            <w:pPr>
              <w:jc w:val="left"/>
              <w:rPr>
                <w:rFonts w:ascii="宋体" w:hAnsi="宋体"/>
                <w:color w:val="auto"/>
                <w:sz w:val="15"/>
                <w:szCs w:val="15"/>
              </w:rPr>
            </w:pPr>
            <w:r>
              <w:rPr>
                <w:rFonts w:hint="eastAsia" w:ascii="宋体" w:hAnsi="宋体"/>
                <w:color w:val="auto"/>
                <w:sz w:val="15"/>
                <w:szCs w:val="15"/>
              </w:rPr>
              <w:t>全生命周期适应性</w:t>
            </w:r>
          </w:p>
        </w:tc>
        <w:tc>
          <w:tcPr>
            <w:tcW w:w="4536" w:type="dxa"/>
            <w:gridSpan w:val="3"/>
          </w:tcPr>
          <w:p>
            <w:pPr>
              <w:jc w:val="left"/>
              <w:rPr>
                <w:rFonts w:ascii="宋体" w:hAnsi="宋体"/>
                <w:color w:val="auto"/>
                <w:sz w:val="15"/>
                <w:szCs w:val="15"/>
              </w:rPr>
            </w:pPr>
            <w:r>
              <w:rPr>
                <w:rFonts w:hint="eastAsia" w:ascii="宋体" w:hAnsi="宋体"/>
                <w:color w:val="auto"/>
                <w:sz w:val="15"/>
                <w:szCs w:val="15"/>
              </w:rPr>
              <w:t>1套内可拆卸墙体位置示意图_</w:t>
            </w:r>
            <w:r>
              <w:rPr>
                <w:rFonts w:ascii="宋体" w:hAnsi="宋体"/>
                <w:color w:val="auto"/>
                <w:sz w:val="15"/>
                <w:szCs w:val="15"/>
              </w:rPr>
              <w:t>________</w:t>
            </w:r>
          </w:p>
          <w:p>
            <w:pPr>
              <w:jc w:val="left"/>
              <w:rPr>
                <w:rFonts w:ascii="宋体" w:hAnsi="宋体"/>
                <w:color w:val="auto"/>
                <w:sz w:val="15"/>
                <w:szCs w:val="15"/>
              </w:rPr>
            </w:pPr>
            <w:r>
              <w:rPr>
                <w:rFonts w:hint="eastAsia" w:ascii="宋体" w:hAnsi="宋体"/>
                <w:color w:val="auto"/>
                <w:sz w:val="15"/>
                <w:szCs w:val="15"/>
              </w:rPr>
              <w:t>2套内空间变换示意图_</w:t>
            </w:r>
            <w:r>
              <w:rPr>
                <w:rFonts w:ascii="宋体" w:hAnsi="宋体"/>
                <w:color w:val="auto"/>
                <w:sz w:val="15"/>
                <w:szCs w:val="15"/>
              </w:rPr>
              <w:t>______(</w:t>
            </w:r>
            <w:r>
              <w:rPr>
                <w:rFonts w:hint="eastAsia" w:ascii="宋体" w:hAnsi="宋体"/>
                <w:color w:val="auto"/>
                <w:sz w:val="15"/>
                <w:szCs w:val="15"/>
              </w:rPr>
              <w:t>两人世界/三口之家/两孩天地/适老之家</w:t>
            </w:r>
            <w:r>
              <w:rPr>
                <w:rFonts w:ascii="宋体" w:hAnsi="宋体"/>
                <w:color w:val="auto"/>
                <w:sz w:val="15"/>
                <w:szCs w:val="15"/>
              </w:rPr>
              <w:t>)</w:t>
            </w:r>
          </w:p>
        </w:tc>
        <w:tc>
          <w:tcPr>
            <w:tcW w:w="850" w:type="dxa"/>
          </w:tcPr>
          <w:p>
            <w:pPr>
              <w:jc w:val="left"/>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restart"/>
          </w:tcPr>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r>
              <w:rPr>
                <w:rFonts w:hint="eastAsia" w:ascii="宋体" w:hAnsi="宋体"/>
                <w:color w:val="auto"/>
                <w:sz w:val="24"/>
                <w:szCs w:val="24"/>
              </w:rPr>
              <w:t>舒适性能</w:t>
            </w:r>
          </w:p>
        </w:tc>
        <w:tc>
          <w:tcPr>
            <w:tcW w:w="992" w:type="dxa"/>
          </w:tcPr>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r>
              <w:rPr>
                <w:rFonts w:hint="eastAsia" w:ascii="宋体" w:hAnsi="宋体"/>
                <w:color w:val="auto"/>
                <w:sz w:val="18"/>
                <w:szCs w:val="18"/>
              </w:rPr>
              <w:t>套型概况</w:t>
            </w:r>
          </w:p>
        </w:tc>
        <w:tc>
          <w:tcPr>
            <w:tcW w:w="709" w:type="dxa"/>
            <w:gridSpan w:val="2"/>
          </w:tcPr>
          <w:p>
            <w:pPr>
              <w:jc w:val="left"/>
              <w:rPr>
                <w:rFonts w:ascii="宋体" w:hAnsi="宋体"/>
                <w:color w:val="auto"/>
                <w:sz w:val="15"/>
                <w:szCs w:val="15"/>
              </w:rPr>
            </w:pPr>
          </w:p>
          <w:p>
            <w:pPr>
              <w:jc w:val="left"/>
              <w:rPr>
                <w:rFonts w:ascii="宋体" w:hAnsi="宋体"/>
                <w:color w:val="auto"/>
                <w:sz w:val="15"/>
                <w:szCs w:val="15"/>
              </w:rPr>
            </w:pPr>
          </w:p>
          <w:p>
            <w:pPr>
              <w:jc w:val="left"/>
              <w:rPr>
                <w:rFonts w:ascii="宋体" w:hAnsi="宋体"/>
                <w:color w:val="auto"/>
                <w:sz w:val="15"/>
                <w:szCs w:val="15"/>
              </w:rPr>
            </w:pPr>
          </w:p>
          <w:p>
            <w:pPr>
              <w:jc w:val="left"/>
              <w:rPr>
                <w:rFonts w:ascii="宋体" w:hAnsi="宋体"/>
                <w:color w:val="auto"/>
                <w:sz w:val="15"/>
                <w:szCs w:val="15"/>
              </w:rPr>
            </w:pPr>
            <w:r>
              <w:rPr>
                <w:rFonts w:hint="eastAsia" w:ascii="宋体" w:hAnsi="宋体"/>
                <w:color w:val="auto"/>
                <w:sz w:val="15"/>
                <w:szCs w:val="15"/>
              </w:rPr>
              <w:t>室内</w:t>
            </w:r>
          </w:p>
          <w:p>
            <w:pPr>
              <w:jc w:val="left"/>
              <w:rPr>
                <w:rFonts w:ascii="宋体" w:hAnsi="宋体"/>
                <w:color w:val="auto"/>
                <w:sz w:val="15"/>
                <w:szCs w:val="15"/>
              </w:rPr>
            </w:pPr>
          </w:p>
          <w:p>
            <w:pPr>
              <w:jc w:val="left"/>
              <w:rPr>
                <w:rFonts w:ascii="宋体" w:hAnsi="宋体"/>
                <w:color w:val="auto"/>
                <w:sz w:val="15"/>
                <w:szCs w:val="15"/>
              </w:rPr>
            </w:pPr>
          </w:p>
          <w:p>
            <w:pPr>
              <w:jc w:val="left"/>
              <w:rPr>
                <w:rFonts w:ascii="宋体" w:hAnsi="宋体"/>
                <w:color w:val="auto"/>
                <w:sz w:val="15"/>
                <w:szCs w:val="15"/>
              </w:rPr>
            </w:pPr>
          </w:p>
          <w:p>
            <w:pPr>
              <w:jc w:val="left"/>
              <w:rPr>
                <w:rFonts w:ascii="宋体" w:hAnsi="宋体"/>
                <w:color w:val="auto"/>
                <w:sz w:val="15"/>
                <w:szCs w:val="15"/>
              </w:rPr>
            </w:pPr>
          </w:p>
          <w:p>
            <w:pPr>
              <w:jc w:val="left"/>
              <w:rPr>
                <w:rFonts w:ascii="宋体" w:hAnsi="宋体"/>
                <w:color w:val="auto"/>
                <w:sz w:val="15"/>
                <w:szCs w:val="15"/>
              </w:rPr>
            </w:pPr>
            <w:r>
              <w:rPr>
                <w:rFonts w:hint="eastAsia" w:ascii="宋体" w:hAnsi="宋体"/>
                <w:color w:val="auto"/>
                <w:sz w:val="15"/>
                <w:szCs w:val="15"/>
              </w:rPr>
              <w:t>环境</w:t>
            </w:r>
          </w:p>
          <w:p>
            <w:pPr>
              <w:jc w:val="left"/>
              <w:rPr>
                <w:rFonts w:ascii="宋体" w:hAnsi="宋体"/>
                <w:color w:val="auto"/>
                <w:sz w:val="24"/>
                <w:szCs w:val="24"/>
              </w:rPr>
            </w:pPr>
          </w:p>
        </w:tc>
        <w:tc>
          <w:tcPr>
            <w:tcW w:w="4536" w:type="dxa"/>
            <w:gridSpan w:val="3"/>
          </w:tcPr>
          <w:p>
            <w:pPr>
              <w:jc w:val="left"/>
              <w:rPr>
                <w:rFonts w:ascii="宋体" w:hAnsi="宋体"/>
                <w:color w:val="auto"/>
                <w:sz w:val="15"/>
                <w:szCs w:val="15"/>
              </w:rPr>
            </w:pPr>
            <w:r>
              <w:rPr>
                <w:rFonts w:hint="eastAsia" w:ascii="宋体" w:hAnsi="宋体"/>
                <w:color w:val="auto"/>
                <w:sz w:val="15"/>
                <w:szCs w:val="15"/>
              </w:rPr>
              <w:t>1卧室、起居室、厨房采光系数_</w:t>
            </w:r>
            <w:r>
              <w:rPr>
                <w:rFonts w:ascii="宋体" w:hAnsi="宋体"/>
                <w:color w:val="auto"/>
                <w:sz w:val="15"/>
                <w:szCs w:val="15"/>
              </w:rPr>
              <w:t>__,</w:t>
            </w:r>
            <w:r>
              <w:rPr>
                <w:rFonts w:hint="eastAsia" w:ascii="宋体" w:hAnsi="宋体"/>
                <w:color w:val="auto"/>
                <w:sz w:val="15"/>
                <w:szCs w:val="15"/>
              </w:rPr>
              <w:t>楼梯间采光系数_</w:t>
            </w:r>
            <w:r>
              <w:rPr>
                <w:rFonts w:ascii="宋体" w:hAnsi="宋体"/>
                <w:color w:val="auto"/>
                <w:sz w:val="15"/>
                <w:szCs w:val="15"/>
              </w:rPr>
              <w:t>___</w:t>
            </w:r>
            <w:r>
              <w:rPr>
                <w:rFonts w:hint="eastAsia" w:ascii="宋体" w:hAnsi="宋体"/>
                <w:color w:val="auto"/>
                <w:sz w:val="15"/>
                <w:szCs w:val="15"/>
              </w:rPr>
              <w:t>；卧室、起居室、厨房采光窗洞口的窗地面积比_</w:t>
            </w:r>
            <w:r>
              <w:rPr>
                <w:rFonts w:ascii="宋体" w:hAnsi="宋体"/>
                <w:color w:val="auto"/>
                <w:sz w:val="15"/>
                <w:szCs w:val="15"/>
              </w:rPr>
              <w:t>___</w:t>
            </w:r>
            <w:r>
              <w:rPr>
                <w:rFonts w:hint="eastAsia" w:ascii="宋体" w:hAnsi="宋体"/>
                <w:color w:val="auto"/>
                <w:sz w:val="15"/>
                <w:szCs w:val="15"/>
              </w:rPr>
              <w:t>，楼梯间采光洞口的窗地面积比_</w:t>
            </w:r>
            <w:r>
              <w:rPr>
                <w:rFonts w:ascii="宋体" w:hAnsi="宋体"/>
                <w:color w:val="auto"/>
                <w:sz w:val="15"/>
                <w:szCs w:val="15"/>
              </w:rPr>
              <w:t>___</w:t>
            </w:r>
            <w:r>
              <w:rPr>
                <w:rFonts w:hint="eastAsia" w:ascii="宋体" w:hAnsi="宋体"/>
                <w:color w:val="auto"/>
                <w:sz w:val="15"/>
                <w:szCs w:val="15"/>
              </w:rPr>
              <w:t>；有无遮阳措施_</w:t>
            </w:r>
            <w:r>
              <w:rPr>
                <w:rFonts w:ascii="宋体" w:hAnsi="宋体"/>
                <w:color w:val="auto"/>
                <w:sz w:val="15"/>
                <w:szCs w:val="15"/>
              </w:rPr>
              <w:t>___</w:t>
            </w:r>
          </w:p>
          <w:p>
            <w:pPr>
              <w:jc w:val="left"/>
              <w:rPr>
                <w:rFonts w:ascii="宋体" w:hAnsi="宋体"/>
                <w:color w:val="auto"/>
                <w:sz w:val="15"/>
                <w:szCs w:val="15"/>
              </w:rPr>
            </w:pPr>
            <w:r>
              <w:rPr>
                <w:rFonts w:hint="eastAsia" w:ascii="宋体" w:hAnsi="宋体"/>
                <w:color w:val="auto"/>
                <w:sz w:val="15"/>
                <w:szCs w:val="15"/>
              </w:rPr>
              <w:t>2每套住宅自然通风开口面积与地面面积比_</w:t>
            </w:r>
            <w:r>
              <w:rPr>
                <w:rFonts w:ascii="宋体" w:hAnsi="宋体"/>
                <w:color w:val="auto"/>
                <w:sz w:val="15"/>
                <w:szCs w:val="15"/>
              </w:rPr>
              <w:t>___</w:t>
            </w:r>
            <w:r>
              <w:rPr>
                <w:rFonts w:hint="eastAsia" w:ascii="宋体" w:hAnsi="宋体"/>
                <w:color w:val="auto"/>
                <w:sz w:val="15"/>
                <w:szCs w:val="15"/>
              </w:rPr>
              <w:t>，卧室、起居室、明卫生间自然通风开口面积与地板面积比_</w:t>
            </w:r>
            <w:r>
              <w:rPr>
                <w:rFonts w:ascii="宋体" w:hAnsi="宋体"/>
                <w:color w:val="auto"/>
                <w:sz w:val="15"/>
                <w:szCs w:val="15"/>
              </w:rPr>
              <w:t>__</w:t>
            </w:r>
            <w:r>
              <w:rPr>
                <w:rFonts w:hint="eastAsia" w:ascii="宋体" w:hAnsi="宋体"/>
                <w:color w:val="auto"/>
                <w:sz w:val="15"/>
                <w:szCs w:val="15"/>
              </w:rPr>
              <w:t>，厨房的自然通风开口面积_</w:t>
            </w:r>
            <w:r>
              <w:rPr>
                <w:rFonts w:ascii="宋体" w:hAnsi="宋体"/>
                <w:color w:val="auto"/>
                <w:sz w:val="15"/>
                <w:szCs w:val="15"/>
              </w:rPr>
              <w:t>___,</w:t>
            </w:r>
            <w:r>
              <w:rPr>
                <w:rFonts w:hint="eastAsia" w:ascii="宋体" w:hAnsi="宋体"/>
                <w:color w:val="auto"/>
                <w:sz w:val="15"/>
                <w:szCs w:val="15"/>
              </w:rPr>
              <w:t>与地板面积比_</w:t>
            </w:r>
            <w:r>
              <w:rPr>
                <w:rFonts w:ascii="宋体" w:hAnsi="宋体"/>
                <w:color w:val="auto"/>
                <w:sz w:val="15"/>
                <w:szCs w:val="15"/>
              </w:rPr>
              <w:t>___</w:t>
            </w:r>
          </w:p>
          <w:p>
            <w:pPr>
              <w:jc w:val="left"/>
              <w:rPr>
                <w:rFonts w:ascii="宋体" w:hAnsi="宋体"/>
                <w:color w:val="auto"/>
                <w:sz w:val="15"/>
                <w:szCs w:val="15"/>
              </w:rPr>
            </w:pPr>
            <w:r>
              <w:rPr>
                <w:rFonts w:ascii="宋体" w:hAnsi="宋体"/>
                <w:color w:val="auto"/>
                <w:sz w:val="15"/>
                <w:szCs w:val="15"/>
              </w:rPr>
              <w:t>3</w:t>
            </w:r>
            <w:r>
              <w:rPr>
                <w:rFonts w:hint="eastAsia" w:ascii="宋体" w:hAnsi="宋体"/>
                <w:color w:val="auto"/>
                <w:sz w:val="15"/>
                <w:szCs w:val="15"/>
              </w:rPr>
              <w:t>昼间卧室内噪声级的等效连续A声级为_</w:t>
            </w:r>
            <w:r>
              <w:rPr>
                <w:rFonts w:ascii="宋体" w:hAnsi="宋体"/>
                <w:color w:val="auto"/>
                <w:sz w:val="15"/>
                <w:szCs w:val="15"/>
              </w:rPr>
              <w:t>___</w:t>
            </w:r>
            <w:r>
              <w:rPr>
                <w:rFonts w:hint="eastAsia" w:ascii="宋体" w:hAnsi="宋体"/>
                <w:color w:val="auto"/>
                <w:sz w:val="15"/>
                <w:szCs w:val="15"/>
              </w:rPr>
              <w:t>，夜间卧室内噪声级的等效连续A声级为_</w:t>
            </w:r>
            <w:r>
              <w:rPr>
                <w:rFonts w:ascii="宋体" w:hAnsi="宋体"/>
                <w:color w:val="auto"/>
                <w:sz w:val="15"/>
                <w:szCs w:val="15"/>
              </w:rPr>
              <w:t>____,</w:t>
            </w:r>
            <w:r>
              <w:rPr>
                <w:rFonts w:hint="eastAsia" w:ascii="宋体" w:hAnsi="宋体"/>
                <w:color w:val="auto"/>
                <w:sz w:val="15"/>
                <w:szCs w:val="15"/>
              </w:rPr>
              <w:t>起居室内噪声级的等效连续A声级为_</w:t>
            </w:r>
            <w:r>
              <w:rPr>
                <w:rFonts w:ascii="宋体" w:hAnsi="宋体"/>
                <w:color w:val="auto"/>
                <w:sz w:val="15"/>
                <w:szCs w:val="15"/>
              </w:rPr>
              <w:t>___</w:t>
            </w:r>
            <w:r>
              <w:rPr>
                <w:rFonts w:hint="eastAsia" w:ascii="宋体" w:hAnsi="宋体"/>
                <w:color w:val="auto"/>
                <w:sz w:val="15"/>
                <w:szCs w:val="15"/>
              </w:rPr>
              <w:t>；楼板的计权标准化撞击声压级为_</w:t>
            </w:r>
            <w:r>
              <w:rPr>
                <w:rFonts w:ascii="宋体" w:hAnsi="宋体"/>
                <w:color w:val="auto"/>
                <w:sz w:val="15"/>
                <w:szCs w:val="15"/>
              </w:rPr>
              <w:t>___</w:t>
            </w:r>
            <w:r>
              <w:rPr>
                <w:rFonts w:hint="eastAsia" w:ascii="宋体" w:hAnsi="宋体"/>
                <w:color w:val="auto"/>
                <w:sz w:val="15"/>
                <w:szCs w:val="15"/>
              </w:rPr>
              <w:t>；分隔卧室、起居室的分户墙和分户楼板，空气声隔声评价量为_</w:t>
            </w:r>
            <w:r>
              <w:rPr>
                <w:rFonts w:ascii="宋体" w:hAnsi="宋体"/>
                <w:color w:val="auto"/>
                <w:sz w:val="15"/>
                <w:szCs w:val="15"/>
              </w:rPr>
              <w:t>___</w:t>
            </w:r>
            <w:r>
              <w:rPr>
                <w:rFonts w:hint="eastAsia" w:ascii="宋体" w:hAnsi="宋体"/>
                <w:color w:val="auto"/>
                <w:sz w:val="15"/>
                <w:szCs w:val="15"/>
              </w:rPr>
              <w:t>，分隔住宅和非居住用途空间的楼板，空气声隔声评价量为_</w:t>
            </w:r>
            <w:r>
              <w:rPr>
                <w:rFonts w:ascii="宋体" w:hAnsi="宋体"/>
                <w:color w:val="auto"/>
                <w:sz w:val="15"/>
                <w:szCs w:val="15"/>
              </w:rPr>
              <w:t>___</w:t>
            </w:r>
            <w:r>
              <w:rPr>
                <w:rFonts w:hint="eastAsia" w:ascii="宋体" w:hAnsi="宋体"/>
                <w:color w:val="auto"/>
                <w:sz w:val="15"/>
                <w:szCs w:val="15"/>
              </w:rPr>
              <w:t>；排水管道平均噪声量_</w:t>
            </w:r>
            <w:r>
              <w:rPr>
                <w:rFonts w:ascii="宋体" w:hAnsi="宋体"/>
                <w:color w:val="auto"/>
                <w:sz w:val="15"/>
                <w:szCs w:val="15"/>
              </w:rPr>
              <w:t>___</w:t>
            </w:r>
          </w:p>
          <w:p>
            <w:pPr>
              <w:jc w:val="left"/>
              <w:rPr>
                <w:rFonts w:ascii="宋体" w:hAnsi="宋体"/>
                <w:color w:val="auto"/>
                <w:sz w:val="15"/>
                <w:szCs w:val="15"/>
              </w:rPr>
            </w:pPr>
            <w:r>
              <w:rPr>
                <w:rFonts w:hint="eastAsia" w:ascii="宋体" w:hAnsi="宋体"/>
                <w:color w:val="auto"/>
                <w:sz w:val="15"/>
                <w:szCs w:val="15"/>
              </w:rPr>
              <w:t>4室内氡的活度、浓度为_</w:t>
            </w:r>
            <w:r>
              <w:rPr>
                <w:rFonts w:ascii="宋体" w:hAnsi="宋体"/>
                <w:color w:val="auto"/>
                <w:sz w:val="15"/>
                <w:szCs w:val="15"/>
              </w:rPr>
              <w:t>___,</w:t>
            </w:r>
            <w:r>
              <w:rPr>
                <w:rFonts w:hint="eastAsia" w:ascii="宋体" w:hAnsi="宋体"/>
                <w:color w:val="auto"/>
                <w:sz w:val="15"/>
                <w:szCs w:val="15"/>
              </w:rPr>
              <w:t>室内游离甲醛的活度、浓度为_</w:t>
            </w:r>
            <w:r>
              <w:rPr>
                <w:rFonts w:ascii="宋体" w:hAnsi="宋体"/>
                <w:color w:val="auto"/>
                <w:sz w:val="15"/>
                <w:szCs w:val="15"/>
              </w:rPr>
              <w:t>__</w:t>
            </w:r>
            <w:r>
              <w:rPr>
                <w:rFonts w:hint="eastAsia" w:ascii="宋体" w:hAnsi="宋体"/>
                <w:color w:val="auto"/>
                <w:sz w:val="15"/>
                <w:szCs w:val="15"/>
              </w:rPr>
              <w:t>，室内苯的活度、浓度为_</w:t>
            </w:r>
            <w:r>
              <w:rPr>
                <w:rFonts w:ascii="宋体" w:hAnsi="宋体"/>
                <w:color w:val="auto"/>
                <w:sz w:val="15"/>
                <w:szCs w:val="15"/>
              </w:rPr>
              <w:t>___</w:t>
            </w:r>
            <w:r>
              <w:rPr>
                <w:rFonts w:hint="eastAsia" w:ascii="宋体" w:hAnsi="宋体"/>
                <w:color w:val="auto"/>
                <w:sz w:val="15"/>
                <w:szCs w:val="15"/>
              </w:rPr>
              <w:t>，室内氨的活度、浓度为_</w:t>
            </w:r>
            <w:r>
              <w:rPr>
                <w:rFonts w:ascii="宋体" w:hAnsi="宋体"/>
                <w:color w:val="auto"/>
                <w:sz w:val="15"/>
                <w:szCs w:val="15"/>
              </w:rPr>
              <w:t>___</w:t>
            </w:r>
            <w:r>
              <w:rPr>
                <w:rFonts w:hint="eastAsia" w:ascii="宋体" w:hAnsi="宋体"/>
                <w:color w:val="auto"/>
                <w:sz w:val="15"/>
                <w:szCs w:val="15"/>
              </w:rPr>
              <w:t>，室内T</w:t>
            </w:r>
            <w:r>
              <w:rPr>
                <w:rFonts w:ascii="宋体" w:hAnsi="宋体"/>
                <w:color w:val="auto"/>
                <w:sz w:val="15"/>
                <w:szCs w:val="15"/>
              </w:rPr>
              <w:t>VOC</w:t>
            </w:r>
            <w:r>
              <w:rPr>
                <w:rFonts w:hint="eastAsia" w:ascii="宋体" w:hAnsi="宋体"/>
                <w:color w:val="auto"/>
                <w:sz w:val="15"/>
                <w:szCs w:val="15"/>
              </w:rPr>
              <w:t>的活度、浓度为_</w:t>
            </w:r>
            <w:r>
              <w:rPr>
                <w:rFonts w:ascii="宋体" w:hAnsi="宋体"/>
                <w:color w:val="auto"/>
                <w:sz w:val="15"/>
                <w:szCs w:val="15"/>
              </w:rPr>
              <w:t>____</w:t>
            </w:r>
            <w:r>
              <w:rPr>
                <w:rFonts w:hint="eastAsia" w:ascii="宋体" w:hAnsi="宋体"/>
                <w:color w:val="auto"/>
                <w:sz w:val="15"/>
                <w:szCs w:val="15"/>
              </w:rPr>
              <w:t>。</w:t>
            </w:r>
          </w:p>
          <w:p>
            <w:pPr>
              <w:jc w:val="left"/>
              <w:rPr>
                <w:rFonts w:ascii="宋体" w:hAnsi="宋体"/>
                <w:color w:val="auto"/>
                <w:sz w:val="15"/>
                <w:szCs w:val="15"/>
              </w:rPr>
            </w:pPr>
            <w:r>
              <w:rPr>
                <w:rFonts w:hint="eastAsia" w:ascii="宋体" w:hAnsi="宋体"/>
                <w:color w:val="auto"/>
                <w:sz w:val="15"/>
                <w:szCs w:val="15"/>
              </w:rPr>
              <w:t>5套内起居室照度_</w:t>
            </w:r>
            <w:r>
              <w:rPr>
                <w:rFonts w:ascii="宋体" w:hAnsi="宋体"/>
                <w:color w:val="auto"/>
                <w:sz w:val="15"/>
                <w:szCs w:val="15"/>
              </w:rPr>
              <w:t>___</w:t>
            </w:r>
            <w:r>
              <w:rPr>
                <w:rFonts w:hint="eastAsia" w:ascii="宋体" w:hAnsi="宋体"/>
                <w:color w:val="auto"/>
                <w:sz w:val="15"/>
                <w:szCs w:val="15"/>
              </w:rPr>
              <w:t>，卧室照度_</w:t>
            </w:r>
            <w:r>
              <w:rPr>
                <w:rFonts w:ascii="宋体" w:hAnsi="宋体"/>
                <w:color w:val="auto"/>
                <w:sz w:val="15"/>
                <w:szCs w:val="15"/>
              </w:rPr>
              <w:t>____</w:t>
            </w:r>
            <w:r>
              <w:rPr>
                <w:rFonts w:hint="eastAsia" w:ascii="宋体" w:hAnsi="宋体"/>
                <w:color w:val="auto"/>
                <w:sz w:val="15"/>
                <w:szCs w:val="15"/>
              </w:rPr>
              <w:t>，餐厅照度_</w:t>
            </w:r>
            <w:r>
              <w:rPr>
                <w:rFonts w:ascii="宋体" w:hAnsi="宋体"/>
                <w:color w:val="auto"/>
                <w:sz w:val="15"/>
                <w:szCs w:val="15"/>
              </w:rPr>
              <w:t>___</w:t>
            </w:r>
            <w:r>
              <w:rPr>
                <w:rFonts w:hint="eastAsia" w:ascii="宋体" w:hAnsi="宋体"/>
                <w:color w:val="auto"/>
                <w:sz w:val="15"/>
                <w:szCs w:val="15"/>
              </w:rPr>
              <w:t>，厨房照度_</w:t>
            </w:r>
            <w:r>
              <w:rPr>
                <w:rFonts w:ascii="宋体" w:hAnsi="宋体"/>
                <w:color w:val="auto"/>
                <w:sz w:val="15"/>
                <w:szCs w:val="15"/>
              </w:rPr>
              <w:t>___</w:t>
            </w:r>
            <w:r>
              <w:rPr>
                <w:rFonts w:hint="eastAsia" w:ascii="宋体" w:hAnsi="宋体"/>
                <w:color w:val="auto"/>
                <w:sz w:val="15"/>
                <w:szCs w:val="15"/>
              </w:rPr>
              <w:t>，卫生间照度_</w:t>
            </w:r>
            <w:r>
              <w:rPr>
                <w:rFonts w:ascii="宋体" w:hAnsi="宋体"/>
                <w:color w:val="auto"/>
                <w:sz w:val="15"/>
                <w:szCs w:val="15"/>
              </w:rPr>
              <w:t>___</w:t>
            </w:r>
            <w:r>
              <w:rPr>
                <w:rFonts w:hint="eastAsia" w:ascii="宋体" w:hAnsi="宋体"/>
                <w:color w:val="auto"/>
                <w:sz w:val="15"/>
                <w:szCs w:val="15"/>
              </w:rPr>
              <w:t>，电梯厅照度_</w:t>
            </w:r>
            <w:r>
              <w:rPr>
                <w:rFonts w:ascii="宋体" w:hAnsi="宋体"/>
                <w:color w:val="auto"/>
                <w:sz w:val="15"/>
                <w:szCs w:val="15"/>
              </w:rPr>
              <w:t>___,</w:t>
            </w:r>
            <w:r>
              <w:rPr>
                <w:rFonts w:hint="eastAsia" w:ascii="宋体" w:hAnsi="宋体"/>
                <w:color w:val="auto"/>
                <w:sz w:val="15"/>
                <w:szCs w:val="15"/>
              </w:rPr>
              <w:t>走道、楼梯间照度_</w:t>
            </w:r>
            <w:r>
              <w:rPr>
                <w:rFonts w:ascii="宋体" w:hAnsi="宋体"/>
                <w:color w:val="auto"/>
                <w:sz w:val="15"/>
                <w:szCs w:val="15"/>
              </w:rPr>
              <w:t>___</w:t>
            </w:r>
            <w:r>
              <w:rPr>
                <w:rFonts w:hint="eastAsia" w:ascii="宋体" w:hAnsi="宋体"/>
                <w:color w:val="auto"/>
                <w:sz w:val="15"/>
                <w:szCs w:val="15"/>
              </w:rPr>
              <w:t>，车库照度_</w:t>
            </w:r>
            <w:r>
              <w:rPr>
                <w:rFonts w:ascii="宋体" w:hAnsi="宋体"/>
                <w:color w:val="auto"/>
                <w:sz w:val="15"/>
                <w:szCs w:val="15"/>
              </w:rPr>
              <w:t>___</w:t>
            </w:r>
            <w:r>
              <w:rPr>
                <w:rFonts w:hint="eastAsia" w:ascii="宋体" w:hAnsi="宋体"/>
                <w:color w:val="auto"/>
                <w:sz w:val="15"/>
                <w:szCs w:val="15"/>
              </w:rPr>
              <w:t>。</w:t>
            </w:r>
          </w:p>
          <w:p>
            <w:pPr>
              <w:jc w:val="left"/>
              <w:rPr>
                <w:rFonts w:ascii="宋体" w:hAnsi="宋体"/>
                <w:color w:val="auto"/>
                <w:sz w:val="15"/>
                <w:szCs w:val="15"/>
              </w:rPr>
            </w:pPr>
            <w:r>
              <w:rPr>
                <w:rFonts w:hint="eastAsia" w:ascii="宋体" w:hAnsi="宋体"/>
                <w:color w:val="auto"/>
                <w:sz w:val="15"/>
                <w:szCs w:val="15"/>
              </w:rPr>
              <w:t>6楼板自振频率为_</w:t>
            </w:r>
            <w:r>
              <w:rPr>
                <w:rFonts w:ascii="宋体" w:hAnsi="宋体"/>
                <w:color w:val="auto"/>
                <w:sz w:val="15"/>
                <w:szCs w:val="15"/>
              </w:rPr>
              <w:t>_____</w:t>
            </w:r>
            <w:r>
              <w:rPr>
                <w:rFonts w:hint="eastAsia" w:ascii="宋体" w:hAnsi="宋体"/>
                <w:color w:val="auto"/>
                <w:sz w:val="15"/>
                <w:szCs w:val="15"/>
              </w:rPr>
              <w:t>，室内有无采用减震、隔震技术_</w:t>
            </w:r>
            <w:r>
              <w:rPr>
                <w:rFonts w:ascii="宋体" w:hAnsi="宋体"/>
                <w:color w:val="auto"/>
                <w:sz w:val="15"/>
                <w:szCs w:val="15"/>
              </w:rPr>
              <w:t>_____</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宋体" w:hAnsi="宋体"/>
                <w:color w:val="auto"/>
                <w:sz w:val="24"/>
                <w:szCs w:val="24"/>
              </w:rPr>
            </w:pPr>
          </w:p>
        </w:tc>
        <w:tc>
          <w:tcPr>
            <w:tcW w:w="992" w:type="dxa"/>
            <w:vMerge w:val="restart"/>
          </w:tcPr>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p>
          <w:p>
            <w:pPr>
              <w:jc w:val="left"/>
              <w:rPr>
                <w:rFonts w:ascii="宋体" w:hAnsi="宋体"/>
                <w:color w:val="auto"/>
                <w:sz w:val="18"/>
                <w:szCs w:val="18"/>
              </w:rPr>
            </w:pPr>
            <w:r>
              <w:rPr>
                <w:rFonts w:hint="eastAsia" w:ascii="宋体" w:hAnsi="宋体"/>
                <w:color w:val="auto"/>
                <w:sz w:val="18"/>
                <w:szCs w:val="18"/>
              </w:rPr>
              <w:t>建筑单体</w:t>
            </w:r>
          </w:p>
        </w:tc>
        <w:tc>
          <w:tcPr>
            <w:tcW w:w="709" w:type="dxa"/>
            <w:gridSpan w:val="2"/>
          </w:tcPr>
          <w:p>
            <w:pPr>
              <w:jc w:val="left"/>
              <w:rPr>
                <w:rFonts w:ascii="宋体" w:hAnsi="宋体"/>
                <w:color w:val="auto"/>
                <w:sz w:val="15"/>
                <w:szCs w:val="15"/>
              </w:rPr>
            </w:pPr>
          </w:p>
          <w:p>
            <w:pPr>
              <w:jc w:val="left"/>
              <w:rPr>
                <w:rFonts w:ascii="宋体" w:hAnsi="宋体"/>
                <w:color w:val="auto"/>
                <w:sz w:val="15"/>
                <w:szCs w:val="15"/>
              </w:rPr>
            </w:pPr>
          </w:p>
          <w:p>
            <w:pPr>
              <w:jc w:val="left"/>
              <w:rPr>
                <w:rFonts w:ascii="宋体" w:hAnsi="宋体"/>
                <w:color w:val="auto"/>
                <w:sz w:val="15"/>
                <w:szCs w:val="15"/>
              </w:rPr>
            </w:pPr>
            <w:r>
              <w:rPr>
                <w:rFonts w:hint="eastAsia" w:ascii="宋体" w:hAnsi="宋体"/>
                <w:color w:val="auto"/>
                <w:sz w:val="15"/>
                <w:szCs w:val="15"/>
              </w:rPr>
              <w:t>热工</w:t>
            </w:r>
          </w:p>
          <w:p>
            <w:pPr>
              <w:jc w:val="left"/>
              <w:rPr>
                <w:rFonts w:ascii="宋体" w:hAnsi="宋体"/>
                <w:color w:val="auto"/>
                <w:sz w:val="15"/>
                <w:szCs w:val="15"/>
              </w:rPr>
            </w:pPr>
            <w:r>
              <w:rPr>
                <w:rFonts w:hint="eastAsia" w:ascii="宋体" w:hAnsi="宋体"/>
                <w:color w:val="auto"/>
                <w:sz w:val="15"/>
                <w:szCs w:val="15"/>
              </w:rPr>
              <w:t>性能</w:t>
            </w:r>
          </w:p>
          <w:p>
            <w:pPr>
              <w:jc w:val="left"/>
              <w:rPr>
                <w:rFonts w:ascii="宋体" w:hAnsi="宋体"/>
                <w:color w:val="auto"/>
                <w:sz w:val="15"/>
                <w:szCs w:val="15"/>
              </w:rPr>
            </w:pPr>
            <w:r>
              <w:rPr>
                <w:rFonts w:hint="eastAsia" w:ascii="宋体" w:hAnsi="宋体"/>
                <w:color w:val="auto"/>
                <w:sz w:val="15"/>
                <w:szCs w:val="15"/>
              </w:rPr>
              <w:t>设计</w:t>
            </w:r>
          </w:p>
        </w:tc>
        <w:tc>
          <w:tcPr>
            <w:tcW w:w="4536" w:type="dxa"/>
            <w:gridSpan w:val="3"/>
          </w:tcPr>
          <w:p>
            <w:pPr>
              <w:jc w:val="left"/>
              <w:rPr>
                <w:rFonts w:ascii="宋体" w:hAnsi="宋体"/>
                <w:color w:val="auto"/>
                <w:sz w:val="15"/>
                <w:szCs w:val="15"/>
              </w:rPr>
            </w:pPr>
            <w:r>
              <w:rPr>
                <w:rFonts w:hint="eastAsia" w:ascii="宋体" w:hAnsi="宋体"/>
                <w:color w:val="auto"/>
                <w:sz w:val="15"/>
                <w:szCs w:val="15"/>
              </w:rPr>
              <w:t>1建筑体形系数_</w:t>
            </w:r>
            <w:r>
              <w:rPr>
                <w:rFonts w:ascii="宋体" w:hAnsi="宋体"/>
                <w:color w:val="auto"/>
                <w:sz w:val="15"/>
                <w:szCs w:val="15"/>
              </w:rPr>
              <w:t>____</w:t>
            </w:r>
            <w:r>
              <w:rPr>
                <w:rFonts w:hint="eastAsia" w:ascii="宋体" w:hAnsi="宋体"/>
                <w:color w:val="auto"/>
                <w:sz w:val="15"/>
                <w:szCs w:val="15"/>
              </w:rPr>
              <w:t>，外墙系统_</w:t>
            </w:r>
            <w:r>
              <w:rPr>
                <w:rFonts w:ascii="宋体" w:hAnsi="宋体"/>
                <w:color w:val="auto"/>
                <w:sz w:val="15"/>
                <w:szCs w:val="15"/>
              </w:rPr>
              <w:t>___</w:t>
            </w:r>
            <w:r>
              <w:rPr>
                <w:rFonts w:hint="eastAsia" w:ascii="宋体" w:hAnsi="宋体"/>
                <w:color w:val="auto"/>
                <w:sz w:val="15"/>
                <w:szCs w:val="15"/>
              </w:rPr>
              <w:t>_</w:t>
            </w:r>
            <w:r>
              <w:rPr>
                <w:rFonts w:ascii="宋体" w:hAnsi="宋体"/>
                <w:color w:val="auto"/>
                <w:sz w:val="15"/>
                <w:szCs w:val="15"/>
              </w:rPr>
              <w:t>__</w:t>
            </w:r>
            <w:r>
              <w:rPr>
                <w:rFonts w:hint="eastAsia" w:ascii="宋体" w:hAnsi="宋体"/>
                <w:color w:val="auto"/>
                <w:sz w:val="15"/>
                <w:szCs w:val="15"/>
              </w:rPr>
              <w:t>，外墙热惰性指标D_</w:t>
            </w:r>
            <w:r>
              <w:rPr>
                <w:rFonts w:ascii="宋体" w:hAnsi="宋体"/>
                <w:color w:val="auto"/>
                <w:sz w:val="15"/>
                <w:szCs w:val="15"/>
              </w:rPr>
              <w:t>___</w:t>
            </w:r>
            <w:r>
              <w:rPr>
                <w:rFonts w:hint="eastAsia" w:ascii="宋体" w:hAnsi="宋体"/>
                <w:color w:val="auto"/>
                <w:sz w:val="15"/>
                <w:szCs w:val="15"/>
              </w:rPr>
              <w:t>外墙综合传热系数_</w:t>
            </w:r>
            <w:r>
              <w:rPr>
                <w:rFonts w:ascii="宋体" w:hAnsi="宋体"/>
                <w:color w:val="auto"/>
                <w:sz w:val="15"/>
                <w:szCs w:val="15"/>
              </w:rPr>
              <w:t>____</w:t>
            </w:r>
            <w:r>
              <w:rPr>
                <w:rFonts w:hint="eastAsia" w:ascii="宋体" w:hAnsi="宋体"/>
                <w:color w:val="auto"/>
                <w:sz w:val="15"/>
                <w:szCs w:val="15"/>
              </w:rPr>
              <w:t>；屋面热惰性指标_</w:t>
            </w:r>
            <w:r>
              <w:rPr>
                <w:rFonts w:ascii="宋体" w:hAnsi="宋体"/>
                <w:color w:val="auto"/>
                <w:sz w:val="15"/>
                <w:szCs w:val="15"/>
              </w:rPr>
              <w:t>___</w:t>
            </w:r>
            <w:r>
              <w:rPr>
                <w:rFonts w:hint="eastAsia" w:ascii="宋体" w:hAnsi="宋体"/>
                <w:color w:val="auto"/>
                <w:sz w:val="15"/>
                <w:szCs w:val="15"/>
              </w:rPr>
              <w:t>，屋面传热系数_</w:t>
            </w:r>
            <w:r>
              <w:rPr>
                <w:rFonts w:ascii="宋体" w:hAnsi="宋体"/>
                <w:color w:val="auto"/>
                <w:sz w:val="15"/>
                <w:szCs w:val="15"/>
              </w:rPr>
              <w:t>__</w:t>
            </w:r>
          </w:p>
          <w:p>
            <w:pPr>
              <w:jc w:val="left"/>
              <w:rPr>
                <w:rFonts w:ascii="宋体" w:hAnsi="宋体"/>
                <w:color w:val="auto"/>
                <w:sz w:val="15"/>
                <w:szCs w:val="15"/>
              </w:rPr>
            </w:pPr>
            <w:r>
              <w:rPr>
                <w:rFonts w:ascii="宋体" w:hAnsi="宋体"/>
                <w:color w:val="auto"/>
                <w:sz w:val="15"/>
                <w:szCs w:val="15"/>
              </w:rPr>
              <w:t>2</w:t>
            </w:r>
            <w:r>
              <w:rPr>
                <w:rFonts w:hint="eastAsia" w:ascii="宋体" w:hAnsi="宋体"/>
                <w:color w:val="auto"/>
                <w:sz w:val="15"/>
                <w:szCs w:val="15"/>
              </w:rPr>
              <w:t>底面接触室外空气的架空或外挑楼板传热系数_</w:t>
            </w:r>
            <w:r>
              <w:rPr>
                <w:rFonts w:ascii="宋体" w:hAnsi="宋体"/>
                <w:color w:val="auto"/>
                <w:sz w:val="15"/>
                <w:szCs w:val="15"/>
              </w:rPr>
              <w:t>____</w:t>
            </w:r>
            <w:r>
              <w:rPr>
                <w:rFonts w:hint="eastAsia" w:ascii="宋体" w:hAnsi="宋体"/>
                <w:color w:val="auto"/>
                <w:sz w:val="15"/>
                <w:szCs w:val="15"/>
              </w:rPr>
              <w:t>，分户墙、楼板、楼梯间隔墙传热系数_</w:t>
            </w:r>
            <w:r>
              <w:rPr>
                <w:rFonts w:ascii="宋体" w:hAnsi="宋体"/>
                <w:color w:val="auto"/>
                <w:sz w:val="15"/>
                <w:szCs w:val="15"/>
              </w:rPr>
              <w:t>_____</w:t>
            </w:r>
          </w:p>
          <w:p>
            <w:pPr>
              <w:jc w:val="left"/>
              <w:rPr>
                <w:rFonts w:ascii="宋体" w:hAnsi="宋体"/>
                <w:color w:val="auto"/>
                <w:sz w:val="15"/>
                <w:szCs w:val="15"/>
              </w:rPr>
            </w:pPr>
            <w:r>
              <w:rPr>
                <w:rFonts w:hint="eastAsia" w:ascii="宋体" w:hAnsi="宋体"/>
                <w:color w:val="auto"/>
                <w:sz w:val="15"/>
                <w:szCs w:val="15"/>
              </w:rPr>
              <w:t>3户门传热系数_</w:t>
            </w:r>
            <w:r>
              <w:rPr>
                <w:rFonts w:ascii="宋体" w:hAnsi="宋体"/>
                <w:color w:val="auto"/>
                <w:sz w:val="15"/>
                <w:szCs w:val="15"/>
              </w:rPr>
              <w:t>___,</w:t>
            </w:r>
            <w:r>
              <w:rPr>
                <w:rFonts w:hint="eastAsia" w:ascii="宋体" w:hAnsi="宋体"/>
                <w:color w:val="auto"/>
                <w:sz w:val="15"/>
                <w:szCs w:val="15"/>
              </w:rPr>
              <w:t>外墙传热系数_</w:t>
            </w:r>
            <w:r>
              <w:rPr>
                <w:rFonts w:ascii="宋体" w:hAnsi="宋体"/>
                <w:color w:val="auto"/>
                <w:sz w:val="15"/>
                <w:szCs w:val="15"/>
              </w:rPr>
              <w:t>___</w:t>
            </w:r>
            <w:r>
              <w:rPr>
                <w:rFonts w:hint="eastAsia" w:ascii="宋体" w:hAnsi="宋体"/>
                <w:color w:val="auto"/>
                <w:sz w:val="15"/>
                <w:szCs w:val="15"/>
              </w:rPr>
              <w:t>，窗墙比_</w:t>
            </w:r>
            <w:r>
              <w:rPr>
                <w:rFonts w:ascii="宋体" w:hAnsi="宋体"/>
                <w:color w:val="auto"/>
                <w:sz w:val="15"/>
                <w:szCs w:val="15"/>
              </w:rPr>
              <w:t>___</w:t>
            </w:r>
            <w:r>
              <w:rPr>
                <w:rFonts w:hint="eastAsia" w:ascii="宋体" w:hAnsi="宋体"/>
                <w:color w:val="auto"/>
                <w:sz w:val="15"/>
                <w:szCs w:val="15"/>
              </w:rPr>
              <w:t>，外窗综合遮阳系数_</w:t>
            </w:r>
            <w:r>
              <w:rPr>
                <w:rFonts w:ascii="宋体" w:hAnsi="宋体"/>
                <w:color w:val="auto"/>
                <w:sz w:val="15"/>
                <w:szCs w:val="15"/>
              </w:rPr>
              <w:t>____</w:t>
            </w:r>
          </w:p>
          <w:p>
            <w:pPr>
              <w:jc w:val="left"/>
              <w:rPr>
                <w:rFonts w:ascii="宋体" w:hAnsi="宋体"/>
                <w:color w:val="auto"/>
                <w:sz w:val="15"/>
                <w:szCs w:val="15"/>
              </w:rPr>
            </w:pPr>
            <w:r>
              <w:rPr>
                <w:rFonts w:hint="eastAsia" w:ascii="宋体" w:hAnsi="宋体"/>
                <w:color w:val="auto"/>
                <w:sz w:val="15"/>
                <w:szCs w:val="15"/>
              </w:rPr>
              <w:t>4外窗及敞开式阳台门气密性等级_</w:t>
            </w:r>
            <w:r>
              <w:rPr>
                <w:rFonts w:ascii="宋体" w:hAnsi="宋体"/>
                <w:color w:val="auto"/>
                <w:sz w:val="15"/>
                <w:szCs w:val="15"/>
              </w:rPr>
              <w:t>___</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宋体" w:hAnsi="宋体"/>
                <w:color w:val="auto"/>
                <w:sz w:val="24"/>
                <w:szCs w:val="24"/>
              </w:rPr>
            </w:pPr>
          </w:p>
        </w:tc>
        <w:tc>
          <w:tcPr>
            <w:tcW w:w="992" w:type="dxa"/>
            <w:vMerge w:val="continue"/>
          </w:tcPr>
          <w:p>
            <w:pPr>
              <w:spacing w:line="100" w:lineRule="atLeast"/>
              <w:rPr>
                <w:rFonts w:ascii="宋体" w:hAnsi="宋体"/>
                <w:color w:val="auto"/>
                <w:sz w:val="18"/>
                <w:szCs w:val="18"/>
              </w:rPr>
            </w:pPr>
          </w:p>
        </w:tc>
        <w:tc>
          <w:tcPr>
            <w:tcW w:w="709" w:type="dxa"/>
            <w:gridSpan w:val="2"/>
            <w:vMerge w:val="restart"/>
          </w:tcPr>
          <w:p>
            <w:pPr>
              <w:spacing w:line="100" w:lineRule="atLeast"/>
              <w:rPr>
                <w:rFonts w:ascii="宋体" w:hAnsi="宋体"/>
                <w:color w:val="auto"/>
                <w:sz w:val="15"/>
                <w:szCs w:val="15"/>
              </w:rPr>
            </w:pPr>
          </w:p>
          <w:p>
            <w:pPr>
              <w:spacing w:line="100" w:lineRule="atLeast"/>
              <w:rPr>
                <w:rFonts w:ascii="宋体" w:hAnsi="宋体"/>
                <w:color w:val="auto"/>
                <w:sz w:val="15"/>
                <w:szCs w:val="15"/>
              </w:rPr>
            </w:pPr>
          </w:p>
          <w:p>
            <w:pPr>
              <w:spacing w:line="100" w:lineRule="atLeast"/>
              <w:rPr>
                <w:rFonts w:ascii="宋体" w:hAnsi="宋体"/>
                <w:color w:val="auto"/>
                <w:sz w:val="15"/>
                <w:szCs w:val="15"/>
              </w:rPr>
            </w:pPr>
          </w:p>
          <w:p>
            <w:pPr>
              <w:spacing w:line="100" w:lineRule="atLeast"/>
              <w:rPr>
                <w:rFonts w:ascii="宋体" w:hAnsi="宋体"/>
                <w:color w:val="auto"/>
                <w:sz w:val="15"/>
                <w:szCs w:val="15"/>
              </w:rPr>
            </w:pPr>
            <w:r>
              <w:rPr>
                <w:rFonts w:hint="eastAsia" w:ascii="宋体" w:hAnsi="宋体"/>
                <w:color w:val="auto"/>
                <w:sz w:val="15"/>
                <w:szCs w:val="15"/>
              </w:rPr>
              <w:t>设备</w:t>
            </w:r>
          </w:p>
          <w:p>
            <w:pPr>
              <w:spacing w:line="100" w:lineRule="atLeast"/>
              <w:rPr>
                <w:rFonts w:ascii="宋体" w:hAnsi="宋体"/>
                <w:color w:val="auto"/>
                <w:sz w:val="15"/>
                <w:szCs w:val="15"/>
              </w:rPr>
            </w:pPr>
            <w:r>
              <w:rPr>
                <w:rFonts w:hint="eastAsia" w:ascii="宋体" w:hAnsi="宋体"/>
                <w:color w:val="auto"/>
                <w:sz w:val="15"/>
                <w:szCs w:val="15"/>
              </w:rPr>
              <w:t>设施</w:t>
            </w:r>
          </w:p>
        </w:tc>
        <w:tc>
          <w:tcPr>
            <w:tcW w:w="850" w:type="dxa"/>
          </w:tcPr>
          <w:p>
            <w:pPr>
              <w:spacing w:line="100" w:lineRule="atLeast"/>
              <w:rPr>
                <w:rFonts w:ascii="宋体" w:hAnsi="宋体"/>
                <w:color w:val="auto"/>
                <w:sz w:val="15"/>
                <w:szCs w:val="15"/>
              </w:rPr>
            </w:pPr>
            <w:r>
              <w:rPr>
                <w:rFonts w:hint="eastAsia" w:ascii="宋体" w:hAnsi="宋体"/>
                <w:color w:val="auto"/>
                <w:sz w:val="15"/>
                <w:szCs w:val="15"/>
              </w:rPr>
              <w:t>给排水与燃气系统</w:t>
            </w:r>
          </w:p>
        </w:tc>
        <w:tc>
          <w:tcPr>
            <w:tcW w:w="3686" w:type="dxa"/>
            <w:gridSpan w:val="2"/>
          </w:tcPr>
          <w:p>
            <w:pPr>
              <w:spacing w:line="100" w:lineRule="atLeast"/>
              <w:rPr>
                <w:rFonts w:ascii="宋体" w:hAnsi="宋体"/>
                <w:color w:val="auto"/>
                <w:sz w:val="15"/>
                <w:szCs w:val="15"/>
              </w:rPr>
            </w:pPr>
            <w:r>
              <w:rPr>
                <w:rFonts w:hint="eastAsia" w:ascii="宋体" w:hAnsi="宋体"/>
                <w:color w:val="auto"/>
                <w:sz w:val="15"/>
                <w:szCs w:val="15"/>
              </w:rPr>
              <w:t>1热水系统_</w:t>
            </w:r>
            <w:r>
              <w:rPr>
                <w:rFonts w:ascii="宋体" w:hAnsi="宋体"/>
                <w:color w:val="auto"/>
                <w:sz w:val="15"/>
                <w:szCs w:val="15"/>
              </w:rPr>
              <w:t>___(</w:t>
            </w:r>
            <w:r>
              <w:rPr>
                <w:rFonts w:hint="eastAsia" w:ascii="宋体" w:hAnsi="宋体"/>
                <w:color w:val="auto"/>
                <w:sz w:val="15"/>
                <w:szCs w:val="15"/>
              </w:rPr>
              <w:t>燃气/电/太阳能</w:t>
            </w:r>
            <w:r>
              <w:rPr>
                <w:rFonts w:ascii="宋体" w:hAnsi="宋体"/>
                <w:color w:val="auto"/>
                <w:sz w:val="15"/>
                <w:szCs w:val="15"/>
              </w:rPr>
              <w:t>)</w:t>
            </w:r>
          </w:p>
          <w:p>
            <w:pPr>
              <w:spacing w:line="100" w:lineRule="atLeast"/>
              <w:rPr>
                <w:rFonts w:ascii="宋体" w:hAnsi="宋体"/>
                <w:color w:val="auto"/>
                <w:sz w:val="15"/>
                <w:szCs w:val="15"/>
              </w:rPr>
            </w:pPr>
            <w:r>
              <w:rPr>
                <w:rFonts w:ascii="宋体" w:hAnsi="宋体"/>
                <w:color w:val="auto"/>
                <w:sz w:val="15"/>
                <w:szCs w:val="15"/>
              </w:rPr>
              <w:t>2</w:t>
            </w:r>
            <w:r>
              <w:rPr>
                <w:rFonts w:hint="eastAsia" w:ascii="宋体" w:hAnsi="宋体"/>
                <w:color w:val="auto"/>
                <w:sz w:val="15"/>
                <w:szCs w:val="15"/>
              </w:rPr>
              <w:t>排水设备和器具有无分别设置存水弯，存水弯水封深度_</w:t>
            </w:r>
            <w:r>
              <w:rPr>
                <w:rFonts w:ascii="宋体" w:hAnsi="宋体"/>
                <w:color w:val="auto"/>
                <w:sz w:val="15"/>
                <w:szCs w:val="15"/>
              </w:rPr>
              <w:t>____</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宋体" w:hAnsi="宋体"/>
                <w:color w:val="auto"/>
                <w:sz w:val="24"/>
                <w:szCs w:val="24"/>
              </w:rPr>
            </w:pPr>
          </w:p>
        </w:tc>
        <w:tc>
          <w:tcPr>
            <w:tcW w:w="992" w:type="dxa"/>
            <w:vMerge w:val="continue"/>
          </w:tcPr>
          <w:p>
            <w:pPr>
              <w:spacing w:line="100" w:lineRule="atLeast"/>
              <w:rPr>
                <w:rFonts w:ascii="宋体" w:hAnsi="宋体"/>
                <w:color w:val="auto"/>
                <w:sz w:val="18"/>
                <w:szCs w:val="18"/>
              </w:rPr>
            </w:pPr>
          </w:p>
        </w:tc>
        <w:tc>
          <w:tcPr>
            <w:tcW w:w="709" w:type="dxa"/>
            <w:gridSpan w:val="2"/>
            <w:vMerge w:val="continue"/>
          </w:tcPr>
          <w:p>
            <w:pPr>
              <w:spacing w:line="100" w:lineRule="atLeast"/>
              <w:rPr>
                <w:rFonts w:ascii="宋体" w:hAnsi="宋体"/>
                <w:color w:val="auto"/>
                <w:sz w:val="15"/>
                <w:szCs w:val="15"/>
              </w:rPr>
            </w:pPr>
          </w:p>
        </w:tc>
        <w:tc>
          <w:tcPr>
            <w:tcW w:w="850" w:type="dxa"/>
          </w:tcPr>
          <w:p>
            <w:pPr>
              <w:spacing w:line="100" w:lineRule="atLeast"/>
              <w:rPr>
                <w:rFonts w:ascii="宋体" w:hAnsi="宋体"/>
                <w:color w:val="auto"/>
                <w:sz w:val="15"/>
                <w:szCs w:val="15"/>
              </w:rPr>
            </w:pPr>
            <w:r>
              <w:rPr>
                <w:rFonts w:hint="eastAsia" w:ascii="宋体" w:hAnsi="宋体"/>
                <w:color w:val="auto"/>
                <w:sz w:val="15"/>
                <w:szCs w:val="15"/>
              </w:rPr>
              <w:t>采暖、通风与空调系统</w:t>
            </w:r>
          </w:p>
        </w:tc>
        <w:tc>
          <w:tcPr>
            <w:tcW w:w="3686" w:type="dxa"/>
            <w:gridSpan w:val="2"/>
          </w:tcPr>
          <w:p>
            <w:pPr>
              <w:spacing w:line="100" w:lineRule="atLeast"/>
              <w:rPr>
                <w:rFonts w:ascii="宋体" w:hAnsi="宋体"/>
                <w:color w:val="auto"/>
                <w:sz w:val="15"/>
                <w:szCs w:val="15"/>
              </w:rPr>
            </w:pPr>
            <w:r>
              <w:rPr>
                <w:rFonts w:hint="eastAsia" w:ascii="宋体" w:hAnsi="宋体"/>
                <w:color w:val="auto"/>
                <w:sz w:val="15"/>
                <w:szCs w:val="15"/>
              </w:rPr>
              <w:t>1采暖系统_</w:t>
            </w:r>
            <w:r>
              <w:rPr>
                <w:rFonts w:ascii="宋体" w:hAnsi="宋体"/>
                <w:color w:val="auto"/>
                <w:sz w:val="15"/>
                <w:szCs w:val="15"/>
              </w:rPr>
              <w:t>___(</w:t>
            </w:r>
            <w:r>
              <w:rPr>
                <w:rFonts w:hint="eastAsia" w:ascii="宋体" w:hAnsi="宋体"/>
                <w:color w:val="auto"/>
                <w:sz w:val="15"/>
                <w:szCs w:val="15"/>
              </w:rPr>
              <w:t>暖气片/地暖/空调</w:t>
            </w:r>
            <w:r>
              <w:rPr>
                <w:rFonts w:ascii="宋体" w:hAnsi="宋体"/>
                <w:color w:val="auto"/>
                <w:sz w:val="15"/>
                <w:szCs w:val="15"/>
              </w:rPr>
              <w:t>)</w:t>
            </w:r>
            <w:r>
              <w:rPr>
                <w:rFonts w:hint="eastAsia" w:ascii="宋体" w:hAnsi="宋体"/>
                <w:color w:val="auto"/>
                <w:sz w:val="15"/>
                <w:szCs w:val="15"/>
              </w:rPr>
              <w:t>，</w:t>
            </w:r>
          </w:p>
          <w:p>
            <w:pPr>
              <w:spacing w:line="100" w:lineRule="atLeast"/>
              <w:rPr>
                <w:rFonts w:ascii="宋体" w:hAnsi="宋体"/>
                <w:color w:val="auto"/>
                <w:sz w:val="15"/>
                <w:szCs w:val="15"/>
              </w:rPr>
            </w:pPr>
            <w:r>
              <w:rPr>
                <w:rFonts w:ascii="宋体" w:hAnsi="宋体"/>
                <w:color w:val="auto"/>
                <w:sz w:val="15"/>
                <w:szCs w:val="15"/>
              </w:rPr>
              <w:t>2</w:t>
            </w:r>
            <w:r>
              <w:rPr>
                <w:rFonts w:hint="eastAsia" w:ascii="宋体" w:hAnsi="宋体"/>
                <w:color w:val="auto"/>
                <w:sz w:val="15"/>
                <w:szCs w:val="15"/>
              </w:rPr>
              <w:t>新风系统_</w:t>
            </w:r>
            <w:r>
              <w:rPr>
                <w:rFonts w:ascii="宋体" w:hAnsi="宋体"/>
                <w:color w:val="auto"/>
                <w:sz w:val="15"/>
                <w:szCs w:val="15"/>
              </w:rPr>
              <w:t>___</w:t>
            </w:r>
            <w:r>
              <w:rPr>
                <w:rFonts w:hint="eastAsia" w:ascii="宋体" w:hAnsi="宋体"/>
                <w:color w:val="auto"/>
                <w:sz w:val="15"/>
                <w:szCs w:val="15"/>
              </w:rPr>
              <w:t>，新风量_</w:t>
            </w:r>
            <w:r>
              <w:rPr>
                <w:rFonts w:ascii="宋体" w:hAnsi="宋体"/>
                <w:color w:val="auto"/>
                <w:sz w:val="15"/>
                <w:szCs w:val="15"/>
              </w:rPr>
              <w:t>___</w:t>
            </w:r>
            <w:r>
              <w:rPr>
                <w:rFonts w:hint="eastAsia" w:ascii="宋体" w:hAnsi="宋体"/>
                <w:color w:val="auto"/>
                <w:sz w:val="15"/>
                <w:szCs w:val="15"/>
              </w:rPr>
              <w:t>人/h，室内湿度夏季_</w:t>
            </w:r>
            <w:r>
              <w:rPr>
                <w:rFonts w:ascii="宋体" w:hAnsi="宋体"/>
                <w:color w:val="auto"/>
                <w:sz w:val="15"/>
                <w:szCs w:val="15"/>
              </w:rPr>
              <w:t>___</w:t>
            </w:r>
            <w:r>
              <w:rPr>
                <w:rFonts w:hint="eastAsia" w:ascii="宋体" w:hAnsi="宋体"/>
                <w:color w:val="auto"/>
                <w:sz w:val="15"/>
                <w:szCs w:val="15"/>
              </w:rPr>
              <w:t>，冬季_</w:t>
            </w:r>
            <w:r>
              <w:rPr>
                <w:rFonts w:ascii="宋体" w:hAnsi="宋体"/>
                <w:color w:val="auto"/>
                <w:sz w:val="15"/>
                <w:szCs w:val="15"/>
              </w:rPr>
              <w:t>___</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宋体" w:hAnsi="宋体"/>
                <w:color w:val="auto"/>
                <w:sz w:val="24"/>
                <w:szCs w:val="24"/>
              </w:rPr>
            </w:pPr>
          </w:p>
        </w:tc>
        <w:tc>
          <w:tcPr>
            <w:tcW w:w="992" w:type="dxa"/>
            <w:vMerge w:val="continue"/>
          </w:tcPr>
          <w:p>
            <w:pPr>
              <w:spacing w:line="100" w:lineRule="atLeast"/>
              <w:rPr>
                <w:rFonts w:ascii="宋体" w:hAnsi="宋体"/>
                <w:color w:val="auto"/>
                <w:sz w:val="18"/>
                <w:szCs w:val="18"/>
              </w:rPr>
            </w:pPr>
          </w:p>
        </w:tc>
        <w:tc>
          <w:tcPr>
            <w:tcW w:w="709" w:type="dxa"/>
            <w:gridSpan w:val="2"/>
            <w:vMerge w:val="continue"/>
          </w:tcPr>
          <w:p>
            <w:pPr>
              <w:spacing w:line="100" w:lineRule="atLeast"/>
              <w:rPr>
                <w:rFonts w:ascii="宋体" w:hAnsi="宋体"/>
                <w:color w:val="auto"/>
                <w:sz w:val="15"/>
                <w:szCs w:val="15"/>
              </w:rPr>
            </w:pPr>
          </w:p>
        </w:tc>
        <w:tc>
          <w:tcPr>
            <w:tcW w:w="850" w:type="dxa"/>
          </w:tcPr>
          <w:p>
            <w:pPr>
              <w:spacing w:line="100" w:lineRule="atLeast"/>
              <w:rPr>
                <w:rFonts w:ascii="宋体" w:hAnsi="宋体"/>
                <w:color w:val="auto"/>
                <w:sz w:val="15"/>
                <w:szCs w:val="15"/>
              </w:rPr>
            </w:pPr>
            <w:r>
              <w:rPr>
                <w:rFonts w:hint="eastAsia" w:ascii="宋体" w:hAnsi="宋体"/>
                <w:color w:val="auto"/>
                <w:sz w:val="15"/>
                <w:szCs w:val="15"/>
              </w:rPr>
              <w:t>电气设备与设施</w:t>
            </w:r>
          </w:p>
        </w:tc>
        <w:tc>
          <w:tcPr>
            <w:tcW w:w="3686" w:type="dxa"/>
            <w:gridSpan w:val="2"/>
          </w:tcPr>
          <w:p>
            <w:pPr>
              <w:spacing w:line="100" w:lineRule="atLeast"/>
              <w:rPr>
                <w:rFonts w:ascii="宋体" w:hAnsi="宋体"/>
                <w:color w:val="auto"/>
                <w:sz w:val="15"/>
                <w:szCs w:val="15"/>
              </w:rPr>
            </w:pPr>
            <w:r>
              <w:rPr>
                <w:rFonts w:hint="eastAsia" w:ascii="宋体" w:hAnsi="宋体"/>
                <w:color w:val="auto"/>
                <w:sz w:val="15"/>
                <w:szCs w:val="15"/>
              </w:rPr>
              <w:t>1起居室、卧室、书房、厨房插座数量_</w:t>
            </w:r>
            <w:r>
              <w:rPr>
                <w:rFonts w:ascii="宋体" w:hAnsi="宋体"/>
                <w:color w:val="auto"/>
                <w:sz w:val="15"/>
                <w:szCs w:val="15"/>
              </w:rPr>
              <w:t>___</w:t>
            </w:r>
          </w:p>
          <w:p>
            <w:pPr>
              <w:spacing w:line="100" w:lineRule="atLeast"/>
              <w:rPr>
                <w:rFonts w:ascii="宋体" w:hAnsi="宋体"/>
                <w:color w:val="auto"/>
                <w:sz w:val="15"/>
                <w:szCs w:val="15"/>
              </w:rPr>
            </w:pPr>
            <w:r>
              <w:rPr>
                <w:rFonts w:hint="eastAsia" w:ascii="宋体" w:hAnsi="宋体"/>
                <w:color w:val="auto"/>
                <w:sz w:val="15"/>
                <w:szCs w:val="15"/>
              </w:rPr>
              <w:t>2餐厅、卫生间插座数量_</w:t>
            </w:r>
            <w:r>
              <w:rPr>
                <w:rFonts w:ascii="宋体" w:hAnsi="宋体"/>
                <w:color w:val="auto"/>
                <w:sz w:val="15"/>
                <w:szCs w:val="15"/>
              </w:rPr>
              <w:t>____</w:t>
            </w:r>
          </w:p>
          <w:p>
            <w:pPr>
              <w:spacing w:line="100" w:lineRule="atLeast"/>
              <w:rPr>
                <w:rFonts w:ascii="宋体" w:hAnsi="宋体"/>
                <w:color w:val="auto"/>
                <w:sz w:val="15"/>
                <w:szCs w:val="15"/>
              </w:rPr>
            </w:pPr>
            <w:r>
              <w:rPr>
                <w:rFonts w:hint="eastAsia" w:ascii="宋体" w:hAnsi="宋体"/>
                <w:color w:val="auto"/>
                <w:sz w:val="15"/>
                <w:szCs w:val="15"/>
              </w:rPr>
              <w:t>3阳台插座数量_</w:t>
            </w:r>
            <w:r>
              <w:rPr>
                <w:rFonts w:ascii="宋体" w:hAnsi="宋体"/>
                <w:color w:val="auto"/>
                <w:sz w:val="15"/>
                <w:szCs w:val="15"/>
              </w:rPr>
              <w:t>____</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宋体" w:hAnsi="宋体"/>
                <w:color w:val="auto"/>
                <w:sz w:val="24"/>
                <w:szCs w:val="24"/>
              </w:rPr>
            </w:pPr>
          </w:p>
        </w:tc>
        <w:tc>
          <w:tcPr>
            <w:tcW w:w="992" w:type="dxa"/>
            <w:vMerge w:val="restart"/>
          </w:tcPr>
          <w:p>
            <w:pPr>
              <w:spacing w:line="100" w:lineRule="atLeast"/>
              <w:rPr>
                <w:rFonts w:ascii="宋体" w:hAnsi="宋体"/>
                <w:color w:val="auto"/>
                <w:sz w:val="18"/>
                <w:szCs w:val="18"/>
              </w:rPr>
            </w:pPr>
            <w:r>
              <w:rPr>
                <w:rFonts w:hint="eastAsia" w:ascii="宋体" w:hAnsi="宋体"/>
                <w:color w:val="auto"/>
                <w:sz w:val="18"/>
                <w:szCs w:val="18"/>
              </w:rPr>
              <w:t>总图规划</w:t>
            </w:r>
          </w:p>
        </w:tc>
        <w:tc>
          <w:tcPr>
            <w:tcW w:w="5245" w:type="dxa"/>
            <w:gridSpan w:val="5"/>
          </w:tcPr>
          <w:p>
            <w:pPr>
              <w:spacing w:line="100" w:lineRule="atLeast"/>
              <w:rPr>
                <w:rFonts w:ascii="宋体" w:hAnsi="宋体"/>
                <w:color w:val="auto"/>
                <w:sz w:val="15"/>
                <w:szCs w:val="15"/>
              </w:rPr>
            </w:pPr>
            <w:r>
              <w:rPr>
                <w:rFonts w:hint="eastAsia" w:ascii="宋体" w:hAnsi="宋体"/>
                <w:color w:val="auto"/>
                <w:sz w:val="15"/>
                <w:szCs w:val="15"/>
              </w:rPr>
              <w:t>绿地率_</w:t>
            </w:r>
            <w:r>
              <w:rPr>
                <w:rFonts w:ascii="宋体" w:hAnsi="宋体"/>
                <w:color w:val="auto"/>
                <w:sz w:val="15"/>
                <w:szCs w:val="15"/>
              </w:rPr>
              <w:t>______</w:t>
            </w:r>
            <w:r>
              <w:rPr>
                <w:rFonts w:hint="eastAsia" w:ascii="宋体" w:hAnsi="宋体"/>
                <w:color w:val="auto"/>
                <w:sz w:val="15"/>
                <w:szCs w:val="15"/>
              </w:rPr>
              <w:t>%，公共绿地总指标_</w:t>
            </w:r>
            <w:r>
              <w:rPr>
                <w:rFonts w:ascii="宋体" w:hAnsi="宋体"/>
                <w:color w:val="auto"/>
                <w:sz w:val="15"/>
                <w:szCs w:val="15"/>
              </w:rPr>
              <w:t>______</w:t>
            </w:r>
            <w:r>
              <w:rPr>
                <w:rFonts w:hint="eastAsia" w:ascii="宋体" w:hAnsi="宋体"/>
                <w:color w:val="auto"/>
                <w:sz w:val="15"/>
                <w:szCs w:val="15"/>
              </w:rPr>
              <w:t>㎡/人</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宋体" w:hAnsi="宋体"/>
                <w:color w:val="auto"/>
                <w:sz w:val="24"/>
                <w:szCs w:val="24"/>
              </w:rPr>
            </w:pPr>
          </w:p>
        </w:tc>
        <w:tc>
          <w:tcPr>
            <w:tcW w:w="992" w:type="dxa"/>
            <w:vMerge w:val="continue"/>
          </w:tcPr>
          <w:p>
            <w:pPr>
              <w:spacing w:line="100" w:lineRule="atLeast"/>
              <w:rPr>
                <w:rFonts w:ascii="宋体" w:hAnsi="宋体"/>
                <w:color w:val="auto"/>
                <w:sz w:val="15"/>
                <w:szCs w:val="15"/>
              </w:rPr>
            </w:pPr>
          </w:p>
        </w:tc>
        <w:tc>
          <w:tcPr>
            <w:tcW w:w="5245" w:type="dxa"/>
            <w:gridSpan w:val="5"/>
          </w:tcPr>
          <w:p>
            <w:pPr>
              <w:spacing w:line="100" w:lineRule="atLeast"/>
              <w:rPr>
                <w:rFonts w:ascii="宋体" w:hAnsi="宋体"/>
                <w:color w:val="auto"/>
                <w:sz w:val="15"/>
                <w:szCs w:val="15"/>
              </w:rPr>
            </w:pPr>
            <w:r>
              <w:rPr>
                <w:rFonts w:hint="eastAsia" w:ascii="宋体" w:hAnsi="宋体"/>
                <w:color w:val="auto"/>
                <w:sz w:val="15"/>
                <w:szCs w:val="15"/>
              </w:rPr>
              <w:t>电动汽车停车位_</w:t>
            </w:r>
            <w:r>
              <w:rPr>
                <w:rFonts w:ascii="宋体" w:hAnsi="宋体"/>
                <w:color w:val="auto"/>
                <w:sz w:val="15"/>
                <w:szCs w:val="15"/>
              </w:rPr>
              <w:t>____</w:t>
            </w:r>
            <w:r>
              <w:rPr>
                <w:rFonts w:hint="eastAsia" w:ascii="宋体" w:hAnsi="宋体"/>
                <w:color w:val="auto"/>
                <w:sz w:val="15"/>
                <w:szCs w:val="15"/>
              </w:rPr>
              <w:t>个/㎡</w:t>
            </w:r>
            <w:r>
              <w:rPr>
                <w:rFonts w:ascii="宋体" w:hAnsi="宋体"/>
                <w:color w:val="auto"/>
                <w:sz w:val="15"/>
                <w:szCs w:val="15"/>
              </w:rPr>
              <w:t>,</w:t>
            </w:r>
            <w:r>
              <w:rPr>
                <w:rFonts w:hint="eastAsia" w:ascii="宋体" w:hAnsi="宋体"/>
                <w:color w:val="auto"/>
                <w:sz w:val="15"/>
                <w:szCs w:val="15"/>
              </w:rPr>
              <w:t>无障碍汽车停车位_</w:t>
            </w:r>
            <w:r>
              <w:rPr>
                <w:rFonts w:ascii="宋体" w:hAnsi="宋体"/>
                <w:color w:val="auto"/>
                <w:sz w:val="15"/>
                <w:szCs w:val="15"/>
              </w:rPr>
              <w:t>______</w:t>
            </w:r>
            <w:r>
              <w:rPr>
                <w:rFonts w:hint="eastAsia" w:ascii="宋体" w:hAnsi="宋体"/>
                <w:color w:val="auto"/>
                <w:sz w:val="15"/>
                <w:szCs w:val="15"/>
              </w:rPr>
              <w:t>个/㎡。</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restart"/>
          </w:tcPr>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r>
              <w:rPr>
                <w:rFonts w:hint="eastAsia" w:ascii="宋体" w:hAnsi="宋体"/>
                <w:color w:val="auto"/>
                <w:sz w:val="24"/>
                <w:szCs w:val="24"/>
              </w:rPr>
              <w:t>安全性能</w:t>
            </w:r>
          </w:p>
        </w:tc>
        <w:tc>
          <w:tcPr>
            <w:tcW w:w="992" w:type="dxa"/>
          </w:tcPr>
          <w:p>
            <w:pPr>
              <w:jc w:val="left"/>
              <w:rPr>
                <w:rFonts w:ascii="宋体" w:hAnsi="宋体"/>
                <w:color w:val="auto"/>
                <w:sz w:val="15"/>
                <w:szCs w:val="15"/>
              </w:rPr>
            </w:pPr>
          </w:p>
          <w:p>
            <w:pPr>
              <w:jc w:val="left"/>
              <w:rPr>
                <w:rFonts w:ascii="宋体" w:hAnsi="宋体"/>
                <w:color w:val="auto"/>
                <w:sz w:val="15"/>
                <w:szCs w:val="15"/>
              </w:rPr>
            </w:pPr>
          </w:p>
          <w:p>
            <w:pPr>
              <w:jc w:val="left"/>
              <w:rPr>
                <w:rFonts w:ascii="宋体" w:hAnsi="宋体"/>
                <w:color w:val="auto"/>
                <w:sz w:val="15"/>
                <w:szCs w:val="15"/>
              </w:rPr>
            </w:pPr>
          </w:p>
          <w:p>
            <w:pPr>
              <w:jc w:val="left"/>
              <w:rPr>
                <w:rFonts w:ascii="宋体" w:hAnsi="宋体"/>
                <w:color w:val="auto"/>
                <w:sz w:val="15"/>
                <w:szCs w:val="15"/>
              </w:rPr>
            </w:pPr>
          </w:p>
          <w:p>
            <w:pPr>
              <w:jc w:val="left"/>
              <w:rPr>
                <w:rFonts w:ascii="宋体" w:hAnsi="宋体"/>
                <w:color w:val="auto"/>
                <w:sz w:val="15"/>
                <w:szCs w:val="15"/>
              </w:rPr>
            </w:pPr>
            <w:r>
              <w:rPr>
                <w:rFonts w:hint="eastAsia" w:ascii="宋体" w:hAnsi="宋体"/>
                <w:color w:val="auto"/>
                <w:sz w:val="15"/>
                <w:szCs w:val="15"/>
              </w:rPr>
              <w:t>基本概况</w:t>
            </w:r>
          </w:p>
        </w:tc>
        <w:tc>
          <w:tcPr>
            <w:tcW w:w="5245" w:type="dxa"/>
            <w:gridSpan w:val="5"/>
          </w:tcPr>
          <w:p>
            <w:pPr>
              <w:jc w:val="left"/>
              <w:rPr>
                <w:rFonts w:ascii="宋体" w:hAnsi="宋体"/>
                <w:color w:val="auto"/>
                <w:sz w:val="15"/>
                <w:szCs w:val="15"/>
              </w:rPr>
            </w:pPr>
            <w:r>
              <w:rPr>
                <w:rFonts w:hint="eastAsia" w:ascii="宋体" w:hAnsi="宋体"/>
                <w:color w:val="auto"/>
                <w:sz w:val="15"/>
                <w:szCs w:val="15"/>
              </w:rPr>
              <w:t>1主体结构形式_</w:t>
            </w:r>
            <w:r>
              <w:rPr>
                <w:rFonts w:ascii="宋体" w:hAnsi="宋体"/>
                <w:color w:val="auto"/>
                <w:sz w:val="15"/>
                <w:szCs w:val="15"/>
              </w:rPr>
              <w:t>_____(</w:t>
            </w:r>
            <w:r>
              <w:rPr>
                <w:rFonts w:hint="eastAsia" w:ascii="宋体" w:hAnsi="宋体"/>
                <w:color w:val="auto"/>
                <w:sz w:val="15"/>
                <w:szCs w:val="15"/>
              </w:rPr>
              <w:t>冷弯薄壁型钢结构</w:t>
            </w:r>
            <w:r>
              <w:rPr>
                <w:rFonts w:ascii="宋体" w:hAnsi="宋体"/>
                <w:color w:val="auto"/>
                <w:sz w:val="15"/>
                <w:szCs w:val="15"/>
              </w:rPr>
              <w:t>/钢框架、钢框架支撑结构/钢框架-钢板剪力墙结构/异形柱钢结构/其它)</w:t>
            </w:r>
          </w:p>
          <w:p>
            <w:pPr>
              <w:jc w:val="left"/>
              <w:rPr>
                <w:rFonts w:ascii="宋体" w:hAnsi="宋体"/>
                <w:color w:val="auto"/>
                <w:sz w:val="15"/>
                <w:szCs w:val="15"/>
              </w:rPr>
            </w:pPr>
            <w:r>
              <w:rPr>
                <w:rFonts w:hint="eastAsia" w:ascii="宋体" w:hAnsi="宋体"/>
                <w:color w:val="auto"/>
                <w:sz w:val="15"/>
                <w:szCs w:val="15"/>
              </w:rPr>
              <w:t>2地基基础形式_</w:t>
            </w:r>
            <w:r>
              <w:rPr>
                <w:rFonts w:ascii="宋体" w:hAnsi="宋体"/>
                <w:color w:val="auto"/>
                <w:sz w:val="15"/>
                <w:szCs w:val="15"/>
              </w:rPr>
              <w:t>_____</w:t>
            </w:r>
          </w:p>
          <w:p>
            <w:pPr>
              <w:jc w:val="left"/>
              <w:rPr>
                <w:rFonts w:ascii="宋体" w:hAnsi="宋体"/>
                <w:color w:val="auto"/>
                <w:sz w:val="15"/>
                <w:szCs w:val="15"/>
              </w:rPr>
            </w:pPr>
            <w:r>
              <w:rPr>
                <w:rFonts w:ascii="宋体" w:hAnsi="宋体"/>
                <w:color w:val="auto"/>
                <w:sz w:val="15"/>
                <w:szCs w:val="15"/>
              </w:rPr>
              <w:t>3</w:t>
            </w:r>
            <w:r>
              <w:rPr>
                <w:rFonts w:hint="eastAsia" w:ascii="宋体" w:hAnsi="宋体"/>
                <w:color w:val="auto"/>
                <w:sz w:val="15"/>
                <w:szCs w:val="15"/>
              </w:rPr>
              <w:t>建筑基本风压_</w:t>
            </w:r>
            <w:r>
              <w:rPr>
                <w:rFonts w:ascii="宋体" w:hAnsi="宋体"/>
                <w:color w:val="auto"/>
                <w:sz w:val="15"/>
                <w:szCs w:val="15"/>
              </w:rPr>
              <w:t>___</w:t>
            </w:r>
            <w:r>
              <w:rPr>
                <w:rFonts w:hint="eastAsia" w:ascii="宋体" w:hAnsi="宋体"/>
                <w:color w:val="auto"/>
                <w:sz w:val="15"/>
                <w:szCs w:val="15"/>
              </w:rPr>
              <w:t>，雪压_</w:t>
            </w:r>
            <w:r>
              <w:rPr>
                <w:rFonts w:ascii="宋体" w:hAnsi="宋体"/>
                <w:color w:val="auto"/>
                <w:sz w:val="15"/>
                <w:szCs w:val="15"/>
              </w:rPr>
              <w:t>____</w:t>
            </w:r>
          </w:p>
          <w:p>
            <w:pPr>
              <w:jc w:val="left"/>
              <w:rPr>
                <w:rFonts w:ascii="宋体" w:hAnsi="宋体"/>
                <w:color w:val="auto"/>
                <w:sz w:val="15"/>
                <w:szCs w:val="15"/>
              </w:rPr>
            </w:pPr>
            <w:r>
              <w:rPr>
                <w:rFonts w:ascii="宋体" w:hAnsi="宋体"/>
                <w:color w:val="auto"/>
                <w:sz w:val="15"/>
                <w:szCs w:val="15"/>
              </w:rPr>
              <w:t>4</w:t>
            </w:r>
            <w:r>
              <w:rPr>
                <w:rFonts w:hint="eastAsia" w:ascii="宋体" w:hAnsi="宋体"/>
                <w:color w:val="auto"/>
                <w:sz w:val="15"/>
                <w:szCs w:val="15"/>
              </w:rPr>
              <w:t>住宅抗震设防烈度_</w:t>
            </w:r>
            <w:r>
              <w:rPr>
                <w:rFonts w:ascii="宋体" w:hAnsi="宋体"/>
                <w:color w:val="auto"/>
                <w:sz w:val="15"/>
                <w:szCs w:val="15"/>
              </w:rPr>
              <w:t>_____</w:t>
            </w:r>
          </w:p>
          <w:p>
            <w:pPr>
              <w:jc w:val="left"/>
              <w:rPr>
                <w:rFonts w:ascii="宋体" w:hAnsi="宋体"/>
                <w:color w:val="auto"/>
                <w:sz w:val="15"/>
                <w:szCs w:val="15"/>
              </w:rPr>
            </w:pPr>
            <w:r>
              <w:rPr>
                <w:rFonts w:ascii="宋体" w:hAnsi="宋体"/>
                <w:color w:val="auto"/>
                <w:sz w:val="15"/>
                <w:szCs w:val="15"/>
              </w:rPr>
              <w:t>5</w:t>
            </w:r>
            <w:r>
              <w:rPr>
                <w:rFonts w:hint="eastAsia" w:ascii="宋体" w:hAnsi="宋体"/>
                <w:color w:val="auto"/>
                <w:sz w:val="15"/>
                <w:szCs w:val="15"/>
              </w:rPr>
              <w:t>住宅耐火等级_</w:t>
            </w:r>
            <w:r>
              <w:rPr>
                <w:rFonts w:ascii="宋体" w:hAnsi="宋体"/>
                <w:color w:val="auto"/>
                <w:sz w:val="15"/>
                <w:szCs w:val="15"/>
              </w:rPr>
              <w:t>____</w:t>
            </w:r>
          </w:p>
          <w:p>
            <w:pPr>
              <w:jc w:val="left"/>
              <w:rPr>
                <w:rFonts w:ascii="宋体" w:hAnsi="宋体"/>
                <w:color w:val="auto"/>
                <w:sz w:val="15"/>
                <w:szCs w:val="15"/>
              </w:rPr>
            </w:pPr>
            <w:r>
              <w:rPr>
                <w:rFonts w:ascii="宋体" w:hAnsi="宋体"/>
                <w:color w:val="auto"/>
                <w:sz w:val="15"/>
                <w:szCs w:val="15"/>
              </w:rPr>
              <w:t>6</w:t>
            </w:r>
            <w:r>
              <w:rPr>
                <w:rFonts w:hint="eastAsia" w:ascii="宋体" w:hAnsi="宋体"/>
                <w:color w:val="auto"/>
                <w:sz w:val="15"/>
                <w:szCs w:val="15"/>
              </w:rPr>
              <w:t>灭火与报警系统_</w:t>
            </w:r>
            <w:r>
              <w:rPr>
                <w:rFonts w:ascii="宋体" w:hAnsi="宋体"/>
                <w:color w:val="auto"/>
                <w:sz w:val="15"/>
                <w:szCs w:val="15"/>
              </w:rPr>
              <w:t>______(</w:t>
            </w:r>
            <w:r>
              <w:rPr>
                <w:rFonts w:hint="eastAsia" w:ascii="宋体" w:hAnsi="宋体"/>
                <w:color w:val="auto"/>
                <w:sz w:val="15"/>
                <w:szCs w:val="15"/>
              </w:rPr>
              <w:t>消火栓箱/自动喷水灭火装置</w:t>
            </w:r>
            <w:r>
              <w:rPr>
                <w:rFonts w:ascii="宋体" w:hAnsi="宋体"/>
                <w:color w:val="auto"/>
                <w:sz w:val="15"/>
                <w:szCs w:val="15"/>
              </w:rPr>
              <w:t>)</w:t>
            </w:r>
            <w:r>
              <w:rPr>
                <w:rFonts w:hint="eastAsia" w:ascii="宋体" w:hAnsi="宋体"/>
                <w:color w:val="auto"/>
                <w:sz w:val="15"/>
                <w:szCs w:val="15"/>
              </w:rPr>
              <w:t>；有无缓降器或软梯</w:t>
            </w:r>
            <w:r>
              <w:rPr>
                <w:rFonts w:ascii="宋体" w:hAnsi="宋体"/>
                <w:color w:val="auto"/>
                <w:sz w:val="15"/>
                <w:szCs w:val="15"/>
              </w:rPr>
              <w:t>___</w:t>
            </w:r>
            <w:r>
              <w:rPr>
                <w:rFonts w:hint="eastAsia" w:ascii="宋体" w:hAnsi="宋体"/>
                <w:color w:val="auto"/>
                <w:sz w:val="15"/>
                <w:szCs w:val="15"/>
              </w:rPr>
              <w:t>，套数</w:t>
            </w:r>
            <w:r>
              <w:rPr>
                <w:rFonts w:ascii="宋体" w:hAnsi="宋体"/>
                <w:color w:val="auto"/>
                <w:sz w:val="15"/>
                <w:szCs w:val="15"/>
              </w:rPr>
              <w:t>___</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宋体" w:hAnsi="宋体"/>
                <w:color w:val="auto"/>
                <w:sz w:val="15"/>
                <w:szCs w:val="15"/>
              </w:rPr>
            </w:pPr>
          </w:p>
        </w:tc>
        <w:tc>
          <w:tcPr>
            <w:tcW w:w="992" w:type="dxa"/>
          </w:tcPr>
          <w:p>
            <w:pPr>
              <w:jc w:val="left"/>
              <w:rPr>
                <w:rFonts w:ascii="宋体" w:hAnsi="宋体"/>
                <w:color w:val="auto"/>
                <w:sz w:val="15"/>
                <w:szCs w:val="15"/>
              </w:rPr>
            </w:pPr>
            <w:r>
              <w:rPr>
                <w:rFonts w:hint="eastAsia" w:ascii="宋体" w:hAnsi="宋体"/>
                <w:color w:val="auto"/>
                <w:sz w:val="15"/>
                <w:szCs w:val="15"/>
              </w:rPr>
              <w:t>钢结构防火</w:t>
            </w:r>
          </w:p>
        </w:tc>
        <w:tc>
          <w:tcPr>
            <w:tcW w:w="5245" w:type="dxa"/>
            <w:gridSpan w:val="5"/>
          </w:tcPr>
          <w:p>
            <w:pPr>
              <w:jc w:val="left"/>
              <w:rPr>
                <w:rFonts w:ascii="宋体" w:hAnsi="宋体"/>
                <w:color w:val="auto"/>
                <w:sz w:val="15"/>
                <w:szCs w:val="15"/>
              </w:rPr>
            </w:pPr>
            <w:r>
              <w:rPr>
                <w:rFonts w:hint="eastAsia" w:ascii="宋体" w:hAnsi="宋体"/>
                <w:color w:val="auto"/>
                <w:sz w:val="15"/>
                <w:szCs w:val="15"/>
              </w:rPr>
              <w:t>钢结构承重构件防火保护层为_</w:t>
            </w:r>
            <w:r>
              <w:rPr>
                <w:rFonts w:ascii="宋体" w:hAnsi="宋体"/>
                <w:color w:val="auto"/>
                <w:sz w:val="15"/>
                <w:szCs w:val="15"/>
              </w:rPr>
              <w:t>______</w:t>
            </w:r>
            <w:r>
              <w:rPr>
                <w:rFonts w:hint="eastAsia" w:ascii="宋体" w:hAnsi="宋体"/>
                <w:color w:val="auto"/>
                <w:sz w:val="15"/>
                <w:szCs w:val="15"/>
              </w:rPr>
              <w:t>（防火涂料/防火板），钢柱防火保护层厚度_</w:t>
            </w:r>
            <w:r>
              <w:rPr>
                <w:rFonts w:ascii="宋体" w:hAnsi="宋体"/>
                <w:color w:val="auto"/>
                <w:sz w:val="15"/>
                <w:szCs w:val="15"/>
              </w:rPr>
              <w:t>____</w:t>
            </w:r>
            <w:r>
              <w:rPr>
                <w:rFonts w:hint="eastAsia" w:ascii="宋体" w:hAnsi="宋体"/>
                <w:color w:val="auto"/>
                <w:sz w:val="15"/>
                <w:szCs w:val="15"/>
              </w:rPr>
              <w:t>，钢柱耐火极限为_</w:t>
            </w:r>
            <w:r>
              <w:rPr>
                <w:rFonts w:ascii="宋体" w:hAnsi="宋体"/>
                <w:color w:val="auto"/>
                <w:sz w:val="15"/>
                <w:szCs w:val="15"/>
              </w:rPr>
              <w:t>____h</w:t>
            </w:r>
            <w:r>
              <w:rPr>
                <w:rFonts w:hint="eastAsia" w:ascii="宋体" w:hAnsi="宋体"/>
                <w:color w:val="auto"/>
                <w:sz w:val="15"/>
                <w:szCs w:val="15"/>
              </w:rPr>
              <w:t>，钢梁防火保护层厚度_</w:t>
            </w:r>
            <w:r>
              <w:rPr>
                <w:rFonts w:ascii="宋体" w:hAnsi="宋体"/>
                <w:color w:val="auto"/>
                <w:sz w:val="15"/>
                <w:szCs w:val="15"/>
              </w:rPr>
              <w:t>___</w:t>
            </w:r>
            <w:r>
              <w:rPr>
                <w:rFonts w:hint="eastAsia" w:ascii="宋体" w:hAnsi="宋体"/>
                <w:color w:val="auto"/>
                <w:sz w:val="15"/>
                <w:szCs w:val="15"/>
              </w:rPr>
              <w:t>，钢梁耐火极限为_</w:t>
            </w:r>
            <w:r>
              <w:rPr>
                <w:rFonts w:ascii="宋体" w:hAnsi="宋体"/>
                <w:color w:val="auto"/>
                <w:sz w:val="15"/>
                <w:szCs w:val="15"/>
              </w:rPr>
              <w:t>_____h</w:t>
            </w:r>
            <w:r>
              <w:rPr>
                <w:rFonts w:hint="eastAsia" w:ascii="宋体" w:hAnsi="宋体"/>
                <w:color w:val="auto"/>
                <w:sz w:val="15"/>
                <w:szCs w:val="15"/>
              </w:rPr>
              <w:t>，</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宋体" w:hAnsi="宋体"/>
                <w:color w:val="auto"/>
                <w:sz w:val="24"/>
                <w:szCs w:val="24"/>
              </w:rPr>
            </w:pPr>
          </w:p>
        </w:tc>
        <w:tc>
          <w:tcPr>
            <w:tcW w:w="992" w:type="dxa"/>
          </w:tcPr>
          <w:p>
            <w:pPr>
              <w:jc w:val="left"/>
              <w:rPr>
                <w:rFonts w:ascii="宋体" w:hAnsi="宋体"/>
                <w:color w:val="auto"/>
                <w:sz w:val="24"/>
                <w:szCs w:val="24"/>
              </w:rPr>
            </w:pPr>
            <w:r>
              <w:rPr>
                <w:rFonts w:hint="eastAsia" w:ascii="宋体" w:hAnsi="宋体"/>
                <w:color w:val="auto"/>
                <w:sz w:val="15"/>
                <w:szCs w:val="15"/>
              </w:rPr>
              <w:t>钢结构防腐</w:t>
            </w:r>
          </w:p>
        </w:tc>
        <w:tc>
          <w:tcPr>
            <w:tcW w:w="5245" w:type="dxa"/>
            <w:gridSpan w:val="5"/>
          </w:tcPr>
          <w:p>
            <w:pPr>
              <w:jc w:val="left"/>
              <w:rPr>
                <w:rFonts w:ascii="宋体" w:hAnsi="宋体"/>
                <w:color w:val="auto"/>
                <w:sz w:val="24"/>
                <w:szCs w:val="24"/>
              </w:rPr>
            </w:pPr>
            <w:r>
              <w:rPr>
                <w:rFonts w:hint="eastAsia" w:ascii="宋体" w:hAnsi="宋体"/>
                <w:color w:val="auto"/>
                <w:sz w:val="15"/>
                <w:szCs w:val="15"/>
              </w:rPr>
              <w:t>钢结构防腐设计采用_</w:t>
            </w:r>
            <w:r>
              <w:rPr>
                <w:rFonts w:ascii="宋体" w:hAnsi="宋体"/>
                <w:color w:val="auto"/>
                <w:sz w:val="15"/>
                <w:szCs w:val="15"/>
              </w:rPr>
              <w:t>_____，建筑立面栏杆等外露金属件采用</w:t>
            </w:r>
            <w:r>
              <w:rPr>
                <w:rFonts w:hint="eastAsia" w:ascii="宋体" w:hAnsi="宋体"/>
                <w:color w:val="auto"/>
                <w:sz w:val="15"/>
                <w:szCs w:val="15"/>
              </w:rPr>
              <w:t>_</w:t>
            </w:r>
            <w:r>
              <w:rPr>
                <w:rFonts w:ascii="宋体" w:hAnsi="宋体"/>
                <w:color w:val="auto"/>
                <w:sz w:val="15"/>
                <w:szCs w:val="15"/>
              </w:rPr>
              <w:t>______。</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宋体" w:hAnsi="宋体"/>
                <w:color w:val="auto"/>
                <w:sz w:val="24"/>
                <w:szCs w:val="24"/>
              </w:rPr>
            </w:pPr>
          </w:p>
        </w:tc>
        <w:tc>
          <w:tcPr>
            <w:tcW w:w="992" w:type="dxa"/>
          </w:tcPr>
          <w:p>
            <w:pPr>
              <w:jc w:val="left"/>
              <w:rPr>
                <w:rFonts w:ascii="宋体" w:hAnsi="宋体"/>
                <w:color w:val="auto"/>
                <w:sz w:val="15"/>
                <w:szCs w:val="15"/>
              </w:rPr>
            </w:pPr>
            <w:r>
              <w:rPr>
                <w:rFonts w:hint="eastAsia" w:ascii="宋体" w:hAnsi="宋体"/>
                <w:color w:val="auto"/>
                <w:sz w:val="15"/>
                <w:szCs w:val="15"/>
              </w:rPr>
              <w:t>防盗、防滑防跌、防坠落</w:t>
            </w:r>
          </w:p>
        </w:tc>
        <w:tc>
          <w:tcPr>
            <w:tcW w:w="5245" w:type="dxa"/>
            <w:gridSpan w:val="5"/>
          </w:tcPr>
          <w:p>
            <w:pPr>
              <w:jc w:val="left"/>
              <w:rPr>
                <w:rFonts w:ascii="宋体" w:hAnsi="宋体"/>
                <w:color w:val="auto"/>
                <w:sz w:val="15"/>
                <w:szCs w:val="15"/>
              </w:rPr>
            </w:pPr>
            <w:r>
              <w:rPr>
                <w:rFonts w:hint="eastAsia" w:ascii="宋体" w:hAnsi="宋体"/>
                <w:color w:val="auto"/>
                <w:sz w:val="15"/>
                <w:szCs w:val="15"/>
              </w:rPr>
              <w:t>1</w:t>
            </w:r>
            <w:r>
              <w:rPr>
                <w:rFonts w:ascii="宋体" w:hAnsi="宋体"/>
                <w:color w:val="auto"/>
                <w:sz w:val="15"/>
                <w:szCs w:val="15"/>
              </w:rPr>
              <w:t>一层外窗</w:t>
            </w:r>
            <w:r>
              <w:rPr>
                <w:rFonts w:hint="eastAsia" w:ascii="宋体" w:hAnsi="宋体"/>
                <w:color w:val="auto"/>
                <w:sz w:val="15"/>
                <w:szCs w:val="15"/>
              </w:rPr>
              <w:t>有无</w:t>
            </w:r>
            <w:r>
              <w:rPr>
                <w:rFonts w:ascii="宋体" w:hAnsi="宋体"/>
                <w:color w:val="auto"/>
                <w:sz w:val="15"/>
                <w:szCs w:val="15"/>
              </w:rPr>
              <w:t>防盗报警设施</w:t>
            </w:r>
            <w:r>
              <w:rPr>
                <w:rFonts w:hint="eastAsia" w:ascii="宋体" w:hAnsi="宋体"/>
                <w:color w:val="auto"/>
                <w:sz w:val="15"/>
                <w:szCs w:val="15"/>
              </w:rPr>
              <w:t>_</w:t>
            </w:r>
            <w:r>
              <w:rPr>
                <w:rFonts w:ascii="宋体" w:hAnsi="宋体"/>
                <w:color w:val="auto"/>
                <w:sz w:val="15"/>
                <w:szCs w:val="15"/>
              </w:rPr>
              <w:t>____。</w:t>
            </w:r>
          </w:p>
          <w:p>
            <w:pPr>
              <w:jc w:val="left"/>
              <w:rPr>
                <w:rFonts w:ascii="宋体" w:hAnsi="宋体"/>
                <w:color w:val="auto"/>
                <w:sz w:val="15"/>
                <w:szCs w:val="15"/>
              </w:rPr>
            </w:pPr>
            <w:r>
              <w:rPr>
                <w:rFonts w:ascii="宋体" w:hAnsi="宋体"/>
                <w:color w:val="auto"/>
                <w:sz w:val="15"/>
                <w:szCs w:val="15"/>
              </w:rPr>
              <w:t>2</w:t>
            </w:r>
            <w:r>
              <w:rPr>
                <w:rFonts w:hint="eastAsia" w:ascii="宋体" w:hAnsi="宋体"/>
                <w:color w:val="auto"/>
                <w:sz w:val="15"/>
                <w:szCs w:val="15"/>
              </w:rPr>
              <w:t>厨房、卫生间以及起居室、卧室、书房等地面和通道有无防滑防盗措施_</w:t>
            </w:r>
            <w:r>
              <w:rPr>
                <w:rFonts w:ascii="宋体" w:hAnsi="宋体"/>
                <w:color w:val="auto"/>
                <w:sz w:val="15"/>
                <w:szCs w:val="15"/>
              </w:rPr>
              <w:t>______</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宋体" w:hAnsi="宋体"/>
                <w:color w:val="auto"/>
                <w:sz w:val="24"/>
                <w:szCs w:val="24"/>
              </w:rPr>
            </w:pPr>
          </w:p>
        </w:tc>
        <w:tc>
          <w:tcPr>
            <w:tcW w:w="992" w:type="dxa"/>
          </w:tcPr>
          <w:p>
            <w:pPr>
              <w:jc w:val="left"/>
              <w:rPr>
                <w:rFonts w:ascii="宋体" w:hAnsi="宋体"/>
                <w:color w:val="auto"/>
                <w:sz w:val="15"/>
                <w:szCs w:val="15"/>
              </w:rPr>
            </w:pPr>
            <w:r>
              <w:rPr>
                <w:rFonts w:hint="eastAsia" w:ascii="宋体" w:hAnsi="宋体"/>
                <w:color w:val="auto"/>
                <w:sz w:val="15"/>
                <w:szCs w:val="15"/>
              </w:rPr>
              <w:t>防水设计</w:t>
            </w:r>
          </w:p>
        </w:tc>
        <w:tc>
          <w:tcPr>
            <w:tcW w:w="5245" w:type="dxa"/>
            <w:gridSpan w:val="5"/>
          </w:tcPr>
          <w:p>
            <w:pPr>
              <w:jc w:val="left"/>
              <w:rPr>
                <w:rFonts w:ascii="宋体" w:hAnsi="宋体"/>
                <w:color w:val="auto"/>
                <w:sz w:val="15"/>
                <w:szCs w:val="15"/>
              </w:rPr>
            </w:pPr>
            <w:r>
              <w:rPr>
                <w:rFonts w:hint="eastAsia" w:ascii="宋体" w:hAnsi="宋体"/>
                <w:color w:val="auto"/>
                <w:sz w:val="15"/>
                <w:szCs w:val="15"/>
              </w:rPr>
              <w:t>屋面防水等级_</w:t>
            </w:r>
            <w:r>
              <w:rPr>
                <w:rFonts w:ascii="宋体" w:hAnsi="宋体"/>
                <w:color w:val="auto"/>
                <w:sz w:val="15"/>
                <w:szCs w:val="15"/>
              </w:rPr>
              <w:t>____</w:t>
            </w:r>
            <w:r>
              <w:rPr>
                <w:rFonts w:hint="eastAsia" w:ascii="宋体" w:hAnsi="宋体"/>
                <w:color w:val="auto"/>
                <w:sz w:val="15"/>
                <w:szCs w:val="15"/>
              </w:rPr>
              <w:t>，防水材料_</w:t>
            </w:r>
            <w:r>
              <w:rPr>
                <w:rFonts w:ascii="宋体" w:hAnsi="宋体"/>
                <w:color w:val="auto"/>
                <w:sz w:val="15"/>
                <w:szCs w:val="15"/>
              </w:rPr>
              <w:t>_____</w:t>
            </w:r>
            <w:r>
              <w:rPr>
                <w:rFonts w:hint="eastAsia" w:ascii="宋体" w:hAnsi="宋体"/>
                <w:color w:val="auto"/>
                <w:sz w:val="15"/>
                <w:szCs w:val="15"/>
              </w:rPr>
              <w:t>；</w:t>
            </w:r>
            <w:r>
              <w:rPr>
                <w:rFonts w:ascii="宋体" w:hAnsi="宋体"/>
                <w:color w:val="auto"/>
                <w:sz w:val="15"/>
                <w:szCs w:val="15"/>
              </w:rPr>
              <w:t>建筑外墙防水</w:t>
            </w:r>
            <w:r>
              <w:rPr>
                <w:rFonts w:hint="eastAsia" w:ascii="宋体" w:hAnsi="宋体"/>
                <w:color w:val="auto"/>
                <w:sz w:val="15"/>
                <w:szCs w:val="15"/>
              </w:rPr>
              <w:t>形式_</w:t>
            </w:r>
            <w:r>
              <w:rPr>
                <w:rFonts w:ascii="宋体" w:hAnsi="宋体"/>
                <w:color w:val="auto"/>
                <w:sz w:val="15"/>
                <w:szCs w:val="15"/>
              </w:rPr>
              <w:t>______</w:t>
            </w:r>
            <w:r>
              <w:rPr>
                <w:rFonts w:hint="eastAsia" w:ascii="宋体" w:hAnsi="宋体"/>
                <w:color w:val="auto"/>
                <w:sz w:val="15"/>
                <w:szCs w:val="15"/>
              </w:rPr>
              <w:t>；地下室防水等级_</w:t>
            </w:r>
            <w:r>
              <w:rPr>
                <w:rFonts w:ascii="宋体" w:hAnsi="宋体"/>
                <w:color w:val="auto"/>
                <w:sz w:val="15"/>
                <w:szCs w:val="15"/>
              </w:rPr>
              <w:t>_____</w:t>
            </w:r>
            <w:r>
              <w:rPr>
                <w:rFonts w:hint="eastAsia" w:ascii="宋体" w:hAnsi="宋体"/>
                <w:color w:val="auto"/>
                <w:sz w:val="15"/>
                <w:szCs w:val="15"/>
              </w:rPr>
              <w:t>卫生间防水材料_</w:t>
            </w:r>
            <w:r>
              <w:rPr>
                <w:rFonts w:ascii="宋体" w:hAnsi="宋体"/>
                <w:color w:val="auto"/>
                <w:sz w:val="15"/>
                <w:szCs w:val="15"/>
              </w:rPr>
              <w:t>_____</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宋体" w:hAnsi="宋体"/>
                <w:color w:val="auto"/>
                <w:sz w:val="24"/>
                <w:szCs w:val="24"/>
              </w:rPr>
            </w:pPr>
          </w:p>
        </w:tc>
        <w:tc>
          <w:tcPr>
            <w:tcW w:w="992" w:type="dxa"/>
          </w:tcPr>
          <w:p>
            <w:pPr>
              <w:jc w:val="left"/>
              <w:rPr>
                <w:rFonts w:ascii="宋体" w:hAnsi="宋体"/>
                <w:color w:val="auto"/>
                <w:sz w:val="15"/>
                <w:szCs w:val="15"/>
              </w:rPr>
            </w:pPr>
          </w:p>
          <w:p>
            <w:pPr>
              <w:jc w:val="left"/>
              <w:rPr>
                <w:rFonts w:ascii="宋体" w:hAnsi="宋体"/>
                <w:color w:val="auto"/>
                <w:sz w:val="15"/>
                <w:szCs w:val="15"/>
              </w:rPr>
            </w:pPr>
          </w:p>
          <w:p>
            <w:pPr>
              <w:jc w:val="left"/>
              <w:rPr>
                <w:rFonts w:ascii="宋体" w:hAnsi="宋体"/>
                <w:color w:val="auto"/>
                <w:sz w:val="15"/>
                <w:szCs w:val="15"/>
              </w:rPr>
            </w:pPr>
          </w:p>
          <w:p>
            <w:pPr>
              <w:jc w:val="left"/>
              <w:rPr>
                <w:rFonts w:ascii="宋体" w:hAnsi="宋体"/>
                <w:color w:val="auto"/>
                <w:sz w:val="15"/>
                <w:szCs w:val="15"/>
              </w:rPr>
            </w:pPr>
            <w:r>
              <w:rPr>
                <w:rFonts w:hint="eastAsia" w:ascii="宋体" w:hAnsi="宋体"/>
                <w:color w:val="auto"/>
                <w:sz w:val="15"/>
                <w:szCs w:val="15"/>
              </w:rPr>
              <w:t>建筑材料</w:t>
            </w:r>
          </w:p>
          <w:p>
            <w:pPr>
              <w:jc w:val="left"/>
              <w:rPr>
                <w:rFonts w:ascii="宋体" w:hAnsi="宋体"/>
                <w:color w:val="auto"/>
                <w:sz w:val="15"/>
                <w:szCs w:val="15"/>
              </w:rPr>
            </w:pPr>
            <w:r>
              <w:rPr>
                <w:rFonts w:hint="eastAsia" w:ascii="宋体" w:hAnsi="宋体"/>
                <w:color w:val="auto"/>
                <w:sz w:val="15"/>
                <w:szCs w:val="15"/>
              </w:rPr>
              <w:t>要求</w:t>
            </w:r>
          </w:p>
        </w:tc>
        <w:tc>
          <w:tcPr>
            <w:tcW w:w="5245" w:type="dxa"/>
            <w:gridSpan w:val="5"/>
          </w:tcPr>
          <w:p>
            <w:pPr>
              <w:jc w:val="left"/>
              <w:rPr>
                <w:rFonts w:ascii="宋体" w:hAnsi="宋体"/>
                <w:color w:val="auto"/>
                <w:sz w:val="15"/>
                <w:szCs w:val="15"/>
              </w:rPr>
            </w:pPr>
            <w:r>
              <w:rPr>
                <w:rFonts w:hint="eastAsia" w:ascii="宋体" w:hAnsi="宋体"/>
                <w:color w:val="auto"/>
                <w:sz w:val="15"/>
                <w:szCs w:val="15"/>
              </w:rPr>
              <w:t>建筑主体材料中天然放射性素镭-</w:t>
            </w:r>
            <w:r>
              <w:rPr>
                <w:rFonts w:ascii="宋体" w:hAnsi="宋体"/>
                <w:color w:val="auto"/>
                <w:sz w:val="15"/>
                <w:szCs w:val="15"/>
              </w:rPr>
              <w:t>226</w:t>
            </w:r>
            <w:r>
              <w:rPr>
                <w:rFonts w:hint="eastAsia" w:ascii="宋体" w:hAnsi="宋体"/>
                <w:color w:val="auto"/>
                <w:sz w:val="15"/>
                <w:szCs w:val="15"/>
              </w:rPr>
              <w:t>、钍-</w:t>
            </w:r>
            <w:r>
              <w:rPr>
                <w:rFonts w:ascii="宋体" w:hAnsi="宋体"/>
                <w:color w:val="auto"/>
                <w:sz w:val="15"/>
                <w:szCs w:val="15"/>
              </w:rPr>
              <w:t>232</w:t>
            </w:r>
            <w:r>
              <w:rPr>
                <w:rFonts w:hint="eastAsia" w:ascii="宋体" w:hAnsi="宋体"/>
                <w:color w:val="auto"/>
                <w:sz w:val="15"/>
                <w:szCs w:val="15"/>
              </w:rPr>
              <w:t>、钾-</w:t>
            </w:r>
            <w:r>
              <w:rPr>
                <w:rFonts w:ascii="宋体" w:hAnsi="宋体"/>
                <w:color w:val="auto"/>
                <w:sz w:val="15"/>
                <w:szCs w:val="15"/>
              </w:rPr>
              <w:t>40</w:t>
            </w:r>
            <w:r>
              <w:rPr>
                <w:rFonts w:hint="eastAsia" w:ascii="宋体" w:hAnsi="宋体"/>
                <w:color w:val="auto"/>
                <w:sz w:val="15"/>
                <w:szCs w:val="15"/>
              </w:rPr>
              <w:t>的放射性比活跃度为_</w:t>
            </w:r>
            <w:r>
              <w:rPr>
                <w:rFonts w:ascii="宋体" w:hAnsi="宋体"/>
                <w:color w:val="auto"/>
                <w:sz w:val="15"/>
                <w:szCs w:val="15"/>
              </w:rPr>
              <w:t>____。</w:t>
            </w:r>
          </w:p>
          <w:p>
            <w:pPr>
              <w:jc w:val="left"/>
              <w:rPr>
                <w:rFonts w:ascii="宋体" w:hAnsi="宋体"/>
                <w:color w:val="auto"/>
                <w:sz w:val="15"/>
                <w:szCs w:val="15"/>
              </w:rPr>
            </w:pPr>
            <w:r>
              <w:rPr>
                <w:rFonts w:hint="eastAsia" w:ascii="宋体" w:hAnsi="宋体"/>
                <w:color w:val="auto"/>
                <w:sz w:val="15"/>
                <w:szCs w:val="15"/>
              </w:rPr>
              <w:t>A类装饰装修材料中天然放射性素镭-</w:t>
            </w:r>
            <w:r>
              <w:rPr>
                <w:rFonts w:ascii="宋体" w:hAnsi="宋体"/>
                <w:color w:val="auto"/>
                <w:sz w:val="15"/>
                <w:szCs w:val="15"/>
              </w:rPr>
              <w:t>226</w:t>
            </w:r>
            <w:r>
              <w:rPr>
                <w:rFonts w:hint="eastAsia" w:ascii="宋体" w:hAnsi="宋体"/>
                <w:color w:val="auto"/>
                <w:sz w:val="15"/>
                <w:szCs w:val="15"/>
              </w:rPr>
              <w:t>、钍-</w:t>
            </w:r>
            <w:r>
              <w:rPr>
                <w:rFonts w:ascii="宋体" w:hAnsi="宋体"/>
                <w:color w:val="auto"/>
                <w:sz w:val="15"/>
                <w:szCs w:val="15"/>
              </w:rPr>
              <w:t>232</w:t>
            </w:r>
            <w:r>
              <w:rPr>
                <w:rFonts w:hint="eastAsia" w:ascii="宋体" w:hAnsi="宋体"/>
                <w:color w:val="auto"/>
                <w:sz w:val="15"/>
                <w:szCs w:val="15"/>
              </w:rPr>
              <w:t>、钾-</w:t>
            </w:r>
            <w:r>
              <w:rPr>
                <w:rFonts w:ascii="宋体" w:hAnsi="宋体"/>
                <w:color w:val="auto"/>
                <w:sz w:val="15"/>
                <w:szCs w:val="15"/>
              </w:rPr>
              <w:t>40</w:t>
            </w:r>
            <w:r>
              <w:rPr>
                <w:rFonts w:hint="eastAsia" w:ascii="宋体" w:hAnsi="宋体"/>
                <w:color w:val="auto"/>
                <w:sz w:val="15"/>
                <w:szCs w:val="15"/>
              </w:rPr>
              <w:t>的放射性比活跃度为_</w:t>
            </w:r>
            <w:r>
              <w:rPr>
                <w:rFonts w:ascii="宋体" w:hAnsi="宋体"/>
                <w:color w:val="auto"/>
                <w:sz w:val="15"/>
                <w:szCs w:val="15"/>
              </w:rPr>
              <w:t>____</w:t>
            </w:r>
          </w:p>
          <w:p>
            <w:pPr>
              <w:jc w:val="left"/>
              <w:rPr>
                <w:rFonts w:ascii="宋体" w:hAnsi="宋体"/>
                <w:color w:val="auto"/>
                <w:sz w:val="15"/>
                <w:szCs w:val="15"/>
              </w:rPr>
            </w:pPr>
            <w:r>
              <w:rPr>
                <w:rFonts w:hint="eastAsia" w:ascii="宋体" w:hAnsi="宋体"/>
                <w:color w:val="auto"/>
                <w:sz w:val="15"/>
                <w:szCs w:val="15"/>
              </w:rPr>
              <w:t>B类装饰装修材料中天然放射性素镭-</w:t>
            </w:r>
            <w:r>
              <w:rPr>
                <w:rFonts w:ascii="宋体" w:hAnsi="宋体"/>
                <w:color w:val="auto"/>
                <w:sz w:val="15"/>
                <w:szCs w:val="15"/>
              </w:rPr>
              <w:t>226</w:t>
            </w:r>
            <w:r>
              <w:rPr>
                <w:rFonts w:hint="eastAsia" w:ascii="宋体" w:hAnsi="宋体"/>
                <w:color w:val="auto"/>
                <w:sz w:val="15"/>
                <w:szCs w:val="15"/>
              </w:rPr>
              <w:t>、钍-</w:t>
            </w:r>
            <w:r>
              <w:rPr>
                <w:rFonts w:ascii="宋体" w:hAnsi="宋体"/>
                <w:color w:val="auto"/>
                <w:sz w:val="15"/>
                <w:szCs w:val="15"/>
              </w:rPr>
              <w:t>232</w:t>
            </w:r>
            <w:r>
              <w:rPr>
                <w:rFonts w:hint="eastAsia" w:ascii="宋体" w:hAnsi="宋体"/>
                <w:color w:val="auto"/>
                <w:sz w:val="15"/>
                <w:szCs w:val="15"/>
              </w:rPr>
              <w:t>、钾-</w:t>
            </w:r>
            <w:r>
              <w:rPr>
                <w:rFonts w:ascii="宋体" w:hAnsi="宋体"/>
                <w:color w:val="auto"/>
                <w:sz w:val="15"/>
                <w:szCs w:val="15"/>
              </w:rPr>
              <w:t>40</w:t>
            </w:r>
            <w:r>
              <w:rPr>
                <w:rFonts w:hint="eastAsia" w:ascii="宋体" w:hAnsi="宋体"/>
                <w:color w:val="auto"/>
                <w:sz w:val="15"/>
                <w:szCs w:val="15"/>
              </w:rPr>
              <w:t>的放射性比活跃度为_</w:t>
            </w:r>
            <w:r>
              <w:rPr>
                <w:rFonts w:ascii="宋体" w:hAnsi="宋体"/>
                <w:color w:val="auto"/>
                <w:sz w:val="15"/>
                <w:szCs w:val="15"/>
              </w:rPr>
              <w:t>____</w:t>
            </w:r>
          </w:p>
          <w:p>
            <w:pPr>
              <w:jc w:val="left"/>
              <w:rPr>
                <w:rFonts w:ascii="宋体" w:hAnsi="宋体"/>
                <w:color w:val="auto"/>
                <w:sz w:val="15"/>
                <w:szCs w:val="15"/>
              </w:rPr>
            </w:pPr>
            <w:r>
              <w:rPr>
                <w:rFonts w:ascii="宋体" w:hAnsi="宋体"/>
                <w:color w:val="auto"/>
                <w:sz w:val="15"/>
                <w:szCs w:val="15"/>
              </w:rPr>
              <w:t>C</w:t>
            </w:r>
            <w:r>
              <w:rPr>
                <w:rFonts w:hint="eastAsia" w:ascii="宋体" w:hAnsi="宋体"/>
                <w:color w:val="auto"/>
                <w:sz w:val="15"/>
                <w:szCs w:val="15"/>
              </w:rPr>
              <w:t>类装饰装修材料中天然放射性素镭-</w:t>
            </w:r>
            <w:r>
              <w:rPr>
                <w:rFonts w:ascii="宋体" w:hAnsi="宋体"/>
                <w:color w:val="auto"/>
                <w:sz w:val="15"/>
                <w:szCs w:val="15"/>
              </w:rPr>
              <w:t>226</w:t>
            </w:r>
            <w:r>
              <w:rPr>
                <w:rFonts w:hint="eastAsia" w:ascii="宋体" w:hAnsi="宋体"/>
                <w:color w:val="auto"/>
                <w:sz w:val="15"/>
                <w:szCs w:val="15"/>
              </w:rPr>
              <w:t>、钍-</w:t>
            </w:r>
            <w:r>
              <w:rPr>
                <w:rFonts w:ascii="宋体" w:hAnsi="宋体"/>
                <w:color w:val="auto"/>
                <w:sz w:val="15"/>
                <w:szCs w:val="15"/>
              </w:rPr>
              <w:t>232</w:t>
            </w:r>
            <w:r>
              <w:rPr>
                <w:rFonts w:hint="eastAsia" w:ascii="宋体" w:hAnsi="宋体"/>
                <w:color w:val="auto"/>
                <w:sz w:val="15"/>
                <w:szCs w:val="15"/>
              </w:rPr>
              <w:t>、钾-</w:t>
            </w:r>
            <w:r>
              <w:rPr>
                <w:rFonts w:ascii="宋体" w:hAnsi="宋体"/>
                <w:color w:val="auto"/>
                <w:sz w:val="15"/>
                <w:szCs w:val="15"/>
              </w:rPr>
              <w:t>40</w:t>
            </w:r>
            <w:r>
              <w:rPr>
                <w:rFonts w:hint="eastAsia" w:ascii="宋体" w:hAnsi="宋体"/>
                <w:color w:val="auto"/>
                <w:sz w:val="15"/>
                <w:szCs w:val="15"/>
              </w:rPr>
              <w:t>的放射性比活跃度为_</w:t>
            </w:r>
            <w:r>
              <w:rPr>
                <w:rFonts w:ascii="宋体" w:hAnsi="宋体"/>
                <w:color w:val="auto"/>
                <w:sz w:val="15"/>
                <w:szCs w:val="15"/>
              </w:rPr>
              <w:t>____</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宋体" w:hAnsi="宋体"/>
                <w:color w:val="auto"/>
                <w:sz w:val="24"/>
                <w:szCs w:val="24"/>
              </w:rPr>
            </w:pPr>
          </w:p>
        </w:tc>
        <w:tc>
          <w:tcPr>
            <w:tcW w:w="992" w:type="dxa"/>
          </w:tcPr>
          <w:p>
            <w:pPr>
              <w:jc w:val="left"/>
              <w:rPr>
                <w:rFonts w:ascii="宋体" w:hAnsi="宋体"/>
                <w:color w:val="auto"/>
                <w:sz w:val="15"/>
                <w:szCs w:val="15"/>
              </w:rPr>
            </w:pPr>
          </w:p>
          <w:p>
            <w:pPr>
              <w:jc w:val="left"/>
              <w:rPr>
                <w:rFonts w:ascii="宋体" w:hAnsi="宋体"/>
                <w:color w:val="auto"/>
                <w:sz w:val="15"/>
                <w:szCs w:val="15"/>
              </w:rPr>
            </w:pPr>
          </w:p>
          <w:p>
            <w:pPr>
              <w:jc w:val="left"/>
              <w:rPr>
                <w:rFonts w:ascii="宋体" w:hAnsi="宋体"/>
                <w:color w:val="auto"/>
                <w:sz w:val="15"/>
                <w:szCs w:val="15"/>
              </w:rPr>
            </w:pPr>
          </w:p>
          <w:p>
            <w:pPr>
              <w:jc w:val="left"/>
              <w:rPr>
                <w:rFonts w:ascii="宋体" w:hAnsi="宋体"/>
                <w:color w:val="auto"/>
                <w:sz w:val="15"/>
                <w:szCs w:val="15"/>
              </w:rPr>
            </w:pPr>
          </w:p>
          <w:p>
            <w:pPr>
              <w:jc w:val="left"/>
              <w:rPr>
                <w:rFonts w:ascii="宋体" w:hAnsi="宋体"/>
                <w:color w:val="auto"/>
                <w:sz w:val="15"/>
                <w:szCs w:val="15"/>
              </w:rPr>
            </w:pPr>
            <w:r>
              <w:rPr>
                <w:rFonts w:hint="eastAsia" w:ascii="宋体" w:hAnsi="宋体"/>
                <w:color w:val="auto"/>
                <w:sz w:val="15"/>
                <w:szCs w:val="15"/>
              </w:rPr>
              <w:t>室内环境污染控制要求</w:t>
            </w:r>
          </w:p>
        </w:tc>
        <w:tc>
          <w:tcPr>
            <w:tcW w:w="5245" w:type="dxa"/>
            <w:gridSpan w:val="5"/>
          </w:tcPr>
          <w:p>
            <w:pPr>
              <w:jc w:val="left"/>
              <w:rPr>
                <w:rFonts w:ascii="宋体" w:hAnsi="宋体"/>
                <w:color w:val="auto"/>
                <w:sz w:val="15"/>
                <w:szCs w:val="15"/>
              </w:rPr>
            </w:pPr>
            <w:r>
              <w:rPr>
                <w:rFonts w:hint="eastAsia" w:ascii="宋体" w:hAnsi="宋体"/>
                <w:color w:val="auto"/>
                <w:sz w:val="15"/>
                <w:szCs w:val="15"/>
              </w:rPr>
              <w:t>1室内人造木板及其制品游离甲醛释放量为_</w:t>
            </w:r>
            <w:r>
              <w:rPr>
                <w:rFonts w:ascii="宋体" w:hAnsi="宋体"/>
                <w:color w:val="auto"/>
                <w:sz w:val="15"/>
                <w:szCs w:val="15"/>
              </w:rPr>
              <w:t>____</w:t>
            </w:r>
          </w:p>
          <w:p>
            <w:pPr>
              <w:jc w:val="left"/>
              <w:rPr>
                <w:rFonts w:ascii="宋体" w:hAnsi="宋体"/>
                <w:color w:val="auto"/>
                <w:sz w:val="15"/>
                <w:szCs w:val="15"/>
              </w:rPr>
            </w:pPr>
            <w:r>
              <w:rPr>
                <w:rFonts w:hint="eastAsia" w:ascii="宋体" w:hAnsi="宋体"/>
                <w:color w:val="auto"/>
                <w:sz w:val="15"/>
                <w:szCs w:val="15"/>
              </w:rPr>
              <w:t>2室内用其它水性涂料和水性腻子中游离甲醛限量为_</w:t>
            </w:r>
            <w:r>
              <w:rPr>
                <w:rFonts w:ascii="宋体" w:hAnsi="宋体"/>
                <w:color w:val="auto"/>
                <w:sz w:val="15"/>
                <w:szCs w:val="15"/>
              </w:rPr>
              <w:t>_____</w:t>
            </w:r>
          </w:p>
          <w:p>
            <w:pPr>
              <w:jc w:val="left"/>
              <w:rPr>
                <w:rFonts w:ascii="宋体" w:hAnsi="宋体"/>
                <w:color w:val="auto"/>
                <w:sz w:val="15"/>
                <w:szCs w:val="15"/>
              </w:rPr>
            </w:pPr>
            <w:r>
              <w:rPr>
                <w:rFonts w:hint="eastAsia" w:ascii="宋体" w:hAnsi="宋体"/>
                <w:color w:val="auto"/>
                <w:sz w:val="15"/>
                <w:szCs w:val="15"/>
              </w:rPr>
              <w:t>3室内用酚醛防锈涂料V</w:t>
            </w:r>
            <w:r>
              <w:rPr>
                <w:rFonts w:ascii="宋体" w:hAnsi="宋体"/>
                <w:color w:val="auto"/>
                <w:sz w:val="15"/>
                <w:szCs w:val="15"/>
              </w:rPr>
              <w:t>OC</w:t>
            </w:r>
            <w:r>
              <w:rPr>
                <w:rFonts w:hint="eastAsia" w:ascii="宋体" w:hAnsi="宋体"/>
                <w:color w:val="auto"/>
                <w:sz w:val="15"/>
                <w:szCs w:val="15"/>
              </w:rPr>
              <w:t>限量_</w:t>
            </w:r>
            <w:r>
              <w:rPr>
                <w:rFonts w:ascii="宋体" w:hAnsi="宋体"/>
                <w:color w:val="auto"/>
                <w:sz w:val="15"/>
                <w:szCs w:val="15"/>
              </w:rPr>
              <w:t>____</w:t>
            </w:r>
            <w:r>
              <w:rPr>
                <w:rFonts w:hint="eastAsia" w:ascii="宋体" w:hAnsi="宋体"/>
                <w:color w:val="auto"/>
                <w:sz w:val="15"/>
                <w:szCs w:val="15"/>
              </w:rPr>
              <w:t>，苯限量_</w:t>
            </w:r>
            <w:r>
              <w:rPr>
                <w:rFonts w:ascii="宋体" w:hAnsi="宋体"/>
                <w:color w:val="auto"/>
                <w:sz w:val="15"/>
                <w:szCs w:val="15"/>
              </w:rPr>
              <w:t xml:space="preserve">____ </w:t>
            </w:r>
          </w:p>
          <w:p>
            <w:pPr>
              <w:jc w:val="left"/>
              <w:rPr>
                <w:rFonts w:ascii="宋体" w:hAnsi="宋体"/>
                <w:color w:val="auto"/>
                <w:sz w:val="15"/>
                <w:szCs w:val="15"/>
              </w:rPr>
            </w:pPr>
            <w:r>
              <w:rPr>
                <w:rFonts w:hint="eastAsia" w:ascii="宋体" w:hAnsi="宋体"/>
                <w:color w:val="auto"/>
                <w:sz w:val="15"/>
                <w:szCs w:val="15"/>
              </w:rPr>
              <w:t>4室内防水涂料V</w:t>
            </w:r>
            <w:r>
              <w:rPr>
                <w:rFonts w:ascii="宋体" w:hAnsi="宋体"/>
                <w:color w:val="auto"/>
                <w:sz w:val="15"/>
                <w:szCs w:val="15"/>
              </w:rPr>
              <w:t>OC</w:t>
            </w:r>
            <w:r>
              <w:rPr>
                <w:rFonts w:hint="eastAsia" w:ascii="宋体" w:hAnsi="宋体"/>
                <w:color w:val="auto"/>
                <w:sz w:val="15"/>
                <w:szCs w:val="15"/>
              </w:rPr>
              <w:t>限量_</w:t>
            </w:r>
            <w:r>
              <w:rPr>
                <w:rFonts w:ascii="宋体" w:hAnsi="宋体"/>
                <w:color w:val="auto"/>
                <w:sz w:val="15"/>
                <w:szCs w:val="15"/>
              </w:rPr>
              <w:t>____</w:t>
            </w:r>
            <w:r>
              <w:rPr>
                <w:rFonts w:hint="eastAsia" w:ascii="宋体" w:hAnsi="宋体"/>
                <w:color w:val="auto"/>
                <w:sz w:val="15"/>
                <w:szCs w:val="15"/>
              </w:rPr>
              <w:t>，苯限量_</w:t>
            </w:r>
            <w:r>
              <w:rPr>
                <w:rFonts w:ascii="宋体" w:hAnsi="宋体"/>
                <w:color w:val="auto"/>
                <w:sz w:val="15"/>
                <w:szCs w:val="15"/>
              </w:rPr>
              <w:t>____</w:t>
            </w:r>
            <w:r>
              <w:rPr>
                <w:rFonts w:hint="eastAsia" w:ascii="宋体" w:hAnsi="宋体"/>
                <w:color w:val="auto"/>
                <w:sz w:val="15"/>
                <w:szCs w:val="15"/>
              </w:rPr>
              <w:t>，甲苯十二甲苯+乙苯_</w:t>
            </w:r>
            <w:r>
              <w:rPr>
                <w:rFonts w:ascii="宋体" w:hAnsi="宋体"/>
                <w:color w:val="auto"/>
                <w:sz w:val="15"/>
                <w:szCs w:val="15"/>
              </w:rPr>
              <w:t>____</w:t>
            </w:r>
          </w:p>
          <w:p>
            <w:pPr>
              <w:jc w:val="left"/>
              <w:rPr>
                <w:rFonts w:ascii="宋体" w:hAnsi="宋体"/>
                <w:color w:val="auto"/>
                <w:sz w:val="15"/>
                <w:szCs w:val="15"/>
              </w:rPr>
            </w:pPr>
            <w:r>
              <w:rPr>
                <w:rFonts w:hint="eastAsia" w:ascii="宋体" w:hAnsi="宋体"/>
                <w:color w:val="auto"/>
                <w:sz w:val="15"/>
                <w:szCs w:val="15"/>
              </w:rPr>
              <w:t>5室内防火涂料V</w:t>
            </w:r>
            <w:r>
              <w:rPr>
                <w:rFonts w:ascii="宋体" w:hAnsi="宋体"/>
                <w:color w:val="auto"/>
                <w:sz w:val="15"/>
                <w:szCs w:val="15"/>
              </w:rPr>
              <w:t>OC</w:t>
            </w:r>
            <w:r>
              <w:rPr>
                <w:rFonts w:hint="eastAsia" w:ascii="宋体" w:hAnsi="宋体"/>
                <w:color w:val="auto"/>
                <w:sz w:val="15"/>
                <w:szCs w:val="15"/>
              </w:rPr>
              <w:t>限量_</w:t>
            </w:r>
            <w:r>
              <w:rPr>
                <w:rFonts w:ascii="宋体" w:hAnsi="宋体"/>
                <w:color w:val="auto"/>
                <w:sz w:val="15"/>
                <w:szCs w:val="15"/>
              </w:rPr>
              <w:t>____</w:t>
            </w:r>
            <w:r>
              <w:rPr>
                <w:rFonts w:hint="eastAsia" w:ascii="宋体" w:hAnsi="宋体"/>
                <w:color w:val="auto"/>
                <w:sz w:val="15"/>
                <w:szCs w:val="15"/>
              </w:rPr>
              <w:t>，苯限量_</w:t>
            </w:r>
            <w:r>
              <w:rPr>
                <w:rFonts w:ascii="宋体" w:hAnsi="宋体"/>
                <w:color w:val="auto"/>
                <w:sz w:val="15"/>
                <w:szCs w:val="15"/>
              </w:rPr>
              <w:t>____</w:t>
            </w:r>
            <w:r>
              <w:rPr>
                <w:rFonts w:hint="eastAsia" w:ascii="宋体" w:hAnsi="宋体"/>
                <w:color w:val="auto"/>
                <w:sz w:val="15"/>
                <w:szCs w:val="15"/>
              </w:rPr>
              <w:t>，甲苯十二甲苯+乙苯_</w:t>
            </w:r>
            <w:r>
              <w:rPr>
                <w:rFonts w:ascii="宋体" w:hAnsi="宋体"/>
                <w:color w:val="auto"/>
                <w:sz w:val="15"/>
                <w:szCs w:val="15"/>
              </w:rPr>
              <w:t>____</w:t>
            </w:r>
          </w:p>
          <w:p>
            <w:pPr>
              <w:jc w:val="left"/>
              <w:rPr>
                <w:rFonts w:ascii="宋体" w:hAnsi="宋体"/>
                <w:color w:val="auto"/>
                <w:sz w:val="15"/>
                <w:szCs w:val="15"/>
              </w:rPr>
            </w:pPr>
            <w:r>
              <w:rPr>
                <w:rFonts w:hint="eastAsia" w:ascii="宋体" w:hAnsi="宋体"/>
                <w:color w:val="auto"/>
                <w:sz w:val="15"/>
                <w:szCs w:val="15"/>
              </w:rPr>
              <w:t>6室内其它溶剂型涂料V</w:t>
            </w:r>
            <w:r>
              <w:rPr>
                <w:rFonts w:ascii="宋体" w:hAnsi="宋体"/>
                <w:color w:val="auto"/>
                <w:sz w:val="15"/>
                <w:szCs w:val="15"/>
              </w:rPr>
              <w:t>OC</w:t>
            </w:r>
            <w:r>
              <w:rPr>
                <w:rFonts w:hint="eastAsia" w:ascii="宋体" w:hAnsi="宋体"/>
                <w:color w:val="auto"/>
                <w:sz w:val="15"/>
                <w:szCs w:val="15"/>
              </w:rPr>
              <w:t>限量_</w:t>
            </w:r>
            <w:r>
              <w:rPr>
                <w:rFonts w:ascii="宋体" w:hAnsi="宋体"/>
                <w:color w:val="auto"/>
                <w:sz w:val="15"/>
                <w:szCs w:val="15"/>
              </w:rPr>
              <w:t>____</w:t>
            </w:r>
            <w:r>
              <w:rPr>
                <w:rFonts w:hint="eastAsia" w:ascii="宋体" w:hAnsi="宋体"/>
                <w:color w:val="auto"/>
                <w:sz w:val="15"/>
                <w:szCs w:val="15"/>
              </w:rPr>
              <w:t>，苯限量_</w:t>
            </w:r>
            <w:r>
              <w:rPr>
                <w:rFonts w:ascii="宋体" w:hAnsi="宋体"/>
                <w:color w:val="auto"/>
                <w:sz w:val="15"/>
                <w:szCs w:val="15"/>
              </w:rPr>
              <w:t>____</w:t>
            </w:r>
            <w:r>
              <w:rPr>
                <w:rFonts w:hint="eastAsia" w:ascii="宋体" w:hAnsi="宋体"/>
                <w:color w:val="auto"/>
                <w:sz w:val="15"/>
                <w:szCs w:val="15"/>
              </w:rPr>
              <w:t>，甲苯十二甲苯+乙苯_</w:t>
            </w:r>
            <w:r>
              <w:rPr>
                <w:rFonts w:ascii="宋体" w:hAnsi="宋体"/>
                <w:color w:val="auto"/>
                <w:sz w:val="15"/>
                <w:szCs w:val="15"/>
              </w:rPr>
              <w:t>____</w:t>
            </w:r>
          </w:p>
          <w:p>
            <w:pPr>
              <w:jc w:val="left"/>
              <w:rPr>
                <w:rFonts w:ascii="宋体" w:hAnsi="宋体"/>
                <w:color w:val="auto"/>
                <w:sz w:val="15"/>
                <w:szCs w:val="15"/>
              </w:rPr>
            </w:pPr>
            <w:r>
              <w:rPr>
                <w:rFonts w:hint="eastAsia" w:ascii="宋体" w:hAnsi="宋体"/>
                <w:color w:val="auto"/>
                <w:sz w:val="15"/>
                <w:szCs w:val="15"/>
              </w:rPr>
              <w:t>7室内用墙纸（布）中游离甲醛限量为_</w:t>
            </w:r>
            <w:r>
              <w:rPr>
                <w:rFonts w:ascii="宋体" w:hAnsi="宋体"/>
                <w:color w:val="auto"/>
                <w:sz w:val="15"/>
                <w:szCs w:val="15"/>
              </w:rPr>
              <w:t>____</w:t>
            </w:r>
          </w:p>
          <w:p>
            <w:pPr>
              <w:jc w:val="left"/>
              <w:rPr>
                <w:rFonts w:ascii="宋体" w:hAnsi="宋体"/>
                <w:color w:val="auto"/>
                <w:sz w:val="15"/>
                <w:szCs w:val="15"/>
              </w:rPr>
            </w:pPr>
            <w:r>
              <w:rPr>
                <w:rFonts w:hint="eastAsia" w:ascii="宋体" w:hAnsi="宋体"/>
                <w:color w:val="auto"/>
                <w:sz w:val="15"/>
                <w:szCs w:val="15"/>
              </w:rPr>
              <w:t>8聚氯乙烯卷材地板中挥发物限量为_</w:t>
            </w:r>
            <w:r>
              <w:rPr>
                <w:rFonts w:ascii="宋体" w:hAnsi="宋体"/>
                <w:color w:val="auto"/>
                <w:sz w:val="15"/>
                <w:szCs w:val="15"/>
              </w:rPr>
              <w:t>____</w:t>
            </w:r>
            <w:r>
              <w:rPr>
                <w:rFonts w:hint="eastAsia" w:ascii="宋体" w:hAnsi="宋体"/>
                <w:color w:val="auto"/>
                <w:sz w:val="15"/>
                <w:szCs w:val="15"/>
              </w:rPr>
              <w:t>，木塑制品地板中挥发物限量为_</w:t>
            </w:r>
            <w:r>
              <w:rPr>
                <w:rFonts w:ascii="宋体" w:hAnsi="宋体"/>
                <w:color w:val="auto"/>
                <w:sz w:val="15"/>
                <w:szCs w:val="15"/>
              </w:rPr>
              <w:t>___</w:t>
            </w:r>
            <w:r>
              <w:rPr>
                <w:rFonts w:hint="eastAsia" w:ascii="宋体" w:hAnsi="宋体"/>
                <w:color w:val="auto"/>
                <w:sz w:val="15"/>
                <w:szCs w:val="15"/>
              </w:rPr>
              <w:t>，橡塑类铺地材料挥发物限量为_</w:t>
            </w:r>
            <w:r>
              <w:rPr>
                <w:rFonts w:ascii="宋体" w:hAnsi="宋体"/>
                <w:color w:val="auto"/>
                <w:sz w:val="15"/>
                <w:szCs w:val="15"/>
              </w:rPr>
              <w:t>____</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left"/>
              <w:rPr>
                <w:rFonts w:ascii="宋体" w:hAnsi="宋体"/>
                <w:color w:val="auto"/>
                <w:sz w:val="24"/>
                <w:szCs w:val="24"/>
              </w:rPr>
            </w:pPr>
          </w:p>
        </w:tc>
        <w:tc>
          <w:tcPr>
            <w:tcW w:w="992" w:type="dxa"/>
          </w:tcPr>
          <w:p>
            <w:pPr>
              <w:jc w:val="left"/>
              <w:rPr>
                <w:rFonts w:ascii="宋体" w:hAnsi="宋体"/>
                <w:color w:val="auto"/>
                <w:sz w:val="15"/>
                <w:szCs w:val="15"/>
              </w:rPr>
            </w:pPr>
          </w:p>
          <w:p>
            <w:pPr>
              <w:jc w:val="left"/>
              <w:rPr>
                <w:rFonts w:ascii="宋体" w:hAnsi="宋体"/>
                <w:color w:val="auto"/>
                <w:sz w:val="15"/>
                <w:szCs w:val="15"/>
              </w:rPr>
            </w:pPr>
          </w:p>
          <w:p>
            <w:pPr>
              <w:jc w:val="left"/>
              <w:rPr>
                <w:rFonts w:ascii="宋体" w:hAnsi="宋体"/>
                <w:color w:val="auto"/>
                <w:sz w:val="15"/>
                <w:szCs w:val="15"/>
              </w:rPr>
            </w:pPr>
            <w:r>
              <w:rPr>
                <w:rFonts w:hint="eastAsia" w:ascii="宋体" w:hAnsi="宋体"/>
                <w:color w:val="auto"/>
                <w:sz w:val="15"/>
                <w:szCs w:val="15"/>
              </w:rPr>
              <w:t>围护结构</w:t>
            </w:r>
          </w:p>
          <w:p>
            <w:pPr>
              <w:jc w:val="left"/>
              <w:rPr>
                <w:rFonts w:ascii="宋体" w:hAnsi="宋体"/>
                <w:color w:val="auto"/>
                <w:sz w:val="15"/>
                <w:szCs w:val="15"/>
              </w:rPr>
            </w:pPr>
            <w:r>
              <w:rPr>
                <w:rFonts w:hint="eastAsia" w:ascii="宋体" w:hAnsi="宋体"/>
                <w:color w:val="auto"/>
                <w:sz w:val="15"/>
                <w:szCs w:val="15"/>
              </w:rPr>
              <w:t>性能要求</w:t>
            </w:r>
          </w:p>
        </w:tc>
        <w:tc>
          <w:tcPr>
            <w:tcW w:w="5245" w:type="dxa"/>
            <w:gridSpan w:val="5"/>
          </w:tcPr>
          <w:p>
            <w:pPr>
              <w:jc w:val="left"/>
              <w:rPr>
                <w:rFonts w:ascii="宋体" w:hAnsi="宋体"/>
                <w:color w:val="auto"/>
                <w:sz w:val="15"/>
                <w:szCs w:val="15"/>
              </w:rPr>
            </w:pPr>
            <w:r>
              <w:rPr>
                <w:rFonts w:hint="eastAsia" w:ascii="宋体" w:hAnsi="宋体"/>
                <w:color w:val="auto"/>
                <w:sz w:val="15"/>
                <w:szCs w:val="15"/>
              </w:rPr>
              <w:t>1外墙系统抗风压性能指标_</w:t>
            </w:r>
            <w:r>
              <w:rPr>
                <w:rFonts w:ascii="宋体" w:hAnsi="宋体"/>
                <w:color w:val="auto"/>
                <w:sz w:val="15"/>
                <w:szCs w:val="15"/>
              </w:rPr>
              <w:t>____</w:t>
            </w:r>
          </w:p>
          <w:p>
            <w:pPr>
              <w:jc w:val="left"/>
              <w:rPr>
                <w:rFonts w:ascii="宋体" w:hAnsi="宋体"/>
                <w:color w:val="auto"/>
                <w:sz w:val="15"/>
                <w:szCs w:val="15"/>
              </w:rPr>
            </w:pPr>
            <w:r>
              <w:rPr>
                <w:rFonts w:ascii="宋体" w:hAnsi="宋体"/>
                <w:color w:val="auto"/>
                <w:sz w:val="15"/>
                <w:szCs w:val="15"/>
              </w:rPr>
              <w:t>2</w:t>
            </w:r>
            <w:r>
              <w:rPr>
                <w:rFonts w:hint="eastAsia" w:ascii="宋体" w:hAnsi="宋体"/>
                <w:color w:val="auto"/>
                <w:sz w:val="15"/>
                <w:szCs w:val="15"/>
              </w:rPr>
              <w:t>墙体系统耐撞击性能指标_</w:t>
            </w:r>
            <w:r>
              <w:rPr>
                <w:rFonts w:ascii="宋体" w:hAnsi="宋体"/>
                <w:color w:val="auto"/>
                <w:sz w:val="15"/>
                <w:szCs w:val="15"/>
              </w:rPr>
              <w:t>___</w:t>
            </w:r>
          </w:p>
          <w:p>
            <w:pPr>
              <w:jc w:val="left"/>
              <w:rPr>
                <w:rFonts w:ascii="宋体" w:hAnsi="宋体"/>
                <w:color w:val="auto"/>
                <w:sz w:val="15"/>
                <w:szCs w:val="15"/>
              </w:rPr>
            </w:pPr>
            <w:r>
              <w:rPr>
                <w:rFonts w:ascii="宋体" w:hAnsi="宋体"/>
                <w:color w:val="auto"/>
                <w:sz w:val="15"/>
                <w:szCs w:val="15"/>
              </w:rPr>
              <w:t>3</w:t>
            </w:r>
            <w:r>
              <w:rPr>
                <w:rFonts w:hint="eastAsia" w:ascii="宋体" w:hAnsi="宋体"/>
                <w:color w:val="auto"/>
                <w:sz w:val="15"/>
                <w:szCs w:val="15"/>
              </w:rPr>
              <w:t>墙体系统部品耐火极限指标_</w:t>
            </w:r>
            <w:r>
              <w:rPr>
                <w:rFonts w:ascii="宋体" w:hAnsi="宋体"/>
                <w:color w:val="auto"/>
                <w:sz w:val="15"/>
                <w:szCs w:val="15"/>
              </w:rPr>
              <w:t>___</w:t>
            </w:r>
          </w:p>
          <w:p>
            <w:pPr>
              <w:jc w:val="left"/>
              <w:rPr>
                <w:rFonts w:ascii="宋体" w:hAnsi="宋体"/>
                <w:color w:val="auto"/>
                <w:sz w:val="15"/>
                <w:szCs w:val="15"/>
              </w:rPr>
            </w:pPr>
            <w:r>
              <w:rPr>
                <w:rFonts w:ascii="宋体" w:hAnsi="宋体"/>
                <w:color w:val="auto"/>
                <w:sz w:val="15"/>
                <w:szCs w:val="15"/>
              </w:rPr>
              <w:t>4</w:t>
            </w:r>
            <w:r>
              <w:rPr>
                <w:rFonts w:hint="eastAsia" w:ascii="宋体" w:hAnsi="宋体"/>
                <w:color w:val="auto"/>
                <w:sz w:val="15"/>
                <w:szCs w:val="15"/>
              </w:rPr>
              <w:t>外墙系统气密性指标_</w:t>
            </w:r>
            <w:r>
              <w:rPr>
                <w:rFonts w:ascii="宋体" w:hAnsi="宋体"/>
                <w:color w:val="auto"/>
                <w:sz w:val="15"/>
                <w:szCs w:val="15"/>
              </w:rPr>
              <w:t>____</w:t>
            </w:r>
          </w:p>
          <w:p>
            <w:pPr>
              <w:jc w:val="left"/>
              <w:rPr>
                <w:rFonts w:ascii="宋体" w:hAnsi="宋体"/>
                <w:color w:val="auto"/>
                <w:sz w:val="15"/>
                <w:szCs w:val="15"/>
              </w:rPr>
            </w:pPr>
            <w:r>
              <w:rPr>
                <w:rFonts w:ascii="宋体" w:hAnsi="宋体"/>
                <w:color w:val="auto"/>
                <w:sz w:val="15"/>
                <w:szCs w:val="15"/>
              </w:rPr>
              <w:t>5</w:t>
            </w:r>
            <w:r>
              <w:rPr>
                <w:rFonts w:hint="eastAsia" w:ascii="宋体" w:hAnsi="宋体"/>
                <w:color w:val="auto"/>
                <w:sz w:val="15"/>
                <w:szCs w:val="15"/>
              </w:rPr>
              <w:t>外墙系统水密性指标_</w:t>
            </w:r>
            <w:r>
              <w:rPr>
                <w:rFonts w:ascii="宋体" w:hAnsi="宋体"/>
                <w:color w:val="auto"/>
                <w:sz w:val="15"/>
                <w:szCs w:val="15"/>
              </w:rPr>
              <w:t>____</w:t>
            </w:r>
          </w:p>
          <w:p>
            <w:pPr>
              <w:jc w:val="left"/>
              <w:rPr>
                <w:rFonts w:ascii="宋体" w:hAnsi="宋体"/>
                <w:color w:val="auto"/>
                <w:sz w:val="15"/>
                <w:szCs w:val="15"/>
              </w:rPr>
            </w:pPr>
            <w:r>
              <w:rPr>
                <w:rFonts w:ascii="宋体" w:hAnsi="宋体"/>
                <w:color w:val="auto"/>
                <w:sz w:val="15"/>
                <w:szCs w:val="15"/>
              </w:rPr>
              <w:t>6</w:t>
            </w:r>
            <w:r>
              <w:rPr>
                <w:rFonts w:hint="eastAsia" w:ascii="宋体" w:hAnsi="宋体"/>
                <w:color w:val="auto"/>
                <w:sz w:val="15"/>
                <w:szCs w:val="15"/>
              </w:rPr>
              <w:t>内外墙体单点吊挂力为_</w:t>
            </w:r>
            <w:r>
              <w:rPr>
                <w:rFonts w:ascii="宋体" w:hAnsi="宋体"/>
                <w:color w:val="auto"/>
                <w:sz w:val="15"/>
                <w:szCs w:val="15"/>
              </w:rPr>
              <w:t>____</w:t>
            </w:r>
            <w:r>
              <w:rPr>
                <w:rFonts w:hint="eastAsia" w:ascii="宋体" w:hAnsi="宋体"/>
                <w:color w:val="auto"/>
                <w:sz w:val="15"/>
                <w:szCs w:val="15"/>
              </w:rPr>
              <w:t>，燃烧性能为_</w:t>
            </w:r>
            <w:r>
              <w:rPr>
                <w:rFonts w:ascii="宋体" w:hAnsi="宋体"/>
                <w:color w:val="auto"/>
                <w:sz w:val="15"/>
                <w:szCs w:val="15"/>
              </w:rPr>
              <w:t>____</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restart"/>
          </w:tcPr>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r>
              <w:rPr>
                <w:rFonts w:hint="eastAsia" w:ascii="宋体" w:hAnsi="宋体"/>
                <w:color w:val="auto"/>
                <w:sz w:val="24"/>
                <w:szCs w:val="24"/>
              </w:rPr>
              <w:t>耐久性能</w:t>
            </w:r>
          </w:p>
        </w:tc>
        <w:tc>
          <w:tcPr>
            <w:tcW w:w="6237" w:type="dxa"/>
            <w:gridSpan w:val="6"/>
          </w:tcPr>
          <w:p>
            <w:pPr>
              <w:jc w:val="left"/>
              <w:rPr>
                <w:rFonts w:ascii="宋体" w:hAnsi="宋体"/>
                <w:color w:val="auto"/>
                <w:sz w:val="24"/>
                <w:szCs w:val="24"/>
              </w:rPr>
            </w:pPr>
            <w:r>
              <w:rPr>
                <w:rFonts w:hint="eastAsia" w:ascii="宋体" w:hAnsi="宋体"/>
                <w:color w:val="auto"/>
                <w:sz w:val="15"/>
                <w:szCs w:val="15"/>
              </w:rPr>
              <w:t>建筑设计使用年限_</w:t>
            </w:r>
            <w:r>
              <w:rPr>
                <w:rFonts w:ascii="宋体" w:hAnsi="宋体"/>
                <w:color w:val="auto"/>
                <w:sz w:val="15"/>
                <w:szCs w:val="15"/>
              </w:rPr>
              <w:t>_____。</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宋体" w:hAnsi="宋体"/>
                <w:color w:val="auto"/>
                <w:sz w:val="24"/>
                <w:szCs w:val="24"/>
              </w:rPr>
            </w:pPr>
          </w:p>
        </w:tc>
        <w:tc>
          <w:tcPr>
            <w:tcW w:w="6237" w:type="dxa"/>
            <w:gridSpan w:val="6"/>
          </w:tcPr>
          <w:p>
            <w:pPr>
              <w:jc w:val="left"/>
              <w:rPr>
                <w:rFonts w:ascii="宋体" w:hAnsi="宋体"/>
                <w:color w:val="auto"/>
                <w:sz w:val="24"/>
                <w:szCs w:val="24"/>
              </w:rPr>
            </w:pPr>
            <w:r>
              <w:rPr>
                <w:rFonts w:hint="eastAsia" w:ascii="宋体" w:hAnsi="宋体"/>
                <w:color w:val="auto"/>
                <w:sz w:val="15"/>
                <w:szCs w:val="15"/>
              </w:rPr>
              <w:t>主体结构安全等级_</w:t>
            </w:r>
            <w:r>
              <w:rPr>
                <w:rFonts w:ascii="宋体" w:hAnsi="宋体"/>
                <w:color w:val="auto"/>
                <w:sz w:val="15"/>
                <w:szCs w:val="15"/>
              </w:rPr>
              <w:t>____</w:t>
            </w:r>
            <w:r>
              <w:rPr>
                <w:rFonts w:hint="eastAsia" w:ascii="宋体" w:hAnsi="宋体"/>
                <w:color w:val="auto"/>
                <w:sz w:val="15"/>
                <w:szCs w:val="15"/>
              </w:rPr>
              <w:t>_</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宋体" w:hAnsi="宋体"/>
                <w:color w:val="auto"/>
                <w:sz w:val="24"/>
                <w:szCs w:val="24"/>
              </w:rPr>
            </w:pPr>
          </w:p>
        </w:tc>
        <w:tc>
          <w:tcPr>
            <w:tcW w:w="6237" w:type="dxa"/>
            <w:gridSpan w:val="6"/>
          </w:tcPr>
          <w:p>
            <w:pPr>
              <w:jc w:val="left"/>
              <w:rPr>
                <w:rFonts w:ascii="宋体" w:hAnsi="宋体"/>
                <w:color w:val="auto"/>
                <w:sz w:val="24"/>
                <w:szCs w:val="24"/>
              </w:rPr>
            </w:pPr>
            <w:r>
              <w:rPr>
                <w:rFonts w:hint="eastAsia" w:ascii="宋体" w:hAnsi="宋体"/>
                <w:color w:val="auto"/>
                <w:sz w:val="15"/>
                <w:szCs w:val="15"/>
              </w:rPr>
              <w:t>钢结构部（构）件设计使用年限_</w:t>
            </w:r>
            <w:r>
              <w:rPr>
                <w:rFonts w:ascii="宋体" w:hAnsi="宋体"/>
                <w:color w:val="auto"/>
                <w:sz w:val="15"/>
                <w:szCs w:val="15"/>
              </w:rPr>
              <w:t>______</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宋体" w:hAnsi="宋体"/>
                <w:color w:val="auto"/>
                <w:sz w:val="24"/>
                <w:szCs w:val="24"/>
              </w:rPr>
            </w:pPr>
          </w:p>
        </w:tc>
        <w:tc>
          <w:tcPr>
            <w:tcW w:w="6237" w:type="dxa"/>
            <w:gridSpan w:val="6"/>
          </w:tcPr>
          <w:p>
            <w:pPr>
              <w:jc w:val="left"/>
              <w:rPr>
                <w:rFonts w:ascii="宋体" w:hAnsi="宋体"/>
                <w:color w:val="auto"/>
                <w:sz w:val="15"/>
                <w:szCs w:val="15"/>
              </w:rPr>
            </w:pPr>
            <w:r>
              <w:rPr>
                <w:rFonts w:hint="eastAsia" w:ascii="宋体" w:hAnsi="宋体"/>
                <w:color w:val="auto"/>
                <w:sz w:val="15"/>
                <w:szCs w:val="15"/>
              </w:rPr>
              <w:t>可更换的非承重部品部件其耐用指标_</w:t>
            </w:r>
            <w:r>
              <w:rPr>
                <w:rFonts w:ascii="宋体" w:hAnsi="宋体"/>
                <w:color w:val="auto"/>
                <w:sz w:val="15"/>
                <w:szCs w:val="15"/>
              </w:rPr>
              <w:t>_____</w:t>
            </w:r>
          </w:p>
          <w:p>
            <w:pPr>
              <w:jc w:val="left"/>
              <w:rPr>
                <w:rFonts w:ascii="宋体" w:hAnsi="宋体"/>
                <w:color w:val="auto"/>
                <w:sz w:val="15"/>
                <w:szCs w:val="15"/>
              </w:rPr>
            </w:pPr>
            <w:r>
              <w:rPr>
                <w:rFonts w:hint="eastAsia" w:ascii="宋体" w:hAnsi="宋体"/>
                <w:color w:val="auto"/>
                <w:sz w:val="15"/>
                <w:szCs w:val="15"/>
              </w:rPr>
              <w:t>独立的非承重结构部件设计使用年限_</w:t>
            </w:r>
            <w:r>
              <w:rPr>
                <w:rFonts w:ascii="宋体" w:hAnsi="宋体"/>
                <w:color w:val="auto"/>
                <w:sz w:val="15"/>
                <w:szCs w:val="15"/>
              </w:rPr>
              <w:t>_____；</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宋体" w:hAnsi="宋体"/>
                <w:color w:val="auto"/>
                <w:sz w:val="24"/>
                <w:szCs w:val="24"/>
              </w:rPr>
            </w:pPr>
          </w:p>
        </w:tc>
        <w:tc>
          <w:tcPr>
            <w:tcW w:w="6237" w:type="dxa"/>
            <w:gridSpan w:val="6"/>
          </w:tcPr>
          <w:p>
            <w:pPr>
              <w:jc w:val="left"/>
              <w:rPr>
                <w:rFonts w:ascii="宋体" w:hAnsi="宋体"/>
                <w:color w:val="auto"/>
                <w:sz w:val="24"/>
                <w:szCs w:val="24"/>
              </w:rPr>
            </w:pPr>
            <w:r>
              <w:rPr>
                <w:rFonts w:hint="eastAsia" w:ascii="宋体" w:hAnsi="宋体"/>
                <w:color w:val="auto"/>
                <w:sz w:val="15"/>
                <w:szCs w:val="15"/>
              </w:rPr>
              <w:t>可维修部位规定维修周期_</w:t>
            </w:r>
            <w:r>
              <w:rPr>
                <w:rFonts w:ascii="宋体" w:hAnsi="宋体"/>
                <w:color w:val="auto"/>
                <w:sz w:val="15"/>
                <w:szCs w:val="15"/>
              </w:rPr>
              <w:t>____</w:t>
            </w:r>
            <w:r>
              <w:rPr>
                <w:rFonts w:hint="eastAsia" w:ascii="宋体" w:hAnsi="宋体"/>
                <w:color w:val="auto"/>
                <w:sz w:val="15"/>
                <w:szCs w:val="15"/>
              </w:rPr>
              <w:t>，使用年限_</w:t>
            </w:r>
            <w:r>
              <w:rPr>
                <w:rFonts w:ascii="宋体" w:hAnsi="宋体"/>
                <w:color w:val="auto"/>
                <w:sz w:val="15"/>
                <w:szCs w:val="15"/>
              </w:rPr>
              <w:t>_____</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restart"/>
          </w:tcPr>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r>
              <w:rPr>
                <w:rFonts w:hint="eastAsia" w:ascii="宋体" w:hAnsi="宋体"/>
                <w:color w:val="auto"/>
                <w:sz w:val="24"/>
                <w:szCs w:val="24"/>
              </w:rPr>
              <w:t>绿色低碳，可持续</w:t>
            </w:r>
          </w:p>
        </w:tc>
        <w:tc>
          <w:tcPr>
            <w:tcW w:w="1276" w:type="dxa"/>
            <w:gridSpan w:val="2"/>
            <w:vMerge w:val="restart"/>
          </w:tcPr>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jc w:val="left"/>
              <w:rPr>
                <w:rFonts w:ascii="宋体" w:hAnsi="宋体"/>
                <w:color w:val="auto"/>
                <w:sz w:val="24"/>
                <w:szCs w:val="24"/>
              </w:rPr>
            </w:pPr>
          </w:p>
          <w:p>
            <w:pPr>
              <w:spacing w:line="100" w:lineRule="atLeast"/>
              <w:rPr>
                <w:rFonts w:ascii="宋体" w:hAnsi="宋体"/>
                <w:color w:val="auto"/>
                <w:sz w:val="15"/>
                <w:szCs w:val="15"/>
              </w:rPr>
            </w:pPr>
            <w:r>
              <w:rPr>
                <w:rFonts w:hint="eastAsia" w:ascii="宋体" w:hAnsi="宋体"/>
                <w:color w:val="auto"/>
                <w:sz w:val="18"/>
                <w:szCs w:val="18"/>
              </w:rPr>
              <w:t>建筑单体</w:t>
            </w:r>
          </w:p>
        </w:tc>
        <w:tc>
          <w:tcPr>
            <w:tcW w:w="4961" w:type="dxa"/>
            <w:gridSpan w:val="4"/>
          </w:tcPr>
          <w:p>
            <w:pPr>
              <w:jc w:val="left"/>
              <w:rPr>
                <w:rFonts w:ascii="宋体" w:hAnsi="宋体"/>
                <w:color w:val="auto"/>
                <w:sz w:val="15"/>
                <w:szCs w:val="15"/>
              </w:rPr>
            </w:pPr>
            <w:r>
              <w:rPr>
                <w:rFonts w:hint="eastAsia" w:ascii="宋体" w:hAnsi="宋体"/>
                <w:color w:val="auto"/>
                <w:sz w:val="15"/>
                <w:szCs w:val="15"/>
              </w:rPr>
              <w:t>建筑取得健康建筑认证的住宅面积为_</w:t>
            </w:r>
            <w:r>
              <w:rPr>
                <w:rFonts w:ascii="宋体" w:hAnsi="宋体"/>
                <w:color w:val="auto"/>
                <w:sz w:val="15"/>
                <w:szCs w:val="15"/>
              </w:rPr>
              <w:t>_______</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黑体" w:hAnsi="黑体" w:eastAsia="黑体"/>
                <w:color w:val="auto"/>
                <w:sz w:val="24"/>
                <w:szCs w:val="24"/>
              </w:rPr>
            </w:pPr>
          </w:p>
        </w:tc>
        <w:tc>
          <w:tcPr>
            <w:tcW w:w="1276" w:type="dxa"/>
            <w:gridSpan w:val="2"/>
            <w:vMerge w:val="continue"/>
          </w:tcPr>
          <w:p>
            <w:pPr>
              <w:spacing w:line="100" w:lineRule="atLeast"/>
              <w:rPr>
                <w:rFonts w:ascii="宋体" w:hAnsi="宋体"/>
                <w:color w:val="auto"/>
                <w:sz w:val="24"/>
                <w:szCs w:val="24"/>
              </w:rPr>
            </w:pPr>
          </w:p>
        </w:tc>
        <w:tc>
          <w:tcPr>
            <w:tcW w:w="4961" w:type="dxa"/>
            <w:gridSpan w:val="4"/>
          </w:tcPr>
          <w:p>
            <w:pPr>
              <w:jc w:val="left"/>
              <w:rPr>
                <w:rFonts w:ascii="宋体" w:hAnsi="宋体"/>
                <w:color w:val="auto"/>
                <w:sz w:val="15"/>
                <w:szCs w:val="15"/>
              </w:rPr>
            </w:pPr>
            <w:r>
              <w:rPr>
                <w:rFonts w:hint="eastAsia" w:ascii="宋体" w:hAnsi="宋体"/>
                <w:color w:val="auto"/>
                <w:sz w:val="15"/>
                <w:szCs w:val="15"/>
              </w:rPr>
              <w:t>1建筑三星级绿色建筑面积达到总面积_</w:t>
            </w:r>
            <w:r>
              <w:rPr>
                <w:rFonts w:ascii="宋体" w:hAnsi="宋体"/>
                <w:color w:val="auto"/>
                <w:sz w:val="15"/>
                <w:szCs w:val="15"/>
              </w:rPr>
              <w:t>____</w:t>
            </w:r>
            <w:r>
              <w:rPr>
                <w:rFonts w:hint="eastAsia" w:ascii="宋体" w:hAnsi="宋体"/>
                <w:color w:val="auto"/>
                <w:sz w:val="15"/>
                <w:szCs w:val="15"/>
              </w:rPr>
              <w:t>%，建筑二星绿色建筑面积达到总面积_</w:t>
            </w:r>
            <w:r>
              <w:rPr>
                <w:rFonts w:ascii="宋体" w:hAnsi="宋体"/>
                <w:color w:val="auto"/>
                <w:sz w:val="15"/>
                <w:szCs w:val="15"/>
              </w:rPr>
              <w:t>____</w:t>
            </w:r>
            <w:r>
              <w:rPr>
                <w:rFonts w:hint="eastAsia" w:ascii="宋体" w:hAnsi="宋体"/>
                <w:color w:val="auto"/>
                <w:sz w:val="15"/>
                <w:szCs w:val="15"/>
              </w:rPr>
              <w:t>%</w:t>
            </w:r>
          </w:p>
          <w:p>
            <w:pPr>
              <w:jc w:val="left"/>
              <w:rPr>
                <w:rFonts w:ascii="宋体" w:hAnsi="宋体"/>
                <w:color w:val="auto"/>
                <w:sz w:val="15"/>
                <w:szCs w:val="15"/>
              </w:rPr>
            </w:pPr>
            <w:r>
              <w:rPr>
                <w:rFonts w:ascii="宋体" w:hAnsi="宋体"/>
                <w:color w:val="auto"/>
                <w:sz w:val="15"/>
                <w:szCs w:val="15"/>
              </w:rPr>
              <w:t>2</w:t>
            </w:r>
            <w:r>
              <w:rPr>
                <w:rFonts w:hint="eastAsia" w:ascii="宋体" w:hAnsi="宋体"/>
                <w:color w:val="auto"/>
                <w:sz w:val="15"/>
                <w:szCs w:val="15"/>
              </w:rPr>
              <w:t>建筑采用绿色建筑技术有_</w:t>
            </w:r>
            <w:r>
              <w:rPr>
                <w:rFonts w:ascii="宋体" w:hAnsi="宋体"/>
                <w:color w:val="auto"/>
                <w:sz w:val="15"/>
                <w:szCs w:val="15"/>
              </w:rPr>
              <w:t>_______</w:t>
            </w:r>
            <w:r>
              <w:rPr>
                <w:rFonts w:hint="eastAsia" w:ascii="宋体" w:hAnsi="宋体"/>
                <w:color w:val="auto"/>
                <w:sz w:val="15"/>
                <w:szCs w:val="15"/>
              </w:rPr>
              <w:t>_</w:t>
            </w:r>
            <w:r>
              <w:rPr>
                <w:rFonts w:ascii="宋体" w:hAnsi="宋体"/>
                <w:color w:val="auto"/>
                <w:sz w:val="15"/>
                <w:szCs w:val="15"/>
              </w:rPr>
              <w:t>________</w:t>
            </w:r>
          </w:p>
          <w:p>
            <w:pPr>
              <w:jc w:val="left"/>
              <w:rPr>
                <w:rFonts w:ascii="宋体" w:hAnsi="宋体"/>
                <w:color w:val="auto"/>
                <w:sz w:val="24"/>
                <w:szCs w:val="24"/>
              </w:rPr>
            </w:pPr>
            <w:r>
              <w:rPr>
                <w:rFonts w:hint="eastAsia" w:ascii="宋体" w:hAnsi="宋体"/>
                <w:color w:val="auto"/>
                <w:sz w:val="15"/>
                <w:szCs w:val="15"/>
              </w:rPr>
              <w:t>3建筑采用的绿色建材有_</w:t>
            </w:r>
            <w:r>
              <w:rPr>
                <w:rFonts w:ascii="宋体" w:hAnsi="宋体"/>
                <w:color w:val="auto"/>
                <w:sz w:val="15"/>
                <w:szCs w:val="15"/>
              </w:rPr>
              <w:t>____</w:t>
            </w:r>
          </w:p>
        </w:tc>
        <w:tc>
          <w:tcPr>
            <w:tcW w:w="850" w:type="dxa"/>
          </w:tcPr>
          <w:p>
            <w:pPr>
              <w:jc w:val="left"/>
              <w:rPr>
                <w:rFonts w:ascii="宋体" w:hAnsi="宋体"/>
                <w:color w:val="auto"/>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黑体" w:hAnsi="黑体" w:eastAsia="黑体"/>
                <w:color w:val="auto"/>
                <w:sz w:val="32"/>
                <w:szCs w:val="32"/>
              </w:rPr>
            </w:pPr>
          </w:p>
        </w:tc>
        <w:tc>
          <w:tcPr>
            <w:tcW w:w="1276" w:type="dxa"/>
            <w:gridSpan w:val="2"/>
            <w:vMerge w:val="continue"/>
          </w:tcPr>
          <w:p>
            <w:pPr>
              <w:jc w:val="left"/>
              <w:rPr>
                <w:rFonts w:ascii="宋体" w:hAnsi="宋体"/>
                <w:color w:val="auto"/>
                <w:sz w:val="24"/>
                <w:szCs w:val="24"/>
              </w:rPr>
            </w:pPr>
          </w:p>
        </w:tc>
        <w:tc>
          <w:tcPr>
            <w:tcW w:w="4961" w:type="dxa"/>
            <w:gridSpan w:val="4"/>
          </w:tcPr>
          <w:p>
            <w:pPr>
              <w:jc w:val="left"/>
              <w:rPr>
                <w:rFonts w:ascii="宋体" w:hAnsi="宋体"/>
                <w:color w:val="auto"/>
                <w:sz w:val="15"/>
                <w:szCs w:val="15"/>
              </w:rPr>
            </w:pPr>
            <w:r>
              <w:rPr>
                <w:rFonts w:hint="eastAsia" w:ascii="宋体" w:hAnsi="宋体"/>
                <w:color w:val="auto"/>
                <w:sz w:val="15"/>
                <w:szCs w:val="15"/>
              </w:rPr>
              <w:t>建筑有无进行被动式低能耗建筑设计_</w:t>
            </w:r>
            <w:r>
              <w:rPr>
                <w:rFonts w:ascii="宋体" w:hAnsi="宋体"/>
                <w:color w:val="auto"/>
                <w:sz w:val="15"/>
                <w:szCs w:val="15"/>
              </w:rPr>
              <w:t>_____</w:t>
            </w:r>
            <w:r>
              <w:rPr>
                <w:rFonts w:hint="eastAsia" w:ascii="宋体" w:hAnsi="宋体"/>
                <w:color w:val="auto"/>
                <w:sz w:val="15"/>
                <w:szCs w:val="15"/>
              </w:rPr>
              <w:t>，面积为_</w:t>
            </w:r>
            <w:r>
              <w:rPr>
                <w:rFonts w:ascii="宋体" w:hAnsi="宋体"/>
                <w:color w:val="auto"/>
                <w:sz w:val="15"/>
                <w:szCs w:val="15"/>
              </w:rPr>
              <w:t>_____</w:t>
            </w:r>
          </w:p>
        </w:tc>
        <w:tc>
          <w:tcPr>
            <w:tcW w:w="850" w:type="dxa"/>
          </w:tcPr>
          <w:p>
            <w:pPr>
              <w:jc w:val="left"/>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黑体" w:hAnsi="黑体" w:eastAsia="黑体"/>
                <w:color w:val="auto"/>
                <w:sz w:val="32"/>
                <w:szCs w:val="32"/>
              </w:rPr>
            </w:pPr>
          </w:p>
        </w:tc>
        <w:tc>
          <w:tcPr>
            <w:tcW w:w="1276" w:type="dxa"/>
            <w:gridSpan w:val="2"/>
            <w:vMerge w:val="continue"/>
          </w:tcPr>
          <w:p>
            <w:pPr>
              <w:jc w:val="left"/>
              <w:rPr>
                <w:rFonts w:ascii="宋体" w:hAnsi="宋体"/>
                <w:color w:val="auto"/>
                <w:sz w:val="15"/>
                <w:szCs w:val="15"/>
              </w:rPr>
            </w:pPr>
          </w:p>
        </w:tc>
        <w:tc>
          <w:tcPr>
            <w:tcW w:w="4961" w:type="dxa"/>
            <w:gridSpan w:val="4"/>
          </w:tcPr>
          <w:p>
            <w:pPr>
              <w:jc w:val="left"/>
              <w:rPr>
                <w:rFonts w:ascii="宋体" w:hAnsi="宋体"/>
                <w:color w:val="auto"/>
                <w:sz w:val="15"/>
                <w:szCs w:val="15"/>
              </w:rPr>
            </w:pPr>
            <w:r>
              <w:rPr>
                <w:rFonts w:hint="eastAsia" w:ascii="宋体" w:hAnsi="宋体"/>
                <w:color w:val="auto"/>
                <w:sz w:val="15"/>
                <w:szCs w:val="15"/>
              </w:rPr>
              <w:t>建筑有无采用可再生能源_</w:t>
            </w:r>
            <w:r>
              <w:rPr>
                <w:rFonts w:ascii="宋体" w:hAnsi="宋体"/>
                <w:color w:val="auto"/>
                <w:sz w:val="15"/>
                <w:szCs w:val="15"/>
              </w:rPr>
              <w:t>____</w:t>
            </w:r>
            <w:r>
              <w:rPr>
                <w:rFonts w:hint="eastAsia" w:ascii="宋体" w:hAnsi="宋体"/>
                <w:color w:val="auto"/>
                <w:sz w:val="15"/>
                <w:szCs w:val="15"/>
              </w:rPr>
              <w:t>，有哪些_</w:t>
            </w:r>
            <w:r>
              <w:rPr>
                <w:rFonts w:ascii="宋体" w:hAnsi="宋体"/>
                <w:color w:val="auto"/>
                <w:sz w:val="15"/>
                <w:szCs w:val="15"/>
              </w:rPr>
              <w:t>______</w:t>
            </w:r>
            <w:r>
              <w:rPr>
                <w:rFonts w:hint="eastAsia" w:ascii="宋体" w:hAnsi="宋体"/>
                <w:color w:val="auto"/>
                <w:sz w:val="15"/>
                <w:szCs w:val="15"/>
              </w:rPr>
              <w:t>，贡献率为_</w:t>
            </w:r>
            <w:r>
              <w:rPr>
                <w:rFonts w:ascii="宋体" w:hAnsi="宋体"/>
                <w:color w:val="auto"/>
                <w:sz w:val="15"/>
                <w:szCs w:val="15"/>
              </w:rPr>
              <w:t>____</w:t>
            </w:r>
          </w:p>
        </w:tc>
        <w:tc>
          <w:tcPr>
            <w:tcW w:w="850" w:type="dxa"/>
          </w:tcPr>
          <w:p>
            <w:pPr>
              <w:jc w:val="left"/>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黑体" w:hAnsi="黑体" w:eastAsia="黑体"/>
                <w:color w:val="auto"/>
                <w:sz w:val="32"/>
                <w:szCs w:val="32"/>
              </w:rPr>
            </w:pPr>
          </w:p>
        </w:tc>
        <w:tc>
          <w:tcPr>
            <w:tcW w:w="1276" w:type="dxa"/>
            <w:gridSpan w:val="2"/>
            <w:vMerge w:val="continue"/>
          </w:tcPr>
          <w:p>
            <w:pPr>
              <w:jc w:val="left"/>
              <w:rPr>
                <w:rFonts w:ascii="宋体" w:hAnsi="宋体" w:cs="黑体"/>
                <w:bCs/>
                <w:color w:val="auto"/>
                <w:sz w:val="24"/>
                <w:szCs w:val="24"/>
              </w:rPr>
            </w:pPr>
          </w:p>
        </w:tc>
        <w:tc>
          <w:tcPr>
            <w:tcW w:w="4961" w:type="dxa"/>
            <w:gridSpan w:val="4"/>
          </w:tcPr>
          <w:p>
            <w:pPr>
              <w:jc w:val="left"/>
              <w:rPr>
                <w:rFonts w:ascii="宋体" w:hAnsi="宋体"/>
                <w:color w:val="auto"/>
                <w:sz w:val="15"/>
                <w:szCs w:val="15"/>
              </w:rPr>
            </w:pPr>
            <w:r>
              <w:rPr>
                <w:rFonts w:hint="eastAsia" w:ascii="宋体" w:hAnsi="宋体"/>
                <w:color w:val="auto"/>
                <w:sz w:val="15"/>
                <w:szCs w:val="15"/>
              </w:rPr>
              <w:t>建筑有无采用节能型电气设备_</w:t>
            </w:r>
            <w:r>
              <w:rPr>
                <w:rFonts w:ascii="宋体" w:hAnsi="宋体"/>
                <w:color w:val="auto"/>
                <w:sz w:val="15"/>
                <w:szCs w:val="15"/>
              </w:rPr>
              <w:t>______</w:t>
            </w:r>
            <w:r>
              <w:rPr>
                <w:rFonts w:hint="eastAsia" w:ascii="宋体" w:hAnsi="宋体"/>
                <w:color w:val="auto"/>
                <w:sz w:val="15"/>
                <w:szCs w:val="15"/>
              </w:rPr>
              <w:t>，具体节能控制措施_</w:t>
            </w:r>
            <w:r>
              <w:rPr>
                <w:rFonts w:ascii="宋体" w:hAnsi="宋体"/>
                <w:color w:val="auto"/>
                <w:sz w:val="15"/>
                <w:szCs w:val="15"/>
              </w:rPr>
              <w:t>______</w:t>
            </w:r>
            <w:r>
              <w:rPr>
                <w:rFonts w:hint="eastAsia" w:ascii="宋体" w:hAnsi="宋体"/>
                <w:color w:val="auto"/>
                <w:sz w:val="15"/>
                <w:szCs w:val="15"/>
              </w:rPr>
              <w:t>。</w:t>
            </w:r>
          </w:p>
        </w:tc>
        <w:tc>
          <w:tcPr>
            <w:tcW w:w="850" w:type="dxa"/>
          </w:tcPr>
          <w:p>
            <w:pPr>
              <w:jc w:val="left"/>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黑体" w:hAnsi="黑体" w:eastAsia="黑体"/>
                <w:color w:val="auto"/>
                <w:sz w:val="32"/>
                <w:szCs w:val="32"/>
              </w:rPr>
            </w:pPr>
          </w:p>
        </w:tc>
        <w:tc>
          <w:tcPr>
            <w:tcW w:w="1276" w:type="dxa"/>
            <w:gridSpan w:val="2"/>
            <w:vMerge w:val="continue"/>
          </w:tcPr>
          <w:p>
            <w:pPr>
              <w:jc w:val="left"/>
              <w:rPr>
                <w:rFonts w:ascii="宋体" w:hAnsi="宋体" w:cs="黑体"/>
                <w:bCs/>
                <w:color w:val="auto"/>
                <w:sz w:val="24"/>
                <w:szCs w:val="24"/>
              </w:rPr>
            </w:pPr>
          </w:p>
        </w:tc>
        <w:tc>
          <w:tcPr>
            <w:tcW w:w="4961" w:type="dxa"/>
            <w:gridSpan w:val="4"/>
          </w:tcPr>
          <w:p>
            <w:pPr>
              <w:jc w:val="left"/>
              <w:rPr>
                <w:rFonts w:ascii="宋体" w:hAnsi="宋体"/>
                <w:color w:val="auto"/>
                <w:sz w:val="15"/>
                <w:szCs w:val="15"/>
              </w:rPr>
            </w:pPr>
            <w:r>
              <w:rPr>
                <w:rFonts w:hint="eastAsia" w:ascii="宋体" w:hAnsi="宋体"/>
                <w:color w:val="auto"/>
                <w:sz w:val="15"/>
                <w:szCs w:val="15"/>
              </w:rPr>
              <w:t>建筑有无采取措施降低单位建筑面积碳排放强度_</w:t>
            </w:r>
            <w:r>
              <w:rPr>
                <w:rFonts w:ascii="宋体" w:hAnsi="宋体"/>
                <w:color w:val="auto"/>
                <w:sz w:val="15"/>
                <w:szCs w:val="15"/>
              </w:rPr>
              <w:t>____</w:t>
            </w:r>
            <w:r>
              <w:rPr>
                <w:rFonts w:hint="eastAsia" w:ascii="宋体" w:hAnsi="宋体"/>
                <w:color w:val="auto"/>
                <w:sz w:val="15"/>
                <w:szCs w:val="15"/>
              </w:rPr>
              <w:t>，有无进行建筑碳排放计算分析_</w:t>
            </w:r>
            <w:r>
              <w:rPr>
                <w:rFonts w:ascii="宋体" w:hAnsi="宋体"/>
                <w:color w:val="auto"/>
                <w:sz w:val="15"/>
                <w:szCs w:val="15"/>
              </w:rPr>
              <w:t>_____</w:t>
            </w:r>
            <w:r>
              <w:rPr>
                <w:rFonts w:hint="eastAsia" w:ascii="宋体" w:hAnsi="宋体"/>
                <w:color w:val="auto"/>
                <w:sz w:val="15"/>
                <w:szCs w:val="15"/>
              </w:rPr>
              <w:t>，结果为_</w:t>
            </w:r>
            <w:r>
              <w:rPr>
                <w:rFonts w:ascii="宋体" w:hAnsi="宋体"/>
                <w:color w:val="auto"/>
                <w:sz w:val="15"/>
                <w:szCs w:val="15"/>
              </w:rPr>
              <w:t>_______</w:t>
            </w:r>
          </w:p>
        </w:tc>
        <w:tc>
          <w:tcPr>
            <w:tcW w:w="850" w:type="dxa"/>
          </w:tcPr>
          <w:p>
            <w:pPr>
              <w:jc w:val="left"/>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黑体" w:hAnsi="黑体" w:eastAsia="黑体"/>
                <w:color w:val="auto"/>
                <w:sz w:val="32"/>
                <w:szCs w:val="32"/>
              </w:rPr>
            </w:pPr>
          </w:p>
        </w:tc>
        <w:tc>
          <w:tcPr>
            <w:tcW w:w="1276" w:type="dxa"/>
            <w:gridSpan w:val="2"/>
            <w:vMerge w:val="continue"/>
          </w:tcPr>
          <w:p>
            <w:pPr>
              <w:jc w:val="left"/>
              <w:rPr>
                <w:rFonts w:ascii="宋体" w:hAnsi="宋体" w:cs="黑体"/>
                <w:bCs/>
                <w:color w:val="auto"/>
                <w:sz w:val="24"/>
                <w:szCs w:val="24"/>
              </w:rPr>
            </w:pPr>
          </w:p>
        </w:tc>
        <w:tc>
          <w:tcPr>
            <w:tcW w:w="4961" w:type="dxa"/>
            <w:gridSpan w:val="4"/>
          </w:tcPr>
          <w:p>
            <w:pPr>
              <w:jc w:val="left"/>
              <w:rPr>
                <w:rFonts w:ascii="宋体" w:hAnsi="宋体"/>
                <w:color w:val="auto"/>
                <w:sz w:val="15"/>
                <w:szCs w:val="15"/>
              </w:rPr>
            </w:pPr>
            <w:r>
              <w:rPr>
                <w:rFonts w:hint="eastAsia" w:ascii="宋体" w:hAnsi="宋体"/>
                <w:color w:val="auto"/>
                <w:sz w:val="15"/>
                <w:szCs w:val="15"/>
              </w:rPr>
              <w:t>项目有无投保绿色建筑性能责任保险，引入风险防控机制_</w:t>
            </w:r>
            <w:r>
              <w:rPr>
                <w:rFonts w:ascii="宋体" w:hAnsi="宋体"/>
                <w:color w:val="auto"/>
                <w:sz w:val="15"/>
                <w:szCs w:val="15"/>
              </w:rPr>
              <w:t>____</w:t>
            </w:r>
          </w:p>
        </w:tc>
        <w:tc>
          <w:tcPr>
            <w:tcW w:w="850" w:type="dxa"/>
          </w:tcPr>
          <w:p>
            <w:pPr>
              <w:jc w:val="left"/>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Pr>
          <w:p>
            <w:pPr>
              <w:jc w:val="left"/>
              <w:rPr>
                <w:rFonts w:ascii="黑体" w:hAnsi="黑体" w:eastAsia="黑体"/>
                <w:color w:val="auto"/>
                <w:sz w:val="32"/>
                <w:szCs w:val="32"/>
              </w:rPr>
            </w:pPr>
          </w:p>
        </w:tc>
        <w:tc>
          <w:tcPr>
            <w:tcW w:w="1276" w:type="dxa"/>
            <w:gridSpan w:val="2"/>
          </w:tcPr>
          <w:p>
            <w:pPr>
              <w:spacing w:line="100" w:lineRule="atLeast"/>
              <w:rPr>
                <w:rFonts w:ascii="宋体" w:hAnsi="宋体" w:cs="黑体"/>
                <w:bCs/>
                <w:color w:val="auto"/>
                <w:sz w:val="24"/>
                <w:szCs w:val="24"/>
              </w:rPr>
            </w:pPr>
            <w:r>
              <w:rPr>
                <w:rFonts w:hint="eastAsia" w:ascii="宋体" w:hAnsi="宋体"/>
                <w:color w:val="auto"/>
                <w:sz w:val="18"/>
                <w:szCs w:val="18"/>
              </w:rPr>
              <w:t>总图规划</w:t>
            </w:r>
          </w:p>
        </w:tc>
        <w:tc>
          <w:tcPr>
            <w:tcW w:w="4961" w:type="dxa"/>
            <w:gridSpan w:val="4"/>
          </w:tcPr>
          <w:p>
            <w:pPr>
              <w:jc w:val="left"/>
              <w:rPr>
                <w:rFonts w:ascii="宋体" w:hAnsi="宋体" w:cs="黑体"/>
                <w:bCs/>
                <w:color w:val="auto"/>
                <w:sz w:val="24"/>
                <w:szCs w:val="24"/>
              </w:rPr>
            </w:pPr>
            <w:r>
              <w:rPr>
                <w:rFonts w:hint="eastAsia" w:ascii="宋体" w:hAnsi="宋体"/>
                <w:color w:val="auto"/>
                <w:sz w:val="15"/>
                <w:szCs w:val="15"/>
              </w:rPr>
              <w:t>场地竖向设计有无对雨水的进行收集或排放_</w:t>
            </w:r>
            <w:r>
              <w:rPr>
                <w:rFonts w:ascii="宋体" w:hAnsi="宋体"/>
                <w:color w:val="auto"/>
                <w:sz w:val="15"/>
                <w:szCs w:val="15"/>
              </w:rPr>
              <w:t>_____</w:t>
            </w:r>
          </w:p>
        </w:tc>
        <w:tc>
          <w:tcPr>
            <w:tcW w:w="850" w:type="dxa"/>
          </w:tcPr>
          <w:p>
            <w:pPr>
              <w:jc w:val="left"/>
              <w:rPr>
                <w:rFonts w:ascii="宋体" w:hAnsi="宋体"/>
                <w:color w:val="auto"/>
                <w:sz w:val="24"/>
                <w:szCs w:val="24"/>
              </w:rPr>
            </w:pPr>
          </w:p>
        </w:tc>
      </w:tr>
    </w:tbl>
    <w:p>
      <w:pPr>
        <w:jc w:val="left"/>
        <w:rPr>
          <w:rFonts w:ascii="黑体" w:hAnsi="黑体" w:eastAsia="黑体"/>
          <w:sz w:val="32"/>
          <w:szCs w:val="32"/>
        </w:rPr>
      </w:pPr>
    </w:p>
    <w:p/>
    <w:p/>
    <w:p/>
    <w:p/>
    <w:p/>
    <w:p/>
    <w:p/>
    <w:p/>
    <w:p/>
    <w:p/>
    <w:p/>
    <w:p/>
    <w:p/>
    <w:p/>
    <w:p/>
    <w:p/>
    <w:p/>
    <w:p/>
    <w:p/>
    <w:p/>
    <w:p/>
    <w:p/>
    <w:p/>
    <w:p/>
    <w:p/>
    <w:p/>
    <w:p/>
    <w:p/>
    <w:p/>
    <w:p/>
    <w:p/>
    <w:p/>
    <w:p/>
    <w:p/>
    <w:p/>
    <w:p>
      <w:pPr>
        <w:pStyle w:val="2"/>
        <w:jc w:val="center"/>
        <w:rPr>
          <w:rFonts w:ascii="宋体" w:hAnsi="宋体"/>
          <w:color w:val="auto"/>
          <w:sz w:val="32"/>
          <w:szCs w:val="32"/>
        </w:rPr>
      </w:pPr>
      <w:bookmarkStart w:id="218" w:name="_Toc103958781"/>
      <w:r>
        <w:rPr>
          <w:rFonts w:hint="eastAsia" w:ascii="宋体" w:hAnsi="宋体"/>
          <w:color w:val="auto"/>
          <w:sz w:val="32"/>
          <w:szCs w:val="32"/>
        </w:rPr>
        <w:t>附录B</w:t>
      </w:r>
      <w:r>
        <w:rPr>
          <w:rFonts w:ascii="宋体" w:hAnsi="宋体"/>
          <w:color w:val="auto"/>
          <w:sz w:val="32"/>
          <w:szCs w:val="32"/>
        </w:rPr>
        <w:t xml:space="preserve"> </w:t>
      </w:r>
      <w:r>
        <w:rPr>
          <w:rFonts w:hint="eastAsia" w:ascii="宋体" w:hAnsi="宋体"/>
          <w:color w:val="auto"/>
          <w:sz w:val="32"/>
          <w:szCs w:val="32"/>
        </w:rPr>
        <w:t>钢结构住宅使用说明书</w:t>
      </w:r>
      <w:bookmarkEnd w:id="218"/>
    </w:p>
    <w:tbl>
      <w:tblPr>
        <w:tblStyle w:val="17"/>
        <w:tblpPr w:leftFromText="180" w:rightFromText="180" w:vertAnchor="text" w:horzAnchor="margin" w:tblpY="9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419"/>
        <w:gridCol w:w="970"/>
        <w:gridCol w:w="6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gridSpan w:val="3"/>
          </w:tcPr>
          <w:p>
            <w:pPr>
              <w:pStyle w:val="14"/>
              <w:adjustRightInd w:val="0"/>
              <w:snapToGrid w:val="0"/>
              <w:spacing w:before="0" w:beforeAutospacing="0" w:after="0" w:afterAutospacing="0" w:line="360" w:lineRule="auto"/>
              <w:jc w:val="center"/>
              <w:rPr>
                <w:rFonts w:cs="Times New Roman"/>
                <w:sz w:val="30"/>
                <w:szCs w:val="30"/>
              </w:rPr>
            </w:pPr>
            <w:r>
              <w:rPr>
                <w:rFonts w:hint="eastAsia" w:cs="Times New Roman"/>
                <w:sz w:val="30"/>
                <w:szCs w:val="30"/>
              </w:rPr>
              <w:t>项目</w:t>
            </w:r>
          </w:p>
        </w:tc>
        <w:tc>
          <w:tcPr>
            <w:tcW w:w="6146" w:type="dxa"/>
          </w:tcPr>
          <w:p>
            <w:pPr>
              <w:pStyle w:val="14"/>
              <w:adjustRightInd w:val="0"/>
              <w:snapToGrid w:val="0"/>
              <w:spacing w:before="0" w:beforeAutospacing="0" w:after="0" w:afterAutospacing="0" w:line="360" w:lineRule="auto"/>
              <w:jc w:val="center"/>
              <w:rPr>
                <w:rFonts w:cs="Times New Roman"/>
                <w:sz w:val="30"/>
                <w:szCs w:val="30"/>
              </w:rPr>
            </w:pPr>
            <w:r>
              <w:rPr>
                <w:rFonts w:hint="eastAsia" w:cs="Times New Roman"/>
                <w:sz w:val="30"/>
                <w:szCs w:val="30"/>
              </w:rPr>
              <w:t>使用要求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vMerge w:val="restart"/>
          </w:tcPr>
          <w:p>
            <w:pPr>
              <w:pStyle w:val="14"/>
              <w:adjustRightInd w:val="0"/>
              <w:snapToGrid w:val="0"/>
              <w:spacing w:before="0" w:beforeAutospacing="0" w:after="0" w:afterAutospacing="0" w:line="360" w:lineRule="auto"/>
              <w:rPr>
                <w:rFonts w:cs="Times New Roman"/>
                <w:sz w:val="30"/>
                <w:szCs w:val="30"/>
              </w:rPr>
            </w:pPr>
          </w:p>
          <w:p>
            <w:pPr>
              <w:pStyle w:val="14"/>
              <w:adjustRightInd w:val="0"/>
              <w:snapToGrid w:val="0"/>
              <w:spacing w:before="0" w:beforeAutospacing="0" w:after="0" w:afterAutospacing="0" w:line="360" w:lineRule="auto"/>
              <w:rPr>
                <w:rFonts w:cs="Times New Roman"/>
                <w:sz w:val="30"/>
                <w:szCs w:val="30"/>
              </w:rPr>
            </w:pPr>
          </w:p>
          <w:p>
            <w:pPr>
              <w:pStyle w:val="14"/>
              <w:adjustRightInd w:val="0"/>
              <w:snapToGrid w:val="0"/>
              <w:spacing w:before="0" w:beforeAutospacing="0" w:after="0" w:afterAutospacing="0" w:line="360" w:lineRule="auto"/>
              <w:rPr>
                <w:rFonts w:cs="Times New Roman"/>
                <w:sz w:val="30"/>
                <w:szCs w:val="30"/>
              </w:rPr>
            </w:pPr>
          </w:p>
          <w:p>
            <w:pPr>
              <w:pStyle w:val="14"/>
              <w:adjustRightInd w:val="0"/>
              <w:snapToGrid w:val="0"/>
              <w:spacing w:before="0" w:beforeAutospacing="0" w:after="0" w:afterAutospacing="0" w:line="360" w:lineRule="auto"/>
              <w:rPr>
                <w:rFonts w:cs="Times New Roman"/>
                <w:sz w:val="30"/>
                <w:szCs w:val="30"/>
              </w:rPr>
            </w:pPr>
          </w:p>
          <w:p>
            <w:pPr>
              <w:pStyle w:val="14"/>
              <w:adjustRightInd w:val="0"/>
              <w:snapToGrid w:val="0"/>
              <w:spacing w:before="0" w:beforeAutospacing="0" w:after="0" w:afterAutospacing="0" w:line="360" w:lineRule="auto"/>
              <w:rPr>
                <w:rFonts w:cs="Times New Roman"/>
                <w:sz w:val="30"/>
                <w:szCs w:val="30"/>
              </w:rPr>
            </w:pPr>
          </w:p>
          <w:p>
            <w:pPr>
              <w:pStyle w:val="14"/>
              <w:adjustRightInd w:val="0"/>
              <w:snapToGrid w:val="0"/>
              <w:spacing w:before="0" w:beforeAutospacing="0" w:after="0" w:afterAutospacing="0" w:line="360" w:lineRule="auto"/>
              <w:rPr>
                <w:rFonts w:cs="Times New Roman"/>
                <w:sz w:val="30"/>
                <w:szCs w:val="30"/>
              </w:rPr>
            </w:pPr>
          </w:p>
          <w:p>
            <w:pPr>
              <w:pStyle w:val="14"/>
              <w:adjustRightInd w:val="0"/>
              <w:snapToGrid w:val="0"/>
              <w:spacing w:before="0" w:beforeAutospacing="0" w:after="0" w:afterAutospacing="0" w:line="360" w:lineRule="auto"/>
              <w:rPr>
                <w:rFonts w:cs="Times New Roman"/>
                <w:sz w:val="30"/>
                <w:szCs w:val="30"/>
              </w:rPr>
            </w:pPr>
          </w:p>
          <w:p>
            <w:pPr>
              <w:pStyle w:val="14"/>
              <w:adjustRightInd w:val="0"/>
              <w:snapToGrid w:val="0"/>
              <w:spacing w:before="0" w:beforeAutospacing="0" w:after="0" w:afterAutospacing="0" w:line="360" w:lineRule="auto"/>
              <w:rPr>
                <w:rFonts w:cs="Times New Roman"/>
                <w:sz w:val="30"/>
                <w:szCs w:val="30"/>
              </w:rPr>
            </w:pPr>
          </w:p>
          <w:p>
            <w:pPr>
              <w:pStyle w:val="14"/>
              <w:adjustRightInd w:val="0"/>
              <w:snapToGrid w:val="0"/>
              <w:spacing w:before="0" w:beforeAutospacing="0" w:after="0" w:afterAutospacing="0" w:line="360" w:lineRule="auto"/>
              <w:rPr>
                <w:rFonts w:cs="Times New Roman"/>
                <w:sz w:val="28"/>
                <w:szCs w:val="28"/>
              </w:rPr>
            </w:pPr>
            <w:r>
              <w:rPr>
                <w:rFonts w:hint="eastAsia" w:cs="Times New Roman"/>
                <w:sz w:val="28"/>
                <w:szCs w:val="28"/>
              </w:rPr>
              <w:t>建筑安全</w:t>
            </w:r>
          </w:p>
        </w:tc>
        <w:tc>
          <w:tcPr>
            <w:tcW w:w="1389" w:type="dxa"/>
            <w:gridSpan w:val="2"/>
          </w:tcPr>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r>
              <w:rPr>
                <w:rFonts w:hint="eastAsia" w:cs="Times New Roman"/>
                <w:sz w:val="21"/>
                <w:szCs w:val="21"/>
              </w:rPr>
              <w:t>围护墙体</w:t>
            </w:r>
          </w:p>
        </w:tc>
        <w:tc>
          <w:tcPr>
            <w:tcW w:w="6146" w:type="dxa"/>
          </w:tcPr>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1不得拆除或改变外墙、分户墙（包括在墙体上开凿孔洞，改变进户门及影响外墙立面的门窗）。</w:t>
            </w:r>
          </w:p>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2</w:t>
            </w:r>
            <w:r>
              <w:rPr>
                <w:rFonts w:cs="Times New Roman"/>
                <w:sz w:val="18"/>
                <w:szCs w:val="18"/>
              </w:rPr>
              <w:t xml:space="preserve"> 除标注为</w:t>
            </w:r>
            <w:r>
              <w:rPr>
                <w:rFonts w:hint="eastAsia" w:cs="Times New Roman"/>
                <w:sz w:val="18"/>
                <w:szCs w:val="18"/>
              </w:rPr>
              <w:t>“可拆改墙体”外，其余内墙不得进行拆改（</w:t>
            </w:r>
            <w:r>
              <w:rPr>
                <w:rFonts w:cs="Times New Roman"/>
                <w:sz w:val="18"/>
                <w:szCs w:val="18"/>
              </w:rPr>
              <w:t>可拆改墙体位置示意图见附件</w:t>
            </w:r>
            <w:r>
              <w:rPr>
                <w:rFonts w:hint="eastAsia" w:cs="Times New Roman"/>
                <w:sz w:val="18"/>
                <w:szCs w:val="18"/>
              </w:rPr>
              <w:t>2）。</w:t>
            </w:r>
          </w:p>
          <w:p>
            <w:pPr>
              <w:pStyle w:val="14"/>
              <w:adjustRightInd w:val="0"/>
              <w:snapToGrid w:val="0"/>
              <w:spacing w:before="0" w:beforeAutospacing="0" w:after="0" w:afterAutospacing="0" w:line="360" w:lineRule="auto"/>
              <w:rPr>
                <w:rFonts w:cs="Times New Roman"/>
                <w:sz w:val="18"/>
                <w:szCs w:val="18"/>
              </w:rPr>
            </w:pPr>
            <w:r>
              <w:rPr>
                <w:rFonts w:cs="Times New Roman"/>
                <w:sz w:val="18"/>
                <w:szCs w:val="18"/>
              </w:rPr>
              <w:t>3</w:t>
            </w:r>
            <w:r>
              <w:rPr>
                <w:rFonts w:hint="eastAsia" w:cs="Times New Roman"/>
                <w:sz w:val="18"/>
                <w:szCs w:val="18"/>
              </w:rPr>
              <w:t>装修时在墙体上钉挂重物如墙体为轻钢龙骨墙，宜钉在龙骨位置处；如为条板墙宜采用专用螺栓。</w:t>
            </w:r>
          </w:p>
          <w:p>
            <w:pPr>
              <w:pStyle w:val="14"/>
              <w:adjustRightInd w:val="0"/>
              <w:snapToGrid w:val="0"/>
              <w:spacing w:before="0" w:beforeAutospacing="0" w:after="0" w:afterAutospacing="0" w:line="360" w:lineRule="auto"/>
              <w:rPr>
                <w:rFonts w:cs="Times New Roman"/>
                <w:sz w:val="18"/>
                <w:szCs w:val="18"/>
              </w:rPr>
            </w:pPr>
            <w:r>
              <w:rPr>
                <w:rFonts w:cs="Times New Roman"/>
                <w:sz w:val="18"/>
                <w:szCs w:val="18"/>
              </w:rPr>
              <w:t>4</w:t>
            </w:r>
            <w:r>
              <w:rPr>
                <w:rFonts w:hint="eastAsia" w:cs="Times New Roman"/>
                <w:sz w:val="18"/>
                <w:szCs w:val="18"/>
              </w:rPr>
              <w:t>装修时需在墙体上布线，如墙体为条板墙，应在不破坏其它线路的前提下开槽且不宜横向开槽。（建筑电气线路布置示意图见附件4）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vMerge w:val="continue"/>
          </w:tcPr>
          <w:p>
            <w:pPr>
              <w:pStyle w:val="14"/>
              <w:adjustRightInd w:val="0"/>
              <w:snapToGrid w:val="0"/>
              <w:spacing w:before="0" w:beforeAutospacing="0" w:after="0" w:afterAutospacing="0" w:line="360" w:lineRule="auto"/>
              <w:rPr>
                <w:rFonts w:cs="Times New Roman"/>
                <w:sz w:val="30"/>
                <w:szCs w:val="30"/>
              </w:rPr>
            </w:pPr>
          </w:p>
        </w:tc>
        <w:tc>
          <w:tcPr>
            <w:tcW w:w="1389" w:type="dxa"/>
            <w:gridSpan w:val="2"/>
          </w:tcPr>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r>
              <w:rPr>
                <w:rFonts w:hint="eastAsia" w:cs="Times New Roman"/>
                <w:sz w:val="21"/>
                <w:szCs w:val="21"/>
              </w:rPr>
              <w:t>防水工程</w:t>
            </w:r>
          </w:p>
        </w:tc>
        <w:tc>
          <w:tcPr>
            <w:tcW w:w="6146" w:type="dxa"/>
          </w:tcPr>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1在进行地面保洁时，不得用水冲洗没有防水功能的房间。</w:t>
            </w:r>
          </w:p>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2在装修时不得改动卫生间地面与墙面、穿过楼板的下水管洞周边，以及屋面和外墙面等部位，如改动应采取防水保护措施。</w:t>
            </w:r>
          </w:p>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3如套型采用整体卫生间和整体厨房，不宜改动地面与墙面的相关构造，如改变则应与整体厨卫厂家以及原设计单位沟通。</w:t>
            </w:r>
          </w:p>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4不得改变屋面防水相关构造措施。</w:t>
            </w:r>
          </w:p>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5不得改变开敞阳台或露台防水相关构造措施，如改动应经原设计单位或者具有相应资质的设计单位进行防水设计、由具有资质的施工单位进行施工，并应经闭水试验达到质量要求后验收。。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vMerge w:val="continue"/>
          </w:tcPr>
          <w:p>
            <w:pPr>
              <w:pStyle w:val="14"/>
              <w:adjustRightInd w:val="0"/>
              <w:snapToGrid w:val="0"/>
              <w:spacing w:before="0" w:beforeAutospacing="0" w:after="0" w:afterAutospacing="0" w:line="360" w:lineRule="auto"/>
              <w:rPr>
                <w:rFonts w:cs="Times New Roman"/>
                <w:sz w:val="30"/>
                <w:szCs w:val="30"/>
              </w:rPr>
            </w:pPr>
          </w:p>
        </w:tc>
        <w:tc>
          <w:tcPr>
            <w:tcW w:w="1389" w:type="dxa"/>
            <w:gridSpan w:val="2"/>
          </w:tcPr>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r>
              <w:rPr>
                <w:rFonts w:hint="eastAsia" w:cs="Times New Roman"/>
                <w:sz w:val="21"/>
                <w:szCs w:val="21"/>
              </w:rPr>
              <w:t>门窗和外墙</w:t>
            </w:r>
          </w:p>
          <w:p>
            <w:pPr>
              <w:pStyle w:val="14"/>
              <w:adjustRightInd w:val="0"/>
              <w:snapToGrid w:val="0"/>
              <w:spacing w:before="0" w:beforeAutospacing="0" w:after="0" w:afterAutospacing="0" w:line="360" w:lineRule="auto"/>
              <w:jc w:val="center"/>
              <w:rPr>
                <w:rFonts w:cs="Times New Roman"/>
                <w:sz w:val="21"/>
                <w:szCs w:val="21"/>
              </w:rPr>
            </w:pPr>
            <w:r>
              <w:rPr>
                <w:rFonts w:hint="eastAsia" w:cs="Times New Roman"/>
                <w:sz w:val="21"/>
                <w:szCs w:val="21"/>
              </w:rPr>
              <w:t>预留洞</w:t>
            </w:r>
          </w:p>
        </w:tc>
        <w:tc>
          <w:tcPr>
            <w:tcW w:w="6146" w:type="dxa"/>
          </w:tcPr>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1不得改变进户门及外墙窗户设计风格、式样和开启方向（涉及消防防火分区），如需安装防护设施或防盗门，应采用物业服务企业确定的统一式样和材料，且安装时保证建筑外观不受破坏。</w:t>
            </w:r>
          </w:p>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2所有门、窗和未使用的空调、热水器等外墙预留洞在遇暴雨时应关严或严密封堵，以防大风吹坏门窗扇坠落伤人，或渗水对室内造成损坏。</w:t>
            </w:r>
          </w:p>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3不得随意剔凿外墙门窗洞口周边，以免出现渗漏情况。</w:t>
            </w:r>
          </w:p>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4在装修和使用时不得破坏铝合金天窗、凸窗与外墙交接处，以防渗漏。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vMerge w:val="continue"/>
          </w:tcPr>
          <w:p>
            <w:pPr>
              <w:pStyle w:val="14"/>
              <w:adjustRightInd w:val="0"/>
              <w:snapToGrid w:val="0"/>
              <w:spacing w:before="0" w:beforeAutospacing="0" w:after="0" w:afterAutospacing="0" w:line="360" w:lineRule="auto"/>
              <w:rPr>
                <w:rFonts w:cs="Times New Roman"/>
                <w:sz w:val="30"/>
                <w:szCs w:val="30"/>
              </w:rPr>
            </w:pPr>
          </w:p>
        </w:tc>
        <w:tc>
          <w:tcPr>
            <w:tcW w:w="1389" w:type="dxa"/>
            <w:gridSpan w:val="2"/>
          </w:tcPr>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r>
              <w:rPr>
                <w:rFonts w:hint="eastAsia" w:cs="Times New Roman"/>
                <w:sz w:val="21"/>
                <w:szCs w:val="21"/>
              </w:rPr>
              <w:t>阳台</w:t>
            </w:r>
          </w:p>
        </w:tc>
        <w:tc>
          <w:tcPr>
            <w:tcW w:w="6146" w:type="dxa"/>
          </w:tcPr>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1不得破坏、拆除已安装的阳台栏杆、栏板等构件，或大力撞击、挤压阳台玻璃挡板</w:t>
            </w:r>
          </w:p>
          <w:p>
            <w:pPr>
              <w:pStyle w:val="14"/>
              <w:adjustRightInd w:val="0"/>
              <w:snapToGrid w:val="0"/>
              <w:spacing w:before="0" w:beforeAutospacing="0" w:after="0" w:afterAutospacing="0" w:line="360" w:lineRule="auto"/>
              <w:rPr>
                <w:rFonts w:cs="Times New Roman"/>
                <w:sz w:val="18"/>
                <w:szCs w:val="18"/>
              </w:rPr>
            </w:pPr>
            <w:r>
              <w:rPr>
                <w:rFonts w:cs="Times New Roman"/>
                <w:sz w:val="18"/>
                <w:szCs w:val="18"/>
              </w:rPr>
              <w:t>2</w:t>
            </w:r>
            <w:r>
              <w:rPr>
                <w:rFonts w:hint="eastAsia" w:cs="Times New Roman"/>
                <w:sz w:val="18"/>
                <w:szCs w:val="18"/>
              </w:rPr>
              <w:t>不应在阳台安装如铝合金窗等各类形式的封闭构件，或在屋面、露台搭建有顶盖的雨棚、花架等构筑物，以免影响建筑外观整体效果并触犯有关违章搭建的政府条例。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vMerge w:val="continue"/>
          </w:tcPr>
          <w:p>
            <w:pPr>
              <w:pStyle w:val="14"/>
              <w:adjustRightInd w:val="0"/>
              <w:snapToGrid w:val="0"/>
              <w:spacing w:before="0" w:beforeAutospacing="0" w:after="0" w:afterAutospacing="0" w:line="360" w:lineRule="auto"/>
              <w:jc w:val="center"/>
              <w:rPr>
                <w:rFonts w:cs="Times New Roman"/>
                <w:sz w:val="30"/>
                <w:szCs w:val="30"/>
              </w:rPr>
            </w:pPr>
          </w:p>
        </w:tc>
        <w:tc>
          <w:tcPr>
            <w:tcW w:w="1389" w:type="dxa"/>
            <w:gridSpan w:val="2"/>
          </w:tcPr>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r>
              <w:rPr>
                <w:rFonts w:hint="eastAsia" w:cs="Times New Roman"/>
                <w:sz w:val="21"/>
                <w:szCs w:val="21"/>
              </w:rPr>
              <w:t>消防</w:t>
            </w:r>
          </w:p>
        </w:tc>
        <w:tc>
          <w:tcPr>
            <w:tcW w:w="6146" w:type="dxa"/>
          </w:tcPr>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1不得损坏或自行改动各单元门厅、楼道内安装的消防管道、设施。</w:t>
            </w:r>
          </w:p>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2不得在门厅、楼道等消防通道内堆放杂物。</w:t>
            </w:r>
          </w:p>
          <w:p>
            <w:pPr>
              <w:pStyle w:val="14"/>
              <w:adjustRightInd w:val="0"/>
              <w:snapToGrid w:val="0"/>
              <w:spacing w:before="0" w:beforeAutospacing="0" w:after="0" w:afterAutospacing="0" w:line="360" w:lineRule="auto"/>
              <w:rPr>
                <w:rFonts w:cs="Times New Roman"/>
                <w:sz w:val="18"/>
                <w:szCs w:val="18"/>
              </w:rPr>
            </w:pPr>
            <w:r>
              <w:rPr>
                <w:rFonts w:cs="Times New Roman"/>
                <w:sz w:val="18"/>
                <w:szCs w:val="18"/>
              </w:rPr>
              <w:t>3</w:t>
            </w:r>
            <w:r>
              <w:rPr>
                <w:rFonts w:hint="eastAsia" w:cs="Times New Roman"/>
                <w:sz w:val="18"/>
                <w:szCs w:val="18"/>
              </w:rPr>
              <w:t>不得将须常闭的防火门置于敞开状态。</w:t>
            </w:r>
          </w:p>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（逃生通道图见附件7）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gridSpan w:val="3"/>
            <w:vMerge w:val="restart"/>
          </w:tcPr>
          <w:p>
            <w:pPr>
              <w:pStyle w:val="14"/>
              <w:adjustRightInd w:val="0"/>
              <w:snapToGrid w:val="0"/>
              <w:spacing w:before="0" w:beforeAutospacing="0" w:after="0" w:afterAutospacing="0" w:line="360" w:lineRule="auto"/>
              <w:jc w:val="center"/>
              <w:rPr>
                <w:rFonts w:cs="Times New Roman"/>
                <w:sz w:val="28"/>
                <w:szCs w:val="28"/>
              </w:rPr>
            </w:pPr>
          </w:p>
          <w:p>
            <w:pPr>
              <w:pStyle w:val="14"/>
              <w:adjustRightInd w:val="0"/>
              <w:snapToGrid w:val="0"/>
              <w:spacing w:before="0" w:beforeAutospacing="0" w:after="0" w:afterAutospacing="0" w:line="360" w:lineRule="auto"/>
              <w:jc w:val="center"/>
              <w:rPr>
                <w:rFonts w:cs="Times New Roman"/>
                <w:sz w:val="28"/>
                <w:szCs w:val="28"/>
              </w:rPr>
            </w:pPr>
          </w:p>
          <w:p>
            <w:pPr>
              <w:pStyle w:val="14"/>
              <w:adjustRightInd w:val="0"/>
              <w:snapToGrid w:val="0"/>
              <w:spacing w:before="0" w:beforeAutospacing="0" w:after="0" w:afterAutospacing="0" w:line="360" w:lineRule="auto"/>
              <w:jc w:val="center"/>
              <w:rPr>
                <w:rFonts w:cs="Times New Roman"/>
                <w:sz w:val="30"/>
                <w:szCs w:val="30"/>
              </w:rPr>
            </w:pPr>
            <w:r>
              <w:rPr>
                <w:rFonts w:hint="eastAsia" w:cs="Times New Roman"/>
                <w:sz w:val="28"/>
                <w:szCs w:val="28"/>
              </w:rPr>
              <w:t>结构安全</w:t>
            </w:r>
          </w:p>
        </w:tc>
        <w:tc>
          <w:tcPr>
            <w:tcW w:w="6146" w:type="dxa"/>
          </w:tcPr>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1不得改变或损坏本项目各建筑主体结构（包括钢框架梁、柱、楼板等）（建筑主体结构位置见附件1）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gridSpan w:val="3"/>
            <w:vMerge w:val="continue"/>
          </w:tcPr>
          <w:p>
            <w:pPr>
              <w:pStyle w:val="14"/>
              <w:adjustRightInd w:val="0"/>
              <w:snapToGrid w:val="0"/>
              <w:spacing w:before="0" w:beforeAutospacing="0" w:after="0" w:afterAutospacing="0" w:line="360" w:lineRule="auto"/>
              <w:rPr>
                <w:rFonts w:cs="Times New Roman"/>
                <w:sz w:val="30"/>
                <w:szCs w:val="30"/>
              </w:rPr>
            </w:pPr>
          </w:p>
        </w:tc>
        <w:tc>
          <w:tcPr>
            <w:tcW w:w="6146" w:type="dxa"/>
          </w:tcPr>
          <w:p>
            <w:pPr>
              <w:pStyle w:val="14"/>
              <w:adjustRightInd w:val="0"/>
              <w:snapToGrid w:val="0"/>
              <w:spacing w:before="0" w:beforeAutospacing="0" w:after="0" w:afterAutospacing="0" w:line="360" w:lineRule="auto"/>
              <w:rPr>
                <w:rFonts w:cs="Times New Roman"/>
                <w:sz w:val="18"/>
                <w:szCs w:val="18"/>
              </w:rPr>
            </w:pPr>
            <w:r>
              <w:rPr>
                <w:rFonts w:cs="Times New Roman"/>
                <w:sz w:val="18"/>
                <w:szCs w:val="18"/>
              </w:rPr>
              <w:t>2</w:t>
            </w:r>
            <w:r>
              <w:rPr>
                <w:rFonts w:hint="eastAsia" w:cs="Times New Roman"/>
                <w:sz w:val="18"/>
                <w:szCs w:val="18"/>
              </w:rPr>
              <w:t>不得改变或损坏本项目钢结构防火、防腐的相关保护及构造措施。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gridSpan w:val="3"/>
            <w:vMerge w:val="continue"/>
          </w:tcPr>
          <w:p>
            <w:pPr>
              <w:pStyle w:val="14"/>
              <w:adjustRightInd w:val="0"/>
              <w:snapToGrid w:val="0"/>
              <w:spacing w:before="0" w:beforeAutospacing="0" w:after="0" w:afterAutospacing="0" w:line="360" w:lineRule="auto"/>
              <w:rPr>
                <w:rFonts w:cs="Times New Roman"/>
                <w:sz w:val="30"/>
                <w:szCs w:val="30"/>
              </w:rPr>
            </w:pPr>
          </w:p>
        </w:tc>
        <w:tc>
          <w:tcPr>
            <w:tcW w:w="6146" w:type="dxa"/>
          </w:tcPr>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3在装修时如采用面砖或石材的地面做法（包括面砖与砂浆基层）总厚度不得超过_</w:t>
            </w:r>
            <w:r>
              <w:rPr>
                <w:rFonts w:cs="Times New Roman"/>
                <w:sz w:val="18"/>
                <w:szCs w:val="18"/>
              </w:rPr>
              <w:t>____</w:t>
            </w:r>
            <w:r>
              <w:rPr>
                <w:rFonts w:hint="eastAsia" w:cs="Times New Roman"/>
                <w:sz w:val="18"/>
                <w:szCs w:val="18"/>
              </w:rPr>
              <w:t>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gridSpan w:val="3"/>
            <w:vMerge w:val="continue"/>
          </w:tcPr>
          <w:p>
            <w:pPr>
              <w:pStyle w:val="14"/>
              <w:adjustRightInd w:val="0"/>
              <w:snapToGrid w:val="0"/>
              <w:spacing w:before="0" w:beforeAutospacing="0" w:after="0" w:afterAutospacing="0" w:line="360" w:lineRule="auto"/>
              <w:rPr>
                <w:rFonts w:cs="Times New Roman"/>
                <w:sz w:val="30"/>
                <w:szCs w:val="30"/>
              </w:rPr>
            </w:pPr>
          </w:p>
        </w:tc>
        <w:tc>
          <w:tcPr>
            <w:tcW w:w="6146" w:type="dxa"/>
          </w:tcPr>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4在装修与居住使用过程中，不得堆放超过设计荷载的重物。（卧室的设计荷载为_</w:t>
            </w:r>
            <w:r>
              <w:rPr>
                <w:rFonts w:cs="Times New Roman"/>
                <w:sz w:val="18"/>
                <w:szCs w:val="18"/>
              </w:rPr>
              <w:t>____</w:t>
            </w:r>
            <w:r>
              <w:rPr>
                <w:rFonts w:hint="eastAsia" w:cs="Times New Roman"/>
                <w:sz w:val="18"/>
                <w:szCs w:val="18"/>
              </w:rPr>
              <w:t>；卫生间的设计荷载为_</w:t>
            </w:r>
            <w:r>
              <w:rPr>
                <w:rFonts w:cs="Times New Roman"/>
                <w:sz w:val="18"/>
                <w:szCs w:val="18"/>
              </w:rPr>
              <w:t>____</w:t>
            </w:r>
            <w:r>
              <w:rPr>
                <w:rFonts w:hint="eastAsia" w:cs="Times New Roman"/>
                <w:sz w:val="18"/>
                <w:szCs w:val="18"/>
              </w:rPr>
              <w:t>；厨房的设计荷载为_</w:t>
            </w:r>
            <w:r>
              <w:rPr>
                <w:rFonts w:cs="Times New Roman"/>
                <w:sz w:val="18"/>
                <w:szCs w:val="18"/>
              </w:rPr>
              <w:t>_____</w:t>
            </w:r>
            <w:r>
              <w:rPr>
                <w:rFonts w:hint="eastAsia" w:cs="Times New Roman"/>
                <w:sz w:val="18"/>
                <w:szCs w:val="18"/>
              </w:rPr>
              <w:t>；阳台的设计荷载为_</w:t>
            </w:r>
            <w:r>
              <w:rPr>
                <w:rFonts w:cs="Times New Roman"/>
                <w:sz w:val="18"/>
                <w:szCs w:val="18"/>
              </w:rPr>
              <w:t>______</w:t>
            </w:r>
            <w:r>
              <w:rPr>
                <w:rFonts w:hint="eastAsia"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6" w:type="dxa"/>
            <w:gridSpan w:val="2"/>
            <w:vMerge w:val="restart"/>
          </w:tcPr>
          <w:p>
            <w:pPr>
              <w:pStyle w:val="14"/>
              <w:adjustRightInd w:val="0"/>
              <w:snapToGrid w:val="0"/>
              <w:spacing w:before="0" w:beforeAutospacing="0" w:after="0" w:afterAutospacing="0" w:line="360" w:lineRule="auto"/>
              <w:jc w:val="center"/>
              <w:rPr>
                <w:rFonts w:cs="Times New Roman"/>
                <w:sz w:val="28"/>
                <w:szCs w:val="28"/>
              </w:rPr>
            </w:pPr>
          </w:p>
          <w:p>
            <w:pPr>
              <w:pStyle w:val="14"/>
              <w:adjustRightInd w:val="0"/>
              <w:snapToGrid w:val="0"/>
              <w:spacing w:before="0" w:beforeAutospacing="0" w:after="0" w:afterAutospacing="0" w:line="360" w:lineRule="auto"/>
              <w:jc w:val="center"/>
              <w:rPr>
                <w:rFonts w:cs="Times New Roman"/>
                <w:sz w:val="28"/>
                <w:szCs w:val="28"/>
              </w:rPr>
            </w:pPr>
          </w:p>
          <w:p>
            <w:pPr>
              <w:pStyle w:val="14"/>
              <w:adjustRightInd w:val="0"/>
              <w:snapToGrid w:val="0"/>
              <w:spacing w:before="0" w:beforeAutospacing="0" w:after="0" w:afterAutospacing="0" w:line="360" w:lineRule="auto"/>
              <w:jc w:val="center"/>
              <w:rPr>
                <w:rFonts w:cs="Times New Roman"/>
                <w:sz w:val="28"/>
                <w:szCs w:val="28"/>
              </w:rPr>
            </w:pPr>
          </w:p>
          <w:p>
            <w:pPr>
              <w:pStyle w:val="14"/>
              <w:adjustRightInd w:val="0"/>
              <w:snapToGrid w:val="0"/>
              <w:spacing w:before="0" w:beforeAutospacing="0" w:after="0" w:afterAutospacing="0" w:line="360" w:lineRule="auto"/>
              <w:jc w:val="center"/>
              <w:rPr>
                <w:rFonts w:cs="Times New Roman"/>
                <w:sz w:val="28"/>
                <w:szCs w:val="28"/>
              </w:rPr>
            </w:pPr>
          </w:p>
          <w:p>
            <w:pPr>
              <w:pStyle w:val="14"/>
              <w:adjustRightInd w:val="0"/>
              <w:snapToGrid w:val="0"/>
              <w:spacing w:before="0" w:beforeAutospacing="0" w:after="0" w:afterAutospacing="0" w:line="360" w:lineRule="auto"/>
              <w:jc w:val="center"/>
              <w:rPr>
                <w:rFonts w:cs="Times New Roman"/>
                <w:sz w:val="28"/>
                <w:szCs w:val="28"/>
              </w:rPr>
            </w:pPr>
          </w:p>
          <w:p>
            <w:pPr>
              <w:pStyle w:val="14"/>
              <w:adjustRightInd w:val="0"/>
              <w:snapToGrid w:val="0"/>
              <w:spacing w:before="0" w:beforeAutospacing="0" w:after="0" w:afterAutospacing="0" w:line="360" w:lineRule="auto"/>
              <w:jc w:val="center"/>
              <w:rPr>
                <w:rFonts w:cs="Times New Roman"/>
                <w:sz w:val="28"/>
                <w:szCs w:val="28"/>
              </w:rPr>
            </w:pPr>
          </w:p>
          <w:p>
            <w:pPr>
              <w:pStyle w:val="14"/>
              <w:adjustRightInd w:val="0"/>
              <w:snapToGrid w:val="0"/>
              <w:spacing w:before="0" w:beforeAutospacing="0" w:after="0" w:afterAutospacing="0" w:line="360" w:lineRule="auto"/>
              <w:jc w:val="center"/>
              <w:rPr>
                <w:rFonts w:cs="Times New Roman"/>
                <w:sz w:val="28"/>
                <w:szCs w:val="28"/>
              </w:rPr>
            </w:pPr>
          </w:p>
          <w:p>
            <w:pPr>
              <w:pStyle w:val="14"/>
              <w:adjustRightInd w:val="0"/>
              <w:snapToGrid w:val="0"/>
              <w:spacing w:before="0" w:beforeAutospacing="0" w:after="0" w:afterAutospacing="0" w:line="360" w:lineRule="auto"/>
              <w:jc w:val="center"/>
              <w:rPr>
                <w:rFonts w:cs="Times New Roman"/>
                <w:sz w:val="28"/>
                <w:szCs w:val="28"/>
              </w:rPr>
            </w:pPr>
            <w:r>
              <w:rPr>
                <w:rFonts w:hint="eastAsia" w:cs="Times New Roman"/>
                <w:sz w:val="28"/>
                <w:szCs w:val="28"/>
              </w:rPr>
              <w:t>机电</w:t>
            </w:r>
          </w:p>
          <w:p>
            <w:pPr>
              <w:pStyle w:val="14"/>
              <w:adjustRightInd w:val="0"/>
              <w:snapToGrid w:val="0"/>
              <w:spacing w:before="0" w:beforeAutospacing="0" w:after="0" w:afterAutospacing="0" w:line="360" w:lineRule="auto"/>
              <w:jc w:val="center"/>
              <w:rPr>
                <w:rFonts w:cs="Times New Roman"/>
                <w:sz w:val="28"/>
                <w:szCs w:val="28"/>
              </w:rPr>
            </w:pPr>
            <w:r>
              <w:rPr>
                <w:rFonts w:hint="eastAsia" w:cs="Times New Roman"/>
                <w:sz w:val="28"/>
                <w:szCs w:val="28"/>
              </w:rPr>
              <w:t>管线</w:t>
            </w:r>
          </w:p>
        </w:tc>
        <w:tc>
          <w:tcPr>
            <w:tcW w:w="970" w:type="dxa"/>
          </w:tcPr>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r>
              <w:rPr>
                <w:rFonts w:hint="eastAsia" w:cs="Times New Roman"/>
                <w:sz w:val="21"/>
                <w:szCs w:val="21"/>
              </w:rPr>
              <w:t>上下水和其他生活用水</w:t>
            </w:r>
          </w:p>
        </w:tc>
        <w:tc>
          <w:tcPr>
            <w:tcW w:w="6146" w:type="dxa"/>
          </w:tcPr>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1在装修与居住使用过程中，不得擅自拆除、改变或破坏已安装、埋设的上下水管道及其坡度与走向（上下水布置见附件</w:t>
            </w:r>
            <w:r>
              <w:rPr>
                <w:rFonts w:cs="Times New Roman"/>
                <w:sz w:val="18"/>
                <w:szCs w:val="18"/>
              </w:rPr>
              <w:t>3</w:t>
            </w:r>
            <w:r>
              <w:rPr>
                <w:rFonts w:hint="eastAsia" w:cs="Times New Roman"/>
                <w:sz w:val="18"/>
                <w:szCs w:val="18"/>
              </w:rPr>
              <w:t>）。</w:t>
            </w:r>
          </w:p>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2不得将雨水、污水管道混接。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6" w:type="dxa"/>
            <w:gridSpan w:val="2"/>
            <w:vMerge w:val="continue"/>
          </w:tcPr>
          <w:p>
            <w:pPr>
              <w:pStyle w:val="14"/>
              <w:adjustRightInd w:val="0"/>
              <w:snapToGrid w:val="0"/>
              <w:spacing w:before="0" w:beforeAutospacing="0" w:after="0" w:afterAutospacing="0" w:line="360" w:lineRule="auto"/>
              <w:rPr>
                <w:rFonts w:cs="Times New Roman"/>
                <w:sz w:val="30"/>
                <w:szCs w:val="30"/>
              </w:rPr>
            </w:pPr>
          </w:p>
        </w:tc>
        <w:tc>
          <w:tcPr>
            <w:tcW w:w="970" w:type="dxa"/>
          </w:tcPr>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r>
              <w:rPr>
                <w:rFonts w:hint="eastAsia" w:cs="Times New Roman"/>
                <w:sz w:val="21"/>
                <w:szCs w:val="21"/>
              </w:rPr>
              <w:t>供配电</w:t>
            </w:r>
          </w:p>
        </w:tc>
        <w:tc>
          <w:tcPr>
            <w:tcW w:w="6146" w:type="dxa"/>
          </w:tcPr>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1不得超过设计用电负荷_</w:t>
            </w:r>
            <w:r>
              <w:rPr>
                <w:rFonts w:cs="Times New Roman"/>
                <w:sz w:val="18"/>
                <w:szCs w:val="18"/>
              </w:rPr>
              <w:t>____</w:t>
            </w:r>
            <w:r>
              <w:rPr>
                <w:rFonts w:hint="eastAsia" w:cs="Times New Roman"/>
                <w:sz w:val="18"/>
                <w:szCs w:val="18"/>
              </w:rPr>
              <w:t>千瓦用电，分回路供电，各回路具体供电部位详见配电箱内标识（电气线路布置见附件</w:t>
            </w:r>
            <w:r>
              <w:rPr>
                <w:rFonts w:cs="Times New Roman"/>
                <w:sz w:val="18"/>
                <w:szCs w:val="18"/>
              </w:rPr>
              <w:t>4</w:t>
            </w:r>
            <w:r>
              <w:rPr>
                <w:rFonts w:hint="eastAsia" w:cs="Times New Roman"/>
                <w:sz w:val="18"/>
                <w:szCs w:val="18"/>
              </w:rPr>
              <w:t>）</w:t>
            </w:r>
          </w:p>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2如需改变原埋设的电线管走向，请敷设符合国家标准的PVC电线管，且保证电线接口绝缘良好。</w:t>
            </w:r>
          </w:p>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3应根据各开关、插座的设计容量选用与之匹配的用电设备，以确保使用安全。各（房间）插座的设计负荷为_</w:t>
            </w:r>
            <w:r>
              <w:rPr>
                <w:rFonts w:cs="Times New Roman"/>
                <w:sz w:val="18"/>
                <w:szCs w:val="18"/>
              </w:rPr>
              <w:t>____</w:t>
            </w:r>
          </w:p>
          <w:p>
            <w:pPr>
              <w:pStyle w:val="14"/>
              <w:adjustRightInd w:val="0"/>
              <w:snapToGrid w:val="0"/>
              <w:spacing w:before="0" w:beforeAutospacing="0" w:after="0" w:afterAutospacing="0" w:line="360" w:lineRule="auto"/>
              <w:rPr>
                <w:rFonts w:cs="Times New Roman"/>
                <w:sz w:val="18"/>
                <w:szCs w:val="18"/>
              </w:rPr>
            </w:pPr>
            <w:r>
              <w:rPr>
                <w:rFonts w:cs="Times New Roman"/>
                <w:sz w:val="18"/>
                <w:szCs w:val="18"/>
              </w:rPr>
              <w:t>4</w:t>
            </w:r>
            <w:r>
              <w:rPr>
                <w:rFonts w:hint="eastAsia" w:cs="Times New Roman"/>
                <w:sz w:val="18"/>
                <w:szCs w:val="18"/>
              </w:rPr>
              <w:t xml:space="preserve"> 在装修时应从户表以后设立临时施工用电系统，临时施工供电开关箱中应装设漏电保护器（漏电开关动作电流小于30mA，动作时间小于0.1秒），进入开关箱的电源线不得用插销连接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6" w:type="dxa"/>
            <w:gridSpan w:val="2"/>
            <w:vMerge w:val="continue"/>
          </w:tcPr>
          <w:p>
            <w:pPr>
              <w:pStyle w:val="14"/>
              <w:adjustRightInd w:val="0"/>
              <w:snapToGrid w:val="0"/>
              <w:spacing w:before="0" w:beforeAutospacing="0" w:after="0" w:afterAutospacing="0" w:line="360" w:lineRule="auto"/>
              <w:rPr>
                <w:rFonts w:cs="Times New Roman"/>
                <w:sz w:val="30"/>
                <w:szCs w:val="30"/>
              </w:rPr>
            </w:pPr>
          </w:p>
        </w:tc>
        <w:tc>
          <w:tcPr>
            <w:tcW w:w="970" w:type="dxa"/>
          </w:tcPr>
          <w:p>
            <w:pPr>
              <w:pStyle w:val="14"/>
              <w:adjustRightInd w:val="0"/>
              <w:snapToGrid w:val="0"/>
              <w:spacing w:before="0" w:beforeAutospacing="0" w:after="0" w:afterAutospacing="0" w:line="360" w:lineRule="auto"/>
              <w:jc w:val="center"/>
              <w:rPr>
                <w:rFonts w:cs="Times New Roman"/>
                <w:sz w:val="21"/>
                <w:szCs w:val="21"/>
              </w:rPr>
            </w:pPr>
            <w:r>
              <w:rPr>
                <w:rFonts w:hint="eastAsia" w:cs="Times New Roman"/>
                <w:sz w:val="21"/>
                <w:szCs w:val="21"/>
              </w:rPr>
              <w:t>智能家居系统</w:t>
            </w:r>
          </w:p>
        </w:tc>
        <w:tc>
          <w:tcPr>
            <w:tcW w:w="6146" w:type="dxa"/>
          </w:tcPr>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不得自行拆除、变更、增加或破坏电话、网络、电视、保安对讲及安防系统、智能家居等的布线与设施，如确有变更或增加配置需要，请提前与物业联系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6" w:type="dxa"/>
            <w:gridSpan w:val="2"/>
            <w:vMerge w:val="continue"/>
          </w:tcPr>
          <w:p>
            <w:pPr>
              <w:pStyle w:val="14"/>
              <w:adjustRightInd w:val="0"/>
              <w:snapToGrid w:val="0"/>
              <w:spacing w:before="0" w:beforeAutospacing="0" w:after="0" w:afterAutospacing="0" w:line="360" w:lineRule="auto"/>
              <w:rPr>
                <w:rFonts w:cs="Times New Roman"/>
                <w:sz w:val="30"/>
                <w:szCs w:val="30"/>
              </w:rPr>
            </w:pPr>
          </w:p>
        </w:tc>
        <w:tc>
          <w:tcPr>
            <w:tcW w:w="970" w:type="dxa"/>
          </w:tcPr>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r>
              <w:rPr>
                <w:rFonts w:hint="eastAsia" w:cs="Times New Roman"/>
                <w:sz w:val="21"/>
                <w:szCs w:val="21"/>
              </w:rPr>
              <w:t>燃气</w:t>
            </w:r>
          </w:p>
        </w:tc>
        <w:tc>
          <w:tcPr>
            <w:tcW w:w="6146" w:type="dxa"/>
          </w:tcPr>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1在装修与使用过程中，不得将室内外明装燃气管道、报警器和计量表遮盖或封闭。</w:t>
            </w:r>
          </w:p>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2不得自行拆卸、变动燃气管道及附件，如确有需要，请提前向燃气公司申请，并由燃气公司负责施工。.</w:t>
            </w:r>
          </w:p>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3应使用符合国家标准并经相关质检部门认可的热水器，室内热水器必须用平衡式热水器。</w:t>
            </w:r>
          </w:p>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4燃气热水器平时使用时，应注意保持浴室适当通风，以免发生缺氧或有害气体中毒事件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6" w:type="dxa"/>
            <w:gridSpan w:val="2"/>
            <w:vMerge w:val="continue"/>
          </w:tcPr>
          <w:p>
            <w:pPr>
              <w:pStyle w:val="14"/>
              <w:adjustRightInd w:val="0"/>
              <w:snapToGrid w:val="0"/>
              <w:spacing w:before="0" w:beforeAutospacing="0" w:after="0" w:afterAutospacing="0" w:line="360" w:lineRule="auto"/>
              <w:rPr>
                <w:rFonts w:cs="Times New Roman"/>
                <w:sz w:val="30"/>
                <w:szCs w:val="30"/>
              </w:rPr>
            </w:pPr>
          </w:p>
        </w:tc>
        <w:tc>
          <w:tcPr>
            <w:tcW w:w="970" w:type="dxa"/>
          </w:tcPr>
          <w:p>
            <w:pPr>
              <w:pStyle w:val="14"/>
              <w:adjustRightInd w:val="0"/>
              <w:snapToGrid w:val="0"/>
              <w:spacing w:before="0" w:beforeAutospacing="0" w:after="0" w:afterAutospacing="0" w:line="360" w:lineRule="auto"/>
              <w:jc w:val="center"/>
              <w:rPr>
                <w:rFonts w:cs="Times New Roman"/>
                <w:sz w:val="21"/>
                <w:szCs w:val="21"/>
              </w:rPr>
            </w:pPr>
            <w:r>
              <w:rPr>
                <w:rFonts w:hint="eastAsia" w:cs="Times New Roman"/>
                <w:sz w:val="21"/>
                <w:szCs w:val="21"/>
              </w:rPr>
              <w:t>空调使用和安装</w:t>
            </w:r>
          </w:p>
        </w:tc>
        <w:tc>
          <w:tcPr>
            <w:tcW w:w="6146" w:type="dxa"/>
          </w:tcPr>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1在装修与居住使用过程中，请勿擅自安装空调，应将空调室外机安装在预留位置。</w:t>
            </w:r>
          </w:p>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2在装修过程中，应确保空调室内机与墙体安装牢固，避免掉落。（具体安装措施应参照墙体类型，见附件2）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6" w:type="dxa"/>
            <w:gridSpan w:val="2"/>
            <w:vMerge w:val="continue"/>
          </w:tcPr>
          <w:p>
            <w:pPr>
              <w:pStyle w:val="14"/>
              <w:adjustRightInd w:val="0"/>
              <w:snapToGrid w:val="0"/>
              <w:spacing w:before="0" w:beforeAutospacing="0" w:after="0" w:afterAutospacing="0" w:line="360" w:lineRule="auto"/>
              <w:rPr>
                <w:rFonts w:cs="Times New Roman"/>
                <w:sz w:val="30"/>
                <w:szCs w:val="30"/>
              </w:rPr>
            </w:pPr>
          </w:p>
        </w:tc>
        <w:tc>
          <w:tcPr>
            <w:tcW w:w="970" w:type="dxa"/>
          </w:tcPr>
          <w:p>
            <w:pPr>
              <w:pStyle w:val="14"/>
              <w:adjustRightInd w:val="0"/>
              <w:snapToGrid w:val="0"/>
              <w:spacing w:before="0" w:beforeAutospacing="0" w:after="0" w:afterAutospacing="0" w:line="360" w:lineRule="auto"/>
              <w:jc w:val="center"/>
              <w:rPr>
                <w:rFonts w:cs="Times New Roman"/>
                <w:sz w:val="21"/>
                <w:szCs w:val="21"/>
              </w:rPr>
            </w:pPr>
          </w:p>
          <w:p>
            <w:pPr>
              <w:pStyle w:val="14"/>
              <w:adjustRightInd w:val="0"/>
              <w:snapToGrid w:val="0"/>
              <w:spacing w:before="0" w:beforeAutospacing="0" w:after="0" w:afterAutospacing="0" w:line="360" w:lineRule="auto"/>
              <w:jc w:val="center"/>
              <w:rPr>
                <w:rFonts w:cs="Times New Roman"/>
                <w:sz w:val="21"/>
                <w:szCs w:val="21"/>
              </w:rPr>
            </w:pPr>
            <w:r>
              <w:rPr>
                <w:rFonts w:hint="eastAsia" w:cs="Times New Roman"/>
                <w:sz w:val="21"/>
                <w:szCs w:val="21"/>
              </w:rPr>
              <w:t>采暖</w:t>
            </w:r>
          </w:p>
        </w:tc>
        <w:tc>
          <w:tcPr>
            <w:tcW w:w="6146" w:type="dxa"/>
          </w:tcPr>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1不宜擅自增减各房间暖气片数。</w:t>
            </w:r>
          </w:p>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2不随意改变室内暖气管道和暖气片的位置。确需改动，请向物业服务企业申报，并请专业公司进行改动。</w:t>
            </w:r>
          </w:p>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3在装修时如将暖气片采暖改为地暖，不得破坏楼板，以及改后地面荷载不得超过_</w:t>
            </w:r>
            <w:r>
              <w:rPr>
                <w:rFonts w:cs="Times New Roman"/>
                <w:sz w:val="18"/>
                <w:szCs w:val="18"/>
              </w:rPr>
              <w:t>____</w:t>
            </w:r>
          </w:p>
          <w:p>
            <w:pPr>
              <w:pStyle w:val="14"/>
              <w:adjustRightInd w:val="0"/>
              <w:snapToGrid w:val="0"/>
              <w:spacing w:before="0" w:beforeAutospacing="0" w:after="0" w:afterAutospacing="0" w:line="360" w:lineRule="auto"/>
              <w:rPr>
                <w:rFonts w:cs="Times New Roman"/>
                <w:sz w:val="18"/>
                <w:szCs w:val="18"/>
              </w:rPr>
            </w:pPr>
            <w:r>
              <w:rPr>
                <w:rFonts w:hint="eastAsia" w:cs="Times New Roman"/>
                <w:sz w:val="18"/>
                <w:szCs w:val="18"/>
              </w:rPr>
              <w:t>4在装修时不得破坏楼地板内埋设的供暖管道，以免发生漏水（地采暖管道布置图见附件</w:t>
            </w:r>
            <w:r>
              <w:rPr>
                <w:rFonts w:cs="Times New Roman"/>
                <w:sz w:val="18"/>
                <w:szCs w:val="18"/>
              </w:rPr>
              <w:t>5</w:t>
            </w:r>
            <w:r>
              <w:rPr>
                <w:rFonts w:hint="eastAsia" w:cs="Times New Roman"/>
                <w:sz w:val="18"/>
                <w:szCs w:val="18"/>
              </w:rPr>
              <w:t>）</w:t>
            </w:r>
          </w:p>
        </w:tc>
      </w:tr>
    </w:tbl>
    <w:p>
      <w:pPr>
        <w:rPr>
          <w:rFonts w:ascii="宋体" w:hAnsi="宋体" w:cs="宋体"/>
          <w:color w:val="auto"/>
          <w:sz w:val="24"/>
          <w:szCs w:val="24"/>
        </w:rPr>
      </w:pPr>
    </w:p>
    <w:p>
      <w:pPr>
        <w:rPr>
          <w:rFonts w:ascii="宋体" w:hAnsi="宋体" w:cs="宋体"/>
          <w:color w:val="auto"/>
        </w:rPr>
      </w:pPr>
      <w:r>
        <w:rPr>
          <w:rFonts w:hint="eastAsia" w:ascii="宋体" w:hAnsi="宋体" w:cs="宋体"/>
          <w:color w:val="auto"/>
        </w:rPr>
        <w:t>附件：</w:t>
      </w:r>
    </w:p>
    <w:p>
      <w:pPr>
        <w:rPr>
          <w:rFonts w:ascii="宋体" w:hAnsi="宋体" w:cs="宋体"/>
          <w:color w:val="auto"/>
        </w:rPr>
      </w:pPr>
      <w:r>
        <w:rPr>
          <w:rFonts w:hint="eastAsia" w:ascii="宋体" w:hAnsi="宋体" w:cs="宋体"/>
          <w:color w:val="auto"/>
        </w:rPr>
        <w:t>1、</w:t>
      </w:r>
      <w:r>
        <w:rPr>
          <w:rFonts w:hint="eastAsia" w:ascii="宋体" w:hAnsi="宋体" w:cs="宋体"/>
          <w:color w:val="auto"/>
        </w:rPr>
        <w:tab/>
      </w:r>
      <w:r>
        <w:rPr>
          <w:rFonts w:hint="eastAsia" w:ascii="宋体" w:hAnsi="宋体" w:cs="宋体"/>
          <w:color w:val="auto"/>
        </w:rPr>
        <w:t>本套房屋建筑主体结构位置示意图（由建设单位绘制）</w:t>
      </w:r>
    </w:p>
    <w:p>
      <w:pPr>
        <w:rPr>
          <w:rFonts w:ascii="宋体" w:hAnsi="宋体" w:cs="宋体"/>
          <w:color w:val="auto"/>
        </w:rPr>
      </w:pPr>
      <w:r>
        <w:rPr>
          <w:rFonts w:hint="eastAsia" w:ascii="宋体" w:hAnsi="宋体" w:cs="宋体"/>
          <w:color w:val="auto"/>
        </w:rPr>
        <w:t>2、</w:t>
      </w:r>
      <w:r>
        <w:rPr>
          <w:rFonts w:hint="eastAsia" w:ascii="宋体" w:hAnsi="宋体" w:cs="宋体"/>
          <w:color w:val="auto"/>
        </w:rPr>
        <w:tab/>
      </w:r>
      <w:r>
        <w:rPr>
          <w:rFonts w:hint="eastAsia" w:ascii="宋体" w:hAnsi="宋体" w:cs="宋体"/>
          <w:color w:val="auto"/>
        </w:rPr>
        <w:t>本套房屋建筑围护墙体示意图。（包含可拆改墙体位置等，由建设单位绘制）</w:t>
      </w:r>
    </w:p>
    <w:p>
      <w:pPr>
        <w:rPr>
          <w:rFonts w:ascii="宋体" w:hAnsi="宋体" w:cs="宋体"/>
          <w:color w:val="auto"/>
        </w:rPr>
      </w:pPr>
      <w:r>
        <w:rPr>
          <w:rFonts w:hint="eastAsia" w:ascii="宋体" w:hAnsi="宋体" w:cs="宋体"/>
          <w:color w:val="auto"/>
        </w:rPr>
        <w:t>3、</w:t>
      </w:r>
      <w:r>
        <w:rPr>
          <w:rFonts w:hint="eastAsia" w:ascii="宋体" w:hAnsi="宋体" w:cs="宋体"/>
          <w:color w:val="auto"/>
        </w:rPr>
        <w:tab/>
      </w:r>
      <w:r>
        <w:rPr>
          <w:rFonts w:hint="eastAsia" w:ascii="宋体" w:hAnsi="宋体" w:cs="宋体"/>
          <w:color w:val="auto"/>
        </w:rPr>
        <w:t>本套房屋上下水布置示意图（由建设单位绘制）</w:t>
      </w:r>
    </w:p>
    <w:p>
      <w:pPr>
        <w:rPr>
          <w:rFonts w:ascii="宋体" w:hAnsi="宋体" w:cs="宋体"/>
          <w:color w:val="auto"/>
        </w:rPr>
      </w:pPr>
      <w:r>
        <w:rPr>
          <w:rFonts w:hint="eastAsia" w:ascii="宋体" w:hAnsi="宋体" w:cs="宋体"/>
          <w:color w:val="auto"/>
        </w:rPr>
        <w:t>4、</w:t>
      </w:r>
      <w:r>
        <w:rPr>
          <w:rFonts w:hint="eastAsia" w:ascii="宋体" w:hAnsi="宋体" w:cs="宋体"/>
          <w:color w:val="auto"/>
        </w:rPr>
        <w:tab/>
      </w:r>
      <w:r>
        <w:rPr>
          <w:rFonts w:hint="eastAsia" w:ascii="宋体" w:hAnsi="宋体" w:cs="宋体"/>
          <w:color w:val="auto"/>
        </w:rPr>
        <w:t>本套房屋电气线路布置示意图（由建设单位绘制）</w:t>
      </w:r>
    </w:p>
    <w:p>
      <w:pPr>
        <w:rPr>
          <w:rFonts w:ascii="宋体" w:hAnsi="宋体" w:cs="宋体"/>
          <w:color w:val="auto"/>
        </w:rPr>
      </w:pPr>
      <w:r>
        <w:rPr>
          <w:rFonts w:hint="eastAsia" w:ascii="宋体" w:hAnsi="宋体" w:cs="宋体"/>
          <w:color w:val="auto"/>
        </w:rPr>
        <w:t>5、</w:t>
      </w:r>
      <w:r>
        <w:rPr>
          <w:rFonts w:hint="eastAsia" w:ascii="宋体" w:hAnsi="宋体" w:cs="宋体"/>
          <w:color w:val="auto"/>
        </w:rPr>
        <w:tab/>
      </w:r>
      <w:r>
        <w:rPr>
          <w:rFonts w:hint="eastAsia" w:ascii="宋体" w:hAnsi="宋体" w:cs="宋体"/>
          <w:color w:val="auto"/>
        </w:rPr>
        <w:t>本套房屋地采暖管道布置图（由建设单位绘制）</w:t>
      </w:r>
    </w:p>
    <w:p>
      <w:pPr>
        <w:rPr>
          <w:rFonts w:ascii="宋体" w:hAnsi="宋体" w:cs="宋体"/>
          <w:color w:val="auto"/>
        </w:rPr>
      </w:pPr>
      <w:r>
        <w:rPr>
          <w:rFonts w:hint="eastAsia" w:ascii="宋体" w:hAnsi="宋体" w:cs="宋体"/>
          <w:color w:val="auto"/>
        </w:rPr>
        <w:t>6、</w:t>
      </w:r>
      <w:r>
        <w:rPr>
          <w:rFonts w:hint="eastAsia" w:ascii="宋体" w:hAnsi="宋体" w:cs="宋体"/>
          <w:color w:val="auto"/>
        </w:rPr>
        <w:tab/>
      </w:r>
      <w:r>
        <w:rPr>
          <w:rFonts w:hint="eastAsia" w:ascii="宋体" w:hAnsi="宋体" w:cs="宋体"/>
          <w:color w:val="auto"/>
        </w:rPr>
        <w:t>逃生通道图（由建设单位绘制）</w:t>
      </w:r>
    </w:p>
    <w:p>
      <w:pPr>
        <w:rPr>
          <w:rFonts w:ascii="宋体" w:hAnsi="宋体" w:cs="宋体"/>
          <w:color w:val="auto"/>
        </w:rPr>
      </w:pPr>
      <w:r>
        <w:rPr>
          <w:rFonts w:hint="eastAsia" w:ascii="宋体" w:hAnsi="宋体" w:cs="宋体"/>
          <w:color w:val="auto"/>
        </w:rPr>
        <w:t>7、</w:t>
      </w:r>
      <w:r>
        <w:rPr>
          <w:rFonts w:hint="eastAsia" w:ascii="宋体" w:hAnsi="宋体" w:cs="宋体"/>
          <w:color w:val="auto"/>
        </w:rPr>
        <w:tab/>
      </w:r>
      <w:r>
        <w:rPr>
          <w:rFonts w:hint="eastAsia" w:ascii="宋体" w:hAnsi="宋体" w:cs="宋体"/>
          <w:color w:val="auto"/>
        </w:rPr>
        <w:t>室内装饰装修情况的说明（由建设单位编制）</w:t>
      </w:r>
    </w:p>
    <w:p>
      <w:pPr>
        <w:rPr>
          <w:rFonts w:ascii="宋体" w:hAnsi="宋体" w:cs="宋体"/>
          <w:color w:val="auto"/>
        </w:rPr>
      </w:pPr>
      <w:r>
        <w:rPr>
          <w:rFonts w:hint="eastAsia" w:ascii="宋体" w:hAnsi="宋体" w:cs="宋体"/>
          <w:color w:val="auto"/>
        </w:rPr>
        <w:t>8、</w:t>
      </w:r>
      <w:r>
        <w:rPr>
          <w:rFonts w:hint="eastAsia" w:ascii="宋体" w:hAnsi="宋体" w:cs="宋体"/>
          <w:color w:val="auto"/>
        </w:rPr>
        <w:tab/>
      </w:r>
      <w:r>
        <w:rPr>
          <w:rFonts w:hint="eastAsia" w:ascii="宋体" w:hAnsi="宋体" w:cs="宋体"/>
          <w:color w:val="auto"/>
        </w:rPr>
        <w:t>生产厂家对房屋建筑中配置的电梯、电线、水表、门、窗、洁具等其他设备、设施有关说明书等资料。</w:t>
      </w: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仿宋" w:hAnsi="仿宋" w:eastAsia="仿宋" w:cs="黑体"/>
          <w:b/>
          <w:bCs/>
          <w:color w:val="auto"/>
          <w:kern w:val="28"/>
          <w:sz w:val="24"/>
          <w:szCs w:val="24"/>
        </w:rPr>
      </w:pPr>
    </w:p>
    <w:p>
      <w:pPr>
        <w:rPr>
          <w:rFonts w:ascii="宋体" w:hAnsi="宋体" w:cs="宋体"/>
          <w:color w:val="auto"/>
          <w:sz w:val="24"/>
          <w:szCs w:val="24"/>
        </w:rPr>
      </w:pPr>
    </w:p>
    <w:p>
      <w:pPr>
        <w:rPr>
          <w:rFonts w:ascii="宋体" w:hAnsi="宋体" w:cs="宋体"/>
          <w:color w:val="auto"/>
          <w:sz w:val="24"/>
          <w:szCs w:val="24"/>
        </w:rPr>
      </w:pPr>
    </w:p>
    <w:p>
      <w:pPr>
        <w:pStyle w:val="2"/>
        <w:jc w:val="center"/>
        <w:rPr>
          <w:rFonts w:ascii="宋体" w:hAnsi="宋体"/>
          <w:color w:val="auto"/>
          <w:sz w:val="32"/>
          <w:szCs w:val="32"/>
        </w:rPr>
      </w:pPr>
      <w:bookmarkStart w:id="219" w:name="_Toc103958782"/>
      <w:r>
        <w:rPr>
          <w:rFonts w:hint="eastAsia" w:ascii="宋体" w:hAnsi="宋体"/>
          <w:color w:val="auto"/>
          <w:sz w:val="32"/>
          <w:szCs w:val="32"/>
        </w:rPr>
        <w:t>附录</w:t>
      </w:r>
      <w:r>
        <w:rPr>
          <w:rFonts w:ascii="宋体" w:hAnsi="宋体"/>
          <w:color w:val="auto"/>
          <w:sz w:val="32"/>
          <w:szCs w:val="32"/>
        </w:rPr>
        <w:t xml:space="preserve">C </w:t>
      </w:r>
      <w:r>
        <w:rPr>
          <w:rFonts w:hint="eastAsia" w:ascii="宋体" w:hAnsi="宋体"/>
          <w:color w:val="auto"/>
          <w:sz w:val="32"/>
          <w:szCs w:val="32"/>
        </w:rPr>
        <w:t>钢结构住宅装修配置表</w:t>
      </w:r>
      <w:bookmarkEnd w:id="219"/>
    </w:p>
    <w:tbl>
      <w:tblPr>
        <w:tblStyle w:val="17"/>
        <w:tblW w:w="8202" w:type="dxa"/>
        <w:tblInd w:w="94" w:type="dxa"/>
        <w:tblLayout w:type="autofit"/>
        <w:tblCellMar>
          <w:top w:w="0" w:type="dxa"/>
          <w:left w:w="108" w:type="dxa"/>
          <w:bottom w:w="0" w:type="dxa"/>
          <w:right w:w="108" w:type="dxa"/>
        </w:tblCellMar>
      </w:tblPr>
      <w:tblGrid>
        <w:gridCol w:w="817"/>
        <w:gridCol w:w="1211"/>
        <w:gridCol w:w="1134"/>
        <w:gridCol w:w="4190"/>
        <w:gridCol w:w="850"/>
      </w:tblGrid>
      <w:tr>
        <w:trPr>
          <w:trHeight w:val="339" w:hRule="atLeast"/>
        </w:trPr>
        <w:tc>
          <w:tcPr>
            <w:tcW w:w="817"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olor w:val="auto"/>
              </w:rPr>
            </w:pPr>
          </w:p>
        </w:tc>
        <w:tc>
          <w:tcPr>
            <w:tcW w:w="121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类型</w:t>
            </w:r>
          </w:p>
        </w:tc>
        <w:tc>
          <w:tcPr>
            <w:tcW w:w="53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olor w:val="auto"/>
              </w:rPr>
            </w:pPr>
            <w:r>
              <w:rPr>
                <w:rFonts w:hint="eastAsia" w:ascii="宋体" w:hAnsi="宋体"/>
                <w:color w:val="auto"/>
              </w:rPr>
              <w:t>功能需求</w:t>
            </w:r>
          </w:p>
        </w:tc>
        <w:tc>
          <w:tcPr>
            <w:tcW w:w="850" w:type="dxa"/>
            <w:tcBorders>
              <w:top w:val="single" w:color="auto" w:sz="4" w:space="0"/>
              <w:left w:val="nil"/>
              <w:right w:val="single" w:color="auto" w:sz="4" w:space="0"/>
            </w:tcBorders>
            <w:shd w:val="clear" w:color="auto" w:fill="auto"/>
            <w:vAlign w:val="center"/>
          </w:tcPr>
          <w:p>
            <w:pPr>
              <w:widowControl/>
              <w:jc w:val="center"/>
              <w:rPr>
                <w:rFonts w:ascii="宋体" w:hAnsi="宋体"/>
                <w:color w:val="auto"/>
              </w:rPr>
            </w:pPr>
            <w:r>
              <w:rPr>
                <w:rFonts w:hint="eastAsia" w:ascii="宋体" w:hAnsi="宋体"/>
                <w:color w:val="auto"/>
              </w:rPr>
              <w:t>选项</w:t>
            </w:r>
          </w:p>
        </w:tc>
      </w:tr>
      <w:tr>
        <w:trPr>
          <w:trHeight w:val="402" w:hRule="atLeast"/>
        </w:trPr>
        <w:tc>
          <w:tcPr>
            <w:tcW w:w="817" w:type="dxa"/>
            <w:vMerge w:val="restart"/>
            <w:tcBorders>
              <w:top w:val="single" w:color="auto" w:sz="4" w:space="0"/>
              <w:left w:val="single" w:color="auto" w:sz="4" w:space="0"/>
              <w:right w:val="single" w:color="auto" w:sz="4" w:space="0"/>
            </w:tcBorders>
          </w:tcPr>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r>
              <w:rPr>
                <w:rFonts w:hint="eastAsia" w:ascii="宋体" w:hAnsi="宋体"/>
                <w:color w:val="auto"/>
              </w:rPr>
              <w:t>公共部分</w:t>
            </w:r>
          </w:p>
        </w:tc>
        <w:tc>
          <w:tcPr>
            <w:tcW w:w="121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电梯厅</w:t>
            </w:r>
          </w:p>
        </w:tc>
        <w:tc>
          <w:tcPr>
            <w:tcW w:w="1134" w:type="dxa"/>
            <w:vMerge w:val="restar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olor w:val="auto"/>
              </w:rPr>
            </w:pPr>
            <w:r>
              <w:rPr>
                <w:rFonts w:hint="eastAsia" w:ascii="宋体" w:hAnsi="宋体"/>
                <w:color w:val="auto"/>
              </w:rPr>
              <w:t xml:space="preserve">   墙面</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乳胶漆饰面</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墙砖</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装饰板材</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olor w:val="auto"/>
              </w:rPr>
            </w:pPr>
          </w:p>
        </w:tc>
        <w:tc>
          <w:tcPr>
            <w:tcW w:w="1134" w:type="dxa"/>
            <w:vMerge w:val="restar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顶棚</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乳胶漆饰面</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石膏板吊顶/铝扣板吊顶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olor w:val="auto"/>
              </w:rPr>
            </w:pPr>
          </w:p>
        </w:tc>
        <w:tc>
          <w:tcPr>
            <w:tcW w:w="1134" w:type="dxa"/>
            <w:vMerge w:val="restart"/>
            <w:tcBorders>
              <w:top w:val="single" w:color="auto" w:sz="4" w:space="0"/>
              <w:left w:val="nil"/>
              <w:bottom w:val="single" w:color="auto" w:sz="4" w:space="0"/>
              <w:right w:val="single" w:color="auto" w:sz="4" w:space="0"/>
            </w:tcBorders>
            <w:shd w:val="clear" w:color="auto" w:fill="auto"/>
            <w:vAlign w:val="bottom"/>
          </w:tcPr>
          <w:p>
            <w:pPr>
              <w:widowControl/>
              <w:jc w:val="center"/>
              <w:rPr>
                <w:rFonts w:ascii="宋体" w:hAnsi="宋体"/>
                <w:color w:val="auto"/>
              </w:rPr>
            </w:pPr>
            <w:r>
              <w:rPr>
                <w:rFonts w:hint="eastAsia" w:ascii="宋体" w:hAnsi="宋体"/>
                <w:color w:val="auto"/>
              </w:rPr>
              <w:t>楼地面</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石材</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地砖</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装饰板材</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olor w:val="auto"/>
              </w:rPr>
            </w:pPr>
          </w:p>
        </w:tc>
        <w:tc>
          <w:tcPr>
            <w:tcW w:w="1134" w:type="dxa"/>
            <w:vMerge w:val="restart"/>
            <w:tcBorders>
              <w:top w:val="single" w:color="auto" w:sz="4" w:space="0"/>
              <w:left w:val="nil"/>
              <w:bottom w:val="single" w:color="auto" w:sz="4" w:space="0"/>
              <w:right w:val="single" w:color="auto" w:sz="4" w:space="0"/>
            </w:tcBorders>
            <w:shd w:val="clear" w:color="auto" w:fill="auto"/>
            <w:vAlign w:val="bottom"/>
          </w:tcPr>
          <w:p>
            <w:pPr>
              <w:widowControl/>
              <w:jc w:val="center"/>
              <w:rPr>
                <w:rFonts w:ascii="宋体" w:hAnsi="宋体"/>
                <w:color w:val="auto"/>
              </w:rPr>
            </w:pPr>
            <w:r>
              <w:rPr>
                <w:rFonts w:hint="eastAsia" w:ascii="宋体" w:hAnsi="宋体"/>
                <w:color w:val="auto"/>
              </w:rPr>
              <w:t>踢脚</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地砖踢脚</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金属踢脚</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板材踢脚</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olor w:val="auto"/>
              </w:rPr>
            </w:pPr>
          </w:p>
        </w:tc>
        <w:tc>
          <w:tcPr>
            <w:tcW w:w="1134"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宋体" w:hAnsi="宋体"/>
                <w:color w:val="auto"/>
              </w:rPr>
            </w:pPr>
            <w:r>
              <w:rPr>
                <w:rFonts w:hint="eastAsia" w:ascii="宋体" w:hAnsi="宋体"/>
                <w:color w:val="auto"/>
              </w:rPr>
              <w:t>电气、</w:t>
            </w:r>
          </w:p>
          <w:p>
            <w:pPr>
              <w:widowControl/>
              <w:jc w:val="center"/>
              <w:rPr>
                <w:rFonts w:ascii="宋体" w:hAnsi="宋体"/>
                <w:color w:val="auto"/>
              </w:rPr>
            </w:pPr>
            <w:r>
              <w:rPr>
                <w:rFonts w:hint="eastAsia" w:ascii="宋体" w:hAnsi="宋体"/>
                <w:color w:val="auto"/>
              </w:rPr>
              <w:t>智能化</w:t>
            </w:r>
          </w:p>
          <w:p>
            <w:pPr>
              <w:widowControl/>
              <w:jc w:val="center"/>
              <w:rPr>
                <w:rFonts w:ascii="宋体" w:hAnsi="宋体"/>
                <w:color w:val="auto"/>
              </w:rPr>
            </w:pPr>
            <w:r>
              <w:rPr>
                <w:rFonts w:hint="eastAsia" w:ascii="宋体" w:hAnsi="宋体"/>
                <w:color w:val="auto"/>
              </w:rPr>
              <w:t>设备</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声控灯</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olor w:val="auto"/>
              </w:rPr>
            </w:pPr>
          </w:p>
        </w:tc>
        <w:tc>
          <w:tcPr>
            <w:tcW w:w="1134"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宋体" w:hAnsi="宋体"/>
                <w:color w:val="auto"/>
              </w:rPr>
            </w:pPr>
            <w:r>
              <w:rPr>
                <w:rFonts w:hint="eastAsia" w:ascii="宋体" w:hAnsi="宋体"/>
                <w:color w:val="auto"/>
              </w:rPr>
              <w:t>其他设备</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扶手</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olor w:val="auto"/>
              </w:rPr>
            </w:pPr>
            <w:r>
              <w:rPr>
                <w:rFonts w:hint="eastAsia" w:ascii="宋体" w:hAnsi="宋体"/>
                <w:color w:val="auto"/>
              </w:rPr>
              <w:t>楼梯</w:t>
            </w:r>
          </w:p>
        </w:tc>
        <w:tc>
          <w:tcPr>
            <w:tcW w:w="1134" w:type="dxa"/>
            <w:vMerge w:val="restar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墙面</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乳胶漆饰面</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墙砖</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装饰板材</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olor w:val="auto"/>
              </w:rPr>
            </w:pPr>
          </w:p>
        </w:tc>
        <w:tc>
          <w:tcPr>
            <w:tcW w:w="1134"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顶棚</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乳胶漆饰面</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olor w:val="auto"/>
              </w:rPr>
            </w:pPr>
          </w:p>
        </w:tc>
        <w:tc>
          <w:tcPr>
            <w:tcW w:w="1134" w:type="dxa"/>
            <w:vMerge w:val="restart"/>
            <w:tcBorders>
              <w:top w:val="single" w:color="auto" w:sz="4" w:space="0"/>
              <w:left w:val="nil"/>
              <w:bottom w:val="single" w:color="auto" w:sz="4" w:space="0"/>
              <w:right w:val="single" w:color="auto" w:sz="4" w:space="0"/>
            </w:tcBorders>
            <w:shd w:val="clear" w:color="auto" w:fill="auto"/>
            <w:vAlign w:val="bottom"/>
          </w:tcPr>
          <w:p>
            <w:pPr>
              <w:jc w:val="center"/>
              <w:rPr>
                <w:rFonts w:ascii="宋体" w:hAnsi="宋体"/>
                <w:color w:val="auto"/>
              </w:rPr>
            </w:pPr>
            <w:r>
              <w:rPr>
                <w:rFonts w:hint="eastAsia" w:ascii="宋体" w:hAnsi="宋体"/>
                <w:color w:val="auto"/>
              </w:rPr>
              <w:t>楼地面</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石材</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vAlign w:val="bottom"/>
          </w:tcPr>
          <w:p>
            <w:pPr>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地砖</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装饰板材</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olor w:val="auto"/>
              </w:rPr>
            </w:pPr>
          </w:p>
        </w:tc>
        <w:tc>
          <w:tcPr>
            <w:tcW w:w="1134" w:type="dxa"/>
            <w:vMerge w:val="restar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踢脚</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地砖踢脚</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金属踢脚</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bottom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olor w:val="auto"/>
              </w:rPr>
            </w:pPr>
          </w:p>
        </w:tc>
        <w:tc>
          <w:tcPr>
            <w:tcW w:w="1134"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电气、</w:t>
            </w:r>
          </w:p>
          <w:p>
            <w:pPr>
              <w:widowControl/>
              <w:jc w:val="center"/>
              <w:rPr>
                <w:rFonts w:ascii="宋体" w:hAnsi="宋体"/>
                <w:color w:val="auto"/>
              </w:rPr>
            </w:pPr>
            <w:r>
              <w:rPr>
                <w:rFonts w:hint="eastAsia" w:ascii="宋体" w:hAnsi="宋体"/>
                <w:color w:val="auto"/>
              </w:rPr>
              <w:t>智能化</w:t>
            </w:r>
          </w:p>
          <w:p>
            <w:pPr>
              <w:widowControl/>
              <w:jc w:val="center"/>
              <w:rPr>
                <w:rFonts w:ascii="宋体" w:hAnsi="宋体"/>
                <w:color w:val="auto"/>
              </w:rPr>
            </w:pPr>
            <w:r>
              <w:rPr>
                <w:rFonts w:hint="eastAsia" w:ascii="宋体" w:hAnsi="宋体"/>
                <w:color w:val="auto"/>
              </w:rPr>
              <w:t>设备</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声控灯</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restart"/>
            <w:tcBorders>
              <w:top w:val="single" w:color="auto" w:sz="4" w:space="0"/>
              <w:left w:val="single" w:color="auto" w:sz="4" w:space="0"/>
              <w:right w:val="single" w:color="auto" w:sz="4" w:space="0"/>
            </w:tcBorders>
          </w:tcPr>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r>
              <w:rPr>
                <w:rFonts w:hint="eastAsia" w:ascii="宋体" w:hAnsi="宋体"/>
                <w:color w:val="auto"/>
              </w:rPr>
              <w:t>套内部分</w:t>
            </w: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p>
            <w:pPr>
              <w:widowControl/>
              <w:jc w:val="center"/>
              <w:rPr>
                <w:rFonts w:ascii="宋体" w:hAnsi="宋体"/>
                <w:color w:val="auto"/>
              </w:rPr>
            </w:pPr>
          </w:p>
        </w:tc>
        <w:tc>
          <w:tcPr>
            <w:tcW w:w="121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玄关</w:t>
            </w:r>
          </w:p>
        </w:tc>
        <w:tc>
          <w:tcPr>
            <w:tcW w:w="1134" w:type="dxa"/>
            <w:vMerge w:val="restar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墙面</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乳胶漆饰面</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墙砖</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壁纸</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装饰板材</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顶棚</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乳胶漆饰面</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石膏板吊顶/铝扣板吊顶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restart"/>
            <w:tcBorders>
              <w:top w:val="single" w:color="auto" w:sz="4" w:space="0"/>
              <w:left w:val="nil"/>
              <w:bottom w:val="single" w:color="auto" w:sz="4" w:space="0"/>
              <w:right w:val="single" w:color="auto" w:sz="4" w:space="0"/>
            </w:tcBorders>
            <w:shd w:val="clear" w:color="auto" w:fill="auto"/>
            <w:noWrap/>
            <w:vAlign w:val="bottom"/>
          </w:tcPr>
          <w:p>
            <w:pPr>
              <w:jc w:val="center"/>
              <w:rPr>
                <w:rFonts w:ascii="宋体" w:hAnsi="宋体"/>
                <w:color w:val="auto"/>
              </w:rPr>
            </w:pPr>
            <w:r>
              <w:rPr>
                <w:rFonts w:hint="eastAsia" w:ascii="宋体" w:hAnsi="宋体"/>
                <w:color w:val="auto"/>
              </w:rPr>
              <w:t>楼地面</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石材</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木地板</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地砖</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装饰板材</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restar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踢脚</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地砖踢脚</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金属踢脚</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板材踢脚</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restar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电气、</w:t>
            </w:r>
          </w:p>
          <w:p>
            <w:pPr>
              <w:widowControl/>
              <w:jc w:val="center"/>
              <w:rPr>
                <w:rFonts w:ascii="宋体" w:hAnsi="宋体"/>
                <w:color w:val="auto"/>
              </w:rPr>
            </w:pPr>
            <w:r>
              <w:rPr>
                <w:rFonts w:hint="eastAsia" w:ascii="宋体" w:hAnsi="宋体"/>
                <w:color w:val="auto"/>
              </w:rPr>
              <w:t>智能化</w:t>
            </w:r>
          </w:p>
          <w:p>
            <w:pPr>
              <w:widowControl/>
              <w:jc w:val="center"/>
              <w:rPr>
                <w:rFonts w:ascii="宋体" w:hAnsi="宋体"/>
                <w:color w:val="auto"/>
              </w:rPr>
            </w:pPr>
            <w:r>
              <w:rPr>
                <w:rFonts w:hint="eastAsia" w:ascii="宋体" w:hAnsi="宋体"/>
                <w:color w:val="auto"/>
              </w:rPr>
              <w:t>设备</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普通单相两孔三孔插座</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吸顶灯/白炽灯</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开关面板</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可视对讲</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restar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入户门</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实木复合子母门/钢门</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96"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指纹、密码、钥匙三合一家用防盗门智能锁</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restar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其他设备</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折叠坐凳</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入户挂钩</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鞋柜</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玄关柜</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restart"/>
            <w:tcBorders>
              <w:top w:val="single" w:color="auto" w:sz="4" w:space="0"/>
              <w:left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卫生间</w:t>
            </w:r>
          </w:p>
        </w:tc>
        <w:tc>
          <w:tcPr>
            <w:tcW w:w="1134" w:type="dxa"/>
            <w:vMerge w:val="restar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墙面</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墙砖</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left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装饰板材</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left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石材</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left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顶棚</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防水石膏板吊顶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left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restar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楼地面</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石材</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left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地砖</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left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装饰板材</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restar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踢脚</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地砖踢脚</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金属踢脚</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板材踢脚</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restar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电气、</w:t>
            </w:r>
          </w:p>
          <w:p>
            <w:pPr>
              <w:widowControl/>
              <w:jc w:val="center"/>
              <w:rPr>
                <w:rFonts w:ascii="宋体" w:hAnsi="宋体"/>
                <w:color w:val="auto"/>
              </w:rPr>
            </w:pPr>
            <w:r>
              <w:rPr>
                <w:rFonts w:hint="eastAsia" w:ascii="宋体" w:hAnsi="宋体"/>
                <w:color w:val="auto"/>
              </w:rPr>
              <w:t>智能化</w:t>
            </w:r>
          </w:p>
          <w:p>
            <w:pPr>
              <w:widowControl/>
              <w:jc w:val="center"/>
              <w:rPr>
                <w:rFonts w:ascii="宋体" w:hAnsi="宋体"/>
                <w:color w:val="auto"/>
              </w:rPr>
            </w:pPr>
            <w:r>
              <w:rPr>
                <w:rFonts w:hint="eastAsia" w:ascii="宋体" w:hAnsi="宋体"/>
                <w:color w:val="auto"/>
              </w:rPr>
              <w:t>设备</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普通防水插座</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智能马桶防水插座</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洗衣机防水插座</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防水防尘吸顶灯</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开关面板</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浴霸</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排风扇</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紧急报警（养老住宅）</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电热水器</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restart"/>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r>
              <w:rPr>
                <w:rFonts w:hint="eastAsia" w:ascii="宋体" w:hAnsi="宋体"/>
                <w:color w:val="auto"/>
              </w:rPr>
              <w:t>卫浴设备</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淋浴花洒</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面盆龙头</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坐便器</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台下盆</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镜柜、地柜</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地漏</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restart"/>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r>
              <w:rPr>
                <w:rFonts w:hint="eastAsia" w:ascii="宋体" w:hAnsi="宋体"/>
                <w:color w:val="auto"/>
              </w:rPr>
              <w:t>其他设备</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带手机架式卷纸架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智能马桶盖</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毛巾架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坐式淋浴系统（老人房）</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扶手</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restart"/>
            <w:tcBorders>
              <w:top w:val="single" w:color="auto" w:sz="4" w:space="0"/>
              <w:left w:val="nil"/>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门</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折叠门</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left w:val="nil"/>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平开门</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门吸</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厨房</w:t>
            </w:r>
          </w:p>
        </w:tc>
        <w:tc>
          <w:tcPr>
            <w:tcW w:w="1134" w:type="dxa"/>
            <w:vMerge w:val="restart"/>
            <w:tcBorders>
              <w:top w:val="single" w:color="auto" w:sz="4" w:space="0"/>
              <w:left w:val="nil"/>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墙面</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墙砖</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装饰板材</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restart"/>
            <w:tcBorders>
              <w:top w:val="single" w:color="auto" w:sz="4" w:space="0"/>
              <w:left w:val="nil"/>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顶棚</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防水石膏板吊顶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铝扣板吊顶</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restart"/>
            <w:tcBorders>
              <w:top w:val="single" w:color="auto" w:sz="4" w:space="0"/>
              <w:left w:val="nil"/>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楼地面</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石材</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left w:val="nil"/>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地砖</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装饰板材</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restart"/>
            <w:tcBorders>
              <w:top w:val="single" w:color="auto" w:sz="4" w:space="0"/>
              <w:left w:val="nil"/>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踢脚</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地砖踢脚</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left w:val="nil"/>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金属踢脚</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板材踢脚</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restart"/>
            <w:tcBorders>
              <w:top w:val="single" w:color="auto" w:sz="4" w:space="0"/>
              <w:left w:val="nil"/>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电气、</w:t>
            </w:r>
          </w:p>
          <w:p>
            <w:pPr>
              <w:widowControl/>
              <w:jc w:val="center"/>
              <w:rPr>
                <w:rFonts w:ascii="宋体" w:hAnsi="宋体"/>
                <w:color w:val="auto"/>
              </w:rPr>
            </w:pPr>
            <w:r>
              <w:rPr>
                <w:rFonts w:hint="eastAsia" w:ascii="宋体" w:hAnsi="宋体"/>
                <w:color w:val="auto"/>
              </w:rPr>
              <w:t>智能化</w:t>
            </w:r>
          </w:p>
          <w:p>
            <w:pPr>
              <w:widowControl/>
              <w:jc w:val="center"/>
              <w:rPr>
                <w:rFonts w:ascii="宋体" w:hAnsi="宋体"/>
                <w:color w:val="auto"/>
              </w:rPr>
            </w:pPr>
            <w:r>
              <w:rPr>
                <w:rFonts w:hint="eastAsia" w:ascii="宋体" w:hAnsi="宋体"/>
                <w:color w:val="auto"/>
              </w:rPr>
              <w:t>设备</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油烟机</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left w:val="nil"/>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燃气热水器</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left w:val="nil"/>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防水防尘吸顶灯</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left w:val="nil"/>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开关面板</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left w:val="nil"/>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冰箱插座</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left w:val="nil"/>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普通防水插座</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燃气报警截止阀</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restart"/>
            <w:tcBorders>
              <w:top w:val="single" w:color="auto" w:sz="4" w:space="0"/>
              <w:left w:val="nil"/>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暖通设备</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暖气片</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地暖</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restart"/>
            <w:tcBorders>
              <w:top w:val="single" w:color="auto" w:sz="4" w:space="0"/>
              <w:left w:val="nil"/>
              <w:right w:val="single" w:color="auto" w:sz="4" w:space="0"/>
            </w:tcBorders>
            <w:shd w:val="clear" w:color="auto" w:fill="auto"/>
            <w:noWrap/>
            <w:vAlign w:val="bottom"/>
          </w:tcPr>
          <w:p>
            <w:pPr>
              <w:jc w:val="center"/>
              <w:rPr>
                <w:rFonts w:ascii="宋体" w:hAnsi="宋体"/>
                <w:color w:val="auto"/>
              </w:rPr>
            </w:pPr>
            <w:r>
              <w:rPr>
                <w:rFonts w:hint="eastAsia" w:ascii="宋体" w:hAnsi="宋体"/>
                <w:color w:val="auto"/>
              </w:rPr>
              <w:t>门</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平开门</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left w:val="nil"/>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推拉门</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门吸</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restart"/>
            <w:tcBorders>
              <w:top w:val="single" w:color="auto" w:sz="4" w:space="0"/>
              <w:left w:val="nil"/>
              <w:right w:val="single" w:color="auto" w:sz="4" w:space="0"/>
            </w:tcBorders>
            <w:shd w:val="clear" w:color="auto" w:fill="auto"/>
            <w:noWrap/>
            <w:vAlign w:val="bottom"/>
          </w:tcPr>
          <w:p>
            <w:pPr>
              <w:widowControl/>
              <w:rPr>
                <w:rFonts w:ascii="宋体" w:hAnsi="宋体"/>
                <w:color w:val="auto"/>
              </w:rPr>
            </w:pPr>
            <w:r>
              <w:rPr>
                <w:rFonts w:hint="eastAsia" w:ascii="宋体" w:hAnsi="宋体"/>
                <w:color w:val="auto"/>
              </w:rPr>
              <w:t>其他设备</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灶具</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left w:val="nil"/>
              <w:right w:val="single" w:color="auto" w:sz="4" w:space="0"/>
            </w:tcBorders>
            <w:shd w:val="clear" w:color="auto" w:fill="auto"/>
            <w:noWrap/>
            <w:vAlign w:val="bottom"/>
          </w:tcPr>
          <w:p>
            <w:pPr>
              <w:widowControl/>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洗碗机</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left w:val="nil"/>
              <w:right w:val="single" w:color="auto" w:sz="4" w:space="0"/>
            </w:tcBorders>
            <w:shd w:val="clear" w:color="auto" w:fill="auto"/>
            <w:noWrap/>
            <w:vAlign w:val="bottom"/>
          </w:tcPr>
          <w:p>
            <w:pPr>
              <w:widowControl/>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橱柜</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left w:val="nil"/>
              <w:right w:val="single" w:color="auto" w:sz="4" w:space="0"/>
            </w:tcBorders>
            <w:shd w:val="clear" w:color="auto" w:fill="auto"/>
            <w:noWrap/>
            <w:vAlign w:val="bottom"/>
          </w:tcPr>
          <w:p>
            <w:pPr>
              <w:widowControl/>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人造石台面</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center"/>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p>
        </w:tc>
        <w:tc>
          <w:tcPr>
            <w:tcW w:w="1134" w:type="dxa"/>
            <w:vMerge w:val="continue"/>
            <w:tcBorders>
              <w:left w:val="nil"/>
              <w:bottom w:val="single" w:color="auto" w:sz="4" w:space="0"/>
              <w:right w:val="single" w:color="auto" w:sz="4" w:space="0"/>
            </w:tcBorders>
            <w:shd w:val="clear" w:color="auto" w:fill="auto"/>
            <w:noWrap/>
            <w:vAlign w:val="bottom"/>
          </w:tcPr>
          <w:p>
            <w:pPr>
              <w:widowControl/>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水槽、龙头</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olor w:val="auto"/>
              </w:rPr>
            </w:pPr>
            <w:r>
              <w:rPr>
                <w:rFonts w:hint="eastAsia" w:ascii="宋体" w:hAnsi="宋体"/>
                <w:color w:val="auto"/>
              </w:rPr>
              <w:t>卧室、</w:t>
            </w:r>
          </w:p>
          <w:p>
            <w:pPr>
              <w:widowControl/>
              <w:jc w:val="center"/>
              <w:rPr>
                <w:rFonts w:ascii="宋体" w:hAnsi="宋体"/>
                <w:color w:val="auto"/>
              </w:rPr>
            </w:pPr>
            <w:r>
              <w:rPr>
                <w:rFonts w:hint="eastAsia" w:ascii="宋体" w:hAnsi="宋体"/>
                <w:color w:val="auto"/>
              </w:rPr>
              <w:t>书房</w:t>
            </w:r>
          </w:p>
        </w:tc>
        <w:tc>
          <w:tcPr>
            <w:tcW w:w="1134"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乳胶漆饰面</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olor w:val="auto"/>
              </w:rPr>
            </w:pPr>
          </w:p>
        </w:tc>
        <w:tc>
          <w:tcPr>
            <w:tcW w:w="1134"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墙面</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墙砖</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olor w:val="auto"/>
              </w:rPr>
            </w:pPr>
          </w:p>
        </w:tc>
        <w:tc>
          <w:tcPr>
            <w:tcW w:w="1134"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壁纸</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rPr>
            </w:pPr>
          </w:p>
        </w:tc>
        <w:tc>
          <w:tcPr>
            <w:tcW w:w="1134"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装饰板材</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rPr>
            </w:pPr>
          </w:p>
        </w:tc>
        <w:tc>
          <w:tcPr>
            <w:tcW w:w="1134" w:type="dxa"/>
            <w:vMerge w:val="restar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顶棚</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乳胶漆饰面</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石膏板吊顶/铝扣板吊顶</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rPr>
            </w:pPr>
          </w:p>
        </w:tc>
        <w:tc>
          <w:tcPr>
            <w:tcW w:w="1134" w:type="dxa"/>
            <w:tcBorders>
              <w:top w:val="single" w:color="auto" w:sz="4" w:space="0"/>
              <w:left w:val="nil"/>
              <w:bottom w:val="single" w:color="auto" w:sz="4" w:space="0"/>
              <w:right w:val="single" w:color="auto" w:sz="4" w:space="0"/>
            </w:tcBorders>
            <w:shd w:val="clear" w:color="auto" w:fill="auto"/>
            <w:noWrap/>
            <w:vAlign w:val="bottom"/>
          </w:tcPr>
          <w:p>
            <w:pPr>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石材</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0"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rPr>
            </w:pPr>
          </w:p>
        </w:tc>
        <w:tc>
          <w:tcPr>
            <w:tcW w:w="1134" w:type="dxa"/>
            <w:tcBorders>
              <w:top w:val="single" w:color="auto" w:sz="4" w:space="0"/>
              <w:left w:val="nil"/>
              <w:bottom w:val="single" w:color="auto" w:sz="4" w:space="0"/>
              <w:right w:val="single" w:color="auto" w:sz="4" w:space="0"/>
            </w:tcBorders>
            <w:shd w:val="clear" w:color="auto" w:fill="auto"/>
            <w:noWrap/>
            <w:vAlign w:val="bottom"/>
          </w:tcPr>
          <w:p>
            <w:pPr>
              <w:jc w:val="center"/>
              <w:rPr>
                <w:rFonts w:ascii="宋体" w:hAnsi="宋体"/>
                <w:color w:val="auto"/>
              </w:rPr>
            </w:pPr>
            <w:r>
              <w:rPr>
                <w:rFonts w:hint="eastAsia" w:ascii="宋体" w:hAnsi="宋体"/>
                <w:color w:val="auto"/>
              </w:rPr>
              <w:t>楼地面</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木地板</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rPr>
            </w:pPr>
          </w:p>
        </w:tc>
        <w:tc>
          <w:tcPr>
            <w:tcW w:w="1134"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地砖</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rPr>
            </w:pPr>
          </w:p>
        </w:tc>
        <w:tc>
          <w:tcPr>
            <w:tcW w:w="1134"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装饰板材</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56"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rPr>
            </w:pPr>
          </w:p>
        </w:tc>
        <w:tc>
          <w:tcPr>
            <w:tcW w:w="1134" w:type="dxa"/>
            <w:tcBorders>
              <w:top w:val="single" w:color="auto" w:sz="4" w:space="0"/>
              <w:left w:val="nil"/>
              <w:bottom w:val="single" w:color="auto" w:sz="4" w:space="0"/>
              <w:right w:val="single" w:color="auto" w:sz="4" w:space="0"/>
            </w:tcBorders>
            <w:shd w:val="clear" w:color="auto" w:fill="auto"/>
            <w:noWrap/>
            <w:vAlign w:val="bottom"/>
          </w:tcPr>
          <w:p>
            <w:pPr>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地砖踢脚</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rPr>
            </w:pPr>
          </w:p>
        </w:tc>
        <w:tc>
          <w:tcPr>
            <w:tcW w:w="1134"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踢脚</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金属踢脚</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rPr>
            </w:pPr>
          </w:p>
        </w:tc>
        <w:tc>
          <w:tcPr>
            <w:tcW w:w="1134"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板材踢脚</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rPr>
            </w:pPr>
          </w:p>
        </w:tc>
        <w:tc>
          <w:tcPr>
            <w:tcW w:w="1134" w:type="dxa"/>
            <w:vMerge w:val="restart"/>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电气、</w:t>
            </w:r>
          </w:p>
          <w:p>
            <w:pPr>
              <w:widowControl/>
              <w:jc w:val="center"/>
              <w:rPr>
                <w:rFonts w:ascii="宋体" w:hAnsi="宋体"/>
                <w:color w:val="auto"/>
              </w:rPr>
            </w:pPr>
            <w:r>
              <w:rPr>
                <w:rFonts w:hint="eastAsia" w:ascii="宋体" w:hAnsi="宋体"/>
                <w:color w:val="auto"/>
              </w:rPr>
              <w:t>智能化</w:t>
            </w:r>
          </w:p>
          <w:p>
            <w:pPr>
              <w:widowControl/>
              <w:jc w:val="center"/>
              <w:rPr>
                <w:rFonts w:ascii="宋体" w:hAnsi="宋体"/>
                <w:color w:val="auto"/>
              </w:rPr>
            </w:pPr>
            <w:r>
              <w:rPr>
                <w:rFonts w:hint="eastAsia" w:ascii="宋体" w:hAnsi="宋体"/>
                <w:color w:val="auto"/>
              </w:rPr>
              <w:t>设备</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普通单相两孔三孔插座</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top w:val="single" w:color="auto" w:sz="4" w:space="0"/>
              <w:left w:val="nil"/>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空调插座</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left w:val="nil"/>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电视、网络插座</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left w:val="nil"/>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吸顶灯/白炽灯</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开关面板</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restart"/>
            <w:tcBorders>
              <w:top w:val="single" w:color="auto" w:sz="4" w:space="0"/>
              <w:left w:val="nil"/>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暖通设备</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暖气片</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left w:val="nil"/>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中央空调</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left w:val="nil"/>
              <w:bottom w:val="single" w:color="auto" w:sz="4" w:space="0"/>
              <w:right w:val="single" w:color="auto" w:sz="4" w:space="0"/>
            </w:tcBorders>
            <w:shd w:val="clear" w:color="auto" w:fill="auto"/>
            <w:noWrap/>
            <w:vAlign w:val="bottom"/>
          </w:tcPr>
          <w:p>
            <w:pPr>
              <w:widowControl/>
              <w:jc w:val="left"/>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地暖</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left"/>
              <w:rPr>
                <w:rFonts w:ascii="宋体" w:hAnsi="宋体"/>
                <w:color w:val="auto"/>
              </w:rPr>
            </w:pPr>
          </w:p>
        </w:tc>
        <w:tc>
          <w:tcPr>
            <w:tcW w:w="1134" w:type="dxa"/>
            <w:vMerge w:val="restart"/>
            <w:tcBorders>
              <w:left w:val="nil"/>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门</w:t>
            </w: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木门</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olor w:val="auto"/>
              </w:rPr>
            </w:pPr>
          </w:p>
        </w:tc>
        <w:tc>
          <w:tcPr>
            <w:tcW w:w="1134" w:type="dxa"/>
            <w:vMerge w:val="continue"/>
            <w:tcBorders>
              <w:left w:val="nil"/>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门吸</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16"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restart"/>
            <w:tcBorders>
              <w:top w:val="single" w:color="auto" w:sz="4" w:space="0"/>
              <w:left w:val="single" w:color="auto" w:sz="4" w:space="0"/>
              <w:right w:val="single" w:color="auto" w:sz="4" w:space="0"/>
            </w:tcBorders>
            <w:vAlign w:val="center"/>
          </w:tcPr>
          <w:p>
            <w:pPr>
              <w:widowControl/>
              <w:jc w:val="center"/>
              <w:rPr>
                <w:rFonts w:ascii="宋体" w:hAnsi="宋体"/>
                <w:color w:val="auto"/>
              </w:rPr>
            </w:pPr>
            <w:r>
              <w:rPr>
                <w:rFonts w:hint="eastAsia" w:ascii="宋体" w:hAnsi="宋体"/>
                <w:color w:val="auto"/>
              </w:rPr>
              <w:t>客厅、起居室、</w:t>
            </w:r>
          </w:p>
          <w:p>
            <w:pPr>
              <w:widowControl/>
              <w:jc w:val="center"/>
              <w:rPr>
                <w:rFonts w:ascii="宋体" w:hAnsi="宋体"/>
                <w:color w:val="auto"/>
              </w:rPr>
            </w:pPr>
            <w:r>
              <w:rPr>
                <w:rFonts w:hint="eastAsia" w:ascii="宋体" w:hAnsi="宋体"/>
                <w:color w:val="auto"/>
              </w:rPr>
              <w:t>餐厅</w:t>
            </w:r>
          </w:p>
        </w:tc>
        <w:tc>
          <w:tcPr>
            <w:tcW w:w="1134" w:type="dxa"/>
            <w:vMerge w:val="restart"/>
            <w:tcBorders>
              <w:top w:val="single" w:color="auto" w:sz="4" w:space="0"/>
              <w:left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墙面</w:t>
            </w: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乳胶漆饰面</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16"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墙砖</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16"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壁纸</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16"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装饰板材</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restart"/>
            <w:tcBorders>
              <w:top w:val="single" w:color="auto" w:sz="4" w:space="0"/>
              <w:left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顶棚</w:t>
            </w: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乳胶漆饰面</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石膏板吊顶/铝扣板吊顶</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restart"/>
            <w:tcBorders>
              <w:top w:val="single" w:color="auto" w:sz="4" w:space="0"/>
              <w:left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楼地面</w:t>
            </w: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石材</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木地板</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地砖</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装饰板材</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tcBorders>
              <w:top w:val="single" w:color="auto" w:sz="4" w:space="0"/>
              <w:left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地砖踢脚</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tcBorders>
              <w:left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踢脚</w:t>
            </w: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金属踢脚</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tcBorders>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板材踢脚</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tcBorders>
              <w:top w:val="single" w:color="auto" w:sz="4" w:space="0"/>
              <w:left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普通单相两孔三孔插座</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restart"/>
            <w:tcBorders>
              <w:left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电气、</w:t>
            </w:r>
          </w:p>
          <w:p>
            <w:pPr>
              <w:widowControl/>
              <w:jc w:val="center"/>
              <w:rPr>
                <w:rFonts w:ascii="宋体" w:hAnsi="宋体"/>
                <w:color w:val="auto"/>
              </w:rPr>
            </w:pPr>
            <w:r>
              <w:rPr>
                <w:rFonts w:hint="eastAsia" w:ascii="宋体" w:hAnsi="宋体"/>
                <w:color w:val="auto"/>
              </w:rPr>
              <w:t>智能化</w:t>
            </w:r>
          </w:p>
          <w:p>
            <w:pPr>
              <w:widowControl/>
              <w:jc w:val="center"/>
              <w:rPr>
                <w:rFonts w:ascii="宋体" w:hAnsi="宋体"/>
                <w:color w:val="auto"/>
              </w:rPr>
            </w:pPr>
            <w:r>
              <w:rPr>
                <w:rFonts w:hint="eastAsia" w:ascii="宋体" w:hAnsi="宋体"/>
                <w:color w:val="auto"/>
              </w:rPr>
              <w:t>设备</w:t>
            </w: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空调插座</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电视、网络插座</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吸顶灯/白炽灯</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开关面板</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restart"/>
            <w:tcBorders>
              <w:top w:val="single" w:color="auto" w:sz="4" w:space="0"/>
              <w:left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暖通设备</w:t>
            </w: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暖气片</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中央空调</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地暖</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restart"/>
            <w:tcBorders>
              <w:top w:val="single" w:color="auto" w:sz="4" w:space="0"/>
              <w:left w:val="single" w:color="auto" w:sz="4" w:space="0"/>
              <w:right w:val="single" w:color="auto" w:sz="4" w:space="0"/>
            </w:tcBorders>
            <w:vAlign w:val="center"/>
          </w:tcPr>
          <w:p>
            <w:pPr>
              <w:widowControl/>
              <w:jc w:val="center"/>
              <w:rPr>
                <w:rFonts w:ascii="宋体" w:hAnsi="宋体"/>
                <w:color w:val="auto"/>
              </w:rPr>
            </w:pPr>
            <w:r>
              <w:rPr>
                <w:rFonts w:hint="eastAsia" w:ascii="宋体" w:hAnsi="宋体"/>
                <w:color w:val="auto"/>
              </w:rPr>
              <w:t>阳台</w:t>
            </w:r>
          </w:p>
        </w:tc>
        <w:tc>
          <w:tcPr>
            <w:tcW w:w="1134" w:type="dxa"/>
            <w:vMerge w:val="restart"/>
            <w:tcBorders>
              <w:top w:val="single" w:color="auto" w:sz="4" w:space="0"/>
              <w:left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墙面</w:t>
            </w: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乳胶漆饰面</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墙砖</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壁纸</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top w:val="single" w:color="auto" w:sz="4" w:space="0"/>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装饰板材</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restart"/>
            <w:tcBorders>
              <w:top w:val="single" w:color="auto" w:sz="4" w:space="0"/>
              <w:left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顶棚</w:t>
            </w: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乳胶漆饰面</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石膏板吊顶/铝扣板吊顶</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restart"/>
            <w:tcBorders>
              <w:top w:val="single" w:color="auto" w:sz="4" w:space="0"/>
              <w:left w:val="single" w:color="auto" w:sz="4" w:space="0"/>
              <w:right w:val="single" w:color="auto" w:sz="4" w:space="0"/>
            </w:tcBorders>
            <w:shd w:val="clear" w:color="auto" w:fill="auto"/>
            <w:noWrap/>
            <w:vAlign w:val="bottom"/>
          </w:tcPr>
          <w:p>
            <w:pPr>
              <w:jc w:val="center"/>
              <w:rPr>
                <w:rFonts w:ascii="宋体" w:hAnsi="宋体"/>
                <w:color w:val="auto"/>
              </w:rPr>
            </w:pPr>
            <w:r>
              <w:rPr>
                <w:rFonts w:hint="eastAsia" w:ascii="宋体" w:hAnsi="宋体"/>
                <w:color w:val="auto"/>
              </w:rPr>
              <w:t>楼地面</w:t>
            </w: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石材</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木地板</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地砖</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装饰板材</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restart"/>
            <w:tcBorders>
              <w:top w:val="single" w:color="auto" w:sz="4" w:space="0"/>
              <w:left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踢脚</w:t>
            </w: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地砖踢脚</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金属踢脚</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板材踢脚</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restart"/>
            <w:tcBorders>
              <w:top w:val="single" w:color="auto" w:sz="4" w:space="0"/>
              <w:left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强弱电</w:t>
            </w:r>
          </w:p>
          <w:p>
            <w:pPr>
              <w:widowControl/>
              <w:jc w:val="center"/>
              <w:rPr>
                <w:rFonts w:ascii="宋体" w:hAnsi="宋体"/>
                <w:color w:val="auto"/>
              </w:rPr>
            </w:pPr>
            <w:r>
              <w:rPr>
                <w:rFonts w:hint="eastAsia" w:ascii="宋体" w:hAnsi="宋体"/>
                <w:color w:val="auto"/>
              </w:rPr>
              <w:t>设备</w:t>
            </w: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洗衣机防水插座</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吸顶灯/白炽灯</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vMerge w:val="continue"/>
            <w:tcBorders>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olor w:val="auto"/>
              </w:rPr>
            </w:pP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开关面板</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right w:val="single" w:color="auto" w:sz="4" w:space="0"/>
            </w:tcBorders>
          </w:tcPr>
          <w:p>
            <w:pPr>
              <w:widowControl/>
              <w:jc w:val="left"/>
              <w:rPr>
                <w:rFonts w:ascii="宋体" w:hAnsi="宋体"/>
                <w:color w:val="auto"/>
              </w:rPr>
            </w:pPr>
          </w:p>
        </w:tc>
        <w:tc>
          <w:tcPr>
            <w:tcW w:w="1211" w:type="dxa"/>
            <w:vMerge w:val="continue"/>
            <w:tcBorders>
              <w:left w:val="single" w:color="auto" w:sz="4" w:space="0"/>
              <w:right w:val="single" w:color="auto" w:sz="4" w:space="0"/>
            </w:tcBorders>
            <w:vAlign w:val="center"/>
          </w:tcPr>
          <w:p>
            <w:pPr>
              <w:widowControl/>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其他设备</w:t>
            </w: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挂衣架/电动晾衣架</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CellMar>
            <w:top w:w="0" w:type="dxa"/>
            <w:left w:w="108" w:type="dxa"/>
            <w:bottom w:w="0" w:type="dxa"/>
            <w:right w:w="108" w:type="dxa"/>
          </w:tblCellMar>
        </w:tblPrEx>
        <w:trPr>
          <w:trHeight w:val="402" w:hRule="atLeast"/>
        </w:trPr>
        <w:tc>
          <w:tcPr>
            <w:tcW w:w="817" w:type="dxa"/>
            <w:vMerge w:val="continue"/>
            <w:tcBorders>
              <w:left w:val="single" w:color="auto" w:sz="4" w:space="0"/>
              <w:bottom w:val="single" w:color="auto" w:sz="4" w:space="0"/>
              <w:right w:val="single" w:color="auto" w:sz="4" w:space="0"/>
            </w:tcBorders>
          </w:tcPr>
          <w:p>
            <w:pPr>
              <w:widowControl/>
              <w:jc w:val="left"/>
              <w:rPr>
                <w:rFonts w:ascii="宋体" w:hAnsi="宋体"/>
                <w:color w:val="auto"/>
              </w:rPr>
            </w:pPr>
          </w:p>
        </w:tc>
        <w:tc>
          <w:tcPr>
            <w:tcW w:w="1211" w:type="dxa"/>
            <w:tcBorders>
              <w:left w:val="single" w:color="auto" w:sz="4" w:space="0"/>
              <w:bottom w:val="single" w:color="auto" w:sz="4" w:space="0"/>
              <w:right w:val="single" w:color="auto" w:sz="4" w:space="0"/>
            </w:tcBorders>
            <w:vAlign w:val="center"/>
          </w:tcPr>
          <w:p>
            <w:pPr>
              <w:widowControl/>
              <w:jc w:val="center"/>
              <w:rPr>
                <w:rFonts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olor w:val="auto"/>
              </w:rPr>
            </w:pPr>
            <w:r>
              <w:rPr>
                <w:rFonts w:hint="eastAsia" w:ascii="宋体" w:hAnsi="宋体"/>
                <w:color w:val="auto"/>
              </w:rPr>
              <w:t>门</w:t>
            </w:r>
          </w:p>
        </w:tc>
        <w:tc>
          <w:tcPr>
            <w:tcW w:w="41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宋体" w:hAnsi="宋体"/>
                <w:color w:val="auto"/>
              </w:rPr>
            </w:pPr>
            <w:r>
              <w:rPr>
                <w:rFonts w:hint="eastAsia" w:ascii="宋体" w:hAnsi="宋体"/>
                <w:color w:val="auto"/>
              </w:rPr>
              <w:t>推拉门</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auto"/>
              </w:rPr>
            </w:pPr>
            <w:r>
              <w:rPr>
                <w:rFonts w:hint="eastAsia" w:ascii="宋体" w:hAnsi="宋体"/>
                <w:color w:val="auto"/>
              </w:rPr>
              <w:t>□</w:t>
            </w:r>
          </w:p>
        </w:tc>
      </w:tr>
    </w:tbl>
    <w:p>
      <w:pPr>
        <w:rPr>
          <w:rFonts w:ascii="宋体" w:hAnsi="宋体"/>
          <w:color w:val="auto"/>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pStyle w:val="2"/>
        <w:jc w:val="center"/>
        <w:rPr>
          <w:rFonts w:ascii="宋体" w:hAnsi="宋体"/>
          <w:color w:val="auto"/>
          <w:sz w:val="32"/>
          <w:szCs w:val="32"/>
        </w:rPr>
      </w:pPr>
      <w:bookmarkStart w:id="220" w:name="_Toc103958783"/>
      <w:r>
        <w:rPr>
          <w:rFonts w:hint="eastAsia" w:ascii="宋体" w:hAnsi="宋体"/>
          <w:color w:val="auto"/>
          <w:sz w:val="32"/>
          <w:szCs w:val="32"/>
        </w:rPr>
        <w:t>附录</w:t>
      </w:r>
      <w:r>
        <w:rPr>
          <w:rFonts w:ascii="宋体" w:hAnsi="宋体"/>
          <w:color w:val="auto"/>
          <w:sz w:val="32"/>
          <w:szCs w:val="32"/>
        </w:rPr>
        <w:t xml:space="preserve">D </w:t>
      </w:r>
      <w:r>
        <w:rPr>
          <w:rFonts w:hint="eastAsia" w:ascii="宋体" w:hAnsi="宋体"/>
          <w:color w:val="auto"/>
          <w:sz w:val="32"/>
          <w:szCs w:val="32"/>
        </w:rPr>
        <w:t>钢结构住宅智能化设备配置表</w:t>
      </w:r>
      <w:bookmarkEnd w:id="220"/>
    </w:p>
    <w:tbl>
      <w:tblPr>
        <w:tblStyle w:val="17"/>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056"/>
        <w:gridCol w:w="605"/>
        <w:gridCol w:w="4843"/>
        <w:gridCol w:w="11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restart"/>
            <w:shd w:val="clear" w:color="auto" w:fill="auto"/>
            <w:vAlign w:val="center"/>
          </w:tcPr>
          <w:p>
            <w:pPr>
              <w:widowControl/>
              <w:jc w:val="center"/>
              <w:rPr>
                <w:rFonts w:ascii="宋体" w:hAnsi="宋体"/>
                <w:color w:val="auto"/>
              </w:rPr>
            </w:pPr>
            <w:r>
              <w:rPr>
                <w:rFonts w:hint="eastAsia" w:ascii="宋体" w:hAnsi="宋体"/>
                <w:color w:val="auto"/>
              </w:rPr>
              <w:t>居住安全与智能化</w:t>
            </w:r>
          </w:p>
        </w:tc>
        <w:tc>
          <w:tcPr>
            <w:tcW w:w="557" w:type="pct"/>
            <w:vMerge w:val="restart"/>
            <w:shd w:val="clear" w:color="auto" w:fill="auto"/>
            <w:noWrap/>
            <w:vAlign w:val="center"/>
          </w:tcPr>
          <w:p>
            <w:pPr>
              <w:widowControl/>
              <w:jc w:val="center"/>
              <w:rPr>
                <w:rFonts w:ascii="宋体" w:hAnsi="宋体"/>
                <w:color w:val="auto"/>
              </w:rPr>
            </w:pPr>
            <w:r>
              <w:rPr>
                <w:rFonts w:hint="eastAsia" w:ascii="宋体" w:hAnsi="宋体"/>
                <w:color w:val="auto"/>
              </w:rPr>
              <w:t>家庭网络</w:t>
            </w:r>
          </w:p>
        </w:tc>
        <w:tc>
          <w:tcPr>
            <w:tcW w:w="3227" w:type="pct"/>
            <w:gridSpan w:val="2"/>
            <w:shd w:val="clear" w:color="auto" w:fill="auto"/>
            <w:noWrap/>
            <w:vAlign w:val="center"/>
          </w:tcPr>
          <w:p>
            <w:pPr>
              <w:widowControl/>
              <w:jc w:val="center"/>
              <w:rPr>
                <w:rFonts w:ascii="宋体" w:hAnsi="宋体"/>
                <w:color w:val="auto"/>
              </w:rPr>
            </w:pPr>
            <w:r>
              <w:rPr>
                <w:rFonts w:hint="eastAsia" w:ascii="宋体" w:hAnsi="宋体"/>
                <w:color w:val="auto"/>
              </w:rPr>
              <w:t>家庭通信接入</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71" w:type="pct"/>
            <w:vMerge w:val="restart"/>
            <w:shd w:val="clear" w:color="auto" w:fill="auto"/>
            <w:noWrap/>
            <w:vAlign w:val="center"/>
          </w:tcPr>
          <w:p>
            <w:pPr>
              <w:widowControl/>
              <w:jc w:val="center"/>
              <w:rPr>
                <w:rFonts w:ascii="宋体" w:hAnsi="宋体"/>
                <w:color w:val="auto"/>
              </w:rPr>
            </w:pPr>
          </w:p>
        </w:tc>
        <w:tc>
          <w:tcPr>
            <w:tcW w:w="2857" w:type="pct"/>
            <w:shd w:val="clear" w:color="auto" w:fill="auto"/>
            <w:noWrap/>
            <w:vAlign w:val="center"/>
          </w:tcPr>
          <w:p>
            <w:pPr>
              <w:widowControl/>
              <w:jc w:val="center"/>
              <w:rPr>
                <w:rFonts w:ascii="宋体" w:hAnsi="宋体"/>
                <w:color w:val="auto"/>
              </w:rPr>
            </w:pPr>
            <w:r>
              <w:rPr>
                <w:rFonts w:hint="eastAsia" w:ascii="宋体" w:hAnsi="宋体"/>
                <w:color w:val="auto"/>
              </w:rPr>
              <w:t>1根单芯光缆</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71" w:type="pct"/>
            <w:vMerge w:val="continue"/>
            <w:vAlign w:val="center"/>
          </w:tcPr>
          <w:p>
            <w:pPr>
              <w:widowControl/>
              <w:jc w:val="center"/>
              <w:rPr>
                <w:rFonts w:ascii="宋体" w:hAnsi="宋体"/>
                <w:color w:val="auto"/>
              </w:rPr>
            </w:pPr>
          </w:p>
        </w:tc>
        <w:tc>
          <w:tcPr>
            <w:tcW w:w="2857" w:type="pct"/>
            <w:shd w:val="clear" w:color="auto" w:fill="auto"/>
            <w:noWrap/>
            <w:vAlign w:val="center"/>
          </w:tcPr>
          <w:p>
            <w:pPr>
              <w:widowControl/>
              <w:jc w:val="center"/>
              <w:rPr>
                <w:rFonts w:ascii="宋体" w:hAnsi="宋体"/>
                <w:color w:val="auto"/>
              </w:rPr>
            </w:pPr>
            <w:r>
              <w:rPr>
                <w:rFonts w:hint="eastAsia" w:ascii="宋体" w:hAnsi="宋体"/>
                <w:color w:val="auto"/>
              </w:rPr>
              <w:t>2根单芯光缆</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shd w:val="clear" w:color="auto" w:fill="auto"/>
            <w:noWrap/>
            <w:vAlign w:val="center"/>
          </w:tcPr>
          <w:p>
            <w:pPr>
              <w:widowControl/>
              <w:jc w:val="center"/>
              <w:rPr>
                <w:rFonts w:ascii="宋体" w:hAnsi="宋体"/>
                <w:color w:val="auto"/>
              </w:rPr>
            </w:pPr>
            <w:r>
              <w:rPr>
                <w:rFonts w:hint="eastAsia" w:ascii="宋体" w:hAnsi="宋体"/>
                <w:color w:val="auto"/>
              </w:rPr>
              <w:t>家庭有线网络</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71" w:type="pct"/>
            <w:vMerge w:val="restart"/>
            <w:shd w:val="clear" w:color="auto" w:fill="auto"/>
            <w:noWrap/>
            <w:vAlign w:val="center"/>
          </w:tcPr>
          <w:p>
            <w:pPr>
              <w:widowControl/>
              <w:jc w:val="center"/>
              <w:rPr>
                <w:rFonts w:ascii="宋体" w:hAnsi="宋体"/>
                <w:color w:val="auto"/>
              </w:rPr>
            </w:pPr>
          </w:p>
        </w:tc>
        <w:tc>
          <w:tcPr>
            <w:tcW w:w="2857" w:type="pct"/>
            <w:shd w:val="clear" w:color="auto" w:fill="auto"/>
            <w:noWrap/>
            <w:vAlign w:val="center"/>
          </w:tcPr>
          <w:p>
            <w:pPr>
              <w:widowControl/>
              <w:jc w:val="center"/>
              <w:rPr>
                <w:rFonts w:ascii="宋体" w:hAnsi="宋体"/>
                <w:color w:val="auto"/>
              </w:rPr>
            </w:pPr>
            <w:r>
              <w:rPr>
                <w:rFonts w:hint="eastAsia" w:ascii="宋体" w:hAnsi="宋体"/>
                <w:color w:val="auto"/>
              </w:rPr>
              <w:t>超五类线缆</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71" w:type="pct"/>
            <w:vMerge w:val="continue"/>
            <w:vAlign w:val="center"/>
          </w:tcPr>
          <w:p>
            <w:pPr>
              <w:widowControl/>
              <w:jc w:val="center"/>
              <w:rPr>
                <w:rFonts w:ascii="宋体" w:hAnsi="宋体"/>
                <w:color w:val="auto"/>
              </w:rPr>
            </w:pPr>
          </w:p>
        </w:tc>
        <w:tc>
          <w:tcPr>
            <w:tcW w:w="2857" w:type="pct"/>
            <w:shd w:val="clear" w:color="auto" w:fill="auto"/>
            <w:noWrap/>
            <w:vAlign w:val="center"/>
          </w:tcPr>
          <w:p>
            <w:pPr>
              <w:widowControl/>
              <w:jc w:val="center"/>
              <w:rPr>
                <w:rFonts w:ascii="宋体" w:hAnsi="宋体"/>
                <w:color w:val="auto"/>
              </w:rPr>
            </w:pPr>
            <w:r>
              <w:rPr>
                <w:rFonts w:hint="eastAsia" w:ascii="宋体" w:hAnsi="宋体"/>
                <w:color w:val="auto"/>
              </w:rPr>
              <w:t>六类线缆</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71" w:type="pct"/>
            <w:vMerge w:val="continue"/>
            <w:vAlign w:val="center"/>
          </w:tcPr>
          <w:p>
            <w:pPr>
              <w:widowControl/>
              <w:jc w:val="center"/>
              <w:rPr>
                <w:rFonts w:ascii="宋体" w:hAnsi="宋体"/>
                <w:color w:val="auto"/>
              </w:rPr>
            </w:pPr>
          </w:p>
        </w:tc>
        <w:tc>
          <w:tcPr>
            <w:tcW w:w="2857" w:type="pct"/>
            <w:shd w:val="clear" w:color="auto" w:fill="auto"/>
            <w:noWrap/>
            <w:vAlign w:val="center"/>
          </w:tcPr>
          <w:p>
            <w:pPr>
              <w:widowControl/>
              <w:jc w:val="center"/>
              <w:rPr>
                <w:rFonts w:ascii="宋体" w:hAnsi="宋体"/>
                <w:color w:val="auto"/>
              </w:rPr>
            </w:pPr>
            <w:r>
              <w:rPr>
                <w:rFonts w:hint="eastAsia" w:ascii="宋体" w:hAnsi="宋体"/>
                <w:color w:val="auto"/>
              </w:rPr>
              <w:t>同管预留通信光纤</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shd w:val="clear" w:color="auto" w:fill="auto"/>
            <w:noWrap/>
            <w:vAlign w:val="center"/>
          </w:tcPr>
          <w:p>
            <w:pPr>
              <w:widowControl/>
              <w:jc w:val="center"/>
              <w:rPr>
                <w:rFonts w:ascii="宋体" w:hAnsi="宋体"/>
                <w:color w:val="auto"/>
              </w:rPr>
            </w:pPr>
            <w:r>
              <w:rPr>
                <w:rFonts w:hint="eastAsia" w:ascii="宋体" w:hAnsi="宋体"/>
                <w:color w:val="auto"/>
              </w:rPr>
              <w:t>家庭宽带wifi网络覆盖</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shd w:val="clear" w:color="auto" w:fill="auto"/>
            <w:noWrap/>
            <w:vAlign w:val="center"/>
          </w:tcPr>
          <w:p>
            <w:pPr>
              <w:widowControl/>
              <w:jc w:val="center"/>
              <w:rPr>
                <w:rFonts w:ascii="宋体" w:hAnsi="宋体"/>
                <w:color w:val="auto"/>
              </w:rPr>
            </w:pPr>
            <w:r>
              <w:rPr>
                <w:rFonts w:hint="eastAsia" w:ascii="宋体" w:hAnsi="宋体"/>
                <w:color w:val="auto"/>
              </w:rPr>
              <w:t>家居物联网</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restart"/>
            <w:vAlign w:val="center"/>
          </w:tcPr>
          <w:p>
            <w:pPr>
              <w:widowControl/>
              <w:jc w:val="center"/>
              <w:rPr>
                <w:rFonts w:ascii="宋体" w:hAnsi="宋体"/>
                <w:color w:val="auto"/>
              </w:rPr>
            </w:pPr>
            <w:r>
              <w:rPr>
                <w:rFonts w:hint="eastAsia" w:ascii="宋体" w:hAnsi="宋体"/>
                <w:color w:val="auto"/>
              </w:rPr>
              <w:t>家居安全</w:t>
            </w:r>
          </w:p>
        </w:tc>
        <w:tc>
          <w:tcPr>
            <w:tcW w:w="3227" w:type="pct"/>
            <w:gridSpan w:val="2"/>
            <w:shd w:val="clear" w:color="auto" w:fill="auto"/>
            <w:noWrap/>
            <w:vAlign w:val="center"/>
          </w:tcPr>
          <w:p>
            <w:pPr>
              <w:widowControl/>
              <w:jc w:val="center"/>
              <w:rPr>
                <w:rFonts w:ascii="宋体" w:hAnsi="宋体"/>
                <w:color w:val="auto"/>
              </w:rPr>
            </w:pPr>
            <w:r>
              <w:rPr>
                <w:rFonts w:hint="eastAsia" w:ascii="宋体" w:hAnsi="宋体"/>
                <w:color w:val="auto"/>
              </w:rPr>
              <w:t>入侵报警装置</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71" w:type="pct"/>
            <w:vMerge w:val="restart"/>
            <w:shd w:val="clear" w:color="auto" w:fill="auto"/>
            <w:noWrap/>
            <w:vAlign w:val="center"/>
          </w:tcPr>
          <w:p>
            <w:pPr>
              <w:widowControl/>
              <w:jc w:val="center"/>
              <w:rPr>
                <w:rFonts w:ascii="宋体" w:hAnsi="宋体"/>
                <w:color w:val="auto"/>
              </w:rPr>
            </w:pPr>
          </w:p>
        </w:tc>
        <w:tc>
          <w:tcPr>
            <w:tcW w:w="2857" w:type="pct"/>
            <w:shd w:val="clear" w:color="auto" w:fill="auto"/>
            <w:vAlign w:val="center"/>
          </w:tcPr>
          <w:p>
            <w:pPr>
              <w:widowControl/>
              <w:jc w:val="center"/>
              <w:rPr>
                <w:rFonts w:ascii="宋体" w:hAnsi="宋体"/>
                <w:color w:val="auto"/>
              </w:rPr>
            </w:pPr>
            <w:r>
              <w:rPr>
                <w:rFonts w:hint="eastAsia" w:ascii="宋体" w:hAnsi="宋体"/>
                <w:color w:val="auto"/>
              </w:rPr>
              <w:t>入户门门磁</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shd w:val="clear" w:color="auto" w:fill="auto"/>
            <w:noWrap/>
            <w:vAlign w:val="center"/>
          </w:tcPr>
          <w:p>
            <w:pPr>
              <w:widowControl/>
              <w:jc w:val="center"/>
              <w:rPr>
                <w:rFonts w:ascii="宋体" w:hAnsi="宋体"/>
                <w:color w:val="auto"/>
              </w:rPr>
            </w:pPr>
          </w:p>
        </w:tc>
        <w:tc>
          <w:tcPr>
            <w:tcW w:w="371" w:type="pct"/>
            <w:vMerge w:val="continue"/>
            <w:shd w:val="clear" w:color="auto" w:fill="auto"/>
            <w:noWrap/>
            <w:vAlign w:val="center"/>
          </w:tcPr>
          <w:p>
            <w:pPr>
              <w:widowControl/>
              <w:jc w:val="center"/>
              <w:rPr>
                <w:rFonts w:ascii="宋体" w:hAnsi="宋体"/>
                <w:color w:val="auto"/>
              </w:rPr>
            </w:pPr>
          </w:p>
        </w:tc>
        <w:tc>
          <w:tcPr>
            <w:tcW w:w="2857" w:type="pct"/>
            <w:shd w:val="clear" w:color="auto" w:fill="auto"/>
            <w:noWrap/>
            <w:vAlign w:val="center"/>
          </w:tcPr>
          <w:p>
            <w:pPr>
              <w:widowControl/>
              <w:jc w:val="center"/>
              <w:rPr>
                <w:rFonts w:ascii="宋体" w:hAnsi="宋体"/>
                <w:color w:val="auto"/>
              </w:rPr>
            </w:pPr>
            <w:r>
              <w:rPr>
                <w:rFonts w:hint="eastAsia" w:ascii="宋体" w:hAnsi="宋体"/>
                <w:color w:val="auto"/>
              </w:rPr>
              <w:t>入户门双鉴报警探测器</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71" w:type="pct"/>
            <w:vMerge w:val="continue"/>
            <w:shd w:val="clear" w:color="auto" w:fill="auto"/>
            <w:noWrap/>
            <w:vAlign w:val="center"/>
          </w:tcPr>
          <w:p>
            <w:pPr>
              <w:widowControl/>
              <w:jc w:val="center"/>
              <w:rPr>
                <w:rFonts w:ascii="宋体" w:hAnsi="宋体"/>
                <w:color w:val="auto"/>
              </w:rPr>
            </w:pPr>
          </w:p>
        </w:tc>
        <w:tc>
          <w:tcPr>
            <w:tcW w:w="2857" w:type="pct"/>
            <w:shd w:val="clear" w:color="auto" w:fill="auto"/>
            <w:noWrap/>
            <w:vAlign w:val="center"/>
          </w:tcPr>
          <w:p>
            <w:pPr>
              <w:widowControl/>
              <w:jc w:val="center"/>
              <w:rPr>
                <w:rFonts w:ascii="宋体" w:hAnsi="宋体"/>
                <w:color w:val="auto"/>
              </w:rPr>
            </w:pPr>
            <w:r>
              <w:rPr>
                <w:rFonts w:hint="eastAsia" w:ascii="宋体" w:hAnsi="宋体"/>
                <w:color w:val="auto"/>
              </w:rPr>
              <w:t>防入侵报警探测器</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vAlign w:val="center"/>
          </w:tcPr>
          <w:p>
            <w:pPr>
              <w:widowControl/>
              <w:jc w:val="center"/>
              <w:rPr>
                <w:rFonts w:ascii="宋体" w:hAnsi="宋体"/>
                <w:color w:val="auto"/>
              </w:rPr>
            </w:pPr>
            <w:r>
              <w:rPr>
                <w:rFonts w:hint="eastAsia" w:ascii="宋体" w:hAnsi="宋体"/>
                <w:color w:val="auto"/>
              </w:rPr>
              <w:t>紧急求助装置</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vAlign w:val="center"/>
          </w:tcPr>
          <w:p>
            <w:pPr>
              <w:widowControl/>
              <w:jc w:val="center"/>
              <w:rPr>
                <w:rFonts w:ascii="宋体" w:hAnsi="宋体"/>
                <w:color w:val="auto"/>
              </w:rPr>
            </w:pPr>
            <w:r>
              <w:rPr>
                <w:rFonts w:hint="eastAsia" w:ascii="宋体" w:hAnsi="宋体"/>
                <w:color w:val="auto"/>
              </w:rPr>
              <w:t>可燃气体报警装置</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vAlign w:val="center"/>
          </w:tcPr>
          <w:p>
            <w:pPr>
              <w:widowControl/>
              <w:jc w:val="center"/>
              <w:rPr>
                <w:rFonts w:ascii="宋体" w:hAnsi="宋体"/>
                <w:color w:val="auto"/>
              </w:rPr>
            </w:pPr>
            <w:r>
              <w:rPr>
                <w:rFonts w:hint="eastAsia" w:ascii="宋体" w:hAnsi="宋体"/>
                <w:color w:val="auto"/>
              </w:rPr>
              <w:t>访客对讲设备</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shd w:val="clear" w:color="auto" w:fill="auto"/>
            <w:noWrap/>
            <w:vAlign w:val="center"/>
          </w:tcPr>
          <w:p>
            <w:pPr>
              <w:widowControl/>
              <w:jc w:val="center"/>
              <w:rPr>
                <w:rFonts w:ascii="宋体" w:hAnsi="宋体"/>
                <w:color w:val="auto"/>
              </w:rPr>
            </w:pPr>
            <w:r>
              <w:rPr>
                <w:rFonts w:hint="eastAsia" w:ascii="宋体" w:hAnsi="宋体"/>
                <w:color w:val="auto"/>
              </w:rPr>
              <w:t>火灾报警装置</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shd w:val="clear" w:color="auto" w:fill="auto"/>
            <w:noWrap/>
            <w:vAlign w:val="center"/>
          </w:tcPr>
          <w:p>
            <w:pPr>
              <w:widowControl/>
              <w:jc w:val="center"/>
              <w:rPr>
                <w:rFonts w:ascii="宋体" w:hAnsi="宋体"/>
                <w:color w:val="auto"/>
              </w:rPr>
            </w:pPr>
            <w:r>
              <w:rPr>
                <w:rFonts w:hint="eastAsia" w:ascii="宋体" w:hAnsi="宋体"/>
                <w:color w:val="auto"/>
              </w:rPr>
              <w:t>视频监控设备</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vAlign w:val="center"/>
          </w:tcPr>
          <w:p>
            <w:pPr>
              <w:widowControl/>
              <w:jc w:val="center"/>
              <w:rPr>
                <w:rFonts w:ascii="宋体" w:hAnsi="宋体"/>
                <w:color w:val="auto"/>
              </w:rPr>
            </w:pPr>
            <w:r>
              <w:rPr>
                <w:rFonts w:hint="eastAsia" w:ascii="宋体" w:hAnsi="宋体"/>
                <w:color w:val="auto"/>
              </w:rPr>
              <w:t>入户智能门锁</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vAlign w:val="center"/>
          </w:tcPr>
          <w:p>
            <w:pPr>
              <w:widowControl/>
              <w:jc w:val="center"/>
              <w:rPr>
                <w:rFonts w:ascii="宋体" w:hAnsi="宋体"/>
                <w:color w:val="auto"/>
              </w:rPr>
            </w:pPr>
            <w:r>
              <w:rPr>
                <w:rFonts w:hint="eastAsia" w:ascii="宋体" w:hAnsi="宋体"/>
                <w:color w:val="auto"/>
              </w:rPr>
              <w:t>智能猫眼</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shd w:val="clear" w:color="auto" w:fill="auto"/>
            <w:noWrap/>
            <w:vAlign w:val="center"/>
          </w:tcPr>
          <w:p>
            <w:pPr>
              <w:widowControl/>
              <w:jc w:val="center"/>
              <w:rPr>
                <w:rFonts w:ascii="宋体" w:hAnsi="宋体"/>
                <w:color w:val="auto"/>
              </w:rPr>
            </w:pPr>
            <w:r>
              <w:rPr>
                <w:rFonts w:hint="eastAsia" w:ascii="宋体" w:hAnsi="宋体"/>
                <w:color w:val="auto"/>
              </w:rPr>
              <w:t>漏水报警装置</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shd w:val="clear" w:color="auto" w:fill="auto"/>
            <w:noWrap/>
            <w:vAlign w:val="center"/>
          </w:tcPr>
          <w:p>
            <w:pPr>
              <w:widowControl/>
              <w:jc w:val="center"/>
              <w:rPr>
                <w:rFonts w:ascii="宋体" w:hAnsi="宋体"/>
                <w:color w:val="auto"/>
              </w:rPr>
            </w:pPr>
            <w:r>
              <w:rPr>
                <w:rFonts w:hint="eastAsia" w:ascii="宋体" w:hAnsi="宋体"/>
                <w:color w:val="auto"/>
              </w:rPr>
              <w:t>智能电路监控</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restart"/>
            <w:vAlign w:val="center"/>
          </w:tcPr>
          <w:p>
            <w:pPr>
              <w:widowControl/>
              <w:jc w:val="center"/>
              <w:rPr>
                <w:rFonts w:ascii="宋体" w:hAnsi="宋体"/>
                <w:color w:val="auto"/>
              </w:rPr>
            </w:pPr>
            <w:r>
              <w:rPr>
                <w:rFonts w:hint="eastAsia" w:ascii="宋体" w:hAnsi="宋体"/>
                <w:color w:val="auto"/>
              </w:rPr>
              <w:t>家居环境</w:t>
            </w:r>
          </w:p>
        </w:tc>
        <w:tc>
          <w:tcPr>
            <w:tcW w:w="3227" w:type="pct"/>
            <w:gridSpan w:val="2"/>
            <w:shd w:val="clear" w:color="auto" w:fill="auto"/>
            <w:noWrap/>
            <w:vAlign w:val="center"/>
          </w:tcPr>
          <w:p>
            <w:pPr>
              <w:widowControl/>
              <w:jc w:val="center"/>
              <w:textAlignment w:val="center"/>
              <w:rPr>
                <w:rFonts w:ascii="宋体" w:hAnsi="宋体"/>
                <w:color w:val="auto"/>
              </w:rPr>
            </w:pPr>
            <w:r>
              <w:rPr>
                <w:rFonts w:hint="eastAsia" w:ascii="宋体" w:hAnsi="宋体"/>
                <w:color w:val="auto"/>
              </w:rPr>
              <w:t>空气质量监测</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shd w:val="clear" w:color="auto" w:fill="auto"/>
            <w:noWrap/>
            <w:vAlign w:val="center"/>
          </w:tcPr>
          <w:p>
            <w:pPr>
              <w:widowControl/>
              <w:jc w:val="center"/>
              <w:rPr>
                <w:rFonts w:ascii="宋体" w:hAnsi="宋体"/>
                <w:color w:val="auto"/>
              </w:rPr>
            </w:pPr>
            <w:r>
              <w:rPr>
                <w:rFonts w:hint="eastAsia" w:ascii="宋体" w:hAnsi="宋体"/>
                <w:color w:val="auto"/>
              </w:rPr>
              <w:t>温湿度监测</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vAlign w:val="center"/>
          </w:tcPr>
          <w:p>
            <w:pPr>
              <w:widowControl/>
              <w:jc w:val="center"/>
              <w:rPr>
                <w:rFonts w:ascii="宋体" w:hAnsi="宋体"/>
                <w:color w:val="auto"/>
              </w:rPr>
            </w:pPr>
            <w:r>
              <w:rPr>
                <w:rFonts w:hint="eastAsia" w:ascii="宋体" w:hAnsi="宋体"/>
                <w:color w:val="auto"/>
              </w:rPr>
              <w:t>光照强度监测</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shd w:val="clear" w:color="auto" w:fill="auto"/>
            <w:noWrap/>
            <w:vAlign w:val="center"/>
          </w:tcPr>
          <w:p>
            <w:pPr>
              <w:widowControl/>
              <w:jc w:val="center"/>
              <w:rPr>
                <w:rFonts w:ascii="宋体" w:hAnsi="宋体"/>
                <w:color w:val="auto"/>
              </w:rPr>
            </w:pPr>
            <w:r>
              <w:rPr>
                <w:rFonts w:hint="eastAsia" w:ascii="宋体" w:hAnsi="宋体"/>
                <w:color w:val="auto"/>
              </w:rPr>
              <w:t>照明灯光控制</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shd w:val="clear" w:color="auto" w:fill="auto"/>
            <w:noWrap/>
            <w:vAlign w:val="center"/>
          </w:tcPr>
          <w:p>
            <w:pPr>
              <w:widowControl/>
              <w:jc w:val="center"/>
              <w:rPr>
                <w:rFonts w:ascii="宋体" w:hAnsi="宋体"/>
                <w:color w:val="auto"/>
              </w:rPr>
            </w:pPr>
            <w:r>
              <w:rPr>
                <w:rFonts w:hint="eastAsia" w:ascii="宋体" w:hAnsi="宋体"/>
                <w:color w:val="auto"/>
              </w:rPr>
              <w:t>电动窗帘控制</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restart"/>
            <w:vAlign w:val="center"/>
          </w:tcPr>
          <w:p>
            <w:pPr>
              <w:widowControl/>
              <w:jc w:val="center"/>
              <w:rPr>
                <w:rFonts w:ascii="宋体" w:hAnsi="宋体"/>
                <w:color w:val="auto"/>
              </w:rPr>
            </w:pPr>
            <w:r>
              <w:rPr>
                <w:rFonts w:hint="eastAsia" w:ascii="宋体" w:hAnsi="宋体"/>
                <w:color w:val="auto"/>
              </w:rPr>
              <w:t>家居娱乐</w:t>
            </w:r>
          </w:p>
        </w:tc>
        <w:tc>
          <w:tcPr>
            <w:tcW w:w="3227" w:type="pct"/>
            <w:gridSpan w:val="2"/>
            <w:shd w:val="clear" w:color="auto" w:fill="auto"/>
            <w:noWrap/>
            <w:vAlign w:val="center"/>
          </w:tcPr>
          <w:p>
            <w:pPr>
              <w:widowControl/>
              <w:jc w:val="center"/>
              <w:rPr>
                <w:rFonts w:ascii="宋体" w:hAnsi="宋体"/>
                <w:color w:val="auto"/>
              </w:rPr>
            </w:pPr>
            <w:r>
              <w:rPr>
                <w:rFonts w:hint="eastAsia" w:ascii="宋体" w:hAnsi="宋体"/>
                <w:color w:val="auto"/>
              </w:rPr>
              <w:t>家庭背景音乐</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shd w:val="clear" w:color="auto" w:fill="auto"/>
            <w:noWrap/>
            <w:vAlign w:val="center"/>
          </w:tcPr>
          <w:p>
            <w:pPr>
              <w:widowControl/>
              <w:jc w:val="center"/>
              <w:rPr>
                <w:rFonts w:ascii="宋体" w:hAnsi="宋体"/>
                <w:color w:val="auto"/>
              </w:rPr>
            </w:pPr>
            <w:r>
              <w:rPr>
                <w:rFonts w:hint="eastAsia" w:ascii="宋体" w:hAnsi="宋体"/>
                <w:color w:val="auto"/>
              </w:rPr>
              <w:t>家庭影院控制</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restart"/>
            <w:vAlign w:val="center"/>
          </w:tcPr>
          <w:p>
            <w:pPr>
              <w:widowControl/>
              <w:jc w:val="center"/>
              <w:rPr>
                <w:rFonts w:ascii="宋体" w:hAnsi="宋体"/>
                <w:color w:val="auto"/>
              </w:rPr>
            </w:pPr>
            <w:r>
              <w:rPr>
                <w:rFonts w:hint="eastAsia" w:ascii="宋体" w:hAnsi="宋体"/>
                <w:color w:val="auto"/>
              </w:rPr>
              <w:t>家居健康</w:t>
            </w:r>
          </w:p>
        </w:tc>
        <w:tc>
          <w:tcPr>
            <w:tcW w:w="3227" w:type="pct"/>
            <w:gridSpan w:val="2"/>
            <w:vAlign w:val="center"/>
          </w:tcPr>
          <w:p>
            <w:pPr>
              <w:widowControl/>
              <w:jc w:val="center"/>
              <w:rPr>
                <w:rFonts w:ascii="宋体" w:hAnsi="宋体"/>
                <w:color w:val="auto"/>
              </w:rPr>
            </w:pPr>
            <w:r>
              <w:rPr>
                <w:rFonts w:hint="eastAsia" w:ascii="宋体" w:hAnsi="宋体"/>
                <w:color w:val="auto"/>
              </w:rPr>
              <w:t>家居健康设施</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vAlign w:val="center"/>
          </w:tcPr>
          <w:p>
            <w:pPr>
              <w:widowControl/>
              <w:jc w:val="center"/>
              <w:rPr>
                <w:rFonts w:ascii="宋体" w:hAnsi="宋体"/>
                <w:color w:val="auto"/>
              </w:rPr>
            </w:pPr>
            <w:r>
              <w:rPr>
                <w:rFonts w:hint="eastAsia" w:ascii="宋体" w:hAnsi="宋体"/>
                <w:color w:val="auto"/>
              </w:rPr>
              <w:t>健康管理系统</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restart"/>
            <w:vAlign w:val="center"/>
          </w:tcPr>
          <w:p>
            <w:pPr>
              <w:spacing w:before="163" w:after="163"/>
              <w:jc w:val="center"/>
              <w:rPr>
                <w:rFonts w:ascii="宋体" w:hAnsi="宋体"/>
                <w:color w:val="auto"/>
              </w:rPr>
            </w:pPr>
            <w:r>
              <w:rPr>
                <w:rFonts w:hint="eastAsia" w:ascii="宋体" w:hAnsi="宋体"/>
                <w:color w:val="auto"/>
              </w:rPr>
              <w:t>家居监控</w:t>
            </w:r>
          </w:p>
        </w:tc>
        <w:tc>
          <w:tcPr>
            <w:tcW w:w="3227" w:type="pct"/>
            <w:gridSpan w:val="2"/>
            <w:vAlign w:val="center"/>
          </w:tcPr>
          <w:p>
            <w:pPr>
              <w:widowControl/>
              <w:jc w:val="center"/>
              <w:rPr>
                <w:rFonts w:ascii="宋体" w:hAnsi="宋体"/>
                <w:color w:val="auto"/>
              </w:rPr>
            </w:pPr>
            <w:r>
              <w:rPr>
                <w:rFonts w:hint="eastAsia" w:ascii="宋体" w:hAnsi="宋体"/>
                <w:color w:val="auto"/>
              </w:rPr>
              <w:t>便捷交互</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spacing w:before="163" w:after="163"/>
              <w:jc w:val="center"/>
              <w:rPr>
                <w:rFonts w:ascii="宋体" w:hAnsi="宋体"/>
                <w:color w:val="auto"/>
              </w:rPr>
            </w:pPr>
          </w:p>
        </w:tc>
        <w:tc>
          <w:tcPr>
            <w:tcW w:w="371" w:type="pct"/>
            <w:vMerge w:val="restart"/>
            <w:vAlign w:val="center"/>
          </w:tcPr>
          <w:p>
            <w:pPr>
              <w:widowControl/>
              <w:jc w:val="center"/>
              <w:rPr>
                <w:rFonts w:ascii="宋体" w:hAnsi="宋体"/>
                <w:color w:val="auto"/>
              </w:rPr>
            </w:pPr>
          </w:p>
        </w:tc>
        <w:tc>
          <w:tcPr>
            <w:tcW w:w="2857" w:type="pct"/>
            <w:vAlign w:val="center"/>
          </w:tcPr>
          <w:p>
            <w:pPr>
              <w:widowControl/>
              <w:jc w:val="center"/>
              <w:rPr>
                <w:rFonts w:ascii="宋体" w:hAnsi="宋体"/>
                <w:color w:val="auto"/>
              </w:rPr>
            </w:pPr>
            <w:r>
              <w:rPr>
                <w:rFonts w:hint="eastAsia" w:ascii="宋体" w:hAnsi="宋体"/>
                <w:color w:val="auto"/>
              </w:rPr>
              <w:t>语音交互</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spacing w:before="163" w:after="163"/>
              <w:jc w:val="center"/>
              <w:rPr>
                <w:rFonts w:ascii="宋体" w:hAnsi="宋体"/>
                <w:color w:val="auto"/>
              </w:rPr>
            </w:pPr>
          </w:p>
        </w:tc>
        <w:tc>
          <w:tcPr>
            <w:tcW w:w="371" w:type="pct"/>
            <w:vMerge w:val="continue"/>
            <w:vAlign w:val="center"/>
          </w:tcPr>
          <w:p>
            <w:pPr>
              <w:widowControl/>
              <w:jc w:val="center"/>
              <w:rPr>
                <w:rFonts w:ascii="宋体" w:hAnsi="宋体"/>
                <w:color w:val="auto"/>
              </w:rPr>
            </w:pPr>
          </w:p>
        </w:tc>
        <w:tc>
          <w:tcPr>
            <w:tcW w:w="2857" w:type="pct"/>
            <w:vAlign w:val="center"/>
          </w:tcPr>
          <w:p>
            <w:pPr>
              <w:widowControl/>
              <w:jc w:val="center"/>
              <w:rPr>
                <w:rFonts w:ascii="宋体" w:hAnsi="宋体"/>
                <w:color w:val="auto"/>
              </w:rPr>
            </w:pPr>
            <w:r>
              <w:rPr>
                <w:rFonts w:hint="eastAsia" w:ascii="宋体" w:hAnsi="宋体"/>
                <w:color w:val="auto"/>
              </w:rPr>
              <w:t>体感交互</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vAlign w:val="center"/>
          </w:tcPr>
          <w:p>
            <w:pPr>
              <w:widowControl/>
              <w:jc w:val="center"/>
              <w:rPr>
                <w:rFonts w:ascii="宋体" w:hAnsi="宋体"/>
                <w:color w:val="auto"/>
              </w:rPr>
            </w:pPr>
            <w:r>
              <w:rPr>
                <w:rFonts w:hint="eastAsia" w:ascii="宋体" w:hAnsi="宋体"/>
                <w:color w:val="auto"/>
              </w:rPr>
              <w:t>场景面板</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shd w:val="clear" w:color="auto" w:fill="auto"/>
            <w:noWrap/>
            <w:vAlign w:val="center"/>
          </w:tcPr>
          <w:p>
            <w:pPr>
              <w:widowControl/>
              <w:jc w:val="center"/>
              <w:rPr>
                <w:rFonts w:ascii="宋体" w:hAnsi="宋体"/>
                <w:color w:val="auto"/>
              </w:rPr>
            </w:pPr>
            <w:r>
              <w:rPr>
                <w:rFonts w:hint="eastAsia" w:ascii="宋体" w:hAnsi="宋体"/>
                <w:color w:val="auto"/>
              </w:rPr>
              <w:t>远程控制</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shd w:val="clear" w:color="auto" w:fill="auto"/>
            <w:noWrap/>
            <w:vAlign w:val="center"/>
          </w:tcPr>
          <w:p>
            <w:pPr>
              <w:widowControl/>
              <w:jc w:val="center"/>
              <w:rPr>
                <w:rFonts w:ascii="宋体" w:hAnsi="宋体"/>
                <w:color w:val="auto"/>
              </w:rPr>
            </w:pPr>
            <w:r>
              <w:rPr>
                <w:rFonts w:hint="eastAsia" w:ascii="宋体" w:hAnsi="宋体"/>
                <w:color w:val="auto"/>
              </w:rPr>
              <w:t>本地控制</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restart"/>
            <w:vAlign w:val="center"/>
          </w:tcPr>
          <w:p>
            <w:pPr>
              <w:widowControl/>
              <w:jc w:val="center"/>
              <w:rPr>
                <w:rFonts w:ascii="宋体" w:hAnsi="宋体"/>
                <w:color w:val="auto"/>
              </w:rPr>
            </w:pPr>
            <w:r>
              <w:rPr>
                <w:rFonts w:hint="eastAsia" w:ascii="宋体" w:hAnsi="宋体"/>
                <w:color w:val="auto"/>
              </w:rPr>
              <w:t>公区智能化</w:t>
            </w:r>
          </w:p>
        </w:tc>
        <w:tc>
          <w:tcPr>
            <w:tcW w:w="3227" w:type="pct"/>
            <w:gridSpan w:val="2"/>
            <w:shd w:val="clear" w:color="auto" w:fill="auto"/>
            <w:noWrap/>
            <w:vAlign w:val="center"/>
          </w:tcPr>
          <w:p>
            <w:pPr>
              <w:widowControl/>
              <w:jc w:val="center"/>
              <w:rPr>
                <w:rFonts w:ascii="宋体" w:hAnsi="宋体"/>
                <w:color w:val="auto"/>
              </w:rPr>
            </w:pPr>
            <w:r>
              <w:rPr>
                <w:rFonts w:hint="eastAsia" w:ascii="宋体" w:hAnsi="宋体"/>
                <w:color w:val="auto"/>
              </w:rPr>
              <w:t>视频监控系统</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71" w:type="pct"/>
            <w:shd w:val="clear" w:color="auto" w:fill="auto"/>
            <w:noWrap/>
            <w:vAlign w:val="center"/>
          </w:tcPr>
          <w:p>
            <w:pPr>
              <w:widowControl/>
              <w:jc w:val="center"/>
              <w:rPr>
                <w:rFonts w:ascii="宋体" w:hAnsi="宋体"/>
                <w:color w:val="auto"/>
              </w:rPr>
            </w:pPr>
          </w:p>
        </w:tc>
        <w:tc>
          <w:tcPr>
            <w:tcW w:w="2857" w:type="pct"/>
            <w:shd w:val="clear" w:color="auto" w:fill="auto"/>
            <w:noWrap/>
            <w:vAlign w:val="center"/>
          </w:tcPr>
          <w:p>
            <w:pPr>
              <w:widowControl/>
              <w:jc w:val="center"/>
              <w:rPr>
                <w:rFonts w:ascii="宋体" w:hAnsi="宋体"/>
                <w:color w:val="auto"/>
              </w:rPr>
            </w:pPr>
            <w:r>
              <w:rPr>
                <w:rFonts w:hint="eastAsia" w:ascii="宋体" w:hAnsi="宋体"/>
                <w:color w:val="auto"/>
              </w:rPr>
              <w:t>高空抛物监控设施</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71" w:type="pct"/>
            <w:shd w:val="clear" w:color="auto" w:fill="auto"/>
            <w:noWrap/>
            <w:vAlign w:val="center"/>
          </w:tcPr>
          <w:p>
            <w:pPr>
              <w:widowControl/>
              <w:jc w:val="center"/>
              <w:rPr>
                <w:rFonts w:ascii="宋体" w:hAnsi="宋体"/>
                <w:color w:val="auto"/>
              </w:rPr>
            </w:pPr>
          </w:p>
        </w:tc>
        <w:tc>
          <w:tcPr>
            <w:tcW w:w="2857" w:type="pct"/>
            <w:shd w:val="clear" w:color="auto" w:fill="auto"/>
            <w:noWrap/>
            <w:vAlign w:val="center"/>
          </w:tcPr>
          <w:p>
            <w:pPr>
              <w:widowControl/>
              <w:jc w:val="center"/>
              <w:rPr>
                <w:rFonts w:ascii="宋体" w:hAnsi="宋体"/>
                <w:color w:val="auto"/>
              </w:rPr>
            </w:pPr>
            <w:r>
              <w:rPr>
                <w:rFonts w:hint="eastAsia" w:ascii="宋体" w:hAnsi="宋体"/>
                <w:color w:val="auto"/>
              </w:rPr>
              <w:t>室外周界</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71" w:type="pct"/>
            <w:shd w:val="clear" w:color="auto" w:fill="auto"/>
            <w:noWrap/>
            <w:vAlign w:val="center"/>
          </w:tcPr>
          <w:p>
            <w:pPr>
              <w:widowControl/>
              <w:jc w:val="center"/>
              <w:rPr>
                <w:rFonts w:ascii="宋体" w:hAnsi="宋体"/>
                <w:color w:val="auto"/>
              </w:rPr>
            </w:pPr>
          </w:p>
        </w:tc>
        <w:tc>
          <w:tcPr>
            <w:tcW w:w="2857" w:type="pct"/>
            <w:shd w:val="clear" w:color="auto" w:fill="auto"/>
            <w:noWrap/>
            <w:vAlign w:val="center"/>
          </w:tcPr>
          <w:p>
            <w:pPr>
              <w:widowControl/>
              <w:jc w:val="center"/>
              <w:rPr>
                <w:rFonts w:ascii="宋体" w:hAnsi="宋体"/>
                <w:color w:val="auto"/>
              </w:rPr>
            </w:pPr>
            <w:r>
              <w:rPr>
                <w:rFonts w:hint="eastAsia" w:ascii="宋体" w:hAnsi="宋体"/>
                <w:color w:val="auto"/>
              </w:rPr>
              <w:t>楼层公共区域</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shd w:val="clear" w:color="auto" w:fill="auto"/>
            <w:vAlign w:val="center"/>
          </w:tcPr>
          <w:p>
            <w:pPr>
              <w:widowControl/>
              <w:jc w:val="center"/>
              <w:rPr>
                <w:rFonts w:ascii="宋体" w:hAnsi="宋体"/>
                <w:color w:val="auto"/>
              </w:rPr>
            </w:pPr>
          </w:p>
        </w:tc>
        <w:tc>
          <w:tcPr>
            <w:tcW w:w="371" w:type="pct"/>
            <w:shd w:val="clear" w:color="auto" w:fill="auto"/>
            <w:noWrap/>
            <w:vAlign w:val="center"/>
          </w:tcPr>
          <w:p>
            <w:pPr>
              <w:widowControl/>
              <w:jc w:val="center"/>
              <w:rPr>
                <w:rFonts w:ascii="宋体" w:hAnsi="宋体"/>
                <w:color w:val="auto"/>
              </w:rPr>
            </w:pPr>
          </w:p>
        </w:tc>
        <w:tc>
          <w:tcPr>
            <w:tcW w:w="2857" w:type="pct"/>
            <w:shd w:val="clear" w:color="auto" w:fill="auto"/>
            <w:noWrap/>
            <w:vAlign w:val="center"/>
          </w:tcPr>
          <w:p>
            <w:pPr>
              <w:widowControl/>
              <w:jc w:val="center"/>
              <w:rPr>
                <w:rFonts w:ascii="宋体" w:hAnsi="宋体"/>
                <w:color w:val="auto"/>
              </w:rPr>
            </w:pPr>
            <w:r>
              <w:rPr>
                <w:rFonts w:hint="eastAsia" w:ascii="宋体" w:hAnsi="宋体"/>
                <w:color w:val="auto"/>
              </w:rPr>
              <w:t>重要机房内</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71" w:type="pct"/>
            <w:shd w:val="clear" w:color="auto" w:fill="auto"/>
            <w:noWrap/>
            <w:vAlign w:val="center"/>
          </w:tcPr>
          <w:p>
            <w:pPr>
              <w:widowControl/>
              <w:jc w:val="center"/>
              <w:rPr>
                <w:rFonts w:ascii="宋体" w:hAnsi="宋体"/>
                <w:color w:val="auto"/>
              </w:rPr>
            </w:pPr>
          </w:p>
        </w:tc>
        <w:tc>
          <w:tcPr>
            <w:tcW w:w="2857" w:type="pct"/>
            <w:shd w:val="clear" w:color="auto" w:fill="auto"/>
            <w:noWrap/>
            <w:vAlign w:val="center"/>
          </w:tcPr>
          <w:p>
            <w:pPr>
              <w:widowControl/>
              <w:jc w:val="center"/>
              <w:rPr>
                <w:rFonts w:ascii="宋体" w:hAnsi="宋体"/>
                <w:color w:val="auto"/>
              </w:rPr>
            </w:pPr>
            <w:r>
              <w:rPr>
                <w:rFonts w:hint="eastAsia" w:ascii="宋体" w:hAnsi="宋体"/>
                <w:color w:val="auto"/>
              </w:rPr>
              <w:t>全景监控设施</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shd w:val="clear" w:color="auto" w:fill="auto"/>
            <w:noWrap/>
            <w:vAlign w:val="center"/>
          </w:tcPr>
          <w:p>
            <w:pPr>
              <w:widowControl/>
              <w:jc w:val="center"/>
              <w:rPr>
                <w:rFonts w:ascii="宋体" w:hAnsi="宋体"/>
                <w:color w:val="auto"/>
              </w:rPr>
            </w:pPr>
            <w:r>
              <w:rPr>
                <w:rFonts w:hint="eastAsia" w:ascii="宋体" w:hAnsi="宋体"/>
                <w:color w:val="auto"/>
              </w:rPr>
              <w:t>访客对讲系统</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71" w:type="pct"/>
            <w:shd w:val="clear" w:color="auto" w:fill="auto"/>
            <w:noWrap/>
            <w:vAlign w:val="center"/>
          </w:tcPr>
          <w:p>
            <w:pPr>
              <w:widowControl/>
              <w:jc w:val="center"/>
              <w:rPr>
                <w:rFonts w:ascii="宋体" w:hAnsi="宋体"/>
                <w:color w:val="auto"/>
              </w:rPr>
            </w:pPr>
          </w:p>
        </w:tc>
        <w:tc>
          <w:tcPr>
            <w:tcW w:w="2857" w:type="pct"/>
            <w:shd w:val="clear" w:color="auto" w:fill="auto"/>
            <w:noWrap/>
            <w:vAlign w:val="center"/>
          </w:tcPr>
          <w:p>
            <w:pPr>
              <w:widowControl/>
              <w:jc w:val="center"/>
              <w:rPr>
                <w:rFonts w:ascii="宋体" w:hAnsi="宋体"/>
                <w:color w:val="auto"/>
              </w:rPr>
            </w:pPr>
            <w:r>
              <w:rPr>
                <w:rFonts w:ascii="宋体" w:hAnsi="宋体"/>
                <w:color w:val="auto"/>
              </w:rPr>
              <w:t>户内呼梯及首层招梯</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71" w:type="pct"/>
            <w:shd w:val="clear" w:color="auto" w:fill="auto"/>
            <w:noWrap/>
            <w:vAlign w:val="center"/>
          </w:tcPr>
          <w:p>
            <w:pPr>
              <w:widowControl/>
              <w:jc w:val="center"/>
              <w:rPr>
                <w:rFonts w:ascii="宋体" w:hAnsi="宋体"/>
                <w:color w:val="auto"/>
              </w:rPr>
            </w:pPr>
          </w:p>
        </w:tc>
        <w:tc>
          <w:tcPr>
            <w:tcW w:w="2857" w:type="pct"/>
            <w:shd w:val="clear" w:color="auto" w:fill="auto"/>
            <w:noWrap/>
            <w:vAlign w:val="center"/>
          </w:tcPr>
          <w:p>
            <w:pPr>
              <w:widowControl/>
              <w:jc w:val="center"/>
              <w:rPr>
                <w:rFonts w:ascii="宋体" w:hAnsi="宋体"/>
                <w:color w:val="auto"/>
              </w:rPr>
            </w:pPr>
            <w:r>
              <w:rPr>
                <w:rFonts w:ascii="宋体" w:hAnsi="宋体"/>
                <w:color w:val="auto"/>
              </w:rPr>
              <w:t>云对讲</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shd w:val="clear" w:color="auto" w:fill="auto"/>
            <w:vAlign w:val="center"/>
          </w:tcPr>
          <w:p>
            <w:pPr>
              <w:widowControl/>
              <w:jc w:val="center"/>
              <w:rPr>
                <w:rFonts w:ascii="宋体" w:hAnsi="宋体"/>
                <w:color w:val="auto"/>
              </w:rPr>
            </w:pPr>
          </w:p>
        </w:tc>
        <w:tc>
          <w:tcPr>
            <w:tcW w:w="3227" w:type="pct"/>
            <w:gridSpan w:val="2"/>
            <w:shd w:val="clear" w:color="auto" w:fill="auto"/>
            <w:noWrap/>
            <w:vAlign w:val="center"/>
          </w:tcPr>
          <w:p>
            <w:pPr>
              <w:widowControl/>
              <w:jc w:val="center"/>
              <w:rPr>
                <w:rFonts w:ascii="宋体" w:hAnsi="宋体"/>
                <w:color w:val="auto"/>
              </w:rPr>
            </w:pPr>
            <w:r>
              <w:rPr>
                <w:rFonts w:hint="eastAsia" w:ascii="宋体" w:hAnsi="宋体"/>
                <w:color w:val="auto"/>
              </w:rPr>
              <w:t>出入口控制系统</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71" w:type="pct"/>
            <w:vMerge w:val="restart"/>
            <w:shd w:val="clear" w:color="auto" w:fill="auto"/>
            <w:noWrap/>
            <w:vAlign w:val="center"/>
          </w:tcPr>
          <w:p>
            <w:pPr>
              <w:widowControl/>
              <w:jc w:val="center"/>
              <w:rPr>
                <w:rFonts w:ascii="宋体" w:hAnsi="宋体"/>
                <w:color w:val="auto"/>
              </w:rPr>
            </w:pPr>
          </w:p>
        </w:tc>
        <w:tc>
          <w:tcPr>
            <w:tcW w:w="2857" w:type="pct"/>
            <w:shd w:val="clear" w:color="auto" w:fill="auto"/>
            <w:noWrap/>
            <w:vAlign w:val="center"/>
          </w:tcPr>
          <w:p>
            <w:pPr>
              <w:widowControl/>
              <w:jc w:val="center"/>
              <w:rPr>
                <w:rFonts w:ascii="宋体" w:hAnsi="宋体"/>
                <w:color w:val="auto"/>
              </w:rPr>
            </w:pPr>
            <w:r>
              <w:rPr>
                <w:rFonts w:hint="eastAsia" w:ascii="宋体" w:hAnsi="宋体"/>
                <w:color w:val="auto"/>
              </w:rPr>
              <w:t>IC卡识别</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71" w:type="pct"/>
            <w:vMerge w:val="continue"/>
            <w:shd w:val="clear" w:color="auto" w:fill="auto"/>
            <w:noWrap/>
            <w:vAlign w:val="center"/>
          </w:tcPr>
          <w:p>
            <w:pPr>
              <w:widowControl/>
              <w:jc w:val="center"/>
              <w:rPr>
                <w:rFonts w:ascii="宋体" w:hAnsi="宋体"/>
                <w:color w:val="auto"/>
              </w:rPr>
            </w:pPr>
          </w:p>
        </w:tc>
        <w:tc>
          <w:tcPr>
            <w:tcW w:w="2857" w:type="pct"/>
            <w:shd w:val="clear" w:color="auto" w:fill="auto"/>
            <w:noWrap/>
            <w:vAlign w:val="center"/>
          </w:tcPr>
          <w:p>
            <w:pPr>
              <w:widowControl/>
              <w:jc w:val="center"/>
              <w:rPr>
                <w:rFonts w:ascii="宋体" w:hAnsi="宋体"/>
                <w:color w:val="auto"/>
              </w:rPr>
            </w:pPr>
            <w:r>
              <w:rPr>
                <w:rFonts w:hint="eastAsia" w:ascii="宋体" w:hAnsi="宋体"/>
                <w:color w:val="auto"/>
              </w:rPr>
              <w:t>人脸识别</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shd w:val="clear" w:color="auto" w:fill="auto"/>
            <w:vAlign w:val="center"/>
          </w:tcPr>
          <w:p>
            <w:pPr>
              <w:widowControl/>
              <w:jc w:val="center"/>
              <w:rPr>
                <w:rFonts w:ascii="宋体" w:hAnsi="宋体"/>
                <w:color w:val="auto"/>
              </w:rPr>
            </w:pPr>
          </w:p>
        </w:tc>
        <w:tc>
          <w:tcPr>
            <w:tcW w:w="371" w:type="pct"/>
            <w:vMerge w:val="continue"/>
            <w:shd w:val="clear" w:color="auto" w:fill="auto"/>
            <w:noWrap/>
            <w:vAlign w:val="center"/>
          </w:tcPr>
          <w:p>
            <w:pPr>
              <w:widowControl/>
              <w:jc w:val="center"/>
              <w:rPr>
                <w:rFonts w:ascii="宋体" w:hAnsi="宋体"/>
                <w:color w:val="auto"/>
              </w:rPr>
            </w:pPr>
          </w:p>
        </w:tc>
        <w:tc>
          <w:tcPr>
            <w:tcW w:w="2857" w:type="pct"/>
            <w:shd w:val="clear" w:color="auto" w:fill="auto"/>
            <w:noWrap/>
            <w:vAlign w:val="center"/>
          </w:tcPr>
          <w:p>
            <w:pPr>
              <w:widowControl/>
              <w:jc w:val="center"/>
              <w:rPr>
                <w:rFonts w:ascii="宋体" w:hAnsi="宋体"/>
                <w:color w:val="auto"/>
              </w:rPr>
            </w:pPr>
            <w:r>
              <w:rPr>
                <w:rFonts w:hint="eastAsia" w:ascii="宋体" w:hAnsi="宋体"/>
                <w:color w:val="auto"/>
              </w:rPr>
              <w:t>二维码识别</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vAlign w:val="center"/>
          </w:tcPr>
          <w:p>
            <w:pPr>
              <w:widowControl/>
              <w:jc w:val="center"/>
              <w:rPr>
                <w:rFonts w:ascii="宋体" w:hAnsi="宋体"/>
                <w:color w:val="auto"/>
              </w:rPr>
            </w:pPr>
          </w:p>
        </w:tc>
        <w:tc>
          <w:tcPr>
            <w:tcW w:w="3227" w:type="pct"/>
            <w:gridSpan w:val="2"/>
            <w:shd w:val="clear" w:color="auto" w:fill="auto"/>
            <w:noWrap/>
            <w:vAlign w:val="center"/>
          </w:tcPr>
          <w:p>
            <w:pPr>
              <w:widowControl/>
              <w:jc w:val="center"/>
              <w:rPr>
                <w:rFonts w:ascii="宋体" w:hAnsi="宋体"/>
                <w:color w:val="auto"/>
              </w:rPr>
            </w:pPr>
            <w:r>
              <w:rPr>
                <w:rFonts w:ascii="宋体" w:hAnsi="宋体"/>
                <w:color w:val="auto"/>
              </w:rPr>
              <w:t>信息</w:t>
            </w:r>
            <w:r>
              <w:rPr>
                <w:rFonts w:hint="eastAsia" w:ascii="宋体" w:hAnsi="宋体"/>
                <w:color w:val="auto"/>
              </w:rPr>
              <w:t>导引及发布系统</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shd w:val="clear" w:color="auto" w:fill="auto"/>
            <w:vAlign w:val="center"/>
          </w:tcPr>
          <w:p>
            <w:pPr>
              <w:widowControl/>
              <w:jc w:val="center"/>
              <w:rPr>
                <w:rFonts w:ascii="宋体" w:hAnsi="宋体"/>
                <w:color w:val="auto"/>
              </w:rPr>
            </w:pPr>
          </w:p>
        </w:tc>
        <w:tc>
          <w:tcPr>
            <w:tcW w:w="3227" w:type="pct"/>
            <w:gridSpan w:val="2"/>
            <w:shd w:val="clear" w:color="auto" w:fill="auto"/>
            <w:noWrap/>
            <w:vAlign w:val="center"/>
          </w:tcPr>
          <w:p>
            <w:pPr>
              <w:widowControl/>
              <w:jc w:val="center"/>
              <w:rPr>
                <w:rFonts w:ascii="宋体" w:hAnsi="宋体"/>
                <w:color w:val="auto"/>
              </w:rPr>
            </w:pPr>
            <w:r>
              <w:rPr>
                <w:rFonts w:hint="eastAsia" w:ascii="宋体" w:hAnsi="宋体"/>
                <w:color w:val="auto"/>
              </w:rPr>
              <w:t>建筑设备管理系统</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shd w:val="clear" w:color="auto" w:fill="auto"/>
            <w:vAlign w:val="center"/>
          </w:tcPr>
          <w:p>
            <w:pPr>
              <w:widowControl/>
              <w:jc w:val="center"/>
              <w:rPr>
                <w:rFonts w:ascii="宋体" w:hAnsi="宋体"/>
                <w:color w:val="auto"/>
              </w:rPr>
            </w:pPr>
          </w:p>
        </w:tc>
        <w:tc>
          <w:tcPr>
            <w:tcW w:w="3227" w:type="pct"/>
            <w:gridSpan w:val="2"/>
            <w:shd w:val="clear" w:color="auto" w:fill="auto"/>
            <w:noWrap/>
            <w:vAlign w:val="center"/>
          </w:tcPr>
          <w:p>
            <w:pPr>
              <w:widowControl/>
              <w:jc w:val="center"/>
              <w:rPr>
                <w:rFonts w:ascii="宋体" w:hAnsi="宋体"/>
                <w:color w:val="auto"/>
              </w:rPr>
            </w:pPr>
            <w:r>
              <w:rPr>
                <w:rFonts w:hint="eastAsia" w:ascii="宋体" w:hAnsi="宋体"/>
                <w:color w:val="auto"/>
              </w:rPr>
              <w:t>智慧设施</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shd w:val="clear" w:color="auto" w:fill="auto"/>
            <w:vAlign w:val="center"/>
          </w:tcPr>
          <w:p>
            <w:pPr>
              <w:widowControl/>
              <w:jc w:val="center"/>
              <w:rPr>
                <w:rFonts w:ascii="宋体" w:hAnsi="宋体"/>
                <w:color w:val="auto"/>
              </w:rPr>
            </w:pPr>
          </w:p>
        </w:tc>
        <w:tc>
          <w:tcPr>
            <w:tcW w:w="3227" w:type="pct"/>
            <w:gridSpan w:val="2"/>
            <w:vAlign w:val="center"/>
          </w:tcPr>
          <w:p>
            <w:pPr>
              <w:widowControl/>
              <w:jc w:val="center"/>
              <w:rPr>
                <w:rFonts w:ascii="宋体" w:hAnsi="宋体"/>
                <w:color w:val="auto"/>
              </w:rPr>
            </w:pPr>
            <w:r>
              <w:rPr>
                <w:rFonts w:hint="eastAsia" w:ascii="宋体" w:hAnsi="宋体"/>
                <w:color w:val="auto"/>
              </w:rPr>
              <w:t>智慧运营</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shd w:val="clear" w:color="auto" w:fill="auto"/>
            <w:vAlign w:val="center"/>
          </w:tcPr>
          <w:p>
            <w:pPr>
              <w:widowControl/>
              <w:jc w:val="center"/>
              <w:rPr>
                <w:rFonts w:ascii="宋体" w:hAnsi="宋体"/>
                <w:color w:val="auto"/>
              </w:rPr>
            </w:pPr>
          </w:p>
        </w:tc>
        <w:tc>
          <w:tcPr>
            <w:tcW w:w="371" w:type="pct"/>
            <w:vMerge w:val="restart"/>
            <w:vAlign w:val="center"/>
          </w:tcPr>
          <w:p>
            <w:pPr>
              <w:widowControl/>
              <w:jc w:val="center"/>
              <w:rPr>
                <w:rFonts w:ascii="宋体" w:hAnsi="宋体"/>
                <w:color w:val="auto"/>
              </w:rPr>
            </w:pPr>
          </w:p>
        </w:tc>
        <w:tc>
          <w:tcPr>
            <w:tcW w:w="2857" w:type="pct"/>
            <w:shd w:val="clear" w:color="auto" w:fill="auto"/>
            <w:vAlign w:val="center"/>
          </w:tcPr>
          <w:p>
            <w:pPr>
              <w:widowControl/>
              <w:jc w:val="center"/>
              <w:rPr>
                <w:rFonts w:ascii="宋体" w:hAnsi="宋体"/>
                <w:color w:val="auto"/>
              </w:rPr>
            </w:pPr>
            <w:r>
              <w:rPr>
                <w:rFonts w:hint="eastAsia" w:ascii="宋体" w:hAnsi="宋体"/>
                <w:color w:val="auto"/>
              </w:rPr>
              <w:t>住户和物业移动端应用</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0" w:type="pct"/>
            <w:vMerge w:val="continue"/>
            <w:vAlign w:val="center"/>
          </w:tcPr>
          <w:p>
            <w:pPr>
              <w:widowControl/>
              <w:jc w:val="center"/>
              <w:rPr>
                <w:rFonts w:ascii="宋体" w:hAnsi="宋体"/>
                <w:color w:val="auto"/>
              </w:rPr>
            </w:pPr>
          </w:p>
        </w:tc>
        <w:tc>
          <w:tcPr>
            <w:tcW w:w="557" w:type="pct"/>
            <w:vMerge w:val="continue"/>
            <w:shd w:val="clear" w:color="auto" w:fill="auto"/>
            <w:vAlign w:val="center"/>
          </w:tcPr>
          <w:p>
            <w:pPr>
              <w:widowControl/>
              <w:jc w:val="center"/>
              <w:rPr>
                <w:rFonts w:ascii="宋体" w:hAnsi="宋体"/>
                <w:color w:val="auto"/>
              </w:rPr>
            </w:pPr>
          </w:p>
        </w:tc>
        <w:tc>
          <w:tcPr>
            <w:tcW w:w="371" w:type="pct"/>
            <w:vMerge w:val="continue"/>
            <w:vAlign w:val="center"/>
          </w:tcPr>
          <w:p>
            <w:pPr>
              <w:widowControl/>
              <w:jc w:val="center"/>
              <w:rPr>
                <w:rFonts w:ascii="宋体" w:hAnsi="宋体"/>
                <w:color w:val="auto"/>
              </w:rPr>
            </w:pPr>
          </w:p>
        </w:tc>
        <w:tc>
          <w:tcPr>
            <w:tcW w:w="2857" w:type="pct"/>
            <w:shd w:val="clear" w:color="auto" w:fill="auto"/>
            <w:vAlign w:val="center"/>
          </w:tcPr>
          <w:p>
            <w:pPr>
              <w:widowControl/>
              <w:jc w:val="center"/>
              <w:rPr>
                <w:rFonts w:ascii="宋体" w:hAnsi="宋体"/>
                <w:color w:val="auto"/>
              </w:rPr>
            </w:pPr>
            <w:r>
              <w:rPr>
                <w:rFonts w:ascii="宋体" w:hAnsi="宋体"/>
                <w:color w:val="auto"/>
              </w:rPr>
              <w:t>智慧社区平台</w:t>
            </w:r>
          </w:p>
        </w:tc>
        <w:tc>
          <w:tcPr>
            <w:tcW w:w="685" w:type="pct"/>
            <w:shd w:val="clear" w:color="auto" w:fill="auto"/>
            <w:noWrap/>
            <w:vAlign w:val="center"/>
          </w:tcPr>
          <w:p>
            <w:pPr>
              <w:widowControl/>
              <w:jc w:val="center"/>
              <w:rPr>
                <w:rFonts w:ascii="宋体" w:hAnsi="宋体"/>
                <w:color w:val="auto"/>
              </w:rPr>
            </w:pPr>
            <w:r>
              <w:rPr>
                <w:rFonts w:hint="eastAsia" w:ascii="宋体" w:hAnsi="宋体"/>
                <w:color w:val="auto"/>
              </w:rPr>
              <w:t>□</w:t>
            </w:r>
          </w:p>
        </w:tc>
      </w:tr>
    </w:tbl>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pStyle w:val="2"/>
        <w:jc w:val="center"/>
        <w:rPr>
          <w:rFonts w:ascii="宋体" w:hAnsi="宋体"/>
          <w:color w:val="auto"/>
          <w:sz w:val="32"/>
          <w:szCs w:val="32"/>
        </w:rPr>
      </w:pPr>
      <w:bookmarkStart w:id="221" w:name="_Toc103958784"/>
      <w:r>
        <w:rPr>
          <w:rFonts w:hint="eastAsia" w:ascii="宋体" w:hAnsi="宋体"/>
          <w:color w:val="auto"/>
          <w:sz w:val="32"/>
          <w:szCs w:val="32"/>
        </w:rPr>
        <w:t>附录</w:t>
      </w:r>
      <w:r>
        <w:rPr>
          <w:rFonts w:ascii="宋体" w:hAnsi="宋体"/>
          <w:color w:val="auto"/>
          <w:sz w:val="32"/>
          <w:szCs w:val="32"/>
        </w:rPr>
        <w:t xml:space="preserve">E </w:t>
      </w:r>
      <w:r>
        <w:rPr>
          <w:rFonts w:hint="eastAsia" w:ascii="宋体" w:hAnsi="宋体"/>
          <w:color w:val="auto"/>
          <w:sz w:val="32"/>
          <w:szCs w:val="32"/>
        </w:rPr>
        <w:t>钢构件外包混凝土、防火涂料、防火板构造图</w:t>
      </w:r>
      <w:bookmarkEnd w:id="221"/>
    </w:p>
    <w:p>
      <w:pPr>
        <w:rPr>
          <w:rFonts w:ascii="宋体" w:hAnsi="宋体"/>
          <w:color w:val="auto"/>
          <w:sz w:val="24"/>
          <w:szCs w:val="24"/>
        </w:rPr>
      </w:pPr>
      <w:r>
        <w:rPr>
          <w:rFonts w:hint="eastAsia" w:ascii="宋体" w:hAnsi="宋体"/>
          <w:color w:val="auto"/>
          <w:sz w:val="24"/>
          <w:szCs w:val="24"/>
        </w:rPr>
        <w:t>钢构件外包混凝土、防火涂料、防火板构造如附录图1-</w:t>
      </w:r>
      <w:r>
        <w:rPr>
          <w:rFonts w:ascii="宋体" w:hAnsi="宋体"/>
          <w:color w:val="auto"/>
          <w:sz w:val="24"/>
          <w:szCs w:val="24"/>
        </w:rPr>
        <w:t>4</w:t>
      </w:r>
      <w:r>
        <w:rPr>
          <w:rFonts w:hint="eastAsia" w:ascii="宋体" w:hAnsi="宋体"/>
          <w:color w:val="auto"/>
          <w:sz w:val="24"/>
          <w:szCs w:val="24"/>
        </w:rPr>
        <w:t>所示</w:t>
      </w:r>
    </w:p>
    <w:p>
      <w:pPr>
        <w:rPr>
          <w:rFonts w:ascii="宋体" w:hAnsi="宋体" w:cs="宋体"/>
          <w:color w:val="auto"/>
          <w:sz w:val="24"/>
          <w:szCs w:val="24"/>
        </w:rPr>
      </w:pPr>
      <w:r>
        <w:drawing>
          <wp:inline distT="0" distB="0" distL="0" distR="0">
            <wp:extent cx="5281295" cy="1426210"/>
            <wp:effectExtent l="0" t="0" r="0" b="0"/>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81295" cy="1426210"/>
                    </a:xfrm>
                    <a:prstGeom prst="rect">
                      <a:avLst/>
                    </a:prstGeom>
                    <a:noFill/>
                    <a:ln>
                      <a:noFill/>
                    </a:ln>
                  </pic:spPr>
                </pic:pic>
              </a:graphicData>
            </a:graphic>
          </wp:inline>
        </w:drawing>
      </w:r>
    </w:p>
    <w:p>
      <w:pPr>
        <w:pStyle w:val="23"/>
        <w:shd w:val="clear" w:color="auto" w:fill="FFFFFF"/>
        <w:jc w:val="center"/>
        <w:rPr>
          <w:sz w:val="21"/>
          <w:szCs w:val="21"/>
        </w:rPr>
      </w:pPr>
      <w:r>
        <w:rPr>
          <w:rFonts w:hint="eastAsia"/>
          <w:sz w:val="21"/>
          <w:szCs w:val="21"/>
        </w:rPr>
        <w:t>附录图-1  外包混凝土的防火构造</w:t>
      </w:r>
    </w:p>
    <w:p>
      <w:pPr>
        <w:rPr>
          <w:rFonts w:ascii="宋体" w:hAnsi="宋体" w:cs="宋体"/>
          <w:color w:val="auto"/>
          <w:sz w:val="24"/>
          <w:szCs w:val="24"/>
        </w:rPr>
      </w:pPr>
      <w:r>
        <w:drawing>
          <wp:inline distT="0" distB="0" distL="0" distR="0">
            <wp:extent cx="5259705" cy="1521460"/>
            <wp:effectExtent l="0" t="0" r="0" b="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59705" cy="1521460"/>
                    </a:xfrm>
                    <a:prstGeom prst="rect">
                      <a:avLst/>
                    </a:prstGeom>
                    <a:noFill/>
                    <a:ln>
                      <a:noFill/>
                    </a:ln>
                  </pic:spPr>
                </pic:pic>
              </a:graphicData>
            </a:graphic>
          </wp:inline>
        </w:drawing>
      </w:r>
    </w:p>
    <w:p>
      <w:pPr>
        <w:rPr>
          <w:rFonts w:ascii="宋体" w:hAnsi="宋体" w:cs="宋体"/>
          <w:color w:val="auto"/>
          <w:sz w:val="24"/>
          <w:szCs w:val="24"/>
        </w:rPr>
      </w:pPr>
      <w:r>
        <w:drawing>
          <wp:inline distT="0" distB="0" distL="0" distR="0">
            <wp:extent cx="5266690" cy="2296795"/>
            <wp:effectExtent l="0" t="0" r="0" b="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66690" cy="2296795"/>
                    </a:xfrm>
                    <a:prstGeom prst="rect">
                      <a:avLst/>
                    </a:prstGeom>
                    <a:noFill/>
                    <a:ln>
                      <a:noFill/>
                    </a:ln>
                  </pic:spPr>
                </pic:pic>
              </a:graphicData>
            </a:graphic>
          </wp:inline>
        </w:drawing>
      </w:r>
    </w:p>
    <w:p>
      <w:pPr>
        <w:pStyle w:val="23"/>
        <w:shd w:val="clear" w:color="auto" w:fill="FFFFFF"/>
        <w:jc w:val="center"/>
        <w:rPr>
          <w:sz w:val="21"/>
          <w:szCs w:val="21"/>
        </w:rPr>
      </w:pPr>
      <w:r>
        <w:rPr>
          <w:rFonts w:hint="eastAsia"/>
          <w:sz w:val="21"/>
          <w:szCs w:val="21"/>
        </w:rPr>
        <w:t>附录图-2 防火涂料的防火构造</w:t>
      </w: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r>
        <w:drawing>
          <wp:anchor distT="0" distB="0" distL="114300" distR="114300" simplePos="0" relativeHeight="251663360" behindDoc="0" locked="0" layoutInCell="1" allowOverlap="1">
            <wp:simplePos x="0" y="0"/>
            <wp:positionH relativeFrom="column">
              <wp:posOffset>650240</wp:posOffset>
            </wp:positionH>
            <wp:positionV relativeFrom="paragraph">
              <wp:posOffset>4136390</wp:posOffset>
            </wp:positionV>
            <wp:extent cx="4617720" cy="2778760"/>
            <wp:effectExtent l="0" t="0" r="0" b="0"/>
            <wp:wrapSquare wrapText="bothSides"/>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17720" cy="2778760"/>
                    </a:xfrm>
                    <a:prstGeom prst="rect">
                      <a:avLst/>
                    </a:prstGeom>
                    <a:noFill/>
                  </pic:spPr>
                </pic:pic>
              </a:graphicData>
            </a:graphic>
          </wp:anchor>
        </w:drawing>
      </w:r>
      <w:r>
        <w:drawing>
          <wp:anchor distT="0" distB="0" distL="114300" distR="114300" simplePos="0" relativeHeight="251662336" behindDoc="0" locked="0" layoutInCell="1" allowOverlap="1">
            <wp:simplePos x="0" y="0"/>
            <wp:positionH relativeFrom="column">
              <wp:posOffset>-78105</wp:posOffset>
            </wp:positionH>
            <wp:positionV relativeFrom="paragraph">
              <wp:posOffset>212090</wp:posOffset>
            </wp:positionV>
            <wp:extent cx="2787015" cy="3336925"/>
            <wp:effectExtent l="0" t="0" r="0" b="0"/>
            <wp:wrapSquare wrapText="bothSides"/>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787015" cy="3336925"/>
                    </a:xfrm>
                    <a:prstGeom prst="rect">
                      <a:avLst/>
                    </a:prstGeom>
                    <a:noFill/>
                  </pic:spPr>
                </pic:pic>
              </a:graphicData>
            </a:graphic>
          </wp:anchor>
        </w:drawing>
      </w:r>
      <w:r>
        <w:drawing>
          <wp:anchor distT="0" distB="0" distL="114300" distR="114300" simplePos="0" relativeHeight="251662336" behindDoc="0" locked="0" layoutInCell="1" allowOverlap="1">
            <wp:simplePos x="0" y="0"/>
            <wp:positionH relativeFrom="column">
              <wp:posOffset>3190875</wp:posOffset>
            </wp:positionH>
            <wp:positionV relativeFrom="paragraph">
              <wp:posOffset>212725</wp:posOffset>
            </wp:positionV>
            <wp:extent cx="2419985" cy="3336925"/>
            <wp:effectExtent l="0" t="0" r="0" b="0"/>
            <wp:wrapSquare wrapText="bothSides"/>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419985" cy="3336925"/>
                    </a:xfrm>
                    <a:prstGeom prst="rect">
                      <a:avLst/>
                    </a:prstGeom>
                    <a:noFill/>
                  </pic:spPr>
                </pic:pic>
              </a:graphicData>
            </a:graphic>
          </wp:anchor>
        </w:drawing>
      </w: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pStyle w:val="23"/>
        <w:shd w:val="clear" w:color="auto" w:fill="FFFFFF"/>
        <w:jc w:val="center"/>
        <w:rPr>
          <w:sz w:val="21"/>
          <w:szCs w:val="21"/>
        </w:rPr>
      </w:pPr>
      <w:r>
        <w:rPr>
          <w:rFonts w:hint="eastAsia"/>
          <w:sz w:val="21"/>
          <w:szCs w:val="21"/>
        </w:rPr>
        <w:t>附录图3  防火板的防火构造</w:t>
      </w: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r>
        <w:rPr>
          <w:rFonts w:ascii="宋体" w:hAnsi="宋体"/>
        </w:rPr>
        <w:drawing>
          <wp:anchor distT="0" distB="0" distL="114300" distR="114300" simplePos="0" relativeHeight="251664384" behindDoc="0" locked="0" layoutInCell="1" allowOverlap="1">
            <wp:simplePos x="0" y="0"/>
            <wp:positionH relativeFrom="column">
              <wp:posOffset>1371600</wp:posOffset>
            </wp:positionH>
            <wp:positionV relativeFrom="paragraph">
              <wp:posOffset>-1905</wp:posOffset>
            </wp:positionV>
            <wp:extent cx="2941320" cy="3009265"/>
            <wp:effectExtent l="0" t="0" r="0" b="0"/>
            <wp:wrapSquare wrapText="bothSides"/>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l="18954"/>
                    <a:stretch>
                      <a:fillRect/>
                    </a:stretch>
                  </pic:blipFill>
                  <pic:spPr>
                    <a:xfrm>
                      <a:off x="0" y="0"/>
                      <a:ext cx="2941320" cy="3009265"/>
                    </a:xfrm>
                    <a:prstGeom prst="rect">
                      <a:avLst/>
                    </a:prstGeom>
                    <a:noFill/>
                  </pic:spPr>
                </pic:pic>
              </a:graphicData>
            </a:graphic>
          </wp:anchor>
        </w:drawing>
      </w: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rPr>
          <w:rFonts w:ascii="宋体" w:hAnsi="宋体" w:cs="宋体"/>
          <w:color w:val="auto"/>
          <w:sz w:val="24"/>
          <w:szCs w:val="24"/>
        </w:rPr>
      </w:pPr>
    </w:p>
    <w:p>
      <w:pPr>
        <w:pStyle w:val="23"/>
        <w:shd w:val="clear" w:color="auto" w:fill="FFFFFF"/>
        <w:jc w:val="center"/>
        <w:rPr>
          <w:sz w:val="21"/>
          <w:szCs w:val="21"/>
        </w:rPr>
      </w:pPr>
      <w:r>
        <w:rPr>
          <w:rFonts w:hint="eastAsia"/>
          <w:sz w:val="21"/>
          <w:szCs w:val="21"/>
        </w:rPr>
        <w:t>附录图4 双钢板剪力墙的防火构造</w:t>
      </w:r>
    </w:p>
    <w:p>
      <w:pPr>
        <w:rPr>
          <w:rFonts w:ascii="宋体" w:hAnsi="宋体" w:cs="宋体"/>
          <w:color w:val="auto"/>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fldChar w:fldCharType="begin"/>
    </w:r>
    <w:r>
      <w:instrText xml:space="preserve">PAGE   \* MERGEFORMAT</w:instrText>
    </w:r>
    <w:r>
      <w:fldChar w:fldCharType="separate"/>
    </w:r>
    <w:r>
      <w:rPr>
        <w:lang w:val="zh-CN"/>
      </w:rPr>
      <w:t>98</w:t>
    </w:r>
    <w:r>
      <w:fldChar w:fldCharType="end"/>
    </w:r>
  </w:p>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3E001E"/>
    <w:multiLevelType w:val="singleLevel"/>
    <w:tmpl w:val="D03E001E"/>
    <w:lvl w:ilvl="0" w:tentative="0">
      <w:start w:val="1"/>
      <w:numFmt w:val="lowerLetter"/>
      <w:suff w:val="space"/>
      <w:lvlText w:val="（%1）"/>
      <w:lvlJc w:val="left"/>
    </w:lvl>
  </w:abstractNum>
  <w:abstractNum w:abstractNumId="1">
    <w:nsid w:val="DCCBEB93"/>
    <w:multiLevelType w:val="multilevel"/>
    <w:tmpl w:val="DCCBEB93"/>
    <w:lvl w:ilvl="0" w:tentative="0">
      <w:start w:val="6"/>
      <w:numFmt w:val="decimal"/>
      <w:pStyle w:val="34"/>
      <w:suff w:val="space"/>
      <w:lvlText w:val="%1"/>
      <w:lvlJc w:val="left"/>
      <w:pPr>
        <w:ind w:left="0" w:firstLine="0"/>
      </w:pPr>
      <w:rPr>
        <w:rFonts w:hint="eastAsia"/>
      </w:rPr>
    </w:lvl>
    <w:lvl w:ilvl="1" w:tentative="0">
      <w:start w:val="1"/>
      <w:numFmt w:val="decimal"/>
      <w:pStyle w:val="35"/>
      <w:suff w:val="space"/>
      <w:lvlText w:val="%1.%2"/>
      <w:lvlJc w:val="left"/>
      <w:pPr>
        <w:ind w:left="284" w:firstLine="0"/>
      </w:pPr>
      <w:rPr>
        <w:rFonts w:hint="default"/>
        <w:sz w:val="24"/>
        <w:szCs w:val="24"/>
      </w:rPr>
    </w:lvl>
    <w:lvl w:ilvl="2" w:tentative="0">
      <w:start w:val="1"/>
      <w:numFmt w:val="decimal"/>
      <w:pStyle w:val="36"/>
      <w:suff w:val="space"/>
      <w:lvlText w:val="%1.%2.%3"/>
      <w:lvlJc w:val="left"/>
      <w:rPr>
        <w:rFonts w:hint="default" w:ascii="Times New Roman" w:hAnsi="Times New Roman" w:cs="Times New Roman"/>
        <w:b/>
        <w:bCs w:val="0"/>
        <w:i w:val="0"/>
        <w:iCs w:val="0"/>
        <w:caps w:val="0"/>
        <w:smallCaps w:val="0"/>
        <w:strike w:val="0"/>
        <w:dstrike w:val="0"/>
        <w:color w:val="auto"/>
        <w:spacing w:val="0"/>
        <w:position w:val="0"/>
        <w:sz w:val="24"/>
        <w:szCs w:val="24"/>
        <w:u w:val="none"/>
      </w:rPr>
    </w:lvl>
    <w:lvl w:ilvl="3" w:tentative="0">
      <w:start w:val="1"/>
      <w:numFmt w:val="decimal"/>
      <w:pStyle w:val="37"/>
      <w:suff w:val="space"/>
      <w:lvlText w:val="%4"/>
      <w:lvlJc w:val="left"/>
      <w:rPr>
        <w:rFonts w:hint="default"/>
        <w:b/>
        <w:bCs w:val="0"/>
        <w:i w:val="0"/>
        <w:iCs w:val="0"/>
        <w:caps w:val="0"/>
        <w:smallCaps w:val="0"/>
        <w:strike w:val="0"/>
        <w:dstrike w:val="0"/>
        <w:color w:val="000000"/>
        <w:spacing w:val="0"/>
        <w:position w:val="0"/>
        <w:sz w:val="24"/>
        <w:szCs w:val="24"/>
        <w:u w:val="none"/>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1FC91EB5"/>
    <w:multiLevelType w:val="multilevel"/>
    <w:tmpl w:val="1FC91EB5"/>
    <w:lvl w:ilvl="0" w:tentative="0">
      <w:start w:val="1"/>
      <w:numFmt w:val="decimal"/>
      <w:pStyle w:val="22"/>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2BA023E"/>
    <w:multiLevelType w:val="multilevel"/>
    <w:tmpl w:val="22BA023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4687A0A"/>
    <w:multiLevelType w:val="multilevel"/>
    <w:tmpl w:val="44687A0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5E77B74"/>
    <w:multiLevelType w:val="multilevel"/>
    <w:tmpl w:val="45E77B7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7F2434D"/>
    <w:multiLevelType w:val="multilevel"/>
    <w:tmpl w:val="47F2434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3"/>
  </w:num>
  <w:num w:numId="4">
    <w:abstractNumId w:val="4"/>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1"/>
  <w:bordersDoNotSurroundFooter w:val="1"/>
  <w:documentProtection w:enforcement="0"/>
  <w:defaultTabStop w:val="420"/>
  <w:characterSpacingControl w:val="doNotCompress"/>
  <w:compat>
    <w:spaceForUL/>
    <w:doNotLeaveBackslashAlone/>
    <w:ulTrailSpace/>
    <w:doNotExpandShiftReturn/>
    <w:useFELayout/>
    <w:compatSetting w:name="compatibilityMode" w:uri="http://schemas.microsoft.com/office/word" w:val="12"/>
  </w:compat>
  <w:docVars>
    <w:docVar w:name="commondata" w:val="eyJoZGlkIjoiNjkxYTg0MDEyODA3MTFiZDFhNjZjNGUxMzRjOWU0ZmQifQ=="/>
  </w:docVars>
  <w:rsids>
    <w:rsidRoot w:val="00D56F12"/>
    <w:rsid w:val="0000678F"/>
    <w:rsid w:val="00010A83"/>
    <w:rsid w:val="00015753"/>
    <w:rsid w:val="0003008A"/>
    <w:rsid w:val="00032A04"/>
    <w:rsid w:val="00053E43"/>
    <w:rsid w:val="00056B9D"/>
    <w:rsid w:val="000616AC"/>
    <w:rsid w:val="00062CE7"/>
    <w:rsid w:val="000763C6"/>
    <w:rsid w:val="00092BDA"/>
    <w:rsid w:val="000A223A"/>
    <w:rsid w:val="000A366E"/>
    <w:rsid w:val="000B15BC"/>
    <w:rsid w:val="000D063A"/>
    <w:rsid w:val="000D1276"/>
    <w:rsid w:val="000D1BB2"/>
    <w:rsid w:val="000D3EEE"/>
    <w:rsid w:val="000F5498"/>
    <w:rsid w:val="001129B6"/>
    <w:rsid w:val="0012077A"/>
    <w:rsid w:val="001276D6"/>
    <w:rsid w:val="001331B5"/>
    <w:rsid w:val="00133779"/>
    <w:rsid w:val="001502FC"/>
    <w:rsid w:val="001552DE"/>
    <w:rsid w:val="0017670E"/>
    <w:rsid w:val="001814A2"/>
    <w:rsid w:val="001832F3"/>
    <w:rsid w:val="001A18DD"/>
    <w:rsid w:val="001A240B"/>
    <w:rsid w:val="001A251B"/>
    <w:rsid w:val="001B4F22"/>
    <w:rsid w:val="001D5254"/>
    <w:rsid w:val="001D7F2A"/>
    <w:rsid w:val="001E302C"/>
    <w:rsid w:val="001E33E5"/>
    <w:rsid w:val="001F0930"/>
    <w:rsid w:val="001F217F"/>
    <w:rsid w:val="0020250A"/>
    <w:rsid w:val="00214075"/>
    <w:rsid w:val="002144FE"/>
    <w:rsid w:val="002225BE"/>
    <w:rsid w:val="0022793F"/>
    <w:rsid w:val="0024320D"/>
    <w:rsid w:val="00256CA4"/>
    <w:rsid w:val="00264B92"/>
    <w:rsid w:val="002806DD"/>
    <w:rsid w:val="00284893"/>
    <w:rsid w:val="002B75DB"/>
    <w:rsid w:val="002C0FC0"/>
    <w:rsid w:val="002D1DF6"/>
    <w:rsid w:val="002E58C7"/>
    <w:rsid w:val="002F2A54"/>
    <w:rsid w:val="0030561A"/>
    <w:rsid w:val="00306595"/>
    <w:rsid w:val="00307E5A"/>
    <w:rsid w:val="00312FB3"/>
    <w:rsid w:val="00324A39"/>
    <w:rsid w:val="00331A26"/>
    <w:rsid w:val="003440C7"/>
    <w:rsid w:val="00345B32"/>
    <w:rsid w:val="00355F30"/>
    <w:rsid w:val="0036784B"/>
    <w:rsid w:val="0038182C"/>
    <w:rsid w:val="003840F8"/>
    <w:rsid w:val="00384FB3"/>
    <w:rsid w:val="0039626E"/>
    <w:rsid w:val="003B70F9"/>
    <w:rsid w:val="003D75C2"/>
    <w:rsid w:val="003E4200"/>
    <w:rsid w:val="003E4526"/>
    <w:rsid w:val="003F01A4"/>
    <w:rsid w:val="003F051E"/>
    <w:rsid w:val="003F0855"/>
    <w:rsid w:val="003F32FC"/>
    <w:rsid w:val="003F6851"/>
    <w:rsid w:val="00401C42"/>
    <w:rsid w:val="0040591A"/>
    <w:rsid w:val="00422C61"/>
    <w:rsid w:val="0042403D"/>
    <w:rsid w:val="00432DE4"/>
    <w:rsid w:val="00440D6B"/>
    <w:rsid w:val="00444E0D"/>
    <w:rsid w:val="00467239"/>
    <w:rsid w:val="004837B7"/>
    <w:rsid w:val="004A271E"/>
    <w:rsid w:val="004C6453"/>
    <w:rsid w:val="004E4413"/>
    <w:rsid w:val="004E5E14"/>
    <w:rsid w:val="004F01A8"/>
    <w:rsid w:val="004F1E52"/>
    <w:rsid w:val="005021F7"/>
    <w:rsid w:val="00527E2F"/>
    <w:rsid w:val="00541F99"/>
    <w:rsid w:val="00546A1A"/>
    <w:rsid w:val="005502B3"/>
    <w:rsid w:val="00552710"/>
    <w:rsid w:val="00563216"/>
    <w:rsid w:val="00590C70"/>
    <w:rsid w:val="005A4E70"/>
    <w:rsid w:val="005A714A"/>
    <w:rsid w:val="005B3D41"/>
    <w:rsid w:val="005C0EAE"/>
    <w:rsid w:val="005D7F96"/>
    <w:rsid w:val="005E2933"/>
    <w:rsid w:val="005E34C2"/>
    <w:rsid w:val="005E6BF9"/>
    <w:rsid w:val="005F2185"/>
    <w:rsid w:val="005F22A5"/>
    <w:rsid w:val="00601C27"/>
    <w:rsid w:val="0061585D"/>
    <w:rsid w:val="00624CFE"/>
    <w:rsid w:val="00627A48"/>
    <w:rsid w:val="006318F0"/>
    <w:rsid w:val="00631A50"/>
    <w:rsid w:val="0065466A"/>
    <w:rsid w:val="00666B66"/>
    <w:rsid w:val="00672165"/>
    <w:rsid w:val="006877CE"/>
    <w:rsid w:val="00687BEC"/>
    <w:rsid w:val="006B7912"/>
    <w:rsid w:val="006C0E75"/>
    <w:rsid w:val="006C5EE6"/>
    <w:rsid w:val="006C798E"/>
    <w:rsid w:val="006D3985"/>
    <w:rsid w:val="006E7167"/>
    <w:rsid w:val="006F307F"/>
    <w:rsid w:val="006F6BC5"/>
    <w:rsid w:val="00705154"/>
    <w:rsid w:val="007079D9"/>
    <w:rsid w:val="00712A99"/>
    <w:rsid w:val="00714F82"/>
    <w:rsid w:val="007161C4"/>
    <w:rsid w:val="0072582C"/>
    <w:rsid w:val="00727228"/>
    <w:rsid w:val="00746FB0"/>
    <w:rsid w:val="00755310"/>
    <w:rsid w:val="007675FD"/>
    <w:rsid w:val="0077684E"/>
    <w:rsid w:val="007879BE"/>
    <w:rsid w:val="00794F76"/>
    <w:rsid w:val="0079504C"/>
    <w:rsid w:val="007950CF"/>
    <w:rsid w:val="00796B0D"/>
    <w:rsid w:val="007B1D34"/>
    <w:rsid w:val="007C1494"/>
    <w:rsid w:val="007C1ED9"/>
    <w:rsid w:val="007C5B15"/>
    <w:rsid w:val="007D410B"/>
    <w:rsid w:val="007F680A"/>
    <w:rsid w:val="00804B8B"/>
    <w:rsid w:val="0082062F"/>
    <w:rsid w:val="00846D10"/>
    <w:rsid w:val="00872AF3"/>
    <w:rsid w:val="008841CC"/>
    <w:rsid w:val="008A156F"/>
    <w:rsid w:val="008A76FB"/>
    <w:rsid w:val="008C2AD6"/>
    <w:rsid w:val="008C7C02"/>
    <w:rsid w:val="008E39A7"/>
    <w:rsid w:val="008E4EC1"/>
    <w:rsid w:val="009069F2"/>
    <w:rsid w:val="00907AC9"/>
    <w:rsid w:val="00915F2A"/>
    <w:rsid w:val="00934C66"/>
    <w:rsid w:val="0094676D"/>
    <w:rsid w:val="0095288F"/>
    <w:rsid w:val="0096176D"/>
    <w:rsid w:val="009647B9"/>
    <w:rsid w:val="00981ACD"/>
    <w:rsid w:val="0098406F"/>
    <w:rsid w:val="009850B3"/>
    <w:rsid w:val="00990BC3"/>
    <w:rsid w:val="00992514"/>
    <w:rsid w:val="00993156"/>
    <w:rsid w:val="00994342"/>
    <w:rsid w:val="009A2725"/>
    <w:rsid w:val="009A78C0"/>
    <w:rsid w:val="009B0790"/>
    <w:rsid w:val="009B7C70"/>
    <w:rsid w:val="009E1B34"/>
    <w:rsid w:val="009E6190"/>
    <w:rsid w:val="009E7D7B"/>
    <w:rsid w:val="00A20016"/>
    <w:rsid w:val="00A232CB"/>
    <w:rsid w:val="00A264A3"/>
    <w:rsid w:val="00A36DA9"/>
    <w:rsid w:val="00A40AD0"/>
    <w:rsid w:val="00A40B79"/>
    <w:rsid w:val="00A42858"/>
    <w:rsid w:val="00A53989"/>
    <w:rsid w:val="00A65FA3"/>
    <w:rsid w:val="00A66BE4"/>
    <w:rsid w:val="00A864FC"/>
    <w:rsid w:val="00AB38B4"/>
    <w:rsid w:val="00AB4F7B"/>
    <w:rsid w:val="00AC260F"/>
    <w:rsid w:val="00AD404C"/>
    <w:rsid w:val="00AD5879"/>
    <w:rsid w:val="00B015D4"/>
    <w:rsid w:val="00B10D2C"/>
    <w:rsid w:val="00B14C96"/>
    <w:rsid w:val="00B311D1"/>
    <w:rsid w:val="00B470F6"/>
    <w:rsid w:val="00B53D85"/>
    <w:rsid w:val="00B6143A"/>
    <w:rsid w:val="00B61FDE"/>
    <w:rsid w:val="00B72E28"/>
    <w:rsid w:val="00B96FE2"/>
    <w:rsid w:val="00BA0501"/>
    <w:rsid w:val="00BA45B2"/>
    <w:rsid w:val="00BB45E5"/>
    <w:rsid w:val="00BD065C"/>
    <w:rsid w:val="00C02791"/>
    <w:rsid w:val="00C13452"/>
    <w:rsid w:val="00C241D5"/>
    <w:rsid w:val="00C37B80"/>
    <w:rsid w:val="00C37EA5"/>
    <w:rsid w:val="00C40ACE"/>
    <w:rsid w:val="00C45E85"/>
    <w:rsid w:val="00C57117"/>
    <w:rsid w:val="00C71919"/>
    <w:rsid w:val="00C72C74"/>
    <w:rsid w:val="00C7753B"/>
    <w:rsid w:val="00C83DB1"/>
    <w:rsid w:val="00C842E0"/>
    <w:rsid w:val="00C84957"/>
    <w:rsid w:val="00C852FA"/>
    <w:rsid w:val="00C859C3"/>
    <w:rsid w:val="00C935C5"/>
    <w:rsid w:val="00CA014A"/>
    <w:rsid w:val="00CA460F"/>
    <w:rsid w:val="00CA619A"/>
    <w:rsid w:val="00CB0660"/>
    <w:rsid w:val="00CB470F"/>
    <w:rsid w:val="00CB665F"/>
    <w:rsid w:val="00CB670F"/>
    <w:rsid w:val="00CC2466"/>
    <w:rsid w:val="00CC3441"/>
    <w:rsid w:val="00CE0DFF"/>
    <w:rsid w:val="00D03A9D"/>
    <w:rsid w:val="00D0712D"/>
    <w:rsid w:val="00D079D4"/>
    <w:rsid w:val="00D5518B"/>
    <w:rsid w:val="00D55E69"/>
    <w:rsid w:val="00D56F12"/>
    <w:rsid w:val="00D671B4"/>
    <w:rsid w:val="00D7135E"/>
    <w:rsid w:val="00D72E2B"/>
    <w:rsid w:val="00D90A09"/>
    <w:rsid w:val="00D94EB3"/>
    <w:rsid w:val="00DA0307"/>
    <w:rsid w:val="00DA5825"/>
    <w:rsid w:val="00DB1C62"/>
    <w:rsid w:val="00DB504D"/>
    <w:rsid w:val="00E00B1A"/>
    <w:rsid w:val="00E0210B"/>
    <w:rsid w:val="00E06AEE"/>
    <w:rsid w:val="00E07A10"/>
    <w:rsid w:val="00E127CA"/>
    <w:rsid w:val="00E135B3"/>
    <w:rsid w:val="00E14C83"/>
    <w:rsid w:val="00E200B2"/>
    <w:rsid w:val="00E241DE"/>
    <w:rsid w:val="00E44CCA"/>
    <w:rsid w:val="00E56B4B"/>
    <w:rsid w:val="00E827BC"/>
    <w:rsid w:val="00E9180D"/>
    <w:rsid w:val="00EA279F"/>
    <w:rsid w:val="00EA39B4"/>
    <w:rsid w:val="00EB2E60"/>
    <w:rsid w:val="00EB2EFE"/>
    <w:rsid w:val="00EC6EB4"/>
    <w:rsid w:val="00ED0698"/>
    <w:rsid w:val="00ED73C5"/>
    <w:rsid w:val="00EF6B8A"/>
    <w:rsid w:val="00F04466"/>
    <w:rsid w:val="00F06326"/>
    <w:rsid w:val="00F12110"/>
    <w:rsid w:val="00F40C79"/>
    <w:rsid w:val="00F43885"/>
    <w:rsid w:val="00F54292"/>
    <w:rsid w:val="00F704C5"/>
    <w:rsid w:val="00F77BF1"/>
    <w:rsid w:val="00F81B88"/>
    <w:rsid w:val="00F83E3C"/>
    <w:rsid w:val="00F869BC"/>
    <w:rsid w:val="00F93F96"/>
    <w:rsid w:val="00F9649B"/>
    <w:rsid w:val="00F971C8"/>
    <w:rsid w:val="00FA1313"/>
    <w:rsid w:val="00FC18DF"/>
    <w:rsid w:val="00FC1ED1"/>
    <w:rsid w:val="00FC295A"/>
    <w:rsid w:val="00FD656F"/>
    <w:rsid w:val="00FE24B7"/>
    <w:rsid w:val="00FE667C"/>
    <w:rsid w:val="00FF053C"/>
    <w:rsid w:val="53DE700E"/>
    <w:rsid w:val="56A64697"/>
    <w:rsid w:val="7EC85A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99"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99"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color w:val="0000FF"/>
      <w:sz w:val="21"/>
      <w:szCs w:val="21"/>
      <w:lang w:val="en-US" w:eastAsia="zh-CN" w:bidi="ar-SA"/>
    </w:rPr>
  </w:style>
  <w:style w:type="paragraph" w:styleId="2">
    <w:name w:val="heading 1"/>
    <w:basedOn w:val="1"/>
    <w:next w:val="1"/>
    <w:link w:val="3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0"/>
    <w:unhideWhenUsed/>
    <w:qFormat/>
    <w:uiPriority w:val="9"/>
    <w:pPr>
      <w:keepNext/>
      <w:keepLines/>
      <w:spacing w:before="260" w:after="260" w:line="416" w:lineRule="auto"/>
      <w:outlineLvl w:val="1"/>
    </w:pPr>
    <w:rPr>
      <w:rFonts w:ascii="等线 Light" w:hAnsi="等线 Light" w:eastAsia="等线 Light" w:cs="黑体"/>
      <w:b/>
      <w:bCs/>
      <w:sz w:val="32"/>
      <w:szCs w:val="32"/>
    </w:rPr>
  </w:style>
  <w:style w:type="character" w:default="1" w:styleId="18">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46"/>
    <w:unhideWhenUsed/>
    <w:qFormat/>
    <w:uiPriority w:val="99"/>
    <w:rPr>
      <w:rFonts w:ascii="等线" w:hAnsi="等线" w:eastAsia="等线" w:cs="黑体"/>
      <w:color w:val="auto"/>
      <w:kern w:val="2"/>
      <w:szCs w:val="22"/>
    </w:rPr>
  </w:style>
  <w:style w:type="paragraph" w:styleId="5">
    <w:name w:val="Body Text"/>
    <w:basedOn w:val="1"/>
    <w:link w:val="55"/>
    <w:semiHidden/>
    <w:unhideWhenUsed/>
    <w:uiPriority w:val="99"/>
    <w:pPr>
      <w:spacing w:after="120"/>
    </w:pPr>
    <w:rPr>
      <w:rFonts w:ascii="等线" w:hAnsi="等线" w:eastAsia="等线" w:cs="黑体"/>
      <w:color w:val="auto"/>
      <w:kern w:val="2"/>
      <w:szCs w:val="22"/>
    </w:rPr>
  </w:style>
  <w:style w:type="paragraph" w:styleId="6">
    <w:name w:val="toc 3"/>
    <w:basedOn w:val="1"/>
    <w:next w:val="1"/>
    <w:unhideWhenUsed/>
    <w:uiPriority w:val="39"/>
    <w:pPr>
      <w:widowControl/>
      <w:spacing w:after="100" w:line="259" w:lineRule="auto"/>
      <w:ind w:left="440"/>
      <w:jc w:val="left"/>
    </w:pPr>
    <w:rPr>
      <w:rFonts w:ascii="等线" w:hAnsi="等线" w:eastAsia="等线"/>
      <w:color w:val="auto"/>
      <w:sz w:val="22"/>
      <w:szCs w:val="22"/>
    </w:rPr>
  </w:style>
  <w:style w:type="paragraph" w:styleId="7">
    <w:name w:val="Date"/>
    <w:basedOn w:val="1"/>
    <w:next w:val="1"/>
    <w:link w:val="43"/>
    <w:semiHidden/>
    <w:unhideWhenUsed/>
    <w:uiPriority w:val="99"/>
    <w:pPr>
      <w:ind w:left="100" w:leftChars="2500"/>
    </w:pPr>
  </w:style>
  <w:style w:type="paragraph" w:styleId="8">
    <w:name w:val="Balloon Text"/>
    <w:basedOn w:val="1"/>
    <w:link w:val="54"/>
    <w:semiHidden/>
    <w:unhideWhenUsed/>
    <w:uiPriority w:val="99"/>
    <w:rPr>
      <w:rFonts w:ascii="等线" w:hAnsi="等线" w:eastAsia="等线" w:cs="黑体"/>
      <w:color w:val="auto"/>
      <w:kern w:val="2"/>
      <w:sz w:val="18"/>
      <w:szCs w:val="18"/>
    </w:rPr>
  </w:style>
  <w:style w:type="paragraph" w:styleId="9">
    <w:name w:val="footer"/>
    <w:basedOn w:val="1"/>
    <w:link w:val="42"/>
    <w:unhideWhenUsed/>
    <w:qFormat/>
    <w:uiPriority w:val="99"/>
    <w:pPr>
      <w:tabs>
        <w:tab w:val="center" w:pos="4153"/>
        <w:tab w:val="right" w:pos="8306"/>
      </w:tabs>
      <w:snapToGrid w:val="0"/>
      <w:jc w:val="left"/>
    </w:pPr>
    <w:rPr>
      <w:sz w:val="18"/>
      <w:szCs w:val="18"/>
    </w:rPr>
  </w:style>
  <w:style w:type="paragraph" w:styleId="10">
    <w:name w:val="header"/>
    <w:basedOn w:val="1"/>
    <w:link w:val="4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rPr>
      <w:rFonts w:ascii="等线" w:hAnsi="等线" w:eastAsia="等线" w:cs="黑体"/>
      <w:color w:val="auto"/>
      <w:kern w:val="2"/>
      <w:szCs w:val="22"/>
    </w:rPr>
  </w:style>
  <w:style w:type="paragraph" w:styleId="12">
    <w:name w:val="Subtitle"/>
    <w:basedOn w:val="1"/>
    <w:next w:val="1"/>
    <w:link w:val="45"/>
    <w:qFormat/>
    <w:uiPriority w:val="11"/>
    <w:pPr>
      <w:spacing w:before="240" w:after="60" w:line="312" w:lineRule="auto"/>
      <w:jc w:val="center"/>
      <w:outlineLvl w:val="1"/>
    </w:pPr>
    <w:rPr>
      <w:rFonts w:ascii="等线" w:hAnsi="等线" w:eastAsia="等线" w:cs="黑体"/>
      <w:b/>
      <w:bCs/>
      <w:kern w:val="28"/>
      <w:sz w:val="32"/>
      <w:szCs w:val="32"/>
    </w:rPr>
  </w:style>
  <w:style w:type="paragraph" w:styleId="13">
    <w:name w:val="toc 2"/>
    <w:basedOn w:val="1"/>
    <w:next w:val="1"/>
    <w:unhideWhenUsed/>
    <w:qFormat/>
    <w:uiPriority w:val="39"/>
    <w:pPr>
      <w:widowControl/>
      <w:spacing w:after="100" w:line="259" w:lineRule="auto"/>
      <w:ind w:left="220"/>
      <w:jc w:val="left"/>
    </w:pPr>
    <w:rPr>
      <w:rFonts w:ascii="等线" w:hAnsi="等线" w:eastAsia="等线"/>
      <w:color w:val="auto"/>
      <w:sz w:val="22"/>
      <w:szCs w:val="22"/>
    </w:rPr>
  </w:style>
  <w:style w:type="paragraph" w:styleId="14">
    <w:name w:val="Normal (Web)"/>
    <w:basedOn w:val="1"/>
    <w:unhideWhenUsed/>
    <w:uiPriority w:val="0"/>
    <w:pPr>
      <w:widowControl/>
      <w:spacing w:before="100" w:beforeAutospacing="1" w:after="100" w:afterAutospacing="1"/>
      <w:jc w:val="left"/>
    </w:pPr>
    <w:rPr>
      <w:rFonts w:ascii="宋体" w:hAnsi="宋体" w:cs="宋体"/>
      <w:color w:val="auto"/>
      <w:sz w:val="24"/>
      <w:szCs w:val="24"/>
    </w:rPr>
  </w:style>
  <w:style w:type="paragraph" w:styleId="15">
    <w:name w:val="Title"/>
    <w:basedOn w:val="1"/>
    <w:next w:val="1"/>
    <w:link w:val="44"/>
    <w:qFormat/>
    <w:uiPriority w:val="10"/>
    <w:pPr>
      <w:spacing w:before="240" w:after="60"/>
      <w:jc w:val="center"/>
      <w:outlineLvl w:val="0"/>
    </w:pPr>
    <w:rPr>
      <w:rFonts w:ascii="等线 Light" w:hAnsi="等线 Light" w:eastAsia="等线 Light" w:cs="黑体"/>
      <w:b/>
      <w:bCs/>
      <w:sz w:val="32"/>
      <w:szCs w:val="32"/>
    </w:rPr>
  </w:style>
  <w:style w:type="paragraph" w:styleId="16">
    <w:name w:val="annotation subject"/>
    <w:basedOn w:val="4"/>
    <w:next w:val="4"/>
    <w:link w:val="47"/>
    <w:semiHidden/>
    <w:unhideWhenUsed/>
    <w:uiPriority w:val="99"/>
    <w:pPr>
      <w:jc w:val="left"/>
    </w:pPr>
    <w:rPr>
      <w:b/>
      <w:bCs/>
    </w:rPr>
  </w:style>
  <w:style w:type="character" w:styleId="19">
    <w:name w:val="Hyperlink"/>
    <w:unhideWhenUsed/>
    <w:uiPriority w:val="99"/>
    <w:rPr>
      <w:color w:val="0563C1"/>
      <w:u w:val="single"/>
    </w:rPr>
  </w:style>
  <w:style w:type="character" w:styleId="20">
    <w:name w:val="annotation reference"/>
    <w:qFormat/>
    <w:uiPriority w:val="0"/>
    <w:rPr>
      <w:sz w:val="16"/>
      <w:szCs w:val="16"/>
    </w:rPr>
  </w:style>
  <w:style w:type="paragraph" w:customStyle="1" w:styleId="21">
    <w:name w:val="列表段落1"/>
    <w:basedOn w:val="1"/>
    <w:qFormat/>
    <w:uiPriority w:val="34"/>
    <w:pPr>
      <w:ind w:firstLine="200" w:firstLineChars="200"/>
    </w:pPr>
  </w:style>
  <w:style w:type="paragraph" w:customStyle="1" w:styleId="22">
    <w:name w:val="正文表标题"/>
    <w:next w:val="1"/>
    <w:qFormat/>
    <w:uiPriority w:val="0"/>
    <w:pPr>
      <w:numPr>
        <w:ilvl w:val="0"/>
        <w:numId w:val="1"/>
      </w:numPr>
      <w:tabs>
        <w:tab w:val="left" w:pos="360"/>
      </w:tabs>
      <w:spacing w:beforeLines="50" w:afterLines="50"/>
      <w:jc w:val="center"/>
    </w:pPr>
    <w:rPr>
      <w:rFonts w:ascii="黑体" w:hAnsi="Times New Roman" w:eastAsia="黑体" w:cs="Times New Roman"/>
      <w:lang w:val="en-US" w:eastAsia="zh-CN" w:bidi="ar-SA"/>
    </w:rPr>
  </w:style>
  <w:style w:type="paragraph" w:customStyle="1" w:styleId="23">
    <w:name w:val="ha3"/>
    <w:basedOn w:val="1"/>
    <w:uiPriority w:val="0"/>
    <w:pPr>
      <w:widowControl/>
      <w:spacing w:before="100" w:beforeAutospacing="1" w:after="100" w:afterAutospacing="1"/>
      <w:jc w:val="left"/>
    </w:pPr>
    <w:rPr>
      <w:rFonts w:ascii="宋体" w:hAnsi="宋体" w:cs="宋体"/>
      <w:color w:val="auto"/>
      <w:sz w:val="24"/>
      <w:szCs w:val="24"/>
    </w:rPr>
  </w:style>
  <w:style w:type="paragraph" w:customStyle="1" w:styleId="24">
    <w:name w:val="g插图"/>
    <w:link w:val="48"/>
    <w:qFormat/>
    <w:uiPriority w:val="0"/>
    <w:pPr>
      <w:jc w:val="center"/>
    </w:pPr>
    <w:rPr>
      <w:rFonts w:ascii="Times New Roman" w:hAnsi="Times New Roman" w:eastAsia="宋体" w:cs="Times New Roman"/>
      <w:sz w:val="24"/>
      <w:lang w:val="en-US" w:eastAsia="zh-CN" w:bidi="ar-SA"/>
    </w:rPr>
  </w:style>
  <w:style w:type="paragraph" w:customStyle="1" w:styleId="25">
    <w:name w:val="g公式编号"/>
    <w:basedOn w:val="1"/>
    <w:link w:val="49"/>
    <w:qFormat/>
    <w:uiPriority w:val="0"/>
    <w:pPr>
      <w:spacing w:line="300" w:lineRule="auto"/>
      <w:jc w:val="right"/>
    </w:pPr>
    <w:rPr>
      <w:rFonts w:ascii="等线" w:hAnsi="等线" w:eastAsia="等线" w:cs="黑体"/>
      <w:color w:val="auto"/>
      <w:kern w:val="2"/>
      <w:sz w:val="24"/>
    </w:rPr>
  </w:style>
  <w:style w:type="paragraph" w:customStyle="1" w:styleId="26">
    <w:name w:val="样式 标题 2 + (中文) 宋体 非加粗"/>
    <w:basedOn w:val="3"/>
    <w:qFormat/>
    <w:uiPriority w:val="0"/>
    <w:pPr>
      <w:spacing w:before="0" w:after="0" w:line="480" w:lineRule="auto"/>
      <w:jc w:val="center"/>
    </w:pPr>
    <w:rPr>
      <w:rFonts w:ascii="等线" w:hAnsi="等线" w:eastAsia="黑体"/>
      <w:b w:val="0"/>
      <w:bCs w:val="0"/>
      <w:color w:val="auto"/>
      <w:kern w:val="2"/>
      <w:sz w:val="24"/>
    </w:rPr>
  </w:style>
  <w:style w:type="paragraph" w:customStyle="1" w:styleId="27">
    <w:name w:val="样式 行距: 固定值 22 磅"/>
    <w:basedOn w:val="1"/>
    <w:qFormat/>
    <w:uiPriority w:val="0"/>
    <w:pPr>
      <w:spacing w:line="440" w:lineRule="exact"/>
    </w:pPr>
    <w:rPr>
      <w:rFonts w:ascii="等线" w:hAnsi="等线" w:eastAsia="等线" w:cs="宋体"/>
      <w:color w:val="auto"/>
      <w:kern w:val="2"/>
      <w:szCs w:val="20"/>
    </w:rPr>
  </w:style>
  <w:style w:type="paragraph" w:customStyle="1" w:styleId="28">
    <w:name w:val="ha1"/>
    <w:basedOn w:val="1"/>
    <w:qFormat/>
    <w:uiPriority w:val="0"/>
    <w:pPr>
      <w:widowControl/>
      <w:spacing w:before="100" w:beforeAutospacing="1" w:after="100" w:afterAutospacing="1"/>
      <w:jc w:val="left"/>
    </w:pPr>
    <w:rPr>
      <w:rFonts w:ascii="宋体" w:hAnsi="宋体" w:cs="宋体"/>
      <w:color w:val="auto"/>
      <w:sz w:val="24"/>
      <w:szCs w:val="24"/>
    </w:rPr>
  </w:style>
  <w:style w:type="paragraph" w:customStyle="1" w:styleId="29">
    <w:name w:val="MTDisplayEquation"/>
    <w:basedOn w:val="1"/>
    <w:next w:val="1"/>
    <w:qFormat/>
    <w:uiPriority w:val="0"/>
    <w:pPr>
      <w:tabs>
        <w:tab w:val="center" w:pos="5440"/>
        <w:tab w:val="right" w:pos="9760"/>
      </w:tabs>
      <w:spacing w:after="120"/>
      <w:ind w:left="1134" w:right="47"/>
    </w:pPr>
    <w:rPr>
      <w:rFonts w:ascii="Symbol" w:hAnsi="Symbol"/>
      <w:i/>
      <w:color w:val="auto"/>
      <w:kern w:val="2"/>
      <w:sz w:val="24"/>
      <w:szCs w:val="24"/>
    </w:rPr>
  </w:style>
  <w:style w:type="paragraph" w:customStyle="1" w:styleId="30">
    <w:name w:val="TOC 标题1"/>
    <w:basedOn w:val="2"/>
    <w:next w:val="1"/>
    <w:unhideWhenUsed/>
    <w:qFormat/>
    <w:uiPriority w:val="39"/>
    <w:pPr>
      <w:widowControl/>
      <w:spacing w:before="240" w:after="0" w:line="259" w:lineRule="auto"/>
      <w:jc w:val="left"/>
      <w:outlineLvl w:val="9"/>
    </w:pPr>
    <w:rPr>
      <w:rFonts w:ascii="等线 Light" w:hAnsi="等线 Light" w:eastAsia="等线 Light" w:cs="黑体"/>
      <w:b w:val="0"/>
      <w:bCs w:val="0"/>
      <w:color w:val="2E5394"/>
      <w:kern w:val="0"/>
      <w:sz w:val="32"/>
      <w:szCs w:val="32"/>
    </w:rPr>
  </w:style>
  <w:style w:type="paragraph" w:customStyle="1" w:styleId="31">
    <w:name w:val="TOC 标题2"/>
    <w:basedOn w:val="2"/>
    <w:next w:val="1"/>
    <w:unhideWhenUsed/>
    <w:qFormat/>
    <w:uiPriority w:val="39"/>
    <w:pPr>
      <w:widowControl/>
      <w:spacing w:before="240" w:after="0" w:line="259" w:lineRule="auto"/>
      <w:jc w:val="left"/>
      <w:outlineLvl w:val="9"/>
    </w:pPr>
    <w:rPr>
      <w:rFonts w:ascii="等线 Light" w:hAnsi="等线 Light" w:eastAsia="等线 Light" w:cs="黑体"/>
      <w:b w:val="0"/>
      <w:bCs w:val="0"/>
      <w:color w:val="2E5394"/>
      <w:kern w:val="0"/>
      <w:sz w:val="32"/>
      <w:szCs w:val="32"/>
    </w:rPr>
  </w:style>
  <w:style w:type="paragraph" w:customStyle="1" w:styleId="32">
    <w:name w:val="【条文】"/>
    <w:basedOn w:val="1"/>
    <w:qFormat/>
    <w:uiPriority w:val="0"/>
    <w:pPr>
      <w:spacing w:line="300" w:lineRule="auto"/>
    </w:pPr>
    <w:rPr>
      <w:rFonts w:ascii="宋体" w:hAnsi="宋体"/>
      <w:color w:val="auto"/>
      <w:kern w:val="2"/>
      <w:sz w:val="24"/>
      <w:szCs w:val="24"/>
    </w:rPr>
  </w:style>
  <w:style w:type="paragraph" w:customStyle="1" w:styleId="33">
    <w:name w:val="p0"/>
    <w:basedOn w:val="1"/>
    <w:qFormat/>
    <w:uiPriority w:val="0"/>
    <w:pPr>
      <w:widowControl/>
    </w:pPr>
    <w:rPr>
      <w:color w:val="auto"/>
    </w:rPr>
  </w:style>
  <w:style w:type="paragraph" w:customStyle="1" w:styleId="34">
    <w:name w:val="章"/>
    <w:basedOn w:val="1"/>
    <w:link w:val="56"/>
    <w:qFormat/>
    <w:uiPriority w:val="0"/>
    <w:pPr>
      <w:pageBreakBefore/>
      <w:numPr>
        <w:ilvl w:val="0"/>
        <w:numId w:val="2"/>
      </w:numPr>
      <w:adjustRightInd w:val="0"/>
      <w:snapToGrid w:val="0"/>
      <w:spacing w:beforeLines="100" w:afterLines="100" w:line="360" w:lineRule="auto"/>
      <w:jc w:val="center"/>
      <w:outlineLvl w:val="0"/>
    </w:pPr>
    <w:rPr>
      <w:b/>
      <w:color w:val="auto"/>
      <w:kern w:val="2"/>
      <w:sz w:val="28"/>
      <w:szCs w:val="20"/>
    </w:rPr>
  </w:style>
  <w:style w:type="paragraph" w:customStyle="1" w:styleId="35">
    <w:name w:val="节"/>
    <w:basedOn w:val="1"/>
    <w:qFormat/>
    <w:uiPriority w:val="0"/>
    <w:pPr>
      <w:numPr>
        <w:ilvl w:val="1"/>
        <w:numId w:val="2"/>
      </w:numPr>
      <w:adjustRightInd w:val="0"/>
      <w:snapToGrid w:val="0"/>
      <w:spacing w:beforeLines="100" w:afterLines="100" w:line="300" w:lineRule="auto"/>
      <w:jc w:val="center"/>
      <w:outlineLvl w:val="1"/>
    </w:pPr>
    <w:rPr>
      <w:b/>
      <w:color w:val="auto"/>
      <w:kern w:val="2"/>
      <w:sz w:val="24"/>
      <w:szCs w:val="24"/>
    </w:rPr>
  </w:style>
  <w:style w:type="paragraph" w:customStyle="1" w:styleId="36">
    <w:name w:val="条文"/>
    <w:basedOn w:val="1"/>
    <w:link w:val="57"/>
    <w:qFormat/>
    <w:uiPriority w:val="0"/>
    <w:pPr>
      <w:numPr>
        <w:ilvl w:val="2"/>
        <w:numId w:val="2"/>
      </w:numPr>
      <w:adjustRightInd w:val="0"/>
      <w:snapToGrid w:val="0"/>
      <w:spacing w:line="360" w:lineRule="auto"/>
      <w:outlineLvl w:val="2"/>
    </w:pPr>
    <w:rPr>
      <w:color w:val="auto"/>
      <w:kern w:val="2"/>
      <w:sz w:val="24"/>
      <w:szCs w:val="20"/>
    </w:rPr>
  </w:style>
  <w:style w:type="paragraph" w:customStyle="1" w:styleId="37">
    <w:name w:val="款"/>
    <w:basedOn w:val="1"/>
    <w:qFormat/>
    <w:uiPriority w:val="0"/>
    <w:pPr>
      <w:numPr>
        <w:ilvl w:val="3"/>
        <w:numId w:val="2"/>
      </w:numPr>
      <w:tabs>
        <w:tab w:val="left" w:pos="0"/>
      </w:tabs>
      <w:adjustRightInd w:val="0"/>
      <w:snapToGrid w:val="0"/>
      <w:spacing w:line="360" w:lineRule="auto"/>
    </w:pPr>
    <w:rPr>
      <w:color w:val="auto"/>
      <w:kern w:val="2"/>
      <w:sz w:val="24"/>
      <w:szCs w:val="20"/>
    </w:rPr>
  </w:style>
  <w:style w:type="paragraph" w:customStyle="1" w:styleId="38">
    <w:name w:val="目次、标准名称标题"/>
    <w:basedOn w:val="1"/>
    <w:next w:val="1"/>
    <w:qFormat/>
    <w:uiPriority w:val="0"/>
    <w:pPr>
      <w:keepNext/>
      <w:pageBreakBefore/>
      <w:widowControl/>
      <w:shd w:val="clear" w:color="FFFFFF" w:fill="FFFFFF"/>
      <w:spacing w:before="640" w:after="560" w:line="460" w:lineRule="exact"/>
      <w:jc w:val="center"/>
      <w:outlineLvl w:val="0"/>
    </w:pPr>
    <w:rPr>
      <w:rFonts w:ascii="黑体" w:eastAsia="黑体"/>
      <w:color w:val="auto"/>
      <w:sz w:val="32"/>
      <w:szCs w:val="20"/>
    </w:rPr>
  </w:style>
  <w:style w:type="character" w:customStyle="1" w:styleId="39">
    <w:name w:val="标题 1 Char"/>
    <w:link w:val="2"/>
    <w:qFormat/>
    <w:uiPriority w:val="9"/>
    <w:rPr>
      <w:rFonts w:ascii="Times New Roman" w:hAnsi="Times New Roman" w:eastAsia="宋体" w:cs="Times New Roman"/>
      <w:b/>
      <w:bCs/>
      <w:color w:val="0000FF"/>
      <w:kern w:val="44"/>
      <w:sz w:val="44"/>
      <w:szCs w:val="44"/>
    </w:rPr>
  </w:style>
  <w:style w:type="character" w:customStyle="1" w:styleId="40">
    <w:name w:val="标题 2 Char"/>
    <w:link w:val="3"/>
    <w:qFormat/>
    <w:uiPriority w:val="9"/>
    <w:rPr>
      <w:rFonts w:ascii="等线 Light" w:hAnsi="等线 Light" w:eastAsia="等线 Light" w:cs="黑体"/>
      <w:b/>
      <w:bCs/>
      <w:color w:val="0000FF"/>
      <w:kern w:val="0"/>
      <w:sz w:val="32"/>
      <w:szCs w:val="32"/>
    </w:rPr>
  </w:style>
  <w:style w:type="character" w:customStyle="1" w:styleId="41">
    <w:name w:val="页眉 Char"/>
    <w:link w:val="10"/>
    <w:qFormat/>
    <w:uiPriority w:val="99"/>
    <w:rPr>
      <w:rFonts w:ascii="Times New Roman" w:hAnsi="Times New Roman" w:eastAsia="宋体" w:cs="Times New Roman"/>
      <w:color w:val="0000FF"/>
      <w:kern w:val="0"/>
      <w:sz w:val="18"/>
      <w:szCs w:val="18"/>
    </w:rPr>
  </w:style>
  <w:style w:type="character" w:customStyle="1" w:styleId="42">
    <w:name w:val="页脚 Char"/>
    <w:link w:val="9"/>
    <w:qFormat/>
    <w:uiPriority w:val="99"/>
    <w:rPr>
      <w:rFonts w:ascii="Times New Roman" w:hAnsi="Times New Roman" w:eastAsia="宋体" w:cs="Times New Roman"/>
      <w:color w:val="0000FF"/>
      <w:kern w:val="0"/>
      <w:sz w:val="18"/>
      <w:szCs w:val="18"/>
    </w:rPr>
  </w:style>
  <w:style w:type="character" w:customStyle="1" w:styleId="43">
    <w:name w:val="日期 Char"/>
    <w:link w:val="7"/>
    <w:semiHidden/>
    <w:qFormat/>
    <w:uiPriority w:val="99"/>
    <w:rPr>
      <w:rFonts w:ascii="Times New Roman" w:hAnsi="Times New Roman" w:eastAsia="宋体" w:cs="Times New Roman"/>
      <w:color w:val="0000FF"/>
      <w:kern w:val="0"/>
      <w:szCs w:val="21"/>
    </w:rPr>
  </w:style>
  <w:style w:type="character" w:customStyle="1" w:styleId="44">
    <w:name w:val="标题 Char"/>
    <w:link w:val="15"/>
    <w:qFormat/>
    <w:uiPriority w:val="10"/>
    <w:rPr>
      <w:rFonts w:ascii="等线 Light" w:hAnsi="等线 Light" w:eastAsia="等线 Light" w:cs="黑体"/>
      <w:b/>
      <w:bCs/>
      <w:color w:val="0000FF"/>
      <w:kern w:val="0"/>
      <w:sz w:val="32"/>
      <w:szCs w:val="32"/>
    </w:rPr>
  </w:style>
  <w:style w:type="character" w:customStyle="1" w:styleId="45">
    <w:name w:val="副标题 Char"/>
    <w:link w:val="12"/>
    <w:uiPriority w:val="11"/>
    <w:rPr>
      <w:b/>
      <w:bCs/>
      <w:color w:val="0000FF"/>
      <w:kern w:val="28"/>
      <w:sz w:val="32"/>
      <w:szCs w:val="32"/>
    </w:rPr>
  </w:style>
  <w:style w:type="character" w:customStyle="1" w:styleId="46">
    <w:name w:val="批注文字 Char"/>
    <w:basedOn w:val="18"/>
    <w:link w:val="4"/>
    <w:qFormat/>
    <w:uiPriority w:val="0"/>
  </w:style>
  <w:style w:type="character" w:customStyle="1" w:styleId="47">
    <w:name w:val="批注主题 Char"/>
    <w:link w:val="16"/>
    <w:semiHidden/>
    <w:qFormat/>
    <w:uiPriority w:val="99"/>
    <w:rPr>
      <w:b/>
      <w:bCs/>
    </w:rPr>
  </w:style>
  <w:style w:type="character" w:customStyle="1" w:styleId="48">
    <w:name w:val="g插图 字符"/>
    <w:link w:val="24"/>
    <w:qFormat/>
    <w:uiPriority w:val="0"/>
    <w:rPr>
      <w:sz w:val="24"/>
    </w:rPr>
  </w:style>
  <w:style w:type="character" w:customStyle="1" w:styleId="49">
    <w:name w:val="g公式编号 字符"/>
    <w:link w:val="25"/>
    <w:qFormat/>
    <w:uiPriority w:val="0"/>
    <w:rPr>
      <w:sz w:val="24"/>
      <w:szCs w:val="21"/>
    </w:rPr>
  </w:style>
  <w:style w:type="character" w:customStyle="1" w:styleId="50">
    <w:name w:val="样式 小四 加粗"/>
    <w:qFormat/>
    <w:uiPriority w:val="0"/>
    <w:rPr>
      <w:bCs/>
      <w:sz w:val="21"/>
    </w:rPr>
  </w:style>
  <w:style w:type="character" w:customStyle="1" w:styleId="51">
    <w:name w:val="样式 小四"/>
    <w:qFormat/>
    <w:uiPriority w:val="0"/>
    <w:rPr>
      <w:sz w:val="21"/>
    </w:rPr>
  </w:style>
  <w:style w:type="character" w:customStyle="1" w:styleId="52">
    <w:name w:val="fw2"/>
    <w:basedOn w:val="18"/>
    <w:qFormat/>
    <w:uiPriority w:val="0"/>
  </w:style>
  <w:style w:type="character" w:customStyle="1" w:styleId="53">
    <w:name w:val="fontstyle01"/>
    <w:qFormat/>
    <w:uiPriority w:val="0"/>
    <w:rPr>
      <w:rFonts w:hint="eastAsia" w:ascii="宋体" w:hAnsi="宋体" w:eastAsia="宋体"/>
      <w:color w:val="000000"/>
      <w:sz w:val="22"/>
      <w:szCs w:val="22"/>
    </w:rPr>
  </w:style>
  <w:style w:type="character" w:customStyle="1" w:styleId="54">
    <w:name w:val="批注框文本 Char"/>
    <w:link w:val="8"/>
    <w:semiHidden/>
    <w:qFormat/>
    <w:uiPriority w:val="99"/>
    <w:rPr>
      <w:sz w:val="18"/>
      <w:szCs w:val="18"/>
    </w:rPr>
  </w:style>
  <w:style w:type="character" w:customStyle="1" w:styleId="55">
    <w:name w:val="正文文本 Char"/>
    <w:basedOn w:val="18"/>
    <w:link w:val="5"/>
    <w:semiHidden/>
    <w:qFormat/>
    <w:uiPriority w:val="99"/>
  </w:style>
  <w:style w:type="character" w:customStyle="1" w:styleId="56">
    <w:name w:val="章 Char"/>
    <w:link w:val="34"/>
    <w:qFormat/>
    <w:uiPriority w:val="0"/>
    <w:rPr>
      <w:rFonts w:ascii="Times New Roman" w:hAnsi="Times New Roman" w:eastAsia="宋体" w:cs="Times New Roman"/>
      <w:b/>
      <w:sz w:val="28"/>
      <w:szCs w:val="20"/>
    </w:rPr>
  </w:style>
  <w:style w:type="character" w:customStyle="1" w:styleId="57">
    <w:name w:val="条文 Char"/>
    <w:link w:val="36"/>
    <w:qFormat/>
    <w:locked/>
    <w:uiPriority w:val="0"/>
    <w:rPr>
      <w:rFonts w:ascii="Times New Roman" w:hAnsi="Times New Roman" w:eastAsia="宋体" w:cs="Times New Roman"/>
      <w:sz w:val="24"/>
      <w:szCs w:val="20"/>
    </w:rPr>
  </w:style>
  <w:style w:type="paragraph" w:styleId="5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emf"/><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numbering" Target="numbering.xml"/><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emf"/><Relationship Id="rId25" Type="http://schemas.openxmlformats.org/officeDocument/2006/relationships/image" Target="media/image21.emf"/><Relationship Id="rId24" Type="http://schemas.openxmlformats.org/officeDocument/2006/relationships/image" Target="media/image20.emf"/><Relationship Id="rId23" Type="http://schemas.openxmlformats.org/officeDocument/2006/relationships/image" Target="media/image19.emf"/><Relationship Id="rId22" Type="http://schemas.openxmlformats.org/officeDocument/2006/relationships/image" Target="media/image18.emf"/><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wmf"/><Relationship Id="rId12" Type="http://schemas.openxmlformats.org/officeDocument/2006/relationships/image" Target="media/image8.emf"/><Relationship Id="rId11" Type="http://schemas.openxmlformats.org/officeDocument/2006/relationships/image" Target="media/image7.emf"/><Relationship Id="rId10" Type="http://schemas.openxmlformats.org/officeDocument/2006/relationships/image" Target="media/image6.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B5ACB-2A6D-4630-8BCB-FAA837D51A59}">
  <ds:schemaRefs/>
</ds:datastoreItem>
</file>

<file path=docProps/app.xml><?xml version="1.0" encoding="utf-8"?>
<Properties xmlns="http://schemas.openxmlformats.org/officeDocument/2006/extended-properties" xmlns:vt="http://schemas.openxmlformats.org/officeDocument/2006/docPropsVTypes">
  <Template>Normal.dotm</Template>
  <Pages>102</Pages>
  <Words>59760</Words>
  <Characters>65926</Characters>
  <Lines>549</Lines>
  <Paragraphs>154</Paragraphs>
  <TotalTime>3668</TotalTime>
  <ScaleCrop>false</ScaleCrop>
  <LinksUpToDate>false</LinksUpToDate>
  <CharactersWithSpaces>67541</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2022-05-16T07:44:00Z</dcterms:created>
  <dc:creator>vieri</dc:creator>
  <cp:lastModifiedBy>周瑜</cp:lastModifiedBy>
  <cp:lastPrinted>2022-02-24T02:58:00Z</cp:lastPrinted>
  <dcterms:modified xsi:type="dcterms:W3CDTF">2022-06-09T01:44:43Z</dcterms:modified>
  <dc:title>中国工程建设标准化协会标准</dc:title>
  <cp:revision>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F0E58A44B3F24ABF86BA0E13DAEB8324</vt:lpwstr>
  </property>
</Properties>
</file>