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99" w:name="_GoBack"/>
      <w:bookmarkEnd w:id="99"/>
      <w:bookmarkStart w:id="0" w:name="_Hlk512244031"/>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11430" t="13970" r="14605" b="14605"/>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22265" cy="0"/>
                        </a:xfrm>
                        <a:prstGeom prst="line">
                          <a:avLst/>
                        </a:prstGeom>
                        <a:noFill/>
                        <a:ln w="19050">
                          <a:solidFill>
                            <a:srgbClr val="000000"/>
                          </a:solidFill>
                          <a:miter lim="800000"/>
                        </a:ln>
                      </wps:spPr>
                      <wps:bodyPr/>
                    </wps:wsp>
                  </a:graphicData>
                </a:graphic>
              </wp:anchor>
            </w:drawing>
          </mc:Choice>
          <mc:Fallback>
            <w:pict>
              <v:line id="直接连接符 1"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v/w7tUA&#10;AAAGAQAADwAAAAAAAAABACAAAAAiAAAAZHJzL2Rvd25yZXYueG1sUEsBAhQAFAAAAAgAh07iQNNL&#10;AGPpAQAAuAMAAA4AAAAAAAAAAQAgAAAAJAEAAGRycy9lMm9Eb2MueG1sUEsFBgAAAAAGAAYAWQEA&#10;AH8FAAAAAA==&#10;">
                <v:fill on="f" focussize="0,0"/>
                <v:stroke weight="1.5pt" color="#0000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outlineLvl w:val="0"/>
        <w:rPr>
          <w:b/>
          <w:bCs/>
          <w:color w:val="auto"/>
          <w:sz w:val="44"/>
          <w:szCs w:val="23"/>
        </w:rPr>
      </w:pPr>
      <w:bookmarkStart w:id="1" w:name="_Toc25684"/>
      <w:bookmarkStart w:id="2" w:name="_Toc15571"/>
      <w:r>
        <w:rPr>
          <w:color w:val="auto"/>
          <w:sz w:val="28"/>
        </w:rPr>
        <w:t>中国工程建设标准化协会标准</w:t>
      </w:r>
      <w:bookmarkEnd w:id="1"/>
      <w:bookmarkEnd w:id="2"/>
    </w:p>
    <w:p>
      <w:pPr>
        <w:pStyle w:val="44"/>
        <w:spacing w:line="360" w:lineRule="auto"/>
        <w:rPr>
          <w:rFonts w:eastAsia="宋体"/>
        </w:rPr>
      </w:pPr>
    </w:p>
    <w:p>
      <w:pPr>
        <w:pStyle w:val="43"/>
        <w:spacing w:line="360" w:lineRule="auto"/>
        <w:rPr>
          <w:rFonts w:eastAsia="宋体"/>
        </w:rPr>
      </w:pPr>
    </w:p>
    <w:p>
      <w:pPr>
        <w:pStyle w:val="42"/>
        <w:outlineLvl w:val="0"/>
      </w:pPr>
      <w:bookmarkStart w:id="3" w:name="_Toc29787"/>
      <w:bookmarkStart w:id="4" w:name="_Toc14443"/>
      <w:r>
        <w:rPr>
          <w:rFonts w:hint="eastAsia"/>
        </w:rPr>
        <w:t>零碳建筑及社区</w:t>
      </w:r>
      <w:r>
        <w:t>技术</w:t>
      </w:r>
      <w:bookmarkEnd w:id="3"/>
      <w:bookmarkEnd w:id="4"/>
      <w:r>
        <w:rPr>
          <w:rFonts w:hint="eastAsia"/>
        </w:rPr>
        <w:t>规程</w:t>
      </w:r>
    </w:p>
    <w:p>
      <w:pPr>
        <w:pStyle w:val="42"/>
        <w:rPr>
          <w:rFonts w:eastAsia="宋体"/>
          <w:sz w:val="32"/>
          <w:szCs w:val="32"/>
        </w:rPr>
      </w:pPr>
      <w:r>
        <w:rPr>
          <w:rFonts w:eastAsia="宋体"/>
          <w:sz w:val="32"/>
          <w:szCs w:val="32"/>
        </w:rPr>
        <w:t>T</w:t>
      </w:r>
      <w:r>
        <w:rPr>
          <w:rFonts w:hint="eastAsia" w:eastAsia="宋体"/>
          <w:sz w:val="32"/>
          <w:szCs w:val="32"/>
        </w:rPr>
        <w:t>echnical specification for zero carbon building and community</w:t>
      </w:r>
    </w:p>
    <w:p>
      <w:pPr>
        <w:pStyle w:val="42"/>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42"/>
        <w:rPr>
          <w:rFonts w:eastAsia="宋体"/>
        </w:rPr>
      </w:pPr>
    </w:p>
    <w:p>
      <w:pPr>
        <w:pStyle w:val="42"/>
        <w:rPr>
          <w:rFonts w:eastAsia="宋体"/>
        </w:rPr>
      </w:pPr>
    </w:p>
    <w:p>
      <w:pPr>
        <w:pStyle w:val="41"/>
        <w:spacing w:line="360" w:lineRule="auto"/>
        <w:rPr>
          <w:rFonts w:eastAsia="宋体" w:cs="Times New Roman"/>
        </w:rPr>
      </w:pPr>
    </w:p>
    <w:p>
      <w:pPr>
        <w:pStyle w:val="41"/>
        <w:spacing w:line="360" w:lineRule="auto"/>
        <w:rPr>
          <w:rFonts w:eastAsia="宋体" w:cs="Times New Roman"/>
        </w:rPr>
      </w:pPr>
    </w:p>
    <w:p>
      <w:pPr>
        <w:pStyle w:val="41"/>
        <w:spacing w:line="360" w:lineRule="auto"/>
        <w:jc w:val="both"/>
        <w:rPr>
          <w:rFonts w:eastAsia="宋体" w:cs="Times New Roman"/>
        </w:rPr>
      </w:pPr>
    </w:p>
    <w:p>
      <w:pPr>
        <w:pStyle w:val="41"/>
        <w:spacing w:line="360" w:lineRule="auto"/>
        <w:rPr>
          <w:rFonts w:eastAsia="宋体" w:cs="Times New Roman"/>
        </w:rPr>
      </w:pPr>
    </w:p>
    <w:p>
      <w:pPr>
        <w:pStyle w:val="41"/>
        <w:spacing w:line="360" w:lineRule="auto"/>
        <w:rPr>
          <w:rFonts w:eastAsia="宋体" w:cs="Times New Roman"/>
        </w:rPr>
      </w:pPr>
    </w:p>
    <w:p>
      <w:pPr>
        <w:rPr>
          <w:b/>
          <w:bCs/>
          <w:sz w:val="52"/>
          <w:szCs w:val="84"/>
        </w:rPr>
      </w:pPr>
    </w:p>
    <w:p>
      <w:pPr>
        <w:rPr>
          <w:b/>
          <w:bCs/>
          <w:sz w:val="52"/>
          <w:szCs w:val="84"/>
        </w:rPr>
      </w:pPr>
    </w:p>
    <w:p>
      <w:pPr>
        <w:pStyle w:val="41"/>
        <w:rPr>
          <w:rFonts w:ascii="微软雅黑" w:hAnsi="微软雅黑" w:eastAsia="微软雅黑"/>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outlineLvl w:val="0"/>
        <w:rPr>
          <w:color w:val="auto"/>
          <w:sz w:val="28"/>
          <w:szCs w:val="22"/>
        </w:rPr>
      </w:pPr>
      <w:bookmarkStart w:id="5" w:name="_Toc6509"/>
      <w:bookmarkStart w:id="6" w:name="_Toc389"/>
      <w:r>
        <w:rPr>
          <w:color w:val="auto"/>
          <w:sz w:val="28"/>
          <w:szCs w:val="22"/>
        </w:rPr>
        <w:t>中国工程建设标准化协会标准</w:t>
      </w:r>
      <w:bookmarkEnd w:id="5"/>
      <w:bookmarkEnd w:id="6"/>
    </w:p>
    <w:p>
      <w:pPr>
        <w:spacing w:line="360" w:lineRule="auto"/>
        <w:jc w:val="center"/>
        <w:rPr>
          <w:sz w:val="28"/>
          <w:szCs w:val="28"/>
        </w:rPr>
      </w:pPr>
    </w:p>
    <w:p>
      <w:pPr>
        <w:pStyle w:val="42"/>
        <w:outlineLvl w:val="0"/>
      </w:pPr>
      <w:bookmarkStart w:id="7" w:name="_Toc31042"/>
      <w:bookmarkStart w:id="8" w:name="_Toc26804"/>
      <w:r>
        <w:rPr>
          <w:rFonts w:hint="eastAsia"/>
        </w:rPr>
        <w:t>零碳建筑及社区</w:t>
      </w:r>
      <w:r>
        <w:t>技术</w:t>
      </w:r>
      <w:bookmarkEnd w:id="7"/>
      <w:r>
        <w:rPr>
          <w:rFonts w:hint="eastAsia"/>
          <w:lang w:val="en-US" w:eastAsia="zh-CN"/>
        </w:rPr>
        <w:t>规程</w:t>
      </w:r>
      <w:bookmarkEnd w:id="8"/>
    </w:p>
    <w:p>
      <w:pPr>
        <w:pStyle w:val="42"/>
        <w:rPr>
          <w:sz w:val="24"/>
          <w:szCs w:val="22"/>
        </w:rPr>
      </w:pPr>
      <w:r>
        <w:rPr>
          <w:rFonts w:eastAsia="宋体"/>
          <w:sz w:val="32"/>
          <w:szCs w:val="32"/>
        </w:rPr>
        <w:t>T</w:t>
      </w:r>
      <w:r>
        <w:rPr>
          <w:rFonts w:hint="eastAsia" w:eastAsia="宋体"/>
          <w:sz w:val="32"/>
          <w:szCs w:val="32"/>
        </w:rPr>
        <w:t>echnical specification for zero carbon building and community</w:t>
      </w:r>
    </w:p>
    <w:p>
      <w:pPr>
        <w:spacing w:line="360" w:lineRule="auto"/>
        <w:jc w:val="center"/>
        <w:outlineLvl w:val="0"/>
        <w:rPr>
          <w:b/>
          <w:color w:val="auto"/>
          <w:sz w:val="24"/>
        </w:rPr>
      </w:pPr>
      <w:bookmarkStart w:id="9" w:name="_Toc16674"/>
      <w:bookmarkStart w:id="10" w:name="_Toc18774"/>
      <w:r>
        <w:rPr>
          <w:b/>
          <w:color w:val="auto"/>
          <w:sz w:val="24"/>
        </w:rPr>
        <w:t>T/CECS *** -20XX</w:t>
      </w:r>
      <w:bookmarkEnd w:id="9"/>
      <w:bookmarkEnd w:id="10"/>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color w:val="auto"/>
        </w:rPr>
      </w:pPr>
      <w:r>
        <w:rPr>
          <w:color w:val="auto"/>
        </w:rPr>
        <w:t>主编单位：</w:t>
      </w:r>
      <w:r>
        <w:rPr>
          <w:rFonts w:hint="eastAsia"/>
          <w:color w:val="auto"/>
        </w:rPr>
        <w:t>建科环能科技有限公司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outlineLvl w:val="0"/>
        <w:rPr>
          <w:rFonts w:ascii="宋体" w:hAnsi="宋体" w:cs="宋体"/>
          <w:b/>
          <w:color w:val="auto"/>
          <w:kern w:val="44"/>
          <w:sz w:val="28"/>
        </w:rPr>
      </w:pPr>
      <w:bookmarkStart w:id="11" w:name="_Toc24145"/>
      <w:bookmarkStart w:id="12" w:name="_Toc9111"/>
      <w:r>
        <w:rPr>
          <w:rFonts w:hint="eastAsia"/>
          <w:color w:val="auto"/>
          <w:sz w:val="24"/>
          <w:szCs w:val="22"/>
        </w:rPr>
        <w:t>2</w:t>
      </w:r>
      <w:r>
        <w:rPr>
          <w:color w:val="auto"/>
          <w:sz w:val="24"/>
          <w:szCs w:val="22"/>
        </w:rPr>
        <w:t>0</w:t>
      </w:r>
      <w:r>
        <w:rPr>
          <w:color w:val="auto"/>
        </w:rPr>
        <w:t>XX</w:t>
      </w:r>
      <w:r>
        <w:rPr>
          <w:color w:val="auto"/>
          <w:sz w:val="24"/>
          <w:szCs w:val="22"/>
        </w:rPr>
        <w:t xml:space="preserve"> </w:t>
      </w:r>
      <w:r>
        <w:rPr>
          <w:rFonts w:hint="eastAsia"/>
          <w:color w:val="auto"/>
          <w:sz w:val="24"/>
          <w:szCs w:val="22"/>
        </w:rPr>
        <w:t>北京</w:t>
      </w:r>
      <w:bookmarkEnd w:id="11"/>
      <w:bookmarkEnd w:id="12"/>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rPr>
          <w:rFonts w:ascii="宋体" w:hAnsi="宋体" w:cs="宋体"/>
          <w:b/>
          <w:color w:val="auto"/>
          <w:kern w:val="2"/>
          <w:sz w:val="24"/>
          <w:szCs w:val="24"/>
        </w:rPr>
      </w:pPr>
      <w:r>
        <w:rPr>
          <w:rFonts w:hint="eastAsia" w:ascii="宋体" w:hAnsi="宋体" w:cs="宋体"/>
          <w:b/>
          <w:color w:val="auto"/>
          <w:kern w:val="44"/>
          <w:sz w:val="28"/>
          <w:szCs w:val="24"/>
        </w:rPr>
        <w:t>前  言</w:t>
      </w:r>
    </w:p>
    <w:p>
      <w:pPr>
        <w:pStyle w:val="27"/>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rPr>
        <w:t>《</w:t>
      </w:r>
      <w:r>
        <w:rPr>
          <w:rFonts w:ascii="Times New Roman" w:hAnsi="Times New Roman" w:cs="Times New Roman"/>
          <w:color w:val="auto"/>
        </w:rPr>
        <w:t>关于印发</w:t>
      </w:r>
      <w:r>
        <w:rPr>
          <w:rFonts w:hint="eastAsia" w:ascii="Times New Roman" w:hAnsi="Times New Roman" w:cs="Times New Roman"/>
          <w:color w:val="auto"/>
        </w:rPr>
        <w:t>&lt;</w:t>
      </w:r>
      <w:r>
        <w:rPr>
          <w:rFonts w:ascii="Times New Roman" w:hAnsi="Times New Roman" w:cs="Times New Roman"/>
          <w:color w:val="auto"/>
        </w:rPr>
        <w:t>20</w:t>
      </w:r>
      <w:r>
        <w:rPr>
          <w:rFonts w:hint="eastAsia" w:ascii="Times New Roman" w:hAnsi="Times New Roman" w:cs="Times New Roman"/>
          <w:color w:val="auto"/>
        </w:rPr>
        <w:t>20</w:t>
      </w:r>
      <w:r>
        <w:rPr>
          <w:rFonts w:ascii="Times New Roman" w:hAnsi="Times New Roman" w:cs="Times New Roman"/>
          <w:color w:val="auto"/>
        </w:rPr>
        <w:t>年第</w:t>
      </w:r>
      <w:r>
        <w:rPr>
          <w:rFonts w:hint="eastAsia" w:ascii="Times New Roman" w:hAnsi="Times New Roman" w:cs="Times New Roman"/>
          <w:color w:val="auto"/>
        </w:rPr>
        <w:t>二</w:t>
      </w:r>
      <w:r>
        <w:rPr>
          <w:rFonts w:ascii="Times New Roman" w:hAnsi="Times New Roman" w:cs="Times New Roman"/>
          <w:color w:val="auto"/>
        </w:rPr>
        <w:t>批协会标准制订、修订计划</w:t>
      </w:r>
      <w:r>
        <w:rPr>
          <w:rFonts w:hint="eastAsia" w:ascii="Times New Roman" w:hAnsi="Times New Roman" w:cs="Times New Roman"/>
          <w:color w:val="auto"/>
        </w:rPr>
        <w:t>&gt;</w:t>
      </w:r>
      <w:r>
        <w:rPr>
          <w:rFonts w:ascii="Times New Roman" w:hAnsi="Times New Roman" w:cs="Times New Roman"/>
          <w:color w:val="auto"/>
        </w:rPr>
        <w:t>的通知》（建标协字[20</w:t>
      </w:r>
      <w:r>
        <w:rPr>
          <w:rFonts w:hint="eastAsia" w:ascii="Times New Roman" w:hAnsi="Times New Roman" w:cs="Times New Roman"/>
          <w:color w:val="auto"/>
        </w:rPr>
        <w:t>20</w:t>
      </w:r>
      <w:r>
        <w:rPr>
          <w:rFonts w:ascii="Times New Roman" w:hAnsi="Times New Roman" w:cs="Times New Roman"/>
          <w:color w:val="auto"/>
        </w:rPr>
        <w:t>]</w:t>
      </w:r>
      <w:r>
        <w:rPr>
          <w:rFonts w:hint="eastAsia" w:ascii="Times New Roman" w:hAnsi="Times New Roman" w:cs="Times New Roman"/>
          <w:color w:val="auto"/>
        </w:rPr>
        <w:t>23</w:t>
      </w:r>
      <w:r>
        <w:rPr>
          <w:rFonts w:ascii="Times New Roman" w:hAnsi="Times New Roman" w:cs="Times New Roman"/>
          <w:color w:val="auto"/>
        </w:rPr>
        <w:t>号）的要求，编制组经</w:t>
      </w:r>
      <w:r>
        <w:rPr>
          <w:rFonts w:hint="eastAsia" w:ascii="宋体" w:hAnsi="宋体"/>
        </w:rPr>
        <w:t>深入</w:t>
      </w:r>
      <w:r>
        <w:rPr>
          <w:rFonts w:ascii="Times New Roman" w:hAnsi="Times New Roman" w:cs="Times New Roman"/>
          <w:color w:val="auto"/>
        </w:rPr>
        <w:t>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w:t>
      </w:r>
      <w:r>
        <w:rPr>
          <w:rFonts w:hint="eastAsia" w:ascii="宋体" w:hAnsi="宋体"/>
        </w:rPr>
        <w:t>参考</w:t>
      </w:r>
      <w:r>
        <w:rPr>
          <w:rFonts w:hint="eastAsia" w:ascii="Times New Roman" w:hAnsi="Times New Roman" w:cs="Times New Roman"/>
        </w:rPr>
        <w:t>有关</w:t>
      </w:r>
      <w:r>
        <w:rPr>
          <w:rFonts w:hint="eastAsia" w:ascii="宋体" w:hAnsi="宋体"/>
        </w:rPr>
        <w:t>国内外先进标准，</w:t>
      </w:r>
      <w:r>
        <w:rPr>
          <w:rFonts w:ascii="Times New Roman" w:hAnsi="Times New Roman" w:cs="Times New Roman"/>
          <w:color w:val="auto"/>
        </w:rPr>
        <w:t>并在广泛征求意见的基础上，</w:t>
      </w:r>
      <w:r>
        <w:rPr>
          <w:rFonts w:hint="eastAsia" w:ascii="Times New Roman" w:hAnsi="Times New Roman" w:cs="Times New Roman"/>
          <w:color w:val="auto"/>
        </w:rPr>
        <w:t>制定</w:t>
      </w:r>
      <w:r>
        <w:rPr>
          <w:rFonts w:ascii="Times New Roman" w:hAnsi="Times New Roman" w:cs="Times New Roman"/>
          <w:color w:val="auto"/>
        </w:rPr>
        <w:t>本</w:t>
      </w:r>
      <w:r>
        <w:rPr>
          <w:rFonts w:hint="eastAsia" w:ascii="Times New Roman" w:hAnsi="Times New Roman" w:cs="Times New Roman"/>
          <w:color w:val="auto"/>
        </w:rPr>
        <w:t>规程</w:t>
      </w:r>
      <w:r>
        <w:rPr>
          <w:rFonts w:ascii="Times New Roman" w:hAnsi="Times New Roman" w:cs="Times New Roman"/>
          <w:color w:val="auto"/>
        </w:rPr>
        <w:t xml:space="preserve">。 </w:t>
      </w:r>
    </w:p>
    <w:p>
      <w:pPr>
        <w:spacing w:line="360" w:lineRule="auto"/>
        <w:ind w:firstLine="480" w:firstLineChars="200"/>
        <w:rPr>
          <w:color w:val="auto"/>
          <w:sz w:val="24"/>
          <w:szCs w:val="24"/>
        </w:rPr>
      </w:pPr>
      <w:r>
        <w:rPr>
          <w:color w:val="auto"/>
          <w:sz w:val="24"/>
          <w:szCs w:val="24"/>
        </w:rPr>
        <w:t>本</w:t>
      </w:r>
      <w:r>
        <w:rPr>
          <w:rFonts w:hint="eastAsia"/>
          <w:color w:val="auto"/>
          <w:sz w:val="24"/>
          <w:szCs w:val="24"/>
        </w:rPr>
        <w:t>规程</w:t>
      </w:r>
      <w:r>
        <w:rPr>
          <w:color w:val="auto"/>
          <w:sz w:val="24"/>
          <w:szCs w:val="24"/>
        </w:rPr>
        <w:t>共分</w:t>
      </w:r>
      <w:r>
        <w:rPr>
          <w:rFonts w:hint="eastAsia"/>
          <w:color w:val="auto"/>
          <w:sz w:val="24"/>
          <w:szCs w:val="24"/>
        </w:rPr>
        <w:t>6</w:t>
      </w:r>
      <w:r>
        <w:rPr>
          <w:color w:val="auto"/>
          <w:sz w:val="24"/>
          <w:szCs w:val="24"/>
        </w:rPr>
        <w:t>章和</w:t>
      </w:r>
      <w:r>
        <w:rPr>
          <w:rFonts w:hint="eastAsia"/>
          <w:color w:val="auto"/>
          <w:sz w:val="24"/>
          <w:szCs w:val="24"/>
        </w:rPr>
        <w:t>1个附录，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总则、术语、基本规定、技术指标、技术措施、 评价。</w:t>
      </w:r>
    </w:p>
    <w:p>
      <w:pPr>
        <w:spacing w:line="360" w:lineRule="auto"/>
        <w:ind w:firstLine="480" w:firstLineChars="200"/>
        <w:rPr>
          <w:color w:val="auto"/>
          <w:sz w:val="24"/>
          <w:szCs w:val="24"/>
        </w:rPr>
      </w:pPr>
      <w:r>
        <w:rPr>
          <w:rFonts w:hint="eastAsia"/>
          <w:color w:val="auto"/>
          <w:sz w:val="24"/>
          <w:szCs w:val="24"/>
        </w:rPr>
        <w:t>本规程的某些内容可能直接或间接涉及专利，本规程的发布机构不承担识别这些专利的责任。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本规程由中国工程建设标准化协会</w:t>
      </w:r>
      <w:r>
        <w:rPr>
          <w:rFonts w:hint="eastAsia" w:ascii="宋体" w:cs="宋体" w:hAnsiTheme="minorHAnsi"/>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建科环能科技有限公司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反馈给建科环能科技有限公司（地址：北京市朝阳区安外小黄庄路9号，邮政编码：100013，邮箱：</w:t>
      </w:r>
      <w:r>
        <w:rPr>
          <w:rFonts w:hint="eastAsia"/>
          <w:color w:val="auto"/>
          <w:sz w:val="24"/>
          <w:szCs w:val="24"/>
          <w:lang w:val="en-US" w:eastAsia="zh-CN"/>
        </w:rPr>
        <w:t>ibeestudio@163.com</w:t>
      </w:r>
      <w:r>
        <w:rPr>
          <w:color w:val="auto"/>
          <w:sz w:val="24"/>
          <w:szCs w:val="24"/>
        </w:rPr>
        <w:t>）</w:t>
      </w:r>
      <w:r>
        <w:rPr>
          <w:rFonts w:hint="eastAsia" w:ascii="Calibri" w:hAnsi="Calibri" w:cs="Calibri"/>
          <w:color w:val="auto"/>
          <w:sz w:val="24"/>
          <w:szCs w:val="24"/>
        </w:rPr>
        <w:t>。</w:t>
      </w:r>
    </w:p>
    <w:p>
      <w:pPr>
        <w:spacing w:line="360" w:lineRule="auto"/>
        <w:ind w:firstLine="480" w:firstLineChars="200"/>
        <w:rPr>
          <w:color w:val="auto"/>
          <w:sz w:val="24"/>
          <w:szCs w:val="24"/>
        </w:rPr>
      </w:pPr>
      <w:r>
        <w:rPr>
          <w:rFonts w:hint="eastAsia"/>
          <w:color w:val="auto"/>
          <w:sz w:val="24"/>
          <w:szCs w:val="24"/>
        </w:rPr>
        <w:t>主编单位：建科环能科技有限公司</w:t>
      </w:r>
    </w:p>
    <w:p>
      <w:pPr>
        <w:spacing w:line="360" w:lineRule="auto"/>
        <w:ind w:firstLine="480" w:firstLineChars="200"/>
        <w:rPr>
          <w:color w:val="auto"/>
          <w:sz w:val="24"/>
          <w:szCs w:val="24"/>
        </w:rPr>
      </w:pPr>
      <w:r>
        <w:rPr>
          <w:rFonts w:hint="eastAsia"/>
          <w:color w:val="auto"/>
          <w:sz w:val="24"/>
          <w:szCs w:val="24"/>
        </w:rPr>
        <w:t>参编单位：</w:t>
      </w: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rFonts w:ascii="宋体" w:hAnsi="宋体" w:cs="宋体"/>
          <w:color w:val="auto"/>
          <w:sz w:val="24"/>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27"/>
        <w:spacing w:after="240"/>
        <w:jc w:val="center"/>
      </w:pPr>
      <w:r>
        <w:rPr>
          <w:rFonts w:hint="eastAsia" w:ascii="黑体" w:hAnsi="黑体" w:eastAsia="黑体" w:cs="Times New Roman"/>
          <w:bCs/>
          <w:color w:val="auto"/>
          <w:sz w:val="36"/>
          <w:szCs w:val="32"/>
        </w:rPr>
        <w:t>目 次</w:t>
      </w:r>
    </w:p>
    <w:sdt>
      <w:sdtPr>
        <w:rPr>
          <w:rFonts w:ascii="Times New Roman" w:hAnsi="Times New Roman"/>
          <w:color w:val="0000FF"/>
        </w:rPr>
        <w:id w:val="147451503"/>
        <w15:color w:val="DBDBDB"/>
        <w:docPartObj>
          <w:docPartGallery w:val="Table of Contents"/>
          <w:docPartUnique/>
        </w:docPartObj>
      </w:sdtPr>
      <w:sdtEndPr>
        <w:rPr>
          <w:rStyle w:val="22"/>
          <w:rFonts w:ascii="Times New Roman" w:hAnsi="Times New Roman"/>
          <w:color w:val="000000" w:themeColor="text1"/>
          <w:u w:val="single"/>
          <w14:textFill>
            <w14:solidFill>
              <w14:schemeClr w14:val="tx1"/>
            </w14:solidFill>
          </w14:textFill>
        </w:rPr>
      </w:sdtEndPr>
      <w:sdtContent>
        <w:p>
          <w:pPr>
            <w:pStyle w:val="13"/>
            <w:rPr>
              <w:rFonts w:cs="宋体"/>
              <w:color w:val="000000" w:themeColor="text1"/>
              <w:u w:val="single"/>
              <w14:textFill>
                <w14:solidFill>
                  <w14:schemeClr w14:val="tx1"/>
                </w14:solidFill>
              </w14:textFill>
            </w:rPr>
          </w:pPr>
          <w:r>
            <w:rPr>
              <w:rStyle w:val="22"/>
              <w:color w:val="000000" w:themeColor="text1"/>
              <w14:textFill>
                <w14:solidFill>
                  <w14:schemeClr w14:val="tx1"/>
                </w14:solidFill>
              </w14:textFill>
            </w:rPr>
            <w:fldChar w:fldCharType="begin"/>
          </w:r>
          <w:r>
            <w:rPr>
              <w:rStyle w:val="22"/>
              <w:color w:val="000000" w:themeColor="text1"/>
              <w14:textFill>
                <w14:solidFill>
                  <w14:schemeClr w14:val="tx1"/>
                </w14:solidFill>
              </w14:textFill>
            </w:rPr>
            <w:instrText xml:space="preserve">TOC \o "1-1" \h \u </w:instrText>
          </w:r>
          <w:r>
            <w:rPr>
              <w:rStyle w:val="22"/>
              <w:color w:val="000000" w:themeColor="text1"/>
              <w14:textFill>
                <w14:solidFill>
                  <w14:schemeClr w14:val="tx1"/>
                </w14:solidFill>
              </w14:textFill>
            </w:rPr>
            <w:fldChar w:fldCharType="separate"/>
          </w:r>
        </w:p>
        <w:p>
          <w:pPr>
            <w:pStyle w:val="13"/>
            <w:tabs>
              <w:tab w:val="right" w:leader="dot" w:pos="8306"/>
              <w:tab w:val="clear" w:pos="8296"/>
            </w:tabs>
            <w:rPr>
              <w:rFonts w:cs="宋体"/>
            </w:rPr>
          </w:pPr>
          <w:r>
            <w:fldChar w:fldCharType="begin"/>
          </w:r>
          <w:r>
            <w:instrText xml:space="preserve"> HYPERLINK \l "_Toc20076" </w:instrText>
          </w:r>
          <w:r>
            <w:fldChar w:fldCharType="separate"/>
          </w:r>
          <w:r>
            <w:rPr>
              <w:rFonts w:hint="eastAsia" w:cs="宋体"/>
              <w:szCs w:val="32"/>
            </w:rPr>
            <w:t>1 总则</w:t>
          </w:r>
          <w:r>
            <w:rPr>
              <w:rFonts w:hint="eastAsia" w:cs="宋体"/>
            </w:rPr>
            <w:tab/>
          </w:r>
          <w:r>
            <w:rPr>
              <w:rFonts w:hint="eastAsia" w:cs="宋体"/>
            </w:rPr>
            <w:fldChar w:fldCharType="begin"/>
          </w:r>
          <w:r>
            <w:rPr>
              <w:rFonts w:hint="eastAsia" w:cs="宋体"/>
            </w:rPr>
            <w:instrText xml:space="preserve"> PAGEREF _Toc20076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"_Toc13797" </w:instrText>
          </w:r>
          <w:r>
            <w:fldChar w:fldCharType="separate"/>
          </w:r>
          <w:r>
            <w:rPr>
              <w:rFonts w:hint="eastAsia" w:cs="宋体"/>
              <w:szCs w:val="32"/>
            </w:rPr>
            <w:t>2 术语</w:t>
          </w:r>
          <w:r>
            <w:rPr>
              <w:rFonts w:hint="eastAsia" w:cs="宋体"/>
            </w:rPr>
            <w:tab/>
          </w:r>
          <w:r>
            <w:rPr>
              <w:rFonts w:hint="eastAsia" w:cs="宋体"/>
            </w:rPr>
            <w:fldChar w:fldCharType="begin"/>
          </w:r>
          <w:r>
            <w:rPr>
              <w:rFonts w:hint="eastAsia" w:cs="宋体"/>
            </w:rPr>
            <w:instrText xml:space="preserve"> PAGEREF _Toc13797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"_Toc18765" </w:instrText>
          </w:r>
          <w:r>
            <w:fldChar w:fldCharType="separate"/>
          </w:r>
          <w:r>
            <w:rPr>
              <w:rFonts w:hint="eastAsia" w:cs="宋体"/>
              <w:szCs w:val="32"/>
            </w:rPr>
            <w:t>3 基本规定</w:t>
          </w:r>
          <w:r>
            <w:rPr>
              <w:rFonts w:hint="eastAsia" w:cs="宋体"/>
            </w:rPr>
            <w:tab/>
          </w:r>
          <w:r>
            <w:rPr>
              <w:rFonts w:hint="eastAsia" w:cs="宋体"/>
            </w:rPr>
            <w:fldChar w:fldCharType="begin"/>
          </w:r>
          <w:r>
            <w:rPr>
              <w:rFonts w:hint="eastAsia" w:cs="宋体"/>
            </w:rPr>
            <w:instrText xml:space="preserve"> PAGEREF _Toc18765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"_Toc7699" </w:instrText>
          </w:r>
          <w:r>
            <w:fldChar w:fldCharType="separate"/>
          </w:r>
          <w:r>
            <w:rPr>
              <w:rFonts w:hint="eastAsia" w:cs="宋体"/>
              <w:szCs w:val="28"/>
            </w:rPr>
            <w:t>3.1 一般规定</w:t>
          </w:r>
          <w:r>
            <w:rPr>
              <w:rFonts w:hint="eastAsia" w:cs="宋体"/>
            </w:rPr>
            <w:tab/>
          </w:r>
          <w:r>
            <w:rPr>
              <w:rFonts w:hint="eastAsia" w:cs="宋体"/>
            </w:rPr>
            <w:fldChar w:fldCharType="begin"/>
          </w:r>
          <w:r>
            <w:rPr>
              <w:rFonts w:hint="eastAsia" w:cs="宋体"/>
            </w:rPr>
            <w:instrText xml:space="preserve"> PAGEREF _Toc7699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"_Toc28018" </w:instrText>
          </w:r>
          <w:r>
            <w:fldChar w:fldCharType="separate"/>
          </w:r>
          <w:r>
            <w:rPr>
              <w:rFonts w:hint="eastAsia" w:cs="宋体"/>
              <w:szCs w:val="28"/>
            </w:rPr>
            <w:t>3.2 碳排放计算范围</w:t>
          </w:r>
          <w:r>
            <w:rPr>
              <w:rFonts w:hint="eastAsia" w:cs="宋体"/>
            </w:rPr>
            <w:tab/>
          </w:r>
          <w:r>
            <w:rPr>
              <w:rFonts w:hint="eastAsia" w:cs="宋体"/>
            </w:rPr>
            <w:fldChar w:fldCharType="begin"/>
          </w:r>
          <w:r>
            <w:rPr>
              <w:rFonts w:hint="eastAsia" w:cs="宋体"/>
            </w:rPr>
            <w:instrText xml:space="preserve"> PAGEREF _Toc28018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"_Toc6056" </w:instrText>
          </w:r>
          <w:r>
            <w:fldChar w:fldCharType="separate"/>
          </w:r>
          <w:r>
            <w:rPr>
              <w:rFonts w:hint="eastAsia" w:cs="宋体"/>
              <w:szCs w:val="32"/>
            </w:rPr>
            <w:t>4 技术指标</w:t>
          </w:r>
          <w:r>
            <w:rPr>
              <w:rFonts w:hint="eastAsia" w:cs="宋体"/>
            </w:rPr>
            <w:tab/>
          </w:r>
          <w:r>
            <w:rPr>
              <w:rFonts w:hint="eastAsia" w:cs="宋体"/>
            </w:rPr>
            <w:fldChar w:fldCharType="begin"/>
          </w:r>
          <w:r>
            <w:rPr>
              <w:rFonts w:hint="eastAsia" w:cs="宋体"/>
            </w:rPr>
            <w:instrText xml:space="preserve"> PAGEREF _Toc6056 \h </w:instrText>
          </w:r>
          <w:r>
            <w:rPr>
              <w:rFonts w:hint="eastAsia" w:cs="宋体"/>
            </w:rPr>
            <w:fldChar w:fldCharType="separate"/>
          </w:r>
          <w:r>
            <w:rPr>
              <w:rFonts w:hint="eastAsia" w:cs="宋体"/>
            </w:rPr>
            <w:t>10</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"_Toc32672" </w:instrText>
          </w:r>
          <w:r>
            <w:fldChar w:fldCharType="separate"/>
          </w:r>
          <w:r>
            <w:rPr>
              <w:rFonts w:hint="eastAsia" w:cs="宋体"/>
              <w:szCs w:val="28"/>
            </w:rPr>
            <w:t>4.1 零碳建筑</w:t>
          </w:r>
          <w:r>
            <w:rPr>
              <w:rFonts w:hint="eastAsia" w:cs="宋体"/>
            </w:rPr>
            <w:tab/>
          </w:r>
          <w:r>
            <w:rPr>
              <w:rFonts w:hint="eastAsia" w:cs="宋体"/>
            </w:rPr>
            <w:fldChar w:fldCharType="begin"/>
          </w:r>
          <w:r>
            <w:rPr>
              <w:rFonts w:hint="eastAsia" w:cs="宋体"/>
            </w:rPr>
            <w:instrText xml:space="preserve"> PAGEREF _Toc32672 \h </w:instrText>
          </w:r>
          <w:r>
            <w:rPr>
              <w:rFonts w:hint="eastAsia" w:cs="宋体"/>
            </w:rPr>
            <w:fldChar w:fldCharType="separate"/>
          </w:r>
          <w:r>
            <w:rPr>
              <w:rFonts w:hint="eastAsia" w:cs="宋体"/>
            </w:rPr>
            <w:t>10</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"_Toc4646" </w:instrText>
          </w:r>
          <w:r>
            <w:fldChar w:fldCharType="separate"/>
          </w:r>
          <w:r>
            <w:rPr>
              <w:rFonts w:hint="eastAsia" w:cs="宋体"/>
              <w:szCs w:val="28"/>
            </w:rPr>
            <w:t>4.2 零碳社区</w:t>
          </w:r>
          <w:r>
            <w:rPr>
              <w:rFonts w:hint="eastAsia" w:cs="宋体"/>
            </w:rPr>
            <w:tab/>
          </w:r>
          <w:r>
            <w:rPr>
              <w:rFonts w:hint="eastAsia" w:cs="宋体"/>
            </w:rPr>
            <w:fldChar w:fldCharType="begin"/>
          </w:r>
          <w:r>
            <w:rPr>
              <w:rFonts w:hint="eastAsia" w:cs="宋体"/>
            </w:rPr>
            <w:instrText xml:space="preserve"> PAGEREF _Toc4646 \h </w:instrText>
          </w:r>
          <w:r>
            <w:rPr>
              <w:rFonts w:hint="eastAsia" w:cs="宋体"/>
            </w:rPr>
            <w:fldChar w:fldCharType="separate"/>
          </w:r>
          <w:r>
            <w:rPr>
              <w:rFonts w:hint="eastAsia" w:cs="宋体"/>
            </w:rPr>
            <w:t>11</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"_Toc28297" </w:instrText>
          </w:r>
          <w:r>
            <w:fldChar w:fldCharType="separate"/>
          </w:r>
          <w:r>
            <w:rPr>
              <w:rFonts w:hint="eastAsia" w:cs="宋体"/>
              <w:szCs w:val="32"/>
            </w:rPr>
            <w:t>5 技术措施</w:t>
          </w:r>
          <w:r>
            <w:rPr>
              <w:rFonts w:hint="eastAsia" w:cs="宋体"/>
            </w:rPr>
            <w:tab/>
          </w:r>
          <w:r>
            <w:rPr>
              <w:rFonts w:hint="eastAsia" w:cs="宋体"/>
            </w:rPr>
            <w:fldChar w:fldCharType="begin"/>
          </w:r>
          <w:r>
            <w:rPr>
              <w:rFonts w:hint="eastAsia" w:cs="宋体"/>
            </w:rPr>
            <w:instrText xml:space="preserve"> PAGEREF _Toc28297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"_Toc16372" </w:instrText>
          </w:r>
          <w:r>
            <w:fldChar w:fldCharType="separate"/>
          </w:r>
          <w:r>
            <w:rPr>
              <w:rFonts w:hint="eastAsia" w:cs="宋体"/>
              <w:szCs w:val="28"/>
            </w:rPr>
            <w:t>5.1 一般规定</w:t>
          </w:r>
          <w:r>
            <w:rPr>
              <w:rFonts w:hint="eastAsia" w:cs="宋体"/>
            </w:rPr>
            <w:tab/>
          </w:r>
          <w:r>
            <w:rPr>
              <w:rFonts w:hint="eastAsia" w:cs="宋体"/>
            </w:rPr>
            <w:fldChar w:fldCharType="begin"/>
          </w:r>
          <w:r>
            <w:rPr>
              <w:rFonts w:hint="eastAsia" w:cs="宋体"/>
            </w:rPr>
            <w:instrText xml:space="preserve"> PAGEREF _Toc16372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"_Toc14379" </w:instrText>
          </w:r>
          <w:r>
            <w:fldChar w:fldCharType="separate"/>
          </w:r>
          <w:r>
            <w:rPr>
              <w:rFonts w:hint="eastAsia" w:cs="宋体"/>
              <w:szCs w:val="28"/>
            </w:rPr>
            <w:t>5.2 建筑减碳技术</w:t>
          </w:r>
          <w:r>
            <w:rPr>
              <w:rFonts w:hint="eastAsia" w:cs="宋体"/>
            </w:rPr>
            <w:tab/>
          </w:r>
          <w:r>
            <w:rPr>
              <w:rFonts w:hint="eastAsia" w:cs="宋体"/>
            </w:rPr>
            <w:fldChar w:fldCharType="begin"/>
          </w:r>
          <w:r>
            <w:rPr>
              <w:rFonts w:hint="eastAsia" w:cs="宋体"/>
            </w:rPr>
            <w:instrText xml:space="preserve"> PAGEREF _Toc14379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"_Toc17807" </w:instrText>
          </w:r>
          <w:r>
            <w:fldChar w:fldCharType="separate"/>
          </w:r>
          <w:r>
            <w:rPr>
              <w:rFonts w:hint="eastAsia" w:cs="宋体"/>
              <w:szCs w:val="28"/>
            </w:rPr>
            <w:t>5.3 市政系统减碳技术</w:t>
          </w:r>
          <w:r>
            <w:rPr>
              <w:rFonts w:hint="eastAsia" w:cs="宋体"/>
            </w:rPr>
            <w:tab/>
          </w:r>
          <w:r>
            <w:rPr>
              <w:rFonts w:hint="eastAsia" w:cs="宋体"/>
            </w:rPr>
            <w:fldChar w:fldCharType="begin"/>
          </w:r>
          <w:r>
            <w:rPr>
              <w:rFonts w:hint="eastAsia" w:cs="宋体"/>
            </w:rPr>
            <w:instrText xml:space="preserve"> PAGEREF _Toc17807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"_Toc18684" </w:instrText>
          </w:r>
          <w:r>
            <w:fldChar w:fldCharType="separate"/>
          </w:r>
          <w:r>
            <w:rPr>
              <w:rFonts w:hint="eastAsia" w:cs="宋体"/>
              <w:szCs w:val="28"/>
            </w:rPr>
            <w:t>5.4 交通系统减碳技术</w:t>
          </w:r>
          <w:r>
            <w:rPr>
              <w:rFonts w:hint="eastAsia" w:cs="宋体"/>
            </w:rPr>
            <w:tab/>
          </w:r>
          <w:r>
            <w:rPr>
              <w:rFonts w:hint="eastAsia" w:cs="宋体"/>
            </w:rPr>
            <w:fldChar w:fldCharType="begin"/>
          </w:r>
          <w:r>
            <w:rPr>
              <w:rFonts w:hint="eastAsia" w:cs="宋体"/>
            </w:rPr>
            <w:instrText xml:space="preserve"> PAGEREF _Toc18684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"_Toc21208" </w:instrText>
          </w:r>
          <w:r>
            <w:fldChar w:fldCharType="separate"/>
          </w:r>
          <w:r>
            <w:rPr>
              <w:rFonts w:hint="eastAsia" w:cs="宋体"/>
              <w:szCs w:val="32"/>
            </w:rPr>
            <w:t>5.5 绿色电力交易与碳排放交易</w:t>
          </w:r>
          <w:r>
            <w:rPr>
              <w:rFonts w:hint="eastAsia" w:cs="宋体"/>
            </w:rPr>
            <w:tab/>
          </w:r>
          <w:r>
            <w:rPr>
              <w:rFonts w:hint="eastAsia" w:cs="宋体"/>
            </w:rPr>
            <w:fldChar w:fldCharType="begin"/>
          </w:r>
          <w:r>
            <w:rPr>
              <w:rFonts w:hint="eastAsia" w:cs="宋体"/>
            </w:rPr>
            <w:instrText xml:space="preserve"> PAGEREF _Toc21208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"_Toc29702" </w:instrText>
          </w:r>
          <w:r>
            <w:fldChar w:fldCharType="separate"/>
          </w:r>
          <w:r>
            <w:rPr>
              <w:rFonts w:hint="eastAsia" w:cs="宋体"/>
              <w:szCs w:val="32"/>
            </w:rPr>
            <w:t>6评价</w:t>
          </w:r>
          <w:r>
            <w:rPr>
              <w:rFonts w:hint="eastAsia" w:cs="宋体"/>
            </w:rPr>
            <w:tab/>
          </w:r>
          <w:r>
            <w:rPr>
              <w:rFonts w:hint="eastAsia" w:cs="宋体"/>
            </w:rPr>
            <w:fldChar w:fldCharType="begin"/>
          </w:r>
          <w:r>
            <w:rPr>
              <w:rFonts w:hint="eastAsia" w:cs="宋体"/>
            </w:rPr>
            <w:instrText xml:space="preserve"> PAGEREF _Toc29702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"_Toc8874" </w:instrText>
          </w:r>
          <w:r>
            <w:fldChar w:fldCharType="separate"/>
          </w:r>
          <w:r>
            <w:rPr>
              <w:rFonts w:hint="eastAsia" w:cs="宋体"/>
              <w:szCs w:val="32"/>
            </w:rPr>
            <w:t>附录A 主要能源碳排放因子</w:t>
          </w:r>
          <w:r>
            <w:rPr>
              <w:rFonts w:hint="eastAsia" w:cs="宋体"/>
            </w:rPr>
            <w:tab/>
          </w:r>
          <w:r>
            <w:rPr>
              <w:rFonts w:hint="eastAsia" w:cs="宋体"/>
            </w:rPr>
            <w:fldChar w:fldCharType="begin"/>
          </w:r>
          <w:r>
            <w:rPr>
              <w:rFonts w:hint="eastAsia" w:cs="宋体"/>
            </w:rPr>
            <w:instrText xml:space="preserve"> PAGEREF _Toc8874 \h </w:instrText>
          </w:r>
          <w:r>
            <w:rPr>
              <w:rFonts w:hint="eastAsia" w:cs="宋体"/>
            </w:rPr>
            <w:fldChar w:fldCharType="separate"/>
          </w:r>
          <w:r>
            <w:rPr>
              <w:rFonts w:hint="eastAsia" w:cs="宋体"/>
            </w:rPr>
            <w:t>22</w:t>
          </w:r>
          <w:r>
            <w:rPr>
              <w:rFonts w:hint="eastAsia" w:cs="宋体"/>
            </w:rPr>
            <w:fldChar w:fldCharType="end"/>
          </w:r>
          <w:r>
            <w:rPr>
              <w:rFonts w:hint="eastAsia" w:cs="宋体"/>
            </w:rPr>
            <w:fldChar w:fldCharType="end"/>
          </w:r>
        </w:p>
        <w:p>
          <w:pPr>
            <w:pStyle w:val="13"/>
            <w:tabs>
              <w:tab w:val="right" w:leader="dot" w:pos="8306"/>
              <w:tab w:val="clear" w:pos="8296"/>
            </w:tabs>
          </w:pPr>
          <w:r>
            <w:fldChar w:fldCharType="begin"/>
          </w:r>
          <w:r>
            <w:instrText xml:space="preserve"> HYPERLINK \l "_Toc8874" </w:instrText>
          </w:r>
          <w:r>
            <w:fldChar w:fldCharType="separate"/>
          </w:r>
          <w:r>
            <w:rPr>
              <w:rFonts w:hint="eastAsia" w:cs="宋体"/>
              <w:szCs w:val="32"/>
            </w:rPr>
            <w:t>附录B 温室气体排放计算方法</w:t>
          </w:r>
          <w:r>
            <w:rPr>
              <w:rFonts w:hint="eastAsia" w:cs="宋体"/>
            </w:rPr>
            <w:tab/>
          </w:r>
          <w:r>
            <w:rPr>
              <w:rFonts w:hint="eastAsia" w:cs="宋体"/>
            </w:rPr>
            <w:fldChar w:fldCharType="begin"/>
          </w:r>
          <w:r>
            <w:rPr>
              <w:rFonts w:hint="eastAsia" w:cs="宋体"/>
            </w:rPr>
            <w:instrText xml:space="preserve"> PAGEREF _Toc8874 \h </w:instrText>
          </w:r>
          <w:r>
            <w:rPr>
              <w:rFonts w:hint="eastAsia" w:cs="宋体"/>
            </w:rPr>
            <w:fldChar w:fldCharType="separate"/>
          </w:r>
          <w:r>
            <w:rPr>
              <w:rFonts w:hint="eastAsia" w:cs="宋体"/>
            </w:rPr>
            <w:t>24</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"_Toc13543" </w:instrText>
          </w:r>
          <w:r>
            <w:fldChar w:fldCharType="separate"/>
          </w:r>
          <w:r>
            <w:rPr>
              <w:rFonts w:hint="eastAsia" w:cs="宋体"/>
              <w:kern w:val="44"/>
              <w:szCs w:val="24"/>
            </w:rPr>
            <w:t>用词说明</w:t>
          </w:r>
          <w:r>
            <w:rPr>
              <w:rFonts w:hint="eastAsia" w:cs="宋体"/>
            </w:rPr>
            <w:tab/>
          </w:r>
          <w:r>
            <w:rPr>
              <w:rFonts w:hint="eastAsia" w:cs="宋体"/>
            </w:rPr>
            <w:fldChar w:fldCharType="begin"/>
          </w:r>
          <w:r>
            <w:rPr>
              <w:rFonts w:hint="eastAsia" w:cs="宋体"/>
            </w:rPr>
            <w:instrText xml:space="preserve"> PAGEREF _Toc13543 \h </w:instrText>
          </w:r>
          <w:r>
            <w:rPr>
              <w:rFonts w:hint="eastAsia" w:cs="宋体"/>
            </w:rPr>
            <w:fldChar w:fldCharType="separate"/>
          </w:r>
          <w:r>
            <w:rPr>
              <w:rFonts w:hint="eastAsia" w:cs="宋体"/>
            </w:rPr>
            <w:t>25</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"_Toc28871" </w:instrText>
          </w:r>
          <w:r>
            <w:fldChar w:fldCharType="separate"/>
          </w:r>
          <w:r>
            <w:rPr>
              <w:rFonts w:hint="eastAsia" w:cs="宋体"/>
            </w:rPr>
            <w:t>引用标准名录</w:t>
          </w:r>
          <w:r>
            <w:rPr>
              <w:rFonts w:hint="eastAsia" w:cs="宋体"/>
            </w:rPr>
            <w:tab/>
          </w:r>
          <w:r>
            <w:rPr>
              <w:rFonts w:hint="eastAsia" w:cs="宋体"/>
            </w:rPr>
            <w:fldChar w:fldCharType="begin"/>
          </w:r>
          <w:r>
            <w:rPr>
              <w:rFonts w:hint="eastAsia" w:cs="宋体"/>
            </w:rPr>
            <w:instrText xml:space="preserve"> PAGEREF _Toc28871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pPr>
            <w:pStyle w:val="13"/>
            <w:tabs>
              <w:tab w:val="right" w:leader="dot" w:pos="8306"/>
              <w:tab w:val="clear" w:pos="8296"/>
            </w:tabs>
          </w:pPr>
          <w:r>
            <w:fldChar w:fldCharType="begin"/>
          </w:r>
          <w:r>
            <w:instrText xml:space="preserve"> HYPERLINK \l "_Toc31871" </w:instrText>
          </w:r>
          <w:r>
            <w:fldChar w:fldCharType="separate"/>
          </w:r>
          <w:r>
            <w:rPr>
              <w:rFonts w:hint="eastAsia" w:cs="宋体"/>
            </w:rPr>
            <w:t>附：条文说明</w:t>
          </w:r>
          <w:r>
            <w:rPr>
              <w:rFonts w:hint="eastAsia" w:cs="宋体"/>
            </w:rPr>
            <w:tab/>
          </w:r>
          <w:r>
            <w:rPr>
              <w:rFonts w:hint="eastAsia" w:cs="宋体"/>
            </w:rPr>
            <w:fldChar w:fldCharType="begin"/>
          </w:r>
          <w:r>
            <w:rPr>
              <w:rFonts w:hint="eastAsia" w:cs="宋体"/>
            </w:rPr>
            <w:instrText xml:space="preserve"> PAGEREF _Toc31871 \h </w:instrText>
          </w:r>
          <w:r>
            <w:rPr>
              <w:rFonts w:hint="eastAsia" w:cs="宋体"/>
            </w:rPr>
            <w:fldChar w:fldCharType="separate"/>
          </w:r>
          <w:r>
            <w:rPr>
              <w:rFonts w:hint="eastAsia" w:cs="宋体"/>
            </w:rPr>
            <w:t>27</w:t>
          </w:r>
          <w:r>
            <w:rPr>
              <w:rFonts w:hint="eastAsia" w:cs="宋体"/>
            </w:rPr>
            <w:fldChar w:fldCharType="end"/>
          </w:r>
          <w:r>
            <w:rPr>
              <w:rFonts w:hint="eastAsia" w:cs="宋体"/>
            </w:rPr>
            <w:fldChar w:fldCharType="end"/>
          </w:r>
        </w:p>
        <w:p>
          <w:pPr>
            <w:tabs>
              <w:tab w:val="right" w:leader="dot" w:pos="8296"/>
            </w:tabs>
            <w:spacing w:line="312" w:lineRule="auto"/>
            <w:rPr>
              <w:rStyle w:val="22"/>
              <w:color w:val="000000" w:themeColor="text1"/>
              <w14:textFill>
                <w14:solidFill>
                  <w14:schemeClr w14:val="tx1"/>
                </w14:solidFill>
              </w14:textFill>
            </w:rPr>
          </w:pPr>
          <w:r>
            <w:rPr>
              <w:rStyle w:val="22"/>
              <w:color w:val="000000" w:themeColor="text1"/>
              <w14:textFill>
                <w14:solidFill>
                  <w14:schemeClr w14:val="tx1"/>
                </w14:solidFill>
              </w14:textFill>
            </w:rPr>
            <w:fldChar w:fldCharType="end"/>
          </w:r>
        </w:p>
      </w:sdtContent>
    </w:sdt>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rPr>
          <w:rFonts w:ascii="黑体" w:hAnsi="黑体" w:eastAsia="黑体"/>
          <w:bCs/>
          <w:color w:val="auto"/>
          <w:sz w:val="36"/>
          <w:szCs w:val="32"/>
        </w:rPr>
      </w:pPr>
      <w:r>
        <w:rPr>
          <w:rFonts w:hint="eastAsia" w:ascii="黑体" w:hAnsi="黑体" w:eastAsia="黑体"/>
          <w:bCs/>
          <w:color w:val="auto"/>
          <w:sz w:val="36"/>
          <w:szCs w:val="32"/>
        </w:rPr>
        <w:br w:type="page"/>
      </w:r>
    </w:p>
    <w:p>
      <w:pPr>
        <w:pStyle w:val="27"/>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sdt>
      <w:sdtPr>
        <w:rPr>
          <w:rFonts w:ascii="Times New Roman" w:hAnsi="Times New Roman"/>
          <w:color w:val="0000FF"/>
        </w:rPr>
        <w:id w:val="-405763496"/>
        <w15:color w:val="DBDBDB"/>
        <w:docPartObj>
          <w:docPartGallery w:val="Table of Contents"/>
          <w:docPartUnique/>
        </w:docPartObj>
      </w:sdtPr>
      <w:sdtEndPr>
        <w:rPr>
          <w:rStyle w:val="22"/>
          <w:rFonts w:ascii="Times New Roman" w:hAnsi="Times New Roman"/>
          <w:color w:val="000000" w:themeColor="text1"/>
          <w:u w:val="single"/>
          <w14:textFill>
            <w14:solidFill>
              <w14:schemeClr w14:val="tx1"/>
            </w14:solidFill>
          </w14:textFill>
        </w:rPr>
      </w:sdtEndPr>
      <w:sdtContent>
        <w:p>
          <w:pPr>
            <w:pStyle w:val="13"/>
            <w:rPr>
              <w:rFonts w:cs="宋体"/>
              <w:color w:val="000000" w:themeColor="text1"/>
              <w:u w:val="single"/>
              <w14:textFill>
                <w14:solidFill>
                  <w14:schemeClr w14:val="tx1"/>
                </w14:solidFill>
              </w14:textFill>
            </w:rPr>
          </w:pPr>
          <w:r>
            <w:rPr>
              <w:rStyle w:val="22"/>
              <w:color w:val="000000" w:themeColor="text1"/>
              <w14:textFill>
                <w14:solidFill>
                  <w14:schemeClr w14:val="tx1"/>
                </w14:solidFill>
              </w14:textFill>
            </w:rPr>
            <w:fldChar w:fldCharType="begin"/>
          </w:r>
          <w:r>
            <w:rPr>
              <w:rStyle w:val="22"/>
              <w:color w:val="000000" w:themeColor="text1"/>
              <w14:textFill>
                <w14:solidFill>
                  <w14:schemeClr w14:val="tx1"/>
                </w14:solidFill>
              </w14:textFill>
            </w:rPr>
            <w:instrText xml:space="preserve">TOC \o "1-1" \h \u </w:instrText>
          </w:r>
          <w:r>
            <w:rPr>
              <w:rStyle w:val="22"/>
              <w:color w:val="000000" w:themeColor="text1"/>
              <w14:textFill>
                <w14:solidFill>
                  <w14:schemeClr w14:val="tx1"/>
                </w14:solidFill>
              </w14:textFill>
            </w:rPr>
            <w:fldChar w:fldCharType="separate"/>
          </w:r>
        </w:p>
        <w:p>
          <w:pPr>
            <w:pStyle w:val="13"/>
            <w:tabs>
              <w:tab w:val="right" w:leader="dot" w:pos="8306"/>
              <w:tab w:val="clear" w:pos="8296"/>
            </w:tabs>
            <w:rPr>
              <w:rFonts w:cs="宋体"/>
            </w:rPr>
          </w:pPr>
          <w:r>
            <w:fldChar w:fldCharType="begin"/>
          </w:r>
          <w:r>
            <w:instrText xml:space="preserve"> HYPERLINK \l "_Toc20076" </w:instrText>
          </w:r>
          <w:r>
            <w:fldChar w:fldCharType="separate"/>
          </w:r>
          <w:r>
            <w:rPr>
              <w:rFonts w:hint="eastAsia" w:cs="宋体"/>
              <w:szCs w:val="32"/>
            </w:rPr>
            <w:t>1 General Provisions</w:t>
          </w:r>
          <w:r>
            <w:rPr>
              <w:rFonts w:hint="eastAsia" w:cs="宋体"/>
            </w:rPr>
            <w:tab/>
          </w:r>
          <w:r>
            <w:rPr>
              <w:rFonts w:hint="eastAsia" w:cs="宋体"/>
            </w:rPr>
            <w:fldChar w:fldCharType="begin"/>
          </w:r>
          <w:r>
            <w:rPr>
              <w:rFonts w:hint="eastAsia" w:cs="宋体"/>
            </w:rPr>
            <w:instrText xml:space="preserve"> PAGEREF _Toc20076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"_Toc13797" </w:instrText>
          </w:r>
          <w:r>
            <w:fldChar w:fldCharType="separate"/>
          </w:r>
          <w:r>
            <w:rPr>
              <w:rFonts w:hint="eastAsia" w:cs="宋体"/>
              <w:szCs w:val="32"/>
            </w:rPr>
            <w:t>2 Terms</w:t>
          </w:r>
          <w:r>
            <w:rPr>
              <w:rFonts w:hint="eastAsia" w:cs="宋体"/>
            </w:rPr>
            <w:tab/>
          </w:r>
          <w:r>
            <w:rPr>
              <w:rFonts w:hint="eastAsia" w:cs="宋体"/>
            </w:rPr>
            <w:fldChar w:fldCharType="begin"/>
          </w:r>
          <w:r>
            <w:rPr>
              <w:rFonts w:hint="eastAsia" w:cs="宋体"/>
            </w:rPr>
            <w:instrText xml:space="preserve"> PAGEREF _Toc13797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"_Toc18765" </w:instrText>
          </w:r>
          <w:r>
            <w:fldChar w:fldCharType="separate"/>
          </w:r>
          <w:r>
            <w:rPr>
              <w:rFonts w:hint="eastAsia" w:cs="宋体"/>
              <w:szCs w:val="32"/>
            </w:rPr>
            <w:t>3 General Requirements</w:t>
          </w:r>
          <w:r>
            <w:rPr>
              <w:rFonts w:hint="eastAsia" w:cs="宋体"/>
            </w:rPr>
            <w:tab/>
          </w:r>
          <w:r>
            <w:rPr>
              <w:rFonts w:hint="eastAsia" w:cs="宋体"/>
            </w:rPr>
            <w:fldChar w:fldCharType="begin"/>
          </w:r>
          <w:r>
            <w:rPr>
              <w:rFonts w:hint="eastAsia" w:cs="宋体"/>
            </w:rPr>
            <w:instrText xml:space="preserve"> PAGEREF _Toc18765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"_Toc7699" </w:instrText>
          </w:r>
          <w:r>
            <w:fldChar w:fldCharType="separate"/>
          </w:r>
          <w:r>
            <w:rPr>
              <w:rFonts w:hint="eastAsia" w:cs="宋体"/>
              <w:szCs w:val="28"/>
            </w:rPr>
            <w:t>3.1 General Requirements</w:t>
          </w:r>
          <w:r>
            <w:rPr>
              <w:rFonts w:hint="eastAsia" w:cs="宋体"/>
            </w:rPr>
            <w:tab/>
          </w:r>
          <w:r>
            <w:rPr>
              <w:rFonts w:hint="eastAsia" w:cs="宋体"/>
            </w:rPr>
            <w:fldChar w:fldCharType="begin"/>
          </w:r>
          <w:r>
            <w:rPr>
              <w:rFonts w:hint="eastAsia" w:cs="宋体"/>
            </w:rPr>
            <w:instrText xml:space="preserve"> PAGEREF _Toc7699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"_Toc28018" </w:instrText>
          </w:r>
          <w:r>
            <w:fldChar w:fldCharType="separate"/>
          </w:r>
          <w:r>
            <w:rPr>
              <w:rFonts w:hint="eastAsia" w:cs="宋体"/>
              <w:szCs w:val="28"/>
            </w:rPr>
            <w:t>3.2 Scope of Carbon Emission</w:t>
          </w:r>
          <w:r>
            <w:rPr>
              <w:rFonts w:hint="eastAsia" w:cs="宋体"/>
            </w:rPr>
            <w:tab/>
          </w:r>
          <w:r>
            <w:rPr>
              <w:rFonts w:hint="eastAsia" w:cs="宋体"/>
            </w:rPr>
            <w:fldChar w:fldCharType="begin"/>
          </w:r>
          <w:r>
            <w:rPr>
              <w:rFonts w:hint="eastAsia" w:cs="宋体"/>
            </w:rPr>
            <w:instrText xml:space="preserve"> PAGEREF _Toc28018 \h </w:instrText>
          </w:r>
          <w:r>
            <w:rPr>
              <w:rFonts w:hint="eastAsia" w:cs="宋体"/>
            </w:rPr>
            <w:fldChar w:fldCharType="separate"/>
          </w:r>
          <w:r>
            <w:rPr>
              <w:rFonts w:hint="eastAsia" w:cs="宋体"/>
            </w:rPr>
            <w:t>7</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"_Toc6056" </w:instrText>
          </w:r>
          <w:r>
            <w:fldChar w:fldCharType="separate"/>
          </w:r>
          <w:r>
            <w:rPr>
              <w:rFonts w:hint="eastAsia" w:cs="宋体"/>
              <w:szCs w:val="32"/>
            </w:rPr>
            <w:t>4 Technical Performance Index</w:t>
          </w:r>
          <w:r>
            <w:rPr>
              <w:rFonts w:hint="eastAsia" w:cs="宋体"/>
            </w:rPr>
            <w:tab/>
          </w:r>
          <w:r>
            <w:rPr>
              <w:rFonts w:hint="eastAsia" w:cs="宋体"/>
            </w:rPr>
            <w:fldChar w:fldCharType="begin"/>
          </w:r>
          <w:r>
            <w:rPr>
              <w:rFonts w:hint="eastAsia" w:cs="宋体"/>
            </w:rPr>
            <w:instrText xml:space="preserve"> PAGEREF _Toc6056 \h </w:instrText>
          </w:r>
          <w:r>
            <w:rPr>
              <w:rFonts w:hint="eastAsia" w:cs="宋体"/>
            </w:rPr>
            <w:fldChar w:fldCharType="separate"/>
          </w:r>
          <w:r>
            <w:rPr>
              <w:rFonts w:hint="eastAsia" w:cs="宋体"/>
            </w:rPr>
            <w:t>10</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"_Toc32672" </w:instrText>
          </w:r>
          <w:r>
            <w:fldChar w:fldCharType="separate"/>
          </w:r>
          <w:r>
            <w:rPr>
              <w:rFonts w:hint="eastAsia" w:cs="宋体"/>
              <w:szCs w:val="28"/>
            </w:rPr>
            <w:t>4.1 Zero Carbon Building</w:t>
          </w:r>
          <w:r>
            <w:rPr>
              <w:rFonts w:hint="eastAsia" w:cs="宋体"/>
            </w:rPr>
            <w:tab/>
          </w:r>
          <w:r>
            <w:rPr>
              <w:rFonts w:hint="eastAsia" w:cs="宋体"/>
            </w:rPr>
            <w:fldChar w:fldCharType="begin"/>
          </w:r>
          <w:r>
            <w:rPr>
              <w:rFonts w:hint="eastAsia" w:cs="宋体"/>
            </w:rPr>
            <w:instrText xml:space="preserve"> PAGEREF _Toc32672 \h </w:instrText>
          </w:r>
          <w:r>
            <w:rPr>
              <w:rFonts w:hint="eastAsia" w:cs="宋体"/>
            </w:rPr>
            <w:fldChar w:fldCharType="separate"/>
          </w:r>
          <w:r>
            <w:rPr>
              <w:rFonts w:hint="eastAsia" w:cs="宋体"/>
            </w:rPr>
            <w:t>10</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"_Toc4646" </w:instrText>
          </w:r>
          <w:r>
            <w:fldChar w:fldCharType="separate"/>
          </w:r>
          <w:r>
            <w:rPr>
              <w:rFonts w:hint="eastAsia" w:cs="宋体"/>
              <w:szCs w:val="28"/>
            </w:rPr>
            <w:t>4.2 Zero Carbon Community</w:t>
          </w:r>
          <w:r>
            <w:rPr>
              <w:rFonts w:hint="eastAsia" w:cs="宋体"/>
            </w:rPr>
            <w:tab/>
          </w:r>
          <w:r>
            <w:rPr>
              <w:rFonts w:hint="eastAsia" w:cs="宋体"/>
            </w:rPr>
            <w:fldChar w:fldCharType="begin"/>
          </w:r>
          <w:r>
            <w:rPr>
              <w:rFonts w:hint="eastAsia" w:cs="宋体"/>
            </w:rPr>
            <w:instrText xml:space="preserve"> PAGEREF _Toc4646 \h </w:instrText>
          </w:r>
          <w:r>
            <w:rPr>
              <w:rFonts w:hint="eastAsia" w:cs="宋体"/>
            </w:rPr>
            <w:fldChar w:fldCharType="separate"/>
          </w:r>
          <w:r>
            <w:rPr>
              <w:rFonts w:hint="eastAsia" w:cs="宋体"/>
            </w:rPr>
            <w:t>11</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"_Toc28297" </w:instrText>
          </w:r>
          <w:r>
            <w:fldChar w:fldCharType="separate"/>
          </w:r>
          <w:r>
            <w:rPr>
              <w:rFonts w:hint="eastAsia" w:cs="宋体"/>
              <w:szCs w:val="32"/>
            </w:rPr>
            <w:t>5 Technical Measures</w:t>
          </w:r>
          <w:r>
            <w:rPr>
              <w:rFonts w:hint="eastAsia" w:cs="宋体"/>
            </w:rPr>
            <w:tab/>
          </w:r>
          <w:r>
            <w:rPr>
              <w:rFonts w:hint="eastAsia" w:cs="宋体"/>
            </w:rPr>
            <w:fldChar w:fldCharType="begin"/>
          </w:r>
          <w:r>
            <w:rPr>
              <w:rFonts w:hint="eastAsia" w:cs="宋体"/>
            </w:rPr>
            <w:instrText xml:space="preserve"> PAGEREF _Toc28297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"_Toc16372" </w:instrText>
          </w:r>
          <w:r>
            <w:fldChar w:fldCharType="separate"/>
          </w:r>
          <w:r>
            <w:rPr>
              <w:rFonts w:hint="eastAsia" w:cs="宋体"/>
              <w:szCs w:val="28"/>
            </w:rPr>
            <w:t>5.1 General Requirements</w:t>
          </w:r>
          <w:r>
            <w:rPr>
              <w:rFonts w:hint="eastAsia" w:cs="宋体"/>
            </w:rPr>
            <w:tab/>
          </w:r>
          <w:r>
            <w:rPr>
              <w:rFonts w:hint="eastAsia" w:cs="宋体"/>
            </w:rPr>
            <w:fldChar w:fldCharType="begin"/>
          </w:r>
          <w:r>
            <w:rPr>
              <w:rFonts w:hint="eastAsia" w:cs="宋体"/>
            </w:rPr>
            <w:instrText xml:space="preserve"> PAGEREF _Toc16372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"_Toc14379" </w:instrText>
          </w:r>
          <w:r>
            <w:fldChar w:fldCharType="separate"/>
          </w:r>
          <w:r>
            <w:rPr>
              <w:rFonts w:hint="eastAsia" w:cs="宋体"/>
              <w:szCs w:val="28"/>
            </w:rPr>
            <w:t>5.2 Building Carbon Reduction Technical Approach</w:t>
          </w:r>
          <w:r>
            <w:rPr>
              <w:rFonts w:hint="eastAsia" w:cs="宋体"/>
            </w:rPr>
            <w:tab/>
          </w:r>
          <w:r>
            <w:rPr>
              <w:rFonts w:hint="eastAsia" w:cs="宋体"/>
            </w:rPr>
            <w:fldChar w:fldCharType="begin"/>
          </w:r>
          <w:r>
            <w:rPr>
              <w:rFonts w:hint="eastAsia" w:cs="宋体"/>
            </w:rPr>
            <w:instrText xml:space="preserve"> PAGEREF _Toc14379 \h </w:instrText>
          </w:r>
          <w:r>
            <w:rPr>
              <w:rFonts w:hint="eastAsia" w:cs="宋体"/>
            </w:rPr>
            <w:fldChar w:fldCharType="separate"/>
          </w:r>
          <w:r>
            <w:rPr>
              <w:rFonts w:hint="eastAsia" w:cs="宋体"/>
            </w:rPr>
            <w:t>13</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"_Toc17807" </w:instrText>
          </w:r>
          <w:r>
            <w:fldChar w:fldCharType="separate"/>
          </w:r>
          <w:r>
            <w:rPr>
              <w:rFonts w:hint="eastAsia" w:cs="宋体"/>
              <w:szCs w:val="28"/>
            </w:rPr>
            <w:t>5.3 Municipal System Carbon Reduction Technical Approach</w:t>
          </w:r>
          <w:r>
            <w:rPr>
              <w:rFonts w:hint="eastAsia" w:cs="宋体"/>
            </w:rPr>
            <w:tab/>
          </w:r>
          <w:r>
            <w:rPr>
              <w:rFonts w:hint="eastAsia" w:cs="宋体"/>
            </w:rPr>
            <w:fldChar w:fldCharType="begin"/>
          </w:r>
          <w:r>
            <w:rPr>
              <w:rFonts w:hint="eastAsia" w:cs="宋体"/>
            </w:rPr>
            <w:instrText xml:space="preserve"> PAGEREF _Toc17807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"_Toc18684" </w:instrText>
          </w:r>
          <w:r>
            <w:fldChar w:fldCharType="separate"/>
          </w:r>
          <w:r>
            <w:rPr>
              <w:rFonts w:hint="eastAsia" w:cs="宋体"/>
              <w:szCs w:val="28"/>
            </w:rPr>
            <w:t>5.4 Transportation System Carbon Reduction Technical Approach</w:t>
          </w:r>
          <w:r>
            <w:rPr>
              <w:rFonts w:hint="eastAsia" w:cs="宋体"/>
            </w:rPr>
            <w:tab/>
          </w:r>
          <w:r>
            <w:rPr>
              <w:rFonts w:hint="eastAsia" w:cs="宋体"/>
            </w:rPr>
            <w:fldChar w:fldCharType="begin"/>
          </w:r>
          <w:r>
            <w:rPr>
              <w:rFonts w:hint="eastAsia" w:cs="宋体"/>
            </w:rPr>
            <w:instrText xml:space="preserve"> PAGEREF _Toc18684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13"/>
            <w:tabs>
              <w:tab w:val="right" w:leader="dot" w:pos="8306"/>
              <w:tab w:val="clear" w:pos="8296"/>
            </w:tabs>
            <w:ind w:firstLine="420" w:firstLineChars="200"/>
            <w:rPr>
              <w:rFonts w:cs="宋体"/>
            </w:rPr>
          </w:pPr>
          <w:r>
            <w:fldChar w:fldCharType="begin"/>
          </w:r>
          <w:r>
            <w:instrText xml:space="preserve"> HYPERLINK \l "_Toc21208" </w:instrText>
          </w:r>
          <w:r>
            <w:fldChar w:fldCharType="separate"/>
          </w:r>
          <w:r>
            <w:rPr>
              <w:rFonts w:hint="eastAsia" w:cs="宋体"/>
              <w:szCs w:val="32"/>
            </w:rPr>
            <w:t>5.5 Green Electricity Trading and Carbon Trading</w:t>
          </w:r>
          <w:r>
            <w:rPr>
              <w:rFonts w:hint="eastAsia" w:cs="宋体"/>
            </w:rPr>
            <w:tab/>
          </w:r>
          <w:r>
            <w:rPr>
              <w:rFonts w:hint="eastAsia" w:cs="宋体"/>
            </w:rPr>
            <w:fldChar w:fldCharType="begin"/>
          </w:r>
          <w:r>
            <w:rPr>
              <w:rFonts w:hint="eastAsia" w:cs="宋体"/>
            </w:rPr>
            <w:instrText xml:space="preserve"> PAGEREF _Toc21208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"_Toc29702" </w:instrText>
          </w:r>
          <w:r>
            <w:fldChar w:fldCharType="separate"/>
          </w:r>
          <w:r>
            <w:rPr>
              <w:rFonts w:hint="eastAsia" w:cs="宋体"/>
              <w:szCs w:val="32"/>
            </w:rPr>
            <w:t>6 Evaluation</w:t>
          </w:r>
          <w:r>
            <w:rPr>
              <w:rFonts w:hint="eastAsia" w:cs="宋体"/>
            </w:rPr>
            <w:tab/>
          </w:r>
          <w:r>
            <w:rPr>
              <w:rFonts w:hint="eastAsia" w:cs="宋体"/>
            </w:rPr>
            <w:fldChar w:fldCharType="begin"/>
          </w:r>
          <w:r>
            <w:rPr>
              <w:rFonts w:hint="eastAsia" w:cs="宋体"/>
            </w:rPr>
            <w:instrText xml:space="preserve"> PAGEREF _Toc29702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"_Toc8874" </w:instrText>
          </w:r>
          <w:r>
            <w:fldChar w:fldCharType="separate"/>
          </w:r>
          <w:r>
            <w:rPr>
              <w:rFonts w:hint="eastAsia" w:cs="宋体"/>
            </w:rPr>
            <w:t xml:space="preserve">Appendix </w:t>
          </w:r>
          <w:r>
            <w:rPr>
              <w:rFonts w:hint="eastAsia" w:cs="宋体"/>
              <w:szCs w:val="32"/>
            </w:rPr>
            <w:t>A  Main Energy Carbon Emission Factor</w:t>
          </w:r>
          <w:r>
            <w:rPr>
              <w:rFonts w:hint="eastAsia" w:cs="宋体"/>
            </w:rPr>
            <w:tab/>
          </w:r>
          <w:r>
            <w:rPr>
              <w:rFonts w:hint="eastAsia" w:cs="宋体"/>
            </w:rPr>
            <w:fldChar w:fldCharType="begin"/>
          </w:r>
          <w:r>
            <w:rPr>
              <w:rFonts w:hint="eastAsia" w:cs="宋体"/>
            </w:rPr>
            <w:instrText xml:space="preserve"> PAGEREF _Toc8874 \h </w:instrText>
          </w:r>
          <w:r>
            <w:rPr>
              <w:rFonts w:hint="eastAsia" w:cs="宋体"/>
            </w:rPr>
            <w:fldChar w:fldCharType="separate"/>
          </w:r>
          <w:r>
            <w:rPr>
              <w:rFonts w:hint="eastAsia" w:cs="宋体"/>
            </w:rPr>
            <w:t>22</w:t>
          </w:r>
          <w:r>
            <w:rPr>
              <w:rFonts w:hint="eastAsia" w:cs="宋体"/>
            </w:rPr>
            <w:fldChar w:fldCharType="end"/>
          </w:r>
          <w:r>
            <w:rPr>
              <w:rFonts w:hint="eastAsia" w:cs="宋体"/>
            </w:rPr>
            <w:fldChar w:fldCharType="end"/>
          </w:r>
        </w:p>
        <w:p>
          <w:pPr>
            <w:pStyle w:val="13"/>
            <w:tabs>
              <w:tab w:val="right" w:leader="dot" w:pos="8306"/>
              <w:tab w:val="clear" w:pos="8296"/>
            </w:tabs>
          </w:pPr>
          <w:r>
            <w:fldChar w:fldCharType="begin"/>
          </w:r>
          <w:r>
            <w:instrText xml:space="preserve"> HYPERLINK \l "_Toc8874" </w:instrText>
          </w:r>
          <w:r>
            <w:fldChar w:fldCharType="separate"/>
          </w:r>
          <w:r>
            <w:rPr>
              <w:rFonts w:hint="eastAsia" w:cs="宋体"/>
            </w:rPr>
            <w:t>Appendix B</w:t>
          </w:r>
          <w:r>
            <w:rPr>
              <w:rFonts w:hint="eastAsia" w:cs="宋体"/>
              <w:szCs w:val="32"/>
            </w:rPr>
            <w:t xml:space="preserve">  Greenhouse Gas Emission Calculation Method</w:t>
          </w:r>
          <w:r>
            <w:rPr>
              <w:rFonts w:hint="eastAsia" w:cs="宋体"/>
            </w:rPr>
            <w:tab/>
          </w:r>
          <w:r>
            <w:rPr>
              <w:rFonts w:hint="eastAsia" w:cs="宋体"/>
            </w:rPr>
            <w:fldChar w:fldCharType="begin"/>
          </w:r>
          <w:r>
            <w:rPr>
              <w:rFonts w:hint="eastAsia" w:cs="宋体"/>
            </w:rPr>
            <w:instrText xml:space="preserve"> PAGEREF _Toc8874 \h </w:instrText>
          </w:r>
          <w:r>
            <w:rPr>
              <w:rFonts w:hint="eastAsia" w:cs="宋体"/>
            </w:rPr>
            <w:fldChar w:fldCharType="separate"/>
          </w:r>
          <w:r>
            <w:rPr>
              <w:rFonts w:hint="eastAsia" w:cs="宋体"/>
            </w:rPr>
            <w:t>24</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"_Toc13543" </w:instrText>
          </w:r>
          <w:r>
            <w:fldChar w:fldCharType="separate"/>
          </w:r>
          <w:r>
            <w:rPr>
              <w:rFonts w:hint="eastAsia" w:cs="宋体"/>
            </w:rPr>
            <w:t>Explanation of Wording in This Standard</w:t>
          </w:r>
          <w:r>
            <w:rPr>
              <w:rFonts w:hint="eastAsia" w:cs="宋体"/>
            </w:rPr>
            <w:tab/>
          </w:r>
          <w:r>
            <w:rPr>
              <w:rFonts w:hint="eastAsia" w:cs="宋体"/>
            </w:rPr>
            <w:fldChar w:fldCharType="begin"/>
          </w:r>
          <w:r>
            <w:rPr>
              <w:rFonts w:hint="eastAsia" w:cs="宋体"/>
            </w:rPr>
            <w:instrText xml:space="preserve"> PAGEREF _Toc13543 \h </w:instrText>
          </w:r>
          <w:r>
            <w:rPr>
              <w:rFonts w:hint="eastAsia" w:cs="宋体"/>
            </w:rPr>
            <w:fldChar w:fldCharType="separate"/>
          </w:r>
          <w:r>
            <w:rPr>
              <w:rFonts w:hint="eastAsia" w:cs="宋体"/>
            </w:rPr>
            <w:t>25</w:t>
          </w:r>
          <w:r>
            <w:rPr>
              <w:rFonts w:hint="eastAsia" w:cs="宋体"/>
            </w:rPr>
            <w:fldChar w:fldCharType="end"/>
          </w:r>
          <w:r>
            <w:rPr>
              <w:rFonts w:hint="eastAsia" w:cs="宋体"/>
            </w:rPr>
            <w:fldChar w:fldCharType="end"/>
          </w:r>
        </w:p>
        <w:p>
          <w:pPr>
            <w:pStyle w:val="13"/>
            <w:tabs>
              <w:tab w:val="right" w:leader="dot" w:pos="8306"/>
              <w:tab w:val="clear" w:pos="8296"/>
            </w:tabs>
            <w:rPr>
              <w:rFonts w:cs="宋体"/>
            </w:rPr>
          </w:pPr>
          <w:r>
            <w:fldChar w:fldCharType="begin"/>
          </w:r>
          <w:r>
            <w:instrText xml:space="preserve"> HYPERLINK \l "_Toc28871" </w:instrText>
          </w:r>
          <w:r>
            <w:fldChar w:fldCharType="separate"/>
          </w:r>
          <w:r>
            <w:rPr>
              <w:rFonts w:hint="eastAsia" w:cs="宋体"/>
            </w:rPr>
            <w:t>List of Quoted Standards</w:t>
          </w:r>
          <w:r>
            <w:rPr>
              <w:rFonts w:hint="eastAsia" w:cs="宋体"/>
            </w:rPr>
            <w:tab/>
          </w:r>
          <w:r>
            <w:rPr>
              <w:rFonts w:hint="eastAsia" w:cs="宋体"/>
            </w:rPr>
            <w:fldChar w:fldCharType="begin"/>
          </w:r>
          <w:r>
            <w:rPr>
              <w:rFonts w:hint="eastAsia" w:cs="宋体"/>
            </w:rPr>
            <w:instrText xml:space="preserve"> PAGEREF _Toc28871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pPr>
            <w:pStyle w:val="13"/>
            <w:tabs>
              <w:tab w:val="right" w:leader="dot" w:pos="8306"/>
              <w:tab w:val="clear" w:pos="8296"/>
            </w:tabs>
          </w:pPr>
          <w:r>
            <w:rPr>
              <w:rFonts w:hint="eastAsia" w:cs="宋体"/>
              <w:color w:val="000000" w:themeColor="text1"/>
              <w14:textFill>
                <w14:solidFill>
                  <w14:schemeClr w14:val="tx1"/>
                </w14:solidFill>
              </w14:textFill>
            </w:rPr>
            <w:t>Additon: Explanation of Provisions</w:t>
          </w:r>
          <w:r>
            <w:fldChar w:fldCharType="begin"/>
          </w:r>
          <w:r>
            <w:instrText xml:space="preserve"> HYPERLINK \l "_Toc31871" </w:instrText>
          </w:r>
          <w:r>
            <w:fldChar w:fldCharType="separate"/>
          </w:r>
          <w:r>
            <w:rPr>
              <w:rFonts w:hint="eastAsia" w:cs="宋体"/>
            </w:rPr>
            <w:tab/>
          </w:r>
          <w:r>
            <w:rPr>
              <w:rFonts w:hint="eastAsia" w:cs="宋体"/>
            </w:rPr>
            <w:fldChar w:fldCharType="begin"/>
          </w:r>
          <w:r>
            <w:rPr>
              <w:rFonts w:hint="eastAsia" w:cs="宋体"/>
            </w:rPr>
            <w:instrText xml:space="preserve"> PAGEREF _Toc31871 \h </w:instrText>
          </w:r>
          <w:r>
            <w:rPr>
              <w:rFonts w:hint="eastAsia" w:cs="宋体"/>
            </w:rPr>
            <w:fldChar w:fldCharType="separate"/>
          </w:r>
          <w:r>
            <w:rPr>
              <w:rFonts w:hint="eastAsia" w:cs="宋体"/>
            </w:rPr>
            <w:t>27</w:t>
          </w:r>
          <w:r>
            <w:rPr>
              <w:rFonts w:hint="eastAsia" w:cs="宋体"/>
            </w:rPr>
            <w:fldChar w:fldCharType="end"/>
          </w:r>
          <w:r>
            <w:rPr>
              <w:rFonts w:hint="eastAsia" w:cs="宋体"/>
            </w:rPr>
            <w:fldChar w:fldCharType="end"/>
          </w:r>
        </w:p>
        <w:p>
          <w:pPr>
            <w:spacing w:line="360" w:lineRule="auto"/>
            <w:ind w:firstLine="210" w:firstLineChars="100"/>
            <w:rPr>
              <w:rStyle w:val="22"/>
              <w:color w:val="000000" w:themeColor="text1"/>
              <w14:textFill>
                <w14:solidFill>
                  <w14:schemeClr w14:val="tx1"/>
                </w14:solidFill>
              </w14:textFill>
            </w:rPr>
          </w:pPr>
          <w:r>
            <w:rPr>
              <w:rStyle w:val="22"/>
              <w:color w:val="000000" w:themeColor="text1"/>
              <w14:textFill>
                <w14:solidFill>
                  <w14:schemeClr w14:val="tx1"/>
                </w14:solidFill>
              </w14:textFill>
            </w:rPr>
            <w:fldChar w:fldCharType="end"/>
          </w:r>
        </w:p>
      </w:sdtContent>
    </w:sdt>
    <w:p>
      <w:pPr>
        <w:spacing w:line="360" w:lineRule="auto"/>
        <w:ind w:firstLine="210" w:firstLineChars="100"/>
        <w:rPr>
          <w:rStyle w:val="22"/>
          <w:color w:val="000000" w:themeColor="text1"/>
          <w14:textFill>
            <w14:solidFill>
              <w14:schemeClr w14:val="tx1"/>
            </w14:solidFill>
          </w14:textFill>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color w:val="auto"/>
          <w:sz w:val="36"/>
          <w:szCs w:val="32"/>
        </w:rPr>
      </w:pPr>
      <w:bookmarkStart w:id="13" w:name="_Toc74137289"/>
      <w:bookmarkStart w:id="14" w:name="_Toc86055334"/>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15" w:name="_Toc15720"/>
      <w:bookmarkStart w:id="16" w:name="_Toc20076"/>
      <w:r>
        <w:rPr>
          <w:rFonts w:hint="eastAsia" w:ascii="黑体" w:hAnsi="黑体" w:eastAsia="黑体"/>
          <w:bCs/>
          <w:color w:val="auto"/>
          <w:sz w:val="36"/>
          <w:szCs w:val="32"/>
        </w:rPr>
        <w:t>1 总则</w:t>
      </w:r>
      <w:bookmarkEnd w:id="13"/>
      <w:bookmarkEnd w:id="14"/>
      <w:bookmarkEnd w:id="15"/>
      <w:bookmarkEnd w:id="16"/>
    </w:p>
    <w:p>
      <w:pPr>
        <w:spacing w:line="360" w:lineRule="auto"/>
        <w:outlineLvl w:val="2"/>
        <w:rPr>
          <w:rFonts w:ascii="宋体" w:hAnsi="宋体"/>
          <w:color w:val="auto"/>
          <w:sz w:val="24"/>
        </w:rPr>
      </w:pPr>
      <w:r>
        <w:rPr>
          <w:rFonts w:hint="eastAsia" w:ascii="宋体" w:hAnsi="宋体"/>
          <w:b/>
          <w:bCs/>
          <w:color w:val="auto"/>
          <w:sz w:val="24"/>
        </w:rPr>
        <w:t>1.0.1</w:t>
      </w:r>
      <w:r>
        <w:rPr>
          <w:rFonts w:hint="eastAsia" w:ascii="宋体" w:hAnsi="宋体"/>
          <w:color w:val="auto"/>
          <w:sz w:val="24"/>
        </w:rPr>
        <w:t>为贯彻国家2030年碳达峰、2060年碳中和目标，减少建筑领域碳排放，降低用能需求，提高能源利用效率，充分利用建筑可再生能源资源，推动建筑及社区逐步实现零碳排放，制定本</w:t>
      </w:r>
      <w:r>
        <w:rPr>
          <w:rFonts w:hint="eastAsia" w:ascii="宋体" w:hAnsi="宋体"/>
          <w:color w:val="auto"/>
          <w:sz w:val="24"/>
          <w:lang w:val="en-US" w:eastAsia="zh-CN"/>
        </w:rPr>
        <w:t>规程</w:t>
      </w:r>
      <w:r>
        <w:rPr>
          <w:rFonts w:hint="eastAsia" w:ascii="宋体" w:hAnsi="宋体"/>
          <w:color w:val="auto"/>
          <w:sz w:val="24"/>
        </w:rPr>
        <w:t>。</w:t>
      </w:r>
    </w:p>
    <w:p>
      <w:pPr>
        <w:spacing w:line="400" w:lineRule="exact"/>
        <w:rPr>
          <w:rFonts w:eastAsia="楷体"/>
          <w:bCs/>
          <w:color w:val="111111"/>
        </w:rPr>
      </w:pPr>
      <w:r>
        <w:rPr>
          <w:rFonts w:hint="eastAsia" w:eastAsia="楷体"/>
          <w:b/>
          <w:color w:val="111111"/>
        </w:rPr>
        <w:t>【条文说明】</w:t>
      </w:r>
      <w:r>
        <w:rPr>
          <w:rFonts w:hint="eastAsia" w:eastAsia="楷体"/>
          <w:bCs/>
          <w:color w:val="111111"/>
        </w:rPr>
        <w:t>建筑领域作为主要的终端用能部门，其能源消耗占全社会能源消耗的三分之一左右，这也是造成温室气体排放的重要因素。在政策不干预的前提下，随着城市化进程的继续以及人民生活水平的不断提高，建筑领域碳排放存在较强的增长动力。根据</w:t>
      </w:r>
      <w:r>
        <w:rPr>
          <w:rFonts w:eastAsia="楷体"/>
          <w:bCs/>
          <w:color w:val="111111"/>
        </w:rPr>
        <w:t>IEA数据2018年</w:t>
      </w:r>
      <w:r>
        <w:rPr>
          <w:rFonts w:hint="eastAsia" w:eastAsia="楷体"/>
          <w:bCs/>
          <w:color w:val="111111"/>
        </w:rPr>
        <w:t>我</w:t>
      </w:r>
      <w:r>
        <w:rPr>
          <w:rFonts w:eastAsia="楷体"/>
          <w:bCs/>
          <w:color w:val="111111"/>
        </w:rPr>
        <w:t>国</w:t>
      </w:r>
      <w:r>
        <w:rPr>
          <w:rFonts w:hint="eastAsia" w:eastAsia="楷体"/>
          <w:bCs/>
          <w:color w:val="111111"/>
        </w:rPr>
        <w:t>年</w:t>
      </w:r>
      <w:r>
        <w:rPr>
          <w:rFonts w:eastAsia="楷体"/>
          <w:bCs/>
          <w:color w:val="111111"/>
        </w:rPr>
        <w:t>碳排放</w:t>
      </w:r>
      <w:r>
        <w:rPr>
          <w:rFonts w:hint="eastAsia" w:eastAsia="楷体"/>
          <w:bCs/>
          <w:color w:val="111111"/>
        </w:rPr>
        <w:t>总量</w:t>
      </w:r>
      <w:r>
        <w:rPr>
          <w:rFonts w:eastAsia="楷体"/>
          <w:bCs/>
          <w:color w:val="111111"/>
        </w:rPr>
        <w:t>约为100亿tCO2，其中建筑运行约为21亿tCO2，占</w:t>
      </w:r>
      <w:r>
        <w:rPr>
          <w:rFonts w:hint="eastAsia" w:eastAsia="楷体"/>
          <w:bCs/>
          <w:color w:val="111111"/>
        </w:rPr>
        <w:t>我国总碳排放</w:t>
      </w:r>
      <w:r>
        <w:rPr>
          <w:rFonts w:eastAsia="楷体"/>
          <w:bCs/>
          <w:color w:val="111111"/>
        </w:rPr>
        <w:t>21%，</w:t>
      </w:r>
      <w:r>
        <w:rPr>
          <w:rFonts w:hint="eastAsia" w:eastAsia="楷体"/>
          <w:bCs/>
          <w:color w:val="111111"/>
        </w:rPr>
        <w:t>占全球碳排放总量的5%左右。</w:t>
      </w:r>
    </w:p>
    <w:p>
      <w:pPr>
        <w:spacing w:line="400" w:lineRule="exact"/>
        <w:ind w:firstLine="420" w:firstLineChars="200"/>
        <w:rPr>
          <w:rFonts w:eastAsia="楷体"/>
          <w:bCs/>
          <w:color w:val="111111"/>
        </w:rPr>
      </w:pPr>
      <w:r>
        <w:rPr>
          <w:rFonts w:hint="eastAsia" w:eastAsia="楷体"/>
          <w:bCs/>
          <w:color w:val="111111"/>
        </w:rPr>
        <w:t>建筑领域作为生活的主要承载空间和国民经济的支柱产业，建筑领域实施碳达峰和碳中和战略有助于改善人民生活水平，拉动内需，促进建筑行业绿色转型升级，对</w:t>
      </w:r>
      <w:r>
        <w:rPr>
          <w:rFonts w:eastAsia="楷体"/>
          <w:bCs/>
          <w:color w:val="111111"/>
        </w:rPr>
        <w:t>我国碳达峰与碳中和战略的实现具有重要意义，</w:t>
      </w:r>
      <w:r>
        <w:rPr>
          <w:rFonts w:hint="eastAsia" w:eastAsia="楷体"/>
          <w:bCs/>
          <w:color w:val="111111"/>
        </w:rPr>
        <w:t>同时也是</w:t>
      </w:r>
      <w:r>
        <w:rPr>
          <w:rFonts w:eastAsia="楷体"/>
          <w:bCs/>
          <w:color w:val="111111"/>
        </w:rPr>
        <w:t>全球应对气候变化工作的重要组成部分</w:t>
      </w:r>
      <w:r>
        <w:rPr>
          <w:rFonts w:hint="eastAsia" w:eastAsia="楷体"/>
          <w:bCs/>
          <w:color w:val="111111"/>
        </w:rPr>
        <w:t>，和对我国履行国际承诺的支持。</w:t>
      </w:r>
    </w:p>
    <w:p>
      <w:pPr>
        <w:spacing w:line="400" w:lineRule="exact"/>
        <w:ind w:firstLine="420" w:firstLineChars="200"/>
        <w:rPr>
          <w:rFonts w:eastAsia="楷体"/>
          <w:bCs/>
          <w:color w:val="111111"/>
        </w:rPr>
      </w:pPr>
      <w:r>
        <w:rPr>
          <w:rFonts w:hint="eastAsia" w:eastAsia="楷体"/>
          <w:bCs/>
          <w:color w:val="111111"/>
        </w:rPr>
        <w:t>建筑和社区是建筑领域主要承载形式，本标准推动建筑及社区通过科学规划、精心设计降低能量需求，提高能效，开发和利用建筑领域的可再生能源资源，兼顾建材生产及运输、建造及拆除阶段的碳减排，推动建筑和社区的全寿命期零碳目标的实现。</w:t>
      </w:r>
    </w:p>
    <w:p>
      <w:pPr>
        <w:spacing w:line="400" w:lineRule="exact"/>
        <w:ind w:firstLine="420" w:firstLineChars="200"/>
        <w:rPr>
          <w:rFonts w:eastAsia="楷体"/>
          <w:bCs/>
          <w:color w:val="111111"/>
        </w:rPr>
      </w:pPr>
    </w:p>
    <w:p>
      <w:pPr>
        <w:spacing w:line="360" w:lineRule="auto"/>
        <w:outlineLvl w:val="2"/>
        <w:rPr>
          <w:rFonts w:ascii="宋体" w:hAnsi="宋体"/>
          <w:color w:val="auto"/>
          <w:sz w:val="24"/>
        </w:rPr>
      </w:pPr>
      <w:r>
        <w:rPr>
          <w:rFonts w:hint="eastAsia" w:ascii="宋体" w:hAnsi="宋体"/>
          <w:b/>
          <w:bCs/>
          <w:color w:val="auto"/>
          <w:sz w:val="24"/>
        </w:rPr>
        <w:t>1.0.2</w:t>
      </w:r>
      <w:r>
        <w:rPr>
          <w:rFonts w:hint="eastAsia" w:ascii="宋体" w:hAnsi="宋体"/>
          <w:color w:val="auto"/>
          <w:sz w:val="24"/>
        </w:rPr>
        <w:t>本</w:t>
      </w:r>
      <w:r>
        <w:rPr>
          <w:rFonts w:hint="eastAsia" w:ascii="宋体" w:hAnsi="宋体"/>
          <w:color w:val="auto"/>
          <w:sz w:val="24"/>
          <w:lang w:val="en-US" w:eastAsia="zh-CN"/>
        </w:rPr>
        <w:t>规程</w:t>
      </w:r>
      <w:r>
        <w:rPr>
          <w:rFonts w:hint="eastAsia" w:ascii="宋体" w:hAnsi="宋体"/>
          <w:color w:val="auto"/>
          <w:sz w:val="24"/>
        </w:rPr>
        <w:t>适用于零碳建筑及社区的设计、施工、运行和评价。</w:t>
      </w:r>
    </w:p>
    <w:p>
      <w:pPr>
        <w:spacing w:line="400" w:lineRule="exact"/>
        <w:rPr>
          <w:rFonts w:ascii="楷体" w:hAnsi="楷体" w:eastAsia="楷体"/>
          <w:bCs/>
          <w:color w:val="111111"/>
        </w:rPr>
      </w:pPr>
      <w:r>
        <w:rPr>
          <w:rFonts w:hint="eastAsia" w:eastAsia="楷体"/>
          <w:b/>
          <w:color w:val="111111"/>
        </w:rPr>
        <w:t>【条文说明】</w:t>
      </w:r>
      <w:r>
        <w:rPr>
          <w:rFonts w:eastAsia="楷体"/>
          <w:b/>
          <w:color w:val="111111"/>
        </w:rPr>
        <w:t xml:space="preserve"> </w:t>
      </w:r>
      <w:r>
        <w:rPr>
          <w:rFonts w:hint="eastAsia" w:ascii="楷体" w:hAnsi="楷体" w:eastAsia="楷体"/>
          <w:bCs/>
          <w:color w:val="111111"/>
        </w:rPr>
        <w:t>建筑、社区实现零碳目标，科学设计、施工、运行与评价是必不可少的重要环节。我国地域广阔，各地区气候差异大，室内环境标准偏低，建筑特点以及人们生活习惯，都与发达国家相比存在差异。本标准通过借鉴国内外相关经验，提炼示范建筑在设计、施工、运行等环节的关键技术要点，指导我国低碳、近零碳、零碳建筑推广，为我国中长期建筑节能工作提供支撑和引导。</w:t>
      </w:r>
    </w:p>
    <w:p>
      <w:pPr>
        <w:spacing w:line="400" w:lineRule="exact"/>
        <w:ind w:firstLine="420" w:firstLineChars="200"/>
        <w:rPr>
          <w:rFonts w:ascii="楷体" w:hAnsi="楷体" w:eastAsia="楷体"/>
          <w:bCs/>
          <w:color w:val="111111"/>
        </w:rPr>
      </w:pPr>
      <w:r>
        <w:rPr>
          <w:rFonts w:hint="eastAsia" w:ascii="楷体" w:hAnsi="楷体" w:eastAsia="楷体"/>
          <w:bCs/>
          <w:color w:val="111111"/>
        </w:rPr>
        <w:t>本标准适用于新建居住建筑和公共建筑，也适用于改造的居住建筑和公共建筑。新建建筑包括扩建和改建。扩建是指保留原有建筑，在其基础上增加另外的功能、形式、规模，使得新建部分成为与原有建筑相关的新建建筑;改建是指对原有建筑的功能或者形式进行改变，而建筑的规模和建筑的占地面积均不改变的新建建筑。</w:t>
      </w:r>
    </w:p>
    <w:p>
      <w:pPr>
        <w:spacing w:line="400" w:lineRule="exact"/>
        <w:rPr>
          <w:rFonts w:ascii="楷体" w:hAnsi="楷体" w:eastAsia="楷体"/>
          <w:bCs/>
          <w:color w:val="111111"/>
        </w:rPr>
      </w:pPr>
    </w:p>
    <w:p>
      <w:pPr>
        <w:spacing w:line="360" w:lineRule="auto"/>
        <w:outlineLvl w:val="2"/>
        <w:rPr>
          <w:rFonts w:ascii="宋体" w:hAnsi="宋体"/>
          <w:color w:val="auto"/>
          <w:sz w:val="24"/>
        </w:rPr>
      </w:pPr>
      <w:r>
        <w:rPr>
          <w:rFonts w:hint="eastAsia" w:ascii="宋体" w:hAnsi="宋体"/>
          <w:b/>
          <w:bCs/>
          <w:color w:val="auto"/>
          <w:sz w:val="24"/>
        </w:rPr>
        <w:t>1.0.3</w:t>
      </w:r>
      <w:r>
        <w:rPr>
          <w:rFonts w:hint="eastAsia" w:ascii="宋体" w:hAnsi="宋体"/>
          <w:color w:val="auto"/>
          <w:sz w:val="24"/>
        </w:rPr>
        <w:t>零碳建筑及社区的设计、施工、运行与评价除应符合本</w:t>
      </w:r>
      <w:r>
        <w:rPr>
          <w:rFonts w:hint="eastAsia" w:ascii="宋体" w:hAnsi="宋体"/>
          <w:color w:val="auto"/>
          <w:sz w:val="24"/>
          <w:lang w:val="en-US" w:eastAsia="zh-CN"/>
        </w:rPr>
        <w:t>规程</w:t>
      </w:r>
      <w:r>
        <w:rPr>
          <w:rFonts w:hint="eastAsia" w:ascii="宋体" w:hAnsi="宋体"/>
          <w:color w:val="auto"/>
          <w:sz w:val="24"/>
        </w:rPr>
        <w:t>的规定外，尚应符合国家现行的有关标准</w:t>
      </w:r>
      <w:r>
        <w:rPr>
          <w:rFonts w:hint="eastAsia"/>
          <w:color w:val="000000"/>
          <w:sz w:val="24"/>
          <w:szCs w:val="24"/>
        </w:rPr>
        <w:t>和现行中国工程建设标准化协会有关标准的规定</w:t>
      </w:r>
      <w:r>
        <w:rPr>
          <w:rFonts w:hint="eastAsia" w:ascii="宋体" w:hAnsi="宋体"/>
          <w:color w:val="auto"/>
          <w:sz w:val="24"/>
        </w:rPr>
        <w:t>。</w:t>
      </w:r>
    </w:p>
    <w:p>
      <w:pPr>
        <w:spacing w:line="400" w:lineRule="exact"/>
        <w:rPr>
          <w:rFonts w:ascii="楷体" w:hAnsi="楷体" w:eastAsia="楷体"/>
          <w:bCs/>
          <w:color w:val="111111"/>
        </w:rPr>
      </w:pPr>
      <w:r>
        <w:rPr>
          <w:rFonts w:hint="eastAsia" w:eastAsia="楷体"/>
          <w:b/>
          <w:color w:val="111111"/>
        </w:rPr>
        <w:t>【条文说明】</w:t>
      </w:r>
      <w:r>
        <w:rPr>
          <w:rFonts w:eastAsia="楷体"/>
          <w:b/>
          <w:color w:val="111111"/>
        </w:rPr>
        <w:t xml:space="preserve"> </w:t>
      </w:r>
      <w:r>
        <w:rPr>
          <w:rFonts w:hint="eastAsia" w:ascii="楷体" w:hAnsi="楷体" w:eastAsia="楷体"/>
          <w:bCs/>
          <w:color w:val="111111"/>
        </w:rPr>
        <w:t>本标准对零碳建筑及社区的碳排放技术指标和应采取的节碳措施作出了规定，但建筑及社区减碳涉及的专业较多，相关专业均制定了相应的标准，并作出了规定，因此，在进行建筑节碳设计时，除应符合本标准外，尚应符合国家现行有关标准的规定。</w:t>
      </w:r>
    </w:p>
    <w:p>
      <w:pPr>
        <w:spacing w:line="360" w:lineRule="auto"/>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rPr>
          <w:rFonts w:ascii="黑体" w:hAnsi="黑体" w:eastAsia="黑体"/>
          <w:bCs/>
          <w:color w:val="auto"/>
          <w:sz w:val="36"/>
          <w:szCs w:val="32"/>
        </w:rPr>
      </w:pPr>
      <w:bookmarkStart w:id="17" w:name="_Toc74137290"/>
      <w:bookmarkStart w:id="18" w:name="_Toc86055335"/>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19" w:name="_Toc7700"/>
      <w:bookmarkStart w:id="20" w:name="_Toc13797"/>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bookmarkEnd w:id="17"/>
      <w:bookmarkEnd w:id="18"/>
      <w:bookmarkEnd w:id="19"/>
      <w:bookmarkEnd w:id="20"/>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.0.1</w:t>
      </w:r>
      <w:r>
        <w:rPr>
          <w:rFonts w:hint="eastAsia" w:ascii="宋体" w:hAnsi="宋体"/>
          <w:b/>
          <w:bCs/>
          <w:color w:val="auto"/>
          <w:sz w:val="24"/>
        </w:rPr>
        <w:t>零碳建筑  zero carbon</w:t>
      </w:r>
      <w:r>
        <w:rPr>
          <w:rFonts w:ascii="宋体" w:hAnsi="宋体"/>
          <w:b/>
          <w:bCs/>
          <w:color w:val="auto"/>
          <w:sz w:val="24"/>
        </w:rPr>
        <w:t xml:space="preserve"> </w:t>
      </w:r>
      <w:r>
        <w:rPr>
          <w:rFonts w:hint="eastAsia" w:ascii="宋体" w:hAnsi="宋体"/>
          <w:b/>
          <w:bCs/>
          <w:color w:val="auto"/>
          <w:sz w:val="24"/>
        </w:rPr>
        <w:t>b</w:t>
      </w:r>
      <w:r>
        <w:rPr>
          <w:rFonts w:ascii="宋体" w:hAnsi="宋体"/>
          <w:b/>
          <w:bCs/>
          <w:color w:val="auto"/>
          <w:sz w:val="24"/>
        </w:rPr>
        <w:t>uilding</w:t>
      </w:r>
    </w:p>
    <w:p>
      <w:pPr>
        <w:spacing w:line="360" w:lineRule="auto"/>
        <w:ind w:firstLine="480" w:firstLineChars="200"/>
        <w:rPr>
          <w:rFonts w:ascii="宋体" w:hAnsi="宋体"/>
          <w:color w:val="auto"/>
          <w:sz w:val="24"/>
        </w:rPr>
      </w:pPr>
      <w:r>
        <w:rPr>
          <w:rFonts w:hint="eastAsia" w:ascii="宋体" w:hAnsi="宋体"/>
          <w:color w:val="auto"/>
          <w:sz w:val="24"/>
        </w:rPr>
        <w:t>适应气候特征与场地条件，在满足室内环境参数的基础上，通过优化建筑设计降低建筑用能需求，提高能源设备与系统效率，充分利用可再生能源，合理采用蓄能方式，并结合碳交易和绿色电力交易等碳抵消机制，以年为周期核算，运行碳排放量小于等于零的建筑。</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.0.2</w:t>
      </w:r>
      <w:r>
        <w:rPr>
          <w:rFonts w:hint="eastAsia" w:ascii="宋体" w:hAnsi="宋体"/>
          <w:b/>
          <w:bCs/>
          <w:color w:val="auto"/>
          <w:sz w:val="24"/>
        </w:rPr>
        <w:t>全生命期零碳建筑  zero whole life carbon building</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在实现建筑零碳运行的基础上，通过采用低碳建材、低碳结构形式和材料减量化、使建筑建材生产和运输、建造及运行的总碳排放量小于等于零的建筑。</w:t>
      </w:r>
    </w:p>
    <w:p>
      <w:pPr>
        <w:spacing w:line="400" w:lineRule="exact"/>
        <w:rPr>
          <w:rFonts w:ascii="楷体" w:hAnsi="楷体" w:eastAsia="楷体"/>
          <w:bCs/>
          <w:color w:val="111111"/>
        </w:rPr>
      </w:pPr>
      <w:r>
        <w:rPr>
          <w:rFonts w:hint="eastAsia" w:ascii="楷体" w:hAnsi="楷体" w:eastAsia="楷体"/>
          <w:b/>
          <w:bCs/>
          <w:color w:val="auto"/>
        </w:rPr>
        <w:t>2.0.1 2.0.2【条文说明】</w:t>
      </w:r>
      <w:r>
        <w:rPr>
          <w:rFonts w:hint="eastAsia" w:ascii="楷体" w:hAnsi="楷体" w:eastAsia="楷体"/>
          <w:bCs/>
          <w:color w:val="111111"/>
        </w:rPr>
        <w:t>目前，世界范围内对“零碳建筑”尚无统一定义。国际标准中对“零碳建筑”的定义以狭义的建筑净零碳运行为主，少数标准要求计算或补偿建筑全生命期碳排放。本标准将运行阶段零碳建筑和全生命期零碳建筑作以区分，在顺应国际主流发展趋势的同时，建筑可根据自身情况和要求选择合适的评价路径。</w:t>
      </w:r>
    </w:p>
    <w:p>
      <w:pPr>
        <w:spacing w:line="400" w:lineRule="exact"/>
        <w:ind w:firstLine="420" w:firstLineChars="200"/>
        <w:rPr>
          <w:rFonts w:ascii="楷体" w:hAnsi="楷体" w:eastAsia="楷体"/>
          <w:bCs/>
          <w:color w:val="111111"/>
        </w:rPr>
      </w:pPr>
      <w:r>
        <w:rPr>
          <w:rFonts w:hint="eastAsia" w:ascii="楷体" w:hAnsi="楷体" w:eastAsia="楷体"/>
          <w:bCs/>
          <w:color w:val="111111"/>
        </w:rPr>
        <w:t>我国幅员辽阔、人口众多、能源需求量大，为贯彻国家2030年碳达峰、2060年碳中和目标，控制建筑用能强度增长，应坚持“节能优先”的原则，通过被动式建筑设计最大幅度降低建筑供暖、空调、照明需求，通过主动技术措施最大幅度提高能源设备与系统效率，充分利用可再生能源，使建筑完全或接近完全消除二氧化碳排放，剩余无法通过节能手段降低或减碳成本过高的部分，可通过外部碳减排项目抵销，实现净零排放。</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.0.3</w:t>
      </w:r>
      <w:r>
        <w:rPr>
          <w:rFonts w:hint="eastAsia" w:ascii="宋体" w:hAnsi="宋体"/>
          <w:b/>
          <w:bCs/>
          <w:color w:val="auto"/>
          <w:sz w:val="24"/>
        </w:rPr>
        <w:t>气候中性建筑  climate neutral building</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在实现全生命期零碳建筑的基础上，建筑完全或接近完全消除温室气体排放，并通过长期捕获温室气体的项目抵销剩余排放，使温室气体总排放量小于等于零的建筑。</w:t>
      </w:r>
    </w:p>
    <w:p>
      <w:pPr>
        <w:spacing w:line="400" w:lineRule="exact"/>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《京都议定书》中规定控制的6种温室气体为：二氧化碳（CO</w:t>
      </w:r>
      <w:r>
        <w:rPr>
          <w:rFonts w:hint="eastAsia" w:ascii="楷体" w:hAnsi="楷体" w:eastAsia="楷体"/>
          <w:color w:val="auto"/>
          <w:vertAlign w:val="subscript"/>
        </w:rPr>
        <w:t>2</w:t>
      </w:r>
      <w:r>
        <w:rPr>
          <w:rFonts w:hint="eastAsia" w:ascii="楷体" w:hAnsi="楷体" w:eastAsia="楷体"/>
          <w:color w:val="auto"/>
        </w:rPr>
        <w:t>）、甲烷（CH</w:t>
      </w:r>
      <w:r>
        <w:rPr>
          <w:rFonts w:hint="eastAsia" w:ascii="楷体" w:hAnsi="楷体" w:eastAsia="楷体"/>
          <w:color w:val="auto"/>
          <w:vertAlign w:val="subscript"/>
        </w:rPr>
        <w:t>4</w:t>
      </w:r>
      <w:r>
        <w:rPr>
          <w:rFonts w:hint="eastAsia" w:ascii="楷体" w:hAnsi="楷体" w:eastAsia="楷体"/>
          <w:color w:val="auto"/>
        </w:rPr>
        <w:t>）、氧化亚氮（N</w:t>
      </w:r>
      <w:r>
        <w:rPr>
          <w:rFonts w:hint="eastAsia" w:ascii="楷体" w:hAnsi="楷体" w:eastAsia="楷体"/>
          <w:color w:val="auto"/>
          <w:vertAlign w:val="subscript"/>
        </w:rPr>
        <w:t>2</w:t>
      </w:r>
      <w:r>
        <w:rPr>
          <w:rFonts w:hint="eastAsia" w:ascii="楷体" w:hAnsi="楷体" w:eastAsia="楷体"/>
          <w:color w:val="auto"/>
        </w:rPr>
        <w:t>O）、氢氟碳化合物（HFCs）、全氟碳化合物（PFCs）、六氟化硫（SF</w:t>
      </w:r>
      <w:r>
        <w:rPr>
          <w:rFonts w:hint="eastAsia" w:ascii="楷体" w:hAnsi="楷体" w:eastAsia="楷体"/>
          <w:color w:val="auto"/>
          <w:vertAlign w:val="subscript"/>
        </w:rPr>
        <w:t>6</w:t>
      </w:r>
      <w:r>
        <w:rPr>
          <w:rFonts w:hint="eastAsia" w:ascii="楷体" w:hAnsi="楷体" w:eastAsia="楷体"/>
          <w:color w:val="auto"/>
        </w:rPr>
        <w:t>）。一般使用二氧化碳当量（CO</w:t>
      </w:r>
      <w:r>
        <w:rPr>
          <w:rFonts w:hint="eastAsia" w:ascii="楷体" w:hAnsi="楷体" w:eastAsia="楷体"/>
          <w:color w:val="auto"/>
          <w:vertAlign w:val="subscript"/>
        </w:rPr>
        <w:t>2</w:t>
      </w:r>
      <w:r>
        <w:rPr>
          <w:rFonts w:hint="eastAsia" w:ascii="楷体" w:hAnsi="楷体" w:eastAsia="楷体"/>
          <w:color w:val="auto"/>
        </w:rPr>
        <w:t>e)统一度量不同温室气体的温室效应结果。二氧化碳当量等于给定温室气体的质量乘以它的全球变暖潜能值（GWP）。非二氧化碳温室气体虽然排放量低，但其吸收外逸</w:t>
      </w:r>
      <w:r>
        <w:fldChar w:fldCharType="begin"/>
      </w:r>
      <w:r>
        <w:instrText xml:space="preserve"> HYPERLINK "https://baike.baidu.com/item/%E7%83%AD%E7%BA%A2%E5%A4%96%E8%BE%90%E5%B0%84?fromModule=lemma_inlink" \t "https://baike.baidu.com/item/GWP/_blank" </w:instrText>
      </w:r>
      <w:r>
        <w:fldChar w:fldCharType="separate"/>
      </w:r>
      <w:r>
        <w:rPr>
          <w:rFonts w:ascii="楷体" w:hAnsi="楷体" w:eastAsia="楷体"/>
          <w:color w:val="auto"/>
        </w:rPr>
        <w:t>热红外辐射</w:t>
      </w:r>
      <w:r>
        <w:rPr>
          <w:rFonts w:ascii="楷体" w:hAnsi="楷体" w:eastAsia="楷体"/>
          <w:color w:val="auto"/>
        </w:rPr>
        <w:fldChar w:fldCharType="end"/>
      </w:r>
      <w:r>
        <w:rPr>
          <w:rFonts w:hint="eastAsia" w:ascii="楷体" w:hAnsi="楷体" w:eastAsia="楷体"/>
          <w:color w:val="auto"/>
        </w:rPr>
        <w:t>的能力更强，单位质量对全球变暖的影响更大。例如，甲烷的20年全球变暖潜能值是CO</w:t>
      </w:r>
      <w:r>
        <w:rPr>
          <w:rFonts w:hint="eastAsia" w:ascii="楷体" w:hAnsi="楷体" w:eastAsia="楷体"/>
          <w:color w:val="auto"/>
          <w:vertAlign w:val="subscript"/>
        </w:rPr>
        <w:t>2</w:t>
      </w:r>
      <w:r>
        <w:rPr>
          <w:rFonts w:hint="eastAsia" w:ascii="楷体" w:hAnsi="楷体" w:eastAsia="楷体"/>
          <w:color w:val="auto"/>
        </w:rPr>
        <w:t>的72倍，常用的制冷剂R-134a的20年全球变暖潜能值是CO</w:t>
      </w:r>
      <w:r>
        <w:rPr>
          <w:rFonts w:hint="eastAsia" w:ascii="楷体" w:hAnsi="楷体" w:eastAsia="楷体"/>
          <w:color w:val="auto"/>
          <w:vertAlign w:val="subscript"/>
        </w:rPr>
        <w:t>2</w:t>
      </w:r>
      <w:r>
        <w:rPr>
          <w:rFonts w:hint="eastAsia" w:ascii="楷体" w:hAnsi="楷体" w:eastAsia="楷体"/>
          <w:color w:val="auto"/>
        </w:rPr>
        <w:t>的近4000倍。建筑在全生命期中，建材生产和运输过程、建筑运行阶段制冷剂泄露等，均会产生非二氧化碳温室气体的排放。气候中性建筑要求建筑在全生命期，温室气体排放和清除之间达到平衡，因此需要计算和核算建筑全部温室气体排放并有计划地清除，实现气候中性。</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 xml:space="preserve">4零碳社区  </w:t>
      </w:r>
      <w:r>
        <w:rPr>
          <w:rFonts w:ascii="宋体" w:hAnsi="宋体"/>
          <w:b/>
          <w:bCs/>
          <w:color w:val="auto"/>
          <w:sz w:val="24"/>
        </w:rPr>
        <w:t>z</w:t>
      </w:r>
      <w:r>
        <w:rPr>
          <w:rFonts w:hint="eastAsia" w:ascii="宋体" w:hAnsi="宋体"/>
          <w:b/>
          <w:bCs/>
          <w:color w:val="auto"/>
          <w:sz w:val="24"/>
        </w:rPr>
        <w:t>ero</w:t>
      </w:r>
      <w:r>
        <w:rPr>
          <w:rFonts w:ascii="宋体" w:hAnsi="宋体"/>
          <w:b/>
          <w:bCs/>
          <w:color w:val="auto"/>
          <w:sz w:val="24"/>
        </w:rPr>
        <w:t xml:space="preserve"> carbon community</w:t>
      </w:r>
    </w:p>
    <w:p>
      <w:pPr>
        <w:spacing w:line="360" w:lineRule="auto"/>
        <w:ind w:firstLine="480" w:firstLineChars="200"/>
        <w:rPr>
          <w:rFonts w:ascii="宋体" w:hAnsi="宋体"/>
          <w:color w:val="auto"/>
          <w:sz w:val="24"/>
        </w:rPr>
      </w:pPr>
      <w:r>
        <w:rPr>
          <w:rFonts w:hint="eastAsia" w:ascii="宋体" w:hAnsi="宋体"/>
          <w:color w:val="auto"/>
          <w:sz w:val="24"/>
        </w:rPr>
        <w:t>适应气候特征和区域条件，在满足社区功能定位前提下，通过排放源减碳措施大幅度降低建筑、市政、交通等能源使用需求，提高建筑及基础设施能源使用效率，使用清洁能源，充分利用区域内及周边可再生能源减碳并结合碳交易和绿色电力购买等碳抵销机制，实现以年为周期的运行相关二氧化碳排放量小于等于零的高能效社区。</w:t>
      </w:r>
    </w:p>
    <w:p>
      <w:pPr>
        <w:spacing w:line="400" w:lineRule="exact"/>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本规范中定义的社区主要为以民用建筑用能所造成的碳排放为主的区域，可以包含居住、办公、商业、酒店、医院、学校等多种用途。在社区实现零碳的路径规划中，节能降碳、能源转型及区域内可再生能源应用为节能降碳主要手段，绿色电力购买及碳交易仅作为辅助手段。</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 xml:space="preserve">5全生命期零碳社区  </w:t>
      </w:r>
      <w:r>
        <w:rPr>
          <w:rFonts w:ascii="宋体" w:hAnsi="宋体"/>
          <w:b/>
          <w:bCs/>
          <w:color w:val="auto"/>
          <w:sz w:val="24"/>
        </w:rPr>
        <w:t>zero</w:t>
      </w:r>
      <w:r>
        <w:rPr>
          <w:rFonts w:hint="eastAsia" w:ascii="宋体" w:hAnsi="宋体"/>
          <w:b/>
          <w:bCs/>
          <w:color w:val="auto"/>
          <w:sz w:val="24"/>
        </w:rPr>
        <w:t xml:space="preserve"> whole life</w:t>
      </w:r>
      <w:r>
        <w:rPr>
          <w:rFonts w:ascii="宋体" w:hAnsi="宋体"/>
          <w:b/>
          <w:bCs/>
          <w:color w:val="auto"/>
          <w:sz w:val="24"/>
        </w:rPr>
        <w:t xml:space="preserve"> carbon community</w:t>
      </w:r>
    </w:p>
    <w:p>
      <w:pPr>
        <w:spacing w:line="360" w:lineRule="auto"/>
        <w:ind w:firstLine="480" w:firstLineChars="200"/>
        <w:rPr>
          <w:rFonts w:ascii="宋体" w:hAnsi="宋体"/>
          <w:color w:val="auto"/>
          <w:sz w:val="24"/>
        </w:rPr>
      </w:pPr>
      <w:r>
        <w:rPr>
          <w:rFonts w:hint="eastAsia" w:ascii="宋体" w:hAnsi="宋体"/>
          <w:color w:val="auto"/>
          <w:sz w:val="24"/>
        </w:rPr>
        <w:t>在满足零碳社区要求的基础上，利用区域内可再生能源、外部绿色电力购买或碳交易抵销，对社区内建筑及基础设施建造过程中产生的碳排放及建材隐含碳排放进行补偿，实现全生命期二氧化碳排放小于等于零的高能效社区。</w:t>
      </w:r>
    </w:p>
    <w:p>
      <w:pPr>
        <w:spacing w:line="400" w:lineRule="exact"/>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社区开发建设过程中包含场地、建筑、市政等各项建设内容，全生命期零碳社区应在满足运行碳排放小于等于零的前提下，对社区内涉及的各项建设内容在建造阶段的碳排放及建材隐含碳排放进行补偿。</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 xml:space="preserve">6气候中性社区  </w:t>
      </w:r>
      <w:r>
        <w:rPr>
          <w:rFonts w:ascii="宋体" w:hAnsi="宋体"/>
          <w:b/>
          <w:bCs/>
          <w:color w:val="auto"/>
          <w:sz w:val="24"/>
        </w:rPr>
        <w:t>climate neutral community</w:t>
      </w:r>
    </w:p>
    <w:p>
      <w:pPr>
        <w:spacing w:line="360" w:lineRule="auto"/>
        <w:ind w:firstLine="480" w:firstLineChars="200"/>
      </w:pPr>
      <w:r>
        <w:rPr>
          <w:rFonts w:hint="eastAsia" w:ascii="宋体" w:hAnsi="宋体"/>
          <w:color w:val="auto"/>
          <w:sz w:val="24"/>
        </w:rPr>
        <w:t>在满足全生命期零碳社区要求的基础上，对社区内人类活动产生的全类别温室气体排放进行核算并补偿，实现全口径温室气体排放小于等于零的高能效社区。</w:t>
      </w:r>
    </w:p>
    <w:p>
      <w:pPr>
        <w:spacing w:line="400" w:lineRule="exact"/>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以民用建筑为主体的社区通常所包含的温室气体排放主要有：生活污水及垃圾处理中产生的甲烷、氧化亚氮；绿化及园林养护中产生的氧化亚氮；建筑及区域供冷设备中制冷剂逸散等。</w:t>
      </w:r>
    </w:p>
    <w:p>
      <w:pPr>
        <w:spacing w:line="360" w:lineRule="auto"/>
        <w:outlineLvl w:val="2"/>
        <w:rPr>
          <w:rFonts w:ascii="宋体" w:hAnsi="宋体"/>
          <w:b/>
          <w:bCs/>
          <w:color w:val="auto"/>
          <w:sz w:val="24"/>
        </w:rPr>
      </w:pPr>
      <w:r>
        <w:rPr>
          <w:rFonts w:hint="eastAsia" w:ascii="宋体" w:hAnsi="宋体"/>
          <w:b/>
          <w:bCs/>
          <w:color w:val="auto"/>
          <w:sz w:val="24"/>
        </w:rPr>
        <w:t>2.0.7单位建筑面积可再生能源发电量 renewable energy electricity generation per unit building area</w:t>
      </w:r>
    </w:p>
    <w:p>
      <w:pPr>
        <w:ind w:firstLine="480" w:firstLineChars="200"/>
        <w:rPr>
          <w:color w:val="auto"/>
          <w:sz w:val="24"/>
          <w:szCs w:val="24"/>
        </w:rPr>
      </w:pPr>
      <w:r>
        <w:rPr>
          <w:rFonts w:hint="eastAsia" w:ascii="宋体" w:hAnsi="宋体"/>
          <w:color w:val="auto"/>
          <w:sz w:val="24"/>
        </w:rPr>
        <w:t>单位建筑面积利用的可再生能源发电量，单位：kWh/m2·a。</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 xml:space="preserve">8社区总运行碳排放量  </w:t>
      </w:r>
      <w:r>
        <w:rPr>
          <w:rFonts w:ascii="宋体" w:hAnsi="宋体"/>
          <w:b/>
          <w:bCs/>
          <w:color w:val="auto"/>
          <w:sz w:val="24"/>
        </w:rPr>
        <w:t>total operational carbon emission of community</w:t>
      </w:r>
    </w:p>
    <w:p>
      <w:pPr>
        <w:spacing w:line="360" w:lineRule="auto"/>
        <w:ind w:firstLine="480" w:firstLineChars="200"/>
        <w:rPr>
          <w:rFonts w:ascii="宋体" w:hAnsi="宋体"/>
          <w:color w:val="auto"/>
          <w:sz w:val="24"/>
        </w:rPr>
      </w:pPr>
      <w:r>
        <w:rPr>
          <w:rFonts w:hint="eastAsia" w:ascii="宋体" w:hAnsi="宋体"/>
          <w:color w:val="auto"/>
          <w:sz w:val="24"/>
        </w:rPr>
        <w:t>社区运行阶段因能源使用产生的碳排放与碳抵销量的总和，其中包含三部分内容：1）建筑、市政、交通等各领域因能源使用产生的碳排放量，2）区域内及周边可再生能源碳减排量，3）外部绿电及碳交易补偿量，单位：tCO</w:t>
      </w:r>
      <w:r>
        <w:rPr>
          <w:rFonts w:ascii="宋体" w:hAnsi="宋体"/>
          <w:color w:val="auto"/>
          <w:sz w:val="24"/>
          <w:vertAlign w:val="subscript"/>
        </w:rPr>
        <w:t>2</w:t>
      </w:r>
      <w:r>
        <w:rPr>
          <w:rFonts w:ascii="宋体" w:hAnsi="宋体"/>
          <w:color w:val="auto"/>
          <w:sz w:val="24"/>
        </w:rPr>
        <w:t>/</w:t>
      </w:r>
      <w:r>
        <w:rPr>
          <w:rFonts w:hint="eastAsia" w:ascii="宋体" w:hAnsi="宋体"/>
          <w:color w:val="auto"/>
          <w:sz w:val="24"/>
        </w:rPr>
        <w:t>a。</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9社区净运行碳排放量  net</w:t>
      </w:r>
      <w:r>
        <w:rPr>
          <w:rFonts w:ascii="宋体" w:hAnsi="宋体"/>
          <w:b/>
          <w:bCs/>
          <w:color w:val="auto"/>
          <w:sz w:val="24"/>
        </w:rPr>
        <w:t xml:space="preserve"> operational carbon emission of community</w:t>
      </w:r>
    </w:p>
    <w:p>
      <w:pPr>
        <w:spacing w:line="360" w:lineRule="auto"/>
        <w:ind w:firstLine="480" w:firstLineChars="200"/>
        <w:rPr>
          <w:rFonts w:ascii="宋体" w:hAnsi="宋体"/>
          <w:color w:val="auto"/>
          <w:sz w:val="24"/>
        </w:rPr>
      </w:pPr>
      <w:r>
        <w:rPr>
          <w:rFonts w:hint="eastAsia" w:ascii="宋体" w:hAnsi="宋体"/>
          <w:color w:val="auto"/>
          <w:sz w:val="24"/>
        </w:rPr>
        <w:t>不含外部绿电及碳交易补偿量的社区总运行碳排放量，单位：tCO</w:t>
      </w:r>
      <w:r>
        <w:rPr>
          <w:rFonts w:hint="eastAsia" w:ascii="宋体" w:hAnsi="宋体"/>
          <w:color w:val="auto"/>
          <w:sz w:val="24"/>
          <w:vertAlign w:val="subscript"/>
        </w:rPr>
        <w:t>2</w:t>
      </w:r>
      <w:r>
        <w:rPr>
          <w:rFonts w:hint="eastAsia" w:ascii="宋体" w:hAnsi="宋体"/>
          <w:color w:val="auto"/>
          <w:sz w:val="24"/>
        </w:rPr>
        <w:t>/a。</w:t>
      </w:r>
    </w:p>
    <w:p>
      <w:pPr>
        <w:spacing w:line="360" w:lineRule="auto"/>
        <w:outlineLvl w:val="2"/>
        <w:rPr>
          <w:rFonts w:ascii="宋体" w:hAnsi="宋体"/>
          <w:b/>
          <w:bCs/>
          <w:color w:val="auto"/>
          <w:sz w:val="24"/>
        </w:rPr>
      </w:pPr>
      <w:r>
        <w:rPr>
          <w:rFonts w:hint="eastAsia" w:ascii="宋体" w:hAnsi="宋体"/>
          <w:b/>
          <w:bCs/>
          <w:color w:val="auto"/>
          <w:sz w:val="24"/>
        </w:rPr>
        <w:t>2.0.10基准社区 reference community</w:t>
      </w:r>
    </w:p>
    <w:p>
      <w:pPr>
        <w:spacing w:line="360" w:lineRule="auto"/>
        <w:rPr>
          <w:rFonts w:ascii="宋体" w:hAnsi="宋体"/>
          <w:color w:val="auto"/>
          <w:sz w:val="24"/>
        </w:rPr>
      </w:pPr>
      <w:r>
        <w:rPr>
          <w:rFonts w:ascii="宋体" w:hAnsi="宋体"/>
          <w:color w:val="auto"/>
          <w:sz w:val="24"/>
        </w:rPr>
        <w:tab/>
      </w:r>
      <w:r>
        <w:rPr>
          <w:rFonts w:hint="eastAsia" w:ascii="宋体" w:hAnsi="宋体"/>
          <w:color w:val="auto"/>
          <w:sz w:val="24"/>
        </w:rPr>
        <w:t>计算零碳社区运行碳排放下降比例时，用于计算符合《建筑节能与可再生能源利用通用规范》G</w:t>
      </w:r>
      <w:r>
        <w:rPr>
          <w:rFonts w:ascii="宋体" w:hAnsi="宋体"/>
          <w:color w:val="auto"/>
          <w:sz w:val="24"/>
        </w:rPr>
        <w:t>B 55015-2021</w:t>
      </w:r>
      <w:r>
        <w:rPr>
          <w:rFonts w:hint="eastAsia" w:ascii="宋体" w:hAnsi="宋体"/>
          <w:color w:val="auto"/>
          <w:sz w:val="24"/>
        </w:rPr>
        <w:t>、《民用建筑节水设计标准》G</w:t>
      </w:r>
      <w:r>
        <w:rPr>
          <w:rFonts w:ascii="宋体" w:hAnsi="宋体"/>
          <w:color w:val="auto"/>
          <w:sz w:val="24"/>
        </w:rPr>
        <w:t>B 50555-2010</w:t>
      </w:r>
      <w:r>
        <w:rPr>
          <w:rFonts w:hint="eastAsia" w:ascii="宋体" w:hAnsi="宋体"/>
          <w:color w:val="auto"/>
          <w:sz w:val="24"/>
        </w:rPr>
        <w:t>及《城市道路照明设计标准》C</w:t>
      </w:r>
      <w:r>
        <w:rPr>
          <w:rFonts w:ascii="宋体" w:hAnsi="宋体"/>
          <w:color w:val="auto"/>
          <w:sz w:val="24"/>
        </w:rPr>
        <w:t>JJ 45-2015</w:t>
      </w:r>
      <w:r>
        <w:rPr>
          <w:rFonts w:hint="eastAsia" w:ascii="宋体" w:hAnsi="宋体"/>
          <w:color w:val="auto"/>
          <w:sz w:val="24"/>
        </w:rPr>
        <w:t>要求的社区净运行碳排放量的社区。</w:t>
      </w:r>
    </w:p>
    <w:p>
      <w:pPr>
        <w:spacing w:line="360" w:lineRule="auto"/>
        <w:rPr>
          <w:rFonts w:ascii="宋体" w:hAnsi="宋体"/>
          <w:color w:val="auto"/>
          <w:sz w:val="24"/>
        </w:rPr>
      </w:pPr>
    </w:p>
    <w:p>
      <w:pPr>
        <w:spacing w:line="360" w:lineRule="auto"/>
        <w:rPr>
          <w:rFonts w:ascii="宋体" w:hAnsi="宋体"/>
          <w:color w:val="auto"/>
          <w:sz w:val="24"/>
        </w:rPr>
      </w:pPr>
    </w:p>
    <w:p>
      <w:pPr>
        <w:rPr>
          <w:rFonts w:ascii="黑体" w:hAnsi="黑体" w:eastAsia="黑体"/>
          <w:bCs/>
          <w:color w:val="auto"/>
          <w:sz w:val="36"/>
          <w:szCs w:val="32"/>
        </w:rPr>
      </w:pPr>
      <w:bookmarkStart w:id="21" w:name="_Toc86055336"/>
      <w:bookmarkStart w:id="22" w:name="_Toc74137291"/>
      <w:r>
        <w:rPr>
          <w:rFonts w:hint="eastAsia"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23" w:name="_Toc18765"/>
      <w:bookmarkStart w:id="24" w:name="_Toc23718"/>
      <w:r>
        <w:rPr>
          <w:rFonts w:hint="eastAsia" w:ascii="黑体" w:hAnsi="黑体" w:eastAsia="黑体"/>
          <w:bCs/>
          <w:color w:val="auto"/>
          <w:sz w:val="36"/>
          <w:szCs w:val="32"/>
        </w:rPr>
        <w:t>3 基本规定</w:t>
      </w:r>
      <w:bookmarkEnd w:id="21"/>
      <w:bookmarkEnd w:id="22"/>
      <w:bookmarkEnd w:id="23"/>
      <w:bookmarkEnd w:id="24"/>
    </w:p>
    <w:p>
      <w:pPr>
        <w:spacing w:before="156" w:beforeLines="50" w:after="120"/>
        <w:jc w:val="center"/>
        <w:outlineLvl w:val="0"/>
        <w:rPr>
          <w:rFonts w:eastAsia="黑体"/>
          <w:bCs/>
          <w:color w:val="auto"/>
          <w:sz w:val="32"/>
          <w:szCs w:val="28"/>
        </w:rPr>
      </w:pPr>
      <w:bookmarkStart w:id="25" w:name="_Toc7699"/>
      <w:bookmarkStart w:id="26" w:name="_Toc32351"/>
      <w:r>
        <w:rPr>
          <w:rFonts w:hint="eastAsia" w:eastAsia="黑体"/>
          <w:bCs/>
          <w:color w:val="auto"/>
          <w:sz w:val="32"/>
          <w:szCs w:val="28"/>
        </w:rPr>
        <w:t>3.1 一般规定</w:t>
      </w:r>
      <w:bookmarkEnd w:id="25"/>
      <w:bookmarkEnd w:id="26"/>
    </w:p>
    <w:p>
      <w:pPr>
        <w:spacing w:line="360" w:lineRule="auto"/>
        <w:outlineLvl w:val="2"/>
        <w:rPr>
          <w:color w:val="auto"/>
          <w:sz w:val="24"/>
          <w:szCs w:val="24"/>
        </w:rPr>
      </w:pPr>
      <w:r>
        <w:rPr>
          <w:rFonts w:hint="eastAsia" w:ascii="宋体" w:hAnsi="宋体"/>
          <w:b/>
          <w:bCs/>
          <w:color w:val="auto"/>
          <w:sz w:val="24"/>
        </w:rPr>
        <w:t>3.1.1</w:t>
      </w:r>
      <w:r>
        <w:rPr>
          <w:rFonts w:hint="eastAsia" w:ascii="宋体" w:hAnsi="宋体"/>
          <w:color w:val="auto"/>
          <w:sz w:val="24"/>
        </w:rPr>
        <w:t>本标准中</w:t>
      </w:r>
      <w:r>
        <w:rPr>
          <w:rFonts w:hint="eastAsia"/>
          <w:color w:val="auto"/>
          <w:sz w:val="24"/>
          <w:szCs w:val="24"/>
        </w:rPr>
        <w:t>零碳建筑包含运行阶段零碳建筑（通常简称“零碳建筑”）、全生命期零碳建筑和气候中性建筑，设计和评价应以建筑单体或有清晰物理边界且能够独立用能计量的建筑单元为对象。</w:t>
      </w:r>
    </w:p>
    <w:p>
      <w:pPr>
        <w:spacing w:line="360" w:lineRule="auto"/>
        <w:outlineLvl w:val="2"/>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零碳建筑和全生命期零碳建筑应以新建或改造建筑单体或有清晰物理边界且能够独立用能计量的建筑单元为对象，气候中性建筑应以新建建筑单体或有清晰物理边界且能够独立用能计量的建筑单元为对象。</w:t>
      </w:r>
    </w:p>
    <w:p>
      <w:pPr>
        <w:spacing w:line="360" w:lineRule="auto"/>
        <w:outlineLvl w:val="2"/>
        <w:rPr>
          <w:color w:val="auto"/>
          <w:sz w:val="24"/>
          <w:szCs w:val="24"/>
        </w:rPr>
      </w:pPr>
      <w:r>
        <w:rPr>
          <w:rFonts w:ascii="宋体" w:hAnsi="宋体"/>
          <w:b/>
          <w:bCs/>
          <w:color w:val="auto"/>
          <w:sz w:val="24"/>
        </w:rPr>
        <w:t>3.1.2</w:t>
      </w:r>
      <w:r>
        <w:rPr>
          <w:rFonts w:hint="eastAsia"/>
          <w:color w:val="auto"/>
          <w:sz w:val="24"/>
          <w:szCs w:val="24"/>
        </w:rPr>
        <w:t>零碳社区包含运行阶段零碳社区（通常简称“零碳社区”）、全生命期零碳社区和气候中性社区，设计和评价应以建筑为区域用能主体的社区为对象。</w:t>
      </w:r>
    </w:p>
    <w:p>
      <w:pPr>
        <w:spacing w:line="360" w:lineRule="auto"/>
        <w:outlineLvl w:val="2"/>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零碳社区和全生命期零碳社区应以建筑为区域用能主体的新建或改造社区为对象，气候中性社区应以建筑为区域用能主体的新建社区为对象。</w:t>
      </w:r>
    </w:p>
    <w:p>
      <w:pPr>
        <w:widowControl/>
        <w:spacing w:line="360" w:lineRule="auto"/>
        <w:jc w:val="left"/>
        <w:rPr>
          <w:rFonts w:ascii="宋体" w:hAnsi="宋体"/>
          <w:color w:val="auto"/>
          <w:sz w:val="24"/>
        </w:rPr>
      </w:pPr>
      <w:r>
        <w:rPr>
          <w:rFonts w:ascii="宋体" w:hAnsi="宋体"/>
          <w:b/>
          <w:bCs/>
          <w:color w:val="auto"/>
          <w:sz w:val="24"/>
        </w:rPr>
        <w:t>3.1.</w:t>
      </w:r>
      <w:r>
        <w:rPr>
          <w:rFonts w:hint="eastAsia" w:ascii="宋体" w:hAnsi="宋体"/>
          <w:b/>
          <w:bCs/>
          <w:color w:val="auto"/>
          <w:sz w:val="24"/>
        </w:rPr>
        <w:t>3</w:t>
      </w:r>
      <w:r>
        <w:rPr>
          <w:rFonts w:hint="eastAsia"/>
          <w:color w:val="auto"/>
          <w:sz w:val="24"/>
          <w:szCs w:val="24"/>
        </w:rPr>
        <w:t>能源的碳排放因子应符合本标准附录A的规定，建材生产及运输碳排放因子等可参考《建筑碳排放计算标准》</w:t>
      </w:r>
      <w:r>
        <w:rPr>
          <w:color w:val="auto"/>
          <w:sz w:val="24"/>
          <w:szCs w:val="24"/>
        </w:rPr>
        <w:t>GB/T 51366附录中的规定，或参考IPCC温室气体排放因子数据库等。</w:t>
      </w:r>
    </w:p>
    <w:p>
      <w:pPr>
        <w:spacing w:line="360" w:lineRule="auto"/>
        <w:rPr>
          <w:color w:val="auto"/>
          <w:sz w:val="24"/>
          <w:szCs w:val="24"/>
          <w:highlight w:val="yellow"/>
        </w:rPr>
      </w:pPr>
      <w:r>
        <w:rPr>
          <w:rFonts w:hint="eastAsia" w:ascii="宋体" w:hAnsi="宋体"/>
          <w:b/>
          <w:bCs/>
          <w:color w:val="auto"/>
          <w:sz w:val="24"/>
        </w:rPr>
        <w:t>3.1.4</w:t>
      </w:r>
      <w:r>
        <w:rPr>
          <w:rFonts w:hint="eastAsia"/>
          <w:color w:val="auto"/>
          <w:sz w:val="24"/>
          <w:szCs w:val="24"/>
        </w:rPr>
        <w:t>零碳建筑和社区碳排放计算的周期为1年，全生命期零碳建筑和社区以及气候中性建筑和社区碳排放计算所采用的建筑设计寿命应与设计文件一致。</w:t>
      </w:r>
    </w:p>
    <w:p>
      <w:pPr>
        <w:spacing w:line="360" w:lineRule="auto"/>
        <w:rPr>
          <w:rFonts w:ascii="楷体" w:hAnsi="楷体" w:eastAsia="楷体"/>
          <w:color w:val="auto"/>
        </w:rPr>
      </w:pPr>
      <w:r>
        <w:rPr>
          <w:rFonts w:hint="eastAsia" w:ascii="宋体" w:hAnsi="宋体"/>
          <w:b/>
          <w:bCs/>
          <w:color w:val="auto"/>
          <w:sz w:val="24"/>
        </w:rPr>
        <w:t>3.1.5</w:t>
      </w:r>
      <w:r>
        <w:rPr>
          <w:rFonts w:hint="eastAsia" w:ascii="宋体" w:hAnsi="宋体"/>
          <w:color w:val="auto"/>
          <w:sz w:val="24"/>
        </w:rPr>
        <w:t>零碳建筑和社区碳排放计算应采用动态能耗、碳排放模拟软件计算。社区碳排放计算工具应按建筑、交通、市政、可再生能源等各系统分项计算，且应能够量化不同减碳措施的相应贡献。</w:t>
      </w:r>
    </w:p>
    <w:p>
      <w:pPr>
        <w:spacing w:before="156" w:beforeLines="50" w:after="120"/>
        <w:jc w:val="center"/>
        <w:outlineLvl w:val="0"/>
        <w:rPr>
          <w:rFonts w:eastAsia="黑体"/>
          <w:bCs/>
          <w:color w:val="auto"/>
          <w:sz w:val="32"/>
          <w:szCs w:val="28"/>
        </w:rPr>
      </w:pPr>
      <w:bookmarkStart w:id="27" w:name="_Toc28018"/>
      <w:bookmarkStart w:id="28" w:name="_Toc17241"/>
      <w:r>
        <w:rPr>
          <w:rFonts w:hint="eastAsia" w:eastAsia="黑体"/>
          <w:bCs/>
          <w:color w:val="auto"/>
          <w:sz w:val="32"/>
          <w:szCs w:val="28"/>
        </w:rPr>
        <w:t>3.2 碳排放计算范围</w:t>
      </w:r>
      <w:bookmarkEnd w:id="27"/>
      <w:bookmarkEnd w:id="28"/>
    </w:p>
    <w:p>
      <w:pPr>
        <w:spacing w:line="360" w:lineRule="auto"/>
        <w:outlineLvl w:val="2"/>
        <w:rPr>
          <w:color w:val="auto"/>
          <w:sz w:val="24"/>
          <w:szCs w:val="24"/>
        </w:rPr>
      </w:pPr>
      <w:r>
        <w:rPr>
          <w:rFonts w:hint="eastAsia" w:ascii="宋体" w:hAnsi="宋体"/>
          <w:b/>
          <w:bCs/>
          <w:color w:val="auto"/>
          <w:sz w:val="24"/>
        </w:rPr>
        <w:t>3.2.1</w:t>
      </w:r>
      <w:r>
        <w:rPr>
          <w:rFonts w:hint="eastAsia"/>
          <w:color w:val="auto"/>
          <w:sz w:val="24"/>
          <w:szCs w:val="24"/>
        </w:rPr>
        <w:t>建筑碳排放计算和核算应根据需求按阶段进行，零碳建筑应计算建筑运行阶段二氧化碳排放量和抵销量，其中排放量</w:t>
      </w:r>
      <w:r>
        <w:rPr>
          <w:rFonts w:hint="eastAsia" w:ascii="宋体" w:hAnsi="宋体"/>
          <w:color w:val="auto"/>
          <w:sz w:val="24"/>
        </w:rPr>
        <w:t>应包含满足建筑功能并在建筑内使用的全部用能产生的直接和间接碳排放，不含汽车充电桩、工艺生产等碳排放。抵销量应包含绿色电力交易或碳交易等。</w:t>
      </w:r>
      <w:r>
        <w:rPr>
          <w:rFonts w:hint="eastAsia"/>
          <w:color w:val="auto"/>
          <w:sz w:val="24"/>
          <w:szCs w:val="24"/>
        </w:rPr>
        <w:t>全生命期零碳建筑应计算建筑运行、建造、建材生产及运输阶段二氧化碳排放量和抵销量。气候中性建筑应计算建筑全生命期各类温室气体排放量和抵销量，包括制冷剂泄露、建材生产和运输产生的非二氧化碳温室气体排放等。计算方法应符合国家标准《建筑碳排放计算标准》GB/T 51366的规定。温室气体排放计算方法参考本标准附录B的规定。</w:t>
      </w:r>
    </w:p>
    <w:p>
      <w:pPr>
        <w:spacing w:line="360" w:lineRule="auto"/>
        <w:outlineLvl w:val="2"/>
        <w:rPr>
          <w:rFonts w:eastAsia="楷体"/>
          <w:color w:val="111111"/>
        </w:rPr>
      </w:pPr>
      <w:r>
        <w:rPr>
          <w:rFonts w:hint="eastAsia" w:ascii="楷体" w:hAnsi="楷体" w:eastAsia="楷体"/>
          <w:b/>
          <w:bCs/>
          <w:color w:val="auto"/>
        </w:rPr>
        <w:t>【条文说明】</w:t>
      </w:r>
      <w:r>
        <w:rPr>
          <w:rFonts w:hint="eastAsia" w:ascii="楷体" w:hAnsi="楷体" w:eastAsia="楷体"/>
          <w:color w:val="auto"/>
        </w:rPr>
        <w:t>零碳建筑、全生命期零碳建筑以及气候中性建筑的内涵不同，碳排放的计算阶段和温室气体计算范围存在差异。碳排放计算方法应参考国家标准《建筑碳排放计算标准》GB/T 51366中的规定。建筑运行二氧化碳排放量应包含年供暖、通风、空调、照明、生活热水、电梯系统用能产生的碳排放及可再生能源发电减碳量，宜包含炊事和插座用能产生的碳排放，不包含汽车充电桩、以及能耗信息机房、大型实验室、大型医疗设备等特定功能区和生产工艺设备的碳排放。</w:t>
      </w:r>
      <w:r>
        <w:rPr>
          <w:rFonts w:hint="eastAsia" w:eastAsia="楷体"/>
          <w:color w:val="111111"/>
        </w:rPr>
        <w:t>按照排放的来源，建筑的碳排放分为直接排放和间接排放，其中直接排放是指建筑内煤炭、天然气、石油等化石能源燃烧活动产生的碳排放，运行阶段主要来自于供暖的燃煤和燃气、生活热水和炊事的燃煤和燃气等。间接排放是指因使用外购电力和热力所产生的碳排放。实现零碳建筑的最终目标为消除直接排放，或将直接排放转为零碳电力，减少外购电力和热力使用，同时降低外购电力和热力的碳排放强度。</w:t>
      </w:r>
    </w:p>
    <w:p>
      <w:pPr>
        <w:spacing w:line="360" w:lineRule="auto"/>
        <w:outlineLvl w:val="2"/>
        <w:rPr>
          <w:rFonts w:ascii="楷体" w:hAnsi="楷体" w:eastAsia="楷体"/>
          <w:color w:val="auto"/>
        </w:rPr>
      </w:pPr>
      <w:r>
        <w:rPr>
          <w:rFonts w:hint="eastAsia" w:eastAsia="楷体"/>
          <w:color w:val="111111"/>
        </w:rPr>
        <w:t>全生命期零碳建筑碳排放计算应在建筑运行二氧化碳排放的基础上，计算建筑建造、建材生产及运输阶段的二氧化碳排放。不计算运行阶段建筑材料、构件、部品、设备的更替产生的碳排放及拆除阶段碳排放。气候中性建筑应计算建筑全生命期各类温室气体排放，包括由于制冷剂使用而产生的排放、建材生产和运输产生的非二氧化碳排放等。</w:t>
      </w:r>
      <w:r>
        <w:rPr>
          <w:rFonts w:hint="eastAsia" w:ascii="楷体" w:hAnsi="楷体" w:eastAsia="楷体"/>
          <w:color w:val="auto"/>
        </w:rPr>
        <w:t>碳抵销的范围应参考本标准第</w:t>
      </w:r>
      <w:r>
        <w:rPr>
          <w:rFonts w:ascii="楷体" w:hAnsi="楷体" w:eastAsia="楷体"/>
          <w:color w:val="auto"/>
        </w:rPr>
        <w:t>5.</w:t>
      </w:r>
      <w:r>
        <w:rPr>
          <w:rFonts w:hint="eastAsia" w:ascii="楷体" w:hAnsi="楷体" w:eastAsia="楷体"/>
          <w:color w:val="auto"/>
        </w:rPr>
        <w:t>5节的内容。</w:t>
      </w:r>
      <w:r>
        <w:rPr>
          <w:rFonts w:hint="eastAsia" w:eastAsia="楷体"/>
          <w:color w:val="111111"/>
        </w:rPr>
        <w:t>常见的碳抵销措施包括建筑领域碳交易、绿色电力购买、CCER（国家核证自愿减排量）等。鼓励零碳建筑采用建筑领域的碳交易进行补偿。</w:t>
      </w:r>
    </w:p>
    <w:p>
      <w:pPr>
        <w:spacing w:line="360" w:lineRule="auto"/>
        <w:rPr>
          <w:color w:val="auto"/>
          <w:sz w:val="24"/>
          <w:szCs w:val="24"/>
        </w:rPr>
      </w:pPr>
      <w:r>
        <w:rPr>
          <w:rFonts w:hint="eastAsia" w:ascii="宋体" w:hAnsi="宋体"/>
          <w:b/>
          <w:bCs/>
          <w:color w:val="auto"/>
          <w:sz w:val="24"/>
        </w:rPr>
        <w:t>3.2.2</w:t>
      </w:r>
      <w:r>
        <w:rPr>
          <w:rFonts w:hint="eastAsia"/>
          <w:color w:val="auto"/>
          <w:sz w:val="24"/>
          <w:szCs w:val="24"/>
        </w:rPr>
        <w:t>零碳社区碳排放计算和核算范围应包含下列内容：</w:t>
      </w:r>
    </w:p>
    <w:p>
      <w:pPr>
        <w:spacing w:line="360" w:lineRule="auto"/>
        <w:ind w:firstLine="420"/>
        <w:rPr>
          <w:color w:val="auto"/>
          <w:sz w:val="24"/>
          <w:szCs w:val="24"/>
        </w:rPr>
      </w:pPr>
      <w:r>
        <w:rPr>
          <w:rFonts w:hint="eastAsia"/>
          <w:color w:val="auto"/>
          <w:sz w:val="24"/>
          <w:szCs w:val="24"/>
        </w:rPr>
        <w:t>1.社区内建筑、交通、市政等系统因能源消耗产生的二氧化碳排放量；</w:t>
      </w:r>
    </w:p>
    <w:p>
      <w:pPr>
        <w:spacing w:line="360" w:lineRule="auto"/>
        <w:ind w:firstLine="420"/>
        <w:outlineLvl w:val="0"/>
        <w:rPr>
          <w:color w:val="auto"/>
          <w:sz w:val="24"/>
          <w:szCs w:val="24"/>
        </w:rPr>
      </w:pPr>
      <w:bookmarkStart w:id="29" w:name="_Toc26157"/>
      <w:bookmarkStart w:id="30" w:name="_Toc28329"/>
      <w:r>
        <w:rPr>
          <w:rFonts w:hint="eastAsia"/>
          <w:color w:val="auto"/>
          <w:sz w:val="24"/>
          <w:szCs w:val="24"/>
        </w:rPr>
        <w:t>2.社区内可再生能源发电抵销的二氧化碳排放量；</w:t>
      </w:r>
      <w:bookmarkEnd w:id="29"/>
      <w:bookmarkEnd w:id="30"/>
    </w:p>
    <w:p>
      <w:pPr>
        <w:spacing w:line="360" w:lineRule="auto"/>
        <w:ind w:firstLine="420"/>
        <w:rPr>
          <w:color w:val="auto"/>
          <w:sz w:val="24"/>
          <w:szCs w:val="24"/>
        </w:rPr>
      </w:pPr>
      <w:r>
        <w:rPr>
          <w:rFonts w:hint="eastAsia"/>
          <w:color w:val="auto"/>
          <w:sz w:val="24"/>
          <w:szCs w:val="24"/>
        </w:rPr>
        <w:t>3.社区运营单位或社区参与主体购买的经国家或相关部门核证的碳减排量、绿色电力等碳抵销量。</w:t>
      </w:r>
    </w:p>
    <w:p>
      <w:pPr>
        <w:spacing w:line="360" w:lineRule="auto"/>
        <w:rPr>
          <w:color w:val="auto"/>
          <w:sz w:val="24"/>
          <w:szCs w:val="24"/>
          <w:highlight w:val="yellow"/>
        </w:rPr>
      </w:pPr>
      <w:r>
        <w:rPr>
          <w:rFonts w:hint="eastAsia" w:ascii="宋体" w:hAnsi="宋体"/>
          <w:b/>
          <w:bCs/>
          <w:color w:val="auto"/>
          <w:sz w:val="24"/>
        </w:rPr>
        <w:t>3.2.3</w:t>
      </w:r>
      <w:r>
        <w:rPr>
          <w:rFonts w:hint="eastAsia"/>
          <w:color w:val="auto"/>
          <w:sz w:val="24"/>
          <w:szCs w:val="24"/>
        </w:rPr>
        <w:t>全生命期零碳社区碳排放计算和核算范围应在零碳社区所包含范围基础上增加社区内建筑、市政、及其他设施建造过程中产生的二氧化碳排放，及建材的隐含碳排放。</w:t>
      </w:r>
    </w:p>
    <w:p>
      <w:pPr>
        <w:spacing w:line="360" w:lineRule="auto"/>
        <w:rPr>
          <w:color w:val="auto"/>
          <w:sz w:val="24"/>
          <w:szCs w:val="24"/>
        </w:rPr>
      </w:pPr>
      <w:r>
        <w:rPr>
          <w:rFonts w:hint="eastAsia" w:ascii="宋体" w:hAnsi="宋体"/>
          <w:b/>
          <w:bCs/>
          <w:color w:val="auto"/>
          <w:sz w:val="24"/>
        </w:rPr>
        <w:t>3.2.4</w:t>
      </w:r>
      <w:r>
        <w:rPr>
          <w:rFonts w:hint="eastAsia" w:ascii="宋体" w:hAnsi="宋体"/>
          <w:color w:val="auto"/>
          <w:sz w:val="24"/>
        </w:rPr>
        <w:t>气候中性社区碳排放计算和核算范围应在</w:t>
      </w:r>
      <w:r>
        <w:rPr>
          <w:rFonts w:hint="eastAsia"/>
          <w:color w:val="auto"/>
          <w:sz w:val="24"/>
          <w:szCs w:val="24"/>
        </w:rPr>
        <w:t>全生命期零碳社区</w:t>
      </w:r>
      <w:r>
        <w:rPr>
          <w:rFonts w:hint="eastAsia" w:ascii="宋体" w:hAnsi="宋体"/>
          <w:color w:val="auto"/>
          <w:sz w:val="24"/>
        </w:rPr>
        <w:t>所包含范围基础上增加下</w:t>
      </w:r>
      <w:r>
        <w:rPr>
          <w:rFonts w:hint="eastAsia"/>
          <w:color w:val="auto"/>
          <w:sz w:val="24"/>
          <w:szCs w:val="24"/>
        </w:rPr>
        <w:t>列内容：</w:t>
      </w:r>
    </w:p>
    <w:p>
      <w:pPr>
        <w:spacing w:line="360" w:lineRule="auto"/>
        <w:ind w:firstLine="420"/>
        <w:rPr>
          <w:color w:val="auto"/>
          <w:sz w:val="24"/>
          <w:szCs w:val="24"/>
        </w:rPr>
      </w:pPr>
      <w:r>
        <w:rPr>
          <w:rFonts w:hint="eastAsia"/>
          <w:color w:val="auto"/>
          <w:sz w:val="24"/>
          <w:szCs w:val="24"/>
        </w:rPr>
        <w:t>1. 社区内产生的污水、生活垃圾处理过程中产生的温室气体排放；</w:t>
      </w:r>
    </w:p>
    <w:p>
      <w:pPr>
        <w:spacing w:line="360" w:lineRule="auto"/>
        <w:ind w:firstLine="420"/>
        <w:rPr>
          <w:color w:val="auto"/>
          <w:sz w:val="24"/>
          <w:szCs w:val="24"/>
        </w:rPr>
      </w:pPr>
      <w:r>
        <w:rPr>
          <w:rFonts w:hint="eastAsia"/>
          <w:color w:val="auto"/>
          <w:sz w:val="24"/>
          <w:szCs w:val="24"/>
        </w:rPr>
        <w:t>2. 社区内园林绿地养护产生的温室气体排放；</w:t>
      </w:r>
    </w:p>
    <w:p>
      <w:pPr>
        <w:spacing w:line="360" w:lineRule="auto"/>
        <w:ind w:firstLine="420"/>
        <w:rPr>
          <w:color w:val="auto"/>
          <w:sz w:val="24"/>
          <w:szCs w:val="24"/>
        </w:rPr>
      </w:pPr>
      <w:r>
        <w:rPr>
          <w:rFonts w:hint="eastAsia"/>
          <w:color w:val="auto"/>
          <w:sz w:val="24"/>
          <w:szCs w:val="24"/>
        </w:rPr>
        <w:t>3. 社区内制冷剂泄露导致的温室气体排放。</w:t>
      </w:r>
    </w:p>
    <w:p>
      <w:pPr>
        <w:spacing w:line="360" w:lineRule="auto"/>
        <w:rPr>
          <w:color w:val="auto"/>
          <w:sz w:val="24"/>
          <w:szCs w:val="24"/>
        </w:rPr>
      </w:pPr>
      <w:r>
        <w:rPr>
          <w:rFonts w:hint="eastAsia" w:ascii="宋体" w:hAnsi="宋体"/>
          <w:b/>
          <w:bCs/>
          <w:color w:val="auto"/>
          <w:sz w:val="24"/>
        </w:rPr>
        <w:t>3.2.5</w:t>
      </w:r>
      <w:r>
        <w:rPr>
          <w:rFonts w:hint="eastAsia"/>
          <w:color w:val="auto"/>
          <w:sz w:val="24"/>
          <w:szCs w:val="24"/>
        </w:rPr>
        <w:t>气候中性建筑和社区温室气体排放计算和核算中所涵盖温室气体种类宜符合表3.2.5要求。</w:t>
      </w:r>
    </w:p>
    <w:p>
      <w:pPr>
        <w:spacing w:line="360" w:lineRule="auto"/>
        <w:jc w:val="center"/>
        <w:rPr>
          <w:rFonts w:ascii="宋体" w:hAnsi="宋体"/>
          <w:b/>
          <w:bCs/>
          <w:color w:val="auto"/>
          <w:sz w:val="24"/>
        </w:rPr>
      </w:pPr>
      <w:r>
        <w:rPr>
          <w:rFonts w:hint="eastAsia" w:ascii="宋体" w:hAnsi="宋体"/>
          <w:b/>
          <w:bCs/>
          <w:color w:val="auto"/>
          <w:sz w:val="24"/>
        </w:rPr>
        <w:t>表3.2.5 各领域温室气体排放种类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Calibri" w:hAnsi="Calibri"/>
                <w:color w:val="000000"/>
                <w:sz w:val="24"/>
              </w:rPr>
            </w:pPr>
            <w:r>
              <w:rPr>
                <w:rFonts w:hint="eastAsia" w:ascii="Calibri" w:hAnsi="Calibri"/>
                <w:color w:val="000000"/>
                <w:sz w:val="24"/>
              </w:rPr>
              <w:t>领域名称</w:t>
            </w:r>
          </w:p>
        </w:tc>
        <w:tc>
          <w:tcPr>
            <w:tcW w:w="4148" w:type="dxa"/>
          </w:tcPr>
          <w:p>
            <w:pPr>
              <w:spacing w:line="360" w:lineRule="auto"/>
              <w:jc w:val="center"/>
              <w:rPr>
                <w:rFonts w:ascii="Calibri" w:hAnsi="Calibri"/>
                <w:color w:val="000000"/>
                <w:sz w:val="24"/>
              </w:rPr>
            </w:pPr>
            <w:r>
              <w:rPr>
                <w:rFonts w:hint="eastAsia" w:ascii="Calibri" w:hAnsi="Calibri"/>
                <w:color w:val="000000"/>
                <w:sz w:val="24"/>
              </w:rPr>
              <w:t>温室气体种类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建筑</w:t>
            </w:r>
          </w:p>
        </w:tc>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二氧化碳（C</w:t>
            </w:r>
            <w:r>
              <w:rPr>
                <w:rFonts w:ascii="Calibri" w:hAnsi="Calibri"/>
                <w:color w:val="000000"/>
                <w:sz w:val="24"/>
              </w:rPr>
              <w:t>O</w:t>
            </w:r>
            <w:r>
              <w:rPr>
                <w:rFonts w:ascii="Calibri" w:hAnsi="Calibri"/>
                <w:color w:val="000000"/>
                <w:sz w:val="24"/>
                <w:vertAlign w:val="subscript"/>
              </w:rPr>
              <w:t>2</w:t>
            </w:r>
            <w:r>
              <w:rPr>
                <w:rFonts w:hint="eastAsia" w:ascii="Calibri" w:hAnsi="Calibri"/>
                <w:color w:val="000000"/>
                <w:sz w:val="24"/>
              </w:rPr>
              <w:t>）</w:t>
            </w:r>
          </w:p>
          <w:p>
            <w:pPr>
              <w:spacing w:line="360" w:lineRule="auto"/>
              <w:jc w:val="center"/>
              <w:rPr>
                <w:rFonts w:ascii="Calibri" w:hAnsi="Calibri"/>
                <w:color w:val="000000"/>
                <w:sz w:val="24"/>
              </w:rPr>
            </w:pPr>
            <w:r>
              <w:rPr>
                <w:rFonts w:hint="eastAsia" w:ascii="Calibri" w:hAnsi="Calibri"/>
                <w:color w:val="000000"/>
                <w:sz w:val="24"/>
              </w:rPr>
              <w:t>氢氟碳化物（H</w:t>
            </w:r>
            <w:r>
              <w:rPr>
                <w:rFonts w:ascii="Calibri" w:hAnsi="Calibri"/>
                <w:color w:val="000000"/>
                <w:sz w:val="24"/>
              </w:rPr>
              <w:t>FC</w:t>
            </w:r>
            <w:r>
              <w:rPr>
                <w:rFonts w:hint="eastAsia" w:ascii="Calibri" w:hAnsi="Calibri"/>
                <w:color w:val="000000"/>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交通</w:t>
            </w:r>
          </w:p>
        </w:tc>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二氧化碳（C</w:t>
            </w:r>
            <w:r>
              <w:rPr>
                <w:rFonts w:ascii="Calibri" w:hAnsi="Calibri"/>
                <w:color w:val="000000"/>
                <w:sz w:val="24"/>
              </w:rPr>
              <w:t>O</w:t>
            </w:r>
            <w:r>
              <w:rPr>
                <w:rFonts w:ascii="Calibri" w:hAnsi="Calibri"/>
                <w:color w:val="000000"/>
                <w:sz w:val="24"/>
                <w:vertAlign w:val="subscript"/>
              </w:rPr>
              <w:t>2</w:t>
            </w:r>
            <w:r>
              <w:rPr>
                <w:rFonts w:hint="eastAsia" w:ascii="Calibri" w:hAnsi="Calibri"/>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市政</w:t>
            </w:r>
          </w:p>
        </w:tc>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二氧化碳（C</w:t>
            </w:r>
            <w:r>
              <w:rPr>
                <w:rFonts w:ascii="Calibri" w:hAnsi="Calibri"/>
                <w:color w:val="000000"/>
                <w:sz w:val="24"/>
              </w:rPr>
              <w:t>O</w:t>
            </w:r>
            <w:r>
              <w:rPr>
                <w:rFonts w:ascii="Calibri" w:hAnsi="Calibri"/>
                <w:color w:val="000000"/>
                <w:sz w:val="24"/>
                <w:vertAlign w:val="subscript"/>
              </w:rPr>
              <w:t>2</w:t>
            </w:r>
            <w:r>
              <w:rPr>
                <w:rFonts w:hint="eastAsia" w:ascii="Calibri" w:hAnsi="Calibri"/>
                <w:color w:val="000000"/>
                <w:sz w:val="24"/>
              </w:rPr>
              <w:t>）</w:t>
            </w:r>
          </w:p>
          <w:p>
            <w:pPr>
              <w:spacing w:line="360" w:lineRule="auto"/>
              <w:jc w:val="center"/>
              <w:rPr>
                <w:rFonts w:ascii="Calibri" w:hAnsi="Calibri"/>
                <w:color w:val="000000"/>
                <w:sz w:val="24"/>
              </w:rPr>
            </w:pPr>
            <w:r>
              <w:rPr>
                <w:rFonts w:hint="eastAsia" w:ascii="Calibri" w:hAnsi="Calibri"/>
                <w:color w:val="000000"/>
                <w:sz w:val="24"/>
              </w:rPr>
              <w:t>甲烷（C</w:t>
            </w:r>
            <w:r>
              <w:rPr>
                <w:rFonts w:ascii="Calibri" w:hAnsi="Calibri"/>
                <w:color w:val="000000"/>
                <w:sz w:val="24"/>
              </w:rPr>
              <w:t>H</w:t>
            </w:r>
            <w:r>
              <w:rPr>
                <w:rFonts w:ascii="Calibri" w:hAnsi="Calibri"/>
                <w:color w:val="000000"/>
                <w:sz w:val="24"/>
                <w:vertAlign w:val="subscript"/>
              </w:rPr>
              <w:t>4</w:t>
            </w:r>
            <w:r>
              <w:rPr>
                <w:rFonts w:hint="eastAsia" w:ascii="Calibri" w:hAnsi="Calibri"/>
                <w:color w:val="000000"/>
                <w:sz w:val="24"/>
              </w:rPr>
              <w:t>）</w:t>
            </w:r>
          </w:p>
          <w:p>
            <w:pPr>
              <w:spacing w:line="360" w:lineRule="auto"/>
              <w:jc w:val="center"/>
              <w:rPr>
                <w:rFonts w:ascii="Calibri" w:hAnsi="Calibri"/>
                <w:color w:val="000000"/>
                <w:sz w:val="24"/>
              </w:rPr>
            </w:pPr>
            <w:r>
              <w:rPr>
                <w:rFonts w:hint="eastAsia" w:ascii="Calibri" w:hAnsi="Calibri"/>
                <w:color w:val="000000"/>
                <w:sz w:val="24"/>
              </w:rPr>
              <w:t>氧化亚氮（N</w:t>
            </w:r>
            <w:r>
              <w:rPr>
                <w:rFonts w:ascii="Calibri" w:hAnsi="Calibri"/>
                <w:color w:val="000000"/>
                <w:sz w:val="24"/>
                <w:vertAlign w:val="subscript"/>
              </w:rPr>
              <w:t>2</w:t>
            </w:r>
            <w:r>
              <w:rPr>
                <w:rFonts w:ascii="Calibri" w:hAnsi="Calibri"/>
                <w:color w:val="000000"/>
                <w:sz w:val="24"/>
              </w:rPr>
              <w:t>O</w:t>
            </w:r>
            <w:r>
              <w:rPr>
                <w:rFonts w:hint="eastAsia" w:ascii="Calibri" w:hAnsi="Calibri"/>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园林绿化</w:t>
            </w:r>
          </w:p>
        </w:tc>
        <w:tc>
          <w:tcPr>
            <w:tcW w:w="4148" w:type="dxa"/>
            <w:vAlign w:val="center"/>
          </w:tcPr>
          <w:p>
            <w:pPr>
              <w:spacing w:line="360" w:lineRule="auto"/>
              <w:jc w:val="center"/>
              <w:rPr>
                <w:rFonts w:ascii="Calibri" w:hAnsi="Calibri"/>
                <w:color w:val="000000"/>
                <w:sz w:val="24"/>
              </w:rPr>
            </w:pPr>
            <w:r>
              <w:rPr>
                <w:rFonts w:hint="eastAsia" w:ascii="Calibri" w:hAnsi="Calibri"/>
                <w:color w:val="000000"/>
                <w:sz w:val="24"/>
              </w:rPr>
              <w:t>二氧化碳（C</w:t>
            </w:r>
            <w:r>
              <w:rPr>
                <w:rFonts w:ascii="Calibri" w:hAnsi="Calibri"/>
                <w:color w:val="000000"/>
                <w:sz w:val="24"/>
              </w:rPr>
              <w:t>O</w:t>
            </w:r>
            <w:r>
              <w:rPr>
                <w:rFonts w:ascii="Calibri" w:hAnsi="Calibri"/>
                <w:color w:val="000000"/>
                <w:sz w:val="24"/>
                <w:vertAlign w:val="subscript"/>
              </w:rPr>
              <w:t>2</w:t>
            </w:r>
            <w:r>
              <w:rPr>
                <w:rFonts w:hint="eastAsia" w:ascii="Calibri" w:hAnsi="Calibri"/>
                <w:color w:val="000000"/>
                <w:sz w:val="24"/>
              </w:rPr>
              <w:t>）</w:t>
            </w:r>
          </w:p>
          <w:p>
            <w:pPr>
              <w:spacing w:line="360" w:lineRule="auto"/>
              <w:jc w:val="center"/>
              <w:rPr>
                <w:rFonts w:ascii="Calibri" w:hAnsi="Calibri"/>
                <w:color w:val="000000"/>
                <w:sz w:val="24"/>
              </w:rPr>
            </w:pPr>
            <w:r>
              <w:rPr>
                <w:rFonts w:hint="eastAsia" w:ascii="Calibri" w:hAnsi="Calibri"/>
                <w:color w:val="000000"/>
                <w:sz w:val="24"/>
              </w:rPr>
              <w:t>氧化亚氮（N</w:t>
            </w:r>
            <w:r>
              <w:rPr>
                <w:rFonts w:ascii="Calibri" w:hAnsi="Calibri"/>
                <w:color w:val="000000"/>
                <w:sz w:val="24"/>
                <w:vertAlign w:val="subscript"/>
              </w:rPr>
              <w:t>2</w:t>
            </w:r>
            <w:r>
              <w:rPr>
                <w:rFonts w:ascii="Calibri" w:hAnsi="Calibri"/>
                <w:color w:val="000000"/>
                <w:sz w:val="24"/>
              </w:rPr>
              <w:t>O</w:t>
            </w:r>
            <w:r>
              <w:rPr>
                <w:rFonts w:hint="eastAsia" w:ascii="Calibri" w:hAnsi="Calibri"/>
                <w:color w:val="000000"/>
                <w:sz w:val="24"/>
              </w:rPr>
              <w:t>）</w:t>
            </w:r>
          </w:p>
        </w:tc>
      </w:tr>
    </w:tbl>
    <w:p>
      <w:pPr>
        <w:spacing w:line="360" w:lineRule="auto"/>
        <w:rPr>
          <w:rFonts w:ascii="Calibri" w:hAnsi="Calibri"/>
          <w:color w:val="000000"/>
          <w:sz w:val="24"/>
        </w:rPr>
      </w:pPr>
    </w:p>
    <w:p>
      <w:pPr>
        <w:spacing w:line="360" w:lineRule="auto"/>
        <w:rPr>
          <w:color w:val="auto"/>
          <w:sz w:val="24"/>
          <w:szCs w:val="24"/>
        </w:rPr>
      </w:pPr>
    </w:p>
    <w:p>
      <w:pPr>
        <w:pStyle w:val="27"/>
        <w:rPr>
          <w:rFonts w:ascii="宋体" w:hAnsi="宋体"/>
          <w:color w:val="auto"/>
        </w:rPr>
      </w:pPr>
    </w:p>
    <w:p>
      <w:pPr>
        <w:spacing w:line="360" w:lineRule="auto"/>
        <w:rPr>
          <w:rFonts w:ascii="宋体" w:hAnsi="宋体"/>
          <w:color w:val="auto"/>
          <w:sz w:val="24"/>
        </w:rPr>
      </w:pPr>
    </w:p>
    <w:p>
      <w:pPr>
        <w:rPr>
          <w:rFonts w:ascii="宋体" w:hAnsi="宋体"/>
          <w:color w:val="auto"/>
          <w:sz w:val="24"/>
        </w:rPr>
      </w:pPr>
      <w:r>
        <w:rPr>
          <w:rFonts w:ascii="宋体" w:hAnsi="宋体"/>
          <w:color w:val="auto"/>
          <w:sz w:val="24"/>
        </w:rPr>
        <w:br w:type="page"/>
      </w:r>
    </w:p>
    <w:p>
      <w:pPr>
        <w:spacing w:after="240"/>
        <w:jc w:val="center"/>
        <w:outlineLvl w:val="0"/>
        <w:rPr>
          <w:rFonts w:ascii="宋体" w:hAnsi="宋体"/>
          <w:b/>
          <w:bCs/>
          <w:color w:val="auto"/>
          <w:sz w:val="24"/>
        </w:rPr>
      </w:pPr>
      <w:bookmarkStart w:id="31" w:name="_Toc21491"/>
      <w:bookmarkStart w:id="32" w:name="_Toc6056"/>
      <w:r>
        <w:rPr>
          <w:rFonts w:hint="eastAsia" w:ascii="黑体" w:hAnsi="黑体" w:eastAsia="黑体"/>
          <w:bCs/>
          <w:color w:val="auto"/>
          <w:sz w:val="36"/>
          <w:szCs w:val="32"/>
        </w:rPr>
        <w:t>4 技术指标</w:t>
      </w:r>
      <w:bookmarkEnd w:id="31"/>
      <w:bookmarkEnd w:id="32"/>
    </w:p>
    <w:p>
      <w:pPr>
        <w:spacing w:before="156" w:beforeLines="50" w:after="120"/>
        <w:jc w:val="center"/>
        <w:outlineLvl w:val="0"/>
        <w:rPr>
          <w:rFonts w:eastAsia="黑体"/>
          <w:bCs/>
          <w:color w:val="auto"/>
          <w:sz w:val="32"/>
          <w:szCs w:val="28"/>
        </w:rPr>
      </w:pPr>
      <w:bookmarkStart w:id="33" w:name="_Toc32672"/>
      <w:bookmarkStart w:id="34" w:name="_Toc11416"/>
      <w:r>
        <w:rPr>
          <w:rFonts w:hint="eastAsia" w:eastAsia="黑体"/>
          <w:bCs/>
          <w:color w:val="auto"/>
          <w:sz w:val="32"/>
          <w:szCs w:val="28"/>
        </w:rPr>
        <w:t>4.1 零碳建筑</w:t>
      </w:r>
      <w:bookmarkEnd w:id="33"/>
      <w:bookmarkEnd w:id="34"/>
    </w:p>
    <w:p>
      <w:pPr>
        <w:spacing w:line="360" w:lineRule="auto"/>
        <w:outlineLvl w:val="2"/>
        <w:rPr>
          <w:color w:val="auto"/>
          <w:sz w:val="24"/>
          <w:szCs w:val="24"/>
        </w:rPr>
      </w:pPr>
      <w:r>
        <w:rPr>
          <w:rFonts w:hint="eastAsia" w:ascii="宋体" w:hAnsi="宋体"/>
          <w:b/>
          <w:bCs/>
          <w:color w:val="auto"/>
          <w:sz w:val="24"/>
        </w:rPr>
        <w:t>4.1.1</w:t>
      </w:r>
      <w:r>
        <w:rPr>
          <w:rFonts w:hint="eastAsia"/>
          <w:color w:val="auto"/>
          <w:sz w:val="24"/>
          <w:szCs w:val="24"/>
        </w:rPr>
        <w:t>零碳建筑的技术指标应符合表4.1.1的规定。</w:t>
      </w:r>
    </w:p>
    <w:p>
      <w:pPr>
        <w:spacing w:line="360" w:lineRule="auto"/>
        <w:jc w:val="center"/>
        <w:outlineLvl w:val="2"/>
        <w:rPr>
          <w:color w:val="auto"/>
          <w:sz w:val="24"/>
          <w:szCs w:val="24"/>
        </w:rPr>
      </w:pPr>
      <w:r>
        <w:rPr>
          <w:rFonts w:hint="eastAsia"/>
          <w:color w:val="auto"/>
          <w:sz w:val="24"/>
          <w:szCs w:val="24"/>
        </w:rPr>
        <w:t>表4.1.1 零碳建筑技术指标</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7"/>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pct"/>
            <w:vAlign w:val="center"/>
          </w:tcPr>
          <w:p>
            <w:pPr>
              <w:spacing w:line="360" w:lineRule="auto"/>
              <w:jc w:val="center"/>
              <w:outlineLvl w:val="2"/>
              <w:rPr>
                <w:color w:val="auto"/>
                <w:sz w:val="24"/>
                <w:szCs w:val="24"/>
              </w:rPr>
            </w:pPr>
            <w:r>
              <w:rPr>
                <w:rFonts w:hint="eastAsia"/>
                <w:color w:val="auto"/>
                <w:sz w:val="24"/>
                <w:szCs w:val="24"/>
              </w:rPr>
              <w:t>建筑运行阶段碳排放</w:t>
            </w:r>
          </w:p>
        </w:tc>
        <w:tc>
          <w:tcPr>
            <w:tcW w:w="2806" w:type="pct"/>
            <w:vAlign w:val="center"/>
          </w:tcPr>
          <w:p>
            <w:pPr>
              <w:spacing w:line="360" w:lineRule="auto"/>
              <w:jc w:val="center"/>
              <w:outlineLvl w:val="2"/>
              <w:rPr>
                <w:color w:val="auto"/>
                <w:sz w:val="24"/>
                <w:szCs w:val="24"/>
              </w:rPr>
            </w:pPr>
            <w:r>
              <w:rPr>
                <w:rFonts w:hint="eastAsia"/>
                <w:color w:val="auto"/>
                <w:sz w:val="24"/>
                <w:szCs w:val="24"/>
              </w:rPr>
              <w:t>≤0 kgCO</w:t>
            </w:r>
            <w:r>
              <w:rPr>
                <w:rFonts w:hint="eastAsia"/>
                <w:color w:val="auto"/>
                <w:sz w:val="24"/>
                <w:szCs w:val="24"/>
                <w:vertAlign w:val="subscript"/>
              </w:rPr>
              <w:t>2</w:t>
            </w:r>
            <w:r>
              <w:rPr>
                <w:rFonts w:hint="eastAsia"/>
                <w:color w:val="auto"/>
                <w:sz w:val="24"/>
                <w:szCs w:val="24"/>
              </w:rPr>
              <w:t>/m</w:t>
            </w:r>
            <w:r>
              <w:rPr>
                <w:rFonts w:hint="eastAsia"/>
                <w:color w:val="auto"/>
                <w:sz w:val="24"/>
                <w:szCs w:val="24"/>
                <w:vertAlign w:val="superscript"/>
              </w:rPr>
              <w:t>2</w:t>
            </w:r>
            <w:r>
              <w:rPr>
                <w:rFonts w:hint="eastAsia"/>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pct"/>
            <w:vAlign w:val="center"/>
          </w:tcPr>
          <w:p>
            <w:pPr>
              <w:spacing w:line="360" w:lineRule="auto"/>
              <w:jc w:val="center"/>
              <w:outlineLvl w:val="2"/>
              <w:rPr>
                <w:color w:val="auto"/>
                <w:sz w:val="24"/>
                <w:szCs w:val="24"/>
              </w:rPr>
            </w:pPr>
            <w:r>
              <w:rPr>
                <w:rFonts w:hint="eastAsia"/>
                <w:color w:val="auto"/>
                <w:sz w:val="24"/>
                <w:szCs w:val="24"/>
              </w:rPr>
              <w:t>建筑能效指标</w:t>
            </w:r>
          </w:p>
        </w:tc>
        <w:tc>
          <w:tcPr>
            <w:tcW w:w="2806" w:type="pct"/>
            <w:vAlign w:val="center"/>
          </w:tcPr>
          <w:p>
            <w:pPr>
              <w:spacing w:line="360" w:lineRule="auto"/>
              <w:jc w:val="center"/>
              <w:outlineLvl w:val="2"/>
              <w:rPr>
                <w:color w:val="auto"/>
                <w:sz w:val="24"/>
                <w:szCs w:val="24"/>
              </w:rPr>
            </w:pPr>
            <w:r>
              <w:rPr>
                <w:rFonts w:hint="eastAsia"/>
                <w:color w:val="auto"/>
                <w:sz w:val="24"/>
                <w:szCs w:val="24"/>
              </w:rPr>
              <w:t>满足《近零能耗建筑技术标准》GB/T 51350中近零能耗建筑技术指标的要求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pct"/>
            <w:vAlign w:val="center"/>
          </w:tcPr>
          <w:p>
            <w:pPr>
              <w:spacing w:line="360" w:lineRule="auto"/>
              <w:jc w:val="center"/>
              <w:outlineLvl w:val="2"/>
              <w:rPr>
                <w:color w:val="auto"/>
                <w:sz w:val="24"/>
                <w:szCs w:val="24"/>
              </w:rPr>
            </w:pPr>
            <w:r>
              <w:rPr>
                <w:rFonts w:hint="eastAsia"/>
                <w:color w:val="auto"/>
                <w:sz w:val="24"/>
                <w:szCs w:val="24"/>
              </w:rPr>
              <w:t>单位建筑面积可再生能源发电量</w:t>
            </w:r>
          </w:p>
        </w:tc>
        <w:tc>
          <w:tcPr>
            <w:tcW w:w="2806" w:type="pct"/>
            <w:vAlign w:val="center"/>
          </w:tcPr>
          <w:p>
            <w:pPr>
              <w:spacing w:line="360" w:lineRule="auto"/>
              <w:jc w:val="center"/>
              <w:outlineLvl w:val="2"/>
              <w:rPr>
                <w:color w:val="auto"/>
                <w:sz w:val="24"/>
                <w:szCs w:val="24"/>
              </w:rPr>
            </w:pPr>
            <w:r>
              <w:rPr>
                <w:rFonts w:hint="eastAsia"/>
                <w:color w:val="auto"/>
                <w:sz w:val="24"/>
                <w:szCs w:val="24"/>
              </w:rPr>
              <w:t>10kWh/m</w:t>
            </w:r>
            <w:r>
              <w:rPr>
                <w:color w:val="auto"/>
                <w:sz w:val="24"/>
                <w:szCs w:val="24"/>
                <w:vertAlign w:val="superscript"/>
              </w:rPr>
              <w:t>2</w:t>
            </w:r>
            <w:r>
              <w:rPr>
                <w:rFonts w:hint="eastAsia"/>
                <w:color w:val="auto"/>
                <w:sz w:val="24"/>
                <w:szCs w:val="24"/>
              </w:rPr>
              <w:t>·a</w:t>
            </w:r>
          </w:p>
        </w:tc>
      </w:tr>
    </w:tbl>
    <w:p>
      <w:pPr>
        <w:spacing w:line="360" w:lineRule="auto"/>
        <w:ind w:left="-1"/>
        <w:outlineLvl w:val="2"/>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零碳建筑应在满足国家强制性建筑节能标准和地方的有关规定的条件下，至少满足现行国家标准《近零能耗建筑技术标准》</w:t>
      </w:r>
      <w:r>
        <w:rPr>
          <w:rFonts w:ascii="楷体" w:hAnsi="楷体" w:eastAsia="楷体"/>
          <w:color w:val="auto"/>
        </w:rPr>
        <w:t>GB/T 51350</w:t>
      </w:r>
      <w:r>
        <w:rPr>
          <w:rFonts w:hint="eastAsia" w:ascii="楷体" w:hAnsi="楷体" w:eastAsia="楷体"/>
          <w:color w:val="auto"/>
        </w:rPr>
        <w:t>中第</w:t>
      </w:r>
      <w:r>
        <w:rPr>
          <w:rFonts w:ascii="楷体" w:hAnsi="楷体" w:eastAsia="楷体"/>
          <w:color w:val="auto"/>
        </w:rPr>
        <w:t>5</w:t>
      </w:r>
      <w:r>
        <w:rPr>
          <w:rFonts w:hint="eastAsia" w:ascii="楷体" w:hAnsi="楷体" w:eastAsia="楷体"/>
          <w:color w:val="auto"/>
        </w:rPr>
        <w:t>章对于近零能耗建筑的能效指标要求，建筑整体达到近零能耗建筑水平。零碳建筑应坚持“节能优先”的原则，适应气候特征的场地条件，优先通过被动式建筑设计和主动节能技术措施等手段，降低建筑用能需求，提高建筑能效。</w:t>
      </w:r>
    </w:p>
    <w:p>
      <w:pPr>
        <w:spacing w:line="360" w:lineRule="auto"/>
        <w:rPr>
          <w:rFonts w:ascii="楷体" w:hAnsi="楷体" w:eastAsia="楷体"/>
          <w:bCs/>
          <w:color w:val="111111"/>
        </w:rPr>
      </w:pPr>
      <w:r>
        <w:rPr>
          <w:rFonts w:hint="eastAsia" w:eastAsia="楷体"/>
          <w:color w:val="111111"/>
        </w:rPr>
        <w:t>能源转型是实现零碳建筑，推动建筑领域应对气候变化的重要措施，在提升建筑能效的基础上，应充分开发利用建筑本体及周边的可再生能源，尤其是太阳能光伏利用，并最大限度本地消纳，减少建筑对外部能源的消耗，此指标用于考核建筑可再生能源的利用情况，通常12层以下建筑，屋顶可利用面积铺满光伏即可满足该指标。</w:t>
      </w:r>
    </w:p>
    <w:p>
      <w:pPr>
        <w:spacing w:line="360" w:lineRule="auto"/>
        <w:rPr>
          <w:rFonts w:eastAsia="楷体"/>
          <w:color w:val="111111"/>
        </w:rPr>
      </w:pPr>
      <w:r>
        <w:rPr>
          <w:rFonts w:hint="eastAsia" w:ascii="楷体" w:hAnsi="楷体" w:eastAsia="楷体"/>
          <w:bCs/>
          <w:color w:val="111111"/>
        </w:rPr>
        <w:t>零碳建筑指标是以单栋建筑为基准设计和确定的，在对建筑单元进行评价时应根据实际情况确定建筑负荷、能源消耗和碳排放的计算范围。在计算可再生能源发电量时，应按建筑面积或实际能耗比例对该建筑单元评价对象的可再生能源发电量进行计算。如采用专线配电时，需提供相关图纸和证明材料。</w:t>
      </w:r>
    </w:p>
    <w:p>
      <w:pPr>
        <w:spacing w:line="360" w:lineRule="auto"/>
        <w:ind w:left="-1"/>
        <w:outlineLvl w:val="2"/>
        <w:rPr>
          <w:rFonts w:eastAsia="楷体"/>
          <w:color w:val="111111"/>
        </w:rPr>
      </w:pPr>
      <w:r>
        <w:rPr>
          <w:rFonts w:hint="eastAsia" w:eastAsia="楷体"/>
          <w:color w:val="111111"/>
        </w:rPr>
        <w:t>评价时，建筑运行阶段碳排放应以实测计量值为基础进行核算。</w:t>
      </w:r>
    </w:p>
    <w:p>
      <w:pPr>
        <w:spacing w:line="360" w:lineRule="auto"/>
        <w:outlineLvl w:val="2"/>
        <w:rPr>
          <w:color w:val="auto"/>
          <w:sz w:val="24"/>
          <w:szCs w:val="24"/>
        </w:rPr>
      </w:pPr>
      <w:r>
        <w:rPr>
          <w:rFonts w:hint="eastAsia" w:ascii="宋体" w:hAnsi="宋体"/>
          <w:b/>
          <w:bCs/>
          <w:color w:val="auto"/>
          <w:sz w:val="24"/>
        </w:rPr>
        <w:t>4.1.2</w:t>
      </w:r>
      <w:r>
        <w:rPr>
          <w:rFonts w:hint="eastAsia" w:ascii="宋体" w:hAnsi="宋体"/>
          <w:color w:val="auto"/>
          <w:sz w:val="24"/>
        </w:rPr>
        <w:t>全生命期</w:t>
      </w:r>
      <w:r>
        <w:rPr>
          <w:rFonts w:hint="eastAsia"/>
          <w:color w:val="auto"/>
          <w:sz w:val="24"/>
          <w:szCs w:val="24"/>
        </w:rPr>
        <w:t>零碳建筑的技术指标应符合下列规定：</w:t>
      </w:r>
    </w:p>
    <w:p>
      <w:pPr>
        <w:spacing w:line="360" w:lineRule="auto"/>
        <w:ind w:firstLine="420"/>
        <w:outlineLvl w:val="0"/>
        <w:rPr>
          <w:color w:val="auto"/>
          <w:sz w:val="24"/>
          <w:szCs w:val="24"/>
        </w:rPr>
      </w:pPr>
      <w:bookmarkStart w:id="35" w:name="_Toc3727"/>
      <w:bookmarkStart w:id="36" w:name="_Toc9261"/>
      <w:r>
        <w:rPr>
          <w:rFonts w:hint="eastAsia"/>
          <w:color w:val="auto"/>
          <w:sz w:val="24"/>
          <w:szCs w:val="24"/>
        </w:rPr>
        <w:t>1 建筑运行阶段技术指标应符合本标准表4.1.1的规定；</w:t>
      </w:r>
      <w:bookmarkEnd w:id="35"/>
      <w:bookmarkEnd w:id="36"/>
    </w:p>
    <w:p>
      <w:pPr>
        <w:spacing w:line="360" w:lineRule="auto"/>
        <w:ind w:firstLine="420"/>
        <w:outlineLvl w:val="0"/>
        <w:rPr>
          <w:color w:val="auto"/>
          <w:sz w:val="24"/>
          <w:szCs w:val="24"/>
        </w:rPr>
      </w:pPr>
      <w:bookmarkStart w:id="37" w:name="_Toc27668"/>
      <w:bookmarkStart w:id="38" w:name="_Toc21665"/>
      <w:r>
        <w:rPr>
          <w:rFonts w:hint="eastAsia"/>
          <w:color w:val="auto"/>
          <w:sz w:val="24"/>
          <w:szCs w:val="24"/>
        </w:rPr>
        <w:t>2 建筑全生命期二氧化碳排放量≤0 tCO</w:t>
      </w:r>
      <w:r>
        <w:rPr>
          <w:rFonts w:hint="eastAsia"/>
          <w:color w:val="auto"/>
          <w:sz w:val="24"/>
          <w:szCs w:val="24"/>
          <w:vertAlign w:val="subscript"/>
        </w:rPr>
        <w:t>2</w:t>
      </w:r>
      <w:r>
        <w:rPr>
          <w:rFonts w:hint="eastAsia"/>
          <w:color w:val="auto"/>
          <w:sz w:val="24"/>
          <w:szCs w:val="24"/>
        </w:rPr>
        <w:t>；</w:t>
      </w:r>
      <w:bookmarkEnd w:id="37"/>
      <w:bookmarkEnd w:id="38"/>
    </w:p>
    <w:p>
      <w:pPr>
        <w:spacing w:line="360" w:lineRule="auto"/>
        <w:ind w:firstLine="420"/>
        <w:outlineLvl w:val="2"/>
        <w:rPr>
          <w:color w:val="auto"/>
          <w:sz w:val="24"/>
          <w:szCs w:val="24"/>
        </w:rPr>
      </w:pPr>
      <w:r>
        <w:rPr>
          <w:rFonts w:hint="eastAsia"/>
          <w:color w:val="auto"/>
          <w:sz w:val="24"/>
          <w:szCs w:val="24"/>
        </w:rPr>
        <w:t>3 建筑建材生产及运输、建造过程产生的碳排放量，应在建筑竣工时补偿完毕。</w:t>
      </w:r>
    </w:p>
    <w:p>
      <w:pPr>
        <w:pStyle w:val="49"/>
        <w:spacing w:line="360" w:lineRule="auto"/>
        <w:ind w:firstLine="0" w:firstLineChars="0"/>
        <w:outlineLvl w:val="2"/>
        <w:rPr>
          <w:rFonts w:ascii="楷体" w:hAnsi="楷体" w:eastAsia="楷体"/>
          <w:color w:val="111111"/>
        </w:rPr>
      </w:pPr>
      <w:r>
        <w:rPr>
          <w:rFonts w:hint="eastAsia" w:ascii="楷体" w:hAnsi="楷体" w:eastAsia="楷体"/>
          <w:b/>
          <w:bCs/>
          <w:color w:val="auto"/>
          <w:sz w:val="21"/>
          <w:szCs w:val="21"/>
        </w:rPr>
        <w:t>【条文说明】</w:t>
      </w:r>
      <w:r>
        <w:rPr>
          <w:rFonts w:hint="eastAsia" w:ascii="楷体" w:hAnsi="楷体" w:eastAsia="楷体"/>
          <w:color w:val="111111"/>
          <w:sz w:val="21"/>
          <w:szCs w:val="21"/>
        </w:rPr>
        <w:t>全生命期零碳建筑以全生命期为评价周期，除了建筑运行阶段应达到零碳建筑要求外，还要求</w:t>
      </w:r>
      <w:r>
        <w:rPr>
          <w:rFonts w:hint="eastAsia" w:eastAsia="楷体"/>
          <w:color w:val="111111"/>
          <w:sz w:val="21"/>
          <w:szCs w:val="21"/>
        </w:rPr>
        <w:t>抵销</w:t>
      </w:r>
      <w:r>
        <w:rPr>
          <w:rFonts w:hint="eastAsia" w:ascii="楷体" w:hAnsi="楷体" w:eastAsia="楷体"/>
          <w:color w:val="111111"/>
          <w:sz w:val="21"/>
          <w:szCs w:val="21"/>
        </w:rPr>
        <w:t>建筑建材生产及运输阶段、建造及拆除阶段的碳排放。</w:t>
      </w:r>
      <w:r>
        <w:rPr>
          <w:rFonts w:hint="eastAsia" w:eastAsia="楷体"/>
          <w:color w:val="111111"/>
          <w:sz w:val="21"/>
          <w:szCs w:val="21"/>
        </w:rPr>
        <w:t>建筑运行阶段的碳排放通常占全寿命期的5</w:t>
      </w:r>
      <w:r>
        <w:rPr>
          <w:rFonts w:eastAsia="楷体"/>
          <w:color w:val="111111"/>
          <w:sz w:val="21"/>
          <w:szCs w:val="21"/>
        </w:rPr>
        <w:t>0</w:t>
      </w:r>
      <w:r>
        <w:rPr>
          <w:rFonts w:hint="eastAsia" w:eastAsia="楷体"/>
          <w:color w:val="111111"/>
          <w:sz w:val="21"/>
          <w:szCs w:val="21"/>
        </w:rPr>
        <w:t>%~</w:t>
      </w:r>
      <w:r>
        <w:rPr>
          <w:rFonts w:eastAsia="楷体"/>
          <w:color w:val="111111"/>
          <w:sz w:val="21"/>
          <w:szCs w:val="21"/>
        </w:rPr>
        <w:t>80</w:t>
      </w:r>
      <w:r>
        <w:rPr>
          <w:rFonts w:hint="eastAsia" w:eastAsia="楷体"/>
          <w:color w:val="111111"/>
          <w:sz w:val="21"/>
          <w:szCs w:val="21"/>
        </w:rPr>
        <w:t>%，因此</w:t>
      </w:r>
      <w:r>
        <w:rPr>
          <w:rFonts w:hint="eastAsia" w:ascii="楷体" w:hAnsi="楷体" w:eastAsia="楷体"/>
          <w:color w:val="111111"/>
          <w:sz w:val="21"/>
          <w:szCs w:val="21"/>
        </w:rPr>
        <w:t>实现全生命期零碳，极低的运行阶段本体碳排放是基础，通过本体和周边充足的可再生能源产能</w:t>
      </w:r>
      <w:r>
        <w:rPr>
          <w:rFonts w:hint="eastAsia" w:eastAsia="楷体"/>
          <w:color w:val="111111"/>
          <w:sz w:val="21"/>
          <w:szCs w:val="21"/>
        </w:rPr>
        <w:t>，辅以绿色电力及碳交易等减排</w:t>
      </w:r>
      <w:r>
        <w:rPr>
          <w:rFonts w:hint="eastAsia" w:ascii="楷体" w:hAnsi="楷体" w:eastAsia="楷体"/>
          <w:color w:val="111111"/>
          <w:sz w:val="21"/>
          <w:szCs w:val="21"/>
        </w:rPr>
        <w:t>措施实现运行阶段零碳甚至负碳是必要条件，同时应考虑在建筑竣工后前五年，补偿建筑建材生产及运输阶段和建造阶段碳排放。如果运行阶段碳排放全部由场地内可再生能源</w:t>
      </w:r>
      <w:r>
        <w:rPr>
          <w:rFonts w:hint="eastAsia" w:eastAsia="楷体"/>
          <w:color w:val="111111"/>
          <w:sz w:val="21"/>
          <w:szCs w:val="21"/>
        </w:rPr>
        <w:t>抵销</w:t>
      </w:r>
      <w:r>
        <w:rPr>
          <w:rFonts w:hint="eastAsia" w:ascii="楷体" w:hAnsi="楷体" w:eastAsia="楷体"/>
          <w:color w:val="111111"/>
          <w:sz w:val="21"/>
          <w:szCs w:val="21"/>
        </w:rPr>
        <w:t>，且场地内可再生能源仍有剩余，可抵销建筑其他阶段碳排放，应提交全生命期净零排放计算书，并每年报告可再生能源发电量和碳</w:t>
      </w:r>
      <w:r>
        <w:rPr>
          <w:rFonts w:hint="eastAsia" w:eastAsia="楷体"/>
          <w:color w:val="111111"/>
          <w:sz w:val="21"/>
          <w:szCs w:val="21"/>
        </w:rPr>
        <w:t>抵销</w:t>
      </w:r>
      <w:r>
        <w:rPr>
          <w:rFonts w:hint="eastAsia" w:ascii="楷体" w:hAnsi="楷体" w:eastAsia="楷体"/>
          <w:color w:val="111111"/>
          <w:sz w:val="21"/>
          <w:szCs w:val="21"/>
        </w:rPr>
        <w:t>量。评价时，建筑运行阶段、建材生产及运输阶段以及建造阶段碳排放应以实测计量值为基础进行核算。</w:t>
      </w:r>
    </w:p>
    <w:p>
      <w:pPr>
        <w:spacing w:line="360" w:lineRule="auto"/>
        <w:outlineLvl w:val="2"/>
        <w:rPr>
          <w:color w:val="auto"/>
          <w:sz w:val="24"/>
          <w:szCs w:val="24"/>
        </w:rPr>
      </w:pPr>
      <w:r>
        <w:rPr>
          <w:rFonts w:hint="eastAsia" w:ascii="宋体" w:hAnsi="宋体"/>
          <w:b/>
          <w:bCs/>
          <w:color w:val="auto"/>
          <w:sz w:val="24"/>
        </w:rPr>
        <w:t>4.1.3</w:t>
      </w:r>
      <w:r>
        <w:rPr>
          <w:rFonts w:hint="eastAsia" w:ascii="宋体" w:hAnsi="宋体"/>
          <w:color w:val="auto"/>
          <w:sz w:val="24"/>
        </w:rPr>
        <w:t>气候中性</w:t>
      </w:r>
      <w:r>
        <w:rPr>
          <w:rFonts w:hint="eastAsia"/>
          <w:color w:val="auto"/>
          <w:sz w:val="24"/>
          <w:szCs w:val="24"/>
        </w:rPr>
        <w:t>建筑的技术指标应符合下列规定：</w:t>
      </w:r>
    </w:p>
    <w:p>
      <w:pPr>
        <w:spacing w:line="360" w:lineRule="auto"/>
        <w:ind w:firstLine="420"/>
        <w:outlineLvl w:val="0"/>
        <w:rPr>
          <w:color w:val="auto"/>
          <w:sz w:val="24"/>
          <w:szCs w:val="24"/>
        </w:rPr>
      </w:pPr>
      <w:bookmarkStart w:id="39" w:name="_Toc21222"/>
      <w:bookmarkStart w:id="40" w:name="_Toc28533"/>
      <w:r>
        <w:rPr>
          <w:rFonts w:hint="eastAsia"/>
          <w:color w:val="auto"/>
          <w:sz w:val="24"/>
          <w:szCs w:val="24"/>
        </w:rPr>
        <w:t>1 建筑运行阶段技术指标应符合本标准表4.1.1的规定；</w:t>
      </w:r>
      <w:bookmarkEnd w:id="39"/>
      <w:bookmarkEnd w:id="40"/>
    </w:p>
    <w:p>
      <w:pPr>
        <w:spacing w:line="360" w:lineRule="auto"/>
        <w:ind w:firstLine="420"/>
        <w:outlineLvl w:val="0"/>
        <w:rPr>
          <w:color w:val="auto"/>
          <w:sz w:val="24"/>
          <w:szCs w:val="24"/>
        </w:rPr>
      </w:pPr>
      <w:bookmarkStart w:id="41" w:name="_Toc1360"/>
      <w:bookmarkStart w:id="42" w:name="_Toc1292"/>
      <w:r>
        <w:rPr>
          <w:rFonts w:hint="eastAsia"/>
          <w:color w:val="auto"/>
          <w:sz w:val="24"/>
          <w:szCs w:val="24"/>
        </w:rPr>
        <w:t xml:space="preserve">2 建筑全生命期温室气体排放量≤0 </w:t>
      </w:r>
      <w:r>
        <w:rPr>
          <w:color w:val="auto"/>
          <w:sz w:val="24"/>
          <w:szCs w:val="24"/>
        </w:rPr>
        <w:t>tCO</w:t>
      </w:r>
      <w:r>
        <w:rPr>
          <w:color w:val="auto"/>
          <w:sz w:val="24"/>
          <w:szCs w:val="24"/>
          <w:vertAlign w:val="subscript"/>
        </w:rPr>
        <w:t>2</w:t>
      </w:r>
      <w:r>
        <w:rPr>
          <w:color w:val="auto"/>
          <w:sz w:val="24"/>
          <w:szCs w:val="24"/>
        </w:rPr>
        <w:t>e</w:t>
      </w:r>
      <w:r>
        <w:rPr>
          <w:rFonts w:hint="eastAsia"/>
          <w:color w:val="auto"/>
          <w:sz w:val="24"/>
          <w:szCs w:val="24"/>
        </w:rPr>
        <w:t>；</w:t>
      </w:r>
      <w:bookmarkEnd w:id="41"/>
      <w:bookmarkEnd w:id="42"/>
    </w:p>
    <w:p>
      <w:pPr>
        <w:spacing w:line="360" w:lineRule="auto"/>
        <w:ind w:firstLine="420"/>
        <w:outlineLvl w:val="2"/>
        <w:rPr>
          <w:color w:val="auto"/>
          <w:sz w:val="24"/>
          <w:szCs w:val="24"/>
        </w:rPr>
      </w:pPr>
      <w:r>
        <w:rPr>
          <w:rFonts w:hint="eastAsia"/>
          <w:color w:val="auto"/>
          <w:sz w:val="24"/>
          <w:szCs w:val="24"/>
        </w:rPr>
        <w:t>3 建筑建材生产及运输、建造过程产生的温室气体排放量，应在建筑竣工时补偿完毕。</w:t>
      </w:r>
    </w:p>
    <w:p>
      <w:pPr>
        <w:spacing w:line="360" w:lineRule="auto"/>
        <w:outlineLvl w:val="2"/>
        <w:rPr>
          <w:rFonts w:ascii="楷体" w:hAnsi="楷体" w:eastAsia="楷体"/>
          <w:color w:val="auto"/>
        </w:rPr>
      </w:pPr>
      <w:r>
        <w:rPr>
          <w:rFonts w:hint="eastAsia" w:ascii="楷体" w:hAnsi="楷体" w:eastAsia="楷体"/>
          <w:b/>
          <w:bCs/>
          <w:color w:val="auto"/>
        </w:rPr>
        <w:t>【条文说明】</w:t>
      </w:r>
      <w:r>
        <w:rPr>
          <w:rFonts w:hint="eastAsia" w:ascii="楷体" w:hAnsi="楷体" w:eastAsia="楷体"/>
          <w:color w:val="auto"/>
        </w:rPr>
        <w:t>气候中性建筑以全生命期零碳建筑为基础，以二氧化碳当量（CO</w:t>
      </w:r>
      <w:r>
        <w:rPr>
          <w:rFonts w:hint="eastAsia" w:ascii="楷体" w:hAnsi="楷体" w:eastAsia="楷体"/>
          <w:color w:val="auto"/>
          <w:vertAlign w:val="subscript"/>
        </w:rPr>
        <w:t>2</w:t>
      </w:r>
      <w:r>
        <w:rPr>
          <w:rFonts w:hint="eastAsia" w:ascii="楷体" w:hAnsi="楷体" w:eastAsia="楷体"/>
          <w:color w:val="auto"/>
        </w:rPr>
        <w:t>e)表示建筑全生命期温室气体排放的总和，考虑建材生产和运输过程、建筑运行阶段制冷剂泄露等建筑非二氧化碳温室气体排放量。</w:t>
      </w:r>
    </w:p>
    <w:p>
      <w:pPr>
        <w:spacing w:before="156" w:beforeLines="50" w:after="120"/>
        <w:jc w:val="center"/>
        <w:outlineLvl w:val="0"/>
        <w:rPr>
          <w:rFonts w:eastAsia="黑体"/>
          <w:bCs/>
          <w:color w:val="auto"/>
          <w:sz w:val="32"/>
          <w:szCs w:val="28"/>
        </w:rPr>
      </w:pPr>
      <w:bookmarkStart w:id="43" w:name="_Toc4646"/>
      <w:bookmarkStart w:id="44" w:name="_Toc19071"/>
      <w:r>
        <w:rPr>
          <w:rFonts w:hint="eastAsia" w:eastAsia="黑体"/>
          <w:bCs/>
          <w:color w:val="auto"/>
          <w:sz w:val="32"/>
          <w:szCs w:val="28"/>
        </w:rPr>
        <w:t>4.2 零碳社区</w:t>
      </w:r>
      <w:bookmarkEnd w:id="43"/>
      <w:bookmarkEnd w:id="44"/>
    </w:p>
    <w:p>
      <w:pPr>
        <w:spacing w:line="360" w:lineRule="auto"/>
        <w:outlineLvl w:val="2"/>
        <w:rPr>
          <w:color w:val="auto"/>
          <w:sz w:val="24"/>
          <w:szCs w:val="24"/>
        </w:rPr>
      </w:pPr>
      <w:r>
        <w:rPr>
          <w:rFonts w:hint="eastAsia" w:ascii="宋体" w:hAnsi="宋体"/>
          <w:b/>
          <w:bCs/>
          <w:color w:val="auto"/>
          <w:sz w:val="24"/>
        </w:rPr>
        <w:t>4.2.</w:t>
      </w:r>
      <w:r>
        <w:rPr>
          <w:color w:val="auto"/>
          <w:sz w:val="24"/>
          <w:szCs w:val="24"/>
        </w:rPr>
        <w:t>1</w:t>
      </w:r>
      <w:r>
        <w:rPr>
          <w:rFonts w:hint="eastAsia"/>
          <w:color w:val="auto"/>
          <w:sz w:val="24"/>
          <w:szCs w:val="24"/>
        </w:rPr>
        <w:t>零碳社区的技术指标应符合下列规定：</w:t>
      </w:r>
    </w:p>
    <w:p>
      <w:pPr>
        <w:spacing w:line="360" w:lineRule="auto"/>
        <w:ind w:firstLine="420"/>
        <w:outlineLvl w:val="2"/>
        <w:rPr>
          <w:color w:val="auto"/>
          <w:sz w:val="24"/>
          <w:szCs w:val="24"/>
        </w:rPr>
      </w:pPr>
      <w:r>
        <w:rPr>
          <w:rFonts w:hint="eastAsia"/>
          <w:color w:val="auto"/>
          <w:sz w:val="24"/>
          <w:szCs w:val="24"/>
        </w:rPr>
        <w:t>1 社区总运行碳排放量≤0 tCO</w:t>
      </w:r>
      <w:r>
        <w:rPr>
          <w:rFonts w:hint="eastAsia"/>
          <w:color w:val="auto"/>
          <w:sz w:val="24"/>
          <w:szCs w:val="24"/>
          <w:vertAlign w:val="subscript"/>
        </w:rPr>
        <w:t>2</w:t>
      </w:r>
      <w:r>
        <w:rPr>
          <w:rFonts w:hint="eastAsia"/>
          <w:color w:val="auto"/>
          <w:sz w:val="24"/>
          <w:szCs w:val="24"/>
        </w:rPr>
        <w:t>/a；</w:t>
      </w:r>
    </w:p>
    <w:p>
      <w:pPr>
        <w:spacing w:line="360" w:lineRule="auto"/>
        <w:ind w:firstLine="420"/>
        <w:outlineLvl w:val="2"/>
        <w:rPr>
          <w:color w:val="auto"/>
          <w:sz w:val="24"/>
          <w:szCs w:val="24"/>
          <w:highlight w:val="yellow"/>
        </w:rPr>
      </w:pPr>
      <w:r>
        <w:rPr>
          <w:rFonts w:hint="eastAsia"/>
          <w:color w:val="auto"/>
          <w:sz w:val="24"/>
          <w:szCs w:val="24"/>
        </w:rPr>
        <w:t>2 社区净运行碳排放量较基准社区下降50%以上。</w:t>
      </w:r>
    </w:p>
    <w:p>
      <w:pPr>
        <w:spacing w:line="360" w:lineRule="auto"/>
        <w:outlineLvl w:val="2"/>
        <w:rPr>
          <w:rFonts w:ascii="楷体" w:hAnsi="楷体" w:eastAsia="楷体"/>
          <w:color w:val="auto"/>
        </w:rPr>
      </w:pPr>
      <w:r>
        <w:rPr>
          <w:rFonts w:hint="eastAsia" w:ascii="楷体" w:hAnsi="楷体" w:eastAsia="楷体"/>
          <w:color w:val="auto"/>
        </w:rPr>
        <w:t>【条文说明】因我国幅员辽阔、气候差异较大、社区功能复杂，难以选取绝对碳排放量或排放强度对零碳社区进行约束。因此，本规范使用“净碳排放较基准社区下降比例”对园区自身碳减排量进行约束。</w:t>
      </w:r>
    </w:p>
    <w:p>
      <w:pPr>
        <w:spacing w:line="360" w:lineRule="auto"/>
        <w:outlineLvl w:val="2"/>
        <w:rPr>
          <w:color w:val="auto"/>
          <w:sz w:val="24"/>
          <w:szCs w:val="24"/>
        </w:rPr>
      </w:pPr>
      <w:r>
        <w:rPr>
          <w:rFonts w:hint="eastAsia" w:ascii="宋体" w:hAnsi="宋体"/>
          <w:b/>
          <w:bCs/>
          <w:color w:val="auto"/>
          <w:sz w:val="24"/>
        </w:rPr>
        <w:t>4.2.2</w:t>
      </w:r>
      <w:r>
        <w:rPr>
          <w:rFonts w:hint="eastAsia"/>
          <w:color w:val="auto"/>
          <w:sz w:val="24"/>
          <w:szCs w:val="24"/>
        </w:rPr>
        <w:t>全生命期零碳社区的技术指标应符合下列规定：</w:t>
      </w:r>
    </w:p>
    <w:p>
      <w:pPr>
        <w:spacing w:line="360" w:lineRule="auto"/>
        <w:ind w:firstLine="420"/>
        <w:outlineLvl w:val="0"/>
        <w:rPr>
          <w:color w:val="auto"/>
          <w:sz w:val="24"/>
          <w:szCs w:val="24"/>
        </w:rPr>
      </w:pPr>
      <w:bookmarkStart w:id="45" w:name="_Toc13653"/>
      <w:r>
        <w:rPr>
          <w:rFonts w:hint="eastAsia"/>
          <w:color w:val="auto"/>
          <w:sz w:val="24"/>
          <w:szCs w:val="24"/>
        </w:rPr>
        <w:t>1 社区运行阶段技术指标应符合本标准第4.2.1条的规定；</w:t>
      </w:r>
      <w:bookmarkEnd w:id="45"/>
    </w:p>
    <w:p>
      <w:pPr>
        <w:spacing w:line="360" w:lineRule="auto"/>
        <w:ind w:firstLine="420"/>
        <w:outlineLvl w:val="0"/>
        <w:rPr>
          <w:color w:val="auto"/>
          <w:sz w:val="24"/>
          <w:szCs w:val="24"/>
        </w:rPr>
      </w:pPr>
      <w:bookmarkStart w:id="46" w:name="_Toc3299"/>
      <w:r>
        <w:rPr>
          <w:rFonts w:hint="eastAsia"/>
          <w:color w:val="auto"/>
          <w:sz w:val="24"/>
          <w:szCs w:val="24"/>
        </w:rPr>
        <w:t>2 社区全生命期二氧化碳排放量≤0 tCO</w:t>
      </w:r>
      <w:r>
        <w:rPr>
          <w:rFonts w:hint="eastAsia"/>
          <w:color w:val="auto"/>
          <w:sz w:val="24"/>
          <w:szCs w:val="24"/>
          <w:vertAlign w:val="subscript"/>
        </w:rPr>
        <w:t>2</w:t>
      </w:r>
      <w:r>
        <w:rPr>
          <w:rFonts w:hint="eastAsia"/>
          <w:color w:val="auto"/>
          <w:sz w:val="24"/>
          <w:szCs w:val="24"/>
        </w:rPr>
        <w:t>；</w:t>
      </w:r>
      <w:bookmarkEnd w:id="46"/>
    </w:p>
    <w:p>
      <w:pPr>
        <w:spacing w:line="360" w:lineRule="auto"/>
        <w:ind w:firstLine="420"/>
        <w:outlineLvl w:val="2"/>
        <w:rPr>
          <w:color w:val="auto"/>
          <w:sz w:val="24"/>
          <w:szCs w:val="24"/>
        </w:rPr>
      </w:pPr>
      <w:r>
        <w:rPr>
          <w:rFonts w:hint="eastAsia"/>
          <w:color w:val="auto"/>
          <w:sz w:val="24"/>
          <w:szCs w:val="24"/>
        </w:rPr>
        <w:t>3 社区建设过程中产生的建造碳排放量以及建材隐含碳排放量，应在竣工后10年内补偿完毕。</w:t>
      </w:r>
    </w:p>
    <w:p>
      <w:pPr>
        <w:spacing w:line="360" w:lineRule="auto"/>
        <w:outlineLvl w:val="2"/>
        <w:rPr>
          <w:color w:val="auto"/>
          <w:sz w:val="24"/>
          <w:szCs w:val="24"/>
        </w:rPr>
      </w:pPr>
      <w:r>
        <w:rPr>
          <w:rFonts w:hint="eastAsia" w:ascii="楷体" w:hAnsi="楷体" w:eastAsia="楷体"/>
          <w:color w:val="auto"/>
        </w:rPr>
        <w:t>【条文说明】除建筑外，社区在土地整备、交通及市政基础设施修建中涉及大量建造过程及建材使用。全生命期零碳社区需对此部分建造碳排放及建材隐含碳排放进行抵销。本规范不对此部分碳排放的具体抵销方式及抵销比例进行具体约束。</w:t>
      </w:r>
    </w:p>
    <w:p>
      <w:pPr>
        <w:spacing w:line="360" w:lineRule="auto"/>
        <w:outlineLvl w:val="2"/>
        <w:rPr>
          <w:color w:val="auto"/>
          <w:sz w:val="24"/>
          <w:szCs w:val="24"/>
        </w:rPr>
      </w:pPr>
      <w:r>
        <w:rPr>
          <w:rFonts w:hint="eastAsia" w:ascii="宋体" w:hAnsi="宋体"/>
          <w:b/>
          <w:bCs/>
          <w:color w:val="auto"/>
          <w:sz w:val="24"/>
        </w:rPr>
        <w:t>4.2.3</w:t>
      </w:r>
      <w:r>
        <w:rPr>
          <w:rFonts w:hint="eastAsia"/>
          <w:color w:val="auto"/>
          <w:sz w:val="24"/>
          <w:szCs w:val="24"/>
        </w:rPr>
        <w:t>气候中性社区的技术指标应符合下列规定：</w:t>
      </w:r>
    </w:p>
    <w:p>
      <w:pPr>
        <w:spacing w:line="360" w:lineRule="auto"/>
        <w:ind w:firstLine="420"/>
        <w:outlineLvl w:val="0"/>
        <w:rPr>
          <w:color w:val="auto"/>
          <w:sz w:val="24"/>
          <w:szCs w:val="24"/>
        </w:rPr>
      </w:pPr>
      <w:bookmarkStart w:id="47" w:name="_Toc10330"/>
      <w:r>
        <w:rPr>
          <w:rFonts w:hint="eastAsia"/>
          <w:color w:val="auto"/>
          <w:sz w:val="24"/>
          <w:szCs w:val="24"/>
        </w:rPr>
        <w:t>1 社区运行阶段技术指标应符合本标准第4.2.</w:t>
      </w:r>
      <w:r>
        <w:rPr>
          <w:color w:val="auto"/>
          <w:sz w:val="24"/>
          <w:szCs w:val="24"/>
        </w:rPr>
        <w:t>2</w:t>
      </w:r>
      <w:r>
        <w:rPr>
          <w:rFonts w:hint="eastAsia"/>
          <w:color w:val="auto"/>
          <w:sz w:val="24"/>
          <w:szCs w:val="24"/>
        </w:rPr>
        <w:t>条的规定；</w:t>
      </w:r>
      <w:bookmarkEnd w:id="47"/>
    </w:p>
    <w:p>
      <w:pPr>
        <w:spacing w:line="360" w:lineRule="auto"/>
        <w:ind w:firstLine="420"/>
        <w:outlineLvl w:val="0"/>
        <w:rPr>
          <w:color w:val="auto"/>
          <w:sz w:val="24"/>
          <w:szCs w:val="24"/>
        </w:rPr>
      </w:pPr>
      <w:bookmarkStart w:id="48" w:name="_Toc32581"/>
      <w:r>
        <w:rPr>
          <w:rFonts w:hint="eastAsia"/>
          <w:color w:val="auto"/>
          <w:sz w:val="24"/>
          <w:szCs w:val="24"/>
        </w:rPr>
        <w:t>2 社区全生命期温室气体排放量≤0 tCO</w:t>
      </w:r>
      <w:r>
        <w:rPr>
          <w:rFonts w:hint="eastAsia"/>
          <w:color w:val="auto"/>
          <w:sz w:val="24"/>
          <w:szCs w:val="24"/>
          <w:vertAlign w:val="subscript"/>
        </w:rPr>
        <w:t>2</w:t>
      </w:r>
      <w:r>
        <w:rPr>
          <w:rFonts w:hint="eastAsia"/>
          <w:color w:val="auto"/>
          <w:sz w:val="24"/>
          <w:szCs w:val="24"/>
        </w:rPr>
        <w:t>e；</w:t>
      </w:r>
      <w:bookmarkEnd w:id="48"/>
    </w:p>
    <w:p>
      <w:pPr>
        <w:spacing w:line="360" w:lineRule="auto"/>
        <w:ind w:firstLine="420"/>
        <w:outlineLvl w:val="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社区建设过程中产生的建造温室气体排放量以及建材隐含碳排放量，应在竣工后10年内补偿完毕。</w:t>
      </w:r>
    </w:p>
    <w:p>
      <w:pPr>
        <w:spacing w:line="360" w:lineRule="auto"/>
        <w:outlineLvl w:val="0"/>
        <w:rPr>
          <w:rFonts w:ascii="楷体" w:hAnsi="楷体" w:eastAsia="楷体"/>
          <w:color w:val="auto"/>
        </w:rPr>
      </w:pPr>
      <w:r>
        <w:rPr>
          <w:rFonts w:hint="eastAsia" w:ascii="楷体" w:hAnsi="楷体" w:eastAsia="楷体"/>
          <w:color w:val="auto"/>
        </w:rPr>
        <w:t>【条文说明】气候中性社区以全生命期零碳社区为基础，并对市政、交通等社区内因人类活动产生的各项温室气体排放进行核算并抵销。因社区内非二氧化碳温室气体排放多在社区运行阶段产生，故其抵销周期与本标准第4</w:t>
      </w:r>
      <w:r>
        <w:rPr>
          <w:rFonts w:ascii="楷体" w:hAnsi="楷体" w:eastAsia="楷体"/>
          <w:color w:val="auto"/>
        </w:rPr>
        <w:t>.2.2</w:t>
      </w:r>
      <w:r>
        <w:rPr>
          <w:rFonts w:hint="eastAsia" w:ascii="楷体" w:hAnsi="楷体" w:eastAsia="楷体"/>
          <w:color w:val="auto"/>
        </w:rPr>
        <w:t>条中要求周期相同，不另行增加时间。本规范不对此部分温室气体排放的具体抵销方式及抵销比例进行具体约束。</w:t>
      </w:r>
    </w:p>
    <w:p>
      <w:pPr>
        <w:spacing w:line="360" w:lineRule="auto"/>
        <w:rPr>
          <w:color w:val="auto"/>
          <w:sz w:val="24"/>
          <w:szCs w:val="24"/>
        </w:rPr>
      </w:pPr>
    </w:p>
    <w:p>
      <w:pPr>
        <w:rPr>
          <w:rFonts w:ascii="宋体" w:hAnsi="宋体"/>
          <w:color w:val="auto"/>
          <w:sz w:val="24"/>
        </w:rPr>
      </w:pPr>
      <w:r>
        <w:rPr>
          <w:rFonts w:ascii="宋体" w:hAnsi="宋体"/>
          <w:color w:val="auto"/>
          <w:sz w:val="24"/>
        </w:rPr>
        <w:br w:type="page"/>
      </w:r>
    </w:p>
    <w:p>
      <w:pPr>
        <w:spacing w:before="156" w:beforeLines="50" w:after="120"/>
        <w:jc w:val="center"/>
        <w:outlineLvl w:val="0"/>
        <w:rPr>
          <w:rFonts w:eastAsia="黑体"/>
          <w:bCs/>
          <w:color w:val="auto"/>
          <w:sz w:val="36"/>
          <w:szCs w:val="32"/>
        </w:rPr>
      </w:pPr>
      <w:bookmarkStart w:id="49" w:name="_Toc30299"/>
      <w:bookmarkStart w:id="50" w:name="_Toc28297"/>
      <w:r>
        <w:rPr>
          <w:rFonts w:eastAsia="黑体"/>
          <w:bCs/>
          <w:color w:val="auto"/>
          <w:sz w:val="36"/>
          <w:szCs w:val="32"/>
        </w:rPr>
        <w:t>5 技术措施</w:t>
      </w:r>
      <w:bookmarkEnd w:id="49"/>
      <w:bookmarkEnd w:id="50"/>
    </w:p>
    <w:p>
      <w:pPr>
        <w:spacing w:before="156" w:beforeLines="50" w:after="120"/>
        <w:jc w:val="center"/>
        <w:outlineLvl w:val="0"/>
        <w:rPr>
          <w:rFonts w:eastAsia="黑体"/>
          <w:bCs/>
          <w:color w:val="auto"/>
          <w:sz w:val="32"/>
          <w:szCs w:val="28"/>
        </w:rPr>
      </w:pPr>
      <w:bookmarkStart w:id="51" w:name="_Toc16372"/>
      <w:bookmarkStart w:id="52" w:name="_Toc10736"/>
      <w:r>
        <w:rPr>
          <w:rFonts w:eastAsia="黑体"/>
          <w:bCs/>
          <w:color w:val="auto"/>
          <w:sz w:val="32"/>
          <w:szCs w:val="28"/>
        </w:rPr>
        <w:t xml:space="preserve">5.1 </w:t>
      </w:r>
      <w:r>
        <w:rPr>
          <w:rFonts w:hint="eastAsia" w:eastAsia="黑体"/>
          <w:bCs/>
          <w:color w:val="auto"/>
          <w:sz w:val="32"/>
          <w:szCs w:val="28"/>
        </w:rPr>
        <w:t>一般规定</w:t>
      </w:r>
      <w:bookmarkEnd w:id="51"/>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1</w:t>
      </w:r>
      <w:r>
        <w:rPr>
          <w:rFonts w:hint="eastAsia" w:ascii="宋体" w:hAnsi="宋体"/>
          <w:b/>
          <w:bCs/>
          <w:color w:val="auto"/>
          <w:sz w:val="24"/>
        </w:rPr>
        <w:t>.1</w:t>
      </w:r>
      <w:r>
        <w:rPr>
          <w:rFonts w:hint="eastAsia"/>
          <w:color w:val="auto"/>
          <w:sz w:val="24"/>
          <w:szCs w:val="24"/>
        </w:rPr>
        <w:t>零碳建筑和社区的总体规划应有利于营造适宜的微气候。通过优化建筑空间布局、合理选择和利用景观等措施，实现夏季增强自然通风、减少热岛效应，冬季增加日照、避免冷风对建筑的影响。</w:t>
      </w:r>
    </w:p>
    <w:p>
      <w:pPr>
        <w:pStyle w:val="51"/>
      </w:pPr>
      <w:bookmarkStart w:id="53" w:name="_Hlk116927989"/>
      <w:bookmarkStart w:id="54" w:name="_Hlk116927638"/>
      <w:r>
        <w:rPr>
          <w:rFonts w:hint="eastAsia"/>
          <w:b/>
          <w:bCs/>
        </w:rPr>
        <w:t>【条文说明】</w:t>
      </w:r>
      <w:r>
        <w:rPr>
          <w:rFonts w:hint="eastAsia"/>
        </w:rPr>
        <w:t>零碳建筑和社区</w:t>
      </w:r>
      <w:bookmarkEnd w:id="53"/>
      <w:r>
        <w:rPr>
          <w:rFonts w:hint="eastAsia"/>
        </w:rPr>
        <w:t>的</w:t>
      </w:r>
      <w:bookmarkEnd w:id="54"/>
      <w:r>
        <w:rPr>
          <w:rFonts w:hint="eastAsia"/>
        </w:rPr>
        <w:t>整体规划设计与减碳密切相关。在进行规划时，通过控制建筑密度、充分利用自然能源等方式，营造适宜的区域微气候，减少能源消耗和碳排放。冬季控制建筑遮挡以加强日照得热，并通过建筑群空间布局分析，营造适宜的风环境，降低冬季冷风渗透；夏季增强自然通风，通过景观设计，减少热岛效应，降低夏季新风负荷。通常来说，建筑主朝向应为南北朝向，主入口应避开冬季主导风向。</w:t>
      </w:r>
    </w:p>
    <w:p>
      <w:pPr>
        <w:spacing w:before="156" w:beforeLines="50" w:after="120"/>
        <w:jc w:val="center"/>
        <w:outlineLvl w:val="0"/>
        <w:rPr>
          <w:rFonts w:eastAsia="黑体"/>
          <w:bCs/>
          <w:color w:val="auto"/>
          <w:sz w:val="32"/>
          <w:szCs w:val="28"/>
        </w:rPr>
      </w:pPr>
      <w:bookmarkStart w:id="55" w:name="_Toc14379"/>
      <w:r>
        <w:rPr>
          <w:rFonts w:eastAsia="黑体"/>
          <w:bCs/>
          <w:color w:val="auto"/>
          <w:sz w:val="32"/>
          <w:szCs w:val="28"/>
        </w:rPr>
        <w:t>5.2 建筑减碳技术</w:t>
      </w:r>
      <w:bookmarkEnd w:id="55"/>
    </w:p>
    <w:p>
      <w:pPr>
        <w:pStyle w:val="52"/>
        <w:spacing w:before="156"/>
        <w:rPr>
          <w:rFonts w:ascii="仿宋" w:hAnsi="仿宋" w:eastAsia="仿宋"/>
        </w:rPr>
      </w:pPr>
      <w:r>
        <w:rPr>
          <w:rFonts w:ascii="仿宋" w:hAnsi="仿宋" w:eastAsia="仿宋"/>
        </w:rPr>
        <w:t>Ⅰ 运行阶段</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1</w:t>
      </w:r>
      <w:r>
        <w:rPr>
          <w:rFonts w:hint="eastAsia"/>
          <w:color w:val="auto"/>
          <w:sz w:val="24"/>
        </w:rPr>
        <w:t>建筑</w:t>
      </w:r>
      <w:r>
        <w:rPr>
          <w:color w:val="auto"/>
          <w:sz w:val="24"/>
        </w:rPr>
        <w:t>供冷供热系统应根据实际冷热负荷变化</w:t>
      </w:r>
      <w:r>
        <w:rPr>
          <w:rFonts w:hint="eastAsia"/>
          <w:color w:val="auto"/>
          <w:sz w:val="24"/>
        </w:rPr>
        <w:t>，</w:t>
      </w:r>
      <w:r>
        <w:rPr>
          <w:color w:val="auto"/>
          <w:sz w:val="24"/>
        </w:rPr>
        <w:t>制定调节供冷供热量的运行方案及操作规程</w:t>
      </w:r>
      <w:r>
        <w:rPr>
          <w:rFonts w:hint="eastAsia"/>
          <w:color w:val="auto"/>
          <w:sz w:val="24"/>
        </w:rPr>
        <w:t>；</w:t>
      </w:r>
      <w:r>
        <w:rPr>
          <w:color w:val="auto"/>
          <w:sz w:val="24"/>
        </w:rPr>
        <w:t>集中空调系统应根据实际运行状况制定过渡季节运行方案及操作规程；对</w:t>
      </w:r>
      <w:r>
        <w:rPr>
          <w:rFonts w:hint="eastAsia"/>
          <w:color w:val="auto"/>
          <w:sz w:val="24"/>
        </w:rPr>
        <w:t>于</w:t>
      </w:r>
      <w:r>
        <w:rPr>
          <w:color w:val="auto"/>
          <w:sz w:val="24"/>
        </w:rPr>
        <w:t>人员密集的区域，应根据实际需求制定新风量调节方案及操作规程。</w:t>
      </w:r>
    </w:p>
    <w:p>
      <w:pPr>
        <w:pStyle w:val="51"/>
        <w:rPr>
          <w:b/>
          <w:bCs/>
        </w:rPr>
      </w:pPr>
      <w:r>
        <w:rPr>
          <w:rFonts w:hint="eastAsia"/>
          <w:b/>
          <w:bCs/>
        </w:rPr>
        <w:t>【条文说明】</w:t>
      </w:r>
      <w:r>
        <w:rPr>
          <w:rFonts w:hint="eastAsia"/>
        </w:rPr>
        <w:t>建筑实际冷热负荷随季节和使用情况而变化，制定合理的运行策略是实现建筑节能减碳的前提。建筑运行管理单位应根据实际负荷变化情况制定节能运行方案，对设备机组运行方式进行调节，提高机组的实际运行效率，并落实在操作规程中。过渡季节可根据实际情况尽可能利用室外新风进行供冷，以减少冷源运行时间，节能减碳。人员密集区域的新风需求大，且人员密度变化大，经常出现和设计值不符的情况，应根据实际人数对风量进行控制，在保证室内环境舒适的前提下节约能源。</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2</w:t>
      </w:r>
      <w:r>
        <w:rPr>
          <w:rFonts w:hint="eastAsia"/>
          <w:color w:val="auto"/>
          <w:sz w:val="24"/>
        </w:rPr>
        <w:t>建筑通风系统应首先考虑采用自然通风消除建筑物余热、余湿和进行室内污染物浓度控制。当自然通风不能满足要求时，应采用机械通风，或自然通风和机械通风结合的复合通风。建筑应设置新风热回收系统，应采用高效热回收装置</w:t>
      </w:r>
      <w:r>
        <w:rPr>
          <w:color w:val="auto"/>
          <w:sz w:val="24"/>
        </w:rPr>
        <w:t>。</w:t>
      </w:r>
    </w:p>
    <w:p>
      <w:pPr>
        <w:pStyle w:val="51"/>
      </w:pPr>
      <w:r>
        <w:rPr>
          <w:rFonts w:hint="eastAsia"/>
          <w:b/>
          <w:bCs/>
        </w:rPr>
        <w:t>【条文说明】</w:t>
      </w:r>
      <w:r>
        <w:rPr>
          <w:rFonts w:hint="eastAsia"/>
        </w:rPr>
        <w:t>自然通风通过合理适度地改变建筑形式，利用热压和风压作用形成有组织气流，满足室内新风要求，减少通风能耗，因此在设计时应充分考虑自然通风的利用。在夏季，应尽量采用自然通风；在冬季，当室外空气直接进入室内不致形成雾气和在围护结构内表面不致产生凝结水时，也应考虑采用自然通风。另外，在采用自然通风时，应考虑当地室外气象参数的限制条件。</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3</w:t>
      </w:r>
      <w:r>
        <w:rPr>
          <w:rFonts w:hint="eastAsia"/>
          <w:color w:val="auto"/>
          <w:sz w:val="24"/>
        </w:rPr>
        <w:t>集中</w:t>
      </w:r>
      <w:r>
        <w:rPr>
          <w:color w:val="auto"/>
          <w:sz w:val="24"/>
        </w:rPr>
        <w:t>生活热水</w:t>
      </w:r>
      <w:r>
        <w:rPr>
          <w:rFonts w:hint="eastAsia"/>
          <w:color w:val="auto"/>
          <w:sz w:val="24"/>
        </w:rPr>
        <w:t>供应系统热源在除有其他用蒸汽要求外，不应采用燃气或燃油锅炉制备蒸汽作为生活热水的热源或辅助热源，且不宜采用市政供电直接加热作为生活热水系统的主体热源，建议采用太阳能集热器或空气源热泵热水机组制备生活热水。</w:t>
      </w:r>
    </w:p>
    <w:p>
      <w:pPr>
        <w:pStyle w:val="51"/>
      </w:pPr>
      <w:r>
        <w:rPr>
          <w:rFonts w:hint="eastAsia"/>
          <w:b/>
          <w:bCs/>
        </w:rPr>
        <w:t>【条文说明】</w:t>
      </w:r>
      <w:r>
        <w:rPr>
          <w:rFonts w:hint="eastAsia"/>
        </w:rPr>
        <w:t>热源的选择有助于从源头上降低热水能耗。用常规能源制蒸汽再进行换热制生活热水，是高品位能源低用，应该杜绝。秉承不鼓励电直接供热的原则，除较小规模的系统或其他能源条件受限、可以用峰谷电、电力政策有明确鼓励的条件外，都不得采用市政供电直接加热做集中生活热水系统的主体热源。</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4</w:t>
      </w:r>
      <w:r>
        <w:rPr>
          <w:rFonts w:hint="eastAsia"/>
          <w:color w:val="auto"/>
          <w:sz w:val="24"/>
        </w:rPr>
        <w:t>照明系统应选用节能光源和灯具，宜选择L</w:t>
      </w:r>
      <w:r>
        <w:rPr>
          <w:color w:val="auto"/>
          <w:sz w:val="24"/>
        </w:rPr>
        <w:t>ED</w:t>
      </w:r>
      <w:r>
        <w:rPr>
          <w:rFonts w:hint="eastAsia"/>
          <w:color w:val="auto"/>
          <w:sz w:val="24"/>
        </w:rPr>
        <w:t>光源。建筑的走廊、楼梯间、门厅、电梯厅及停车库照明应能够根据照明需求进行节能控制；大型公共建筑的公用照明区域应采取分区、分组及调节照度的节能控制措施；有天然采光的场所，其照明应根据采光状况和建筑使用条件采取分区、分组、按照度或按时段调节的节能控制措施。</w:t>
      </w:r>
    </w:p>
    <w:p>
      <w:pPr>
        <w:pStyle w:val="51"/>
      </w:pPr>
      <w:r>
        <w:rPr>
          <w:rFonts w:hint="eastAsia"/>
          <w:b/>
          <w:bCs/>
        </w:rPr>
        <w:t>【条文说明】</w:t>
      </w:r>
      <w:r>
        <w:rPr>
          <w:rFonts w:hint="eastAsia"/>
        </w:rPr>
        <w:t>照明系统应优先选用高效节能的光源和灯具。走廊、楼梯间、门厅、电梯厅、停车库等场所，无人主动关注照明的开、关，可采用就地感应控制，包括红外、雷达、声波等探测器的自动控制装置，通过自动开关或调光，实现节能控制。</w:t>
      </w:r>
    </w:p>
    <w:p>
      <w:pPr>
        <w:pStyle w:val="51"/>
        <w:ind w:firstLine="420" w:firstLineChars="200"/>
      </w:pPr>
      <w:r>
        <w:rPr>
          <w:rFonts w:hint="eastAsia"/>
        </w:rPr>
        <w:t>大型公共建筑的公用照明区域，根据建筑空间形式和空间功能进行分区分组，当空间无人时，通过调节降低照度以实现节能。但值得注意的是，对于医院病房楼、中小学校及其宿舍、幼儿园、老年公寓、旅馆等场所，因病人、儿童、老年人等人员在灯光敏感转换期间易发生踏空等安全事故，因此不宜采用就地感应控制。</w:t>
      </w:r>
    </w:p>
    <w:p>
      <w:pPr>
        <w:pStyle w:val="51"/>
        <w:ind w:firstLine="420" w:firstLineChars="200"/>
      </w:pPr>
      <w:r>
        <w:rPr>
          <w:rFonts w:hint="eastAsia"/>
        </w:rPr>
        <w:t>在具有天然采光的区域，照明设计与照明控制应与之结合，根据采光状况和建筑使用条件，对人工照明进行分区、分组控制，在充分利用天然光的同时，也不影响该区域的正常使用。</w:t>
      </w:r>
    </w:p>
    <w:p>
      <w:pPr>
        <w:spacing w:line="360" w:lineRule="auto"/>
        <w:outlineLvl w:val="2"/>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5</w:t>
      </w:r>
      <w:r>
        <w:rPr>
          <w:rFonts w:hint="eastAsia"/>
          <w:color w:val="auto"/>
          <w:sz w:val="24"/>
        </w:rPr>
        <w:t>电梯系统应采用能效等级为A级的电梯，应选取带有能量回馈装置的产品。</w:t>
      </w:r>
    </w:p>
    <w:p>
      <w:pPr>
        <w:pStyle w:val="51"/>
        <w:rPr>
          <w:highlight w:val="yellow"/>
        </w:rPr>
      </w:pPr>
      <w:r>
        <w:rPr>
          <w:rFonts w:hint="eastAsia"/>
          <w:b/>
          <w:bCs/>
        </w:rPr>
        <w:t>【条文说明】</w:t>
      </w:r>
      <w:r>
        <w:rPr>
          <w:rFonts w:hint="eastAsia"/>
        </w:rPr>
        <w:t>电梯系统应采用最为节能环保的</w:t>
      </w:r>
      <w:r>
        <w:t>A级电梯。能耗回馈装置可以进一步降低电梯能耗，从经济效益上考虑，推荐在在楼层较高、梯速较高、电梯使用频次高的建筑中使用。</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6</w:t>
      </w:r>
      <w:r>
        <w:rPr>
          <w:rFonts w:hint="eastAsia"/>
          <w:color w:val="auto"/>
          <w:sz w:val="24"/>
        </w:rPr>
        <w:t>应优先利用可再生能源为建筑供能。</w:t>
      </w:r>
    </w:p>
    <w:p>
      <w:pPr>
        <w:pStyle w:val="53"/>
        <w:numPr>
          <w:ilvl w:val="0"/>
          <w:numId w:val="2"/>
        </w:numPr>
        <w:ind w:left="0" w:firstLine="480"/>
      </w:pPr>
      <w:r>
        <w:rPr>
          <w:rFonts w:hint="eastAsia"/>
        </w:rPr>
        <w:t>可再生能源建筑应用系统设计时，应根据当地资源与适用条件统筹规划；</w:t>
      </w:r>
    </w:p>
    <w:p>
      <w:pPr>
        <w:pStyle w:val="53"/>
        <w:ind w:firstLine="480"/>
      </w:pPr>
      <w:r>
        <w:rPr>
          <w:rFonts w:hint="eastAsia"/>
        </w:rPr>
        <w:t>采用可再生能源时，应根据适用条件和投资规模确定该类能源可提供的用能比例或保证率，以及系统费效比，并应根据项目负荷特点和当地资源条件进行适宜性分析；</w:t>
      </w:r>
    </w:p>
    <w:p>
      <w:pPr>
        <w:pStyle w:val="53"/>
        <w:ind w:firstLine="480"/>
      </w:pPr>
      <w:r>
        <w:t>对可再生能源与常规能源结合的复合式能源系统，应根据实际运行状况制定实现全年可再生能源优先利用的运行方案及操作规程。</w:t>
      </w:r>
    </w:p>
    <w:p>
      <w:pPr>
        <w:pStyle w:val="51"/>
      </w:pPr>
      <w:r>
        <w:rPr>
          <w:rFonts w:hint="eastAsia"/>
          <w:b/>
          <w:bCs/>
        </w:rPr>
        <w:t>【条文说明】</w:t>
      </w:r>
      <w:r>
        <w:rPr>
          <w:rFonts w:hint="eastAsia"/>
        </w:rPr>
        <w:t>可再生能源利用是我国建筑节能的重要发展方向，可再生能源应用包括太阳能生活热水系统、光伏系统、地源热泵系统、空气源热泵系统和风力发电系统等。可再生能源具体形式的选用，要充分依据当地资源条件和系统末端需求，进行适宜性分析，当技术可行性和经济合理性同时满足时，方可采用。对于可再生能源与常规能源结合的复合式能源系统，应该优先使用可再生能源系统，根据实际负荷情况，以及太阳能、地热能等资源参数变化情况，优化运行方案并落实在操作规程中，实现全年可再生能源优先利用。</w:t>
      </w:r>
    </w:p>
    <w:p>
      <w:pPr>
        <w:spacing w:line="360" w:lineRule="auto"/>
        <w:outlineLvl w:val="2"/>
        <w:rPr>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ascii="宋体" w:hAnsi="宋体"/>
          <w:b/>
          <w:bCs/>
          <w:color w:val="auto"/>
          <w:sz w:val="24"/>
        </w:rPr>
        <w:t>7</w:t>
      </w:r>
      <w:r>
        <w:rPr>
          <w:color w:val="auto"/>
          <w:sz w:val="24"/>
        </w:rPr>
        <w:t>建筑的运行与维护应建立节能</w:t>
      </w:r>
      <w:r>
        <w:rPr>
          <w:rFonts w:hint="eastAsia"/>
          <w:color w:val="auto"/>
          <w:sz w:val="24"/>
        </w:rPr>
        <w:t>减碳</w:t>
      </w:r>
      <w:r>
        <w:rPr>
          <w:color w:val="auto"/>
          <w:sz w:val="24"/>
        </w:rPr>
        <w:t>管理制度及设备系统节能运行操作规程。</w:t>
      </w:r>
    </w:p>
    <w:p>
      <w:pPr>
        <w:pStyle w:val="51"/>
      </w:pPr>
      <w:bookmarkStart w:id="56" w:name="_Hlk116932836"/>
      <w:r>
        <w:rPr>
          <w:rFonts w:hint="eastAsia"/>
          <w:b/>
          <w:bCs/>
        </w:rPr>
        <w:t>【条文说明】</w:t>
      </w:r>
      <w:r>
        <w:rPr>
          <w:rFonts w:hint="eastAsia"/>
        </w:rPr>
        <w:t>运行能耗在建筑物全生命周期中占比最大，因此有效降低建筑的实际运行能耗是建筑节能减碳的关键。通过制定合理的管理制度和节能运行操作规程，有利于保障安全运行，达到节能减碳的目的。</w:t>
      </w:r>
    </w:p>
    <w:bookmarkEnd w:id="56"/>
    <w:p>
      <w:pPr>
        <w:pStyle w:val="51"/>
      </w:pPr>
      <w:r>
        <w:t>。</w:t>
      </w:r>
    </w:p>
    <w:p>
      <w:pPr>
        <w:pStyle w:val="52"/>
        <w:spacing w:before="156"/>
        <w:rPr>
          <w:rFonts w:ascii="仿宋" w:hAnsi="仿宋" w:eastAsia="仿宋"/>
        </w:rPr>
      </w:pPr>
      <w:r>
        <w:rPr>
          <w:rFonts w:ascii="仿宋" w:hAnsi="仿宋" w:eastAsia="仿宋"/>
        </w:rPr>
        <w:t xml:space="preserve">Ⅱ </w:t>
      </w:r>
      <w:r>
        <w:rPr>
          <w:rFonts w:hint="eastAsia" w:ascii="仿宋" w:hAnsi="仿宋" w:eastAsia="仿宋"/>
        </w:rPr>
        <w:t>建材生产及运输</w:t>
      </w:r>
      <w:r>
        <w:rPr>
          <w:rFonts w:ascii="仿宋" w:hAnsi="仿宋" w:eastAsia="仿宋"/>
        </w:rPr>
        <w:t>阶段</w:t>
      </w:r>
    </w:p>
    <w:p>
      <w:pPr>
        <w:spacing w:line="360" w:lineRule="auto"/>
        <w:outlineLvl w:val="2"/>
      </w:pPr>
      <w:r>
        <w:rPr>
          <w:rFonts w:ascii="宋体" w:hAnsi="宋体"/>
          <w:b/>
          <w:bCs/>
          <w:color w:val="auto"/>
          <w:sz w:val="24"/>
        </w:rPr>
        <w:t>5.2.8</w:t>
      </w:r>
      <w:r>
        <w:rPr>
          <w:color w:val="auto"/>
          <w:sz w:val="24"/>
        </w:rPr>
        <w:t>建筑材料的选用</w:t>
      </w:r>
      <w:r>
        <w:rPr>
          <w:rFonts w:hint="eastAsia"/>
          <w:color w:val="auto"/>
          <w:sz w:val="24"/>
        </w:rPr>
        <w:t>应</w:t>
      </w:r>
      <w:r>
        <w:rPr>
          <w:color w:val="auto"/>
          <w:sz w:val="24"/>
        </w:rPr>
        <w:t>符合下列要求：</w:t>
      </w:r>
    </w:p>
    <w:p>
      <w:pPr>
        <w:pStyle w:val="53"/>
        <w:numPr>
          <w:ilvl w:val="0"/>
          <w:numId w:val="3"/>
        </w:numPr>
        <w:tabs>
          <w:tab w:val="left" w:pos="840"/>
          <w:tab w:val="clear" w:pos="851"/>
        </w:tabs>
        <w:ind w:left="0" w:firstLine="480"/>
      </w:pPr>
      <w:r>
        <w:t>选用</w:t>
      </w:r>
      <w:r>
        <w:rPr>
          <w:rFonts w:hint="eastAsia"/>
        </w:rPr>
        <w:t>能源消耗低、</w:t>
      </w:r>
      <w:r>
        <w:t>碳排放量低</w:t>
      </w:r>
      <w:r>
        <w:rPr>
          <w:rFonts w:hint="eastAsia"/>
        </w:rPr>
        <w:t>、</w:t>
      </w:r>
      <w:r>
        <w:t>耐久性好、易维护的材料</w:t>
      </w:r>
      <w:r>
        <w:rPr>
          <w:rFonts w:hint="eastAsia"/>
        </w:rPr>
        <w:t>；</w:t>
      </w:r>
    </w:p>
    <w:p>
      <w:pPr>
        <w:pStyle w:val="53"/>
        <w:ind w:firstLine="480"/>
      </w:pPr>
      <w:r>
        <w:t>选用生产、施工、使用和拆除过程中对环境污染程度低的建筑材料</w:t>
      </w:r>
      <w:r>
        <w:rPr>
          <w:rFonts w:hint="eastAsia"/>
        </w:rPr>
        <w:t>；</w:t>
      </w:r>
    </w:p>
    <w:p>
      <w:pPr>
        <w:pStyle w:val="53"/>
        <w:ind w:firstLine="480"/>
      </w:pPr>
      <w:r>
        <w:rPr>
          <w:rFonts w:hint="eastAsia"/>
        </w:rPr>
        <w:t>在保证性能的情况下，宜选用可循环材料、可再利用材料及利废建材；</w:t>
      </w:r>
    </w:p>
    <w:p>
      <w:pPr>
        <w:pStyle w:val="53"/>
        <w:ind w:firstLine="480"/>
      </w:pPr>
      <w:r>
        <w:t>频繁使用的活动配件</w:t>
      </w:r>
      <w:r>
        <w:rPr>
          <w:rFonts w:hint="eastAsia"/>
        </w:rPr>
        <w:t>，宜</w:t>
      </w:r>
      <w:r>
        <w:t>选用长寿命的产品；不同寿命的部品组合在一起时，</w:t>
      </w:r>
      <w:r>
        <w:rPr>
          <w:rFonts w:hint="eastAsia"/>
        </w:rPr>
        <w:t>宜选用</w:t>
      </w:r>
      <w:r>
        <w:t>便于分别拆换和升级</w:t>
      </w:r>
      <w:r>
        <w:rPr>
          <w:rFonts w:hint="eastAsia"/>
        </w:rPr>
        <w:t>的材料；</w:t>
      </w:r>
    </w:p>
    <w:p>
      <w:pPr>
        <w:pStyle w:val="53"/>
        <w:ind w:firstLine="480"/>
      </w:pPr>
      <w:r>
        <w:t>考虑建筑材料来源地，提倡就地取材</w:t>
      </w:r>
      <w:r>
        <w:rPr>
          <w:rFonts w:hint="eastAsia"/>
        </w:rPr>
        <w:t>。</w:t>
      </w:r>
    </w:p>
    <w:p>
      <w:pPr>
        <w:pStyle w:val="51"/>
      </w:pPr>
      <w:bookmarkStart w:id="57" w:name="_Hlk116933815"/>
      <w:r>
        <w:rPr>
          <w:rFonts w:hint="eastAsia"/>
          <w:b/>
          <w:bCs/>
        </w:rPr>
        <w:t>【条文说明】</w:t>
      </w:r>
      <w:r>
        <w:rPr>
          <w:rFonts w:hint="eastAsia"/>
        </w:rPr>
        <w:t>建筑材料的选用</w:t>
      </w:r>
      <w:r>
        <w:t>应满足国家及</w:t>
      </w:r>
      <w:r>
        <w:rPr>
          <w:rFonts w:hint="eastAsia"/>
        </w:rPr>
        <w:t>省市</w:t>
      </w:r>
      <w:r>
        <w:t>发布的有关限制、禁止使用的建筑材料及制品的现行文件的规定</w:t>
      </w:r>
      <w:r>
        <w:rPr>
          <w:rFonts w:hint="eastAsia"/>
        </w:rPr>
        <w:t>，并优先选用能源消耗低、耐久性好、易维护、无污染的材料。建筑材料的循环利用，以及采用长寿命的建材产品，可以减少生产加工新材料带来的资源、能源消耗及环境污染，具有良好的经济、社会和环境效益。就地取材能够减少建材运输过程中的能源消耗和环境污染。</w:t>
      </w:r>
    </w:p>
    <w:bookmarkEnd w:id="57"/>
    <w:p>
      <w:pPr>
        <w:spacing w:line="360" w:lineRule="auto"/>
        <w:outlineLvl w:val="2"/>
        <w:rPr>
          <w:color w:val="auto"/>
          <w:sz w:val="24"/>
        </w:rPr>
      </w:pPr>
      <w:r>
        <w:rPr>
          <w:rFonts w:ascii="宋体" w:hAnsi="宋体"/>
          <w:b/>
          <w:bCs/>
          <w:color w:val="auto"/>
          <w:sz w:val="24"/>
        </w:rPr>
        <w:t>5.2.9</w:t>
      </w:r>
      <w:r>
        <w:rPr>
          <w:rFonts w:hint="eastAsia"/>
          <w:color w:val="auto"/>
          <w:sz w:val="24"/>
        </w:rPr>
        <w:t>建筑材料运输阶段应符合下列要求：</w:t>
      </w:r>
      <w:r>
        <w:rPr>
          <w:color w:val="auto"/>
          <w:sz w:val="24"/>
        </w:rPr>
        <w:t xml:space="preserve"> </w:t>
      </w:r>
    </w:p>
    <w:p>
      <w:pPr>
        <w:pStyle w:val="53"/>
        <w:numPr>
          <w:ilvl w:val="0"/>
          <w:numId w:val="4"/>
        </w:numPr>
        <w:ind w:left="0" w:firstLine="480"/>
      </w:pPr>
      <w:r>
        <w:rPr>
          <w:rFonts w:hint="eastAsia"/>
        </w:rPr>
        <w:t>运输前依据运输能力以及运距计算车辆数，保证运力满足要求的同时，减少不必要的装卸等待时长；</w:t>
      </w:r>
    </w:p>
    <w:p>
      <w:pPr>
        <w:pStyle w:val="53"/>
        <w:ind w:firstLine="480"/>
      </w:pPr>
      <w:r>
        <w:rPr>
          <w:rFonts w:hint="eastAsia"/>
        </w:rPr>
        <w:t>运输应使用性能良好的运输车，避免运输过程中发生车辆故障等；</w:t>
      </w:r>
    </w:p>
    <w:p>
      <w:pPr>
        <w:pStyle w:val="53"/>
        <w:ind w:firstLine="480"/>
      </w:pPr>
      <w:r>
        <w:rPr>
          <w:rFonts w:hint="eastAsia"/>
        </w:rPr>
        <w:t>运输前应对运输路线进行勘察，综合安全经济因素，宜选取快捷的运输路线；</w:t>
      </w:r>
    </w:p>
    <w:p>
      <w:pPr>
        <w:pStyle w:val="53"/>
        <w:ind w:firstLine="480"/>
      </w:pPr>
      <w:r>
        <w:rPr>
          <w:rFonts w:hint="eastAsia"/>
        </w:rPr>
        <w:t>运输过程中保证建筑材料的保护，避免发生建材破损等情况；</w:t>
      </w:r>
    </w:p>
    <w:p>
      <w:pPr>
        <w:pStyle w:val="53"/>
        <w:ind w:firstLine="480"/>
      </w:pPr>
      <w:r>
        <w:rPr>
          <w:rFonts w:hint="eastAsia"/>
        </w:rPr>
        <w:t>建材装卸应选取适宜的器械工具与人员；</w:t>
      </w:r>
    </w:p>
    <w:p>
      <w:pPr>
        <w:pStyle w:val="53"/>
        <w:ind w:firstLine="480"/>
      </w:pPr>
      <w:r>
        <w:rPr>
          <w:rFonts w:hint="eastAsia"/>
        </w:rPr>
        <w:t>建材卸载后宜进行建材储存保护。</w:t>
      </w:r>
    </w:p>
    <w:p>
      <w:pPr>
        <w:pStyle w:val="51"/>
      </w:pPr>
      <w:r>
        <w:rPr>
          <w:rFonts w:hint="eastAsia"/>
          <w:b/>
          <w:bCs/>
        </w:rPr>
        <w:t>【条文说明】</w:t>
      </w:r>
      <w:r>
        <w:rPr>
          <w:rFonts w:hint="eastAsia"/>
        </w:rPr>
        <w:t>建筑材料运输阶段的减碳措施主要包括运输工具的节能技术与建材装卸的节能技术，通过合理安排运输工具和路线，加强对建材运输、装卸过程中的保护，从而减少建材运输过程中不必要的资源、能源浪费。</w:t>
      </w:r>
    </w:p>
    <w:p>
      <w:pPr>
        <w:pStyle w:val="52"/>
        <w:spacing w:before="156"/>
        <w:rPr>
          <w:rFonts w:ascii="仿宋" w:hAnsi="仿宋" w:eastAsia="仿宋"/>
        </w:rPr>
      </w:pPr>
      <w:r>
        <w:rPr>
          <w:rFonts w:ascii="仿宋" w:hAnsi="仿宋" w:eastAsia="仿宋"/>
        </w:rPr>
        <w:t xml:space="preserve">Ⅲ </w:t>
      </w:r>
      <w:r>
        <w:rPr>
          <w:rFonts w:hint="eastAsia" w:ascii="仿宋" w:hAnsi="仿宋" w:eastAsia="仿宋"/>
        </w:rPr>
        <w:t>建造及拆除</w:t>
      </w:r>
      <w:r>
        <w:rPr>
          <w:rFonts w:ascii="仿宋" w:hAnsi="仿宋" w:eastAsia="仿宋"/>
        </w:rPr>
        <w:t>阶段</w:t>
      </w:r>
    </w:p>
    <w:p>
      <w:pPr>
        <w:spacing w:line="360" w:lineRule="auto"/>
        <w:outlineLvl w:val="2"/>
        <w:rPr>
          <w:color w:val="auto"/>
          <w:sz w:val="24"/>
        </w:rPr>
      </w:pPr>
      <w:r>
        <w:rPr>
          <w:rFonts w:ascii="宋体" w:hAnsi="宋体"/>
          <w:b/>
          <w:bCs/>
          <w:color w:val="auto"/>
          <w:sz w:val="24"/>
        </w:rPr>
        <w:t>5.2.10</w:t>
      </w:r>
      <w:r>
        <w:rPr>
          <w:rFonts w:hint="eastAsia"/>
          <w:color w:val="auto"/>
          <w:sz w:val="24"/>
        </w:rPr>
        <w:t>建筑建造及拆除阶段，</w:t>
      </w:r>
      <w:r>
        <w:rPr>
          <w:color w:val="auto"/>
          <w:sz w:val="24"/>
        </w:rPr>
        <w:t>应符合下列规定：</w:t>
      </w:r>
    </w:p>
    <w:p>
      <w:pPr>
        <w:pStyle w:val="53"/>
        <w:numPr>
          <w:ilvl w:val="0"/>
          <w:numId w:val="5"/>
        </w:numPr>
        <w:ind w:left="0" w:firstLine="480"/>
      </w:pPr>
      <w:r>
        <w:t>应合理安排施工顺序及施工区域，减少作业区机械设备数量</w:t>
      </w:r>
      <w:r>
        <w:rPr>
          <w:rFonts w:hint="eastAsia"/>
        </w:rPr>
        <w:t>；</w:t>
      </w:r>
    </w:p>
    <w:p>
      <w:pPr>
        <w:pStyle w:val="53"/>
        <w:ind w:firstLine="480"/>
      </w:pPr>
      <w:r>
        <w:t>应选择功率与负荷相匹配的施工机械设备，机械设备不宜低负荷运行，不宜采用自备电源</w:t>
      </w:r>
      <w:r>
        <w:rPr>
          <w:rFonts w:hint="eastAsia"/>
        </w:rPr>
        <w:t>；</w:t>
      </w:r>
    </w:p>
    <w:p>
      <w:pPr>
        <w:pStyle w:val="53"/>
        <w:ind w:firstLine="480"/>
      </w:pPr>
      <w:r>
        <w:t>应制定施工能耗指标，明确节能措施</w:t>
      </w:r>
      <w:r>
        <w:rPr>
          <w:rFonts w:hint="eastAsia"/>
        </w:rPr>
        <w:t>；</w:t>
      </w:r>
    </w:p>
    <w:p>
      <w:pPr>
        <w:pStyle w:val="53"/>
        <w:ind w:firstLine="480"/>
      </w:pPr>
      <w:r>
        <w:t>应合理布置临时用电线路，选用节能器具，采用声控、光控和节能灯具；照明照度宜按最低照度设计</w:t>
      </w:r>
      <w:r>
        <w:rPr>
          <w:rFonts w:hint="eastAsia"/>
        </w:rPr>
        <w:t>；</w:t>
      </w:r>
    </w:p>
    <w:p>
      <w:pPr>
        <w:pStyle w:val="53"/>
        <w:ind w:firstLine="480"/>
      </w:pPr>
      <w:r>
        <w:rPr>
          <w:rFonts w:hint="eastAsia"/>
        </w:rPr>
        <w:t>施工</w:t>
      </w:r>
      <w:r>
        <w:t>宜利用太阳能、地热能、风能等可再生能源</w:t>
      </w:r>
      <w:r>
        <w:rPr>
          <w:rFonts w:hint="eastAsia"/>
        </w:rPr>
        <w:t>；</w:t>
      </w:r>
    </w:p>
    <w:p>
      <w:pPr>
        <w:pStyle w:val="53"/>
        <w:ind w:firstLine="480"/>
      </w:pPr>
      <w:r>
        <w:t>施工现场宜错峰用电。</w:t>
      </w:r>
    </w:p>
    <w:p>
      <w:pPr>
        <w:spacing w:line="360" w:lineRule="auto"/>
        <w:outlineLvl w:val="2"/>
        <w:rPr>
          <w:color w:val="auto"/>
          <w:sz w:val="24"/>
        </w:rPr>
      </w:pPr>
      <w:r>
        <w:rPr>
          <w:rFonts w:ascii="宋体" w:hAnsi="宋体"/>
          <w:b/>
          <w:bCs/>
          <w:color w:val="auto"/>
          <w:sz w:val="24"/>
        </w:rPr>
        <w:t>5.2.11</w:t>
      </w:r>
      <w:r>
        <w:rPr>
          <w:rFonts w:hint="eastAsia"/>
          <w:color w:val="auto"/>
          <w:sz w:val="24"/>
        </w:rPr>
        <w:t>建筑建造及拆除阶段</w:t>
      </w:r>
      <w:r>
        <w:rPr>
          <w:color w:val="auto"/>
          <w:sz w:val="24"/>
        </w:rPr>
        <w:t>应进行施工现场</w:t>
      </w:r>
      <w:r>
        <w:rPr>
          <w:rFonts w:hint="eastAsia"/>
          <w:color w:val="auto"/>
          <w:sz w:val="24"/>
        </w:rPr>
        <w:t>节水节地措施、</w:t>
      </w:r>
      <w:r>
        <w:rPr>
          <w:color w:val="auto"/>
          <w:sz w:val="24"/>
        </w:rPr>
        <w:t>扬尘控制、噪声控制、光污染控制、水污染控制、施工现场垃圾处理以及施工现场危险品使用管理等。</w:t>
      </w:r>
    </w:p>
    <w:p>
      <w:pPr>
        <w:pStyle w:val="51"/>
      </w:pPr>
      <w:r>
        <w:rPr>
          <w:rFonts w:hint="eastAsia"/>
          <w:b/>
          <w:bCs/>
        </w:rPr>
        <w:t>【条文说明】</w:t>
      </w:r>
      <w:r>
        <w:rPr>
          <w:rFonts w:hint="eastAsia"/>
        </w:rPr>
        <w:t>（5</w:t>
      </w:r>
      <w:r>
        <w:t>.2.10</w:t>
      </w:r>
      <w:r>
        <w:rPr>
          <w:rFonts w:hint="eastAsia"/>
        </w:rPr>
        <w:t>及5</w:t>
      </w:r>
      <w:r>
        <w:t>.2.11</w:t>
      </w:r>
      <w:r>
        <w:rPr>
          <w:rFonts w:hint="eastAsia"/>
        </w:rPr>
        <w:t>）</w:t>
      </w:r>
      <w:r>
        <w:t>建造及拆除阶段减碳措施</w:t>
      </w:r>
      <w:r>
        <w:rPr>
          <w:rFonts w:hint="eastAsia"/>
        </w:rPr>
        <w:t>主要包括</w:t>
      </w:r>
      <w:r>
        <w:t>建筑建造</w:t>
      </w:r>
      <w:r>
        <w:rPr>
          <w:rFonts w:hint="eastAsia"/>
        </w:rPr>
        <w:t>过程的</w:t>
      </w:r>
      <w:r>
        <w:t>减碳</w:t>
      </w:r>
      <w:r>
        <w:rPr>
          <w:rFonts w:hint="eastAsia"/>
        </w:rPr>
        <w:t>技术和</w:t>
      </w:r>
      <w:r>
        <w:t>建筑拆除</w:t>
      </w:r>
      <w:r>
        <w:rPr>
          <w:rFonts w:hint="eastAsia"/>
        </w:rPr>
        <w:t>过程的</w:t>
      </w:r>
      <w:r>
        <w:t>减碳</w:t>
      </w:r>
      <w:r>
        <w:rPr>
          <w:rFonts w:hint="eastAsia"/>
        </w:rPr>
        <w:t>技术。建造阶段应从项目开工起至项目竣工验收止，拆除阶段应从拆除起至拆除肢解并从楼层运输止。建筑建造及拆除过程中，宜满足《建筑工程绿色施工规范》GB</w:t>
      </w:r>
      <w:r>
        <w:t>/T 50905</w:t>
      </w:r>
      <w:r>
        <w:rPr>
          <w:rFonts w:hint="eastAsia"/>
        </w:rPr>
        <w:t>的相关规定，采取节能、节水、节地措施，减少碳排放。</w:t>
      </w:r>
    </w:p>
    <w:p>
      <w:pPr>
        <w:spacing w:before="156" w:beforeLines="50" w:after="120"/>
        <w:jc w:val="center"/>
        <w:outlineLvl w:val="0"/>
        <w:rPr>
          <w:rFonts w:eastAsia="黑体"/>
          <w:bCs/>
          <w:color w:val="auto"/>
          <w:sz w:val="32"/>
          <w:szCs w:val="28"/>
        </w:rPr>
      </w:pPr>
      <w:bookmarkStart w:id="58" w:name="_Toc17807"/>
      <w:r>
        <w:rPr>
          <w:rFonts w:eastAsia="黑体"/>
          <w:bCs/>
          <w:color w:val="auto"/>
          <w:sz w:val="32"/>
          <w:szCs w:val="28"/>
        </w:rPr>
        <w:t xml:space="preserve">5.3 </w:t>
      </w:r>
      <w:r>
        <w:rPr>
          <w:rFonts w:hint="eastAsia" w:eastAsia="黑体"/>
          <w:bCs/>
          <w:color w:val="auto"/>
          <w:sz w:val="32"/>
          <w:szCs w:val="28"/>
        </w:rPr>
        <w:t>市政系统</w:t>
      </w:r>
      <w:r>
        <w:rPr>
          <w:rFonts w:eastAsia="黑体"/>
          <w:bCs/>
          <w:color w:val="auto"/>
          <w:sz w:val="32"/>
          <w:szCs w:val="28"/>
        </w:rPr>
        <w:t>减碳技术</w:t>
      </w:r>
      <w:bookmarkEnd w:id="58"/>
    </w:p>
    <w:p>
      <w:pPr>
        <w:spacing w:line="360" w:lineRule="auto"/>
        <w:outlineLvl w:val="2"/>
        <w:rPr>
          <w:rFonts w:ascii="宋体" w:hAnsi="宋体"/>
          <w:color w:val="auto"/>
          <w:sz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3</w:t>
      </w:r>
      <w:r>
        <w:rPr>
          <w:rFonts w:hint="eastAsia" w:ascii="宋体" w:hAnsi="宋体"/>
          <w:b/>
          <w:bCs/>
          <w:color w:val="auto"/>
          <w:sz w:val="24"/>
        </w:rPr>
        <w:t>.</w:t>
      </w:r>
      <w:r>
        <w:rPr>
          <w:rFonts w:ascii="宋体" w:hAnsi="宋体"/>
          <w:b/>
          <w:bCs/>
          <w:color w:val="auto"/>
          <w:sz w:val="24"/>
        </w:rPr>
        <w:t>1</w:t>
      </w:r>
      <w:r>
        <w:rPr>
          <w:rFonts w:hint="eastAsia" w:ascii="宋体" w:hAnsi="宋体"/>
          <w:color w:val="auto"/>
          <w:sz w:val="24"/>
        </w:rPr>
        <w:t>社区内应进行垃圾分类和回收，分类收集后进行资源化处理和消纳处置。</w:t>
      </w:r>
    </w:p>
    <w:p>
      <w:pPr>
        <w:pStyle w:val="51"/>
      </w:pPr>
      <w:r>
        <w:rPr>
          <w:rFonts w:hint="eastAsia"/>
          <w:b/>
          <w:bCs/>
        </w:rPr>
        <w:t>【条文说明】</w:t>
      </w:r>
      <w:r>
        <w:rPr>
          <w:rFonts w:hint="eastAsia"/>
        </w:rPr>
        <w:t xml:space="preserve">遵循垃圾收集“资源化、减量化、无害化”原则，做好垃圾的分类投放和分类收集工作，由专业单位进行统一的资源化处理或消纳处置。 </w:t>
      </w:r>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3</w:t>
      </w:r>
      <w:r>
        <w:rPr>
          <w:rFonts w:hint="eastAsia" w:ascii="宋体" w:hAnsi="宋体"/>
          <w:b/>
          <w:bCs/>
          <w:color w:val="auto"/>
          <w:sz w:val="24"/>
        </w:rPr>
        <w:t>.</w:t>
      </w:r>
      <w:r>
        <w:rPr>
          <w:rFonts w:ascii="宋体" w:hAnsi="宋体"/>
          <w:b/>
          <w:bCs/>
          <w:color w:val="auto"/>
          <w:sz w:val="24"/>
        </w:rPr>
        <w:t>2</w:t>
      </w:r>
      <w:r>
        <w:rPr>
          <w:rFonts w:hint="eastAsia"/>
          <w:color w:val="auto"/>
          <w:sz w:val="24"/>
          <w:szCs w:val="24"/>
        </w:rPr>
        <w:t>社区市政照明采用节能光源和灯具，宜根据所在道路的照明等级、夜间路面实时照明水平以及不同时间段的交通流量、车速、环境亮度的变化等因素，确定相应时间段需要达到的照明水平，通过智能控制的方式，调节路面照度或亮度。</w:t>
      </w:r>
    </w:p>
    <w:p>
      <w:pPr>
        <w:pStyle w:val="51"/>
      </w:pPr>
      <w:r>
        <w:rPr>
          <w:rFonts w:hint="eastAsia"/>
          <w:b/>
          <w:bCs/>
        </w:rPr>
        <w:t>【条文说明】</w:t>
      </w:r>
      <w:r>
        <w:rPr>
          <w:rFonts w:hint="eastAsia"/>
        </w:rPr>
        <w:t>市政照明系统设计需根据《城市道路照明设计标准》CJJ45确定各项设计指标。道路照明的亮度或照度标准与道路上的交通流量、环境亮度等因素相关，一般情况下，深夜的交通流量和环境亮度相较傍晚会有明显的降低。因此，可根据不同时间段的实际道路交通情况以及环境亮度，通过智能控制，实时调节路面照明水平。</w:t>
      </w:r>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3</w:t>
      </w:r>
      <w:r>
        <w:rPr>
          <w:rFonts w:hint="eastAsia" w:ascii="宋体" w:hAnsi="宋体"/>
          <w:b/>
          <w:bCs/>
          <w:color w:val="auto"/>
          <w:sz w:val="24"/>
        </w:rPr>
        <w:t>.</w:t>
      </w:r>
      <w:r>
        <w:rPr>
          <w:rFonts w:ascii="宋体" w:hAnsi="宋体"/>
          <w:b/>
          <w:bCs/>
          <w:color w:val="auto"/>
          <w:sz w:val="24"/>
        </w:rPr>
        <w:t>3</w:t>
      </w:r>
      <w:r>
        <w:rPr>
          <w:rFonts w:hint="eastAsia"/>
          <w:color w:val="auto"/>
          <w:sz w:val="24"/>
          <w:szCs w:val="24"/>
        </w:rPr>
        <w:t>社区用地应保有一定规模、布局合理的生态用地和城市绿地</w:t>
      </w:r>
      <w:r>
        <w:rPr>
          <w:rFonts w:hint="eastAsia" w:ascii="宋体" w:hAnsi="宋体"/>
          <w:color w:val="auto"/>
          <w:sz w:val="24"/>
        </w:rPr>
        <w:t>，绿化灌溉采用节水设备或技术。绿化灌溉、车库及道路冲洗、洗车用水等可采用非传统水源。</w:t>
      </w:r>
    </w:p>
    <w:p>
      <w:pPr>
        <w:pStyle w:val="51"/>
      </w:pPr>
      <w:r>
        <w:rPr>
          <w:rFonts w:hint="eastAsia"/>
          <w:b/>
          <w:bCs/>
        </w:rPr>
        <w:t>【条文说明】</w:t>
      </w:r>
      <w:r>
        <w:rPr>
          <w:rFonts w:hint="eastAsia"/>
        </w:rPr>
        <w:t>社区内绿化灌溉应采用喷灌、微灌等节水灌溉方式，还可采用土壤湿度传感器或雨天自动关闭等节水控制方式。非传统水源指不同于传统地表水供水和地下水供水的水源，包括再生水、雨水、海水等，应通过经济技术比较确定非传统水源的选择和利用方案。</w:t>
      </w:r>
    </w:p>
    <w:p>
      <w:pPr>
        <w:spacing w:before="156" w:beforeLines="50" w:after="120"/>
        <w:jc w:val="center"/>
        <w:outlineLvl w:val="0"/>
        <w:rPr>
          <w:rFonts w:eastAsia="黑体"/>
          <w:bCs/>
          <w:color w:val="auto"/>
          <w:sz w:val="32"/>
          <w:szCs w:val="28"/>
        </w:rPr>
      </w:pPr>
      <w:bookmarkStart w:id="59" w:name="_Toc18684"/>
      <w:r>
        <w:rPr>
          <w:rFonts w:eastAsia="黑体"/>
          <w:bCs/>
          <w:color w:val="auto"/>
          <w:sz w:val="32"/>
          <w:szCs w:val="28"/>
        </w:rPr>
        <w:t xml:space="preserve">5.4 </w:t>
      </w:r>
      <w:r>
        <w:rPr>
          <w:rFonts w:hint="eastAsia" w:eastAsia="黑体"/>
          <w:bCs/>
          <w:color w:val="auto"/>
          <w:sz w:val="32"/>
          <w:szCs w:val="28"/>
        </w:rPr>
        <w:t>交通系统</w:t>
      </w:r>
      <w:r>
        <w:rPr>
          <w:rFonts w:eastAsia="黑体"/>
          <w:bCs/>
          <w:color w:val="auto"/>
          <w:sz w:val="32"/>
          <w:szCs w:val="28"/>
        </w:rPr>
        <w:t>减碳技术</w:t>
      </w:r>
      <w:bookmarkEnd w:id="59"/>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4.1</w:t>
      </w:r>
      <w:r>
        <w:rPr>
          <w:rFonts w:hint="eastAsia"/>
          <w:color w:val="auto"/>
          <w:sz w:val="24"/>
          <w:szCs w:val="24"/>
        </w:rPr>
        <w:t>交通系统规划时，通过合理的用地布局，提升公共交通道路和慢行交通道路的比例。结合景观建设舒适、</w:t>
      </w:r>
      <w:r>
        <w:rPr>
          <w:color w:val="auto"/>
          <w:sz w:val="24"/>
          <w:szCs w:val="24"/>
        </w:rPr>
        <w:t>高密度</w:t>
      </w:r>
      <w:r>
        <w:rPr>
          <w:rFonts w:hint="eastAsia"/>
          <w:color w:val="auto"/>
          <w:sz w:val="24"/>
          <w:szCs w:val="24"/>
        </w:rPr>
        <w:t>的步行及骑行</w:t>
      </w:r>
      <w:r>
        <w:rPr>
          <w:color w:val="auto"/>
          <w:sz w:val="24"/>
          <w:szCs w:val="24"/>
        </w:rPr>
        <w:t>慢行通道网络</w:t>
      </w:r>
      <w:r>
        <w:rPr>
          <w:rFonts w:hint="eastAsia"/>
          <w:color w:val="auto"/>
          <w:sz w:val="24"/>
          <w:szCs w:val="24"/>
        </w:rPr>
        <w:t>，</w:t>
      </w:r>
      <w:r>
        <w:rPr>
          <w:color w:val="auto"/>
          <w:sz w:val="24"/>
          <w:szCs w:val="24"/>
        </w:rPr>
        <w:t>连接</w:t>
      </w:r>
      <w:r>
        <w:rPr>
          <w:rFonts w:hint="eastAsia"/>
          <w:color w:val="auto"/>
          <w:sz w:val="24"/>
          <w:szCs w:val="24"/>
        </w:rPr>
        <w:t>社区</w:t>
      </w:r>
      <w:r>
        <w:rPr>
          <w:color w:val="auto"/>
          <w:sz w:val="24"/>
          <w:szCs w:val="24"/>
        </w:rPr>
        <w:t>的大部分的居住和公共</w:t>
      </w:r>
      <w:r>
        <w:rPr>
          <w:rFonts w:hint="eastAsia"/>
          <w:color w:val="auto"/>
          <w:sz w:val="24"/>
          <w:szCs w:val="24"/>
        </w:rPr>
        <w:t>建筑</w:t>
      </w:r>
      <w:r>
        <w:rPr>
          <w:rFonts w:hint="eastAsia"/>
        </w:rPr>
        <w:t>。</w:t>
      </w:r>
    </w:p>
    <w:p>
      <w:pPr>
        <w:pStyle w:val="51"/>
      </w:pPr>
      <w:r>
        <w:rPr>
          <w:rFonts w:hint="eastAsia"/>
          <w:b/>
          <w:bCs/>
        </w:rPr>
        <w:t>【条文说明】</w:t>
      </w:r>
      <w:r>
        <w:rPr>
          <w:rFonts w:hint="eastAsia"/>
        </w:rPr>
        <w:t>社区应通过合理的规划设计，构建以公共交通和慢行系统为优先的社区交通系统。宜与景观相结合，建设绿色舒适的慢性网络，以“零距离”换乘为主要目标，实现公交和慢行系统的无缝衔接。</w:t>
      </w:r>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4.2</w:t>
      </w:r>
      <w:r>
        <w:rPr>
          <w:rFonts w:hint="eastAsia"/>
          <w:color w:val="auto"/>
          <w:sz w:val="24"/>
          <w:szCs w:val="24"/>
        </w:rPr>
        <w:t>公交车辆采用清洁能源供能。社区应配备充电基础设施，停车场区域总体布局时应做好充电设施预留接口，建立快速充电网络系统；或采用换电模式，进行电池的统一管理。</w:t>
      </w:r>
    </w:p>
    <w:p>
      <w:pPr>
        <w:pStyle w:val="51"/>
      </w:pPr>
      <w:r>
        <w:rPr>
          <w:rFonts w:hint="eastAsia"/>
          <w:b/>
          <w:bCs/>
        </w:rPr>
        <w:t>【条文说明】</w:t>
      </w:r>
      <w:r>
        <w:rPr>
          <w:rFonts w:hint="eastAsia"/>
        </w:rPr>
        <w:t>社区交通应执行严格的能耗与排放管理，公交车辆采用清洁能源，合理配备充电基础设施，或采用换电模式，以电能代替化石燃料实现交通过程的零碳排放。对于私人车辆，一方面可通过限制性措施进行管理，限制社区内燃油车辆进入时间；另一方面可通过引导的方式促进电动车的发展，对燃油车和电动车采用不同的费用和管理制度。</w:t>
      </w:r>
    </w:p>
    <w:p>
      <w:pPr>
        <w:spacing w:line="360" w:lineRule="auto"/>
        <w:outlineLvl w:val="2"/>
        <w:rPr>
          <w:color w:val="auto"/>
          <w:sz w:val="24"/>
          <w:szCs w:val="24"/>
        </w:rPr>
      </w:pPr>
      <w:r>
        <w:rPr>
          <w:rFonts w:ascii="宋体" w:hAnsi="宋体"/>
          <w:b/>
          <w:bCs/>
          <w:color w:val="auto"/>
          <w:sz w:val="24"/>
        </w:rPr>
        <w:t>5</w:t>
      </w:r>
      <w:r>
        <w:rPr>
          <w:rFonts w:hint="eastAsia" w:ascii="宋体" w:hAnsi="宋体"/>
          <w:b/>
          <w:bCs/>
          <w:color w:val="auto"/>
          <w:sz w:val="24"/>
        </w:rPr>
        <w:t>.</w:t>
      </w:r>
      <w:r>
        <w:rPr>
          <w:rFonts w:ascii="宋体" w:hAnsi="宋体"/>
          <w:b/>
          <w:bCs/>
          <w:color w:val="auto"/>
          <w:sz w:val="24"/>
        </w:rPr>
        <w:t>4.3</w:t>
      </w:r>
      <w:r>
        <w:rPr>
          <w:rFonts w:hint="eastAsia"/>
          <w:color w:val="auto"/>
          <w:sz w:val="24"/>
          <w:szCs w:val="24"/>
        </w:rPr>
        <w:t>社区应建设</w:t>
      </w:r>
      <w:r>
        <w:rPr>
          <w:color w:val="auto"/>
          <w:sz w:val="24"/>
          <w:szCs w:val="24"/>
        </w:rPr>
        <w:t>智</w:t>
      </w:r>
      <w:r>
        <w:rPr>
          <w:rFonts w:hint="eastAsia"/>
          <w:color w:val="auto"/>
          <w:sz w:val="24"/>
          <w:szCs w:val="24"/>
        </w:rPr>
        <w:t>能</w:t>
      </w:r>
      <w:r>
        <w:rPr>
          <w:color w:val="auto"/>
          <w:sz w:val="24"/>
          <w:szCs w:val="24"/>
        </w:rPr>
        <w:t>交通系统，</w:t>
      </w:r>
      <w:r>
        <w:rPr>
          <w:rFonts w:hint="eastAsia"/>
          <w:color w:val="auto"/>
          <w:sz w:val="24"/>
          <w:szCs w:val="24"/>
        </w:rPr>
        <w:t>采用</w:t>
      </w:r>
      <w:r>
        <w:rPr>
          <w:color w:val="auto"/>
          <w:sz w:val="24"/>
          <w:szCs w:val="24"/>
        </w:rPr>
        <w:t>实时公交、交通信息共享、停车引导等措施</w:t>
      </w:r>
      <w:r>
        <w:rPr>
          <w:rFonts w:hint="eastAsia"/>
          <w:color w:val="auto"/>
          <w:sz w:val="24"/>
          <w:szCs w:val="24"/>
        </w:rPr>
        <w:t>提升通行效率</w:t>
      </w:r>
      <w:r>
        <w:rPr>
          <w:color w:val="auto"/>
          <w:sz w:val="24"/>
          <w:szCs w:val="24"/>
        </w:rPr>
        <w:t>。</w:t>
      </w:r>
    </w:p>
    <w:p>
      <w:pPr>
        <w:pStyle w:val="51"/>
      </w:pPr>
      <w:r>
        <w:rPr>
          <w:rFonts w:hint="eastAsia"/>
          <w:b/>
          <w:bCs/>
        </w:rPr>
        <w:t>【条文说明】</w:t>
      </w:r>
      <w:r>
        <w:rPr>
          <w:rFonts w:hint="eastAsia"/>
        </w:rPr>
        <w:t>通过实时公交、交通信息共享、停车引导等措施，降低交通过程中非必要的能源浪费和消耗，推动社区智能化交通管理和智能化交通服务，提升通行效率。</w:t>
      </w:r>
    </w:p>
    <w:bookmarkEnd w:id="52"/>
    <w:p>
      <w:pPr>
        <w:spacing w:before="240" w:after="60"/>
        <w:jc w:val="center"/>
        <w:outlineLvl w:val="0"/>
        <w:rPr>
          <w:rFonts w:eastAsia="楷体"/>
          <w:color w:val="auto"/>
        </w:rPr>
      </w:pPr>
      <w:bookmarkStart w:id="60" w:name="_Toc8516"/>
      <w:bookmarkStart w:id="61" w:name="_Toc21208"/>
      <w:bookmarkStart w:id="62" w:name="_Toc95912675"/>
      <w:r>
        <w:rPr>
          <w:rFonts w:hint="eastAsia"/>
          <w:b/>
          <w:bCs/>
          <w:color w:val="auto"/>
          <w:sz w:val="32"/>
          <w:szCs w:val="32"/>
        </w:rPr>
        <w:t xml:space="preserve">5.5 </w:t>
      </w:r>
      <w:bookmarkEnd w:id="60"/>
      <w:r>
        <w:rPr>
          <w:rFonts w:hint="eastAsia"/>
          <w:b/>
          <w:bCs/>
          <w:color w:val="auto"/>
          <w:sz w:val="32"/>
          <w:szCs w:val="32"/>
        </w:rPr>
        <w:t>绿色电力交易与碳排放交易</w:t>
      </w:r>
      <w:bookmarkEnd w:id="61"/>
      <w:bookmarkEnd w:id="62"/>
      <w:bookmarkStart w:id="63" w:name="_Toc26717"/>
    </w:p>
    <w:bookmarkEnd w:id="63"/>
    <w:p>
      <w:pPr>
        <w:spacing w:line="360" w:lineRule="auto"/>
        <w:outlineLvl w:val="2"/>
        <w:rPr>
          <w:color w:val="auto"/>
          <w:sz w:val="24"/>
          <w:szCs w:val="24"/>
        </w:rPr>
      </w:pPr>
      <w:r>
        <w:rPr>
          <w:rFonts w:hint="eastAsia"/>
          <w:color w:val="auto"/>
          <w:sz w:val="24"/>
          <w:szCs w:val="24"/>
        </w:rPr>
        <w:t>5.5.1零碳建筑与社区的碳抵销量可引入绿色电力交易、碳交易等方式。</w:t>
      </w:r>
    </w:p>
    <w:p>
      <w:pPr>
        <w:spacing w:line="400" w:lineRule="exact"/>
      </w:pPr>
      <w:r>
        <w:rPr>
          <w:rFonts w:hint="eastAsia" w:eastAsia="楷体"/>
          <w:color w:val="auto"/>
        </w:rPr>
        <w:t>【条文说明】</w:t>
      </w:r>
      <w:r>
        <w:rPr>
          <w:rFonts w:hint="eastAsia" w:eastAsia="楷体"/>
          <w:color w:val="111111"/>
        </w:rPr>
        <w:t>建筑与园区参与绿色电力交易与碳交易，一般分为以下两个目的：</w:t>
      </w:r>
    </w:p>
    <w:p>
      <w:pPr>
        <w:spacing w:line="400" w:lineRule="exact"/>
        <w:ind w:firstLine="420" w:firstLineChars="200"/>
        <w:rPr>
          <w:rFonts w:eastAsia="楷体"/>
          <w:color w:val="111111"/>
        </w:rPr>
      </w:pPr>
      <w:r>
        <w:rPr>
          <w:rFonts w:eastAsia="楷体"/>
          <w:color w:val="111111"/>
        </w:rPr>
        <w:t xml:space="preserve">1 </w:t>
      </w:r>
      <w:r>
        <w:rPr>
          <w:rFonts w:hint="eastAsia" w:eastAsia="楷体"/>
          <w:color w:val="111111"/>
        </w:rPr>
        <w:t>建筑边界内可再生能源发电上网参与绿色电力交易或采取节能低碳措施开发减排量项目参与碳交易，建筑业主取得绿色低碳收益；</w:t>
      </w:r>
    </w:p>
    <w:p>
      <w:pPr>
        <w:spacing w:line="400" w:lineRule="exact"/>
        <w:ind w:firstLine="420" w:firstLineChars="200"/>
        <w:rPr>
          <w:rFonts w:eastAsia="楷体"/>
          <w:color w:val="111111"/>
        </w:rPr>
      </w:pPr>
      <w:r>
        <w:rPr>
          <w:rFonts w:eastAsia="楷体"/>
          <w:color w:val="111111"/>
        </w:rPr>
        <w:t xml:space="preserve">2 </w:t>
      </w:r>
      <w:r>
        <w:rPr>
          <w:rFonts w:hint="eastAsia" w:eastAsia="楷体"/>
          <w:color w:val="111111"/>
        </w:rPr>
        <w:t>建筑为达到零碳，建筑业主购买绿色电力满足建筑运行阶段电力需求，或者购买减排量中和建筑运行阶段剩余净碳排放。</w:t>
      </w:r>
    </w:p>
    <w:p>
      <w:pPr>
        <w:spacing w:line="400" w:lineRule="exact"/>
        <w:ind w:firstLine="420" w:firstLineChars="200"/>
        <w:rPr>
          <w:rFonts w:eastAsia="楷体"/>
          <w:color w:val="auto"/>
        </w:rPr>
      </w:pPr>
      <w:r>
        <w:rPr>
          <w:rFonts w:hint="eastAsia" w:eastAsia="楷体"/>
          <w:color w:val="auto"/>
        </w:rPr>
        <w:t>适度的绿色电力交易与碳交易可以促进零碳建筑和园区的实施，促进节能减排。</w:t>
      </w:r>
    </w:p>
    <w:p>
      <w:pPr>
        <w:spacing w:line="400" w:lineRule="exact"/>
        <w:rPr>
          <w:rFonts w:eastAsia="楷体"/>
          <w:color w:val="auto"/>
        </w:rPr>
      </w:pPr>
    </w:p>
    <w:p>
      <w:pPr>
        <w:spacing w:line="360" w:lineRule="auto"/>
        <w:outlineLvl w:val="2"/>
        <w:rPr>
          <w:color w:val="auto"/>
          <w:sz w:val="24"/>
          <w:szCs w:val="24"/>
        </w:rPr>
      </w:pPr>
      <w:r>
        <w:rPr>
          <w:rFonts w:hint="eastAsia"/>
          <w:color w:val="auto"/>
          <w:sz w:val="24"/>
          <w:szCs w:val="24"/>
        </w:rPr>
        <w:t>5.5.2零碳建筑与社区参与碳交易宜采用如下三种方式：</w:t>
      </w:r>
    </w:p>
    <w:p>
      <w:pPr>
        <w:spacing w:line="360" w:lineRule="auto"/>
        <w:ind w:firstLine="420"/>
        <w:outlineLvl w:val="2"/>
        <w:rPr>
          <w:color w:val="auto"/>
          <w:sz w:val="24"/>
          <w:szCs w:val="24"/>
        </w:rPr>
      </w:pPr>
      <w:r>
        <w:rPr>
          <w:rFonts w:hint="eastAsia"/>
          <w:color w:val="auto"/>
          <w:sz w:val="24"/>
          <w:szCs w:val="24"/>
        </w:rPr>
        <w:t>1 参与碳排放权交易市场；</w:t>
      </w:r>
    </w:p>
    <w:p>
      <w:pPr>
        <w:spacing w:line="360" w:lineRule="auto"/>
        <w:ind w:firstLine="420"/>
        <w:outlineLvl w:val="2"/>
        <w:rPr>
          <w:color w:val="auto"/>
          <w:sz w:val="24"/>
          <w:szCs w:val="24"/>
        </w:rPr>
      </w:pPr>
      <w:r>
        <w:rPr>
          <w:rFonts w:hint="eastAsia"/>
          <w:color w:val="auto"/>
          <w:sz w:val="24"/>
          <w:szCs w:val="24"/>
        </w:rPr>
        <w:t>2 开发碳减排与碳汇项目；</w:t>
      </w:r>
    </w:p>
    <w:p>
      <w:pPr>
        <w:spacing w:line="360" w:lineRule="auto"/>
        <w:ind w:firstLine="420"/>
        <w:outlineLvl w:val="2"/>
        <w:rPr>
          <w:color w:val="auto"/>
          <w:sz w:val="24"/>
          <w:szCs w:val="24"/>
        </w:rPr>
      </w:pPr>
      <w:r>
        <w:rPr>
          <w:rFonts w:hint="eastAsia"/>
          <w:color w:val="auto"/>
          <w:sz w:val="24"/>
          <w:szCs w:val="24"/>
        </w:rPr>
        <w:t>3 购买减排量或碳汇。</w:t>
      </w:r>
    </w:p>
    <w:p>
      <w:pPr>
        <w:spacing w:line="400" w:lineRule="exact"/>
        <w:ind w:firstLine="527" w:firstLineChars="250"/>
        <w:rPr>
          <w:rFonts w:ascii="宋体" w:hAnsi="宋体"/>
          <w:color w:val="auto"/>
        </w:rPr>
      </w:pPr>
      <w:r>
        <w:rPr>
          <w:rFonts w:hint="eastAsia" w:eastAsia="楷体"/>
          <w:b/>
          <w:color w:val="auto"/>
        </w:rPr>
        <w:t>【条文说明】</w:t>
      </w:r>
    </w:p>
    <w:p>
      <w:pPr>
        <w:spacing w:line="400" w:lineRule="exact"/>
        <w:ind w:firstLine="525" w:firstLineChars="250"/>
        <w:rPr>
          <w:color w:val="auto"/>
          <w:szCs w:val="32"/>
        </w:rPr>
      </w:pPr>
      <w:r>
        <w:rPr>
          <w:rFonts w:hint="eastAsia"/>
          <w:color w:val="auto"/>
          <w:szCs w:val="32"/>
        </w:rPr>
        <w:t>零碳建筑与社区参与碳交易宜采用如下三种方式：</w:t>
      </w:r>
    </w:p>
    <w:p>
      <w:pPr>
        <w:spacing w:line="400" w:lineRule="exact"/>
        <w:ind w:firstLine="525" w:firstLineChars="250"/>
        <w:rPr>
          <w:rFonts w:ascii="宋体" w:hAnsi="宋体"/>
          <w:color w:val="auto"/>
        </w:rPr>
      </w:pPr>
      <w:r>
        <w:rPr>
          <w:rFonts w:eastAsia="楷体"/>
          <w:color w:val="auto"/>
        </w:rPr>
        <w:t xml:space="preserve">1 </w:t>
      </w:r>
      <w:r>
        <w:rPr>
          <w:rFonts w:hint="eastAsia" w:eastAsia="楷体"/>
          <w:color w:val="auto"/>
        </w:rPr>
        <w:t>参与碳排放权交易市场：纳入试点碳排放权交易市场或今后可能纳入全国碳排放权交易市场的公共建筑，在履约期限清缴配额或通过购买中国核证自愿减排量（</w:t>
      </w:r>
      <w:r>
        <w:rPr>
          <w:rFonts w:eastAsia="楷体"/>
          <w:color w:val="auto"/>
        </w:rPr>
        <w:t>CCER</w:t>
      </w:r>
      <w:r>
        <w:rPr>
          <w:rFonts w:hint="eastAsia" w:eastAsia="楷体"/>
          <w:color w:val="auto"/>
        </w:rPr>
        <w:t>）抵销等量需清缴配额。</w:t>
      </w:r>
    </w:p>
    <w:p>
      <w:pPr>
        <w:spacing w:line="400" w:lineRule="exact"/>
        <w:ind w:firstLine="525" w:firstLineChars="250"/>
        <w:rPr>
          <w:rFonts w:eastAsia="楷体"/>
          <w:color w:val="111111"/>
        </w:rPr>
      </w:pPr>
      <w:r>
        <w:rPr>
          <w:rFonts w:eastAsia="楷体"/>
          <w:color w:val="auto"/>
        </w:rPr>
        <w:t xml:space="preserve">2 </w:t>
      </w:r>
      <w:r>
        <w:rPr>
          <w:rFonts w:hint="eastAsia" w:eastAsia="楷体"/>
          <w:color w:val="auto"/>
        </w:rPr>
        <w:t>开发碳减排与碳汇项目：建筑边界内通过实施节能改造、使用可再生能源发电或供热设施、绿化碳汇，可以在中国核证自愿减排机制（</w:t>
      </w:r>
      <w:r>
        <w:rPr>
          <w:rFonts w:eastAsia="楷体"/>
          <w:color w:val="auto"/>
        </w:rPr>
        <w:t>CCER</w:t>
      </w:r>
      <w:r>
        <w:rPr>
          <w:rFonts w:hint="eastAsia" w:eastAsia="楷体"/>
          <w:color w:val="auto"/>
        </w:rPr>
        <w:t>）与公益性的自愿减排机制（如</w:t>
      </w:r>
      <w:r>
        <w:rPr>
          <w:rFonts w:eastAsia="楷体"/>
          <w:color w:val="auto"/>
        </w:rPr>
        <w:t>VCS</w:t>
      </w:r>
      <w:r>
        <w:rPr>
          <w:rFonts w:hint="eastAsia" w:eastAsia="楷体"/>
          <w:color w:val="auto"/>
        </w:rPr>
        <w:t>）下开发减排项目与碳汇项目，获</w:t>
      </w:r>
      <w:r>
        <w:rPr>
          <w:rFonts w:hint="eastAsia" w:eastAsia="楷体"/>
          <w:color w:val="111111"/>
        </w:rPr>
        <w:t>得绿色收益。</w:t>
      </w:r>
    </w:p>
    <w:p>
      <w:pPr>
        <w:spacing w:line="400" w:lineRule="exact"/>
        <w:ind w:firstLine="525" w:firstLineChars="250"/>
        <w:rPr>
          <w:rFonts w:eastAsia="楷体"/>
          <w:color w:val="111111"/>
        </w:rPr>
      </w:pPr>
      <w:r>
        <w:rPr>
          <w:rFonts w:eastAsia="楷体"/>
          <w:color w:val="111111"/>
        </w:rPr>
        <w:t xml:space="preserve">3 </w:t>
      </w:r>
      <w:r>
        <w:rPr>
          <w:rFonts w:hint="eastAsia" w:eastAsia="楷体"/>
          <w:color w:val="111111"/>
        </w:rPr>
        <w:t>购买减排量或碳汇：建筑根据实际情况采取节能减碳设计和措施、可再生能源利用等手段最大限度减少运行阶段碳排放量，如有剩余的碳排放量，可以通过购买中国核证自愿减排机制（</w:t>
      </w:r>
      <w:r>
        <w:rPr>
          <w:rFonts w:eastAsia="楷体"/>
          <w:color w:val="111111"/>
        </w:rPr>
        <w:t>CCER</w:t>
      </w:r>
      <w:r>
        <w:rPr>
          <w:rFonts w:hint="eastAsia" w:eastAsia="楷体"/>
          <w:color w:val="111111"/>
        </w:rPr>
        <w:t>）与公益性的自愿减排机制（如</w:t>
      </w:r>
      <w:r>
        <w:rPr>
          <w:rFonts w:eastAsia="楷体"/>
          <w:color w:val="111111"/>
        </w:rPr>
        <w:t>VCS</w:t>
      </w:r>
      <w:r>
        <w:rPr>
          <w:rFonts w:hint="eastAsia" w:eastAsia="楷体"/>
          <w:color w:val="111111"/>
        </w:rPr>
        <w:t>）的减排量或碳汇量，并在官方平台上注销与一定周期内剩余碳排放量等量的减排量或碳汇量，来进行碳中和，在一定周期内达到零碳排放。</w:t>
      </w:r>
    </w:p>
    <w:p>
      <w:pPr>
        <w:spacing w:line="400" w:lineRule="exact"/>
        <w:ind w:firstLine="525" w:firstLineChars="250"/>
        <w:rPr>
          <w:rFonts w:ascii="宋体" w:hAnsi="宋体"/>
          <w:color w:val="auto"/>
        </w:rPr>
      </w:pPr>
    </w:p>
    <w:p>
      <w:pPr>
        <w:spacing w:line="360" w:lineRule="auto"/>
        <w:outlineLvl w:val="2"/>
        <w:rPr>
          <w:color w:val="auto"/>
          <w:sz w:val="24"/>
          <w:szCs w:val="24"/>
        </w:rPr>
      </w:pPr>
      <w:r>
        <w:rPr>
          <w:rFonts w:hint="eastAsia"/>
          <w:color w:val="auto"/>
          <w:sz w:val="24"/>
          <w:szCs w:val="24"/>
        </w:rPr>
        <w:t>5.5.3零碳建筑和社区应在论证项目本体和周边资源不足以支撑项目本身需求的前提下，开展绿色电力的交易。建筑业主可通过绿色电力（或绿色电力证书）交易，购买满足一定周期内剩余电力需求的绿色电力或绿色电力证书。可通过开展碳排放交易降低碳排放强度指标。开展碳排放交易应符合有关规定。</w:t>
      </w:r>
    </w:p>
    <w:p>
      <w:pPr>
        <w:spacing w:line="400" w:lineRule="exact"/>
        <w:rPr>
          <w:rFonts w:eastAsia="楷体"/>
          <w:color w:val="auto"/>
        </w:rPr>
      </w:pPr>
      <w:r>
        <w:rPr>
          <w:rFonts w:hint="eastAsia" w:eastAsia="楷体"/>
          <w:b/>
          <w:color w:val="auto"/>
        </w:rPr>
        <w:t>【条文说明】</w:t>
      </w:r>
      <w:r>
        <w:rPr>
          <w:rFonts w:hint="eastAsia" w:eastAsia="楷体"/>
          <w:color w:val="auto"/>
        </w:rPr>
        <w:t>零碳建筑和社区建设中可再生能源不可或缺，而可再生的利用应坚持就近消纳的原则。因此，绿色电力的交易和碳交易应在项目本体和周边资源不足且论证充分的前提下开展。</w:t>
      </w:r>
    </w:p>
    <w:p>
      <w:pPr>
        <w:spacing w:line="400" w:lineRule="exact"/>
        <w:rPr>
          <w:rFonts w:eastAsia="楷体"/>
          <w:color w:val="auto"/>
        </w:rPr>
      </w:pPr>
      <w:r>
        <w:rPr>
          <w:rFonts w:hint="eastAsia" w:eastAsia="楷体"/>
          <w:color w:val="auto"/>
        </w:rPr>
        <w:t>碳排放交易机制目前在建筑节能领域尚未大规模应用，国内外仅有零星案例。究其原因主要在于以下几点：</w:t>
      </w:r>
    </w:p>
    <w:p>
      <w:pPr>
        <w:spacing w:line="400" w:lineRule="exact"/>
        <w:ind w:firstLine="420" w:firstLineChars="200"/>
        <w:rPr>
          <w:rFonts w:eastAsia="楷体"/>
          <w:color w:val="auto"/>
        </w:rPr>
      </w:pPr>
      <w:r>
        <w:rPr>
          <w:rFonts w:eastAsia="楷体"/>
          <w:color w:val="auto"/>
        </w:rPr>
        <w:t xml:space="preserve">1 </w:t>
      </w:r>
      <w:r>
        <w:rPr>
          <w:rFonts w:hint="eastAsia" w:eastAsia="楷体"/>
          <w:color w:val="auto"/>
        </w:rPr>
        <w:t>建筑项目周期长，项目交易费用高，程序复杂，绝大多数单体建筑的节能量较少，</w:t>
      </w:r>
      <w:r>
        <w:rPr>
          <w:rFonts w:hint="eastAsia"/>
        </w:rPr>
        <w:fldChar w:fldCharType="begin"/>
      </w:r>
      <w:r>
        <w:instrText xml:space="preserve"> HYPERLINK "http://www.tanpaifang.com/" \t "_blank" </w:instrText>
      </w:r>
      <w:r>
        <w:rPr>
          <w:rFonts w:hint="eastAsia"/>
        </w:rPr>
        <w:fldChar w:fldCharType="separate"/>
      </w:r>
      <w:r>
        <w:rPr>
          <w:rStyle w:val="22"/>
          <w:rFonts w:hint="eastAsia" w:eastAsia="楷体"/>
          <w:color w:val="auto"/>
        </w:rPr>
        <w:t>碳减排</w:t>
      </w:r>
      <w:r>
        <w:rPr>
          <w:rStyle w:val="22"/>
          <w:rFonts w:hint="eastAsia" w:eastAsia="楷体"/>
          <w:color w:val="auto"/>
        </w:rPr>
        <w:fldChar w:fldCharType="end"/>
      </w:r>
      <w:r>
        <w:rPr>
          <w:rFonts w:hint="eastAsia" w:eastAsia="楷体"/>
          <w:color w:val="auto"/>
        </w:rPr>
        <w:t>交易额度较小，获得收益也较少；</w:t>
      </w:r>
    </w:p>
    <w:p>
      <w:pPr>
        <w:spacing w:line="400" w:lineRule="exact"/>
        <w:ind w:firstLine="420" w:firstLineChars="200"/>
        <w:rPr>
          <w:rFonts w:eastAsia="楷体"/>
          <w:color w:val="auto"/>
        </w:rPr>
      </w:pPr>
      <w:r>
        <w:rPr>
          <w:rFonts w:eastAsia="楷体"/>
          <w:color w:val="auto"/>
        </w:rPr>
        <w:t xml:space="preserve">2 </w:t>
      </w:r>
      <w:r>
        <w:rPr>
          <w:rFonts w:hint="eastAsia" w:eastAsia="楷体"/>
          <w:color w:val="auto"/>
        </w:rPr>
        <w:t>基础数据较差，数据不全导致项目基准线制定比较困难</w:t>
      </w:r>
      <w:r>
        <w:rPr>
          <w:rFonts w:eastAsia="楷体"/>
          <w:color w:val="auto"/>
        </w:rPr>
        <w:t>;</w:t>
      </w:r>
    </w:p>
    <w:p>
      <w:pPr>
        <w:spacing w:line="400" w:lineRule="exact"/>
        <w:ind w:firstLine="420" w:firstLineChars="200"/>
        <w:rPr>
          <w:rFonts w:eastAsia="楷体"/>
          <w:color w:val="auto"/>
        </w:rPr>
      </w:pPr>
      <w:r>
        <w:rPr>
          <w:rFonts w:eastAsia="楷体"/>
          <w:color w:val="auto"/>
        </w:rPr>
        <w:t xml:space="preserve">3 </w:t>
      </w:r>
      <w:r>
        <w:rPr>
          <w:rFonts w:hint="eastAsia" w:eastAsia="楷体"/>
          <w:color w:val="auto"/>
        </w:rPr>
        <w:t>适用于建筑类的方法学较少，方法应用有极大的局限性，不适合中国国情，而开发新的方法学审批周期长，花费大。</w:t>
      </w:r>
    </w:p>
    <w:p>
      <w:pPr>
        <w:spacing w:line="400" w:lineRule="exact"/>
        <w:ind w:firstLine="420" w:firstLineChars="200"/>
        <w:rPr>
          <w:rFonts w:eastAsia="楷体"/>
          <w:color w:val="auto"/>
        </w:rPr>
      </w:pPr>
      <w:r>
        <w:rPr>
          <w:rFonts w:hint="eastAsia" w:eastAsia="楷体"/>
          <w:color w:val="auto"/>
        </w:rPr>
        <w:t>零碳建筑和社区碳减排力度大，示范性强，应先行先试参与碳交易机制，具体包括两种形式，一种是碳指标不达标的建筑和社区通过购买碳指标的方式完成任务和目标；另一种是零碳建筑和社区将自身多余配额销售给配额不足的主体从而获取经济收益。</w:t>
      </w:r>
    </w:p>
    <w:p>
      <w:pPr>
        <w:spacing w:line="400" w:lineRule="exact"/>
        <w:ind w:firstLine="420" w:firstLineChars="200"/>
        <w:rPr>
          <w:rFonts w:eastAsia="楷体"/>
          <w:color w:val="auto"/>
          <w:highlight w:val="yellow"/>
        </w:rPr>
      </w:pPr>
    </w:p>
    <w:p>
      <w:pPr>
        <w:widowControl/>
        <w:rPr>
          <w:color w:val="auto"/>
          <w:sz w:val="24"/>
          <w:szCs w:val="24"/>
        </w:rPr>
      </w:pPr>
    </w:p>
    <w:p>
      <w:pPr>
        <w:widowControl/>
        <w:rPr>
          <w:b/>
          <w:color w:val="auto"/>
          <w:sz w:val="30"/>
        </w:rPr>
      </w:pPr>
      <w:r>
        <w:rPr>
          <w:b/>
          <w:color w:val="auto"/>
          <w:sz w:val="30"/>
        </w:rPr>
        <w:br w:type="page"/>
      </w:r>
    </w:p>
    <w:p>
      <w:pPr>
        <w:spacing w:before="156" w:beforeLines="50" w:after="120"/>
        <w:jc w:val="center"/>
        <w:outlineLvl w:val="0"/>
        <w:rPr>
          <w:rFonts w:eastAsia="黑体"/>
          <w:bCs/>
          <w:color w:val="auto"/>
          <w:sz w:val="36"/>
          <w:szCs w:val="32"/>
        </w:rPr>
      </w:pPr>
      <w:bookmarkStart w:id="64" w:name="_Toc529519242"/>
      <w:bookmarkStart w:id="65" w:name="_Toc29702"/>
      <w:bookmarkStart w:id="66" w:name="_Toc530142733"/>
      <w:bookmarkStart w:id="67" w:name="_Toc955"/>
      <w:bookmarkStart w:id="68" w:name="_Toc528942457"/>
      <w:r>
        <w:rPr>
          <w:rFonts w:hint="eastAsia" w:eastAsia="黑体"/>
          <w:bCs/>
          <w:color w:val="auto"/>
          <w:sz w:val="36"/>
          <w:szCs w:val="32"/>
        </w:rPr>
        <w:t>6</w:t>
      </w:r>
      <w:r>
        <w:rPr>
          <w:rFonts w:eastAsia="黑体"/>
          <w:bCs/>
          <w:color w:val="auto"/>
          <w:sz w:val="36"/>
          <w:szCs w:val="32"/>
        </w:rPr>
        <w:t>评价</w:t>
      </w:r>
      <w:bookmarkEnd w:id="64"/>
      <w:bookmarkEnd w:id="65"/>
      <w:bookmarkEnd w:id="66"/>
      <w:bookmarkEnd w:id="67"/>
      <w:bookmarkEnd w:id="68"/>
    </w:p>
    <w:p>
      <w:pPr>
        <w:spacing w:line="360" w:lineRule="auto"/>
        <w:outlineLvl w:val="2"/>
        <w:rPr>
          <w:color w:val="auto"/>
          <w:sz w:val="24"/>
          <w:szCs w:val="24"/>
        </w:rPr>
      </w:pPr>
      <w:bookmarkStart w:id="69" w:name="_Toc528942458"/>
      <w:bookmarkStart w:id="70" w:name="_Toc529519243"/>
      <w:r>
        <w:rPr>
          <w:rFonts w:ascii="宋体" w:hAnsi="宋体"/>
          <w:b/>
          <w:bCs/>
          <w:color w:val="auto"/>
          <w:sz w:val="24"/>
        </w:rPr>
        <w:t>6.0.1</w:t>
      </w:r>
      <w:r>
        <w:rPr>
          <w:rFonts w:hint="eastAsia"/>
          <w:color w:val="auto"/>
          <w:sz w:val="24"/>
          <w:szCs w:val="24"/>
        </w:rPr>
        <w:t>对零碳建筑及社区进行评价时，评价应贯穿设计、施工及运行全过程。</w:t>
      </w:r>
    </w:p>
    <w:p>
      <w:pPr>
        <w:spacing w:line="360" w:lineRule="auto"/>
        <w:rPr>
          <w:rFonts w:ascii="楷体" w:hAnsi="楷体" w:eastAsia="楷体"/>
          <w:bCs/>
          <w:color w:val="111111"/>
        </w:rPr>
      </w:pPr>
      <w:r>
        <w:rPr>
          <w:rFonts w:hint="eastAsia" w:eastAsia="楷体"/>
          <w:b/>
          <w:color w:val="111111"/>
        </w:rPr>
        <w:t>【条文说明】</w:t>
      </w:r>
      <w:r>
        <w:rPr>
          <w:rFonts w:ascii="楷体" w:hAnsi="楷体" w:eastAsia="楷体"/>
          <w:bCs/>
          <w:color w:val="111111"/>
        </w:rPr>
        <w:t>为保证</w:t>
      </w:r>
      <w:r>
        <w:rPr>
          <w:rFonts w:hint="eastAsia" w:ascii="楷体" w:hAnsi="楷体" w:eastAsia="楷体"/>
          <w:bCs/>
          <w:color w:val="111111"/>
        </w:rPr>
        <w:t>零碳建筑及社区</w:t>
      </w:r>
      <w:r>
        <w:rPr>
          <w:rFonts w:ascii="楷体" w:hAnsi="楷体" w:eastAsia="楷体"/>
          <w:bCs/>
          <w:color w:val="111111"/>
        </w:rPr>
        <w:t>的实施质量，推动其健康发展，</w:t>
      </w:r>
      <w:r>
        <w:rPr>
          <w:rFonts w:hint="eastAsia" w:ascii="楷体" w:hAnsi="楷体" w:eastAsia="楷体"/>
          <w:bCs/>
          <w:color w:val="111111"/>
        </w:rPr>
        <w:t>需要通过评价技术，</w:t>
      </w:r>
      <w:r>
        <w:rPr>
          <w:rFonts w:ascii="楷体" w:hAnsi="楷体" w:eastAsia="楷体"/>
          <w:bCs/>
          <w:color w:val="111111"/>
        </w:rPr>
        <w:t>对</w:t>
      </w:r>
      <w:r>
        <w:rPr>
          <w:rFonts w:hint="eastAsia" w:ascii="楷体" w:hAnsi="楷体" w:eastAsia="楷体"/>
          <w:bCs/>
          <w:color w:val="111111"/>
        </w:rPr>
        <w:t>其设计、施工和运行效果全过程进行核查和管理，进一步保证质量。</w:t>
      </w:r>
      <w:r>
        <w:rPr>
          <w:rFonts w:ascii="楷体" w:hAnsi="楷体" w:eastAsia="楷体"/>
          <w:bCs/>
          <w:color w:val="111111"/>
        </w:rPr>
        <w:t>当建筑</w:t>
      </w:r>
      <w:r>
        <w:rPr>
          <w:rFonts w:hint="eastAsia" w:ascii="楷体" w:hAnsi="楷体" w:eastAsia="楷体"/>
          <w:bCs/>
          <w:color w:val="111111"/>
        </w:rPr>
        <w:t>及社区</w:t>
      </w:r>
      <w:r>
        <w:rPr>
          <w:rFonts w:ascii="楷体" w:hAnsi="楷体" w:eastAsia="楷体"/>
          <w:bCs/>
          <w:color w:val="111111"/>
        </w:rPr>
        <w:t>设计完成后，应对其整个设计过程进行评价</w:t>
      </w:r>
      <w:r>
        <w:rPr>
          <w:rFonts w:hint="eastAsia" w:ascii="楷体" w:hAnsi="楷体" w:eastAsia="楷体"/>
          <w:bCs/>
          <w:color w:val="111111"/>
        </w:rPr>
        <w:t>，</w:t>
      </w:r>
      <w:r>
        <w:rPr>
          <w:rFonts w:ascii="楷体" w:hAnsi="楷体" w:eastAsia="楷体"/>
          <w:bCs/>
          <w:color w:val="111111"/>
        </w:rPr>
        <w:t>设计部分的重点是</w:t>
      </w:r>
      <w:r>
        <w:rPr>
          <w:rFonts w:hint="eastAsia" w:ascii="楷体" w:hAnsi="楷体" w:eastAsia="楷体"/>
          <w:bCs/>
          <w:color w:val="111111"/>
        </w:rPr>
        <w:t>基于施工图计算其碳排放是否满足要求</w:t>
      </w:r>
      <w:r>
        <w:rPr>
          <w:rFonts w:ascii="楷体" w:hAnsi="楷体" w:eastAsia="楷体"/>
          <w:bCs/>
          <w:color w:val="111111"/>
        </w:rPr>
        <w:t>；当建筑竣工验收运行</w:t>
      </w:r>
      <w:r>
        <w:rPr>
          <w:rFonts w:hint="eastAsia" w:ascii="楷体" w:hAnsi="楷体" w:eastAsia="楷体"/>
          <w:bCs/>
          <w:color w:val="111111"/>
        </w:rPr>
        <w:t>两</w:t>
      </w:r>
      <w:r>
        <w:rPr>
          <w:rFonts w:ascii="楷体" w:hAnsi="楷体" w:eastAsia="楷体"/>
          <w:bCs/>
          <w:color w:val="111111"/>
        </w:rPr>
        <w:t>年后</w:t>
      </w:r>
      <w:r>
        <w:rPr>
          <w:rFonts w:hint="eastAsia" w:ascii="楷体" w:hAnsi="楷体" w:eastAsia="楷体"/>
          <w:bCs/>
          <w:color w:val="111111"/>
        </w:rPr>
        <w:t>，</w:t>
      </w:r>
      <w:r>
        <w:rPr>
          <w:rFonts w:ascii="楷体" w:hAnsi="楷体" w:eastAsia="楷体"/>
          <w:bCs/>
          <w:color w:val="111111"/>
        </w:rPr>
        <w:t>应</w:t>
      </w:r>
      <w:r>
        <w:rPr>
          <w:rFonts w:hint="eastAsia" w:ascii="楷体" w:hAnsi="楷体" w:eastAsia="楷体"/>
          <w:bCs/>
          <w:color w:val="111111"/>
        </w:rPr>
        <w:t>核算其实际碳排放强度</w:t>
      </w:r>
      <w:r>
        <w:rPr>
          <w:rFonts w:ascii="楷体" w:hAnsi="楷体" w:eastAsia="楷体"/>
          <w:bCs/>
          <w:color w:val="111111"/>
        </w:rPr>
        <w:t>。</w:t>
      </w:r>
      <w:r>
        <w:rPr>
          <w:rFonts w:hint="eastAsia" w:ascii="楷体" w:hAnsi="楷体" w:eastAsia="楷体"/>
          <w:bCs/>
          <w:color w:val="111111"/>
        </w:rPr>
        <w:t>零碳建筑及社区应追求全过程的高质量设计、建造及运行，并以实际碳排放强度的降低和总碳排放为零作为目标。</w:t>
      </w:r>
    </w:p>
    <w:p>
      <w:pPr>
        <w:spacing w:line="360" w:lineRule="auto"/>
      </w:pPr>
    </w:p>
    <w:p>
      <w:pPr>
        <w:spacing w:line="360" w:lineRule="auto"/>
        <w:outlineLvl w:val="2"/>
        <w:rPr>
          <w:color w:val="auto"/>
          <w:sz w:val="24"/>
          <w:szCs w:val="24"/>
        </w:rPr>
      </w:pPr>
      <w:r>
        <w:rPr>
          <w:rFonts w:hint="eastAsia" w:ascii="宋体" w:hAnsi="宋体"/>
          <w:b/>
          <w:bCs/>
          <w:color w:val="auto"/>
          <w:sz w:val="24"/>
        </w:rPr>
        <w:t>6.0.2</w:t>
      </w:r>
      <w:r>
        <w:rPr>
          <w:rFonts w:hint="eastAsia"/>
          <w:color w:val="auto"/>
          <w:sz w:val="24"/>
          <w:szCs w:val="24"/>
        </w:rPr>
        <w:t>零碳建筑评价应以单栋建筑或有清晰物理边界且能够独立用能计量的建筑单元为评价对象，零碳社区评价应以社区为评价对象。</w:t>
      </w:r>
    </w:p>
    <w:p>
      <w:pPr>
        <w:spacing w:line="360" w:lineRule="auto"/>
        <w:rPr>
          <w:rFonts w:ascii="楷体" w:hAnsi="楷体" w:eastAsia="楷体"/>
          <w:bCs/>
          <w:color w:val="111111"/>
        </w:rPr>
      </w:pPr>
    </w:p>
    <w:p>
      <w:pPr>
        <w:spacing w:line="360" w:lineRule="auto"/>
        <w:outlineLvl w:val="2"/>
        <w:rPr>
          <w:color w:val="auto"/>
          <w:sz w:val="24"/>
          <w:szCs w:val="24"/>
        </w:rPr>
      </w:pPr>
      <w:r>
        <w:rPr>
          <w:rFonts w:hint="eastAsia" w:ascii="宋体" w:hAnsi="宋体"/>
          <w:b/>
          <w:bCs/>
          <w:color w:val="auto"/>
          <w:sz w:val="24"/>
        </w:rPr>
        <w:t>6.0.3</w:t>
      </w:r>
      <w:r>
        <w:rPr>
          <w:rFonts w:hint="eastAsia"/>
          <w:color w:val="auto"/>
          <w:sz w:val="24"/>
          <w:szCs w:val="24"/>
        </w:rPr>
        <w:t>评价分为预评价阶段和评价阶段。</w:t>
      </w:r>
    </w:p>
    <w:p>
      <w:pPr>
        <w:spacing w:line="360" w:lineRule="auto"/>
        <w:rPr>
          <w:rFonts w:ascii="楷体" w:hAnsi="楷体" w:eastAsia="楷体"/>
          <w:bCs/>
          <w:color w:val="111111"/>
        </w:rPr>
      </w:pPr>
      <w:r>
        <w:rPr>
          <w:rFonts w:hint="eastAsia" w:eastAsia="楷体"/>
          <w:b/>
          <w:color w:val="111111"/>
        </w:rPr>
        <w:t>【条文说明】</w:t>
      </w:r>
      <w:r>
        <w:rPr>
          <w:rFonts w:hint="eastAsia" w:ascii="楷体" w:hAnsi="楷体" w:eastAsia="楷体"/>
          <w:bCs/>
          <w:color w:val="111111"/>
        </w:rPr>
        <w:t>评价的目标是实现零碳排放，预评价的目标是确保设计阶段相应的减碳措施得以落实，并实现了零碳排放，是评价的前置流程，最终的评价应以实际碳排放数据为准。</w:t>
      </w:r>
    </w:p>
    <w:p>
      <w:pPr>
        <w:spacing w:line="360" w:lineRule="auto"/>
        <w:rPr>
          <w:rFonts w:ascii="楷体" w:hAnsi="楷体" w:eastAsia="楷体"/>
          <w:bCs/>
          <w:color w:val="111111"/>
        </w:rPr>
      </w:pPr>
    </w:p>
    <w:p>
      <w:pPr>
        <w:spacing w:line="360" w:lineRule="auto"/>
        <w:outlineLvl w:val="2"/>
        <w:rPr>
          <w:color w:val="auto"/>
          <w:sz w:val="24"/>
          <w:szCs w:val="24"/>
        </w:rPr>
      </w:pPr>
      <w:r>
        <w:rPr>
          <w:rFonts w:hint="eastAsia" w:ascii="宋体" w:hAnsi="宋体"/>
          <w:b/>
          <w:bCs/>
          <w:color w:val="auto"/>
          <w:sz w:val="24"/>
        </w:rPr>
        <w:t>6.0.4</w:t>
      </w:r>
      <w:r>
        <w:rPr>
          <w:rFonts w:hint="eastAsia"/>
          <w:color w:val="auto"/>
          <w:sz w:val="24"/>
          <w:szCs w:val="24"/>
        </w:rPr>
        <w:t>预评价应在施工图设计文件审查通过后进行，应基于施工图文件开展建筑及社区的碳排放的计算，评价是否满足本标准第四章的规定。</w:t>
      </w:r>
    </w:p>
    <w:p>
      <w:pPr>
        <w:spacing w:line="360" w:lineRule="auto"/>
        <w:rPr>
          <w:rFonts w:ascii="楷体" w:hAnsi="楷体" w:eastAsia="楷体"/>
          <w:bCs/>
          <w:color w:val="111111"/>
        </w:rPr>
      </w:pPr>
      <w:r>
        <w:rPr>
          <w:rFonts w:hint="eastAsia" w:eastAsia="楷体"/>
          <w:b/>
          <w:color w:val="111111"/>
        </w:rPr>
        <w:t>【条文说明】</w:t>
      </w:r>
      <w:r>
        <w:rPr>
          <w:rFonts w:hint="eastAsia" w:ascii="楷体" w:hAnsi="楷体" w:eastAsia="楷体"/>
          <w:bCs/>
          <w:color w:val="111111"/>
        </w:rPr>
        <w:t>设计阶段是实现零碳建筑的重要阶段，也是减碳潜力最大的阶段，为保证最终零碳目标的实现，应对设计阶段的设计方案进行评价。设计阶段，建筑尚未建造，主要基于施工图、施工组织方案对建筑及社区的碳排放进行计算，计算应满足国家标准《建筑碳排放计算标准》GB/T 51366的规定。</w:t>
      </w:r>
    </w:p>
    <w:p>
      <w:pPr>
        <w:spacing w:line="360" w:lineRule="auto"/>
        <w:rPr>
          <w:rFonts w:ascii="楷体" w:hAnsi="楷体" w:eastAsia="楷体"/>
          <w:bCs/>
          <w:color w:val="111111"/>
        </w:rPr>
      </w:pPr>
    </w:p>
    <w:p>
      <w:pPr>
        <w:spacing w:line="360" w:lineRule="auto"/>
        <w:rPr>
          <w:color w:val="auto"/>
          <w:sz w:val="24"/>
          <w:szCs w:val="24"/>
          <w:highlight w:val="yellow"/>
        </w:rPr>
      </w:pPr>
      <w:r>
        <w:rPr>
          <w:rFonts w:hint="eastAsia" w:ascii="宋体" w:hAnsi="宋体"/>
          <w:b/>
          <w:bCs/>
          <w:color w:val="auto"/>
          <w:sz w:val="24"/>
        </w:rPr>
        <w:t>6.0.5</w:t>
      </w:r>
      <w:r>
        <w:rPr>
          <w:rFonts w:hint="eastAsia"/>
          <w:color w:val="auto"/>
          <w:sz w:val="24"/>
          <w:szCs w:val="24"/>
        </w:rPr>
        <w:t>建筑及社区的评价应在投入正常使用两年后，依据申请目标对建筑及社区的不同阶段的碳排放进行核算，评价是否满足本标准第四章的规定。</w:t>
      </w:r>
      <w:bookmarkEnd w:id="69"/>
      <w:bookmarkEnd w:id="70"/>
    </w:p>
    <w:p>
      <w:pPr>
        <w:spacing w:line="360" w:lineRule="auto"/>
        <w:rPr>
          <w:rFonts w:ascii="楷体" w:hAnsi="楷体" w:eastAsia="楷体"/>
          <w:bCs/>
          <w:color w:val="111111"/>
        </w:rPr>
      </w:pPr>
      <w:r>
        <w:rPr>
          <w:rFonts w:hint="eastAsia" w:eastAsia="楷体"/>
          <w:b/>
          <w:color w:val="111111"/>
        </w:rPr>
        <w:t>【条文说明】</w:t>
      </w:r>
      <w:r>
        <w:rPr>
          <w:rFonts w:hint="eastAsia" w:ascii="楷体" w:hAnsi="楷体" w:eastAsia="楷体"/>
          <w:bCs/>
          <w:color w:val="111111"/>
        </w:rPr>
        <w:t>实现运行零碳是零碳建筑及社区的最终目标，也是社会的核心关切，所以零碳建筑及社区的最终评价应以碳排放的核算结果为基准，相应的数据采集应按满足相应的标准的规定。</w:t>
      </w:r>
    </w:p>
    <w:p>
      <w:pPr>
        <w:spacing w:line="360" w:lineRule="auto"/>
        <w:rPr>
          <w:rFonts w:ascii="楷体" w:hAnsi="楷体" w:eastAsia="楷体"/>
          <w:bCs/>
          <w:color w:val="111111"/>
        </w:rPr>
      </w:pPr>
    </w:p>
    <w:p>
      <w:pPr>
        <w:spacing w:line="360" w:lineRule="auto"/>
        <w:outlineLvl w:val="2"/>
        <w:rPr>
          <w:color w:val="auto"/>
          <w:sz w:val="24"/>
          <w:szCs w:val="24"/>
        </w:rPr>
      </w:pPr>
      <w:r>
        <w:rPr>
          <w:rFonts w:ascii="宋体" w:hAnsi="宋体"/>
          <w:b/>
          <w:bCs/>
          <w:color w:val="auto"/>
          <w:sz w:val="24"/>
        </w:rPr>
        <w:t>6.0.6</w:t>
      </w:r>
      <w:r>
        <w:rPr>
          <w:rFonts w:hint="eastAsia"/>
          <w:color w:val="auto"/>
          <w:sz w:val="24"/>
          <w:szCs w:val="24"/>
        </w:rPr>
        <w:t>零碳建筑及社区的碳排放计算和核算应采用统一的计算软件，并提供计算文件用于审查。</w:t>
      </w:r>
    </w:p>
    <w:p>
      <w:pPr>
        <w:spacing w:line="360" w:lineRule="auto"/>
        <w:rPr>
          <w:rFonts w:ascii="楷体" w:hAnsi="楷体" w:eastAsia="楷体"/>
          <w:bCs/>
          <w:color w:val="111111"/>
        </w:rPr>
      </w:pPr>
      <w:r>
        <w:rPr>
          <w:rFonts w:hint="eastAsia" w:eastAsia="楷体"/>
          <w:b/>
          <w:color w:val="111111"/>
        </w:rPr>
        <w:t>【条文说明】</w:t>
      </w:r>
      <w:r>
        <w:rPr>
          <w:rFonts w:hint="eastAsia" w:ascii="楷体" w:hAnsi="楷体" w:eastAsia="楷体"/>
          <w:bCs/>
          <w:color w:val="111111"/>
        </w:rPr>
        <w:t>计算工具对碳排放的计算及核算影响较大，为了提高计算结果的一致性，本标准提供了相应的计算工具，同时为了确保审核文件和计算文件的一致性，要求提供相应的计算文件。</w:t>
      </w:r>
    </w:p>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ascii="宋体" w:hAnsi="宋体"/>
          <w:color w:val="auto"/>
          <w:sz w:val="24"/>
        </w:rPr>
        <w:br w:type="page"/>
      </w:r>
    </w:p>
    <w:p>
      <w:pPr>
        <w:spacing w:after="240"/>
        <w:jc w:val="center"/>
        <w:outlineLvl w:val="0"/>
        <w:rPr>
          <w:rFonts w:ascii="宋体" w:hAnsi="宋体"/>
          <w:b/>
          <w:bCs/>
          <w:color w:val="auto"/>
          <w:sz w:val="24"/>
        </w:rPr>
      </w:pPr>
      <w:bookmarkStart w:id="71" w:name="_Toc8874"/>
      <w:r>
        <w:rPr>
          <w:rFonts w:hint="eastAsia" w:ascii="黑体" w:hAnsi="黑体" w:eastAsia="黑体"/>
          <w:bCs/>
          <w:color w:val="auto"/>
          <w:sz w:val="36"/>
          <w:szCs w:val="32"/>
        </w:rPr>
        <w:t>附录A 主要能源碳排放因子</w:t>
      </w:r>
      <w:bookmarkEnd w:id="71"/>
    </w:p>
    <w:p>
      <w:pPr>
        <w:spacing w:line="360" w:lineRule="auto"/>
        <w:rPr>
          <w:color w:val="auto"/>
          <w:sz w:val="24"/>
          <w:szCs w:val="24"/>
        </w:rPr>
      </w:pPr>
      <w:r>
        <w:rPr>
          <w:rFonts w:hint="eastAsia"/>
          <w:b/>
          <w:bCs/>
          <w:color w:val="auto"/>
          <w:sz w:val="24"/>
          <w:szCs w:val="24"/>
        </w:rPr>
        <w:t>A.0.1</w:t>
      </w:r>
      <w:r>
        <w:rPr>
          <w:rFonts w:hint="eastAsia"/>
          <w:color w:val="auto"/>
          <w:sz w:val="24"/>
          <w:szCs w:val="24"/>
        </w:rPr>
        <w:t>化石燃料排放因子应按表A.0.1选取。</w:t>
      </w:r>
    </w:p>
    <w:p>
      <w:pPr>
        <w:ind w:firstLine="482"/>
        <w:jc w:val="center"/>
        <w:rPr>
          <w:rFonts w:ascii="黑体" w:hAnsi="黑体" w:eastAsia="黑体"/>
          <w:color w:val="auto"/>
        </w:rPr>
      </w:pPr>
      <w:r>
        <w:rPr>
          <w:b/>
          <w:color w:val="auto"/>
        </w:rPr>
        <w:t>表</w:t>
      </w:r>
      <w:r>
        <w:rPr>
          <w:rFonts w:ascii="黑体" w:hAnsi="黑体" w:eastAsia="黑体"/>
          <w:color w:val="auto"/>
        </w:rPr>
        <w:t>A.0.1 化石燃料排放因子</w:t>
      </w:r>
    </w:p>
    <w:tbl>
      <w:tblPr>
        <w:tblStyle w:val="1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1542"/>
        <w:gridCol w:w="1663"/>
        <w:gridCol w:w="17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998" w:type="dxa"/>
            <w:vAlign w:val="center"/>
          </w:tcPr>
          <w:p>
            <w:pPr>
              <w:jc w:val="center"/>
              <w:rPr>
                <w:rFonts w:eastAsiaTheme="minorEastAsia"/>
                <w:color w:val="auto"/>
              </w:rPr>
            </w:pPr>
            <w:r>
              <w:rPr>
                <w:rFonts w:eastAsiaTheme="minorEastAsia"/>
                <w:color w:val="auto"/>
              </w:rPr>
              <w:t>分类</w:t>
            </w:r>
          </w:p>
        </w:tc>
        <w:tc>
          <w:tcPr>
            <w:tcW w:w="1542" w:type="dxa"/>
            <w:vAlign w:val="center"/>
          </w:tcPr>
          <w:p>
            <w:pPr>
              <w:jc w:val="center"/>
              <w:rPr>
                <w:rFonts w:eastAsiaTheme="minorEastAsia"/>
                <w:color w:val="auto"/>
              </w:rPr>
            </w:pPr>
            <w:r>
              <w:rPr>
                <w:rFonts w:eastAsiaTheme="minorEastAsia"/>
                <w:color w:val="auto"/>
              </w:rPr>
              <w:t>燃料类型</w:t>
            </w:r>
          </w:p>
        </w:tc>
        <w:tc>
          <w:tcPr>
            <w:tcW w:w="1663" w:type="dxa"/>
            <w:vAlign w:val="center"/>
          </w:tcPr>
          <w:p>
            <w:pPr>
              <w:spacing w:line="240" w:lineRule="atLeast"/>
              <w:jc w:val="center"/>
              <w:rPr>
                <w:rFonts w:eastAsiaTheme="minorEastAsia"/>
                <w:color w:val="auto"/>
              </w:rPr>
            </w:pPr>
            <w:r>
              <w:rPr>
                <w:rFonts w:eastAsiaTheme="minorEastAsia"/>
                <w:color w:val="auto"/>
              </w:rPr>
              <w:t>单位热值含碳量（tC/TJ）</w:t>
            </w:r>
          </w:p>
        </w:tc>
        <w:tc>
          <w:tcPr>
            <w:tcW w:w="1756" w:type="dxa"/>
            <w:vAlign w:val="center"/>
          </w:tcPr>
          <w:p>
            <w:pPr>
              <w:jc w:val="center"/>
              <w:rPr>
                <w:rFonts w:eastAsiaTheme="minorEastAsia"/>
                <w:color w:val="auto"/>
              </w:rPr>
            </w:pPr>
            <w:r>
              <w:rPr>
                <w:rFonts w:eastAsiaTheme="minorEastAsia"/>
                <w:color w:val="auto"/>
              </w:rPr>
              <w:t>碳氧化率</w:t>
            </w:r>
            <w:r>
              <w:rPr>
                <w:rFonts w:hint="eastAsia" w:eastAsiaTheme="minorEastAsia"/>
                <w:color w:val="auto"/>
              </w:rPr>
              <w:t>（%）</w:t>
            </w:r>
          </w:p>
        </w:tc>
        <w:tc>
          <w:tcPr>
            <w:tcW w:w="2357" w:type="dxa"/>
          </w:tcPr>
          <w:p>
            <w:pPr>
              <w:spacing w:line="240" w:lineRule="atLeast"/>
              <w:jc w:val="center"/>
              <w:rPr>
                <w:rFonts w:eastAsiaTheme="minorEastAsia"/>
                <w:color w:val="auto"/>
              </w:rPr>
            </w:pPr>
            <w:r>
              <w:rPr>
                <w:rFonts w:eastAsiaTheme="minorEastAsia"/>
                <w:color w:val="auto"/>
              </w:rPr>
              <w:t>单位热值CO</w:t>
            </w:r>
            <w:r>
              <w:rPr>
                <w:rFonts w:eastAsiaTheme="minorEastAsia"/>
                <w:color w:val="auto"/>
                <w:vertAlign w:val="subscript"/>
              </w:rPr>
              <w:t>2</w:t>
            </w:r>
            <w:r>
              <w:rPr>
                <w:rFonts w:eastAsiaTheme="minorEastAsia"/>
                <w:color w:val="auto"/>
              </w:rPr>
              <w:t>排放因子（tCO</w:t>
            </w:r>
            <w:r>
              <w:rPr>
                <w:rFonts w:eastAsiaTheme="minorEastAsia"/>
                <w:color w:val="auto"/>
                <w:vertAlign w:val="subscript"/>
              </w:rPr>
              <w:t>2</w:t>
            </w:r>
            <w:r>
              <w:rPr>
                <w:rFonts w:eastAsiaTheme="minorEastAsia"/>
                <w:color w:val="auto"/>
              </w:rPr>
              <w:t>/TJ）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restart"/>
            <w:vAlign w:val="center"/>
          </w:tcPr>
          <w:p>
            <w:pPr>
              <w:rPr>
                <w:rFonts w:eastAsiaTheme="minorEastAsia"/>
                <w:color w:val="auto"/>
              </w:rPr>
            </w:pPr>
            <w:r>
              <w:rPr>
                <w:rFonts w:eastAsiaTheme="minorEastAsia"/>
                <w:color w:val="auto"/>
              </w:rPr>
              <w:t>固体燃料</w:t>
            </w:r>
          </w:p>
        </w:tc>
        <w:tc>
          <w:tcPr>
            <w:tcW w:w="1542" w:type="dxa"/>
            <w:vAlign w:val="center"/>
          </w:tcPr>
          <w:p>
            <w:pPr>
              <w:jc w:val="center"/>
              <w:rPr>
                <w:rFonts w:eastAsiaTheme="minorEastAsia"/>
                <w:color w:val="auto"/>
              </w:rPr>
            </w:pPr>
            <w:r>
              <w:rPr>
                <w:rFonts w:eastAsiaTheme="minorEastAsia"/>
                <w:color w:val="auto"/>
              </w:rPr>
              <w:t>无烟煤</w:t>
            </w:r>
          </w:p>
        </w:tc>
        <w:tc>
          <w:tcPr>
            <w:tcW w:w="1663" w:type="dxa"/>
            <w:vAlign w:val="center"/>
          </w:tcPr>
          <w:p>
            <w:pPr>
              <w:ind w:leftChars="-2" w:hanging="4" w:hangingChars="2"/>
              <w:jc w:val="center"/>
              <w:rPr>
                <w:color w:val="auto"/>
              </w:rPr>
            </w:pPr>
            <w:r>
              <w:rPr>
                <w:color w:val="auto"/>
              </w:rPr>
              <w:t>27.4</w:t>
            </w:r>
          </w:p>
        </w:tc>
        <w:tc>
          <w:tcPr>
            <w:tcW w:w="1756" w:type="dxa"/>
            <w:vAlign w:val="center"/>
          </w:tcPr>
          <w:p>
            <w:pPr>
              <w:ind w:leftChars="-2" w:hanging="4" w:hangingChars="2"/>
              <w:jc w:val="center"/>
              <w:rPr>
                <w:color w:val="auto"/>
              </w:rPr>
            </w:pPr>
            <w:r>
              <w:rPr>
                <w:color w:val="auto"/>
              </w:rPr>
              <w:t>0.94</w:t>
            </w:r>
          </w:p>
        </w:tc>
        <w:tc>
          <w:tcPr>
            <w:tcW w:w="2357" w:type="dxa"/>
          </w:tcPr>
          <w:p>
            <w:pPr>
              <w:ind w:leftChars="-2" w:hanging="4" w:hangingChars="2"/>
              <w:jc w:val="center"/>
              <w:rPr>
                <w:color w:val="auto"/>
              </w:rPr>
            </w:pPr>
            <w:r>
              <w:rPr>
                <w:color w:val="auto"/>
              </w:rPr>
              <w:t xml:space="preserve">94.44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烟煤</w:t>
            </w:r>
          </w:p>
        </w:tc>
        <w:tc>
          <w:tcPr>
            <w:tcW w:w="1663" w:type="dxa"/>
            <w:vAlign w:val="center"/>
          </w:tcPr>
          <w:p>
            <w:pPr>
              <w:ind w:leftChars="-2" w:hanging="4" w:hangingChars="2"/>
              <w:jc w:val="center"/>
              <w:rPr>
                <w:color w:val="auto"/>
              </w:rPr>
            </w:pPr>
            <w:r>
              <w:rPr>
                <w:color w:val="auto"/>
              </w:rPr>
              <w:t>26.1</w:t>
            </w:r>
          </w:p>
        </w:tc>
        <w:tc>
          <w:tcPr>
            <w:tcW w:w="1756" w:type="dxa"/>
            <w:vAlign w:val="center"/>
          </w:tcPr>
          <w:p>
            <w:pPr>
              <w:ind w:leftChars="-2" w:hanging="4" w:hangingChars="2"/>
              <w:jc w:val="center"/>
              <w:rPr>
                <w:color w:val="auto"/>
              </w:rPr>
            </w:pPr>
            <w:r>
              <w:rPr>
                <w:color w:val="auto"/>
              </w:rPr>
              <w:t>0.93</w:t>
            </w:r>
          </w:p>
        </w:tc>
        <w:tc>
          <w:tcPr>
            <w:tcW w:w="2357" w:type="dxa"/>
          </w:tcPr>
          <w:p>
            <w:pPr>
              <w:ind w:leftChars="-2" w:hanging="4" w:hangingChars="2"/>
              <w:jc w:val="center"/>
              <w:rPr>
                <w:color w:val="auto"/>
              </w:rPr>
            </w:pPr>
            <w:r>
              <w:rPr>
                <w:color w:val="auto"/>
              </w:rPr>
              <w:t xml:space="preserve">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褐煤</w:t>
            </w:r>
          </w:p>
        </w:tc>
        <w:tc>
          <w:tcPr>
            <w:tcW w:w="1663" w:type="dxa"/>
            <w:vAlign w:val="center"/>
          </w:tcPr>
          <w:p>
            <w:pPr>
              <w:ind w:leftChars="-2" w:hanging="4" w:hangingChars="2"/>
              <w:jc w:val="center"/>
              <w:rPr>
                <w:color w:val="auto"/>
              </w:rPr>
            </w:pPr>
            <w:r>
              <w:rPr>
                <w:color w:val="auto"/>
              </w:rPr>
              <w:t>28.0</w:t>
            </w:r>
          </w:p>
        </w:tc>
        <w:tc>
          <w:tcPr>
            <w:tcW w:w="1756" w:type="dxa"/>
            <w:vAlign w:val="center"/>
          </w:tcPr>
          <w:p>
            <w:pPr>
              <w:ind w:leftChars="-2" w:hanging="4" w:hangingChars="2"/>
              <w:jc w:val="center"/>
              <w:rPr>
                <w:color w:val="auto"/>
              </w:rPr>
            </w:pPr>
            <w:r>
              <w:rPr>
                <w:color w:val="auto"/>
              </w:rPr>
              <w:t>0.96</w:t>
            </w:r>
          </w:p>
        </w:tc>
        <w:tc>
          <w:tcPr>
            <w:tcW w:w="2357" w:type="dxa"/>
          </w:tcPr>
          <w:p>
            <w:pPr>
              <w:ind w:leftChars="-2" w:hanging="4" w:hangingChars="2"/>
              <w:jc w:val="center"/>
              <w:rPr>
                <w:color w:val="auto"/>
              </w:rPr>
            </w:pPr>
            <w:r>
              <w:rPr>
                <w:color w:val="auto"/>
              </w:rPr>
              <w:t xml:space="preserve">98.56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炼焦煤</w:t>
            </w:r>
          </w:p>
        </w:tc>
        <w:tc>
          <w:tcPr>
            <w:tcW w:w="1663" w:type="dxa"/>
            <w:vAlign w:val="center"/>
          </w:tcPr>
          <w:p>
            <w:pPr>
              <w:ind w:leftChars="-2" w:hanging="4" w:hangingChars="2"/>
              <w:jc w:val="center"/>
              <w:rPr>
                <w:color w:val="auto"/>
              </w:rPr>
            </w:pPr>
            <w:r>
              <w:rPr>
                <w:color w:val="auto"/>
              </w:rPr>
              <w:t>25.4</w:t>
            </w:r>
          </w:p>
        </w:tc>
        <w:tc>
          <w:tcPr>
            <w:tcW w:w="1756" w:type="dxa"/>
            <w:vAlign w:val="center"/>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91.27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型煤</w:t>
            </w:r>
          </w:p>
        </w:tc>
        <w:tc>
          <w:tcPr>
            <w:tcW w:w="1663" w:type="dxa"/>
            <w:vAlign w:val="center"/>
          </w:tcPr>
          <w:p>
            <w:pPr>
              <w:ind w:leftChars="-2" w:hanging="4" w:hangingChars="2"/>
              <w:jc w:val="center"/>
              <w:rPr>
                <w:color w:val="auto"/>
              </w:rPr>
            </w:pPr>
            <w:r>
              <w:rPr>
                <w:color w:val="auto"/>
              </w:rPr>
              <w:t>33.6</w:t>
            </w:r>
          </w:p>
        </w:tc>
        <w:tc>
          <w:tcPr>
            <w:tcW w:w="1756" w:type="dxa"/>
            <w:vAlign w:val="center"/>
          </w:tcPr>
          <w:p>
            <w:pPr>
              <w:ind w:leftChars="-2" w:hanging="4" w:hangingChars="2"/>
              <w:jc w:val="center"/>
              <w:rPr>
                <w:color w:val="auto"/>
              </w:rPr>
            </w:pPr>
            <w:r>
              <w:rPr>
                <w:color w:val="auto"/>
              </w:rPr>
              <w:t>0.90</w:t>
            </w:r>
          </w:p>
        </w:tc>
        <w:tc>
          <w:tcPr>
            <w:tcW w:w="2357" w:type="dxa"/>
          </w:tcPr>
          <w:p>
            <w:pPr>
              <w:ind w:leftChars="-2" w:hanging="4" w:hangingChars="2"/>
              <w:jc w:val="center"/>
              <w:rPr>
                <w:color w:val="auto"/>
              </w:rPr>
            </w:pPr>
            <w:r>
              <w:rPr>
                <w:color w:val="auto"/>
              </w:rPr>
              <w:t xml:space="preserve">110.88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焦炭</w:t>
            </w:r>
          </w:p>
        </w:tc>
        <w:tc>
          <w:tcPr>
            <w:tcW w:w="1663" w:type="dxa"/>
            <w:vAlign w:val="center"/>
          </w:tcPr>
          <w:p>
            <w:pPr>
              <w:ind w:leftChars="-2" w:hanging="4" w:hangingChars="2"/>
              <w:jc w:val="center"/>
              <w:rPr>
                <w:color w:val="auto"/>
              </w:rPr>
            </w:pPr>
            <w:r>
              <w:rPr>
                <w:color w:val="auto"/>
              </w:rPr>
              <w:t>29.5</w:t>
            </w:r>
          </w:p>
        </w:tc>
        <w:tc>
          <w:tcPr>
            <w:tcW w:w="1756" w:type="dxa"/>
            <w:vAlign w:val="center"/>
          </w:tcPr>
          <w:p>
            <w:pPr>
              <w:ind w:leftChars="-2" w:hanging="4" w:hangingChars="2"/>
              <w:jc w:val="center"/>
              <w:rPr>
                <w:color w:val="auto"/>
              </w:rPr>
            </w:pPr>
            <w:r>
              <w:rPr>
                <w:color w:val="auto"/>
              </w:rPr>
              <w:t>0.93</w:t>
            </w:r>
          </w:p>
        </w:tc>
        <w:tc>
          <w:tcPr>
            <w:tcW w:w="2357" w:type="dxa"/>
          </w:tcPr>
          <w:p>
            <w:pPr>
              <w:ind w:leftChars="-2" w:hanging="4" w:hangingChars="2"/>
              <w:jc w:val="center"/>
              <w:rPr>
                <w:color w:val="auto"/>
              </w:rPr>
            </w:pPr>
            <w:r>
              <w:rPr>
                <w:color w:val="auto"/>
              </w:rPr>
              <w:t xml:space="preserve">100.60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其他焦化产品</w:t>
            </w:r>
          </w:p>
        </w:tc>
        <w:tc>
          <w:tcPr>
            <w:tcW w:w="1663" w:type="dxa"/>
            <w:vAlign w:val="center"/>
          </w:tcPr>
          <w:p>
            <w:pPr>
              <w:ind w:leftChars="-2" w:hanging="4" w:hangingChars="2"/>
              <w:jc w:val="center"/>
              <w:rPr>
                <w:color w:val="auto"/>
              </w:rPr>
            </w:pPr>
            <w:r>
              <w:rPr>
                <w:color w:val="auto"/>
              </w:rPr>
              <w:t>29.5</w:t>
            </w:r>
          </w:p>
        </w:tc>
        <w:tc>
          <w:tcPr>
            <w:tcW w:w="1756" w:type="dxa"/>
            <w:vAlign w:val="center"/>
          </w:tcPr>
          <w:p>
            <w:pPr>
              <w:ind w:leftChars="-2" w:hanging="4" w:hangingChars="2"/>
              <w:jc w:val="center"/>
              <w:rPr>
                <w:color w:val="auto"/>
              </w:rPr>
            </w:pPr>
            <w:r>
              <w:rPr>
                <w:color w:val="auto"/>
              </w:rPr>
              <w:t>0.93</w:t>
            </w:r>
          </w:p>
        </w:tc>
        <w:tc>
          <w:tcPr>
            <w:tcW w:w="2357" w:type="dxa"/>
          </w:tcPr>
          <w:p>
            <w:pPr>
              <w:ind w:leftChars="-2" w:hanging="4" w:hangingChars="2"/>
              <w:jc w:val="center"/>
              <w:rPr>
                <w:color w:val="auto"/>
              </w:rPr>
            </w:pPr>
            <w:r>
              <w:rPr>
                <w:color w:val="auto"/>
              </w:rPr>
              <w:t xml:space="preserve">100.60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restart"/>
            <w:vAlign w:val="center"/>
          </w:tcPr>
          <w:p>
            <w:pPr>
              <w:rPr>
                <w:rFonts w:eastAsiaTheme="minorEastAsia"/>
                <w:color w:val="auto"/>
              </w:rPr>
            </w:pPr>
            <w:r>
              <w:rPr>
                <w:rFonts w:eastAsiaTheme="minorEastAsia"/>
                <w:color w:val="auto"/>
              </w:rPr>
              <w:t>液体燃料</w:t>
            </w:r>
          </w:p>
        </w:tc>
        <w:tc>
          <w:tcPr>
            <w:tcW w:w="1542" w:type="dxa"/>
            <w:vAlign w:val="center"/>
          </w:tcPr>
          <w:p>
            <w:pPr>
              <w:jc w:val="center"/>
              <w:rPr>
                <w:rFonts w:eastAsiaTheme="minorEastAsia"/>
                <w:color w:val="auto"/>
              </w:rPr>
            </w:pPr>
            <w:r>
              <w:rPr>
                <w:rFonts w:eastAsiaTheme="minorEastAsia"/>
                <w:color w:val="auto"/>
              </w:rPr>
              <w:t>原油</w:t>
            </w:r>
          </w:p>
        </w:tc>
        <w:tc>
          <w:tcPr>
            <w:tcW w:w="1663" w:type="dxa"/>
            <w:vAlign w:val="center"/>
          </w:tcPr>
          <w:p>
            <w:pPr>
              <w:ind w:leftChars="-2" w:hanging="4" w:hangingChars="2"/>
              <w:jc w:val="center"/>
              <w:rPr>
                <w:color w:val="auto"/>
              </w:rPr>
            </w:pPr>
            <w:r>
              <w:rPr>
                <w:color w:val="auto"/>
              </w:rPr>
              <w:t>20.1</w:t>
            </w:r>
          </w:p>
        </w:tc>
        <w:tc>
          <w:tcPr>
            <w:tcW w:w="1756" w:type="dxa"/>
            <w:vAlign w:val="center"/>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燃料油</w:t>
            </w:r>
          </w:p>
        </w:tc>
        <w:tc>
          <w:tcPr>
            <w:tcW w:w="1663" w:type="dxa"/>
            <w:vAlign w:val="center"/>
          </w:tcPr>
          <w:p>
            <w:pPr>
              <w:ind w:leftChars="-2" w:hanging="4" w:hangingChars="2"/>
              <w:jc w:val="center"/>
              <w:rPr>
                <w:color w:val="auto"/>
              </w:rPr>
            </w:pPr>
            <w:r>
              <w:rPr>
                <w:color w:val="auto"/>
              </w:rPr>
              <w:t>21.1</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汽油</w:t>
            </w:r>
          </w:p>
        </w:tc>
        <w:tc>
          <w:tcPr>
            <w:tcW w:w="1663" w:type="dxa"/>
            <w:vAlign w:val="center"/>
          </w:tcPr>
          <w:p>
            <w:pPr>
              <w:ind w:leftChars="-2" w:hanging="4" w:hangingChars="2"/>
              <w:jc w:val="center"/>
              <w:rPr>
                <w:color w:val="auto"/>
              </w:rPr>
            </w:pPr>
            <w:r>
              <w:rPr>
                <w:color w:val="auto"/>
              </w:rPr>
              <w:t>18.9</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67.91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柴油</w:t>
            </w:r>
          </w:p>
        </w:tc>
        <w:tc>
          <w:tcPr>
            <w:tcW w:w="1663" w:type="dxa"/>
            <w:vAlign w:val="center"/>
          </w:tcPr>
          <w:p>
            <w:pPr>
              <w:ind w:leftChars="-2" w:hanging="4" w:hangingChars="2"/>
              <w:jc w:val="center"/>
              <w:rPr>
                <w:color w:val="auto"/>
              </w:rPr>
            </w:pPr>
            <w:r>
              <w:rPr>
                <w:color w:val="auto"/>
              </w:rPr>
              <w:t>20.2</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喷气煤油</w:t>
            </w:r>
          </w:p>
        </w:tc>
        <w:tc>
          <w:tcPr>
            <w:tcW w:w="1663" w:type="dxa"/>
            <w:vAlign w:val="center"/>
          </w:tcPr>
          <w:p>
            <w:pPr>
              <w:ind w:leftChars="-2" w:hanging="4" w:hangingChars="2"/>
              <w:jc w:val="center"/>
              <w:rPr>
                <w:color w:val="auto"/>
              </w:rPr>
            </w:pPr>
            <w:r>
              <w:rPr>
                <w:color w:val="auto"/>
              </w:rPr>
              <w:t>19.5</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一般煤油</w:t>
            </w:r>
          </w:p>
        </w:tc>
        <w:tc>
          <w:tcPr>
            <w:tcW w:w="1663" w:type="dxa"/>
            <w:vAlign w:val="center"/>
          </w:tcPr>
          <w:p>
            <w:pPr>
              <w:ind w:leftChars="-2" w:hanging="4" w:hangingChars="2"/>
              <w:jc w:val="center"/>
              <w:rPr>
                <w:color w:val="auto"/>
              </w:rPr>
            </w:pPr>
            <w:r>
              <w:rPr>
                <w:color w:val="auto"/>
              </w:rPr>
              <w:t>19.6</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ind w:firstLine="199" w:firstLineChars="95"/>
              <w:jc w:val="center"/>
              <w:rPr>
                <w:rFonts w:eastAsiaTheme="minorEastAsia"/>
                <w:color w:val="auto"/>
              </w:rPr>
            </w:pPr>
            <w:r>
              <w:rPr>
                <w:rFonts w:eastAsiaTheme="minorEastAsia"/>
                <w:color w:val="auto"/>
              </w:rPr>
              <w:t>NGL</w:t>
            </w:r>
          </w:p>
        </w:tc>
        <w:tc>
          <w:tcPr>
            <w:tcW w:w="1663" w:type="dxa"/>
            <w:vAlign w:val="center"/>
          </w:tcPr>
          <w:p>
            <w:pPr>
              <w:ind w:leftChars="-2" w:hanging="4" w:hangingChars="2"/>
              <w:jc w:val="center"/>
              <w:rPr>
                <w:color w:val="auto"/>
              </w:rPr>
            </w:pPr>
            <w:r>
              <w:rPr>
                <w:color w:val="auto"/>
              </w:rPr>
              <w:t>17.2</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61.81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ind w:firstLine="199" w:firstLineChars="95"/>
              <w:jc w:val="center"/>
              <w:rPr>
                <w:rFonts w:eastAsiaTheme="minorEastAsia"/>
                <w:color w:val="auto"/>
              </w:rPr>
            </w:pPr>
            <w:r>
              <w:rPr>
                <w:rFonts w:eastAsiaTheme="minorEastAsia"/>
                <w:color w:val="auto"/>
              </w:rPr>
              <w:t>LPG</w:t>
            </w:r>
          </w:p>
        </w:tc>
        <w:tc>
          <w:tcPr>
            <w:tcW w:w="1663" w:type="dxa"/>
            <w:vAlign w:val="center"/>
          </w:tcPr>
          <w:p>
            <w:pPr>
              <w:ind w:leftChars="-2" w:hanging="4" w:hangingChars="2"/>
              <w:jc w:val="center"/>
              <w:rPr>
                <w:color w:val="auto"/>
              </w:rPr>
            </w:pPr>
            <w:r>
              <w:rPr>
                <w:color w:val="auto"/>
              </w:rPr>
              <w:t>17.2</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61.81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炼厂干气</w:t>
            </w:r>
          </w:p>
        </w:tc>
        <w:tc>
          <w:tcPr>
            <w:tcW w:w="1663" w:type="dxa"/>
            <w:vAlign w:val="center"/>
          </w:tcPr>
          <w:p>
            <w:pPr>
              <w:ind w:leftChars="-2" w:hanging="4" w:hangingChars="2"/>
              <w:jc w:val="center"/>
              <w:rPr>
                <w:color w:val="auto"/>
              </w:rPr>
            </w:pPr>
            <w:r>
              <w:rPr>
                <w:color w:val="auto"/>
              </w:rPr>
              <w:t>18.2</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65.40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石脑油</w:t>
            </w:r>
          </w:p>
        </w:tc>
        <w:tc>
          <w:tcPr>
            <w:tcW w:w="1663" w:type="dxa"/>
            <w:vAlign w:val="center"/>
          </w:tcPr>
          <w:p>
            <w:pPr>
              <w:ind w:leftChars="-2" w:hanging="4" w:hangingChars="2"/>
              <w:jc w:val="center"/>
              <w:rPr>
                <w:color w:val="auto"/>
              </w:rPr>
            </w:pPr>
            <w:r>
              <w:rPr>
                <w:color w:val="auto"/>
              </w:rPr>
              <w:t>20.0</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沥青</w:t>
            </w:r>
          </w:p>
        </w:tc>
        <w:tc>
          <w:tcPr>
            <w:tcW w:w="1663" w:type="dxa"/>
            <w:vAlign w:val="center"/>
          </w:tcPr>
          <w:p>
            <w:pPr>
              <w:ind w:leftChars="-2" w:hanging="4" w:hangingChars="2"/>
              <w:jc w:val="center"/>
              <w:rPr>
                <w:color w:val="auto"/>
              </w:rPr>
            </w:pPr>
            <w:r>
              <w:rPr>
                <w:color w:val="auto"/>
              </w:rPr>
              <w:t>22.0</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润滑油</w:t>
            </w:r>
          </w:p>
        </w:tc>
        <w:tc>
          <w:tcPr>
            <w:tcW w:w="1663" w:type="dxa"/>
            <w:vAlign w:val="center"/>
          </w:tcPr>
          <w:p>
            <w:pPr>
              <w:ind w:leftChars="-2" w:hanging="4" w:hangingChars="2"/>
              <w:jc w:val="center"/>
              <w:rPr>
                <w:color w:val="auto"/>
              </w:rPr>
            </w:pPr>
            <w:r>
              <w:rPr>
                <w:color w:val="auto"/>
              </w:rPr>
              <w:t>20.0</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石油焦</w:t>
            </w:r>
          </w:p>
        </w:tc>
        <w:tc>
          <w:tcPr>
            <w:tcW w:w="1663" w:type="dxa"/>
            <w:vAlign w:val="center"/>
          </w:tcPr>
          <w:p>
            <w:pPr>
              <w:ind w:leftChars="-2" w:hanging="4" w:hangingChars="2"/>
              <w:jc w:val="center"/>
              <w:rPr>
                <w:color w:val="auto"/>
              </w:rPr>
            </w:pPr>
            <w:r>
              <w:rPr>
                <w:color w:val="auto"/>
              </w:rPr>
              <w:t>27.5</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98.82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石化原料油</w:t>
            </w:r>
          </w:p>
        </w:tc>
        <w:tc>
          <w:tcPr>
            <w:tcW w:w="1663" w:type="dxa"/>
            <w:vAlign w:val="center"/>
          </w:tcPr>
          <w:p>
            <w:pPr>
              <w:ind w:leftChars="-2" w:hanging="4" w:hangingChars="2"/>
              <w:jc w:val="center"/>
              <w:rPr>
                <w:color w:val="auto"/>
              </w:rPr>
            </w:pPr>
            <w:r>
              <w:rPr>
                <w:color w:val="auto"/>
              </w:rPr>
              <w:t>20.0</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Merge w:val="continue"/>
            <w:vAlign w:val="center"/>
          </w:tcPr>
          <w:p>
            <w:pPr>
              <w:ind w:firstLine="420"/>
              <w:jc w:val="center"/>
              <w:rPr>
                <w:rFonts w:eastAsiaTheme="minorEastAsia"/>
                <w:color w:val="auto"/>
              </w:rPr>
            </w:pPr>
          </w:p>
        </w:tc>
        <w:tc>
          <w:tcPr>
            <w:tcW w:w="1542" w:type="dxa"/>
            <w:vAlign w:val="center"/>
          </w:tcPr>
          <w:p>
            <w:pPr>
              <w:jc w:val="center"/>
              <w:rPr>
                <w:rFonts w:eastAsiaTheme="minorEastAsia"/>
                <w:color w:val="auto"/>
              </w:rPr>
            </w:pPr>
            <w:r>
              <w:rPr>
                <w:rFonts w:eastAsiaTheme="minorEastAsia"/>
                <w:color w:val="auto"/>
              </w:rPr>
              <w:t>其他油品</w:t>
            </w:r>
          </w:p>
        </w:tc>
        <w:tc>
          <w:tcPr>
            <w:tcW w:w="1663" w:type="dxa"/>
            <w:vAlign w:val="center"/>
          </w:tcPr>
          <w:p>
            <w:pPr>
              <w:ind w:leftChars="-2" w:hanging="4" w:hangingChars="2"/>
              <w:jc w:val="center"/>
              <w:rPr>
                <w:color w:val="auto"/>
              </w:rPr>
            </w:pPr>
            <w:r>
              <w:rPr>
                <w:color w:val="auto"/>
              </w:rPr>
              <w:t>20.0</w:t>
            </w:r>
          </w:p>
        </w:tc>
        <w:tc>
          <w:tcPr>
            <w:tcW w:w="1756" w:type="dxa"/>
          </w:tcPr>
          <w:p>
            <w:pPr>
              <w:ind w:leftChars="-2" w:hanging="4" w:hangingChars="2"/>
              <w:jc w:val="center"/>
              <w:rPr>
                <w:color w:val="auto"/>
              </w:rPr>
            </w:pPr>
            <w:r>
              <w:rPr>
                <w:color w:val="auto"/>
              </w:rPr>
              <w:t>0.98</w:t>
            </w:r>
          </w:p>
        </w:tc>
        <w:tc>
          <w:tcPr>
            <w:tcW w:w="2357" w:type="dxa"/>
          </w:tcPr>
          <w:p>
            <w:pPr>
              <w:ind w:leftChars="-2" w:hanging="4" w:hangingChars="2"/>
              <w:jc w:val="center"/>
              <w:rPr>
                <w:color w:val="auto"/>
              </w:rPr>
            </w:pPr>
            <w:r>
              <w:rPr>
                <w:color w:val="auto"/>
              </w:rPr>
              <w:t xml:space="preserve">71.87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998" w:type="dxa"/>
            <w:vAlign w:val="center"/>
          </w:tcPr>
          <w:p>
            <w:pPr>
              <w:rPr>
                <w:rFonts w:eastAsiaTheme="minorEastAsia"/>
                <w:color w:val="auto"/>
              </w:rPr>
            </w:pPr>
            <w:r>
              <w:rPr>
                <w:rFonts w:eastAsiaTheme="minorEastAsia"/>
                <w:color w:val="auto"/>
              </w:rPr>
              <w:t>气体燃料</w:t>
            </w:r>
          </w:p>
        </w:tc>
        <w:tc>
          <w:tcPr>
            <w:tcW w:w="1542" w:type="dxa"/>
            <w:vAlign w:val="center"/>
          </w:tcPr>
          <w:p>
            <w:pPr>
              <w:jc w:val="center"/>
              <w:rPr>
                <w:rFonts w:eastAsiaTheme="minorEastAsia"/>
                <w:color w:val="auto"/>
              </w:rPr>
            </w:pPr>
            <w:r>
              <w:rPr>
                <w:rFonts w:eastAsiaTheme="minorEastAsia"/>
                <w:color w:val="auto"/>
              </w:rPr>
              <w:t>天然气</w:t>
            </w:r>
          </w:p>
        </w:tc>
        <w:tc>
          <w:tcPr>
            <w:tcW w:w="1663" w:type="dxa"/>
            <w:vAlign w:val="center"/>
          </w:tcPr>
          <w:p>
            <w:pPr>
              <w:ind w:leftChars="-2" w:hanging="4" w:hangingChars="2"/>
              <w:jc w:val="center"/>
              <w:rPr>
                <w:color w:val="auto"/>
              </w:rPr>
            </w:pPr>
            <w:r>
              <w:rPr>
                <w:color w:val="auto"/>
              </w:rPr>
              <w:t>15.3</w:t>
            </w:r>
          </w:p>
        </w:tc>
        <w:tc>
          <w:tcPr>
            <w:tcW w:w="1756" w:type="dxa"/>
            <w:vAlign w:val="center"/>
          </w:tcPr>
          <w:p>
            <w:pPr>
              <w:ind w:leftChars="-2" w:hanging="4" w:hangingChars="2"/>
              <w:jc w:val="center"/>
              <w:rPr>
                <w:color w:val="auto"/>
              </w:rPr>
            </w:pPr>
            <w:r>
              <w:rPr>
                <w:color w:val="auto"/>
              </w:rPr>
              <w:t>0.99</w:t>
            </w:r>
          </w:p>
        </w:tc>
        <w:tc>
          <w:tcPr>
            <w:tcW w:w="2357" w:type="dxa"/>
          </w:tcPr>
          <w:p>
            <w:pPr>
              <w:ind w:leftChars="-2" w:hanging="4" w:hangingChars="2"/>
              <w:jc w:val="center"/>
              <w:rPr>
                <w:color w:val="auto"/>
              </w:rPr>
            </w:pPr>
            <w:r>
              <w:rPr>
                <w:color w:val="auto"/>
              </w:rPr>
              <w:t xml:space="preserve">55.54 </w:t>
            </w:r>
          </w:p>
        </w:tc>
      </w:tr>
    </w:tbl>
    <w:p>
      <w:pPr>
        <w:widowControl/>
        <w:jc w:val="left"/>
        <w:rPr>
          <w:b/>
          <w:color w:val="auto"/>
        </w:rPr>
      </w:pPr>
      <w:r>
        <w:rPr>
          <w:b/>
          <w:color w:val="auto"/>
        </w:rPr>
        <w:br w:type="page"/>
      </w:r>
    </w:p>
    <w:p>
      <w:pPr>
        <w:spacing w:line="360" w:lineRule="auto"/>
        <w:rPr>
          <w:color w:val="auto"/>
          <w:sz w:val="24"/>
          <w:szCs w:val="24"/>
        </w:rPr>
      </w:pPr>
      <w:r>
        <w:rPr>
          <w:rFonts w:hint="eastAsia"/>
          <w:b/>
          <w:bCs/>
          <w:color w:val="auto"/>
          <w:sz w:val="24"/>
          <w:szCs w:val="24"/>
        </w:rPr>
        <w:t>A.0.2</w:t>
      </w:r>
      <w:r>
        <w:rPr>
          <w:rFonts w:hint="eastAsia"/>
          <w:color w:val="auto"/>
          <w:sz w:val="24"/>
          <w:szCs w:val="24"/>
        </w:rPr>
        <w:t>其他能源排放因子应按表A.0.2选取。</w:t>
      </w:r>
    </w:p>
    <w:p>
      <w:pPr>
        <w:tabs>
          <w:tab w:val="left" w:pos="709"/>
        </w:tabs>
        <w:snapToGrid w:val="0"/>
        <w:spacing w:line="360" w:lineRule="auto"/>
        <w:ind w:left="142"/>
        <w:jc w:val="center"/>
        <w:rPr>
          <w:rFonts w:ascii="黑体" w:hAnsi="黑体" w:eastAsia="黑体"/>
          <w:color w:val="auto"/>
        </w:rPr>
      </w:pPr>
      <w:r>
        <w:rPr>
          <w:rFonts w:ascii="黑体" w:hAnsi="黑体" w:eastAsia="黑体"/>
          <w:color w:val="auto"/>
        </w:rPr>
        <w:t>表A.0.2 其他能源排放因子</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6"/>
        <w:gridCol w:w="1277"/>
        <w:gridCol w:w="990"/>
        <w:gridCol w:w="1278"/>
        <w:gridCol w:w="99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087" w:type="dxa"/>
            <w:gridSpan w:val="2"/>
            <w:vMerge w:val="restart"/>
            <w:shd w:val="clear" w:color="auto" w:fill="auto"/>
            <w:vAlign w:val="center"/>
          </w:tcPr>
          <w:p>
            <w:pPr>
              <w:jc w:val="center"/>
              <w:rPr>
                <w:color w:val="auto"/>
              </w:rPr>
            </w:pPr>
            <w:r>
              <w:rPr>
                <w:color w:val="auto"/>
              </w:rPr>
              <w:t>能源类型</w:t>
            </w:r>
          </w:p>
        </w:tc>
        <w:tc>
          <w:tcPr>
            <w:tcW w:w="1277" w:type="dxa"/>
            <w:vMerge w:val="restart"/>
            <w:shd w:val="clear" w:color="auto" w:fill="auto"/>
            <w:vAlign w:val="center"/>
          </w:tcPr>
          <w:p>
            <w:pPr>
              <w:widowControl/>
              <w:ind w:firstLine="2"/>
              <w:jc w:val="center"/>
              <w:rPr>
                <w:color w:val="auto"/>
              </w:rPr>
            </w:pPr>
            <w:r>
              <w:rPr>
                <w:color w:val="auto"/>
              </w:rPr>
              <w:t>缺省碳含量（</w:t>
            </w:r>
            <w:r>
              <w:rPr>
                <w:rFonts w:eastAsiaTheme="minorEastAsia"/>
                <w:color w:val="auto"/>
              </w:rPr>
              <w:t>tC/TJ</w:t>
            </w:r>
            <w:r>
              <w:rPr>
                <w:color w:val="auto"/>
              </w:rPr>
              <w:t>）</w:t>
            </w:r>
          </w:p>
        </w:tc>
        <w:tc>
          <w:tcPr>
            <w:tcW w:w="990" w:type="dxa"/>
            <w:vMerge w:val="restart"/>
            <w:shd w:val="clear" w:color="auto" w:fill="auto"/>
            <w:vAlign w:val="center"/>
          </w:tcPr>
          <w:p>
            <w:pPr>
              <w:widowControl/>
              <w:ind w:firstLine="2"/>
              <w:jc w:val="center"/>
              <w:rPr>
                <w:color w:val="auto"/>
              </w:rPr>
            </w:pPr>
            <w:r>
              <w:rPr>
                <w:color w:val="auto"/>
              </w:rPr>
              <w:t>缺省氧化因子</w:t>
            </w:r>
          </w:p>
        </w:tc>
        <w:tc>
          <w:tcPr>
            <w:tcW w:w="3168" w:type="dxa"/>
            <w:gridSpan w:val="3"/>
            <w:shd w:val="clear" w:color="auto" w:fill="auto"/>
            <w:vAlign w:val="center"/>
          </w:tcPr>
          <w:p>
            <w:pPr>
              <w:widowControl/>
              <w:jc w:val="center"/>
              <w:rPr>
                <w:color w:val="auto"/>
              </w:rPr>
            </w:pPr>
            <w:r>
              <w:rPr>
                <w:color w:val="auto"/>
              </w:rPr>
              <w:t>有效CO</w:t>
            </w:r>
            <w:r>
              <w:rPr>
                <w:color w:val="auto"/>
                <w:vertAlign w:val="subscript"/>
              </w:rPr>
              <w:t>2</w:t>
            </w:r>
            <w:r>
              <w:rPr>
                <w:color w:val="auto"/>
              </w:rPr>
              <w:t>排放因子（</w:t>
            </w:r>
            <w:r>
              <w:rPr>
                <w:rFonts w:eastAsiaTheme="minorEastAsia"/>
                <w:color w:val="auto"/>
              </w:rPr>
              <w:t>tCO</w:t>
            </w:r>
            <w:r>
              <w:rPr>
                <w:rFonts w:eastAsiaTheme="minorEastAsia"/>
                <w:color w:val="auto"/>
                <w:vertAlign w:val="subscript"/>
              </w:rPr>
              <w:t>2</w:t>
            </w:r>
            <w:r>
              <w:rPr>
                <w:rFonts w:eastAsiaTheme="minorEastAsia"/>
                <w:color w:val="auto"/>
              </w:rPr>
              <w:t>/TJ</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vMerge w:val="continue"/>
            <w:shd w:val="clear" w:color="auto" w:fill="auto"/>
            <w:vAlign w:val="center"/>
          </w:tcPr>
          <w:p>
            <w:pPr>
              <w:widowControl/>
              <w:jc w:val="center"/>
              <w:rPr>
                <w:color w:val="auto"/>
              </w:rPr>
            </w:pPr>
          </w:p>
        </w:tc>
        <w:tc>
          <w:tcPr>
            <w:tcW w:w="1277" w:type="dxa"/>
            <w:vMerge w:val="continue"/>
            <w:vAlign w:val="center"/>
          </w:tcPr>
          <w:p>
            <w:pPr>
              <w:widowControl/>
              <w:ind w:firstLine="2"/>
              <w:jc w:val="center"/>
              <w:rPr>
                <w:color w:val="auto"/>
              </w:rPr>
            </w:pPr>
          </w:p>
        </w:tc>
        <w:tc>
          <w:tcPr>
            <w:tcW w:w="990" w:type="dxa"/>
            <w:vMerge w:val="continue"/>
            <w:vAlign w:val="center"/>
          </w:tcPr>
          <w:p>
            <w:pPr>
              <w:widowControl/>
              <w:ind w:firstLine="2"/>
              <w:jc w:val="center"/>
              <w:rPr>
                <w:color w:val="auto"/>
              </w:rPr>
            </w:pPr>
          </w:p>
        </w:tc>
        <w:tc>
          <w:tcPr>
            <w:tcW w:w="1278" w:type="dxa"/>
            <w:vMerge w:val="restart"/>
            <w:shd w:val="clear" w:color="auto" w:fill="auto"/>
            <w:vAlign w:val="center"/>
          </w:tcPr>
          <w:p>
            <w:pPr>
              <w:widowControl/>
              <w:jc w:val="center"/>
              <w:rPr>
                <w:color w:val="auto"/>
              </w:rPr>
            </w:pPr>
            <w:r>
              <w:rPr>
                <w:color w:val="auto"/>
              </w:rPr>
              <w:t>缺省值</w:t>
            </w:r>
          </w:p>
        </w:tc>
        <w:tc>
          <w:tcPr>
            <w:tcW w:w="1890" w:type="dxa"/>
            <w:gridSpan w:val="2"/>
            <w:shd w:val="clear" w:color="auto" w:fill="auto"/>
            <w:vAlign w:val="center"/>
          </w:tcPr>
          <w:p>
            <w:pPr>
              <w:widowControl/>
              <w:jc w:val="center"/>
              <w:rPr>
                <w:color w:val="auto"/>
              </w:rPr>
            </w:pPr>
            <w:r>
              <w:rPr>
                <w:color w:val="auto"/>
              </w:rPr>
              <w:t>95%置信区间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vMerge w:val="continue"/>
            <w:shd w:val="clear" w:color="auto" w:fill="auto"/>
            <w:vAlign w:val="center"/>
          </w:tcPr>
          <w:p>
            <w:pPr>
              <w:widowControl/>
              <w:jc w:val="center"/>
              <w:rPr>
                <w:color w:val="auto"/>
              </w:rPr>
            </w:pPr>
          </w:p>
        </w:tc>
        <w:tc>
          <w:tcPr>
            <w:tcW w:w="1277" w:type="dxa"/>
            <w:vMerge w:val="continue"/>
            <w:shd w:val="clear" w:color="auto" w:fill="auto"/>
            <w:vAlign w:val="center"/>
          </w:tcPr>
          <w:p>
            <w:pPr>
              <w:widowControl/>
              <w:ind w:firstLine="2"/>
              <w:jc w:val="center"/>
              <w:rPr>
                <w:color w:val="auto"/>
              </w:rPr>
            </w:pPr>
          </w:p>
        </w:tc>
        <w:tc>
          <w:tcPr>
            <w:tcW w:w="990" w:type="dxa"/>
            <w:vMerge w:val="continue"/>
            <w:shd w:val="clear" w:color="auto" w:fill="auto"/>
            <w:vAlign w:val="center"/>
          </w:tcPr>
          <w:p>
            <w:pPr>
              <w:widowControl/>
              <w:ind w:firstLine="2"/>
              <w:jc w:val="center"/>
              <w:rPr>
                <w:color w:val="auto"/>
              </w:rPr>
            </w:pPr>
          </w:p>
        </w:tc>
        <w:tc>
          <w:tcPr>
            <w:tcW w:w="1278" w:type="dxa"/>
            <w:vMerge w:val="continue"/>
            <w:vAlign w:val="center"/>
          </w:tcPr>
          <w:p>
            <w:pPr>
              <w:widowControl/>
              <w:jc w:val="center"/>
              <w:rPr>
                <w:color w:val="auto"/>
              </w:rPr>
            </w:pPr>
          </w:p>
        </w:tc>
        <w:tc>
          <w:tcPr>
            <w:tcW w:w="992" w:type="dxa"/>
            <w:shd w:val="clear" w:color="auto" w:fill="auto"/>
            <w:vAlign w:val="center"/>
          </w:tcPr>
          <w:p>
            <w:pPr>
              <w:widowControl/>
              <w:jc w:val="center"/>
              <w:rPr>
                <w:color w:val="auto"/>
              </w:rPr>
            </w:pPr>
            <w:r>
              <w:rPr>
                <w:color w:val="auto"/>
              </w:rPr>
              <w:t>较低</w:t>
            </w:r>
          </w:p>
        </w:tc>
        <w:tc>
          <w:tcPr>
            <w:tcW w:w="898" w:type="dxa"/>
            <w:shd w:val="clear" w:color="auto" w:fill="auto"/>
            <w:vAlign w:val="center"/>
          </w:tcPr>
          <w:p>
            <w:pPr>
              <w:widowControl/>
              <w:jc w:val="center"/>
              <w:rPr>
                <w:color w:val="auto"/>
              </w:rPr>
            </w:pPr>
            <w:r>
              <w:rPr>
                <w:color w:val="auto"/>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shd w:val="clear" w:color="auto" w:fill="auto"/>
            <w:vAlign w:val="center"/>
          </w:tcPr>
          <w:p>
            <w:pPr>
              <w:widowControl/>
              <w:spacing w:line="240" w:lineRule="atLeast"/>
              <w:jc w:val="center"/>
              <w:rPr>
                <w:color w:val="auto"/>
              </w:rPr>
            </w:pPr>
            <w:r>
              <w:rPr>
                <w:color w:val="auto"/>
              </w:rPr>
              <w:t>城市废弃物</w:t>
            </w:r>
          </w:p>
          <w:p>
            <w:pPr>
              <w:widowControl/>
              <w:spacing w:line="240" w:lineRule="atLeast"/>
              <w:jc w:val="center"/>
              <w:rPr>
                <w:color w:val="auto"/>
              </w:rPr>
            </w:pPr>
            <w:r>
              <w:rPr>
                <w:color w:val="auto"/>
              </w:rPr>
              <w:t>（非生物量比例）</w:t>
            </w:r>
          </w:p>
        </w:tc>
        <w:tc>
          <w:tcPr>
            <w:tcW w:w="1277" w:type="dxa"/>
            <w:shd w:val="clear" w:color="auto" w:fill="auto"/>
            <w:vAlign w:val="center"/>
          </w:tcPr>
          <w:p>
            <w:pPr>
              <w:widowControl/>
              <w:ind w:firstLine="2"/>
              <w:jc w:val="center"/>
              <w:rPr>
                <w:color w:val="auto"/>
              </w:rPr>
            </w:pPr>
            <w:r>
              <w:rPr>
                <w:color w:val="auto"/>
              </w:rPr>
              <w:t>25.0</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91.7</w:t>
            </w:r>
          </w:p>
        </w:tc>
        <w:tc>
          <w:tcPr>
            <w:tcW w:w="992" w:type="dxa"/>
            <w:shd w:val="clear" w:color="auto" w:fill="auto"/>
            <w:vAlign w:val="center"/>
          </w:tcPr>
          <w:p>
            <w:pPr>
              <w:widowControl/>
              <w:jc w:val="center"/>
              <w:rPr>
                <w:color w:val="auto"/>
              </w:rPr>
            </w:pPr>
            <w:r>
              <w:rPr>
                <w:color w:val="auto"/>
              </w:rPr>
              <w:t>73.3</w:t>
            </w:r>
          </w:p>
        </w:tc>
        <w:tc>
          <w:tcPr>
            <w:tcW w:w="898" w:type="dxa"/>
            <w:shd w:val="clear" w:color="auto" w:fill="auto"/>
            <w:vAlign w:val="center"/>
          </w:tcPr>
          <w:p>
            <w:pPr>
              <w:widowControl/>
              <w:jc w:val="center"/>
              <w:rPr>
                <w:color w:val="auto"/>
              </w:rPr>
            </w:pPr>
            <w:r>
              <w:rPr>
                <w:color w:val="auto"/>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shd w:val="clear" w:color="auto" w:fill="auto"/>
            <w:vAlign w:val="center"/>
          </w:tcPr>
          <w:p>
            <w:pPr>
              <w:widowControl/>
              <w:jc w:val="center"/>
              <w:rPr>
                <w:color w:val="auto"/>
              </w:rPr>
            </w:pPr>
            <w:r>
              <w:rPr>
                <w:color w:val="auto"/>
              </w:rPr>
              <w:t>工业废弃物</w:t>
            </w:r>
          </w:p>
        </w:tc>
        <w:tc>
          <w:tcPr>
            <w:tcW w:w="1277" w:type="dxa"/>
            <w:shd w:val="clear" w:color="auto" w:fill="auto"/>
            <w:vAlign w:val="center"/>
          </w:tcPr>
          <w:p>
            <w:pPr>
              <w:widowControl/>
              <w:ind w:firstLine="2"/>
              <w:jc w:val="center"/>
              <w:rPr>
                <w:color w:val="auto"/>
              </w:rPr>
            </w:pPr>
            <w:r>
              <w:rPr>
                <w:color w:val="auto"/>
              </w:rPr>
              <w:t>39.0</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143.0</w:t>
            </w:r>
          </w:p>
        </w:tc>
        <w:tc>
          <w:tcPr>
            <w:tcW w:w="992" w:type="dxa"/>
            <w:shd w:val="clear" w:color="auto" w:fill="auto"/>
            <w:vAlign w:val="center"/>
          </w:tcPr>
          <w:p>
            <w:pPr>
              <w:widowControl/>
              <w:jc w:val="center"/>
              <w:rPr>
                <w:color w:val="auto"/>
              </w:rPr>
            </w:pPr>
            <w:r>
              <w:rPr>
                <w:color w:val="auto"/>
              </w:rPr>
              <w:t>110.0</w:t>
            </w:r>
          </w:p>
        </w:tc>
        <w:tc>
          <w:tcPr>
            <w:tcW w:w="898" w:type="dxa"/>
            <w:shd w:val="clear" w:color="auto" w:fill="auto"/>
            <w:vAlign w:val="center"/>
          </w:tcPr>
          <w:p>
            <w:pPr>
              <w:widowControl/>
              <w:jc w:val="center"/>
              <w:rPr>
                <w:color w:val="auto"/>
              </w:rPr>
            </w:pPr>
            <w:r>
              <w:rPr>
                <w:color w:val="auto"/>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shd w:val="clear" w:color="auto" w:fill="auto"/>
            <w:vAlign w:val="center"/>
          </w:tcPr>
          <w:p>
            <w:pPr>
              <w:widowControl/>
              <w:jc w:val="center"/>
              <w:rPr>
                <w:color w:val="auto"/>
              </w:rPr>
            </w:pPr>
            <w:r>
              <w:rPr>
                <w:color w:val="auto"/>
              </w:rPr>
              <w:t>废油</w:t>
            </w:r>
          </w:p>
        </w:tc>
        <w:tc>
          <w:tcPr>
            <w:tcW w:w="1277" w:type="dxa"/>
            <w:shd w:val="clear" w:color="auto" w:fill="auto"/>
            <w:vAlign w:val="center"/>
          </w:tcPr>
          <w:p>
            <w:pPr>
              <w:widowControl/>
              <w:ind w:firstLine="2"/>
              <w:jc w:val="center"/>
              <w:rPr>
                <w:color w:val="auto"/>
              </w:rPr>
            </w:pPr>
            <w:r>
              <w:rPr>
                <w:color w:val="auto"/>
              </w:rPr>
              <w:t>20.0</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73.3</w:t>
            </w:r>
          </w:p>
        </w:tc>
        <w:tc>
          <w:tcPr>
            <w:tcW w:w="992" w:type="dxa"/>
            <w:shd w:val="clear" w:color="auto" w:fill="auto"/>
            <w:vAlign w:val="center"/>
          </w:tcPr>
          <w:p>
            <w:pPr>
              <w:widowControl/>
              <w:jc w:val="center"/>
              <w:rPr>
                <w:color w:val="auto"/>
              </w:rPr>
            </w:pPr>
            <w:r>
              <w:rPr>
                <w:color w:val="auto"/>
              </w:rPr>
              <w:t>72.2</w:t>
            </w:r>
          </w:p>
        </w:tc>
        <w:tc>
          <w:tcPr>
            <w:tcW w:w="898" w:type="dxa"/>
            <w:shd w:val="clear" w:color="auto" w:fill="auto"/>
            <w:vAlign w:val="center"/>
          </w:tcPr>
          <w:p>
            <w:pPr>
              <w:widowControl/>
              <w:jc w:val="center"/>
              <w:rPr>
                <w:color w:val="auto"/>
              </w:rPr>
            </w:pPr>
            <w:r>
              <w:rPr>
                <w:color w:val="auto"/>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087" w:type="dxa"/>
            <w:gridSpan w:val="2"/>
            <w:shd w:val="clear" w:color="auto" w:fill="auto"/>
            <w:vAlign w:val="center"/>
          </w:tcPr>
          <w:p>
            <w:pPr>
              <w:widowControl/>
              <w:jc w:val="center"/>
              <w:rPr>
                <w:color w:val="auto"/>
              </w:rPr>
            </w:pPr>
            <w:r>
              <w:rPr>
                <w:color w:val="auto"/>
              </w:rPr>
              <w:t>泥炭</w:t>
            </w:r>
          </w:p>
        </w:tc>
        <w:tc>
          <w:tcPr>
            <w:tcW w:w="1277" w:type="dxa"/>
            <w:shd w:val="clear" w:color="auto" w:fill="auto"/>
            <w:vAlign w:val="center"/>
          </w:tcPr>
          <w:p>
            <w:pPr>
              <w:widowControl/>
              <w:ind w:firstLine="2"/>
              <w:jc w:val="center"/>
              <w:rPr>
                <w:color w:val="auto"/>
              </w:rPr>
            </w:pPr>
            <w:r>
              <w:rPr>
                <w:color w:val="auto"/>
              </w:rPr>
              <w:t>28.9</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106.0</w:t>
            </w:r>
          </w:p>
        </w:tc>
        <w:tc>
          <w:tcPr>
            <w:tcW w:w="992" w:type="dxa"/>
            <w:shd w:val="clear" w:color="auto" w:fill="auto"/>
            <w:vAlign w:val="center"/>
          </w:tcPr>
          <w:p>
            <w:pPr>
              <w:widowControl/>
              <w:jc w:val="center"/>
              <w:rPr>
                <w:color w:val="auto"/>
              </w:rPr>
            </w:pPr>
            <w:r>
              <w:rPr>
                <w:color w:val="auto"/>
              </w:rPr>
              <w:t>100.0</w:t>
            </w:r>
          </w:p>
        </w:tc>
        <w:tc>
          <w:tcPr>
            <w:tcW w:w="898" w:type="dxa"/>
            <w:shd w:val="clear" w:color="auto" w:fill="auto"/>
            <w:vAlign w:val="center"/>
          </w:tcPr>
          <w:p>
            <w:pPr>
              <w:widowControl/>
              <w:jc w:val="center"/>
              <w:rPr>
                <w:color w:val="auto"/>
              </w:rPr>
            </w:pPr>
            <w:r>
              <w:rPr>
                <w:color w:val="auto"/>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restart"/>
            <w:shd w:val="clear" w:color="auto" w:fill="auto"/>
            <w:vAlign w:val="center"/>
          </w:tcPr>
          <w:p>
            <w:pPr>
              <w:widowControl/>
              <w:jc w:val="center"/>
              <w:rPr>
                <w:color w:val="auto"/>
              </w:rPr>
            </w:pPr>
            <w:r>
              <w:rPr>
                <w:color w:val="auto"/>
              </w:rPr>
              <w:t>固体生物燃料</w:t>
            </w:r>
          </w:p>
        </w:tc>
        <w:tc>
          <w:tcPr>
            <w:tcW w:w="1986" w:type="dxa"/>
            <w:shd w:val="clear" w:color="auto" w:fill="auto"/>
            <w:vAlign w:val="center"/>
          </w:tcPr>
          <w:p>
            <w:pPr>
              <w:widowControl/>
              <w:jc w:val="center"/>
              <w:rPr>
                <w:color w:val="auto"/>
              </w:rPr>
            </w:pPr>
            <w:r>
              <w:rPr>
                <w:color w:val="auto"/>
              </w:rPr>
              <w:t>木材/木材废弃物</w:t>
            </w:r>
          </w:p>
        </w:tc>
        <w:tc>
          <w:tcPr>
            <w:tcW w:w="1277" w:type="dxa"/>
            <w:shd w:val="clear" w:color="auto" w:fill="auto"/>
            <w:vAlign w:val="center"/>
          </w:tcPr>
          <w:p>
            <w:pPr>
              <w:widowControl/>
              <w:ind w:firstLine="2"/>
              <w:jc w:val="center"/>
              <w:rPr>
                <w:color w:val="auto"/>
              </w:rPr>
            </w:pPr>
            <w:r>
              <w:rPr>
                <w:color w:val="auto"/>
              </w:rPr>
              <w:t>30.5</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112.0</w:t>
            </w:r>
          </w:p>
        </w:tc>
        <w:tc>
          <w:tcPr>
            <w:tcW w:w="992" w:type="dxa"/>
            <w:shd w:val="clear" w:color="auto" w:fill="auto"/>
            <w:vAlign w:val="center"/>
          </w:tcPr>
          <w:p>
            <w:pPr>
              <w:widowControl/>
              <w:jc w:val="center"/>
              <w:rPr>
                <w:color w:val="auto"/>
              </w:rPr>
            </w:pPr>
            <w:r>
              <w:rPr>
                <w:color w:val="auto"/>
              </w:rPr>
              <w:t>95.0</w:t>
            </w:r>
          </w:p>
        </w:tc>
        <w:tc>
          <w:tcPr>
            <w:tcW w:w="898" w:type="dxa"/>
            <w:shd w:val="clear" w:color="auto" w:fill="auto"/>
            <w:vAlign w:val="center"/>
          </w:tcPr>
          <w:p>
            <w:pPr>
              <w:widowControl/>
              <w:jc w:val="center"/>
              <w:rPr>
                <w:color w:val="auto"/>
              </w:rPr>
            </w:pPr>
            <w:r>
              <w:rPr>
                <w:color w:val="auto"/>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spacing w:line="240" w:lineRule="atLeast"/>
              <w:jc w:val="center"/>
              <w:rPr>
                <w:color w:val="auto"/>
              </w:rPr>
            </w:pPr>
            <w:r>
              <w:rPr>
                <w:color w:val="auto"/>
              </w:rPr>
              <w:t>亚硫酸盐废液</w:t>
            </w:r>
          </w:p>
          <w:p>
            <w:pPr>
              <w:widowControl/>
              <w:spacing w:line="240" w:lineRule="atLeast"/>
              <w:jc w:val="center"/>
              <w:rPr>
                <w:color w:val="auto"/>
              </w:rPr>
            </w:pPr>
            <w:r>
              <w:rPr>
                <w:color w:val="auto"/>
              </w:rPr>
              <w:t>（黑液）</w:t>
            </w:r>
          </w:p>
        </w:tc>
        <w:tc>
          <w:tcPr>
            <w:tcW w:w="1277" w:type="dxa"/>
            <w:shd w:val="clear" w:color="auto" w:fill="auto"/>
            <w:vAlign w:val="center"/>
          </w:tcPr>
          <w:p>
            <w:pPr>
              <w:widowControl/>
              <w:ind w:firstLine="2"/>
              <w:jc w:val="center"/>
              <w:rPr>
                <w:color w:val="auto"/>
              </w:rPr>
            </w:pPr>
            <w:r>
              <w:rPr>
                <w:color w:val="auto"/>
              </w:rPr>
              <w:t>26.0</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95.3</w:t>
            </w:r>
          </w:p>
        </w:tc>
        <w:tc>
          <w:tcPr>
            <w:tcW w:w="992" w:type="dxa"/>
            <w:shd w:val="clear" w:color="auto" w:fill="auto"/>
            <w:vAlign w:val="center"/>
          </w:tcPr>
          <w:p>
            <w:pPr>
              <w:widowControl/>
              <w:jc w:val="center"/>
              <w:rPr>
                <w:color w:val="auto"/>
              </w:rPr>
            </w:pPr>
            <w:r>
              <w:rPr>
                <w:color w:val="auto"/>
              </w:rPr>
              <w:t>80.7</w:t>
            </w:r>
          </w:p>
        </w:tc>
        <w:tc>
          <w:tcPr>
            <w:tcW w:w="898" w:type="dxa"/>
            <w:shd w:val="clear" w:color="auto" w:fill="auto"/>
            <w:vAlign w:val="center"/>
          </w:tcPr>
          <w:p>
            <w:pPr>
              <w:widowControl/>
              <w:jc w:val="center"/>
              <w:rPr>
                <w:color w:val="auto"/>
              </w:rPr>
            </w:pPr>
            <w:r>
              <w:rPr>
                <w:color w:val="auto"/>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jc w:val="center"/>
              <w:rPr>
                <w:color w:val="auto"/>
              </w:rPr>
            </w:pPr>
            <w:r>
              <w:rPr>
                <w:color w:val="auto"/>
              </w:rPr>
              <w:t>木炭</w:t>
            </w:r>
          </w:p>
        </w:tc>
        <w:tc>
          <w:tcPr>
            <w:tcW w:w="1277" w:type="dxa"/>
            <w:shd w:val="clear" w:color="auto" w:fill="auto"/>
            <w:vAlign w:val="center"/>
          </w:tcPr>
          <w:p>
            <w:pPr>
              <w:widowControl/>
              <w:ind w:firstLine="2"/>
              <w:jc w:val="center"/>
              <w:rPr>
                <w:color w:val="auto"/>
              </w:rPr>
            </w:pPr>
            <w:r>
              <w:rPr>
                <w:color w:val="auto"/>
              </w:rPr>
              <w:t>30.5</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112.0</w:t>
            </w:r>
          </w:p>
        </w:tc>
        <w:tc>
          <w:tcPr>
            <w:tcW w:w="992" w:type="dxa"/>
            <w:shd w:val="clear" w:color="auto" w:fill="auto"/>
            <w:vAlign w:val="center"/>
          </w:tcPr>
          <w:p>
            <w:pPr>
              <w:widowControl/>
              <w:jc w:val="center"/>
              <w:rPr>
                <w:color w:val="auto"/>
              </w:rPr>
            </w:pPr>
            <w:r>
              <w:rPr>
                <w:color w:val="auto"/>
              </w:rPr>
              <w:t>95.0</w:t>
            </w:r>
          </w:p>
        </w:tc>
        <w:tc>
          <w:tcPr>
            <w:tcW w:w="898" w:type="dxa"/>
            <w:shd w:val="clear" w:color="auto" w:fill="auto"/>
            <w:vAlign w:val="center"/>
          </w:tcPr>
          <w:p>
            <w:pPr>
              <w:widowControl/>
              <w:jc w:val="center"/>
              <w:rPr>
                <w:color w:val="auto"/>
              </w:rPr>
            </w:pPr>
            <w:r>
              <w:rPr>
                <w:color w:val="auto"/>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spacing w:line="240" w:lineRule="atLeast"/>
              <w:jc w:val="center"/>
              <w:rPr>
                <w:color w:val="auto"/>
              </w:rPr>
            </w:pPr>
            <w:r>
              <w:rPr>
                <w:color w:val="auto"/>
              </w:rPr>
              <w:t>其他主要固体生物量</w:t>
            </w:r>
          </w:p>
        </w:tc>
        <w:tc>
          <w:tcPr>
            <w:tcW w:w="1277" w:type="dxa"/>
            <w:shd w:val="clear" w:color="auto" w:fill="auto"/>
            <w:vAlign w:val="center"/>
          </w:tcPr>
          <w:p>
            <w:pPr>
              <w:widowControl/>
              <w:ind w:firstLine="2"/>
              <w:jc w:val="center"/>
              <w:rPr>
                <w:color w:val="auto"/>
              </w:rPr>
            </w:pPr>
            <w:r>
              <w:rPr>
                <w:color w:val="auto"/>
              </w:rPr>
              <w:t>27.3</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100.0</w:t>
            </w:r>
          </w:p>
        </w:tc>
        <w:tc>
          <w:tcPr>
            <w:tcW w:w="992" w:type="dxa"/>
            <w:shd w:val="clear" w:color="auto" w:fill="auto"/>
            <w:vAlign w:val="center"/>
          </w:tcPr>
          <w:p>
            <w:pPr>
              <w:widowControl/>
              <w:jc w:val="center"/>
              <w:rPr>
                <w:color w:val="auto"/>
              </w:rPr>
            </w:pPr>
            <w:r>
              <w:rPr>
                <w:color w:val="auto"/>
              </w:rPr>
              <w:t>84.7</w:t>
            </w:r>
          </w:p>
        </w:tc>
        <w:tc>
          <w:tcPr>
            <w:tcW w:w="898" w:type="dxa"/>
            <w:shd w:val="clear" w:color="auto" w:fill="auto"/>
            <w:vAlign w:val="center"/>
          </w:tcPr>
          <w:p>
            <w:pPr>
              <w:widowControl/>
              <w:jc w:val="center"/>
              <w:rPr>
                <w:color w:val="auto"/>
              </w:rPr>
            </w:pPr>
            <w:r>
              <w:rPr>
                <w:color w:val="auto"/>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restart"/>
            <w:shd w:val="clear" w:color="auto" w:fill="auto"/>
            <w:vAlign w:val="center"/>
          </w:tcPr>
          <w:p>
            <w:pPr>
              <w:widowControl/>
              <w:jc w:val="center"/>
              <w:rPr>
                <w:color w:val="auto"/>
              </w:rPr>
            </w:pPr>
            <w:r>
              <w:rPr>
                <w:color w:val="auto"/>
              </w:rPr>
              <w:t>液体生物燃料</w:t>
            </w:r>
          </w:p>
        </w:tc>
        <w:tc>
          <w:tcPr>
            <w:tcW w:w="1986" w:type="dxa"/>
            <w:shd w:val="clear" w:color="auto" w:fill="auto"/>
            <w:vAlign w:val="center"/>
          </w:tcPr>
          <w:p>
            <w:pPr>
              <w:widowControl/>
              <w:jc w:val="center"/>
              <w:rPr>
                <w:color w:val="auto"/>
              </w:rPr>
            </w:pPr>
            <w:r>
              <w:rPr>
                <w:color w:val="auto"/>
              </w:rPr>
              <w:t>生物汽油</w:t>
            </w:r>
          </w:p>
        </w:tc>
        <w:tc>
          <w:tcPr>
            <w:tcW w:w="1277" w:type="dxa"/>
            <w:shd w:val="clear" w:color="auto" w:fill="auto"/>
            <w:vAlign w:val="center"/>
          </w:tcPr>
          <w:p>
            <w:pPr>
              <w:widowControl/>
              <w:ind w:firstLine="2"/>
              <w:jc w:val="center"/>
              <w:rPr>
                <w:color w:val="auto"/>
              </w:rPr>
            </w:pPr>
            <w:r>
              <w:rPr>
                <w:color w:val="auto"/>
              </w:rPr>
              <w:t>19.3</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70.8</w:t>
            </w:r>
          </w:p>
        </w:tc>
        <w:tc>
          <w:tcPr>
            <w:tcW w:w="992" w:type="dxa"/>
            <w:shd w:val="clear" w:color="auto" w:fill="auto"/>
            <w:vAlign w:val="center"/>
          </w:tcPr>
          <w:p>
            <w:pPr>
              <w:widowControl/>
              <w:jc w:val="center"/>
              <w:rPr>
                <w:color w:val="auto"/>
              </w:rPr>
            </w:pPr>
            <w:r>
              <w:rPr>
                <w:color w:val="auto"/>
              </w:rPr>
              <w:t>59.8</w:t>
            </w:r>
          </w:p>
        </w:tc>
        <w:tc>
          <w:tcPr>
            <w:tcW w:w="898" w:type="dxa"/>
            <w:shd w:val="clear" w:color="auto" w:fill="auto"/>
            <w:vAlign w:val="center"/>
          </w:tcPr>
          <w:p>
            <w:pPr>
              <w:widowControl/>
              <w:jc w:val="center"/>
              <w:rPr>
                <w:color w:val="auto"/>
              </w:rPr>
            </w:pPr>
            <w:r>
              <w:rPr>
                <w:color w:val="auto"/>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jc w:val="center"/>
              <w:rPr>
                <w:color w:val="auto"/>
              </w:rPr>
            </w:pPr>
            <w:r>
              <w:rPr>
                <w:color w:val="auto"/>
              </w:rPr>
              <w:t>生物柴油</w:t>
            </w:r>
          </w:p>
        </w:tc>
        <w:tc>
          <w:tcPr>
            <w:tcW w:w="1277" w:type="dxa"/>
            <w:shd w:val="clear" w:color="auto" w:fill="auto"/>
            <w:vAlign w:val="center"/>
          </w:tcPr>
          <w:p>
            <w:pPr>
              <w:widowControl/>
              <w:ind w:firstLine="2"/>
              <w:jc w:val="center"/>
              <w:rPr>
                <w:color w:val="auto"/>
              </w:rPr>
            </w:pPr>
            <w:r>
              <w:rPr>
                <w:color w:val="auto"/>
              </w:rPr>
              <w:t>19.3</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70.8</w:t>
            </w:r>
          </w:p>
        </w:tc>
        <w:tc>
          <w:tcPr>
            <w:tcW w:w="992" w:type="dxa"/>
            <w:shd w:val="clear" w:color="auto" w:fill="auto"/>
            <w:vAlign w:val="center"/>
          </w:tcPr>
          <w:p>
            <w:pPr>
              <w:widowControl/>
              <w:jc w:val="center"/>
              <w:rPr>
                <w:color w:val="auto"/>
              </w:rPr>
            </w:pPr>
            <w:r>
              <w:rPr>
                <w:color w:val="auto"/>
              </w:rPr>
              <w:t>59.8</w:t>
            </w:r>
          </w:p>
        </w:tc>
        <w:tc>
          <w:tcPr>
            <w:tcW w:w="898" w:type="dxa"/>
            <w:shd w:val="clear" w:color="auto" w:fill="auto"/>
            <w:vAlign w:val="center"/>
          </w:tcPr>
          <w:p>
            <w:pPr>
              <w:widowControl/>
              <w:jc w:val="center"/>
              <w:rPr>
                <w:color w:val="auto"/>
              </w:rPr>
            </w:pPr>
            <w:r>
              <w:rPr>
                <w:color w:val="auto"/>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jc w:val="center"/>
              <w:rPr>
                <w:color w:val="auto"/>
              </w:rPr>
            </w:pPr>
            <w:r>
              <w:rPr>
                <w:color w:val="auto"/>
              </w:rPr>
              <w:t>其他液体生物燃料</w:t>
            </w:r>
          </w:p>
        </w:tc>
        <w:tc>
          <w:tcPr>
            <w:tcW w:w="1277" w:type="dxa"/>
            <w:shd w:val="clear" w:color="auto" w:fill="auto"/>
            <w:vAlign w:val="center"/>
          </w:tcPr>
          <w:p>
            <w:pPr>
              <w:widowControl/>
              <w:ind w:firstLine="2"/>
              <w:jc w:val="center"/>
              <w:rPr>
                <w:color w:val="auto"/>
              </w:rPr>
            </w:pPr>
            <w:r>
              <w:rPr>
                <w:color w:val="auto"/>
              </w:rPr>
              <w:t>21.7</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79.6</w:t>
            </w:r>
          </w:p>
        </w:tc>
        <w:tc>
          <w:tcPr>
            <w:tcW w:w="992" w:type="dxa"/>
            <w:shd w:val="clear" w:color="auto" w:fill="auto"/>
            <w:vAlign w:val="center"/>
          </w:tcPr>
          <w:p>
            <w:pPr>
              <w:widowControl/>
              <w:jc w:val="center"/>
              <w:rPr>
                <w:color w:val="auto"/>
              </w:rPr>
            </w:pPr>
            <w:r>
              <w:rPr>
                <w:color w:val="auto"/>
              </w:rPr>
              <w:t>67.1</w:t>
            </w:r>
          </w:p>
        </w:tc>
        <w:tc>
          <w:tcPr>
            <w:tcW w:w="898" w:type="dxa"/>
            <w:shd w:val="clear" w:color="auto" w:fill="auto"/>
            <w:vAlign w:val="center"/>
          </w:tcPr>
          <w:p>
            <w:pPr>
              <w:widowControl/>
              <w:jc w:val="center"/>
              <w:rPr>
                <w:color w:val="auto"/>
              </w:rPr>
            </w:pPr>
            <w:r>
              <w:rPr>
                <w:color w:val="auto"/>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restart"/>
            <w:shd w:val="clear" w:color="auto" w:fill="auto"/>
            <w:vAlign w:val="center"/>
          </w:tcPr>
          <w:p>
            <w:pPr>
              <w:widowControl/>
              <w:jc w:val="center"/>
              <w:rPr>
                <w:color w:val="auto"/>
              </w:rPr>
            </w:pPr>
            <w:r>
              <w:rPr>
                <w:color w:val="auto"/>
              </w:rPr>
              <w:t>气体生物量</w:t>
            </w:r>
          </w:p>
        </w:tc>
        <w:tc>
          <w:tcPr>
            <w:tcW w:w="1986" w:type="dxa"/>
            <w:shd w:val="clear" w:color="auto" w:fill="auto"/>
            <w:vAlign w:val="center"/>
          </w:tcPr>
          <w:p>
            <w:pPr>
              <w:widowControl/>
              <w:jc w:val="center"/>
              <w:rPr>
                <w:color w:val="auto"/>
              </w:rPr>
            </w:pPr>
            <w:r>
              <w:rPr>
                <w:color w:val="auto"/>
              </w:rPr>
              <w:t>填埋气体</w:t>
            </w:r>
          </w:p>
        </w:tc>
        <w:tc>
          <w:tcPr>
            <w:tcW w:w="1277" w:type="dxa"/>
            <w:shd w:val="clear" w:color="auto" w:fill="auto"/>
            <w:vAlign w:val="center"/>
          </w:tcPr>
          <w:p>
            <w:pPr>
              <w:widowControl/>
              <w:ind w:firstLine="2"/>
              <w:jc w:val="center"/>
              <w:rPr>
                <w:color w:val="auto"/>
              </w:rPr>
            </w:pPr>
            <w:r>
              <w:rPr>
                <w:color w:val="auto"/>
              </w:rPr>
              <w:t>14.9</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54.6</w:t>
            </w:r>
          </w:p>
        </w:tc>
        <w:tc>
          <w:tcPr>
            <w:tcW w:w="992" w:type="dxa"/>
            <w:shd w:val="clear" w:color="auto" w:fill="auto"/>
            <w:vAlign w:val="center"/>
          </w:tcPr>
          <w:p>
            <w:pPr>
              <w:widowControl/>
              <w:jc w:val="center"/>
              <w:rPr>
                <w:color w:val="auto"/>
              </w:rPr>
            </w:pPr>
            <w:r>
              <w:rPr>
                <w:color w:val="auto"/>
              </w:rPr>
              <w:t>46.2</w:t>
            </w:r>
          </w:p>
        </w:tc>
        <w:tc>
          <w:tcPr>
            <w:tcW w:w="898" w:type="dxa"/>
            <w:shd w:val="clear" w:color="auto" w:fill="auto"/>
            <w:vAlign w:val="center"/>
          </w:tcPr>
          <w:p>
            <w:pPr>
              <w:widowControl/>
              <w:jc w:val="center"/>
              <w:rPr>
                <w:color w:val="auto"/>
              </w:rPr>
            </w:pPr>
            <w:r>
              <w:rPr>
                <w:color w:val="auto"/>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jc w:val="center"/>
              <w:rPr>
                <w:color w:val="auto"/>
              </w:rPr>
            </w:pPr>
            <w:r>
              <w:rPr>
                <w:color w:val="auto"/>
              </w:rPr>
              <w:t>污泥气体</w:t>
            </w:r>
          </w:p>
        </w:tc>
        <w:tc>
          <w:tcPr>
            <w:tcW w:w="1277" w:type="dxa"/>
            <w:shd w:val="clear" w:color="auto" w:fill="auto"/>
            <w:vAlign w:val="center"/>
          </w:tcPr>
          <w:p>
            <w:pPr>
              <w:widowControl/>
              <w:ind w:firstLine="2"/>
              <w:jc w:val="center"/>
              <w:rPr>
                <w:color w:val="auto"/>
              </w:rPr>
            </w:pPr>
            <w:r>
              <w:rPr>
                <w:color w:val="auto"/>
              </w:rPr>
              <w:t>14.9</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54.6</w:t>
            </w:r>
          </w:p>
        </w:tc>
        <w:tc>
          <w:tcPr>
            <w:tcW w:w="992" w:type="dxa"/>
            <w:shd w:val="clear" w:color="auto" w:fill="auto"/>
            <w:vAlign w:val="center"/>
          </w:tcPr>
          <w:p>
            <w:pPr>
              <w:widowControl/>
              <w:jc w:val="center"/>
              <w:rPr>
                <w:color w:val="auto"/>
              </w:rPr>
            </w:pPr>
            <w:r>
              <w:rPr>
                <w:color w:val="auto"/>
              </w:rPr>
              <w:t>46.2</w:t>
            </w:r>
          </w:p>
        </w:tc>
        <w:tc>
          <w:tcPr>
            <w:tcW w:w="898" w:type="dxa"/>
            <w:shd w:val="clear" w:color="auto" w:fill="auto"/>
            <w:vAlign w:val="center"/>
          </w:tcPr>
          <w:p>
            <w:pPr>
              <w:widowControl/>
              <w:jc w:val="center"/>
              <w:rPr>
                <w:color w:val="auto"/>
              </w:rPr>
            </w:pPr>
            <w:r>
              <w:rPr>
                <w:color w:val="auto"/>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vMerge w:val="continue"/>
            <w:shd w:val="clear" w:color="auto" w:fill="auto"/>
            <w:vAlign w:val="center"/>
          </w:tcPr>
          <w:p>
            <w:pPr>
              <w:widowControl/>
              <w:jc w:val="center"/>
              <w:rPr>
                <w:color w:val="auto"/>
              </w:rPr>
            </w:pPr>
          </w:p>
        </w:tc>
        <w:tc>
          <w:tcPr>
            <w:tcW w:w="1986" w:type="dxa"/>
            <w:shd w:val="clear" w:color="auto" w:fill="auto"/>
            <w:vAlign w:val="center"/>
          </w:tcPr>
          <w:p>
            <w:pPr>
              <w:widowControl/>
              <w:jc w:val="center"/>
              <w:rPr>
                <w:color w:val="auto"/>
              </w:rPr>
            </w:pPr>
            <w:r>
              <w:rPr>
                <w:color w:val="auto"/>
              </w:rPr>
              <w:t>其他生物气体</w:t>
            </w:r>
          </w:p>
        </w:tc>
        <w:tc>
          <w:tcPr>
            <w:tcW w:w="1277" w:type="dxa"/>
            <w:shd w:val="clear" w:color="auto" w:fill="auto"/>
            <w:vAlign w:val="center"/>
          </w:tcPr>
          <w:p>
            <w:pPr>
              <w:widowControl/>
              <w:ind w:firstLine="2"/>
              <w:jc w:val="center"/>
              <w:rPr>
                <w:color w:val="auto"/>
              </w:rPr>
            </w:pPr>
            <w:r>
              <w:rPr>
                <w:color w:val="auto"/>
              </w:rPr>
              <w:t>14.9</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54.6</w:t>
            </w:r>
          </w:p>
        </w:tc>
        <w:tc>
          <w:tcPr>
            <w:tcW w:w="992" w:type="dxa"/>
            <w:shd w:val="clear" w:color="auto" w:fill="auto"/>
            <w:vAlign w:val="center"/>
          </w:tcPr>
          <w:p>
            <w:pPr>
              <w:widowControl/>
              <w:jc w:val="center"/>
              <w:rPr>
                <w:color w:val="auto"/>
              </w:rPr>
            </w:pPr>
            <w:r>
              <w:rPr>
                <w:color w:val="auto"/>
              </w:rPr>
              <w:t>46.2</w:t>
            </w:r>
          </w:p>
        </w:tc>
        <w:tc>
          <w:tcPr>
            <w:tcW w:w="898" w:type="dxa"/>
            <w:shd w:val="clear" w:color="auto" w:fill="auto"/>
            <w:vAlign w:val="center"/>
          </w:tcPr>
          <w:p>
            <w:pPr>
              <w:widowControl/>
              <w:jc w:val="center"/>
              <w:rPr>
                <w:color w:val="auto"/>
              </w:rPr>
            </w:pPr>
            <w:r>
              <w:rPr>
                <w:color w:val="auto"/>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01" w:type="dxa"/>
            <w:shd w:val="clear" w:color="auto" w:fill="auto"/>
            <w:vAlign w:val="center"/>
          </w:tcPr>
          <w:p>
            <w:pPr>
              <w:widowControl/>
              <w:jc w:val="center"/>
              <w:rPr>
                <w:color w:val="auto"/>
              </w:rPr>
            </w:pPr>
            <w:r>
              <w:rPr>
                <w:color w:val="auto"/>
              </w:rPr>
              <w:t>其他非化石燃料</w:t>
            </w:r>
          </w:p>
        </w:tc>
        <w:tc>
          <w:tcPr>
            <w:tcW w:w="1986" w:type="dxa"/>
            <w:shd w:val="clear" w:color="auto" w:fill="auto"/>
            <w:vAlign w:val="center"/>
          </w:tcPr>
          <w:p>
            <w:pPr>
              <w:widowControl/>
              <w:spacing w:line="240" w:lineRule="atLeast"/>
              <w:jc w:val="center"/>
              <w:rPr>
                <w:color w:val="auto"/>
              </w:rPr>
            </w:pPr>
            <w:r>
              <w:rPr>
                <w:color w:val="auto"/>
              </w:rPr>
              <w:t>城市废弃物</w:t>
            </w:r>
          </w:p>
          <w:p>
            <w:pPr>
              <w:widowControl/>
              <w:spacing w:line="240" w:lineRule="atLeast"/>
              <w:jc w:val="center"/>
              <w:rPr>
                <w:color w:val="auto"/>
              </w:rPr>
            </w:pPr>
            <w:r>
              <w:rPr>
                <w:color w:val="auto"/>
              </w:rPr>
              <w:t>（生物量比例）</w:t>
            </w:r>
          </w:p>
        </w:tc>
        <w:tc>
          <w:tcPr>
            <w:tcW w:w="1277" w:type="dxa"/>
            <w:shd w:val="clear" w:color="auto" w:fill="auto"/>
            <w:vAlign w:val="center"/>
          </w:tcPr>
          <w:p>
            <w:pPr>
              <w:widowControl/>
              <w:ind w:firstLine="2"/>
              <w:jc w:val="center"/>
              <w:rPr>
                <w:color w:val="auto"/>
              </w:rPr>
            </w:pPr>
            <w:r>
              <w:rPr>
                <w:color w:val="auto"/>
              </w:rPr>
              <w:t>27.3</w:t>
            </w:r>
          </w:p>
        </w:tc>
        <w:tc>
          <w:tcPr>
            <w:tcW w:w="990" w:type="dxa"/>
            <w:shd w:val="clear" w:color="auto" w:fill="auto"/>
            <w:vAlign w:val="center"/>
          </w:tcPr>
          <w:p>
            <w:pPr>
              <w:widowControl/>
              <w:ind w:firstLine="2"/>
              <w:jc w:val="center"/>
              <w:rPr>
                <w:color w:val="auto"/>
              </w:rPr>
            </w:pPr>
            <w:r>
              <w:rPr>
                <w:color w:val="auto"/>
              </w:rPr>
              <w:t>1</w:t>
            </w:r>
          </w:p>
        </w:tc>
        <w:tc>
          <w:tcPr>
            <w:tcW w:w="1278" w:type="dxa"/>
            <w:shd w:val="clear" w:color="auto" w:fill="auto"/>
            <w:vAlign w:val="center"/>
          </w:tcPr>
          <w:p>
            <w:pPr>
              <w:widowControl/>
              <w:jc w:val="center"/>
              <w:rPr>
                <w:color w:val="auto"/>
              </w:rPr>
            </w:pPr>
            <w:r>
              <w:rPr>
                <w:color w:val="auto"/>
              </w:rPr>
              <w:t>100.0</w:t>
            </w:r>
          </w:p>
        </w:tc>
        <w:tc>
          <w:tcPr>
            <w:tcW w:w="992" w:type="dxa"/>
            <w:shd w:val="clear" w:color="auto" w:fill="auto"/>
            <w:vAlign w:val="center"/>
          </w:tcPr>
          <w:p>
            <w:pPr>
              <w:widowControl/>
              <w:jc w:val="center"/>
              <w:rPr>
                <w:color w:val="auto"/>
              </w:rPr>
            </w:pPr>
            <w:r>
              <w:rPr>
                <w:color w:val="auto"/>
              </w:rPr>
              <w:t>84.7</w:t>
            </w:r>
          </w:p>
        </w:tc>
        <w:tc>
          <w:tcPr>
            <w:tcW w:w="898" w:type="dxa"/>
            <w:shd w:val="clear" w:color="auto" w:fill="auto"/>
            <w:vAlign w:val="center"/>
          </w:tcPr>
          <w:p>
            <w:pPr>
              <w:widowControl/>
              <w:jc w:val="center"/>
              <w:rPr>
                <w:color w:val="auto"/>
              </w:rPr>
            </w:pPr>
            <w:r>
              <w:rPr>
                <w:color w:val="auto"/>
              </w:rPr>
              <w:t>117.0</w:t>
            </w:r>
          </w:p>
        </w:tc>
      </w:tr>
    </w:tbl>
    <w:p>
      <w:pPr>
        <w:spacing w:line="360" w:lineRule="auto"/>
        <w:rPr>
          <w:rFonts w:ascii="宋体" w:hAnsi="宋体"/>
          <w:color w:val="auto"/>
          <w:sz w:val="24"/>
        </w:rPr>
      </w:pPr>
    </w:p>
    <w:p>
      <w:pPr>
        <w:rPr>
          <w:color w:val="auto"/>
          <w:sz w:val="24"/>
          <w:szCs w:val="24"/>
        </w:rPr>
      </w:pPr>
      <w:r>
        <w:rPr>
          <w:rFonts w:hint="eastAsia"/>
          <w:b/>
          <w:bCs/>
          <w:color w:val="auto"/>
          <w:sz w:val="24"/>
          <w:szCs w:val="24"/>
        </w:rPr>
        <w:t>A</w:t>
      </w:r>
      <w:r>
        <w:rPr>
          <w:b/>
          <w:bCs/>
          <w:color w:val="auto"/>
          <w:sz w:val="24"/>
          <w:szCs w:val="24"/>
        </w:rPr>
        <w:t>.0.3</w:t>
      </w:r>
      <w:r>
        <w:rPr>
          <w:rFonts w:hint="eastAsia"/>
          <w:color w:val="auto"/>
          <w:sz w:val="24"/>
          <w:szCs w:val="24"/>
        </w:rPr>
        <w:t>二次能源碳排放因子应按表A.0.</w:t>
      </w:r>
      <w:r>
        <w:rPr>
          <w:color w:val="auto"/>
          <w:sz w:val="24"/>
          <w:szCs w:val="24"/>
        </w:rPr>
        <w:t>3</w:t>
      </w:r>
      <w:r>
        <w:rPr>
          <w:rFonts w:hint="eastAsia"/>
          <w:color w:val="auto"/>
          <w:sz w:val="24"/>
          <w:szCs w:val="24"/>
        </w:rPr>
        <w:t>选取。</w:t>
      </w:r>
    </w:p>
    <w:p>
      <w:pPr>
        <w:tabs>
          <w:tab w:val="left" w:pos="709"/>
        </w:tabs>
        <w:snapToGrid w:val="0"/>
        <w:spacing w:line="360" w:lineRule="auto"/>
        <w:ind w:left="142"/>
        <w:jc w:val="center"/>
        <w:rPr>
          <w:rFonts w:ascii="黑体" w:hAnsi="黑体" w:eastAsia="黑体"/>
          <w:color w:val="auto"/>
        </w:rPr>
      </w:pPr>
      <w:r>
        <w:rPr>
          <w:rFonts w:ascii="黑体" w:hAnsi="黑体" w:eastAsia="黑体"/>
          <w:color w:val="auto"/>
        </w:rPr>
        <w:t xml:space="preserve">表A.0.3 </w:t>
      </w:r>
      <w:r>
        <w:rPr>
          <w:rFonts w:hint="eastAsia" w:ascii="黑体" w:hAnsi="黑体" w:eastAsia="黑体"/>
          <w:color w:val="auto"/>
        </w:rPr>
        <w:t>二次</w:t>
      </w:r>
      <w:r>
        <w:rPr>
          <w:rFonts w:ascii="黑体" w:hAnsi="黑体" w:eastAsia="黑体"/>
          <w:color w:val="auto"/>
        </w:rPr>
        <w:t>能源排放因子</w:t>
      </w:r>
    </w:p>
    <w:tbl>
      <w:tblPr>
        <w:tblStyle w:val="17"/>
        <w:tblW w:w="6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jc w:val="center"/>
        </w:trPr>
        <w:tc>
          <w:tcPr>
            <w:tcW w:w="3765" w:type="dxa"/>
            <w:shd w:val="clear" w:color="auto" w:fill="auto"/>
            <w:vAlign w:val="center"/>
          </w:tcPr>
          <w:p>
            <w:pPr>
              <w:widowControl/>
              <w:spacing w:line="240" w:lineRule="atLeast"/>
              <w:jc w:val="center"/>
              <w:rPr>
                <w:color w:val="auto"/>
              </w:rPr>
            </w:pPr>
            <w:r>
              <w:rPr>
                <w:rFonts w:hint="eastAsia"/>
                <w:color w:val="auto"/>
              </w:rPr>
              <w:t>能源类型</w:t>
            </w:r>
          </w:p>
        </w:tc>
        <w:tc>
          <w:tcPr>
            <w:tcW w:w="2494" w:type="dxa"/>
            <w:shd w:val="clear" w:color="auto" w:fill="auto"/>
            <w:vAlign w:val="center"/>
          </w:tcPr>
          <w:p>
            <w:pPr>
              <w:widowControl/>
              <w:ind w:firstLine="2"/>
              <w:jc w:val="center"/>
              <w:rPr>
                <w:color w:val="auto"/>
              </w:rPr>
            </w:pPr>
            <w:r>
              <w:rPr>
                <w:rFonts w:hint="eastAsia"/>
                <w:color w:val="auto"/>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765" w:type="dxa"/>
            <w:shd w:val="clear" w:color="auto" w:fill="auto"/>
            <w:vAlign w:val="center"/>
          </w:tcPr>
          <w:p>
            <w:pPr>
              <w:widowControl/>
              <w:jc w:val="center"/>
              <w:rPr>
                <w:color w:val="auto"/>
              </w:rPr>
            </w:pPr>
            <w:r>
              <w:rPr>
                <w:rFonts w:hint="eastAsia"/>
                <w:color w:val="auto"/>
              </w:rPr>
              <w:t>市政热力</w:t>
            </w:r>
          </w:p>
        </w:tc>
        <w:tc>
          <w:tcPr>
            <w:tcW w:w="2494" w:type="dxa"/>
            <w:shd w:val="clear" w:color="auto" w:fill="auto"/>
            <w:vAlign w:val="center"/>
          </w:tcPr>
          <w:p>
            <w:pPr>
              <w:widowControl/>
              <w:ind w:firstLine="2"/>
              <w:jc w:val="center"/>
              <w:rPr>
                <w:color w:val="auto"/>
              </w:rPr>
            </w:pPr>
            <w:r>
              <w:rPr>
                <w:color w:val="auto"/>
              </w:rPr>
              <w:t>0.11</w:t>
            </w:r>
            <w:r>
              <w:rPr>
                <w:rFonts w:hint="eastAsia"/>
                <w:color w:val="auto"/>
              </w:rPr>
              <w:t xml:space="preserve"> t</w:t>
            </w:r>
            <w:r>
              <w:rPr>
                <w:color w:val="auto"/>
              </w:rPr>
              <w:t>CO</w:t>
            </w:r>
            <w:r>
              <w:rPr>
                <w:color w:val="auto"/>
                <w:vertAlign w:val="subscript"/>
              </w:rPr>
              <w:t>2</w:t>
            </w:r>
            <w:r>
              <w:rPr>
                <w:rFonts w:hint="eastAsia"/>
                <w:color w:val="auto"/>
              </w:rPr>
              <w:t>/</w:t>
            </w:r>
            <w:r>
              <w:rPr>
                <w:color w:val="auto"/>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765" w:type="dxa"/>
            <w:shd w:val="clear" w:color="auto" w:fill="auto"/>
            <w:vAlign w:val="center"/>
          </w:tcPr>
          <w:p>
            <w:pPr>
              <w:widowControl/>
              <w:jc w:val="center"/>
              <w:rPr>
                <w:color w:val="auto"/>
              </w:rPr>
            </w:pPr>
            <w:r>
              <w:rPr>
                <w:rFonts w:hint="eastAsia"/>
                <w:color w:val="auto"/>
              </w:rPr>
              <w:t>市政电力</w:t>
            </w:r>
          </w:p>
        </w:tc>
        <w:tc>
          <w:tcPr>
            <w:tcW w:w="2494" w:type="dxa"/>
            <w:shd w:val="clear" w:color="auto" w:fill="auto"/>
            <w:vAlign w:val="center"/>
          </w:tcPr>
          <w:p>
            <w:pPr>
              <w:widowControl/>
              <w:ind w:firstLine="2"/>
              <w:jc w:val="center"/>
              <w:rPr>
                <w:color w:val="auto"/>
              </w:rPr>
            </w:pPr>
            <w:r>
              <w:rPr>
                <w:color w:val="auto"/>
              </w:rPr>
              <w:t>0.5810</w:t>
            </w:r>
            <w:r>
              <w:rPr>
                <w:rFonts w:hint="eastAsia"/>
                <w:color w:val="auto"/>
              </w:rPr>
              <w:t xml:space="preserve"> t</w:t>
            </w:r>
            <w:r>
              <w:rPr>
                <w:color w:val="auto"/>
              </w:rPr>
              <w:t>CO</w:t>
            </w:r>
            <w:r>
              <w:rPr>
                <w:color w:val="auto"/>
                <w:vertAlign w:val="subscript"/>
              </w:rPr>
              <w:t>2</w:t>
            </w:r>
            <w:r>
              <w:rPr>
                <w:color w:val="auto"/>
              </w:rPr>
              <w:t>/MW</w:t>
            </w:r>
            <w:r>
              <w:rPr>
                <w:rFonts w:hint="eastAsia"/>
                <w:color w:val="auto"/>
              </w:rPr>
              <w:t>h</w:t>
            </w: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ascii="宋体" w:hAnsi="宋体"/>
          <w:b/>
          <w:bCs/>
          <w:color w:val="auto"/>
          <w:sz w:val="24"/>
        </w:rPr>
      </w:pPr>
      <w:bookmarkStart w:id="72" w:name="_Toc12981"/>
      <w:bookmarkStart w:id="73" w:name="_Toc14865"/>
      <w:bookmarkStart w:id="74" w:name="_Toc12336"/>
      <w:bookmarkStart w:id="75" w:name="_Toc4019"/>
      <w:bookmarkStart w:id="76" w:name="_Toc2769"/>
      <w:bookmarkStart w:id="77" w:name="_Toc32010"/>
      <w:bookmarkStart w:id="78" w:name="_Toc1937"/>
      <w:r>
        <w:rPr>
          <w:rFonts w:hint="eastAsia" w:eastAsia="黑体"/>
          <w:b/>
          <w:color w:val="auto"/>
          <w:kern w:val="44"/>
          <w:sz w:val="30"/>
          <w:szCs w:val="24"/>
        </w:rPr>
        <w:br w:type="page"/>
      </w:r>
      <w:r>
        <w:rPr>
          <w:rFonts w:hint="eastAsia" w:ascii="黑体" w:hAnsi="黑体" w:eastAsia="黑体"/>
          <w:bCs/>
          <w:color w:val="auto"/>
          <w:sz w:val="36"/>
          <w:szCs w:val="32"/>
        </w:rPr>
        <w:t>附录B 温室气体排放计算方法</w:t>
      </w:r>
    </w:p>
    <w:p>
      <w:pPr>
        <w:rPr>
          <w:color w:val="auto"/>
          <w:sz w:val="24"/>
          <w:szCs w:val="24"/>
        </w:rPr>
      </w:pPr>
      <w:r>
        <w:rPr>
          <w:b/>
          <w:bCs/>
          <w:color w:val="auto"/>
          <w:sz w:val="24"/>
          <w:szCs w:val="24"/>
        </w:rPr>
        <w:t>B.0.1</w:t>
      </w:r>
      <w:r>
        <w:rPr>
          <w:rFonts w:hint="eastAsia"/>
          <w:color w:val="auto"/>
          <w:sz w:val="24"/>
          <w:szCs w:val="24"/>
        </w:rPr>
        <w:t>温室气体排放量应按温室气体排放种类分别计算后加和。</w:t>
      </w:r>
    </w:p>
    <w:p>
      <w:pPr>
        <w:rPr>
          <w:color w:val="auto"/>
          <w:sz w:val="24"/>
          <w:szCs w:val="24"/>
        </w:rPr>
      </w:pPr>
      <w:r>
        <w:rPr>
          <w:b/>
          <w:bCs/>
          <w:color w:val="auto"/>
          <w:sz w:val="24"/>
          <w:szCs w:val="24"/>
        </w:rPr>
        <w:t>B.0.2</w:t>
      </w:r>
      <w:r>
        <w:rPr>
          <w:rFonts w:hint="eastAsia"/>
          <w:color w:val="auto"/>
          <w:sz w:val="24"/>
          <w:szCs w:val="24"/>
        </w:rPr>
        <w:t>一般使用二氧化碳当量（</w:t>
      </w:r>
      <w:r>
        <w:rPr>
          <w:color w:val="auto"/>
          <w:sz w:val="24"/>
          <w:szCs w:val="24"/>
        </w:rPr>
        <w:t>CO</w:t>
      </w:r>
      <w:r>
        <w:rPr>
          <w:color w:val="auto"/>
          <w:sz w:val="24"/>
          <w:szCs w:val="24"/>
          <w:vertAlign w:val="subscript"/>
        </w:rPr>
        <w:t>2</w:t>
      </w:r>
      <w:r>
        <w:rPr>
          <w:color w:val="auto"/>
          <w:sz w:val="24"/>
          <w:szCs w:val="24"/>
        </w:rPr>
        <w:t>e)度量不同温室气体</w:t>
      </w:r>
      <w:r>
        <w:rPr>
          <w:rFonts w:hint="eastAsia"/>
          <w:color w:val="auto"/>
          <w:sz w:val="24"/>
          <w:szCs w:val="24"/>
        </w:rPr>
        <w:t>排放，应按下式计算。</w:t>
      </w:r>
    </w:p>
    <w:p>
      <w:pPr>
        <w:jc w:val="right"/>
        <w:rPr>
          <w:rFonts w:hAnsi="Cambria Math"/>
          <w:color w:val="auto"/>
          <w:sz w:val="24"/>
          <w:szCs w:val="24"/>
        </w:rPr>
      </w:pPr>
      <m:oMath>
        <m:sSub>
          <m:sSubPr>
            <m:ctrlPr>
              <w:rPr>
                <w:rFonts w:ascii="Cambria Math" w:hAnsi="Cambria Math"/>
                <w:color w:val="auto"/>
                <w:sz w:val="24"/>
                <w:szCs w:val="24"/>
              </w:rPr>
            </m:ctrlPr>
          </m:sSubPr>
          <m:e>
            <m:r>
              <m:rPr>
                <m:sty m:val="p"/>
              </m:rPr>
              <w:rPr>
                <w:rFonts w:ascii="Cambria Math" w:hAnsi="Cambria Math"/>
                <w:color w:val="auto"/>
                <w:sz w:val="24"/>
                <w:szCs w:val="24"/>
              </w:rPr>
              <m:t>C</m:t>
            </m:r>
            <m:ctrlPr>
              <w:rPr>
                <w:rFonts w:ascii="Cambria Math" w:hAnsi="Cambria Math"/>
                <w:color w:val="auto"/>
                <w:sz w:val="24"/>
                <w:szCs w:val="24"/>
              </w:rPr>
            </m:ctrlPr>
          </m:e>
          <m:sub>
            <m:r>
              <m:rPr>
                <m:sty m:val="p"/>
              </m:rPr>
              <w:rPr>
                <w:rFonts w:ascii="Cambria Math" w:hAnsi="Cambria Math"/>
                <w:color w:val="auto"/>
                <w:sz w:val="24"/>
                <w:szCs w:val="24"/>
              </w:rPr>
              <m:t>g</m:t>
            </m:r>
            <m:ctrlPr>
              <w:rPr>
                <w:rFonts w:ascii="Cambria Math" w:hAnsi="Cambria Math"/>
                <w:color w:val="auto"/>
                <w:sz w:val="24"/>
                <w:szCs w:val="24"/>
              </w:rPr>
            </m:ctrlPr>
          </m:sub>
        </m:sSub>
        <m:r>
          <m:rPr>
            <m:sty m:val="p"/>
          </m:rPr>
          <w:rPr>
            <w:rFonts w:ascii="Cambria Math" w:hAnsi="Cambria Math"/>
            <w:color w:val="auto"/>
            <w:sz w:val="24"/>
            <w:szCs w:val="24"/>
          </w:rPr>
          <m:t>=</m:t>
        </m:r>
        <m:nary>
          <m:naryPr>
            <m:chr m:val="∑"/>
            <m:limLoc m:val="undOvr"/>
            <m:subHide m:val="1"/>
            <m:supHide m:val="1"/>
            <m:ctrlPr>
              <w:rPr>
                <w:rFonts w:ascii="Cambria Math" w:hAnsi="Cambria Math"/>
                <w:color w:val="auto"/>
                <w:sz w:val="24"/>
                <w:szCs w:val="24"/>
              </w:rPr>
            </m:ctrlPr>
          </m:naryPr>
          <m:sub>
            <m:ctrlPr>
              <w:rPr>
                <w:rFonts w:ascii="Cambria Math" w:hAnsi="Cambria Math"/>
                <w:color w:val="auto"/>
                <w:sz w:val="24"/>
                <w:szCs w:val="24"/>
              </w:rPr>
            </m:ctrlPr>
          </m:sub>
          <m:sup>
            <m:ctrlPr>
              <w:rPr>
                <w:rFonts w:ascii="Cambria Math" w:hAnsi="Cambria Math"/>
                <w:color w:val="auto"/>
                <w:sz w:val="24"/>
                <w:szCs w:val="24"/>
              </w:rPr>
            </m:ctrlPr>
          </m:sup>
          <m:e>
            <m:sSub>
              <m:sSubPr>
                <m:ctrlPr>
                  <w:rPr>
                    <w:rFonts w:ascii="Cambria Math" w:hAnsi="Cambria Math"/>
                    <w:color w:val="auto"/>
                    <w:sz w:val="24"/>
                    <w:szCs w:val="24"/>
                  </w:rPr>
                </m:ctrlPr>
              </m:sSubPr>
              <m:e>
                <m:r>
                  <m:rPr>
                    <m:sty m:val="p"/>
                  </m:rPr>
                  <w:rPr>
                    <w:rFonts w:ascii="Cambria Math" w:hAnsi="Cambria Math"/>
                    <w:color w:val="auto"/>
                    <w:sz w:val="24"/>
                    <w:szCs w:val="24"/>
                  </w:rPr>
                  <m:t>m</m:t>
                </m:r>
                <m:ctrlPr>
                  <w:rPr>
                    <w:rFonts w:ascii="Cambria Math" w:hAnsi="Cambria Math"/>
                    <w:color w:val="auto"/>
                    <w:sz w:val="24"/>
                    <w:szCs w:val="24"/>
                  </w:rPr>
                </m:ctrlPr>
              </m:e>
              <m:sub>
                <m:r>
                  <m:rPr>
                    <m:sty m:val="p"/>
                  </m:rPr>
                  <w:rPr>
                    <w:rFonts w:ascii="Cambria Math" w:hAnsi="Cambria Math"/>
                    <w:color w:val="auto"/>
                    <w:sz w:val="24"/>
                    <w:szCs w:val="24"/>
                  </w:rPr>
                  <m:t>i</m:t>
                </m:r>
                <m:ctrlPr>
                  <w:rPr>
                    <w:rFonts w:ascii="Cambria Math" w:hAnsi="Cambria Math"/>
                    <w:color w:val="auto"/>
                    <w:sz w:val="24"/>
                    <w:szCs w:val="24"/>
                  </w:rPr>
                </m:ctrlPr>
              </m:sub>
            </m:sSub>
            <m:sSub>
              <m:sSubPr>
                <m:ctrlPr>
                  <w:rPr>
                    <w:rFonts w:ascii="Cambria Math" w:hAnsi="Cambria Math"/>
                    <w:color w:val="auto"/>
                    <w:sz w:val="24"/>
                    <w:szCs w:val="24"/>
                  </w:rPr>
                </m:ctrlPr>
              </m:sSubPr>
              <m:e>
                <m:r>
                  <m:rPr>
                    <m:sty m:val="p"/>
                  </m:rPr>
                  <w:rPr>
                    <w:rFonts w:ascii="Cambria Math" w:hAnsi="Cambria Math"/>
                    <w:color w:val="auto"/>
                    <w:sz w:val="24"/>
                    <w:szCs w:val="24"/>
                  </w:rPr>
                  <m:t>∙GWP</m:t>
                </m:r>
                <m:ctrlPr>
                  <w:rPr>
                    <w:rFonts w:ascii="Cambria Math" w:hAnsi="Cambria Math"/>
                    <w:color w:val="auto"/>
                    <w:sz w:val="24"/>
                    <w:szCs w:val="24"/>
                  </w:rPr>
                </m:ctrlPr>
              </m:e>
              <m:sub>
                <m:r>
                  <m:rPr>
                    <m:sty m:val="p"/>
                  </m:rPr>
                  <w:rPr>
                    <w:rFonts w:ascii="Cambria Math" w:hAnsi="Cambria Math"/>
                    <w:color w:val="auto"/>
                    <w:sz w:val="24"/>
                    <w:szCs w:val="24"/>
                  </w:rPr>
                  <m:t>i</m:t>
                </m:r>
                <m:ctrlPr>
                  <w:rPr>
                    <w:rFonts w:ascii="Cambria Math" w:hAnsi="Cambria Math"/>
                    <w:color w:val="auto"/>
                    <w:sz w:val="24"/>
                    <w:szCs w:val="24"/>
                  </w:rPr>
                </m:ctrlPr>
              </m:sub>
            </m:sSub>
            <m:ctrlPr>
              <w:rPr>
                <w:rFonts w:ascii="Cambria Math" w:hAnsi="Cambria Math"/>
                <w:color w:val="auto"/>
                <w:sz w:val="24"/>
                <w:szCs w:val="24"/>
              </w:rPr>
            </m:ctrlPr>
          </m:e>
        </m:nary>
      </m:oMath>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ab/>
      </w:r>
      <w:r>
        <w:rPr>
          <w:rFonts w:hint="eastAsia" w:hAnsi="Cambria Math"/>
          <w:color w:val="auto"/>
          <w:sz w:val="24"/>
          <w:szCs w:val="24"/>
        </w:rPr>
        <w:t>（B.0.2）</w:t>
      </w:r>
    </w:p>
    <w:p>
      <w:pPr>
        <w:rPr>
          <w:rFonts w:hAnsi="Cambria Math"/>
          <w:color w:val="auto"/>
          <w:sz w:val="24"/>
          <w:szCs w:val="24"/>
        </w:rPr>
      </w:pPr>
      <w:r>
        <w:rPr>
          <w:rFonts w:hint="eastAsia" w:hAnsi="Cambria Math"/>
          <w:color w:val="auto"/>
          <w:sz w:val="24"/>
          <w:szCs w:val="24"/>
        </w:rPr>
        <w:t>式中：</w:t>
      </w:r>
      <w:r>
        <w:rPr>
          <w:rFonts w:hint="eastAsia" w:hAnsi="Cambria Math"/>
          <w:color w:val="auto"/>
          <w:sz w:val="24"/>
          <w:szCs w:val="24"/>
        </w:rPr>
        <w:tab/>
      </w:r>
      <m:oMath>
        <m:sSub>
          <m:sSubPr>
            <m:ctrlPr>
              <w:rPr>
                <w:rFonts w:ascii="Cambria Math" w:hAnsi="Cambria Math"/>
                <w:i/>
                <w:color w:val="auto"/>
                <w:sz w:val="24"/>
                <w:szCs w:val="24"/>
              </w:rPr>
            </m:ctrlPr>
          </m:sSubPr>
          <m:e>
            <m:r>
              <m:rPr/>
              <w:rPr>
                <w:rFonts w:ascii="Cambria Math" w:hAnsi="Cambria Math"/>
                <w:color w:val="auto"/>
                <w:sz w:val="24"/>
                <w:szCs w:val="24"/>
              </w:rPr>
              <m:t>C</m:t>
            </m:r>
            <m:ctrlPr>
              <w:rPr>
                <w:rFonts w:ascii="Cambria Math" w:hAnsi="Cambria Math"/>
                <w:i/>
                <w:color w:val="auto"/>
                <w:sz w:val="24"/>
                <w:szCs w:val="24"/>
              </w:rPr>
            </m:ctrlPr>
          </m:e>
          <m:sub>
            <m:r>
              <m:rPr/>
              <w:rPr>
                <w:rFonts w:ascii="Cambria Math" w:hAnsi="Cambria Math"/>
                <w:color w:val="auto"/>
                <w:sz w:val="24"/>
                <w:szCs w:val="24"/>
              </w:rPr>
              <m:t>g</m:t>
            </m:r>
            <m:ctrlPr>
              <w:rPr>
                <w:rFonts w:ascii="Cambria Math" w:hAnsi="Cambria Math"/>
                <w:i/>
                <w:color w:val="auto"/>
                <w:sz w:val="24"/>
                <w:szCs w:val="24"/>
              </w:rPr>
            </m:ctrlPr>
          </m:sub>
        </m:sSub>
      </m:oMath>
      <w:r>
        <w:rPr>
          <w:rFonts w:hint="eastAsia" w:hAnsi="Cambria Math"/>
          <w:color w:val="auto"/>
          <w:sz w:val="24"/>
          <w:szCs w:val="24"/>
        </w:rPr>
        <w:tab/>
      </w:r>
      <w:r>
        <w:rPr>
          <w:rFonts w:hint="eastAsia" w:hAnsi="Cambria Math"/>
          <w:color w:val="auto"/>
          <w:sz w:val="24"/>
          <w:szCs w:val="24"/>
        </w:rPr>
        <w:t>——建筑温室气体排放产生的碳排放量（tCO</w:t>
      </w:r>
      <w:r>
        <w:rPr>
          <w:rFonts w:hAnsi="Cambria Math"/>
          <w:color w:val="auto"/>
          <w:sz w:val="24"/>
          <w:szCs w:val="24"/>
          <w:vertAlign w:val="subscript"/>
        </w:rPr>
        <w:t>2</w:t>
      </w:r>
      <w:r>
        <w:rPr>
          <w:rFonts w:hint="eastAsia" w:hAnsi="Cambria Math"/>
          <w:color w:val="auto"/>
          <w:sz w:val="24"/>
          <w:szCs w:val="24"/>
        </w:rPr>
        <w:t>e)；</w:t>
      </w:r>
    </w:p>
    <w:p>
      <w:pPr>
        <w:ind w:firstLine="960" w:firstLineChars="400"/>
        <w:rPr>
          <w:rFonts w:hAnsi="Cambria Math"/>
          <w:color w:val="auto"/>
          <w:sz w:val="24"/>
          <w:szCs w:val="24"/>
        </w:rPr>
      </w:pPr>
      <w:r>
        <w:rPr>
          <w:rFonts w:hint="eastAsia" w:hAnsi="Cambria Math"/>
          <w:color w:val="auto"/>
          <w:sz w:val="24"/>
          <w:szCs w:val="24"/>
        </w:rPr>
        <w:t xml:space="preserve">i </w:t>
      </w:r>
      <w:r>
        <w:rPr>
          <w:rFonts w:hint="eastAsia" w:hAnsi="Cambria Math"/>
          <w:color w:val="auto"/>
          <w:sz w:val="24"/>
          <w:szCs w:val="24"/>
        </w:rPr>
        <w:tab/>
      </w:r>
      <w:r>
        <w:rPr>
          <w:rFonts w:hint="eastAsia" w:hAnsi="Cambria Math"/>
          <w:color w:val="auto"/>
          <w:sz w:val="24"/>
          <w:szCs w:val="24"/>
        </w:rPr>
        <w:t>——温室气体排放类型；</w:t>
      </w:r>
    </w:p>
    <w:p>
      <w:pPr>
        <w:ind w:firstLine="960" w:firstLineChars="400"/>
        <w:rPr>
          <w:rFonts w:hAnsi="Cambria Math"/>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m</m:t>
            </m:r>
            <m:ctrlPr>
              <w:rPr>
                <w:rFonts w:ascii="Cambria Math" w:hAnsi="Cambria Math"/>
                <w:i/>
                <w:color w:val="auto"/>
                <w:sz w:val="24"/>
                <w:szCs w:val="24"/>
              </w:rPr>
            </m:ctrlPr>
          </m:e>
          <m:sub>
            <m:r>
              <m:rPr/>
              <w:rPr>
                <w:rFonts w:ascii="Cambria Math" w:hAnsi="Cambria Math"/>
                <w:color w:val="auto"/>
                <w:sz w:val="24"/>
                <w:szCs w:val="24"/>
              </w:rPr>
              <m:t>i</m:t>
            </m:r>
            <m:ctrlPr>
              <w:rPr>
                <w:rFonts w:ascii="Cambria Math" w:hAnsi="Cambria Math"/>
                <w:i/>
                <w:color w:val="auto"/>
                <w:sz w:val="24"/>
                <w:szCs w:val="24"/>
              </w:rPr>
            </m:ctrlPr>
          </m:sub>
        </m:sSub>
      </m:oMath>
      <w:r>
        <w:rPr>
          <w:rFonts w:hint="eastAsia" w:hAnsi="Cambria Math"/>
          <w:color w:val="auto"/>
          <w:sz w:val="24"/>
          <w:szCs w:val="24"/>
        </w:rPr>
        <w:tab/>
      </w:r>
      <w:r>
        <w:rPr>
          <w:rFonts w:hint="eastAsia" w:hAnsi="Cambria Math"/>
          <w:color w:val="auto"/>
          <w:sz w:val="24"/>
          <w:szCs w:val="24"/>
        </w:rPr>
        <w:t>——i类温室气体的排放量（t）；</w:t>
      </w:r>
    </w:p>
    <w:p>
      <w:pPr>
        <w:ind w:firstLine="420"/>
        <w:rPr>
          <w:rFonts w:hAnsi="Cambria Math"/>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GWP</m:t>
            </m:r>
            <m:ctrlPr>
              <w:rPr>
                <w:rFonts w:ascii="Cambria Math" w:hAnsi="Cambria Math"/>
                <w:i/>
                <w:color w:val="auto"/>
                <w:sz w:val="24"/>
                <w:szCs w:val="24"/>
              </w:rPr>
            </m:ctrlPr>
          </m:e>
          <m:sub>
            <m:r>
              <m:rPr/>
              <w:rPr>
                <w:rFonts w:ascii="Cambria Math" w:hAnsi="Cambria Math"/>
                <w:color w:val="auto"/>
                <w:sz w:val="24"/>
                <w:szCs w:val="24"/>
              </w:rPr>
              <m:t>i</m:t>
            </m:r>
            <m:ctrlPr>
              <w:rPr>
                <w:rFonts w:ascii="Cambria Math" w:hAnsi="Cambria Math"/>
                <w:i/>
                <w:color w:val="auto"/>
                <w:sz w:val="24"/>
                <w:szCs w:val="24"/>
              </w:rPr>
            </m:ctrlPr>
          </m:sub>
        </m:sSub>
      </m:oMath>
      <w:r>
        <w:rPr>
          <w:rFonts w:hint="eastAsia" w:hAnsi="Cambria Math"/>
          <w:color w:val="auto"/>
          <w:sz w:val="24"/>
          <w:szCs w:val="24"/>
        </w:rPr>
        <w:tab/>
      </w:r>
      <w:r>
        <w:rPr>
          <w:rFonts w:hint="eastAsia" w:hAnsi="Cambria Math"/>
          <w:color w:val="auto"/>
          <w:sz w:val="24"/>
          <w:szCs w:val="24"/>
        </w:rPr>
        <w:t>——i类温室气体的全球变暖潜值，按表B.0.3的规定取值。</w:t>
      </w:r>
    </w:p>
    <w:p>
      <w:pPr>
        <w:rPr>
          <w:color w:val="auto"/>
          <w:sz w:val="24"/>
          <w:szCs w:val="24"/>
        </w:rPr>
      </w:pPr>
      <w:r>
        <w:rPr>
          <w:b/>
          <w:bCs/>
          <w:color w:val="auto"/>
          <w:sz w:val="24"/>
          <w:szCs w:val="24"/>
        </w:rPr>
        <w:t>B.0.3</w:t>
      </w:r>
      <w:r>
        <w:rPr>
          <w:color w:val="auto"/>
          <w:sz w:val="24"/>
          <w:szCs w:val="24"/>
        </w:rPr>
        <w:t xml:space="preserve"> </w:t>
      </w:r>
      <w:r>
        <w:rPr>
          <w:rFonts w:hint="eastAsia"/>
          <w:color w:val="auto"/>
          <w:sz w:val="24"/>
          <w:szCs w:val="24"/>
        </w:rPr>
        <w:t>主要温室气体的全球变暖潜值（</w:t>
      </w:r>
      <w:r>
        <w:rPr>
          <w:color w:val="auto"/>
          <w:sz w:val="24"/>
          <w:szCs w:val="24"/>
        </w:rPr>
        <w:t>GWP</w:t>
      </w:r>
      <w:r>
        <w:rPr>
          <w:rFonts w:hint="eastAsia"/>
          <w:color w:val="auto"/>
          <w:sz w:val="24"/>
          <w:szCs w:val="24"/>
        </w:rPr>
        <w:t>）应按表B</w:t>
      </w:r>
      <w:r>
        <w:rPr>
          <w:color w:val="auto"/>
          <w:sz w:val="24"/>
          <w:szCs w:val="24"/>
        </w:rPr>
        <w:t>.0.3</w:t>
      </w:r>
      <w:r>
        <w:rPr>
          <w:rFonts w:hint="eastAsia"/>
          <w:color w:val="auto"/>
          <w:sz w:val="24"/>
          <w:szCs w:val="24"/>
        </w:rPr>
        <w:t>选取。</w:t>
      </w:r>
    </w:p>
    <w:p>
      <w:pPr>
        <w:tabs>
          <w:tab w:val="left" w:pos="709"/>
        </w:tabs>
        <w:snapToGrid w:val="0"/>
        <w:spacing w:line="360" w:lineRule="auto"/>
        <w:ind w:left="142"/>
        <w:jc w:val="center"/>
        <w:rPr>
          <w:rFonts w:ascii="黑体" w:hAnsi="黑体" w:eastAsia="黑体"/>
          <w:color w:val="auto"/>
        </w:rPr>
      </w:pPr>
      <w:r>
        <w:rPr>
          <w:rFonts w:hint="eastAsia" w:ascii="黑体" w:hAnsi="黑体" w:eastAsia="黑体"/>
          <w:color w:val="auto"/>
        </w:rPr>
        <w:t>表</w:t>
      </w:r>
      <w:r>
        <w:rPr>
          <w:rFonts w:ascii="黑体" w:hAnsi="黑体" w:eastAsia="黑体"/>
          <w:color w:val="auto"/>
        </w:rPr>
        <w:t xml:space="preserve">B.0.3 </w:t>
      </w:r>
      <w:r>
        <w:rPr>
          <w:rFonts w:hint="eastAsia" w:ascii="黑体" w:hAnsi="黑体" w:eastAsia="黑体"/>
          <w:color w:val="auto"/>
        </w:rPr>
        <w:t>主要温室气体的全球变暖潜值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240" w:lineRule="atLeast"/>
              <w:jc w:val="center"/>
              <w:rPr>
                <w:color w:val="auto"/>
              </w:rPr>
            </w:pPr>
            <w:r>
              <w:rPr>
                <w:rFonts w:hint="eastAsia"/>
                <w:color w:val="auto"/>
              </w:rPr>
              <w:t>类别</w:t>
            </w:r>
          </w:p>
        </w:tc>
        <w:tc>
          <w:tcPr>
            <w:tcW w:w="2841" w:type="dxa"/>
          </w:tcPr>
          <w:p>
            <w:pPr>
              <w:widowControl/>
              <w:spacing w:line="240" w:lineRule="atLeast"/>
              <w:jc w:val="center"/>
              <w:rPr>
                <w:color w:val="auto"/>
              </w:rPr>
            </w:pPr>
            <w:r>
              <w:rPr>
                <w:rFonts w:hint="eastAsia"/>
                <w:color w:val="auto"/>
              </w:rPr>
              <w:t>化学式</w:t>
            </w:r>
          </w:p>
        </w:tc>
        <w:tc>
          <w:tcPr>
            <w:tcW w:w="2841" w:type="dxa"/>
          </w:tcPr>
          <w:p>
            <w:pPr>
              <w:widowControl/>
              <w:spacing w:line="240" w:lineRule="atLeast"/>
              <w:jc w:val="center"/>
              <w:rPr>
                <w:color w:val="auto"/>
              </w:rPr>
            </w:pPr>
            <w:r>
              <w:rPr>
                <w:color w:val="auto"/>
              </w:rPr>
              <w:t>100</w:t>
            </w:r>
            <w:r>
              <w:rPr>
                <w:rFonts w:hint="eastAsia"/>
                <w:color w:val="auto"/>
              </w:rPr>
              <w:t>年全球变暖潜值（tCO</w:t>
            </w:r>
            <w:r>
              <w:rPr>
                <w:rFonts w:hint="eastAsia"/>
                <w:color w:val="auto"/>
                <w:vertAlign w:val="subscript"/>
              </w:rPr>
              <w:t>2</w:t>
            </w:r>
            <w:r>
              <w:rPr>
                <w:rFonts w:hint="eastAsia"/>
                <w:color w:val="auto"/>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rPr>
            </w:pPr>
            <w:r>
              <w:rPr>
                <w:rFonts w:hint="eastAsia"/>
                <w:color w:val="auto"/>
                <w:lang w:bidi="ar"/>
              </w:rPr>
              <w:t>二氧化碳</w:t>
            </w:r>
          </w:p>
        </w:tc>
        <w:tc>
          <w:tcPr>
            <w:tcW w:w="2841" w:type="dxa"/>
            <w:vAlign w:val="center"/>
          </w:tcPr>
          <w:p>
            <w:pPr>
              <w:widowControl/>
              <w:spacing w:line="240" w:lineRule="atLeast"/>
              <w:jc w:val="center"/>
              <w:rPr>
                <w:color w:val="auto"/>
              </w:rPr>
            </w:pPr>
            <w:r>
              <w:rPr>
                <w:color w:val="auto"/>
                <w:lang w:bidi="ar"/>
              </w:rPr>
              <w:t>CO</w:t>
            </w:r>
            <w:r>
              <w:rPr>
                <w:color w:val="auto"/>
                <w:vertAlign w:val="subscript"/>
                <w:lang w:bidi="ar"/>
              </w:rPr>
              <w:t>2</w:t>
            </w:r>
          </w:p>
        </w:tc>
        <w:tc>
          <w:tcPr>
            <w:tcW w:w="2841" w:type="dxa"/>
            <w:vAlign w:val="center"/>
          </w:tcPr>
          <w:p>
            <w:pPr>
              <w:widowControl/>
              <w:spacing w:line="240" w:lineRule="atLeast"/>
              <w:jc w:val="center"/>
              <w:rPr>
                <w:color w:val="auto"/>
              </w:rPr>
            </w:pPr>
            <w:r>
              <w:rPr>
                <w:color w:val="auto"/>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rPr>
            </w:pPr>
            <w:r>
              <w:rPr>
                <w:rFonts w:hint="eastAsia"/>
                <w:color w:val="auto"/>
                <w:lang w:bidi="ar"/>
              </w:rPr>
              <w:t>甲烷</w:t>
            </w:r>
          </w:p>
        </w:tc>
        <w:tc>
          <w:tcPr>
            <w:tcW w:w="2841" w:type="dxa"/>
            <w:vAlign w:val="center"/>
          </w:tcPr>
          <w:p>
            <w:pPr>
              <w:widowControl/>
              <w:spacing w:line="240" w:lineRule="atLeast"/>
              <w:jc w:val="center"/>
              <w:rPr>
                <w:color w:val="auto"/>
              </w:rPr>
            </w:pPr>
            <w:r>
              <w:rPr>
                <w:color w:val="auto"/>
                <w:lang w:bidi="ar"/>
              </w:rPr>
              <w:t>CH</w:t>
            </w:r>
            <w:r>
              <w:rPr>
                <w:color w:val="auto"/>
                <w:vertAlign w:val="subscript"/>
                <w:lang w:bidi="ar"/>
              </w:rPr>
              <w:t>4</w:t>
            </w:r>
          </w:p>
        </w:tc>
        <w:tc>
          <w:tcPr>
            <w:tcW w:w="2841" w:type="dxa"/>
            <w:vAlign w:val="center"/>
          </w:tcPr>
          <w:p>
            <w:pPr>
              <w:widowControl/>
              <w:spacing w:line="240" w:lineRule="atLeast"/>
              <w:jc w:val="center"/>
              <w:rPr>
                <w:color w:val="auto"/>
              </w:rPr>
            </w:pPr>
            <w:r>
              <w:rPr>
                <w:color w:val="auto"/>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rPr>
            </w:pPr>
            <w:r>
              <w:rPr>
                <w:rFonts w:hint="eastAsia"/>
                <w:color w:val="auto"/>
                <w:lang w:bidi="ar"/>
              </w:rPr>
              <w:t>一氧化二氮</w:t>
            </w:r>
          </w:p>
        </w:tc>
        <w:tc>
          <w:tcPr>
            <w:tcW w:w="2841" w:type="dxa"/>
            <w:vAlign w:val="center"/>
          </w:tcPr>
          <w:p>
            <w:pPr>
              <w:widowControl/>
              <w:spacing w:line="240" w:lineRule="atLeast"/>
              <w:jc w:val="center"/>
              <w:rPr>
                <w:color w:val="auto"/>
              </w:rPr>
            </w:pPr>
            <w:r>
              <w:rPr>
                <w:color w:val="auto"/>
                <w:lang w:bidi="ar"/>
              </w:rPr>
              <w:t>N</w:t>
            </w:r>
            <w:r>
              <w:rPr>
                <w:color w:val="auto"/>
                <w:vertAlign w:val="subscript"/>
                <w:lang w:bidi="ar"/>
              </w:rPr>
              <w:t>2</w:t>
            </w:r>
            <w:r>
              <w:rPr>
                <w:color w:val="auto"/>
                <w:lang w:bidi="ar"/>
              </w:rPr>
              <w:t>O</w:t>
            </w:r>
          </w:p>
        </w:tc>
        <w:tc>
          <w:tcPr>
            <w:tcW w:w="2841" w:type="dxa"/>
            <w:vAlign w:val="center"/>
          </w:tcPr>
          <w:p>
            <w:pPr>
              <w:widowControl/>
              <w:spacing w:line="240" w:lineRule="atLeast"/>
              <w:jc w:val="center"/>
              <w:rPr>
                <w:color w:val="auto"/>
              </w:rPr>
            </w:pPr>
            <w:r>
              <w:rPr>
                <w:color w:val="auto"/>
                <w:lang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lang w:bidi="ar"/>
              </w:rPr>
            </w:pPr>
            <w:r>
              <w:rPr>
                <w:color w:val="auto"/>
                <w:lang w:bidi="ar"/>
              </w:rPr>
              <w:t>R-134a</w:t>
            </w:r>
          </w:p>
        </w:tc>
        <w:tc>
          <w:tcPr>
            <w:tcW w:w="2841" w:type="dxa"/>
            <w:vAlign w:val="center"/>
          </w:tcPr>
          <w:p>
            <w:pPr>
              <w:widowControl/>
              <w:spacing w:line="240" w:lineRule="atLeast"/>
              <w:jc w:val="center"/>
              <w:rPr>
                <w:color w:val="auto"/>
                <w:lang w:bidi="ar"/>
              </w:rPr>
            </w:pPr>
            <w:r>
              <w:rPr>
                <w:color w:val="auto"/>
                <w:lang w:bidi="ar"/>
              </w:rPr>
              <w:t>CH</w:t>
            </w:r>
            <w:r>
              <w:rPr>
                <w:color w:val="auto"/>
                <w:vertAlign w:val="subscript"/>
                <w:lang w:bidi="ar"/>
              </w:rPr>
              <w:t>2</w:t>
            </w:r>
            <w:r>
              <w:rPr>
                <w:color w:val="auto"/>
                <w:lang w:bidi="ar"/>
              </w:rPr>
              <w:t>FCF</w:t>
            </w:r>
            <w:r>
              <w:rPr>
                <w:color w:val="auto"/>
                <w:vertAlign w:val="subscript"/>
                <w:lang w:bidi="ar"/>
              </w:rPr>
              <w:t>3</w:t>
            </w:r>
          </w:p>
        </w:tc>
        <w:tc>
          <w:tcPr>
            <w:tcW w:w="2841" w:type="dxa"/>
            <w:vAlign w:val="center"/>
          </w:tcPr>
          <w:p>
            <w:pPr>
              <w:widowControl/>
              <w:spacing w:line="240" w:lineRule="atLeast"/>
              <w:jc w:val="center"/>
              <w:rPr>
                <w:color w:val="auto"/>
                <w:lang w:bidi="ar"/>
              </w:rPr>
            </w:pPr>
            <w:r>
              <w:rPr>
                <w:color w:val="auto"/>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lang w:bidi="ar"/>
              </w:rPr>
            </w:pPr>
            <w:r>
              <w:rPr>
                <w:color w:val="auto"/>
                <w:lang w:bidi="ar"/>
              </w:rPr>
              <w:t>R-32</w:t>
            </w:r>
          </w:p>
        </w:tc>
        <w:tc>
          <w:tcPr>
            <w:tcW w:w="2841" w:type="dxa"/>
            <w:vAlign w:val="center"/>
          </w:tcPr>
          <w:p>
            <w:pPr>
              <w:widowControl/>
              <w:spacing w:line="240" w:lineRule="atLeast"/>
              <w:jc w:val="center"/>
              <w:rPr>
                <w:color w:val="auto"/>
                <w:lang w:bidi="ar"/>
              </w:rPr>
            </w:pPr>
            <w:r>
              <w:rPr>
                <w:color w:val="auto"/>
                <w:lang w:bidi="ar"/>
              </w:rPr>
              <w:t>CH</w:t>
            </w:r>
            <w:r>
              <w:rPr>
                <w:color w:val="auto"/>
                <w:vertAlign w:val="subscript"/>
                <w:lang w:bidi="ar"/>
              </w:rPr>
              <w:t>2</w:t>
            </w:r>
            <w:r>
              <w:rPr>
                <w:color w:val="auto"/>
                <w:lang w:bidi="ar"/>
              </w:rPr>
              <w:t>F</w:t>
            </w:r>
            <w:r>
              <w:rPr>
                <w:color w:val="auto"/>
                <w:vertAlign w:val="subscript"/>
                <w:lang w:bidi="ar"/>
              </w:rPr>
              <w:t>2</w:t>
            </w:r>
          </w:p>
        </w:tc>
        <w:tc>
          <w:tcPr>
            <w:tcW w:w="2841" w:type="dxa"/>
            <w:vAlign w:val="center"/>
          </w:tcPr>
          <w:p>
            <w:pPr>
              <w:widowControl/>
              <w:spacing w:line="240" w:lineRule="atLeast"/>
              <w:jc w:val="center"/>
              <w:rPr>
                <w:color w:val="auto"/>
                <w:lang w:bidi="ar"/>
              </w:rPr>
            </w:pPr>
            <w:r>
              <w:rPr>
                <w:color w:val="auto"/>
                <w:lang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240" w:lineRule="atLeast"/>
              <w:jc w:val="center"/>
              <w:rPr>
                <w:color w:val="auto"/>
                <w:lang w:bidi="ar"/>
              </w:rPr>
            </w:pPr>
            <w:r>
              <w:rPr>
                <w:color w:val="auto"/>
                <w:lang w:bidi="ar"/>
              </w:rPr>
              <w:t>R-125</w:t>
            </w:r>
          </w:p>
        </w:tc>
        <w:tc>
          <w:tcPr>
            <w:tcW w:w="2841" w:type="dxa"/>
            <w:vAlign w:val="center"/>
          </w:tcPr>
          <w:p>
            <w:pPr>
              <w:widowControl/>
              <w:spacing w:line="240" w:lineRule="atLeast"/>
              <w:jc w:val="center"/>
              <w:rPr>
                <w:color w:val="auto"/>
                <w:lang w:bidi="ar"/>
              </w:rPr>
            </w:pPr>
            <w:r>
              <w:rPr>
                <w:color w:val="auto"/>
                <w:lang w:bidi="ar"/>
              </w:rPr>
              <w:t>C</w:t>
            </w:r>
            <w:r>
              <w:rPr>
                <w:color w:val="auto"/>
                <w:vertAlign w:val="subscript"/>
                <w:lang w:bidi="ar"/>
              </w:rPr>
              <w:t>2</w:t>
            </w:r>
            <w:r>
              <w:rPr>
                <w:color w:val="auto"/>
                <w:lang w:bidi="ar"/>
              </w:rPr>
              <w:t>HF</w:t>
            </w:r>
            <w:r>
              <w:rPr>
                <w:color w:val="auto"/>
                <w:vertAlign w:val="subscript"/>
                <w:lang w:bidi="ar"/>
              </w:rPr>
              <w:t>5</w:t>
            </w:r>
          </w:p>
        </w:tc>
        <w:tc>
          <w:tcPr>
            <w:tcW w:w="2841" w:type="dxa"/>
            <w:vAlign w:val="center"/>
          </w:tcPr>
          <w:p>
            <w:pPr>
              <w:widowControl/>
              <w:spacing w:line="240" w:lineRule="atLeast"/>
              <w:jc w:val="center"/>
              <w:rPr>
                <w:color w:val="auto"/>
                <w:lang w:bidi="ar"/>
              </w:rPr>
            </w:pPr>
            <w:r>
              <w:rPr>
                <w:color w:val="auto"/>
                <w:lang w:bidi="ar"/>
              </w:rPr>
              <w:t>2800</w:t>
            </w:r>
          </w:p>
        </w:tc>
      </w:tr>
    </w:tbl>
    <w:p>
      <w:pPr>
        <w:rPr>
          <w:color w:val="auto"/>
          <w:sz w:val="24"/>
          <w:szCs w:val="24"/>
        </w:rPr>
      </w:pPr>
    </w:p>
    <w:p>
      <w:pPr>
        <w:jc w:val="left"/>
        <w:rPr>
          <w:rFonts w:eastAsia="黑体"/>
          <w:b/>
          <w:color w:val="auto"/>
          <w:kern w:val="44"/>
          <w:sz w:val="30"/>
          <w:szCs w:val="24"/>
        </w:rPr>
      </w:pPr>
      <w:bookmarkStart w:id="79" w:name="_Toc13543"/>
      <w:bookmarkStart w:id="80" w:name="_Toc708"/>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r>
        <w:rPr>
          <w:rFonts w:hint="eastAsia" w:eastAsia="黑体"/>
          <w:b/>
          <w:color w:val="auto"/>
          <w:kern w:val="44"/>
          <w:sz w:val="30"/>
          <w:szCs w:val="24"/>
        </w:rPr>
        <w:t>用词说明</w:t>
      </w:r>
      <w:bookmarkEnd w:id="72"/>
      <w:bookmarkEnd w:id="73"/>
      <w:bookmarkEnd w:id="74"/>
      <w:bookmarkEnd w:id="75"/>
      <w:bookmarkEnd w:id="76"/>
      <w:bookmarkEnd w:id="77"/>
      <w:bookmarkEnd w:id="78"/>
      <w:bookmarkEnd w:id="79"/>
      <w:bookmarkEnd w:id="80"/>
    </w:p>
    <w:p>
      <w:pPr>
        <w:widowControl/>
        <w:adjustRightInd w:val="0"/>
        <w:snapToGrid w:val="0"/>
        <w:spacing w:line="360" w:lineRule="auto"/>
        <w:jc w:val="left"/>
        <w:rPr>
          <w:rFonts w:ascii="宋体" w:hAnsi="宋体" w:cs="微软雅黑"/>
          <w:bCs/>
          <w:color w:val="auto"/>
          <w:sz w:val="24"/>
          <w:szCs w:val="24"/>
        </w:rPr>
      </w:pPr>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6"/>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81" w:name="_Toc9388"/>
      <w:bookmarkStart w:id="82" w:name="_Toc26024"/>
      <w:r>
        <w:rPr>
          <w:rFonts w:hint="eastAsia" w:ascii="宋体" w:hAnsi="宋体" w:cs="微软雅黑"/>
          <w:bCs/>
          <w:color w:val="auto"/>
          <w:sz w:val="24"/>
          <w:szCs w:val="24"/>
        </w:rPr>
        <w:t>表示很严格，非这样做不可的：</w:t>
      </w:r>
      <w:bookmarkEnd w:id="81"/>
      <w:bookmarkEnd w:id="82"/>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6"/>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83" w:name="_Toc27914"/>
      <w:bookmarkStart w:id="84" w:name="_Toc5929"/>
      <w:r>
        <w:rPr>
          <w:rFonts w:hint="eastAsia" w:ascii="宋体" w:hAnsi="宋体" w:cs="微软雅黑"/>
          <w:bCs/>
          <w:color w:val="auto"/>
          <w:sz w:val="24"/>
          <w:szCs w:val="24"/>
        </w:rPr>
        <w:t>表示严格，在正常情况下均应这样做的：</w:t>
      </w:r>
      <w:bookmarkEnd w:id="83"/>
      <w:bookmarkEnd w:id="84"/>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6"/>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85" w:name="_Toc2246"/>
      <w:bookmarkStart w:id="86" w:name="_Toc10272"/>
      <w:r>
        <w:rPr>
          <w:rFonts w:hint="eastAsia" w:ascii="宋体" w:hAnsi="宋体" w:cs="微软雅黑"/>
          <w:bCs/>
          <w:color w:val="auto"/>
          <w:sz w:val="24"/>
          <w:szCs w:val="24"/>
        </w:rPr>
        <w:t>表示允许稍有选择，在条件许可时首先应这样做的：</w:t>
      </w:r>
      <w:bookmarkEnd w:id="85"/>
      <w:bookmarkEnd w:id="86"/>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6"/>
        </w:numPr>
        <w:adjustRightInd w:val="0"/>
        <w:snapToGrid w:val="0"/>
        <w:spacing w:line="360" w:lineRule="auto"/>
        <w:ind w:left="420" w:leftChars="200"/>
        <w:jc w:val="left"/>
        <w:outlineLvl w:val="0"/>
        <w:rPr>
          <w:rFonts w:ascii="宋体" w:hAnsi="宋体" w:cs="微软雅黑"/>
          <w:bCs/>
          <w:color w:val="auto"/>
          <w:sz w:val="24"/>
          <w:szCs w:val="24"/>
        </w:rPr>
      </w:pPr>
      <w:r>
        <w:rPr>
          <w:rFonts w:hint="eastAsia" w:ascii="宋体" w:hAnsi="宋体" w:cs="微软雅黑"/>
          <w:bCs/>
          <w:color w:val="auto"/>
          <w:sz w:val="24"/>
          <w:szCs w:val="24"/>
        </w:rPr>
        <w:t xml:space="preserve"> </w:t>
      </w:r>
      <w:bookmarkStart w:id="87" w:name="_Toc27970"/>
      <w:bookmarkStart w:id="88" w:name="_Toc7931"/>
      <w:r>
        <w:rPr>
          <w:rFonts w:hint="eastAsia" w:ascii="宋体" w:hAnsi="宋体" w:cs="微软雅黑"/>
          <w:bCs/>
          <w:color w:val="auto"/>
          <w:sz w:val="24"/>
          <w:szCs w:val="24"/>
        </w:rPr>
        <w:t>表示有选择，在一定条件下可以这样做的，采用“可”。</w:t>
      </w:r>
      <w:bookmarkEnd w:id="87"/>
      <w:bookmarkEnd w:id="88"/>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widowControl/>
        <w:jc w:val="left"/>
        <w:rPr>
          <w:color w:val="auto"/>
          <w:sz w:val="24"/>
          <w:szCs w:val="24"/>
        </w:rPr>
      </w:pPr>
      <w:r>
        <w:rPr>
          <w:color w:val="auto"/>
          <w:sz w:val="24"/>
          <w:szCs w:val="24"/>
        </w:rPr>
        <w:br w:type="page"/>
      </w:r>
    </w:p>
    <w:p>
      <w:pPr>
        <w:tabs>
          <w:tab w:val="left" w:pos="19"/>
        </w:tabs>
        <w:spacing w:line="360" w:lineRule="auto"/>
        <w:jc w:val="center"/>
        <w:outlineLvl w:val="0"/>
        <w:rPr>
          <w:b/>
          <w:color w:val="auto"/>
          <w:sz w:val="30"/>
        </w:rPr>
      </w:pPr>
      <w:bookmarkStart w:id="89" w:name="_Toc86055362"/>
      <w:bookmarkStart w:id="90" w:name="_Toc485043058"/>
      <w:bookmarkStart w:id="91" w:name="_Toc21510"/>
      <w:bookmarkStart w:id="92" w:name="_Toc502325497"/>
      <w:bookmarkStart w:id="93" w:name="_Toc485647659"/>
      <w:bookmarkStart w:id="94" w:name="_Toc6815068"/>
      <w:bookmarkStart w:id="95" w:name="_Toc28871"/>
      <w:bookmarkStart w:id="96" w:name="_Toc74137315"/>
      <w:r>
        <w:rPr>
          <w:rFonts w:hint="eastAsia"/>
          <w:b/>
          <w:color w:val="auto"/>
          <w:sz w:val="30"/>
        </w:rPr>
        <w:t>引用标准名录</w:t>
      </w:r>
      <w:bookmarkEnd w:id="89"/>
      <w:bookmarkEnd w:id="90"/>
      <w:bookmarkEnd w:id="91"/>
      <w:bookmarkEnd w:id="92"/>
      <w:bookmarkEnd w:id="93"/>
      <w:bookmarkEnd w:id="94"/>
      <w:bookmarkEnd w:id="95"/>
      <w:bookmarkEnd w:id="96"/>
    </w:p>
    <w:p>
      <w:pPr>
        <w:widowControl/>
        <w:tabs>
          <w:tab w:val="left" w:pos="312"/>
        </w:tabs>
        <w:adjustRightInd w:val="0"/>
        <w:snapToGrid w:val="0"/>
        <w:spacing w:line="360" w:lineRule="auto"/>
        <w:ind w:firstLine="720" w:firstLineChars="300"/>
        <w:jc w:val="left"/>
        <w:rPr>
          <w:b/>
          <w:color w:val="auto"/>
          <w:sz w:val="30"/>
        </w:rPr>
      </w:pPr>
      <w:r>
        <w:rPr>
          <w:rFonts w:hint="eastAsia" w:ascii="宋体" w:hAnsi="宋体" w:cs="微软雅黑"/>
          <w:bCs/>
          <w:color w:val="auto"/>
          <w:sz w:val="24"/>
          <w:szCs w:val="24"/>
        </w:rPr>
        <w:t>本规程引用下列标准。其中，注日期的，仅对该日期对应的版本适用本规程；不注日期的，其最新版适用于本规程。</w:t>
      </w:r>
    </w:p>
    <w:p>
      <w:pPr>
        <w:widowControl/>
        <w:tabs>
          <w:tab w:val="left" w:pos="312"/>
        </w:tabs>
        <w:adjustRightInd w:val="0"/>
        <w:snapToGrid w:val="0"/>
        <w:spacing w:line="360" w:lineRule="auto"/>
        <w:jc w:val="left"/>
        <w:rPr>
          <w:rFonts w:ascii="宋体" w:hAnsi="宋体"/>
          <w:color w:val="auto"/>
          <w:sz w:val="24"/>
        </w:rPr>
      </w:pPr>
      <w:bookmarkStart w:id="97" w:name="_Toc85814246"/>
      <w:bookmarkStart w:id="98" w:name="_Toc86055363"/>
      <w:r>
        <w:rPr>
          <w:rFonts w:hint="eastAsia" w:ascii="宋体" w:hAnsi="宋体"/>
          <w:color w:val="auto"/>
          <w:sz w:val="24"/>
        </w:rPr>
        <w:t>《建筑节能与可再生能源利用通用规范》G</w:t>
      </w:r>
      <w:r>
        <w:rPr>
          <w:rFonts w:ascii="宋体" w:hAnsi="宋体"/>
          <w:color w:val="auto"/>
          <w:sz w:val="24"/>
        </w:rPr>
        <w:t>B 55015-2021</w:t>
      </w:r>
    </w:p>
    <w:p>
      <w:pPr>
        <w:widowControl/>
        <w:tabs>
          <w:tab w:val="left" w:pos="312"/>
        </w:tabs>
        <w:adjustRightInd w:val="0"/>
        <w:snapToGrid w:val="0"/>
        <w:spacing w:line="360" w:lineRule="auto"/>
        <w:jc w:val="left"/>
        <w:rPr>
          <w:rFonts w:ascii="宋体" w:hAnsi="宋体"/>
          <w:color w:val="auto"/>
          <w:sz w:val="24"/>
        </w:rPr>
      </w:pPr>
      <w:r>
        <w:rPr>
          <w:rFonts w:hint="eastAsia"/>
          <w:color w:val="auto"/>
          <w:sz w:val="24"/>
          <w:szCs w:val="24"/>
        </w:rPr>
        <w:t>《建筑碳排放计</w:t>
      </w:r>
      <w:r>
        <w:rPr>
          <w:rFonts w:hint="eastAsia" w:ascii="宋体" w:hAnsi="宋体"/>
          <w:color w:val="auto"/>
          <w:sz w:val="24"/>
        </w:rPr>
        <w:t>算标准》</w:t>
      </w:r>
      <w:r>
        <w:rPr>
          <w:rFonts w:ascii="宋体" w:hAnsi="宋体"/>
          <w:color w:val="auto"/>
          <w:sz w:val="24"/>
        </w:rPr>
        <w:t>GB/T 51366</w:t>
      </w:r>
    </w:p>
    <w:p>
      <w:pPr>
        <w:widowControl/>
        <w:tabs>
          <w:tab w:val="left" w:pos="312"/>
        </w:tabs>
        <w:adjustRightInd w:val="0"/>
        <w:snapToGrid w:val="0"/>
        <w:spacing w:line="360" w:lineRule="auto"/>
        <w:jc w:val="left"/>
        <w:rPr>
          <w:rFonts w:ascii="宋体" w:hAnsi="宋体"/>
          <w:color w:val="auto"/>
          <w:sz w:val="24"/>
        </w:rPr>
      </w:pPr>
      <w:r>
        <w:rPr>
          <w:rFonts w:hint="eastAsia" w:ascii="宋体" w:hAnsi="宋体"/>
          <w:color w:val="auto"/>
          <w:sz w:val="24"/>
        </w:rPr>
        <w:t>《近零能耗建筑技术标准》GB/T 51350</w:t>
      </w:r>
    </w:p>
    <w:p>
      <w:pPr>
        <w:widowControl/>
        <w:tabs>
          <w:tab w:val="left" w:pos="312"/>
        </w:tabs>
        <w:adjustRightInd w:val="0"/>
        <w:snapToGrid w:val="0"/>
        <w:spacing w:line="360" w:lineRule="auto"/>
        <w:jc w:val="left"/>
        <w:rPr>
          <w:rFonts w:ascii="宋体" w:hAnsi="宋体"/>
          <w:color w:val="auto"/>
          <w:sz w:val="24"/>
        </w:rPr>
      </w:pPr>
      <w:r>
        <w:rPr>
          <w:rFonts w:hint="eastAsia" w:ascii="宋体" w:hAnsi="宋体"/>
          <w:color w:val="auto"/>
          <w:sz w:val="24"/>
        </w:rPr>
        <w:t>《建筑工程绿色施工规范》GB/T 50905</w:t>
      </w:r>
    </w:p>
    <w:p>
      <w:pPr>
        <w:widowControl/>
        <w:tabs>
          <w:tab w:val="left" w:pos="312"/>
        </w:tabs>
        <w:adjustRightInd w:val="0"/>
        <w:snapToGrid w:val="0"/>
        <w:spacing w:line="360" w:lineRule="auto"/>
        <w:jc w:val="left"/>
        <w:rPr>
          <w:rFonts w:ascii="宋体" w:hAnsi="宋体"/>
          <w:color w:val="auto"/>
          <w:sz w:val="24"/>
        </w:rPr>
      </w:pPr>
      <w:r>
        <w:rPr>
          <w:rFonts w:hint="eastAsia" w:ascii="宋体" w:hAnsi="宋体"/>
          <w:color w:val="auto"/>
          <w:sz w:val="24"/>
        </w:rPr>
        <w:t>《民用建筑节水设计标准》G</w:t>
      </w:r>
      <w:r>
        <w:rPr>
          <w:rFonts w:ascii="宋体" w:hAnsi="宋体"/>
          <w:color w:val="auto"/>
          <w:sz w:val="24"/>
        </w:rPr>
        <w:t>B 50555-2010</w:t>
      </w:r>
    </w:p>
    <w:p>
      <w:pPr>
        <w:widowControl/>
        <w:tabs>
          <w:tab w:val="left" w:pos="312"/>
        </w:tabs>
        <w:adjustRightInd w:val="0"/>
        <w:snapToGrid w:val="0"/>
        <w:spacing w:line="360" w:lineRule="auto"/>
        <w:jc w:val="left"/>
        <w:rPr>
          <w:rFonts w:ascii="宋体" w:hAnsi="宋体"/>
          <w:color w:val="auto"/>
          <w:sz w:val="24"/>
        </w:rPr>
      </w:pPr>
      <w:r>
        <w:rPr>
          <w:rFonts w:hint="eastAsia" w:ascii="宋体" w:hAnsi="宋体"/>
          <w:color w:val="auto"/>
          <w:sz w:val="24"/>
        </w:rPr>
        <w:t>《城市道路照明设计标准》CJJ45-2015</w:t>
      </w:r>
    </w:p>
    <w:p>
      <w:pPr>
        <w:widowControl/>
        <w:tabs>
          <w:tab w:val="left" w:pos="312"/>
        </w:tabs>
        <w:adjustRightInd w:val="0"/>
        <w:snapToGrid w:val="0"/>
        <w:spacing w:line="360" w:lineRule="auto"/>
        <w:jc w:val="left"/>
        <w:rPr>
          <w:rFonts w:ascii="宋体" w:hAnsi="宋体"/>
          <w:color w:val="auto"/>
          <w:sz w:val="24"/>
        </w:rPr>
      </w:pPr>
    </w:p>
    <w:bookmarkEnd w:id="97"/>
    <w:bookmarkEnd w:id="98"/>
    <w:p>
      <w:pPr>
        <w:widowControl/>
        <w:jc w:val="left"/>
        <w:rPr>
          <w:b/>
          <w:sz w:val="28"/>
          <w:szCs w:val="28"/>
        </w:rPr>
      </w:pPr>
    </w:p>
    <w:sectPr>
      <w:footerReference r:id="rId6"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9407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94075" cy="154940"/>
                      </a:xfrm>
                      <a:prstGeom prst="rect">
                        <a:avLst/>
                      </a:prstGeom>
                      <a:noFill/>
                      <a:ln>
                        <a:noFill/>
                      </a:ln>
                    </wps:spPr>
                    <wps:txbx>
                      <w:txbxContent>
                        <w:p>
                          <w:pPr>
                            <w:pStyle w:val="11"/>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267.25pt;mso-position-horizontal:center;mso-position-horizontal-relative:margin;mso-wrap-style:none;z-index:251659264;mso-width-relative:page;mso-height-relative:page;" filled="f" stroked="f" coordsize="21600,21600" o:gfxdata="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3R0ftMAAAAEAQAADwAAAAAAAAABACAAAAAiAAAAZHJzL2Rv&#10;d25yZXYueG1sUEsBAhQAFAAAAAgAh07iQNDJ7drNAQAAmAMAAA4AAAAAAAAAAQAgAAAAIgEAAGRy&#10;cy9lMm9Eb2MueG1sUEsFBgAAAAAGAAYAWQEAAGEFAAAAAA==&#10;">
              <v:fill on="f" focussize="0,0"/>
              <v:stroke on="f"/>
              <v:imagedata o:title=""/>
              <o:lock v:ext="edit" aspectratio="f"/>
              <v:textbox inset="0mm,0mm,0mm,0mm" style="mso-fit-shape-to-text:t;">
                <w:txbxContent>
                  <w:p>
                    <w:pPr>
                      <w:pStyle w:val="11"/>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E1B5F"/>
    <w:multiLevelType w:val="multilevel"/>
    <w:tmpl w:val="26AE1B5F"/>
    <w:lvl w:ilvl="0" w:tentative="0">
      <w:start w:val="1"/>
      <w:numFmt w:val="decimal"/>
      <w:pStyle w:val="5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yNjNiODMyYzUxNWViOGRmOGYxZTJmZDhhOTEzMDI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6310"/>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6F8D"/>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1F7C5F"/>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110"/>
    <w:rsid w:val="00326805"/>
    <w:rsid w:val="003276EC"/>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068C"/>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5356"/>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35D0"/>
    <w:rsid w:val="004244EA"/>
    <w:rsid w:val="00424702"/>
    <w:rsid w:val="004255E7"/>
    <w:rsid w:val="0042592C"/>
    <w:rsid w:val="004259B6"/>
    <w:rsid w:val="004266E5"/>
    <w:rsid w:val="004340A3"/>
    <w:rsid w:val="00435744"/>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6FDD"/>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595"/>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7DA"/>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2EFC"/>
    <w:rsid w:val="00604AC9"/>
    <w:rsid w:val="006057CC"/>
    <w:rsid w:val="00605A65"/>
    <w:rsid w:val="006062FA"/>
    <w:rsid w:val="006063A4"/>
    <w:rsid w:val="006117FB"/>
    <w:rsid w:val="00611FD0"/>
    <w:rsid w:val="00616DA9"/>
    <w:rsid w:val="00617B2C"/>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47B2"/>
    <w:rsid w:val="00646865"/>
    <w:rsid w:val="006471FD"/>
    <w:rsid w:val="00650B3E"/>
    <w:rsid w:val="00656906"/>
    <w:rsid w:val="00656FEF"/>
    <w:rsid w:val="006604CD"/>
    <w:rsid w:val="00663670"/>
    <w:rsid w:val="00663A4F"/>
    <w:rsid w:val="00666E70"/>
    <w:rsid w:val="00671725"/>
    <w:rsid w:val="0067233E"/>
    <w:rsid w:val="006756E6"/>
    <w:rsid w:val="00676C7E"/>
    <w:rsid w:val="006779E3"/>
    <w:rsid w:val="00680179"/>
    <w:rsid w:val="006802F5"/>
    <w:rsid w:val="00680760"/>
    <w:rsid w:val="00681432"/>
    <w:rsid w:val="0068239A"/>
    <w:rsid w:val="006844E7"/>
    <w:rsid w:val="00685339"/>
    <w:rsid w:val="006856BE"/>
    <w:rsid w:val="006856E8"/>
    <w:rsid w:val="00687AE6"/>
    <w:rsid w:val="00690AF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2F3C"/>
    <w:rsid w:val="00725A50"/>
    <w:rsid w:val="0072721C"/>
    <w:rsid w:val="00727501"/>
    <w:rsid w:val="007307E8"/>
    <w:rsid w:val="00734DCD"/>
    <w:rsid w:val="00735550"/>
    <w:rsid w:val="007361BD"/>
    <w:rsid w:val="00736D46"/>
    <w:rsid w:val="0073771D"/>
    <w:rsid w:val="007416EF"/>
    <w:rsid w:val="00744088"/>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0F1"/>
    <w:rsid w:val="008F56D4"/>
    <w:rsid w:val="008F6B0D"/>
    <w:rsid w:val="00900500"/>
    <w:rsid w:val="00901DB4"/>
    <w:rsid w:val="009043D1"/>
    <w:rsid w:val="00906092"/>
    <w:rsid w:val="00910256"/>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7CE"/>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24B"/>
    <w:rsid w:val="009F6A7F"/>
    <w:rsid w:val="009F6F8F"/>
    <w:rsid w:val="009F771D"/>
    <w:rsid w:val="00A005EA"/>
    <w:rsid w:val="00A0062D"/>
    <w:rsid w:val="00A025B1"/>
    <w:rsid w:val="00A053FD"/>
    <w:rsid w:val="00A057A8"/>
    <w:rsid w:val="00A05DF9"/>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54B0"/>
    <w:rsid w:val="00A479D2"/>
    <w:rsid w:val="00A47A9B"/>
    <w:rsid w:val="00A5300C"/>
    <w:rsid w:val="00A57878"/>
    <w:rsid w:val="00A60243"/>
    <w:rsid w:val="00A60FBE"/>
    <w:rsid w:val="00A619DA"/>
    <w:rsid w:val="00A61E63"/>
    <w:rsid w:val="00A62DF1"/>
    <w:rsid w:val="00A655D4"/>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975D4"/>
    <w:rsid w:val="00AA0531"/>
    <w:rsid w:val="00AA1544"/>
    <w:rsid w:val="00AA77C1"/>
    <w:rsid w:val="00AB09E8"/>
    <w:rsid w:val="00AB1992"/>
    <w:rsid w:val="00AC01BC"/>
    <w:rsid w:val="00AC04C5"/>
    <w:rsid w:val="00AC0E78"/>
    <w:rsid w:val="00AC1625"/>
    <w:rsid w:val="00AC2145"/>
    <w:rsid w:val="00AC22F3"/>
    <w:rsid w:val="00AD35BD"/>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27C9"/>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2674"/>
    <w:rsid w:val="00DD4A4E"/>
    <w:rsid w:val="00DD5985"/>
    <w:rsid w:val="00DD6B71"/>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0FF2"/>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3F66"/>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1FD6"/>
    <w:rsid w:val="00F53714"/>
    <w:rsid w:val="00F53E4E"/>
    <w:rsid w:val="00F54B98"/>
    <w:rsid w:val="00F55E28"/>
    <w:rsid w:val="00F57CE4"/>
    <w:rsid w:val="00F57F6B"/>
    <w:rsid w:val="00F60737"/>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5D5"/>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1094321"/>
    <w:rsid w:val="044205CD"/>
    <w:rsid w:val="0A5E6A54"/>
    <w:rsid w:val="0D081518"/>
    <w:rsid w:val="10A655AD"/>
    <w:rsid w:val="12F53397"/>
    <w:rsid w:val="142D232D"/>
    <w:rsid w:val="15595340"/>
    <w:rsid w:val="19F81CAC"/>
    <w:rsid w:val="1A015D2B"/>
    <w:rsid w:val="1D51226E"/>
    <w:rsid w:val="231874C8"/>
    <w:rsid w:val="231C2B3E"/>
    <w:rsid w:val="23237B34"/>
    <w:rsid w:val="23E541BD"/>
    <w:rsid w:val="23F80EE6"/>
    <w:rsid w:val="268A01C7"/>
    <w:rsid w:val="279E1AA5"/>
    <w:rsid w:val="292A5519"/>
    <w:rsid w:val="297A6CCB"/>
    <w:rsid w:val="2C434B02"/>
    <w:rsid w:val="2C7557C8"/>
    <w:rsid w:val="2CAC2575"/>
    <w:rsid w:val="2DBA77DC"/>
    <w:rsid w:val="2FC27A6F"/>
    <w:rsid w:val="31C3087C"/>
    <w:rsid w:val="32517B33"/>
    <w:rsid w:val="327B797A"/>
    <w:rsid w:val="33137EEE"/>
    <w:rsid w:val="33750EF5"/>
    <w:rsid w:val="342F3456"/>
    <w:rsid w:val="34631FBD"/>
    <w:rsid w:val="34954DD7"/>
    <w:rsid w:val="34E97CE5"/>
    <w:rsid w:val="354A7A46"/>
    <w:rsid w:val="35A40CEA"/>
    <w:rsid w:val="36C5212E"/>
    <w:rsid w:val="37230592"/>
    <w:rsid w:val="372D6964"/>
    <w:rsid w:val="37360D7E"/>
    <w:rsid w:val="37C86C7C"/>
    <w:rsid w:val="37FA574F"/>
    <w:rsid w:val="39AC04AE"/>
    <w:rsid w:val="3B4A59B4"/>
    <w:rsid w:val="3CB8537D"/>
    <w:rsid w:val="3CC83198"/>
    <w:rsid w:val="3E4C50B7"/>
    <w:rsid w:val="3FDE2B25"/>
    <w:rsid w:val="3FE91F17"/>
    <w:rsid w:val="404830E9"/>
    <w:rsid w:val="40781543"/>
    <w:rsid w:val="43405045"/>
    <w:rsid w:val="43C112A1"/>
    <w:rsid w:val="43C861D0"/>
    <w:rsid w:val="464A74F9"/>
    <w:rsid w:val="472D46B9"/>
    <w:rsid w:val="47E830C0"/>
    <w:rsid w:val="481F77F8"/>
    <w:rsid w:val="490D60F5"/>
    <w:rsid w:val="4C83585B"/>
    <w:rsid w:val="4CC732CB"/>
    <w:rsid w:val="4D4332A5"/>
    <w:rsid w:val="4F241BD8"/>
    <w:rsid w:val="4F3A5C2E"/>
    <w:rsid w:val="4F3F543F"/>
    <w:rsid w:val="53772EA9"/>
    <w:rsid w:val="552E7500"/>
    <w:rsid w:val="55C53DDA"/>
    <w:rsid w:val="59E413C7"/>
    <w:rsid w:val="5A7406D2"/>
    <w:rsid w:val="5A8F3085"/>
    <w:rsid w:val="5B8E6DC8"/>
    <w:rsid w:val="5C497914"/>
    <w:rsid w:val="5D012FCC"/>
    <w:rsid w:val="5D255C5A"/>
    <w:rsid w:val="5D7243BE"/>
    <w:rsid w:val="5D9F2A02"/>
    <w:rsid w:val="5E330EE6"/>
    <w:rsid w:val="5EA979E6"/>
    <w:rsid w:val="5FA24ED4"/>
    <w:rsid w:val="60E85FB9"/>
    <w:rsid w:val="623F7F21"/>
    <w:rsid w:val="63363FEF"/>
    <w:rsid w:val="63530D75"/>
    <w:rsid w:val="641A55BD"/>
    <w:rsid w:val="645A106B"/>
    <w:rsid w:val="647559B3"/>
    <w:rsid w:val="65A8387A"/>
    <w:rsid w:val="67EE5B3C"/>
    <w:rsid w:val="68C43CF3"/>
    <w:rsid w:val="695E10EB"/>
    <w:rsid w:val="6B9E4C28"/>
    <w:rsid w:val="6CAC592A"/>
    <w:rsid w:val="6F0E3D90"/>
    <w:rsid w:val="6F6A77BC"/>
    <w:rsid w:val="6FA845B8"/>
    <w:rsid w:val="724D3A07"/>
    <w:rsid w:val="72C60566"/>
    <w:rsid w:val="72DD3F01"/>
    <w:rsid w:val="76B61C2D"/>
    <w:rsid w:val="76DB689E"/>
    <w:rsid w:val="77C874D4"/>
    <w:rsid w:val="78617C43"/>
    <w:rsid w:val="795F1070"/>
    <w:rsid w:val="79E439C6"/>
    <w:rsid w:val="7A027803"/>
    <w:rsid w:val="7A81451C"/>
    <w:rsid w:val="7B3C449B"/>
    <w:rsid w:val="7B5766B9"/>
    <w:rsid w:val="7D2F1B08"/>
    <w:rsid w:val="7EAC1DD1"/>
    <w:rsid w:val="7FC3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unhideWhenUsed/>
    <w:qFormat/>
    <w:uiPriority w:val="99"/>
    <w:pPr>
      <w:jc w:val="left"/>
    </w:pPr>
  </w:style>
  <w:style w:type="paragraph" w:styleId="6">
    <w:name w:val="Body Text"/>
    <w:basedOn w:val="1"/>
    <w:link w:val="35"/>
    <w:qFormat/>
    <w:uiPriority w:val="1"/>
    <w:rPr>
      <w:rFonts w:eastAsia="Times New Roman"/>
      <w:sz w:val="25"/>
      <w:szCs w:val="25"/>
    </w:rPr>
  </w:style>
  <w:style w:type="paragraph" w:styleId="7">
    <w:name w:val="toc 3"/>
    <w:basedOn w:val="1"/>
    <w:next w:val="1"/>
    <w:unhideWhenUsed/>
    <w:qFormat/>
    <w:uiPriority w:val="39"/>
    <w:pPr>
      <w:ind w:left="840" w:leftChars="400"/>
    </w:pPr>
  </w:style>
  <w:style w:type="paragraph" w:styleId="8">
    <w:name w:val="Plain Text"/>
    <w:basedOn w:val="1"/>
    <w:link w:val="45"/>
    <w:semiHidden/>
    <w:unhideWhenUsed/>
    <w:qFormat/>
    <w:uiPriority w:val="99"/>
    <w:rPr>
      <w:rFonts w:ascii="宋体" w:hAnsi="Courier New" w:cs="Courier New"/>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toc 1"/>
    <w:basedOn w:val="1"/>
    <w:next w:val="1"/>
    <w:unhideWhenUsed/>
    <w:qFormat/>
    <w:uiPriority w:val="39"/>
    <w:pPr>
      <w:tabs>
        <w:tab w:val="right" w:leader="dot" w:pos="8296"/>
      </w:tabs>
      <w:spacing w:line="276" w:lineRule="auto"/>
    </w:pPr>
    <w:rPr>
      <w:rFonts w:ascii="宋体" w:hAnsi="宋体"/>
      <w:color w:val="auto"/>
    </w:rPr>
  </w:style>
  <w:style w:type="paragraph" w:styleId="14">
    <w:name w:val="toc 2"/>
    <w:basedOn w:val="1"/>
    <w:next w:val="1"/>
    <w:unhideWhenUsed/>
    <w:qFormat/>
    <w:uiPriority w:val="39"/>
    <w:pPr>
      <w:tabs>
        <w:tab w:val="right" w:leader="dot" w:pos="8296"/>
      </w:tabs>
      <w:spacing w:line="276" w:lineRule="auto"/>
      <w:ind w:left="420" w:leftChars="200"/>
    </w:pPr>
  </w:style>
  <w:style w:type="paragraph" w:styleId="15">
    <w:name w:val="Normal (Web)"/>
    <w:basedOn w:val="1"/>
    <w:qFormat/>
    <w:uiPriority w:val="99"/>
    <w:pPr>
      <w:spacing w:before="100" w:beforeAutospacing="1" w:after="100" w:afterAutospacing="1"/>
      <w:jc w:val="left"/>
    </w:pPr>
    <w:rPr>
      <w:sz w:val="24"/>
    </w:rPr>
  </w:style>
  <w:style w:type="paragraph" w:styleId="16">
    <w:name w:val="annotation subject"/>
    <w:basedOn w:val="5"/>
    <w:next w:val="5"/>
    <w:link w:val="39"/>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0"/>
    <w:rPr>
      <w:sz w:val="18"/>
      <w:szCs w:val="18"/>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8">
    <w:name w:val="日期 字符"/>
    <w:basedOn w:val="19"/>
    <w:link w:val="9"/>
    <w:semiHidden/>
    <w:qFormat/>
    <w:uiPriority w:val="99"/>
    <w:rPr>
      <w:rFonts w:ascii="Times New Roman" w:hAnsi="Times New Roman" w:eastAsia="宋体" w:cs="Times New Roman"/>
      <w:color w:val="0000FF"/>
      <w:sz w:val="21"/>
      <w:szCs w:val="21"/>
    </w:rPr>
  </w:style>
  <w:style w:type="character" w:customStyle="1" w:styleId="29">
    <w:name w:val="批注框文本 字符"/>
    <w:basedOn w:val="19"/>
    <w:link w:val="10"/>
    <w:semiHidden/>
    <w:qFormat/>
    <w:uiPriority w:val="99"/>
    <w:rPr>
      <w:rFonts w:ascii="Times New Roman" w:hAnsi="Times New Roman" w:eastAsia="宋体" w:cs="Times New Roman"/>
      <w:color w:val="0000FF"/>
      <w:sz w:val="18"/>
      <w:szCs w:val="18"/>
    </w:rPr>
  </w:style>
  <w:style w:type="character" w:customStyle="1" w:styleId="30">
    <w:name w:val="标题 2 字符"/>
    <w:basedOn w:val="19"/>
    <w:semiHidden/>
    <w:qFormat/>
    <w:uiPriority w:val="9"/>
    <w:rPr>
      <w:rFonts w:asciiTheme="majorHAnsi" w:hAnsiTheme="majorHAnsi" w:eastAsiaTheme="majorEastAsia" w:cstheme="majorBidi"/>
      <w:b/>
      <w:bCs/>
      <w:color w:val="0000FF"/>
      <w:sz w:val="32"/>
      <w:szCs w:val="32"/>
    </w:rPr>
  </w:style>
  <w:style w:type="character" w:customStyle="1" w:styleId="31">
    <w:name w:val="标题 2 字符1"/>
    <w:link w:val="3"/>
    <w:qFormat/>
    <w:uiPriority w:val="0"/>
    <w:rPr>
      <w:rFonts w:ascii="宋体" w:hAnsi="Times New Roman" w:eastAsia="宋体" w:cs="Times New Roman"/>
      <w:b/>
      <w:bCs/>
      <w:kern w:val="2"/>
      <w:sz w:val="28"/>
      <w:szCs w:val="28"/>
      <w:lang w:val="zh-CN" w:eastAsia="zh-CN"/>
    </w:rPr>
  </w:style>
  <w:style w:type="character" w:styleId="32">
    <w:name w:val="Placeholder Text"/>
    <w:basedOn w:val="19"/>
    <w:semiHidden/>
    <w:qFormat/>
    <w:uiPriority w:val="99"/>
    <w:rPr>
      <w:color w:val="808080"/>
    </w:rPr>
  </w:style>
  <w:style w:type="character" w:customStyle="1" w:styleId="33">
    <w:name w:val="标题 3 字符"/>
    <w:basedOn w:val="19"/>
    <w:link w:val="4"/>
    <w:qFormat/>
    <w:uiPriority w:val="9"/>
    <w:rPr>
      <w:rFonts w:ascii="Times New Roman" w:hAnsi="Times New Roman" w:eastAsia="宋体" w:cs="Times New Roman"/>
      <w:b/>
      <w:bCs/>
      <w:color w:val="0000FF"/>
      <w:sz w:val="32"/>
      <w:szCs w:val="32"/>
    </w:rPr>
  </w:style>
  <w:style w:type="character" w:customStyle="1" w:styleId="34">
    <w:name w:val="标题 1 字符"/>
    <w:basedOn w:val="19"/>
    <w:link w:val="2"/>
    <w:qFormat/>
    <w:uiPriority w:val="9"/>
    <w:rPr>
      <w:rFonts w:ascii="Times New Roman" w:hAnsi="Times New Roman" w:eastAsia="宋体" w:cs="Times New Roman"/>
      <w:b/>
      <w:bCs/>
      <w:color w:val="0000FF"/>
      <w:kern w:val="44"/>
      <w:sz w:val="44"/>
      <w:szCs w:val="44"/>
    </w:rPr>
  </w:style>
  <w:style w:type="character" w:customStyle="1" w:styleId="35">
    <w:name w:val="正文文本 字符"/>
    <w:basedOn w:val="19"/>
    <w:link w:val="6"/>
    <w:qFormat/>
    <w:uiPriority w:val="1"/>
    <w:rPr>
      <w:rFonts w:ascii="Times New Roman" w:hAnsi="Times New Roman" w:eastAsia="Times New Roman" w:cs="Times New Roman"/>
      <w:color w:val="0000FF"/>
      <w:sz w:val="25"/>
      <w:szCs w:val="25"/>
    </w:rPr>
  </w:style>
  <w:style w:type="character" w:customStyle="1" w:styleId="36">
    <w:name w:val="ss2"/>
    <w:basedOn w:val="19"/>
    <w:qFormat/>
    <w:uiPriority w:val="0"/>
  </w:style>
  <w:style w:type="paragraph" w:customStyle="1" w:styleId="37">
    <w:name w:val="TOC 标题1"/>
    <w:basedOn w:val="2"/>
    <w:next w:val="1"/>
    <w:semiHidden/>
    <w:unhideWhenUsed/>
    <w:qFormat/>
    <w:uiPriority w:val="39"/>
    <w:pPr>
      <w:outlineLvl w:val="9"/>
    </w:pPr>
  </w:style>
  <w:style w:type="character" w:customStyle="1" w:styleId="38">
    <w:name w:val="批注文字 字符"/>
    <w:basedOn w:val="19"/>
    <w:link w:val="5"/>
    <w:qFormat/>
    <w:uiPriority w:val="99"/>
    <w:rPr>
      <w:rFonts w:ascii="Times New Roman" w:hAnsi="Times New Roman" w:eastAsia="宋体" w:cs="Times New Roman"/>
      <w:color w:val="0000FF"/>
      <w:sz w:val="21"/>
      <w:szCs w:val="21"/>
    </w:rPr>
  </w:style>
  <w:style w:type="character" w:customStyle="1" w:styleId="39">
    <w:name w:val="批注主题 字符"/>
    <w:basedOn w:val="38"/>
    <w:link w:val="16"/>
    <w:semiHidden/>
    <w:qFormat/>
    <w:uiPriority w:val="99"/>
    <w:rPr>
      <w:rFonts w:ascii="Times New Roman" w:hAnsi="Times New Roman" w:eastAsia="宋体" w:cs="Times New Roman"/>
      <w:b/>
      <w:bCs/>
      <w:color w:val="0000FF"/>
      <w:sz w:val="21"/>
      <w:szCs w:val="21"/>
    </w:rPr>
  </w:style>
  <w:style w:type="paragraph" w:customStyle="1" w:styleId="40">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41">
    <w:name w:val="扉页（出版时间地点）"/>
    <w:basedOn w:val="1"/>
    <w:qFormat/>
    <w:uiPriority w:val="0"/>
    <w:pPr>
      <w:jc w:val="center"/>
    </w:pPr>
    <w:rPr>
      <w:rFonts w:eastAsia="黑体" w:cs="宋体"/>
      <w:color w:val="auto"/>
      <w:kern w:val="2"/>
      <w:szCs w:val="20"/>
    </w:rPr>
  </w:style>
  <w:style w:type="paragraph" w:customStyle="1" w:styleId="42">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3">
    <w:name w:val="标准扉页（标准名称）"/>
    <w:basedOn w:val="1"/>
    <w:qFormat/>
    <w:uiPriority w:val="0"/>
    <w:pPr>
      <w:jc w:val="center"/>
    </w:pPr>
    <w:rPr>
      <w:rFonts w:eastAsia="黑体"/>
      <w:color w:val="auto"/>
      <w:kern w:val="2"/>
      <w:sz w:val="30"/>
      <w:szCs w:val="20"/>
    </w:rPr>
  </w:style>
  <w:style w:type="paragraph" w:customStyle="1" w:styleId="44">
    <w:name w:val="标准扉页（福建省工程建设地方标准）"/>
    <w:basedOn w:val="1"/>
    <w:qFormat/>
    <w:uiPriority w:val="0"/>
    <w:pPr>
      <w:jc w:val="center"/>
    </w:pPr>
    <w:rPr>
      <w:rFonts w:eastAsia="黑体"/>
      <w:color w:val="auto"/>
      <w:kern w:val="2"/>
      <w:sz w:val="28"/>
      <w:szCs w:val="20"/>
    </w:rPr>
  </w:style>
  <w:style w:type="character" w:customStyle="1" w:styleId="45">
    <w:name w:val="纯文本 字符"/>
    <w:basedOn w:val="19"/>
    <w:link w:val="8"/>
    <w:semiHidden/>
    <w:qFormat/>
    <w:uiPriority w:val="99"/>
    <w:rPr>
      <w:rFonts w:ascii="宋体" w:hAnsi="Courier New" w:eastAsia="宋体" w:cs="Courier New"/>
      <w:color w:val="0000FF"/>
      <w:sz w:val="21"/>
      <w:szCs w:val="21"/>
    </w:rPr>
  </w:style>
  <w:style w:type="paragraph" w:customStyle="1" w:styleId="46">
    <w:name w:val="文章"/>
    <w:basedOn w:val="1"/>
    <w:qFormat/>
    <w:uiPriority w:val="0"/>
    <w:pPr>
      <w:spacing w:line="360" w:lineRule="auto"/>
      <w:ind w:firstLine="200" w:firstLineChars="200"/>
    </w:pPr>
    <w:rPr>
      <w:rFonts w:cstheme="minorBidi"/>
      <w:color w:val="auto"/>
      <w:kern w:val="2"/>
      <w:sz w:val="24"/>
      <w:szCs w:val="22"/>
    </w:rPr>
  </w:style>
  <w:style w:type="paragraph" w:customStyle="1" w:styleId="47">
    <w:name w:val="article title"/>
    <w:basedOn w:val="1"/>
    <w:qFormat/>
    <w:uiPriority w:val="99"/>
    <w:pPr>
      <w:widowControl/>
      <w:spacing w:line="360" w:lineRule="auto"/>
      <w:jc w:val="center"/>
      <w:outlineLvl w:val="0"/>
    </w:pPr>
    <w:rPr>
      <w:rFonts w:ascii="黑体" w:hAnsi="黑体" w:eastAsia="黑体"/>
      <w:b/>
      <w:color w:val="000000"/>
      <w:sz w:val="28"/>
      <w:szCs w:val="20"/>
      <w:lang w:eastAsia="en-US"/>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1"/>
    <w:basedOn w:val="1"/>
    <w:qFormat/>
    <w:uiPriority w:val="0"/>
    <w:pPr>
      <w:spacing w:line="300" w:lineRule="auto"/>
      <w:ind w:firstLine="482" w:firstLineChars="200"/>
    </w:pPr>
    <w:rPr>
      <w:sz w:val="24"/>
      <w:szCs w:val="24"/>
    </w:rPr>
  </w:style>
  <w:style w:type="paragraph" w:customStyle="1" w:styleId="50">
    <w:name w:val="修订2"/>
    <w:hidden/>
    <w:semiHidden/>
    <w:qFormat/>
    <w:uiPriority w:val="99"/>
    <w:rPr>
      <w:rFonts w:ascii="Times New Roman" w:hAnsi="Times New Roman" w:eastAsia="宋体" w:cs="Times New Roman"/>
      <w:color w:val="0000FF"/>
      <w:sz w:val="21"/>
      <w:szCs w:val="21"/>
      <w:lang w:val="en-US" w:eastAsia="zh-CN" w:bidi="ar-SA"/>
    </w:rPr>
  </w:style>
  <w:style w:type="paragraph" w:customStyle="1" w:styleId="51">
    <w:name w:val="条文说明"/>
    <w:basedOn w:val="1"/>
    <w:qFormat/>
    <w:uiPriority w:val="0"/>
    <w:pPr>
      <w:spacing w:line="360" w:lineRule="auto"/>
    </w:pPr>
    <w:rPr>
      <w:rFonts w:ascii="楷体" w:hAnsi="楷体" w:eastAsia="楷体"/>
      <w:color w:val="auto"/>
    </w:rPr>
  </w:style>
  <w:style w:type="paragraph" w:customStyle="1" w:styleId="52">
    <w:name w:val="二级"/>
    <w:basedOn w:val="1"/>
    <w:qFormat/>
    <w:uiPriority w:val="0"/>
    <w:pPr>
      <w:spacing w:before="50" w:beforeLines="50" w:after="120"/>
      <w:jc w:val="center"/>
      <w:outlineLvl w:val="1"/>
    </w:pPr>
    <w:rPr>
      <w:rFonts w:eastAsia="黑体"/>
      <w:bCs/>
      <w:color w:val="auto"/>
      <w:sz w:val="28"/>
      <w:szCs w:val="24"/>
    </w:rPr>
  </w:style>
  <w:style w:type="paragraph" w:customStyle="1" w:styleId="53">
    <w:name w:val="正文最低级别"/>
    <w:basedOn w:val="26"/>
    <w:qFormat/>
    <w:uiPriority w:val="0"/>
    <w:pPr>
      <w:numPr>
        <w:ilvl w:val="0"/>
        <w:numId w:val="1"/>
      </w:numPr>
      <w:tabs>
        <w:tab w:val="left" w:pos="851"/>
      </w:tabs>
      <w:spacing w:line="360" w:lineRule="auto"/>
      <w:ind w:left="0" w:firstLine="200"/>
    </w:pPr>
    <w:rPr>
      <w:color w:val="auto"/>
      <w:sz w:val="24"/>
    </w:rPr>
  </w:style>
  <w:style w:type="paragraph" w:customStyle="1" w:styleId="54">
    <w:name w:val="修订3"/>
    <w:hidden/>
    <w:semiHidden/>
    <w:qFormat/>
    <w:uiPriority w:val="99"/>
    <w:rPr>
      <w:rFonts w:ascii="Times New Roman" w:hAnsi="Times New Roman" w:eastAsia="宋体" w:cs="Times New Roman"/>
      <w:color w:val="0000FF"/>
      <w:sz w:val="21"/>
      <w:szCs w:val="21"/>
      <w:lang w:val="en-US" w:eastAsia="zh-CN" w:bidi="ar-SA"/>
    </w:rPr>
  </w:style>
  <w:style w:type="paragraph" w:customStyle="1" w:styleId="55">
    <w:name w:val="修订4"/>
    <w:hidden/>
    <w:semiHidden/>
    <w:qFormat/>
    <w:uiPriority w:val="99"/>
    <w:rPr>
      <w:rFonts w:ascii="Times New Roman" w:hAnsi="Times New Roman" w:eastAsia="宋体" w:cs="Times New Roman"/>
      <w:color w:val="0000FF"/>
      <w:sz w:val="21"/>
      <w:szCs w:val="21"/>
      <w:lang w:val="en-US" w:eastAsia="zh-CN" w:bidi="ar-SA"/>
    </w:rPr>
  </w:style>
  <w:style w:type="paragraph" w:customStyle="1" w:styleId="56">
    <w:name w:val="修订5"/>
    <w:hidden/>
    <w:semiHidden/>
    <w:qFormat/>
    <w:uiPriority w:val="99"/>
    <w:rPr>
      <w:rFonts w:ascii="Times New Roman" w:hAnsi="Times New Roman" w:eastAsia="宋体" w:cs="Times New Roman"/>
      <w:color w:val="0000FF"/>
      <w:sz w:val="21"/>
      <w:szCs w:val="21"/>
      <w:lang w:val="en-US" w:eastAsia="zh-CN" w:bidi="ar-SA"/>
    </w:rPr>
  </w:style>
  <w:style w:type="character" w:customStyle="1" w:styleId="57">
    <w:name w:val="font31"/>
    <w:basedOn w:val="19"/>
    <w:qFormat/>
    <w:uiPriority w:val="0"/>
    <w:rPr>
      <w:rFonts w:hint="default" w:ascii="Arial" w:hAnsi="Arial" w:cs="Arial"/>
      <w:color w:val="424245"/>
      <w:sz w:val="18"/>
      <w:szCs w:val="18"/>
      <w:u w:val="none"/>
    </w:rPr>
  </w:style>
  <w:style w:type="character" w:customStyle="1" w:styleId="58">
    <w:name w:val="font11"/>
    <w:basedOn w:val="19"/>
    <w:qFormat/>
    <w:uiPriority w:val="0"/>
    <w:rPr>
      <w:rFonts w:hint="default" w:ascii="Arial" w:hAnsi="Arial" w:cs="Arial"/>
      <w:color w:val="424245"/>
      <w:sz w:val="24"/>
      <w:szCs w:val="24"/>
      <w:u w:val="none"/>
    </w:rPr>
  </w:style>
  <w:style w:type="paragraph" w:customStyle="1" w:styleId="59">
    <w:name w:val="修订6"/>
    <w:hidden/>
    <w:semiHidden/>
    <w:qFormat/>
    <w:uiPriority w:val="99"/>
    <w:rPr>
      <w:rFonts w:ascii="Times New Roman" w:hAnsi="Times New Roman" w:eastAsia="宋体" w:cs="Times New Roman"/>
      <w:color w:val="0000FF"/>
      <w:sz w:val="21"/>
      <w:szCs w:val="21"/>
      <w:lang w:val="en-US" w:eastAsia="zh-CN" w:bidi="ar-SA"/>
    </w:rPr>
  </w:style>
  <w:style w:type="paragraph" w:customStyle="1" w:styleId="60">
    <w:name w:val="Revision"/>
    <w:hidden/>
    <w:semiHidden/>
    <w:qFormat/>
    <w:uiPriority w:val="99"/>
    <w:rPr>
      <w:rFonts w:ascii="Times New Roman" w:hAnsi="Times New Roman" w:eastAsia="宋体" w:cs="Times New Roman"/>
      <w:color w:val="0000FF"/>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datastoreItem>
</file>

<file path=docProps/app.xml><?xml version="1.0" encoding="utf-8"?>
<Properties xmlns="http://schemas.openxmlformats.org/officeDocument/2006/extended-properties" xmlns:vt="http://schemas.openxmlformats.org/officeDocument/2006/docPropsVTypes">
  <Template>Normal</Template>
  <Pages>30</Pages>
  <Words>14858</Words>
  <Characters>17036</Characters>
  <Lines>146</Lines>
  <Paragraphs>41</Paragraphs>
  <TotalTime>6</TotalTime>
  <ScaleCrop>false</ScaleCrop>
  <LinksUpToDate>false</LinksUpToDate>
  <CharactersWithSpaces>17455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2022-11-04T03:07:00Z</dcterms:created>
  <dc:creator>lenovo lenovo</dc:creator>
  <cp:lastModifiedBy>Gys Kelly</cp:lastModifiedBy>
  <cp:lastPrinted>2021-10-26T01:33:00Z</cp:lastPrinted>
  <dcterms:modified xsi:type="dcterms:W3CDTF">2022-11-04T03:25:30Z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75CA13EA87AC47798FE676D0CB7F3C00</vt:lpwstr>
  </property>
</Properties>
</file>