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ascii="Times New Roman" w:hAnsi="Times New Roman"/>
          <w:color w:val="auto"/>
          <w:highlight w:val="none"/>
        </w:rPr>
      </w:pPr>
      <w:r>
        <w:rPr>
          <w:rFonts w:ascii="Times New Roman" w:hAnsi="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-36830</wp:posOffset>
                </wp:positionH>
                <wp:positionV relativeFrom="paragraph">
                  <wp:posOffset>855345</wp:posOffset>
                </wp:positionV>
                <wp:extent cx="5143500" cy="0"/>
                <wp:effectExtent l="0" t="0" r="0" b="0"/>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9pt;margin-top:67.35pt;height:0pt;width:405pt;z-index:251661312;mso-width-relative:page;mso-height-relative:page;" filled="f" stroked="t" coordsize="21600,21600" o:gfxdata="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GKUI&#10;1gAAAAoBAAAPAAAAAAAAAAEAIAAAACIAAABkcnMvZG93bnJldi54bWxQSwECFAAUAAAACACHTuJA&#10;1kpdWuoBAAC6AwAADgAAAAAAAAABACAAAAAlAQAAZHJzL2Uyb0RvYy54bWxQSwUGAAAAAAYABgBZ&#10;AQAAgQUAAAAA&#10;">
                <v:fill on="f" focussize="0,0"/>
                <v:stroke color="#000000" joinstyle="round"/>
                <v:imagedata o:title=""/>
                <o:lock v:ext="edit" aspectratio="f"/>
              </v:line>
            </w:pict>
          </mc:Fallback>
        </mc:AlternateContent>
      </w:r>
      <w:r>
        <w:rPr>
          <w:rFonts w:hint="eastAsia" w:ascii="Times New Roman" w:hAnsi="Times New Roman" w:cs="宋体"/>
          <w:b/>
          <w:bCs/>
          <w:color w:val="auto"/>
          <w:sz w:val="24"/>
          <w:highlight w:val="none"/>
          <w:lang w:val="zh-CN"/>
        </w:rPr>
        <w:object>
          <v:shape id="_x0000_i1025" o:spt="75" type="#_x0000_t75" style="height:61.1pt;width:97.6pt;" o:ole="t" filled="f" o:preferrelative="t" stroked="f" coordsize="21600,21600">
            <v:path/>
            <v:fill on="f" focussize="0,0"/>
            <v:stroke on="f" joinstyle="miter"/>
            <v:imagedata r:id="rId8" o:title=""/>
            <o:lock v:ext="edit" aspectratio="t"/>
            <w10:wrap type="none"/>
            <w10:anchorlock/>
          </v:shape>
          <o:OLEObject Type="Embed" ProgID="Picture.PicObj.1" ShapeID="_x0000_i1025" DrawAspect="Content" ObjectID="_1468075725" r:id="rId7">
            <o:LockedField>false</o:LockedField>
          </o:OLEObject>
        </w:object>
      </w:r>
      <w:r>
        <w:rPr>
          <w:rFonts w:ascii="Times New Roman" w:hAnsi="Times New Roman"/>
          <w:color w:val="auto"/>
          <w:sz w:val="36"/>
          <w:highlight w:val="none"/>
        </w:rPr>
        <w:t>T/CECS</w:t>
      </w:r>
      <w:r>
        <w:rPr>
          <w:rFonts w:hint="eastAsia" w:ascii="Times New Roman" w:hAnsi="Times New Roman"/>
          <w:color w:val="auto"/>
          <w:sz w:val="28"/>
          <w:highlight w:val="none"/>
        </w:rPr>
        <w:t>xxx-2022</w:t>
      </w:r>
      <w:bookmarkStart w:id="147" w:name="_GoBack"/>
      <w:bookmarkEnd w:id="147"/>
    </w:p>
    <w:p>
      <w:pPr>
        <w:spacing w:line="312" w:lineRule="auto"/>
        <w:rPr>
          <w:rFonts w:ascii="Times New Roman" w:hAnsi="Times New Roman"/>
          <w:color w:val="auto"/>
          <w:highlight w:val="none"/>
        </w:rPr>
      </w:pPr>
    </w:p>
    <w:p>
      <w:pPr>
        <w:spacing w:line="312" w:lineRule="auto"/>
        <w:rPr>
          <w:rFonts w:ascii="Times New Roman" w:hAnsi="Times New Roman"/>
          <w:color w:val="auto"/>
          <w:highlight w:val="none"/>
        </w:rPr>
      </w:pPr>
    </w:p>
    <w:p>
      <w:pPr>
        <w:spacing w:line="312" w:lineRule="auto"/>
        <w:jc w:val="center"/>
        <w:rPr>
          <w:rFonts w:ascii="Times New Roman" w:hAnsi="Times New Roman"/>
          <w:color w:val="auto"/>
          <w:sz w:val="36"/>
          <w:szCs w:val="36"/>
          <w:highlight w:val="none"/>
        </w:rPr>
      </w:pPr>
      <w:r>
        <w:rPr>
          <w:rFonts w:hint="eastAsia" w:ascii="Times New Roman" w:hAnsi="Times New Roman"/>
          <w:color w:val="auto"/>
          <w:sz w:val="36"/>
          <w:szCs w:val="36"/>
          <w:highlight w:val="none"/>
        </w:rPr>
        <w:t>中国工程建设标准化协会标准</w:t>
      </w:r>
    </w:p>
    <w:p>
      <w:pPr>
        <w:spacing w:line="312" w:lineRule="auto"/>
        <w:jc w:val="center"/>
        <w:rPr>
          <w:rFonts w:ascii="Times New Roman" w:hAnsi="Times New Roman"/>
          <w:color w:val="auto"/>
          <w:sz w:val="36"/>
          <w:szCs w:val="36"/>
          <w:highlight w:val="none"/>
        </w:rPr>
      </w:pPr>
    </w:p>
    <w:p>
      <w:pPr>
        <w:spacing w:line="312" w:lineRule="auto"/>
        <w:jc w:val="center"/>
        <w:rPr>
          <w:rFonts w:ascii="Times New Roman" w:hAnsi="Times New Roman"/>
          <w:color w:val="auto"/>
          <w:sz w:val="44"/>
          <w:szCs w:val="44"/>
          <w:highlight w:val="none"/>
        </w:rPr>
      </w:pPr>
    </w:p>
    <w:p>
      <w:pPr>
        <w:pStyle w:val="40"/>
        <w:widowControl w:val="0"/>
        <w:shd w:val="clear" w:color="auto" w:fill="FFFFFF"/>
        <w:spacing w:before="0" w:beforeAutospacing="0" w:after="0" w:line="312" w:lineRule="auto"/>
        <w:jc w:val="center"/>
        <w:rPr>
          <w:rFonts w:ascii="Times New Roman" w:hAnsi="Times New Roman"/>
          <w:color w:val="auto"/>
          <w:sz w:val="36"/>
          <w:szCs w:val="36"/>
          <w:highlight w:val="none"/>
          <w:lang w:val="zh-CN"/>
        </w:rPr>
      </w:pPr>
      <w:r>
        <w:rPr>
          <w:rFonts w:hint="eastAsia" w:ascii="Times New Roman" w:hAnsi="Times New Roman"/>
          <w:b/>
          <w:bCs/>
          <w:color w:val="auto"/>
          <w:sz w:val="36"/>
          <w:szCs w:val="36"/>
          <w:highlight w:val="none"/>
        </w:rPr>
        <w:t>支架预应力混凝土叠合板应用技术规程</w:t>
      </w:r>
    </w:p>
    <w:p>
      <w:pPr>
        <w:spacing w:line="312" w:lineRule="auto"/>
        <w:jc w:val="center"/>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Technical specification for application of support prestressed concrete composite slabs</w:t>
      </w:r>
    </w:p>
    <w:p>
      <w:pPr>
        <w:spacing w:line="312" w:lineRule="auto"/>
        <w:jc w:val="center"/>
        <w:rPr>
          <w:rFonts w:ascii="Times New Roman" w:hAnsi="Times New Roman"/>
          <w:color w:val="auto"/>
          <w:sz w:val="28"/>
          <w:szCs w:val="28"/>
          <w:highlight w:val="none"/>
        </w:rPr>
      </w:pPr>
      <w:r>
        <w:rPr>
          <w:rFonts w:hint="eastAsia" w:ascii="Times New Roman" w:hAnsi="Times New Roman"/>
          <w:color w:val="auto"/>
          <w:sz w:val="28"/>
          <w:szCs w:val="28"/>
          <w:highlight w:val="none"/>
        </w:rPr>
        <w:t>（</w:t>
      </w:r>
      <w:r>
        <w:rPr>
          <w:rFonts w:hint="eastAsia" w:eastAsiaTheme="minorEastAsia"/>
          <w:b/>
          <w:bCs/>
          <w:color w:val="auto"/>
          <w:sz w:val="36"/>
          <w:szCs w:val="36"/>
          <w:highlight w:val="none"/>
        </w:rPr>
        <w:t>征求意见</w:t>
      </w:r>
      <w:r>
        <w:rPr>
          <w:rFonts w:eastAsiaTheme="minorEastAsia"/>
          <w:b/>
          <w:bCs/>
          <w:color w:val="auto"/>
          <w:sz w:val="36"/>
          <w:szCs w:val="36"/>
          <w:highlight w:val="none"/>
        </w:rPr>
        <w:t>稿</w:t>
      </w:r>
      <w:r>
        <w:rPr>
          <w:rFonts w:hint="eastAsia" w:ascii="Times New Roman" w:hAnsi="Times New Roman"/>
          <w:color w:val="auto"/>
          <w:sz w:val="28"/>
          <w:szCs w:val="28"/>
          <w:highlight w:val="none"/>
        </w:rPr>
        <w:t>）</w:t>
      </w:r>
    </w:p>
    <w:p>
      <w:pPr>
        <w:spacing w:line="312" w:lineRule="auto"/>
        <w:rPr>
          <w:rFonts w:ascii="Times New Roman" w:hAnsi="Times New Roman"/>
          <w:color w:val="auto"/>
          <w:highlight w:val="none"/>
        </w:rPr>
      </w:pPr>
    </w:p>
    <w:p>
      <w:pPr>
        <w:spacing w:line="312" w:lineRule="auto"/>
        <w:rPr>
          <w:rFonts w:ascii="Times New Roman" w:hAnsi="Times New Roman"/>
          <w:color w:val="auto"/>
          <w:highlight w:val="none"/>
        </w:rPr>
      </w:pPr>
    </w:p>
    <w:p>
      <w:pPr>
        <w:spacing w:line="312" w:lineRule="auto"/>
        <w:rPr>
          <w:rFonts w:ascii="Times New Roman" w:hAnsi="Times New Roman"/>
          <w:color w:val="auto"/>
          <w:highlight w:val="none"/>
        </w:rPr>
      </w:pPr>
    </w:p>
    <w:p>
      <w:pPr>
        <w:spacing w:line="312" w:lineRule="auto"/>
        <w:rPr>
          <w:rFonts w:ascii="Times New Roman" w:hAnsi="Times New Roman"/>
          <w:color w:val="auto"/>
          <w:highlight w:val="none"/>
        </w:rPr>
      </w:pPr>
    </w:p>
    <w:p>
      <w:pPr>
        <w:spacing w:line="312" w:lineRule="auto"/>
        <w:rPr>
          <w:rFonts w:ascii="Times New Roman" w:hAnsi="Times New Roman"/>
          <w:color w:val="auto"/>
          <w:highlight w:val="none"/>
        </w:rPr>
      </w:pPr>
    </w:p>
    <w:p>
      <w:pPr>
        <w:spacing w:line="312" w:lineRule="auto"/>
        <w:rPr>
          <w:rFonts w:ascii="Times New Roman" w:hAnsi="Times New Roman"/>
          <w:color w:val="auto"/>
          <w:highlight w:val="none"/>
        </w:rPr>
      </w:pPr>
    </w:p>
    <w:p>
      <w:pPr>
        <w:spacing w:line="312" w:lineRule="auto"/>
        <w:jc w:val="center"/>
        <w:rPr>
          <w:rFonts w:ascii="Times New Roman" w:hAnsi="Times New Roman"/>
          <w:color w:val="auto"/>
          <w:sz w:val="30"/>
          <w:szCs w:val="30"/>
          <w:highlight w:val="none"/>
        </w:rPr>
      </w:pPr>
    </w:p>
    <w:p>
      <w:pPr>
        <w:spacing w:line="312" w:lineRule="auto"/>
        <w:jc w:val="center"/>
        <w:rPr>
          <w:rFonts w:ascii="Times New Roman" w:hAnsi="Times New Roman"/>
          <w:color w:val="auto"/>
          <w:sz w:val="30"/>
          <w:szCs w:val="30"/>
          <w:highlight w:val="none"/>
        </w:rPr>
      </w:pPr>
      <w:r>
        <w:rPr>
          <w:rFonts w:hint="eastAsia" w:ascii="Times New Roman" w:hAnsi="Times New Roman"/>
          <w:color w:val="auto"/>
          <w:sz w:val="30"/>
          <w:szCs w:val="30"/>
          <w:highlight w:val="none"/>
        </w:rPr>
        <w:t>中国XX出版社</w:t>
      </w:r>
    </w:p>
    <w:p>
      <w:pPr>
        <w:tabs>
          <w:tab w:val="left" w:pos="3510"/>
        </w:tabs>
        <w:spacing w:line="312" w:lineRule="auto"/>
        <w:rPr>
          <w:rFonts w:ascii="Times New Roman" w:hAnsi="Times New Roman"/>
          <w:color w:val="auto"/>
          <w:sz w:val="28"/>
          <w:szCs w:val="28"/>
          <w:highlight w:val="none"/>
        </w:rPr>
        <w:sectPr>
          <w:footerReference r:id="rId4" w:type="default"/>
          <w:pgSz w:w="11907" w:h="16840"/>
          <w:pgMar w:top="1440" w:right="1797" w:bottom="1440" w:left="1797" w:header="851" w:footer="992" w:gutter="0"/>
          <w:cols w:space="720" w:num="1"/>
          <w:titlePg/>
          <w:docGrid w:type="lines" w:linePitch="312" w:charSpace="0"/>
        </w:sectPr>
      </w:pPr>
    </w:p>
    <w:p>
      <w:pPr>
        <w:tabs>
          <w:tab w:val="left" w:pos="3510"/>
        </w:tabs>
        <w:spacing w:line="312" w:lineRule="auto"/>
        <w:rPr>
          <w:rFonts w:ascii="Times New Roman" w:hAnsi="Times New Roman"/>
          <w:color w:val="auto"/>
          <w:highlight w:val="none"/>
        </w:rPr>
      </w:pPr>
      <w:r>
        <w:rPr>
          <w:rFonts w:ascii="Times New Roman" w:hAnsi="Times New Roman"/>
          <w:color w:val="auto"/>
          <w:sz w:val="28"/>
          <w:szCs w:val="28"/>
          <w:highlight w:val="none"/>
        </w:rPr>
        <w:tab/>
      </w:r>
    </w:p>
    <w:p>
      <w:pPr>
        <w:spacing w:line="312" w:lineRule="auto"/>
        <w:rPr>
          <w:rFonts w:ascii="Times New Roman" w:hAnsi="Times New Roman"/>
          <w:color w:val="auto"/>
          <w:highlight w:val="none"/>
        </w:rPr>
      </w:pPr>
    </w:p>
    <w:p>
      <w:pPr>
        <w:spacing w:line="312" w:lineRule="auto"/>
        <w:jc w:val="center"/>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中国工程建设标准化协会标准</w:t>
      </w:r>
    </w:p>
    <w:p>
      <w:pPr>
        <w:pStyle w:val="40"/>
        <w:widowControl w:val="0"/>
        <w:shd w:val="clear" w:color="auto" w:fill="FFFFFF"/>
        <w:spacing w:before="0" w:beforeAutospacing="0" w:after="0" w:line="312" w:lineRule="auto"/>
        <w:jc w:val="center"/>
        <w:rPr>
          <w:rFonts w:ascii="Times New Roman" w:hAnsi="Times New Roman"/>
          <w:color w:val="auto"/>
          <w:sz w:val="36"/>
          <w:szCs w:val="36"/>
          <w:highlight w:val="none"/>
          <w:lang w:val="zh-CN"/>
        </w:rPr>
      </w:pPr>
      <w:r>
        <w:rPr>
          <w:rFonts w:hint="eastAsia" w:ascii="Times New Roman" w:hAnsi="Times New Roman"/>
          <w:b/>
          <w:bCs/>
          <w:color w:val="auto"/>
          <w:sz w:val="36"/>
          <w:szCs w:val="36"/>
          <w:highlight w:val="none"/>
        </w:rPr>
        <w:t>支架预应力混凝土叠合板应用技术规程</w:t>
      </w:r>
    </w:p>
    <w:p>
      <w:pPr>
        <w:spacing w:line="312" w:lineRule="auto"/>
        <w:jc w:val="center"/>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Technical specification for application of support prestressed concrete composite slabs</w:t>
      </w:r>
    </w:p>
    <w:p>
      <w:pPr>
        <w:spacing w:line="312" w:lineRule="auto"/>
        <w:jc w:val="center"/>
        <w:rPr>
          <w:rFonts w:ascii="Times New Roman" w:hAnsi="Times New Roman" w:eastAsia="宋体"/>
          <w:b/>
          <w:color w:val="auto"/>
          <w:highlight w:val="none"/>
        </w:rPr>
      </w:pPr>
      <w:r>
        <w:rPr>
          <w:rFonts w:ascii="Times New Roman" w:hAnsi="Times New Roman"/>
          <w:b/>
          <w:color w:val="auto"/>
          <w:highlight w:val="none"/>
        </w:rPr>
        <w:t xml:space="preserve">T/CECS </w:t>
      </w:r>
      <w:r>
        <w:rPr>
          <w:rFonts w:hint="eastAsia" w:ascii="Times New Roman" w:hAnsi="Times New Roman"/>
          <w:b/>
          <w:color w:val="auto"/>
          <w:highlight w:val="none"/>
        </w:rPr>
        <w:t>xxx</w:t>
      </w:r>
      <w:r>
        <w:rPr>
          <w:rFonts w:hint="eastAsia" w:ascii="Times New Roman" w:hAnsi="Times New Roman" w:eastAsia="宋体"/>
          <w:b/>
          <w:color w:val="auto"/>
          <w:highlight w:val="none"/>
        </w:rPr>
        <w:t>－2022</w:t>
      </w:r>
    </w:p>
    <w:p>
      <w:pPr>
        <w:spacing w:line="312" w:lineRule="auto"/>
        <w:rPr>
          <w:rFonts w:ascii="Times New Roman" w:hAnsi="Times New Roman"/>
          <w:color w:val="auto"/>
          <w:sz w:val="32"/>
          <w:szCs w:val="32"/>
          <w:highlight w:val="none"/>
        </w:rPr>
      </w:pPr>
    </w:p>
    <w:p>
      <w:pPr>
        <w:spacing w:line="312" w:lineRule="auto"/>
        <w:ind w:firstLine="1600" w:firstLineChars="500"/>
        <w:rPr>
          <w:rFonts w:ascii="Times New Roman" w:hAnsi="Times New Roman"/>
          <w:color w:val="auto"/>
          <w:sz w:val="32"/>
          <w:szCs w:val="32"/>
          <w:highlight w:val="none"/>
        </w:rPr>
      </w:pPr>
    </w:p>
    <w:p>
      <w:pPr>
        <w:spacing w:line="312" w:lineRule="auto"/>
        <w:ind w:firstLine="1687" w:firstLineChars="600"/>
        <w:jc w:val="both"/>
        <w:rPr>
          <w:rFonts w:ascii="Times New Roman" w:hAnsi="Times New Roman" w:cs="Times New Roman" w:eastAsiaTheme="minorEastAsia"/>
          <w:b/>
          <w:color w:val="auto"/>
          <w:sz w:val="28"/>
          <w:szCs w:val="28"/>
          <w:highlight w:val="none"/>
        </w:rPr>
      </w:pPr>
      <w:r>
        <w:rPr>
          <w:rFonts w:ascii="Times New Roman" w:cs="Times New Roman" w:hAnsiTheme="minorEastAsia" w:eastAsiaTheme="minorEastAsia"/>
          <w:b/>
          <w:color w:val="auto"/>
          <w:sz w:val="28"/>
          <w:szCs w:val="28"/>
          <w:highlight w:val="none"/>
        </w:rPr>
        <w:t>主编单位：山东建筑大学</w:t>
      </w:r>
    </w:p>
    <w:p>
      <w:pPr>
        <w:spacing w:line="312" w:lineRule="auto"/>
        <w:jc w:val="center"/>
        <w:rPr>
          <w:rFonts w:ascii="Times New Roman" w:hAnsi="Times New Roman" w:cs="Times New Roman" w:eastAsiaTheme="minorEastAsia"/>
          <w:b/>
          <w:color w:val="auto"/>
          <w:sz w:val="28"/>
          <w:szCs w:val="28"/>
          <w:highlight w:val="none"/>
        </w:rPr>
      </w:pPr>
      <w:r>
        <w:rPr>
          <w:rFonts w:ascii="Times New Roman" w:hAnsi="Times New Roman" w:cs="Times New Roman" w:eastAsiaTheme="minorEastAsia"/>
          <w:b/>
          <w:color w:val="auto"/>
          <w:sz w:val="28"/>
          <w:szCs w:val="28"/>
          <w:highlight w:val="none"/>
        </w:rPr>
        <w:t xml:space="preserve">              </w:t>
      </w:r>
      <w:r>
        <w:rPr>
          <w:rFonts w:hint="eastAsia" w:ascii="Times New Roman" w:hAnsi="Times New Roman" w:cs="Times New Roman" w:eastAsiaTheme="minorEastAsia"/>
          <w:b/>
          <w:color w:val="auto"/>
          <w:sz w:val="28"/>
          <w:szCs w:val="28"/>
          <w:highlight w:val="none"/>
        </w:rPr>
        <w:t xml:space="preserve">           </w:t>
      </w:r>
      <w:r>
        <w:rPr>
          <w:rFonts w:ascii="Times New Roman" w:cs="Times New Roman" w:hAnsiTheme="minorEastAsia" w:eastAsiaTheme="minorEastAsia"/>
          <w:b/>
          <w:color w:val="auto"/>
          <w:sz w:val="28"/>
          <w:szCs w:val="28"/>
          <w:highlight w:val="none"/>
        </w:rPr>
        <w:t>山东</w:t>
      </w:r>
      <w:r>
        <w:rPr>
          <w:rFonts w:hint="eastAsia" w:ascii="Times New Roman" w:cs="Times New Roman" w:hAnsiTheme="minorEastAsia" w:eastAsiaTheme="minorEastAsia"/>
          <w:b/>
          <w:color w:val="auto"/>
          <w:sz w:val="28"/>
          <w:szCs w:val="28"/>
          <w:highlight w:val="none"/>
        </w:rPr>
        <w:t>乾元泽孚科技股份有限公司</w:t>
      </w:r>
    </w:p>
    <w:p>
      <w:pPr>
        <w:spacing w:line="312" w:lineRule="auto"/>
        <w:ind w:firstLine="1687" w:firstLineChars="600"/>
        <w:jc w:val="both"/>
        <w:rPr>
          <w:rFonts w:ascii="Times New Roman" w:hAnsi="Times New Roman" w:cs="Times New Roman" w:eastAsiaTheme="minorEastAsia"/>
          <w:b/>
          <w:color w:val="auto"/>
          <w:sz w:val="28"/>
          <w:szCs w:val="28"/>
          <w:highlight w:val="none"/>
        </w:rPr>
      </w:pPr>
      <w:r>
        <w:rPr>
          <w:rFonts w:ascii="Times New Roman" w:cs="Times New Roman" w:hAnsiTheme="minorEastAsia" w:eastAsiaTheme="minorEastAsia"/>
          <w:b/>
          <w:color w:val="auto"/>
          <w:sz w:val="28"/>
          <w:szCs w:val="28"/>
          <w:highlight w:val="none"/>
        </w:rPr>
        <w:t>批准单位：中国工程建设标准化协会</w:t>
      </w:r>
    </w:p>
    <w:p>
      <w:pPr>
        <w:spacing w:line="312" w:lineRule="auto"/>
        <w:ind w:firstLine="1687" w:firstLineChars="600"/>
        <w:jc w:val="both"/>
        <w:rPr>
          <w:rFonts w:ascii="Times New Roman" w:hAnsi="Times New Roman" w:cs="Times New Roman" w:eastAsiaTheme="minorEastAsia"/>
          <w:b/>
          <w:color w:val="auto"/>
          <w:sz w:val="30"/>
          <w:szCs w:val="30"/>
          <w:highlight w:val="none"/>
        </w:rPr>
      </w:pPr>
      <w:r>
        <w:rPr>
          <w:rFonts w:ascii="Times New Roman" w:cs="Times New Roman" w:hAnsiTheme="minorEastAsia" w:eastAsiaTheme="minorEastAsia"/>
          <w:b/>
          <w:color w:val="auto"/>
          <w:sz w:val="28"/>
          <w:szCs w:val="28"/>
          <w:highlight w:val="none"/>
        </w:rPr>
        <w:t>施行日期</w:t>
      </w:r>
      <w:r>
        <w:rPr>
          <w:rFonts w:ascii="Times New Roman" w:cs="Times New Roman" w:hAnsiTheme="minorEastAsia" w:eastAsiaTheme="minorEastAsia"/>
          <w:b/>
          <w:color w:val="auto"/>
          <w:sz w:val="28"/>
          <w:szCs w:val="28"/>
          <w:highlight w:val="none"/>
        </w:rPr>
        <w:t>：</w:t>
      </w:r>
      <w:r>
        <w:rPr>
          <w:rFonts w:ascii="Times New Roman" w:hAnsi="Times New Roman" w:cs="Times New Roman" w:eastAsiaTheme="minorEastAsia"/>
          <w:b/>
          <w:color w:val="auto"/>
          <w:sz w:val="28"/>
          <w:szCs w:val="28"/>
          <w:highlight w:val="none"/>
        </w:rPr>
        <w:t>20</w:t>
      </w:r>
      <w:r>
        <w:rPr>
          <w:rFonts w:hint="eastAsia" w:ascii="Times New Roman" w:hAnsi="Times New Roman" w:cs="Times New Roman" w:eastAsiaTheme="minorEastAsia"/>
          <w:b/>
          <w:color w:val="auto"/>
          <w:sz w:val="28"/>
          <w:szCs w:val="28"/>
          <w:highlight w:val="none"/>
        </w:rPr>
        <w:t>2X</w:t>
      </w:r>
      <w:r>
        <w:rPr>
          <w:rFonts w:ascii="Times New Roman" w:cs="Times New Roman" w:hAnsiTheme="minorEastAsia" w:eastAsiaTheme="minorEastAsia"/>
          <w:b/>
          <w:color w:val="auto"/>
          <w:sz w:val="28"/>
          <w:szCs w:val="28"/>
          <w:highlight w:val="none"/>
        </w:rPr>
        <w:t>年</w:t>
      </w:r>
      <w:r>
        <w:rPr>
          <w:rFonts w:ascii="Times New Roman" w:hAnsi="Times New Roman" w:cs="Times New Roman" w:eastAsiaTheme="minorEastAsia"/>
          <w:b/>
          <w:color w:val="auto"/>
          <w:sz w:val="28"/>
          <w:szCs w:val="28"/>
          <w:highlight w:val="none"/>
        </w:rPr>
        <w:t>X</w:t>
      </w:r>
      <w:r>
        <w:rPr>
          <w:rFonts w:ascii="Times New Roman" w:cs="Times New Roman" w:hAnsiTheme="minorEastAsia" w:eastAsiaTheme="minorEastAsia"/>
          <w:b/>
          <w:color w:val="auto"/>
          <w:sz w:val="28"/>
          <w:szCs w:val="28"/>
          <w:highlight w:val="none"/>
        </w:rPr>
        <w:t>月</w:t>
      </w:r>
      <w:r>
        <w:rPr>
          <w:rFonts w:ascii="Times New Roman" w:hAnsi="Times New Roman" w:cs="Times New Roman" w:eastAsiaTheme="minorEastAsia"/>
          <w:b/>
          <w:color w:val="auto"/>
          <w:sz w:val="28"/>
          <w:szCs w:val="28"/>
          <w:highlight w:val="none"/>
        </w:rPr>
        <w:t>X</w:t>
      </w:r>
      <w:r>
        <w:rPr>
          <w:rFonts w:ascii="Times New Roman" w:cs="Times New Roman" w:hAnsiTheme="minorEastAsia" w:eastAsiaTheme="minorEastAsia"/>
          <w:b/>
          <w:color w:val="auto"/>
          <w:sz w:val="28"/>
          <w:szCs w:val="28"/>
          <w:highlight w:val="none"/>
        </w:rPr>
        <w:t>日</w:t>
      </w:r>
    </w:p>
    <w:p>
      <w:pPr>
        <w:spacing w:line="312" w:lineRule="auto"/>
        <w:jc w:val="center"/>
        <w:rPr>
          <w:rFonts w:ascii="Times New Roman" w:hAnsi="Times New Roman"/>
          <w:color w:val="auto"/>
          <w:sz w:val="30"/>
          <w:szCs w:val="30"/>
          <w:highlight w:val="none"/>
        </w:rPr>
      </w:pPr>
    </w:p>
    <w:p>
      <w:pPr>
        <w:spacing w:line="312" w:lineRule="auto"/>
        <w:jc w:val="center"/>
        <w:rPr>
          <w:rFonts w:ascii="Times New Roman" w:hAnsi="Times New Roman"/>
          <w:color w:val="auto"/>
          <w:sz w:val="30"/>
          <w:szCs w:val="30"/>
          <w:highlight w:val="none"/>
        </w:rPr>
      </w:pPr>
    </w:p>
    <w:p>
      <w:pPr>
        <w:spacing w:line="312" w:lineRule="auto"/>
        <w:jc w:val="center"/>
        <w:rPr>
          <w:rFonts w:ascii="Times New Roman" w:hAnsi="Times New Roman" w:cs="Times New Roman" w:eastAsiaTheme="minorEastAsia"/>
          <w:color w:val="auto"/>
          <w:sz w:val="30"/>
          <w:szCs w:val="30"/>
          <w:highlight w:val="none"/>
        </w:rPr>
      </w:pPr>
      <w:r>
        <w:rPr>
          <w:rFonts w:ascii="Times New Roman" w:cs="Times New Roman" w:hAnsiTheme="minorEastAsia" w:eastAsiaTheme="minorEastAsia"/>
          <w:color w:val="auto"/>
          <w:sz w:val="30"/>
          <w:szCs w:val="30"/>
          <w:highlight w:val="none"/>
        </w:rPr>
        <w:t>中国</w:t>
      </w:r>
      <w:r>
        <w:rPr>
          <w:rFonts w:ascii="Times New Roman" w:hAnsi="Times New Roman" w:cs="Times New Roman" w:eastAsiaTheme="minorEastAsia"/>
          <w:color w:val="auto"/>
          <w:sz w:val="30"/>
          <w:szCs w:val="30"/>
          <w:highlight w:val="none"/>
        </w:rPr>
        <w:t>XX</w:t>
      </w:r>
      <w:r>
        <w:rPr>
          <w:rFonts w:ascii="Times New Roman" w:cs="Times New Roman" w:hAnsiTheme="minorEastAsia" w:eastAsiaTheme="minorEastAsia"/>
          <w:color w:val="auto"/>
          <w:sz w:val="30"/>
          <w:szCs w:val="30"/>
          <w:highlight w:val="none"/>
        </w:rPr>
        <w:t>出版社</w:t>
      </w:r>
    </w:p>
    <w:p>
      <w:pPr>
        <w:spacing w:line="312" w:lineRule="auto"/>
        <w:jc w:val="center"/>
        <w:rPr>
          <w:rFonts w:ascii="Times New Roman" w:hAnsi="Times New Roman" w:cs="Times New Roman" w:eastAsiaTheme="minorEastAsia"/>
          <w:color w:val="auto"/>
          <w:sz w:val="28"/>
          <w:szCs w:val="28"/>
          <w:highlight w:val="none"/>
        </w:rPr>
        <w:sectPr>
          <w:pgSz w:w="11907" w:h="16840"/>
          <w:pgMar w:top="1440" w:right="1797" w:bottom="1440" w:left="1797" w:header="851" w:footer="992" w:gutter="0"/>
          <w:cols w:space="720" w:num="1"/>
          <w:titlePg/>
          <w:docGrid w:type="lines" w:linePitch="312" w:charSpace="0"/>
        </w:sectPr>
      </w:pPr>
      <w:r>
        <w:rPr>
          <w:rFonts w:ascii="Times New Roman" w:hAnsi="Times New Roman" w:cs="Times New Roman" w:eastAsiaTheme="minorEastAsia"/>
          <w:color w:val="auto"/>
          <w:sz w:val="28"/>
          <w:szCs w:val="28"/>
          <w:highlight w:val="none"/>
        </w:rPr>
        <w:t>20</w:t>
      </w:r>
      <w:r>
        <w:rPr>
          <w:rFonts w:hint="eastAsia" w:ascii="Times New Roman" w:hAnsi="Times New Roman" w:cs="Times New Roman" w:eastAsiaTheme="minorEastAsia"/>
          <w:color w:val="auto"/>
          <w:sz w:val="28"/>
          <w:szCs w:val="28"/>
          <w:highlight w:val="none"/>
        </w:rPr>
        <w:t>22</w:t>
      </w:r>
      <w:r>
        <w:rPr>
          <w:rFonts w:ascii="Times New Roman" w:cs="Times New Roman" w:hAnsiTheme="minorEastAsia" w:eastAsiaTheme="minorEastAsia"/>
          <w:color w:val="auto"/>
          <w:sz w:val="28"/>
          <w:szCs w:val="28"/>
          <w:highlight w:val="none"/>
        </w:rPr>
        <w:t>年</w:t>
      </w:r>
      <w:r>
        <w:rPr>
          <w:rFonts w:ascii="Times New Roman" w:hAnsi="Times New Roman" w:cs="Times New Roman" w:eastAsiaTheme="minorEastAsia"/>
          <w:color w:val="auto"/>
          <w:sz w:val="28"/>
          <w:szCs w:val="28"/>
          <w:highlight w:val="none"/>
        </w:rPr>
        <w:t xml:space="preserve">  </w:t>
      </w:r>
    </w:p>
    <w:p>
      <w:pPr>
        <w:spacing w:line="360" w:lineRule="auto"/>
        <w:jc w:val="center"/>
        <w:rPr>
          <w:rFonts w:ascii="Times New Roman" w:hAnsi="Times New Roman" w:eastAsia="宋体" w:cs="Times New Roman"/>
          <w:b/>
          <w:color w:val="auto"/>
          <w:sz w:val="28"/>
          <w:szCs w:val="28"/>
          <w:highlight w:val="none"/>
        </w:rPr>
      </w:pPr>
      <w:r>
        <w:rPr>
          <w:rFonts w:ascii="Times New Roman" w:eastAsia="宋体" w:cs="Times New Roman"/>
          <w:b/>
          <w:color w:val="auto"/>
          <w:sz w:val="28"/>
          <w:szCs w:val="28"/>
          <w:highlight w:val="none"/>
        </w:rPr>
        <w:t>前言</w:t>
      </w:r>
    </w:p>
    <w:p>
      <w:pPr>
        <w:spacing w:line="360" w:lineRule="auto"/>
        <w:ind w:firstLine="480" w:firstLineChars="200"/>
        <w:rPr>
          <w:rFonts w:ascii="Times New Roman" w:hAnsi="Times New Roman" w:eastAsia="宋体" w:cs="Times New Roman"/>
          <w:color w:val="auto"/>
          <w:sz w:val="24"/>
          <w:highlight w:val="none"/>
        </w:rPr>
      </w:pPr>
      <w:r>
        <w:rPr>
          <w:rFonts w:ascii="Times New Roman" w:eastAsia="宋体" w:cs="Times New Roman"/>
          <w:color w:val="auto"/>
          <w:sz w:val="24"/>
          <w:highlight w:val="none"/>
        </w:rPr>
        <w:t>根据中国工程建设标准化协会</w:t>
      </w:r>
      <w:r>
        <w:rPr>
          <w:rFonts w:hint="eastAsia" w:ascii="Times New Roman" w:eastAsia="宋体" w:cs="Times New Roman"/>
          <w:color w:val="auto"/>
          <w:sz w:val="24"/>
          <w:highlight w:val="none"/>
        </w:rPr>
        <w:t>“关于“</w:t>
      </w:r>
      <w:r>
        <w:rPr>
          <w:rFonts w:hint="eastAsia" w:ascii="Times New Roman" w:eastAsia="宋体" w:cs="Times New Roman"/>
          <w:color w:val="auto"/>
          <w:sz w:val="24"/>
          <w:highlight w:val="none"/>
        </w:rPr>
        <w:t>《支架预应力混凝土叠合板应用技术规程》立项申请书”</w:t>
      </w:r>
      <w:r>
        <w:rPr>
          <w:rFonts w:ascii="Times New Roman" w:eastAsia="宋体" w:cs="Times New Roman"/>
          <w:color w:val="auto"/>
          <w:sz w:val="24"/>
          <w:highlight w:val="none"/>
        </w:rPr>
        <w:t>的</w:t>
      </w:r>
      <w:r>
        <w:rPr>
          <w:rFonts w:hint="eastAsia" w:ascii="Times New Roman" w:eastAsia="宋体" w:cs="Times New Roman"/>
          <w:color w:val="auto"/>
          <w:sz w:val="24"/>
          <w:highlight w:val="none"/>
        </w:rPr>
        <w:t>复函”</w:t>
      </w:r>
      <w:r>
        <w:rPr>
          <w:rFonts w:ascii="Times New Roman" w:eastAsia="宋体" w:cs="Times New Roman"/>
          <w:color w:val="auto"/>
          <w:sz w:val="24"/>
          <w:highlight w:val="none"/>
        </w:rPr>
        <w:t>（建标协</w:t>
      </w:r>
      <w:r>
        <w:rPr>
          <w:rFonts w:hint="eastAsia" w:ascii="Times New Roman" w:eastAsia="宋体" w:cs="Times New Roman"/>
          <w:color w:val="auto"/>
          <w:sz w:val="24"/>
          <w:highlight w:val="none"/>
        </w:rPr>
        <w:t>函</w:t>
      </w:r>
      <w:r>
        <w:rPr>
          <w:rFonts w:ascii="Times New Roman" w:eastAsia="宋体" w:cs="Times New Roman"/>
          <w:color w:val="auto"/>
          <w:sz w:val="24"/>
          <w:highlight w:val="none"/>
        </w:rPr>
        <w:t>〔</w:t>
      </w:r>
      <w:r>
        <w:rPr>
          <w:rFonts w:ascii="Times New Roman" w:hAnsi="Times New Roman" w:eastAsia="宋体" w:cs="Times New Roman"/>
          <w:color w:val="auto"/>
          <w:sz w:val="24"/>
          <w:highlight w:val="none"/>
        </w:rPr>
        <w:t>2019</w:t>
      </w:r>
      <w:r>
        <w:rPr>
          <w:rFonts w:ascii="Times New Roman" w:eastAsia="宋体" w:cs="Times New Roman"/>
          <w:color w:val="auto"/>
          <w:sz w:val="24"/>
          <w:highlight w:val="none"/>
        </w:rPr>
        <w:t>〕</w:t>
      </w:r>
      <w:r>
        <w:rPr>
          <w:rFonts w:hint="eastAsia" w:ascii="Times New Roman" w:hAnsi="Times New Roman" w:eastAsia="宋体" w:cs="Times New Roman"/>
          <w:color w:val="auto"/>
          <w:sz w:val="24"/>
          <w:highlight w:val="none"/>
        </w:rPr>
        <w:t>01</w:t>
      </w:r>
      <w:r>
        <w:rPr>
          <w:rFonts w:ascii="Times New Roman" w:eastAsia="宋体" w:cs="Times New Roman"/>
          <w:color w:val="auto"/>
          <w:sz w:val="24"/>
          <w:highlight w:val="none"/>
        </w:rPr>
        <w:t>号）的要求</w:t>
      </w:r>
      <w:r>
        <w:rPr>
          <w:rFonts w:ascii="Times New Roman" w:eastAsia="宋体" w:cs="Times New Roman"/>
          <w:color w:val="auto"/>
          <w:sz w:val="24"/>
          <w:highlight w:val="none"/>
        </w:rPr>
        <w:t>，编制组经广泛调查研究，认真总结实践经验，参考有关国际标准和国外先进标准，并在广泛征求意见的基础上，制订了本规程。</w:t>
      </w:r>
    </w:p>
    <w:p>
      <w:pPr>
        <w:spacing w:line="360" w:lineRule="auto"/>
        <w:ind w:firstLine="480" w:firstLineChars="200"/>
        <w:rPr>
          <w:rFonts w:ascii="Times New Roman" w:hAnsi="Times New Roman" w:eastAsia="宋体" w:cs="Times New Roman"/>
          <w:color w:val="auto"/>
          <w:sz w:val="24"/>
          <w:highlight w:val="none"/>
        </w:rPr>
      </w:pPr>
      <w:r>
        <w:rPr>
          <w:rFonts w:ascii="Times New Roman" w:eastAsia="宋体" w:cs="Times New Roman"/>
          <w:color w:val="auto"/>
          <w:sz w:val="24"/>
          <w:highlight w:val="none"/>
        </w:rPr>
        <w:t>本规程主要技术内容包括：总则，术语和符号，材料，基本规定，预应力损失计算，构件设计计算，构造要求，构件制作与运输，施工安装，质量验收。</w:t>
      </w:r>
    </w:p>
    <w:p>
      <w:pPr>
        <w:spacing w:line="360" w:lineRule="auto"/>
        <w:ind w:left="110" w:leftChars="50" w:firstLine="360" w:firstLineChars="150"/>
        <w:jc w:val="both"/>
        <w:rPr>
          <w:rFonts w:ascii="Times New Roman" w:hAnsi="Times New Roman" w:eastAsia="宋体" w:cs="Times New Roman"/>
          <w:color w:val="auto"/>
          <w:sz w:val="24"/>
          <w:highlight w:val="none"/>
        </w:rPr>
      </w:pPr>
      <w:r>
        <w:rPr>
          <w:rFonts w:ascii="Times New Roman" w:eastAsia="宋体" w:cs="Times New Roman"/>
          <w:color w:val="auto"/>
          <w:sz w:val="24"/>
          <w:highlight w:val="none"/>
        </w:rPr>
        <w:t>本规程由中国工程建设标准化协会</w:t>
      </w:r>
      <w:r>
        <w:rPr>
          <w:rFonts w:hint="eastAsia" w:ascii="Times New Roman" w:eastAsia="宋体" w:cs="Times New Roman"/>
          <w:color w:val="auto"/>
          <w:sz w:val="24"/>
          <w:highlight w:val="none"/>
          <w:lang w:val="en-US" w:eastAsia="zh-CN"/>
        </w:rPr>
        <w:t>预应力</w:t>
      </w:r>
      <w:r>
        <w:rPr>
          <w:rFonts w:ascii="Times New Roman" w:eastAsia="宋体" w:cs="Times New Roman"/>
          <w:color w:val="auto"/>
          <w:sz w:val="24"/>
          <w:highlight w:val="none"/>
        </w:rPr>
        <w:t>分会归口管理，山东建筑大学负责具体技术内容的解释。执行过程中如有意见或建议，请寄送山东建筑大学（地址：山东省济南市临港开发区凤鸣路，邮政编码：</w:t>
      </w:r>
      <w:r>
        <w:rPr>
          <w:rFonts w:ascii="Times New Roman" w:hAnsi="Times New Roman" w:eastAsia="宋体" w:cs="Times New Roman"/>
          <w:color w:val="auto"/>
          <w:sz w:val="24"/>
          <w:highlight w:val="none"/>
        </w:rPr>
        <w:t>250101</w:t>
      </w:r>
      <w:r>
        <w:rPr>
          <w:rFonts w:asci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eastAsia="黑体" w:cs="Times New Roman"/>
          <w:color w:val="auto"/>
          <w:sz w:val="24"/>
          <w:highlight w:val="none"/>
        </w:rPr>
        <w:t>主编单位：</w:t>
      </w:r>
      <w:r>
        <w:rPr>
          <w:rFonts w:ascii="Times New Roman" w:eastAsia="宋体" w:cs="Times New Roman"/>
          <w:color w:val="auto"/>
          <w:sz w:val="24"/>
          <w:szCs w:val="24"/>
          <w:highlight w:val="none"/>
        </w:rPr>
        <w:t>山东</w:t>
      </w:r>
      <w:r>
        <w:rPr>
          <w:rFonts w:hint="eastAsia" w:ascii="Times New Roman" w:eastAsia="宋体" w:cs="Times New Roman"/>
          <w:color w:val="auto"/>
          <w:sz w:val="24"/>
          <w:szCs w:val="24"/>
          <w:highlight w:val="none"/>
        </w:rPr>
        <w:t>乾元泽孚科技股份有限公司</w:t>
      </w:r>
    </w:p>
    <w:p>
      <w:pPr>
        <w:spacing w:after="0" w:line="360" w:lineRule="auto"/>
        <w:ind w:firstLine="1680" w:firstLineChars="700"/>
        <w:rPr>
          <w:rFonts w:ascii="Times New Roman" w:hAnsi="Times New Roman" w:eastAsia="宋体" w:cs="Times New Roman"/>
          <w:color w:val="auto"/>
          <w:sz w:val="24"/>
          <w:szCs w:val="24"/>
          <w:highlight w:val="none"/>
        </w:rPr>
      </w:pPr>
      <w:r>
        <w:rPr>
          <w:rFonts w:ascii="Times New Roman" w:eastAsia="宋体" w:cs="Times New Roman"/>
          <w:color w:val="auto"/>
          <w:sz w:val="24"/>
          <w:szCs w:val="24"/>
          <w:highlight w:val="none"/>
        </w:rPr>
        <w:t>山东</w:t>
      </w:r>
      <w:r>
        <w:rPr>
          <w:rFonts w:hint="eastAsia" w:ascii="Times New Roman" w:eastAsia="宋体" w:cs="Times New Roman"/>
          <w:color w:val="auto"/>
          <w:sz w:val="24"/>
          <w:szCs w:val="24"/>
          <w:highlight w:val="none"/>
        </w:rPr>
        <w:t>建筑大学设计集团有限公司</w:t>
      </w:r>
    </w:p>
    <w:p>
      <w:pPr>
        <w:spacing w:after="0" w:line="360" w:lineRule="auto"/>
        <w:ind w:firstLine="480" w:firstLineChars="200"/>
        <w:rPr>
          <w:rFonts w:eastAsiaTheme="minorEastAsia"/>
          <w:color w:val="auto"/>
          <w:sz w:val="24"/>
          <w:szCs w:val="24"/>
          <w:highlight w:val="none"/>
        </w:rPr>
      </w:pPr>
      <w:r>
        <w:rPr>
          <w:rFonts w:ascii="Times New Roman" w:eastAsia="黑体" w:cs="Times New Roman"/>
          <w:color w:val="auto"/>
          <w:sz w:val="24"/>
          <w:highlight w:val="none"/>
        </w:rPr>
        <w:t>参编单位：</w:t>
      </w:r>
      <w:r>
        <w:rPr>
          <w:rFonts w:hint="eastAsia" w:eastAsia="宋体"/>
          <w:color w:val="auto"/>
          <w:sz w:val="24"/>
          <w:szCs w:val="24"/>
          <w:highlight w:val="none"/>
        </w:rPr>
        <w:t>山东建筑大学</w:t>
      </w:r>
      <w:r>
        <w:rPr>
          <w:rFonts w:hint="eastAsia" w:eastAsiaTheme="minorEastAsia"/>
          <w:color w:val="auto"/>
          <w:sz w:val="24"/>
          <w:szCs w:val="24"/>
          <w:highlight w:val="none"/>
        </w:rPr>
        <w:t xml:space="preserve">  </w:t>
      </w:r>
    </w:p>
    <w:p>
      <w:pPr>
        <w:spacing w:after="0" w:line="360" w:lineRule="auto"/>
        <w:ind w:firstLine="1680" w:firstLineChars="700"/>
        <w:rPr>
          <w:rFonts w:eastAsiaTheme="minorHAnsi"/>
          <w:color w:val="auto"/>
          <w:sz w:val="24"/>
          <w:szCs w:val="24"/>
          <w:highlight w:val="none"/>
        </w:rPr>
      </w:pPr>
      <w:r>
        <w:rPr>
          <w:rFonts w:hint="eastAsia" w:eastAsia="宋体"/>
          <w:color w:val="auto"/>
          <w:sz w:val="24"/>
          <w:szCs w:val="24"/>
          <w:highlight w:val="none"/>
        </w:rPr>
        <w:t>山东济铁设计咨询有限公司</w:t>
      </w:r>
      <w:r>
        <w:rPr>
          <w:rFonts w:hint="eastAsia" w:eastAsiaTheme="minorHAnsi"/>
          <w:color w:val="auto"/>
          <w:sz w:val="24"/>
          <w:szCs w:val="24"/>
          <w:highlight w:val="none"/>
        </w:rPr>
        <w:t xml:space="preserve">  </w:t>
      </w:r>
    </w:p>
    <w:p>
      <w:pPr>
        <w:spacing w:after="0" w:line="360" w:lineRule="auto"/>
        <w:ind w:firstLine="1680" w:firstLineChars="700"/>
        <w:rPr>
          <w:rFonts w:eastAsiaTheme="minorHAnsi"/>
          <w:color w:val="auto"/>
          <w:sz w:val="24"/>
          <w:szCs w:val="24"/>
          <w:highlight w:val="none"/>
        </w:rPr>
      </w:pPr>
      <w:r>
        <w:rPr>
          <w:rFonts w:hint="eastAsia" w:eastAsia="宋体"/>
          <w:color w:val="auto"/>
          <w:sz w:val="24"/>
          <w:szCs w:val="24"/>
          <w:highlight w:val="none"/>
        </w:rPr>
        <w:t>济南一建集团有限公司</w:t>
      </w:r>
      <w:r>
        <w:rPr>
          <w:rFonts w:eastAsiaTheme="minorHAnsi"/>
          <w:color w:val="auto"/>
          <w:sz w:val="24"/>
          <w:szCs w:val="24"/>
          <w:highlight w:val="none"/>
        </w:rPr>
        <w:t xml:space="preserve">  </w:t>
      </w:r>
    </w:p>
    <w:p>
      <w:pPr>
        <w:spacing w:after="0" w:line="360" w:lineRule="auto"/>
        <w:ind w:firstLine="1680" w:firstLineChars="700"/>
        <w:rPr>
          <w:rFonts w:eastAsia="宋体"/>
          <w:color w:val="auto"/>
          <w:sz w:val="24"/>
          <w:szCs w:val="24"/>
          <w:highlight w:val="none"/>
        </w:rPr>
      </w:pPr>
      <w:r>
        <w:rPr>
          <w:rFonts w:hint="eastAsia" w:eastAsia="宋体"/>
          <w:color w:val="auto"/>
          <w:sz w:val="24"/>
          <w:szCs w:val="24"/>
          <w:highlight w:val="none"/>
        </w:rPr>
        <w:t>中铁十局集团城建工程有限公司</w:t>
      </w:r>
    </w:p>
    <w:p>
      <w:pPr>
        <w:spacing w:after="0" w:line="360" w:lineRule="auto"/>
        <w:ind w:firstLine="1680" w:firstLineChars="700"/>
        <w:rPr>
          <w:rFonts w:eastAsia="宋体"/>
          <w:color w:val="auto"/>
          <w:sz w:val="24"/>
          <w:szCs w:val="24"/>
          <w:highlight w:val="none"/>
        </w:rPr>
      </w:pPr>
      <w:r>
        <w:rPr>
          <w:rFonts w:hint="eastAsia" w:eastAsia="宋体"/>
          <w:color w:val="auto"/>
          <w:sz w:val="24"/>
          <w:szCs w:val="24"/>
          <w:highlight w:val="none"/>
        </w:rPr>
        <w:t>山东华盛建筑设计研究院</w:t>
      </w:r>
    </w:p>
    <w:p>
      <w:pPr>
        <w:spacing w:line="320" w:lineRule="exact"/>
        <w:ind w:firstLine="1650" w:firstLineChars="750"/>
        <w:rPr>
          <w:rFonts w:eastAsiaTheme="minorEastAsia"/>
          <w:color w:val="auto"/>
          <w:szCs w:val="21"/>
          <w:highlight w:val="none"/>
        </w:rPr>
      </w:pPr>
    </w:p>
    <w:p>
      <w:pPr>
        <w:spacing w:after="0" w:line="360" w:lineRule="auto"/>
        <w:ind w:firstLine="480" w:firstLineChars="200"/>
        <w:rPr>
          <w:rFonts w:ascii="Times New Roman" w:eastAsia="宋体" w:cs="Times New Roman"/>
          <w:color w:val="auto"/>
          <w:sz w:val="24"/>
          <w:szCs w:val="24"/>
          <w:highlight w:val="none"/>
        </w:rPr>
      </w:pPr>
      <w:r>
        <w:rPr>
          <w:rFonts w:ascii="Times New Roman" w:eastAsia="黑体" w:cs="Times New Roman"/>
          <w:color w:val="auto"/>
          <w:sz w:val="24"/>
          <w:szCs w:val="24"/>
          <w:highlight w:val="none"/>
        </w:rPr>
        <w:t>主要起草人：</w:t>
      </w:r>
      <w:r>
        <w:rPr>
          <w:rFonts w:hint="eastAsia" w:ascii="宋体" w:hAnsi="宋体" w:eastAsia="宋体" w:cs="宋体"/>
          <w:color w:val="auto"/>
          <w:sz w:val="24"/>
          <w:szCs w:val="24"/>
          <w:highlight w:val="none"/>
        </w:rPr>
        <w:t>彭泓越、边广生</w:t>
      </w:r>
    </w:p>
    <w:p>
      <w:pPr>
        <w:spacing w:after="0" w:line="360" w:lineRule="auto"/>
        <w:ind w:left="1865" w:leftChars="228" w:hanging="1363" w:hangingChars="568"/>
        <w:rPr>
          <w:rFonts w:ascii="Arial" w:hAnsi="Arial" w:eastAsia="SJQY" w:cs="Arial"/>
          <w:color w:val="auto"/>
          <w:sz w:val="24"/>
          <w:szCs w:val="24"/>
          <w:highlight w:val="none"/>
        </w:rPr>
      </w:pPr>
    </w:p>
    <w:p>
      <w:pPr>
        <w:spacing w:after="0" w:line="360" w:lineRule="auto"/>
        <w:ind w:left="1871" w:leftChars="228" w:hanging="1369" w:hangingChars="568"/>
        <w:rPr>
          <w:rFonts w:ascii="Arial" w:hAnsi="Arial" w:eastAsia="SJQY" w:cs="Arial"/>
          <w:b/>
          <w:color w:val="auto"/>
          <w:sz w:val="24"/>
          <w:szCs w:val="24"/>
          <w:highlight w:val="none"/>
        </w:rPr>
      </w:pPr>
    </w:p>
    <w:p>
      <w:pPr>
        <w:spacing w:line="360" w:lineRule="auto"/>
        <w:ind w:left="2902" w:leftChars="228" w:hanging="2400" w:hangingChars="1000"/>
        <w:rPr>
          <w:rFonts w:ascii="Times New Roman" w:eastAsia="黑体" w:cs="Times New Roman"/>
          <w:color w:val="auto"/>
          <w:sz w:val="24"/>
          <w:highlight w:val="none"/>
        </w:rPr>
      </w:pPr>
      <w:r>
        <w:rPr>
          <w:rFonts w:ascii="Times New Roman" w:eastAsia="黑体" w:cs="Times New Roman"/>
          <w:color w:val="auto"/>
          <w:sz w:val="24"/>
          <w:highlight w:val="none"/>
        </w:rPr>
        <w:t>主要审查人：</w:t>
      </w:r>
      <w:r>
        <w:rPr>
          <w:rFonts w:ascii="Times New Roman" w:eastAsia="黑体" w:cs="Times New Roman"/>
          <w:color w:val="auto"/>
          <w:sz w:val="24"/>
          <w:highlight w:val="none"/>
        </w:rPr>
        <w:br w:type="page"/>
      </w:r>
    </w:p>
    <w:p>
      <w:pPr>
        <w:adjustRightInd/>
        <w:snapToGrid/>
        <w:spacing w:line="220" w:lineRule="atLeast"/>
        <w:jc w:val="center"/>
        <w:rPr>
          <w:rFonts w:eastAsia="宋体"/>
          <w:b/>
          <w:color w:val="auto"/>
          <w:sz w:val="30"/>
          <w:szCs w:val="30"/>
          <w:highlight w:val="none"/>
        </w:rPr>
      </w:pPr>
      <w:r>
        <w:rPr>
          <w:rFonts w:eastAsia="宋体"/>
          <w:b/>
          <w:color w:val="auto"/>
          <w:sz w:val="30"/>
          <w:szCs w:val="30"/>
          <w:highlight w:val="none"/>
        </w:rPr>
        <w:t>目次</w:t>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TOC \o "1-2" \h \z \u </w:instrText>
      </w:r>
      <w:r>
        <w:rPr>
          <w:color w:val="auto"/>
          <w:highlight w:val="none"/>
        </w:rPr>
        <w:fldChar w:fldCharType="separate"/>
      </w:r>
      <w:r>
        <w:rPr>
          <w:color w:val="auto"/>
          <w:highlight w:val="none"/>
        </w:rPr>
        <w:fldChar w:fldCharType="begin"/>
      </w:r>
      <w:r>
        <w:rPr>
          <w:color w:val="auto"/>
          <w:highlight w:val="none"/>
        </w:rPr>
        <w:instrText xml:space="preserve"> HYPERLINK \l "_Toc111709505" </w:instrText>
      </w:r>
      <w:r>
        <w:rPr>
          <w:color w:val="auto"/>
          <w:highlight w:val="none"/>
        </w:rPr>
        <w:fldChar w:fldCharType="separate"/>
      </w:r>
      <w:r>
        <w:rPr>
          <w:rStyle w:val="22"/>
          <w:color w:val="auto"/>
          <w:highlight w:val="none"/>
        </w:rPr>
        <w:t>1总则</w:t>
      </w:r>
      <w:r>
        <w:rPr>
          <w:color w:val="auto"/>
          <w:highlight w:val="none"/>
        </w:rPr>
        <w:tab/>
      </w:r>
      <w:r>
        <w:rPr>
          <w:color w:val="auto"/>
          <w:highlight w:val="none"/>
        </w:rPr>
        <w:fldChar w:fldCharType="begin"/>
      </w:r>
      <w:r>
        <w:rPr>
          <w:color w:val="auto"/>
          <w:highlight w:val="none"/>
        </w:rPr>
        <w:instrText xml:space="preserve"> PAGEREF _Toc111709505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"_Toc111709506" </w:instrText>
      </w:r>
      <w:r>
        <w:rPr>
          <w:color w:val="auto"/>
          <w:highlight w:val="none"/>
        </w:rPr>
        <w:fldChar w:fldCharType="separate"/>
      </w:r>
      <w:r>
        <w:rPr>
          <w:rStyle w:val="22"/>
          <w:color w:val="auto"/>
          <w:highlight w:val="none"/>
        </w:rPr>
        <w:t>2术语和符号</w:t>
      </w:r>
      <w:r>
        <w:rPr>
          <w:color w:val="auto"/>
          <w:highlight w:val="none"/>
        </w:rPr>
        <w:tab/>
      </w:r>
      <w:r>
        <w:rPr>
          <w:color w:val="auto"/>
          <w:highlight w:val="none"/>
        </w:rPr>
        <w:fldChar w:fldCharType="begin"/>
      </w:r>
      <w:r>
        <w:rPr>
          <w:color w:val="auto"/>
          <w:highlight w:val="none"/>
        </w:rPr>
        <w:instrText xml:space="preserve"> PAGEREF _Toc111709506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"_Toc111709507" </w:instrText>
      </w:r>
      <w:r>
        <w:rPr>
          <w:color w:val="auto"/>
          <w:highlight w:val="none"/>
        </w:rPr>
        <w:fldChar w:fldCharType="separate"/>
      </w:r>
      <w:r>
        <w:rPr>
          <w:rStyle w:val="22"/>
          <w:rFonts w:ascii="宋体" w:hAnsi="宋体"/>
          <w:color w:val="auto"/>
          <w:sz w:val="24"/>
          <w:szCs w:val="24"/>
          <w:highlight w:val="none"/>
        </w:rPr>
        <w:t>2.1术语</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_Toc111709507 \h </w:instrText>
      </w:r>
      <w:r>
        <w:rPr>
          <w:rFonts w:ascii="宋体" w:hAnsi="宋体"/>
          <w:color w:val="auto"/>
          <w:sz w:val="24"/>
          <w:szCs w:val="24"/>
          <w:highlight w:val="none"/>
        </w:rPr>
        <w:fldChar w:fldCharType="separate"/>
      </w:r>
      <w:r>
        <w:rPr>
          <w:rFonts w:ascii="宋体" w:hAnsi="宋体"/>
          <w:color w:val="auto"/>
          <w:sz w:val="24"/>
          <w:szCs w:val="24"/>
          <w:highlight w:val="none"/>
        </w:rPr>
        <w:t>2</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"_Toc111709508" </w:instrText>
      </w:r>
      <w:r>
        <w:rPr>
          <w:color w:val="auto"/>
          <w:highlight w:val="none"/>
        </w:rPr>
        <w:fldChar w:fldCharType="separate"/>
      </w:r>
      <w:r>
        <w:rPr>
          <w:rStyle w:val="22"/>
          <w:rFonts w:ascii="宋体" w:hAnsi="宋体"/>
          <w:color w:val="auto"/>
          <w:sz w:val="24"/>
          <w:szCs w:val="24"/>
          <w:highlight w:val="none"/>
        </w:rPr>
        <w:t>2.2 符号</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_Toc111709508 \h </w:instrText>
      </w:r>
      <w:r>
        <w:rPr>
          <w:rFonts w:ascii="宋体" w:hAnsi="宋体"/>
          <w:color w:val="auto"/>
          <w:sz w:val="24"/>
          <w:szCs w:val="24"/>
          <w:highlight w:val="none"/>
        </w:rPr>
        <w:fldChar w:fldCharType="separate"/>
      </w:r>
      <w:r>
        <w:rPr>
          <w:rFonts w:ascii="宋体" w:hAnsi="宋体"/>
          <w:color w:val="auto"/>
          <w:sz w:val="24"/>
          <w:szCs w:val="24"/>
          <w:highlight w:val="none"/>
        </w:rPr>
        <w:t>3</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"_Toc111709509" </w:instrText>
      </w:r>
      <w:r>
        <w:rPr>
          <w:color w:val="auto"/>
          <w:highlight w:val="none"/>
        </w:rPr>
        <w:fldChar w:fldCharType="separate"/>
      </w:r>
      <w:r>
        <w:rPr>
          <w:rStyle w:val="22"/>
          <w:color w:val="auto"/>
          <w:highlight w:val="none"/>
        </w:rPr>
        <w:t>3材料</w:t>
      </w:r>
      <w:r>
        <w:rPr>
          <w:color w:val="auto"/>
          <w:highlight w:val="none"/>
        </w:rPr>
        <w:tab/>
      </w:r>
      <w:r>
        <w:rPr>
          <w:color w:val="auto"/>
          <w:highlight w:val="none"/>
        </w:rPr>
        <w:fldChar w:fldCharType="begin"/>
      </w:r>
      <w:r>
        <w:rPr>
          <w:color w:val="auto"/>
          <w:highlight w:val="none"/>
        </w:rPr>
        <w:instrText xml:space="preserve"> PAGEREF _Toc111709509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"_Toc111709510" </w:instrText>
      </w:r>
      <w:r>
        <w:rPr>
          <w:color w:val="auto"/>
          <w:highlight w:val="none"/>
        </w:rPr>
        <w:fldChar w:fldCharType="separate"/>
      </w:r>
      <w:r>
        <w:rPr>
          <w:rStyle w:val="22"/>
          <w:rFonts w:ascii="宋体" w:hAnsi="宋体"/>
          <w:color w:val="auto"/>
          <w:sz w:val="24"/>
          <w:szCs w:val="24"/>
          <w:highlight w:val="none"/>
        </w:rPr>
        <w:t>3.1混凝土材料</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_Toc111709510 \h </w:instrText>
      </w:r>
      <w:r>
        <w:rPr>
          <w:rFonts w:ascii="宋体" w:hAnsi="宋体"/>
          <w:color w:val="auto"/>
          <w:sz w:val="24"/>
          <w:szCs w:val="24"/>
          <w:highlight w:val="none"/>
        </w:rPr>
        <w:fldChar w:fldCharType="separate"/>
      </w:r>
      <w:r>
        <w:rPr>
          <w:rFonts w:ascii="宋体" w:hAnsi="宋体"/>
          <w:color w:val="auto"/>
          <w:sz w:val="24"/>
          <w:szCs w:val="24"/>
          <w:highlight w:val="none"/>
        </w:rPr>
        <w:t>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"_Toc111709511" </w:instrText>
      </w:r>
      <w:r>
        <w:rPr>
          <w:color w:val="auto"/>
          <w:highlight w:val="none"/>
        </w:rPr>
        <w:fldChar w:fldCharType="separate"/>
      </w:r>
      <w:r>
        <w:rPr>
          <w:rStyle w:val="22"/>
          <w:rFonts w:ascii="宋体" w:hAnsi="宋体"/>
          <w:color w:val="auto"/>
          <w:sz w:val="24"/>
          <w:szCs w:val="24"/>
          <w:highlight w:val="none"/>
        </w:rPr>
        <w:t>3.2钢筋和钢材</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_Toc111709511 \h </w:instrText>
      </w:r>
      <w:r>
        <w:rPr>
          <w:rFonts w:ascii="宋体" w:hAnsi="宋体"/>
          <w:color w:val="auto"/>
          <w:sz w:val="24"/>
          <w:szCs w:val="24"/>
          <w:highlight w:val="none"/>
        </w:rPr>
        <w:fldChar w:fldCharType="separate"/>
      </w:r>
      <w:r>
        <w:rPr>
          <w:rFonts w:ascii="宋体" w:hAnsi="宋体"/>
          <w:color w:val="auto"/>
          <w:sz w:val="24"/>
          <w:szCs w:val="24"/>
          <w:highlight w:val="none"/>
        </w:rPr>
        <w:t>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"_Toc111709512" </w:instrText>
      </w:r>
      <w:r>
        <w:rPr>
          <w:color w:val="auto"/>
          <w:highlight w:val="none"/>
        </w:rPr>
        <w:fldChar w:fldCharType="separate"/>
      </w:r>
      <w:r>
        <w:rPr>
          <w:rStyle w:val="22"/>
          <w:rFonts w:ascii="宋体" w:hAnsi="宋体"/>
          <w:color w:val="auto"/>
          <w:sz w:val="24"/>
          <w:szCs w:val="24"/>
          <w:highlight w:val="none"/>
        </w:rPr>
        <w:t>3.3其他材料</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_Toc111709512 \h </w:instrText>
      </w:r>
      <w:r>
        <w:rPr>
          <w:rFonts w:ascii="宋体" w:hAnsi="宋体"/>
          <w:color w:val="auto"/>
          <w:sz w:val="24"/>
          <w:szCs w:val="24"/>
          <w:highlight w:val="none"/>
        </w:rPr>
        <w:fldChar w:fldCharType="separate"/>
      </w:r>
      <w:r>
        <w:rPr>
          <w:rFonts w:ascii="宋体" w:hAnsi="宋体"/>
          <w:color w:val="auto"/>
          <w:sz w:val="24"/>
          <w:szCs w:val="24"/>
          <w:highlight w:val="none"/>
        </w:rPr>
        <w:t>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"_Toc111709513" </w:instrText>
      </w:r>
      <w:r>
        <w:rPr>
          <w:color w:val="auto"/>
          <w:highlight w:val="none"/>
        </w:rPr>
        <w:fldChar w:fldCharType="separate"/>
      </w:r>
      <w:r>
        <w:rPr>
          <w:rStyle w:val="22"/>
          <w:color w:val="auto"/>
          <w:highlight w:val="none"/>
        </w:rPr>
        <w:t>4基本规定</w:t>
      </w:r>
      <w:r>
        <w:rPr>
          <w:color w:val="auto"/>
          <w:highlight w:val="none"/>
        </w:rPr>
        <w:tab/>
      </w:r>
      <w:r>
        <w:rPr>
          <w:color w:val="auto"/>
          <w:highlight w:val="none"/>
        </w:rPr>
        <w:fldChar w:fldCharType="begin"/>
      </w:r>
      <w:r>
        <w:rPr>
          <w:color w:val="auto"/>
          <w:highlight w:val="none"/>
        </w:rPr>
        <w:instrText xml:space="preserve"> PAGEREF _Toc111709513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"_Toc111709514" </w:instrText>
      </w:r>
      <w:r>
        <w:rPr>
          <w:color w:val="auto"/>
          <w:highlight w:val="none"/>
        </w:rPr>
        <w:fldChar w:fldCharType="separate"/>
      </w:r>
      <w:r>
        <w:rPr>
          <w:rStyle w:val="22"/>
          <w:color w:val="auto"/>
          <w:highlight w:val="none"/>
        </w:rPr>
        <w:t>5预应力损失值计算</w:t>
      </w:r>
      <w:r>
        <w:rPr>
          <w:color w:val="auto"/>
          <w:highlight w:val="none"/>
        </w:rPr>
        <w:tab/>
      </w:r>
      <w:r>
        <w:rPr>
          <w:color w:val="auto"/>
          <w:highlight w:val="none"/>
        </w:rPr>
        <w:fldChar w:fldCharType="begin"/>
      </w:r>
      <w:r>
        <w:rPr>
          <w:color w:val="auto"/>
          <w:highlight w:val="none"/>
        </w:rPr>
        <w:instrText xml:space="preserve"> PAGEREF _Toc111709514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"_Toc111709515" </w:instrText>
      </w:r>
      <w:r>
        <w:rPr>
          <w:color w:val="auto"/>
          <w:highlight w:val="none"/>
        </w:rPr>
        <w:fldChar w:fldCharType="separate"/>
      </w:r>
      <w:r>
        <w:rPr>
          <w:rStyle w:val="22"/>
          <w:color w:val="auto"/>
          <w:highlight w:val="none"/>
        </w:rPr>
        <w:t>6构件设计计算</w:t>
      </w:r>
      <w:r>
        <w:rPr>
          <w:color w:val="auto"/>
          <w:highlight w:val="none"/>
        </w:rPr>
        <w:tab/>
      </w:r>
      <w:r>
        <w:rPr>
          <w:color w:val="auto"/>
          <w:highlight w:val="none"/>
        </w:rPr>
        <w:fldChar w:fldCharType="begin"/>
      </w:r>
      <w:r>
        <w:rPr>
          <w:color w:val="auto"/>
          <w:highlight w:val="none"/>
        </w:rPr>
        <w:instrText xml:space="preserve"> PAGEREF _Toc111709515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"_Toc111709516" </w:instrText>
      </w:r>
      <w:r>
        <w:rPr>
          <w:color w:val="auto"/>
          <w:highlight w:val="none"/>
        </w:rPr>
        <w:fldChar w:fldCharType="separate"/>
      </w:r>
      <w:r>
        <w:rPr>
          <w:rStyle w:val="22"/>
          <w:rFonts w:ascii="宋体" w:hAnsi="宋体"/>
          <w:color w:val="auto"/>
          <w:sz w:val="24"/>
          <w:szCs w:val="24"/>
          <w:highlight w:val="none"/>
        </w:rPr>
        <w:t>6.1一般规定</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_Toc111709516 \h </w:instrText>
      </w:r>
      <w:r>
        <w:rPr>
          <w:rFonts w:ascii="宋体" w:hAnsi="宋体"/>
          <w:color w:val="auto"/>
          <w:sz w:val="24"/>
          <w:szCs w:val="24"/>
          <w:highlight w:val="none"/>
        </w:rPr>
        <w:fldChar w:fldCharType="separate"/>
      </w:r>
      <w:r>
        <w:rPr>
          <w:rFonts w:ascii="宋体" w:hAnsi="宋体"/>
          <w:color w:val="auto"/>
          <w:sz w:val="24"/>
          <w:szCs w:val="24"/>
          <w:highlight w:val="none"/>
        </w:rPr>
        <w:t>10</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"_Toc111709517" </w:instrText>
      </w:r>
      <w:r>
        <w:rPr>
          <w:color w:val="auto"/>
          <w:highlight w:val="none"/>
        </w:rPr>
        <w:fldChar w:fldCharType="separate"/>
      </w:r>
      <w:r>
        <w:rPr>
          <w:rStyle w:val="22"/>
          <w:rFonts w:ascii="宋体" w:hAnsi="宋体"/>
          <w:color w:val="auto"/>
          <w:sz w:val="24"/>
          <w:szCs w:val="24"/>
          <w:highlight w:val="none"/>
        </w:rPr>
        <w:t>6.2短暂设计状况计算</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_Toc111709517 \h </w:instrText>
      </w:r>
      <w:r>
        <w:rPr>
          <w:rFonts w:ascii="宋体" w:hAnsi="宋体"/>
          <w:color w:val="auto"/>
          <w:sz w:val="24"/>
          <w:szCs w:val="24"/>
          <w:highlight w:val="none"/>
        </w:rPr>
        <w:fldChar w:fldCharType="separate"/>
      </w:r>
      <w:r>
        <w:rPr>
          <w:rFonts w:ascii="宋体" w:hAnsi="宋体"/>
          <w:color w:val="auto"/>
          <w:sz w:val="24"/>
          <w:szCs w:val="24"/>
          <w:highlight w:val="none"/>
        </w:rPr>
        <w:t>10</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"_Toc111709518" </w:instrText>
      </w:r>
      <w:r>
        <w:rPr>
          <w:color w:val="auto"/>
          <w:highlight w:val="none"/>
        </w:rPr>
        <w:fldChar w:fldCharType="separate"/>
      </w:r>
      <w:r>
        <w:rPr>
          <w:rStyle w:val="22"/>
          <w:rFonts w:ascii="宋体" w:hAnsi="宋体"/>
          <w:color w:val="auto"/>
          <w:sz w:val="24"/>
          <w:szCs w:val="24"/>
          <w:highlight w:val="none"/>
        </w:rPr>
        <w:t>6.3持久设计状况计算</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_Toc111709518 \h </w:instrText>
      </w:r>
      <w:r>
        <w:rPr>
          <w:rFonts w:ascii="宋体" w:hAnsi="宋体"/>
          <w:color w:val="auto"/>
          <w:sz w:val="24"/>
          <w:szCs w:val="24"/>
          <w:highlight w:val="none"/>
        </w:rPr>
        <w:fldChar w:fldCharType="separate"/>
      </w:r>
      <w:r>
        <w:rPr>
          <w:rFonts w:ascii="宋体" w:hAnsi="宋体"/>
          <w:color w:val="auto"/>
          <w:sz w:val="24"/>
          <w:szCs w:val="24"/>
          <w:highlight w:val="none"/>
        </w:rPr>
        <w:t>14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"_Toc111709519" </w:instrText>
      </w:r>
      <w:r>
        <w:rPr>
          <w:color w:val="auto"/>
          <w:highlight w:val="none"/>
        </w:rPr>
        <w:fldChar w:fldCharType="separate"/>
      </w:r>
      <w:r>
        <w:rPr>
          <w:rStyle w:val="22"/>
          <w:color w:val="auto"/>
          <w:highlight w:val="none"/>
        </w:rPr>
        <w:t>7 构造要求</w:t>
      </w:r>
      <w:r>
        <w:rPr>
          <w:color w:val="auto"/>
          <w:highlight w:val="none"/>
        </w:rPr>
        <w:tab/>
      </w:r>
      <w:r>
        <w:rPr>
          <w:color w:val="auto"/>
          <w:highlight w:val="none"/>
        </w:rPr>
        <w:fldChar w:fldCharType="begin"/>
      </w:r>
      <w:r>
        <w:rPr>
          <w:color w:val="auto"/>
          <w:highlight w:val="none"/>
        </w:rPr>
        <w:instrText xml:space="preserve"> PAGEREF _Toc111709519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"_Toc111709520" </w:instrText>
      </w:r>
      <w:r>
        <w:rPr>
          <w:color w:val="auto"/>
          <w:highlight w:val="none"/>
        </w:rPr>
        <w:fldChar w:fldCharType="separate"/>
      </w:r>
      <w:r>
        <w:rPr>
          <w:rStyle w:val="22"/>
          <w:rFonts w:ascii="宋体" w:hAnsi="宋体"/>
          <w:color w:val="auto"/>
          <w:sz w:val="24"/>
          <w:szCs w:val="24"/>
          <w:highlight w:val="none"/>
        </w:rPr>
        <w:t>7.1一般规定</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_Toc111709520 \h </w:instrText>
      </w:r>
      <w:r>
        <w:rPr>
          <w:rFonts w:ascii="宋体" w:hAnsi="宋体"/>
          <w:color w:val="auto"/>
          <w:sz w:val="24"/>
          <w:szCs w:val="24"/>
          <w:highlight w:val="none"/>
        </w:rPr>
        <w:fldChar w:fldCharType="separate"/>
      </w:r>
      <w:r>
        <w:rPr>
          <w:rFonts w:ascii="宋体" w:hAnsi="宋体"/>
          <w:color w:val="auto"/>
          <w:sz w:val="24"/>
          <w:szCs w:val="24"/>
          <w:highlight w:val="none"/>
        </w:rPr>
        <w:t>17</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"_Toc111709521" </w:instrText>
      </w:r>
      <w:r>
        <w:rPr>
          <w:color w:val="auto"/>
          <w:highlight w:val="none"/>
        </w:rPr>
        <w:fldChar w:fldCharType="separate"/>
      </w:r>
      <w:r>
        <w:rPr>
          <w:rStyle w:val="22"/>
          <w:rFonts w:ascii="宋体" w:hAnsi="宋体"/>
          <w:color w:val="auto"/>
          <w:sz w:val="24"/>
          <w:szCs w:val="24"/>
          <w:highlight w:val="none"/>
        </w:rPr>
        <w:t>7.2矩形钢管及钢筋连接</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_Toc111709521 \h </w:instrText>
      </w:r>
      <w:r>
        <w:rPr>
          <w:rFonts w:ascii="宋体" w:hAnsi="宋体"/>
          <w:color w:val="auto"/>
          <w:sz w:val="24"/>
          <w:szCs w:val="24"/>
          <w:highlight w:val="none"/>
        </w:rPr>
        <w:fldChar w:fldCharType="separate"/>
      </w:r>
      <w:r>
        <w:rPr>
          <w:rFonts w:ascii="宋体" w:hAnsi="宋体"/>
          <w:color w:val="auto"/>
          <w:sz w:val="24"/>
          <w:szCs w:val="24"/>
          <w:highlight w:val="none"/>
        </w:rPr>
        <w:t>17</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"_Toc111709522" </w:instrText>
      </w:r>
      <w:r>
        <w:rPr>
          <w:color w:val="auto"/>
          <w:highlight w:val="none"/>
        </w:rPr>
        <w:fldChar w:fldCharType="separate"/>
      </w:r>
      <w:r>
        <w:rPr>
          <w:rStyle w:val="22"/>
          <w:rFonts w:ascii="宋体" w:hAnsi="宋体"/>
          <w:color w:val="auto"/>
          <w:sz w:val="24"/>
          <w:szCs w:val="24"/>
          <w:highlight w:val="none"/>
        </w:rPr>
        <w:t>7.3拼缝构造</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_Toc111709522 \h </w:instrText>
      </w:r>
      <w:r>
        <w:rPr>
          <w:rFonts w:ascii="宋体" w:hAnsi="宋体"/>
          <w:color w:val="auto"/>
          <w:sz w:val="24"/>
          <w:szCs w:val="24"/>
          <w:highlight w:val="none"/>
        </w:rPr>
        <w:fldChar w:fldCharType="separate"/>
      </w:r>
      <w:r>
        <w:rPr>
          <w:rFonts w:ascii="宋体" w:hAnsi="宋体"/>
          <w:color w:val="auto"/>
          <w:sz w:val="24"/>
          <w:szCs w:val="24"/>
          <w:highlight w:val="none"/>
        </w:rPr>
        <w:t>20</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"_Toc111709523" </w:instrText>
      </w:r>
      <w:r>
        <w:rPr>
          <w:color w:val="auto"/>
          <w:highlight w:val="none"/>
        </w:rPr>
        <w:fldChar w:fldCharType="separate"/>
      </w:r>
      <w:r>
        <w:rPr>
          <w:rStyle w:val="22"/>
          <w:rFonts w:ascii="宋体" w:hAnsi="宋体"/>
          <w:color w:val="auto"/>
          <w:sz w:val="24"/>
          <w:szCs w:val="24"/>
          <w:highlight w:val="none"/>
        </w:rPr>
        <w:t>7.4支座构造</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_Toc111709523 \h </w:instrText>
      </w:r>
      <w:r>
        <w:rPr>
          <w:rFonts w:ascii="宋体" w:hAnsi="宋体"/>
          <w:color w:val="auto"/>
          <w:sz w:val="24"/>
          <w:szCs w:val="24"/>
          <w:highlight w:val="none"/>
        </w:rPr>
        <w:fldChar w:fldCharType="separate"/>
      </w:r>
      <w:r>
        <w:rPr>
          <w:rFonts w:ascii="宋体" w:hAnsi="宋体"/>
          <w:color w:val="auto"/>
          <w:sz w:val="24"/>
          <w:szCs w:val="24"/>
          <w:highlight w:val="none"/>
        </w:rPr>
        <w:t>21</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"_Toc111709524" </w:instrText>
      </w:r>
      <w:r>
        <w:rPr>
          <w:color w:val="auto"/>
          <w:highlight w:val="none"/>
        </w:rPr>
        <w:fldChar w:fldCharType="separate"/>
      </w:r>
      <w:r>
        <w:rPr>
          <w:rStyle w:val="22"/>
          <w:color w:val="auto"/>
          <w:highlight w:val="none"/>
        </w:rPr>
        <w:t>8 构件制作与运输</w:t>
      </w:r>
      <w:r>
        <w:rPr>
          <w:color w:val="auto"/>
          <w:highlight w:val="none"/>
        </w:rPr>
        <w:tab/>
      </w:r>
      <w:r>
        <w:rPr>
          <w:color w:val="auto"/>
          <w:highlight w:val="none"/>
        </w:rPr>
        <w:fldChar w:fldCharType="begin"/>
      </w:r>
      <w:r>
        <w:rPr>
          <w:color w:val="auto"/>
          <w:highlight w:val="none"/>
        </w:rPr>
        <w:instrText xml:space="preserve"> PAGEREF _Toc111709524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"_Toc111709525" </w:instrText>
      </w:r>
      <w:r>
        <w:rPr>
          <w:color w:val="auto"/>
          <w:highlight w:val="none"/>
        </w:rPr>
        <w:fldChar w:fldCharType="separate"/>
      </w:r>
      <w:r>
        <w:rPr>
          <w:rStyle w:val="22"/>
          <w:rFonts w:ascii="宋体" w:hAnsi="宋体"/>
          <w:color w:val="auto"/>
          <w:sz w:val="24"/>
          <w:szCs w:val="24"/>
          <w:highlight w:val="none"/>
        </w:rPr>
        <w:t>8.1一般规定</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_Toc111709525 \h </w:instrText>
      </w:r>
      <w:r>
        <w:rPr>
          <w:rFonts w:ascii="宋体" w:hAnsi="宋体"/>
          <w:color w:val="auto"/>
          <w:sz w:val="24"/>
          <w:szCs w:val="24"/>
          <w:highlight w:val="none"/>
        </w:rPr>
        <w:fldChar w:fldCharType="separate"/>
      </w:r>
      <w:r>
        <w:rPr>
          <w:rFonts w:ascii="宋体" w:hAnsi="宋体"/>
          <w:color w:val="auto"/>
          <w:sz w:val="24"/>
          <w:szCs w:val="24"/>
          <w:highlight w:val="none"/>
        </w:rPr>
        <w:t>24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"_Toc111709526" </w:instrText>
      </w:r>
      <w:r>
        <w:rPr>
          <w:color w:val="auto"/>
          <w:highlight w:val="none"/>
        </w:rPr>
        <w:fldChar w:fldCharType="separate"/>
      </w:r>
      <w:r>
        <w:rPr>
          <w:rStyle w:val="22"/>
          <w:rFonts w:ascii="宋体" w:hAnsi="宋体"/>
          <w:color w:val="auto"/>
          <w:sz w:val="24"/>
          <w:szCs w:val="24"/>
          <w:highlight w:val="none"/>
        </w:rPr>
        <w:t>8.2预制底板制作</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_Toc111709526 \h </w:instrText>
      </w:r>
      <w:r>
        <w:rPr>
          <w:rFonts w:ascii="宋体" w:hAnsi="宋体"/>
          <w:color w:val="auto"/>
          <w:sz w:val="24"/>
          <w:szCs w:val="24"/>
          <w:highlight w:val="none"/>
        </w:rPr>
        <w:fldChar w:fldCharType="separate"/>
      </w:r>
      <w:r>
        <w:rPr>
          <w:rFonts w:ascii="宋体" w:hAnsi="宋体"/>
          <w:color w:val="auto"/>
          <w:sz w:val="24"/>
          <w:szCs w:val="24"/>
          <w:highlight w:val="none"/>
        </w:rPr>
        <w:t>24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"_Toc111709527" </w:instrText>
      </w:r>
      <w:r>
        <w:rPr>
          <w:color w:val="auto"/>
          <w:highlight w:val="none"/>
        </w:rPr>
        <w:fldChar w:fldCharType="separate"/>
      </w:r>
      <w:r>
        <w:rPr>
          <w:rStyle w:val="22"/>
          <w:rFonts w:ascii="宋体" w:hAnsi="宋体"/>
          <w:color w:val="auto"/>
          <w:sz w:val="24"/>
          <w:szCs w:val="24"/>
          <w:highlight w:val="none"/>
        </w:rPr>
        <w:t>8.3构件检验</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_Toc111709527 \h </w:instrText>
      </w:r>
      <w:r>
        <w:rPr>
          <w:rFonts w:ascii="宋体" w:hAnsi="宋体"/>
          <w:color w:val="auto"/>
          <w:sz w:val="24"/>
          <w:szCs w:val="24"/>
          <w:highlight w:val="none"/>
        </w:rPr>
        <w:fldChar w:fldCharType="separate"/>
      </w:r>
      <w:r>
        <w:rPr>
          <w:rFonts w:ascii="宋体" w:hAnsi="宋体"/>
          <w:color w:val="auto"/>
          <w:sz w:val="24"/>
          <w:szCs w:val="24"/>
          <w:highlight w:val="none"/>
        </w:rPr>
        <w:t>26</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"_Toc111709528" </w:instrText>
      </w:r>
      <w:r>
        <w:rPr>
          <w:color w:val="auto"/>
          <w:highlight w:val="none"/>
        </w:rPr>
        <w:fldChar w:fldCharType="separate"/>
      </w:r>
      <w:r>
        <w:rPr>
          <w:rStyle w:val="22"/>
          <w:rFonts w:ascii="宋体" w:hAnsi="宋体"/>
          <w:color w:val="auto"/>
          <w:sz w:val="24"/>
          <w:szCs w:val="24"/>
          <w:highlight w:val="none"/>
        </w:rPr>
        <w:t>8.4构件运输与堆放</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_Toc111709528 \h </w:instrText>
      </w:r>
      <w:r>
        <w:rPr>
          <w:rFonts w:ascii="宋体" w:hAnsi="宋体"/>
          <w:color w:val="auto"/>
          <w:sz w:val="24"/>
          <w:szCs w:val="24"/>
          <w:highlight w:val="none"/>
        </w:rPr>
        <w:fldChar w:fldCharType="separate"/>
      </w:r>
      <w:r>
        <w:rPr>
          <w:rFonts w:ascii="宋体" w:hAnsi="宋体"/>
          <w:color w:val="auto"/>
          <w:sz w:val="24"/>
          <w:szCs w:val="24"/>
          <w:highlight w:val="none"/>
        </w:rPr>
        <w:t>28</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"_Toc111709529" </w:instrText>
      </w:r>
      <w:r>
        <w:rPr>
          <w:color w:val="auto"/>
          <w:highlight w:val="none"/>
        </w:rPr>
        <w:fldChar w:fldCharType="separate"/>
      </w:r>
      <w:r>
        <w:rPr>
          <w:rStyle w:val="22"/>
          <w:color w:val="auto"/>
          <w:highlight w:val="none"/>
        </w:rPr>
        <w:t>9施工安装</w:t>
      </w:r>
      <w:r>
        <w:rPr>
          <w:color w:val="auto"/>
          <w:highlight w:val="none"/>
        </w:rPr>
        <w:tab/>
      </w:r>
      <w:r>
        <w:rPr>
          <w:color w:val="auto"/>
          <w:highlight w:val="none"/>
        </w:rPr>
        <w:fldChar w:fldCharType="begin"/>
      </w:r>
      <w:r>
        <w:rPr>
          <w:color w:val="auto"/>
          <w:highlight w:val="none"/>
        </w:rPr>
        <w:instrText xml:space="preserve"> PAGEREF _Toc111709529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"_Toc111709530" </w:instrText>
      </w:r>
      <w:r>
        <w:rPr>
          <w:color w:val="auto"/>
          <w:highlight w:val="none"/>
        </w:rPr>
        <w:fldChar w:fldCharType="separate"/>
      </w:r>
      <w:r>
        <w:rPr>
          <w:rStyle w:val="22"/>
          <w:rFonts w:ascii="宋体" w:hAnsi="宋体"/>
          <w:color w:val="auto"/>
          <w:sz w:val="24"/>
          <w:szCs w:val="24"/>
          <w:highlight w:val="none"/>
        </w:rPr>
        <w:t>9.1一般规定</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_Toc111709530 \h </w:instrText>
      </w:r>
      <w:r>
        <w:rPr>
          <w:rFonts w:ascii="宋体" w:hAnsi="宋体"/>
          <w:color w:val="auto"/>
          <w:sz w:val="24"/>
          <w:szCs w:val="24"/>
          <w:highlight w:val="none"/>
        </w:rPr>
        <w:fldChar w:fldCharType="separate"/>
      </w:r>
      <w:r>
        <w:rPr>
          <w:rFonts w:ascii="宋体" w:hAnsi="宋体"/>
          <w:color w:val="auto"/>
          <w:sz w:val="24"/>
          <w:szCs w:val="24"/>
          <w:highlight w:val="none"/>
        </w:rPr>
        <w:t>29</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"_Toc111709531" </w:instrText>
      </w:r>
      <w:r>
        <w:rPr>
          <w:color w:val="auto"/>
          <w:highlight w:val="none"/>
        </w:rPr>
        <w:fldChar w:fldCharType="separate"/>
      </w:r>
      <w:r>
        <w:rPr>
          <w:rStyle w:val="22"/>
          <w:rFonts w:ascii="宋体" w:hAnsi="宋体"/>
          <w:color w:val="auto"/>
          <w:sz w:val="24"/>
          <w:szCs w:val="24"/>
          <w:highlight w:val="none"/>
        </w:rPr>
        <w:t>9.2构件安装</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_Toc111709531 \h </w:instrText>
      </w:r>
      <w:r>
        <w:rPr>
          <w:rFonts w:ascii="宋体" w:hAnsi="宋体"/>
          <w:color w:val="auto"/>
          <w:sz w:val="24"/>
          <w:szCs w:val="24"/>
          <w:highlight w:val="none"/>
        </w:rPr>
        <w:fldChar w:fldCharType="separate"/>
      </w:r>
      <w:r>
        <w:rPr>
          <w:rFonts w:ascii="宋体" w:hAnsi="宋体"/>
          <w:color w:val="auto"/>
          <w:sz w:val="24"/>
          <w:szCs w:val="24"/>
          <w:highlight w:val="none"/>
        </w:rPr>
        <w:t>29</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"_Toc111709532" </w:instrText>
      </w:r>
      <w:r>
        <w:rPr>
          <w:color w:val="auto"/>
          <w:highlight w:val="none"/>
        </w:rPr>
        <w:fldChar w:fldCharType="separate"/>
      </w:r>
      <w:r>
        <w:rPr>
          <w:rStyle w:val="22"/>
          <w:rFonts w:ascii="宋体" w:hAnsi="宋体"/>
          <w:color w:val="auto"/>
          <w:sz w:val="24"/>
          <w:szCs w:val="24"/>
          <w:highlight w:val="none"/>
        </w:rPr>
        <w:t>9.3叠合层施工</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_Toc111709532 \h </w:instrText>
      </w:r>
      <w:r>
        <w:rPr>
          <w:rFonts w:ascii="宋体" w:hAnsi="宋体"/>
          <w:color w:val="auto"/>
          <w:sz w:val="24"/>
          <w:szCs w:val="24"/>
          <w:highlight w:val="none"/>
        </w:rPr>
        <w:fldChar w:fldCharType="separate"/>
      </w:r>
      <w:r>
        <w:rPr>
          <w:rFonts w:ascii="宋体" w:hAnsi="宋体"/>
          <w:color w:val="auto"/>
          <w:sz w:val="24"/>
          <w:szCs w:val="24"/>
          <w:highlight w:val="none"/>
        </w:rPr>
        <w:t>32</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"_Toc111709533" </w:instrText>
      </w:r>
      <w:r>
        <w:rPr>
          <w:color w:val="auto"/>
          <w:highlight w:val="none"/>
        </w:rPr>
        <w:fldChar w:fldCharType="separate"/>
      </w:r>
      <w:r>
        <w:rPr>
          <w:rStyle w:val="22"/>
          <w:rFonts w:ascii="宋体" w:hAnsi="宋体"/>
          <w:color w:val="auto"/>
          <w:sz w:val="24"/>
          <w:szCs w:val="24"/>
          <w:highlight w:val="none"/>
        </w:rPr>
        <w:t>9.4矩形钢管拆卸</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_Toc111709533 \h </w:instrText>
      </w:r>
      <w:r>
        <w:rPr>
          <w:rFonts w:ascii="宋体" w:hAnsi="宋体"/>
          <w:color w:val="auto"/>
          <w:sz w:val="24"/>
          <w:szCs w:val="24"/>
          <w:highlight w:val="none"/>
        </w:rPr>
        <w:fldChar w:fldCharType="separate"/>
      </w:r>
      <w:r>
        <w:rPr>
          <w:rFonts w:ascii="宋体" w:hAnsi="宋体"/>
          <w:color w:val="auto"/>
          <w:sz w:val="24"/>
          <w:szCs w:val="24"/>
          <w:highlight w:val="none"/>
        </w:rPr>
        <w:t>33</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"_Toc111709534" </w:instrText>
      </w:r>
      <w:r>
        <w:rPr>
          <w:color w:val="auto"/>
          <w:highlight w:val="none"/>
        </w:rPr>
        <w:fldChar w:fldCharType="separate"/>
      </w:r>
      <w:r>
        <w:rPr>
          <w:rStyle w:val="22"/>
          <w:color w:val="auto"/>
          <w:highlight w:val="none"/>
        </w:rPr>
        <w:t>10 质量验收</w:t>
      </w:r>
      <w:r>
        <w:rPr>
          <w:color w:val="auto"/>
          <w:highlight w:val="none"/>
        </w:rPr>
        <w:tab/>
      </w:r>
      <w:r>
        <w:rPr>
          <w:color w:val="auto"/>
          <w:highlight w:val="none"/>
        </w:rPr>
        <w:fldChar w:fldCharType="begin"/>
      </w:r>
      <w:r>
        <w:rPr>
          <w:color w:val="auto"/>
          <w:highlight w:val="none"/>
        </w:rPr>
        <w:instrText xml:space="preserve"> PAGEREF _Toc111709534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"_Toc111709535" </w:instrText>
      </w:r>
      <w:r>
        <w:rPr>
          <w:color w:val="auto"/>
          <w:highlight w:val="none"/>
        </w:rPr>
        <w:fldChar w:fldCharType="separate"/>
      </w:r>
      <w:r>
        <w:rPr>
          <w:rStyle w:val="22"/>
          <w:rFonts w:ascii="宋体" w:hAnsi="宋体"/>
          <w:color w:val="auto"/>
          <w:sz w:val="24"/>
          <w:szCs w:val="24"/>
          <w:highlight w:val="none"/>
        </w:rPr>
        <w:t>10.1一般规定</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_Toc111709535 \h </w:instrText>
      </w:r>
      <w:r>
        <w:rPr>
          <w:rFonts w:ascii="宋体" w:hAnsi="宋体"/>
          <w:color w:val="auto"/>
          <w:sz w:val="24"/>
          <w:szCs w:val="24"/>
          <w:highlight w:val="none"/>
        </w:rPr>
        <w:fldChar w:fldCharType="separate"/>
      </w:r>
      <w:r>
        <w:rPr>
          <w:rFonts w:ascii="宋体" w:hAnsi="宋体"/>
          <w:color w:val="auto"/>
          <w:sz w:val="24"/>
          <w:szCs w:val="24"/>
          <w:highlight w:val="none"/>
        </w:rPr>
        <w:t>34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"_Toc111709536" </w:instrText>
      </w:r>
      <w:r>
        <w:rPr>
          <w:color w:val="auto"/>
          <w:highlight w:val="none"/>
        </w:rPr>
        <w:fldChar w:fldCharType="separate"/>
      </w:r>
      <w:r>
        <w:rPr>
          <w:rStyle w:val="22"/>
          <w:rFonts w:ascii="宋体" w:hAnsi="宋体"/>
          <w:color w:val="auto"/>
          <w:sz w:val="24"/>
          <w:szCs w:val="24"/>
          <w:highlight w:val="none"/>
        </w:rPr>
        <w:t>10.2构件出厂检验</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_Toc111709536 \h </w:instrText>
      </w:r>
      <w:r>
        <w:rPr>
          <w:rFonts w:ascii="宋体" w:hAnsi="宋体"/>
          <w:color w:val="auto"/>
          <w:sz w:val="24"/>
          <w:szCs w:val="24"/>
          <w:highlight w:val="none"/>
        </w:rPr>
        <w:fldChar w:fldCharType="separate"/>
      </w:r>
      <w:r>
        <w:rPr>
          <w:rFonts w:ascii="宋体" w:hAnsi="宋体"/>
          <w:color w:val="auto"/>
          <w:sz w:val="24"/>
          <w:szCs w:val="24"/>
          <w:highlight w:val="none"/>
        </w:rPr>
        <w:t>34</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3"/>
        <w:rPr>
          <w:rFonts w:ascii="宋体" w:hAnsi="宋体" w:cstheme="minorBidi"/>
          <w:smallCaps w:val="0"/>
          <w:color w:val="auto"/>
          <w:sz w:val="24"/>
          <w:szCs w:val="24"/>
          <w:highlight w:val="none"/>
        </w:rPr>
      </w:pPr>
      <w:r>
        <w:rPr>
          <w:color w:val="auto"/>
          <w:highlight w:val="none"/>
        </w:rPr>
        <w:fldChar w:fldCharType="begin"/>
      </w:r>
      <w:r>
        <w:rPr>
          <w:color w:val="auto"/>
          <w:highlight w:val="none"/>
        </w:rPr>
        <w:instrText xml:space="preserve"> HYPERLINK \l "_Toc111709537" </w:instrText>
      </w:r>
      <w:r>
        <w:rPr>
          <w:color w:val="auto"/>
          <w:highlight w:val="none"/>
        </w:rPr>
        <w:fldChar w:fldCharType="separate"/>
      </w:r>
      <w:r>
        <w:rPr>
          <w:rStyle w:val="22"/>
          <w:rFonts w:ascii="宋体" w:hAnsi="宋体"/>
          <w:color w:val="auto"/>
          <w:sz w:val="24"/>
          <w:szCs w:val="24"/>
          <w:highlight w:val="none"/>
        </w:rPr>
        <w:t>10.3叠合板质量验收</w:t>
      </w:r>
      <w:r>
        <w:rPr>
          <w:rFonts w:ascii="宋体" w:hAnsi="宋体"/>
          <w:color w:val="auto"/>
          <w:sz w:val="24"/>
          <w:szCs w:val="24"/>
          <w:highlight w:val="none"/>
        </w:rPr>
        <w:tab/>
      </w:r>
      <w:r>
        <w:rPr>
          <w:rFonts w:ascii="宋体" w:hAnsi="宋体"/>
          <w:color w:val="auto"/>
          <w:sz w:val="24"/>
          <w:szCs w:val="24"/>
          <w:highlight w:val="none"/>
        </w:rPr>
        <w:fldChar w:fldCharType="begin"/>
      </w:r>
      <w:r>
        <w:rPr>
          <w:rFonts w:ascii="宋体" w:hAnsi="宋体"/>
          <w:color w:val="auto"/>
          <w:sz w:val="24"/>
          <w:szCs w:val="24"/>
          <w:highlight w:val="none"/>
        </w:rPr>
        <w:instrText xml:space="preserve"> PAGEREF _Toc111709537 \h </w:instrText>
      </w:r>
      <w:r>
        <w:rPr>
          <w:rFonts w:ascii="宋体" w:hAnsi="宋体"/>
          <w:color w:val="auto"/>
          <w:sz w:val="24"/>
          <w:szCs w:val="24"/>
          <w:highlight w:val="none"/>
        </w:rPr>
        <w:fldChar w:fldCharType="separate"/>
      </w:r>
      <w:r>
        <w:rPr>
          <w:rFonts w:ascii="宋体" w:hAnsi="宋体"/>
          <w:color w:val="auto"/>
          <w:sz w:val="24"/>
          <w:szCs w:val="24"/>
          <w:highlight w:val="none"/>
        </w:rPr>
        <w:t>35</w:t>
      </w:r>
      <w:r>
        <w:rPr>
          <w:rFonts w:ascii="宋体" w:hAnsi="宋体"/>
          <w:color w:val="auto"/>
          <w:sz w:val="24"/>
          <w:szCs w:val="24"/>
          <w:highlight w:val="none"/>
        </w:rPr>
        <w:fldChar w:fldCharType="end"/>
      </w:r>
      <w:r>
        <w:rPr>
          <w:rFonts w:ascii="宋体" w:hAnsi="宋体"/>
          <w:color w:val="auto"/>
          <w:sz w:val="24"/>
          <w:szCs w:val="24"/>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"_Toc111709538" </w:instrText>
      </w:r>
      <w:r>
        <w:rPr>
          <w:color w:val="auto"/>
          <w:highlight w:val="none"/>
        </w:rPr>
        <w:fldChar w:fldCharType="separate"/>
      </w:r>
      <w:r>
        <w:rPr>
          <w:rStyle w:val="22"/>
          <w:color w:val="auto"/>
          <w:highlight w:val="none"/>
        </w:rPr>
        <w:t>本规程用词说明</w:t>
      </w:r>
      <w:r>
        <w:rPr>
          <w:color w:val="auto"/>
          <w:highlight w:val="none"/>
        </w:rPr>
        <w:tab/>
      </w:r>
      <w:r>
        <w:rPr>
          <w:color w:val="auto"/>
          <w:highlight w:val="none"/>
        </w:rPr>
        <w:fldChar w:fldCharType="begin"/>
      </w:r>
      <w:r>
        <w:rPr>
          <w:color w:val="auto"/>
          <w:highlight w:val="none"/>
        </w:rPr>
        <w:instrText xml:space="preserve"> PAGEREF _Toc111709538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"_Toc111709539" </w:instrText>
      </w:r>
      <w:r>
        <w:rPr>
          <w:color w:val="auto"/>
          <w:highlight w:val="none"/>
        </w:rPr>
        <w:fldChar w:fldCharType="separate"/>
      </w:r>
      <w:r>
        <w:rPr>
          <w:rStyle w:val="22"/>
          <w:color w:val="auto"/>
          <w:highlight w:val="none"/>
        </w:rPr>
        <w:t>引用标准名录</w:t>
      </w:r>
      <w:r>
        <w:rPr>
          <w:color w:val="auto"/>
          <w:highlight w:val="none"/>
        </w:rPr>
        <w:tab/>
      </w:r>
      <w:r>
        <w:rPr>
          <w:color w:val="auto"/>
          <w:highlight w:val="none"/>
        </w:rPr>
        <w:fldChar w:fldCharType="begin"/>
      </w:r>
      <w:r>
        <w:rPr>
          <w:color w:val="auto"/>
          <w:highlight w:val="none"/>
        </w:rPr>
        <w:instrText xml:space="preserve"> PAGEREF _Toc111709539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2"/>
        <w:rPr>
          <w:rFonts w:cstheme="minorBidi"/>
          <w:bCs w:val="0"/>
          <w:caps w:val="0"/>
          <w:color w:val="auto"/>
          <w:highlight w:val="none"/>
        </w:rPr>
      </w:pPr>
      <w:r>
        <w:rPr>
          <w:color w:val="auto"/>
          <w:highlight w:val="none"/>
        </w:rPr>
        <w:fldChar w:fldCharType="begin"/>
      </w:r>
      <w:r>
        <w:rPr>
          <w:color w:val="auto"/>
          <w:highlight w:val="none"/>
        </w:rPr>
        <w:instrText xml:space="preserve"> HYPERLINK \l "_Toc111709540" </w:instrText>
      </w:r>
      <w:r>
        <w:rPr>
          <w:color w:val="auto"/>
          <w:highlight w:val="none"/>
        </w:rPr>
        <w:fldChar w:fldCharType="separate"/>
      </w:r>
      <w:r>
        <w:rPr>
          <w:rStyle w:val="22"/>
          <w:color w:val="auto"/>
          <w:highlight w:val="none"/>
        </w:rPr>
        <w:t>条文说明</w:t>
      </w:r>
      <w:r>
        <w:rPr>
          <w:color w:val="auto"/>
          <w:highlight w:val="none"/>
        </w:rPr>
        <w:tab/>
      </w:r>
      <w:r>
        <w:rPr>
          <w:color w:val="auto"/>
          <w:highlight w:val="none"/>
        </w:rPr>
        <w:fldChar w:fldCharType="begin"/>
      </w:r>
      <w:r>
        <w:rPr>
          <w:color w:val="auto"/>
          <w:highlight w:val="none"/>
        </w:rPr>
        <w:instrText xml:space="preserve"> PAGEREF _Toc111709540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2"/>
        <w:rPr>
          <w:rFonts w:ascii="Times New Roman" w:hAnsi="Times New Roman" w:eastAsiaTheme="minorEastAsia"/>
          <w:color w:val="auto"/>
          <w:highlight w:val="none"/>
        </w:rPr>
      </w:pPr>
      <w:r>
        <w:rPr>
          <w:color w:val="auto"/>
          <w:highlight w:val="none"/>
        </w:rPr>
        <w:fldChar w:fldCharType="end"/>
      </w:r>
    </w:p>
    <w:p>
      <w:pPr>
        <w:adjustRightInd/>
        <w:snapToGrid/>
        <w:spacing w:line="220" w:lineRule="atLeast"/>
        <w:rPr>
          <w:rFonts w:ascii="Times New Roman" w:hAnsi="Times New Roman" w:eastAsia="宋体" w:cs="Times New Roman"/>
          <w:color w:val="auto"/>
          <w:highlight w:val="none"/>
        </w:rPr>
      </w:pPr>
      <w:r>
        <w:rPr>
          <w:rFonts w:ascii="Times New Roman" w:hAnsi="Times New Roman" w:eastAsia="宋体" w:cs="Times New Roman"/>
          <w:color w:val="auto"/>
          <w:highlight w:val="none"/>
        </w:rPr>
        <w:br w:type="page"/>
      </w:r>
    </w:p>
    <w:p>
      <w:pPr>
        <w:spacing w:before="312" w:beforeLines="100" w:after="312" w:afterLines="100" w:line="360" w:lineRule="auto"/>
        <w:jc w:val="center"/>
        <w:rPr>
          <w:rFonts w:ascii="Times New Roman" w:hAnsi="Times New Roman" w:cs="Times New Roman"/>
          <w:bCs/>
          <w:color w:val="auto"/>
          <w:sz w:val="30"/>
          <w:szCs w:val="30"/>
          <w:highlight w:val="none"/>
        </w:rPr>
      </w:pPr>
      <w:r>
        <w:rPr>
          <w:rFonts w:ascii="Times New Roman" w:hAnsi="Times New Roman" w:cs="Times New Roman"/>
          <w:bCs/>
          <w:color w:val="auto"/>
          <w:sz w:val="30"/>
          <w:szCs w:val="30"/>
          <w:highlight w:val="none"/>
        </w:rPr>
        <w:t>Contents</w:t>
      </w:r>
    </w:p>
    <w:p>
      <w:pPr>
        <w:pStyle w:val="12"/>
        <w:rPr>
          <w:rFonts w:ascii="Times New Roman" w:hAnsi="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TOC \o "1-2" \h \z \u </w:instrText>
      </w:r>
      <w:r>
        <w:rPr>
          <w:rFonts w:ascii="Times New Roman" w:hAnsi="Times New Roman"/>
          <w:color w:val="auto"/>
          <w:highlight w:val="none"/>
        </w:rPr>
        <w:fldChar w:fldCharType="separate"/>
      </w:r>
      <w:r>
        <w:rPr>
          <w:color w:val="auto"/>
          <w:highlight w:val="none"/>
        </w:rPr>
        <w:fldChar w:fldCharType="begin"/>
      </w:r>
      <w:r>
        <w:rPr>
          <w:color w:val="auto"/>
          <w:highlight w:val="none"/>
        </w:rPr>
        <w:instrText xml:space="preserve"> HYPERLINK \l "_Toc21637737" </w:instrText>
      </w:r>
      <w:r>
        <w:rPr>
          <w:color w:val="auto"/>
          <w:highlight w:val="none"/>
        </w:rPr>
        <w:fldChar w:fldCharType="separate"/>
      </w:r>
      <w:r>
        <w:rPr>
          <w:rStyle w:val="22"/>
          <w:rFonts w:ascii="Times New Roman" w:hAnsi="Times New Roman"/>
          <w:color w:val="auto"/>
          <w:highlight w:val="none"/>
        </w:rPr>
        <w:t>1</w:t>
      </w:r>
      <w:r>
        <w:rPr>
          <w:rFonts w:ascii="Times New Roman" w:hAnsi="Times New Roman"/>
          <w:color w:val="auto"/>
          <w:highlight w:val="none"/>
        </w:rPr>
        <w:t xml:space="preserve"> </w:t>
      </w:r>
      <w:r>
        <w:rPr>
          <w:rStyle w:val="22"/>
          <w:rFonts w:ascii="Times New Roman" w:hAnsi="Times New Roman"/>
          <w:caps w:val="0"/>
          <w:color w:val="auto"/>
          <w:highlight w:val="none"/>
        </w:rPr>
        <w:t>General</w:t>
      </w:r>
      <w:r>
        <w:rPr>
          <w:rFonts w:ascii="Times New Roman" w:hAnsi="Times New Roman"/>
          <w:color w:val="auto"/>
          <w:highlight w:val="none"/>
        </w:rPr>
        <w:tab/>
      </w:r>
      <w:r>
        <w:rPr>
          <w:rFonts w:hint="eastAsia" w:ascii="Times New Roman" w:hAnsi="Times New Roman"/>
          <w:color w:val="auto"/>
          <w:highlight w:val="none"/>
        </w:rPr>
        <w:t>1</w:t>
      </w:r>
      <w:r>
        <w:rPr>
          <w:rFonts w:hint="eastAsia" w:ascii="Times New Roman" w:hAnsi="Times New Roman"/>
          <w:color w:val="auto"/>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"_Toc21637738" </w:instrText>
      </w:r>
      <w:r>
        <w:rPr>
          <w:color w:val="auto"/>
          <w:highlight w:val="none"/>
        </w:rPr>
        <w:fldChar w:fldCharType="separate"/>
      </w:r>
      <w:r>
        <w:rPr>
          <w:rStyle w:val="22"/>
          <w:rFonts w:ascii="Times New Roman" w:hAnsi="Times New Roman"/>
          <w:color w:val="auto"/>
          <w:highlight w:val="none"/>
        </w:rPr>
        <w:t>2</w:t>
      </w:r>
      <w:r>
        <w:rPr>
          <w:rFonts w:ascii="Times New Roman" w:hAnsi="Times New Roman"/>
          <w:color w:val="auto"/>
          <w:highlight w:val="none"/>
        </w:rPr>
        <w:t xml:space="preserve"> </w:t>
      </w:r>
      <w:r>
        <w:rPr>
          <w:rStyle w:val="22"/>
          <w:rFonts w:ascii="Times New Roman" w:hAnsi="Times New Roman"/>
          <w:caps w:val="0"/>
          <w:color w:val="auto"/>
          <w:highlight w:val="none"/>
        </w:rPr>
        <w:t>Terms and Symbols</w:t>
      </w:r>
      <w:r>
        <w:rPr>
          <w:rFonts w:ascii="Times New Roman" w:hAnsi="Times New Roman"/>
          <w:color w:val="auto"/>
          <w:highlight w:val="none"/>
        </w:rPr>
        <w:tab/>
      </w:r>
      <w:r>
        <w:rPr>
          <w:rFonts w:hint="eastAsia" w:ascii="Times New Roman" w:hAnsi="Times New Roman"/>
          <w:color w:val="auto"/>
          <w:highlight w:val="none"/>
        </w:rPr>
        <w:t>2</w:t>
      </w:r>
      <w:r>
        <w:rPr>
          <w:rFonts w:hint="eastAsia" w:ascii="Times New Roman" w:hAnsi="Times New Roman"/>
          <w:color w:val="auto"/>
          <w:highlight w:val="none"/>
        </w:rPr>
        <w:fldChar w:fldCharType="end"/>
      </w:r>
    </w:p>
    <w:p>
      <w:pPr>
        <w:pStyle w:val="12"/>
        <w:ind w:left="141" w:leftChars="64" w:firstLine="0" w:firstLineChars="0"/>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"_Toc21637739" </w:instrText>
      </w:r>
      <w:r>
        <w:rPr>
          <w:color w:val="auto"/>
          <w:highlight w:val="none"/>
        </w:rPr>
        <w:fldChar w:fldCharType="separate"/>
      </w:r>
      <w:r>
        <w:rPr>
          <w:rStyle w:val="22"/>
          <w:rFonts w:ascii="Times New Roman" w:hAnsi="Times New Roman"/>
          <w:color w:val="auto"/>
          <w:highlight w:val="none"/>
        </w:rPr>
        <w:t>2.1</w:t>
      </w:r>
      <w:r>
        <w:rPr>
          <w:rFonts w:ascii="Times New Roman" w:hAnsi="Times New Roman"/>
          <w:color w:val="auto"/>
          <w:highlight w:val="none"/>
        </w:rPr>
        <w:t xml:space="preserve"> </w:t>
      </w:r>
      <w:r>
        <w:rPr>
          <w:rStyle w:val="22"/>
          <w:rFonts w:ascii="Times New Roman" w:hAnsi="Times New Roman"/>
          <w:caps w:val="0"/>
          <w:color w:val="auto"/>
          <w:highlight w:val="none"/>
        </w:rPr>
        <w:t>Terms</w:t>
      </w:r>
      <w:r>
        <w:rPr>
          <w:rFonts w:ascii="Times New Roman" w:hAnsi="Times New Roman"/>
          <w:color w:val="auto"/>
          <w:highlight w:val="none"/>
        </w:rPr>
        <w:tab/>
      </w:r>
      <w:r>
        <w:rPr>
          <w:rFonts w:hint="eastAsia" w:ascii="Times New Roman" w:hAnsi="Times New Roman"/>
          <w:color w:val="auto"/>
          <w:highlight w:val="none"/>
        </w:rPr>
        <w:t>2</w:t>
      </w:r>
      <w:r>
        <w:rPr>
          <w:rFonts w:hint="eastAsia" w:ascii="Times New Roman" w:hAnsi="Times New Roman"/>
          <w:color w:val="auto"/>
          <w:highlight w:val="none"/>
        </w:rPr>
        <w:fldChar w:fldCharType="end"/>
      </w:r>
    </w:p>
    <w:p>
      <w:pPr>
        <w:pStyle w:val="12"/>
        <w:ind w:left="141" w:leftChars="64" w:firstLine="0" w:firstLineChars="0"/>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"_Toc21637740" </w:instrText>
      </w:r>
      <w:r>
        <w:rPr>
          <w:color w:val="auto"/>
          <w:highlight w:val="none"/>
        </w:rPr>
        <w:fldChar w:fldCharType="separate"/>
      </w:r>
      <w:r>
        <w:rPr>
          <w:rStyle w:val="22"/>
          <w:rFonts w:ascii="Times New Roman" w:hAnsi="Times New Roman"/>
          <w:color w:val="auto"/>
          <w:highlight w:val="none"/>
          <w:u w:val="none"/>
        </w:rPr>
        <w:t xml:space="preserve">2.2 </w:t>
      </w:r>
      <w:r>
        <w:rPr>
          <w:rStyle w:val="22"/>
          <w:rFonts w:ascii="Times New Roman" w:hAnsi="Times New Roman"/>
          <w:caps w:val="0"/>
          <w:color w:val="auto"/>
          <w:highlight w:val="none"/>
          <w:u w:val="none"/>
        </w:rPr>
        <w:t>Symbols</w:t>
      </w:r>
      <w:r>
        <w:rPr>
          <w:rFonts w:ascii="Times New Roman" w:hAnsi="Times New Roman"/>
          <w:color w:val="auto"/>
          <w:highlight w:val="none"/>
        </w:rPr>
        <w:tab/>
      </w:r>
      <w:r>
        <w:rPr>
          <w:rFonts w:hint="eastAsia" w:ascii="Times New Roman" w:hAnsi="Times New Roman"/>
          <w:color w:val="auto"/>
          <w:highlight w:val="none"/>
        </w:rPr>
        <w:t>3</w:t>
      </w:r>
      <w:r>
        <w:rPr>
          <w:rFonts w:hint="eastAsia" w:ascii="Times New Roman" w:hAnsi="Times New Roman"/>
          <w:color w:val="auto"/>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"_Toc21637741" </w:instrText>
      </w:r>
      <w:r>
        <w:rPr>
          <w:color w:val="auto"/>
          <w:highlight w:val="none"/>
        </w:rPr>
        <w:fldChar w:fldCharType="separate"/>
      </w:r>
      <w:r>
        <w:rPr>
          <w:rStyle w:val="22"/>
          <w:rFonts w:ascii="Times New Roman" w:hAnsi="Times New Roman"/>
          <w:color w:val="auto"/>
          <w:highlight w:val="none"/>
        </w:rPr>
        <w:t>3</w:t>
      </w:r>
      <w:r>
        <w:rPr>
          <w:rFonts w:ascii="Times New Roman" w:hAnsi="Times New Roman"/>
          <w:color w:val="auto"/>
          <w:highlight w:val="none"/>
        </w:rPr>
        <w:t xml:space="preserve"> </w:t>
      </w:r>
      <w:r>
        <w:rPr>
          <w:rStyle w:val="22"/>
          <w:rFonts w:ascii="Times New Roman" w:hAnsi="Times New Roman"/>
          <w:caps w:val="0"/>
          <w:color w:val="auto"/>
          <w:highlight w:val="none"/>
        </w:rPr>
        <w:t>Materials</w:t>
      </w:r>
      <w:r>
        <w:rPr>
          <w:rFonts w:ascii="Times New Roman" w:hAnsi="Times New Roman"/>
          <w:color w:val="auto"/>
          <w:highlight w:val="none"/>
        </w:rPr>
        <w:tab/>
      </w:r>
      <w:r>
        <w:rPr>
          <w:rFonts w:hint="eastAsia" w:ascii="Times New Roman" w:hAnsi="Times New Roman"/>
          <w:color w:val="auto"/>
          <w:highlight w:val="none"/>
        </w:rPr>
        <w:t>4</w:t>
      </w:r>
      <w:r>
        <w:rPr>
          <w:rFonts w:hint="eastAsia" w:ascii="Times New Roman" w:hAnsi="Times New Roman"/>
          <w:color w:val="auto"/>
          <w:highlight w:val="none"/>
        </w:rPr>
        <w:fldChar w:fldCharType="end"/>
      </w:r>
    </w:p>
    <w:p>
      <w:pPr>
        <w:pStyle w:val="12"/>
        <w:ind w:left="141" w:leftChars="64" w:firstLine="0" w:firstLineChars="0"/>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"_Toc21637742" </w:instrText>
      </w:r>
      <w:r>
        <w:rPr>
          <w:color w:val="auto"/>
          <w:highlight w:val="none"/>
        </w:rPr>
        <w:fldChar w:fldCharType="separate"/>
      </w:r>
      <w:r>
        <w:rPr>
          <w:rStyle w:val="22"/>
          <w:rFonts w:ascii="Times New Roman" w:hAnsi="Times New Roman"/>
          <w:color w:val="auto"/>
          <w:highlight w:val="none"/>
          <w:u w:val="none"/>
        </w:rPr>
        <w:t>3.1 C</w:t>
      </w:r>
      <w:r>
        <w:rPr>
          <w:rStyle w:val="22"/>
          <w:rFonts w:ascii="Times New Roman" w:hAnsi="Times New Roman"/>
          <w:caps w:val="0"/>
          <w:color w:val="auto"/>
          <w:highlight w:val="none"/>
          <w:u w:val="none"/>
        </w:rPr>
        <w:t>oncrete</w:t>
      </w:r>
      <w:r>
        <w:rPr>
          <w:rFonts w:ascii="Times New Roman" w:hAnsi="Times New Roman"/>
          <w:color w:val="auto"/>
          <w:highlight w:val="none"/>
        </w:rPr>
        <w:tab/>
      </w:r>
      <w:r>
        <w:rPr>
          <w:rFonts w:hint="eastAsia" w:ascii="Times New Roman" w:hAnsi="Times New Roman"/>
          <w:color w:val="auto"/>
          <w:highlight w:val="none"/>
        </w:rPr>
        <w:t>4</w:t>
      </w:r>
      <w:r>
        <w:rPr>
          <w:rFonts w:hint="eastAsia" w:ascii="Times New Roman" w:hAnsi="Times New Roman"/>
          <w:color w:val="auto"/>
          <w:highlight w:val="none"/>
        </w:rPr>
        <w:fldChar w:fldCharType="end"/>
      </w:r>
    </w:p>
    <w:p>
      <w:pPr>
        <w:pStyle w:val="12"/>
        <w:ind w:left="141" w:leftChars="64" w:firstLine="0" w:firstLineChars="0"/>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"_Toc21637743" </w:instrText>
      </w:r>
      <w:r>
        <w:rPr>
          <w:color w:val="auto"/>
          <w:highlight w:val="none"/>
        </w:rPr>
        <w:fldChar w:fldCharType="separate"/>
      </w:r>
      <w:r>
        <w:rPr>
          <w:rStyle w:val="22"/>
          <w:rFonts w:ascii="Times New Roman" w:hAnsi="Times New Roman"/>
          <w:color w:val="auto"/>
          <w:highlight w:val="none"/>
          <w:u w:val="none"/>
        </w:rPr>
        <w:t>3.2 S</w:t>
      </w:r>
      <w:r>
        <w:rPr>
          <w:rStyle w:val="22"/>
          <w:rFonts w:ascii="Times New Roman" w:hAnsi="Times New Roman"/>
          <w:caps w:val="0"/>
          <w:color w:val="auto"/>
          <w:highlight w:val="none"/>
          <w:u w:val="none"/>
        </w:rPr>
        <w:t>teel</w:t>
      </w:r>
      <w:r>
        <w:rPr>
          <w:rStyle w:val="22"/>
          <w:rFonts w:ascii="Times New Roman" w:hAnsi="Times New Roman"/>
          <w:color w:val="auto"/>
          <w:highlight w:val="none"/>
          <w:u w:val="none"/>
        </w:rPr>
        <w:t xml:space="preserve"> r</w:t>
      </w:r>
      <w:r>
        <w:rPr>
          <w:rStyle w:val="22"/>
          <w:rFonts w:ascii="Times New Roman" w:hAnsi="Times New Roman"/>
          <w:caps w:val="0"/>
          <w:color w:val="auto"/>
          <w:highlight w:val="none"/>
          <w:u w:val="none"/>
        </w:rPr>
        <w:t>einforcement and</w:t>
      </w:r>
      <w:r>
        <w:rPr>
          <w:rFonts w:ascii="Times New Roman" w:hAnsi="Times New Roman"/>
          <w:color w:val="auto"/>
          <w:highlight w:val="none"/>
        </w:rPr>
        <w:t xml:space="preserve"> </w:t>
      </w:r>
      <w:r>
        <w:rPr>
          <w:rStyle w:val="22"/>
          <w:rFonts w:ascii="Times New Roman" w:hAnsi="Times New Roman"/>
          <w:color w:val="auto"/>
          <w:highlight w:val="none"/>
          <w:u w:val="none"/>
        </w:rPr>
        <w:t>S</w:t>
      </w:r>
      <w:r>
        <w:rPr>
          <w:rStyle w:val="22"/>
          <w:rFonts w:ascii="Times New Roman" w:hAnsi="Times New Roman"/>
          <w:caps w:val="0"/>
          <w:color w:val="auto"/>
          <w:highlight w:val="none"/>
          <w:u w:val="none"/>
        </w:rPr>
        <w:t>teel</w:t>
      </w:r>
      <w:r>
        <w:rPr>
          <w:rFonts w:ascii="Times New Roman" w:hAnsi="Times New Roman"/>
          <w:color w:val="auto"/>
          <w:highlight w:val="none"/>
        </w:rPr>
        <w:tab/>
      </w:r>
      <w:r>
        <w:rPr>
          <w:rFonts w:hint="eastAsia" w:ascii="Times New Roman" w:hAnsi="Times New Roman"/>
          <w:color w:val="auto"/>
          <w:highlight w:val="none"/>
        </w:rPr>
        <w:t>4</w:t>
      </w:r>
      <w:r>
        <w:rPr>
          <w:rFonts w:hint="eastAsia" w:ascii="Times New Roman" w:hAnsi="Times New Roman"/>
          <w:color w:val="auto"/>
          <w:highlight w:val="none"/>
        </w:rPr>
        <w:fldChar w:fldCharType="end"/>
      </w:r>
    </w:p>
    <w:p>
      <w:pPr>
        <w:pStyle w:val="12"/>
        <w:ind w:left="141" w:leftChars="64" w:firstLine="0" w:firstLineChars="0"/>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"_Toc21637744" </w:instrText>
      </w:r>
      <w:r>
        <w:rPr>
          <w:color w:val="auto"/>
          <w:highlight w:val="none"/>
        </w:rPr>
        <w:fldChar w:fldCharType="separate"/>
      </w:r>
      <w:r>
        <w:rPr>
          <w:rStyle w:val="22"/>
          <w:rFonts w:ascii="Times New Roman" w:hAnsi="Times New Roman"/>
          <w:color w:val="auto"/>
          <w:highlight w:val="none"/>
          <w:u w:val="none"/>
        </w:rPr>
        <w:t>3.3 o</w:t>
      </w:r>
      <w:r>
        <w:rPr>
          <w:rStyle w:val="22"/>
          <w:rFonts w:ascii="Times New Roman" w:hAnsi="Times New Roman"/>
          <w:caps w:val="0"/>
          <w:color w:val="auto"/>
          <w:highlight w:val="none"/>
          <w:u w:val="none"/>
        </w:rPr>
        <w:t>ther</w:t>
      </w:r>
      <w:r>
        <w:rPr>
          <w:rStyle w:val="22"/>
          <w:rFonts w:ascii="Times New Roman" w:hAnsi="Times New Roman"/>
          <w:color w:val="auto"/>
          <w:highlight w:val="none"/>
          <w:u w:val="none"/>
        </w:rPr>
        <w:t xml:space="preserve"> m</w:t>
      </w:r>
      <w:r>
        <w:rPr>
          <w:rStyle w:val="22"/>
          <w:rFonts w:ascii="Times New Roman" w:hAnsi="Times New Roman"/>
          <w:caps w:val="0"/>
          <w:color w:val="auto"/>
          <w:highlight w:val="none"/>
          <w:u w:val="none"/>
        </w:rPr>
        <w:t>aterials</w:t>
      </w:r>
      <w:r>
        <w:rPr>
          <w:rFonts w:ascii="Times New Roman" w:hAnsi="Times New Roman"/>
          <w:color w:val="auto"/>
          <w:highlight w:val="none"/>
        </w:rPr>
        <w:tab/>
      </w:r>
      <w:r>
        <w:rPr>
          <w:rFonts w:hint="eastAsia" w:ascii="Times New Roman" w:hAnsi="Times New Roman"/>
          <w:color w:val="auto"/>
          <w:highlight w:val="none"/>
        </w:rPr>
        <w:t>4</w:t>
      </w:r>
      <w:r>
        <w:rPr>
          <w:rFonts w:hint="eastAsia" w:ascii="Times New Roman" w:hAnsi="Times New Roman"/>
          <w:color w:val="auto"/>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"_Toc21637745" </w:instrText>
      </w:r>
      <w:r>
        <w:rPr>
          <w:color w:val="auto"/>
          <w:highlight w:val="none"/>
        </w:rPr>
        <w:fldChar w:fldCharType="separate"/>
      </w:r>
      <w:r>
        <w:rPr>
          <w:rStyle w:val="22"/>
          <w:rFonts w:ascii="Times New Roman" w:hAnsi="Times New Roman"/>
          <w:color w:val="auto"/>
          <w:highlight w:val="none"/>
          <w:u w:val="none"/>
        </w:rPr>
        <w:t>4 B</w:t>
      </w:r>
      <w:r>
        <w:rPr>
          <w:rStyle w:val="22"/>
          <w:rFonts w:ascii="Times New Roman" w:hAnsi="Times New Roman"/>
          <w:caps w:val="0"/>
          <w:color w:val="auto"/>
          <w:highlight w:val="none"/>
          <w:u w:val="none"/>
        </w:rPr>
        <w:t>asic</w:t>
      </w:r>
      <w:r>
        <w:rPr>
          <w:rStyle w:val="22"/>
          <w:rFonts w:hint="eastAsia" w:ascii="Times New Roman" w:hAnsi="Times New Roman"/>
          <w:caps w:val="0"/>
          <w:color w:val="auto"/>
          <w:highlight w:val="none"/>
          <w:u w:val="none"/>
        </w:rPr>
        <w:t xml:space="preserve"> </w:t>
      </w:r>
      <w:r>
        <w:rPr>
          <w:rStyle w:val="22"/>
          <w:rFonts w:ascii="Times New Roman" w:hAnsi="Times New Roman"/>
          <w:color w:val="auto"/>
          <w:highlight w:val="none"/>
          <w:u w:val="none"/>
        </w:rPr>
        <w:t xml:space="preserve"> R</w:t>
      </w:r>
      <w:r>
        <w:rPr>
          <w:rStyle w:val="22"/>
          <w:rFonts w:ascii="Times New Roman" w:hAnsi="Times New Roman"/>
          <w:caps w:val="0"/>
          <w:color w:val="auto"/>
          <w:highlight w:val="none"/>
          <w:u w:val="none"/>
        </w:rPr>
        <w:t>equirements</w:t>
      </w:r>
      <w:r>
        <w:rPr>
          <w:rFonts w:ascii="Times New Roman" w:hAnsi="Times New Roman"/>
          <w:color w:val="auto"/>
          <w:highlight w:val="none"/>
        </w:rPr>
        <w:tab/>
      </w:r>
      <w:r>
        <w:rPr>
          <w:rFonts w:hint="eastAsia" w:ascii="Times New Roman" w:hAnsi="Times New Roman"/>
          <w:color w:val="auto"/>
          <w:highlight w:val="none"/>
        </w:rPr>
        <w:t>6</w:t>
      </w:r>
      <w:r>
        <w:rPr>
          <w:rFonts w:hint="eastAsia" w:ascii="Times New Roman" w:hAnsi="Times New Roman"/>
          <w:color w:val="auto"/>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"_Toc21637746" </w:instrText>
      </w:r>
      <w:r>
        <w:rPr>
          <w:color w:val="auto"/>
          <w:highlight w:val="none"/>
        </w:rPr>
        <w:fldChar w:fldCharType="separate"/>
      </w:r>
      <w:r>
        <w:rPr>
          <w:rStyle w:val="22"/>
          <w:rFonts w:ascii="Times New Roman" w:hAnsi="Times New Roman"/>
          <w:color w:val="auto"/>
          <w:highlight w:val="none"/>
        </w:rPr>
        <w:t>5 l</w:t>
      </w:r>
      <w:r>
        <w:rPr>
          <w:rStyle w:val="22"/>
          <w:rFonts w:ascii="Times New Roman" w:hAnsi="Times New Roman"/>
          <w:caps w:val="0"/>
          <w:color w:val="auto"/>
          <w:highlight w:val="none"/>
        </w:rPr>
        <w:t>oss of</w:t>
      </w:r>
      <w:r>
        <w:rPr>
          <w:rStyle w:val="22"/>
          <w:rFonts w:ascii="Times New Roman" w:hAnsi="Times New Roman"/>
          <w:color w:val="auto"/>
          <w:highlight w:val="none"/>
        </w:rPr>
        <w:t xml:space="preserve"> p</w:t>
      </w:r>
      <w:r>
        <w:rPr>
          <w:rStyle w:val="22"/>
          <w:rFonts w:ascii="Times New Roman" w:hAnsi="Times New Roman"/>
          <w:caps w:val="0"/>
          <w:color w:val="auto"/>
          <w:highlight w:val="none"/>
        </w:rPr>
        <w:t>trstress</w:t>
      </w:r>
      <w:r>
        <w:rPr>
          <w:rStyle w:val="22"/>
          <w:rFonts w:hint="eastAsia" w:ascii="Times New Roman" w:hAnsi="Times New Roman"/>
          <w:caps w:val="0"/>
          <w:color w:val="auto"/>
          <w:highlight w:val="none"/>
        </w:rPr>
        <w:t xml:space="preserve"> </w:t>
      </w:r>
      <w:r>
        <w:rPr>
          <w:rFonts w:ascii="Times New Roman" w:hAnsi="Times New Roman"/>
          <w:color w:val="auto"/>
          <w:highlight w:val="none"/>
        </w:rPr>
        <w:tab/>
      </w:r>
      <w:r>
        <w:rPr>
          <w:rFonts w:hint="eastAsia" w:ascii="Times New Roman" w:hAnsi="Times New Roman"/>
          <w:color w:val="auto"/>
          <w:highlight w:val="none"/>
        </w:rPr>
        <w:t>7</w:t>
      </w:r>
      <w:r>
        <w:rPr>
          <w:rFonts w:hint="eastAsia" w:ascii="Times New Roman" w:hAnsi="Times New Roman"/>
          <w:color w:val="auto"/>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"_Toc21637747" </w:instrText>
      </w:r>
      <w:r>
        <w:rPr>
          <w:color w:val="auto"/>
          <w:highlight w:val="none"/>
        </w:rPr>
        <w:fldChar w:fldCharType="separate"/>
      </w:r>
      <w:r>
        <w:rPr>
          <w:rStyle w:val="22"/>
          <w:rFonts w:ascii="Times New Roman" w:hAnsi="Times New Roman"/>
          <w:color w:val="auto"/>
          <w:highlight w:val="none"/>
        </w:rPr>
        <w:t>6</w:t>
      </w:r>
      <w:r>
        <w:rPr>
          <w:rFonts w:ascii="Times New Roman" w:hAnsi="Times New Roman"/>
          <w:color w:val="auto"/>
          <w:highlight w:val="none"/>
        </w:rPr>
        <w:t xml:space="preserve"> </w:t>
      </w:r>
      <w:r>
        <w:rPr>
          <w:rStyle w:val="22"/>
          <w:rFonts w:ascii="Times New Roman" w:hAnsi="Times New Roman"/>
          <w:color w:val="auto"/>
          <w:highlight w:val="none"/>
        </w:rPr>
        <w:t>C</w:t>
      </w:r>
      <w:r>
        <w:rPr>
          <w:rStyle w:val="22"/>
          <w:rFonts w:ascii="Times New Roman" w:hAnsi="Times New Roman"/>
          <w:caps w:val="0"/>
          <w:color w:val="auto"/>
          <w:highlight w:val="none"/>
        </w:rPr>
        <w:t>omponent</w:t>
      </w:r>
      <w:r>
        <w:rPr>
          <w:rStyle w:val="22"/>
          <w:rFonts w:ascii="Times New Roman" w:hAnsi="Times New Roman"/>
          <w:color w:val="auto"/>
          <w:highlight w:val="none"/>
        </w:rPr>
        <w:t xml:space="preserve"> D</w:t>
      </w:r>
      <w:r>
        <w:rPr>
          <w:rStyle w:val="22"/>
          <w:rFonts w:ascii="Times New Roman" w:hAnsi="Times New Roman"/>
          <w:caps w:val="0"/>
          <w:color w:val="auto"/>
          <w:highlight w:val="none"/>
        </w:rPr>
        <w:t>esign</w:t>
      </w:r>
      <w:r>
        <w:rPr>
          <w:rFonts w:ascii="Times New Roman" w:hAnsi="Times New Roman"/>
          <w:color w:val="auto"/>
          <w:highlight w:val="none"/>
        </w:rPr>
        <w:tab/>
      </w:r>
      <w:r>
        <w:rPr>
          <w:rFonts w:hint="eastAsia" w:ascii="Times New Roman" w:hAnsi="Times New Roman"/>
          <w:color w:val="auto"/>
          <w:highlight w:val="none"/>
        </w:rPr>
        <w:t>1</w:t>
      </w:r>
      <w:r>
        <w:rPr>
          <w:rFonts w:hint="eastAsia" w:ascii="Times New Roman" w:hAnsi="Times New Roman"/>
          <w:color w:val="auto"/>
          <w:highlight w:val="none"/>
        </w:rPr>
        <w:fldChar w:fldCharType="end"/>
      </w:r>
      <w:r>
        <w:rPr>
          <w:rFonts w:hint="eastAsia" w:ascii="Times New Roman" w:hAnsi="Times New Roman"/>
          <w:color w:val="auto"/>
          <w:highlight w:val="none"/>
        </w:rPr>
        <w:t>0</w:t>
      </w:r>
    </w:p>
    <w:p>
      <w:pPr>
        <w:pStyle w:val="12"/>
        <w:ind w:left="141" w:leftChars="64"/>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"_Toc21637748" </w:instrText>
      </w:r>
      <w:r>
        <w:rPr>
          <w:color w:val="auto"/>
          <w:highlight w:val="none"/>
        </w:rPr>
        <w:fldChar w:fldCharType="separate"/>
      </w:r>
      <w:r>
        <w:rPr>
          <w:rStyle w:val="22"/>
          <w:rFonts w:ascii="Times New Roman" w:hAnsi="Times New Roman"/>
          <w:color w:val="auto"/>
          <w:highlight w:val="none"/>
          <w:u w:val="none"/>
        </w:rPr>
        <w:t>6.1  g</w:t>
      </w:r>
      <w:r>
        <w:rPr>
          <w:rStyle w:val="22"/>
          <w:rFonts w:ascii="Times New Roman" w:hAnsi="Times New Roman"/>
          <w:caps w:val="0"/>
          <w:color w:val="auto"/>
          <w:highlight w:val="none"/>
          <w:u w:val="none"/>
        </w:rPr>
        <w:t>eneral</w:t>
      </w:r>
      <w:r>
        <w:rPr>
          <w:rStyle w:val="22"/>
          <w:rFonts w:ascii="Times New Roman" w:hAnsi="Times New Roman"/>
          <w:color w:val="auto"/>
          <w:highlight w:val="none"/>
          <w:u w:val="none"/>
        </w:rPr>
        <w:t xml:space="preserve"> R</w:t>
      </w:r>
      <w:r>
        <w:rPr>
          <w:rStyle w:val="22"/>
          <w:rFonts w:ascii="Times New Roman" w:hAnsi="Times New Roman"/>
          <w:caps w:val="0"/>
          <w:color w:val="auto"/>
          <w:highlight w:val="none"/>
          <w:u w:val="none"/>
        </w:rPr>
        <w:t>equirements</w:t>
      </w:r>
      <w:r>
        <w:rPr>
          <w:rFonts w:ascii="Times New Roman" w:hAnsi="Times New Roman"/>
          <w:color w:val="auto"/>
          <w:highlight w:val="none"/>
        </w:rPr>
        <w:tab/>
      </w:r>
      <w:r>
        <w:rPr>
          <w:rFonts w:hint="eastAsia" w:ascii="Times New Roman" w:hAnsi="Times New Roman"/>
          <w:color w:val="auto"/>
          <w:highlight w:val="none"/>
        </w:rPr>
        <w:t>1</w:t>
      </w:r>
      <w:r>
        <w:rPr>
          <w:rFonts w:hint="eastAsia" w:ascii="Times New Roman" w:hAnsi="Times New Roman"/>
          <w:color w:val="auto"/>
          <w:highlight w:val="none"/>
        </w:rPr>
        <w:fldChar w:fldCharType="end"/>
      </w:r>
      <w:r>
        <w:rPr>
          <w:rFonts w:hint="eastAsia" w:ascii="Times New Roman" w:hAnsi="Times New Roman"/>
          <w:color w:val="auto"/>
          <w:highlight w:val="none"/>
        </w:rPr>
        <w:t>0</w:t>
      </w:r>
    </w:p>
    <w:p>
      <w:pPr>
        <w:pStyle w:val="12"/>
        <w:ind w:left="141" w:leftChars="64"/>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"_Toc21637749" </w:instrText>
      </w:r>
      <w:r>
        <w:rPr>
          <w:color w:val="auto"/>
          <w:highlight w:val="none"/>
        </w:rPr>
        <w:fldChar w:fldCharType="separate"/>
      </w:r>
      <w:r>
        <w:rPr>
          <w:rStyle w:val="22"/>
          <w:rFonts w:ascii="Times New Roman" w:hAnsi="Times New Roman"/>
          <w:color w:val="auto"/>
          <w:highlight w:val="none"/>
          <w:u w:val="none"/>
        </w:rPr>
        <w:t>6.2  d</w:t>
      </w:r>
      <w:r>
        <w:rPr>
          <w:rStyle w:val="22"/>
          <w:rFonts w:ascii="Times New Roman" w:hAnsi="Times New Roman"/>
          <w:caps w:val="0"/>
          <w:color w:val="auto"/>
          <w:highlight w:val="none"/>
          <w:u w:val="none"/>
        </w:rPr>
        <w:t>esign</w:t>
      </w:r>
      <w:r>
        <w:rPr>
          <w:rStyle w:val="22"/>
          <w:rFonts w:ascii="Times New Roman" w:hAnsi="Times New Roman"/>
          <w:color w:val="auto"/>
          <w:highlight w:val="none"/>
          <w:u w:val="none"/>
        </w:rPr>
        <w:t xml:space="preserve"> </w:t>
      </w:r>
      <w:r>
        <w:rPr>
          <w:rStyle w:val="22"/>
          <w:rFonts w:ascii="Times New Roman" w:hAnsi="Times New Roman"/>
          <w:caps w:val="0"/>
          <w:color w:val="auto"/>
          <w:highlight w:val="none"/>
          <w:u w:val="none"/>
        </w:rPr>
        <w:t>of</w:t>
      </w:r>
      <w:r>
        <w:rPr>
          <w:rStyle w:val="22"/>
          <w:rFonts w:ascii="Times New Roman" w:hAnsi="Times New Roman"/>
          <w:color w:val="auto"/>
          <w:highlight w:val="none"/>
          <w:u w:val="none"/>
        </w:rPr>
        <w:t xml:space="preserve"> T</w:t>
      </w:r>
      <w:r>
        <w:rPr>
          <w:rStyle w:val="22"/>
          <w:rFonts w:ascii="Times New Roman" w:hAnsi="Times New Roman"/>
          <w:caps w:val="0"/>
          <w:color w:val="auto"/>
          <w:highlight w:val="none"/>
          <w:u w:val="none"/>
        </w:rPr>
        <w:t>ransient</w:t>
      </w:r>
      <w:r>
        <w:rPr>
          <w:rStyle w:val="22"/>
          <w:rFonts w:ascii="Times New Roman" w:hAnsi="Times New Roman"/>
          <w:color w:val="auto"/>
          <w:highlight w:val="none"/>
          <w:u w:val="none"/>
        </w:rPr>
        <w:t xml:space="preserve"> </w:t>
      </w:r>
      <w:r>
        <w:rPr>
          <w:rStyle w:val="22"/>
          <w:rFonts w:hint="eastAsia" w:ascii="Times New Roman" w:hAnsi="Times New Roman"/>
          <w:caps w:val="0"/>
          <w:color w:val="auto"/>
          <w:highlight w:val="none"/>
          <w:u w:val="none"/>
        </w:rPr>
        <w:t>C</w:t>
      </w:r>
      <w:r>
        <w:rPr>
          <w:rStyle w:val="22"/>
          <w:rFonts w:ascii="Times New Roman" w:hAnsi="Times New Roman"/>
          <w:caps w:val="0"/>
          <w:color w:val="auto"/>
          <w:highlight w:val="none"/>
          <w:u w:val="none"/>
        </w:rPr>
        <w:t>ondition</w:t>
      </w:r>
      <w:r>
        <w:rPr>
          <w:rFonts w:ascii="Times New Roman" w:hAnsi="Times New Roman"/>
          <w:color w:val="auto"/>
          <w:highlight w:val="none"/>
        </w:rPr>
        <w:tab/>
      </w:r>
      <w:r>
        <w:rPr>
          <w:rFonts w:hint="eastAsia" w:ascii="Times New Roman" w:hAnsi="Times New Roman"/>
          <w:color w:val="auto"/>
          <w:highlight w:val="none"/>
        </w:rPr>
        <w:t>1</w:t>
      </w:r>
      <w:r>
        <w:rPr>
          <w:rFonts w:hint="eastAsia" w:ascii="Times New Roman" w:hAnsi="Times New Roman"/>
          <w:color w:val="auto"/>
          <w:highlight w:val="none"/>
        </w:rPr>
        <w:fldChar w:fldCharType="end"/>
      </w:r>
      <w:r>
        <w:rPr>
          <w:rFonts w:hint="eastAsia" w:ascii="Times New Roman" w:hAnsi="Times New Roman"/>
          <w:color w:val="auto"/>
          <w:highlight w:val="none"/>
        </w:rPr>
        <w:t>0</w:t>
      </w:r>
    </w:p>
    <w:p>
      <w:pPr>
        <w:pStyle w:val="12"/>
        <w:ind w:left="141" w:leftChars="64"/>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"_Toc21637750" </w:instrText>
      </w:r>
      <w:r>
        <w:rPr>
          <w:color w:val="auto"/>
          <w:highlight w:val="none"/>
        </w:rPr>
        <w:fldChar w:fldCharType="separate"/>
      </w:r>
      <w:r>
        <w:rPr>
          <w:rStyle w:val="22"/>
          <w:rFonts w:ascii="Times New Roman" w:hAnsi="Times New Roman"/>
          <w:color w:val="auto"/>
          <w:highlight w:val="none"/>
          <w:u w:val="none"/>
        </w:rPr>
        <w:t>6.3  d</w:t>
      </w:r>
      <w:r>
        <w:rPr>
          <w:rStyle w:val="22"/>
          <w:rFonts w:ascii="Times New Roman" w:hAnsi="Times New Roman"/>
          <w:caps w:val="0"/>
          <w:color w:val="auto"/>
          <w:highlight w:val="none"/>
          <w:u w:val="none"/>
        </w:rPr>
        <w:t>esign</w:t>
      </w:r>
      <w:r>
        <w:rPr>
          <w:rStyle w:val="22"/>
          <w:rFonts w:ascii="Times New Roman" w:hAnsi="Times New Roman"/>
          <w:color w:val="auto"/>
          <w:highlight w:val="none"/>
          <w:u w:val="none"/>
        </w:rPr>
        <w:t xml:space="preserve"> </w:t>
      </w:r>
      <w:r>
        <w:rPr>
          <w:rStyle w:val="22"/>
          <w:rFonts w:ascii="Times New Roman" w:hAnsi="Times New Roman"/>
          <w:caps w:val="0"/>
          <w:color w:val="auto"/>
          <w:highlight w:val="none"/>
          <w:u w:val="none"/>
        </w:rPr>
        <w:t>of</w:t>
      </w:r>
      <w:r>
        <w:rPr>
          <w:rStyle w:val="22"/>
          <w:rFonts w:ascii="Times New Roman" w:hAnsi="Times New Roman"/>
          <w:color w:val="auto"/>
          <w:highlight w:val="none"/>
          <w:u w:val="none"/>
        </w:rPr>
        <w:t xml:space="preserve"> p</w:t>
      </w:r>
      <w:r>
        <w:rPr>
          <w:rStyle w:val="22"/>
          <w:rFonts w:ascii="Times New Roman" w:hAnsi="Times New Roman"/>
          <w:caps w:val="0"/>
          <w:color w:val="auto"/>
          <w:highlight w:val="none"/>
          <w:u w:val="none"/>
        </w:rPr>
        <w:t>ermanent</w:t>
      </w:r>
      <w:r>
        <w:rPr>
          <w:rStyle w:val="22"/>
          <w:rFonts w:ascii="Times New Roman" w:hAnsi="Times New Roman"/>
          <w:color w:val="auto"/>
          <w:highlight w:val="none"/>
          <w:u w:val="none"/>
        </w:rPr>
        <w:t xml:space="preserve"> </w:t>
      </w:r>
      <w:r>
        <w:rPr>
          <w:rStyle w:val="22"/>
          <w:rFonts w:hint="eastAsia" w:ascii="Times New Roman" w:hAnsi="Times New Roman"/>
          <w:caps w:val="0"/>
          <w:color w:val="auto"/>
          <w:highlight w:val="none"/>
          <w:u w:val="none"/>
        </w:rPr>
        <w:t>C</w:t>
      </w:r>
      <w:r>
        <w:rPr>
          <w:rStyle w:val="22"/>
          <w:rFonts w:ascii="Times New Roman" w:hAnsi="Times New Roman"/>
          <w:caps w:val="0"/>
          <w:color w:val="auto"/>
          <w:highlight w:val="none"/>
          <w:u w:val="none"/>
        </w:rPr>
        <w:t>ondition</w:t>
      </w:r>
      <w:r>
        <w:rPr>
          <w:rFonts w:ascii="Times New Roman" w:hAnsi="Times New Roman"/>
          <w:color w:val="auto"/>
          <w:highlight w:val="none"/>
        </w:rPr>
        <w:tab/>
      </w:r>
      <w:r>
        <w:rPr>
          <w:rFonts w:hint="eastAsia" w:ascii="Times New Roman" w:hAnsi="Times New Roman"/>
          <w:color w:val="auto"/>
          <w:highlight w:val="none"/>
        </w:rPr>
        <w:t>14</w:t>
      </w:r>
      <w:r>
        <w:rPr>
          <w:rFonts w:hint="eastAsia" w:ascii="Times New Roman" w:hAnsi="Times New Roman"/>
          <w:color w:val="auto"/>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"_Toc21637751" </w:instrText>
      </w:r>
      <w:r>
        <w:rPr>
          <w:color w:val="auto"/>
          <w:highlight w:val="none"/>
        </w:rPr>
        <w:fldChar w:fldCharType="separate"/>
      </w:r>
      <w:r>
        <w:rPr>
          <w:rStyle w:val="22"/>
          <w:rFonts w:ascii="Times New Roman" w:hAnsi="Times New Roman"/>
          <w:color w:val="auto"/>
          <w:highlight w:val="none"/>
        </w:rPr>
        <w:t>7 D</w:t>
      </w:r>
      <w:r>
        <w:rPr>
          <w:rStyle w:val="22"/>
          <w:rFonts w:ascii="Times New Roman" w:hAnsi="Times New Roman"/>
          <w:caps w:val="0"/>
          <w:color w:val="auto"/>
          <w:highlight w:val="none"/>
        </w:rPr>
        <w:t>etailing</w:t>
      </w:r>
      <w:r>
        <w:rPr>
          <w:rStyle w:val="22"/>
          <w:rFonts w:ascii="Times New Roman" w:hAnsi="Times New Roman"/>
          <w:color w:val="auto"/>
          <w:highlight w:val="none"/>
        </w:rPr>
        <w:t xml:space="preserve"> R</w:t>
      </w:r>
      <w:r>
        <w:rPr>
          <w:rStyle w:val="22"/>
          <w:rFonts w:ascii="Times New Roman" w:hAnsi="Times New Roman"/>
          <w:caps w:val="0"/>
          <w:color w:val="auto"/>
          <w:highlight w:val="none"/>
        </w:rPr>
        <w:t>equirements</w:t>
      </w:r>
      <w:r>
        <w:rPr>
          <w:rFonts w:ascii="Times New Roman" w:hAnsi="Times New Roman"/>
          <w:color w:val="auto"/>
          <w:highlight w:val="none"/>
        </w:rPr>
        <w:tab/>
      </w:r>
      <w:r>
        <w:rPr>
          <w:rFonts w:hint="eastAsia" w:ascii="Times New Roman" w:hAnsi="Times New Roman"/>
          <w:color w:val="auto"/>
          <w:highlight w:val="none"/>
        </w:rPr>
        <w:t>17</w:t>
      </w:r>
      <w:r>
        <w:rPr>
          <w:rFonts w:hint="eastAsia" w:ascii="Times New Roman" w:hAnsi="Times New Roman"/>
          <w:color w:val="auto"/>
          <w:highlight w:val="none"/>
        </w:rPr>
        <w:fldChar w:fldCharType="end"/>
      </w:r>
    </w:p>
    <w:p>
      <w:pPr>
        <w:pStyle w:val="12"/>
        <w:ind w:left="141" w:leftChars="64"/>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"_Toc21637752" </w:instrText>
      </w:r>
      <w:r>
        <w:rPr>
          <w:color w:val="auto"/>
          <w:highlight w:val="none"/>
        </w:rPr>
        <w:fldChar w:fldCharType="separate"/>
      </w:r>
      <w:r>
        <w:rPr>
          <w:rStyle w:val="22"/>
          <w:rFonts w:ascii="Times New Roman" w:hAnsi="Times New Roman"/>
          <w:color w:val="auto"/>
          <w:highlight w:val="none"/>
        </w:rPr>
        <w:t>7.1  g</w:t>
      </w:r>
      <w:r>
        <w:rPr>
          <w:rStyle w:val="22"/>
          <w:rFonts w:ascii="Times New Roman" w:hAnsi="Times New Roman"/>
          <w:caps w:val="0"/>
          <w:color w:val="auto"/>
          <w:highlight w:val="none"/>
        </w:rPr>
        <w:t>eneral</w:t>
      </w:r>
      <w:r>
        <w:rPr>
          <w:rStyle w:val="22"/>
          <w:rFonts w:ascii="Times New Roman" w:hAnsi="Times New Roman"/>
          <w:color w:val="auto"/>
          <w:highlight w:val="none"/>
        </w:rPr>
        <w:t xml:space="preserve"> R</w:t>
      </w:r>
      <w:r>
        <w:rPr>
          <w:rStyle w:val="22"/>
          <w:rFonts w:ascii="Times New Roman" w:hAnsi="Times New Roman"/>
          <w:caps w:val="0"/>
          <w:color w:val="auto"/>
          <w:highlight w:val="none"/>
        </w:rPr>
        <w:t>equirements</w:t>
      </w:r>
      <w:r>
        <w:rPr>
          <w:rFonts w:ascii="Times New Roman" w:hAnsi="Times New Roman"/>
          <w:color w:val="auto"/>
          <w:highlight w:val="none"/>
        </w:rPr>
        <w:tab/>
      </w:r>
      <w:r>
        <w:rPr>
          <w:rFonts w:hint="eastAsia" w:ascii="Times New Roman" w:hAnsi="Times New Roman"/>
          <w:color w:val="auto"/>
          <w:highlight w:val="none"/>
        </w:rPr>
        <w:t>17</w:t>
      </w:r>
      <w:r>
        <w:rPr>
          <w:rFonts w:hint="eastAsia" w:ascii="Times New Roman" w:hAnsi="Times New Roman"/>
          <w:color w:val="auto"/>
          <w:highlight w:val="none"/>
        </w:rPr>
        <w:fldChar w:fldCharType="end"/>
      </w:r>
    </w:p>
    <w:p>
      <w:pPr>
        <w:pStyle w:val="12"/>
        <w:ind w:left="141" w:leftChars="64"/>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"_Toc21637753" </w:instrText>
      </w:r>
      <w:r>
        <w:rPr>
          <w:color w:val="auto"/>
          <w:highlight w:val="none"/>
        </w:rPr>
        <w:fldChar w:fldCharType="separate"/>
      </w:r>
      <w:r>
        <w:rPr>
          <w:rStyle w:val="22"/>
          <w:rFonts w:ascii="Times New Roman" w:hAnsi="Times New Roman"/>
          <w:color w:val="auto"/>
          <w:highlight w:val="none"/>
        </w:rPr>
        <w:t xml:space="preserve">7.2  </w:t>
      </w:r>
      <w:r>
        <w:rPr>
          <w:rStyle w:val="22"/>
          <w:rFonts w:hint="eastAsia" w:ascii="Times New Roman" w:hAnsi="Times New Roman"/>
          <w:caps w:val="0"/>
          <w:color w:val="auto"/>
          <w:highlight w:val="none"/>
        </w:rPr>
        <w:t>Connection of Rectangular Steel Pipes and Steel Bars</w:t>
      </w:r>
      <w:r>
        <w:rPr>
          <w:rFonts w:ascii="Times New Roman" w:hAnsi="Times New Roman"/>
          <w:color w:val="auto"/>
          <w:highlight w:val="none"/>
        </w:rPr>
        <w:tab/>
      </w:r>
      <w:r>
        <w:rPr>
          <w:rFonts w:hint="eastAsia" w:ascii="Times New Roman" w:hAnsi="Times New Roman"/>
          <w:color w:val="auto"/>
          <w:highlight w:val="none"/>
        </w:rPr>
        <w:t>17</w:t>
      </w:r>
      <w:r>
        <w:rPr>
          <w:rFonts w:hint="eastAsia" w:ascii="Times New Roman" w:hAnsi="Times New Roman"/>
          <w:color w:val="auto"/>
          <w:highlight w:val="none"/>
        </w:rPr>
        <w:fldChar w:fldCharType="end"/>
      </w:r>
    </w:p>
    <w:p>
      <w:pPr>
        <w:pStyle w:val="12"/>
        <w:ind w:left="141" w:leftChars="64"/>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"_Toc21637754" </w:instrText>
      </w:r>
      <w:r>
        <w:rPr>
          <w:color w:val="auto"/>
          <w:highlight w:val="none"/>
        </w:rPr>
        <w:fldChar w:fldCharType="separate"/>
      </w:r>
      <w:r>
        <w:rPr>
          <w:rStyle w:val="22"/>
          <w:rFonts w:ascii="Times New Roman" w:hAnsi="Times New Roman"/>
          <w:color w:val="auto"/>
          <w:highlight w:val="none"/>
        </w:rPr>
        <w:t xml:space="preserve">7.3  </w:t>
      </w:r>
      <w:r>
        <w:rPr>
          <w:rStyle w:val="22"/>
          <w:rFonts w:ascii="Times New Roman" w:hAnsi="Times New Roman"/>
          <w:caps w:val="0"/>
          <w:color w:val="auto"/>
          <w:highlight w:val="none"/>
        </w:rPr>
        <w:t>Joint Detailing Requirements</w:t>
      </w:r>
      <w:r>
        <w:rPr>
          <w:rFonts w:ascii="Times New Roman" w:hAnsi="Times New Roman"/>
          <w:color w:val="auto"/>
          <w:highlight w:val="none"/>
        </w:rPr>
        <w:tab/>
      </w:r>
      <w:r>
        <w:rPr>
          <w:rFonts w:hint="eastAsia" w:ascii="Times New Roman" w:hAnsi="Times New Roman"/>
          <w:color w:val="auto"/>
          <w:highlight w:val="none"/>
        </w:rPr>
        <w:t>2</w:t>
      </w:r>
      <w:r>
        <w:rPr>
          <w:rFonts w:hint="eastAsia" w:ascii="Times New Roman" w:hAnsi="Times New Roman"/>
          <w:color w:val="auto"/>
          <w:highlight w:val="none"/>
        </w:rPr>
        <w:fldChar w:fldCharType="end"/>
      </w:r>
      <w:r>
        <w:rPr>
          <w:rFonts w:hint="eastAsia" w:ascii="Times New Roman" w:hAnsi="Times New Roman"/>
          <w:color w:val="auto"/>
          <w:highlight w:val="none"/>
        </w:rPr>
        <w:t>1</w:t>
      </w:r>
    </w:p>
    <w:p>
      <w:pPr>
        <w:pStyle w:val="12"/>
        <w:ind w:left="141" w:leftChars="64"/>
        <w:rPr>
          <w:rFonts w:ascii="Times New Roman" w:hAnsi="Times New Roman"/>
          <w:color w:val="auto"/>
          <w:highlight w:val="none"/>
        </w:rPr>
      </w:pPr>
      <w:r>
        <w:rPr>
          <w:rStyle w:val="22"/>
          <w:rFonts w:ascii="Times New Roman" w:hAnsi="Times New Roman"/>
          <w:color w:val="auto"/>
          <w:highlight w:val="none"/>
          <w:u w:val="none"/>
        </w:rPr>
        <w:t xml:space="preserve">  </w:t>
      </w:r>
      <w:r>
        <w:rPr>
          <w:color w:val="auto"/>
          <w:highlight w:val="none"/>
        </w:rPr>
        <w:fldChar w:fldCharType="begin"/>
      </w:r>
      <w:r>
        <w:rPr>
          <w:color w:val="auto"/>
          <w:highlight w:val="none"/>
        </w:rPr>
        <w:instrText xml:space="preserve"> HYPERLINK \l "_Toc21637755" </w:instrText>
      </w:r>
      <w:r>
        <w:rPr>
          <w:color w:val="auto"/>
          <w:highlight w:val="none"/>
        </w:rPr>
        <w:fldChar w:fldCharType="separate"/>
      </w:r>
      <w:r>
        <w:rPr>
          <w:rStyle w:val="22"/>
          <w:rFonts w:ascii="Times New Roman" w:hAnsi="Times New Roman"/>
          <w:color w:val="auto"/>
          <w:highlight w:val="none"/>
        </w:rPr>
        <w:t>7.4  E</w:t>
      </w:r>
      <w:r>
        <w:rPr>
          <w:rStyle w:val="22"/>
          <w:rFonts w:ascii="Times New Roman" w:hAnsi="Times New Roman"/>
          <w:caps w:val="0"/>
          <w:color w:val="auto"/>
          <w:highlight w:val="none"/>
        </w:rPr>
        <w:t>nd Detailing Requirements</w:t>
      </w:r>
      <w:r>
        <w:rPr>
          <w:rFonts w:ascii="Times New Roman" w:hAnsi="Times New Roman"/>
          <w:color w:val="auto"/>
          <w:highlight w:val="none"/>
        </w:rPr>
        <w:tab/>
      </w:r>
      <w:r>
        <w:rPr>
          <w:rFonts w:hint="eastAsia" w:ascii="Times New Roman" w:hAnsi="Times New Roman"/>
          <w:color w:val="auto"/>
          <w:highlight w:val="none"/>
        </w:rPr>
        <w:t>2</w:t>
      </w:r>
      <w:r>
        <w:rPr>
          <w:rFonts w:hint="eastAsia" w:ascii="Times New Roman" w:hAnsi="Times New Roman"/>
          <w:color w:val="auto"/>
          <w:highlight w:val="none"/>
        </w:rPr>
        <w:fldChar w:fldCharType="end"/>
      </w:r>
      <w:r>
        <w:rPr>
          <w:rFonts w:hint="eastAsia" w:ascii="Times New Roman" w:hAnsi="Times New Roman"/>
          <w:color w:val="auto"/>
          <w:highlight w:val="none"/>
        </w:rPr>
        <w:t>1</w:t>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"_Toc21637756" </w:instrText>
      </w:r>
      <w:r>
        <w:rPr>
          <w:color w:val="auto"/>
          <w:highlight w:val="none"/>
        </w:rPr>
        <w:fldChar w:fldCharType="separate"/>
      </w:r>
      <w:r>
        <w:rPr>
          <w:rStyle w:val="22"/>
          <w:rFonts w:ascii="Times New Roman" w:hAnsi="Times New Roman"/>
          <w:color w:val="auto"/>
          <w:highlight w:val="none"/>
        </w:rPr>
        <w:t xml:space="preserve">8 </w:t>
      </w:r>
      <w:r>
        <w:rPr>
          <w:rStyle w:val="22"/>
          <w:rFonts w:ascii="Times New Roman" w:hAnsi="Times New Roman"/>
          <w:caps w:val="0"/>
          <w:color w:val="auto"/>
          <w:highlight w:val="none"/>
        </w:rPr>
        <w:t>Manufacture and Transportation</w:t>
      </w:r>
      <w:r>
        <w:rPr>
          <w:rFonts w:ascii="Times New Roman" w:hAnsi="Times New Roman"/>
          <w:color w:val="auto"/>
          <w:highlight w:val="none"/>
        </w:rPr>
        <w:tab/>
      </w:r>
      <w:r>
        <w:rPr>
          <w:rFonts w:hint="eastAsia" w:ascii="Times New Roman" w:hAnsi="Times New Roman"/>
          <w:color w:val="auto"/>
          <w:highlight w:val="none"/>
        </w:rPr>
        <w:t>25</w:t>
      </w:r>
      <w:r>
        <w:rPr>
          <w:rFonts w:hint="eastAsia" w:ascii="Times New Roman" w:hAnsi="Times New Roman"/>
          <w:color w:val="auto"/>
          <w:highlight w:val="none"/>
        </w:rPr>
        <w:fldChar w:fldCharType="end"/>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"_Toc21637757" </w:instrText>
      </w:r>
      <w:r>
        <w:rPr>
          <w:color w:val="auto"/>
          <w:highlight w:val="none"/>
        </w:rPr>
        <w:fldChar w:fldCharType="separate"/>
      </w:r>
      <w:r>
        <w:rPr>
          <w:rStyle w:val="22"/>
          <w:color w:val="auto"/>
          <w:sz w:val="24"/>
          <w:szCs w:val="24"/>
          <w:highlight w:val="none"/>
        </w:rPr>
        <w:t>8.1</w:t>
      </w:r>
      <w:r>
        <w:rPr>
          <w:color w:val="auto"/>
          <w:highlight w:val="none"/>
        </w:rPr>
        <w:t xml:space="preserve"> </w:t>
      </w:r>
      <w:r>
        <w:rPr>
          <w:rStyle w:val="22"/>
          <w:bCs/>
          <w:smallCaps w:val="0"/>
          <w:color w:val="auto"/>
          <w:sz w:val="24"/>
          <w:szCs w:val="24"/>
          <w:highlight w:val="none"/>
        </w:rPr>
        <w:t>General Requirements</w:t>
      </w:r>
      <w:r>
        <w:rPr>
          <w:color w:val="auto"/>
          <w:sz w:val="24"/>
          <w:szCs w:val="24"/>
          <w:highlight w:val="none"/>
        </w:rPr>
        <w:tab/>
      </w:r>
      <w:r>
        <w:rPr>
          <w:rFonts w:hint="eastAsia"/>
          <w:color w:val="auto"/>
          <w:sz w:val="24"/>
          <w:szCs w:val="24"/>
          <w:highlight w:val="none"/>
        </w:rPr>
        <w:t>25</w:t>
      </w:r>
      <w:r>
        <w:rPr>
          <w:rFonts w:hint="eastAsia"/>
          <w:color w:val="auto"/>
          <w:sz w:val="24"/>
          <w:szCs w:val="24"/>
          <w:highlight w:val="none"/>
        </w:rPr>
        <w:fldChar w:fldCharType="end"/>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"_Toc21637758" </w:instrText>
      </w:r>
      <w:r>
        <w:rPr>
          <w:color w:val="auto"/>
          <w:highlight w:val="none"/>
        </w:rPr>
        <w:fldChar w:fldCharType="separate"/>
      </w:r>
      <w:r>
        <w:rPr>
          <w:rStyle w:val="22"/>
          <w:color w:val="auto"/>
          <w:sz w:val="24"/>
          <w:szCs w:val="24"/>
          <w:highlight w:val="none"/>
        </w:rPr>
        <w:t>8.2</w:t>
      </w:r>
      <w:r>
        <w:rPr>
          <w:color w:val="auto"/>
          <w:highlight w:val="none"/>
        </w:rPr>
        <w:t xml:space="preserve"> </w:t>
      </w:r>
      <w:r>
        <w:rPr>
          <w:rStyle w:val="22"/>
          <w:bCs/>
          <w:smallCaps w:val="0"/>
          <w:color w:val="auto"/>
          <w:sz w:val="24"/>
          <w:szCs w:val="24"/>
          <w:highlight w:val="none"/>
        </w:rPr>
        <w:t>Prefabricated Baseplate Fabrication</w:t>
      </w:r>
      <w:r>
        <w:rPr>
          <w:color w:val="auto"/>
          <w:sz w:val="24"/>
          <w:szCs w:val="24"/>
          <w:highlight w:val="none"/>
        </w:rPr>
        <w:tab/>
      </w:r>
      <w:r>
        <w:rPr>
          <w:rFonts w:hint="eastAsia"/>
          <w:color w:val="auto"/>
          <w:sz w:val="24"/>
          <w:szCs w:val="24"/>
          <w:highlight w:val="none"/>
        </w:rPr>
        <w:t>25</w:t>
      </w:r>
      <w:r>
        <w:rPr>
          <w:rFonts w:hint="eastAsia"/>
          <w:color w:val="auto"/>
          <w:sz w:val="24"/>
          <w:szCs w:val="24"/>
          <w:highlight w:val="none"/>
        </w:rPr>
        <w:fldChar w:fldCharType="end"/>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"_Toc21637759" </w:instrText>
      </w:r>
      <w:r>
        <w:rPr>
          <w:color w:val="auto"/>
          <w:highlight w:val="none"/>
        </w:rPr>
        <w:fldChar w:fldCharType="separate"/>
      </w:r>
      <w:r>
        <w:rPr>
          <w:rStyle w:val="22"/>
          <w:color w:val="auto"/>
          <w:sz w:val="24"/>
          <w:szCs w:val="24"/>
          <w:highlight w:val="none"/>
        </w:rPr>
        <w:t>8.3</w:t>
      </w:r>
      <w:r>
        <w:rPr>
          <w:color w:val="auto"/>
          <w:highlight w:val="none"/>
        </w:rPr>
        <w:t xml:space="preserve"> </w:t>
      </w:r>
      <w:r>
        <w:rPr>
          <w:rStyle w:val="22"/>
          <w:bCs/>
          <w:smallCaps w:val="0"/>
          <w:color w:val="auto"/>
          <w:sz w:val="24"/>
          <w:szCs w:val="24"/>
          <w:highlight w:val="none"/>
        </w:rPr>
        <w:t>Quality Inspecting</w:t>
      </w:r>
      <w:r>
        <w:rPr>
          <w:color w:val="auto"/>
          <w:sz w:val="24"/>
          <w:szCs w:val="24"/>
          <w:highlight w:val="none"/>
        </w:rPr>
        <w:tab/>
      </w:r>
      <w:r>
        <w:rPr>
          <w:rFonts w:hint="eastAsia"/>
          <w:color w:val="auto"/>
          <w:sz w:val="24"/>
          <w:szCs w:val="24"/>
          <w:highlight w:val="none"/>
        </w:rPr>
        <w:t>27</w:t>
      </w:r>
      <w:r>
        <w:rPr>
          <w:rFonts w:hint="eastAsia"/>
          <w:color w:val="auto"/>
          <w:sz w:val="24"/>
          <w:szCs w:val="24"/>
          <w:highlight w:val="none"/>
        </w:rPr>
        <w:fldChar w:fldCharType="end"/>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"_Toc21637760" </w:instrText>
      </w:r>
      <w:r>
        <w:rPr>
          <w:color w:val="auto"/>
          <w:highlight w:val="none"/>
        </w:rPr>
        <w:fldChar w:fldCharType="separate"/>
      </w:r>
      <w:r>
        <w:rPr>
          <w:rStyle w:val="22"/>
          <w:color w:val="auto"/>
          <w:sz w:val="24"/>
          <w:szCs w:val="24"/>
          <w:highlight w:val="none"/>
        </w:rPr>
        <w:t>8.4</w:t>
      </w:r>
      <w:r>
        <w:rPr>
          <w:rStyle w:val="22"/>
          <w:bCs/>
          <w:smallCaps w:val="0"/>
          <w:color w:val="auto"/>
          <w:sz w:val="24"/>
          <w:szCs w:val="24"/>
          <w:highlight w:val="none"/>
        </w:rPr>
        <w:t xml:space="preserve"> Transporting and </w:t>
      </w:r>
      <w:r>
        <w:rPr>
          <w:rStyle w:val="22"/>
          <w:rFonts w:hint="eastAsia"/>
          <w:bCs/>
          <w:smallCaps w:val="0"/>
          <w:color w:val="auto"/>
          <w:sz w:val="24"/>
          <w:szCs w:val="24"/>
          <w:highlight w:val="none"/>
        </w:rPr>
        <w:t>Storage</w:t>
      </w:r>
      <w:r>
        <w:rPr>
          <w:color w:val="auto"/>
          <w:sz w:val="24"/>
          <w:szCs w:val="24"/>
          <w:highlight w:val="none"/>
        </w:rPr>
        <w:tab/>
      </w:r>
      <w:r>
        <w:rPr>
          <w:rFonts w:hint="eastAsia"/>
          <w:color w:val="auto"/>
          <w:sz w:val="24"/>
          <w:szCs w:val="24"/>
          <w:highlight w:val="none"/>
        </w:rPr>
        <w:t>29</w:t>
      </w:r>
      <w:r>
        <w:rPr>
          <w:rFonts w:hint="eastAsia"/>
          <w:color w:val="auto"/>
          <w:sz w:val="24"/>
          <w:szCs w:val="24"/>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"_Toc21637761" </w:instrText>
      </w:r>
      <w:r>
        <w:rPr>
          <w:color w:val="auto"/>
          <w:highlight w:val="none"/>
        </w:rPr>
        <w:fldChar w:fldCharType="separate"/>
      </w:r>
      <w:r>
        <w:rPr>
          <w:rStyle w:val="22"/>
          <w:rFonts w:ascii="Times New Roman" w:hAnsi="Times New Roman"/>
          <w:color w:val="auto"/>
          <w:highlight w:val="none"/>
        </w:rPr>
        <w:t>9</w:t>
      </w:r>
      <w:r>
        <w:rPr>
          <w:rFonts w:ascii="Times New Roman" w:hAnsi="Times New Roman"/>
          <w:color w:val="auto"/>
          <w:sz w:val="18"/>
          <w:szCs w:val="18"/>
          <w:highlight w:val="none"/>
        </w:rPr>
        <w:t xml:space="preserve">  </w:t>
      </w:r>
      <w:r>
        <w:rPr>
          <w:rStyle w:val="22"/>
          <w:rFonts w:ascii="Times New Roman" w:hAnsi="Times New Roman"/>
          <w:caps w:val="0"/>
          <w:color w:val="auto"/>
          <w:highlight w:val="none"/>
        </w:rPr>
        <w:t>Construction</w:t>
      </w:r>
      <w:r>
        <w:rPr>
          <w:rFonts w:ascii="Times New Roman" w:hAnsi="Times New Roman"/>
          <w:color w:val="auto"/>
          <w:highlight w:val="none"/>
        </w:rPr>
        <w:tab/>
      </w:r>
      <w:r>
        <w:rPr>
          <w:rFonts w:hint="eastAsia" w:ascii="Times New Roman" w:hAnsi="Times New Roman"/>
          <w:color w:val="auto"/>
          <w:highlight w:val="none"/>
        </w:rPr>
        <w:t>3</w:t>
      </w:r>
      <w:r>
        <w:rPr>
          <w:rFonts w:hint="eastAsia" w:ascii="Times New Roman" w:hAnsi="Times New Roman"/>
          <w:color w:val="auto"/>
          <w:highlight w:val="none"/>
        </w:rPr>
        <w:fldChar w:fldCharType="end"/>
      </w:r>
      <w:r>
        <w:rPr>
          <w:rFonts w:hint="eastAsia" w:ascii="Times New Roman" w:hAnsi="Times New Roman"/>
          <w:color w:val="auto"/>
          <w:highlight w:val="none"/>
        </w:rPr>
        <w:t>1</w:t>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"_Toc21637762" </w:instrText>
      </w:r>
      <w:r>
        <w:rPr>
          <w:color w:val="auto"/>
          <w:highlight w:val="none"/>
        </w:rPr>
        <w:fldChar w:fldCharType="separate"/>
      </w:r>
      <w:r>
        <w:rPr>
          <w:rStyle w:val="22"/>
          <w:color w:val="auto"/>
          <w:sz w:val="24"/>
          <w:szCs w:val="24"/>
          <w:highlight w:val="none"/>
        </w:rPr>
        <w:t>9.1</w:t>
      </w:r>
      <w:r>
        <w:rPr>
          <w:rStyle w:val="22"/>
          <w:rFonts w:hint="eastAsia"/>
          <w:color w:val="auto"/>
          <w:sz w:val="24"/>
          <w:szCs w:val="24"/>
          <w:highlight w:val="none"/>
        </w:rPr>
        <w:t xml:space="preserve"> </w:t>
      </w:r>
      <w:r>
        <w:rPr>
          <w:rStyle w:val="22"/>
          <w:bCs/>
          <w:smallCaps w:val="0"/>
          <w:color w:val="auto"/>
          <w:sz w:val="24"/>
          <w:szCs w:val="24"/>
          <w:highlight w:val="none"/>
        </w:rPr>
        <w:t>General Requirements</w:t>
      </w:r>
      <w:r>
        <w:rPr>
          <w:color w:val="auto"/>
          <w:sz w:val="24"/>
          <w:szCs w:val="24"/>
          <w:highlight w:val="none"/>
        </w:rPr>
        <w:tab/>
      </w:r>
      <w:r>
        <w:rPr>
          <w:rFonts w:hint="eastAsia"/>
          <w:color w:val="auto"/>
          <w:sz w:val="24"/>
          <w:szCs w:val="24"/>
          <w:highlight w:val="none"/>
        </w:rPr>
        <w:t>3</w:t>
      </w:r>
      <w:r>
        <w:rPr>
          <w:rFonts w:hint="eastAsia"/>
          <w:color w:val="auto"/>
          <w:sz w:val="24"/>
          <w:szCs w:val="24"/>
          <w:highlight w:val="none"/>
        </w:rPr>
        <w:fldChar w:fldCharType="end"/>
      </w:r>
      <w:r>
        <w:rPr>
          <w:rFonts w:hint="eastAsia"/>
          <w:color w:val="auto"/>
          <w:sz w:val="24"/>
          <w:szCs w:val="24"/>
          <w:highlight w:val="none"/>
        </w:rPr>
        <w:t>1</w:t>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"_Toc21637763" </w:instrText>
      </w:r>
      <w:r>
        <w:rPr>
          <w:color w:val="auto"/>
          <w:highlight w:val="none"/>
        </w:rPr>
        <w:fldChar w:fldCharType="separate"/>
      </w:r>
      <w:r>
        <w:rPr>
          <w:rStyle w:val="22"/>
          <w:color w:val="auto"/>
          <w:sz w:val="24"/>
          <w:szCs w:val="24"/>
          <w:highlight w:val="none"/>
        </w:rPr>
        <w:t>9.2</w:t>
      </w:r>
      <w:r>
        <w:rPr>
          <w:rStyle w:val="22"/>
          <w:rFonts w:hint="eastAsia"/>
          <w:color w:val="auto"/>
          <w:sz w:val="24"/>
          <w:szCs w:val="24"/>
          <w:highlight w:val="none"/>
        </w:rPr>
        <w:t xml:space="preserve"> </w:t>
      </w:r>
      <w:r>
        <w:rPr>
          <w:rStyle w:val="22"/>
          <w:bCs/>
          <w:smallCaps w:val="0"/>
          <w:color w:val="auto"/>
          <w:sz w:val="24"/>
          <w:szCs w:val="24"/>
          <w:highlight w:val="none"/>
        </w:rPr>
        <w:t>Erection</w:t>
      </w:r>
      <w:r>
        <w:rPr>
          <w:color w:val="auto"/>
          <w:sz w:val="24"/>
          <w:szCs w:val="24"/>
          <w:highlight w:val="none"/>
        </w:rPr>
        <w:tab/>
      </w:r>
      <w:r>
        <w:rPr>
          <w:rFonts w:hint="eastAsia"/>
          <w:color w:val="auto"/>
          <w:sz w:val="24"/>
          <w:szCs w:val="24"/>
          <w:highlight w:val="none"/>
        </w:rPr>
        <w:t>3</w:t>
      </w:r>
      <w:r>
        <w:rPr>
          <w:rFonts w:hint="eastAsia"/>
          <w:color w:val="auto"/>
          <w:sz w:val="24"/>
          <w:szCs w:val="24"/>
          <w:highlight w:val="none"/>
        </w:rPr>
        <w:fldChar w:fldCharType="end"/>
      </w:r>
      <w:r>
        <w:rPr>
          <w:rFonts w:hint="eastAsia"/>
          <w:color w:val="auto"/>
          <w:sz w:val="24"/>
          <w:szCs w:val="24"/>
          <w:highlight w:val="none"/>
        </w:rPr>
        <w:t>1</w:t>
      </w:r>
    </w:p>
    <w:p>
      <w:pPr>
        <w:pStyle w:val="13"/>
        <w:rPr>
          <w:color w:val="auto"/>
          <w:sz w:val="24"/>
          <w:szCs w:val="24"/>
          <w:highlight w:val="none"/>
        </w:rPr>
      </w:pPr>
      <w:r>
        <w:rPr>
          <w:color w:val="auto"/>
          <w:highlight w:val="none"/>
        </w:rPr>
        <w:fldChar w:fldCharType="begin"/>
      </w:r>
      <w:r>
        <w:rPr>
          <w:color w:val="auto"/>
          <w:highlight w:val="none"/>
        </w:rPr>
        <w:instrText xml:space="preserve"> HYPERLINK \l "_Toc21637764" </w:instrText>
      </w:r>
      <w:r>
        <w:rPr>
          <w:color w:val="auto"/>
          <w:highlight w:val="none"/>
        </w:rPr>
        <w:fldChar w:fldCharType="separate"/>
      </w:r>
      <w:r>
        <w:rPr>
          <w:rStyle w:val="22"/>
          <w:color w:val="auto"/>
          <w:sz w:val="24"/>
          <w:szCs w:val="24"/>
          <w:highlight w:val="none"/>
        </w:rPr>
        <w:t xml:space="preserve">9.3 </w:t>
      </w:r>
      <w:r>
        <w:rPr>
          <w:rStyle w:val="22"/>
          <w:bCs/>
          <w:smallCaps w:val="0"/>
          <w:color w:val="auto"/>
          <w:sz w:val="24"/>
          <w:szCs w:val="24"/>
          <w:highlight w:val="none"/>
        </w:rPr>
        <w:t>Casting</w:t>
      </w:r>
      <w:r>
        <w:rPr>
          <w:color w:val="auto"/>
          <w:sz w:val="24"/>
          <w:szCs w:val="24"/>
          <w:highlight w:val="none"/>
        </w:rPr>
        <w:tab/>
      </w:r>
      <w:r>
        <w:rPr>
          <w:rFonts w:hint="eastAsia"/>
          <w:color w:val="auto"/>
          <w:sz w:val="24"/>
          <w:szCs w:val="24"/>
          <w:highlight w:val="none"/>
        </w:rPr>
        <w:t>34</w:t>
      </w:r>
      <w:r>
        <w:rPr>
          <w:rFonts w:hint="eastAsia"/>
          <w:color w:val="auto"/>
          <w:sz w:val="24"/>
          <w:szCs w:val="24"/>
          <w:highlight w:val="none"/>
        </w:rPr>
        <w:fldChar w:fldCharType="end"/>
      </w:r>
    </w:p>
    <w:p>
      <w:pPr>
        <w:pStyle w:val="13"/>
        <w:rPr>
          <w:color w:val="auto"/>
          <w:highlight w:val="none"/>
        </w:rPr>
      </w:pPr>
      <w:r>
        <w:rPr>
          <w:color w:val="auto"/>
          <w:highlight w:val="none"/>
        </w:rPr>
        <w:fldChar w:fldCharType="begin"/>
      </w:r>
      <w:r>
        <w:rPr>
          <w:color w:val="auto"/>
          <w:highlight w:val="none"/>
        </w:rPr>
        <w:instrText xml:space="preserve"> HYPERLINK \l "_Toc21637764" </w:instrText>
      </w:r>
      <w:r>
        <w:rPr>
          <w:color w:val="auto"/>
          <w:highlight w:val="none"/>
        </w:rPr>
        <w:fldChar w:fldCharType="separate"/>
      </w:r>
      <w:r>
        <w:rPr>
          <w:rStyle w:val="22"/>
          <w:color w:val="auto"/>
          <w:sz w:val="24"/>
          <w:szCs w:val="24"/>
          <w:highlight w:val="none"/>
        </w:rPr>
        <w:t>9.</w:t>
      </w:r>
      <w:r>
        <w:rPr>
          <w:rStyle w:val="22"/>
          <w:rFonts w:hint="eastAsia"/>
          <w:color w:val="auto"/>
          <w:sz w:val="24"/>
          <w:szCs w:val="24"/>
          <w:highlight w:val="none"/>
        </w:rPr>
        <w:t>4</w:t>
      </w:r>
      <w:r>
        <w:rPr>
          <w:rStyle w:val="22"/>
          <w:color w:val="auto"/>
          <w:sz w:val="24"/>
          <w:szCs w:val="24"/>
          <w:highlight w:val="none"/>
        </w:rPr>
        <w:t xml:space="preserve"> </w:t>
      </w:r>
      <w:r>
        <w:rPr>
          <w:rStyle w:val="22"/>
          <w:rFonts w:hint="eastAsia"/>
          <w:bCs/>
          <w:smallCaps w:val="0"/>
          <w:color w:val="auto"/>
          <w:sz w:val="24"/>
          <w:szCs w:val="24"/>
          <w:highlight w:val="none"/>
        </w:rPr>
        <w:t>Dismantling of Rectangular Steel Pipes</w:t>
      </w:r>
      <w:r>
        <w:rPr>
          <w:rStyle w:val="22"/>
          <w:bCs/>
          <w:smallCaps w:val="0"/>
          <w:color w:val="auto"/>
          <w:sz w:val="24"/>
          <w:szCs w:val="24"/>
          <w:highlight w:val="none"/>
        </w:rPr>
        <w:t>asting</w:t>
      </w:r>
      <w:r>
        <w:rPr>
          <w:color w:val="auto"/>
          <w:sz w:val="24"/>
          <w:szCs w:val="24"/>
          <w:highlight w:val="none"/>
        </w:rPr>
        <w:tab/>
      </w:r>
      <w:r>
        <w:rPr>
          <w:rFonts w:hint="eastAsia"/>
          <w:color w:val="auto"/>
          <w:sz w:val="24"/>
          <w:szCs w:val="24"/>
          <w:highlight w:val="none"/>
        </w:rPr>
        <w:t>35</w:t>
      </w:r>
      <w:r>
        <w:rPr>
          <w:rFonts w:hint="eastAsia"/>
          <w:color w:val="auto"/>
          <w:sz w:val="24"/>
          <w:szCs w:val="24"/>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"_Toc21637765" </w:instrText>
      </w:r>
      <w:r>
        <w:rPr>
          <w:color w:val="auto"/>
          <w:highlight w:val="none"/>
        </w:rPr>
        <w:fldChar w:fldCharType="separate"/>
      </w:r>
      <w:r>
        <w:rPr>
          <w:rStyle w:val="22"/>
          <w:rFonts w:ascii="Times New Roman" w:hAnsi="Times New Roman"/>
          <w:color w:val="auto"/>
          <w:highlight w:val="none"/>
        </w:rPr>
        <w:t xml:space="preserve">10 </w:t>
      </w:r>
      <w:r>
        <w:rPr>
          <w:rStyle w:val="22"/>
          <w:rFonts w:ascii="Times New Roman" w:hAnsi="Times New Roman"/>
          <w:caps w:val="0"/>
          <w:color w:val="auto"/>
          <w:highlight w:val="none"/>
        </w:rPr>
        <w:t>Acceptance</w:t>
      </w:r>
      <w:r>
        <w:rPr>
          <w:rFonts w:ascii="Times New Roman" w:hAnsi="Times New Roman"/>
          <w:color w:val="auto"/>
          <w:highlight w:val="none"/>
        </w:rPr>
        <w:tab/>
      </w:r>
      <w:r>
        <w:rPr>
          <w:rFonts w:hint="eastAsia" w:ascii="Times New Roman" w:hAnsi="Times New Roman"/>
          <w:color w:val="auto"/>
          <w:highlight w:val="none"/>
        </w:rPr>
        <w:t>36</w:t>
      </w:r>
      <w:r>
        <w:rPr>
          <w:rFonts w:hint="eastAsia" w:ascii="Times New Roman" w:hAnsi="Times New Roman"/>
          <w:color w:val="auto"/>
          <w:highlight w:val="none"/>
        </w:rPr>
        <w:fldChar w:fldCharType="end"/>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"_Toc21637766" </w:instrText>
      </w:r>
      <w:r>
        <w:rPr>
          <w:color w:val="auto"/>
          <w:highlight w:val="none"/>
        </w:rPr>
        <w:fldChar w:fldCharType="separate"/>
      </w:r>
      <w:r>
        <w:rPr>
          <w:rStyle w:val="22"/>
          <w:color w:val="auto"/>
          <w:sz w:val="24"/>
          <w:szCs w:val="24"/>
          <w:highlight w:val="none"/>
        </w:rPr>
        <w:t>10.1</w:t>
      </w:r>
      <w:r>
        <w:rPr>
          <w:color w:val="auto"/>
          <w:highlight w:val="none"/>
        </w:rPr>
        <w:t xml:space="preserve"> </w:t>
      </w:r>
      <w:r>
        <w:rPr>
          <w:rStyle w:val="22"/>
          <w:bCs/>
          <w:smallCaps w:val="0"/>
          <w:color w:val="auto"/>
          <w:sz w:val="24"/>
          <w:szCs w:val="24"/>
          <w:highlight w:val="none"/>
        </w:rPr>
        <w:t>General Requirements</w:t>
      </w:r>
      <w:r>
        <w:rPr>
          <w:color w:val="auto"/>
          <w:sz w:val="24"/>
          <w:szCs w:val="24"/>
          <w:highlight w:val="none"/>
        </w:rPr>
        <w:tab/>
      </w:r>
      <w:r>
        <w:rPr>
          <w:rFonts w:hint="eastAsia"/>
          <w:color w:val="auto"/>
          <w:sz w:val="24"/>
          <w:szCs w:val="24"/>
          <w:highlight w:val="none"/>
        </w:rPr>
        <w:t>36</w:t>
      </w:r>
      <w:r>
        <w:rPr>
          <w:rFonts w:hint="eastAsia"/>
          <w:color w:val="auto"/>
          <w:sz w:val="24"/>
          <w:szCs w:val="24"/>
          <w:highlight w:val="none"/>
        </w:rPr>
        <w:fldChar w:fldCharType="end"/>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"_Toc21637767" </w:instrText>
      </w:r>
      <w:r>
        <w:rPr>
          <w:color w:val="auto"/>
          <w:highlight w:val="none"/>
        </w:rPr>
        <w:fldChar w:fldCharType="separate"/>
      </w:r>
      <w:r>
        <w:rPr>
          <w:rStyle w:val="22"/>
          <w:color w:val="auto"/>
          <w:sz w:val="24"/>
          <w:szCs w:val="24"/>
          <w:highlight w:val="none"/>
        </w:rPr>
        <w:t>10.2</w:t>
      </w:r>
      <w:r>
        <w:rPr>
          <w:rStyle w:val="22"/>
          <w:bCs/>
          <w:smallCaps w:val="0"/>
          <w:color w:val="auto"/>
          <w:sz w:val="24"/>
          <w:szCs w:val="24"/>
          <w:highlight w:val="none"/>
        </w:rPr>
        <w:t xml:space="preserve"> </w:t>
      </w:r>
      <w:r>
        <w:rPr>
          <w:rStyle w:val="22"/>
          <w:rFonts w:hint="eastAsia"/>
          <w:bCs/>
          <w:smallCaps w:val="0"/>
          <w:color w:val="auto"/>
          <w:sz w:val="24"/>
          <w:szCs w:val="24"/>
          <w:highlight w:val="none"/>
        </w:rPr>
        <w:t xml:space="preserve">Factory </w:t>
      </w:r>
      <w:r>
        <w:rPr>
          <w:rStyle w:val="22"/>
          <w:bCs/>
          <w:smallCaps w:val="0"/>
          <w:color w:val="auto"/>
          <w:sz w:val="24"/>
          <w:szCs w:val="24"/>
          <w:highlight w:val="none"/>
        </w:rPr>
        <w:t>Inspection</w:t>
      </w:r>
      <w:r>
        <w:rPr>
          <w:color w:val="auto"/>
          <w:sz w:val="24"/>
          <w:szCs w:val="24"/>
          <w:highlight w:val="none"/>
        </w:rPr>
        <w:tab/>
      </w:r>
      <w:r>
        <w:rPr>
          <w:rFonts w:hint="eastAsia"/>
          <w:color w:val="auto"/>
          <w:sz w:val="24"/>
          <w:szCs w:val="24"/>
          <w:highlight w:val="none"/>
        </w:rPr>
        <w:t>36</w:t>
      </w:r>
      <w:r>
        <w:rPr>
          <w:rFonts w:hint="eastAsia"/>
          <w:color w:val="auto"/>
          <w:sz w:val="24"/>
          <w:szCs w:val="24"/>
          <w:highlight w:val="none"/>
        </w:rPr>
        <w:fldChar w:fldCharType="end"/>
      </w:r>
    </w:p>
    <w:p>
      <w:pPr>
        <w:pStyle w:val="13"/>
        <w:rPr>
          <w:smallCaps w:val="0"/>
          <w:color w:val="auto"/>
          <w:sz w:val="24"/>
          <w:szCs w:val="24"/>
          <w:highlight w:val="none"/>
        </w:rPr>
      </w:pPr>
      <w:r>
        <w:rPr>
          <w:color w:val="auto"/>
          <w:highlight w:val="none"/>
        </w:rPr>
        <w:fldChar w:fldCharType="begin"/>
      </w:r>
      <w:r>
        <w:rPr>
          <w:color w:val="auto"/>
          <w:highlight w:val="none"/>
        </w:rPr>
        <w:instrText xml:space="preserve"> HYPERLINK \l "_Toc21637768" </w:instrText>
      </w:r>
      <w:r>
        <w:rPr>
          <w:color w:val="auto"/>
          <w:highlight w:val="none"/>
        </w:rPr>
        <w:fldChar w:fldCharType="separate"/>
      </w:r>
      <w:r>
        <w:rPr>
          <w:rStyle w:val="22"/>
          <w:color w:val="auto"/>
          <w:sz w:val="24"/>
          <w:szCs w:val="24"/>
          <w:highlight w:val="none"/>
        </w:rPr>
        <w:t>10.3</w:t>
      </w:r>
      <w:r>
        <w:rPr>
          <w:color w:val="auto"/>
          <w:highlight w:val="none"/>
        </w:rPr>
        <w:t xml:space="preserve"> </w:t>
      </w:r>
      <w:r>
        <w:rPr>
          <w:rStyle w:val="22"/>
          <w:bCs/>
          <w:smallCaps w:val="0"/>
          <w:color w:val="auto"/>
          <w:sz w:val="24"/>
          <w:szCs w:val="24"/>
          <w:highlight w:val="none"/>
        </w:rPr>
        <w:t xml:space="preserve"> Quality Acceptance</w:t>
      </w:r>
      <w:r>
        <w:rPr>
          <w:color w:val="auto"/>
          <w:sz w:val="24"/>
          <w:szCs w:val="24"/>
          <w:highlight w:val="none"/>
        </w:rPr>
        <w:tab/>
      </w:r>
      <w:r>
        <w:rPr>
          <w:rFonts w:hint="eastAsia"/>
          <w:color w:val="auto"/>
          <w:sz w:val="24"/>
          <w:szCs w:val="24"/>
          <w:highlight w:val="none"/>
        </w:rPr>
        <w:t>37</w:t>
      </w:r>
      <w:r>
        <w:rPr>
          <w:rFonts w:hint="eastAsia"/>
          <w:color w:val="auto"/>
          <w:sz w:val="24"/>
          <w:szCs w:val="24"/>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"_Toc21637769" </w:instrText>
      </w:r>
      <w:r>
        <w:rPr>
          <w:color w:val="auto"/>
          <w:highlight w:val="none"/>
        </w:rPr>
        <w:fldChar w:fldCharType="separate"/>
      </w:r>
      <w:r>
        <w:rPr>
          <w:rStyle w:val="22"/>
          <w:rFonts w:ascii="Times New Roman" w:hAnsi="Times New Roman"/>
          <w:caps w:val="0"/>
          <w:color w:val="auto"/>
          <w:highlight w:val="none"/>
        </w:rPr>
        <w:t>Explanation of Wording in This Specification</w:t>
      </w:r>
      <w:r>
        <w:rPr>
          <w:rFonts w:ascii="Times New Roman" w:hAnsi="Times New Roman"/>
          <w:color w:val="auto"/>
          <w:highlight w:val="none"/>
        </w:rPr>
        <w:tab/>
      </w:r>
      <w:r>
        <w:rPr>
          <w:rFonts w:hint="eastAsia" w:ascii="Times New Roman" w:hAnsi="Times New Roman"/>
          <w:color w:val="auto"/>
          <w:highlight w:val="none"/>
        </w:rPr>
        <w:t>39</w:t>
      </w:r>
      <w:r>
        <w:rPr>
          <w:rFonts w:hint="eastAsia" w:ascii="Times New Roman" w:hAnsi="Times New Roman"/>
          <w:color w:val="auto"/>
          <w:highlight w:val="none"/>
        </w:rPr>
        <w:fldChar w:fldCharType="end"/>
      </w:r>
    </w:p>
    <w:p>
      <w:pPr>
        <w:pStyle w:val="12"/>
        <w:rPr>
          <w:rFonts w:ascii="Times New Roman" w:hAnsi="Times New Roman"/>
          <w:color w:val="auto"/>
          <w:highlight w:val="none"/>
        </w:rPr>
      </w:pPr>
      <w:r>
        <w:rPr>
          <w:color w:val="auto"/>
          <w:highlight w:val="none"/>
        </w:rPr>
        <w:fldChar w:fldCharType="begin"/>
      </w:r>
      <w:r>
        <w:rPr>
          <w:color w:val="auto"/>
          <w:highlight w:val="none"/>
        </w:rPr>
        <w:instrText xml:space="preserve"> HYPERLINK \l "_Toc21637770" </w:instrText>
      </w:r>
      <w:r>
        <w:rPr>
          <w:color w:val="auto"/>
          <w:highlight w:val="none"/>
        </w:rPr>
        <w:fldChar w:fldCharType="separate"/>
      </w:r>
      <w:r>
        <w:rPr>
          <w:rStyle w:val="22"/>
          <w:rFonts w:ascii="Times New Roman" w:hAnsi="Times New Roman"/>
          <w:caps w:val="0"/>
          <w:color w:val="auto"/>
          <w:highlight w:val="none"/>
        </w:rPr>
        <w:t>List of Quoted Standards</w:t>
      </w:r>
      <w:r>
        <w:rPr>
          <w:rFonts w:ascii="Times New Roman" w:hAnsi="Times New Roman"/>
          <w:color w:val="auto"/>
          <w:highlight w:val="none"/>
        </w:rPr>
        <w:tab/>
      </w:r>
      <w:r>
        <w:rPr>
          <w:rFonts w:hint="eastAsia" w:ascii="Times New Roman" w:hAnsi="Times New Roman"/>
          <w:color w:val="auto"/>
          <w:highlight w:val="none"/>
        </w:rPr>
        <w:t>4</w:t>
      </w:r>
      <w:r>
        <w:rPr>
          <w:rFonts w:hint="eastAsia" w:ascii="Times New Roman" w:hAnsi="Times New Roman"/>
          <w:color w:val="auto"/>
          <w:highlight w:val="none"/>
        </w:rPr>
        <w:fldChar w:fldCharType="end"/>
      </w:r>
      <w:r>
        <w:rPr>
          <w:rFonts w:hint="eastAsia" w:ascii="Times New Roman" w:hAnsi="Times New Roman"/>
          <w:color w:val="auto"/>
          <w:highlight w:val="none"/>
        </w:rPr>
        <w:t>0</w:t>
      </w:r>
    </w:p>
    <w:p>
      <w:pPr>
        <w:pStyle w:val="12"/>
        <w:rPr>
          <w:rFonts w:ascii="Times New Roman" w:hAnsi="Times New Roman"/>
          <w:color w:val="auto"/>
          <w:sz w:val="21"/>
          <w:szCs w:val="22"/>
          <w:highlight w:val="none"/>
        </w:rPr>
      </w:pPr>
      <w:r>
        <w:rPr>
          <w:color w:val="auto"/>
          <w:highlight w:val="none"/>
        </w:rPr>
        <w:fldChar w:fldCharType="begin"/>
      </w:r>
      <w:r>
        <w:rPr>
          <w:color w:val="auto"/>
          <w:highlight w:val="none"/>
        </w:rPr>
        <w:instrText xml:space="preserve"> HYPERLINK \l "_Toc21637771" </w:instrText>
      </w:r>
      <w:r>
        <w:rPr>
          <w:color w:val="auto"/>
          <w:highlight w:val="none"/>
        </w:rPr>
        <w:fldChar w:fldCharType="separate"/>
      </w:r>
      <w:r>
        <w:rPr>
          <w:rFonts w:ascii="Times New Roman" w:hAnsi="Times New Roman"/>
          <w:caps w:val="0"/>
          <w:color w:val="auto"/>
          <w:highlight w:val="none"/>
        </w:rPr>
        <w:t>Addition: Explanation of Provisions</w:t>
      </w:r>
      <w:r>
        <w:rPr>
          <w:rFonts w:ascii="Times New Roman" w:hAnsi="Times New Roman"/>
          <w:color w:val="auto"/>
          <w:highlight w:val="none"/>
        </w:rPr>
        <w:tab/>
      </w:r>
      <w:r>
        <w:rPr>
          <w:rFonts w:hint="eastAsia" w:ascii="Times New Roman" w:hAnsi="Times New Roman"/>
          <w:color w:val="auto"/>
          <w:highlight w:val="none"/>
        </w:rPr>
        <w:t>4</w:t>
      </w:r>
      <w:r>
        <w:rPr>
          <w:rFonts w:hint="eastAsia" w:ascii="Times New Roman" w:hAnsi="Times New Roman"/>
          <w:color w:val="auto"/>
          <w:highlight w:val="none"/>
        </w:rPr>
        <w:fldChar w:fldCharType="end"/>
      </w:r>
      <w:r>
        <w:rPr>
          <w:rFonts w:hint="eastAsia" w:ascii="Times New Roman" w:hAnsi="Times New Roman"/>
          <w:color w:val="auto"/>
          <w:highlight w:val="none"/>
        </w:rPr>
        <w:t>1</w:t>
      </w:r>
    </w:p>
    <w:p>
      <w:pPr>
        <w:spacing w:before="312" w:beforeLines="100" w:after="312" w:afterLines="100" w:line="360" w:lineRule="auto"/>
        <w:jc w:val="center"/>
        <w:rPr>
          <w:rFonts w:ascii="Times New Roman" w:hAnsi="Times New Roman" w:cs="Times New Roman"/>
          <w:color w:val="auto"/>
          <w:highlight w:val="none"/>
        </w:rPr>
      </w:pPr>
      <w:r>
        <w:rPr>
          <w:rFonts w:ascii="Times New Roman" w:hAnsi="Times New Roman" w:cs="Times New Roman"/>
          <w:color w:val="auto"/>
          <w:highlight w:val="none"/>
        </w:rPr>
        <w:fldChar w:fldCharType="end"/>
      </w:r>
    </w:p>
    <w:p>
      <w:pPr>
        <w:adjustRightInd/>
        <w:snapToGrid/>
        <w:spacing w:line="220" w:lineRule="atLeast"/>
        <w:rPr>
          <w:rFonts w:ascii="Times New Roman" w:hAnsi="Times New Roman" w:eastAsia="宋体" w:cs="Times New Roman"/>
          <w:color w:val="auto"/>
          <w:highlight w:val="none"/>
        </w:rPr>
      </w:pPr>
    </w:p>
    <w:p>
      <w:pPr>
        <w:adjustRightInd/>
        <w:snapToGrid/>
        <w:spacing w:line="220" w:lineRule="atLeast"/>
        <w:rPr>
          <w:color w:val="auto"/>
          <w:highlight w:val="none"/>
        </w:rPr>
        <w:sectPr>
          <w:footerReference r:id="rId5" w:type="default"/>
          <w:pgSz w:w="11907" w:h="16839"/>
          <w:pgMar w:top="1440" w:right="1800" w:bottom="1440" w:left="1800" w:header="851" w:footer="992" w:gutter="0"/>
          <w:pgNumType w:start="1"/>
          <w:cols w:space="720" w:num="1"/>
          <w:docGrid w:type="lines" w:linePitch="312" w:charSpace="0"/>
        </w:sectPr>
      </w:pPr>
    </w:p>
    <w:p>
      <w:pPr>
        <w:pStyle w:val="24"/>
        <w:spacing w:before="312" w:after="312"/>
        <w:rPr>
          <w:rFonts w:eastAsiaTheme="minorEastAsia"/>
          <w:color w:val="auto"/>
          <w:highlight w:val="none"/>
        </w:rPr>
      </w:pPr>
      <w:bookmarkStart w:id="0" w:name="_Toc111709505"/>
      <w:r>
        <w:rPr>
          <w:rFonts w:eastAsiaTheme="minorEastAsia"/>
          <w:color w:val="auto"/>
          <w:highlight w:val="none"/>
        </w:rPr>
        <w:t>1总则</w:t>
      </w:r>
      <w:bookmarkEnd w:id="0"/>
    </w:p>
    <w:p>
      <w:pPr>
        <w:widowControl w:val="0"/>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1.0.1</w:t>
      </w:r>
      <w:r>
        <w:rPr>
          <w:rFonts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为规范</w:t>
      </w:r>
      <w:r>
        <w:rPr>
          <w:rFonts w:hint="eastAsia" w:ascii="Times New Roman" w:eastAsia="宋体" w:cs="Times New Roman"/>
          <w:color w:val="auto"/>
          <w:sz w:val="24"/>
          <w:szCs w:val="24"/>
          <w:highlight w:val="none"/>
        </w:rPr>
        <w:t>支架预应力混凝土叠合板</w:t>
      </w:r>
      <w:r>
        <w:rPr>
          <w:rFonts w:ascii="Times New Roman" w:eastAsia="宋体" w:cs="Times New Roman"/>
          <w:color w:val="auto"/>
          <w:sz w:val="24"/>
          <w:szCs w:val="24"/>
          <w:highlight w:val="none"/>
        </w:rPr>
        <w:t>的设计、</w:t>
      </w:r>
      <w:r>
        <w:rPr>
          <w:rFonts w:hint="eastAsia" w:ascii="Times New Roman" w:eastAsia="宋体" w:cs="Times New Roman"/>
          <w:color w:val="auto"/>
          <w:sz w:val="24"/>
          <w:szCs w:val="24"/>
          <w:highlight w:val="none"/>
        </w:rPr>
        <w:t>制作、</w:t>
      </w:r>
      <w:r>
        <w:rPr>
          <w:rFonts w:ascii="Times New Roman" w:eastAsia="宋体" w:cs="Times New Roman"/>
          <w:color w:val="auto"/>
          <w:sz w:val="24"/>
          <w:szCs w:val="24"/>
          <w:highlight w:val="none"/>
        </w:rPr>
        <w:t>施工与验收，贯彻执行国家的技术经济政策，做到安全、适用、经济、耐久、确保质量，制定本规程。</w:t>
      </w:r>
    </w:p>
    <w:p>
      <w:pPr>
        <w:widowControl w:val="0"/>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1.0.2</w:t>
      </w:r>
      <w:r>
        <w:rPr>
          <w:rFonts w:hint="eastAsia"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本规程适用于抗震设防烈度</w:t>
      </w:r>
      <w:r>
        <w:rPr>
          <w:rFonts w:ascii="Times New Roman" w:hAnsi="Times New Roman" w:eastAsia="宋体" w:cs="Times New Roman"/>
          <w:color w:val="auto"/>
          <w:sz w:val="24"/>
          <w:szCs w:val="24"/>
          <w:highlight w:val="none"/>
        </w:rPr>
        <w:t>8</w:t>
      </w:r>
      <w:r>
        <w:rPr>
          <w:rFonts w:ascii="Times New Roman" w:eastAsia="宋体" w:cs="Times New Roman"/>
          <w:color w:val="auto"/>
          <w:sz w:val="24"/>
          <w:szCs w:val="24"/>
          <w:highlight w:val="none"/>
        </w:rPr>
        <w:t>度及以下地区，环境类别为一类和二</w:t>
      </w:r>
      <w:r>
        <w:rPr>
          <w:rFonts w:ascii="Times New Roman" w:hAnsi="Times New Roman" w:eastAsia="宋体" w:cs="Times New Roman"/>
          <w:color w:val="auto"/>
          <w:sz w:val="24"/>
          <w:szCs w:val="24"/>
          <w:highlight w:val="none"/>
        </w:rPr>
        <w:t>a</w:t>
      </w:r>
      <w:r>
        <w:rPr>
          <w:rFonts w:ascii="Times New Roman" w:eastAsia="宋体" w:cs="Times New Roman"/>
          <w:color w:val="auto"/>
          <w:sz w:val="24"/>
          <w:szCs w:val="24"/>
          <w:highlight w:val="none"/>
        </w:rPr>
        <w:t>类的工业与民用建筑中</w:t>
      </w:r>
      <w:r>
        <w:rPr>
          <w:rFonts w:hint="eastAsia" w:ascii="Times New Roman" w:eastAsia="宋体" w:cs="Times New Roman"/>
          <w:color w:val="auto"/>
          <w:sz w:val="24"/>
          <w:szCs w:val="24"/>
          <w:highlight w:val="none"/>
        </w:rPr>
        <w:t>支架预应力混凝土叠合板</w:t>
      </w:r>
      <w:r>
        <w:rPr>
          <w:rFonts w:ascii="Times New Roman" w:eastAsia="宋体" w:cs="Times New Roman"/>
          <w:color w:val="auto"/>
          <w:sz w:val="24"/>
          <w:szCs w:val="24"/>
          <w:highlight w:val="none"/>
        </w:rPr>
        <w:t>的设计、制作、施工及验收。</w:t>
      </w:r>
    </w:p>
    <w:p>
      <w:pPr>
        <w:spacing w:line="360" w:lineRule="auto"/>
        <w:ind w:right="110" w:rightChars="5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1.0.3</w:t>
      </w:r>
      <w:r>
        <w:rPr>
          <w:rFonts w:hint="eastAsia" w:ascii="Times New Roman" w:hAnsi="Times New Roman" w:eastAsia="宋体" w:cs="Times New Roman"/>
          <w:b/>
          <w:color w:val="auto"/>
          <w:sz w:val="24"/>
          <w:szCs w:val="24"/>
          <w:highlight w:val="none"/>
        </w:rPr>
        <w:t xml:space="preserve">   </w:t>
      </w:r>
      <w:r>
        <w:rPr>
          <w:rFonts w:hint="eastAsia" w:ascii="Times New Roman" w:eastAsia="宋体" w:cs="Times New Roman"/>
          <w:color w:val="auto"/>
          <w:sz w:val="24"/>
          <w:szCs w:val="24"/>
          <w:highlight w:val="none"/>
        </w:rPr>
        <w:t>支架预应力混凝土叠合板</w:t>
      </w:r>
      <w:r>
        <w:rPr>
          <w:rFonts w:ascii="Times New Roman" w:eastAsia="宋体" w:cs="Times New Roman"/>
          <w:color w:val="auto"/>
          <w:sz w:val="24"/>
          <w:szCs w:val="24"/>
          <w:highlight w:val="none"/>
        </w:rPr>
        <w:t>的设计、制作、施工及验收，除应符合本规程的规定外，尚应符合国家现行有关标准的规定。</w:t>
      </w:r>
    </w:p>
    <w:p>
      <w:pPr>
        <w:spacing w:after="0" w:line="360" w:lineRule="auto"/>
        <w:rPr>
          <w:rFonts w:ascii="Times New Roman" w:hAnsi="Times New Roman" w:eastAsia="仿宋" w:cs="Times New Roman"/>
          <w:color w:val="auto"/>
          <w:sz w:val="24"/>
          <w:szCs w:val="24"/>
          <w:highlight w:val="none"/>
        </w:rPr>
      </w:pPr>
      <w:r>
        <w:rPr>
          <w:rFonts w:ascii="Times New Roman" w:hAnsi="Times New Roman" w:eastAsia="宋体" w:cs="Times New Roman"/>
          <w:color w:val="auto"/>
          <w:sz w:val="24"/>
          <w:szCs w:val="24"/>
          <w:highlight w:val="none"/>
        </w:rPr>
        <w:br w:type="page"/>
      </w:r>
    </w:p>
    <w:p>
      <w:pPr>
        <w:pStyle w:val="24"/>
        <w:spacing w:before="312" w:after="312"/>
        <w:rPr>
          <w:rFonts w:eastAsiaTheme="minorEastAsia"/>
          <w:color w:val="auto"/>
          <w:highlight w:val="none"/>
        </w:rPr>
      </w:pPr>
      <w:bookmarkStart w:id="1" w:name="_Toc111709506"/>
      <w:r>
        <w:rPr>
          <w:rFonts w:eastAsiaTheme="minorEastAsia"/>
          <w:color w:val="auto"/>
          <w:highlight w:val="none"/>
        </w:rPr>
        <w:t>2术语和符号</w:t>
      </w:r>
      <w:bookmarkEnd w:id="1"/>
    </w:p>
    <w:p>
      <w:pPr>
        <w:pStyle w:val="25"/>
        <w:spacing w:beforeLines="0" w:after="312" w:line="360" w:lineRule="auto"/>
        <w:rPr>
          <w:rFonts w:hAnsi="宋体"/>
          <w:color w:val="auto"/>
          <w:highlight w:val="none"/>
        </w:rPr>
      </w:pPr>
      <w:r>
        <w:rPr>
          <w:rFonts w:hint="eastAsia" w:hAnsi="宋体"/>
          <w:color w:val="auto"/>
          <w:highlight w:val="none"/>
        </w:rPr>
        <w:t xml:space="preserve"> </w:t>
      </w:r>
      <w:bookmarkStart w:id="2" w:name="_Toc111709507"/>
      <w:r>
        <w:rPr>
          <w:rFonts w:hAnsi="宋体"/>
          <w:color w:val="auto"/>
          <w:highlight w:val="none"/>
        </w:rPr>
        <w:t>2.1术语</w:t>
      </w:r>
      <w:bookmarkEnd w:id="2"/>
    </w:p>
    <w:p>
      <w:pPr>
        <w:widowControl w:val="0"/>
        <w:numPr>
          <w:ilvl w:val="2"/>
          <w:numId w:val="1"/>
        </w:numPr>
        <w:spacing w:after="0" w:line="360" w:lineRule="auto"/>
        <w:outlineLvl w:val="2"/>
        <w:rPr>
          <w:rFonts w:ascii="Times New Roman" w:hAnsi="Times New Roman" w:eastAsia="宋体" w:cs="Times New Roman"/>
          <w:b/>
          <w:color w:val="auto"/>
          <w:sz w:val="24"/>
          <w:szCs w:val="24"/>
          <w:highlight w:val="none"/>
        </w:rPr>
      </w:pPr>
      <w:r>
        <w:rPr>
          <w:rFonts w:hint="eastAsia" w:ascii="Times New Roman" w:eastAsia="宋体" w:cs="Times New Roman"/>
          <w:b/>
          <w:color w:val="auto"/>
          <w:sz w:val="24"/>
          <w:szCs w:val="24"/>
          <w:highlight w:val="none"/>
        </w:rPr>
        <w:t xml:space="preserve"> 支架预应力混凝土叠合板s</w:t>
      </w:r>
      <w:r>
        <w:rPr>
          <w:rFonts w:ascii="Times New Roman" w:eastAsia="宋体" w:cs="Times New Roman"/>
          <w:b/>
          <w:color w:val="auto"/>
          <w:sz w:val="24"/>
          <w:szCs w:val="24"/>
          <w:highlight w:val="none"/>
        </w:rPr>
        <w:t>upport prestressed concrete laminated plate</w:t>
      </w:r>
      <w:r>
        <w:rPr>
          <w:rFonts w:hint="eastAsia" w:ascii="Times New Roman" w:eastAsia="宋体" w:cs="Times New Roman"/>
          <w:b/>
          <w:color w:val="auto"/>
          <w:sz w:val="24"/>
          <w:szCs w:val="24"/>
          <w:highlight w:val="none"/>
        </w:rPr>
        <w:t xml:space="preserve"> </w:t>
      </w:r>
    </w:p>
    <w:p>
      <w:pPr>
        <w:spacing w:after="0" w:line="360" w:lineRule="auto"/>
        <w:ind w:firstLine="480" w:firstLineChars="200"/>
        <w:rPr>
          <w:rFonts w:ascii="Times New Roman" w:eastAsia="宋体" w:cs="Times New Roman"/>
          <w:color w:val="auto"/>
          <w:sz w:val="24"/>
          <w:szCs w:val="24"/>
          <w:highlight w:val="none"/>
        </w:rPr>
      </w:pPr>
      <w:r>
        <w:rPr>
          <w:rFonts w:hint="eastAsia" w:ascii="Times New Roman" w:eastAsia="宋体" w:cs="Times New Roman"/>
          <w:color w:val="auto"/>
          <w:sz w:val="24"/>
          <w:szCs w:val="24"/>
          <w:highlight w:val="none"/>
        </w:rPr>
        <w:t>下部采用可拆卸的矩形钢管桁架预制底板、上部采用现场后浇混凝土形成的叠合板。</w:t>
      </w:r>
    </w:p>
    <w:p>
      <w:pPr>
        <w:widowControl w:val="0"/>
        <w:numPr>
          <w:ilvl w:val="2"/>
          <w:numId w:val="1"/>
        </w:numPr>
        <w:spacing w:after="0" w:line="360" w:lineRule="auto"/>
        <w:outlineLvl w:val="2"/>
        <w:rPr>
          <w:rFonts w:ascii="Times New Roman" w:hAnsi="Times New Roman" w:eastAsia="宋体" w:cs="Times New Roman"/>
          <w:b/>
          <w:color w:val="auto"/>
          <w:sz w:val="24"/>
          <w:szCs w:val="24"/>
          <w:highlight w:val="none"/>
        </w:rPr>
      </w:pPr>
      <w:r>
        <w:rPr>
          <w:rFonts w:hint="eastAsia" w:ascii="Times New Roman" w:eastAsia="宋体" w:cs="Times New Roman"/>
          <w:b/>
          <w:color w:val="auto"/>
          <w:sz w:val="24"/>
          <w:szCs w:val="24"/>
          <w:highlight w:val="none"/>
        </w:rPr>
        <w:t xml:space="preserve"> 支架预应力</w:t>
      </w:r>
      <w:r>
        <w:rPr>
          <w:rFonts w:ascii="Times New Roman" w:eastAsia="宋体" w:cs="Times New Roman"/>
          <w:b/>
          <w:color w:val="auto"/>
          <w:sz w:val="24"/>
          <w:szCs w:val="24"/>
          <w:highlight w:val="none"/>
        </w:rPr>
        <w:t>混凝土预制底板</w:t>
      </w:r>
      <w:r>
        <w:rPr>
          <w:rFonts w:hint="eastAsia" w:ascii="Times New Roman" w:hAnsi="Times New Roman" w:eastAsia="宋体" w:cs="Times New Roman"/>
          <w:b/>
          <w:color w:val="auto"/>
          <w:sz w:val="24"/>
          <w:szCs w:val="24"/>
          <w:highlight w:val="none"/>
        </w:rPr>
        <w:t>s</w:t>
      </w:r>
      <w:r>
        <w:rPr>
          <w:rFonts w:ascii="Times New Roman" w:hAnsi="Times New Roman" w:eastAsia="宋体" w:cs="Times New Roman"/>
          <w:b/>
          <w:color w:val="auto"/>
          <w:sz w:val="24"/>
          <w:szCs w:val="24"/>
          <w:highlight w:val="none"/>
        </w:rPr>
        <w:t>upport prestressed concrete precast base plate</w:t>
      </w:r>
    </w:p>
    <w:p>
      <w:pPr>
        <w:spacing w:after="0" w:line="360" w:lineRule="auto"/>
        <w:ind w:firstLine="480" w:firstLineChars="200"/>
        <w:rPr>
          <w:rFonts w:ascii="Times New Roman" w:eastAsia="宋体" w:cs="Times New Roman"/>
          <w:color w:val="auto"/>
          <w:sz w:val="24"/>
          <w:szCs w:val="24"/>
          <w:highlight w:val="none"/>
        </w:rPr>
      </w:pPr>
      <w:r>
        <w:rPr>
          <w:rFonts w:hint="eastAsia" w:ascii="Times New Roman" w:eastAsia="宋体" w:cs="Times New Roman"/>
          <w:color w:val="auto"/>
          <w:sz w:val="24"/>
          <w:szCs w:val="24"/>
          <w:highlight w:val="none"/>
        </w:rPr>
        <w:t>可拆卸矩形钢管桁架与预应力混凝土底板组合形成的预制底板。</w:t>
      </w:r>
    </w:p>
    <w:p>
      <w:pPr>
        <w:widowControl w:val="0"/>
        <w:numPr>
          <w:ilvl w:val="2"/>
          <w:numId w:val="1"/>
        </w:numPr>
        <w:spacing w:after="0" w:line="360" w:lineRule="auto"/>
        <w:jc w:val="both"/>
        <w:outlineLvl w:val="2"/>
        <w:rPr>
          <w:rFonts w:ascii="Times New Roman" w:hAnsi="Times New Roman" w:eastAsia="宋体" w:cs="Times New Roman"/>
          <w:b/>
          <w:color w:val="auto"/>
          <w:sz w:val="24"/>
          <w:szCs w:val="24"/>
          <w:highlight w:val="none"/>
        </w:rPr>
      </w:pPr>
      <w:r>
        <w:rPr>
          <w:rFonts w:hint="eastAsia" w:ascii="Times New Roman" w:eastAsia="宋体" w:cs="Times New Roman"/>
          <w:b/>
          <w:color w:val="auto"/>
          <w:sz w:val="24"/>
          <w:szCs w:val="24"/>
          <w:highlight w:val="none"/>
        </w:rPr>
        <w:t xml:space="preserve"> 矩形钢管</w:t>
      </w:r>
      <w:r>
        <w:rPr>
          <w:rFonts w:ascii="Times New Roman" w:eastAsia="宋体" w:cs="Times New Roman"/>
          <w:b/>
          <w:color w:val="auto"/>
          <w:sz w:val="24"/>
          <w:szCs w:val="24"/>
          <w:highlight w:val="none"/>
        </w:rPr>
        <w:t>桁架</w:t>
      </w:r>
      <w:r>
        <w:rPr>
          <w:rFonts w:ascii="Times New Roman" w:hAnsi="Times New Roman" w:eastAsia="宋体" w:cs="Times New Roman"/>
          <w:b/>
          <w:color w:val="auto"/>
          <w:sz w:val="24"/>
          <w:szCs w:val="24"/>
          <w:highlight w:val="none"/>
        </w:rPr>
        <w:t>lattice girder with pipe</w:t>
      </w:r>
      <w:r>
        <w:rPr>
          <w:rFonts w:hint="eastAsia" w:ascii="Times New Roman" w:hAnsi="Times New Roman" w:eastAsia="宋体" w:cs="Times New Roman"/>
          <w:b/>
          <w:color w:val="auto"/>
          <w:sz w:val="24"/>
          <w:szCs w:val="24"/>
          <w:highlight w:val="none"/>
        </w:rPr>
        <w:t xml:space="preserve"> square steel</w:t>
      </w:r>
    </w:p>
    <w:p>
      <w:pPr>
        <w:spacing w:after="0" w:line="360" w:lineRule="auto"/>
        <w:ind w:firstLine="480" w:firstLineChars="200"/>
        <w:rPr>
          <w:rFonts w:ascii="Times New Roman" w:eastAsia="宋体" w:cs="Times New Roman"/>
          <w:color w:val="auto"/>
          <w:sz w:val="24"/>
          <w:szCs w:val="24"/>
          <w:highlight w:val="none"/>
        </w:rPr>
      </w:pPr>
      <w:r>
        <w:rPr>
          <w:rFonts w:ascii="Times New Roman" w:eastAsia="宋体" w:cs="Times New Roman"/>
          <w:color w:val="auto"/>
          <w:sz w:val="24"/>
          <w:szCs w:val="24"/>
          <w:highlight w:val="none"/>
        </w:rPr>
        <w:t>由一根</w:t>
      </w:r>
      <w:r>
        <w:rPr>
          <w:rFonts w:hint="eastAsia" w:ascii="Times New Roman" w:eastAsia="宋体" w:cs="Times New Roman"/>
          <w:color w:val="auto"/>
          <w:sz w:val="24"/>
          <w:szCs w:val="24"/>
          <w:highlight w:val="none"/>
        </w:rPr>
        <w:t>矩形钢管</w:t>
      </w:r>
      <w:r>
        <w:rPr>
          <w:rFonts w:ascii="Times New Roman" w:eastAsia="宋体" w:cs="Times New Roman"/>
          <w:color w:val="auto"/>
          <w:sz w:val="24"/>
          <w:szCs w:val="24"/>
          <w:highlight w:val="none"/>
        </w:rPr>
        <w:t>和</w:t>
      </w:r>
      <w:r>
        <w:rPr>
          <w:rFonts w:hint="eastAsia" w:ascii="Times New Roman" w:eastAsia="宋体" w:cs="Times New Roman"/>
          <w:color w:val="auto"/>
          <w:sz w:val="24"/>
          <w:szCs w:val="24"/>
          <w:highlight w:val="none"/>
        </w:rPr>
        <w:t>底部一排</w:t>
      </w:r>
      <w:r>
        <w:rPr>
          <w:rFonts w:ascii="Times New Roman" w:eastAsia="宋体" w:cs="Times New Roman"/>
          <w:color w:val="auto"/>
          <w:sz w:val="24"/>
          <w:szCs w:val="24"/>
          <w:highlight w:val="none"/>
        </w:rPr>
        <w:t>腹杆钢筋经</w:t>
      </w:r>
      <w:r>
        <w:rPr>
          <w:rFonts w:hint="eastAsia" w:ascii="Times New Roman" w:eastAsia="宋体" w:cs="Times New Roman"/>
          <w:color w:val="auto"/>
          <w:sz w:val="24"/>
          <w:szCs w:val="24"/>
          <w:highlight w:val="none"/>
        </w:rPr>
        <w:t>螺栓固定</w:t>
      </w:r>
      <w:r>
        <w:rPr>
          <w:rFonts w:ascii="Times New Roman" w:eastAsia="宋体" w:cs="Times New Roman"/>
          <w:color w:val="auto"/>
          <w:sz w:val="24"/>
          <w:szCs w:val="24"/>
          <w:highlight w:val="none"/>
        </w:rPr>
        <w:t>的</w:t>
      </w:r>
      <w:r>
        <w:rPr>
          <w:rFonts w:hint="eastAsia" w:ascii="Times New Roman" w:eastAsia="宋体" w:cs="Times New Roman"/>
          <w:color w:val="auto"/>
          <w:sz w:val="24"/>
          <w:szCs w:val="24"/>
          <w:highlight w:val="none"/>
        </w:rPr>
        <w:t>桁架</w:t>
      </w:r>
      <w:r>
        <w:rPr>
          <w:rFonts w:ascii="Times New Roman" w:eastAsia="宋体" w:cs="Times New Roman"/>
          <w:color w:val="auto"/>
          <w:sz w:val="24"/>
          <w:szCs w:val="24"/>
          <w:highlight w:val="none"/>
        </w:rPr>
        <w:t>。</w:t>
      </w:r>
    </w:p>
    <w:p>
      <w:pPr>
        <w:widowControl w:val="0"/>
        <w:numPr>
          <w:ilvl w:val="2"/>
          <w:numId w:val="1"/>
        </w:numPr>
        <w:spacing w:after="0" w:line="360" w:lineRule="auto"/>
        <w:jc w:val="both"/>
        <w:outlineLvl w:val="2"/>
        <w:rPr>
          <w:rFonts w:ascii="Times New Roman" w:hAnsi="Times New Roman" w:eastAsia="宋体" w:cs="Times New Roman"/>
          <w:b/>
          <w:color w:val="auto"/>
          <w:sz w:val="24"/>
          <w:szCs w:val="24"/>
          <w:highlight w:val="none"/>
        </w:rPr>
      </w:pPr>
      <w:r>
        <w:rPr>
          <w:rFonts w:hint="eastAsia" w:ascii="Times New Roman" w:eastAsia="宋体" w:cs="Times New Roman"/>
          <w:b/>
          <w:color w:val="auto"/>
          <w:sz w:val="24"/>
          <w:szCs w:val="24"/>
          <w:highlight w:val="none"/>
        </w:rPr>
        <w:t xml:space="preserve"> </w:t>
      </w:r>
      <w:r>
        <w:rPr>
          <w:rFonts w:ascii="Times New Roman" w:eastAsia="宋体" w:cs="Times New Roman"/>
          <w:b/>
          <w:color w:val="auto"/>
          <w:sz w:val="24"/>
          <w:szCs w:val="24"/>
          <w:highlight w:val="none"/>
        </w:rPr>
        <w:t>胡子筋</w:t>
      </w:r>
      <w:r>
        <w:rPr>
          <w:rFonts w:ascii="Times New Roman" w:hAnsi="Times New Roman" w:eastAsia="宋体" w:cs="Times New Roman"/>
          <w:b/>
          <w:color w:val="auto"/>
          <w:sz w:val="24"/>
          <w:szCs w:val="24"/>
          <w:highlight w:val="none"/>
        </w:rPr>
        <w:t xml:space="preserve"> beard-shape reinforcement</w:t>
      </w:r>
    </w:p>
    <w:p>
      <w:pPr>
        <w:spacing w:after="0"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支架预应力混凝土预制底板端部伸出的预应力钢筋。</w:t>
      </w:r>
    </w:p>
    <w:p>
      <w:pPr>
        <w:widowControl w:val="0"/>
        <w:numPr>
          <w:ilvl w:val="2"/>
          <w:numId w:val="1"/>
        </w:numPr>
        <w:spacing w:after="0" w:line="360" w:lineRule="auto"/>
        <w:jc w:val="both"/>
        <w:outlineLvl w:val="2"/>
        <w:rPr>
          <w:rFonts w:ascii="Times New Roman" w:hAnsi="Times New Roman" w:eastAsia="宋体" w:cs="Times New Roman"/>
          <w:b/>
          <w:color w:val="auto"/>
          <w:sz w:val="24"/>
          <w:szCs w:val="24"/>
          <w:highlight w:val="none"/>
        </w:rPr>
      </w:pPr>
      <w:r>
        <w:rPr>
          <w:rFonts w:hint="eastAsia" w:eastAsia="宋体"/>
          <w:b/>
          <w:color w:val="auto"/>
          <w:sz w:val="24"/>
          <w:szCs w:val="24"/>
          <w:highlight w:val="none"/>
        </w:rPr>
        <w:t xml:space="preserve"> 密拼式</w:t>
      </w:r>
      <w:r>
        <w:rPr>
          <w:rFonts w:eastAsia="宋体"/>
          <w:b/>
          <w:color w:val="auto"/>
          <w:sz w:val="24"/>
          <w:szCs w:val="24"/>
          <w:highlight w:val="none"/>
        </w:rPr>
        <w:t>接缝</w:t>
      </w:r>
      <w:r>
        <w:rPr>
          <w:rFonts w:ascii="Times New Roman" w:hAnsi="Times New Roman" w:eastAsia="宋体" w:cs="Times New Roman"/>
          <w:b/>
          <w:color w:val="auto"/>
          <w:sz w:val="24"/>
          <w:szCs w:val="24"/>
          <w:highlight w:val="none"/>
        </w:rPr>
        <w:t>tight  joint</w:t>
      </w:r>
    </w:p>
    <w:p>
      <w:pPr>
        <w:spacing w:after="0" w:line="360" w:lineRule="auto"/>
        <w:ind w:firstLine="480" w:firstLineChars="200"/>
        <w:rPr>
          <w:rFonts w:eastAsia="宋体"/>
          <w:color w:val="auto"/>
          <w:sz w:val="24"/>
          <w:szCs w:val="24"/>
          <w:highlight w:val="none"/>
        </w:rPr>
      </w:pPr>
      <w:r>
        <w:rPr>
          <w:rFonts w:hint="eastAsia" w:eastAsia="宋体"/>
          <w:color w:val="auto"/>
          <w:sz w:val="24"/>
          <w:szCs w:val="24"/>
          <w:highlight w:val="none"/>
        </w:rPr>
        <w:t>支架预应力混凝土叠合板</w:t>
      </w:r>
      <w:r>
        <w:rPr>
          <w:rFonts w:eastAsia="宋体"/>
          <w:color w:val="auto"/>
          <w:sz w:val="24"/>
          <w:szCs w:val="24"/>
          <w:highlight w:val="none"/>
        </w:rPr>
        <w:t>中，相邻预制板之间</w:t>
      </w:r>
      <w:r>
        <w:rPr>
          <w:rFonts w:hint="eastAsia" w:eastAsia="宋体"/>
          <w:color w:val="auto"/>
          <w:sz w:val="24"/>
          <w:szCs w:val="24"/>
          <w:highlight w:val="none"/>
        </w:rPr>
        <w:t>不留间隙、采用密拼方式形成的接缝，称为</w:t>
      </w:r>
      <w:r>
        <w:rPr>
          <w:rFonts w:eastAsia="宋体"/>
          <w:color w:val="auto"/>
          <w:sz w:val="24"/>
          <w:szCs w:val="24"/>
          <w:highlight w:val="none"/>
        </w:rPr>
        <w:t>密拼式</w:t>
      </w:r>
      <w:r>
        <w:rPr>
          <w:rFonts w:hint="eastAsia" w:eastAsia="宋体"/>
          <w:color w:val="auto"/>
          <w:sz w:val="24"/>
          <w:szCs w:val="24"/>
          <w:highlight w:val="none"/>
        </w:rPr>
        <w:t>接缝。</w:t>
      </w:r>
    </w:p>
    <w:p>
      <w:pPr>
        <w:adjustRightInd/>
        <w:snapToGrid/>
        <w:spacing w:after="0"/>
        <w:rPr>
          <w:rFonts w:ascii="Times New Roman" w:hAnsi="Times New Roman" w:eastAsia="宋体" w:cs="Times New Roman"/>
          <w:b/>
          <w:color w:val="auto"/>
          <w:kern w:val="2"/>
          <w:sz w:val="24"/>
          <w:szCs w:val="24"/>
          <w:highlight w:val="none"/>
        </w:rPr>
      </w:pPr>
      <w:r>
        <w:rPr>
          <w:color w:val="auto"/>
          <w:sz w:val="24"/>
          <w:szCs w:val="24"/>
          <w:highlight w:val="none"/>
        </w:rPr>
        <w:br w:type="page"/>
      </w:r>
    </w:p>
    <w:p>
      <w:pPr>
        <w:pStyle w:val="25"/>
        <w:spacing w:beforeLines="0" w:after="312" w:line="360" w:lineRule="auto"/>
        <w:rPr>
          <w:rFonts w:hAnsi="宋体"/>
          <w:color w:val="auto"/>
          <w:highlight w:val="none"/>
        </w:rPr>
      </w:pPr>
      <w:bookmarkStart w:id="3" w:name="_Toc111709508"/>
      <w:r>
        <w:rPr>
          <w:rFonts w:hAnsi="宋体"/>
          <w:color w:val="auto"/>
          <w:highlight w:val="none"/>
        </w:rPr>
        <w:t>2.2符号</w:t>
      </w:r>
      <w:bookmarkEnd w:id="3"/>
    </w:p>
    <w:p>
      <w:pPr>
        <w:widowControl w:val="0"/>
        <w:numPr>
          <w:ilvl w:val="2"/>
          <w:numId w:val="2"/>
        </w:numPr>
        <w:spacing w:after="0" w:line="360" w:lineRule="auto"/>
        <w:jc w:val="both"/>
        <w:outlineLvl w:val="2"/>
        <w:rPr>
          <w:rFonts w:ascii="Times New Roman" w:hAnsi="Times New Roman" w:eastAsia="宋体" w:cs="Times New Roman"/>
          <w:b/>
          <w:color w:val="auto"/>
          <w:sz w:val="24"/>
          <w:szCs w:val="24"/>
          <w:highlight w:val="none"/>
        </w:rPr>
      </w:pPr>
      <w:r>
        <w:rPr>
          <w:rFonts w:ascii="Times New Roman" w:eastAsia="宋体" w:cs="Times New Roman"/>
          <w:b/>
          <w:color w:val="auto"/>
          <w:sz w:val="24"/>
          <w:szCs w:val="24"/>
          <w:highlight w:val="none"/>
        </w:rPr>
        <w:t>材料性能</w:t>
      </w:r>
    </w:p>
    <w:tbl>
      <w:tblPr>
        <w:tblStyle w:val="16"/>
        <w:tblW w:w="8364" w:type="dxa"/>
        <w:tblInd w:w="0" w:type="dxa"/>
        <w:tblLayout w:type="fixed"/>
        <w:tblCellMar>
          <w:top w:w="0" w:type="dxa"/>
          <w:left w:w="0" w:type="dxa"/>
          <w:bottom w:w="0" w:type="dxa"/>
          <w:right w:w="0" w:type="dxa"/>
        </w:tblCellMar>
      </w:tblPr>
      <w:tblGrid>
        <w:gridCol w:w="1701"/>
        <w:gridCol w:w="6663"/>
      </w:tblGrid>
      <w:tr>
        <w:tblPrEx>
          <w:tblCellMar>
            <w:top w:w="0" w:type="dxa"/>
            <w:left w:w="0" w:type="dxa"/>
            <w:bottom w:w="0" w:type="dxa"/>
            <w:right w:w="0" w:type="dxa"/>
          </w:tblCellMar>
        </w:tblPrEx>
        <w:tc>
          <w:tcPr>
            <w:tcW w:w="1701" w:type="dxa"/>
            <w:vAlign w:val="center"/>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f</w:t>
            </w:r>
            <w:r>
              <w:rPr>
                <w:rFonts w:ascii="Times New Roman" w:hAnsi="Times New Roman" w:cs="Times New Roman" w:eastAsiaTheme="minorEastAsia"/>
                <w:color w:val="auto"/>
                <w:kern w:val="2"/>
                <w:sz w:val="24"/>
                <w:szCs w:val="24"/>
                <w:highlight w:val="none"/>
                <w:vertAlign w:val="subscript"/>
              </w:rPr>
              <w:t>tk</w:t>
            </w:r>
            <w:r>
              <w:rPr>
                <w:rFonts w:hint="eastAsia" w:ascii="Times New Roman" w:hAnsi="Times New Roman" w:cs="Times New Roman" w:eastAsiaTheme="minorEastAsia"/>
                <w:i/>
                <w:color w:val="auto"/>
                <w:kern w:val="2"/>
                <w:sz w:val="24"/>
                <w:szCs w:val="24"/>
                <w:highlight w:val="none"/>
              </w:rPr>
              <w:t xml:space="preserve"> </w:t>
            </w:r>
            <w:r>
              <w:rPr>
                <w:rFonts w:ascii="Times New Roman" w:hAnsi="Times New Roman" w:cs="Times New Roman" w:eastAsiaTheme="minorEastAsia"/>
                <w:i/>
                <w:color w:val="auto"/>
                <w:kern w:val="2"/>
                <w:sz w:val="24"/>
                <w:szCs w:val="24"/>
                <w:highlight w:val="none"/>
              </w:rPr>
              <w:t xml:space="preserve"> </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——混凝土</w:t>
            </w:r>
            <w:r>
              <w:rPr>
                <w:rFonts w:hint="eastAsia" w:ascii="Times New Roman" w:hAnsi="Times New Roman" w:cs="Times New Roman" w:eastAsiaTheme="minorEastAsia"/>
                <w:color w:val="auto"/>
                <w:sz w:val="24"/>
                <w:szCs w:val="24"/>
                <w:highlight w:val="none"/>
              </w:rPr>
              <w:t>轴心</w:t>
            </w:r>
            <w:r>
              <w:rPr>
                <w:rFonts w:ascii="Times New Roman" w:hAnsi="Times New Roman" w:cs="Times New Roman" w:eastAsiaTheme="minorEastAsia"/>
                <w:color w:val="auto"/>
                <w:sz w:val="24"/>
                <w:szCs w:val="24"/>
                <w:highlight w:val="none"/>
              </w:rPr>
              <w:t>抗拉强度标准值；</w:t>
            </w:r>
          </w:p>
        </w:tc>
      </w:tr>
      <w:tr>
        <w:tblPrEx>
          <w:tblCellMar>
            <w:top w:w="0" w:type="dxa"/>
            <w:left w:w="0" w:type="dxa"/>
            <w:bottom w:w="0" w:type="dxa"/>
            <w:right w:w="0" w:type="dxa"/>
          </w:tblCellMar>
        </w:tblPrEx>
        <w:tc>
          <w:tcPr>
            <w:tcW w:w="1701" w:type="dxa"/>
            <w:vAlign w:val="center"/>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f'</w:t>
            </w:r>
            <w:r>
              <w:rPr>
                <w:rFonts w:ascii="Times New Roman" w:hAnsi="Times New Roman" w:cs="Times New Roman" w:eastAsiaTheme="minorEastAsia"/>
                <w:color w:val="auto"/>
                <w:kern w:val="2"/>
                <w:sz w:val="24"/>
                <w:szCs w:val="24"/>
                <w:highlight w:val="none"/>
                <w:vertAlign w:val="subscript"/>
              </w:rPr>
              <w:t>ck</w:t>
            </w:r>
            <w:r>
              <w:rPr>
                <w:rFonts w:ascii="Times New Roman" w:hAnsi="Times New Roman" w:cs="Times New Roman" w:eastAsiaTheme="minorEastAsia"/>
                <w:i/>
                <w:color w:val="auto"/>
                <w:kern w:val="2"/>
                <w:sz w:val="24"/>
                <w:szCs w:val="24"/>
                <w:highlight w:val="none"/>
              </w:rPr>
              <w:t xml:space="preserve"> </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——与各施工阶段的混凝土立方体抗压强度相应的</w:t>
            </w:r>
            <w:r>
              <w:rPr>
                <w:rFonts w:hint="eastAsia" w:ascii="Times New Roman" w:hAnsi="Times New Roman" w:cs="Times New Roman" w:eastAsiaTheme="minorEastAsia"/>
                <w:color w:val="auto"/>
                <w:sz w:val="24"/>
                <w:szCs w:val="24"/>
                <w:highlight w:val="none"/>
              </w:rPr>
              <w:t>轴心</w:t>
            </w:r>
            <w:r>
              <w:rPr>
                <w:rFonts w:ascii="Times New Roman" w:hAnsi="Times New Roman" w:cs="Times New Roman" w:eastAsiaTheme="minorEastAsia"/>
                <w:color w:val="auto"/>
                <w:sz w:val="24"/>
                <w:szCs w:val="24"/>
                <w:highlight w:val="none"/>
              </w:rPr>
              <w:t>抗</w:t>
            </w:r>
            <w:r>
              <w:rPr>
                <w:rFonts w:hint="eastAsia" w:ascii="Times New Roman" w:hAnsi="Times New Roman" w:cs="Times New Roman" w:eastAsiaTheme="minorEastAsia"/>
                <w:color w:val="auto"/>
                <w:sz w:val="24"/>
                <w:szCs w:val="24"/>
                <w:highlight w:val="none"/>
              </w:rPr>
              <w:t>压</w:t>
            </w:r>
            <w:r>
              <w:rPr>
                <w:rFonts w:ascii="Times New Roman" w:hAnsi="Times New Roman" w:cs="Times New Roman" w:eastAsiaTheme="minorEastAsia"/>
                <w:color w:val="auto"/>
                <w:sz w:val="24"/>
                <w:szCs w:val="24"/>
                <w:highlight w:val="none"/>
              </w:rPr>
              <w:t>强度标准值；</w:t>
            </w:r>
          </w:p>
        </w:tc>
      </w:tr>
      <w:tr>
        <w:tblPrEx>
          <w:tblCellMar>
            <w:top w:w="0" w:type="dxa"/>
            <w:left w:w="0" w:type="dxa"/>
            <w:bottom w:w="0" w:type="dxa"/>
            <w:right w:w="0" w:type="dxa"/>
          </w:tblCellMar>
        </w:tblPrEx>
        <w:tc>
          <w:tcPr>
            <w:tcW w:w="1701" w:type="dxa"/>
            <w:vAlign w:val="center"/>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f'</w:t>
            </w:r>
            <w:r>
              <w:rPr>
                <w:rFonts w:ascii="Times New Roman" w:hAnsi="Times New Roman" w:cs="Times New Roman" w:eastAsiaTheme="minorEastAsia"/>
                <w:color w:val="auto"/>
                <w:kern w:val="2"/>
                <w:sz w:val="24"/>
                <w:szCs w:val="24"/>
                <w:highlight w:val="none"/>
                <w:vertAlign w:val="subscript"/>
              </w:rPr>
              <w:t>tk</w:t>
            </w:r>
            <w:r>
              <w:rPr>
                <w:rFonts w:hint="eastAsia" w:ascii="Times New Roman" w:hAnsi="Times New Roman" w:cs="Times New Roman" w:eastAsiaTheme="minorEastAsia"/>
                <w:i/>
                <w:color w:val="auto"/>
                <w:kern w:val="2"/>
                <w:sz w:val="24"/>
                <w:szCs w:val="24"/>
                <w:highlight w:val="none"/>
              </w:rPr>
              <w:t xml:space="preserve"> </w:t>
            </w:r>
            <w:r>
              <w:rPr>
                <w:rFonts w:ascii="Times New Roman" w:hAnsi="Times New Roman" w:cs="Times New Roman" w:eastAsiaTheme="minorEastAsia"/>
                <w:i/>
                <w:color w:val="auto"/>
                <w:kern w:val="2"/>
                <w:sz w:val="24"/>
                <w:szCs w:val="24"/>
                <w:highlight w:val="none"/>
              </w:rPr>
              <w:t xml:space="preserve"> </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——与各施工阶段的混凝土立方体抗压强度相应的</w:t>
            </w:r>
            <w:r>
              <w:rPr>
                <w:rFonts w:hint="eastAsia" w:ascii="Times New Roman" w:hAnsi="Times New Roman" w:cs="Times New Roman" w:eastAsiaTheme="minorEastAsia"/>
                <w:color w:val="auto"/>
                <w:sz w:val="24"/>
                <w:szCs w:val="24"/>
                <w:highlight w:val="none"/>
              </w:rPr>
              <w:t>轴心</w:t>
            </w:r>
            <w:r>
              <w:rPr>
                <w:rFonts w:ascii="Times New Roman" w:hAnsi="Times New Roman" w:cs="Times New Roman" w:eastAsiaTheme="minorEastAsia"/>
                <w:color w:val="auto"/>
                <w:sz w:val="24"/>
                <w:szCs w:val="24"/>
                <w:highlight w:val="none"/>
              </w:rPr>
              <w:t>抗拉强度标准值；</w:t>
            </w:r>
          </w:p>
        </w:tc>
      </w:tr>
      <w:tr>
        <w:tblPrEx>
          <w:tblCellMar>
            <w:top w:w="0" w:type="dxa"/>
            <w:left w:w="0" w:type="dxa"/>
            <w:bottom w:w="0" w:type="dxa"/>
            <w:right w:w="0" w:type="dxa"/>
          </w:tblCellMar>
        </w:tblPrEx>
        <w:tc>
          <w:tcPr>
            <w:tcW w:w="1701" w:type="dxa"/>
            <w:vAlign w:val="center"/>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f</w:t>
            </w:r>
            <w:r>
              <w:rPr>
                <w:rFonts w:hint="eastAsia" w:ascii="Times New Roman" w:hAnsi="Times New Roman" w:cs="Times New Roman" w:eastAsiaTheme="minorEastAsia"/>
                <w:color w:val="auto"/>
                <w:kern w:val="2"/>
                <w:sz w:val="24"/>
                <w:szCs w:val="24"/>
                <w:highlight w:val="none"/>
                <w:vertAlign w:val="subscript"/>
              </w:rPr>
              <w:t>c</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混凝土轴心抗压</w:t>
            </w:r>
            <w:r>
              <w:rPr>
                <w:rFonts w:ascii="Times New Roman" w:hAnsi="Times New Roman" w:cs="Times New Roman" w:eastAsiaTheme="minorEastAsia"/>
                <w:color w:val="auto"/>
                <w:sz w:val="24"/>
                <w:szCs w:val="24"/>
                <w:highlight w:val="none"/>
              </w:rPr>
              <w:t>强度</w:t>
            </w:r>
            <w:r>
              <w:rPr>
                <w:rFonts w:hint="eastAsia" w:ascii="Times New Roman" w:hAnsi="Times New Roman" w:cs="Times New Roman" w:eastAsiaTheme="minorEastAsia"/>
                <w:color w:val="auto"/>
                <w:sz w:val="24"/>
                <w:szCs w:val="24"/>
                <w:highlight w:val="none"/>
              </w:rPr>
              <w:t>设计值</w:t>
            </w:r>
            <w:r>
              <w:rPr>
                <w:rFonts w:ascii="Times New Roman" w:hAnsi="Times New Roman" w:cs="Times New Roman" w:eastAsiaTheme="minorEastAsia"/>
                <w:color w:val="auto"/>
                <w:sz w:val="24"/>
                <w:szCs w:val="24"/>
                <w:highlight w:val="none"/>
              </w:rPr>
              <w:t>；</w:t>
            </w:r>
          </w:p>
        </w:tc>
      </w:tr>
      <w:tr>
        <w:tblPrEx>
          <w:tblCellMar>
            <w:top w:w="0" w:type="dxa"/>
            <w:left w:w="0" w:type="dxa"/>
            <w:bottom w:w="0" w:type="dxa"/>
            <w:right w:w="0" w:type="dxa"/>
          </w:tblCellMar>
        </w:tblPrEx>
        <w:tc>
          <w:tcPr>
            <w:tcW w:w="1701" w:type="dxa"/>
            <w:vAlign w:val="center"/>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ab/>
            </w:r>
            <w:r>
              <w:rPr>
                <w:rFonts w:ascii="Times New Roman" w:hAnsi="Times New Roman" w:cs="Times New Roman" w:eastAsiaTheme="minorEastAsia"/>
                <w:i/>
                <w:color w:val="auto"/>
                <w:kern w:val="2"/>
                <w:sz w:val="24"/>
                <w:szCs w:val="24"/>
                <w:highlight w:val="none"/>
              </w:rPr>
              <w:t>f</w:t>
            </w:r>
            <w:r>
              <w:rPr>
                <w:rFonts w:hint="eastAsia" w:ascii="Times New Roman" w:hAnsi="Times New Roman" w:cs="Times New Roman" w:eastAsiaTheme="minorEastAsia"/>
                <w:color w:val="auto"/>
                <w:kern w:val="2"/>
                <w:sz w:val="24"/>
                <w:szCs w:val="24"/>
                <w:highlight w:val="none"/>
                <w:vertAlign w:val="subscript"/>
              </w:rPr>
              <w:t>s</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矩形钢管强度设计值</w:t>
            </w:r>
            <w:r>
              <w:rPr>
                <w:rFonts w:ascii="Times New Roman" w:hAnsi="Times New Roman" w:cs="Times New Roman" w:eastAsiaTheme="minorEastAsia"/>
                <w:color w:val="auto"/>
                <w:sz w:val="24"/>
                <w:szCs w:val="24"/>
                <w:highlight w:val="none"/>
              </w:rPr>
              <w:t>；</w:t>
            </w:r>
          </w:p>
        </w:tc>
      </w:tr>
      <w:tr>
        <w:tblPrEx>
          <w:tblCellMar>
            <w:top w:w="0" w:type="dxa"/>
            <w:left w:w="0" w:type="dxa"/>
            <w:bottom w:w="0" w:type="dxa"/>
            <w:right w:w="0" w:type="dxa"/>
          </w:tblCellMar>
        </w:tblPrEx>
        <w:tc>
          <w:tcPr>
            <w:tcW w:w="1701" w:type="dxa"/>
            <w:vAlign w:val="center"/>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f</w:t>
            </w:r>
            <w:r>
              <w:rPr>
                <w:rFonts w:ascii="Times New Roman" w:hAnsi="Times New Roman" w:cs="Times New Roman" w:eastAsiaTheme="minorEastAsia"/>
                <w:color w:val="auto"/>
                <w:kern w:val="2"/>
                <w:sz w:val="24"/>
                <w:szCs w:val="24"/>
                <w:highlight w:val="none"/>
                <w:vertAlign w:val="subscript"/>
              </w:rPr>
              <w:t>ykf</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——腹杆钢筋的屈服强度标准值；</w:t>
            </w:r>
          </w:p>
        </w:tc>
      </w:tr>
      <w:tr>
        <w:tblPrEx>
          <w:tblCellMar>
            <w:top w:w="0" w:type="dxa"/>
            <w:left w:w="0" w:type="dxa"/>
            <w:bottom w:w="0" w:type="dxa"/>
            <w:right w:w="0" w:type="dxa"/>
          </w:tblCellMar>
        </w:tblPrEx>
        <w:tc>
          <w:tcPr>
            <w:tcW w:w="1701" w:type="dxa"/>
            <w:vAlign w:val="center"/>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f</w:t>
            </w:r>
            <w:r>
              <w:rPr>
                <w:rFonts w:hint="eastAsia" w:ascii="Times New Roman" w:hAnsi="Times New Roman" w:cs="Times New Roman" w:eastAsiaTheme="minorEastAsia"/>
                <w:color w:val="auto"/>
                <w:kern w:val="2"/>
                <w:sz w:val="24"/>
                <w:szCs w:val="24"/>
                <w:highlight w:val="none"/>
                <w:vertAlign w:val="subscript"/>
              </w:rPr>
              <w:t>pt</w:t>
            </w:r>
            <w:r>
              <w:rPr>
                <w:rFonts w:ascii="Times New Roman" w:hAnsi="Times New Roman" w:cs="Times New Roman" w:eastAsiaTheme="minorEastAsia"/>
                <w:color w:val="auto"/>
                <w:kern w:val="2"/>
                <w:sz w:val="24"/>
                <w:szCs w:val="24"/>
                <w:highlight w:val="none"/>
                <w:vertAlign w:val="subscript"/>
              </w:rPr>
              <w:t>k</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预应力</w:t>
            </w:r>
            <w:r>
              <w:rPr>
                <w:rFonts w:ascii="Times New Roman" w:hAnsi="Times New Roman" w:cs="Times New Roman" w:eastAsiaTheme="minorEastAsia"/>
                <w:color w:val="auto"/>
                <w:sz w:val="24"/>
                <w:szCs w:val="24"/>
                <w:highlight w:val="none"/>
              </w:rPr>
              <w:t>钢筋的</w:t>
            </w:r>
            <w:r>
              <w:rPr>
                <w:rFonts w:hint="eastAsia" w:ascii="Times New Roman" w:hAnsi="Times New Roman" w:cs="Times New Roman" w:eastAsiaTheme="minorEastAsia"/>
                <w:color w:val="auto"/>
                <w:sz w:val="24"/>
                <w:szCs w:val="24"/>
                <w:highlight w:val="none"/>
              </w:rPr>
              <w:t>极限抗拉</w:t>
            </w:r>
            <w:r>
              <w:rPr>
                <w:rFonts w:ascii="Times New Roman" w:hAnsi="Times New Roman" w:cs="Times New Roman" w:eastAsiaTheme="minorEastAsia"/>
                <w:color w:val="auto"/>
                <w:sz w:val="24"/>
                <w:szCs w:val="24"/>
                <w:highlight w:val="none"/>
              </w:rPr>
              <w:t>强度标准值；</w:t>
            </w:r>
          </w:p>
        </w:tc>
      </w:tr>
    </w:tbl>
    <w:p>
      <w:pPr>
        <w:rPr>
          <w:rFonts w:ascii="Times New Roman" w:hAnsi="Times New Roman" w:eastAsia="宋体" w:cs="Times New Roman"/>
          <w:color w:val="auto"/>
          <w:highlight w:val="none"/>
        </w:rPr>
      </w:pPr>
    </w:p>
    <w:p>
      <w:pPr>
        <w:widowControl w:val="0"/>
        <w:numPr>
          <w:ilvl w:val="2"/>
          <w:numId w:val="2"/>
        </w:numPr>
        <w:spacing w:after="0" w:line="360" w:lineRule="auto"/>
        <w:jc w:val="both"/>
        <w:outlineLvl w:val="2"/>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几何参数</w:t>
      </w:r>
    </w:p>
    <w:tbl>
      <w:tblPr>
        <w:tblStyle w:val="16"/>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1"/>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B</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w:t>
            </w:r>
            <w:r>
              <w:rPr>
                <w:rFonts w:hint="eastAsia" w:ascii="Times New Roman" w:hAnsi="Times New Roman" w:cs="Times New Roman" w:eastAsiaTheme="minorEastAsia"/>
                <w:color w:val="auto"/>
                <w:sz w:val="24"/>
                <w:szCs w:val="24"/>
                <w:highlight w:val="none"/>
              </w:rPr>
              <w:t>宽度</w:t>
            </w:r>
            <w:r>
              <w:rPr>
                <w:rFonts w:ascii="Times New Roman" w:hAnsi="Times New Roman" w:cs="Times New Roman" w:eastAsia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H</w:t>
            </w:r>
          </w:p>
        </w:tc>
        <w:tc>
          <w:tcPr>
            <w:tcW w:w="6663" w:type="dxa"/>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w:t>
            </w:r>
            <w:r>
              <w:rPr>
                <w:rFonts w:hint="eastAsia" w:ascii="Times New Roman" w:hAnsi="Times New Roman" w:cs="Times New Roman" w:eastAsiaTheme="minorEastAsia"/>
                <w:color w:val="auto"/>
                <w:sz w:val="24"/>
                <w:szCs w:val="24"/>
                <w:highlight w:val="none"/>
              </w:rPr>
              <w:t>高度</w:t>
            </w:r>
            <w:r>
              <w:rPr>
                <w:rFonts w:ascii="Times New Roman" w:hAnsi="Times New Roman" w:cs="Times New Roman" w:eastAsia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vAlign w:val="center"/>
          </w:tcPr>
          <w:p>
            <w:pPr>
              <w:widowControl w:val="0"/>
              <w:tabs>
                <w:tab w:val="left" w:pos="1488"/>
              </w:tabs>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t</w:t>
            </w:r>
          </w:p>
        </w:tc>
        <w:tc>
          <w:tcPr>
            <w:tcW w:w="6663" w:type="dxa"/>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矩形钢管厚度</w:t>
            </w:r>
            <w:r>
              <w:rPr>
                <w:rFonts w:ascii="Times New Roman" w:hAnsi="Times New Roman" w:cs="Times New Roman" w:eastAsia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P</w:t>
            </w:r>
            <w:r>
              <w:rPr>
                <w:rFonts w:ascii="Times New Roman" w:hAnsi="Times New Roman" w:cs="Times New Roman" w:eastAsiaTheme="minorEastAsia"/>
                <w:color w:val="auto"/>
                <w:kern w:val="2"/>
                <w:sz w:val="24"/>
                <w:szCs w:val="24"/>
                <w:highlight w:val="none"/>
                <w:vertAlign w:val="subscript"/>
              </w:rPr>
              <w:t>s</w:t>
            </w:r>
          </w:p>
        </w:tc>
        <w:tc>
          <w:tcPr>
            <w:tcW w:w="6663" w:type="dxa"/>
            <w:vAlign w:val="center"/>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——腹杆钢筋</w:t>
            </w:r>
            <w:r>
              <w:rPr>
                <w:rFonts w:hint="eastAsia" w:ascii="Times New Roman" w:hAnsi="Times New Roman" w:cs="Times New Roman" w:eastAsiaTheme="minorEastAsia"/>
                <w:color w:val="auto"/>
                <w:sz w:val="24"/>
                <w:szCs w:val="24"/>
                <w:highlight w:val="none"/>
              </w:rPr>
              <w:t>弯折点之间的</w:t>
            </w:r>
            <w:r>
              <w:rPr>
                <w:rFonts w:ascii="Times New Roman" w:hAnsi="Times New Roman" w:cs="Times New Roman" w:eastAsiaTheme="minorEastAsia"/>
                <w:color w:val="auto"/>
                <w:sz w:val="24"/>
                <w:szCs w:val="24"/>
                <w:highlight w:val="none"/>
              </w:rPr>
              <w:t>中心间距；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l</w:t>
            </w:r>
            <w:r>
              <w:rPr>
                <w:rFonts w:ascii="Times New Roman" w:hAnsi="Times New Roman" w:cs="Times New Roman" w:eastAsiaTheme="minorEastAsia"/>
                <w:color w:val="auto"/>
                <w:kern w:val="2"/>
                <w:sz w:val="24"/>
                <w:szCs w:val="24"/>
                <w:highlight w:val="none"/>
                <w:vertAlign w:val="subscript"/>
              </w:rPr>
              <w:t>a</w:t>
            </w:r>
          </w:p>
        </w:tc>
        <w:tc>
          <w:tcPr>
            <w:tcW w:w="6663" w:type="dxa"/>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受拉</w:t>
            </w:r>
            <w:r>
              <w:rPr>
                <w:rFonts w:ascii="Times New Roman" w:hAnsi="Times New Roman" w:cs="Times New Roman" w:eastAsiaTheme="minorEastAsia"/>
                <w:color w:val="auto"/>
                <w:sz w:val="24"/>
                <w:szCs w:val="24"/>
                <w:highlight w:val="none"/>
              </w:rPr>
              <w:t>钢筋</w:t>
            </w:r>
            <w:r>
              <w:rPr>
                <w:rFonts w:hint="eastAsia" w:ascii="Times New Roman" w:hAnsi="Times New Roman" w:cs="Times New Roman" w:eastAsiaTheme="minorEastAsia"/>
                <w:color w:val="auto"/>
                <w:sz w:val="24"/>
                <w:szCs w:val="24"/>
                <w:highlight w:val="none"/>
              </w:rPr>
              <w:t>的</w:t>
            </w:r>
            <w:r>
              <w:rPr>
                <w:rFonts w:ascii="Times New Roman" w:hAnsi="Times New Roman" w:cs="Times New Roman" w:eastAsiaTheme="minorEastAsia"/>
                <w:color w:val="auto"/>
                <w:sz w:val="24"/>
                <w:szCs w:val="24"/>
                <w:highlight w:val="none"/>
              </w:rPr>
              <w:t>锚固长度；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l</w:t>
            </w:r>
            <w:r>
              <w:rPr>
                <w:rFonts w:ascii="Times New Roman" w:hAnsi="Times New Roman" w:cs="Times New Roman" w:eastAsiaTheme="minorEastAsia"/>
                <w:i/>
                <w:color w:val="auto"/>
                <w:kern w:val="2"/>
                <w:sz w:val="24"/>
                <w:szCs w:val="24"/>
                <w:highlight w:val="none"/>
                <w:vertAlign w:val="subscript"/>
              </w:rPr>
              <w:t>l</w:t>
            </w:r>
          </w:p>
        </w:tc>
        <w:tc>
          <w:tcPr>
            <w:tcW w:w="6663" w:type="dxa"/>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受拉</w:t>
            </w:r>
            <w:r>
              <w:rPr>
                <w:rFonts w:ascii="Times New Roman" w:hAnsi="Times New Roman" w:cs="Times New Roman" w:eastAsiaTheme="minorEastAsia"/>
                <w:color w:val="auto"/>
                <w:sz w:val="24"/>
                <w:szCs w:val="24"/>
                <w:highlight w:val="none"/>
              </w:rPr>
              <w:t>钢筋</w:t>
            </w:r>
            <w:r>
              <w:rPr>
                <w:rFonts w:hint="eastAsia" w:ascii="Times New Roman" w:hAnsi="Times New Roman" w:cs="Times New Roman" w:eastAsiaTheme="minorEastAsia"/>
                <w:color w:val="auto"/>
                <w:sz w:val="24"/>
                <w:szCs w:val="24"/>
                <w:highlight w:val="none"/>
              </w:rPr>
              <w:t>的</w:t>
            </w:r>
            <w:r>
              <w:rPr>
                <w:rFonts w:ascii="Times New Roman" w:hAnsi="Times New Roman" w:cs="Times New Roman" w:eastAsiaTheme="minorEastAsia"/>
                <w:color w:val="auto"/>
                <w:sz w:val="24"/>
                <w:szCs w:val="24"/>
                <w:highlight w:val="none"/>
              </w:rPr>
              <w:t>搭接长度；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l</w:t>
            </w:r>
            <w:r>
              <w:rPr>
                <w:rFonts w:hint="eastAsia" w:ascii="Times New Roman" w:hAnsi="Times New Roman" w:cs="Times New Roman" w:eastAsiaTheme="minorEastAsia"/>
                <w:iCs/>
                <w:color w:val="auto"/>
                <w:kern w:val="2"/>
                <w:sz w:val="24"/>
                <w:szCs w:val="24"/>
                <w:highlight w:val="none"/>
                <w:vertAlign w:val="subscript"/>
              </w:rPr>
              <w:t>f</w:t>
            </w:r>
            <w:r>
              <w:rPr>
                <w:rFonts w:ascii="Times New Roman" w:hAnsi="Times New Roman" w:cs="Times New Roman" w:eastAsiaTheme="minorEastAsia"/>
                <w:i/>
                <w:color w:val="auto"/>
                <w:kern w:val="2"/>
                <w:sz w:val="24"/>
                <w:szCs w:val="24"/>
                <w:highlight w:val="none"/>
              </w:rPr>
              <w:t xml:space="preserve">   </w:t>
            </w:r>
          </w:p>
        </w:tc>
        <w:tc>
          <w:tcPr>
            <w:tcW w:w="6663" w:type="dxa"/>
          </w:tcPr>
          <w:p>
            <w:pPr>
              <w:widowControl w:val="0"/>
              <w:snapToGrid/>
              <w:spacing w:after="0" w:line="400" w:lineRule="exact"/>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腹杆</w:t>
            </w:r>
            <w:r>
              <w:rPr>
                <w:rFonts w:ascii="Times New Roman" w:hAnsi="Times New Roman" w:cs="Times New Roman" w:eastAsiaTheme="minorEastAsia"/>
                <w:color w:val="auto"/>
                <w:sz w:val="24"/>
                <w:szCs w:val="24"/>
                <w:highlight w:val="none"/>
              </w:rPr>
              <w:t>钢筋</w:t>
            </w:r>
            <w:r>
              <w:rPr>
                <w:rFonts w:hint="eastAsia" w:ascii="Times New Roman" w:hAnsi="Times New Roman" w:cs="Times New Roman" w:eastAsiaTheme="minorEastAsia"/>
                <w:color w:val="auto"/>
                <w:sz w:val="24"/>
                <w:szCs w:val="24"/>
                <w:highlight w:val="none"/>
              </w:rPr>
              <w:t>的长度</w:t>
            </w:r>
            <w:r>
              <w:rPr>
                <w:rFonts w:ascii="Times New Roman" w:hAnsi="Times New Roman" w:cs="Times New Roman" w:eastAsia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hint="eastAsia" w:ascii="Times New Roman" w:hAnsi="Times New Roman" w:cs="Times New Roman" w:eastAsiaTheme="minorEastAsia"/>
                <w:i/>
                <w:color w:val="auto"/>
                <w:kern w:val="2"/>
                <w:sz w:val="24"/>
                <w:szCs w:val="24"/>
                <w:highlight w:val="none"/>
              </w:rPr>
              <w:t>b</w:t>
            </w:r>
          </w:p>
        </w:tc>
        <w:tc>
          <w:tcPr>
            <w:tcW w:w="6663" w:type="dxa"/>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矩形钢管之间的中心间距</w:t>
            </w:r>
            <w:r>
              <w:rPr>
                <w:rFonts w:ascii="Times New Roman" w:hAnsi="Times New Roman" w:cs="Times New Roman" w:eastAsia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α</w:t>
            </w:r>
          </w:p>
        </w:tc>
        <w:tc>
          <w:tcPr>
            <w:tcW w:w="6663" w:type="dxa"/>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——腹杆钢筋垂直桁架方向的倾角。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01" w:type="dxa"/>
          </w:tcPr>
          <w:p>
            <w:pPr>
              <w:widowControl w:val="0"/>
              <w:snapToGrid/>
              <w:spacing w:after="0" w:line="400" w:lineRule="exact"/>
              <w:jc w:val="right"/>
              <w:rPr>
                <w:rFonts w:ascii="Times New Roman" w:hAnsi="Times New Roman" w:cs="Times New Roman" w:eastAsiaTheme="minorEastAsia"/>
                <w:i/>
                <w:color w:val="auto"/>
                <w:kern w:val="2"/>
                <w:sz w:val="24"/>
                <w:szCs w:val="24"/>
                <w:highlight w:val="none"/>
              </w:rPr>
            </w:pPr>
            <w:r>
              <w:rPr>
                <w:rFonts w:ascii="Times New Roman" w:hAnsi="Times New Roman" w:cs="Times New Roman" w:eastAsiaTheme="minorEastAsia"/>
                <w:i/>
                <w:color w:val="auto"/>
                <w:kern w:val="2"/>
                <w:sz w:val="24"/>
                <w:szCs w:val="24"/>
                <w:highlight w:val="none"/>
              </w:rPr>
              <w:t>β</w:t>
            </w:r>
          </w:p>
        </w:tc>
        <w:tc>
          <w:tcPr>
            <w:tcW w:w="6663" w:type="dxa"/>
          </w:tcPr>
          <w:p>
            <w:pPr>
              <w:widowControl w:val="0"/>
              <w:snapToGrid/>
              <w:spacing w:after="0" w:line="400" w:lineRule="exact"/>
              <w:ind w:left="480" w:hanging="480" w:hangingChars="20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——腹杆钢筋平行桁架方向的倾角。</w:t>
            </w:r>
          </w:p>
        </w:tc>
      </w:tr>
    </w:tbl>
    <w:p>
      <w:pPr>
        <w:spacing w:line="360" w:lineRule="auto"/>
        <w:rPr>
          <w:rFonts w:ascii="Times New Roman" w:hAnsi="Times New Roman" w:eastAsia="宋体" w:cs="Times New Roman"/>
          <w:color w:val="auto"/>
          <w:highlight w:val="none"/>
        </w:rPr>
      </w:pPr>
    </w:p>
    <w:p>
      <w:pPr>
        <w:adjustRightInd/>
        <w:snapToGrid/>
        <w:spacing w:line="220" w:lineRule="atLeast"/>
        <w:rPr>
          <w:rFonts w:ascii="Times New Roman" w:hAnsi="Times New Roman" w:eastAsia="宋体" w:cs="Times New Roman"/>
          <w:b/>
          <w:color w:val="auto"/>
          <w:kern w:val="2"/>
          <w:sz w:val="28"/>
          <w:szCs w:val="20"/>
          <w:highlight w:val="none"/>
        </w:rPr>
      </w:pPr>
      <w:r>
        <w:rPr>
          <w:rFonts w:ascii="Times New Roman" w:hAnsi="Times New Roman" w:eastAsia="宋体" w:cs="Times New Roman"/>
          <w:color w:val="auto"/>
          <w:highlight w:val="none"/>
        </w:rPr>
        <w:br w:type="page"/>
      </w:r>
    </w:p>
    <w:p>
      <w:pPr>
        <w:pStyle w:val="24"/>
        <w:spacing w:before="312" w:after="312"/>
        <w:rPr>
          <w:rFonts w:eastAsiaTheme="minorEastAsia"/>
          <w:color w:val="auto"/>
          <w:highlight w:val="none"/>
        </w:rPr>
      </w:pPr>
      <w:bookmarkStart w:id="4" w:name="_Toc111709509"/>
      <w:r>
        <w:rPr>
          <w:rFonts w:eastAsiaTheme="minorEastAsia"/>
          <w:color w:val="auto"/>
          <w:highlight w:val="none"/>
        </w:rPr>
        <w:t>3材料</w:t>
      </w:r>
      <w:bookmarkEnd w:id="4"/>
    </w:p>
    <w:p>
      <w:pPr>
        <w:pStyle w:val="25"/>
        <w:spacing w:before="312" w:after="312" w:line="360" w:lineRule="auto"/>
        <w:rPr>
          <w:rFonts w:hAnsi="宋体"/>
          <w:color w:val="auto"/>
          <w:highlight w:val="none"/>
        </w:rPr>
      </w:pPr>
      <w:bookmarkStart w:id="5" w:name="_Toc111709510"/>
      <w:r>
        <w:rPr>
          <w:rFonts w:hAnsi="宋体"/>
          <w:color w:val="auto"/>
          <w:highlight w:val="none"/>
        </w:rPr>
        <w:t>3.1混凝土</w:t>
      </w:r>
      <w:r>
        <w:rPr>
          <w:rFonts w:hint="eastAsia" w:hAnsi="宋体"/>
          <w:color w:val="auto"/>
          <w:highlight w:val="none"/>
        </w:rPr>
        <w:t>材料</w:t>
      </w:r>
      <w:bookmarkEnd w:id="5"/>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3.1.1</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所用混凝土材料的力学性能指标和耐久性要求应符合现行国家标准《混凝土结构设计规范》GB 50010的规定。</w:t>
      </w:r>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3.1.2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w:t>
      </w:r>
      <w:r>
        <w:rPr>
          <w:rFonts w:ascii="Times New Roman" w:hAnsi="Times New Roman" w:eastAsia="宋体" w:cs="Times New Roman"/>
          <w:color w:val="auto"/>
          <w:sz w:val="24"/>
          <w:szCs w:val="24"/>
          <w:highlight w:val="none"/>
        </w:rPr>
        <w:t>预制底</w:t>
      </w:r>
      <w:r>
        <w:rPr>
          <w:rFonts w:ascii="Times New Roman" w:hAnsi="Times New Roman" w:eastAsia="宋体" w:cs="Times New Roman"/>
          <w:color w:val="auto"/>
          <w:sz w:val="24"/>
          <w:szCs w:val="24"/>
          <w:highlight w:val="none"/>
        </w:rPr>
        <w:t>板混凝土强度等级不宜低于C40。叠合层的混凝土强度等级不应低于C30。</w:t>
      </w:r>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3.1.3 </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w:t>
      </w:r>
      <w:r>
        <w:rPr>
          <w:rFonts w:ascii="Times New Roman" w:eastAsia="宋体" w:cs="Times New Roman"/>
          <w:color w:val="auto"/>
          <w:sz w:val="24"/>
          <w:szCs w:val="24"/>
          <w:highlight w:val="none"/>
        </w:rPr>
        <w:t>预制</w:t>
      </w:r>
      <w:r>
        <w:rPr>
          <w:rFonts w:ascii="Times New Roman" w:hAnsi="Times New Roman" w:eastAsia="宋体" w:cs="Times New Roman"/>
          <w:color w:val="auto"/>
          <w:sz w:val="24"/>
          <w:szCs w:val="24"/>
          <w:highlight w:val="none"/>
        </w:rPr>
        <w:t>底板</w:t>
      </w:r>
      <w:r>
        <w:rPr>
          <w:rFonts w:ascii="Times New Roman" w:hAnsi="Times New Roman" w:eastAsia="宋体" w:cs="Times New Roman"/>
          <w:color w:val="auto"/>
          <w:sz w:val="24"/>
          <w:szCs w:val="24"/>
          <w:highlight w:val="none"/>
        </w:rPr>
        <w:t>宜采用细石混凝土，其细骨料宜采用中砂，粗骨料应采用连续级配，粗骨料粒径宜采用5~15mm的碎石。</w:t>
      </w:r>
    </w:p>
    <w:p>
      <w:pPr>
        <w:pStyle w:val="25"/>
        <w:spacing w:beforeLines="0" w:after="312" w:line="360" w:lineRule="auto"/>
        <w:rPr>
          <w:rFonts w:hAnsi="宋体"/>
          <w:color w:val="auto"/>
          <w:highlight w:val="none"/>
        </w:rPr>
      </w:pPr>
      <w:bookmarkStart w:id="6" w:name="_Toc111709511"/>
      <w:r>
        <w:rPr>
          <w:rFonts w:hAnsi="宋体"/>
          <w:color w:val="auto"/>
          <w:highlight w:val="none"/>
        </w:rPr>
        <w:t>3.2钢筋和钢材</w:t>
      </w:r>
      <w:bookmarkEnd w:id="6"/>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3.2.1</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color w:val="auto"/>
          <w:sz w:val="24"/>
          <w:szCs w:val="24"/>
          <w:highlight w:val="none"/>
        </w:rPr>
        <w:t>钢筋和钢材的力学性能指标应符合现行国家标准《</w:t>
      </w:r>
      <w:bookmarkStart w:id="7" w:name="_Hlk111643670"/>
      <w:r>
        <w:rPr>
          <w:rFonts w:ascii="Times New Roman" w:hAnsi="Times New Roman" w:eastAsia="宋体" w:cs="Times New Roman"/>
          <w:color w:val="auto"/>
          <w:sz w:val="24"/>
          <w:szCs w:val="24"/>
          <w:highlight w:val="none"/>
        </w:rPr>
        <w:t>混凝土结构设计规范》GB 50010</w:t>
      </w:r>
      <w:bookmarkEnd w:id="7"/>
      <w:r>
        <w:rPr>
          <w:rFonts w:ascii="Times New Roman" w:hAnsi="Times New Roman" w:eastAsia="宋体" w:cs="Times New Roman"/>
          <w:color w:val="auto"/>
          <w:sz w:val="24"/>
          <w:szCs w:val="24"/>
          <w:highlight w:val="none"/>
        </w:rPr>
        <w:t>、《预应力混凝土用钢丝》GB/T 5223、</w:t>
      </w:r>
      <w:bookmarkStart w:id="8" w:name="_Hlk111577855"/>
      <w:r>
        <w:rPr>
          <w:rFonts w:ascii="Times New Roman" w:hAnsi="Times New Roman" w:eastAsia="宋体" w:cs="Times New Roman"/>
          <w:color w:val="auto"/>
          <w:sz w:val="24"/>
          <w:szCs w:val="24"/>
          <w:highlight w:val="none"/>
        </w:rPr>
        <w:t>《钢结构设计标准》GB 50017</w:t>
      </w:r>
      <w:bookmarkEnd w:id="8"/>
      <w:r>
        <w:rPr>
          <w:rFonts w:hint="eastAsia" w:ascii="Times New Roman" w:hAnsi="Times New Roman" w:eastAsia="宋体" w:cs="Times New Roman"/>
          <w:color w:val="auto"/>
          <w:sz w:val="24"/>
          <w:szCs w:val="24"/>
          <w:highlight w:val="none"/>
        </w:rPr>
        <w:t>、</w:t>
      </w:r>
      <w:bookmarkStart w:id="9" w:name="_Hlk111547992"/>
      <w:r>
        <w:rPr>
          <w:rFonts w:hint="eastAsia" w:ascii="Times New Roman" w:hAnsi="Times New Roman" w:eastAsia="宋体" w:cs="Times New Roman"/>
          <w:color w:val="auto"/>
          <w:sz w:val="24"/>
          <w:szCs w:val="24"/>
          <w:highlight w:val="none"/>
        </w:rPr>
        <w:t>《六角头螺栓》G</w:t>
      </w:r>
      <w:r>
        <w:rPr>
          <w:rFonts w:ascii="Times New Roman" w:hAnsi="Times New Roman" w:eastAsia="宋体" w:cs="Times New Roman"/>
          <w:color w:val="auto"/>
          <w:sz w:val="24"/>
          <w:szCs w:val="24"/>
          <w:highlight w:val="none"/>
        </w:rPr>
        <w:t>B/T 5782</w:t>
      </w:r>
      <w:bookmarkEnd w:id="9"/>
      <w:r>
        <w:rPr>
          <w:rFonts w:hint="eastAsia" w:ascii="Times New Roman" w:hAnsi="Times New Roman" w:eastAsia="宋体" w:cs="Times New Roman"/>
          <w:color w:val="auto"/>
          <w:sz w:val="24"/>
          <w:szCs w:val="24"/>
          <w:highlight w:val="none"/>
        </w:rPr>
        <w:t>、</w:t>
      </w:r>
      <w:bookmarkStart w:id="10" w:name="_Hlk111548228"/>
      <w:r>
        <w:rPr>
          <w:rFonts w:hint="eastAsia" w:ascii="Times New Roman" w:hAnsi="Times New Roman" w:eastAsia="宋体" w:cs="Times New Roman"/>
          <w:color w:val="auto"/>
          <w:sz w:val="24"/>
          <w:szCs w:val="24"/>
          <w:highlight w:val="none"/>
        </w:rPr>
        <w:t>《钢结构工程施工质量验收标准》G</w:t>
      </w:r>
      <w:r>
        <w:rPr>
          <w:rFonts w:ascii="Times New Roman" w:hAnsi="Times New Roman" w:eastAsia="宋体" w:cs="Times New Roman"/>
          <w:color w:val="auto"/>
          <w:sz w:val="24"/>
          <w:szCs w:val="24"/>
          <w:highlight w:val="none"/>
        </w:rPr>
        <w:t>B 50205</w:t>
      </w:r>
      <w:bookmarkEnd w:id="10"/>
      <w:r>
        <w:rPr>
          <w:rFonts w:ascii="Times New Roman" w:hAnsi="Times New Roman" w:eastAsia="宋体" w:cs="Times New Roman"/>
          <w:color w:val="auto"/>
          <w:sz w:val="24"/>
          <w:szCs w:val="24"/>
          <w:highlight w:val="none"/>
        </w:rPr>
        <w:t>和行业标准《钢筋焊接网混凝土结构技术规程》JGJ 114的规定。</w:t>
      </w:r>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3.2.2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矩形钢管</w:t>
      </w:r>
      <w:r>
        <w:rPr>
          <w:rFonts w:ascii="Times New Roman" w:hAnsi="Times New Roman" w:eastAsia="宋体" w:cs="Times New Roman"/>
          <w:color w:val="auto"/>
          <w:sz w:val="24"/>
          <w:szCs w:val="24"/>
          <w:highlight w:val="none"/>
        </w:rPr>
        <w:t>桁架中的</w:t>
      </w:r>
      <w:r>
        <w:rPr>
          <w:rFonts w:hint="eastAsia" w:ascii="Times New Roman" w:hAnsi="Times New Roman" w:eastAsia="宋体" w:cs="Times New Roman"/>
          <w:color w:val="auto"/>
          <w:sz w:val="24"/>
          <w:szCs w:val="24"/>
          <w:highlight w:val="none"/>
        </w:rPr>
        <w:t>矩形钢管宜采用Q235或更高强度的钢材；</w:t>
      </w:r>
      <w:r>
        <w:rPr>
          <w:rFonts w:ascii="Times New Roman" w:hAnsi="Times New Roman" w:eastAsia="宋体" w:cs="Times New Roman"/>
          <w:color w:val="auto"/>
          <w:sz w:val="24"/>
          <w:szCs w:val="24"/>
          <w:highlight w:val="none"/>
        </w:rPr>
        <w:t>钢管壁厚不宜小于</w:t>
      </w:r>
      <w:r>
        <w:rPr>
          <w:rFonts w:hint="eastAsia" w:ascii="Times New Roman" w:hAnsi="Times New Roman" w:eastAsia="宋体" w:cs="Times New Roman"/>
          <w:color w:val="auto"/>
          <w:sz w:val="24"/>
          <w:szCs w:val="24"/>
          <w:highlight w:val="none"/>
        </w:rPr>
        <w:t>3</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z w:val="24"/>
          <w:szCs w:val="24"/>
          <w:highlight w:val="none"/>
        </w:rPr>
        <w:t>内外尺寸</w:t>
      </w:r>
      <w:r>
        <w:rPr>
          <w:rFonts w:ascii="Times New Roman" w:hAnsi="Times New Roman" w:eastAsia="宋体" w:cs="Times New Roman"/>
          <w:color w:val="auto"/>
          <w:sz w:val="24"/>
          <w:szCs w:val="24"/>
          <w:highlight w:val="none"/>
        </w:rPr>
        <w:t>不宜小于</w:t>
      </w:r>
      <w:r>
        <w:rPr>
          <w:rFonts w:hint="eastAsia" w:ascii="Times New Roman" w:hAnsi="Times New Roman" w:eastAsia="宋体" w:cs="Times New Roman"/>
          <w:color w:val="auto"/>
          <w:sz w:val="24"/>
          <w:szCs w:val="24"/>
          <w:highlight w:val="none"/>
        </w:rPr>
        <w:t>60mm×40</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z w:val="24"/>
          <w:szCs w:val="24"/>
          <w:highlight w:val="none"/>
        </w:rPr>
        <w:t>，钢管结构用钢管</w:t>
      </w:r>
      <w:r>
        <w:rPr>
          <w:rFonts w:ascii="Times New Roman" w:hAnsi="Times New Roman" w:eastAsia="宋体" w:cs="Times New Roman"/>
          <w:color w:val="auto"/>
          <w:sz w:val="24"/>
          <w:szCs w:val="24"/>
          <w:highlight w:val="none"/>
        </w:rPr>
        <w:t>材料，其质量应分别符合现行国家标准《碳素结构钢》GB/T 700、《优质碳素结构钢》GB/T 699、《低合金高强度结构钢》GB/T 1591。</w:t>
      </w:r>
    </w:p>
    <w:p>
      <w:pPr>
        <w:widowControl w:val="0"/>
        <w:tabs>
          <w:tab w:val="left" w:pos="735"/>
        </w:tabs>
        <w:spacing w:after="0" w:line="360" w:lineRule="auto"/>
        <w:jc w:val="both"/>
        <w:outlineLvl w:val="2"/>
        <w:rPr>
          <w:rFonts w:ascii="Times New Roman" w:hAnsi="Times New Roman" w:eastAsia="宋体" w:cs="Times New Roman"/>
          <w:color w:val="auto"/>
          <w:sz w:val="24"/>
          <w:highlight w:val="none"/>
        </w:rPr>
      </w:pPr>
      <w:r>
        <w:rPr>
          <w:rFonts w:ascii="Times New Roman" w:hAnsi="Times New Roman" w:eastAsia="宋体" w:cs="Times New Roman"/>
          <w:b/>
          <w:color w:val="auto"/>
          <w:sz w:val="24"/>
          <w:szCs w:val="24"/>
          <w:highlight w:val="none"/>
        </w:rPr>
        <w:t>3.2.3</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矩形钢管</w:t>
      </w:r>
      <w:r>
        <w:rPr>
          <w:rFonts w:ascii="Times New Roman" w:hAnsi="Times New Roman" w:eastAsia="宋体" w:cs="Times New Roman"/>
          <w:color w:val="auto"/>
          <w:sz w:val="24"/>
          <w:szCs w:val="24"/>
          <w:highlight w:val="none"/>
        </w:rPr>
        <w:t>桁架中的腹杆钢筋</w:t>
      </w:r>
      <w:r>
        <w:rPr>
          <w:rFonts w:ascii="Times New Roman" w:hAnsi="Times New Roman" w:eastAsia="宋体" w:cs="Times New Roman"/>
          <w:color w:val="auto"/>
          <w:sz w:val="24"/>
          <w:highlight w:val="none"/>
        </w:rPr>
        <w:t>宜采用热轧光圆钢筋，也可采用冷拔光面钢筋；钢筋直径不</w:t>
      </w:r>
      <w:r>
        <w:rPr>
          <w:rFonts w:hint="eastAsia" w:ascii="Times New Roman" w:hAnsi="Times New Roman" w:eastAsia="宋体" w:cs="Times New Roman"/>
          <w:color w:val="auto"/>
          <w:sz w:val="24"/>
          <w:highlight w:val="none"/>
        </w:rPr>
        <w:t>应</w:t>
      </w:r>
      <w:r>
        <w:rPr>
          <w:rFonts w:ascii="Times New Roman" w:hAnsi="Times New Roman" w:eastAsia="宋体" w:cs="Times New Roman"/>
          <w:color w:val="auto"/>
          <w:sz w:val="24"/>
          <w:highlight w:val="none"/>
        </w:rPr>
        <w:t>小于</w:t>
      </w:r>
      <w:r>
        <w:rPr>
          <w:rFonts w:hint="eastAsia" w:ascii="Times New Roman" w:hAnsi="Times New Roman" w:eastAsia="宋体" w:cs="Times New Roman"/>
          <w:color w:val="auto"/>
          <w:sz w:val="24"/>
          <w:highlight w:val="none"/>
        </w:rPr>
        <w:t>10</w:t>
      </w:r>
      <w:r>
        <w:rPr>
          <w:rFonts w:ascii="Times New Roman" w:hAnsi="Times New Roman" w:eastAsia="宋体" w:cs="Times New Roman"/>
          <w:color w:val="auto"/>
          <w:sz w:val="24"/>
          <w:highlight w:val="none"/>
        </w:rPr>
        <w:t>mm。</w:t>
      </w:r>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3.2.4</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w:t>
      </w:r>
      <w:r>
        <w:rPr>
          <w:rFonts w:ascii="Times New Roman" w:hAnsi="Times New Roman" w:eastAsia="宋体" w:cs="Times New Roman"/>
          <w:color w:val="auto"/>
          <w:sz w:val="24"/>
          <w:szCs w:val="24"/>
          <w:highlight w:val="none"/>
        </w:rPr>
        <w:t>预制底板受力的预应力钢筋宜采用预应力钢丝，直径不宜小于5mm；</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eastAsia="宋体" w:cs="Times New Roman"/>
          <w:color w:val="auto"/>
          <w:sz w:val="24"/>
          <w:szCs w:val="24"/>
          <w:highlight w:val="none"/>
        </w:rPr>
        <w:t>预制底板的构造钢筋，可根据实际情况确定，但其直径不应小于4mm。</w:t>
      </w:r>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3.2.5</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叠合层内受力钢筋、构造钢筋宜采用热轧带肋钢筋，也可采用热轧光圆钢筋。</w:t>
      </w:r>
    </w:p>
    <w:p>
      <w:pPr>
        <w:pStyle w:val="25"/>
        <w:spacing w:beforeLines="0" w:after="312" w:line="360" w:lineRule="auto"/>
        <w:rPr>
          <w:rFonts w:hAnsi="宋体"/>
          <w:color w:val="auto"/>
          <w:highlight w:val="none"/>
        </w:rPr>
      </w:pPr>
      <w:bookmarkStart w:id="11" w:name="_Toc111709512"/>
      <w:r>
        <w:rPr>
          <w:rFonts w:hAnsi="宋体"/>
          <w:color w:val="auto"/>
          <w:highlight w:val="none"/>
        </w:rPr>
        <w:t>3.3其他材料</w:t>
      </w:r>
      <w:bookmarkEnd w:id="11"/>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highlight w:val="none"/>
        </w:rPr>
        <w:t>3.3.</w:t>
      </w:r>
      <w:r>
        <w:rPr>
          <w:rFonts w:hint="eastAsia" w:ascii="Times New Roman" w:hAnsi="Times New Roman" w:eastAsia="宋体" w:cs="Times New Roman"/>
          <w:b/>
          <w:color w:val="auto"/>
          <w:sz w:val="24"/>
          <w:highlight w:val="none"/>
        </w:rPr>
        <w:t>1</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连接用焊接材料</w:t>
      </w:r>
      <w:r>
        <w:rPr>
          <w:rFonts w:hint="eastAsia" w:ascii="Times New Roman" w:hAnsi="Times New Roman" w:eastAsia="宋体" w:cs="Times New Roman"/>
          <w:color w:val="auto"/>
          <w:sz w:val="24"/>
          <w:highlight w:val="none"/>
        </w:rPr>
        <w:t>和螺栓连接材料</w:t>
      </w:r>
      <w:r>
        <w:rPr>
          <w:rFonts w:ascii="Times New Roman" w:hAnsi="Times New Roman" w:eastAsia="宋体" w:cs="Times New Roman"/>
          <w:color w:val="auto"/>
          <w:sz w:val="24"/>
          <w:highlight w:val="none"/>
        </w:rPr>
        <w:t>应符合现行国家标准《钢结构设计标准》GB 50017、《钢结构焊接规范》</w:t>
      </w:r>
      <w:r>
        <w:rPr>
          <w:rFonts w:ascii="Times New Roman" w:hAnsi="Times New Roman" w:eastAsia="宋体" w:cs="Times New Roman"/>
          <w:color w:val="auto"/>
          <w:sz w:val="24"/>
          <w:highlight w:val="none"/>
        </w:rPr>
        <w:t>GB 50661</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szCs w:val="24"/>
          <w:highlight w:val="none"/>
        </w:rPr>
        <w:t>《六角头螺栓》G</w:t>
      </w:r>
      <w:r>
        <w:rPr>
          <w:rFonts w:ascii="Times New Roman" w:hAnsi="Times New Roman" w:eastAsia="宋体" w:cs="Times New Roman"/>
          <w:color w:val="auto"/>
          <w:sz w:val="24"/>
          <w:szCs w:val="24"/>
          <w:highlight w:val="none"/>
        </w:rPr>
        <w:t>B/T 5782</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szCs w:val="24"/>
          <w:highlight w:val="none"/>
        </w:rPr>
        <w:t>《钢结构工程施工质量验收标准》</w:t>
      </w:r>
      <w:r>
        <w:rPr>
          <w:rFonts w:hint="eastAsia" w:ascii="Times New Roman" w:hAnsi="Times New Roman" w:eastAsia="宋体" w:cs="Times New Roman"/>
          <w:color w:val="auto"/>
          <w:sz w:val="24"/>
          <w:szCs w:val="24"/>
          <w:highlight w:val="none"/>
        </w:rPr>
        <w:t>G</w:t>
      </w:r>
      <w:r>
        <w:rPr>
          <w:rFonts w:ascii="Times New Roman" w:hAnsi="Times New Roman" w:eastAsia="宋体" w:cs="Times New Roman"/>
          <w:color w:val="auto"/>
          <w:sz w:val="24"/>
          <w:szCs w:val="24"/>
          <w:highlight w:val="none"/>
        </w:rPr>
        <w:t>B 50205</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《紧固件机械性能 螺栓、螺钉和螺柱》</w:t>
      </w:r>
      <w:r>
        <w:rPr>
          <w:rFonts w:ascii="Times New Roman" w:hAnsi="Times New Roman" w:eastAsia="宋体" w:cs="Times New Roman"/>
          <w:color w:val="auto"/>
          <w:sz w:val="24"/>
          <w:szCs w:val="24"/>
          <w:highlight w:val="none"/>
        </w:rPr>
        <w:t>GB/T 3098.1</w:t>
      </w:r>
      <w:r>
        <w:rPr>
          <w:rFonts w:ascii="Times New Roman" w:hAnsi="Times New Roman" w:eastAsia="宋体" w:cs="Times New Roman"/>
          <w:color w:val="auto"/>
          <w:sz w:val="24"/>
          <w:highlight w:val="none"/>
        </w:rPr>
        <w:t>和行业标准《钢筋焊接及验收规程》JGJ 18等的规定。</w:t>
      </w:r>
      <w:r>
        <w:rPr>
          <w:rFonts w:ascii="Times New Roman" w:hAnsi="Times New Roman" w:eastAsia="宋体" w:cs="Times New Roman"/>
          <w:color w:val="auto"/>
          <w:sz w:val="24"/>
          <w:szCs w:val="24"/>
          <w:highlight w:val="none"/>
        </w:rPr>
        <w:br w:type="page"/>
      </w:r>
    </w:p>
    <w:p>
      <w:pPr>
        <w:pStyle w:val="24"/>
        <w:spacing w:before="312" w:after="312"/>
        <w:rPr>
          <w:rFonts w:eastAsiaTheme="minorEastAsia"/>
          <w:color w:val="auto"/>
          <w:highlight w:val="none"/>
        </w:rPr>
      </w:pPr>
      <w:bookmarkStart w:id="12" w:name="_Toc111709513"/>
      <w:r>
        <w:rPr>
          <w:rFonts w:eastAsiaTheme="minorEastAsia"/>
          <w:color w:val="auto"/>
          <w:highlight w:val="none"/>
        </w:rPr>
        <w:t>4基本规定</w:t>
      </w:r>
      <w:bookmarkEnd w:id="12"/>
    </w:p>
    <w:p>
      <w:pPr>
        <w:widowControl w:val="0"/>
        <w:tabs>
          <w:tab w:val="left" w:pos="735"/>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4.0.1</w:t>
      </w:r>
      <w:r>
        <w:rPr>
          <w:rFonts w:hint="eastAsia" w:ascii="Times New Roman" w:hAnsi="Times New Roman" w:eastAsia="宋体" w:cs="Times New Roman"/>
          <w:color w:val="auto"/>
          <w:sz w:val="24"/>
          <w:szCs w:val="24"/>
          <w:highlight w:val="none"/>
        </w:rPr>
        <w:t xml:space="preserve">   结构的下列部位楼盖不宜采用</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当采用时应进行专项设计</w:t>
      </w:r>
      <w:r>
        <w:rPr>
          <w:rFonts w:hint="eastAsia" w:ascii="Times New Roman" w:hAnsi="Times New Roman" w:eastAsia="宋体" w:cs="Times New Roman"/>
          <w:color w:val="auto"/>
          <w:sz w:val="24"/>
          <w:szCs w:val="24"/>
          <w:highlight w:val="none"/>
        </w:rPr>
        <w:t xml:space="preserve">： </w:t>
      </w:r>
    </w:p>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bookmarkStart w:id="13" w:name="_Hlk111642795"/>
      <w:r>
        <w:rPr>
          <w:rFonts w:hint="eastAsia" w:ascii="Times New Roman" w:hAnsi="Times New Roman" w:eastAsia="宋体" w:cs="Times New Roman"/>
          <w:color w:val="auto"/>
          <w:sz w:val="24"/>
          <w:szCs w:val="24"/>
          <w:highlight w:val="none"/>
        </w:rPr>
        <w:t xml:space="preserve">1 </w:t>
      </w:r>
      <w:r>
        <w:rPr>
          <w:rFonts w:ascii="Times New Roman" w:hAnsi="Times New Roman" w:eastAsia="宋体" w:cs="Times New Roman"/>
          <w:color w:val="auto"/>
          <w:sz w:val="24"/>
          <w:szCs w:val="24"/>
          <w:highlight w:val="none"/>
        </w:rPr>
        <w:t>作为上部结构嵌固部位的地下室楼层</w:t>
      </w:r>
      <w:r>
        <w:rPr>
          <w:rFonts w:hint="eastAsia" w:ascii="Times New Roman" w:hAnsi="Times New Roman" w:eastAsia="宋体" w:cs="Times New Roman"/>
          <w:color w:val="auto"/>
          <w:sz w:val="24"/>
          <w:szCs w:val="24"/>
          <w:highlight w:val="none"/>
        </w:rPr>
        <w:t>及其相关范围；</w:t>
      </w:r>
    </w:p>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 结构转换层；</w:t>
      </w:r>
    </w:p>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 平面复杂或开洞较大的楼层；</w:t>
      </w:r>
    </w:p>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 结构体型收进处的楼层及相邻上、下各一层；</w:t>
      </w:r>
    </w:p>
    <w:bookmarkEnd w:id="13"/>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 斜柱上、下端周围局部楼盖。</w:t>
      </w:r>
    </w:p>
    <w:p>
      <w:pPr>
        <w:widowControl w:val="0"/>
        <w:tabs>
          <w:tab w:val="left" w:pos="735"/>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4.0.2</w:t>
      </w:r>
      <w:r>
        <w:rPr>
          <w:rFonts w:hint="eastAsia" w:asci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在结构内力与位移计算时，可假定</w:t>
      </w:r>
      <w:r>
        <w:rPr>
          <w:rFonts w:hint="eastAsia" w:ascii="Times New Roman" w:eastAsia="宋体" w:cs="Times New Roman"/>
          <w:color w:val="auto"/>
          <w:sz w:val="24"/>
          <w:szCs w:val="24"/>
          <w:highlight w:val="none"/>
        </w:rPr>
        <w:t>支架预应力混凝土叠合板</w:t>
      </w:r>
      <w:r>
        <w:rPr>
          <w:rFonts w:ascii="Times New Roman" w:eastAsia="宋体" w:cs="Times New Roman"/>
          <w:color w:val="auto"/>
          <w:sz w:val="24"/>
          <w:szCs w:val="24"/>
          <w:highlight w:val="none"/>
        </w:rPr>
        <w:t>在其自身平面内为无限刚性。</w:t>
      </w:r>
    </w:p>
    <w:p>
      <w:pPr>
        <w:spacing w:line="360" w:lineRule="auto"/>
        <w:contextualSpacing/>
        <w:outlineLvl w:val="2"/>
        <w:rPr>
          <w:rFonts w:ascii="Times New Roman" w:eastAsia="宋体" w:cs="Times New Roman"/>
          <w:color w:val="auto"/>
          <w:sz w:val="24"/>
          <w:szCs w:val="24"/>
          <w:highlight w:val="none"/>
        </w:rPr>
      </w:pPr>
      <w:bookmarkStart w:id="14" w:name="_Hlk111642514"/>
      <w:r>
        <w:rPr>
          <w:rFonts w:ascii="Times New Roman" w:hAnsi="Times New Roman" w:eastAsia="宋体" w:cs="Times New Roman"/>
          <w:b/>
          <w:color w:val="auto"/>
          <w:sz w:val="24"/>
          <w:szCs w:val="24"/>
          <w:highlight w:val="none"/>
        </w:rPr>
        <w:t>4.0.3</w:t>
      </w:r>
      <w:r>
        <w:rPr>
          <w:rFonts w:hint="eastAsia" w:ascii="Times New Roman" w:hAnsi="Times New Roman" w:eastAsia="宋体" w:cs="Times New Roman"/>
          <w:color w:val="auto"/>
          <w:sz w:val="24"/>
          <w:szCs w:val="24"/>
          <w:highlight w:val="none"/>
        </w:rPr>
        <w:t xml:space="preserve">   支架预应力混凝土</w:t>
      </w:r>
      <w:r>
        <w:rPr>
          <w:rFonts w:ascii="Times New Roman" w:eastAsia="宋体" w:cs="Times New Roman"/>
          <w:color w:val="auto"/>
          <w:sz w:val="24"/>
          <w:szCs w:val="24"/>
          <w:highlight w:val="none"/>
        </w:rPr>
        <w:t>预制底板之间宜采用密拼式接缝（图</w:t>
      </w:r>
      <w:r>
        <w:rPr>
          <w:rFonts w:ascii="Times New Roman" w:hAnsi="Times New Roman" w:eastAsia="宋体" w:cs="Times New Roman"/>
          <w:color w:val="auto"/>
          <w:sz w:val="24"/>
          <w:szCs w:val="24"/>
          <w:highlight w:val="none"/>
        </w:rPr>
        <w:t>4.0.3</w:t>
      </w:r>
      <w:r>
        <w:rPr>
          <w:rFonts w:ascii="Times New Roman" w:eastAsia="宋体" w:cs="Times New Roman"/>
          <w:color w:val="auto"/>
          <w:sz w:val="24"/>
          <w:szCs w:val="24"/>
          <w:highlight w:val="none"/>
        </w:rPr>
        <w:t>），</w:t>
      </w:r>
      <w:r>
        <w:rPr>
          <w:rFonts w:hint="eastAsia" w:ascii="Times New Roman" w:eastAsia="宋体" w:cs="Times New Roman"/>
          <w:color w:val="auto"/>
          <w:sz w:val="24"/>
          <w:szCs w:val="24"/>
          <w:highlight w:val="none"/>
        </w:rPr>
        <w:t>支架预应力混凝土叠合板</w:t>
      </w:r>
      <w:r>
        <w:rPr>
          <w:rFonts w:ascii="Times New Roman" w:eastAsia="宋体" w:cs="Times New Roman"/>
          <w:color w:val="auto"/>
          <w:sz w:val="24"/>
          <w:szCs w:val="24"/>
          <w:highlight w:val="none"/>
        </w:rPr>
        <w:t>可根据预制底板支座构造、长宽比按单向板或双向板设计。对于长宽比不大于</w:t>
      </w:r>
      <w:r>
        <w:rPr>
          <w:rFonts w:ascii="Times New Roman" w:hAnsi="Times New Roman" w:eastAsia="宋体" w:cs="Times New Roman"/>
          <w:color w:val="auto"/>
          <w:sz w:val="24"/>
          <w:szCs w:val="24"/>
          <w:highlight w:val="none"/>
        </w:rPr>
        <w:t>3</w:t>
      </w:r>
      <w:r>
        <w:rPr>
          <w:rFonts w:ascii="Times New Roman" w:eastAsia="宋体" w:cs="Times New Roman"/>
          <w:color w:val="auto"/>
          <w:sz w:val="24"/>
          <w:szCs w:val="24"/>
          <w:highlight w:val="none"/>
        </w:rPr>
        <w:t>的四边支承</w:t>
      </w:r>
      <w:r>
        <w:rPr>
          <w:rFonts w:hint="eastAsia" w:ascii="Times New Roman" w:eastAsia="宋体" w:cs="Times New Roman"/>
          <w:color w:val="auto"/>
          <w:sz w:val="24"/>
          <w:szCs w:val="24"/>
          <w:highlight w:val="none"/>
        </w:rPr>
        <w:t>支架预应力混凝土叠合板</w:t>
      </w:r>
      <w:r>
        <w:rPr>
          <w:rFonts w:ascii="Times New Roman" w:eastAsia="宋体" w:cs="Times New Roman"/>
          <w:color w:val="auto"/>
          <w:sz w:val="24"/>
          <w:szCs w:val="24"/>
          <w:highlight w:val="none"/>
        </w:rPr>
        <w:t>，可按双向板设计</w:t>
      </w:r>
      <w:bookmarkEnd w:id="14"/>
      <w:r>
        <w:rPr>
          <w:rFonts w:hint="eastAsia" w:ascii="Times New Roman" w:eastAsia="宋体" w:cs="Times New Roman"/>
          <w:color w:val="auto"/>
          <w:sz w:val="24"/>
          <w:szCs w:val="24"/>
          <w:highlight w:val="none"/>
        </w:rPr>
        <w:t>。</w:t>
      </w:r>
    </w:p>
    <w:p>
      <w:pPr>
        <w:widowControl w:val="0"/>
        <w:tabs>
          <w:tab w:val="left" w:pos="777"/>
        </w:tabs>
        <w:spacing w:after="0" w:line="360" w:lineRule="auto"/>
        <w:jc w:val="center"/>
        <w:rPr>
          <w:rFonts w:ascii="Times New Roman" w:hAnsi="Times New Roman" w:eastAsia="宋体" w:cs="Times New Roman"/>
          <w:color w:val="auto"/>
          <w:sz w:val="24"/>
          <w:szCs w:val="24"/>
          <w:highlight w:val="none"/>
        </w:rPr>
      </w:pPr>
      <w:r>
        <w:rPr>
          <w:rFonts w:ascii="Times New Roman" w:hAnsi="Times New Roman" w:cs="Times New Roman" w:eastAsiaTheme="minorEastAsia"/>
          <w:color w:val="auto"/>
          <w:sz w:val="24"/>
          <w:szCs w:val="24"/>
          <w:highlight w:val="none"/>
        </w:rPr>
        <mc:AlternateContent>
          <mc:Choice Requires="wpc">
            <w:drawing>
              <wp:inline distT="0" distB="0" distL="114300" distR="114300">
                <wp:extent cx="1376045" cy="1188085"/>
                <wp:effectExtent l="0" t="0" r="14605" b="12065"/>
                <wp:docPr id="77" name="画布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a:noFill/>
                        </a:ln>
                      </wpc:whole>
                      <wps:wsp>
                        <wps:cNvPr id="6" name="矩形 69"/>
                        <wps:cNvSpPr/>
                        <wps:spPr>
                          <a:xfrm>
                            <a:off x="26035" y="113665"/>
                            <a:ext cx="64135" cy="273050"/>
                          </a:xfrm>
                          <a:prstGeom prst="rect">
                            <a:avLst/>
                          </a:prstGeom>
                          <a:noFill/>
                          <a:ln>
                            <a:noFill/>
                          </a:ln>
                        </wps:spPr>
                        <wps:txbx>
                          <w:txbxContent>
                            <w:p>
                              <w:r>
                                <w:rPr>
                                  <w:rFonts w:ascii="Times New Roman" w:hAnsi="Times New Roman" w:cs="Times New Roman"/>
                                  <w:color w:val="000000"/>
                                  <w:sz w:val="20"/>
                                  <w:szCs w:val="20"/>
                                </w:rPr>
                                <w:t>1</w:t>
                              </w:r>
                            </w:p>
                          </w:txbxContent>
                        </wps:txbx>
                        <wps:bodyPr wrap="none" lIns="0" tIns="0" rIns="0" bIns="0" upright="1">
                          <a:spAutoFit/>
                        </wps:bodyPr>
                      </wps:wsp>
                      <wps:wsp>
                        <wps:cNvPr id="7" name="矩形 70"/>
                        <wps:cNvSpPr/>
                        <wps:spPr>
                          <a:xfrm>
                            <a:off x="24765" y="600710"/>
                            <a:ext cx="64135" cy="273050"/>
                          </a:xfrm>
                          <a:prstGeom prst="rect">
                            <a:avLst/>
                          </a:prstGeom>
                          <a:noFill/>
                          <a:ln>
                            <a:noFill/>
                          </a:ln>
                        </wps:spPr>
                        <wps:txbx>
                          <w:txbxContent>
                            <w:p>
                              <w:r>
                                <w:rPr>
                                  <w:rFonts w:ascii="Times New Roman" w:hAnsi="Times New Roman" w:cs="Times New Roman"/>
                                  <w:color w:val="000000"/>
                                  <w:sz w:val="20"/>
                                  <w:szCs w:val="20"/>
                                </w:rPr>
                                <w:t>2</w:t>
                              </w:r>
                            </w:p>
                          </w:txbxContent>
                        </wps:txbx>
                        <wps:bodyPr wrap="none" lIns="0" tIns="0" rIns="0" bIns="0" upright="1">
                          <a:spAutoFit/>
                        </wps:bodyPr>
                      </wps:wsp>
                      <wps:wsp>
                        <wps:cNvPr id="12" name="矩形 71"/>
                        <wps:cNvSpPr/>
                        <wps:spPr>
                          <a:xfrm>
                            <a:off x="624840" y="519430"/>
                            <a:ext cx="64135" cy="273050"/>
                          </a:xfrm>
                          <a:prstGeom prst="rect">
                            <a:avLst/>
                          </a:prstGeom>
                          <a:noFill/>
                          <a:ln>
                            <a:noFill/>
                          </a:ln>
                        </wps:spPr>
                        <wps:txbx>
                          <w:txbxContent>
                            <w:p>
                              <w:r>
                                <w:rPr>
                                  <w:rFonts w:hint="eastAsia" w:ascii="Times New Roman" w:hAnsi="Times New Roman" w:cs="Times New Roman"/>
                                  <w:color w:val="000000"/>
                                  <w:sz w:val="20"/>
                                  <w:szCs w:val="20"/>
                                </w:rPr>
                                <w:t>3</w:t>
                              </w:r>
                            </w:p>
                          </w:txbxContent>
                        </wps:txbx>
                        <wps:bodyPr wrap="none" lIns="0" tIns="0" rIns="0" bIns="0" upright="1">
                          <a:spAutoFit/>
                        </wps:bodyPr>
                      </wps:wsp>
                      <wps:wsp>
                        <wps:cNvPr id="13" name="直线 72"/>
                        <wps:cNvCnPr/>
                        <wps:spPr>
                          <a:xfrm flipH="1">
                            <a:off x="6350" y="254000"/>
                            <a:ext cx="384810" cy="635"/>
                          </a:xfrm>
                          <a:prstGeom prst="line">
                            <a:avLst/>
                          </a:prstGeom>
                          <a:ln w="0" cap="flat" cmpd="sng">
                            <a:solidFill>
                              <a:srgbClr val="000000"/>
                            </a:solidFill>
                            <a:prstDash val="solid"/>
                            <a:headEnd type="none" w="med" len="med"/>
                            <a:tailEnd type="none" w="med" len="med"/>
                          </a:ln>
                        </wps:spPr>
                        <wps:bodyPr/>
                      </wps:wsp>
                      <wps:wsp>
                        <wps:cNvPr id="15" name="直线 73"/>
                        <wps:cNvCnPr/>
                        <wps:spPr>
                          <a:xfrm flipH="1">
                            <a:off x="6350" y="734695"/>
                            <a:ext cx="265430" cy="635"/>
                          </a:xfrm>
                          <a:prstGeom prst="line">
                            <a:avLst/>
                          </a:prstGeom>
                          <a:ln w="0" cap="flat" cmpd="sng">
                            <a:solidFill>
                              <a:srgbClr val="000000"/>
                            </a:solidFill>
                            <a:prstDash val="solid"/>
                            <a:headEnd type="none" w="med" len="med"/>
                            <a:tailEnd type="none" w="med" len="med"/>
                          </a:ln>
                        </wps:spPr>
                        <wps:bodyPr/>
                      </wps:wsp>
                      <wps:wsp>
                        <wps:cNvPr id="16" name="任意多边形 74"/>
                        <wps:cNvSpPr/>
                        <wps:spPr>
                          <a:xfrm>
                            <a:off x="617855" y="647065"/>
                            <a:ext cx="124460" cy="85090"/>
                          </a:xfrm>
                          <a:custGeom>
                            <a:avLst/>
                            <a:gdLst/>
                            <a:ahLst/>
                            <a:cxnLst/>
                            <a:rect l="0" t="0" r="0" b="0"/>
                            <a:pathLst>
                              <a:path w="196" h="134">
                                <a:moveTo>
                                  <a:pt x="196" y="134"/>
                                </a:moveTo>
                                <a:lnTo>
                                  <a:pt x="136" y="0"/>
                                </a:lnTo>
                                <a:lnTo>
                                  <a:pt x="0" y="0"/>
                                </a:lnTo>
                              </a:path>
                            </a:pathLst>
                          </a:custGeom>
                          <a:noFill/>
                          <a:ln w="0" cap="flat" cmpd="sng">
                            <a:solidFill>
                              <a:srgbClr val="000000"/>
                            </a:solidFill>
                            <a:prstDash val="solid"/>
                            <a:headEnd type="none" w="med" len="med"/>
                            <a:tailEnd type="none" w="med" len="med"/>
                          </a:ln>
                        </wps:spPr>
                        <wps:bodyPr upright="1"/>
                      </wps:wsp>
                      <wps:wsp>
                        <wps:cNvPr id="22" name="直线 75"/>
                        <wps:cNvCnPr/>
                        <wps:spPr>
                          <a:xfrm>
                            <a:off x="337185" y="86360"/>
                            <a:ext cx="861060" cy="635"/>
                          </a:xfrm>
                          <a:prstGeom prst="line">
                            <a:avLst/>
                          </a:prstGeom>
                          <a:ln w="0" cap="flat" cmpd="sng">
                            <a:solidFill>
                              <a:srgbClr val="000000"/>
                            </a:solidFill>
                            <a:prstDash val="solid"/>
                            <a:headEnd type="none" w="med" len="med"/>
                            <a:tailEnd type="none" w="med" len="med"/>
                          </a:ln>
                        </wps:spPr>
                        <wps:bodyPr/>
                      </wps:wsp>
                      <wps:wsp>
                        <wps:cNvPr id="27" name="直线 76"/>
                        <wps:cNvCnPr/>
                        <wps:spPr>
                          <a:xfrm>
                            <a:off x="337185" y="181610"/>
                            <a:ext cx="861060" cy="635"/>
                          </a:xfrm>
                          <a:prstGeom prst="line">
                            <a:avLst/>
                          </a:prstGeom>
                          <a:ln w="0" cap="flat" cmpd="sng">
                            <a:solidFill>
                              <a:srgbClr val="000000"/>
                            </a:solidFill>
                            <a:prstDash val="solid"/>
                            <a:headEnd type="none" w="med" len="med"/>
                            <a:tailEnd type="none" w="med" len="med"/>
                          </a:ln>
                        </wps:spPr>
                        <wps:bodyPr/>
                      </wps:wsp>
                      <wps:wsp>
                        <wps:cNvPr id="31" name="直线 77"/>
                        <wps:cNvCnPr/>
                        <wps:spPr>
                          <a:xfrm>
                            <a:off x="337185" y="456565"/>
                            <a:ext cx="861060" cy="635"/>
                          </a:xfrm>
                          <a:prstGeom prst="line">
                            <a:avLst/>
                          </a:prstGeom>
                          <a:ln w="0" cap="flat" cmpd="sng">
                            <a:solidFill>
                              <a:srgbClr val="000000"/>
                            </a:solidFill>
                            <a:prstDash val="solid"/>
                            <a:headEnd type="none" w="med" len="med"/>
                            <a:tailEnd type="none" w="med" len="med"/>
                          </a:ln>
                        </wps:spPr>
                        <wps:bodyPr/>
                      </wps:wsp>
                      <wps:wsp>
                        <wps:cNvPr id="35" name="直线 78"/>
                        <wps:cNvCnPr/>
                        <wps:spPr>
                          <a:xfrm>
                            <a:off x="337185" y="732155"/>
                            <a:ext cx="861060" cy="635"/>
                          </a:xfrm>
                          <a:prstGeom prst="line">
                            <a:avLst/>
                          </a:prstGeom>
                          <a:ln w="0" cap="flat" cmpd="sng">
                            <a:solidFill>
                              <a:srgbClr val="000000"/>
                            </a:solidFill>
                            <a:prstDash val="solid"/>
                            <a:headEnd type="none" w="med" len="med"/>
                            <a:tailEnd type="none" w="med" len="med"/>
                          </a:ln>
                        </wps:spPr>
                        <wps:bodyPr/>
                      </wps:wsp>
                      <wps:wsp>
                        <wps:cNvPr id="36" name="直线 79"/>
                        <wps:cNvCnPr/>
                        <wps:spPr>
                          <a:xfrm>
                            <a:off x="337185" y="1007745"/>
                            <a:ext cx="861060" cy="635"/>
                          </a:xfrm>
                          <a:prstGeom prst="line">
                            <a:avLst/>
                          </a:prstGeom>
                          <a:ln w="0" cap="flat" cmpd="sng">
                            <a:solidFill>
                              <a:srgbClr val="000000"/>
                            </a:solidFill>
                            <a:prstDash val="solid"/>
                            <a:headEnd type="none" w="med" len="med"/>
                            <a:tailEnd type="none" w="med" len="med"/>
                          </a:ln>
                        </wps:spPr>
                        <wps:bodyPr/>
                      </wps:wsp>
                      <wps:wsp>
                        <wps:cNvPr id="37" name="直线 80"/>
                        <wps:cNvCnPr/>
                        <wps:spPr>
                          <a:xfrm>
                            <a:off x="337185" y="1102360"/>
                            <a:ext cx="861060" cy="635"/>
                          </a:xfrm>
                          <a:prstGeom prst="line">
                            <a:avLst/>
                          </a:prstGeom>
                          <a:ln w="0" cap="flat" cmpd="sng">
                            <a:solidFill>
                              <a:srgbClr val="000000"/>
                            </a:solidFill>
                            <a:prstDash val="solid"/>
                            <a:headEnd type="none" w="med" len="med"/>
                            <a:tailEnd type="none" w="med" len="med"/>
                          </a:ln>
                        </wps:spPr>
                        <wps:bodyPr/>
                      </wps:wsp>
                      <wps:wsp>
                        <wps:cNvPr id="49" name="直线 81"/>
                        <wps:cNvCnPr/>
                        <wps:spPr>
                          <a:xfrm>
                            <a:off x="1198245" y="34925"/>
                            <a:ext cx="635" cy="1119505"/>
                          </a:xfrm>
                          <a:prstGeom prst="line">
                            <a:avLst/>
                          </a:prstGeom>
                          <a:ln w="0" cap="flat" cmpd="sng">
                            <a:solidFill>
                              <a:srgbClr val="000000"/>
                            </a:solidFill>
                            <a:prstDash val="solid"/>
                            <a:headEnd type="none" w="med" len="med"/>
                            <a:tailEnd type="none" w="med" len="med"/>
                          </a:ln>
                        </wps:spPr>
                        <wps:bodyPr/>
                      </wps:wsp>
                      <wps:wsp>
                        <wps:cNvPr id="51" name="直线 82"/>
                        <wps:cNvCnPr/>
                        <wps:spPr>
                          <a:xfrm>
                            <a:off x="1318895" y="34925"/>
                            <a:ext cx="635" cy="1119505"/>
                          </a:xfrm>
                          <a:prstGeom prst="line">
                            <a:avLst/>
                          </a:prstGeom>
                          <a:ln w="0" cap="flat" cmpd="sng">
                            <a:solidFill>
                              <a:srgbClr val="000000"/>
                            </a:solidFill>
                            <a:prstDash val="solid"/>
                            <a:headEnd type="none" w="med" len="med"/>
                            <a:tailEnd type="none" w="med" len="med"/>
                          </a:ln>
                        </wps:spPr>
                        <wps:bodyPr/>
                      </wps:wsp>
                      <wps:wsp>
                        <wps:cNvPr id="60" name="直线 83"/>
                        <wps:cNvCnPr/>
                        <wps:spPr>
                          <a:xfrm flipV="1">
                            <a:off x="337185" y="34925"/>
                            <a:ext cx="635" cy="1119505"/>
                          </a:xfrm>
                          <a:prstGeom prst="line">
                            <a:avLst/>
                          </a:prstGeom>
                          <a:ln w="0" cap="flat" cmpd="sng">
                            <a:solidFill>
                              <a:srgbClr val="000000"/>
                            </a:solidFill>
                            <a:prstDash val="solid"/>
                            <a:headEnd type="none" w="med" len="med"/>
                            <a:tailEnd type="none" w="med" len="med"/>
                          </a:ln>
                        </wps:spPr>
                        <wps:bodyPr/>
                      </wps:wsp>
                      <wps:wsp>
                        <wps:cNvPr id="82" name="直线 84"/>
                        <wps:cNvCnPr/>
                        <wps:spPr>
                          <a:xfrm flipV="1">
                            <a:off x="216535" y="34925"/>
                            <a:ext cx="635" cy="1119505"/>
                          </a:xfrm>
                          <a:prstGeom prst="line">
                            <a:avLst/>
                          </a:prstGeom>
                          <a:ln w="0" cap="flat" cmpd="sng">
                            <a:solidFill>
                              <a:srgbClr val="000000"/>
                            </a:solidFill>
                            <a:prstDash val="solid"/>
                            <a:headEnd type="none" w="med" len="med"/>
                            <a:tailEnd type="none" w="med" len="med"/>
                          </a:ln>
                        </wps:spPr>
                        <wps:bodyPr/>
                      </wps:wsp>
                      <wps:wsp>
                        <wps:cNvPr id="84" name="直线 85"/>
                        <wps:cNvCnPr/>
                        <wps:spPr>
                          <a:xfrm>
                            <a:off x="337185" y="34925"/>
                            <a:ext cx="34925" cy="635"/>
                          </a:xfrm>
                          <a:prstGeom prst="line">
                            <a:avLst/>
                          </a:prstGeom>
                          <a:ln w="0" cap="flat" cmpd="sng">
                            <a:solidFill>
                              <a:srgbClr val="000000"/>
                            </a:solidFill>
                            <a:prstDash val="solid"/>
                            <a:headEnd type="none" w="med" len="med"/>
                            <a:tailEnd type="none" w="med" len="med"/>
                          </a:ln>
                        </wps:spPr>
                        <wps:bodyPr/>
                      </wps:wsp>
                      <wps:wsp>
                        <wps:cNvPr id="93" name="直线 86"/>
                        <wps:cNvCnPr/>
                        <wps:spPr>
                          <a:xfrm>
                            <a:off x="200025" y="34925"/>
                            <a:ext cx="51435" cy="635"/>
                          </a:xfrm>
                          <a:prstGeom prst="line">
                            <a:avLst/>
                          </a:prstGeom>
                          <a:ln w="0" cap="flat" cmpd="sng">
                            <a:solidFill>
                              <a:srgbClr val="000000"/>
                            </a:solidFill>
                            <a:prstDash val="solid"/>
                            <a:headEnd type="none" w="med" len="med"/>
                            <a:tailEnd type="none" w="med" len="med"/>
                          </a:ln>
                        </wps:spPr>
                        <wps:bodyPr/>
                      </wps:wsp>
                      <wps:wsp>
                        <wps:cNvPr id="96" name="直线 87"/>
                        <wps:cNvCnPr/>
                        <wps:spPr>
                          <a:xfrm flipH="1">
                            <a:off x="285750" y="34925"/>
                            <a:ext cx="51435" cy="635"/>
                          </a:xfrm>
                          <a:prstGeom prst="line">
                            <a:avLst/>
                          </a:prstGeom>
                          <a:ln w="0" cap="flat" cmpd="sng">
                            <a:solidFill>
                              <a:srgbClr val="000000"/>
                            </a:solidFill>
                            <a:prstDash val="solid"/>
                            <a:headEnd type="none" w="med" len="med"/>
                            <a:tailEnd type="none" w="med" len="med"/>
                          </a:ln>
                        </wps:spPr>
                        <wps:bodyPr/>
                      </wps:wsp>
                      <wps:wsp>
                        <wps:cNvPr id="100" name="任意多边形 88"/>
                        <wps:cNvSpPr/>
                        <wps:spPr>
                          <a:xfrm>
                            <a:off x="251460" y="6350"/>
                            <a:ext cx="34290" cy="55880"/>
                          </a:xfrm>
                          <a:custGeom>
                            <a:avLst/>
                            <a:gdLst/>
                            <a:ahLst/>
                            <a:cxnLst/>
                            <a:rect l="0" t="0" r="0" b="0"/>
                            <a:pathLst>
                              <a:path w="54" h="88">
                                <a:moveTo>
                                  <a:pt x="0" y="45"/>
                                </a:moveTo>
                                <a:lnTo>
                                  <a:pt x="14" y="0"/>
                                </a:lnTo>
                                <a:lnTo>
                                  <a:pt x="28" y="88"/>
                                </a:lnTo>
                                <a:lnTo>
                                  <a:pt x="54" y="45"/>
                                </a:lnTo>
                              </a:path>
                            </a:pathLst>
                          </a:custGeom>
                          <a:noFill/>
                          <a:ln w="0" cap="flat" cmpd="sng">
                            <a:solidFill>
                              <a:srgbClr val="000000"/>
                            </a:solidFill>
                            <a:prstDash val="solid"/>
                            <a:headEnd type="none" w="med" len="med"/>
                            <a:tailEnd type="none" w="med" len="med"/>
                          </a:ln>
                        </wps:spPr>
                        <wps:bodyPr upright="1"/>
                      </wps:wsp>
                      <wps:wsp>
                        <wps:cNvPr id="101" name="直线 89"/>
                        <wps:cNvCnPr/>
                        <wps:spPr>
                          <a:xfrm flipH="1">
                            <a:off x="165100" y="34925"/>
                            <a:ext cx="34925" cy="635"/>
                          </a:xfrm>
                          <a:prstGeom prst="line">
                            <a:avLst/>
                          </a:prstGeom>
                          <a:ln w="0" cap="flat" cmpd="sng">
                            <a:solidFill>
                              <a:srgbClr val="000000"/>
                            </a:solidFill>
                            <a:prstDash val="solid"/>
                            <a:headEnd type="none" w="med" len="med"/>
                            <a:tailEnd type="none" w="med" len="med"/>
                          </a:ln>
                        </wps:spPr>
                        <wps:bodyPr/>
                      </wps:wsp>
                      <wps:wsp>
                        <wps:cNvPr id="102" name="直线 90"/>
                        <wps:cNvCnPr/>
                        <wps:spPr>
                          <a:xfrm>
                            <a:off x="1336040" y="34925"/>
                            <a:ext cx="34290" cy="635"/>
                          </a:xfrm>
                          <a:prstGeom prst="line">
                            <a:avLst/>
                          </a:prstGeom>
                          <a:ln w="0" cap="flat" cmpd="sng">
                            <a:solidFill>
                              <a:srgbClr val="000000"/>
                            </a:solidFill>
                            <a:prstDash val="solid"/>
                            <a:headEnd type="none" w="med" len="med"/>
                            <a:tailEnd type="none" w="med" len="med"/>
                          </a:ln>
                        </wps:spPr>
                        <wps:bodyPr/>
                      </wps:wsp>
                      <wps:wsp>
                        <wps:cNvPr id="103" name="直线 91"/>
                        <wps:cNvCnPr/>
                        <wps:spPr>
                          <a:xfrm>
                            <a:off x="1198245" y="34925"/>
                            <a:ext cx="51435" cy="635"/>
                          </a:xfrm>
                          <a:prstGeom prst="line">
                            <a:avLst/>
                          </a:prstGeom>
                          <a:ln w="0" cap="flat" cmpd="sng">
                            <a:solidFill>
                              <a:srgbClr val="000000"/>
                            </a:solidFill>
                            <a:prstDash val="solid"/>
                            <a:headEnd type="none" w="med" len="med"/>
                            <a:tailEnd type="none" w="med" len="med"/>
                          </a:ln>
                        </wps:spPr>
                        <wps:bodyPr/>
                      </wps:wsp>
                      <wps:wsp>
                        <wps:cNvPr id="104" name="直线 92"/>
                        <wps:cNvCnPr/>
                        <wps:spPr>
                          <a:xfrm flipH="1">
                            <a:off x="1284605" y="34925"/>
                            <a:ext cx="51435" cy="635"/>
                          </a:xfrm>
                          <a:prstGeom prst="line">
                            <a:avLst/>
                          </a:prstGeom>
                          <a:ln w="0" cap="flat" cmpd="sng">
                            <a:solidFill>
                              <a:srgbClr val="000000"/>
                            </a:solidFill>
                            <a:prstDash val="solid"/>
                            <a:headEnd type="none" w="med" len="med"/>
                            <a:tailEnd type="none" w="med" len="med"/>
                          </a:ln>
                        </wps:spPr>
                        <wps:bodyPr/>
                      </wps:wsp>
                      <wps:wsp>
                        <wps:cNvPr id="105" name="任意多边形 93"/>
                        <wps:cNvSpPr/>
                        <wps:spPr>
                          <a:xfrm>
                            <a:off x="1249680" y="6350"/>
                            <a:ext cx="34925" cy="55880"/>
                          </a:xfrm>
                          <a:custGeom>
                            <a:avLst/>
                            <a:gdLst/>
                            <a:ahLst/>
                            <a:cxnLst/>
                            <a:rect l="0" t="0" r="0" b="0"/>
                            <a:pathLst>
                              <a:path w="55" h="88">
                                <a:moveTo>
                                  <a:pt x="0" y="45"/>
                                </a:moveTo>
                                <a:lnTo>
                                  <a:pt x="14" y="0"/>
                                </a:lnTo>
                                <a:lnTo>
                                  <a:pt x="29" y="88"/>
                                </a:lnTo>
                                <a:lnTo>
                                  <a:pt x="55" y="45"/>
                                </a:lnTo>
                              </a:path>
                            </a:pathLst>
                          </a:custGeom>
                          <a:noFill/>
                          <a:ln w="0" cap="flat" cmpd="sng">
                            <a:solidFill>
                              <a:srgbClr val="000000"/>
                            </a:solidFill>
                            <a:prstDash val="solid"/>
                            <a:headEnd type="none" w="med" len="med"/>
                            <a:tailEnd type="none" w="med" len="med"/>
                          </a:ln>
                        </wps:spPr>
                        <wps:bodyPr upright="1"/>
                      </wps:wsp>
                      <wps:wsp>
                        <wps:cNvPr id="106" name="直线 94"/>
                        <wps:cNvCnPr/>
                        <wps:spPr>
                          <a:xfrm flipH="1">
                            <a:off x="1163955" y="34925"/>
                            <a:ext cx="34290" cy="635"/>
                          </a:xfrm>
                          <a:prstGeom prst="line">
                            <a:avLst/>
                          </a:prstGeom>
                          <a:ln w="0" cap="flat" cmpd="sng">
                            <a:solidFill>
                              <a:srgbClr val="000000"/>
                            </a:solidFill>
                            <a:prstDash val="solid"/>
                            <a:headEnd type="none" w="med" len="med"/>
                            <a:tailEnd type="none" w="med" len="med"/>
                          </a:ln>
                        </wps:spPr>
                        <wps:bodyPr/>
                      </wps:wsp>
                      <wps:wsp>
                        <wps:cNvPr id="107" name="直线 95"/>
                        <wps:cNvCnPr/>
                        <wps:spPr>
                          <a:xfrm>
                            <a:off x="1336040" y="1154430"/>
                            <a:ext cx="34290" cy="635"/>
                          </a:xfrm>
                          <a:prstGeom prst="line">
                            <a:avLst/>
                          </a:prstGeom>
                          <a:ln w="0" cap="flat" cmpd="sng">
                            <a:solidFill>
                              <a:srgbClr val="000000"/>
                            </a:solidFill>
                            <a:prstDash val="solid"/>
                            <a:headEnd type="none" w="med" len="med"/>
                            <a:tailEnd type="none" w="med" len="med"/>
                          </a:ln>
                        </wps:spPr>
                        <wps:bodyPr/>
                      </wps:wsp>
                      <wps:wsp>
                        <wps:cNvPr id="108" name="直线 96"/>
                        <wps:cNvCnPr/>
                        <wps:spPr>
                          <a:xfrm>
                            <a:off x="1198245" y="1154430"/>
                            <a:ext cx="51435" cy="635"/>
                          </a:xfrm>
                          <a:prstGeom prst="line">
                            <a:avLst/>
                          </a:prstGeom>
                          <a:ln w="0" cap="flat" cmpd="sng">
                            <a:solidFill>
                              <a:srgbClr val="000000"/>
                            </a:solidFill>
                            <a:prstDash val="solid"/>
                            <a:headEnd type="none" w="med" len="med"/>
                            <a:tailEnd type="none" w="med" len="med"/>
                          </a:ln>
                        </wps:spPr>
                        <wps:bodyPr/>
                      </wps:wsp>
                      <wps:wsp>
                        <wps:cNvPr id="109" name="直线 97"/>
                        <wps:cNvCnPr/>
                        <wps:spPr>
                          <a:xfrm flipH="1">
                            <a:off x="1284605" y="1154430"/>
                            <a:ext cx="51435" cy="635"/>
                          </a:xfrm>
                          <a:prstGeom prst="line">
                            <a:avLst/>
                          </a:prstGeom>
                          <a:ln w="0" cap="flat" cmpd="sng">
                            <a:solidFill>
                              <a:srgbClr val="000000"/>
                            </a:solidFill>
                            <a:prstDash val="solid"/>
                            <a:headEnd type="none" w="med" len="med"/>
                            <a:tailEnd type="none" w="med" len="med"/>
                          </a:ln>
                        </wps:spPr>
                        <wps:bodyPr/>
                      </wps:wsp>
                      <wps:wsp>
                        <wps:cNvPr id="110" name="任意多边形 98"/>
                        <wps:cNvSpPr/>
                        <wps:spPr>
                          <a:xfrm>
                            <a:off x="1249680" y="1125855"/>
                            <a:ext cx="34925" cy="55880"/>
                          </a:xfrm>
                          <a:custGeom>
                            <a:avLst/>
                            <a:gdLst/>
                            <a:ahLst/>
                            <a:cxnLst/>
                            <a:rect l="0" t="0" r="0" b="0"/>
                            <a:pathLst>
                              <a:path w="55" h="88">
                                <a:moveTo>
                                  <a:pt x="0" y="45"/>
                                </a:moveTo>
                                <a:lnTo>
                                  <a:pt x="14" y="0"/>
                                </a:lnTo>
                                <a:lnTo>
                                  <a:pt x="29" y="88"/>
                                </a:lnTo>
                                <a:lnTo>
                                  <a:pt x="55" y="45"/>
                                </a:lnTo>
                              </a:path>
                            </a:pathLst>
                          </a:custGeom>
                          <a:noFill/>
                          <a:ln w="0" cap="flat" cmpd="sng">
                            <a:solidFill>
                              <a:srgbClr val="000000"/>
                            </a:solidFill>
                            <a:prstDash val="solid"/>
                            <a:headEnd type="none" w="med" len="med"/>
                            <a:tailEnd type="none" w="med" len="med"/>
                          </a:ln>
                        </wps:spPr>
                        <wps:bodyPr upright="1"/>
                      </wps:wsp>
                      <wps:wsp>
                        <wps:cNvPr id="111" name="直线 99"/>
                        <wps:cNvCnPr/>
                        <wps:spPr>
                          <a:xfrm flipH="1">
                            <a:off x="1163955" y="1154430"/>
                            <a:ext cx="34290" cy="635"/>
                          </a:xfrm>
                          <a:prstGeom prst="line">
                            <a:avLst/>
                          </a:prstGeom>
                          <a:ln w="0" cap="flat" cmpd="sng">
                            <a:solidFill>
                              <a:srgbClr val="000000"/>
                            </a:solidFill>
                            <a:prstDash val="solid"/>
                            <a:headEnd type="none" w="med" len="med"/>
                            <a:tailEnd type="none" w="med" len="med"/>
                          </a:ln>
                        </wps:spPr>
                        <wps:bodyPr/>
                      </wps:wsp>
                      <wps:wsp>
                        <wps:cNvPr id="112" name="直线 100"/>
                        <wps:cNvCnPr/>
                        <wps:spPr>
                          <a:xfrm>
                            <a:off x="337185" y="1154430"/>
                            <a:ext cx="34925" cy="635"/>
                          </a:xfrm>
                          <a:prstGeom prst="line">
                            <a:avLst/>
                          </a:prstGeom>
                          <a:ln w="0" cap="flat" cmpd="sng">
                            <a:solidFill>
                              <a:srgbClr val="000000"/>
                            </a:solidFill>
                            <a:prstDash val="solid"/>
                            <a:headEnd type="none" w="med" len="med"/>
                            <a:tailEnd type="none" w="med" len="med"/>
                          </a:ln>
                        </wps:spPr>
                        <wps:bodyPr/>
                      </wps:wsp>
                      <wps:wsp>
                        <wps:cNvPr id="113" name="直线 101"/>
                        <wps:cNvCnPr/>
                        <wps:spPr>
                          <a:xfrm>
                            <a:off x="200025" y="1154430"/>
                            <a:ext cx="51435" cy="635"/>
                          </a:xfrm>
                          <a:prstGeom prst="line">
                            <a:avLst/>
                          </a:prstGeom>
                          <a:ln w="0" cap="flat" cmpd="sng">
                            <a:solidFill>
                              <a:srgbClr val="000000"/>
                            </a:solidFill>
                            <a:prstDash val="solid"/>
                            <a:headEnd type="none" w="med" len="med"/>
                            <a:tailEnd type="none" w="med" len="med"/>
                          </a:ln>
                        </wps:spPr>
                        <wps:bodyPr/>
                      </wps:wsp>
                      <wps:wsp>
                        <wps:cNvPr id="114" name="直线 102"/>
                        <wps:cNvCnPr/>
                        <wps:spPr>
                          <a:xfrm flipH="1">
                            <a:off x="285750" y="1154430"/>
                            <a:ext cx="51435" cy="635"/>
                          </a:xfrm>
                          <a:prstGeom prst="line">
                            <a:avLst/>
                          </a:prstGeom>
                          <a:ln w="0" cap="flat" cmpd="sng">
                            <a:solidFill>
                              <a:srgbClr val="000000"/>
                            </a:solidFill>
                            <a:prstDash val="solid"/>
                            <a:headEnd type="none" w="med" len="med"/>
                            <a:tailEnd type="none" w="med" len="med"/>
                          </a:ln>
                        </wps:spPr>
                        <wps:bodyPr/>
                      </wps:wsp>
                      <wps:wsp>
                        <wps:cNvPr id="115" name="任意多边形 103"/>
                        <wps:cNvSpPr/>
                        <wps:spPr>
                          <a:xfrm>
                            <a:off x="251460" y="1125855"/>
                            <a:ext cx="34290" cy="55880"/>
                          </a:xfrm>
                          <a:custGeom>
                            <a:avLst/>
                            <a:gdLst/>
                            <a:ahLst/>
                            <a:cxnLst/>
                            <a:rect l="0" t="0" r="0" b="0"/>
                            <a:pathLst>
                              <a:path w="54" h="88">
                                <a:moveTo>
                                  <a:pt x="0" y="45"/>
                                </a:moveTo>
                                <a:lnTo>
                                  <a:pt x="14" y="0"/>
                                </a:lnTo>
                                <a:lnTo>
                                  <a:pt x="28" y="88"/>
                                </a:lnTo>
                                <a:lnTo>
                                  <a:pt x="54" y="45"/>
                                </a:lnTo>
                              </a:path>
                            </a:pathLst>
                          </a:custGeom>
                          <a:noFill/>
                          <a:ln w="0" cap="flat" cmpd="sng">
                            <a:solidFill>
                              <a:srgbClr val="000000"/>
                            </a:solidFill>
                            <a:prstDash val="solid"/>
                            <a:headEnd type="none" w="med" len="med"/>
                            <a:tailEnd type="none" w="med" len="med"/>
                          </a:ln>
                        </wps:spPr>
                        <wps:bodyPr upright="1"/>
                      </wps:wsp>
                      <wps:wsp>
                        <wps:cNvPr id="116" name="直线 104"/>
                        <wps:cNvCnPr/>
                        <wps:spPr>
                          <a:xfrm flipH="1">
                            <a:off x="165100" y="1154430"/>
                            <a:ext cx="34925" cy="635"/>
                          </a:xfrm>
                          <a:prstGeom prst="line">
                            <a:avLst/>
                          </a:prstGeom>
                          <a:ln w="0" cap="flat" cmpd="sng">
                            <a:solidFill>
                              <a:srgbClr val="000000"/>
                            </a:solidFill>
                            <a:prstDash val="solid"/>
                            <a:headEnd type="none" w="med" len="med"/>
                            <a:tailEnd type="none" w="med" len="med"/>
                          </a:ln>
                        </wps:spPr>
                        <wps:bodyPr/>
                      </wps:wsp>
                    </wpc:wpc>
                  </a:graphicData>
                </a:graphic>
              </wp:inline>
            </w:drawing>
          </mc:Choice>
          <mc:Fallback>
            <w:pict>
              <v:group id="画布 67" o:spid="_x0000_s1026" o:spt="203" style="height:93.55pt;width:108.35pt;" coordsize="1376045,1188085" editas="canvas" o:gfxdata="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Txm9&#10;ItQAAAAFAQAADwAAAAAAAAABACAAAAAiAAAAZHJzL2Rvd25yZXYueG1sUEsBAhQAFAAAAAgAh07i&#10;QH/gL4l+BwAAqk8AAA4AAAAAAAAAAQAgAAAAIwEAAGRycy9lMm9Eb2MueG1sUEsFBgAAAAAGAAYA&#10;WQEAABMLAAAAAA==&#10;">
                <o:lock v:ext="edit" aspectratio="f"/>
                <v:shape id="画布 67" o:spid="_x0000_s1026" style="position:absolute;left:0;top:0;height:1188085;width:1376045;" fillcolor="#FFFFFF" filled="t" stroked="f" coordsize="21600,21600" o:gfxdata="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">
                  <v:fill on="t" focussize="0,0"/>
                  <v:stroke on="f"/>
                  <v:imagedata o:title=""/>
                  <o:lock v:ext="edit" aspectratio="t"/>
                </v:shape>
                <v:rect id="矩形 69" o:spid="_x0000_s1026" o:spt="1" style="position:absolute;left:26035;top:113665;height:273050;width:64135;mso-wrap-style:none;" filled="f" stroked="f" coordsize="21600,21600" o:gfxdata="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hMx7/0wAAAAUBAAAPAAAAAAAAAAEAIAAAACIAAABkcnMvZG93&#10;bnJldi54bWxQSwECFAAUAAAACACHTuJA8qKBpMwBAACTAwAADgAAAAAAAAABACAAAAAiAQAAZHJz&#10;L2Uyb0RvYy54bWxQSwUGAAAAAAYABgBZAQAAYAUAAAAA&#10;">
                  <v:fill on="f" focussize="0,0"/>
                  <v:stroke on="f"/>
                  <v:imagedata o:title=""/>
                  <o:lock v:ext="edit" aspectratio="f"/>
                  <v:textbox inset="0mm,0mm,0mm,0mm" style="mso-fit-shape-to-text:t;">
                    <w:txbxContent>
                      <w:p>
                        <w:r>
                          <w:rPr>
                            <w:rFonts w:ascii="Times New Roman" w:hAnsi="Times New Roman" w:cs="Times New Roman"/>
                            <w:color w:val="000000"/>
                            <w:sz w:val="20"/>
                            <w:szCs w:val="20"/>
                          </w:rPr>
                          <w:t>1</w:t>
                        </w:r>
                      </w:p>
                    </w:txbxContent>
                  </v:textbox>
                </v:rect>
                <v:rect id="矩形 70" o:spid="_x0000_s1026" o:spt="1" style="position:absolute;left:24765;top:600710;height:273050;width:64135;mso-wrap-style:none;" filled="f" stroked="f" coordsize="21600,21600" o:gfxdata="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TMe/9MAAAAFAQAADwAAAAAAAAABACAAAAAiAAAAZHJzL2Rv&#10;d25yZXYueG1sUEsBAhQAFAAAAAgAh07iQKMjHnrNAQAAkwMAAA4AAAAAAAAAAQAgAAAAIgEAAGRy&#10;cy9lMm9Eb2MueG1sUEsFBgAAAAAGAAYAWQEAAGEFAAAAAA==&#10;">
                  <v:fill on="f" focussize="0,0"/>
                  <v:stroke on="f"/>
                  <v:imagedata o:title=""/>
                  <o:lock v:ext="edit" aspectratio="f"/>
                  <v:textbox inset="0mm,0mm,0mm,0mm" style="mso-fit-shape-to-text:t;">
                    <w:txbxContent>
                      <w:p>
                        <w:r>
                          <w:rPr>
                            <w:rFonts w:ascii="Times New Roman" w:hAnsi="Times New Roman" w:cs="Times New Roman"/>
                            <w:color w:val="000000"/>
                            <w:sz w:val="20"/>
                            <w:szCs w:val="20"/>
                          </w:rPr>
                          <w:t>2</w:t>
                        </w:r>
                      </w:p>
                    </w:txbxContent>
                  </v:textbox>
                </v:rect>
                <v:rect id="矩形 71" o:spid="_x0000_s1026" o:spt="1" style="position:absolute;left:624840;top:519430;height:273050;width:64135;mso-wrap-style:none;" filled="f" stroked="f" coordsize="21600,21600" o:gfxdata="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Mx7/0wAAAAUBAAAPAAAAAAAAAAEAIAAAACIAAABkcnMv&#10;ZG93bnJldi54bWxQSwECFAAUAAAACACHTuJAi75xa88BAACVAwAADgAAAAAAAAABACAAAAAiAQAA&#10;ZHJzL2Uyb0RvYy54bWxQSwUGAAAAAAYABgBZAQAAYwUAAAAA&#10;">
                  <v:fill on="f" focussize="0,0"/>
                  <v:stroke on="f"/>
                  <v:imagedata o:title=""/>
                  <o:lock v:ext="edit" aspectratio="f"/>
                  <v:textbox inset="0mm,0mm,0mm,0mm" style="mso-fit-shape-to-text:t;">
                    <w:txbxContent>
                      <w:p>
                        <w:r>
                          <w:rPr>
                            <w:rFonts w:hint="eastAsia" w:ascii="Times New Roman" w:hAnsi="Times New Roman" w:cs="Times New Roman"/>
                            <w:color w:val="000000"/>
                            <w:sz w:val="20"/>
                            <w:szCs w:val="20"/>
                          </w:rPr>
                          <w:t>3</w:t>
                        </w:r>
                      </w:p>
                    </w:txbxContent>
                  </v:textbox>
                </v:rect>
                <v:line id="直线 72" o:spid="_x0000_s1026" o:spt="20" style="position:absolute;left:6350;top:254000;flip:x;height:635;width:384810;"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RC&#10;8dUAAAAFAQAADwAAAAAAAAABACAAAAAiAAAAZHJzL2Rvd25yZXYueG1sUEsBAhQAFAAAAAgAh07i&#10;QJYwoB3sAQAA4QMAAA4AAAAAAAAAAQAgAAAAJAEAAGRycy9lMm9Eb2MueG1sUEsFBgAAAAAGAAYA&#10;WQEAAIIFAAAAAA==&#10;">
                  <v:fill on="f" focussize="0,0"/>
                  <v:stroke weight="0pt" color="#000000" joinstyle="round"/>
                  <v:imagedata o:title=""/>
                  <o:lock v:ext="edit" aspectratio="f"/>
                </v:line>
                <v:line id="直线 73" o:spid="_x0000_s1026" o:spt="20" style="position:absolute;left:6350;top:734695;flip:x;height:635;width:265430;"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5ELx1QAAAAUBAAAPAAAAAAAAAAEAIAAAACIAAABkcnMvZG93bnJldi54bWxQSwECFAAUAAAACACH&#10;TuJAbFVT2O4BAADhAwAADgAAAAAAAAABACAAAAAkAQAAZHJzL2Uyb0RvYy54bWxQSwUGAAAAAAYA&#10;BgBZAQAAhAUAAAAA&#10;">
                  <v:fill on="f" focussize="0,0"/>
                  <v:stroke weight="0pt" color="#000000" joinstyle="round"/>
                  <v:imagedata o:title=""/>
                  <o:lock v:ext="edit" aspectratio="f"/>
                </v:line>
                <v:shape id="任意多边形 74" o:spid="_x0000_s1026" o:spt="100" style="position:absolute;left:617855;top:647065;height:85090;width:124460;" filled="f" stroked="t" coordsize="196,134" o:gfxdata="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ZTbo1QAAAAUBAAAPAAAA&#10;AAAAAAEAIAAAACIAAABkcnMvZG93bnJldi54bWxQSwECFAAUAAAACACHTuJARqzwmlECAADdBAAA&#10;DgAAAAAAAAABACAAAAAkAQAAZHJzL2Uyb0RvYy54bWxQSwUGAAAAAAYABgBZAQAA5wUAAAAA&#10;" path="m196,134l136,0,0,0e">
                  <v:fill on="f" focussize="0,0"/>
                  <v:stroke weight="0pt" color="#000000" joinstyle="round"/>
                  <v:imagedata o:title=""/>
                  <o:lock v:ext="edit" aspectratio="f"/>
                </v:shape>
                <v:line id="直线 75" o:spid="_x0000_s1026" o:spt="20" style="position:absolute;left:337185;top:86360;height:635;width:861060;"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eTBL0wAA&#10;AAUBAAAPAAAAAAAAAAEAIAAAACIAAABkcnMvZG93bnJldi54bWxQSwECFAAUAAAACACHTuJAhhA4&#10;SOoBAADYAwAADgAAAAAAAAABACAAAAAiAQAAZHJzL2Uyb0RvYy54bWxQSwUGAAAAAAYABgBZAQAA&#10;fgUAAAAA&#10;">
                  <v:fill on="f" focussize="0,0"/>
                  <v:stroke weight="0pt" color="#000000" joinstyle="round"/>
                  <v:imagedata o:title=""/>
                  <o:lock v:ext="edit" aspectratio="f"/>
                </v:line>
                <v:line id="直线 76" o:spid="_x0000_s1026" o:spt="20" style="position:absolute;left:337185;top:181610;height:635;width:861060;"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eTBL0wAAAAUB&#10;AAAPAAAAAAAAAAEAIAAAACIAAABkcnMvZG93bnJldi54bWxQSwECFAAUAAAACACHTuJA3pi5X+cB&#10;AADZAwAADgAAAAAAAAABACAAAAAiAQAAZHJzL2Uyb0RvYy54bWxQSwUGAAAAAAYABgBZAQAAewUA&#10;AAAA&#10;">
                  <v:fill on="f" focussize="0,0"/>
                  <v:stroke weight="0pt" color="#000000" joinstyle="round"/>
                  <v:imagedata o:title=""/>
                  <o:lock v:ext="edit" aspectratio="f"/>
                </v:line>
                <v:line id="直线 77" o:spid="_x0000_s1026" o:spt="20" style="position:absolute;left:337185;top:456565;height:635;width:861060;"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3kwS9MA&#10;AAAFAQAADwAAAAAAAAABACAAAAAiAAAAZHJzL2Rvd25yZXYueG1sUEsBAhQAFAAAAAgAh07iQFOF&#10;auTrAQAA2QMAAA4AAAAAAAAAAQAgAAAAIgEAAGRycy9lMm9Eb2MueG1sUEsFBgAAAAAGAAYAWQEA&#10;AH8FAAAAAA==&#10;">
                  <v:fill on="f" focussize="0,0"/>
                  <v:stroke weight="0pt" color="#000000" joinstyle="round"/>
                  <v:imagedata o:title=""/>
                  <o:lock v:ext="edit" aspectratio="f"/>
                </v:line>
                <v:line id="直线 78" o:spid="_x0000_s1026" o:spt="20" style="position:absolute;left:337185;top:732155;height:635;width:861060;"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3kwS9MAAAAF&#10;AQAADwAAAAAAAAABACAAAAAiAAAAZHJzL2Rvd25yZXYueG1sUEsBAhQAFAAAAAgAh07iQA9fA2Xo&#10;AQAA2QMAAA4AAAAAAAAAAQAgAAAAIgEAAGRycy9lMm9Eb2MueG1sUEsFBgAAAAAGAAYAWQEAAHwF&#10;AAAAAA==&#10;">
                  <v:fill on="f" focussize="0,0"/>
                  <v:stroke weight="0pt" color="#000000" joinstyle="round"/>
                  <v:imagedata o:title=""/>
                  <o:lock v:ext="edit" aspectratio="f"/>
                </v:line>
                <v:line id="直线 79" o:spid="_x0000_s1026" o:spt="20" style="position:absolute;left:337185;top:1007745;height:635;width:861060;"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t5MEvT&#10;AAAABQEAAA8AAAAAAAAAAQAgAAAAIgAAAGRycy9kb3ducmV2LnhtbFBLAQIUABQAAAAIAIdO4kD3&#10;c8OX7AEAANoDAAAOAAAAAAAAAAEAIAAAACIBAABkcnMvZTJvRG9jLnhtbFBLBQYAAAAABgAGAFkB&#10;AACABQAAAAA=&#10;">
                  <v:fill on="f" focussize="0,0"/>
                  <v:stroke weight="0pt" color="#000000" joinstyle="round"/>
                  <v:imagedata o:title=""/>
                  <o:lock v:ext="edit" aspectratio="f"/>
                </v:line>
                <v:line id="直线 80" o:spid="_x0000_s1026" o:spt="20" style="position:absolute;left:337185;top:1102360;height:635;width:861060;"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3kwS9MAAAAF&#10;AQAADwAAAAAAAAABACAAAAAiAAAAZHJzL2Rvd25yZXYueG1sUEsBAhQAFAAAAAgAh07iQB5zz2jo&#10;AQAA2gMAAA4AAAAAAAAAAQAgAAAAIgEAAGRycy9lMm9Eb2MueG1sUEsFBgAAAAAGAAYAWQEAAHwF&#10;AAAAAA==&#10;">
                  <v:fill on="f" focussize="0,0"/>
                  <v:stroke weight="0pt" color="#000000" joinstyle="round"/>
                  <v:imagedata o:title=""/>
                  <o:lock v:ext="edit" aspectratio="f"/>
                </v:line>
                <v:line id="直线 81" o:spid="_x0000_s1026" o:spt="20" style="position:absolute;left:1198245;top:34925;height:1119505;width:635;"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t5MEvT&#10;AAAABQEAAA8AAAAAAAAAAQAgAAAAIgAAAGRycy9kb3ducmV2LnhtbFBLAQIUABQAAAAIAIdO4kAA&#10;JiqL7AEAANoDAAAOAAAAAAAAAAEAIAAAACIBAABkcnMvZTJvRG9jLnhtbFBLBQYAAAAABgAGAFkB&#10;AACABQAAAAA=&#10;">
                  <v:fill on="f" focussize="0,0"/>
                  <v:stroke weight="0pt" color="#000000" joinstyle="round"/>
                  <v:imagedata o:title=""/>
                  <o:lock v:ext="edit" aspectratio="f"/>
                </v:line>
                <v:line id="直线 82" o:spid="_x0000_s1026" o:spt="20" style="position:absolute;left:1318895;top:34925;height:1119505;width:635;"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t5MEvT&#10;AAAABQEAAA8AAAAAAAAAAQAgAAAAIgAAAGRycy9kb3ducmV2LnhtbFBLAQIUABQAAAAIAIdO4kDo&#10;JOFC7AEAANoDAAAOAAAAAAAAAAEAIAAAACIBAABkcnMvZTJvRG9jLnhtbFBLBQYAAAAABgAGAFkB&#10;AACABQAAAAA=&#10;">
                  <v:fill on="f" focussize="0,0"/>
                  <v:stroke weight="0pt" color="#000000" joinstyle="round"/>
                  <v:imagedata o:title=""/>
                  <o:lock v:ext="edit" aspectratio="f"/>
                </v:line>
                <v:line id="直线 83" o:spid="_x0000_s1026" o:spt="20" style="position:absolute;left:337185;top:34925;flip:y;height:1119505;width:635;"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kQvHVAAAABQEAAA8AAAAAAAAAAQAgAAAAIgAAAGRycy9kb3ducmV2LnhtbFBLAQIUABQA&#10;AAAIAIdO4kApjh0J8wEAAOMDAAAOAAAAAAAAAAEAIAAAACQBAABkcnMvZTJvRG9jLnhtbFBLBQYA&#10;AAAABgAGAFkBAACJBQAAAAA=&#10;">
                  <v:fill on="f" focussize="0,0"/>
                  <v:stroke weight="0pt" color="#000000" joinstyle="round"/>
                  <v:imagedata o:title=""/>
                  <o:lock v:ext="edit" aspectratio="f"/>
                </v:line>
                <v:line id="直线 84" o:spid="_x0000_s1026" o:spt="20" style="position:absolute;left:216535;top:34925;flip:y;height:1119505;width:635;"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kQvHVAAAABQEAAA8AAAAAAAAAAQAgAAAAIgAAAGRycy9kb3ducmV2LnhtbFBLAQIUABQA&#10;AAAIAIdO4kBHvovk8wEAAOMDAAAOAAAAAAAAAAEAIAAAACQBAABkcnMvZTJvRG9jLnhtbFBLBQYA&#10;AAAABgAGAFkBAACJBQAAAAA=&#10;">
                  <v:fill on="f" focussize="0,0"/>
                  <v:stroke weight="0pt" color="#000000" joinstyle="round"/>
                  <v:imagedata o:title=""/>
                  <o:lock v:ext="edit" aspectratio="f"/>
                </v:line>
                <v:line id="直线 85" o:spid="_x0000_s1026" o:spt="20" style="position:absolute;left:337185;top:34925;height:635;width:34925;"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t5MEvTAAAABQEA&#10;AA8AAAAAAAAAAQAgAAAAIgAAAGRycy9kb3ducmV2LnhtbFBLAQIUABQAAAAIAIdO4kAQS5pG5gEA&#10;ANcDAAAOAAAAAAAAAAEAIAAAACIBAABkcnMvZTJvRG9jLnhtbFBLBQYAAAAABgAGAFkBAAB6BQAA&#10;AAA=&#10;">
                  <v:fill on="f" focussize="0,0"/>
                  <v:stroke weight="0pt" color="#000000" joinstyle="round"/>
                  <v:imagedata o:title=""/>
                  <o:lock v:ext="edit" aspectratio="f"/>
                </v:line>
                <v:line id="直线 86" o:spid="_x0000_s1026" o:spt="20" style="position:absolute;left:200025;top:34925;height:635;width:51435;"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3kwS9MAAAAFAQAA&#10;DwAAAAAAAAABACAAAAAiAAAAZHJzL2Rvd25yZXYueG1sUEsBAhQAFAAAAAgAh07iQMZpUGTlAQAA&#10;1wMAAA4AAAAAAAAAAQAgAAAAIgEAAGRycy9lMm9Eb2MueG1sUEsFBgAAAAAGAAYAWQEAAHkFAAAA&#10;AA==&#10;">
                  <v:fill on="f" focussize="0,0"/>
                  <v:stroke weight="0pt" color="#000000" joinstyle="round"/>
                  <v:imagedata o:title=""/>
                  <o:lock v:ext="edit" aspectratio="f"/>
                </v:line>
                <v:line id="直线 87" o:spid="_x0000_s1026" o:spt="20" style="position:absolute;left:285750;top:34925;flip:x;height:635;width:51435;"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RC8dUAAAAFAQAADwAAAAAAAAABACAAAAAiAAAAZHJzL2Rvd25yZXYueG1sUEsBAhQAFAAA&#10;AAgAh07iQJh3ERTyAQAA4QMAAA4AAAAAAAAAAQAgAAAAJAEAAGRycy9lMm9Eb2MueG1sUEsFBgAA&#10;AAAGAAYAWQEAAIgFAAAAAA==&#10;">
                  <v:fill on="f" focussize="0,0"/>
                  <v:stroke weight="0pt" color="#000000" joinstyle="round"/>
                  <v:imagedata o:title=""/>
                  <o:lock v:ext="edit" aspectratio="f"/>
                </v:line>
                <v:shape id="任意多边形 88" o:spid="_x0000_s1026" o:spt="100" style="position:absolute;left:251460;top:6350;height:55880;width:34290;" filled="f" stroked="t" coordsize="54,88" o:gfxdata="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wUumTUAAAA&#10;BQEAAA8AAAAAAAAAAQAgAAAAIgAAAGRycy9kb3ducmV2LnhtbFBLAQIUABQAAAAIAIdO4kBTD/yx&#10;WgIAAP0EAAAOAAAAAAAAAAEAIAAAACMBAABkcnMvZTJvRG9jLnhtbFBLBQYAAAAABgAGAFkBAADv&#10;BQAAAAA=&#10;" path="m0,45l14,0,28,88,54,45e">
                  <v:fill on="f" focussize="0,0"/>
                  <v:stroke weight="0pt" color="#000000" joinstyle="round"/>
                  <v:imagedata o:title=""/>
                  <o:lock v:ext="edit" aspectratio="f"/>
                </v:shape>
                <v:line id="直线 89" o:spid="_x0000_s1026" o:spt="20" style="position:absolute;left:165100;top:34925;flip:x;height:635;width:34925;"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fk&#10;QvHVAAAABQEAAA8AAAAAAAAAAQAgAAAAIgAAAGRycy9kb3ducmV2LnhtbFBLAQIUABQAAAAIAIdO&#10;4kCtlc017QEAAOIDAAAOAAAAAAAAAAEAIAAAACQBAABkcnMvZTJvRG9jLnhtbFBLBQYAAAAABgAG&#10;AFkBAACDBQAAAAA=&#10;">
                  <v:fill on="f" focussize="0,0"/>
                  <v:stroke weight="0pt" color="#000000" joinstyle="round"/>
                  <v:imagedata o:title=""/>
                  <o:lock v:ext="edit" aspectratio="f"/>
                </v:line>
                <v:line id="直线 90" o:spid="_x0000_s1026" o:spt="20" style="position:absolute;left:1336040;top:34925;height:635;width:34290;"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3kwS9MAAAAF&#10;AQAADwAAAAAAAAABACAAAAAiAAAAZHJzL2Rvd25yZXYueG1sUEsBAhQAFAAAAAgAh07iQHAY++ro&#10;AQAA2QMAAA4AAAAAAAAAAQAgAAAAIgEAAGRycy9lMm9Eb2MueG1sUEsFBgAAAAAGAAYAWQEAAHwF&#10;AAAAAA==&#10;">
                  <v:fill on="f" focussize="0,0"/>
                  <v:stroke weight="0pt" color="#000000" joinstyle="round"/>
                  <v:imagedata o:title=""/>
                  <o:lock v:ext="edit" aspectratio="f"/>
                </v:line>
                <v:line id="直线 91" o:spid="_x0000_s1026" o:spt="20" style="position:absolute;left:1198245;top:34925;height:635;width:51435;"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3kwS9MAAAAF&#10;AQAADwAAAAAAAAABACAAAAAiAAAAZHJzL2Rvd25yZXYueG1sUEsBAhQAFAAAAAgAh07iQPIo/Kno&#10;AQAA2QMAAA4AAAAAAAAAAQAgAAAAIgEAAGRycy9lMm9Eb2MueG1sUEsFBgAAAAAGAAYAWQEAAHwF&#10;AAAAAA==&#10;">
                  <v:fill on="f" focussize="0,0"/>
                  <v:stroke weight="0pt" color="#000000" joinstyle="round"/>
                  <v:imagedata o:title=""/>
                  <o:lock v:ext="edit" aspectratio="f"/>
                </v:line>
                <v:line id="直线 92" o:spid="_x0000_s1026" o:spt="20" style="position:absolute;left:1284605;top:34925;flip:x;height:635;width:51435;"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kQvHVAAAABQEAAA8AAAAAAAAAAQAgAAAAIgAAAGRycy9kb3ducmV2LnhtbFBLAQIUABQAAAAI&#10;AIdO4kC30G7L8AEAAOMDAAAOAAAAAAAAAAEAIAAAACQBAABkcnMvZTJvRG9jLnhtbFBLBQYAAAAA&#10;BgAGAFkBAACGBQAAAAA=&#10;">
                  <v:fill on="f" focussize="0,0"/>
                  <v:stroke weight="0pt" color="#000000" joinstyle="round"/>
                  <v:imagedata o:title=""/>
                  <o:lock v:ext="edit" aspectratio="f"/>
                </v:line>
                <v:shape id="任意多边形 93" o:spid="_x0000_s1026" o:spt="100" style="position:absolute;left:1249680;top:6350;height:55880;width:34925;" filled="f" stroked="t" coordsize="55,88" o:gfxdata="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JkM3W&#10;AAAABQEAAA8AAAAAAAAAAQAgAAAAIgAAAGRycy9kb3ducmV2LnhtbFBLAQIUABQAAAAIAIdO4kB/&#10;OJVuWwIAAP4EAAAOAAAAAAAAAAEAIAAAACUBAABkcnMvZTJvRG9jLnhtbFBLBQYAAAAABgAGAFkB&#10;AADyBQAAAAA=&#10;" path="m0,45l14,0,29,88,55,45e">
                  <v:fill on="f" focussize="0,0"/>
                  <v:stroke weight="0pt" color="#000000" joinstyle="round"/>
                  <v:imagedata o:title=""/>
                  <o:lock v:ext="edit" aspectratio="f"/>
                </v:shape>
                <v:line id="直线 94" o:spid="_x0000_s1026" o:spt="20" style="position:absolute;left:1163955;top:34925;flip:x;height:635;width:34290;"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5ELx1QAAAAUBAAAPAAAAAAAAAAEAIAAAACIAAABkcnMvZG93bnJldi54bWxQSwECFAAUAAAA&#10;CACHTuJAnxTggfEBAADjAwAADgAAAAAAAAABACAAAAAkAQAAZHJzL2Uyb0RvYy54bWxQSwUGAAAA&#10;AAYABgBZAQAAhwUAAAAA&#10;">
                  <v:fill on="f" focussize="0,0"/>
                  <v:stroke weight="0pt" color="#000000" joinstyle="round"/>
                  <v:imagedata o:title=""/>
                  <o:lock v:ext="edit" aspectratio="f"/>
                </v:line>
                <v:line id="直线 95" o:spid="_x0000_s1026" o:spt="20" style="position:absolute;left:1336040;top:1154430;height:635;width:34290;"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3kwS9MA&#10;AAAFAQAADwAAAAAAAAABACAAAAAiAAAAZHJzL2Rvd25yZXYueG1sUEsBAhQAFAAAAAgAh07iQKDc&#10;F67rAQAA2wMAAA4AAAAAAAAAAQAgAAAAIgEAAGRycy9lMm9Eb2MueG1sUEsFBgAAAAAGAAYAWQEA&#10;AH8FAAAAAA==&#10;">
                  <v:fill on="f" focussize="0,0"/>
                  <v:stroke weight="0pt" color="#000000" joinstyle="round"/>
                  <v:imagedata o:title=""/>
                  <o:lock v:ext="edit" aspectratio="f"/>
                </v:line>
                <v:line id="直线 96" o:spid="_x0000_s1026" o:spt="20" style="position:absolute;left:1198245;top:1154430;height:635;width:51435;"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eTBL0wAAAAUB&#10;AAAPAAAAAAAAAAEAIAAAACIAAABkcnMvZG93bnJldi54bWxQSwECFAAUAAAACACHTuJAP2IV3ecB&#10;AADbAwAADgAAAAAAAAABACAAAAAiAQAAZHJzL2Uyb0RvYy54bWxQSwUGAAAAAAYABgBZAQAAewUA&#10;AAAA&#10;">
                  <v:fill on="f" focussize="0,0"/>
                  <v:stroke weight="0pt" color="#000000" joinstyle="round"/>
                  <v:imagedata o:title=""/>
                  <o:lock v:ext="edit" aspectratio="f"/>
                </v:line>
                <v:line id="直线 97" o:spid="_x0000_s1026" o:spt="20" style="position:absolute;left:1284605;top:1154430;flip:x;height:635;width:51435;"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kQvHVAAAABQEAAA8AAAAAAAAAAQAgAAAAIgAAAGRycy9kb3ducmV2LnhtbFBLAQIUABQAAAAI&#10;AIdO4kDRKs698AEAAOUDAAAOAAAAAAAAAAEAIAAAACQBAABkcnMvZTJvRG9jLnhtbFBLBQYAAAAA&#10;BgAGAFkBAACGBQAAAAA=&#10;">
                  <v:fill on="f" focussize="0,0"/>
                  <v:stroke weight="0pt" color="#000000" joinstyle="round"/>
                  <v:imagedata o:title=""/>
                  <o:lock v:ext="edit" aspectratio="f"/>
                </v:line>
                <v:shape id="任意多边形 98" o:spid="_x0000_s1026" o:spt="100" style="position:absolute;left:1249680;top:1125855;height:55880;width:34925;" filled="f" stroked="t" coordsize="55,88" o:gfxdata="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gmQ&#10;zdYAAAAFAQAADwAAAAAAAAABACAAAAAiAAAAZHJzL2Rvd25yZXYueG1sUEsBAhQAFAAAAAgAh07i&#10;QBp7latdAgAAAQUAAA4AAAAAAAAAAQAgAAAAJQEAAGRycy9lMm9Eb2MueG1sUEsFBgAAAAAGAAYA&#10;WQEAAPQFAAAAAA==&#10;" path="m0,45l14,0,29,88,55,45e">
                  <v:fill on="f" focussize="0,0"/>
                  <v:stroke weight="0pt" color="#000000" joinstyle="round"/>
                  <v:imagedata o:title=""/>
                  <o:lock v:ext="edit" aspectratio="f"/>
                </v:shape>
                <v:line id="直线 99" o:spid="_x0000_s1026" o:spt="20" style="position:absolute;left:1163955;top:1154430;flip:x;height:635;width:34290;"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5ELx1QAAAAUBAAAPAAAAAAAAAAEAIAAAACIAAABkcnMvZG93bnJldi54bWxQSwECFAAUAAAACACH&#10;TuJAgPL4Le4BAADlAwAADgAAAAAAAAABACAAAAAkAQAAZHJzL2Uyb0RvYy54bWxQSwUGAAAAAAYA&#10;BgBZAQAAhAUAAAAA&#10;">
                  <v:fill on="f" focussize="0,0"/>
                  <v:stroke weight="0pt" color="#000000" joinstyle="round"/>
                  <v:imagedata o:title=""/>
                  <o:lock v:ext="edit" aspectratio="f"/>
                </v:line>
                <v:line id="直线 100" o:spid="_x0000_s1026" o:spt="20" style="position:absolute;left:337185;top:1154430;height:635;width:34925;"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eTBL0wAAAAUB&#10;AAAPAAAAAAAAAAEAIAAAACIAAABkcnMvZG93bnJldi54bWxQSwECFAAUAAAACACHTuJAoAQN2ucB&#10;AADbAwAADgAAAAAAAAABACAAAAAiAQAAZHJzL2Uyb0RvYy54bWxQSwUGAAAAAAYABgBZAQAAewUA&#10;AAAA&#10;">
                  <v:fill on="f" focussize="0,0"/>
                  <v:stroke weight="0pt" color="#000000" joinstyle="round"/>
                  <v:imagedata o:title=""/>
                  <o:lock v:ext="edit" aspectratio="f"/>
                </v:line>
                <v:line id="直线 101" o:spid="_x0000_s1026" o:spt="20" style="position:absolute;left:200025;top:1154430;height:635;width:51435;" filled="f" stroked="t" coordsize="21600,21600" o:gfxdata="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t5MEvTAAAABQEA&#10;AA8AAAAAAAAAAQAgAAAAIgAAAGRycy9kb3ducmV2LnhtbFBLAQIUABQAAAAIAIdO4kC/WUi45gEA&#10;ANsDAAAOAAAAAAAAAAEAIAAAACIBAABkcnMvZTJvRG9jLnhtbFBLBQYAAAAABgAGAFkBAAB6BQAA&#10;AAA=&#10;">
                  <v:fill on="f" focussize="0,0"/>
                  <v:stroke weight="0pt" color="#000000" joinstyle="round"/>
                  <v:imagedata o:title=""/>
                  <o:lock v:ext="edit" aspectratio="f"/>
                </v:line>
                <v:line id="直线 102" o:spid="_x0000_s1026" o:spt="20" style="position:absolute;left:285750;top:1154430;flip:x;height:635;width:51435;"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kQvHVAAAABQEAAA8AAAAAAAAAAQAgAAAAIgAAAGRycy9kb3ducmV2LnhtbFBLAQIUABQAAAAI&#10;AIdO4kBQUl3H8AEAAOUDAAAOAAAAAAAAAAEAIAAAACQBAABkcnMvZTJvRG9jLnhtbFBLBQYAAAAA&#10;BgAGAFkBAACGBQAAAAA=&#10;">
                  <v:fill on="f" focussize="0,0"/>
                  <v:stroke weight="0pt" color="#000000" joinstyle="round"/>
                  <v:imagedata o:title=""/>
                  <o:lock v:ext="edit" aspectratio="f"/>
                </v:line>
                <v:shape id="任意多边形 103" o:spid="_x0000_s1026" o:spt="100" style="position:absolute;left:251460;top:1125855;height:55880;width:34290;" filled="f" stroked="t" coordsize="54,88" o:gfxdata="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BS6&#10;ZNQAAAAFAQAADwAAAAAAAAABACAAAAAiAAAAZHJzL2Rvd25yZXYueG1sUEsBAhQAFAAAAAgAh07i&#10;QOnP6vhfAgAAAQUAAA4AAAAAAAAAAQAgAAAAIwEAAGRycy9lMm9Eb2MueG1sUEsFBgAAAAAGAAYA&#10;WQEAAPQFAAAAAA==&#10;" path="m0,45l14,0,28,88,54,45e">
                  <v:fill on="f" focussize="0,0"/>
                  <v:stroke weight="0pt" color="#000000" joinstyle="round"/>
                  <v:imagedata o:title=""/>
                  <o:lock v:ext="edit" aspectratio="f"/>
                </v:shape>
                <v:line id="直线 104" o:spid="_x0000_s1026" o:spt="20" style="position:absolute;left:165100;top:1154430;flip:x;height:635;width:34925;" filled="f" stroked="t" coordsize="21600,21600" o:gfxdata="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RC8dUAAAAFAQAADwAAAAAAAAABACAAAAAiAAAAZHJzL2Rvd25yZXYueG1sUEsBAhQAFAAAAAgA&#10;h07iQEUf5CTvAQAA5QMAAA4AAAAAAAAAAQAgAAAAJAEAAGRycy9lMm9Eb2MueG1sUEsFBgAAAAAG&#10;AAYAWQEAAIUFAAAAAA==&#10;">
                  <v:fill on="f" focussize="0,0"/>
                  <v:stroke weight="0pt" color="#000000" joinstyle="round"/>
                  <v:imagedata o:title=""/>
                  <o:lock v:ext="edit" aspectratio="f"/>
                </v:line>
                <w10:wrap type="none"/>
                <w10:anchorlock/>
              </v:group>
            </w:pict>
          </mc:Fallback>
        </mc:AlternateContent>
      </w:r>
    </w:p>
    <w:p>
      <w:pPr>
        <w:spacing w:after="0" w:line="360" w:lineRule="auto"/>
        <w:jc w:val="center"/>
        <w:rPr>
          <w:rFonts w:ascii="Times New Roman" w:hAnsi="Times New Roman" w:eastAsia="宋体" w:cs="Times New Roman"/>
          <w:color w:val="auto"/>
          <w:sz w:val="21"/>
          <w:szCs w:val="21"/>
          <w:highlight w:val="none"/>
        </w:rPr>
      </w:pPr>
      <w:r>
        <w:rPr>
          <w:rFonts w:ascii="宋体" w:hAnsi="宋体" w:eastAsia="宋体"/>
          <w:color w:val="auto"/>
          <w:sz w:val="21"/>
          <w:szCs w:val="21"/>
          <w:highlight w:val="none"/>
        </w:rPr>
        <w:t>图4.0.3 叠合板的预制</w:t>
      </w:r>
      <w:r>
        <w:rPr>
          <w:rFonts w:hint="eastAsia" w:ascii="宋体" w:hAnsi="宋体" w:eastAsia="宋体"/>
          <w:color w:val="auto"/>
          <w:sz w:val="21"/>
          <w:szCs w:val="21"/>
          <w:highlight w:val="none"/>
        </w:rPr>
        <w:t>底</w:t>
      </w:r>
      <w:r>
        <w:rPr>
          <w:rFonts w:ascii="宋体" w:hAnsi="宋体" w:eastAsia="宋体"/>
          <w:color w:val="auto"/>
          <w:sz w:val="21"/>
          <w:szCs w:val="21"/>
          <w:highlight w:val="none"/>
        </w:rPr>
        <w:t>板布置形式示意</w:t>
      </w:r>
    </w:p>
    <w:p>
      <w:pPr>
        <w:jc w:val="center"/>
        <w:rPr>
          <w:rFonts w:ascii="宋体" w:hAnsi="宋体" w:eastAsia="宋体"/>
          <w:b/>
          <w:color w:val="auto"/>
          <w:sz w:val="21"/>
          <w:szCs w:val="21"/>
          <w:highlight w:val="none"/>
        </w:rPr>
      </w:pPr>
      <w:r>
        <w:rPr>
          <w:rFonts w:ascii="宋体" w:hAnsi="宋体" w:eastAsia="宋体"/>
          <w:color w:val="auto"/>
          <w:sz w:val="21"/>
          <w:szCs w:val="21"/>
          <w:highlight w:val="none"/>
        </w:rPr>
        <w:t>1—预制板；2—梁或墙；3—板侧密拼式接缝</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4.0.3</w:t>
      </w:r>
      <w:r>
        <w:rPr>
          <w:rFonts w:hint="eastAsia" w:ascii="Times New Roman" w:hAnsi="Times New Roman" w:eastAsia="宋体" w:cs="Times New Roman"/>
          <w:color w:val="auto"/>
          <w:sz w:val="24"/>
          <w:szCs w:val="24"/>
          <w:highlight w:val="none"/>
        </w:rPr>
        <w:t xml:space="preserve">   上弦矩形钢管和连接部位应设计合理，其尺寸和形状应符合下列规定：</w:t>
      </w:r>
    </w:p>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应满足建筑使用功能、模数标准化要求，并应进行优化设计；</w:t>
      </w:r>
    </w:p>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 应根据预制构件的功能和安装部位、加工制作及施工精度等要求，确定合理的公差；</w:t>
      </w:r>
    </w:p>
    <w:p>
      <w:pPr>
        <w:widowControl w:val="0"/>
        <w:tabs>
          <w:tab w:val="left" w:pos="735"/>
        </w:tabs>
        <w:spacing w:after="0" w:line="360" w:lineRule="auto"/>
        <w:ind w:firstLine="480" w:firstLineChars="200"/>
        <w:jc w:val="both"/>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3</w:t>
      </w:r>
      <w:r>
        <w:rPr>
          <w:rFonts w:ascii="Times New Roman" w:hAnsi="宋体" w:eastAsia="宋体" w:cs="Times New Roman"/>
          <w:color w:val="auto"/>
          <w:sz w:val="24"/>
          <w:szCs w:val="24"/>
          <w:highlight w:val="none"/>
        </w:rPr>
        <w:t xml:space="preserve"> </w:t>
      </w:r>
      <w:bookmarkStart w:id="15" w:name="_Hlk111655156"/>
      <w:r>
        <w:rPr>
          <w:rFonts w:hint="eastAsia" w:ascii="Times New Roman" w:hAnsi="宋体" w:eastAsia="宋体" w:cs="Times New Roman"/>
          <w:color w:val="auto"/>
          <w:sz w:val="24"/>
          <w:szCs w:val="24"/>
          <w:highlight w:val="none"/>
        </w:rPr>
        <w:t>螺栓孔的允许偏差和孔壁表面粗糙度，应符合现行国家标准《钢结构工程施工质量验收规范》</w:t>
      </w:r>
      <w:r>
        <w:rPr>
          <w:rFonts w:ascii="Times New Roman" w:hAnsi="宋体" w:eastAsia="宋体" w:cs="Times New Roman"/>
          <w:color w:val="auto"/>
          <w:sz w:val="24"/>
          <w:szCs w:val="24"/>
          <w:highlight w:val="none"/>
        </w:rPr>
        <w:t>GB 50205</w:t>
      </w:r>
      <w:r>
        <w:rPr>
          <w:rFonts w:hint="eastAsia" w:ascii="Times New Roman" w:hAnsi="宋体" w:eastAsia="宋体" w:cs="Times New Roman"/>
          <w:color w:val="auto"/>
          <w:sz w:val="24"/>
          <w:szCs w:val="24"/>
          <w:highlight w:val="none"/>
        </w:rPr>
        <w:t>相关规定</w:t>
      </w:r>
      <w:bookmarkEnd w:id="15"/>
      <w:r>
        <w:rPr>
          <w:rFonts w:hint="eastAsia" w:ascii="Times New Roman" w:hAnsi="宋体" w:eastAsia="宋体" w:cs="Times New Roman"/>
          <w:color w:val="auto"/>
          <w:sz w:val="24"/>
          <w:szCs w:val="24"/>
          <w:highlight w:val="none"/>
        </w:rPr>
        <w:t>；</w:t>
      </w:r>
    </w:p>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w:t>
      </w:r>
      <w:r>
        <w:rPr>
          <w:rFonts w:hint="eastAsia" w:ascii="Times New Roman" w:hAnsi="Times New Roman" w:eastAsia="宋体" w:cs="Times New Roman"/>
          <w:color w:val="auto"/>
          <w:sz w:val="24"/>
          <w:szCs w:val="24"/>
          <w:highlight w:val="none"/>
        </w:rPr>
        <w:t xml:space="preserve"> 应满足制作、运输、堆放、安装及质量控制要求。</w:t>
      </w:r>
    </w:p>
    <w:p>
      <w:pPr>
        <w:spacing w:line="360" w:lineRule="auto"/>
        <w:rPr>
          <w:rFonts w:ascii="仿宋" w:hAnsi="仿宋" w:eastAsia="仿宋"/>
          <w:color w:val="auto"/>
          <w:sz w:val="24"/>
          <w:szCs w:val="24"/>
          <w:highlight w:val="none"/>
        </w:rPr>
      </w:pPr>
      <w:r>
        <w:rPr>
          <w:rFonts w:ascii="仿宋" w:hAnsi="仿宋" w:eastAsia="仿宋"/>
          <w:color w:val="auto"/>
          <w:sz w:val="24"/>
          <w:szCs w:val="24"/>
          <w:highlight w:val="none"/>
        </w:rPr>
        <w:br w:type="page"/>
      </w:r>
    </w:p>
    <w:p>
      <w:pPr>
        <w:pStyle w:val="24"/>
        <w:spacing w:before="312" w:after="312"/>
        <w:rPr>
          <w:rFonts w:eastAsiaTheme="minorEastAsia"/>
          <w:color w:val="auto"/>
          <w:highlight w:val="none"/>
        </w:rPr>
      </w:pPr>
      <w:bookmarkStart w:id="16" w:name="_Toc111709514"/>
      <w:r>
        <w:rPr>
          <w:rFonts w:eastAsiaTheme="minorEastAsia"/>
          <w:color w:val="auto"/>
          <w:highlight w:val="none"/>
        </w:rPr>
        <w:t>5预应力损失值计算</w:t>
      </w:r>
      <w:bookmarkEnd w:id="16"/>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5.0.1</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预应力筋中的预应力损失值可按表</w:t>
      </w:r>
      <w:r>
        <w:rPr>
          <w:rFonts w:ascii="Times New Roman" w:hAnsi="Times New Roman" w:eastAsia="宋体" w:cs="Times New Roman"/>
          <w:color w:val="auto"/>
          <w:sz w:val="24"/>
          <w:szCs w:val="24"/>
          <w:highlight w:val="none"/>
        </w:rPr>
        <w:t>5.0.1</w:t>
      </w:r>
      <w:r>
        <w:rPr>
          <w:rFonts w:ascii="Times New Roman" w:eastAsia="宋体" w:cs="Times New Roman"/>
          <w:color w:val="auto"/>
          <w:sz w:val="24"/>
          <w:szCs w:val="24"/>
          <w:highlight w:val="none"/>
        </w:rPr>
        <w:t>的规定计算。</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当计算求得的预应力总</w:t>
      </w:r>
      <w:r>
        <w:rPr>
          <w:rFonts w:ascii="Times New Roman" w:hAnsi="Times New Roman" w:eastAsia="宋体" w:cs="Times New Roman"/>
          <w:color w:val="auto"/>
          <w:sz w:val="24"/>
          <w:szCs w:val="24"/>
          <w:highlight w:val="none"/>
        </w:rPr>
        <w:t>损失值小于100N/mm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时，取100N/mm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w:t>
      </w:r>
    </w:p>
    <w:p>
      <w:pPr>
        <w:spacing w:after="0" w:line="36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表5.0.1   预应力损失值(N/mm</w:t>
      </w:r>
      <w:r>
        <w:rPr>
          <w:rFonts w:ascii="Times New Roman" w:hAnsi="Times New Roman" w:eastAsia="宋体" w:cs="Times New Roman"/>
          <w:b/>
          <w:color w:val="auto"/>
          <w:sz w:val="21"/>
          <w:szCs w:val="21"/>
          <w:highlight w:val="none"/>
          <w:vertAlign w:val="superscript"/>
        </w:rPr>
        <w:t>2</w:t>
      </w:r>
      <w:r>
        <w:rPr>
          <w:rFonts w:ascii="Times New Roman" w:hAnsi="Times New Roman" w:eastAsia="宋体" w:cs="Times New Roman"/>
          <w:b/>
          <w:color w:val="auto"/>
          <w:sz w:val="21"/>
          <w:szCs w:val="21"/>
          <w:highlight w:val="none"/>
        </w:rPr>
        <w:t>)</w:t>
      </w:r>
    </w:p>
    <w:tbl>
      <w:tblPr>
        <w:tblStyle w:val="16"/>
        <w:tblW w:w="84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750"/>
        <w:gridCol w:w="42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1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引起损失的因素</w:t>
            </w:r>
          </w:p>
        </w:tc>
        <w:tc>
          <w:tcPr>
            <w:tcW w:w="75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符号</w:t>
            </w:r>
          </w:p>
        </w:tc>
        <w:tc>
          <w:tcPr>
            <w:tcW w:w="4212"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先张法构件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1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张拉端锚具变形和预应力筋内缩</w:t>
            </w:r>
          </w:p>
        </w:tc>
        <w:tc>
          <w:tcPr>
            <w:tcW w:w="750" w:type="dxa"/>
            <w:vAlign w:val="center"/>
          </w:tcPr>
          <w:p>
            <w:pPr>
              <w:widowControl w:val="0"/>
              <w:adjustRightInd/>
              <w:snapToGrid/>
              <w:spacing w:before="156" w:beforeLines="50" w:after="0" w:line="360" w:lineRule="auto"/>
              <w:jc w:val="center"/>
              <w:rPr>
                <w:rFonts w:ascii="Times New Roman" w:hAnsi="Times New Roman" w:eastAsia="宋体" w:cs="Times New Roman"/>
                <w:i/>
                <w:color w:val="auto"/>
                <w:sz w:val="24"/>
                <w:szCs w:val="24"/>
                <w:highlight w:val="none"/>
              </w:rPr>
            </w:pP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1</w:t>
            </w:r>
          </w:p>
        </w:tc>
        <w:tc>
          <w:tcPr>
            <w:tcW w:w="4212"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1"/>
                <w:szCs w:val="21"/>
                <w:highlight w:val="none"/>
              </w:rPr>
              <w:t>按本规范第5.0.2条的规定计算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10" w:type="dxa"/>
            <w:vAlign w:val="center"/>
          </w:tcPr>
          <w:p>
            <w:pPr>
              <w:widowControl w:val="0"/>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张拉端锚口摩擦</w:t>
            </w:r>
          </w:p>
        </w:tc>
        <w:tc>
          <w:tcPr>
            <w:tcW w:w="75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2</w:t>
            </w:r>
          </w:p>
        </w:tc>
        <w:tc>
          <w:tcPr>
            <w:tcW w:w="4212" w:type="dxa"/>
            <w:vAlign w:val="center"/>
          </w:tcPr>
          <w:p>
            <w:pPr>
              <w:widowControl w:val="0"/>
              <w:spacing w:before="156" w:beforeLines="50" w:after="0"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1"/>
                <w:szCs w:val="21"/>
                <w:highlight w:val="none"/>
              </w:rPr>
              <w:t>按实测值或厂家提供的数据确定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1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混凝土加热养护时，预应力筋与承受拉力的设备之间的温差</w:t>
            </w:r>
          </w:p>
        </w:tc>
        <w:tc>
          <w:tcPr>
            <w:tcW w:w="75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3</w:t>
            </w:r>
          </w:p>
        </w:tc>
        <w:tc>
          <w:tcPr>
            <w:tcW w:w="4212"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rPr>
              <w:t>.0</w:t>
            </w:r>
            <w:r>
              <w:rPr>
                <w:rFonts w:ascii="Times New Roman" w:hAnsi="Times New Roman" w:eastAsia="宋体" w:cs="Times New Roman"/>
                <w:color w:val="auto"/>
                <w:sz w:val="21"/>
                <w:szCs w:val="21"/>
                <w:highlight w:val="none"/>
              </w:rPr>
              <w:t>5Δ</w:t>
            </w:r>
            <w:r>
              <w:rPr>
                <w:rFonts w:ascii="Times New Roman" w:hAnsi="Times New Roman" w:eastAsia="宋体" w:cs="Times New Roman"/>
                <w:i/>
                <w:color w:val="auto"/>
                <w:sz w:val="21"/>
                <w:szCs w:val="21"/>
                <w:highlight w:val="none"/>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1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预应力筋的应力松弛</w:t>
            </w:r>
          </w:p>
        </w:tc>
        <w:tc>
          <w:tcPr>
            <w:tcW w:w="75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4</w:t>
            </w:r>
          </w:p>
        </w:tc>
        <w:tc>
          <w:tcPr>
            <w:tcW w:w="4212" w:type="dxa"/>
            <w:vAlign w:val="center"/>
          </w:tcPr>
          <w:p>
            <w:pPr>
              <w:widowControl w:val="0"/>
              <w:adjustRightInd/>
              <w:snapToGrid/>
              <w:spacing w:before="156" w:beforeLines="50" w:after="0" w:line="36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消除应力钢丝</w:t>
            </w:r>
          </w:p>
          <w:p>
            <w:pPr>
              <w:widowControl w:val="0"/>
              <w:adjustRightInd/>
              <w:snapToGrid/>
              <w:spacing w:before="156" w:beforeLines="50" w:after="0" w:line="36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低松弛：</w:t>
            </w:r>
          </w:p>
          <w:p>
            <w:pPr>
              <w:adjustRightInd/>
              <w:snapToGrid/>
              <w:spacing w:before="156" w:beforeLines="50" w:after="0" w:line="360" w:lineRule="auto"/>
              <w:ind w:firstLine="420"/>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当</w:t>
            </w:r>
            <w:r>
              <w:rPr>
                <w:rFonts w:ascii="Times New Roman" w:hAnsi="Times New Roman" w:cs="Times New Roman"/>
                <w:color w:val="auto"/>
                <w:position w:val="-14"/>
                <w:sz w:val="24"/>
                <w:highlight w:val="none"/>
              </w:rPr>
              <w:object>
                <v:shape id="_x0000_i1026" o:spt="75" type="#_x0000_t75" style="height:18.55pt;width:66.5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cs="Times New Roman" w:eastAsiaTheme="minorEastAsia"/>
                <w:color w:val="auto"/>
                <w:sz w:val="21"/>
                <w:szCs w:val="21"/>
                <w:highlight w:val="none"/>
              </w:rPr>
              <w:t>时</w:t>
            </w:r>
          </w:p>
          <w:p>
            <w:pPr>
              <w:adjustRightInd/>
              <w:snapToGrid/>
              <w:spacing w:before="156" w:beforeLines="50" w:after="0" w:line="360" w:lineRule="auto"/>
              <w:ind w:firstLine="420"/>
              <w:rPr>
                <w:rFonts w:ascii="Times New Roman" w:hAnsi="Times New Roman" w:cs="Times New Roman"/>
                <w:color w:val="auto"/>
                <w:position w:val="-30"/>
                <w:sz w:val="24"/>
                <w:highlight w:val="none"/>
              </w:rPr>
            </w:pPr>
            <w:r>
              <w:rPr>
                <w:rFonts w:ascii="Times New Roman" w:hAnsi="Times New Roman" w:cs="Times New Roman"/>
                <w:color w:val="auto"/>
                <w:position w:val="-34"/>
                <w:sz w:val="24"/>
                <w:highlight w:val="none"/>
              </w:rPr>
              <w:object>
                <v:shape id="_x0000_i1027" o:spt="75" type="#_x0000_t75" style="height:36.55pt;width:99.3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ascii="Times New Roman" w:hAnsi="Times New Roman" w:cs="Times New Roman"/>
                <w:color w:val="auto"/>
                <w:position w:val="-34"/>
                <w:sz w:val="24"/>
                <w:highlight w:val="none"/>
              </w:rPr>
              <w:t xml:space="preserve">n </w:t>
            </w:r>
          </w:p>
          <w:p>
            <w:pPr>
              <w:adjustRightInd/>
              <w:snapToGrid/>
              <w:spacing w:before="156" w:beforeLines="50" w:after="0" w:line="360" w:lineRule="auto"/>
              <w:ind w:firstLine="420"/>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当</w:t>
            </w:r>
            <w:r>
              <w:rPr>
                <w:rFonts w:ascii="Times New Roman" w:hAnsi="Times New Roman" w:cs="Times New Roman"/>
                <w:color w:val="auto"/>
                <w:position w:val="-14"/>
                <w:sz w:val="24"/>
                <w:highlight w:val="none"/>
              </w:rPr>
              <w:object>
                <v:shape id="_x0000_i1028" o:spt="75" type="#_x0000_t75" style="height:18.55pt;width:114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ascii="Times New Roman" w:hAnsi="Times New Roman" w:cs="Times New Roman" w:eastAsiaTheme="minorEastAsia"/>
                <w:color w:val="auto"/>
                <w:sz w:val="21"/>
                <w:szCs w:val="21"/>
                <w:highlight w:val="none"/>
              </w:rPr>
              <w:t>时</w:t>
            </w:r>
          </w:p>
          <w:p>
            <w:pPr>
              <w:widowControl w:val="0"/>
              <w:adjustRightInd/>
              <w:snapToGrid/>
              <w:spacing w:before="156" w:beforeLines="50" w:after="0" w:line="360" w:lineRule="auto"/>
              <w:ind w:firstLine="480" w:firstLineChars="200"/>
              <w:rPr>
                <w:rFonts w:ascii="Times New Roman" w:hAnsi="Times New Roman" w:cs="Times New Roman"/>
                <w:color w:val="auto"/>
                <w:position w:val="-30"/>
                <w:sz w:val="24"/>
                <w:highlight w:val="none"/>
              </w:rPr>
            </w:pPr>
            <w:r>
              <w:rPr>
                <w:rFonts w:ascii="Times New Roman" w:hAnsi="Times New Roman" w:cs="Times New Roman"/>
                <w:color w:val="auto"/>
                <w:position w:val="-34"/>
                <w:sz w:val="24"/>
                <w:highlight w:val="none"/>
              </w:rPr>
              <w:object>
                <v:shape id="_x0000_i1029" o:spt="75" type="#_x0000_t75" style="height:37.65pt;width:103.7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p>
          <w:p>
            <w:pPr>
              <w:widowControl w:val="0"/>
              <w:adjustRightInd/>
              <w:snapToGrid/>
              <w:spacing w:before="156" w:beforeLines="50" w:after="0" w:line="36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中强度预应力钢丝：</w:t>
            </w:r>
            <w:r>
              <w:rPr>
                <w:rFonts w:ascii="Times New Roman" w:hAnsi="Times New Roman" w:cs="Times New Roman"/>
                <w:color w:val="auto"/>
                <w:position w:val="-12"/>
                <w:sz w:val="24"/>
                <w:highlight w:val="none"/>
              </w:rPr>
              <w:object>
                <v:shape id="_x0000_i1030" o:spt="75" type="#_x0000_t75" style="height:17.45pt;width:42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1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混凝土的收缩和徐变</w:t>
            </w:r>
          </w:p>
        </w:tc>
        <w:tc>
          <w:tcPr>
            <w:tcW w:w="750"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5</w:t>
            </w:r>
          </w:p>
        </w:tc>
        <w:tc>
          <w:tcPr>
            <w:tcW w:w="4212" w:type="dxa"/>
            <w:vAlign w:val="center"/>
          </w:tcPr>
          <w:p>
            <w:pPr>
              <w:widowControl w:val="0"/>
              <w:adjustRightInd/>
              <w:snapToGrid/>
              <w:spacing w:before="156" w:beforeLines="50" w:after="0"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1"/>
                <w:szCs w:val="21"/>
                <w:highlight w:val="none"/>
              </w:rPr>
              <w:t>按本规范第5.0.3条的规定计算</w:t>
            </w:r>
          </w:p>
        </w:tc>
      </w:tr>
    </w:tbl>
    <w:p>
      <w:pPr>
        <w:adjustRightInd/>
        <w:snapToGrid/>
        <w:spacing w:after="0" w:line="36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注：1    表中</w:t>
      </w:r>
      <w:r>
        <w:rPr>
          <w:rFonts w:ascii="Times New Roman" w:hAnsi="Times New Roman" w:cs="Times New Roman"/>
          <w:color w:val="auto"/>
          <w:sz w:val="24"/>
          <w:szCs w:val="24"/>
          <w:highlight w:val="none"/>
        </w:rPr>
        <w:t>Δ</w:t>
      </w:r>
      <w:r>
        <w:rPr>
          <w:rFonts w:ascii="Times New Roman" w:hAnsi="Times New Roman" w:cs="Times New Roman"/>
          <w:i/>
          <w:color w:val="auto"/>
          <w:sz w:val="24"/>
          <w:szCs w:val="24"/>
          <w:highlight w:val="none"/>
        </w:rPr>
        <w:t>t</w:t>
      </w:r>
      <w:r>
        <w:rPr>
          <w:rFonts w:ascii="Times New Roman" w:hAnsi="宋体" w:eastAsia="宋体" w:cs="Times New Roman"/>
          <w:color w:val="auto"/>
          <w:sz w:val="21"/>
          <w:szCs w:val="21"/>
          <w:highlight w:val="none"/>
        </w:rPr>
        <w:t>为混凝土加热养护时，预应力筋与承受拉力的设备之间的温差（℃）；</w:t>
      </w:r>
    </w:p>
    <w:p>
      <w:pPr>
        <w:pStyle w:val="26"/>
        <w:numPr>
          <w:ilvl w:val="0"/>
          <w:numId w:val="2"/>
        </w:numPr>
        <w:tabs>
          <w:tab w:val="left" w:pos="215"/>
          <w:tab w:val="clear" w:pos="425"/>
        </w:tabs>
        <w:adjustRightInd/>
        <w:snapToGrid/>
        <w:spacing w:after="0" w:line="360" w:lineRule="auto"/>
        <w:ind w:left="709" w:hanging="284"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 xml:space="preserve"> 当</w:t>
      </w:r>
      <w:r>
        <w:rPr>
          <w:rFonts w:ascii="Times New Roman" w:hAnsi="Times New Roman"/>
          <w:color w:val="auto"/>
          <w:position w:val="-14"/>
          <w:sz w:val="24"/>
          <w:highlight w:val="none"/>
        </w:rPr>
        <w:object>
          <v:shape id="_x0000_i1031" o:spt="75" type="#_x0000_t75" style="height:18.55pt;width:77.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ascii="Times New Roman" w:hAnsi="Times New Roman" w:eastAsia="宋体" w:cs="Times New Roman"/>
          <w:color w:val="auto"/>
          <w:sz w:val="21"/>
          <w:szCs w:val="21"/>
          <w:highlight w:val="none"/>
        </w:rPr>
        <w:t>时，预应力筋的应力松弛损失值可取为零。</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5.0.2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直线预应力筋由于锚具变形和预应力筋内缩引起的预应力损失值</w:t>
      </w: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1</w:t>
      </w:r>
      <w:r>
        <w:rPr>
          <w:rFonts w:ascii="Times New Roman" w:hAnsi="Times New Roman" w:eastAsia="宋体" w:cs="Times New Roman"/>
          <w:color w:val="auto"/>
          <w:sz w:val="24"/>
          <w:szCs w:val="24"/>
          <w:highlight w:val="none"/>
        </w:rPr>
        <w:t>应按下列公式计算：</w:t>
      </w:r>
    </w:p>
    <w:p>
      <w:pPr>
        <w:spacing w:after="0" w:line="360" w:lineRule="auto"/>
        <w:jc w:val="center"/>
        <w:rPr>
          <w:rFonts w:ascii="Times New Roman" w:hAnsi="Times New Roman" w:eastAsia="仿宋" w:cs="Times New Roman"/>
          <w:color w:val="auto"/>
          <w:sz w:val="24"/>
          <w:szCs w:val="24"/>
          <w:highlight w:val="none"/>
        </w:rPr>
      </w:pPr>
      <w:r>
        <w:rPr>
          <w:rFonts w:ascii="Times New Roman" w:hAnsi="Times New Roman" w:cs="Times New Roman"/>
          <w:color w:val="auto"/>
          <w:position w:val="-30"/>
          <w:sz w:val="24"/>
          <w:szCs w:val="24"/>
          <w:highlight w:val="none"/>
        </w:rPr>
        <w:t xml:space="preserve">                                               </w:t>
      </w:r>
      <w:r>
        <w:rPr>
          <w:rFonts w:ascii="Times New Roman" w:hAnsi="Times New Roman" w:cs="Times New Roman"/>
          <w:color w:val="auto"/>
          <w:position w:val="-24"/>
          <w:sz w:val="24"/>
          <w:highlight w:val="none"/>
        </w:rPr>
        <w:object>
          <v:shape id="_x0000_i1032" o:spt="75" type="#_x0000_t75" style="height:33.25pt;width:53.45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ascii="Times New Roman" w:hAnsi="Times New Roman" w:cs="Times New Roman"/>
          <w:color w:val="auto"/>
          <w:position w:val="-30"/>
          <w:sz w:val="24"/>
          <w:szCs w:val="24"/>
          <w:highlight w:val="none"/>
        </w:rPr>
        <w:t xml:space="preserve">                                                    </w:t>
      </w:r>
      <w:r>
        <w:rPr>
          <w:rFonts w:ascii="Times New Roman" w:hAnsi="Times New Roman" w:eastAsia="仿宋" w:cs="Times New Roman"/>
          <w:color w:val="auto"/>
          <w:sz w:val="24"/>
          <w:szCs w:val="24"/>
          <w:highlight w:val="none"/>
        </w:rPr>
        <w:t>(5.0.1)</w:t>
      </w:r>
    </w:p>
    <w:p>
      <w:pPr>
        <w:spacing w:after="0" w:line="360" w:lineRule="auto"/>
        <w:rPr>
          <w:rFonts w:ascii="Times New Roman" w:hAnsi="Times New Roman" w:eastAsia="宋体" w:cs="Times New Roman"/>
          <w:color w:val="auto"/>
          <w:sz w:val="24"/>
          <w:szCs w:val="24"/>
          <w:highlight w:val="none"/>
        </w:rPr>
      </w:pPr>
      <w:r>
        <w:rPr>
          <w:rFonts w:ascii="Times New Roman" w:eastAsia="宋体" w:cs="Times New Roman"/>
          <w:color w:val="auto"/>
          <w:sz w:val="24"/>
          <w:szCs w:val="24"/>
          <w:highlight w:val="none"/>
        </w:rPr>
        <w:t>式中：</w:t>
      </w:r>
      <w:r>
        <w:rPr>
          <w:rFonts w:hint="eastAsia" w:ascii="Times New Roman" w:eastAsia="宋体" w:cs="Times New Roman"/>
          <w:i/>
          <w:color w:val="auto"/>
          <w:sz w:val="24"/>
          <w:szCs w:val="24"/>
          <w:highlight w:val="none"/>
        </w:rPr>
        <w:t>a</w:t>
      </w:r>
      <w:r>
        <w:rPr>
          <w:rFonts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张拉端锚具变形和预应力筋内缩</w:t>
      </w:r>
      <w:r>
        <w:rPr>
          <w:rFonts w:ascii="Times New Roman" w:hAnsi="Times New Roman" w:eastAsia="宋体" w:cs="Times New Roman"/>
          <w:color w:val="auto"/>
          <w:sz w:val="24"/>
          <w:szCs w:val="24"/>
          <w:highlight w:val="none"/>
        </w:rPr>
        <w:t>值（mm），可按表5.0.2采</w:t>
      </w:r>
      <w:r>
        <w:rPr>
          <w:rFonts w:ascii="Times New Roman" w:eastAsia="宋体" w:cs="Times New Roman"/>
          <w:color w:val="auto"/>
          <w:sz w:val="24"/>
          <w:szCs w:val="24"/>
          <w:highlight w:val="none"/>
        </w:rPr>
        <w:t>用；</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ascii="Times New Roman" w:hAnsi="Times New Roman" w:eastAsia="宋体" w:cs="Times New Roman"/>
          <w:i/>
          <w:color w:val="auto"/>
          <w:sz w:val="24"/>
          <w:szCs w:val="24"/>
          <w:highlight w:val="none"/>
        </w:rPr>
        <w:t>l——</w:t>
      </w:r>
      <w:r>
        <w:rPr>
          <w:rFonts w:ascii="Times New Roman" w:hAnsi="Times New Roman" w:eastAsia="宋体" w:cs="Times New Roman"/>
          <w:color w:val="auto"/>
          <w:sz w:val="24"/>
          <w:szCs w:val="24"/>
          <w:highlight w:val="none"/>
        </w:rPr>
        <w:t>张拉端至锚固端之间的距离（mm）</w:t>
      </w:r>
      <w:r>
        <w:rPr>
          <w:rFonts w:hint="eastAsia" w:ascii="Times New Roman" w:hAnsi="Times New Roman" w:eastAsia="宋体" w:cs="Times New Roman"/>
          <w:color w:val="auto"/>
          <w:sz w:val="24"/>
          <w:szCs w:val="24"/>
          <w:highlight w:val="none"/>
        </w:rPr>
        <w:t>；</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i/>
          <w:color w:val="auto"/>
          <w:sz w:val="24"/>
          <w:szCs w:val="24"/>
          <w:highlight w:val="none"/>
        </w:rPr>
        <w:t>E</w:t>
      </w:r>
      <w:r>
        <w:rPr>
          <w:rFonts w:hint="eastAsia" w:ascii="Times New Roman" w:hAnsi="Times New Roman" w:eastAsia="宋体" w:cs="Times New Roman"/>
          <w:color w:val="auto"/>
          <w:sz w:val="24"/>
          <w:szCs w:val="24"/>
          <w:highlight w:val="none"/>
          <w:vertAlign w:val="subscript"/>
        </w:rPr>
        <w:t>p</w:t>
      </w:r>
      <w:r>
        <w:rPr>
          <w:rFonts w:ascii="Times New Roman" w:hAnsi="Times New Roman" w:eastAsia="宋体" w:cs="Times New Roman"/>
          <w:i/>
          <w:color w:val="auto"/>
          <w:sz w:val="24"/>
          <w:szCs w:val="24"/>
          <w:highlight w:val="none"/>
        </w:rPr>
        <w:t>——</w:t>
      </w:r>
      <w:r>
        <w:rPr>
          <w:rFonts w:hint="eastAsia" w:ascii="Times New Roman" w:hAnsi="Times New Roman" w:eastAsia="宋体" w:cs="Times New Roman"/>
          <w:color w:val="auto"/>
          <w:sz w:val="24"/>
          <w:szCs w:val="24"/>
          <w:highlight w:val="none"/>
        </w:rPr>
        <w:t>预应力钢筋的弹性模量</w:t>
      </w:r>
      <w:r>
        <w:rPr>
          <w:rFonts w:ascii="Times New Roman" w:hAnsi="Times New Roman" w:eastAsia="宋体" w:cs="Times New Roman"/>
          <w:color w:val="auto"/>
          <w:sz w:val="24"/>
          <w:szCs w:val="24"/>
          <w:highlight w:val="none"/>
        </w:rPr>
        <w:t>。</w:t>
      </w:r>
    </w:p>
    <w:p>
      <w:pPr>
        <w:spacing w:after="0" w:line="36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表5.0.2  锚具变形和预应力筋内缩值  (mm)</w:t>
      </w:r>
    </w:p>
    <w:tbl>
      <w:tblPr>
        <w:tblStyle w:val="1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2693"/>
        <w:gridCol w:w="18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9" w:type="dxa"/>
            <w:gridSpan w:val="2"/>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锚具类别</w:t>
            </w:r>
          </w:p>
        </w:tc>
        <w:tc>
          <w:tcPr>
            <w:tcW w:w="1893" w:type="dxa"/>
            <w:vAlign w:val="center"/>
          </w:tcPr>
          <w:p>
            <w:pPr>
              <w:widowControl w:val="0"/>
              <w:adjustRightInd/>
              <w:snapToGrid/>
              <w:spacing w:after="0"/>
              <w:jc w:val="center"/>
              <w:rPr>
                <w:rFonts w:ascii="Times New Roman" w:hAnsi="Times New Roman" w:eastAsia="宋体" w:cs="Times New Roman"/>
                <w:i/>
                <w:color w:val="auto"/>
                <w:sz w:val="21"/>
                <w:szCs w:val="21"/>
                <w:highlight w:val="none"/>
              </w:rPr>
            </w:pPr>
            <w:r>
              <w:rPr>
                <w:rFonts w:ascii="Times New Roman" w:hAnsi="Times New Roman" w:eastAsia="宋体" w:cs="Times New Roman"/>
                <w:i/>
                <w:color w:val="auto"/>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6" w:type="dxa"/>
            <w:vMerge w:val="restart"/>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支承式锚具（钢丝束墩头锚具等）</w:t>
            </w:r>
          </w:p>
        </w:tc>
        <w:tc>
          <w:tcPr>
            <w:tcW w:w="2693"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螺帽缝隙</w:t>
            </w:r>
          </w:p>
        </w:tc>
        <w:tc>
          <w:tcPr>
            <w:tcW w:w="1893"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6" w:type="dxa"/>
            <w:vMerge w:val="continue"/>
            <w:vAlign w:val="center"/>
          </w:tcPr>
          <w:p>
            <w:pPr>
              <w:widowControl w:val="0"/>
              <w:adjustRightInd/>
              <w:snapToGrid/>
              <w:spacing w:after="0"/>
              <w:jc w:val="center"/>
              <w:rPr>
                <w:rFonts w:ascii="Times New Roman" w:hAnsi="Times New Roman" w:eastAsia="宋体" w:cs="Times New Roman"/>
                <w:color w:val="auto"/>
                <w:sz w:val="21"/>
                <w:szCs w:val="21"/>
                <w:highlight w:val="none"/>
              </w:rPr>
            </w:pPr>
          </w:p>
        </w:tc>
        <w:tc>
          <w:tcPr>
            <w:tcW w:w="2693"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每块后加垫板的缝隙</w:t>
            </w:r>
          </w:p>
        </w:tc>
        <w:tc>
          <w:tcPr>
            <w:tcW w:w="1893"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6" w:type="dxa"/>
            <w:vMerge w:val="restart"/>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夹片式锚具</w:t>
            </w:r>
          </w:p>
        </w:tc>
        <w:tc>
          <w:tcPr>
            <w:tcW w:w="2693"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有顶压时</w:t>
            </w:r>
          </w:p>
        </w:tc>
        <w:tc>
          <w:tcPr>
            <w:tcW w:w="1893"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6" w:type="dxa"/>
            <w:vMerge w:val="continue"/>
            <w:vAlign w:val="center"/>
          </w:tcPr>
          <w:p>
            <w:pPr>
              <w:widowControl w:val="0"/>
              <w:adjustRightInd/>
              <w:snapToGrid/>
              <w:spacing w:after="0"/>
              <w:jc w:val="center"/>
              <w:rPr>
                <w:rFonts w:ascii="Times New Roman" w:hAnsi="Times New Roman" w:eastAsia="宋体" w:cs="Times New Roman"/>
                <w:color w:val="auto"/>
                <w:sz w:val="21"/>
                <w:szCs w:val="21"/>
                <w:highlight w:val="none"/>
              </w:rPr>
            </w:pPr>
          </w:p>
        </w:tc>
        <w:tc>
          <w:tcPr>
            <w:tcW w:w="2693"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无顶压时</w:t>
            </w:r>
          </w:p>
        </w:tc>
        <w:tc>
          <w:tcPr>
            <w:tcW w:w="1893"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6~8</w:t>
            </w:r>
          </w:p>
        </w:tc>
      </w:tr>
    </w:tbl>
    <w:p>
      <w:pPr>
        <w:adjustRightInd/>
        <w:snapToGrid/>
        <w:spacing w:after="0" w:line="360" w:lineRule="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注：1    表中的锚具变形和预应力筋内缩值也可根据实测数据确定；</w:t>
      </w:r>
    </w:p>
    <w:p>
      <w:pPr>
        <w:pStyle w:val="26"/>
        <w:numPr>
          <w:ilvl w:val="0"/>
          <w:numId w:val="1"/>
        </w:numPr>
        <w:adjustRightInd/>
        <w:snapToGrid/>
        <w:spacing w:after="0" w:line="360" w:lineRule="auto"/>
        <w:ind w:left="737" w:hanging="34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其他类型的锚具变形和预应力筋内缩值应根据实测数据确定。</w:t>
      </w:r>
    </w:p>
    <w:p>
      <w:pPr>
        <w:pStyle w:val="26"/>
        <w:adjustRightInd/>
        <w:snapToGrid/>
        <w:spacing w:after="0" w:line="36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4"/>
          <w:szCs w:val="24"/>
          <w:highlight w:val="none"/>
        </w:rPr>
        <w:t xml:space="preserve">5.0.3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混凝土收缩、徐变引起受拉区纵向预应力筋的预应力损失值</w:t>
      </w:r>
      <w:r>
        <w:rPr>
          <w:color w:val="auto"/>
          <w:position w:val="-12"/>
          <w:highlight w:val="none"/>
        </w:rPr>
        <w:drawing>
          <wp:inline distT="0" distB="0" distL="114300" distR="114300">
            <wp:extent cx="204470" cy="238760"/>
            <wp:effectExtent l="0" t="0" r="4445" b="571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pic:cNvPicPr>
                      <a:picLocks noChangeAspect="1"/>
                    </pic:cNvPicPr>
                  </pic:nvPicPr>
                  <pic:blipFill>
                    <a:blip r:embed="rId23" cstate="print"/>
                    <a:stretch>
                      <a:fillRect/>
                    </a:stretch>
                  </pic:blipFill>
                  <pic:spPr>
                    <a:xfrm>
                      <a:off x="0" y="0"/>
                      <a:ext cx="204470" cy="238760"/>
                    </a:xfrm>
                    <a:prstGeom prst="rect">
                      <a:avLst/>
                    </a:prstGeom>
                    <a:noFill/>
                    <a:ln>
                      <a:noFill/>
                    </a:ln>
                  </pic:spPr>
                </pic:pic>
              </a:graphicData>
            </a:graphic>
          </wp:inline>
        </w:drawing>
      </w:r>
      <w:r>
        <w:rPr>
          <w:rFonts w:ascii="Times New Roman" w:eastAsia="宋体" w:cs="Times New Roman"/>
          <w:color w:val="auto"/>
          <w:sz w:val="24"/>
          <w:szCs w:val="24"/>
          <w:highlight w:val="none"/>
        </w:rPr>
        <w:t>可按下列方法确定：</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1  </w:t>
      </w:r>
      <w:r>
        <w:rPr>
          <w:rFonts w:ascii="Times New Roman" w:eastAsia="宋体" w:cs="Times New Roman"/>
          <w:color w:val="auto"/>
          <w:sz w:val="24"/>
          <w:szCs w:val="24"/>
          <w:highlight w:val="none"/>
        </w:rPr>
        <w:t>一般情况</w:t>
      </w:r>
    </w:p>
    <w:p>
      <w:pPr>
        <w:spacing w:after="0" w:line="360" w:lineRule="auto"/>
        <w:jc w:val="center"/>
        <w:rPr>
          <w:rFonts w:ascii="Times New Roman" w:hAnsi="Times New Roman" w:eastAsia="仿宋" w:cs="Times New Roman"/>
          <w:color w:val="auto"/>
          <w:sz w:val="24"/>
          <w:szCs w:val="24"/>
          <w:highlight w:val="none"/>
        </w:rPr>
      </w:pPr>
      <w:r>
        <w:rPr>
          <w:rFonts w:ascii="Times New Roman" w:hAnsi="Times New Roman" w:cs="Times New Roman"/>
          <w:color w:val="auto"/>
          <w:position w:val="-30"/>
          <w:sz w:val="24"/>
          <w:szCs w:val="24"/>
          <w:highlight w:val="none"/>
        </w:rPr>
        <w:t xml:space="preserve">                                         </w:t>
      </w:r>
      <w:r>
        <w:rPr>
          <w:rFonts w:ascii="Times New Roman" w:hAnsi="Times New Roman" w:cs="Times New Roman"/>
          <w:color w:val="auto"/>
          <w:position w:val="-28"/>
          <w:sz w:val="24"/>
          <w:szCs w:val="24"/>
          <w:highlight w:val="none"/>
        </w:rPr>
        <w:drawing>
          <wp:inline distT="0" distB="0" distL="114300" distR="114300">
            <wp:extent cx="1160145" cy="641350"/>
            <wp:effectExtent l="0" t="0" r="1905" b="5715"/>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
                    <pic:cNvPicPr>
                      <a:picLocks noChangeAspect="1"/>
                    </pic:cNvPicPr>
                  </pic:nvPicPr>
                  <pic:blipFill>
                    <a:blip r:embed="rId24" cstate="print"/>
                    <a:stretch>
                      <a:fillRect/>
                    </a:stretch>
                  </pic:blipFill>
                  <pic:spPr>
                    <a:xfrm>
                      <a:off x="0" y="0"/>
                      <a:ext cx="1160145" cy="641350"/>
                    </a:xfrm>
                    <a:prstGeom prst="rect">
                      <a:avLst/>
                    </a:prstGeom>
                    <a:noFill/>
                    <a:ln>
                      <a:noFill/>
                    </a:ln>
                  </pic:spPr>
                </pic:pic>
              </a:graphicData>
            </a:graphic>
          </wp:inline>
        </w:drawing>
      </w:r>
      <w:r>
        <w:rPr>
          <w:rFonts w:ascii="Times New Roman" w:hAnsi="Times New Roman" w:cs="Times New Roman"/>
          <w:color w:val="auto"/>
          <w:position w:val="-30"/>
          <w:sz w:val="24"/>
          <w:szCs w:val="24"/>
          <w:highlight w:val="none"/>
        </w:rPr>
        <w:t xml:space="preserve">                                                      </w:t>
      </w:r>
      <w:r>
        <w:rPr>
          <w:rFonts w:ascii="Times New Roman" w:hAnsi="Times New Roman" w:eastAsia="仿宋" w:cs="Times New Roman"/>
          <w:color w:val="auto"/>
          <w:sz w:val="24"/>
          <w:szCs w:val="24"/>
          <w:highlight w:val="none"/>
        </w:rPr>
        <w:t>(5.0.2)</w:t>
      </w:r>
    </w:p>
    <w:p>
      <w:pPr>
        <w:spacing w:after="0" w:line="360" w:lineRule="auto"/>
        <w:rPr>
          <w:rFonts w:ascii="Times New Roman" w:hAnsi="Times New Roman" w:eastAsia="宋体" w:cs="Times New Roman"/>
          <w:color w:val="auto"/>
          <w:sz w:val="24"/>
          <w:szCs w:val="24"/>
          <w:highlight w:val="none"/>
        </w:rPr>
      </w:pPr>
      <w:r>
        <w:rPr>
          <w:rFonts w:ascii="Times New Roman" w:eastAsia="宋体" w:cs="Times New Roman"/>
          <w:color w:val="auto"/>
          <w:sz w:val="24"/>
          <w:szCs w:val="24"/>
          <w:highlight w:val="none"/>
        </w:rPr>
        <w:t>式中：</w:t>
      </w:r>
      <w:r>
        <w:rPr>
          <w:rFonts w:ascii="Times New Roman" w:hAnsi="Times New Roman" w:cs="Times New Roman"/>
          <w:color w:val="auto"/>
          <w:position w:val="-14"/>
          <w:highlight w:val="none"/>
        </w:rPr>
        <w:drawing>
          <wp:inline distT="0" distB="0" distL="114300" distR="114300">
            <wp:extent cx="238760" cy="245745"/>
            <wp:effectExtent l="0" t="0" r="0" b="127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
                    <pic:cNvPicPr>
                      <a:picLocks noChangeAspect="1"/>
                    </pic:cNvPicPr>
                  </pic:nvPicPr>
                  <pic:blipFill>
                    <a:blip r:embed="rId25" cstate="print"/>
                    <a:stretch>
                      <a:fillRect/>
                    </a:stretch>
                  </pic:blipFill>
                  <pic:spPr>
                    <a:xfrm>
                      <a:off x="0" y="0"/>
                      <a:ext cx="238760" cy="245745"/>
                    </a:xfrm>
                    <a:prstGeom prst="rect">
                      <a:avLst/>
                    </a:prstGeom>
                    <a:noFill/>
                    <a:ln>
                      <a:noFill/>
                    </a:ln>
                  </pic:spPr>
                </pic:pic>
              </a:graphicData>
            </a:graphic>
          </wp:inline>
        </w:drawing>
      </w:r>
      <w:r>
        <w:rPr>
          <w:rFonts w:ascii="Times New Roman" w:hAnsi="Times New Roman" w:eastAsia="宋体" w:cs="Times New Roman"/>
          <w:color w:val="auto"/>
          <w:sz w:val="24"/>
          <w:szCs w:val="24"/>
          <w:highlight w:val="none"/>
        </w:rPr>
        <w:t>——</w:t>
      </w:r>
      <w:r>
        <w:rPr>
          <w:rFonts w:ascii="Times New Roman" w:eastAsia="宋体" w:cs="Times New Roman"/>
          <w:color w:val="auto"/>
          <w:sz w:val="24"/>
          <w:szCs w:val="24"/>
          <w:highlight w:val="none"/>
        </w:rPr>
        <w:t>受拉区预应力筋合力点处的混凝土法向压应力；</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bookmarkStart w:id="17" w:name="_Hlk111646181"/>
      <w:r>
        <w:rPr>
          <w:rFonts w:ascii="Times New Roman" w:hAnsi="Times New Roman" w:eastAsia="宋体" w:cs="Times New Roman"/>
          <w:color w:val="auto"/>
          <w:sz w:val="24"/>
          <w:szCs w:val="24"/>
          <w:highlight w:val="none"/>
        </w:rPr>
        <w:t xml:space="preserve">    </w:t>
      </w:r>
      <w:bookmarkEnd w:id="17"/>
      <w:r>
        <w:rPr>
          <w:rFonts w:ascii="Times New Roman" w:hAnsi="Times New Roman" w:eastAsia="宋体" w:cs="Times New Roman"/>
          <w:color w:val="auto"/>
          <w:sz w:val="24"/>
          <w:szCs w:val="24"/>
          <w:highlight w:val="none"/>
        </w:rPr>
        <w:t xml:space="preserve">    </w:t>
      </w:r>
      <w:r>
        <w:rPr>
          <w:rFonts w:ascii="Times New Roman" w:hAnsi="Times New Roman" w:cs="Times New Roman"/>
          <w:color w:val="auto"/>
          <w:position w:val="-12"/>
          <w:highlight w:val="none"/>
        </w:rPr>
        <w:drawing>
          <wp:inline distT="0" distB="0" distL="114300" distR="114300">
            <wp:extent cx="204470" cy="238760"/>
            <wp:effectExtent l="0" t="0" r="5080" b="762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pic:cNvPicPr>
                      <a:picLocks noChangeAspect="1"/>
                    </pic:cNvPicPr>
                  </pic:nvPicPr>
                  <pic:blipFill>
                    <a:blip r:embed="rId26" cstate="print"/>
                    <a:stretch>
                      <a:fillRect/>
                    </a:stretch>
                  </pic:blipFill>
                  <pic:spPr>
                    <a:xfrm>
                      <a:off x="0" y="0"/>
                      <a:ext cx="204470" cy="238760"/>
                    </a:xfrm>
                    <a:prstGeom prst="rect">
                      <a:avLst/>
                    </a:prstGeom>
                    <a:noFill/>
                    <a:ln>
                      <a:noFill/>
                    </a:ln>
                  </pic:spPr>
                </pic:pic>
              </a:graphicData>
            </a:graphic>
          </wp:inline>
        </w:drawing>
      </w:r>
      <w:r>
        <w:rPr>
          <w:rFonts w:ascii="Times New Roman" w:hAnsi="Times New Roman" w:eastAsia="宋体" w:cs="Times New Roman"/>
          <w:color w:val="auto"/>
          <w:sz w:val="24"/>
          <w:szCs w:val="24"/>
          <w:highlight w:val="none"/>
        </w:rPr>
        <w:t>——</w:t>
      </w:r>
      <w:r>
        <w:rPr>
          <w:rFonts w:ascii="Times New Roman" w:eastAsia="宋体" w:cs="Times New Roman"/>
          <w:color w:val="auto"/>
          <w:sz w:val="24"/>
          <w:szCs w:val="24"/>
          <w:highlight w:val="none"/>
        </w:rPr>
        <w:t>施加预应力时的混凝土立方体抗压强度；</w:t>
      </w:r>
    </w:p>
    <w:p>
      <w:pPr>
        <w:spacing w:after="0" w:line="360" w:lineRule="auto"/>
        <w:ind w:left="420" w:firstLine="240" w:firstLineChars="100"/>
        <w:rPr>
          <w:rFonts w:asci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ascii="Times New Roman" w:hAnsi="Times New Roman" w:eastAsia="宋体" w:cs="Times New Roman"/>
          <w:i/>
          <w:color w:val="auto"/>
          <w:sz w:val="24"/>
          <w:szCs w:val="24"/>
          <w:highlight w:val="none"/>
        </w:rPr>
        <w:t>ρ</w:t>
      </w:r>
      <w:r>
        <w:rPr>
          <w:rFonts w:hint="eastAsia" w:ascii="Times New Roman" w:hAnsi="Times New Roman" w:eastAsia="宋体" w:cs="Times New Roman"/>
          <w:i/>
          <w:color w:val="auto"/>
          <w:sz w:val="24"/>
          <w:szCs w:val="24"/>
          <w:highlight w:val="none"/>
        </w:rPr>
        <w:t xml:space="preserve"> </w:t>
      </w:r>
      <w:r>
        <w:rPr>
          <w:rFonts w:ascii="Times New Roman" w:hAnsi="Times New Roman" w:eastAsia="宋体" w:cs="Times New Roman"/>
          <w:color w:val="auto"/>
          <w:sz w:val="24"/>
          <w:szCs w:val="24"/>
          <w:highlight w:val="none"/>
        </w:rPr>
        <w:t>——</w:t>
      </w:r>
      <w:r>
        <w:rPr>
          <w:rFonts w:ascii="Times New Roman" w:eastAsia="宋体" w:cs="Times New Roman"/>
          <w:color w:val="auto"/>
          <w:sz w:val="24"/>
          <w:szCs w:val="24"/>
          <w:highlight w:val="none"/>
        </w:rPr>
        <w:t>受拉区预应力筋和普通钢筋的配筋率：</w:t>
      </w:r>
      <w:r>
        <w:rPr>
          <w:rFonts w:hAnsi="Times New Roman"/>
          <w:color w:val="auto"/>
          <w:position w:val="-16"/>
          <w:highlight w:val="none"/>
        </w:rPr>
        <w:drawing>
          <wp:inline distT="0" distB="0" distL="114300" distR="114300">
            <wp:extent cx="1071245" cy="273050"/>
            <wp:effectExtent l="0" t="0" r="0" b="13335"/>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8"/>
                    <pic:cNvPicPr>
                      <a:picLocks noChangeAspect="1"/>
                    </pic:cNvPicPr>
                  </pic:nvPicPr>
                  <pic:blipFill>
                    <a:blip r:embed="rId27" cstate="print"/>
                    <a:stretch>
                      <a:fillRect/>
                    </a:stretch>
                  </pic:blipFill>
                  <pic:spPr>
                    <a:xfrm>
                      <a:off x="0" y="0"/>
                      <a:ext cx="1071245" cy="273050"/>
                    </a:xfrm>
                    <a:prstGeom prst="rect">
                      <a:avLst/>
                    </a:prstGeom>
                    <a:noFill/>
                    <a:ln>
                      <a:noFill/>
                    </a:ln>
                  </pic:spPr>
                </pic:pic>
              </a:graphicData>
            </a:graphic>
          </wp:inline>
        </w:drawing>
      </w:r>
      <w:r>
        <w:rPr>
          <w:rFonts w:hint="eastAsia" w:ascii="Times New Roman" w:eastAsia="宋体" w:cs="Times New Roman"/>
          <w:color w:val="auto"/>
          <w:sz w:val="24"/>
          <w:szCs w:val="24"/>
          <w:highlight w:val="none"/>
        </w:rPr>
        <w:t>；</w:t>
      </w:r>
    </w:p>
    <w:p>
      <w:pPr>
        <w:pStyle w:val="38"/>
        <w:spacing w:after="0" w:line="360" w:lineRule="auto"/>
        <w:ind w:left="420" w:firstLine="240" w:firstLineChars="100"/>
        <w:rPr>
          <w:rFonts w:asci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i/>
          <w:color w:val="auto"/>
          <w:sz w:val="24"/>
          <w:szCs w:val="24"/>
          <w:highlight w:val="none"/>
        </w:rPr>
        <w:t>A</w:t>
      </w:r>
      <w:r>
        <w:rPr>
          <w:rFonts w:hint="eastAsia" w:ascii="Times New Roman" w:hAnsi="Times New Roman" w:eastAsia="宋体" w:cs="Times New Roman"/>
          <w:color w:val="auto"/>
          <w:sz w:val="24"/>
          <w:szCs w:val="24"/>
          <w:highlight w:val="none"/>
          <w:vertAlign w:val="subscript"/>
        </w:rPr>
        <w:t>s</w:t>
      </w:r>
      <w:r>
        <w:rPr>
          <w:rFonts w:ascii="Times New Roman" w:hAnsi="Times New Roman" w:eastAsia="宋体" w:cs="Times New Roman"/>
          <w:color w:val="auto"/>
          <w:sz w:val="24"/>
          <w:szCs w:val="24"/>
          <w:highlight w:val="none"/>
        </w:rPr>
        <w:t>——</w:t>
      </w:r>
      <w:r>
        <w:rPr>
          <w:rFonts w:ascii="Times New Roman" w:eastAsia="宋体" w:cs="Times New Roman"/>
          <w:color w:val="auto"/>
          <w:sz w:val="24"/>
          <w:szCs w:val="24"/>
          <w:highlight w:val="none"/>
        </w:rPr>
        <w:t>受拉区</w:t>
      </w:r>
      <w:r>
        <w:rPr>
          <w:rFonts w:hint="eastAsia" w:ascii="Times New Roman" w:eastAsia="宋体" w:cs="Times New Roman"/>
          <w:color w:val="auto"/>
          <w:sz w:val="24"/>
          <w:szCs w:val="24"/>
          <w:highlight w:val="none"/>
        </w:rPr>
        <w:t>纵向</w:t>
      </w:r>
      <w:r>
        <w:rPr>
          <w:rFonts w:ascii="Times New Roman" w:eastAsia="宋体" w:cs="Times New Roman"/>
          <w:color w:val="auto"/>
          <w:sz w:val="24"/>
          <w:szCs w:val="24"/>
          <w:highlight w:val="none"/>
        </w:rPr>
        <w:t>普通钢筋</w:t>
      </w:r>
      <w:r>
        <w:rPr>
          <w:rFonts w:hint="eastAsia" w:ascii="Times New Roman" w:eastAsia="宋体" w:cs="Times New Roman"/>
          <w:color w:val="auto"/>
          <w:sz w:val="24"/>
          <w:szCs w:val="24"/>
          <w:highlight w:val="none"/>
        </w:rPr>
        <w:t>的截面面积；</w:t>
      </w:r>
    </w:p>
    <w:p>
      <w:pPr>
        <w:pStyle w:val="38"/>
        <w:spacing w:after="0" w:line="360" w:lineRule="auto"/>
        <w:ind w:left="420" w:firstLine="240" w:firstLineChars="100"/>
        <w:rPr>
          <w:rFonts w:asci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i/>
          <w:color w:val="auto"/>
          <w:sz w:val="24"/>
          <w:szCs w:val="24"/>
          <w:highlight w:val="none"/>
        </w:rPr>
        <w:t>A</w:t>
      </w:r>
      <w:r>
        <w:rPr>
          <w:rFonts w:hint="eastAsia" w:ascii="Times New Roman" w:hAnsi="Times New Roman" w:eastAsia="宋体" w:cs="Times New Roman"/>
          <w:color w:val="auto"/>
          <w:sz w:val="24"/>
          <w:szCs w:val="24"/>
          <w:highlight w:val="none"/>
          <w:vertAlign w:val="subscript"/>
        </w:rPr>
        <w:t>p</w:t>
      </w:r>
      <w:r>
        <w:rPr>
          <w:rFonts w:ascii="Times New Roman" w:hAnsi="Times New Roman" w:eastAsia="宋体" w:cs="Times New Roman"/>
          <w:color w:val="auto"/>
          <w:sz w:val="24"/>
          <w:szCs w:val="24"/>
          <w:highlight w:val="none"/>
        </w:rPr>
        <w:t>——</w:t>
      </w:r>
      <w:r>
        <w:rPr>
          <w:rFonts w:ascii="Times New Roman" w:eastAsia="宋体" w:cs="Times New Roman"/>
          <w:color w:val="auto"/>
          <w:sz w:val="24"/>
          <w:szCs w:val="24"/>
          <w:highlight w:val="none"/>
        </w:rPr>
        <w:t>受拉区</w:t>
      </w:r>
      <w:r>
        <w:rPr>
          <w:rFonts w:hint="eastAsia" w:ascii="Times New Roman" w:eastAsia="宋体" w:cs="Times New Roman"/>
          <w:color w:val="auto"/>
          <w:sz w:val="24"/>
          <w:szCs w:val="24"/>
          <w:highlight w:val="none"/>
        </w:rPr>
        <w:t>纵向预应力</w:t>
      </w:r>
      <w:r>
        <w:rPr>
          <w:rFonts w:ascii="Times New Roman" w:eastAsia="宋体" w:cs="Times New Roman"/>
          <w:color w:val="auto"/>
          <w:sz w:val="24"/>
          <w:szCs w:val="24"/>
          <w:highlight w:val="none"/>
        </w:rPr>
        <w:t>筋</w:t>
      </w:r>
      <w:r>
        <w:rPr>
          <w:rFonts w:hint="eastAsia" w:ascii="Times New Roman" w:eastAsia="宋体" w:cs="Times New Roman"/>
          <w:color w:val="auto"/>
          <w:sz w:val="24"/>
          <w:szCs w:val="24"/>
          <w:highlight w:val="none"/>
        </w:rPr>
        <w:t>的截面面积；</w:t>
      </w:r>
    </w:p>
    <w:p>
      <w:pPr>
        <w:pStyle w:val="38"/>
        <w:spacing w:after="0" w:line="360" w:lineRule="auto"/>
        <w:ind w:left="1140" w:leftChars="300" w:hanging="480" w:hanging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i/>
          <w:color w:val="auto"/>
          <w:sz w:val="24"/>
          <w:szCs w:val="24"/>
          <w:highlight w:val="none"/>
        </w:rPr>
        <w:t>A</w:t>
      </w:r>
      <w:r>
        <w:rPr>
          <w:rFonts w:hint="eastAsia" w:ascii="Times New Roman" w:hAnsi="Times New Roman" w:eastAsia="宋体" w:cs="Times New Roman"/>
          <w:color w:val="auto"/>
          <w:sz w:val="24"/>
          <w:szCs w:val="24"/>
          <w:highlight w:val="none"/>
          <w:vertAlign w:val="subscript"/>
        </w:rPr>
        <w:t>0</w:t>
      </w:r>
      <w:r>
        <w:rPr>
          <w:rFonts w:ascii="Times New Roman" w:hAnsi="Times New Roman" w:eastAsia="宋体" w:cs="Times New Roman"/>
          <w:color w:val="auto"/>
          <w:sz w:val="24"/>
          <w:szCs w:val="24"/>
          <w:highlight w:val="none"/>
        </w:rPr>
        <w:t>——</w:t>
      </w:r>
      <w:r>
        <w:rPr>
          <w:rFonts w:hint="eastAsia" w:ascii="Times New Roman" w:eastAsia="宋体" w:cs="Times New Roman"/>
          <w:color w:val="auto"/>
          <w:sz w:val="24"/>
          <w:szCs w:val="24"/>
          <w:highlight w:val="none"/>
        </w:rPr>
        <w:t>换算截面面积；包括净截面面积以及全部纵向预应力筋截面面积换算成混凝土的截面面积。</w:t>
      </w:r>
    </w:p>
    <w:p>
      <w:pPr>
        <w:spacing w:after="0" w:line="360" w:lineRule="auto"/>
        <w:ind w:firstLine="480"/>
        <w:jc w:val="both"/>
        <w:rPr>
          <w:rFonts w:ascii="Times New Roman" w:hAnsi="Times New Roman" w:eastAsia="宋体" w:cs="Times New Roman"/>
          <w:color w:val="auto"/>
          <w:sz w:val="24"/>
          <w:szCs w:val="24"/>
          <w:highlight w:val="none"/>
        </w:rPr>
      </w:pPr>
      <w:r>
        <w:rPr>
          <w:rFonts w:ascii="Times New Roman" w:eastAsia="宋体" w:cs="Times New Roman"/>
          <w:color w:val="auto"/>
          <w:sz w:val="24"/>
          <w:szCs w:val="24"/>
          <w:highlight w:val="none"/>
        </w:rPr>
        <w:t>受拉区预应力筋合力点处的混凝土法向压应力</w:t>
      </w:r>
      <w:r>
        <w:rPr>
          <w:rFonts w:ascii="Times New Roman" w:hAnsi="Times New Roman" w:cs="Times New Roman"/>
          <w:color w:val="auto"/>
          <w:position w:val="-14"/>
          <w:highlight w:val="none"/>
        </w:rPr>
        <w:drawing>
          <wp:inline distT="0" distB="0" distL="114300" distR="114300">
            <wp:extent cx="238760" cy="245745"/>
            <wp:effectExtent l="0" t="0" r="0" b="1270"/>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pic:cNvPicPr>
                      <a:picLocks noChangeAspect="1"/>
                    </pic:cNvPicPr>
                  </pic:nvPicPr>
                  <pic:blipFill>
                    <a:blip r:embed="rId25" cstate="print"/>
                    <a:stretch>
                      <a:fillRect/>
                    </a:stretch>
                  </pic:blipFill>
                  <pic:spPr>
                    <a:xfrm>
                      <a:off x="0" y="0"/>
                      <a:ext cx="238760" cy="245745"/>
                    </a:xfrm>
                    <a:prstGeom prst="rect">
                      <a:avLst/>
                    </a:prstGeom>
                    <a:noFill/>
                    <a:ln>
                      <a:noFill/>
                    </a:ln>
                  </pic:spPr>
                </pic:pic>
              </a:graphicData>
            </a:graphic>
          </wp:inline>
        </w:drawing>
      </w:r>
      <w:r>
        <w:rPr>
          <w:rFonts w:ascii="Times New Roman" w:eastAsia="宋体" w:cs="Times New Roman"/>
          <w:color w:val="auto"/>
          <w:sz w:val="24"/>
          <w:szCs w:val="24"/>
          <w:highlight w:val="none"/>
        </w:rPr>
        <w:t>可按现行国家标准《混凝土结构设计规范》</w:t>
      </w:r>
      <w:r>
        <w:rPr>
          <w:rFonts w:ascii="Times New Roman" w:hAnsi="Times New Roman" w:eastAsia="宋体" w:cs="Times New Roman"/>
          <w:color w:val="auto"/>
          <w:sz w:val="24"/>
          <w:szCs w:val="24"/>
          <w:highlight w:val="none"/>
        </w:rPr>
        <w:t>GB50010</w:t>
      </w:r>
      <w:r>
        <w:rPr>
          <w:rFonts w:ascii="Times New Roman" w:eastAsia="宋体" w:cs="Times New Roman"/>
          <w:color w:val="auto"/>
          <w:sz w:val="24"/>
          <w:szCs w:val="24"/>
          <w:highlight w:val="none"/>
        </w:rPr>
        <w:t>进行计算。</w:t>
      </w:r>
    </w:p>
    <w:p>
      <w:pPr>
        <w:adjustRightInd/>
        <w:snapToGrid/>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eastAsia="宋体" w:cs="Times New Roman"/>
          <w:color w:val="auto"/>
          <w:sz w:val="24"/>
          <w:szCs w:val="24"/>
          <w:highlight w:val="none"/>
        </w:rPr>
        <w:t>当结构处于年平均相对湿度低于</w:t>
      </w:r>
      <w:r>
        <w:rPr>
          <w:rFonts w:ascii="Times New Roman" w:hAnsi="Times New Roman" w:eastAsia="宋体" w:cs="Times New Roman"/>
          <w:color w:val="auto"/>
          <w:sz w:val="24"/>
          <w:szCs w:val="24"/>
          <w:highlight w:val="none"/>
        </w:rPr>
        <w:t>40%</w:t>
      </w:r>
      <w:r>
        <w:rPr>
          <w:rFonts w:ascii="Times New Roman" w:eastAsia="宋体" w:cs="Times New Roman"/>
          <w:color w:val="auto"/>
          <w:sz w:val="24"/>
          <w:szCs w:val="24"/>
          <w:highlight w:val="none"/>
        </w:rPr>
        <w:t>的环境下，</w:t>
      </w:r>
      <w:r>
        <w:rPr>
          <w:rFonts w:ascii="Times New Roman" w:hAnsi="Times New Roman" w:cs="Times New Roman"/>
          <w:color w:val="auto"/>
          <w:position w:val="-12"/>
          <w:sz w:val="24"/>
          <w:szCs w:val="24"/>
          <w:highlight w:val="none"/>
        </w:rPr>
        <w:drawing>
          <wp:inline distT="0" distB="0" distL="114300" distR="114300">
            <wp:extent cx="204470" cy="238760"/>
            <wp:effectExtent l="0" t="0" r="4445" b="5715"/>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
                    <pic:cNvPicPr>
                      <a:picLocks noChangeAspect="1"/>
                    </pic:cNvPicPr>
                  </pic:nvPicPr>
                  <pic:blipFill>
                    <a:blip r:embed="rId23" cstate="print"/>
                    <a:stretch>
                      <a:fillRect/>
                    </a:stretch>
                  </pic:blipFill>
                  <pic:spPr>
                    <a:xfrm>
                      <a:off x="0" y="0"/>
                      <a:ext cx="204470" cy="238760"/>
                    </a:xfrm>
                    <a:prstGeom prst="rect">
                      <a:avLst/>
                    </a:prstGeom>
                    <a:noFill/>
                    <a:ln>
                      <a:noFill/>
                    </a:ln>
                  </pic:spPr>
                </pic:pic>
              </a:graphicData>
            </a:graphic>
          </wp:inline>
        </w:drawing>
      </w:r>
      <w:r>
        <w:rPr>
          <w:rFonts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值应增加</w:t>
      </w:r>
      <w:r>
        <w:rPr>
          <w:rFonts w:ascii="Times New Roman" w:hAnsi="Times New Roman" w:eastAsia="宋体" w:cs="Times New Roman"/>
          <w:color w:val="auto"/>
          <w:sz w:val="24"/>
          <w:szCs w:val="24"/>
          <w:highlight w:val="none"/>
        </w:rPr>
        <w:t>30%</w:t>
      </w:r>
      <w:r>
        <w:rPr>
          <w:rFonts w:ascii="Times New Roman" w:eastAsia="宋体" w:cs="Times New Roman"/>
          <w:color w:val="auto"/>
          <w:sz w:val="24"/>
          <w:szCs w:val="24"/>
          <w:highlight w:val="none"/>
        </w:rPr>
        <w:t>。</w:t>
      </w:r>
    </w:p>
    <w:p>
      <w:pPr>
        <w:adjustRightInd/>
        <w:snapToGrid/>
        <w:spacing w:after="0" w:line="360" w:lineRule="auto"/>
        <w:ind w:firstLine="48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2  </w:t>
      </w:r>
      <w:r>
        <w:rPr>
          <w:rFonts w:ascii="Times New Roman" w:eastAsia="宋体" w:cs="Times New Roman"/>
          <w:color w:val="auto"/>
          <w:sz w:val="24"/>
          <w:szCs w:val="24"/>
          <w:highlight w:val="none"/>
        </w:rPr>
        <w:t>当需要考虑与时间相关的混凝土收缩、徐变及预应力筋应力松弛预应力损失值时，可按现行国家标准《混凝土结构设计规范》</w:t>
      </w:r>
      <w:r>
        <w:rPr>
          <w:rFonts w:ascii="Times New Roman" w:hAnsi="Times New Roman" w:eastAsia="宋体" w:cs="Times New Roman"/>
          <w:color w:val="auto"/>
          <w:sz w:val="24"/>
          <w:szCs w:val="24"/>
          <w:highlight w:val="none"/>
        </w:rPr>
        <w:t>GB50010</w:t>
      </w:r>
      <w:r>
        <w:rPr>
          <w:rFonts w:ascii="Times New Roman" w:eastAsia="宋体" w:cs="Times New Roman"/>
          <w:color w:val="auto"/>
          <w:sz w:val="24"/>
          <w:szCs w:val="24"/>
          <w:highlight w:val="none"/>
        </w:rPr>
        <w:t>进行计算。</w:t>
      </w:r>
    </w:p>
    <w:p>
      <w:pPr>
        <w:adjustRightInd/>
        <w:snapToGrid/>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5.0.4</w:t>
      </w:r>
      <w:r>
        <w:rPr>
          <w:rFonts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ab/>
      </w:r>
      <w:r>
        <w:rPr>
          <w:rFonts w:hint="eastAsia" w:ascii="Times New Roman" w:hAnsi="Times New Roman" w:eastAsia="宋体" w:cs="Times New Roman"/>
          <w:color w:val="auto"/>
          <w:sz w:val="24"/>
          <w:szCs w:val="24"/>
          <w:highlight w:val="none"/>
        </w:rPr>
        <w:t xml:space="preserve"> </w:t>
      </w:r>
      <w:r>
        <w:rPr>
          <w:rFonts w:ascii="Times New Roman" w:eastAsia="宋体" w:cs="Times New Roman"/>
          <w:color w:val="auto"/>
          <w:sz w:val="24"/>
          <w:szCs w:val="24"/>
          <w:highlight w:val="none"/>
        </w:rPr>
        <w:t>预应力混凝土构件在各阶段的预应力损失值宜按表</w:t>
      </w:r>
      <w:r>
        <w:rPr>
          <w:rFonts w:ascii="Times New Roman" w:hAnsi="Times New Roman" w:eastAsia="宋体" w:cs="Times New Roman"/>
          <w:color w:val="auto"/>
          <w:sz w:val="24"/>
          <w:szCs w:val="24"/>
          <w:highlight w:val="none"/>
        </w:rPr>
        <w:t>5.0.3</w:t>
      </w:r>
      <w:r>
        <w:rPr>
          <w:rFonts w:ascii="Times New Roman" w:eastAsia="宋体" w:cs="Times New Roman"/>
          <w:color w:val="auto"/>
          <w:sz w:val="24"/>
          <w:szCs w:val="24"/>
          <w:highlight w:val="none"/>
        </w:rPr>
        <w:t>的规定进行组合。</w:t>
      </w:r>
    </w:p>
    <w:p>
      <w:pPr>
        <w:spacing w:after="0" w:line="36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表5.0.3  各阶段预应力损失值得组合</w:t>
      </w:r>
    </w:p>
    <w:tbl>
      <w:tblPr>
        <w:tblStyle w:val="16"/>
        <w:tblW w:w="852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预应力损失值的组合</w:t>
            </w:r>
          </w:p>
        </w:tc>
        <w:tc>
          <w:tcPr>
            <w:tcW w:w="4262" w:type="dxa"/>
            <w:vAlign w:val="center"/>
          </w:tcPr>
          <w:p>
            <w:pPr>
              <w:widowControl w:val="0"/>
              <w:adjustRightInd/>
              <w:snapToGrid/>
              <w:spacing w:after="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1"/>
                <w:szCs w:val="21"/>
                <w:highlight w:val="none"/>
              </w:rPr>
              <w:t>先张法构件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混凝土预压前（第一批）的损失</w:t>
            </w:r>
          </w:p>
        </w:tc>
        <w:tc>
          <w:tcPr>
            <w:tcW w:w="4262" w:type="dxa"/>
            <w:vAlign w:val="center"/>
          </w:tcPr>
          <w:p>
            <w:pPr>
              <w:widowControl w:val="0"/>
              <w:adjustRightInd/>
              <w:snapToGrid/>
              <w:spacing w:after="0"/>
              <w:jc w:val="center"/>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1</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vAlign w:val="center"/>
          </w:tcPr>
          <w:p>
            <w:pPr>
              <w:widowControl w:val="0"/>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混凝土预压后（第二批）的损失</w:t>
            </w:r>
          </w:p>
        </w:tc>
        <w:tc>
          <w:tcPr>
            <w:tcW w:w="4262" w:type="dxa"/>
            <w:vAlign w:val="center"/>
          </w:tcPr>
          <w:p>
            <w:pPr>
              <w:widowControl w:val="0"/>
              <w:adjustRightInd/>
              <w:snapToGrid/>
              <w:spacing w:after="0"/>
              <w:jc w:val="center"/>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σ</w:t>
            </w:r>
            <w:r>
              <w:rPr>
                <w:rFonts w:ascii="Times New Roman" w:hAnsi="Times New Roman" w:eastAsia="宋体" w:cs="Times New Roman"/>
                <w:i/>
                <w:color w:val="auto"/>
                <w:sz w:val="24"/>
                <w:szCs w:val="24"/>
                <w:highlight w:val="none"/>
                <w:vertAlign w:val="subscript"/>
              </w:rPr>
              <w:t>l</w:t>
            </w:r>
            <w:r>
              <w:rPr>
                <w:rFonts w:ascii="Times New Roman" w:hAnsi="Times New Roman" w:eastAsia="宋体" w:cs="Times New Roman"/>
                <w:color w:val="auto"/>
                <w:sz w:val="24"/>
                <w:szCs w:val="24"/>
                <w:highlight w:val="none"/>
                <w:vertAlign w:val="subscript"/>
              </w:rPr>
              <w:t>5</w:t>
            </w:r>
          </w:p>
        </w:tc>
      </w:tr>
    </w:tbl>
    <w:p>
      <w:pPr>
        <w:adjustRightInd/>
        <w:snapToGrid/>
        <w:spacing w:after="0" w:line="360" w:lineRule="auto"/>
        <w:rPr>
          <w:color w:val="auto"/>
          <w:highlight w:val="none"/>
        </w:rPr>
      </w:pPr>
      <w:r>
        <w:rPr>
          <w:rFonts w:ascii="Times New Roman" w:hAnsi="Times New Roman" w:eastAsia="宋体" w:cs="Times New Roman"/>
          <w:color w:val="auto"/>
          <w:sz w:val="21"/>
          <w:szCs w:val="21"/>
          <w:highlight w:val="none"/>
        </w:rPr>
        <w:t>注：先张法构件由于预应力筋应力松弛引起的损失值</w:t>
      </w:r>
      <w:r>
        <w:rPr>
          <w:rFonts w:ascii="Times New Roman" w:hAnsi="Times New Roman" w:eastAsia="宋体" w:cs="Times New Roman"/>
          <w:i/>
          <w:color w:val="auto"/>
          <w:sz w:val="21"/>
          <w:szCs w:val="21"/>
          <w:highlight w:val="none"/>
        </w:rPr>
        <w:t>σ</w:t>
      </w:r>
      <w:r>
        <w:rPr>
          <w:rFonts w:ascii="Times New Roman" w:hAnsi="Times New Roman" w:eastAsia="宋体" w:cs="Times New Roman"/>
          <w:i/>
          <w:color w:val="auto"/>
          <w:sz w:val="21"/>
          <w:szCs w:val="21"/>
          <w:highlight w:val="none"/>
          <w:vertAlign w:val="subscript"/>
        </w:rPr>
        <w:t>l</w:t>
      </w:r>
      <w:r>
        <w:rPr>
          <w:rFonts w:ascii="Times New Roman" w:hAnsi="Times New Roman" w:eastAsia="宋体" w:cs="Times New Roman"/>
          <w:color w:val="auto"/>
          <w:sz w:val="21"/>
          <w:szCs w:val="21"/>
          <w:highlight w:val="none"/>
          <w:vertAlign w:val="subscript"/>
        </w:rPr>
        <w:t>4</w:t>
      </w:r>
      <w:r>
        <w:rPr>
          <w:rFonts w:ascii="Times New Roman" w:hAnsi="Times New Roman" w:eastAsia="宋体" w:cs="Times New Roman"/>
          <w:color w:val="auto"/>
          <w:sz w:val="21"/>
          <w:szCs w:val="21"/>
          <w:highlight w:val="none"/>
        </w:rPr>
        <w:t>在第一批和第二批损失中所占的比例，如需区分，可根据实际情况确定。</w:t>
      </w:r>
      <w:r>
        <w:rPr>
          <w:rFonts w:ascii="Times New Roman" w:hAnsi="Times New Roman" w:eastAsia="宋体" w:cs="Times New Roman"/>
          <w:color w:val="auto"/>
          <w:highlight w:val="none"/>
        </w:rPr>
        <w:t xml:space="preserve"> </w:t>
      </w:r>
    </w:p>
    <w:p>
      <w:pPr>
        <w:adjustRightInd/>
        <w:snapToGrid/>
        <w:spacing w:line="220" w:lineRule="atLeast"/>
        <w:rPr>
          <w:rFonts w:ascii="Times New Roman" w:hAnsi="Times New Roman" w:eastAsia="宋体" w:cs="Times New Roman"/>
          <w:b/>
          <w:color w:val="auto"/>
          <w:kern w:val="2"/>
          <w:sz w:val="28"/>
          <w:szCs w:val="20"/>
          <w:highlight w:val="none"/>
        </w:rPr>
      </w:pPr>
      <w:r>
        <w:rPr>
          <w:rFonts w:ascii="Times New Roman" w:hAnsi="Times New Roman" w:eastAsia="宋体" w:cs="Times New Roman"/>
          <w:color w:val="auto"/>
          <w:highlight w:val="none"/>
        </w:rPr>
        <w:br w:type="page"/>
      </w:r>
    </w:p>
    <w:p>
      <w:pPr>
        <w:pStyle w:val="24"/>
        <w:spacing w:before="312" w:after="312"/>
        <w:rPr>
          <w:rFonts w:eastAsiaTheme="minorEastAsia"/>
          <w:color w:val="auto"/>
          <w:highlight w:val="none"/>
        </w:rPr>
      </w:pPr>
      <w:bookmarkStart w:id="18" w:name="_Toc111709515"/>
      <w:r>
        <w:rPr>
          <w:rFonts w:hint="eastAsia" w:eastAsiaTheme="minorEastAsia"/>
          <w:color w:val="auto"/>
          <w:highlight w:val="none"/>
        </w:rPr>
        <w:t>6</w:t>
      </w:r>
      <w:r>
        <w:rPr>
          <w:rFonts w:eastAsiaTheme="minorEastAsia"/>
          <w:color w:val="auto"/>
          <w:highlight w:val="none"/>
        </w:rPr>
        <w:t>构件设计计算</w:t>
      </w:r>
      <w:bookmarkEnd w:id="18"/>
    </w:p>
    <w:p>
      <w:pPr>
        <w:pStyle w:val="25"/>
        <w:spacing w:beforeLines="0" w:after="312" w:line="360" w:lineRule="auto"/>
        <w:rPr>
          <w:rFonts w:hAnsi="宋体"/>
          <w:color w:val="auto"/>
          <w:highlight w:val="none"/>
        </w:rPr>
      </w:pPr>
      <w:bookmarkStart w:id="19" w:name="_Toc111709516"/>
      <w:r>
        <w:rPr>
          <w:rFonts w:hAnsi="宋体"/>
          <w:color w:val="auto"/>
          <w:highlight w:val="none"/>
        </w:rPr>
        <w:t>6.1一般规定</w:t>
      </w:r>
      <w:bookmarkEnd w:id="19"/>
    </w:p>
    <w:p>
      <w:pPr>
        <w:spacing w:after="0" w:line="360" w:lineRule="auto"/>
        <w:rPr>
          <w:rFonts w:asci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6.1.1</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w:t>
      </w:r>
      <w:r>
        <w:rPr>
          <w:rFonts w:ascii="Times New Roman" w:eastAsia="宋体" w:cs="Times New Roman"/>
          <w:color w:val="auto"/>
          <w:sz w:val="24"/>
          <w:szCs w:val="24"/>
          <w:highlight w:val="none"/>
        </w:rPr>
        <w:t>预制底板应进行</w:t>
      </w:r>
      <w:bookmarkStart w:id="20" w:name="_Hlk111548881"/>
      <w:bookmarkStart w:id="21" w:name="_Hlk111548667"/>
      <w:r>
        <w:rPr>
          <w:rFonts w:ascii="Times New Roman" w:eastAsia="宋体" w:cs="Times New Roman"/>
          <w:color w:val="auto"/>
          <w:sz w:val="24"/>
          <w:szCs w:val="24"/>
          <w:highlight w:val="none"/>
        </w:rPr>
        <w:t>短暂设计状况下</w:t>
      </w:r>
      <w:bookmarkEnd w:id="20"/>
      <w:r>
        <w:rPr>
          <w:rFonts w:ascii="Times New Roman" w:eastAsia="宋体" w:cs="Times New Roman"/>
          <w:color w:val="auto"/>
          <w:sz w:val="24"/>
          <w:szCs w:val="24"/>
          <w:highlight w:val="none"/>
        </w:rPr>
        <w:t>的抗裂、挠度及承载力验算。</w:t>
      </w:r>
      <w:bookmarkEnd w:id="21"/>
    </w:p>
    <w:p>
      <w:pPr>
        <w:spacing w:after="0" w:line="360" w:lineRule="auto"/>
        <w:rPr>
          <w:rFonts w:asci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6.1.2</w:t>
      </w:r>
      <w:r>
        <w:rPr>
          <w:rFonts w:hint="eastAsia" w:ascii="Times New Roman" w:hAnsi="Times New Roman" w:eastAsia="宋体" w:cs="Times New Roman"/>
          <w:color w:val="auto"/>
          <w:sz w:val="24"/>
          <w:szCs w:val="24"/>
          <w:highlight w:val="none"/>
        </w:rPr>
        <w:t xml:space="preserve">   支架预应力混凝土</w:t>
      </w:r>
      <w:r>
        <w:rPr>
          <w:rFonts w:hint="eastAsia" w:ascii="Times New Roman" w:eastAsia="宋体" w:cs="Times New Roman"/>
          <w:color w:val="auto"/>
          <w:sz w:val="24"/>
          <w:szCs w:val="24"/>
          <w:highlight w:val="none"/>
        </w:rPr>
        <w:t>预制底板的上弦矩形钢管</w:t>
      </w:r>
      <w:r>
        <w:rPr>
          <w:rFonts w:ascii="Times New Roman" w:eastAsia="宋体" w:cs="Times New Roman"/>
          <w:color w:val="auto"/>
          <w:sz w:val="24"/>
          <w:szCs w:val="24"/>
          <w:highlight w:val="none"/>
        </w:rPr>
        <w:t>应进行短暂设计状况下承载力</w:t>
      </w:r>
      <w:r>
        <w:rPr>
          <w:rFonts w:hint="eastAsia" w:ascii="Times New Roman" w:eastAsia="宋体" w:cs="Times New Roman"/>
          <w:color w:val="auto"/>
          <w:sz w:val="24"/>
          <w:szCs w:val="24"/>
          <w:highlight w:val="none"/>
        </w:rPr>
        <w:t>、稳定性</w:t>
      </w:r>
      <w:r>
        <w:rPr>
          <w:rFonts w:ascii="Times New Roman" w:eastAsia="宋体" w:cs="Times New Roman"/>
          <w:color w:val="auto"/>
          <w:sz w:val="24"/>
          <w:szCs w:val="24"/>
          <w:highlight w:val="none"/>
        </w:rPr>
        <w:t>验算。</w:t>
      </w:r>
    </w:p>
    <w:p>
      <w:pPr>
        <w:spacing w:after="0" w:line="360" w:lineRule="auto"/>
        <w:rPr>
          <w:rFonts w:ascii="Times New Roman" w:hAnsi="Times New Roman" w:eastAsia="宋体" w:cs="Times New Roman"/>
          <w:color w:val="auto"/>
          <w:sz w:val="24"/>
          <w:szCs w:val="24"/>
          <w:highlight w:val="none"/>
        </w:rPr>
      </w:pPr>
      <w:bookmarkStart w:id="22" w:name="_Hlk111548612"/>
      <w:r>
        <w:rPr>
          <w:rFonts w:ascii="Times New Roman" w:hAnsi="Times New Roman" w:eastAsia="宋体" w:cs="Times New Roman"/>
          <w:b/>
          <w:color w:val="auto"/>
          <w:sz w:val="24"/>
          <w:szCs w:val="24"/>
          <w:highlight w:val="none"/>
        </w:rPr>
        <w:t>6.1.3</w:t>
      </w:r>
      <w:r>
        <w:rPr>
          <w:rFonts w:hint="eastAsia" w:ascii="Times New Roman" w:hAnsi="Times New Roman" w:eastAsia="宋体" w:cs="Times New Roman"/>
          <w:color w:val="auto"/>
          <w:sz w:val="24"/>
          <w:szCs w:val="24"/>
          <w:highlight w:val="none"/>
        </w:rPr>
        <w:t xml:space="preserve">   支架预应力混凝土叠合板</w:t>
      </w:r>
      <w:r>
        <w:rPr>
          <w:rFonts w:ascii="Times New Roman" w:eastAsia="宋体" w:cs="Times New Roman"/>
          <w:color w:val="auto"/>
          <w:sz w:val="24"/>
          <w:szCs w:val="24"/>
          <w:highlight w:val="none"/>
        </w:rPr>
        <w:t>应进行持久设计状况下的设计，</w:t>
      </w:r>
      <w:r>
        <w:rPr>
          <w:rFonts w:hint="eastAsia" w:ascii="Times New Roman" w:eastAsia="宋体" w:cs="Times New Roman"/>
          <w:color w:val="auto"/>
          <w:sz w:val="24"/>
          <w:szCs w:val="24"/>
          <w:highlight w:val="none"/>
        </w:rPr>
        <w:t>应进行</w:t>
      </w:r>
      <w:r>
        <w:rPr>
          <w:rFonts w:ascii="Times New Roman" w:eastAsia="宋体" w:cs="Times New Roman"/>
          <w:color w:val="auto"/>
          <w:sz w:val="24"/>
          <w:szCs w:val="24"/>
          <w:highlight w:val="none"/>
        </w:rPr>
        <w:t>承载能力极限状态</w:t>
      </w:r>
      <w:r>
        <w:rPr>
          <w:rFonts w:hint="eastAsia" w:ascii="Times New Roman" w:eastAsia="宋体" w:cs="Times New Roman"/>
          <w:color w:val="auto"/>
          <w:sz w:val="24"/>
          <w:szCs w:val="24"/>
          <w:highlight w:val="none"/>
        </w:rPr>
        <w:t>计算和</w:t>
      </w:r>
      <w:r>
        <w:rPr>
          <w:rFonts w:ascii="Times New Roman" w:eastAsia="宋体" w:cs="Times New Roman"/>
          <w:color w:val="auto"/>
          <w:sz w:val="24"/>
          <w:szCs w:val="24"/>
          <w:highlight w:val="none"/>
        </w:rPr>
        <w:t>正常使用极限状态</w:t>
      </w:r>
      <w:r>
        <w:rPr>
          <w:rFonts w:hint="eastAsia" w:ascii="Times New Roman" w:eastAsia="宋体" w:cs="Times New Roman"/>
          <w:color w:val="auto"/>
          <w:sz w:val="24"/>
          <w:szCs w:val="24"/>
          <w:highlight w:val="none"/>
        </w:rPr>
        <w:t>的验算。</w:t>
      </w:r>
    </w:p>
    <w:bookmarkEnd w:id="22"/>
    <w:p>
      <w:pPr>
        <w:spacing w:after="0" w:line="360" w:lineRule="auto"/>
        <w:rPr>
          <w:rFonts w:ascii="Times New Roman" w:hAnsi="宋体" w:eastAsia="宋体" w:cs="Times New Roman"/>
          <w:bCs/>
          <w:color w:val="auto"/>
          <w:sz w:val="24"/>
          <w:szCs w:val="24"/>
          <w:highlight w:val="none"/>
        </w:rPr>
      </w:pPr>
      <w:r>
        <w:rPr>
          <w:rFonts w:ascii="Times New Roman" w:hAnsi="Times New Roman" w:eastAsia="宋体" w:cs="Times New Roman"/>
          <w:b/>
          <w:bCs/>
          <w:color w:val="auto"/>
          <w:sz w:val="24"/>
          <w:szCs w:val="24"/>
          <w:highlight w:val="none"/>
        </w:rPr>
        <w:t>6.1.4</w:t>
      </w:r>
      <w:r>
        <w:rPr>
          <w:rFonts w:hint="eastAsia" w:ascii="Times New Roman" w:hAnsi="Times New Roman" w:eastAsia="宋体" w:cs="Times New Roman"/>
          <w:b/>
          <w:bCs/>
          <w:color w:val="auto"/>
          <w:sz w:val="24"/>
          <w:szCs w:val="24"/>
          <w:highlight w:val="none"/>
        </w:rPr>
        <w:t xml:space="preserve">   </w:t>
      </w:r>
      <w:r>
        <w:rPr>
          <w:rFonts w:ascii="Times New Roman" w:hAnsi="宋体" w:eastAsia="宋体" w:cs="Times New Roman"/>
          <w:bCs/>
          <w:color w:val="auto"/>
          <w:sz w:val="24"/>
          <w:szCs w:val="24"/>
          <w:highlight w:val="none"/>
        </w:rPr>
        <w:t>正常使用极限状态下的</w:t>
      </w:r>
      <w:r>
        <w:rPr>
          <w:rFonts w:hint="eastAsia" w:ascii="Times New Roman" w:hAnsi="宋体" w:eastAsia="宋体" w:cs="Times New Roman"/>
          <w:bCs/>
          <w:color w:val="auto"/>
          <w:sz w:val="24"/>
          <w:szCs w:val="24"/>
          <w:highlight w:val="none"/>
        </w:rPr>
        <w:t>支架预应力混凝土叠合板</w:t>
      </w:r>
      <w:r>
        <w:rPr>
          <w:rFonts w:ascii="Times New Roman" w:hAnsi="宋体" w:eastAsia="宋体" w:cs="Times New Roman"/>
          <w:bCs/>
          <w:color w:val="auto"/>
          <w:sz w:val="24"/>
          <w:szCs w:val="24"/>
          <w:highlight w:val="none"/>
        </w:rPr>
        <w:t>应采用荷载效应标准组合</w:t>
      </w:r>
      <w:r>
        <w:rPr>
          <w:rFonts w:hint="eastAsia" w:ascii="Times New Roman" w:hAnsi="宋体" w:eastAsia="宋体" w:cs="Times New Roman"/>
          <w:bCs/>
          <w:color w:val="auto"/>
          <w:sz w:val="24"/>
          <w:szCs w:val="24"/>
          <w:highlight w:val="none"/>
        </w:rPr>
        <w:t>进行</w:t>
      </w:r>
      <w:r>
        <w:rPr>
          <w:rFonts w:ascii="Times New Roman" w:hAnsi="宋体" w:eastAsia="宋体" w:cs="Times New Roman"/>
          <w:bCs/>
          <w:color w:val="auto"/>
          <w:sz w:val="24"/>
          <w:szCs w:val="24"/>
          <w:highlight w:val="none"/>
        </w:rPr>
        <w:t>验算。</w:t>
      </w:r>
    </w:p>
    <w:p>
      <w:pPr>
        <w:pStyle w:val="25"/>
        <w:spacing w:beforeLines="0" w:after="312" w:line="360" w:lineRule="auto"/>
        <w:rPr>
          <w:rFonts w:hAnsi="宋体"/>
          <w:color w:val="auto"/>
          <w:highlight w:val="none"/>
        </w:rPr>
      </w:pPr>
      <w:bookmarkStart w:id="23" w:name="_Toc111709517"/>
      <w:r>
        <w:rPr>
          <w:rFonts w:hAnsi="宋体"/>
          <w:color w:val="auto"/>
          <w:highlight w:val="none"/>
        </w:rPr>
        <w:t>6.2短暂设计状况计算</w:t>
      </w:r>
      <w:bookmarkEnd w:id="23"/>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6.2.1</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w:t>
      </w:r>
      <w:r>
        <w:rPr>
          <w:rFonts w:ascii="Times New Roman" w:hAnsi="Times New Roman" w:eastAsia="宋体" w:cs="Times New Roman"/>
          <w:color w:val="auto"/>
          <w:sz w:val="24"/>
          <w:szCs w:val="24"/>
          <w:highlight w:val="none"/>
        </w:rPr>
        <w:t>预制底板进行脱模验算时，等效静力荷载标准值应取构件自重标准值乘以动力系数后与脱模吸附力之和，且不宜小于构件自重标准值的1.5倍。其中，动力系数不宜小于1.2；脱模吸附力应根据构件或模具的实际状况采用，且不宜小于1.5kN/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6.2.2</w:t>
      </w:r>
      <w:r>
        <w:rPr>
          <w:rFonts w:hint="eastAsia" w:ascii="Times New Roman" w:hAnsi="Times New Roman" w:eastAsia="宋体" w:cs="Times New Roman"/>
          <w:color w:val="auto"/>
          <w:sz w:val="24"/>
          <w:szCs w:val="24"/>
          <w:highlight w:val="none"/>
        </w:rPr>
        <w:t xml:space="preserve">   支架预应力混凝土</w:t>
      </w:r>
      <w:r>
        <w:rPr>
          <w:rFonts w:ascii="Times New Roman" w:hAnsi="Times New Roman" w:eastAsia="宋体" w:cs="Times New Roman"/>
          <w:color w:val="auto"/>
          <w:sz w:val="24"/>
          <w:szCs w:val="24"/>
          <w:highlight w:val="none"/>
        </w:rPr>
        <w:t>预制底板进行运输、吊运、安装等短暂设计状况下的施工验算时，应将构件自重标准值乘以动力系数后作为</w:t>
      </w:r>
      <w:r>
        <w:rPr>
          <w:rFonts w:hint="eastAsia" w:ascii="Times New Roman" w:hAnsi="Times New Roman" w:eastAsia="宋体" w:cs="Times New Roman"/>
          <w:color w:val="auto"/>
          <w:sz w:val="24"/>
          <w:szCs w:val="24"/>
          <w:highlight w:val="none"/>
        </w:rPr>
        <w:t>等效</w:t>
      </w:r>
      <w:r>
        <w:rPr>
          <w:rFonts w:ascii="Times New Roman" w:hAnsi="Times New Roman" w:eastAsia="宋体" w:cs="Times New Roman"/>
          <w:color w:val="auto"/>
          <w:sz w:val="24"/>
          <w:szCs w:val="24"/>
          <w:highlight w:val="none"/>
        </w:rPr>
        <w:t>静力荷载标准值，动力系数不宜小于1.5。</w:t>
      </w:r>
    </w:p>
    <w:p>
      <w:pPr>
        <w:widowControl w:val="0"/>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6.2.3</w:t>
      </w:r>
      <w:r>
        <w:rPr>
          <w:rFonts w:hint="eastAsia" w:ascii="Times New Roman" w:hAnsi="Times New Roman" w:eastAsia="宋体" w:cs="Times New Roman"/>
          <w:color w:val="auto"/>
          <w:sz w:val="24"/>
          <w:szCs w:val="24"/>
          <w:highlight w:val="none"/>
        </w:rPr>
        <w:t xml:space="preserve">  支架预应力混凝土</w:t>
      </w:r>
      <w:r>
        <w:rPr>
          <w:rFonts w:ascii="Times New Roman" w:hAnsi="Times New Roman" w:eastAsia="宋体" w:cs="Times New Roman"/>
          <w:color w:val="auto"/>
          <w:sz w:val="24"/>
          <w:szCs w:val="24"/>
          <w:highlight w:val="none"/>
        </w:rPr>
        <w:t>预制底板进行后浇叠合层施工阶段验算时，施工活荷载标准值取值不宜小于1.5kN/m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w:t>
      </w:r>
    </w:p>
    <w:p>
      <w:pPr>
        <w:widowControl w:val="0"/>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6.2.4</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color w:val="auto"/>
          <w:sz w:val="24"/>
          <w:szCs w:val="24"/>
          <w:highlight w:val="none"/>
        </w:rPr>
        <w:t>施工阶段</w:t>
      </w:r>
      <w:r>
        <w:rPr>
          <w:rFonts w:hint="eastAsia" w:ascii="Times New Roman" w:hAnsi="Times New Roman" w:eastAsia="宋体" w:cs="Times New Roman"/>
          <w:color w:val="auto"/>
          <w:sz w:val="24"/>
          <w:szCs w:val="24"/>
          <w:highlight w:val="none"/>
        </w:rPr>
        <w:t>支架预应力混凝土</w:t>
      </w:r>
      <w:r>
        <w:rPr>
          <w:rFonts w:ascii="Times New Roman" w:hAnsi="Times New Roman" w:eastAsia="宋体" w:cs="Times New Roman"/>
          <w:color w:val="auto"/>
          <w:sz w:val="24"/>
          <w:szCs w:val="24"/>
          <w:highlight w:val="none"/>
        </w:rPr>
        <w:t>预制底板两端</w:t>
      </w:r>
      <w:r>
        <w:rPr>
          <w:rFonts w:hint="eastAsia" w:ascii="Times New Roman" w:hAnsi="Times New Roman" w:eastAsia="宋体" w:cs="Times New Roman"/>
          <w:color w:val="auto"/>
          <w:sz w:val="24"/>
          <w:szCs w:val="24"/>
          <w:highlight w:val="none"/>
        </w:rPr>
        <w:t>应设置可靠</w:t>
      </w:r>
      <w:r>
        <w:rPr>
          <w:rFonts w:ascii="Times New Roman" w:hAnsi="Times New Roman" w:eastAsia="宋体" w:cs="Times New Roman"/>
          <w:color w:val="auto"/>
          <w:sz w:val="24"/>
          <w:szCs w:val="24"/>
          <w:highlight w:val="none"/>
        </w:rPr>
        <w:t>支撑，跨内临时支撑的布置应满足抗裂、挠度及承载力要求。</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6.2.5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w:t>
      </w:r>
      <w:r>
        <w:rPr>
          <w:rFonts w:ascii="Times New Roman" w:hAnsi="Times New Roman" w:eastAsia="宋体" w:cs="Times New Roman"/>
          <w:color w:val="auto"/>
          <w:sz w:val="24"/>
          <w:szCs w:val="24"/>
          <w:highlight w:val="none"/>
        </w:rPr>
        <w:t>预制底板截面边缘混凝土</w:t>
      </w:r>
      <w:r>
        <w:rPr>
          <w:rFonts w:ascii="Times New Roman" w:hAnsi="Times New Roman" w:eastAsia="宋体" w:cs="Times New Roman"/>
          <w:color w:val="auto"/>
          <w:sz w:val="24"/>
          <w:highlight w:val="none"/>
        </w:rPr>
        <w:t>法向</w:t>
      </w:r>
      <w:r>
        <w:rPr>
          <w:rFonts w:ascii="Times New Roman" w:hAnsi="Times New Roman" w:eastAsia="宋体" w:cs="Times New Roman"/>
          <w:color w:val="auto"/>
          <w:sz w:val="24"/>
          <w:szCs w:val="24"/>
          <w:highlight w:val="none"/>
        </w:rPr>
        <w:t>压应力应符合以下规定：</w:t>
      </w:r>
    </w:p>
    <w:p>
      <w:pPr>
        <w:spacing w:after="0" w:line="360" w:lineRule="auto"/>
        <w:ind w:right="600"/>
        <w:jc w:val="right"/>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 xml:space="preserve">cc </w:t>
      </w:r>
      <w:r>
        <w:rPr>
          <w:rFonts w:ascii="Times New Roman" w:hAnsi="Times New Roman" w:eastAsia="宋体" w:cs="Times New Roman"/>
          <w:color w:val="auto"/>
          <w:sz w:val="24"/>
          <w:highlight w:val="none"/>
        </w:rPr>
        <w:t>≤ 0.8</w:t>
      </w:r>
      <w:r>
        <w:rPr>
          <w:rFonts w:ascii="Times New Roman" w:hAnsi="Times New Roman" w:eastAsia="宋体" w:cs="Times New Roman"/>
          <w:i/>
          <w:color w:val="auto"/>
          <w:sz w:val="24"/>
          <w:highlight w:val="none"/>
        </w:rPr>
        <w:t>f'</w:t>
      </w:r>
      <w:r>
        <w:rPr>
          <w:rFonts w:ascii="Times New Roman" w:hAnsi="Times New Roman" w:eastAsia="宋体" w:cs="Times New Roman"/>
          <w:color w:val="auto"/>
          <w:sz w:val="24"/>
          <w:highlight w:val="none"/>
          <w:vertAlign w:val="subscript"/>
        </w:rPr>
        <w:t>ck</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 xml:space="preserve">               （6.2.5-1）</w:t>
      </w:r>
    </w:p>
    <w:p>
      <w:pPr>
        <w:spacing w:after="0" w:line="360" w:lineRule="auto"/>
        <w:ind w:right="60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截面边缘混凝土</w:t>
      </w:r>
      <w:r>
        <w:rPr>
          <w:rFonts w:ascii="Times New Roman" w:hAnsi="Times New Roman" w:eastAsia="宋体" w:cs="Times New Roman"/>
          <w:color w:val="auto"/>
          <w:sz w:val="24"/>
          <w:highlight w:val="none"/>
        </w:rPr>
        <w:t>法向</w:t>
      </w:r>
      <w:r>
        <w:rPr>
          <w:rFonts w:ascii="Times New Roman" w:hAnsi="Times New Roman" w:eastAsia="宋体" w:cs="Times New Roman"/>
          <w:color w:val="auto"/>
          <w:sz w:val="24"/>
          <w:szCs w:val="24"/>
          <w:highlight w:val="none"/>
        </w:rPr>
        <w:t>压应力可按下列公式计算：</w:t>
      </w:r>
    </w:p>
    <w:p>
      <w:pPr>
        <w:wordWrap w:val="0"/>
        <w:spacing w:after="0" w:line="360" w:lineRule="auto"/>
        <w:ind w:right="600"/>
        <w:jc w:val="right"/>
        <w:rPr>
          <w:rFonts w:ascii="Times New Roman" w:hAnsi="Times New Roman" w:cs="Times New Roman" w:eastAsiaTheme="minorEastAsia"/>
          <w:color w:val="auto"/>
          <w:sz w:val="24"/>
          <w:highlight w:val="none"/>
        </w:rPr>
      </w:pPr>
      <w:r>
        <w:rPr>
          <w:rFonts w:ascii="Times New Roman" w:hAnsi="Times New Roman" w:cs="Times New Roman"/>
          <w:color w:val="auto"/>
          <w:position w:val="-30"/>
          <w:sz w:val="24"/>
          <w:highlight w:val="none"/>
        </w:rPr>
        <w:object>
          <v:shape id="_x0000_i1033" o:spt="75" type="#_x0000_t75" style="height:36pt;width:82.9pt;" o:ole="t" filled="f" o:preferrelative="t" stroked="f" coordsize="21600,21600">
            <v:path/>
            <v:fill on="f" focussize="0,0"/>
            <v:stroke on="f" joinstyle="miter"/>
            <v:imagedata r:id="rId29" o:title=""/>
            <o:lock v:ext="edit" aspectratio="t"/>
            <w10:wrap type="none"/>
            <w10:anchorlock/>
          </v:shape>
          <o:OLEObject Type="Embed" ProgID="Equation.DSMT4" ShapeID="_x0000_i1033" DrawAspect="Content" ObjectID="_1468075733" r:id="rId28">
            <o:LockedField>false</o:LockedField>
          </o:OLEObject>
        </w:object>
      </w:r>
      <w:r>
        <w:rPr>
          <w:rFonts w:ascii="Times New Roman" w:hAnsi="Times New Roman" w:cs="Times New Roman"/>
          <w:color w:val="auto"/>
          <w:sz w:val="24"/>
          <w:highlight w:val="none"/>
        </w:rPr>
        <w:t xml:space="preserve">                             </w:t>
      </w:r>
      <w:r>
        <w:rPr>
          <w:rFonts w:ascii="Times New Roman" w:hAnsi="Times New Roman" w:cs="Times New Roman" w:eastAsiaTheme="minorEastAsia"/>
          <w:color w:val="auto"/>
          <w:sz w:val="24"/>
          <w:highlight w:val="none"/>
        </w:rPr>
        <w:t>（6.2.5-2）</w:t>
      </w:r>
    </w:p>
    <w:p>
      <w:pPr>
        <w:wordWrap w:val="0"/>
        <w:spacing w:after="0" w:line="360" w:lineRule="auto"/>
        <w:ind w:right="600"/>
        <w:jc w:val="right"/>
        <w:rPr>
          <w:rFonts w:ascii="Times New Roman" w:hAnsi="Times New Roman" w:cs="Times New Roman" w:eastAsiaTheme="minorEastAsia"/>
          <w:color w:val="auto"/>
          <w:sz w:val="24"/>
          <w:highlight w:val="none"/>
        </w:rPr>
      </w:pPr>
      <w:r>
        <w:rPr>
          <w:rFonts w:ascii="Times New Roman" w:hAnsi="Times New Roman" w:cs="Times New Roman"/>
          <w:color w:val="auto"/>
          <w:position w:val="-30"/>
          <w:sz w:val="24"/>
          <w:highlight w:val="none"/>
        </w:rPr>
        <w:object>
          <v:shape id="_x0000_i1034" o:spt="75" type="#_x0000_t75" style="height:36pt;width:102pt;" o:ole="t" filled="f" o:preferrelative="t" stroked="f" coordsize="21600,21600">
            <v:path/>
            <v:fill on="f" focussize="0,0"/>
            <v:stroke on="f" joinstyle="miter"/>
            <v:imagedata r:id="rId31" o:title=""/>
            <o:lock v:ext="edit" aspectratio="t"/>
            <w10:wrap type="none"/>
            <w10:anchorlock/>
          </v:shape>
          <o:OLEObject Type="Embed" ProgID="Equation.DSMT4" ShapeID="_x0000_i1034" DrawAspect="Content" ObjectID="_1468075734" r:id="rId30">
            <o:LockedField>false</o:LockedField>
          </o:OLEObject>
        </w:object>
      </w:r>
      <w:r>
        <w:rPr>
          <w:rFonts w:ascii="Times New Roman" w:hAnsi="Times New Roman" w:cs="Times New Roman"/>
          <w:color w:val="auto"/>
          <w:position w:val="-30"/>
          <w:sz w:val="24"/>
          <w:highlight w:val="none"/>
        </w:rPr>
        <w:t xml:space="preserve">                         </w:t>
      </w:r>
      <w:r>
        <w:rPr>
          <w:rFonts w:ascii="Times New Roman" w:hAnsi="Times New Roman" w:cs="Times New Roman" w:eastAsiaTheme="minorEastAsia"/>
          <w:color w:val="auto"/>
          <w:sz w:val="24"/>
          <w:highlight w:val="none"/>
        </w:rPr>
        <w:t>（6.2.5-3）</w:t>
      </w:r>
    </w:p>
    <w:p>
      <w:pPr>
        <w:spacing w:after="0" w:line="360" w:lineRule="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式中：</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cc</w:t>
      </w:r>
      <w:r>
        <w:rPr>
          <w:rFonts w:ascii="Times New Roman" w:hAnsi="Times New Roman" w:eastAsia="宋体" w:cs="Times New Roman"/>
          <w:color w:val="auto"/>
          <w:sz w:val="24"/>
          <w:highlight w:val="none"/>
        </w:rPr>
        <w:t>——各施工阶段在荷载标准组合作用下产生的构件正截面边缘混凝土法向压应力；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pcc</w:t>
      </w:r>
      <w:r>
        <w:rPr>
          <w:rFonts w:ascii="Times New Roman" w:hAnsi="Times New Roman" w:eastAsia="宋体" w:cs="Times New Roman"/>
          <w:color w:val="auto"/>
          <w:sz w:val="24"/>
          <w:highlight w:val="none"/>
        </w:rPr>
        <w:t>——由预加力产生的构件正截面边缘混凝土法向</w:t>
      </w:r>
      <w:r>
        <w:rPr>
          <w:rFonts w:hint="eastAsia" w:ascii="Times New Roman" w:hAnsi="Times New Roman" w:eastAsia="宋体" w:cs="Times New Roman"/>
          <w:color w:val="auto"/>
          <w:sz w:val="24"/>
          <w:highlight w:val="none"/>
        </w:rPr>
        <w:t>压</w:t>
      </w:r>
      <w:r>
        <w:rPr>
          <w:rFonts w:ascii="Times New Roman" w:hAnsi="Times New Roman" w:eastAsia="宋体" w:cs="Times New Roman"/>
          <w:color w:val="auto"/>
          <w:sz w:val="24"/>
          <w:highlight w:val="none"/>
        </w:rPr>
        <w:t>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W</w:t>
      </w:r>
      <w:r>
        <w:rPr>
          <w:rFonts w:ascii="Times New Roman" w:hAnsi="Times New Roman" w:eastAsia="宋体" w:cs="Times New Roman"/>
          <w:color w:val="auto"/>
          <w:sz w:val="24"/>
          <w:highlight w:val="none"/>
          <w:vertAlign w:val="subscript"/>
        </w:rPr>
        <w:t>cc</w:t>
      </w:r>
      <w:r>
        <w:rPr>
          <w:rFonts w:ascii="Times New Roman" w:hAnsi="Times New Roman" w:eastAsia="宋体" w:cs="Times New Roman"/>
          <w:color w:val="auto"/>
          <w:sz w:val="24"/>
          <w:highlight w:val="none"/>
        </w:rPr>
        <w:t>——截面混凝土受压边缘弹性抵抗矩，按等效组合截面计算；</w:t>
      </w:r>
    </w:p>
    <w:p>
      <w:pPr>
        <w:spacing w:after="0"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i/>
          <w:color w:val="auto"/>
          <w:sz w:val="24"/>
          <w:highlight w:val="none"/>
        </w:rPr>
        <w:t>A</w:t>
      </w:r>
      <w:r>
        <w:rPr>
          <w:rFonts w:hint="eastAsia" w:ascii="Times New Roman" w:hAnsi="Times New Roman" w:eastAsia="宋体" w:cs="Times New Roman"/>
          <w:color w:val="auto"/>
          <w:sz w:val="24"/>
          <w:highlight w:val="none"/>
          <w:vertAlign w:val="subscript"/>
        </w:rPr>
        <w:t>0</w:t>
      </w:r>
      <w:r>
        <w:rPr>
          <w:rFonts w:ascii="Times New Roman" w:hAnsi="Times New Roman" w:eastAsia="宋体" w:cs="Times New Roman"/>
          <w:color w:val="auto"/>
          <w:sz w:val="24"/>
          <w:highlight w:val="none"/>
        </w:rPr>
        <w:t>——等效组合截面</w:t>
      </w:r>
      <w:r>
        <w:rPr>
          <w:rFonts w:hint="eastAsia" w:ascii="Times New Roman" w:hAnsi="Times New Roman" w:eastAsia="宋体" w:cs="Times New Roman"/>
          <w:color w:val="auto"/>
          <w:sz w:val="24"/>
          <w:highlight w:val="none"/>
        </w:rPr>
        <w:t>面积</w:t>
      </w:r>
      <w:r>
        <w:rPr>
          <w:rFonts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M</w:t>
      </w:r>
      <w:r>
        <w:rPr>
          <w:rFonts w:ascii="Times New Roman" w:hAnsi="Times New Roman" w:eastAsia="宋体" w:cs="Times New Roman"/>
          <w:color w:val="auto"/>
          <w:sz w:val="24"/>
          <w:highlight w:val="none"/>
          <w:vertAlign w:val="subscript"/>
        </w:rPr>
        <w:t>k</w:t>
      </w:r>
      <w:r>
        <w:rPr>
          <w:rFonts w:ascii="Times New Roman" w:hAnsi="Times New Roman" w:eastAsia="宋体" w:cs="Times New Roman"/>
          <w:color w:val="auto"/>
          <w:sz w:val="24"/>
          <w:highlight w:val="none"/>
        </w:rPr>
        <w:t>——各施工阶段在荷载标准组合作用下组合截面弯矩标准值；</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N</w:t>
      </w:r>
      <w:r>
        <w:rPr>
          <w:rFonts w:ascii="Times New Roman" w:hAnsi="Times New Roman" w:eastAsia="宋体" w:cs="Times New Roman"/>
          <w:color w:val="auto"/>
          <w:sz w:val="24"/>
          <w:highlight w:val="none"/>
          <w:vertAlign w:val="subscript"/>
        </w:rPr>
        <w:t>p0</w:t>
      </w:r>
      <w:r>
        <w:rPr>
          <w:rFonts w:ascii="Times New Roman" w:hAnsi="Times New Roman" w:eastAsia="宋体" w:cs="Times New Roman"/>
          <w:color w:val="auto"/>
          <w:sz w:val="24"/>
          <w:highlight w:val="none"/>
        </w:rPr>
        <w:t>——构件预加力，按国家标准《混凝土结构设计规范》GB 50010</w:t>
      </w:r>
      <w:r>
        <w:rPr>
          <w:rFonts w:ascii="Times New Roman" w:hAnsi="Times New Roman" w:eastAsia="宋体" w:cs="Times New Roman"/>
          <w:color w:val="auto"/>
          <w:szCs w:val="21"/>
          <w:highlight w:val="none"/>
        </w:rPr>
        <w:t>–</w:t>
      </w:r>
      <w:r>
        <w:rPr>
          <w:rFonts w:ascii="Times New Roman" w:hAnsi="Times New Roman" w:eastAsia="宋体" w:cs="Times New Roman"/>
          <w:color w:val="auto"/>
          <w:sz w:val="24"/>
          <w:highlight w:val="none"/>
        </w:rPr>
        <w:t>2010表10.1.7条计算；</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e</w:t>
      </w:r>
      <w:r>
        <w:rPr>
          <w:rFonts w:ascii="Times New Roman" w:hAnsi="Times New Roman" w:eastAsia="宋体" w:cs="Times New Roman"/>
          <w:color w:val="auto"/>
          <w:sz w:val="24"/>
          <w:highlight w:val="none"/>
          <w:vertAlign w:val="subscript"/>
        </w:rPr>
        <w:t>p0</w:t>
      </w:r>
      <w:r>
        <w:rPr>
          <w:rFonts w:ascii="Times New Roman" w:hAnsi="Times New Roman" w:eastAsia="宋体" w:cs="Times New Roman"/>
          <w:color w:val="auto"/>
          <w:sz w:val="24"/>
          <w:highlight w:val="none"/>
        </w:rPr>
        <w:t>——预加力作用点至换算截面重心的距离；</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f'</w:t>
      </w:r>
      <w:r>
        <w:rPr>
          <w:rFonts w:ascii="Times New Roman" w:hAnsi="Times New Roman" w:eastAsia="宋体" w:cs="Times New Roman"/>
          <w:color w:val="auto"/>
          <w:sz w:val="24"/>
          <w:highlight w:val="none"/>
          <w:vertAlign w:val="subscript"/>
        </w:rPr>
        <w:t>ck</w:t>
      </w:r>
      <w:r>
        <w:rPr>
          <w:rFonts w:ascii="Times New Roman" w:hAnsi="Times New Roman" w:eastAsia="宋体" w:cs="Times New Roman"/>
          <w:color w:val="auto"/>
          <w:sz w:val="24"/>
          <w:highlight w:val="none"/>
        </w:rPr>
        <w:t>——与各施工阶段的混凝土立方体抗压强度相应的</w:t>
      </w:r>
      <w:r>
        <w:rPr>
          <w:rFonts w:hint="eastAsia" w:ascii="Times New Roman" w:hAnsi="Times New Roman" w:eastAsia="宋体" w:cs="Times New Roman"/>
          <w:color w:val="auto"/>
          <w:sz w:val="24"/>
          <w:highlight w:val="none"/>
        </w:rPr>
        <w:t>轴心</w:t>
      </w:r>
      <w:r>
        <w:rPr>
          <w:rFonts w:ascii="Times New Roman" w:hAnsi="Times New Roman" w:eastAsia="宋体" w:cs="Times New Roman"/>
          <w:color w:val="auto"/>
          <w:sz w:val="24"/>
          <w:highlight w:val="none"/>
        </w:rPr>
        <w:t>抗压强度标准值，按国家标准《混凝土结构设计规范》GB 50010</w:t>
      </w:r>
      <w:r>
        <w:rPr>
          <w:rFonts w:ascii="Times New Roman" w:hAnsi="Times New Roman" w:eastAsia="宋体" w:cs="Times New Roman"/>
          <w:color w:val="auto"/>
          <w:szCs w:val="21"/>
          <w:highlight w:val="none"/>
        </w:rPr>
        <w:t>–</w:t>
      </w:r>
      <w:r>
        <w:rPr>
          <w:rFonts w:ascii="Times New Roman" w:hAnsi="Times New Roman" w:eastAsia="宋体" w:cs="Times New Roman"/>
          <w:color w:val="auto"/>
          <w:sz w:val="24"/>
          <w:highlight w:val="none"/>
        </w:rPr>
        <w:t>2010表4.1.3以线性内插法确定。</w:t>
      </w:r>
    </w:p>
    <w:p>
      <w:pPr>
        <w:spacing w:after="0" w:line="360" w:lineRule="auto"/>
        <w:ind w:firstLine="840" w:firstLineChars="40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注：公式（6.2.5-2）</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（6.2.5-3）中，</w:t>
      </w:r>
      <w:r>
        <w:rPr>
          <w:rFonts w:hint="eastAsia" w:ascii="Times New Roman" w:hAnsi="Times New Roman" w:eastAsia="宋体" w:cs="Times New Roman"/>
          <w:color w:val="auto"/>
          <w:sz w:val="21"/>
          <w:szCs w:val="21"/>
          <w:highlight w:val="none"/>
        </w:rPr>
        <w:t>各项计算值为压应力时取正号，拉应力时取负号；</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6.2.6</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支架预应力混凝土</w:t>
      </w:r>
      <w:r>
        <w:rPr>
          <w:rFonts w:ascii="Times New Roman" w:hAnsi="Times New Roman" w:eastAsia="宋体" w:cs="Times New Roman"/>
          <w:color w:val="auto"/>
          <w:sz w:val="24"/>
          <w:szCs w:val="24"/>
          <w:highlight w:val="none"/>
        </w:rPr>
        <w:t>预制底板截面边缘混凝土</w:t>
      </w:r>
      <w:r>
        <w:rPr>
          <w:rFonts w:ascii="Times New Roman" w:hAnsi="Times New Roman" w:eastAsia="宋体" w:cs="Times New Roman"/>
          <w:color w:val="auto"/>
          <w:sz w:val="24"/>
          <w:highlight w:val="none"/>
        </w:rPr>
        <w:t>法向</w:t>
      </w:r>
      <w:r>
        <w:rPr>
          <w:rFonts w:ascii="Times New Roman" w:hAnsi="Times New Roman" w:eastAsia="宋体" w:cs="Times New Roman"/>
          <w:color w:val="auto"/>
          <w:sz w:val="24"/>
          <w:szCs w:val="24"/>
          <w:highlight w:val="none"/>
        </w:rPr>
        <w:t>拉应力应符合以下规定：</w:t>
      </w:r>
    </w:p>
    <w:p>
      <w:pPr>
        <w:spacing w:after="0" w:line="360" w:lineRule="auto"/>
        <w:ind w:right="600"/>
        <w:jc w:val="right"/>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 xml:space="preserve">ct </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1.0</w:t>
      </w:r>
      <w:r>
        <w:rPr>
          <w:rFonts w:ascii="Times New Roman" w:hAnsi="Times New Roman" w:eastAsia="宋体" w:cs="Times New Roman"/>
          <w:color w:val="auto"/>
          <w:sz w:val="24"/>
          <w:highlight w:val="none"/>
        </w:rPr>
        <w:t xml:space="preserve"> </w:t>
      </w:r>
      <w:r>
        <w:rPr>
          <w:rFonts w:ascii="Times New Roman" w:hAnsi="Times New Roman" w:eastAsia="宋体" w:cs="Times New Roman"/>
          <w:i/>
          <w:color w:val="auto"/>
          <w:sz w:val="24"/>
          <w:highlight w:val="none"/>
        </w:rPr>
        <w:t>f'</w:t>
      </w:r>
      <w:r>
        <w:rPr>
          <w:rFonts w:ascii="Times New Roman" w:hAnsi="Times New Roman" w:eastAsia="宋体" w:cs="Times New Roman"/>
          <w:color w:val="auto"/>
          <w:sz w:val="24"/>
          <w:highlight w:val="none"/>
          <w:vertAlign w:val="subscript"/>
        </w:rPr>
        <w:t>tk</w:t>
      </w:r>
      <w:r>
        <w:rPr>
          <w:rFonts w:ascii="Times New Roman" w:hAnsi="Times New Roman" w:eastAsia="宋体" w:cs="Times New Roman"/>
          <w:color w:val="auto"/>
          <w:sz w:val="24"/>
          <w:highlight w:val="none"/>
        </w:rPr>
        <w:t xml:space="preserve">                                          （6.2.6-1）</w:t>
      </w:r>
    </w:p>
    <w:p>
      <w:pPr>
        <w:spacing w:after="0" w:line="360" w:lineRule="auto"/>
        <w:ind w:right="60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截面边缘混凝土</w:t>
      </w:r>
      <w:r>
        <w:rPr>
          <w:rFonts w:ascii="Times New Roman" w:hAnsi="Times New Roman" w:eastAsia="宋体" w:cs="Times New Roman"/>
          <w:color w:val="auto"/>
          <w:sz w:val="24"/>
          <w:highlight w:val="none"/>
        </w:rPr>
        <w:t>法向</w:t>
      </w:r>
      <w:r>
        <w:rPr>
          <w:rFonts w:ascii="Times New Roman" w:hAnsi="Times New Roman" w:eastAsia="宋体" w:cs="Times New Roman"/>
          <w:color w:val="auto"/>
          <w:sz w:val="24"/>
          <w:szCs w:val="24"/>
          <w:highlight w:val="none"/>
        </w:rPr>
        <w:t>拉应力可按下列公式计算：</w:t>
      </w:r>
    </w:p>
    <w:p>
      <w:pPr>
        <w:spacing w:after="0" w:line="360" w:lineRule="auto"/>
        <w:ind w:right="600"/>
        <w:jc w:val="right"/>
        <w:rPr>
          <w:rFonts w:ascii="Times New Roman" w:hAnsi="Times New Roman" w:cs="Times New Roman" w:eastAsiaTheme="minorEastAsia"/>
          <w:color w:val="auto"/>
          <w:sz w:val="24"/>
          <w:highlight w:val="none"/>
        </w:rPr>
      </w:pPr>
      <w:r>
        <w:rPr>
          <w:rFonts w:ascii="Times New Roman" w:hAnsi="Times New Roman" w:cs="Times New Roman"/>
          <w:color w:val="auto"/>
          <w:position w:val="-30"/>
          <w:sz w:val="24"/>
          <w:highlight w:val="none"/>
        </w:rPr>
        <w:object>
          <v:shape id="_x0000_i1035" o:spt="75" type="#_x0000_t75" style="height:36pt;width:83.5pt;" o:ole="t" filled="f" o:preferrelative="t" stroked="f" coordsize="21600,21600">
            <v:path/>
            <v:fill on="f" focussize="0,0"/>
            <v:stroke on="f" joinstyle="miter"/>
            <v:imagedata r:id="rId33" o:title=""/>
            <o:lock v:ext="edit" aspectratio="t"/>
            <w10:wrap type="none"/>
            <w10:anchorlock/>
          </v:shape>
          <o:OLEObject Type="Embed" ProgID="Equation.DSMT4" ShapeID="_x0000_i1035" DrawAspect="Content" ObjectID="_1468075735" r:id="rId32">
            <o:LockedField>false</o:LockedField>
          </o:OLEObject>
        </w:object>
      </w:r>
      <w:r>
        <w:rPr>
          <w:rFonts w:ascii="Times New Roman" w:hAnsi="Times New Roman" w:cs="Times New Roman"/>
          <w:color w:val="auto"/>
          <w:sz w:val="24"/>
          <w:highlight w:val="none"/>
        </w:rPr>
        <w:t xml:space="preserve">                            </w:t>
      </w:r>
      <w:r>
        <w:rPr>
          <w:rFonts w:ascii="Times New Roman" w:hAnsi="Times New Roman" w:cs="Times New Roman" w:eastAsiaTheme="minorEastAsia"/>
          <w:color w:val="auto"/>
          <w:sz w:val="24"/>
          <w:highlight w:val="none"/>
        </w:rPr>
        <w:t>（6.2.6-2）</w:t>
      </w:r>
    </w:p>
    <w:p>
      <w:pPr>
        <w:spacing w:after="0" w:line="360" w:lineRule="auto"/>
        <w:ind w:right="600"/>
        <w:jc w:val="right"/>
        <w:rPr>
          <w:rFonts w:ascii="Times New Roman" w:hAnsi="Times New Roman" w:cs="Times New Roman" w:eastAsiaTheme="minorEastAsia"/>
          <w:color w:val="auto"/>
          <w:sz w:val="24"/>
          <w:highlight w:val="none"/>
        </w:rPr>
      </w:pPr>
      <w:r>
        <w:rPr>
          <w:rFonts w:ascii="Times New Roman" w:hAnsi="Times New Roman" w:cs="Times New Roman"/>
          <w:color w:val="auto"/>
          <w:position w:val="-30"/>
          <w:sz w:val="24"/>
          <w:highlight w:val="none"/>
        </w:rPr>
        <w:object>
          <v:shape id="_x0000_i1036" o:spt="75" type="#_x0000_t75" style="height:36pt;width:102pt;" o:ole="t" filled="f" o:preferrelative="t" stroked="f" coordsize="21600,21600">
            <v:path/>
            <v:fill on="f" focussize="0,0"/>
            <v:stroke on="f" joinstyle="miter"/>
            <v:imagedata r:id="rId35" o:title=""/>
            <o:lock v:ext="edit" aspectratio="t"/>
            <w10:wrap type="none"/>
            <w10:anchorlock/>
          </v:shape>
          <o:OLEObject Type="Embed" ProgID="Equation.DSMT4" ShapeID="_x0000_i1036" DrawAspect="Content" ObjectID="_1468075736" r:id="rId34">
            <o:LockedField>false</o:LockedField>
          </o:OLEObject>
        </w:object>
      </w:r>
      <w:r>
        <w:rPr>
          <w:rFonts w:ascii="Times New Roman" w:hAnsi="Times New Roman" w:cs="Times New Roman"/>
          <w:color w:val="auto"/>
          <w:position w:val="-30"/>
          <w:sz w:val="24"/>
          <w:highlight w:val="none"/>
        </w:rPr>
        <w:t xml:space="preserve">                           </w:t>
      </w:r>
      <w:r>
        <w:rPr>
          <w:rFonts w:ascii="Times New Roman" w:hAnsi="Times New Roman" w:cs="Times New Roman" w:eastAsiaTheme="minorEastAsia"/>
          <w:color w:val="auto"/>
          <w:sz w:val="24"/>
          <w:highlight w:val="none"/>
        </w:rPr>
        <w:t>（6.2.6-3）</w:t>
      </w:r>
    </w:p>
    <w:p>
      <w:pPr>
        <w:spacing w:after="0" w:line="360" w:lineRule="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式中：</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ct</w:t>
      </w:r>
      <w:r>
        <w:rPr>
          <w:rFonts w:ascii="Times New Roman" w:hAnsi="Times New Roman" w:eastAsia="宋体" w:cs="Times New Roman"/>
          <w:color w:val="auto"/>
          <w:sz w:val="24"/>
          <w:highlight w:val="none"/>
        </w:rPr>
        <w:t>——各施工阶段在荷载标准组合作用下产生的构件正截面边缘混凝土法向拉应力；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pct</w:t>
      </w:r>
      <w:r>
        <w:rPr>
          <w:rFonts w:ascii="Times New Roman" w:hAnsi="Times New Roman" w:eastAsia="宋体" w:cs="Times New Roman"/>
          <w:color w:val="auto"/>
          <w:sz w:val="24"/>
          <w:highlight w:val="none"/>
        </w:rPr>
        <w:t>——由预加力产生的构件正截面边缘混凝土法向</w:t>
      </w:r>
      <w:r>
        <w:rPr>
          <w:rFonts w:hint="eastAsia" w:ascii="Times New Roman" w:hAnsi="Times New Roman" w:eastAsia="宋体" w:cs="Times New Roman"/>
          <w:color w:val="auto"/>
          <w:sz w:val="24"/>
          <w:highlight w:val="none"/>
        </w:rPr>
        <w:t>拉</w:t>
      </w:r>
      <w:r>
        <w:rPr>
          <w:rFonts w:ascii="Times New Roman" w:hAnsi="Times New Roman" w:eastAsia="宋体" w:cs="Times New Roman"/>
          <w:color w:val="auto"/>
          <w:sz w:val="24"/>
          <w:highlight w:val="none"/>
        </w:rPr>
        <w:t>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W</w:t>
      </w:r>
      <w:r>
        <w:rPr>
          <w:rFonts w:ascii="Times New Roman" w:hAnsi="Times New Roman" w:eastAsia="宋体" w:cs="Times New Roman"/>
          <w:color w:val="auto"/>
          <w:sz w:val="24"/>
          <w:highlight w:val="none"/>
          <w:vertAlign w:val="subscript"/>
        </w:rPr>
        <w:t>ct</w:t>
      </w:r>
      <w:r>
        <w:rPr>
          <w:rFonts w:ascii="Times New Roman" w:hAnsi="Times New Roman" w:eastAsia="宋体" w:cs="Times New Roman"/>
          <w:color w:val="auto"/>
          <w:sz w:val="24"/>
          <w:highlight w:val="none"/>
        </w:rPr>
        <w:t>——截面混凝土受拉边缘弹性抵抗矩，按等效组合截面计算；</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M</w:t>
      </w:r>
      <w:r>
        <w:rPr>
          <w:rFonts w:ascii="Times New Roman" w:hAnsi="Times New Roman" w:eastAsia="宋体" w:cs="Times New Roman"/>
          <w:color w:val="auto"/>
          <w:sz w:val="24"/>
          <w:highlight w:val="none"/>
          <w:vertAlign w:val="subscript"/>
        </w:rPr>
        <w:t>k</w:t>
      </w:r>
      <w:r>
        <w:rPr>
          <w:rFonts w:ascii="Times New Roman" w:hAnsi="Times New Roman" w:eastAsia="宋体" w:cs="Times New Roman"/>
          <w:color w:val="auto"/>
          <w:sz w:val="24"/>
          <w:highlight w:val="none"/>
        </w:rPr>
        <w:t>——各施工阶段在荷载标准组合作用下组合截面弯矩标准值；</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f'</w:t>
      </w:r>
      <w:r>
        <w:rPr>
          <w:rFonts w:ascii="Times New Roman" w:hAnsi="Times New Roman" w:eastAsia="宋体" w:cs="Times New Roman"/>
          <w:color w:val="auto"/>
          <w:sz w:val="24"/>
          <w:highlight w:val="none"/>
          <w:vertAlign w:val="subscript"/>
        </w:rPr>
        <w:t>tk</w:t>
      </w:r>
      <w:r>
        <w:rPr>
          <w:rFonts w:ascii="Times New Roman" w:hAnsi="Times New Roman" w:eastAsia="宋体" w:cs="Times New Roman"/>
          <w:color w:val="auto"/>
          <w:sz w:val="24"/>
          <w:highlight w:val="none"/>
        </w:rPr>
        <w:t>——与各施工阶段的混凝土立方体抗压强度相应的</w:t>
      </w:r>
      <w:r>
        <w:rPr>
          <w:rFonts w:hint="eastAsia" w:ascii="Times New Roman" w:hAnsi="Times New Roman" w:eastAsia="宋体" w:cs="Times New Roman"/>
          <w:color w:val="auto"/>
          <w:sz w:val="24"/>
          <w:highlight w:val="none"/>
        </w:rPr>
        <w:t>轴心</w:t>
      </w:r>
      <w:r>
        <w:rPr>
          <w:rFonts w:ascii="Times New Roman" w:hAnsi="Times New Roman" w:eastAsia="宋体" w:cs="Times New Roman"/>
          <w:color w:val="auto"/>
          <w:sz w:val="24"/>
          <w:highlight w:val="none"/>
        </w:rPr>
        <w:t>抗拉强度标准值，按国家标准《混凝土结构设计规范》GB 50010</w:t>
      </w:r>
      <w:r>
        <w:rPr>
          <w:rFonts w:ascii="Times New Roman" w:hAnsi="Times New Roman" w:eastAsia="宋体" w:cs="Times New Roman"/>
          <w:color w:val="auto"/>
          <w:szCs w:val="21"/>
          <w:highlight w:val="none"/>
        </w:rPr>
        <w:t>–</w:t>
      </w:r>
      <w:r>
        <w:rPr>
          <w:rFonts w:ascii="Times New Roman" w:hAnsi="Times New Roman" w:eastAsia="宋体" w:cs="Times New Roman"/>
          <w:color w:val="auto"/>
          <w:sz w:val="24"/>
          <w:highlight w:val="none"/>
        </w:rPr>
        <w:t>2010表4.1.3以线性内插法确定。</w:t>
      </w:r>
    </w:p>
    <w:p>
      <w:pPr>
        <w:spacing w:after="0" w:line="360" w:lineRule="auto"/>
        <w:ind w:firstLine="420" w:firstLineChars="20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注：公式（6.2.</w:t>
      </w:r>
      <w:r>
        <w:rPr>
          <w:rFonts w:hint="eastAsia" w:ascii="Times New Roman" w:hAnsi="Times New Roman" w:eastAsia="宋体" w:cs="Times New Roman"/>
          <w:color w:val="auto"/>
          <w:sz w:val="21"/>
          <w:szCs w:val="21"/>
          <w:highlight w:val="none"/>
        </w:rPr>
        <w:t>6</w:t>
      </w:r>
      <w:r>
        <w:rPr>
          <w:rFonts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（6.2.</w:t>
      </w:r>
      <w:r>
        <w:rPr>
          <w:rFonts w:hint="eastAsia" w:ascii="Times New Roman" w:hAnsi="Times New Roman" w:eastAsia="宋体" w:cs="Times New Roman"/>
          <w:color w:val="auto"/>
          <w:sz w:val="21"/>
          <w:szCs w:val="21"/>
          <w:highlight w:val="none"/>
        </w:rPr>
        <w:t>6</w:t>
      </w:r>
      <w:r>
        <w:rPr>
          <w:rFonts w:ascii="Times New Roman" w:hAnsi="Times New Roman" w:eastAsia="宋体" w:cs="Times New Roman"/>
          <w:color w:val="auto"/>
          <w:sz w:val="21"/>
          <w:szCs w:val="21"/>
          <w:highlight w:val="none"/>
        </w:rPr>
        <w:t>-3）中，</w:t>
      </w:r>
      <w:r>
        <w:rPr>
          <w:rFonts w:hint="eastAsia" w:ascii="Times New Roman" w:hAnsi="Times New Roman" w:eastAsia="宋体" w:cs="Times New Roman"/>
          <w:color w:val="auto"/>
          <w:sz w:val="21"/>
          <w:szCs w:val="21"/>
          <w:highlight w:val="none"/>
        </w:rPr>
        <w:t>各项计算值为拉应力时取正号，压应力时取负号。</w:t>
      </w:r>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6.2.7</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矩形钢管法向</w:t>
      </w:r>
      <w:r>
        <w:rPr>
          <w:rFonts w:ascii="Times New Roman" w:hAnsi="Times New Roman" w:eastAsia="宋体" w:cs="Times New Roman"/>
          <w:color w:val="auto"/>
          <w:sz w:val="24"/>
          <w:szCs w:val="24"/>
          <w:highlight w:val="none"/>
        </w:rPr>
        <w:t>压应力应符合下列规定：</w:t>
      </w:r>
    </w:p>
    <w:p>
      <w:pPr>
        <w:spacing w:after="0" w:line="360" w:lineRule="auto"/>
        <w:ind w:right="480" w:firstLine="480" w:firstLineChars="200"/>
        <w:jc w:val="right"/>
        <w:rPr>
          <w:rFonts w:ascii="Times New Roman" w:hAnsi="Times New Roman" w:eastAsia="宋体" w:cs="Times New Roman"/>
          <w:i/>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gc</w:t>
      </w:r>
      <w:r>
        <w:rPr>
          <w:rFonts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f</w:t>
      </w:r>
      <w:r>
        <w:rPr>
          <w:rFonts w:hint="eastAsia" w:ascii="Times New Roman" w:hAnsi="Times New Roman" w:eastAsia="宋体" w:cs="Times New Roman"/>
          <w:color w:val="auto"/>
          <w:sz w:val="24"/>
          <w:highlight w:val="none"/>
          <w:vertAlign w:val="subscript"/>
        </w:rPr>
        <w:t>s</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2</w:t>
      </w:r>
      <w:r>
        <w:rPr>
          <w:rFonts w:ascii="Times New Roman" w:hAnsi="Times New Roman" w:eastAsia="宋体" w:cs="Times New Roman"/>
          <w:color w:val="auto"/>
          <w:sz w:val="24"/>
          <w:highlight w:val="none"/>
        </w:rPr>
        <w:t xml:space="preserve">                                   （6.2.7-1）</w:t>
      </w:r>
    </w:p>
    <w:p>
      <w:pPr>
        <w:spacing w:after="0" w:line="360" w:lineRule="auto"/>
        <w:ind w:right="480" w:firstLine="480" w:firstLineChars="200"/>
        <w:jc w:val="right"/>
        <w:rPr>
          <w:rFonts w:ascii="Times New Roman" w:hAnsi="Times New Roman" w:eastAsia="宋体" w:cs="Times New Roman"/>
          <w:color w:val="auto"/>
          <w:sz w:val="24"/>
          <w:highlight w:val="none"/>
        </w:rPr>
      </w:pPr>
      <w:bookmarkStart w:id="24" w:name="_Hlk111562371"/>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gc</w:t>
      </w:r>
      <w:r>
        <w:rPr>
          <w:rFonts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vertAlign w:val="subscript"/>
        </w:rPr>
        <w:t>E</w:t>
      </w:r>
      <w:r>
        <w:rPr>
          <w:rFonts w:hint="eastAsia" w:ascii="Times New Roman" w:hAnsi="Times New Roman" w:eastAsia="宋体" w:cs="Times New Roman"/>
          <w:color w:val="auto"/>
          <w:sz w:val="24"/>
          <w:highlight w:val="none"/>
          <w:vertAlign w:val="subscript"/>
        </w:rPr>
        <w:t>c</w:t>
      </w:r>
      <w:r>
        <w:rPr>
          <w:rFonts w:hint="eastAsia"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 xml:space="preserve">pc </w:t>
      </w:r>
      <w:r>
        <w:rPr>
          <w:rFonts w:hint="eastAsia"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M</w:t>
      </w:r>
      <w:r>
        <w:rPr>
          <w:rFonts w:ascii="Times New Roman" w:hAnsi="Times New Roman" w:eastAsia="宋体" w:cs="Times New Roman"/>
          <w:color w:val="auto"/>
          <w:sz w:val="24"/>
          <w:highlight w:val="none"/>
          <w:vertAlign w:val="subscript"/>
        </w:rPr>
        <w:t>k</w:t>
      </w:r>
      <w:r>
        <w:rPr>
          <w:rFonts w:ascii="Times New Roman" w:hAnsi="Times New Roman" w:eastAsia="宋体" w:cs="Times New Roman"/>
          <w:color w:val="auto"/>
          <w:sz w:val="24"/>
          <w:highlight w:val="none"/>
        </w:rPr>
        <w:t xml:space="preserve"> /</w:t>
      </w:r>
      <w:r>
        <w:rPr>
          <w:rFonts w:ascii="Times New Roman" w:hAnsi="Times New Roman" w:eastAsia="宋体" w:cs="Times New Roman"/>
          <w:i/>
          <w:color w:val="auto"/>
          <w:sz w:val="24"/>
          <w:highlight w:val="none"/>
        </w:rPr>
        <w:t>W</w:t>
      </w:r>
      <w:r>
        <w:rPr>
          <w:rFonts w:ascii="Times New Roman" w:hAnsi="Times New Roman" w:eastAsia="宋体" w:cs="Times New Roman"/>
          <w:color w:val="auto"/>
          <w:sz w:val="24"/>
          <w:highlight w:val="none"/>
          <w:vertAlign w:val="subscript"/>
        </w:rPr>
        <w:t>g</w:t>
      </w:r>
      <w:r>
        <w:rPr>
          <w:rFonts w:hint="eastAsia" w:ascii="Times New Roman" w:hAnsi="Times New Roman" w:eastAsia="宋体" w:cs="Times New Roman"/>
          <w:color w:val="auto"/>
          <w:sz w:val="24"/>
          <w:highlight w:val="none"/>
        </w:rPr>
        <w:t>)</w:t>
      </w:r>
      <w:bookmarkEnd w:id="24"/>
      <w:r>
        <w:rPr>
          <w:rFonts w:ascii="Times New Roman" w:hAnsi="Times New Roman" w:eastAsia="宋体" w:cs="Times New Roman"/>
          <w:color w:val="auto"/>
          <w:sz w:val="24"/>
          <w:highlight w:val="none"/>
        </w:rPr>
        <w:t>/</w:t>
      </w:r>
      <w:bookmarkStart w:id="25" w:name="_Hlk111562475"/>
      <w:r>
        <w:rPr>
          <w:rFonts w:ascii="Times New Roman" w:hAnsi="Times New Roman" w:eastAsia="宋体" w:cs="Times New Roman"/>
          <w:i/>
          <w:color w:val="auto"/>
          <w:sz w:val="24"/>
          <w:highlight w:val="none"/>
        </w:rPr>
        <w:t>φ</w:t>
      </w:r>
      <w:bookmarkEnd w:id="25"/>
      <w:r>
        <w:rPr>
          <w:rFonts w:ascii="Times New Roman" w:hAnsi="Times New Roman" w:eastAsia="宋体" w:cs="Times New Roman"/>
          <w:color w:val="auto"/>
          <w:sz w:val="24"/>
          <w:highlight w:val="none"/>
        </w:rPr>
        <w:t xml:space="preserve">                     （6.2.7-2）</w:t>
      </w:r>
    </w:p>
    <w:p>
      <w:pPr>
        <w:wordWrap w:val="0"/>
        <w:spacing w:after="0" w:line="360" w:lineRule="auto"/>
        <w:ind w:right="509"/>
        <w:jc w:val="right"/>
        <w:rPr>
          <w:rFonts w:ascii="Times New Roman" w:hAnsi="Times New Roman" w:eastAsia="宋体" w:cs="Times New Roman"/>
          <w:color w:val="auto"/>
          <w:sz w:val="24"/>
          <w:highlight w:val="none"/>
        </w:rPr>
      </w:pPr>
      <w:bookmarkStart w:id="26" w:name="_Hlk111573029"/>
      <w:r>
        <w:rPr>
          <w:rFonts w:ascii="Times New Roman" w:hAnsi="Times New Roman" w:cs="Times New Roman"/>
          <w:color w:val="auto"/>
          <w:position w:val="-30"/>
          <w:sz w:val="24"/>
          <w:highlight w:val="none"/>
        </w:rPr>
        <w:t xml:space="preserve">      </w:t>
      </w:r>
      <w:bookmarkStart w:id="27" w:name="_Hlk111573011"/>
      <w:r>
        <w:rPr>
          <w:rFonts w:ascii="Times New Roman" w:hAnsi="Times New Roman" w:cs="Times New Roman"/>
          <w:color w:val="auto"/>
          <w:position w:val="-32"/>
          <w:sz w:val="24"/>
          <w:highlight w:val="none"/>
        </w:rPr>
        <w:object>
          <v:shape id="_x0000_i1037" o:spt="75" type="#_x0000_t75" style="height:37.1pt;width:94.9pt;" o:ole="t" filled="f" o:preferrelative="t" stroked="f" coordsize="21600,21600">
            <v:path/>
            <v:fill on="f" focussize="0,0"/>
            <v:stroke on="f" joinstyle="miter"/>
            <v:imagedata r:id="rId37" o:title=""/>
            <o:lock v:ext="edit" aspectratio="t"/>
            <w10:wrap type="none"/>
            <w10:anchorlock/>
          </v:shape>
          <o:OLEObject Type="Embed" ProgID="Equation.DSMT4" ShapeID="_x0000_i1037" DrawAspect="Content" ObjectID="_1468075737" r:id="rId36">
            <o:LockedField>false</o:LockedField>
          </o:OLEObject>
        </w:object>
      </w:r>
      <w:bookmarkEnd w:id="27"/>
      <w:r>
        <w:rPr>
          <w:rFonts w:ascii="Times New Roman" w:hAnsi="Times New Roman" w:cs="Times New Roman"/>
          <w:color w:val="auto"/>
          <w:position w:val="-30"/>
          <w:sz w:val="24"/>
          <w:highlight w:val="none"/>
        </w:rPr>
        <w:t xml:space="preserve">          </w:t>
      </w:r>
      <w:r>
        <w:rPr>
          <w:rFonts w:hint="eastAsia" w:ascii="Times New Roman" w:hAnsi="Times New Roman" w:cs="Times New Roman"/>
          <w:color w:val="auto"/>
          <w:position w:val="-30"/>
          <w:sz w:val="24"/>
          <w:highlight w:val="none"/>
        </w:rPr>
        <w:t xml:space="preserve">      </w:t>
      </w:r>
      <w:r>
        <w:rPr>
          <w:rFonts w:ascii="Times New Roman" w:hAnsi="Times New Roman" w:cs="Times New Roman"/>
          <w:color w:val="auto"/>
          <w:position w:val="-30"/>
          <w:sz w:val="24"/>
          <w:highlight w:val="none"/>
        </w:rPr>
        <w:t xml:space="preserve">            </w:t>
      </w:r>
      <w:r>
        <w:rPr>
          <w:rFonts w:ascii="Times New Roman" w:hAnsi="Times New Roman" w:eastAsia="宋体" w:cs="Times New Roman"/>
          <w:color w:val="auto"/>
          <w:sz w:val="24"/>
          <w:highlight w:val="none"/>
        </w:rPr>
        <w:t>（6.2.7-3）</w:t>
      </w:r>
    </w:p>
    <w:bookmarkEnd w:id="26"/>
    <w:p>
      <w:pPr>
        <w:spacing w:after="0" w:line="360" w:lineRule="auto"/>
        <w:rPr>
          <w:rFonts w:ascii="Times New Roman" w:hAnsi="Times New Roman" w:eastAsia="宋体" w:cs="Times New Roman"/>
          <w:color w:val="auto"/>
          <w:sz w:val="24"/>
          <w:highlight w:val="none"/>
        </w:rPr>
      </w:pPr>
      <w:bookmarkStart w:id="28" w:name="_Hlk111562393"/>
      <w:r>
        <w:rPr>
          <w:rFonts w:ascii="Times New Roman" w:hAnsi="Times New Roman" w:eastAsia="宋体" w:cs="Times New Roman"/>
          <w:color w:val="auto"/>
          <w:sz w:val="24"/>
          <w:highlight w:val="none"/>
        </w:rPr>
        <w:t>式中：</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gc</w:t>
      </w:r>
      <w:r>
        <w:rPr>
          <w:rFonts w:ascii="Times New Roman" w:hAnsi="Times New Roman" w:eastAsia="宋体" w:cs="Times New Roman"/>
          <w:color w:val="auto"/>
          <w:sz w:val="24"/>
          <w:highlight w:val="none"/>
        </w:rPr>
        <w:t>——各施工</w:t>
      </w:r>
      <w:r>
        <w:rPr>
          <w:rFonts w:hint="eastAsia" w:ascii="Times New Roman" w:hAnsi="Times New Roman" w:eastAsia="宋体" w:cs="Times New Roman"/>
          <w:color w:val="auto"/>
          <w:sz w:val="24"/>
          <w:highlight w:val="none"/>
        </w:rPr>
        <w:t>阶段</w:t>
      </w:r>
      <w:r>
        <w:rPr>
          <w:rFonts w:ascii="Times New Roman" w:hAnsi="Times New Roman" w:eastAsia="宋体" w:cs="Times New Roman"/>
          <w:color w:val="auto"/>
          <w:sz w:val="24"/>
          <w:highlight w:val="none"/>
        </w:rPr>
        <w:t>在荷载标准组合作用下的</w:t>
      </w:r>
      <w:r>
        <w:rPr>
          <w:rFonts w:hint="eastAsia" w:ascii="Times New Roman" w:hAnsi="Times New Roman" w:eastAsia="宋体" w:cs="Times New Roman"/>
          <w:color w:val="auto"/>
          <w:sz w:val="24"/>
          <w:szCs w:val="24"/>
          <w:highlight w:val="none"/>
        </w:rPr>
        <w:t>矩形钢管法向</w:t>
      </w:r>
      <w:r>
        <w:rPr>
          <w:rFonts w:ascii="Times New Roman" w:hAnsi="Times New Roman" w:eastAsia="宋体" w:cs="Times New Roman"/>
          <w:color w:val="auto"/>
          <w:sz w:val="24"/>
          <w:highlight w:val="none"/>
        </w:rPr>
        <w:t>压应力；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pc</w:t>
      </w:r>
      <w:r>
        <w:rPr>
          <w:rFonts w:ascii="Times New Roman" w:hAnsi="Times New Roman" w:eastAsia="宋体" w:cs="Times New Roman"/>
          <w:color w:val="auto"/>
          <w:sz w:val="24"/>
          <w:highlight w:val="none"/>
        </w:rPr>
        <w:t>——由预加力产生的构件</w:t>
      </w:r>
      <w:r>
        <w:rPr>
          <w:rFonts w:hint="eastAsia" w:ascii="Times New Roman" w:hAnsi="Times New Roman" w:eastAsia="宋体" w:cs="Times New Roman"/>
          <w:color w:val="auto"/>
          <w:sz w:val="24"/>
          <w:highlight w:val="none"/>
        </w:rPr>
        <w:t>矩形钢管</w:t>
      </w:r>
      <w:r>
        <w:rPr>
          <w:rFonts w:ascii="Times New Roman" w:hAnsi="Times New Roman" w:eastAsia="宋体" w:cs="Times New Roman"/>
          <w:color w:val="auto"/>
          <w:sz w:val="24"/>
          <w:highlight w:val="none"/>
        </w:rPr>
        <w:t>形心处法向应力；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W</w:t>
      </w:r>
      <w:r>
        <w:rPr>
          <w:rFonts w:ascii="Times New Roman" w:hAnsi="Times New Roman" w:eastAsia="宋体" w:cs="Times New Roman"/>
          <w:color w:val="auto"/>
          <w:sz w:val="24"/>
          <w:highlight w:val="none"/>
          <w:vertAlign w:val="subscript"/>
        </w:rPr>
        <w:t>g</w:t>
      </w:r>
      <w:r>
        <w:rPr>
          <w:rFonts w:ascii="Times New Roman" w:hAnsi="Times New Roman" w:eastAsia="宋体" w:cs="Times New Roman"/>
          <w:color w:val="auto"/>
          <w:sz w:val="24"/>
          <w:highlight w:val="none"/>
        </w:rPr>
        <w:t>——组合截面</w:t>
      </w:r>
      <w:r>
        <w:rPr>
          <w:rFonts w:hint="eastAsia" w:ascii="Times New Roman" w:hAnsi="Times New Roman" w:eastAsia="宋体" w:cs="Times New Roman"/>
          <w:color w:val="auto"/>
          <w:sz w:val="24"/>
          <w:highlight w:val="none"/>
        </w:rPr>
        <w:t>矩形钢管</w:t>
      </w:r>
      <w:r>
        <w:rPr>
          <w:rFonts w:ascii="Times New Roman" w:hAnsi="Times New Roman" w:eastAsia="宋体" w:cs="Times New Roman"/>
          <w:color w:val="auto"/>
          <w:sz w:val="24"/>
          <w:highlight w:val="none"/>
        </w:rPr>
        <w:t>形心处弹性抵抗矩，按等效组合截面计算；</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 xml:space="preserve">f </w:t>
      </w:r>
      <w:r>
        <w:rPr>
          <w:rFonts w:hint="eastAsia" w:ascii="Times New Roman" w:hAnsi="Times New Roman" w:eastAsia="宋体" w:cs="Times New Roman"/>
          <w:color w:val="auto"/>
          <w:sz w:val="24"/>
          <w:highlight w:val="none"/>
          <w:vertAlign w:val="subscript"/>
        </w:rPr>
        <w:t>s</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矩形钢管抗压</w:t>
      </w:r>
      <w:r>
        <w:rPr>
          <w:rFonts w:ascii="Times New Roman" w:hAnsi="Times New Roman" w:eastAsia="宋体" w:cs="Times New Roman"/>
          <w:color w:val="auto"/>
          <w:sz w:val="24"/>
          <w:highlight w:val="none"/>
        </w:rPr>
        <w:t>强度</w:t>
      </w:r>
      <w:r>
        <w:rPr>
          <w:rFonts w:hint="eastAsia" w:ascii="Times New Roman" w:hAnsi="Times New Roman" w:eastAsia="宋体" w:cs="Times New Roman"/>
          <w:color w:val="auto"/>
          <w:sz w:val="24"/>
          <w:highlight w:val="none"/>
        </w:rPr>
        <w:t>设计值</w:t>
      </w:r>
      <w:r>
        <w:rPr>
          <w:rFonts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vertAlign w:val="subscript"/>
        </w:rPr>
        <w:t>E</w:t>
      </w:r>
      <w:r>
        <w:rPr>
          <w:rFonts w:hint="eastAsia" w:ascii="Times New Roman" w:hAnsi="Times New Roman" w:eastAsia="宋体" w:cs="Times New Roman"/>
          <w:color w:val="auto"/>
          <w:sz w:val="24"/>
          <w:highlight w:val="none"/>
          <w:vertAlign w:val="subscript"/>
        </w:rPr>
        <w:t>c</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矩形钢管弹性模量</w:t>
      </w:r>
      <w:r>
        <w:rPr>
          <w:rFonts w:ascii="Times New Roman" w:hAnsi="Times New Roman" w:eastAsia="宋体" w:cs="Times New Roman"/>
          <w:color w:val="auto"/>
          <w:sz w:val="24"/>
          <w:highlight w:val="none"/>
        </w:rPr>
        <w:t>与混凝土的弹性模量之比；</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φ</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w:t>
      </w:r>
      <w:r>
        <w:rPr>
          <w:rFonts w:ascii="Times New Roman" w:hAnsi="Times New Roman" w:eastAsia="宋体" w:cs="Times New Roman"/>
          <w:color w:val="auto"/>
          <w:sz w:val="24"/>
          <w:highlight w:val="none"/>
        </w:rPr>
        <w:t>轴心受压</w:t>
      </w:r>
      <w:r>
        <w:rPr>
          <w:rFonts w:hint="eastAsia" w:ascii="Times New Roman" w:hAnsi="Times New Roman" w:eastAsia="宋体" w:cs="Times New Roman"/>
          <w:color w:val="auto"/>
          <w:sz w:val="24"/>
          <w:highlight w:val="none"/>
        </w:rPr>
        <w:t>稳定</w:t>
      </w:r>
      <w:r>
        <w:rPr>
          <w:rFonts w:ascii="Times New Roman" w:hAnsi="Times New Roman" w:eastAsia="宋体" w:cs="Times New Roman"/>
          <w:color w:val="auto"/>
          <w:sz w:val="24"/>
          <w:highlight w:val="none"/>
        </w:rPr>
        <w:t>系数；计算长度取</w:t>
      </w:r>
      <w:r>
        <w:rPr>
          <w:rFonts w:hint="eastAsia" w:ascii="Times New Roman" w:hAnsi="Times New Roman" w:eastAsia="宋体" w:cs="Times New Roman"/>
          <w:color w:val="auto"/>
          <w:sz w:val="24"/>
          <w:highlight w:val="none"/>
        </w:rPr>
        <w:t>矩形钢管螺栓</w:t>
      </w:r>
      <w:r>
        <w:rPr>
          <w:rFonts w:ascii="Times New Roman" w:hAnsi="Times New Roman" w:eastAsia="宋体" w:cs="Times New Roman"/>
          <w:color w:val="auto"/>
          <w:sz w:val="24"/>
          <w:highlight w:val="none"/>
        </w:rPr>
        <w:t>节点距离。</w:t>
      </w:r>
    </w:p>
    <w:p>
      <w:pPr>
        <w:spacing w:after="0" w:line="360" w:lineRule="auto"/>
        <w:ind w:firstLine="420" w:firstLineChars="20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注：公式（6.2.</w:t>
      </w:r>
      <w:r>
        <w:rPr>
          <w:rFonts w:hint="eastAsia" w:ascii="Times New Roman" w:hAnsi="Times New Roman" w:eastAsia="宋体" w:cs="Times New Roman"/>
          <w:color w:val="auto"/>
          <w:sz w:val="21"/>
          <w:szCs w:val="21"/>
          <w:highlight w:val="none"/>
        </w:rPr>
        <w:t>7</w:t>
      </w:r>
      <w:r>
        <w:rPr>
          <w:rFonts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（6.2.</w:t>
      </w:r>
      <w:r>
        <w:rPr>
          <w:rFonts w:hint="eastAsia" w:ascii="Times New Roman" w:hAnsi="Times New Roman" w:eastAsia="宋体" w:cs="Times New Roman"/>
          <w:color w:val="auto"/>
          <w:sz w:val="21"/>
          <w:szCs w:val="21"/>
          <w:highlight w:val="none"/>
        </w:rPr>
        <w:t>7</w:t>
      </w:r>
      <w:r>
        <w:rPr>
          <w:rFonts w:ascii="Times New Roman" w:hAnsi="Times New Roman" w:eastAsia="宋体" w:cs="Times New Roman"/>
          <w:color w:val="auto"/>
          <w:sz w:val="21"/>
          <w:szCs w:val="21"/>
          <w:highlight w:val="none"/>
        </w:rPr>
        <w:t>-3）中，</w:t>
      </w:r>
      <w:r>
        <w:rPr>
          <w:rFonts w:hint="eastAsia" w:ascii="Times New Roman" w:hAnsi="Times New Roman" w:eastAsia="宋体" w:cs="Times New Roman"/>
          <w:color w:val="auto"/>
          <w:sz w:val="21"/>
          <w:szCs w:val="21"/>
          <w:highlight w:val="none"/>
        </w:rPr>
        <w:t>各项计算值为压应力时取正号，拉应力时取负号。</w:t>
      </w:r>
    </w:p>
    <w:bookmarkEnd w:id="28"/>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6.2.8</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矩形</w:t>
      </w:r>
      <w:r>
        <w:rPr>
          <w:rFonts w:ascii="Times New Roman" w:hAnsi="Times New Roman" w:eastAsia="宋体" w:cs="Times New Roman"/>
          <w:color w:val="auto"/>
          <w:sz w:val="24"/>
          <w:szCs w:val="24"/>
          <w:highlight w:val="none"/>
        </w:rPr>
        <w:t>钢管</w:t>
      </w:r>
      <w:r>
        <w:rPr>
          <w:rFonts w:hint="eastAsia" w:ascii="Times New Roman" w:hAnsi="Times New Roman" w:eastAsia="宋体" w:cs="Times New Roman"/>
          <w:color w:val="auto"/>
          <w:sz w:val="24"/>
          <w:szCs w:val="24"/>
          <w:highlight w:val="none"/>
        </w:rPr>
        <w:t>法向</w:t>
      </w:r>
      <w:r>
        <w:rPr>
          <w:rFonts w:ascii="Times New Roman" w:hAnsi="Times New Roman" w:eastAsia="宋体" w:cs="Times New Roman"/>
          <w:color w:val="auto"/>
          <w:sz w:val="24"/>
          <w:szCs w:val="24"/>
          <w:highlight w:val="none"/>
        </w:rPr>
        <w:t>拉应力应符合下列规定：</w:t>
      </w:r>
    </w:p>
    <w:p>
      <w:pPr>
        <w:spacing w:after="0" w:line="360" w:lineRule="auto"/>
        <w:ind w:right="480" w:firstLine="480" w:firstLineChars="200"/>
        <w:jc w:val="right"/>
        <w:rPr>
          <w:rFonts w:ascii="Times New Roman" w:hAnsi="Times New Roman" w:eastAsia="宋体" w:cs="Times New Roman"/>
          <w:i/>
          <w:color w:val="auto"/>
          <w:sz w:val="24"/>
          <w:highlight w:val="none"/>
        </w:rPr>
      </w:pPr>
      <w:bookmarkStart w:id="29" w:name="_Hlk111562040"/>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gt</w:t>
      </w:r>
      <w:r>
        <w:rPr>
          <w:rFonts w:hint="eastAsia" w:ascii="Times New Roman" w:hAnsi="Times New Roman" w:eastAsia="宋体" w:cs="Times New Roman"/>
          <w:color w:val="auto"/>
          <w:sz w:val="24"/>
          <w:highlight w:val="none"/>
          <w:vertAlign w:val="subscript"/>
        </w:rPr>
        <w:t xml:space="preserve"> </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1.1</w:t>
      </w:r>
      <w:r>
        <w:rPr>
          <w:rFonts w:ascii="Times New Roman" w:hAnsi="Times New Roman" w:eastAsia="宋体" w:cs="Times New Roman"/>
          <w:color w:val="auto"/>
          <w:sz w:val="24"/>
          <w:highlight w:val="none"/>
        </w:rPr>
        <w:t xml:space="preserve"> </w:t>
      </w:r>
      <w:r>
        <w:rPr>
          <w:rFonts w:ascii="Times New Roman" w:hAnsi="Times New Roman" w:eastAsia="宋体" w:cs="Times New Roman"/>
          <w:i/>
          <w:color w:val="auto"/>
          <w:sz w:val="24"/>
          <w:highlight w:val="none"/>
        </w:rPr>
        <w:t>f</w:t>
      </w:r>
      <w:r>
        <w:rPr>
          <w:rFonts w:hint="eastAsia" w:ascii="Times New Roman" w:hAnsi="Times New Roman" w:eastAsia="宋体" w:cs="Times New Roman"/>
          <w:color w:val="auto"/>
          <w:sz w:val="24"/>
          <w:highlight w:val="none"/>
          <w:vertAlign w:val="subscript"/>
        </w:rPr>
        <w:t>s</w:t>
      </w:r>
      <w:r>
        <w:rPr>
          <w:rFonts w:hint="eastAsia" w:ascii="Times New Roman" w:hAnsi="Times New Roman" w:eastAsia="宋体" w:cs="Times New Roman"/>
          <w:i/>
          <w:color w:val="auto"/>
          <w:sz w:val="24"/>
          <w:highlight w:val="none"/>
        </w:rPr>
        <w:t xml:space="preserve"> </w:t>
      </w:r>
      <w:r>
        <w:rPr>
          <w:rFonts w:hint="eastAsia" w:ascii="Times New Roman" w:hAnsi="Times New Roman" w:eastAsia="宋体" w:cs="Times New Roman"/>
          <w:color w:val="auto"/>
          <w:sz w:val="24"/>
          <w:highlight w:val="none"/>
        </w:rPr>
        <w:t>/2</w:t>
      </w:r>
      <w:r>
        <w:rPr>
          <w:rFonts w:ascii="Times New Roman" w:hAnsi="Times New Roman" w:eastAsia="宋体" w:cs="Times New Roman"/>
          <w:color w:val="auto"/>
          <w:sz w:val="24"/>
          <w:highlight w:val="none"/>
        </w:rPr>
        <w:t xml:space="preserve">                                        （6.2.8-1）</w:t>
      </w:r>
    </w:p>
    <w:p>
      <w:pPr>
        <w:wordWrap w:val="0"/>
        <w:spacing w:after="0" w:line="360" w:lineRule="auto"/>
        <w:ind w:right="480" w:firstLine="480" w:firstLineChars="200"/>
        <w:jc w:val="right"/>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gt</w:t>
      </w:r>
      <w:r>
        <w:rPr>
          <w:rFonts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vertAlign w:val="subscript"/>
        </w:rPr>
        <w:t>E</w:t>
      </w: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 xml:space="preserve">pcg </w:t>
      </w:r>
      <w:r>
        <w:rPr>
          <w:rFonts w:hint="eastAsia"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vertAlign w:val="subscript"/>
        </w:rPr>
        <w:t>E</w:t>
      </w:r>
      <w:r>
        <w:rPr>
          <w:rFonts w:ascii="Times New Roman" w:hAnsi="Times New Roman" w:eastAsia="宋体" w:cs="Times New Roman"/>
          <w:i/>
          <w:color w:val="auto"/>
          <w:sz w:val="24"/>
          <w:highlight w:val="none"/>
        </w:rPr>
        <w:t>M</w:t>
      </w:r>
      <w:r>
        <w:rPr>
          <w:rFonts w:ascii="Times New Roman" w:hAnsi="Times New Roman" w:eastAsia="宋体" w:cs="Times New Roman"/>
          <w:color w:val="auto"/>
          <w:sz w:val="24"/>
          <w:highlight w:val="none"/>
          <w:vertAlign w:val="subscript"/>
        </w:rPr>
        <w:t>k</w:t>
      </w:r>
      <w:r>
        <w:rPr>
          <w:rFonts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W</w:t>
      </w:r>
      <w:r>
        <w:rPr>
          <w:rFonts w:ascii="Times New Roman" w:hAnsi="Times New Roman" w:eastAsia="宋体" w:cs="Times New Roman"/>
          <w:color w:val="auto"/>
          <w:sz w:val="24"/>
          <w:highlight w:val="none"/>
          <w:vertAlign w:val="subscript"/>
        </w:rPr>
        <w:t>g</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 xml:space="preserve">               （6.2.8-2）</w:t>
      </w:r>
    </w:p>
    <w:bookmarkEnd w:id="29"/>
    <w:p>
      <w:pPr>
        <w:spacing w:after="0" w:line="360" w:lineRule="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式中：</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gt</w:t>
      </w:r>
      <w:r>
        <w:rPr>
          <w:rFonts w:ascii="Times New Roman" w:hAnsi="Times New Roman" w:eastAsia="宋体" w:cs="Times New Roman"/>
          <w:color w:val="auto"/>
          <w:sz w:val="24"/>
          <w:highlight w:val="none"/>
        </w:rPr>
        <w:t>——各施工</w:t>
      </w:r>
      <w:r>
        <w:rPr>
          <w:rFonts w:hint="eastAsia" w:ascii="Times New Roman" w:hAnsi="Times New Roman" w:eastAsia="宋体" w:cs="Times New Roman"/>
          <w:color w:val="auto"/>
          <w:sz w:val="24"/>
          <w:highlight w:val="none"/>
        </w:rPr>
        <w:t>阶段</w:t>
      </w:r>
      <w:r>
        <w:rPr>
          <w:rFonts w:ascii="Times New Roman" w:hAnsi="Times New Roman" w:eastAsia="宋体" w:cs="Times New Roman"/>
          <w:color w:val="auto"/>
          <w:sz w:val="24"/>
          <w:highlight w:val="none"/>
        </w:rPr>
        <w:t>在荷载标准组合作用下的钢管</w:t>
      </w:r>
      <w:r>
        <w:rPr>
          <w:rFonts w:hint="eastAsia" w:ascii="Times New Roman" w:hAnsi="Times New Roman" w:eastAsia="宋体" w:cs="Times New Roman"/>
          <w:color w:val="auto"/>
          <w:sz w:val="24"/>
          <w:szCs w:val="24"/>
          <w:highlight w:val="none"/>
        </w:rPr>
        <w:t>法向</w:t>
      </w:r>
      <w:r>
        <w:rPr>
          <w:rFonts w:ascii="Times New Roman" w:hAnsi="Times New Roman" w:eastAsia="宋体" w:cs="Times New Roman"/>
          <w:color w:val="auto"/>
          <w:sz w:val="24"/>
          <w:highlight w:val="none"/>
        </w:rPr>
        <w:t>拉应力</w:t>
      </w:r>
      <w:r>
        <w:rPr>
          <w:rFonts w:hint="eastAsia"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f</w:t>
      </w:r>
      <w:r>
        <w:rPr>
          <w:rFonts w:hint="eastAsia" w:ascii="Times New Roman" w:hAnsi="Times New Roman" w:eastAsia="宋体" w:cs="Times New Roman"/>
          <w:color w:val="auto"/>
          <w:sz w:val="24"/>
          <w:highlight w:val="none"/>
          <w:vertAlign w:val="subscript"/>
        </w:rPr>
        <w:t>s</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w:t>
      </w:r>
      <w:r>
        <w:rPr>
          <w:rFonts w:ascii="Times New Roman" w:hAnsi="Times New Roman" w:eastAsia="宋体" w:cs="Times New Roman"/>
          <w:color w:val="auto"/>
          <w:sz w:val="24"/>
          <w:highlight w:val="none"/>
        </w:rPr>
        <w:t>钢管</w:t>
      </w:r>
      <w:r>
        <w:rPr>
          <w:rFonts w:hint="eastAsia" w:ascii="Times New Roman" w:hAnsi="Times New Roman" w:eastAsia="宋体" w:cs="Times New Roman"/>
          <w:color w:val="auto"/>
          <w:sz w:val="24"/>
          <w:highlight w:val="none"/>
        </w:rPr>
        <w:t>强度设计值；</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vertAlign w:val="subscript"/>
        </w:rPr>
        <w:t>E</w:t>
      </w:r>
      <w:r>
        <w:rPr>
          <w:rFonts w:hint="eastAsia" w:ascii="Times New Roman" w:hAnsi="Times New Roman" w:eastAsia="宋体" w:cs="Times New Roman"/>
          <w:color w:val="auto"/>
          <w:sz w:val="24"/>
          <w:highlight w:val="none"/>
          <w:vertAlign w:val="subscript"/>
        </w:rPr>
        <w:t>c</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钢管弹性模量</w:t>
      </w:r>
      <w:r>
        <w:rPr>
          <w:rFonts w:ascii="Times New Roman" w:hAnsi="Times New Roman" w:eastAsia="宋体" w:cs="Times New Roman"/>
          <w:color w:val="auto"/>
          <w:sz w:val="24"/>
          <w:highlight w:val="none"/>
        </w:rPr>
        <w:t>与混凝土的弹性模量之比</w:t>
      </w:r>
      <w:r>
        <w:rPr>
          <w:rFonts w:hint="eastAsia" w:ascii="Times New Roman" w:hAnsi="Times New Roman" w:eastAsia="宋体" w:cs="Times New Roman"/>
          <w:color w:val="auto"/>
          <w:sz w:val="24"/>
          <w:highlight w:val="none"/>
        </w:rPr>
        <w:t>。</w:t>
      </w:r>
    </w:p>
    <w:p>
      <w:pPr>
        <w:spacing w:after="0" w:line="360" w:lineRule="auto"/>
        <w:ind w:firstLine="420" w:firstLineChars="20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w:t>
      </w:r>
      <w:r>
        <w:rPr>
          <w:rFonts w:hint="eastAsia" w:ascii="Times New Roman" w:hAnsi="Times New Roman" w:eastAsia="宋体" w:cs="Times New Roman"/>
          <w:color w:val="auto"/>
          <w:sz w:val="21"/>
          <w:szCs w:val="21"/>
          <w:highlight w:val="none"/>
        </w:rPr>
        <w:t xml:space="preserve">  </w:t>
      </w:r>
      <w:r>
        <w:rPr>
          <w:rFonts w:ascii="Times New Roman" w:hAnsi="Times New Roman" w:eastAsia="宋体" w:cs="Times New Roman"/>
          <w:color w:val="auto"/>
          <w:sz w:val="21"/>
          <w:szCs w:val="21"/>
          <w:highlight w:val="none"/>
        </w:rPr>
        <w:t>公式（6.2.</w:t>
      </w:r>
      <w:r>
        <w:rPr>
          <w:rFonts w:hint="eastAsia" w:ascii="Times New Roman" w:hAnsi="Times New Roman" w:eastAsia="宋体" w:cs="Times New Roman"/>
          <w:color w:val="auto"/>
          <w:sz w:val="21"/>
          <w:szCs w:val="21"/>
          <w:highlight w:val="none"/>
        </w:rPr>
        <w:t>8</w:t>
      </w:r>
      <w:r>
        <w:rPr>
          <w:rFonts w:ascii="Times New Roman" w:hAnsi="Times New Roman" w:eastAsia="宋体" w:cs="Times New Roman"/>
          <w:color w:val="auto"/>
          <w:sz w:val="21"/>
          <w:szCs w:val="21"/>
          <w:highlight w:val="none"/>
        </w:rPr>
        <w:t>-2）中，</w:t>
      </w:r>
      <w:r>
        <w:rPr>
          <w:rFonts w:hint="eastAsia" w:ascii="Times New Roman" w:hAnsi="Times New Roman" w:eastAsia="宋体" w:cs="Times New Roman"/>
          <w:color w:val="auto"/>
          <w:sz w:val="21"/>
          <w:szCs w:val="21"/>
          <w:highlight w:val="none"/>
        </w:rPr>
        <w:t>各项计算值为拉应力时取正号，压应力时取负号；</w:t>
      </w:r>
    </w:p>
    <w:p>
      <w:pPr>
        <w:spacing w:after="0" w:line="360" w:lineRule="auto"/>
        <w:ind w:firstLine="420" w:firstLineChars="200"/>
        <w:rPr>
          <w:rFonts w:ascii="Times New Roman" w:hAnsi="Times New Roman" w:eastAsia="宋体" w:cs="Times New Roman"/>
          <w:color w:val="auto"/>
          <w:sz w:val="21"/>
          <w:szCs w:val="21"/>
          <w:highlight w:val="none"/>
        </w:rPr>
      </w:pPr>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6</w:t>
      </w:r>
      <w:r>
        <w:rPr>
          <w:rFonts w:ascii="Times New Roman" w:hAnsi="Times New Roman" w:eastAsia="宋体" w:cs="Times New Roman"/>
          <w:b/>
          <w:color w:val="auto"/>
          <w:sz w:val="24"/>
          <w:szCs w:val="24"/>
          <w:highlight w:val="none"/>
        </w:rPr>
        <w:t>.2.9</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矩形钢管稳定性应符合下列规定：</w:t>
      </w:r>
    </w:p>
    <w:p>
      <w:pPr>
        <w:spacing w:after="0" w:line="360" w:lineRule="auto"/>
        <w:ind w:right="480" w:firstLine="480" w:firstLineChars="200"/>
        <w:jc w:val="right"/>
        <w:rPr>
          <w:rFonts w:ascii="Times New Roman" w:hAnsi="Times New Roman" w:eastAsia="宋体" w:cs="Times New Roman"/>
          <w:i/>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w:t>
      </w:r>
      <w:r>
        <w:rPr>
          <w:rFonts w:hint="eastAsia" w:ascii="Times New Roman" w:hAnsi="Times New Roman" w:eastAsia="宋体" w:cs="Times New Roman"/>
          <w:color w:val="auto"/>
          <w:sz w:val="24"/>
          <w:highlight w:val="none"/>
          <w:vertAlign w:val="subscript"/>
        </w:rPr>
        <w:t xml:space="preserve">c </w:t>
      </w:r>
      <w:r>
        <w:rPr>
          <w:rFonts w:ascii="Times New Roman" w:hAnsi="Times New Roman" w:eastAsia="宋体" w:cs="Times New Roman"/>
          <w:color w:val="auto"/>
          <w:sz w:val="24"/>
          <w:highlight w:val="none"/>
        </w:rPr>
        <w:t xml:space="preserve">≤ </w:t>
      </w:r>
      <w:r>
        <w:rPr>
          <w:rFonts w:ascii="Times New Roman" w:hAnsi="Times New Roman" w:eastAsia="宋体" w:cs="Times New Roman"/>
          <w:i/>
          <w:color w:val="auto"/>
          <w:sz w:val="24"/>
          <w:highlight w:val="none"/>
        </w:rPr>
        <w:t>φ</w:t>
      </w:r>
      <w:r>
        <w:rPr>
          <w:rFonts w:hint="eastAsia" w:ascii="Times New Roman" w:hAnsi="Times New Roman" w:eastAsia="宋体" w:cs="Times New Roman"/>
          <w:iCs/>
          <w:color w:val="auto"/>
          <w:sz w:val="24"/>
          <w:highlight w:val="none"/>
          <w:vertAlign w:val="subscript"/>
        </w:rPr>
        <w:t>f</w:t>
      </w:r>
      <w:r>
        <w:rPr>
          <w:rFonts w:ascii="Times New Roman" w:hAnsi="Times New Roman" w:eastAsia="宋体" w:cs="Times New Roman"/>
          <w:color w:val="auto"/>
          <w:sz w:val="24"/>
          <w:highlight w:val="none"/>
        </w:rPr>
        <w:t xml:space="preserve"> </w:t>
      </w:r>
      <w:r>
        <w:rPr>
          <w:rFonts w:ascii="Times New Roman" w:hAnsi="Times New Roman" w:eastAsia="宋体" w:cs="Times New Roman"/>
          <w:i/>
          <w:color w:val="auto"/>
          <w:sz w:val="24"/>
          <w:highlight w:val="none"/>
        </w:rPr>
        <w:t>f</w:t>
      </w:r>
      <w:r>
        <w:rPr>
          <w:rFonts w:hint="eastAsia" w:ascii="Times New Roman" w:hAnsi="Times New Roman" w:eastAsia="宋体" w:cs="Times New Roman"/>
          <w:color w:val="auto"/>
          <w:sz w:val="24"/>
          <w:highlight w:val="none"/>
          <w:vertAlign w:val="subscript"/>
        </w:rPr>
        <w:t>s</w:t>
      </w:r>
      <w:r>
        <w:rPr>
          <w:rFonts w:ascii="Times New Roman" w:hAnsi="Times New Roman" w:eastAsia="宋体" w:cs="Times New Roman"/>
          <w:color w:val="auto"/>
          <w:sz w:val="24"/>
          <w:highlight w:val="none"/>
        </w:rPr>
        <w:t xml:space="preserve">                                        </w:t>
      </w:r>
      <w:bookmarkStart w:id="30" w:name="_Hlk111572891"/>
      <w:r>
        <w:rPr>
          <w:rFonts w:ascii="Times New Roman" w:hAnsi="Times New Roman" w:eastAsia="宋体" w:cs="Times New Roman"/>
          <w:color w:val="auto"/>
          <w:sz w:val="24"/>
          <w:highlight w:val="none"/>
        </w:rPr>
        <w:t>（6.2.9-1）</w:t>
      </w:r>
      <w:bookmarkEnd w:id="30"/>
    </w:p>
    <w:p>
      <w:pPr>
        <w:wordWrap w:val="0"/>
        <w:spacing w:after="0" w:line="360" w:lineRule="auto"/>
        <w:ind w:right="480" w:firstLine="480" w:firstLineChars="200"/>
        <w:jc w:val="right"/>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gc</w:t>
      </w:r>
      <w:r>
        <w:rPr>
          <w:rFonts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vertAlign w:val="subscript"/>
        </w:rPr>
        <w:t>E</w:t>
      </w:r>
      <w:r>
        <w:rPr>
          <w:rFonts w:hint="eastAsia" w:ascii="Times New Roman" w:hAnsi="Times New Roman" w:eastAsia="宋体" w:cs="Times New Roman"/>
          <w:color w:val="auto"/>
          <w:sz w:val="24"/>
          <w:highlight w:val="none"/>
          <w:vertAlign w:val="subscript"/>
        </w:rPr>
        <w:t>c</w:t>
      </w:r>
      <w:r>
        <w:rPr>
          <w:rFonts w:hint="eastAsia"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 xml:space="preserve">pc </w:t>
      </w:r>
      <w:r>
        <w:rPr>
          <w:rFonts w:hint="eastAsia"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M</w:t>
      </w:r>
      <w:r>
        <w:rPr>
          <w:rFonts w:ascii="Times New Roman" w:hAnsi="Times New Roman" w:eastAsia="宋体" w:cs="Times New Roman"/>
          <w:color w:val="auto"/>
          <w:sz w:val="24"/>
          <w:highlight w:val="none"/>
          <w:vertAlign w:val="subscript"/>
        </w:rPr>
        <w:t>k</w:t>
      </w:r>
      <w:r>
        <w:rPr>
          <w:rFonts w:ascii="Times New Roman" w:hAnsi="Times New Roman" w:eastAsia="宋体" w:cs="Times New Roman"/>
          <w:color w:val="auto"/>
          <w:sz w:val="24"/>
          <w:highlight w:val="none"/>
        </w:rPr>
        <w:t xml:space="preserve"> /</w:t>
      </w:r>
      <w:r>
        <w:rPr>
          <w:rFonts w:ascii="Times New Roman" w:hAnsi="Times New Roman" w:eastAsia="宋体" w:cs="Times New Roman"/>
          <w:i/>
          <w:color w:val="auto"/>
          <w:sz w:val="24"/>
          <w:highlight w:val="none"/>
        </w:rPr>
        <w:t>W</w:t>
      </w:r>
      <w:r>
        <w:rPr>
          <w:rFonts w:ascii="Times New Roman" w:hAnsi="Times New Roman" w:eastAsia="宋体" w:cs="Times New Roman"/>
          <w:color w:val="auto"/>
          <w:sz w:val="24"/>
          <w:highlight w:val="none"/>
          <w:vertAlign w:val="subscript"/>
        </w:rPr>
        <w:t>g</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 xml:space="preserve">               （6.2.9-2）</w:t>
      </w:r>
    </w:p>
    <w:p>
      <w:pPr>
        <w:wordWrap w:val="0"/>
        <w:spacing w:after="0" w:line="360" w:lineRule="auto"/>
        <w:ind w:right="509"/>
        <w:jc w:val="right"/>
        <w:rPr>
          <w:rFonts w:ascii="Times New Roman" w:hAnsi="Times New Roman" w:eastAsia="宋体" w:cs="Times New Roman"/>
          <w:color w:val="auto"/>
          <w:sz w:val="24"/>
          <w:highlight w:val="none"/>
        </w:rPr>
      </w:pPr>
      <w:r>
        <w:rPr>
          <w:rFonts w:ascii="Times New Roman" w:hAnsi="Times New Roman" w:cs="Times New Roman"/>
          <w:color w:val="auto"/>
          <w:position w:val="-30"/>
          <w:sz w:val="24"/>
          <w:highlight w:val="none"/>
        </w:rPr>
        <w:t xml:space="preserve">      </w:t>
      </w:r>
      <w:r>
        <w:rPr>
          <w:rFonts w:ascii="Times New Roman" w:hAnsi="Times New Roman" w:cs="Times New Roman"/>
          <w:color w:val="auto"/>
          <w:position w:val="-32"/>
          <w:sz w:val="24"/>
          <w:highlight w:val="none"/>
        </w:rPr>
        <w:object>
          <v:shape id="_x0000_i1038" o:spt="75" type="#_x0000_t75" style="height:37.2pt;width:94.8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8">
            <o:LockedField>false</o:LockedField>
          </o:OLEObject>
        </w:object>
      </w:r>
      <w:r>
        <w:rPr>
          <w:rFonts w:ascii="Times New Roman" w:hAnsi="Times New Roman" w:cs="Times New Roman"/>
          <w:color w:val="auto"/>
          <w:position w:val="-30"/>
          <w:sz w:val="24"/>
          <w:highlight w:val="none"/>
        </w:rPr>
        <w:t xml:space="preserve">                 </w:t>
      </w:r>
      <w:r>
        <w:rPr>
          <w:rFonts w:hint="eastAsia" w:ascii="Times New Roman" w:hAnsi="Times New Roman" w:cs="Times New Roman"/>
          <w:color w:val="auto"/>
          <w:position w:val="-30"/>
          <w:sz w:val="24"/>
          <w:highlight w:val="none"/>
        </w:rPr>
        <w:t xml:space="preserve">      </w:t>
      </w:r>
      <w:r>
        <w:rPr>
          <w:rFonts w:ascii="Times New Roman" w:hAnsi="Times New Roman" w:cs="Times New Roman"/>
          <w:color w:val="auto"/>
          <w:position w:val="-30"/>
          <w:sz w:val="24"/>
          <w:highlight w:val="none"/>
        </w:rPr>
        <w:t xml:space="preserve">            </w:t>
      </w:r>
      <w:r>
        <w:rPr>
          <w:rFonts w:ascii="Times New Roman" w:hAnsi="Times New Roman" w:eastAsia="宋体" w:cs="Times New Roman"/>
          <w:color w:val="auto"/>
          <w:sz w:val="24"/>
          <w:highlight w:val="none"/>
        </w:rPr>
        <w:t>（6.2.9-3）</w:t>
      </w:r>
    </w:p>
    <w:p>
      <w:pPr>
        <w:wordWrap w:val="0"/>
        <w:spacing w:after="0" w:line="360" w:lineRule="auto"/>
        <w:ind w:right="480" w:firstLine="480" w:firstLineChars="200"/>
        <w:jc w:val="right"/>
        <w:rPr>
          <w:rFonts w:ascii="Times New Roman" w:hAnsi="Times New Roman" w:eastAsia="宋体" w:cs="Times New Roman"/>
          <w:color w:val="auto"/>
          <w:sz w:val="24"/>
          <w:highlight w:val="none"/>
        </w:rPr>
      </w:pPr>
      <w:bookmarkStart w:id="31" w:name="_Hlk111568449"/>
      <w:r>
        <w:rPr>
          <w:rFonts w:hint="eastAsia" w:ascii="Times New Roman" w:hAnsi="Times New Roman" w:eastAsia="宋体" w:cs="Times New Roman"/>
          <w:i/>
          <w:iCs/>
          <w:color w:val="auto"/>
          <w:sz w:val="24"/>
          <w:highlight w:val="none"/>
        </w:rPr>
        <w:t>k</w:t>
      </w:r>
      <w:r>
        <w:rPr>
          <w:rFonts w:ascii="Times New Roman" w:hAnsi="Times New Roman" w:eastAsia="宋体" w:cs="Times New Roman"/>
          <w:i/>
          <w:iCs/>
          <w:color w:val="auto"/>
          <w:sz w:val="24"/>
          <w:highlight w:val="none"/>
        </w:rPr>
        <w:t>=</w:t>
      </w:r>
      <w:bookmarkEnd w:id="31"/>
      <w:r>
        <w:rPr>
          <w:rFonts w:ascii="Times New Roman" w:hAnsi="Times New Roman" w:eastAsia="宋体" w:cs="Times New Roman"/>
          <w:color w:val="auto"/>
          <w:sz w:val="24"/>
          <w:highlight w:val="none"/>
        </w:rPr>
        <w:t>1</w:t>
      </w:r>
      <w:r>
        <w:rPr>
          <w:rFonts w:ascii="Times New Roman" w:hAnsi="Times New Roman" w:eastAsia="宋体" w:cs="Times New Roman"/>
          <w:i/>
          <w:iCs/>
          <w:color w:val="auto"/>
          <w:sz w:val="24"/>
          <w:highlight w:val="none"/>
        </w:rPr>
        <w:t>/σ</w:t>
      </w:r>
      <w:r>
        <w:rPr>
          <w:rFonts w:ascii="Times New Roman" w:hAnsi="Times New Roman" w:eastAsia="宋体" w:cs="Times New Roman"/>
          <w:color w:val="auto"/>
          <w:sz w:val="24"/>
          <w:highlight w:val="none"/>
        </w:rPr>
        <w:t xml:space="preserve">                                               （6.2.9-4）</w:t>
      </w:r>
    </w:p>
    <w:p>
      <w:pPr>
        <w:wordWrap w:val="0"/>
        <w:spacing w:after="0" w:line="360" w:lineRule="auto"/>
        <w:ind w:right="480" w:firstLine="480" w:firstLineChars="200"/>
        <w:jc w:val="right"/>
        <w:rPr>
          <w:rFonts w:ascii="Times New Roman" w:hAnsi="Times New Roman" w:eastAsia="宋体" w:cs="Times New Roman"/>
          <w:color w:val="auto"/>
          <w:sz w:val="24"/>
          <w:highlight w:val="none"/>
        </w:rPr>
      </w:pPr>
      <w:bookmarkStart w:id="32" w:name="_Hlk111571984"/>
      <w:r>
        <w:rPr>
          <w:rFonts w:ascii="Times New Roman" w:hAnsi="Times New Roman" w:eastAsia="宋体" w:cs="Times New Roman"/>
          <w:i/>
          <w:iCs/>
          <w:color w:val="auto"/>
          <w:position w:val="-32"/>
          <w:sz w:val="24"/>
          <w:highlight w:val="none"/>
        </w:rPr>
        <w:object>
          <v:shape id="_x0000_i1039" o:spt="75" type="#_x0000_t75" style="height:38.4pt;width:94.8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bookmarkEnd w:id="32"/>
      <w:r>
        <w:rPr>
          <w:rFonts w:ascii="Times New Roman" w:hAnsi="Times New Roman" w:eastAsia="宋体" w:cs="Times New Roman"/>
          <w:color w:val="auto"/>
          <w:sz w:val="24"/>
          <w:highlight w:val="none"/>
        </w:rPr>
        <w:t xml:space="preserve">                                    （6.2.9-5）</w:t>
      </w:r>
    </w:p>
    <w:p>
      <w:pPr>
        <w:wordWrap w:val="0"/>
        <w:spacing w:after="0" w:line="360" w:lineRule="auto"/>
        <w:ind w:right="480" w:firstLine="480" w:firstLineChars="200"/>
        <w:jc w:val="right"/>
        <w:rPr>
          <w:rFonts w:ascii="Times New Roman" w:hAnsi="Times New Roman" w:eastAsia="宋体" w:cs="Times New Roman"/>
          <w:i/>
          <w:iCs/>
          <w:color w:val="auto"/>
          <w:sz w:val="24"/>
          <w:highlight w:val="none"/>
        </w:rPr>
      </w:pPr>
      <w:bookmarkStart w:id="33" w:name="_Hlk111572567"/>
      <w:r>
        <w:rPr>
          <w:rFonts w:hint="eastAsia" w:ascii="Times New Roman" w:hAnsi="Times New Roman" w:eastAsia="宋体" w:cs="Times New Roman"/>
          <w:i/>
          <w:iCs/>
          <w:color w:val="auto"/>
          <w:sz w:val="24"/>
          <w:highlight w:val="none"/>
        </w:rPr>
        <w:t>c</w:t>
      </w:r>
      <w:bookmarkEnd w:id="33"/>
      <w:r>
        <w:rPr>
          <w:rFonts w:ascii="Times New Roman" w:hAnsi="Times New Roman" w:eastAsia="宋体" w:cs="Times New Roman"/>
          <w:i/>
          <w:iCs/>
          <w:color w:val="auto"/>
          <w:sz w:val="24"/>
          <w:highlight w:val="none"/>
        </w:rPr>
        <w:t>=</w:t>
      </w:r>
      <w:r>
        <w:rPr>
          <w:rFonts w:hint="eastAsia" w:ascii="Times New Roman" w:hAnsi="Times New Roman" w:eastAsia="宋体" w:cs="Times New Roman"/>
          <w:i/>
          <w:iCs/>
          <w:color w:val="auto"/>
          <w:sz w:val="24"/>
          <w:highlight w:val="none"/>
        </w:rPr>
        <w:t>k</w:t>
      </w:r>
      <w:r>
        <w:rPr>
          <w:rFonts w:ascii="Times New Roman" w:hAnsi="Times New Roman" w:eastAsia="宋体" w:cs="Times New Roman"/>
          <w:i/>
          <w:iCs/>
          <w:color w:val="auto"/>
          <w:sz w:val="24"/>
          <w:highlight w:val="none"/>
        </w:rPr>
        <w:t>/</w:t>
      </w:r>
      <w:r>
        <w:rPr>
          <w:rFonts w:hint="eastAsia" w:ascii="Times New Roman" w:hAnsi="Times New Roman" w:eastAsia="宋体" w:cs="Times New Roman"/>
          <w:i/>
          <w:iCs/>
          <w:color w:val="auto"/>
          <w:sz w:val="24"/>
          <w:highlight w:val="none"/>
        </w:rPr>
        <w:t>a</w:t>
      </w:r>
      <w:r>
        <w:rPr>
          <w:rFonts w:ascii="Times New Roman" w:hAnsi="Times New Roman" w:eastAsia="宋体" w:cs="Times New Roman"/>
          <w:i/>
          <w:iCs/>
          <w:color w:val="auto"/>
          <w:sz w:val="24"/>
          <w:highlight w:val="none"/>
        </w:rPr>
        <w:t xml:space="preserve">                                             </w:t>
      </w:r>
      <w:r>
        <w:rPr>
          <w:rFonts w:ascii="Times New Roman" w:hAnsi="Times New Roman" w:eastAsia="宋体" w:cs="Times New Roman"/>
          <w:color w:val="auto"/>
          <w:sz w:val="24"/>
          <w:highlight w:val="none"/>
        </w:rPr>
        <w:t>（6.2.9-6）</w:t>
      </w:r>
    </w:p>
    <w:p>
      <w:pPr>
        <w:wordWrap w:val="0"/>
        <w:spacing w:after="0" w:line="360" w:lineRule="auto"/>
        <w:ind w:right="480" w:firstLine="480" w:firstLineChars="200"/>
        <w:jc w:val="right"/>
        <w:rPr>
          <w:rFonts w:ascii="Times New Roman" w:hAnsi="Times New Roman" w:eastAsia="宋体" w:cs="Times New Roman"/>
          <w:color w:val="auto"/>
          <w:sz w:val="24"/>
          <w:highlight w:val="none"/>
        </w:rPr>
      </w:pPr>
      <w:bookmarkStart w:id="34" w:name="_Hlk111571478"/>
      <w:r>
        <w:rPr>
          <w:rFonts w:ascii="Times New Roman" w:hAnsi="Times New Roman" w:eastAsia="宋体" w:cs="Times New Roman"/>
          <w:color w:val="auto"/>
          <w:position w:val="-16"/>
          <w:sz w:val="24"/>
          <w:highlight w:val="none"/>
        </w:rPr>
        <w:object>
          <v:shape id="_x0000_i1040" o:spt="75" type="#_x0000_t75" style="height:21.6pt;width:70.8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0" r:id="rId41">
            <o:LockedField>false</o:LockedField>
          </o:OLEObject>
        </w:object>
      </w:r>
      <w:bookmarkEnd w:id="34"/>
      <w:r>
        <w:rPr>
          <w:rFonts w:ascii="Times New Roman" w:hAnsi="Times New Roman" w:eastAsia="宋体" w:cs="Times New Roman"/>
          <w:color w:val="auto"/>
          <w:sz w:val="24"/>
          <w:highlight w:val="none"/>
        </w:rPr>
        <w:t xml:space="preserve">                                       （6.2.9-7）</w:t>
      </w:r>
    </w:p>
    <w:p>
      <w:pPr>
        <w:wordWrap w:val="0"/>
        <w:spacing w:after="0" w:line="360" w:lineRule="auto"/>
        <w:ind w:right="480" w:firstLine="480" w:firstLineChars="200"/>
        <w:jc w:val="right"/>
        <w:rPr>
          <w:rFonts w:ascii="Times New Roman" w:hAnsi="Times New Roman" w:eastAsia="宋体" w:cs="Times New Roman"/>
          <w:color w:val="auto"/>
          <w:sz w:val="24"/>
          <w:highlight w:val="none"/>
        </w:rPr>
      </w:pPr>
      <w:r>
        <w:rPr>
          <w:rFonts w:ascii="Times New Roman" w:hAnsi="Times New Roman" w:eastAsia="宋体" w:cs="Times New Roman"/>
          <w:color w:val="auto"/>
          <w:position w:val="-16"/>
          <w:sz w:val="24"/>
          <w:highlight w:val="none"/>
        </w:rPr>
        <w:object>
          <v:shape id="_x0000_i1041" o:spt="75" type="#_x0000_t75" style="height:21.6pt;width:92.35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1" r:id="rId43">
            <o:LockedField>false</o:LockedField>
          </o:OLEObject>
        </w:object>
      </w:r>
      <w:r>
        <w:rPr>
          <w:rFonts w:ascii="Times New Roman" w:hAnsi="Times New Roman" w:eastAsia="宋体" w:cs="Times New Roman"/>
          <w:color w:val="auto"/>
          <w:sz w:val="24"/>
          <w:highlight w:val="none"/>
        </w:rPr>
        <w:t xml:space="preserve">                                      （6.2.9-8）</w:t>
      </w:r>
    </w:p>
    <w:p>
      <w:pPr>
        <w:spacing w:after="0" w:line="360" w:lineRule="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式中：</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gc</w:t>
      </w:r>
      <w:r>
        <w:rPr>
          <w:rFonts w:ascii="Times New Roman" w:hAnsi="Times New Roman" w:eastAsia="宋体" w:cs="Times New Roman"/>
          <w:color w:val="auto"/>
          <w:sz w:val="24"/>
          <w:highlight w:val="none"/>
        </w:rPr>
        <w:t>——各施工</w:t>
      </w:r>
      <w:r>
        <w:rPr>
          <w:rFonts w:hint="eastAsia" w:ascii="Times New Roman" w:hAnsi="Times New Roman" w:eastAsia="宋体" w:cs="Times New Roman"/>
          <w:color w:val="auto"/>
          <w:sz w:val="24"/>
          <w:highlight w:val="none"/>
        </w:rPr>
        <w:t>阶段</w:t>
      </w:r>
      <w:r>
        <w:rPr>
          <w:rFonts w:ascii="Times New Roman" w:hAnsi="Times New Roman" w:eastAsia="宋体" w:cs="Times New Roman"/>
          <w:color w:val="auto"/>
          <w:sz w:val="24"/>
          <w:highlight w:val="none"/>
        </w:rPr>
        <w:t>在荷载标准组合作用下的</w:t>
      </w:r>
      <w:r>
        <w:rPr>
          <w:rFonts w:hint="eastAsia" w:ascii="Times New Roman" w:hAnsi="Times New Roman" w:eastAsia="宋体" w:cs="Times New Roman"/>
          <w:color w:val="auto"/>
          <w:sz w:val="24"/>
          <w:szCs w:val="24"/>
          <w:highlight w:val="none"/>
        </w:rPr>
        <w:t>矩形钢管法向</w:t>
      </w:r>
      <w:r>
        <w:rPr>
          <w:rFonts w:ascii="Times New Roman" w:hAnsi="Times New Roman" w:eastAsia="宋体" w:cs="Times New Roman"/>
          <w:color w:val="auto"/>
          <w:sz w:val="24"/>
          <w:highlight w:val="none"/>
        </w:rPr>
        <w:t>压应力；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pc</w:t>
      </w:r>
      <w:bookmarkStart w:id="35" w:name="_Hlk111572645"/>
      <w:r>
        <w:rPr>
          <w:rFonts w:ascii="Times New Roman" w:hAnsi="Times New Roman" w:eastAsia="宋体" w:cs="Times New Roman"/>
          <w:color w:val="auto"/>
          <w:sz w:val="24"/>
          <w:highlight w:val="none"/>
        </w:rPr>
        <w:t>——</w:t>
      </w:r>
      <w:bookmarkEnd w:id="35"/>
      <w:r>
        <w:rPr>
          <w:rFonts w:ascii="Times New Roman" w:hAnsi="Times New Roman" w:eastAsia="宋体" w:cs="Times New Roman"/>
          <w:color w:val="auto"/>
          <w:sz w:val="24"/>
          <w:highlight w:val="none"/>
        </w:rPr>
        <w:t>由预加力产生的构件</w:t>
      </w:r>
      <w:r>
        <w:rPr>
          <w:rFonts w:hint="eastAsia" w:ascii="Times New Roman" w:hAnsi="Times New Roman" w:eastAsia="宋体" w:cs="Times New Roman"/>
          <w:color w:val="auto"/>
          <w:sz w:val="24"/>
          <w:highlight w:val="none"/>
        </w:rPr>
        <w:t>矩形钢管</w:t>
      </w:r>
      <w:r>
        <w:rPr>
          <w:rFonts w:ascii="Times New Roman" w:hAnsi="Times New Roman" w:eastAsia="宋体" w:cs="Times New Roman"/>
          <w:color w:val="auto"/>
          <w:sz w:val="24"/>
          <w:highlight w:val="none"/>
        </w:rPr>
        <w:t>形心处法向应力；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W</w:t>
      </w:r>
      <w:r>
        <w:rPr>
          <w:rFonts w:ascii="Times New Roman" w:hAnsi="Times New Roman" w:eastAsia="宋体" w:cs="Times New Roman"/>
          <w:color w:val="auto"/>
          <w:sz w:val="24"/>
          <w:highlight w:val="none"/>
          <w:vertAlign w:val="subscript"/>
        </w:rPr>
        <w:t>g</w:t>
      </w:r>
      <w:bookmarkStart w:id="36" w:name="_Hlk111573279"/>
      <w:r>
        <w:rPr>
          <w:rFonts w:ascii="Times New Roman" w:hAnsi="Times New Roman" w:eastAsia="宋体" w:cs="Times New Roman"/>
          <w:color w:val="auto"/>
          <w:sz w:val="24"/>
          <w:highlight w:val="none"/>
        </w:rPr>
        <w:t>——组合截面</w:t>
      </w:r>
      <w:r>
        <w:rPr>
          <w:rFonts w:hint="eastAsia" w:ascii="Times New Roman" w:hAnsi="Times New Roman" w:eastAsia="宋体" w:cs="Times New Roman"/>
          <w:color w:val="auto"/>
          <w:sz w:val="24"/>
          <w:highlight w:val="none"/>
        </w:rPr>
        <w:t>矩形钢管</w:t>
      </w:r>
      <w:r>
        <w:rPr>
          <w:rFonts w:ascii="Times New Roman" w:hAnsi="Times New Roman" w:eastAsia="宋体" w:cs="Times New Roman"/>
          <w:color w:val="auto"/>
          <w:sz w:val="24"/>
          <w:highlight w:val="none"/>
        </w:rPr>
        <w:t>形心处弹性抵抗矩，按等效组合截面计算</w:t>
      </w:r>
      <w:bookmarkEnd w:id="36"/>
      <w:r>
        <w:rPr>
          <w:rFonts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 xml:space="preserve">f </w:t>
      </w:r>
      <w:r>
        <w:rPr>
          <w:rFonts w:hint="eastAsia" w:ascii="Times New Roman" w:hAnsi="Times New Roman" w:eastAsia="宋体" w:cs="Times New Roman"/>
          <w:color w:val="auto"/>
          <w:sz w:val="24"/>
          <w:highlight w:val="none"/>
          <w:vertAlign w:val="subscript"/>
        </w:rPr>
        <w:t>s</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矩形钢管抗压</w:t>
      </w:r>
      <w:r>
        <w:rPr>
          <w:rFonts w:ascii="Times New Roman" w:hAnsi="Times New Roman" w:eastAsia="宋体" w:cs="Times New Roman"/>
          <w:color w:val="auto"/>
          <w:sz w:val="24"/>
          <w:highlight w:val="none"/>
        </w:rPr>
        <w:t>强度</w:t>
      </w:r>
      <w:r>
        <w:rPr>
          <w:rFonts w:hint="eastAsia" w:ascii="Times New Roman" w:hAnsi="Times New Roman" w:eastAsia="宋体" w:cs="Times New Roman"/>
          <w:color w:val="auto"/>
          <w:sz w:val="24"/>
          <w:highlight w:val="none"/>
        </w:rPr>
        <w:t>设计值</w:t>
      </w:r>
      <w:r>
        <w:rPr>
          <w:rFonts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vertAlign w:val="subscript"/>
        </w:rPr>
        <w:t>E</w:t>
      </w:r>
      <w:r>
        <w:rPr>
          <w:rFonts w:hint="eastAsia" w:ascii="Times New Roman" w:hAnsi="Times New Roman" w:eastAsia="宋体" w:cs="Times New Roman"/>
          <w:color w:val="auto"/>
          <w:sz w:val="24"/>
          <w:highlight w:val="none"/>
          <w:vertAlign w:val="subscript"/>
        </w:rPr>
        <w:t>c</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矩形钢管弹性模量</w:t>
      </w:r>
      <w:r>
        <w:rPr>
          <w:rFonts w:ascii="Times New Roman" w:hAnsi="Times New Roman" w:eastAsia="宋体" w:cs="Times New Roman"/>
          <w:color w:val="auto"/>
          <w:sz w:val="24"/>
          <w:highlight w:val="none"/>
        </w:rPr>
        <w:t>与混凝土的弹性模量之比；</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φ</w:t>
      </w:r>
      <w:bookmarkStart w:id="37" w:name="_Hlk111571915"/>
      <w:r>
        <w:rPr>
          <w:rFonts w:hint="eastAsia" w:ascii="Times New Roman" w:hAnsi="Times New Roman" w:eastAsia="宋体" w:cs="Times New Roman"/>
          <w:iCs/>
          <w:color w:val="auto"/>
          <w:sz w:val="24"/>
          <w:highlight w:val="none"/>
          <w:vertAlign w:val="subscript"/>
        </w:rPr>
        <w:t>f</w:t>
      </w:r>
      <w:r>
        <w:rPr>
          <w:rFonts w:ascii="Times New Roman" w:hAnsi="Times New Roman" w:eastAsia="宋体" w:cs="Times New Roman"/>
          <w:color w:val="auto"/>
          <w:sz w:val="24"/>
          <w:highlight w:val="none"/>
        </w:rPr>
        <w:t>——</w:t>
      </w:r>
      <w:bookmarkEnd w:id="37"/>
      <w:r>
        <w:rPr>
          <w:rFonts w:hint="eastAsia" w:ascii="Times New Roman" w:hAnsi="Times New Roman" w:eastAsia="宋体" w:cs="Times New Roman"/>
          <w:color w:val="auto"/>
          <w:sz w:val="24"/>
          <w:highlight w:val="none"/>
        </w:rPr>
        <w:t>矩形钢管</w:t>
      </w:r>
      <w:r>
        <w:rPr>
          <w:rFonts w:ascii="Times New Roman" w:hAnsi="Times New Roman" w:eastAsia="宋体" w:cs="Times New Roman"/>
          <w:color w:val="auto"/>
          <w:sz w:val="24"/>
          <w:highlight w:val="none"/>
        </w:rPr>
        <w:t>轴心</w:t>
      </w:r>
      <w:r>
        <w:rPr>
          <w:rFonts w:hint="eastAsia" w:ascii="Times New Roman" w:hAnsi="Times New Roman" w:eastAsia="宋体" w:cs="Times New Roman"/>
          <w:color w:val="auto"/>
          <w:sz w:val="24"/>
          <w:highlight w:val="none"/>
        </w:rPr>
        <w:t>平面外稳定</w:t>
      </w:r>
      <w:r>
        <w:rPr>
          <w:rFonts w:ascii="Times New Roman" w:hAnsi="Times New Roman" w:eastAsia="宋体" w:cs="Times New Roman"/>
          <w:color w:val="auto"/>
          <w:sz w:val="24"/>
          <w:highlight w:val="none"/>
        </w:rPr>
        <w:t>系数</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按现行国家标准《钢结构设计标准》GB 50017确定</w:t>
      </w:r>
      <w:r>
        <w:rPr>
          <w:rFonts w:hint="eastAsia"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i/>
          <w:iCs/>
          <w:color w:val="auto"/>
          <w:sz w:val="24"/>
          <w:highlight w:val="none"/>
        </w:rPr>
        <w:t>k</w:t>
      </w:r>
      <w:bookmarkStart w:id="38" w:name="_Hlk111571991"/>
      <w:r>
        <w:rPr>
          <w:rFonts w:ascii="Times New Roman" w:hAnsi="Times New Roman" w:eastAsia="宋体" w:cs="Times New Roman"/>
          <w:color w:val="auto"/>
          <w:sz w:val="24"/>
          <w:highlight w:val="none"/>
        </w:rPr>
        <w:t>——</w:t>
      </w:r>
      <w:bookmarkEnd w:id="38"/>
      <w:r>
        <w:rPr>
          <w:rFonts w:hint="eastAsia" w:ascii="Times New Roman" w:hAnsi="Times New Roman" w:eastAsia="宋体" w:cs="Times New Roman"/>
          <w:color w:val="auto"/>
          <w:sz w:val="24"/>
          <w:highlight w:val="none"/>
        </w:rPr>
        <w:t>矩形钢管</w:t>
      </w:r>
      <w:r>
        <w:rPr>
          <w:rFonts w:ascii="Times New Roman" w:hAnsi="Times New Roman" w:eastAsia="宋体" w:cs="Times New Roman"/>
          <w:color w:val="auto"/>
          <w:sz w:val="24"/>
          <w:highlight w:val="none"/>
        </w:rPr>
        <w:t>在桁架平面外的弹性支撑刚度</w:t>
      </w:r>
      <w:r>
        <w:rPr>
          <w:rFonts w:hint="eastAsia"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iCs/>
          <w:color w:val="auto"/>
          <w:sz w:val="24"/>
          <w:highlight w:val="none"/>
        </w:rPr>
        <w:t>σ</w:t>
      </w:r>
      <w:bookmarkStart w:id="39" w:name="_Hlk111572575"/>
      <w:bookmarkStart w:id="40" w:name="_Hlk111641832"/>
      <w:r>
        <w:rPr>
          <w:rFonts w:ascii="Times New Roman" w:hAnsi="Times New Roman" w:eastAsia="宋体" w:cs="Times New Roman"/>
          <w:color w:val="auto"/>
          <w:sz w:val="24"/>
          <w:highlight w:val="none"/>
        </w:rPr>
        <w:t>——</w:t>
      </w:r>
      <w:bookmarkEnd w:id="39"/>
      <w:r>
        <w:rPr>
          <w:rFonts w:hint="eastAsia" w:ascii="Times New Roman" w:hAnsi="Times New Roman" w:eastAsia="宋体" w:cs="Times New Roman"/>
          <w:color w:val="auto"/>
          <w:sz w:val="24"/>
          <w:highlight w:val="none"/>
        </w:rPr>
        <w:t>一根腹杆上节点由单位水平力作用而引起的最大位移；</w:t>
      </w:r>
      <w:bookmarkEnd w:id="40"/>
    </w:p>
    <w:p>
      <w:pPr>
        <w:spacing w:after="0"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i/>
          <w:iCs/>
          <w:color w:val="auto"/>
          <w:sz w:val="24"/>
          <w:highlight w:val="none"/>
        </w:rPr>
        <w:t>l</w:t>
      </w:r>
      <w:r>
        <w:rPr>
          <w:rFonts w:hint="eastAsia" w:ascii="Times New Roman" w:hAnsi="Times New Roman" w:eastAsia="宋体" w:cs="Times New Roman"/>
          <w:i/>
          <w:iCs/>
          <w:color w:val="auto"/>
          <w:sz w:val="24"/>
          <w:highlight w:val="none"/>
          <w:vertAlign w:val="subscript"/>
        </w:rPr>
        <w:t>a</w:t>
      </w:r>
      <w:bookmarkStart w:id="41" w:name="_Hlk111573373"/>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腹杆长度；</w:t>
      </w:r>
      <w:bookmarkEnd w:id="41"/>
    </w:p>
    <w:p>
      <w:pPr>
        <w:spacing w:after="0" w:line="360" w:lineRule="auto"/>
        <w:ind w:firstLine="480" w:firstLineChars="200"/>
        <w:rPr>
          <w:rFonts w:ascii="Times New Roman" w:hAnsi="Times New Roman" w:eastAsia="宋体" w:cs="Times New Roman"/>
          <w:i/>
          <w:iCs/>
          <w:color w:val="auto"/>
          <w:sz w:val="24"/>
          <w:highlight w:val="none"/>
        </w:rPr>
      </w:pPr>
      <w:r>
        <w:rPr>
          <w:rFonts w:ascii="Times New Roman" w:hAnsi="Times New Roman" w:eastAsia="宋体" w:cs="Times New Roman"/>
          <w:i/>
          <w:iCs/>
          <w:color w:val="auto"/>
          <w:sz w:val="24"/>
          <w:highlight w:val="none"/>
        </w:rPr>
        <w:t>b</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矩形钢管间的距离；</w:t>
      </w:r>
    </w:p>
    <w:p>
      <w:pPr>
        <w:spacing w:after="0" w:line="360" w:lineRule="auto"/>
        <w:ind w:firstLine="480" w:firstLineChars="200"/>
        <w:rPr>
          <w:rFonts w:ascii="Times New Roman" w:hAnsi="Times New Roman" w:eastAsia="宋体" w:cs="Times New Roman"/>
          <w:i/>
          <w:iCs/>
          <w:color w:val="auto"/>
          <w:sz w:val="24"/>
          <w:highlight w:val="none"/>
        </w:rPr>
      </w:pPr>
      <w:bookmarkStart w:id="42" w:name="_Hlk111574009"/>
      <w:r>
        <w:rPr>
          <w:rFonts w:ascii="Times New Roman" w:hAnsi="Times New Roman" w:eastAsia="宋体" w:cs="Times New Roman"/>
          <w:i/>
          <w:iCs/>
          <w:color w:val="auto"/>
          <w:sz w:val="24"/>
          <w:highlight w:val="none"/>
        </w:rPr>
        <w:t>E</w:t>
      </w:r>
      <w:r>
        <w:rPr>
          <w:rFonts w:hint="eastAsia" w:ascii="Times New Roman" w:hAnsi="Times New Roman" w:eastAsia="宋体" w:cs="Times New Roman"/>
          <w:color w:val="auto"/>
          <w:sz w:val="24"/>
          <w:highlight w:val="none"/>
          <w:vertAlign w:val="subscript"/>
        </w:rPr>
        <w:t>f</w:t>
      </w:r>
      <w:bookmarkStart w:id="43" w:name="_Hlk111573579"/>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腹杆的弹性模量；</w:t>
      </w:r>
      <w:bookmarkEnd w:id="43"/>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iCs/>
          <w:color w:val="auto"/>
          <w:sz w:val="24"/>
          <w:highlight w:val="none"/>
        </w:rPr>
        <w:t>I</w:t>
      </w:r>
      <w:r>
        <w:rPr>
          <w:rFonts w:hint="eastAsia" w:ascii="Times New Roman" w:hAnsi="Times New Roman" w:eastAsia="宋体" w:cs="Times New Roman"/>
          <w:color w:val="auto"/>
          <w:sz w:val="24"/>
          <w:highlight w:val="none"/>
          <w:vertAlign w:val="subscript"/>
        </w:rPr>
        <w:t>f</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腹杆平面外的惯性矩；</w:t>
      </w:r>
    </w:p>
    <w:bookmarkEnd w:id="42"/>
    <w:p>
      <w:pPr>
        <w:spacing w:after="0" w:line="360" w:lineRule="auto"/>
        <w:ind w:firstLine="480" w:firstLineChars="200"/>
        <w:rPr>
          <w:rFonts w:ascii="Times New Roman" w:hAnsi="Times New Roman" w:eastAsia="宋体" w:cs="Times New Roman"/>
          <w:i/>
          <w:iCs/>
          <w:color w:val="auto"/>
          <w:sz w:val="24"/>
          <w:highlight w:val="none"/>
        </w:rPr>
      </w:pPr>
      <w:r>
        <w:rPr>
          <w:rFonts w:ascii="Times New Roman" w:hAnsi="Times New Roman" w:eastAsia="宋体" w:cs="Times New Roman"/>
          <w:i/>
          <w:iCs/>
          <w:color w:val="auto"/>
          <w:sz w:val="24"/>
          <w:highlight w:val="none"/>
        </w:rPr>
        <w:t>E</w:t>
      </w:r>
      <w:r>
        <w:rPr>
          <w:rFonts w:hint="eastAsia" w:ascii="Times New Roman" w:hAnsi="Times New Roman" w:eastAsia="宋体" w:cs="Times New Roman"/>
          <w:color w:val="auto"/>
          <w:sz w:val="24"/>
          <w:highlight w:val="none"/>
          <w:vertAlign w:val="subscript"/>
        </w:rPr>
        <w:t>c</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腹杆的弹性模量；</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iCs/>
          <w:color w:val="auto"/>
          <w:sz w:val="24"/>
          <w:highlight w:val="none"/>
        </w:rPr>
        <w:t>I</w:t>
      </w:r>
      <w:r>
        <w:rPr>
          <w:rFonts w:hint="eastAsia" w:ascii="Times New Roman" w:hAnsi="Times New Roman" w:eastAsia="宋体" w:cs="Times New Roman"/>
          <w:color w:val="auto"/>
          <w:sz w:val="24"/>
          <w:highlight w:val="none"/>
          <w:vertAlign w:val="subscript"/>
        </w:rPr>
        <w:t>c</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混凝土腹杆间距间平面外截面的惯性矩；</w:t>
      </w:r>
    </w:p>
    <w:p>
      <w:pPr>
        <w:spacing w:after="0" w:line="360" w:lineRule="auto"/>
        <w:ind w:firstLine="480" w:firstLineChars="200"/>
        <w:rPr>
          <w:rFonts w:ascii="Times New Roman" w:hAnsi="Times New Roman" w:eastAsia="宋体" w:cs="Times New Roman"/>
          <w:i/>
          <w:iCs/>
          <w:color w:val="auto"/>
          <w:sz w:val="24"/>
          <w:highlight w:val="none"/>
        </w:rPr>
      </w:pPr>
      <w:r>
        <w:rPr>
          <w:rFonts w:ascii="Times New Roman" w:hAnsi="Times New Roman" w:eastAsia="宋体" w:cs="Times New Roman"/>
          <w:i/>
          <w:iCs/>
          <w:color w:val="auto"/>
          <w:sz w:val="24"/>
          <w:highlight w:val="none"/>
        </w:rPr>
        <w:t>E</w:t>
      </w:r>
      <w:r>
        <w:rPr>
          <w:rFonts w:hint="eastAsia" w:ascii="Times New Roman" w:hAnsi="Times New Roman" w:eastAsia="宋体" w:cs="Times New Roman"/>
          <w:color w:val="auto"/>
          <w:sz w:val="24"/>
          <w:highlight w:val="none"/>
          <w:vertAlign w:val="subscript"/>
        </w:rPr>
        <w:t>s</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矩形钢管的弹性模量；</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iCs/>
          <w:color w:val="auto"/>
          <w:sz w:val="24"/>
          <w:highlight w:val="none"/>
        </w:rPr>
        <w:t>I</w:t>
      </w:r>
      <w:r>
        <w:rPr>
          <w:rFonts w:hint="eastAsia" w:ascii="Times New Roman" w:hAnsi="Times New Roman" w:eastAsia="宋体" w:cs="Times New Roman"/>
          <w:color w:val="auto"/>
          <w:sz w:val="24"/>
          <w:highlight w:val="none"/>
          <w:vertAlign w:val="subscript"/>
        </w:rPr>
        <w:t>y</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矩形钢管平面外的惯性矩；</w:t>
      </w:r>
    </w:p>
    <w:p>
      <w:pPr>
        <w:spacing w:after="0"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i/>
          <w:iCs/>
          <w:color w:val="auto"/>
          <w:sz w:val="24"/>
          <w:highlight w:val="none"/>
        </w:rPr>
        <w:t>c</w:t>
      </w:r>
      <w:bookmarkStart w:id="44" w:name="_Hlk111572744"/>
      <w:r>
        <w:rPr>
          <w:rFonts w:ascii="Times New Roman" w:hAnsi="Times New Roman" w:eastAsia="宋体" w:cs="Times New Roman"/>
          <w:color w:val="auto"/>
          <w:sz w:val="24"/>
          <w:highlight w:val="none"/>
        </w:rPr>
        <w:t>——</w:t>
      </w:r>
      <w:bookmarkEnd w:id="44"/>
      <w:r>
        <w:rPr>
          <w:rFonts w:hint="eastAsia" w:ascii="Times New Roman" w:hAnsi="Times New Roman" w:eastAsia="宋体" w:cs="Times New Roman"/>
          <w:color w:val="auto"/>
          <w:sz w:val="24"/>
          <w:highlight w:val="none"/>
        </w:rPr>
        <w:t>分布弹簧系数；</w:t>
      </w:r>
    </w:p>
    <w:p>
      <w:pPr>
        <w:spacing w:after="0"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i/>
          <w:iCs/>
          <w:color w:val="auto"/>
          <w:sz w:val="24"/>
          <w:highlight w:val="none"/>
        </w:rPr>
        <w:t>p</w:t>
      </w:r>
      <w:r>
        <w:rPr>
          <w:rFonts w:hint="eastAsia" w:ascii="Times New Roman" w:hAnsi="Times New Roman" w:eastAsia="宋体" w:cs="Times New Roman"/>
          <w:color w:val="auto"/>
          <w:sz w:val="24"/>
          <w:highlight w:val="none"/>
          <w:vertAlign w:val="subscript"/>
        </w:rPr>
        <w:t>cr</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矩形钢管临界屈曲荷载；</w:t>
      </w:r>
    </w:p>
    <w:p>
      <w:pPr>
        <w:spacing w:after="0" w:line="360" w:lineRule="auto"/>
        <w:ind w:firstLine="480" w:firstLineChars="200"/>
        <w:rPr>
          <w:rFonts w:ascii="Times New Roman" w:hAnsi="Times New Roman" w:eastAsia="宋体" w:cs="Times New Roman"/>
          <w:i/>
          <w:iCs/>
          <w:color w:val="auto"/>
          <w:sz w:val="24"/>
          <w:highlight w:val="none"/>
        </w:rPr>
      </w:pPr>
      <w:r>
        <w:rPr>
          <w:rFonts w:ascii="Times New Roman" w:hAnsi="Times New Roman" w:eastAsia="宋体" w:cs="Times New Roman"/>
          <w:i/>
          <w:iCs/>
          <w:color w:val="auto"/>
          <w:sz w:val="24"/>
          <w:highlight w:val="none"/>
        </w:rPr>
        <w:t>μ</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弹性支承上矩形钢管计算长度系数。</w:t>
      </w:r>
    </w:p>
    <w:p>
      <w:pPr>
        <w:spacing w:after="0" w:line="360" w:lineRule="auto"/>
        <w:ind w:firstLine="420" w:firstLineChars="20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注：公式（6.2.8-2）</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（6.2.8-3）中，</w:t>
      </w:r>
      <w:r>
        <w:rPr>
          <w:rFonts w:hint="eastAsia" w:ascii="Times New Roman" w:hAnsi="Times New Roman" w:eastAsia="宋体" w:cs="Times New Roman"/>
          <w:color w:val="auto"/>
          <w:sz w:val="21"/>
          <w:szCs w:val="21"/>
          <w:highlight w:val="none"/>
        </w:rPr>
        <w:t>各项计算值为压应力时取正号，拉应力时取负号。</w:t>
      </w:r>
    </w:p>
    <w:p>
      <w:pPr>
        <w:spacing w:after="0" w:line="360" w:lineRule="auto"/>
        <w:ind w:right="480" w:firstLine="480" w:firstLineChars="200"/>
        <w:jc w:val="right"/>
        <w:rPr>
          <w:rFonts w:ascii="Times New Roman" w:hAnsi="Times New Roman" w:eastAsia="宋体" w:cs="Times New Roman"/>
          <w:color w:val="auto"/>
          <w:sz w:val="24"/>
          <w:highlight w:val="none"/>
        </w:rPr>
      </w:pPr>
    </w:p>
    <w:p>
      <w:pPr>
        <w:widowControl w:val="0"/>
        <w:tabs>
          <w:tab w:val="left" w:pos="777"/>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6.2.10</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腹杆钢筋应符合下列规定：</w:t>
      </w:r>
    </w:p>
    <w:p>
      <w:pPr>
        <w:wordWrap w:val="0"/>
        <w:spacing w:after="0" w:line="360" w:lineRule="auto"/>
        <w:ind w:right="508" w:rightChars="231" w:firstLine="480" w:firstLineChars="200"/>
        <w:jc w:val="right"/>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sf</w:t>
      </w:r>
      <w:r>
        <w:rPr>
          <w:rFonts w:ascii="Times New Roman" w:hAnsi="Times New Roman" w:eastAsia="宋体" w:cs="Times New Roman"/>
          <w:color w:val="auto"/>
          <w:sz w:val="24"/>
          <w:highlight w:val="none"/>
        </w:rPr>
        <w:t>=</w:t>
      </w:r>
      <w:r>
        <w:rPr>
          <w:rFonts w:ascii="Times New Roman" w:hAnsi="Times New Roman" w:eastAsia="宋体" w:cs="Times New Roman"/>
          <w:i/>
          <w:color w:val="auto"/>
          <w:sz w:val="24"/>
          <w:highlight w:val="none"/>
        </w:rPr>
        <w:t>V</w:t>
      </w:r>
      <w:r>
        <w:rPr>
          <w:rFonts w:ascii="Times New Roman" w:hAnsi="Times New Roman" w:eastAsia="宋体" w:cs="Times New Roman"/>
          <w:color w:val="auto"/>
          <w:sz w:val="24"/>
          <w:highlight w:val="none"/>
          <w:vertAlign w:val="subscript"/>
        </w:rPr>
        <w:t>k</w:t>
      </w:r>
      <w:r>
        <w:rPr>
          <w:rFonts w:ascii="Times New Roman" w:hAnsi="Times New Roman" w:eastAsia="宋体" w:cs="Times New Roman"/>
          <w:color w:val="auto"/>
          <w:sz w:val="24"/>
          <w:highlight w:val="none"/>
        </w:rPr>
        <w:t>/(2</w:t>
      </w:r>
      <w:r>
        <w:rPr>
          <w:rFonts w:ascii="Times New Roman" w:hAnsi="Times New Roman" w:eastAsia="宋体" w:cs="Times New Roman"/>
          <w:i/>
          <w:color w:val="auto"/>
          <w:sz w:val="24"/>
          <w:highlight w:val="none"/>
        </w:rPr>
        <w:t>φ</w:t>
      </w:r>
      <w:r>
        <w:rPr>
          <w:rFonts w:ascii="Times New Roman" w:hAnsi="Times New Roman" w:eastAsia="宋体" w:cs="Times New Roman"/>
          <w:color w:val="auto"/>
          <w:sz w:val="24"/>
          <w:highlight w:val="none"/>
          <w:vertAlign w:val="subscript"/>
        </w:rPr>
        <w:t>f</w:t>
      </w:r>
      <w:r>
        <w:rPr>
          <w:rFonts w:ascii="Times New Roman" w:hAnsi="Times New Roman" w:eastAsia="宋体" w:cs="Times New Roman"/>
          <w:i/>
          <w:color w:val="auto"/>
          <w:sz w:val="24"/>
          <w:highlight w:val="none"/>
        </w:rPr>
        <w:t>A</w:t>
      </w:r>
      <w:r>
        <w:rPr>
          <w:rFonts w:ascii="Times New Roman" w:hAnsi="Times New Roman" w:eastAsia="宋体" w:cs="Times New Roman"/>
          <w:color w:val="auto"/>
          <w:sz w:val="24"/>
          <w:highlight w:val="none"/>
          <w:vertAlign w:val="subscript"/>
        </w:rPr>
        <w:t>f</w:t>
      </w:r>
      <w:r>
        <w:rPr>
          <w:rFonts w:ascii="Times New Roman" w:hAnsi="Times New Roman" w:eastAsia="宋体" w:cs="Times New Roman"/>
          <w:color w:val="auto"/>
          <w:sz w:val="24"/>
          <w:highlight w:val="none"/>
        </w:rPr>
        <w:t>sin</w:t>
      </w: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rPr>
        <w:t>sin</w:t>
      </w:r>
      <w:r>
        <w:rPr>
          <w:rFonts w:ascii="Times New Roman" w:hAnsi="Times New Roman" w:eastAsia="宋体" w:cs="Times New Roman"/>
          <w:i/>
          <w:color w:val="auto"/>
          <w:sz w:val="24"/>
          <w:highlight w:val="none"/>
        </w:rPr>
        <w:t>β</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i/>
          <w:color w:val="auto"/>
          <w:sz w:val="24"/>
          <w:highlight w:val="none"/>
        </w:rPr>
        <w:t>f</w:t>
      </w:r>
      <w:r>
        <w:rPr>
          <w:rFonts w:ascii="Times New Roman" w:hAnsi="Times New Roman" w:eastAsia="宋体" w:cs="Times New Roman"/>
          <w:color w:val="auto"/>
          <w:sz w:val="24"/>
          <w:highlight w:val="none"/>
          <w:vertAlign w:val="subscript"/>
        </w:rPr>
        <w:t>ykf</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2</w:t>
      </w:r>
      <w:r>
        <w:rPr>
          <w:rFonts w:ascii="Times New Roman" w:hAnsi="Times New Roman" w:eastAsia="宋体" w:cs="Times New Roman"/>
          <w:color w:val="auto"/>
          <w:sz w:val="24"/>
          <w:highlight w:val="none"/>
        </w:rPr>
        <w:t xml:space="preserve">                   （6.2.10）</w:t>
      </w:r>
    </w:p>
    <w:p>
      <w:pPr>
        <w:spacing w:after="0" w:line="360" w:lineRule="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式中：</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σ</w:t>
      </w:r>
      <w:r>
        <w:rPr>
          <w:rFonts w:ascii="Times New Roman" w:hAnsi="Times New Roman" w:eastAsia="宋体" w:cs="Times New Roman"/>
          <w:color w:val="auto"/>
          <w:sz w:val="24"/>
          <w:highlight w:val="none"/>
          <w:vertAlign w:val="subscript"/>
        </w:rPr>
        <w:t>sf</w:t>
      </w:r>
      <w:r>
        <w:rPr>
          <w:rFonts w:ascii="Times New Roman" w:hAnsi="Times New Roman" w:eastAsia="宋体" w:cs="Times New Roman"/>
          <w:color w:val="auto"/>
          <w:sz w:val="24"/>
          <w:highlight w:val="none"/>
        </w:rPr>
        <w:t>——各施工</w:t>
      </w:r>
      <w:r>
        <w:rPr>
          <w:rFonts w:hint="eastAsia" w:ascii="Times New Roman" w:hAnsi="Times New Roman" w:eastAsia="宋体" w:cs="Times New Roman"/>
          <w:color w:val="auto"/>
          <w:sz w:val="24"/>
          <w:highlight w:val="none"/>
        </w:rPr>
        <w:t>阶段</w:t>
      </w:r>
      <w:r>
        <w:rPr>
          <w:rFonts w:ascii="Times New Roman" w:hAnsi="Times New Roman" w:eastAsia="宋体" w:cs="Times New Roman"/>
          <w:color w:val="auto"/>
          <w:sz w:val="24"/>
          <w:highlight w:val="none"/>
        </w:rPr>
        <w:t>在荷载标准组合作用下的腹杆钢筋压应力；</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V</w:t>
      </w:r>
      <w:r>
        <w:rPr>
          <w:rFonts w:ascii="Times New Roman" w:hAnsi="Times New Roman" w:eastAsia="宋体" w:cs="Times New Roman"/>
          <w:color w:val="auto"/>
          <w:sz w:val="24"/>
          <w:highlight w:val="none"/>
          <w:vertAlign w:val="subscript"/>
        </w:rPr>
        <w:t>k</w:t>
      </w:r>
      <w:r>
        <w:rPr>
          <w:rFonts w:ascii="Times New Roman" w:hAnsi="Times New Roman" w:eastAsia="宋体" w:cs="Times New Roman"/>
          <w:color w:val="auto"/>
          <w:sz w:val="24"/>
          <w:highlight w:val="none"/>
        </w:rPr>
        <w:t>——各施工</w:t>
      </w:r>
      <w:r>
        <w:rPr>
          <w:rFonts w:hint="eastAsia" w:ascii="Times New Roman" w:hAnsi="Times New Roman" w:eastAsia="宋体" w:cs="Times New Roman"/>
          <w:color w:val="auto"/>
          <w:sz w:val="24"/>
          <w:highlight w:val="none"/>
        </w:rPr>
        <w:t>阶段</w:t>
      </w:r>
      <w:r>
        <w:rPr>
          <w:rFonts w:ascii="Times New Roman" w:hAnsi="Times New Roman" w:eastAsia="宋体" w:cs="Times New Roman"/>
          <w:color w:val="auto"/>
          <w:sz w:val="24"/>
          <w:highlight w:val="none"/>
        </w:rPr>
        <w:t>在荷载标准组合作用下组合截面剪力标准值；</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φ</w:t>
      </w:r>
      <w:r>
        <w:rPr>
          <w:rFonts w:ascii="Times New Roman" w:hAnsi="Times New Roman" w:eastAsia="宋体" w:cs="Times New Roman"/>
          <w:color w:val="auto"/>
          <w:sz w:val="24"/>
          <w:highlight w:val="none"/>
          <w:vertAlign w:val="subscript"/>
        </w:rPr>
        <w:t>f</w:t>
      </w:r>
      <w:r>
        <w:rPr>
          <w:rFonts w:ascii="Times New Roman" w:hAnsi="Times New Roman" w:eastAsia="宋体" w:cs="Times New Roman"/>
          <w:color w:val="auto"/>
          <w:sz w:val="24"/>
          <w:highlight w:val="none"/>
        </w:rPr>
        <w:t>——腹杆钢筋的轴心受压稳定系数，按现行国家标准《钢结构设计标准》GB 50017确定；计算长度取</w:t>
      </w:r>
      <w:r>
        <w:rPr>
          <w:rFonts w:ascii="Times New Roman" w:hAnsi="Times New Roman" w:eastAsia="宋体" w:cs="Times New Roman"/>
          <w:color w:val="auto"/>
          <w:sz w:val="24"/>
          <w:highlight w:val="none"/>
        </w:rPr>
        <w:t>2</w:t>
      </w:r>
      <w:r>
        <w:rPr>
          <w:rFonts w:ascii="Times New Roman" w:hAnsi="Times New Roman" w:eastAsia="宋体" w:cs="Times New Roman"/>
          <w:color w:val="auto"/>
          <w:sz w:val="24"/>
          <w:highlight w:val="none"/>
        </w:rPr>
        <w:t>倍腹杆钢筋自由段长度；</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α</w:t>
      </w:r>
      <w:r>
        <w:rPr>
          <w:rFonts w:ascii="Times New Roman" w:hAnsi="Times New Roman" w:eastAsia="宋体" w:cs="Times New Roman"/>
          <w:color w:val="auto"/>
          <w:sz w:val="24"/>
          <w:highlight w:val="none"/>
        </w:rPr>
        <w:t>——</w:t>
      </w:r>
      <w:r>
        <w:rPr>
          <w:rFonts w:ascii="Times New Roman" w:hAnsi="Times New Roman" w:eastAsia="宋体" w:cs="Times New Roman"/>
          <w:color w:val="auto"/>
          <w:sz w:val="24"/>
          <w:szCs w:val="24"/>
          <w:highlight w:val="none"/>
        </w:rPr>
        <w:t>腹杆钢筋垂直桁架方向的倾角</w:t>
      </w:r>
      <w:r>
        <w:rPr>
          <w:rFonts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β</w:t>
      </w:r>
      <w:r>
        <w:rPr>
          <w:rFonts w:ascii="Times New Roman" w:hAnsi="Times New Roman" w:eastAsia="宋体" w:cs="Times New Roman"/>
          <w:color w:val="auto"/>
          <w:sz w:val="24"/>
          <w:highlight w:val="none"/>
        </w:rPr>
        <w:t>——</w:t>
      </w:r>
      <w:r>
        <w:rPr>
          <w:rFonts w:ascii="Times New Roman" w:hAnsi="Times New Roman" w:eastAsia="宋体" w:cs="Times New Roman"/>
          <w:color w:val="auto"/>
          <w:sz w:val="24"/>
          <w:szCs w:val="24"/>
          <w:highlight w:val="none"/>
        </w:rPr>
        <w:t>腹杆钢筋平行桁架方向的倾角</w:t>
      </w:r>
      <w:r>
        <w:rPr>
          <w:rFonts w:ascii="Times New Roman" w:hAnsi="Times New Roman" w:eastAsia="宋体" w:cs="Times New Roman"/>
          <w:color w:val="auto"/>
          <w:sz w:val="24"/>
          <w:highlight w:val="none"/>
        </w:rPr>
        <w:t>；</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A</w:t>
      </w:r>
      <w:r>
        <w:rPr>
          <w:rFonts w:ascii="Times New Roman" w:hAnsi="Times New Roman" w:eastAsia="宋体" w:cs="Times New Roman"/>
          <w:color w:val="auto"/>
          <w:sz w:val="24"/>
          <w:highlight w:val="none"/>
          <w:vertAlign w:val="subscript"/>
        </w:rPr>
        <w:t>f</w:t>
      </w:r>
      <w:r>
        <w:rPr>
          <w:rFonts w:ascii="Times New Roman" w:hAnsi="Times New Roman" w:eastAsia="宋体" w:cs="Times New Roman"/>
          <w:color w:val="auto"/>
          <w:sz w:val="24"/>
          <w:highlight w:val="none"/>
        </w:rPr>
        <w:t>——单肢腹杆钢筋的截面面积；</w:t>
      </w:r>
    </w:p>
    <w:p>
      <w:pPr>
        <w:spacing w:after="0"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i/>
          <w:color w:val="auto"/>
          <w:sz w:val="24"/>
          <w:highlight w:val="none"/>
        </w:rPr>
        <w:t>f</w:t>
      </w:r>
      <w:r>
        <w:rPr>
          <w:rFonts w:ascii="Times New Roman" w:hAnsi="Times New Roman" w:eastAsia="宋体" w:cs="Times New Roman"/>
          <w:color w:val="auto"/>
          <w:sz w:val="24"/>
          <w:highlight w:val="none"/>
          <w:vertAlign w:val="subscript"/>
        </w:rPr>
        <w:t>ykf</w:t>
      </w:r>
      <w:r>
        <w:rPr>
          <w:rFonts w:ascii="Times New Roman" w:hAnsi="Times New Roman" w:eastAsia="宋体" w:cs="Times New Roman"/>
          <w:color w:val="auto"/>
          <w:sz w:val="24"/>
          <w:highlight w:val="none"/>
        </w:rPr>
        <w:t>——腹杆钢筋的屈服强度标准值。</w:t>
      </w:r>
    </w:p>
    <w:p>
      <w:pPr>
        <w:widowControl w:val="0"/>
        <w:tabs>
          <w:tab w:val="left" w:pos="777"/>
        </w:tabs>
        <w:spacing w:after="0" w:line="360" w:lineRule="auto"/>
        <w:jc w:val="both"/>
        <w:outlineLvl w:val="2"/>
        <w:rPr>
          <w:rFonts w:ascii="Times New Roman" w:hAnsi="Times New Roman" w:eastAsia="宋体" w:cs="Times New Roman"/>
          <w:color w:val="auto"/>
          <w:sz w:val="24"/>
          <w:highlight w:val="none"/>
        </w:rPr>
      </w:pPr>
      <w:r>
        <w:rPr>
          <w:rFonts w:ascii="Times New Roman" w:hAnsi="Times New Roman" w:eastAsia="宋体" w:cs="Times New Roman"/>
          <w:b/>
          <w:color w:val="auto"/>
          <w:sz w:val="24"/>
          <w:szCs w:val="24"/>
          <w:highlight w:val="none"/>
        </w:rPr>
        <w:t>6.2.11</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color w:val="auto"/>
          <w:sz w:val="24"/>
          <w:szCs w:val="24"/>
          <w:highlight w:val="none"/>
        </w:rPr>
        <w:t xml:space="preserve"> 施工阶段</w:t>
      </w:r>
      <w:r>
        <w:rPr>
          <w:rFonts w:hint="eastAsia" w:ascii="Times New Roman" w:hAnsi="Times New Roman" w:eastAsia="宋体" w:cs="Times New Roman"/>
          <w:color w:val="auto"/>
          <w:sz w:val="24"/>
          <w:szCs w:val="24"/>
          <w:highlight w:val="none"/>
        </w:rPr>
        <w:t>支架预应力混凝土</w:t>
      </w:r>
      <w:r>
        <w:rPr>
          <w:rFonts w:ascii="Times New Roman" w:hAnsi="Times New Roman" w:eastAsia="宋体" w:cs="Times New Roman"/>
          <w:color w:val="auto"/>
          <w:sz w:val="24"/>
          <w:szCs w:val="24"/>
          <w:highlight w:val="none"/>
        </w:rPr>
        <w:t>预制底板挠度验算，应采用荷载效应标准组合，并应符合现行国家标准《混凝土结构设计规范》GB 50010的规定，截面刚度宜按等</w:t>
      </w:r>
      <w:r>
        <w:rPr>
          <w:rFonts w:ascii="Times New Roman" w:hAnsi="Times New Roman" w:eastAsia="宋体" w:cs="Times New Roman"/>
          <w:color w:val="auto"/>
          <w:sz w:val="24"/>
          <w:highlight w:val="none"/>
        </w:rPr>
        <w:t>效组合截面计算。</w:t>
      </w:r>
    </w:p>
    <w:p>
      <w:pPr>
        <w:pStyle w:val="25"/>
        <w:spacing w:beforeLines="0" w:after="312" w:line="360" w:lineRule="auto"/>
        <w:rPr>
          <w:rFonts w:hAnsi="宋体"/>
          <w:color w:val="auto"/>
          <w:highlight w:val="none"/>
        </w:rPr>
      </w:pPr>
      <w:bookmarkStart w:id="45" w:name="_Toc111709518"/>
      <w:r>
        <w:rPr>
          <w:rFonts w:hAnsi="宋体"/>
          <w:color w:val="auto"/>
          <w:highlight w:val="none"/>
        </w:rPr>
        <w:t>6.3  持久设计状况计算</w:t>
      </w:r>
      <w:bookmarkEnd w:id="45"/>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6.</w:t>
      </w:r>
      <w:r>
        <w:rPr>
          <w:rFonts w:hint="eastAsia" w:ascii="Times New Roman" w:hAnsi="Times New Roman" w:eastAsia="宋体" w:cs="Times New Roman"/>
          <w:b/>
          <w:bCs/>
          <w:color w:val="auto"/>
          <w:sz w:val="24"/>
          <w:szCs w:val="24"/>
          <w:highlight w:val="none"/>
        </w:rPr>
        <w:t>3.1</w:t>
      </w:r>
      <w:r>
        <w:rPr>
          <w:rFonts w:ascii="Times New Roman" w:hAnsi="Times New Roman" w:eastAsia="宋体" w:cs="Times New Roman"/>
          <w:bCs/>
          <w:color w:val="auto"/>
          <w:sz w:val="24"/>
          <w:szCs w:val="24"/>
          <w:highlight w:val="none"/>
        </w:rPr>
        <w:t xml:space="preserve"> </w:t>
      </w:r>
      <w:r>
        <w:rPr>
          <w:rFonts w:hint="eastAsia" w:ascii="Times New Roman" w:hAnsi="Times New Roman" w:eastAsia="宋体" w:cs="Times New Roman"/>
          <w:bCs/>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施工阶段</w:t>
      </w:r>
      <w:r>
        <w:rPr>
          <w:rFonts w:hint="eastAsia" w:ascii="Times New Roman" w:hAnsi="宋体" w:eastAsia="宋体" w:cs="Times New Roman"/>
          <w:color w:val="auto"/>
          <w:sz w:val="24"/>
          <w:szCs w:val="24"/>
          <w:highlight w:val="none"/>
        </w:rPr>
        <w:t>跨内</w:t>
      </w:r>
      <w:r>
        <w:rPr>
          <w:rFonts w:ascii="Times New Roman" w:hAnsi="宋体" w:eastAsia="宋体" w:cs="Times New Roman"/>
          <w:color w:val="auto"/>
          <w:sz w:val="24"/>
          <w:szCs w:val="24"/>
          <w:highlight w:val="none"/>
        </w:rPr>
        <w:t>无支撑的</w:t>
      </w:r>
      <w:r>
        <w:rPr>
          <w:rFonts w:hint="eastAsia" w:ascii="Times New Roman" w:hAnsi="宋体" w:eastAsia="宋体" w:cs="Times New Roman"/>
          <w:color w:val="auto"/>
          <w:sz w:val="24"/>
          <w:szCs w:val="24"/>
          <w:highlight w:val="none"/>
        </w:rPr>
        <w:t>支架预应力混凝土叠合板</w:t>
      </w:r>
      <w:r>
        <w:rPr>
          <w:rFonts w:ascii="Times New Roman" w:hAnsi="宋体" w:eastAsia="宋体" w:cs="Times New Roman"/>
          <w:color w:val="auto"/>
          <w:sz w:val="24"/>
          <w:szCs w:val="24"/>
          <w:highlight w:val="none"/>
        </w:rPr>
        <w:t>，应考虑二次叠合</w:t>
      </w:r>
      <w:r>
        <w:rPr>
          <w:rFonts w:hint="eastAsia" w:ascii="Times New Roman" w:hAnsi="宋体" w:eastAsia="宋体" w:cs="Times New Roman"/>
          <w:color w:val="auto"/>
          <w:sz w:val="24"/>
          <w:szCs w:val="24"/>
          <w:highlight w:val="none"/>
        </w:rPr>
        <w:t>受力</w:t>
      </w:r>
      <w:r>
        <w:rPr>
          <w:rFonts w:ascii="Times New Roman" w:hAnsi="宋体" w:eastAsia="宋体" w:cs="Times New Roman"/>
          <w:color w:val="auto"/>
          <w:sz w:val="24"/>
          <w:szCs w:val="24"/>
          <w:highlight w:val="none"/>
        </w:rPr>
        <w:t>的影响，按照现行国家标准《混凝土结构设计规范》</w:t>
      </w:r>
      <w:r>
        <w:rPr>
          <w:rFonts w:ascii="Times New Roman" w:hAnsi="Times New Roman" w:eastAsia="宋体" w:cs="Times New Roman"/>
          <w:color w:val="auto"/>
          <w:sz w:val="24"/>
          <w:szCs w:val="24"/>
          <w:highlight w:val="none"/>
        </w:rPr>
        <w:t>GB 50010</w:t>
      </w:r>
      <w:r>
        <w:rPr>
          <w:rFonts w:ascii="Times New Roman" w:hAnsi="宋体" w:eastAsia="宋体" w:cs="Times New Roman"/>
          <w:color w:val="auto"/>
          <w:sz w:val="24"/>
          <w:szCs w:val="24"/>
          <w:highlight w:val="none"/>
        </w:rPr>
        <w:t>的有关规定进行计算。</w:t>
      </w:r>
    </w:p>
    <w:p>
      <w:pPr>
        <w:spacing w:after="0" w:line="360" w:lineRule="auto"/>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6.3.</w:t>
      </w: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Cs/>
          <w:color w:val="auto"/>
          <w:sz w:val="24"/>
          <w:szCs w:val="24"/>
          <w:highlight w:val="none"/>
        </w:rPr>
        <w:t xml:space="preserve">  支架预应力混凝土叠合板</w:t>
      </w:r>
      <w:r>
        <w:rPr>
          <w:rFonts w:ascii="Times New Roman" w:hAnsi="Times New Roman" w:eastAsia="宋体" w:cs="Times New Roman"/>
          <w:color w:val="auto"/>
          <w:sz w:val="24"/>
          <w:szCs w:val="24"/>
          <w:highlight w:val="none"/>
        </w:rPr>
        <w:t>承载力计算时可变荷载应取施工阶段与使用阶段的较大值。</w:t>
      </w:r>
    </w:p>
    <w:p>
      <w:pPr>
        <w:widowControl w:val="0"/>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6.3.</w:t>
      </w:r>
      <w:r>
        <w:rPr>
          <w:rFonts w:hint="eastAsia" w:ascii="Times New Roman" w:hAnsi="Times New Roman" w:eastAsia="宋体" w:cs="Times New Roman"/>
          <w:b/>
          <w:color w:val="auto"/>
          <w:sz w:val="24"/>
          <w:szCs w:val="24"/>
          <w:highlight w:val="none"/>
        </w:rPr>
        <w:t>3</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均布荷载作用下的双向叠合板承载力计算时，可忽略预制底板之间密拼式整体接缝的影响</w:t>
      </w:r>
      <w:r>
        <w:rPr>
          <w:rFonts w:hint="eastAsia" w:ascii="Times New Roman" w:hAnsi="Times New Roman" w:eastAsia="宋体" w:cs="Times New Roman"/>
          <w:color w:val="auto"/>
          <w:sz w:val="24"/>
          <w:szCs w:val="24"/>
          <w:highlight w:val="none"/>
        </w:rPr>
        <w:t>。</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6.3.</w:t>
      </w:r>
      <w:r>
        <w:rPr>
          <w:rFonts w:hint="eastAsia" w:ascii="Times New Roman" w:hAnsi="Times New Roman" w:eastAsia="宋体" w:cs="Times New Roman"/>
          <w:b/>
          <w:color w:val="auto"/>
          <w:sz w:val="24"/>
          <w:szCs w:val="24"/>
          <w:highlight w:val="none"/>
        </w:rPr>
        <w:t>4</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叠合板的正截面受弯承载力、斜截面受剪承载力计算应符合现行国家标准《混凝土结构设计规范》GB 50010的有关规定。</w:t>
      </w:r>
    </w:p>
    <w:p>
      <w:pPr>
        <w:spacing w:after="0" w:line="360" w:lineRule="auto"/>
        <w:outlineLvl w:val="2"/>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6.3.5</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叠合板正截面受弯承载力计算时，正弯矩区段的混凝土强度等级应按</w:t>
      </w:r>
      <w:r>
        <w:rPr>
          <w:rFonts w:hint="eastAsia" w:ascii="Times New Roman" w:hAnsi="Times New Roman" w:eastAsia="宋体" w:cs="Times New Roman"/>
          <w:color w:val="auto"/>
          <w:sz w:val="24"/>
          <w:szCs w:val="24"/>
          <w:highlight w:val="none"/>
        </w:rPr>
        <w:t>后浇</w:t>
      </w:r>
      <w:r>
        <w:rPr>
          <w:rFonts w:ascii="Times New Roman" w:hAnsi="Times New Roman" w:eastAsia="宋体" w:cs="Times New Roman"/>
          <w:color w:val="auto"/>
          <w:sz w:val="24"/>
          <w:szCs w:val="24"/>
          <w:highlight w:val="none"/>
        </w:rPr>
        <w:t>叠合层取用</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负弯矩区段的混凝土强度等级，应按照计算截面受压区的实际情况取用。</w:t>
      </w:r>
    </w:p>
    <w:p>
      <w:pPr>
        <w:widowControl w:val="0"/>
        <w:spacing w:after="0" w:line="360" w:lineRule="auto"/>
        <w:jc w:val="both"/>
        <w:outlineLvl w:val="2"/>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 xml:space="preserve">6.3.6 </w:t>
      </w:r>
      <w:r>
        <w:rPr>
          <w:rFonts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双向</w:t>
      </w:r>
      <w:r>
        <w:rPr>
          <w:rFonts w:ascii="Times New Roman" w:hAnsi="Times New Roman" w:eastAsia="宋体" w:cs="Times New Roman"/>
          <w:color w:val="auto"/>
          <w:sz w:val="24"/>
          <w:szCs w:val="24"/>
          <w:highlight w:val="none"/>
        </w:rPr>
        <w:t>叠合板</w:t>
      </w:r>
      <w:r>
        <w:rPr>
          <w:rFonts w:hint="eastAsia" w:ascii="Times New Roman" w:hAnsi="Times New Roman" w:eastAsia="宋体" w:cs="Times New Roman"/>
          <w:color w:val="auto"/>
          <w:sz w:val="24"/>
          <w:szCs w:val="24"/>
          <w:highlight w:val="none"/>
        </w:rPr>
        <w:t>正截面受弯承载力计算时，两个方向应分别取相应的截面有效高度。</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6.3.</w:t>
      </w:r>
      <w:r>
        <w:rPr>
          <w:rFonts w:hint="eastAsia" w:ascii="Times New Roman" w:hAnsi="Times New Roman" w:eastAsia="宋体" w:cs="Times New Roman"/>
          <w:b/>
          <w:color w:val="auto"/>
          <w:sz w:val="24"/>
          <w:szCs w:val="24"/>
          <w:highlight w:val="none"/>
        </w:rPr>
        <w:t xml:space="preserve">7   </w:t>
      </w:r>
      <w:r>
        <w:rPr>
          <w:rFonts w:ascii="Times New Roman" w:hAnsi="Times New Roman" w:eastAsia="宋体" w:cs="Times New Roman"/>
          <w:color w:val="auto"/>
          <w:sz w:val="24"/>
          <w:szCs w:val="24"/>
          <w:highlight w:val="none"/>
        </w:rPr>
        <w:t>均布荷载作用下的一般</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，可不对叠合面进行受剪强度验算，但应符合本规程第7</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3条的构造规定。</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6.3.</w:t>
      </w:r>
      <w:r>
        <w:rPr>
          <w:rFonts w:hint="eastAsia" w:ascii="Times New Roman" w:hAnsi="Times New Roman" w:eastAsia="宋体" w:cs="Times New Roman"/>
          <w:b/>
          <w:bCs/>
          <w:color w:val="auto"/>
          <w:sz w:val="24"/>
          <w:szCs w:val="24"/>
          <w:highlight w:val="none"/>
        </w:rPr>
        <w:t>8</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承受均布荷载</w:t>
      </w:r>
      <w:r>
        <w:rPr>
          <w:rFonts w:hint="eastAsia" w:ascii="Times New Roman" w:hAnsi="Times New Roman" w:eastAsia="宋体" w:cs="Times New Roman"/>
          <w:color w:val="auto"/>
          <w:sz w:val="24"/>
          <w:szCs w:val="24"/>
          <w:highlight w:val="none"/>
        </w:rPr>
        <w:t>的多跨连续</w:t>
      </w:r>
      <w:r>
        <w:rPr>
          <w:rFonts w:ascii="Times New Roman" w:hAnsi="Times New Roman" w:eastAsia="宋体" w:cs="Times New Roman"/>
          <w:color w:val="auto"/>
          <w:sz w:val="24"/>
          <w:szCs w:val="24"/>
          <w:highlight w:val="none"/>
        </w:rPr>
        <w:t>单向叠合板，在正常使用极限状态下的内力计算，跨中截面可按不出现裂缝的刚度，支座截面可按出现裂缝的刚度分别进行计算。</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6.3.</w:t>
      </w:r>
      <w:r>
        <w:rPr>
          <w:rFonts w:hint="eastAsia" w:ascii="Times New Roman" w:hAnsi="Times New Roman" w:eastAsia="宋体" w:cs="Times New Roman"/>
          <w:b/>
          <w:color w:val="auto"/>
          <w:sz w:val="24"/>
          <w:szCs w:val="24"/>
          <w:highlight w:val="none"/>
        </w:rPr>
        <w:t>9</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承受均布荷载的双向叠合楼板，在正常使用极限状态下的内力计算，宜选择符合实际的方法，也可按正交异性板计算。</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6.3.</w:t>
      </w:r>
      <w:r>
        <w:rPr>
          <w:rFonts w:hint="eastAsia" w:ascii="Times New Roman" w:hAnsi="Times New Roman" w:eastAsia="宋体" w:cs="Times New Roman"/>
          <w:b/>
          <w:color w:val="auto"/>
          <w:sz w:val="24"/>
          <w:szCs w:val="24"/>
          <w:highlight w:val="none"/>
        </w:rPr>
        <w:t>10</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支架预应力混凝土叠合板</w:t>
      </w:r>
      <w:r>
        <w:rPr>
          <w:rFonts w:ascii="Times New Roman" w:hAnsi="Times New Roman" w:eastAsia="宋体" w:cs="Times New Roman"/>
          <w:color w:val="auto"/>
          <w:sz w:val="24"/>
          <w:szCs w:val="24"/>
          <w:highlight w:val="none"/>
        </w:rPr>
        <w:t>沿平行桁架方向的板底裂缝控制等级宜为二级，即一般要求不出现裂缝，按下列公式验算：</w:t>
      </w:r>
    </w:p>
    <w:p>
      <w:pPr>
        <w:spacing w:after="0" w:line="360" w:lineRule="auto"/>
        <w:ind w:right="600"/>
        <w:jc w:val="right"/>
        <w:rPr>
          <w:rFonts w:ascii="Times New Roman" w:hAnsi="Times New Roman" w:eastAsia="宋体" w:cs="Times New Roman"/>
          <w:color w:val="auto"/>
          <w:sz w:val="24"/>
          <w:highlight w:val="none"/>
        </w:rPr>
      </w:pPr>
      <w:r>
        <w:rPr>
          <w:rFonts w:ascii="Times New Roman" w:hAnsi="Times New Roman" w:cs="Times New Roman"/>
          <w:color w:val="auto"/>
          <w:sz w:val="24"/>
          <w:highlight w:val="none"/>
        </w:rPr>
        <w:t xml:space="preserve">  </w:t>
      </w:r>
      <w:r>
        <w:rPr>
          <w:rFonts w:ascii="Times New Roman" w:hAnsi="Times New Roman" w:cs="Times New Roman"/>
          <w:color w:val="auto"/>
          <w:position w:val="-14"/>
          <w:sz w:val="24"/>
          <w:highlight w:val="none"/>
        </w:rPr>
        <w:object>
          <v:shape id="_x0000_i1042" o:spt="75" type="#_x0000_t75" style="height:18.6pt;width:76.8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2" r:id="rId45">
            <o:LockedField>false</o:LockedField>
          </o:OLEObject>
        </w:object>
      </w:r>
      <w:r>
        <w:rPr>
          <w:rFonts w:ascii="Times New Roman" w:hAnsi="Times New Roman" w:cs="Times New Roman"/>
          <w:color w:val="auto"/>
          <w:sz w:val="24"/>
          <w:highlight w:val="none"/>
        </w:rPr>
        <w:t xml:space="preserve">                         </w:t>
      </w:r>
      <w:r>
        <w:rPr>
          <w:rFonts w:ascii="Times New Roman" w:hAnsi="Times New Roman" w:eastAsia="宋体" w:cs="Times New Roman"/>
          <w:color w:val="auto"/>
          <w:sz w:val="24"/>
          <w:highlight w:val="none"/>
        </w:rPr>
        <w:t>（6.3.</w:t>
      </w:r>
      <w:r>
        <w:rPr>
          <w:rFonts w:hint="eastAsia" w:ascii="Times New Roman" w:hAnsi="Times New Roman" w:eastAsia="宋体" w:cs="Times New Roman"/>
          <w:color w:val="auto"/>
          <w:sz w:val="24"/>
          <w:highlight w:val="none"/>
        </w:rPr>
        <w:t>10</w:t>
      </w:r>
      <w:r>
        <w:rPr>
          <w:rFonts w:ascii="Times New Roman" w:hAnsi="Times New Roman" w:eastAsia="宋体" w:cs="Times New Roman"/>
          <w:color w:val="auto"/>
          <w:sz w:val="24"/>
          <w:highlight w:val="none"/>
        </w:rPr>
        <w:t>-1）</w:t>
      </w:r>
    </w:p>
    <w:p>
      <w:pPr>
        <w:spacing w:after="0" w:line="360" w:lineRule="auto"/>
        <w:ind w:right="600"/>
        <w:jc w:val="right"/>
        <w:rPr>
          <w:rFonts w:ascii="Times New Roman" w:hAnsi="Times New Roman" w:eastAsia="宋体" w:cs="Times New Roman"/>
          <w:color w:val="auto"/>
          <w:sz w:val="24"/>
          <w:highlight w:val="none"/>
        </w:rPr>
      </w:pPr>
      <w:r>
        <w:rPr>
          <w:rFonts w:ascii="Times New Roman" w:hAnsi="Times New Roman" w:cs="Times New Roman"/>
          <w:color w:val="auto"/>
          <w:position w:val="-30"/>
          <w:sz w:val="24"/>
          <w:highlight w:val="none"/>
        </w:rPr>
        <w:drawing>
          <wp:inline distT="0" distB="0" distL="114300" distR="114300">
            <wp:extent cx="1262380" cy="443865"/>
            <wp:effectExtent l="0" t="0" r="0" b="1397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0"/>
                    <pic:cNvPicPr>
                      <a:picLocks noChangeAspect="1"/>
                    </pic:cNvPicPr>
                  </pic:nvPicPr>
                  <pic:blipFill>
                    <a:blip r:embed="rId47" cstate="print"/>
                    <a:stretch>
                      <a:fillRect/>
                    </a:stretch>
                  </pic:blipFill>
                  <pic:spPr>
                    <a:xfrm>
                      <a:off x="0" y="0"/>
                      <a:ext cx="1262380" cy="443865"/>
                    </a:xfrm>
                    <a:prstGeom prst="rect">
                      <a:avLst/>
                    </a:prstGeom>
                    <a:noFill/>
                    <a:ln>
                      <a:noFill/>
                    </a:ln>
                  </pic:spPr>
                </pic:pic>
              </a:graphicData>
            </a:graphic>
          </wp:inline>
        </w:drawing>
      </w:r>
      <w:r>
        <w:rPr>
          <w:rFonts w:ascii="Times New Roman" w:hAnsi="Times New Roman" w:cs="Times New Roman"/>
          <w:color w:val="auto"/>
          <w:sz w:val="24"/>
          <w:highlight w:val="none"/>
        </w:rPr>
        <w:t xml:space="preserve">                             </w:t>
      </w:r>
      <w:r>
        <w:rPr>
          <w:rFonts w:ascii="Times New Roman" w:hAnsi="Times New Roman" w:eastAsia="宋体" w:cs="Times New Roman"/>
          <w:color w:val="auto"/>
          <w:sz w:val="24"/>
          <w:highlight w:val="none"/>
        </w:rPr>
        <w:t>（6.3.</w:t>
      </w:r>
      <w:r>
        <w:rPr>
          <w:rFonts w:hint="eastAsia" w:ascii="Times New Roman" w:hAnsi="Times New Roman" w:eastAsia="宋体" w:cs="Times New Roman"/>
          <w:color w:val="auto"/>
          <w:sz w:val="24"/>
          <w:highlight w:val="none"/>
        </w:rPr>
        <w:t>10</w:t>
      </w:r>
      <w:r>
        <w:rPr>
          <w:rFonts w:ascii="Times New Roman" w:hAnsi="Times New Roman" w:eastAsia="宋体" w:cs="Times New Roman"/>
          <w:color w:val="auto"/>
          <w:sz w:val="24"/>
          <w:highlight w:val="none"/>
        </w:rPr>
        <w:t>-2）</w:t>
      </w:r>
    </w:p>
    <w:p>
      <w:pPr>
        <w:wordWrap w:val="0"/>
        <w:spacing w:after="0" w:line="360" w:lineRule="auto"/>
        <w:ind w:right="600"/>
        <w:jc w:val="right"/>
        <w:rPr>
          <w:rFonts w:ascii="Times New Roman" w:hAnsi="Times New Roman" w:eastAsia="宋体" w:cs="Times New Roman"/>
          <w:color w:val="auto"/>
          <w:sz w:val="24"/>
          <w:highlight w:val="none"/>
        </w:rPr>
      </w:pPr>
      <w:r>
        <w:rPr>
          <w:rFonts w:ascii="Times New Roman" w:hAnsi="Times New Roman" w:cs="Times New Roman"/>
          <w:color w:val="auto"/>
          <w:position w:val="-14"/>
          <w:sz w:val="24"/>
          <w:highlight w:val="none"/>
        </w:rPr>
        <w:drawing>
          <wp:inline distT="0" distB="0" distL="114300" distR="114300">
            <wp:extent cx="1269365" cy="252730"/>
            <wp:effectExtent l="0" t="0" r="0" b="15240"/>
            <wp:docPr id="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1"/>
                    <pic:cNvPicPr>
                      <a:picLocks noChangeAspect="1"/>
                    </pic:cNvPicPr>
                  </pic:nvPicPr>
                  <pic:blipFill>
                    <a:blip r:embed="rId48" cstate="print"/>
                    <a:stretch>
                      <a:fillRect/>
                    </a:stretch>
                  </pic:blipFill>
                  <pic:spPr>
                    <a:xfrm>
                      <a:off x="0" y="0"/>
                      <a:ext cx="1269365" cy="252730"/>
                    </a:xfrm>
                    <a:prstGeom prst="rect">
                      <a:avLst/>
                    </a:prstGeom>
                    <a:noFill/>
                    <a:ln>
                      <a:noFill/>
                    </a:ln>
                  </pic:spPr>
                </pic:pic>
              </a:graphicData>
            </a:graphic>
          </wp:inline>
        </w:drawing>
      </w:r>
      <w:r>
        <w:rPr>
          <w:rFonts w:ascii="Times New Roman" w:hAnsi="Times New Roman" w:cs="Times New Roman"/>
          <w:color w:val="auto"/>
          <w:position w:val="-30"/>
          <w:sz w:val="24"/>
          <w:highlight w:val="none"/>
        </w:rPr>
        <w:t xml:space="preserve">                         </w:t>
      </w:r>
      <w:r>
        <w:rPr>
          <w:rFonts w:ascii="Times New Roman" w:hAnsi="Times New Roman" w:eastAsia="宋体" w:cs="Times New Roman"/>
          <w:color w:val="auto"/>
          <w:sz w:val="24"/>
          <w:highlight w:val="none"/>
        </w:rPr>
        <w:t>（6.3.</w:t>
      </w:r>
      <w:r>
        <w:rPr>
          <w:rFonts w:hint="eastAsia" w:ascii="Times New Roman" w:hAnsi="Times New Roman" w:eastAsia="宋体" w:cs="Times New Roman"/>
          <w:color w:val="auto"/>
          <w:sz w:val="24"/>
          <w:highlight w:val="none"/>
        </w:rPr>
        <w:t>10</w:t>
      </w:r>
      <w:r>
        <w:rPr>
          <w:rFonts w:ascii="Times New Roman" w:hAnsi="Times New Roman" w:eastAsia="宋体" w:cs="Times New Roman"/>
          <w:color w:val="auto"/>
          <w:sz w:val="24"/>
          <w:highlight w:val="none"/>
        </w:rPr>
        <w:t>-3）</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式中：</w:t>
      </w:r>
    </w:p>
    <w:p>
      <w:pPr>
        <w:spacing w:after="0"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σ</w:t>
      </w:r>
      <w:r>
        <w:rPr>
          <w:rFonts w:ascii="Times New Roman" w:hAnsi="Times New Roman" w:eastAsia="宋体" w:cs="Times New Roman"/>
          <w:color w:val="auto"/>
          <w:sz w:val="24"/>
          <w:szCs w:val="24"/>
          <w:highlight w:val="none"/>
          <w:vertAlign w:val="subscript"/>
        </w:rPr>
        <w:t>ck2</w:t>
      </w:r>
      <w:r>
        <w:rPr>
          <w:rFonts w:ascii="Times New Roman" w:hAnsi="Times New Roman" w:eastAsia="宋体" w:cs="Times New Roman"/>
          <w:color w:val="auto"/>
          <w:sz w:val="24"/>
          <w:szCs w:val="24"/>
          <w:highlight w:val="none"/>
        </w:rPr>
        <w:t>——使用阶段按荷载标准组合计算控制截面抗裂验算边缘的混凝土法向应力；</w:t>
      </w:r>
    </w:p>
    <w:p>
      <w:pPr>
        <w:spacing w:after="0"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σ</w:t>
      </w:r>
      <w:r>
        <w:rPr>
          <w:rFonts w:ascii="Times New Roman" w:hAnsi="Times New Roman" w:eastAsia="宋体" w:cs="Times New Roman"/>
          <w:color w:val="auto"/>
          <w:sz w:val="24"/>
          <w:szCs w:val="24"/>
          <w:highlight w:val="none"/>
          <w:vertAlign w:val="subscript"/>
        </w:rPr>
        <w:t>pc</w:t>
      </w:r>
      <w:r>
        <w:rPr>
          <w:rFonts w:ascii="Times New Roman" w:hAnsi="Times New Roman" w:eastAsia="宋体" w:cs="Times New Roman"/>
          <w:color w:val="auto"/>
          <w:sz w:val="24"/>
          <w:szCs w:val="24"/>
          <w:highlight w:val="none"/>
        </w:rPr>
        <w:t>——扣除全部预应力损失后在控制截面抗裂验算边缘混凝土的法向应力，</w:t>
      </w:r>
      <w:r>
        <w:rPr>
          <w:rFonts w:ascii="Times New Roman" w:hAnsi="Times New Roman" w:eastAsia="宋体" w:cs="Times New Roman"/>
          <w:color w:val="auto"/>
          <w:sz w:val="24"/>
          <w:highlight w:val="none"/>
        </w:rPr>
        <w:t>当为压应力时取正值，拉应力时取负值，</w:t>
      </w:r>
      <w:r>
        <w:rPr>
          <w:rFonts w:ascii="Times New Roman" w:hAnsi="Times New Roman" w:eastAsia="宋体" w:cs="Times New Roman"/>
          <w:color w:val="auto"/>
          <w:sz w:val="24"/>
          <w:szCs w:val="24"/>
          <w:highlight w:val="none"/>
        </w:rPr>
        <w:t>计算公式同公式</w:t>
      </w:r>
      <w:r>
        <w:rPr>
          <w:rFonts w:ascii="Times New Roman" w:hAnsi="Times New Roman" w:eastAsia="宋体" w:cs="Times New Roman"/>
          <w:color w:val="auto"/>
          <w:sz w:val="24"/>
          <w:highlight w:val="none"/>
        </w:rPr>
        <w:t>（6.2.7-3）；</w:t>
      </w:r>
    </w:p>
    <w:p>
      <w:pPr>
        <w:spacing w:after="0" w:line="360" w:lineRule="auto"/>
        <w:ind w:firstLine="720" w:firstLineChars="300"/>
        <w:rPr>
          <w:rFonts w:ascii="Times New Roman" w:hAnsi="Times New Roman" w:eastAsia="宋体" w:cs="Times New Roman"/>
          <w:color w:val="auto"/>
          <w:sz w:val="24"/>
          <w:szCs w:val="24"/>
          <w:highlight w:val="none"/>
        </w:rPr>
      </w:pPr>
      <w:r>
        <w:rPr>
          <w:rFonts w:hint="eastAsia" w:ascii="Times New Roman" w:hAnsi="Times New Roman" w:eastAsia="宋体" w:cs="Times New Roman"/>
          <w:i/>
          <w:color w:val="auto"/>
          <w:sz w:val="24"/>
          <w:szCs w:val="24"/>
          <w:highlight w:val="none"/>
        </w:rPr>
        <w:t>f</w:t>
      </w:r>
      <w:r>
        <w:rPr>
          <w:rFonts w:hint="eastAsia" w:ascii="Times New Roman" w:hAnsi="Times New Roman" w:eastAsia="宋体" w:cs="Times New Roman"/>
          <w:color w:val="auto"/>
          <w:sz w:val="24"/>
          <w:szCs w:val="24"/>
          <w:highlight w:val="none"/>
          <w:vertAlign w:val="subscript"/>
        </w:rPr>
        <w:t>tk</w:t>
      </w:r>
      <w:r>
        <w:rPr>
          <w:rFonts w:ascii="Times New Roman" w:hAnsi="Times New Roman" w:eastAsia="宋体" w:cs="Times New Roman"/>
          <w:color w:val="auto"/>
          <w:sz w:val="24"/>
          <w:szCs w:val="24"/>
          <w:highlight w:val="none"/>
        </w:rPr>
        <w:t>——预制底板混凝土轴心抗拉强度标准值；</w:t>
      </w:r>
    </w:p>
    <w:p>
      <w:pPr>
        <w:spacing w:after="0"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M</w:t>
      </w:r>
      <w:r>
        <w:rPr>
          <w:rFonts w:ascii="Times New Roman" w:hAnsi="Times New Roman" w:eastAsia="宋体" w:cs="Times New Roman"/>
          <w:color w:val="auto"/>
          <w:sz w:val="24"/>
          <w:szCs w:val="24"/>
          <w:highlight w:val="none"/>
          <w:vertAlign w:val="subscript"/>
        </w:rPr>
        <w:t>1Gk</w:t>
      </w:r>
      <w:r>
        <w:rPr>
          <w:rFonts w:ascii="Times New Roman" w:hAnsi="Times New Roman" w:eastAsia="宋体" w:cs="Times New Roman"/>
          <w:color w:val="auto"/>
          <w:sz w:val="24"/>
          <w:szCs w:val="24"/>
          <w:highlight w:val="none"/>
        </w:rPr>
        <w:t>——叠合板自重标准值在计算截面产生的弯矩值，应根据叠合层浇筑施工阶段的支撑设置情况计算；</w:t>
      </w:r>
    </w:p>
    <w:p>
      <w:pPr>
        <w:spacing w:after="0"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M</w:t>
      </w:r>
      <w:r>
        <w:rPr>
          <w:rFonts w:ascii="Times New Roman" w:hAnsi="Times New Roman" w:eastAsia="宋体" w:cs="Times New Roman"/>
          <w:color w:val="auto"/>
          <w:sz w:val="24"/>
          <w:szCs w:val="24"/>
          <w:highlight w:val="none"/>
          <w:vertAlign w:val="subscript"/>
        </w:rPr>
        <w:t>2k</w:t>
      </w:r>
      <w:r>
        <w:rPr>
          <w:rFonts w:ascii="Times New Roman" w:hAnsi="Times New Roman" w:eastAsia="宋体" w:cs="Times New Roman"/>
          <w:color w:val="auto"/>
          <w:sz w:val="24"/>
          <w:szCs w:val="24"/>
          <w:highlight w:val="none"/>
        </w:rPr>
        <w:t>——第二阶段荷载标准组合下在计算截面上产生的弯矩值；</w:t>
      </w:r>
    </w:p>
    <w:p>
      <w:pPr>
        <w:spacing w:after="0"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M</w:t>
      </w:r>
      <w:r>
        <w:rPr>
          <w:rFonts w:ascii="Times New Roman" w:hAnsi="Times New Roman" w:eastAsia="宋体" w:cs="Times New Roman"/>
          <w:color w:val="auto"/>
          <w:sz w:val="24"/>
          <w:szCs w:val="24"/>
          <w:highlight w:val="none"/>
          <w:vertAlign w:val="subscript"/>
        </w:rPr>
        <w:t>2Gk</w:t>
      </w:r>
      <w:r>
        <w:rPr>
          <w:rFonts w:ascii="Times New Roman" w:hAnsi="Times New Roman" w:eastAsia="宋体" w:cs="Times New Roman"/>
          <w:color w:val="auto"/>
          <w:sz w:val="24"/>
          <w:szCs w:val="24"/>
          <w:highlight w:val="none"/>
        </w:rPr>
        <w:t>——第二阶段面层、吊顶等自重标准值在计算截面产生的弯矩值；</w:t>
      </w:r>
    </w:p>
    <w:p>
      <w:pPr>
        <w:spacing w:after="0"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M</w:t>
      </w:r>
      <w:r>
        <w:rPr>
          <w:rFonts w:ascii="Times New Roman" w:hAnsi="Times New Roman" w:eastAsia="宋体" w:cs="Times New Roman"/>
          <w:color w:val="auto"/>
          <w:sz w:val="24"/>
          <w:szCs w:val="24"/>
          <w:highlight w:val="none"/>
          <w:vertAlign w:val="subscript"/>
        </w:rPr>
        <w:t>2Qk</w:t>
      </w:r>
      <w:r>
        <w:rPr>
          <w:rFonts w:ascii="Times New Roman" w:hAnsi="Times New Roman" w:eastAsia="宋体" w:cs="Times New Roman"/>
          <w:color w:val="auto"/>
          <w:sz w:val="24"/>
          <w:szCs w:val="24"/>
          <w:highlight w:val="none"/>
        </w:rPr>
        <w:t>——使用阶段可变荷载标准值在计算截面产生的弯矩值；</w:t>
      </w:r>
    </w:p>
    <w:p>
      <w:pPr>
        <w:spacing w:after="0"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W</w:t>
      </w:r>
      <w:r>
        <w:rPr>
          <w:rFonts w:ascii="Times New Roman" w:hAnsi="Times New Roman" w:eastAsia="宋体" w:cs="Times New Roman"/>
          <w:color w:val="auto"/>
          <w:sz w:val="24"/>
          <w:szCs w:val="24"/>
          <w:highlight w:val="none"/>
          <w:vertAlign w:val="subscript"/>
        </w:rPr>
        <w:t>0</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支架预应力混凝土</w:t>
      </w:r>
      <w:r>
        <w:rPr>
          <w:rFonts w:ascii="Times New Roman" w:hAnsi="Times New Roman" w:eastAsia="宋体" w:cs="Times New Roman"/>
          <w:color w:val="auto"/>
          <w:sz w:val="24"/>
          <w:szCs w:val="24"/>
          <w:highlight w:val="none"/>
        </w:rPr>
        <w:t>预制底板换算截面受拉边缘的弹性抵抗矩；</w:t>
      </w:r>
    </w:p>
    <w:p>
      <w:pPr>
        <w:spacing w:after="0"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W</w:t>
      </w:r>
      <w:r>
        <w:rPr>
          <w:rFonts w:ascii="Times New Roman" w:hAnsi="Times New Roman" w:eastAsia="宋体" w:cs="Times New Roman"/>
          <w:color w:val="auto"/>
          <w:sz w:val="24"/>
          <w:szCs w:val="24"/>
          <w:highlight w:val="none"/>
          <w:vertAlign w:val="subscript"/>
        </w:rPr>
        <w:t>02</w:t>
      </w:r>
      <w:r>
        <w:rPr>
          <w:rFonts w:ascii="Times New Roman" w:hAnsi="Times New Roman" w:eastAsia="宋体" w:cs="Times New Roman"/>
          <w:color w:val="auto"/>
          <w:sz w:val="24"/>
          <w:szCs w:val="24"/>
          <w:highlight w:val="none"/>
        </w:rPr>
        <w:t>——叠合楼板换算截面受拉边缘的弹性抵抗矩。</w:t>
      </w:r>
    </w:p>
    <w:p>
      <w:pPr>
        <w:spacing w:after="0" w:line="360" w:lineRule="auto"/>
        <w:rPr>
          <w:rFonts w:ascii="Times New Roman" w:hAnsi="Times New Roman" w:eastAsia="宋体" w:cs="Times New Roman"/>
          <w:color w:val="auto"/>
          <w:sz w:val="24"/>
          <w:szCs w:val="24"/>
          <w:highlight w:val="none"/>
          <w:shd w:val="clear" w:color="auto" w:fill="FFFFFF"/>
        </w:rPr>
      </w:pPr>
      <w:r>
        <w:rPr>
          <w:rFonts w:ascii="Times New Roman" w:hAnsi="Times New Roman" w:eastAsia="宋体" w:cs="Times New Roman"/>
          <w:b/>
          <w:color w:val="auto"/>
          <w:sz w:val="24"/>
          <w:szCs w:val="24"/>
          <w:highlight w:val="none"/>
        </w:rPr>
        <w:t>6.3.</w:t>
      </w:r>
      <w:r>
        <w:rPr>
          <w:rFonts w:hint="eastAsia" w:ascii="Times New Roman" w:hAnsi="Times New Roman" w:eastAsia="宋体" w:cs="Times New Roman"/>
          <w:b/>
          <w:color w:val="auto"/>
          <w:sz w:val="24"/>
          <w:szCs w:val="24"/>
          <w:highlight w:val="none"/>
        </w:rPr>
        <w:t>11</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沿平行桁架方向的板顶、垂直桁架方向的板底及板顶裂缝控制等级为三级，应按现行国家标准《混凝土结构设计规范》GB 50010规定的裂缝宽度限值及相应计算公式进行裂缝宽度验算。</w:t>
      </w:r>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6.3.</w:t>
      </w:r>
      <w:r>
        <w:rPr>
          <w:rFonts w:hint="eastAsia" w:ascii="Times New Roman" w:hAnsi="Times New Roman" w:eastAsia="宋体" w:cs="Times New Roman"/>
          <w:b/>
          <w:color w:val="auto"/>
          <w:sz w:val="24"/>
          <w:szCs w:val="24"/>
          <w:highlight w:val="none"/>
        </w:rPr>
        <w:t>12</w:t>
      </w:r>
      <w:r>
        <w:rPr>
          <w:rFonts w:hint="eastAsia" w:ascii="Times New Roman" w:hAnsi="Times New Roman" w:eastAsia="宋体" w:cs="Times New Roman"/>
          <w:color w:val="auto"/>
          <w:sz w:val="24"/>
          <w:szCs w:val="24"/>
          <w:highlight w:val="none"/>
        </w:rPr>
        <w:t xml:space="preserve">   支架预应力混凝土叠合板</w:t>
      </w:r>
      <w:r>
        <w:rPr>
          <w:rFonts w:ascii="Times New Roman" w:hAnsi="Times New Roman" w:eastAsia="宋体" w:cs="Times New Roman"/>
          <w:color w:val="auto"/>
          <w:sz w:val="24"/>
          <w:szCs w:val="24"/>
          <w:highlight w:val="none"/>
        </w:rPr>
        <w:t>挠度验算应符合现行国家标准《混凝土结构设计规范》GB 50010的有关规定。</w:t>
      </w:r>
    </w:p>
    <w:p>
      <w:pPr>
        <w:spacing w:after="0" w:line="360" w:lineRule="auto"/>
        <w:rPr>
          <w:rFonts w:ascii="Times New Roman" w:hAnsi="Times New Roman" w:eastAsia="宋体" w:cs="Times New Roman"/>
          <w:color w:val="auto"/>
          <w:sz w:val="24"/>
          <w:szCs w:val="24"/>
          <w:highlight w:val="none"/>
        </w:rPr>
      </w:pPr>
    </w:p>
    <w:p>
      <w:pPr>
        <w:adjustRightInd/>
        <w:snapToGrid/>
        <w:spacing w:line="220" w:lineRule="atLeas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br w:type="page"/>
      </w:r>
    </w:p>
    <w:p>
      <w:pPr>
        <w:pStyle w:val="24"/>
        <w:spacing w:before="156" w:beforeLines="50" w:after="156" w:afterLines="50"/>
        <w:rPr>
          <w:rFonts w:eastAsiaTheme="minorEastAsia"/>
          <w:color w:val="auto"/>
          <w:highlight w:val="none"/>
        </w:rPr>
      </w:pPr>
      <w:bookmarkStart w:id="46" w:name="_Toc111709519"/>
      <w:r>
        <w:rPr>
          <w:rFonts w:hint="eastAsia" w:eastAsiaTheme="minorEastAsia"/>
          <w:color w:val="auto"/>
          <w:highlight w:val="none"/>
        </w:rPr>
        <w:t xml:space="preserve">7 </w:t>
      </w:r>
      <w:r>
        <w:rPr>
          <w:rFonts w:eastAsiaTheme="minorEastAsia"/>
          <w:color w:val="auto"/>
          <w:highlight w:val="none"/>
        </w:rPr>
        <w:t>构造要求</w:t>
      </w:r>
      <w:bookmarkEnd w:id="46"/>
    </w:p>
    <w:p>
      <w:pPr>
        <w:pStyle w:val="25"/>
        <w:spacing w:beforeLines="0" w:after="156" w:afterLines="50" w:line="360" w:lineRule="auto"/>
        <w:rPr>
          <w:rFonts w:hAnsi="宋体"/>
          <w:color w:val="auto"/>
          <w:highlight w:val="none"/>
        </w:rPr>
      </w:pPr>
      <w:bookmarkStart w:id="47" w:name="_Toc111709520"/>
      <w:r>
        <w:rPr>
          <w:rFonts w:hAnsi="宋体"/>
          <w:color w:val="auto"/>
          <w:highlight w:val="none"/>
        </w:rPr>
        <w:t>7.1一般规定</w:t>
      </w:r>
      <w:bookmarkEnd w:id="47"/>
    </w:p>
    <w:p>
      <w:pPr>
        <w:widowControl w:val="0"/>
        <w:tabs>
          <w:tab w:val="left" w:pos="735"/>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7.1.1</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预制底板的厚度不</w:t>
      </w:r>
      <w:r>
        <w:rPr>
          <w:rFonts w:hint="eastAsia" w:ascii="Times New Roman" w:hAnsi="Times New Roman" w:eastAsia="宋体" w:cs="Times New Roman"/>
          <w:color w:val="auto"/>
          <w:sz w:val="24"/>
          <w:szCs w:val="24"/>
          <w:highlight w:val="none"/>
        </w:rPr>
        <w:t>宜</w:t>
      </w:r>
      <w:r>
        <w:rPr>
          <w:rFonts w:ascii="Times New Roman" w:hAnsi="Times New Roman" w:eastAsia="宋体" w:cs="Times New Roman"/>
          <w:color w:val="auto"/>
          <w:sz w:val="24"/>
          <w:szCs w:val="24"/>
          <w:highlight w:val="none"/>
        </w:rPr>
        <w:t>小于40mm。</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后浇混凝土叠合层厚度不宜小于</w:t>
      </w:r>
      <w:r>
        <w:rPr>
          <w:rFonts w:ascii="Times New Roman" w:hAnsi="Times New Roman" w:eastAsia="宋体" w:cs="Times New Roman"/>
          <w:color w:val="auto"/>
          <w:sz w:val="24"/>
          <w:szCs w:val="24"/>
          <w:highlight w:val="none"/>
        </w:rPr>
        <w:t>80mm</w:t>
      </w:r>
      <w:r>
        <w:rPr>
          <w:rFonts w:ascii="Times New Roman" w:hAnsi="Times New Roman" w:eastAsia="宋体" w:cs="Times New Roman"/>
          <w:color w:val="auto"/>
          <w:sz w:val="24"/>
          <w:szCs w:val="24"/>
          <w:highlight w:val="none"/>
        </w:rPr>
        <w:t>。</w:t>
      </w:r>
    </w:p>
    <w:p>
      <w:pPr>
        <w:widowControl w:val="0"/>
        <w:tabs>
          <w:tab w:val="left" w:pos="735"/>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7.1.2</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预制底板钢筋的混凝土保护层厚度应满足现行国家标准《混凝土结构设计规范》GB 50010的规定。</w:t>
      </w:r>
      <w:r>
        <w:rPr>
          <w:rFonts w:hint="eastAsia" w:ascii="Times New Roman" w:hAnsi="Times New Roman" w:eastAsia="宋体" w:cs="Times New Roman"/>
          <w:color w:val="auto"/>
          <w:sz w:val="24"/>
          <w:szCs w:val="24"/>
          <w:highlight w:val="none"/>
        </w:rPr>
        <w:t>基于耐火极限要求的耐火保护层厚度尚应符合表7.1.2的规定。</w:t>
      </w:r>
    </w:p>
    <w:p>
      <w:pPr>
        <w:spacing w:after="0" w:line="324" w:lineRule="auto"/>
        <w:jc w:val="center"/>
        <w:rPr>
          <w:rFonts w:ascii="Times New Roman" w:hAnsi="Times New Roman" w:cs="Times New Roman" w:eastAsiaTheme="minorEastAsia"/>
          <w:b/>
          <w:color w:val="auto"/>
          <w:sz w:val="21"/>
          <w:szCs w:val="21"/>
          <w:highlight w:val="none"/>
        </w:rPr>
      </w:pPr>
      <w:r>
        <w:rPr>
          <w:rFonts w:ascii="Times New Roman" w:cs="Times New Roman" w:hAnsiTheme="minorEastAsia" w:eastAsiaTheme="minorEastAsia"/>
          <w:b/>
          <w:color w:val="auto"/>
          <w:sz w:val="21"/>
          <w:szCs w:val="21"/>
          <w:highlight w:val="none"/>
        </w:rPr>
        <w:t>表</w:t>
      </w:r>
      <w:r>
        <w:rPr>
          <w:rFonts w:ascii="Times New Roman" w:hAnsi="Times New Roman" w:cs="Times New Roman" w:eastAsiaTheme="minorEastAsia"/>
          <w:b/>
          <w:color w:val="auto"/>
          <w:sz w:val="21"/>
          <w:szCs w:val="21"/>
          <w:highlight w:val="none"/>
        </w:rPr>
        <w:t>7.1.2</w:t>
      </w:r>
      <w:r>
        <w:rPr>
          <w:rFonts w:hint="eastAsia" w:ascii="Times New Roman" w:hAnsi="Times New Roman" w:cs="Times New Roman" w:eastAsiaTheme="minorEastAsia"/>
          <w:b/>
          <w:color w:val="auto"/>
          <w:sz w:val="21"/>
          <w:szCs w:val="21"/>
          <w:highlight w:val="none"/>
        </w:rPr>
        <w:t xml:space="preserve">  双向板</w:t>
      </w:r>
      <w:r>
        <w:rPr>
          <w:rFonts w:ascii="Times New Roman" w:cs="Times New Roman" w:hAnsiTheme="minorEastAsia" w:eastAsiaTheme="minorEastAsia"/>
          <w:b/>
          <w:color w:val="auto"/>
          <w:sz w:val="21"/>
          <w:szCs w:val="21"/>
          <w:highlight w:val="none"/>
        </w:rPr>
        <w:t>耐火保护层最小厚度</w:t>
      </w:r>
    </w:p>
    <w:tbl>
      <w:tblPr>
        <w:tblStyle w:val="16"/>
        <w:tblW w:w="75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45" w:type="dxa"/>
          <w:bottom w:w="0" w:type="dxa"/>
          <w:right w:w="45" w:type="dxa"/>
        </w:tblCellMar>
      </w:tblPr>
      <w:tblGrid>
        <w:gridCol w:w="1997"/>
        <w:gridCol w:w="1309"/>
        <w:gridCol w:w="1417"/>
        <w:gridCol w:w="1417"/>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1" w:hRule="atLeast"/>
          <w:jc w:val="center"/>
        </w:trPr>
        <w:tc>
          <w:tcPr>
            <w:tcW w:w="1997" w:type="dxa"/>
            <w:vMerge w:val="restart"/>
            <w:tcBorders>
              <w:top w:val="single" w:color="auto" w:sz="1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约束条件</w:t>
            </w:r>
          </w:p>
        </w:tc>
        <w:tc>
          <w:tcPr>
            <w:tcW w:w="2726" w:type="dxa"/>
            <w:gridSpan w:val="2"/>
            <w:tcBorders>
              <w:top w:val="single" w:color="auto" w:sz="12" w:space="0"/>
              <w:bottom w:val="single" w:color="auto" w:sz="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1.0h</w:t>
            </w:r>
          </w:p>
        </w:tc>
        <w:tc>
          <w:tcPr>
            <w:tcW w:w="2834" w:type="dxa"/>
            <w:gridSpan w:val="2"/>
            <w:tcBorders>
              <w:top w:val="single" w:color="auto" w:sz="12" w:space="0"/>
              <w:bottom w:val="single" w:color="auto" w:sz="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rPr>
              <w:t>5</w:t>
            </w:r>
            <w:r>
              <w:rPr>
                <w:rFonts w:ascii="Times New Roman" w:hAnsi="Times New Roman" w:eastAsia="宋体" w:cs="Times New Roman"/>
                <w:color w:val="auto"/>
                <w:sz w:val="21"/>
                <w:szCs w:val="21"/>
                <w:highlight w:val="none"/>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543" w:hRule="atLeast"/>
          <w:jc w:val="center"/>
        </w:trPr>
        <w:tc>
          <w:tcPr>
            <w:tcW w:w="1997" w:type="dxa"/>
            <w:vMerge w:val="continue"/>
            <w:vAlign w:val="center"/>
          </w:tcPr>
          <w:p>
            <w:pPr>
              <w:spacing w:after="0"/>
              <w:jc w:val="center"/>
              <w:rPr>
                <w:rFonts w:ascii="Times New Roman" w:hAnsi="Times New Roman" w:eastAsia="宋体" w:cs="Times New Roman"/>
                <w:color w:val="auto"/>
                <w:sz w:val="21"/>
                <w:szCs w:val="21"/>
                <w:highlight w:val="none"/>
              </w:rPr>
            </w:pPr>
          </w:p>
        </w:tc>
        <w:tc>
          <w:tcPr>
            <w:tcW w:w="1309" w:type="dxa"/>
            <w:tcBorders>
              <w:top w:val="single" w:color="auto" w:sz="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板厚（</w:t>
            </w:r>
            <w:r>
              <w:rPr>
                <w:rFonts w:ascii="Times New Roman" w:hAnsi="Times New Roman" w:eastAsia="宋体" w:cs="Times New Roman"/>
                <w:color w:val="auto"/>
                <w:sz w:val="21"/>
                <w:szCs w:val="21"/>
                <w:highlight w:val="none"/>
              </w:rPr>
              <w:t>mm</w:t>
            </w:r>
            <w:r>
              <w:rPr>
                <w:rFonts w:ascii="Times New Roman" w:hAnsi="宋体" w:eastAsia="宋体" w:cs="Times New Roman"/>
                <w:color w:val="auto"/>
                <w:sz w:val="21"/>
                <w:szCs w:val="21"/>
                <w:highlight w:val="none"/>
              </w:rPr>
              <w:t>）</w:t>
            </w:r>
          </w:p>
        </w:tc>
        <w:tc>
          <w:tcPr>
            <w:tcW w:w="1417" w:type="dxa"/>
            <w:tcBorders>
              <w:top w:val="single" w:color="auto" w:sz="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保护层厚度（</w:t>
            </w:r>
            <w:r>
              <w:rPr>
                <w:rFonts w:ascii="Times New Roman" w:hAnsi="Times New Roman" w:eastAsia="宋体" w:cs="Times New Roman"/>
                <w:color w:val="auto"/>
                <w:sz w:val="21"/>
                <w:szCs w:val="21"/>
                <w:highlight w:val="none"/>
              </w:rPr>
              <w:t>mm</w:t>
            </w:r>
            <w:r>
              <w:rPr>
                <w:rFonts w:ascii="Times New Roman" w:hAnsi="宋体" w:eastAsia="宋体" w:cs="Times New Roman"/>
                <w:color w:val="auto"/>
                <w:sz w:val="21"/>
                <w:szCs w:val="21"/>
                <w:highlight w:val="none"/>
              </w:rPr>
              <w:t>）</w:t>
            </w:r>
          </w:p>
        </w:tc>
        <w:tc>
          <w:tcPr>
            <w:tcW w:w="1417" w:type="dxa"/>
            <w:tcBorders>
              <w:top w:val="single" w:color="auto" w:sz="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板厚（</w:t>
            </w:r>
            <w:r>
              <w:rPr>
                <w:rFonts w:ascii="Times New Roman" w:hAnsi="Times New Roman" w:eastAsia="宋体" w:cs="Times New Roman"/>
                <w:color w:val="auto"/>
                <w:sz w:val="21"/>
                <w:szCs w:val="21"/>
                <w:highlight w:val="none"/>
              </w:rPr>
              <w:t>mm</w:t>
            </w:r>
            <w:r>
              <w:rPr>
                <w:rFonts w:ascii="Times New Roman" w:hAnsi="宋体" w:eastAsia="宋体" w:cs="Times New Roman"/>
                <w:color w:val="auto"/>
                <w:sz w:val="21"/>
                <w:szCs w:val="21"/>
                <w:highlight w:val="none"/>
              </w:rPr>
              <w:t>）</w:t>
            </w:r>
          </w:p>
        </w:tc>
        <w:tc>
          <w:tcPr>
            <w:tcW w:w="1417" w:type="dxa"/>
            <w:tcBorders>
              <w:top w:val="single" w:color="auto" w:sz="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保护层厚度（</w:t>
            </w:r>
            <w:r>
              <w:rPr>
                <w:rFonts w:ascii="Times New Roman" w:hAnsi="Times New Roman" w:eastAsia="宋体" w:cs="Times New Roman"/>
                <w:color w:val="auto"/>
                <w:sz w:val="21"/>
                <w:szCs w:val="21"/>
                <w:highlight w:val="none"/>
              </w:rPr>
              <w:t>mm</w:t>
            </w:r>
            <w:r>
              <w:rPr>
                <w:rFonts w:ascii="Times New Roman" w:hAnsi="宋体" w:eastAsia="宋体"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416" w:hRule="atLeast"/>
          <w:jc w:val="center"/>
        </w:trPr>
        <w:tc>
          <w:tcPr>
            <w:tcW w:w="1997" w:type="dxa"/>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简支</w:t>
            </w:r>
          </w:p>
        </w:tc>
        <w:tc>
          <w:tcPr>
            <w:tcW w:w="1309"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417"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22</w:t>
            </w:r>
          </w:p>
        </w:tc>
        <w:tc>
          <w:tcPr>
            <w:tcW w:w="1417"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417"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30</w:t>
            </w:r>
            <w:r>
              <w:rPr>
                <w:rFonts w:ascii="Times New Roman" w:hAnsi="Times New Roman" w:eastAsia="宋体" w:cs="Times New Roman"/>
                <w:color w:val="auto"/>
                <w:sz w:val="21"/>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463" w:hRule="atLeast"/>
          <w:jc w:val="center"/>
        </w:trPr>
        <w:tc>
          <w:tcPr>
            <w:tcW w:w="1997" w:type="dxa"/>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连续</w:t>
            </w:r>
          </w:p>
        </w:tc>
        <w:tc>
          <w:tcPr>
            <w:tcW w:w="1309"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110</w:t>
            </w:r>
          </w:p>
        </w:tc>
        <w:tc>
          <w:tcPr>
            <w:tcW w:w="1417"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15</w:t>
            </w:r>
          </w:p>
        </w:tc>
        <w:tc>
          <w:tcPr>
            <w:tcW w:w="1417"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110</w:t>
            </w:r>
          </w:p>
        </w:tc>
        <w:tc>
          <w:tcPr>
            <w:tcW w:w="1417"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w:t>
            </w:r>
          </w:p>
        </w:tc>
      </w:tr>
    </w:tbl>
    <w:p>
      <w:pPr>
        <w:widowControl w:val="0"/>
        <w:tabs>
          <w:tab w:val="left" w:pos="735"/>
        </w:tabs>
        <w:spacing w:before="156" w:beforeLines="50" w:after="0" w:line="360" w:lineRule="auto"/>
        <w:jc w:val="both"/>
        <w:outlineLvl w:val="2"/>
        <w:rPr>
          <w:rFonts w:ascii="Times New Roman" w:hAnsi="Times New Roman" w:eastAsia="宋体" w:cs="Times New Roman"/>
          <w:strike/>
          <w:color w:val="auto"/>
          <w:sz w:val="24"/>
          <w:szCs w:val="24"/>
          <w:highlight w:val="none"/>
        </w:rPr>
      </w:pPr>
      <w:r>
        <w:rPr>
          <w:rFonts w:hint="eastAsia" w:ascii="Times New Roman" w:hAnsi="Times New Roman" w:eastAsia="宋体" w:cs="Times New Roman"/>
          <w:b/>
          <w:color w:val="auto"/>
          <w:sz w:val="24"/>
          <w:szCs w:val="24"/>
          <w:highlight w:val="none"/>
        </w:rPr>
        <w:t>7.1.3</w:t>
      </w:r>
      <w:r>
        <w:rPr>
          <w:rFonts w:hint="eastAsia" w:ascii="Times New Roman" w:hAnsi="Times New Roman" w:eastAsia="宋体" w:cs="Times New Roman"/>
          <w:color w:val="auto"/>
          <w:sz w:val="24"/>
          <w:szCs w:val="24"/>
          <w:highlight w:val="none"/>
        </w:rPr>
        <w:t xml:space="preserve">  支架预应力混凝土叠合板</w:t>
      </w:r>
      <w:r>
        <w:rPr>
          <w:rFonts w:ascii="Times New Roman" w:hAnsi="Times New Roman" w:eastAsia="宋体" w:cs="Times New Roman"/>
          <w:color w:val="auto"/>
          <w:sz w:val="24"/>
          <w:szCs w:val="24"/>
          <w:highlight w:val="none"/>
        </w:rPr>
        <w:t>预制底板与后浇混凝土之间的结合面宜设置粗糙面</w:t>
      </w:r>
      <w:r>
        <w:rPr>
          <w:rFonts w:hint="eastAsia" w:ascii="Times New Roman" w:hAnsi="Times New Roman" w:eastAsia="宋体" w:cs="Times New Roman"/>
          <w:color w:val="auto"/>
          <w:sz w:val="24"/>
          <w:szCs w:val="24"/>
          <w:highlight w:val="none"/>
        </w:rPr>
        <w:t>，粗糙面应</w:t>
      </w:r>
      <w:bookmarkStart w:id="48" w:name="_Hlk111656615"/>
      <w:r>
        <w:rPr>
          <w:rFonts w:hint="eastAsia" w:ascii="Times New Roman" w:hAnsi="Times New Roman" w:eastAsia="宋体" w:cs="Times New Roman"/>
          <w:color w:val="auto"/>
          <w:sz w:val="24"/>
          <w:szCs w:val="24"/>
          <w:highlight w:val="none"/>
        </w:rPr>
        <w:t>满足</w:t>
      </w:r>
      <w:bookmarkStart w:id="49" w:name="_Hlk111627402"/>
      <w:r>
        <w:rPr>
          <w:rFonts w:hint="eastAsia" w:ascii="Times New Roman" w:hAnsi="Times New Roman" w:eastAsia="宋体" w:cs="Times New Roman"/>
          <w:color w:val="auto"/>
          <w:sz w:val="24"/>
          <w:szCs w:val="24"/>
          <w:highlight w:val="none"/>
        </w:rPr>
        <w:t>现行行业标准《装配式混凝土结构技术规程》</w:t>
      </w:r>
      <w:r>
        <w:rPr>
          <w:rFonts w:ascii="Times New Roman" w:hAnsi="Times New Roman" w:eastAsia="宋体" w:cs="Times New Roman"/>
          <w:color w:val="auto"/>
          <w:sz w:val="24"/>
          <w:szCs w:val="24"/>
          <w:highlight w:val="none"/>
        </w:rPr>
        <w:t>JGJ</w:t>
      </w:r>
      <w:r>
        <w:rPr>
          <w:rFonts w:hint="eastAsia" w:ascii="Times New Roman" w:hAnsi="Times New Roman" w:eastAsia="宋体" w:cs="Times New Roman"/>
          <w:color w:val="auto"/>
          <w:sz w:val="24"/>
          <w:szCs w:val="24"/>
          <w:highlight w:val="none"/>
        </w:rPr>
        <w:t xml:space="preserve"> 1的相关规定</w:t>
      </w:r>
      <w:bookmarkEnd w:id="48"/>
      <w:bookmarkEnd w:id="49"/>
      <w:r>
        <w:rPr>
          <w:rFonts w:hint="eastAsia" w:ascii="Times New Roman" w:hAnsi="Times New Roman" w:eastAsia="宋体" w:cs="Times New Roman"/>
          <w:color w:val="auto"/>
          <w:sz w:val="24"/>
          <w:szCs w:val="24"/>
          <w:highlight w:val="none"/>
        </w:rPr>
        <w:t>。</w:t>
      </w:r>
    </w:p>
    <w:p>
      <w:pPr>
        <w:spacing w:after="0" w:line="360" w:lineRule="auto"/>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7.1.4</w:t>
      </w:r>
      <w:r>
        <w:rPr>
          <w:rFonts w:hint="eastAsia" w:ascii="Times New Roman" w:hAnsi="Times New Roman" w:eastAsia="宋体" w:cs="Times New Roman"/>
          <w:color w:val="auto"/>
          <w:sz w:val="24"/>
          <w:szCs w:val="24"/>
          <w:highlight w:val="none"/>
        </w:rPr>
        <w:t xml:space="preserve">   当按设计要求需设置现浇板带时，现浇板带的设置及配筋要求应符合现行国家标准《混凝土结构设计规范》GB 50010的规定。 </w:t>
      </w:r>
    </w:p>
    <w:p>
      <w:pPr>
        <w:pStyle w:val="25"/>
        <w:spacing w:beforeLines="0" w:after="156" w:afterLines="50" w:line="360" w:lineRule="auto"/>
        <w:rPr>
          <w:rFonts w:hAnsi="宋体"/>
          <w:color w:val="auto"/>
          <w:highlight w:val="none"/>
        </w:rPr>
      </w:pPr>
      <w:bookmarkStart w:id="50" w:name="_Toc111709521"/>
      <w:r>
        <w:rPr>
          <w:rFonts w:hAnsi="宋体"/>
          <w:color w:val="auto"/>
          <w:highlight w:val="none"/>
        </w:rPr>
        <w:t>7.</w:t>
      </w:r>
      <w:r>
        <w:rPr>
          <w:rFonts w:hint="eastAsia" w:hAnsi="宋体"/>
          <w:color w:val="auto"/>
          <w:highlight w:val="none"/>
        </w:rPr>
        <w:t>2矩形钢管及钢筋连接</w:t>
      </w:r>
      <w:bookmarkEnd w:id="50"/>
    </w:p>
    <w:p>
      <w:pPr>
        <w:widowControl w:val="0"/>
        <w:tabs>
          <w:tab w:val="left" w:pos="735"/>
        </w:tabs>
        <w:spacing w:after="0" w:line="360" w:lineRule="auto"/>
        <w:jc w:val="both"/>
        <w:outlineLvl w:val="2"/>
        <w:rPr>
          <w:rFonts w:ascii="Times New Roman" w:hAnsi="Times New Roman" w:eastAsia="宋体" w:cs="Times New Roman"/>
          <w:color w:val="auto"/>
          <w:sz w:val="24"/>
          <w:szCs w:val="24"/>
          <w:highlight w:val="none"/>
        </w:rPr>
      </w:pPr>
      <w:r>
        <w:rPr>
          <w:rFonts w:hint="eastAsia" w:ascii="Times New Roman" w:hAnsi="宋体" w:eastAsia="宋体" w:cs="Times New Roman"/>
          <w:b/>
          <w:color w:val="auto"/>
          <w:sz w:val="24"/>
          <w:szCs w:val="24"/>
          <w:highlight w:val="none"/>
        </w:rPr>
        <w:t xml:space="preserve">7.2.1   </w:t>
      </w:r>
      <w:r>
        <w:rPr>
          <w:rFonts w:hint="eastAsia" w:ascii="Times New Roman" w:hAnsi="宋体" w:eastAsia="宋体" w:cs="Times New Roman"/>
          <w:color w:val="auto"/>
          <w:sz w:val="24"/>
          <w:szCs w:val="24"/>
          <w:highlight w:val="none"/>
        </w:rPr>
        <w:t>矩形钢管</w:t>
      </w:r>
      <w:r>
        <w:rPr>
          <w:rFonts w:ascii="Times New Roman" w:hAnsi="宋体" w:eastAsia="宋体" w:cs="Times New Roman"/>
          <w:color w:val="auto"/>
          <w:sz w:val="24"/>
          <w:szCs w:val="24"/>
          <w:highlight w:val="none"/>
        </w:rPr>
        <w:t>桁架</w:t>
      </w:r>
      <w:r>
        <w:rPr>
          <w:rFonts w:ascii="Times New Roman" w:hAnsi="宋体" w:eastAsia="宋体" w:cs="Times New Roman"/>
          <w:color w:val="auto"/>
          <w:sz w:val="24"/>
          <w:szCs w:val="24"/>
          <w:highlight w:val="none"/>
        </w:rPr>
        <w:t>的尺寸应符合下列要求：</w:t>
      </w:r>
    </w:p>
    <w:p>
      <w:pPr>
        <w:widowControl w:val="0"/>
        <w:tabs>
          <w:tab w:val="left" w:pos="735"/>
        </w:tabs>
        <w:spacing w:after="0" w:line="360" w:lineRule="auto"/>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1 </w:t>
      </w:r>
      <w:r>
        <w:rPr>
          <w:rFonts w:hint="eastAsia" w:ascii="Times New Roman" w:hAnsi="宋体" w:eastAsia="宋体" w:cs="Times New Roman"/>
          <w:color w:val="auto"/>
          <w:sz w:val="24"/>
          <w:szCs w:val="24"/>
          <w:highlight w:val="none"/>
        </w:rPr>
        <w:t>矩形钢管</w:t>
      </w:r>
      <w:r>
        <w:rPr>
          <w:rFonts w:ascii="Times New Roman" w:hAnsi="宋体" w:eastAsia="宋体" w:cs="Times New Roman"/>
          <w:color w:val="auto"/>
          <w:sz w:val="24"/>
          <w:szCs w:val="24"/>
          <w:highlight w:val="none"/>
        </w:rPr>
        <w:t>桁架的设计高度</w:t>
      </w:r>
      <w:r>
        <w:rPr>
          <w:rFonts w:ascii="Times New Roman" w:hAnsi="Times New Roman" w:eastAsia="宋体" w:cs="Times New Roman"/>
          <w:color w:val="auto"/>
          <w:sz w:val="24"/>
          <w:szCs w:val="24"/>
          <w:highlight w:val="none"/>
        </w:rPr>
        <w:t>H</w:t>
      </w:r>
      <w:r>
        <w:rPr>
          <w:rFonts w:ascii="Times New Roman" w:hAnsi="宋体" w:eastAsia="宋体" w:cs="Times New Roman"/>
          <w:color w:val="auto"/>
          <w:sz w:val="24"/>
          <w:szCs w:val="24"/>
          <w:highlight w:val="none"/>
        </w:rPr>
        <w:t>不宜小于</w:t>
      </w:r>
      <w:r>
        <w:rPr>
          <w:rFonts w:ascii="Times New Roman" w:hAnsi="Times New Roman" w:eastAsia="宋体" w:cs="Times New Roman"/>
          <w:color w:val="auto"/>
          <w:sz w:val="24"/>
          <w:szCs w:val="24"/>
          <w:highlight w:val="none"/>
        </w:rPr>
        <w:t>105mm</w:t>
      </w:r>
      <w:r>
        <w:rPr>
          <w:rFonts w:ascii="Times New Roman" w:hAnsi="宋体" w:eastAsia="宋体" w:cs="Times New Roman"/>
          <w:color w:val="auto"/>
          <w:sz w:val="24"/>
          <w:szCs w:val="24"/>
          <w:highlight w:val="none"/>
        </w:rPr>
        <w:t>；</w:t>
      </w:r>
    </w:p>
    <w:p>
      <w:pPr>
        <w:widowControl w:val="0"/>
        <w:tabs>
          <w:tab w:val="left" w:pos="735"/>
        </w:tabs>
        <w:spacing w:after="0" w:line="360" w:lineRule="auto"/>
        <w:ind w:firstLine="480" w:firstLineChars="200"/>
        <w:jc w:val="both"/>
        <w:rPr>
          <w:rFonts w:ascii="Times New Roman" w:hAnsi="宋体"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2 </w:t>
      </w:r>
      <w:r>
        <w:rPr>
          <w:rFonts w:ascii="Times New Roman" w:hAnsi="宋体" w:eastAsia="宋体" w:cs="Times New Roman"/>
          <w:color w:val="auto"/>
          <w:sz w:val="24"/>
          <w:szCs w:val="24"/>
          <w:highlight w:val="none"/>
        </w:rPr>
        <w:t>腹杆钢筋</w:t>
      </w:r>
      <w:r>
        <w:rPr>
          <w:rFonts w:hint="eastAsia" w:ascii="Times New Roman" w:hAnsi="宋体" w:eastAsia="宋体" w:cs="Times New Roman"/>
          <w:color w:val="auto"/>
          <w:sz w:val="24"/>
          <w:szCs w:val="24"/>
          <w:highlight w:val="none"/>
        </w:rPr>
        <w:t>弯折点之间的</w:t>
      </w:r>
      <w:r>
        <w:rPr>
          <w:rFonts w:ascii="Times New Roman" w:hAnsi="宋体" w:eastAsia="宋体" w:cs="Times New Roman"/>
          <w:color w:val="auto"/>
          <w:sz w:val="24"/>
          <w:szCs w:val="24"/>
          <w:highlight w:val="none"/>
        </w:rPr>
        <w:t>中心间距</w:t>
      </w:r>
      <w:r>
        <w:rPr>
          <w:rFonts w:ascii="Times New Roman" w:hAnsi="Times New Roman" w:eastAsia="宋体" w:cs="Times New Roman"/>
          <w:color w:val="auto"/>
          <w:sz w:val="24"/>
          <w:szCs w:val="24"/>
          <w:highlight w:val="none"/>
        </w:rPr>
        <w:t>Ps</w:t>
      </w:r>
      <w:r>
        <w:rPr>
          <w:rFonts w:ascii="Times New Roman" w:hAnsi="宋体" w:eastAsia="宋体" w:cs="Times New Roman"/>
          <w:color w:val="auto"/>
          <w:sz w:val="24"/>
          <w:szCs w:val="24"/>
          <w:highlight w:val="none"/>
        </w:rPr>
        <w:t>宜取</w:t>
      </w:r>
      <w:r>
        <w:rPr>
          <w:rFonts w:ascii="Times New Roman" w:hAnsi="Times New Roman" w:eastAsia="宋体" w:cs="Times New Roman"/>
          <w:color w:val="auto"/>
          <w:sz w:val="24"/>
          <w:szCs w:val="24"/>
          <w:highlight w:val="none"/>
        </w:rPr>
        <w:t>200mm</w:t>
      </w:r>
      <w:r>
        <w:rPr>
          <w:rFonts w:ascii="Times New Roman" w:hAnsi="宋体" w:eastAsia="宋体" w:cs="Times New Roman"/>
          <w:color w:val="auto"/>
          <w:sz w:val="24"/>
          <w:szCs w:val="24"/>
          <w:highlight w:val="none"/>
        </w:rPr>
        <w:t>，且不应大于</w:t>
      </w:r>
      <w:r>
        <w:rPr>
          <w:rFonts w:ascii="Times New Roman" w:hAnsi="Times New Roman" w:eastAsia="宋体" w:cs="Times New Roman"/>
          <w:color w:val="auto"/>
          <w:sz w:val="24"/>
          <w:szCs w:val="24"/>
          <w:highlight w:val="none"/>
        </w:rPr>
        <w:t>200mm</w:t>
      </w:r>
      <w:r>
        <w:rPr>
          <w:rFonts w:hint="eastAsia" w:ascii="Times New Roman" w:hAnsi="宋体" w:eastAsia="宋体" w:cs="Times New Roman"/>
          <w:color w:val="auto"/>
          <w:sz w:val="24"/>
          <w:szCs w:val="24"/>
          <w:highlight w:val="none"/>
        </w:rPr>
        <w:t>：</w:t>
      </w:r>
    </w:p>
    <w:p>
      <w:pPr>
        <w:widowControl w:val="0"/>
        <w:tabs>
          <w:tab w:val="left" w:pos="735"/>
        </w:tabs>
        <w:spacing w:after="0" w:line="360" w:lineRule="auto"/>
        <w:ind w:firstLine="480" w:firstLineChars="200"/>
        <w:jc w:val="both"/>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t>3</w:t>
      </w:r>
      <w:r>
        <w:rPr>
          <w:rFonts w:hint="eastAsia" w:ascii="Times New Roman" w:hAnsi="宋体" w:eastAsia="宋体" w:cs="Times New Roman"/>
          <w:color w:val="auto"/>
          <w:sz w:val="24"/>
          <w:szCs w:val="24"/>
          <w:highlight w:val="none"/>
        </w:rPr>
        <w:t xml:space="preserve"> 矩形钢管桁架宜与预制底板长度相同：</w:t>
      </w:r>
    </w:p>
    <w:p>
      <w:pPr>
        <w:widowControl w:val="0"/>
        <w:tabs>
          <w:tab w:val="left" w:pos="735"/>
        </w:tabs>
        <w:spacing w:after="0" w:line="360" w:lineRule="auto"/>
        <w:ind w:firstLine="480" w:firstLineChars="200"/>
        <w:jc w:val="both"/>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4</w:t>
      </w:r>
      <w:r>
        <w:rPr>
          <w:rFonts w:ascii="Times New Roman" w:hAnsi="宋体" w:eastAsia="宋体" w:cs="Times New Roman"/>
          <w:color w:val="auto"/>
          <w:sz w:val="24"/>
          <w:szCs w:val="24"/>
          <w:highlight w:val="none"/>
        </w:rPr>
        <w:t xml:space="preserve"> </w:t>
      </w:r>
      <w:r>
        <w:rPr>
          <w:rFonts w:hint="eastAsia" w:ascii="Times New Roman" w:hAnsi="宋体" w:eastAsia="宋体" w:cs="Times New Roman"/>
          <w:color w:val="auto"/>
          <w:sz w:val="24"/>
          <w:szCs w:val="24"/>
          <w:highlight w:val="none"/>
        </w:rPr>
        <w:t>矩形钢管与腹杆钢筋连接可采用普通螺栓连接，螺栓直径不宜小于1</w:t>
      </w:r>
      <w:r>
        <w:rPr>
          <w:rFonts w:ascii="Times New Roman" w:hAnsi="宋体" w:eastAsia="宋体" w:cs="Times New Roman"/>
          <w:color w:val="auto"/>
          <w:sz w:val="24"/>
          <w:szCs w:val="24"/>
          <w:highlight w:val="none"/>
        </w:rPr>
        <w:t>4</w:t>
      </w:r>
      <w:r>
        <w:rPr>
          <w:rFonts w:hint="eastAsia" w:ascii="Times New Roman" w:hAnsi="宋体" w:eastAsia="宋体" w:cs="Times New Roman"/>
          <w:color w:val="auto"/>
          <w:sz w:val="24"/>
          <w:szCs w:val="24"/>
          <w:highlight w:val="none"/>
        </w:rPr>
        <w:t>mm，螺栓的材质、规格、拧紧力距、螺栓孔的允许偏差和孔壁表面粗糙度，应符合设计要求及现行国家标准</w:t>
      </w:r>
      <w:r>
        <w:rPr>
          <w:rFonts w:ascii="Times New Roman" w:hAnsi="Times New Roman" w:eastAsia="宋体" w:cs="Times New Roman"/>
          <w:color w:val="auto"/>
          <w:sz w:val="24"/>
          <w:szCs w:val="24"/>
          <w:highlight w:val="none"/>
        </w:rPr>
        <w:t>《钢结构设计标准》GB 50017</w:t>
      </w:r>
      <w:r>
        <w:rPr>
          <w:rFonts w:hint="eastAsia" w:ascii="Times New Roman" w:hAnsi="Times New Roman" w:eastAsia="宋体" w:cs="Times New Roman"/>
          <w:color w:val="auto"/>
          <w:sz w:val="24"/>
          <w:szCs w:val="24"/>
          <w:highlight w:val="none"/>
        </w:rPr>
        <w:t>和《钢结构工程施工质量验收标准》G</w:t>
      </w:r>
      <w:r>
        <w:rPr>
          <w:rFonts w:ascii="Times New Roman" w:hAnsi="Times New Roman" w:eastAsia="宋体" w:cs="Times New Roman"/>
          <w:color w:val="auto"/>
          <w:sz w:val="24"/>
          <w:szCs w:val="24"/>
          <w:highlight w:val="none"/>
        </w:rPr>
        <w:t>B 50205</w:t>
      </w:r>
      <w:r>
        <w:rPr>
          <w:rFonts w:hint="eastAsia" w:ascii="Times New Roman" w:hAnsi="Times New Roman" w:eastAsia="宋体" w:cs="Times New Roman"/>
          <w:color w:val="auto"/>
          <w:sz w:val="24"/>
          <w:szCs w:val="24"/>
          <w:highlight w:val="none"/>
        </w:rPr>
        <w:t>的有关规定。</w:t>
      </w:r>
    </w:p>
    <w:p>
      <w:pPr>
        <w:widowControl w:val="0"/>
        <w:tabs>
          <w:tab w:val="left" w:pos="735"/>
        </w:tabs>
        <w:spacing w:after="0" w:line="360" w:lineRule="auto"/>
        <w:jc w:val="center"/>
        <w:rPr>
          <w:rFonts w:ascii="Times New Roman" w:hAnsi="Times New Roman" w:eastAsia="宋体" w:cs="Times New Roman"/>
          <w:color w:val="auto"/>
          <w:sz w:val="24"/>
          <w:szCs w:val="24"/>
          <w:highlight w:val="none"/>
        </w:rPr>
      </w:pPr>
      <w:r>
        <w:rPr>
          <w:color w:val="auto"/>
          <w:highlight w:val="none"/>
        </w:rPr>
        <w:drawing>
          <wp:inline distT="0" distB="0" distL="0" distR="0">
            <wp:extent cx="3511550" cy="124968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9"/>
                    <a:stretch>
                      <a:fillRect/>
                    </a:stretch>
                  </pic:blipFill>
                  <pic:spPr>
                    <a:xfrm>
                      <a:off x="0" y="0"/>
                      <a:ext cx="3543809" cy="1261045"/>
                    </a:xfrm>
                    <a:prstGeom prst="rect">
                      <a:avLst/>
                    </a:prstGeom>
                  </pic:spPr>
                </pic:pic>
              </a:graphicData>
            </a:graphic>
          </wp:inline>
        </w:drawing>
      </w:r>
    </w:p>
    <w:p>
      <w:pPr>
        <w:autoSpaceDE w:val="0"/>
        <w:autoSpaceDN w:val="0"/>
        <w:spacing w:after="0"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图</w:t>
      </w:r>
      <w:r>
        <w:rPr>
          <w:rFonts w:hint="eastAsia" w:ascii="宋体" w:hAnsi="宋体" w:eastAsia="宋体"/>
          <w:color w:val="auto"/>
          <w:sz w:val="21"/>
          <w:szCs w:val="21"/>
          <w:highlight w:val="none"/>
        </w:rPr>
        <w:t>7.2.</w:t>
      </w:r>
      <w:r>
        <w:rPr>
          <w:rFonts w:ascii="宋体" w:hAnsi="宋体" w:eastAsia="宋体"/>
          <w:color w:val="auto"/>
          <w:sz w:val="21"/>
          <w:szCs w:val="21"/>
          <w:highlight w:val="none"/>
        </w:rPr>
        <w:t xml:space="preserve">1 </w:t>
      </w:r>
      <w:r>
        <w:rPr>
          <w:rFonts w:hint="eastAsia" w:ascii="宋体" w:hAnsi="宋体" w:eastAsia="宋体"/>
          <w:color w:val="auto"/>
          <w:sz w:val="21"/>
          <w:szCs w:val="21"/>
          <w:highlight w:val="none"/>
        </w:rPr>
        <w:t>矩形钢管</w:t>
      </w:r>
      <w:r>
        <w:rPr>
          <w:rFonts w:ascii="宋体" w:hAnsi="宋体" w:eastAsia="宋体"/>
          <w:color w:val="auto"/>
          <w:sz w:val="21"/>
          <w:szCs w:val="21"/>
          <w:highlight w:val="none"/>
        </w:rPr>
        <w:t>桁架示意</w:t>
      </w:r>
    </w:p>
    <w:p>
      <w:pPr>
        <w:autoSpaceDE w:val="0"/>
        <w:autoSpaceDN w:val="0"/>
        <w:spacing w:line="300" w:lineRule="auto"/>
        <w:jc w:val="center"/>
        <w:rPr>
          <w:rFonts w:ascii="Times New Roman" w:hAnsi="Times New Roman" w:eastAsia="宋体" w:cs="Times New Roman"/>
          <w:color w:val="auto"/>
          <w:sz w:val="18"/>
          <w:szCs w:val="21"/>
          <w:highlight w:val="none"/>
        </w:rPr>
      </w:pPr>
      <w:r>
        <w:rPr>
          <w:rFonts w:ascii="Times New Roman" w:hAnsi="Times New Roman" w:eastAsia="宋体" w:cs="Times New Roman"/>
          <w:color w:val="auto"/>
          <w:sz w:val="18"/>
          <w:szCs w:val="21"/>
          <w:highlight w:val="none"/>
        </w:rPr>
        <w:t>1—</w:t>
      </w:r>
      <w:r>
        <w:rPr>
          <w:rFonts w:hint="eastAsia" w:ascii="Times New Roman" w:hAnsi="宋体" w:eastAsia="宋体" w:cs="Times New Roman"/>
          <w:color w:val="auto"/>
          <w:sz w:val="18"/>
          <w:szCs w:val="21"/>
          <w:highlight w:val="none"/>
        </w:rPr>
        <w:t>矩形钢管</w:t>
      </w:r>
      <w:r>
        <w:rPr>
          <w:rFonts w:ascii="Times New Roman" w:hAnsi="宋体" w:eastAsia="宋体" w:cs="Times New Roman"/>
          <w:color w:val="auto"/>
          <w:sz w:val="18"/>
          <w:szCs w:val="21"/>
          <w:highlight w:val="none"/>
        </w:rPr>
        <w:t>；</w:t>
      </w:r>
      <w:r>
        <w:rPr>
          <w:rFonts w:ascii="Times New Roman" w:hAnsi="Times New Roman" w:eastAsia="宋体" w:cs="Times New Roman"/>
          <w:color w:val="auto"/>
          <w:sz w:val="18"/>
          <w:szCs w:val="21"/>
          <w:highlight w:val="none"/>
        </w:rPr>
        <w:t>2—</w:t>
      </w:r>
      <w:r>
        <w:rPr>
          <w:rFonts w:ascii="Times New Roman" w:hAnsi="宋体" w:eastAsia="宋体" w:cs="Times New Roman"/>
          <w:color w:val="auto"/>
          <w:sz w:val="18"/>
          <w:szCs w:val="21"/>
          <w:highlight w:val="none"/>
        </w:rPr>
        <w:t>腹杆钢筋</w:t>
      </w:r>
    </w:p>
    <w:p>
      <w:pPr>
        <w:widowControl w:val="0"/>
        <w:tabs>
          <w:tab w:val="left" w:pos="735"/>
        </w:tabs>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w:t>
      </w:r>
      <w:r>
        <w:rPr>
          <w:rFonts w:hint="eastAsia" w:ascii="Times New Roman" w:hAnsi="Times New Roman" w:eastAsia="宋体" w:cs="Times New Roman"/>
          <w:b/>
          <w:color w:val="auto"/>
          <w:sz w:val="24"/>
          <w:szCs w:val="24"/>
          <w:highlight w:val="none"/>
        </w:rPr>
        <w:t>2</w:t>
      </w:r>
      <w:r>
        <w:rPr>
          <w:rFonts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rPr>
        <w:t>2</w:t>
      </w:r>
      <w:r>
        <w:rPr>
          <w:rFonts w:hint="eastAsia" w:ascii="Times New Roman" w:hAnsi="Times New Roman" w:eastAsia="宋体" w:cs="Times New Roman"/>
          <w:color w:val="auto"/>
          <w:sz w:val="24"/>
          <w:szCs w:val="24"/>
          <w:highlight w:val="none"/>
        </w:rPr>
        <w:t xml:space="preserve">   矩形钢管</w:t>
      </w:r>
      <w:r>
        <w:rPr>
          <w:rFonts w:ascii="Times New Roman" w:hAnsi="Times New Roman" w:eastAsia="宋体" w:cs="Times New Roman"/>
          <w:color w:val="auto"/>
          <w:sz w:val="24"/>
          <w:szCs w:val="24"/>
          <w:highlight w:val="none"/>
        </w:rPr>
        <w:t>桁架的布置应满足下列要求：</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hint="eastAsia" w:ascii="Times New Roman" w:hAnsi="Times New Roman" w:eastAsia="宋体" w:cs="Times New Roman"/>
          <w:b/>
          <w:color w:val="auto"/>
          <w:sz w:val="24"/>
          <w:szCs w:val="24"/>
          <w:highlight w:val="none"/>
        </w:rPr>
        <w:t xml:space="preserve">   </w:t>
      </w:r>
      <w:r>
        <w:rPr>
          <w:rFonts w:hint="eastAsia" w:ascii="Times New Roman" w:hAnsi="宋体" w:eastAsia="宋体" w:cs="Times New Roman"/>
          <w:color w:val="auto"/>
          <w:sz w:val="24"/>
          <w:szCs w:val="24"/>
          <w:highlight w:val="none"/>
        </w:rPr>
        <w:t>矩形钢管</w:t>
      </w:r>
      <w:r>
        <w:rPr>
          <w:rFonts w:ascii="Times New Roman" w:hAnsi="Times New Roman" w:eastAsia="宋体" w:cs="Times New Roman"/>
          <w:color w:val="auto"/>
          <w:sz w:val="24"/>
          <w:szCs w:val="24"/>
          <w:highlight w:val="none"/>
        </w:rPr>
        <w:t>桁架</w:t>
      </w:r>
      <w:r>
        <w:rPr>
          <w:rFonts w:hint="eastAsia" w:ascii="Times New Roman" w:hAnsi="Times New Roman" w:eastAsia="宋体" w:cs="Times New Roman"/>
          <w:color w:val="auto"/>
          <w:sz w:val="24"/>
          <w:szCs w:val="24"/>
          <w:highlight w:val="none"/>
        </w:rPr>
        <w:t>应与预应力钢筋方向一致，</w:t>
      </w:r>
      <w:r>
        <w:rPr>
          <w:rFonts w:ascii="Times New Roman" w:hAnsi="Times New Roman" w:eastAsia="宋体" w:cs="Times New Roman"/>
          <w:color w:val="auto"/>
          <w:sz w:val="24"/>
          <w:szCs w:val="24"/>
          <w:highlight w:val="none"/>
        </w:rPr>
        <w:t>沿桁架预制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板的长边方向布置；</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color w:val="auto"/>
          <w:sz w:val="24"/>
          <w:szCs w:val="24"/>
          <w:highlight w:val="none"/>
        </w:rPr>
        <w:t xml:space="preserve">   </w:t>
      </w:r>
      <w:r>
        <w:rPr>
          <w:rFonts w:hint="eastAsia" w:ascii="Times New Roman" w:hAnsi="宋体" w:eastAsia="宋体" w:cs="Times New Roman"/>
          <w:color w:val="auto"/>
          <w:sz w:val="24"/>
          <w:szCs w:val="24"/>
          <w:highlight w:val="none"/>
        </w:rPr>
        <w:t>矩形钢管</w:t>
      </w:r>
      <w:r>
        <w:rPr>
          <w:rFonts w:ascii="Times New Roman" w:hAnsi="Times New Roman" w:eastAsia="宋体" w:cs="Times New Roman"/>
          <w:color w:val="auto"/>
          <w:sz w:val="24"/>
          <w:szCs w:val="24"/>
          <w:highlight w:val="none"/>
        </w:rPr>
        <w:t>桁架中心线至预制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板板边的距离不宜大于</w:t>
      </w:r>
      <w:r>
        <w:rPr>
          <w:rFonts w:ascii="Times New Roman" w:hAnsi="Times New Roman" w:eastAsia="宋体" w:cs="Times New Roman"/>
          <w:color w:val="auto"/>
          <w:sz w:val="24"/>
          <w:szCs w:val="24"/>
          <w:highlight w:val="none"/>
        </w:rPr>
        <w:t>300</w:t>
      </w:r>
      <w:r>
        <w:rPr>
          <w:rFonts w:ascii="Times New Roman" w:hAnsi="Times New Roman" w:eastAsia="宋体" w:cs="Times New Roman"/>
          <w:color w:val="auto"/>
          <w:sz w:val="24"/>
          <w:szCs w:val="24"/>
          <w:highlight w:val="none"/>
        </w:rPr>
        <w:t>mm；</w:t>
      </w:r>
      <w:r>
        <w:rPr>
          <w:rFonts w:hint="eastAsia" w:ascii="Times New Roman" w:hAnsi="宋体" w:eastAsia="宋体" w:cs="Times New Roman"/>
          <w:color w:val="auto"/>
          <w:sz w:val="24"/>
          <w:szCs w:val="24"/>
          <w:highlight w:val="none"/>
        </w:rPr>
        <w:t>矩形钢管</w:t>
      </w:r>
      <w:r>
        <w:rPr>
          <w:rFonts w:ascii="Times New Roman" w:hAnsi="Times New Roman" w:eastAsia="宋体" w:cs="Times New Roman"/>
          <w:color w:val="auto"/>
          <w:sz w:val="24"/>
          <w:szCs w:val="24"/>
          <w:highlight w:val="none"/>
        </w:rPr>
        <w:t>桁架的间距不宜大于</w:t>
      </w:r>
      <w:r>
        <w:rPr>
          <w:rFonts w:hint="eastAsia" w:ascii="Times New Roman" w:hAnsi="Times New Roman" w:eastAsia="宋体" w:cs="Times New Roman"/>
          <w:color w:val="auto"/>
          <w:sz w:val="24"/>
          <w:szCs w:val="24"/>
          <w:highlight w:val="none"/>
        </w:rPr>
        <w:t>600</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z w:val="24"/>
          <w:szCs w:val="24"/>
          <w:highlight w:val="none"/>
        </w:rPr>
        <w:t>。</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腹杆钢筋</w:t>
      </w:r>
      <w:r>
        <w:rPr>
          <w:rFonts w:ascii="Times New Roman" w:hAnsi="Times New Roman" w:eastAsia="宋体" w:cs="Times New Roman"/>
          <w:color w:val="auto"/>
          <w:sz w:val="24"/>
          <w:szCs w:val="24"/>
          <w:highlight w:val="none"/>
        </w:rPr>
        <w:t>下表面埋入预制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板混凝土顶面的深度，不应小于</w:t>
      </w:r>
      <w:r>
        <w:rPr>
          <w:rFonts w:hint="eastAsia" w:ascii="Times New Roman" w:hAnsi="Times New Roman" w:eastAsia="宋体" w:cs="Times New Roman"/>
          <w:color w:val="auto"/>
          <w:sz w:val="24"/>
          <w:szCs w:val="24"/>
          <w:highlight w:val="none"/>
        </w:rPr>
        <w:t>25</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z w:val="24"/>
          <w:szCs w:val="24"/>
          <w:highlight w:val="none"/>
        </w:rPr>
        <w:t>矩形钢管</w:t>
      </w:r>
      <w:r>
        <w:rPr>
          <w:rFonts w:ascii="Times New Roman" w:hAnsi="Times New Roman" w:eastAsia="宋体" w:cs="Times New Roman"/>
          <w:color w:val="auto"/>
          <w:sz w:val="24"/>
          <w:szCs w:val="24"/>
          <w:highlight w:val="none"/>
        </w:rPr>
        <w:t>桁架</w:t>
      </w:r>
      <w:r>
        <w:rPr>
          <w:rFonts w:hint="eastAsia" w:ascii="Times New Roman" w:hAnsi="Times New Roman" w:eastAsia="宋体" w:cs="Times New Roman"/>
          <w:color w:val="auto"/>
          <w:sz w:val="24"/>
          <w:szCs w:val="24"/>
          <w:highlight w:val="none"/>
        </w:rPr>
        <w:t>下</w:t>
      </w:r>
      <w:r>
        <w:rPr>
          <w:rFonts w:ascii="Times New Roman" w:hAnsi="Times New Roman" w:eastAsia="宋体" w:cs="Times New Roman"/>
          <w:color w:val="auto"/>
          <w:sz w:val="24"/>
          <w:szCs w:val="24"/>
          <w:highlight w:val="none"/>
        </w:rPr>
        <w:t>表面露出预制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板混凝土顶面的高度，不</w:t>
      </w:r>
      <w:r>
        <w:rPr>
          <w:rFonts w:hint="eastAsia" w:ascii="Times New Roman" w:hAnsi="Times New Roman" w:eastAsia="宋体" w:cs="Times New Roman"/>
          <w:color w:val="auto"/>
          <w:sz w:val="24"/>
          <w:szCs w:val="24"/>
          <w:highlight w:val="none"/>
        </w:rPr>
        <w:t>应</w:t>
      </w:r>
      <w:r>
        <w:rPr>
          <w:rFonts w:ascii="Times New Roman" w:hAnsi="Times New Roman" w:eastAsia="宋体" w:cs="Times New Roman"/>
          <w:color w:val="auto"/>
          <w:sz w:val="24"/>
          <w:szCs w:val="24"/>
          <w:highlight w:val="none"/>
        </w:rPr>
        <w:t>小于</w:t>
      </w: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0m</w:t>
      </w:r>
      <w:r>
        <w:rPr>
          <w:rFonts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rPr>
        <w:t>。</w:t>
      </w:r>
    </w:p>
    <w:p>
      <w:pPr>
        <w:widowControl w:val="0"/>
        <w:tabs>
          <w:tab w:val="left" w:pos="735"/>
        </w:tabs>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7.2.</w:t>
      </w:r>
      <w:r>
        <w:rPr>
          <w:rFonts w:hint="eastAsia" w:ascii="Times New Roman" w:hAnsi="Times New Roman" w:eastAsia="宋体" w:cs="Times New Roman"/>
          <w:b/>
          <w:color w:val="auto"/>
          <w:sz w:val="24"/>
          <w:szCs w:val="24"/>
          <w:highlight w:val="none"/>
        </w:rPr>
        <w:t>3</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的</w:t>
      </w:r>
      <w:r>
        <w:rPr>
          <w:rFonts w:hint="eastAsia" w:ascii="Times New Roman" w:hAnsi="宋体" w:eastAsia="宋体" w:cs="Times New Roman"/>
          <w:color w:val="auto"/>
          <w:sz w:val="24"/>
          <w:szCs w:val="24"/>
          <w:highlight w:val="none"/>
        </w:rPr>
        <w:t>预应力</w:t>
      </w:r>
      <w:r>
        <w:rPr>
          <w:rFonts w:ascii="Times New Roman" w:hAnsi="宋体" w:eastAsia="宋体" w:cs="Times New Roman"/>
          <w:color w:val="auto"/>
          <w:sz w:val="24"/>
          <w:szCs w:val="24"/>
          <w:highlight w:val="none"/>
        </w:rPr>
        <w:t>钢筋应按计算配置，预应力</w:t>
      </w:r>
      <w:r>
        <w:rPr>
          <w:rFonts w:hint="eastAsia" w:ascii="Times New Roman" w:hAnsi="宋体" w:eastAsia="宋体" w:cs="Times New Roman"/>
          <w:color w:val="auto"/>
          <w:sz w:val="24"/>
          <w:szCs w:val="24"/>
          <w:highlight w:val="none"/>
        </w:rPr>
        <w:t>钢筋水平</w:t>
      </w:r>
      <w:r>
        <w:rPr>
          <w:rFonts w:ascii="Times New Roman" w:hAnsi="宋体" w:eastAsia="宋体" w:cs="Times New Roman"/>
          <w:color w:val="auto"/>
          <w:sz w:val="24"/>
          <w:szCs w:val="24"/>
          <w:highlight w:val="none"/>
        </w:rPr>
        <w:t>净距不应小于其公称直径</w:t>
      </w:r>
      <w:r>
        <w:rPr>
          <w:rFonts w:ascii="Times New Roman" w:hAnsi="Times New Roman" w:eastAsia="宋体" w:cs="Times New Roman"/>
          <w:color w:val="auto"/>
          <w:sz w:val="24"/>
          <w:szCs w:val="24"/>
          <w:highlight w:val="none"/>
        </w:rPr>
        <w:t>的2</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5倍和混凝土粗骨料最大粒径的1</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25倍，且不应小于15mm。</w:t>
      </w:r>
    </w:p>
    <w:p>
      <w:pPr>
        <w:widowControl w:val="0"/>
        <w:tabs>
          <w:tab w:val="left" w:pos="735"/>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7.2.</w:t>
      </w:r>
      <w:r>
        <w:rPr>
          <w:rFonts w:hint="eastAsia" w:ascii="Times New Roman" w:hAnsi="Times New Roman" w:eastAsia="宋体" w:cs="Times New Roman"/>
          <w:b/>
          <w:color w:val="auto"/>
          <w:sz w:val="24"/>
          <w:szCs w:val="24"/>
          <w:highlight w:val="none"/>
        </w:rPr>
        <w:t>4</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预制底板应配置横向水平分布筋，直径不应</w:t>
      </w:r>
      <w:r>
        <w:rPr>
          <w:rFonts w:ascii="Times New Roman" w:hAnsi="Times New Roman" w:eastAsia="宋体" w:cs="Times New Roman"/>
          <w:color w:val="auto"/>
          <w:sz w:val="24"/>
          <w:szCs w:val="24"/>
          <w:highlight w:val="none"/>
        </w:rPr>
        <w:t>小于</w:t>
      </w:r>
      <w:r>
        <w:rPr>
          <w:rFonts w:ascii="Times New Roman" w:hAnsi="Times New Roman" w:eastAsia="宋体" w:cs="Times New Roman"/>
          <w:color w:val="auto"/>
          <w:sz w:val="24"/>
          <w:szCs w:val="24"/>
          <w:highlight w:val="none"/>
        </w:rPr>
        <w:t>6</w:t>
      </w:r>
      <w:r>
        <w:rPr>
          <w:rFonts w:hint="eastAsia"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z w:val="24"/>
          <w:szCs w:val="24"/>
          <w:highlight w:val="none"/>
        </w:rPr>
        <w:t>，</w:t>
      </w:r>
      <w:r>
        <w:rPr>
          <w:rFonts w:hint="eastAsia" w:ascii="Times New Roman" w:hAnsi="宋体" w:eastAsia="宋体" w:cs="Times New Roman"/>
          <w:color w:val="auto"/>
          <w:sz w:val="24"/>
          <w:szCs w:val="24"/>
          <w:highlight w:val="none"/>
        </w:rPr>
        <w:t>间距不宜大于600mm；</w:t>
      </w:r>
      <w:r>
        <w:rPr>
          <w:rFonts w:ascii="Times New Roman" w:hAnsi="Times New Roman" w:eastAsia="宋体" w:cs="Times New Roman"/>
          <w:color w:val="auto"/>
          <w:sz w:val="24"/>
          <w:szCs w:val="24"/>
          <w:highlight w:val="none"/>
        </w:rPr>
        <w:t>端部100mm长度范围内应设置不小</w:t>
      </w:r>
      <w:r>
        <w:rPr>
          <w:rFonts w:ascii="Times New Roman" w:hAnsi="Times New Roman" w:eastAsia="宋体" w:cs="Times New Roman"/>
          <w:color w:val="auto"/>
          <w:sz w:val="24"/>
          <w:szCs w:val="24"/>
          <w:highlight w:val="none"/>
        </w:rPr>
        <w:t>于</w:t>
      </w:r>
      <w:r>
        <w:rPr>
          <w:rFonts w:ascii="Times New Roman" w:hAnsi="Times New Roman" w:eastAsia="宋体" w:cs="Times New Roman"/>
          <w:color w:val="auto"/>
          <w:sz w:val="24"/>
          <w:szCs w:val="24"/>
          <w:highlight w:val="none"/>
        </w:rPr>
        <w:t>3根</w:t>
      </w:r>
      <w:r>
        <w:rPr>
          <w:rFonts w:hint="eastAsia" w:ascii="Times New Roman" w:hAnsi="Times New Roman" w:eastAsia="宋体" w:cs="Times New Roman"/>
          <w:color w:val="auto"/>
          <w:sz w:val="24"/>
          <w:szCs w:val="24"/>
          <w:highlight w:val="none"/>
        </w:rPr>
        <w:t>φ</w:t>
      </w:r>
      <w:r>
        <w:rPr>
          <w:rFonts w:ascii="Times New Roman" w:hAnsi="Times New Roman" w:eastAsia="宋体" w:cs="Times New Roman"/>
          <w:color w:val="auto"/>
          <w:sz w:val="24"/>
          <w:szCs w:val="24"/>
          <w:highlight w:val="none"/>
        </w:rPr>
        <w:t>6</w:t>
      </w:r>
      <w:r>
        <w:rPr>
          <w:rFonts w:ascii="Times New Roman" w:hAnsi="Times New Roman" w:eastAsia="宋体" w:cs="Times New Roman"/>
          <w:color w:val="auto"/>
          <w:sz w:val="24"/>
          <w:szCs w:val="24"/>
          <w:highlight w:val="none"/>
        </w:rPr>
        <w:t>的</w:t>
      </w:r>
      <w:r>
        <w:rPr>
          <w:rFonts w:ascii="Times New Roman" w:hAnsi="Times New Roman" w:eastAsia="宋体" w:cs="Times New Roman"/>
          <w:color w:val="auto"/>
          <w:sz w:val="24"/>
          <w:szCs w:val="24"/>
          <w:highlight w:val="none"/>
        </w:rPr>
        <w:t>附加横向钢筋或钢筋网片。 </w:t>
      </w:r>
    </w:p>
    <w:p>
      <w:pPr>
        <w:widowControl w:val="0"/>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仿宋" w:cs="Times New Roman"/>
          <w:b/>
          <w:color w:val="auto"/>
          <w:sz w:val="24"/>
          <w:szCs w:val="24"/>
          <w:highlight w:val="none"/>
        </w:rPr>
        <w:t>7.2.5</w:t>
      </w:r>
      <w:r>
        <w:rPr>
          <w:rFonts w:hint="eastAsia" w:ascii="Times New Roman" w:hAnsi="Times New Roman" w:eastAsia="仿宋" w:cs="Times New Roman"/>
          <w:b/>
          <w:color w:val="auto"/>
          <w:sz w:val="24"/>
          <w:szCs w:val="24"/>
          <w:highlight w:val="none"/>
        </w:rPr>
        <w:t xml:space="preserve"> </w:t>
      </w:r>
      <w:r>
        <w:rPr>
          <w:rFonts w:ascii="Times New Roman" w:hAnsi="Times New Roman" w:eastAsia="仿宋" w:cs="Times New Roman"/>
          <w:b/>
          <w:color w:val="auto"/>
          <w:sz w:val="24"/>
          <w:szCs w:val="24"/>
          <w:highlight w:val="none"/>
        </w:rPr>
        <w:t xml:space="preserve"> </w:t>
      </w:r>
      <w:r>
        <w:rPr>
          <w:rFonts w:hint="eastAsia" w:ascii="Times New Roman" w:hAnsi="Times New Roman" w:eastAsia="仿宋" w:cs="Times New Roman"/>
          <w:b/>
          <w:color w:val="auto"/>
          <w:sz w:val="24"/>
          <w:szCs w:val="24"/>
          <w:highlight w:val="none"/>
        </w:rPr>
        <w:t xml:space="preserve">  </w:t>
      </w:r>
      <w:r>
        <w:rPr>
          <w:rFonts w:ascii="Times New Roman" w:eastAsia="宋体" w:cs="Times New Roman"/>
          <w:color w:val="auto"/>
          <w:sz w:val="24"/>
          <w:szCs w:val="24"/>
          <w:highlight w:val="none"/>
        </w:rPr>
        <w:t>腹杆钢筋与</w:t>
      </w:r>
      <w:r>
        <w:rPr>
          <w:rFonts w:hint="eastAsia" w:ascii="Times New Roman" w:eastAsia="宋体" w:cs="Times New Roman"/>
          <w:color w:val="auto"/>
          <w:sz w:val="24"/>
          <w:szCs w:val="24"/>
          <w:highlight w:val="none"/>
        </w:rPr>
        <w:t>矩形钢管</w:t>
      </w:r>
      <w:r>
        <w:rPr>
          <w:rFonts w:ascii="Times New Roman" w:eastAsia="宋体" w:cs="Times New Roman"/>
          <w:color w:val="auto"/>
          <w:sz w:val="24"/>
          <w:szCs w:val="24"/>
          <w:highlight w:val="none"/>
        </w:rPr>
        <w:t>之间采用</w:t>
      </w:r>
      <w:r>
        <w:rPr>
          <w:rFonts w:hint="eastAsia" w:ascii="Times New Roman" w:eastAsia="宋体" w:cs="Times New Roman"/>
          <w:color w:val="auto"/>
          <w:sz w:val="24"/>
          <w:szCs w:val="24"/>
          <w:highlight w:val="none"/>
        </w:rPr>
        <w:t>螺栓连接，螺栓强度不应低于主体结构，</w:t>
      </w:r>
      <w:r>
        <w:rPr>
          <w:rFonts w:hint="eastAsia" w:ascii="Times New Roman" w:hAnsi="宋体" w:eastAsia="宋体" w:cs="Times New Roman"/>
          <w:color w:val="auto"/>
          <w:sz w:val="24"/>
          <w:szCs w:val="24"/>
          <w:highlight w:val="none"/>
        </w:rPr>
        <w:t>螺栓孔的允许偏差和孔壁表面粗糙度应满足设计要求</w:t>
      </w:r>
      <w:r>
        <w:rPr>
          <w:rFonts w:ascii="Times New Roman" w:eastAsia="宋体" w:cs="Times New Roman"/>
          <w:color w:val="auto"/>
          <w:sz w:val="24"/>
          <w:szCs w:val="24"/>
          <w:highlight w:val="none"/>
        </w:rPr>
        <w:t>（图</w:t>
      </w:r>
      <w:r>
        <w:rPr>
          <w:rFonts w:ascii="Times New Roman" w:hAnsi="Times New Roman" w:eastAsia="宋体" w:cs="Times New Roman"/>
          <w:color w:val="auto"/>
          <w:sz w:val="24"/>
          <w:szCs w:val="24"/>
          <w:highlight w:val="none"/>
        </w:rPr>
        <w:t>7.2.5</w:t>
      </w:r>
      <w:r>
        <w:rPr>
          <w:rFonts w:ascii="Times New Roman" w:eastAsia="宋体" w:cs="Times New Roman"/>
          <w:color w:val="auto"/>
          <w:sz w:val="24"/>
          <w:szCs w:val="24"/>
          <w:highlight w:val="none"/>
        </w:rPr>
        <w:t>）</w:t>
      </w:r>
      <w:r>
        <w:rPr>
          <w:rFonts w:ascii="Times New Roman" w:eastAsia="宋体" w:cs="Times New Roman"/>
          <w:color w:val="auto"/>
          <w:sz w:val="24"/>
          <w:szCs w:val="24"/>
          <w:highlight w:val="none"/>
        </w:rPr>
        <w:t>。</w:t>
      </w:r>
    </w:p>
    <w:p>
      <w:pPr>
        <w:autoSpaceDE w:val="0"/>
        <w:autoSpaceDN w:val="0"/>
        <w:spacing w:line="300" w:lineRule="auto"/>
        <w:jc w:val="center"/>
        <w:rPr>
          <w:color w:val="auto"/>
          <w:szCs w:val="21"/>
          <w:highlight w:val="none"/>
        </w:rPr>
      </w:pPr>
      <w:r>
        <w:rPr>
          <w:color w:val="auto"/>
          <w:highlight w:val="none"/>
        </w:rPr>
        <w:drawing>
          <wp:inline distT="0" distB="0" distL="0" distR="0">
            <wp:extent cx="1821180" cy="1479550"/>
            <wp:effectExtent l="0" t="0" r="762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0"/>
                    <a:stretch>
                      <a:fillRect/>
                    </a:stretch>
                  </pic:blipFill>
                  <pic:spPr>
                    <a:xfrm>
                      <a:off x="0" y="0"/>
                      <a:ext cx="1896909" cy="1541240"/>
                    </a:xfrm>
                    <a:prstGeom prst="rect">
                      <a:avLst/>
                    </a:prstGeom>
                  </pic:spPr>
                </pic:pic>
              </a:graphicData>
            </a:graphic>
          </wp:inline>
        </w:drawing>
      </w:r>
    </w:p>
    <w:p>
      <w:pPr>
        <w:spacing w:after="0" w:line="36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图</w:t>
      </w:r>
      <w:r>
        <w:rPr>
          <w:rFonts w:hint="eastAsia" w:ascii="宋体" w:hAnsi="宋体" w:eastAsia="宋体"/>
          <w:color w:val="auto"/>
          <w:sz w:val="21"/>
          <w:szCs w:val="21"/>
          <w:highlight w:val="none"/>
        </w:rPr>
        <w:t>7.2.5</w:t>
      </w:r>
      <w:r>
        <w:rPr>
          <w:rFonts w:ascii="宋体" w:hAnsi="宋体" w:eastAsia="宋体"/>
          <w:color w:val="auto"/>
          <w:sz w:val="21"/>
          <w:szCs w:val="21"/>
          <w:highlight w:val="none"/>
        </w:rPr>
        <w:t xml:space="preserve"> 腹杆钢筋弯弧</w:t>
      </w:r>
      <w:r>
        <w:rPr>
          <w:rFonts w:hint="eastAsia" w:ascii="宋体" w:hAnsi="宋体" w:eastAsia="宋体"/>
          <w:color w:val="auto"/>
          <w:sz w:val="21"/>
          <w:szCs w:val="21"/>
          <w:highlight w:val="none"/>
        </w:rPr>
        <w:t>及与钢管连接</w:t>
      </w:r>
      <w:r>
        <w:rPr>
          <w:rFonts w:ascii="宋体" w:hAnsi="宋体" w:eastAsia="宋体"/>
          <w:color w:val="auto"/>
          <w:sz w:val="21"/>
          <w:szCs w:val="21"/>
          <w:highlight w:val="none"/>
        </w:rPr>
        <w:t>要求</w:t>
      </w:r>
      <w:r>
        <w:rPr>
          <w:rFonts w:hint="eastAsia" w:ascii="宋体" w:hAnsi="宋体" w:eastAsia="宋体"/>
          <w:color w:val="auto"/>
          <w:sz w:val="21"/>
          <w:szCs w:val="21"/>
          <w:highlight w:val="none"/>
        </w:rPr>
        <w:t xml:space="preserve"> </w:t>
      </w:r>
    </w:p>
    <w:p>
      <w:pPr>
        <w:autoSpaceDE w:val="0"/>
        <w:autoSpaceDN w:val="0"/>
        <w:spacing w:line="300" w:lineRule="auto"/>
        <w:jc w:val="center"/>
        <w:rPr>
          <w:rFonts w:ascii="宋体" w:hAnsi="宋体" w:eastAsia="宋体"/>
          <w:color w:val="auto"/>
          <w:sz w:val="18"/>
          <w:szCs w:val="21"/>
          <w:highlight w:val="none"/>
        </w:rPr>
      </w:pPr>
      <w:r>
        <w:rPr>
          <w:rFonts w:ascii="宋体" w:hAnsi="宋体" w:eastAsia="宋体"/>
          <w:color w:val="auto"/>
          <w:sz w:val="18"/>
          <w:szCs w:val="21"/>
          <w:highlight w:val="none"/>
        </w:rPr>
        <w:t>1—</w:t>
      </w:r>
      <w:r>
        <w:rPr>
          <w:rFonts w:hint="eastAsia" w:ascii="宋体" w:hAnsi="宋体" w:eastAsia="宋体"/>
          <w:color w:val="auto"/>
          <w:sz w:val="18"/>
          <w:szCs w:val="21"/>
          <w:highlight w:val="none"/>
        </w:rPr>
        <w:t>矩形钢管</w:t>
      </w:r>
      <w:r>
        <w:rPr>
          <w:rFonts w:ascii="宋体" w:hAnsi="宋体" w:eastAsia="宋体"/>
          <w:color w:val="auto"/>
          <w:sz w:val="18"/>
          <w:szCs w:val="21"/>
          <w:highlight w:val="none"/>
        </w:rPr>
        <w:t>；2—</w:t>
      </w:r>
      <w:r>
        <w:rPr>
          <w:rFonts w:hint="eastAsia" w:ascii="宋体" w:hAnsi="宋体" w:eastAsia="宋体"/>
          <w:color w:val="auto"/>
          <w:sz w:val="18"/>
          <w:szCs w:val="21"/>
          <w:highlight w:val="none"/>
        </w:rPr>
        <w:t>腹杆</w:t>
      </w:r>
      <w:r>
        <w:rPr>
          <w:rFonts w:ascii="宋体" w:hAnsi="宋体" w:eastAsia="宋体"/>
          <w:color w:val="auto"/>
          <w:sz w:val="18"/>
          <w:szCs w:val="21"/>
          <w:highlight w:val="none"/>
        </w:rPr>
        <w:t>钢筋；3—</w:t>
      </w:r>
      <w:r>
        <w:rPr>
          <w:rFonts w:hint="eastAsia" w:ascii="宋体" w:hAnsi="宋体" w:eastAsia="宋体"/>
          <w:color w:val="auto"/>
          <w:sz w:val="18"/>
          <w:szCs w:val="21"/>
          <w:highlight w:val="none"/>
        </w:rPr>
        <w:t>螺栓</w:t>
      </w:r>
    </w:p>
    <w:p>
      <w:pPr>
        <w:widowControl w:val="0"/>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7.2.6</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叠合</w:t>
      </w:r>
      <w:r>
        <w:rPr>
          <w:rFonts w:hint="eastAsia" w:ascii="Times New Roman" w:hAnsi="宋体" w:eastAsia="宋体" w:cs="Times New Roman"/>
          <w:color w:val="auto"/>
          <w:sz w:val="24"/>
          <w:szCs w:val="24"/>
          <w:highlight w:val="none"/>
        </w:rPr>
        <w:t>层</w:t>
      </w:r>
      <w:r>
        <w:rPr>
          <w:rFonts w:ascii="Times New Roman" w:hAnsi="宋体" w:eastAsia="宋体" w:cs="Times New Roman"/>
          <w:color w:val="auto"/>
          <w:sz w:val="24"/>
          <w:szCs w:val="24"/>
          <w:highlight w:val="none"/>
        </w:rPr>
        <w:t>中垂直于预应力钢筋方向的板底钢筋，应紧贴</w:t>
      </w:r>
      <w:r>
        <w:rPr>
          <w:rFonts w:hint="eastAsia" w:ascii="Times New Roman" w:hAnsi="宋体" w:eastAsia="宋体" w:cs="Times New Roman"/>
          <w:color w:val="auto"/>
          <w:sz w:val="24"/>
          <w:szCs w:val="24"/>
          <w:highlight w:val="none"/>
        </w:rPr>
        <w:t>预制</w:t>
      </w:r>
      <w:r>
        <w:rPr>
          <w:rFonts w:ascii="Times New Roman" w:hAnsi="宋体" w:eastAsia="宋体" w:cs="Times New Roman"/>
          <w:color w:val="auto"/>
          <w:sz w:val="24"/>
          <w:szCs w:val="24"/>
          <w:highlight w:val="none"/>
        </w:rPr>
        <w:t>底板上表面放置；</w:t>
      </w:r>
      <w:r>
        <w:rPr>
          <w:rFonts w:hint="eastAsia" w:ascii="Times New Roman" w:hAnsi="宋体" w:eastAsia="宋体" w:cs="Times New Roman"/>
          <w:color w:val="auto"/>
          <w:sz w:val="24"/>
          <w:szCs w:val="24"/>
          <w:highlight w:val="none"/>
        </w:rPr>
        <w:t>按双向板设计时，受力钢筋面积应按计算确定；按单向板设计时，应配置分布钢筋；叠合层内</w:t>
      </w:r>
      <w:r>
        <w:rPr>
          <w:rFonts w:ascii="Times New Roman" w:hAnsi="宋体" w:eastAsia="宋体" w:cs="Times New Roman"/>
          <w:color w:val="auto"/>
          <w:sz w:val="24"/>
          <w:szCs w:val="24"/>
          <w:highlight w:val="none"/>
        </w:rPr>
        <w:t>板底</w:t>
      </w:r>
      <w:r>
        <w:rPr>
          <w:rFonts w:hint="eastAsia" w:ascii="Times New Roman" w:hAnsi="宋体" w:eastAsia="宋体" w:cs="Times New Roman"/>
          <w:color w:val="auto"/>
          <w:sz w:val="24"/>
          <w:szCs w:val="24"/>
          <w:highlight w:val="none"/>
        </w:rPr>
        <w:t>及板顶</w:t>
      </w:r>
      <w:r>
        <w:rPr>
          <w:rFonts w:ascii="Times New Roman" w:hAnsi="宋体" w:eastAsia="宋体" w:cs="Times New Roman"/>
          <w:color w:val="auto"/>
          <w:sz w:val="24"/>
          <w:szCs w:val="24"/>
          <w:highlight w:val="none"/>
        </w:rPr>
        <w:t>钢筋</w:t>
      </w:r>
      <w:r>
        <w:rPr>
          <w:rFonts w:hint="eastAsia" w:ascii="Times New Roman" w:hAnsi="宋体" w:eastAsia="宋体" w:cs="Times New Roman"/>
          <w:color w:val="auto"/>
          <w:sz w:val="24"/>
          <w:szCs w:val="24"/>
          <w:highlight w:val="none"/>
        </w:rPr>
        <w:t>均</w:t>
      </w:r>
      <w:r>
        <w:rPr>
          <w:rFonts w:ascii="Times New Roman" w:hAnsi="宋体" w:eastAsia="宋体" w:cs="Times New Roman"/>
          <w:color w:val="auto"/>
          <w:sz w:val="24"/>
          <w:szCs w:val="24"/>
          <w:highlight w:val="none"/>
        </w:rPr>
        <w:t>应符合现行国家标准《混凝土结构设计规范》</w:t>
      </w:r>
      <w:r>
        <w:rPr>
          <w:rFonts w:ascii="Times New Roman" w:hAnsi="Times New Roman" w:eastAsia="宋体" w:cs="Times New Roman"/>
          <w:color w:val="auto"/>
          <w:sz w:val="24"/>
          <w:szCs w:val="24"/>
          <w:highlight w:val="none"/>
        </w:rPr>
        <w:t>GB 50010</w:t>
      </w:r>
      <w:r>
        <w:rPr>
          <w:rFonts w:ascii="Times New Roman" w:hAnsi="宋体" w:eastAsia="宋体" w:cs="Times New Roman"/>
          <w:color w:val="auto"/>
          <w:sz w:val="24"/>
          <w:szCs w:val="24"/>
          <w:highlight w:val="none"/>
        </w:rPr>
        <w:t>的规定</w:t>
      </w:r>
      <w:r>
        <w:rPr>
          <w:rFonts w:hint="eastAsia" w:ascii="Times New Roman" w:hAnsi="宋体" w:eastAsia="宋体" w:cs="Times New Roman"/>
          <w:color w:val="auto"/>
          <w:sz w:val="24"/>
          <w:szCs w:val="24"/>
          <w:highlight w:val="none"/>
        </w:rPr>
        <w:t>，</w:t>
      </w:r>
      <w:r>
        <w:rPr>
          <w:rFonts w:hint="eastAsia" w:ascii="Times New Roman" w:hAnsi="宋体" w:eastAsia="宋体" w:cs="Times New Roman"/>
          <w:color w:val="auto"/>
          <w:sz w:val="24"/>
          <w:szCs w:val="24"/>
          <w:highlight w:val="none"/>
        </w:rPr>
        <w:t>叠合板的预制板与后浇混凝土叠合层之间设置的抗剪构造钢筋应符合</w:t>
      </w:r>
      <w:r>
        <w:rPr>
          <w:rFonts w:hint="eastAsia" w:ascii="Times New Roman" w:hAnsi="Times New Roman" w:eastAsia="宋体" w:cs="Times New Roman"/>
          <w:color w:val="auto"/>
          <w:sz w:val="24"/>
          <w:szCs w:val="24"/>
          <w:highlight w:val="none"/>
        </w:rPr>
        <w:t>现行行业标准《装配式混凝土结构技术规程》</w:t>
      </w:r>
      <w:r>
        <w:rPr>
          <w:rFonts w:ascii="Times New Roman" w:hAnsi="Times New Roman" w:eastAsia="宋体" w:cs="Times New Roman"/>
          <w:color w:val="auto"/>
          <w:sz w:val="24"/>
          <w:szCs w:val="24"/>
          <w:highlight w:val="none"/>
        </w:rPr>
        <w:t>JGJ</w:t>
      </w:r>
      <w:r>
        <w:rPr>
          <w:rFonts w:hint="eastAsia" w:ascii="Times New Roman" w:hAnsi="Times New Roman" w:eastAsia="宋体" w:cs="Times New Roman"/>
          <w:color w:val="auto"/>
          <w:sz w:val="24"/>
          <w:szCs w:val="24"/>
          <w:highlight w:val="none"/>
        </w:rPr>
        <w:t xml:space="preserve"> 1的相关规定</w:t>
      </w:r>
      <w:r>
        <w:rPr>
          <w:rFonts w:ascii="Times New Roman" w:hAnsi="宋体" w:eastAsia="宋体" w:cs="Times New Roman"/>
          <w:color w:val="auto"/>
          <w:sz w:val="24"/>
          <w:szCs w:val="24"/>
          <w:highlight w:val="none"/>
        </w:rPr>
        <w:t>。</w:t>
      </w:r>
    </w:p>
    <w:p>
      <w:pPr>
        <w:widowControl w:val="0"/>
        <w:tabs>
          <w:tab w:val="left" w:pos="735"/>
        </w:tabs>
        <w:spacing w:after="0" w:line="360" w:lineRule="auto"/>
        <w:jc w:val="center"/>
        <w:rPr>
          <w:rFonts w:ascii="Times New Roman" w:hAnsi="Times New Roman" w:eastAsia="宋体" w:cs="Times New Roman"/>
          <w:color w:val="auto"/>
          <w:sz w:val="24"/>
          <w:szCs w:val="24"/>
          <w:highlight w:val="none"/>
        </w:rPr>
      </w:pPr>
      <w:r>
        <w:rPr>
          <w:color w:val="auto"/>
          <w:highlight w:val="none"/>
        </w:rPr>
        <w:drawing>
          <wp:inline distT="0" distB="0" distL="0" distR="0">
            <wp:extent cx="4165600" cy="1638300"/>
            <wp:effectExtent l="0" t="0" r="635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1"/>
                    <a:stretch>
                      <a:fillRect/>
                    </a:stretch>
                  </pic:blipFill>
                  <pic:spPr>
                    <a:xfrm>
                      <a:off x="0" y="0"/>
                      <a:ext cx="4247017" cy="1670279"/>
                    </a:xfrm>
                    <a:prstGeom prst="rect">
                      <a:avLst/>
                    </a:prstGeom>
                  </pic:spPr>
                </pic:pic>
              </a:graphicData>
            </a:graphic>
          </wp:inline>
        </w:drawing>
      </w:r>
    </w:p>
    <w:p>
      <w:pPr>
        <w:spacing w:after="0" w:line="36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图</w:t>
      </w:r>
      <w:r>
        <w:rPr>
          <w:rFonts w:hint="eastAsia" w:ascii="宋体" w:hAnsi="宋体" w:eastAsia="宋体"/>
          <w:color w:val="auto"/>
          <w:sz w:val="21"/>
          <w:szCs w:val="21"/>
          <w:highlight w:val="none"/>
        </w:rPr>
        <w:t>7.2.6</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 xml:space="preserve">叠合层内钢筋 </w:t>
      </w:r>
    </w:p>
    <w:p>
      <w:pPr>
        <w:autoSpaceDE w:val="0"/>
        <w:autoSpaceDN w:val="0"/>
        <w:spacing w:line="300" w:lineRule="auto"/>
        <w:jc w:val="center"/>
        <w:rPr>
          <w:rFonts w:ascii="宋体" w:hAnsi="宋体" w:eastAsia="宋体"/>
          <w:color w:val="auto"/>
          <w:sz w:val="18"/>
          <w:szCs w:val="21"/>
          <w:highlight w:val="none"/>
        </w:rPr>
      </w:pPr>
      <w:r>
        <w:rPr>
          <w:rFonts w:ascii="宋体" w:hAnsi="宋体" w:eastAsia="宋体"/>
          <w:color w:val="auto"/>
          <w:sz w:val="18"/>
          <w:szCs w:val="21"/>
          <w:highlight w:val="none"/>
        </w:rPr>
        <w:t>1—</w:t>
      </w:r>
      <w:r>
        <w:rPr>
          <w:rFonts w:hint="eastAsia" w:ascii="宋体" w:hAnsi="宋体" w:eastAsia="宋体"/>
          <w:color w:val="auto"/>
          <w:sz w:val="18"/>
          <w:szCs w:val="21"/>
          <w:highlight w:val="none"/>
        </w:rPr>
        <w:t>叠合层</w:t>
      </w:r>
      <w:r>
        <w:rPr>
          <w:rFonts w:ascii="宋体" w:hAnsi="宋体" w:eastAsia="宋体"/>
          <w:color w:val="auto"/>
          <w:sz w:val="18"/>
          <w:szCs w:val="21"/>
          <w:highlight w:val="none"/>
        </w:rPr>
        <w:t>板底钢筋；2—</w:t>
      </w:r>
      <w:r>
        <w:rPr>
          <w:rFonts w:hint="eastAsia" w:ascii="宋体" w:hAnsi="宋体" w:eastAsia="宋体"/>
          <w:color w:val="auto"/>
          <w:sz w:val="18"/>
          <w:szCs w:val="21"/>
          <w:highlight w:val="none"/>
        </w:rPr>
        <w:t>叠合层板顶钢筋</w:t>
      </w:r>
    </w:p>
    <w:p>
      <w:pPr>
        <w:widowControl w:val="0"/>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7.2.7</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板的吊点数量、吊点布置，应根据预制板大小、重量及起吊方式通过计算确定</w:t>
      </w:r>
      <w:r>
        <w:rPr>
          <w:rFonts w:hint="eastAsia" w:ascii="Times New Roman" w:hAnsi="Times New Roman" w:eastAsia="宋体" w:cs="Times New Roman"/>
          <w:color w:val="auto"/>
          <w:sz w:val="24"/>
          <w:szCs w:val="24"/>
          <w:highlight w:val="none"/>
        </w:rPr>
        <w:t>，并</w:t>
      </w:r>
      <w:r>
        <w:rPr>
          <w:rFonts w:ascii="Times New Roman" w:hAnsi="宋体" w:eastAsia="宋体" w:cs="Times New Roman"/>
          <w:color w:val="auto"/>
          <w:sz w:val="24"/>
          <w:szCs w:val="24"/>
          <w:highlight w:val="none"/>
        </w:rPr>
        <w:t>应符合现行国家标准《混凝土结构设计规范》</w:t>
      </w:r>
      <w:r>
        <w:rPr>
          <w:rFonts w:ascii="Times New Roman" w:hAnsi="Times New Roman" w:eastAsia="宋体" w:cs="Times New Roman"/>
          <w:color w:val="auto"/>
          <w:sz w:val="24"/>
          <w:szCs w:val="24"/>
          <w:highlight w:val="none"/>
        </w:rPr>
        <w:t>GB 50010</w:t>
      </w:r>
      <w:r>
        <w:rPr>
          <w:rFonts w:ascii="Times New Roman" w:hAnsi="宋体" w:eastAsia="宋体" w:cs="Times New Roman"/>
          <w:color w:val="auto"/>
          <w:sz w:val="24"/>
          <w:szCs w:val="24"/>
          <w:highlight w:val="none"/>
        </w:rPr>
        <w:t>和《混凝土结构工程施工规范》</w:t>
      </w:r>
      <w:r>
        <w:rPr>
          <w:rFonts w:ascii="Times New Roman" w:hAnsi="Times New Roman" w:eastAsia="宋体" w:cs="Times New Roman"/>
          <w:color w:val="auto"/>
          <w:sz w:val="24"/>
          <w:szCs w:val="24"/>
          <w:highlight w:val="none"/>
        </w:rPr>
        <w:t>GB 50666</w:t>
      </w:r>
      <w:r>
        <w:rPr>
          <w:rFonts w:ascii="Times New Roman" w:hAnsi="宋体" w:eastAsia="宋体" w:cs="Times New Roman"/>
          <w:color w:val="auto"/>
          <w:sz w:val="24"/>
          <w:szCs w:val="24"/>
          <w:highlight w:val="none"/>
        </w:rPr>
        <w:t>的规定。</w:t>
      </w:r>
    </w:p>
    <w:p>
      <w:pPr>
        <w:widowControl w:val="0"/>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7.2.</w:t>
      </w:r>
      <w:r>
        <w:rPr>
          <w:rFonts w:hint="eastAsia" w:ascii="Times New Roman" w:hAnsi="Times New Roman" w:eastAsia="宋体" w:cs="Times New Roman"/>
          <w:b/>
          <w:color w:val="auto"/>
          <w:sz w:val="24"/>
          <w:szCs w:val="24"/>
          <w:highlight w:val="none"/>
        </w:rPr>
        <w:t>8</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板宜采用</w:t>
      </w:r>
      <w:r>
        <w:rPr>
          <w:rFonts w:hint="eastAsia" w:ascii="Times New Roman" w:hAnsi="Times New Roman" w:eastAsia="宋体" w:cs="Times New Roman"/>
          <w:color w:val="auto"/>
          <w:sz w:val="24"/>
          <w:szCs w:val="24"/>
          <w:highlight w:val="none"/>
        </w:rPr>
        <w:t>矩形钢管</w:t>
      </w:r>
      <w:r>
        <w:rPr>
          <w:rFonts w:ascii="Times New Roman" w:hAnsi="Times New Roman" w:eastAsia="宋体" w:cs="Times New Roman"/>
          <w:color w:val="auto"/>
          <w:sz w:val="24"/>
          <w:szCs w:val="24"/>
          <w:highlight w:val="none"/>
        </w:rPr>
        <w:t>桁架兼做吊点，</w:t>
      </w:r>
      <w:r>
        <w:rPr>
          <w:rFonts w:hint="eastAsia" w:ascii="Times New Roman" w:hAnsi="Times New Roman" w:eastAsia="宋体" w:cs="Times New Roman"/>
          <w:color w:val="auto"/>
          <w:sz w:val="24"/>
          <w:szCs w:val="24"/>
          <w:highlight w:val="none"/>
        </w:rPr>
        <w:t>吊装时宜采用专用吊具。</w:t>
      </w:r>
      <w:r>
        <w:rPr>
          <w:rFonts w:ascii="Times New Roman" w:hAnsi="Times New Roman" w:eastAsia="宋体" w:cs="Times New Roman"/>
          <w:color w:val="auto"/>
          <w:sz w:val="24"/>
          <w:szCs w:val="24"/>
          <w:highlight w:val="none"/>
        </w:rPr>
        <w:t>采用</w:t>
      </w:r>
      <w:r>
        <w:rPr>
          <w:rFonts w:hint="eastAsia" w:ascii="Times New Roman" w:hAnsi="Times New Roman" w:eastAsia="宋体" w:cs="Times New Roman"/>
          <w:color w:val="auto"/>
          <w:sz w:val="24"/>
          <w:szCs w:val="24"/>
          <w:highlight w:val="none"/>
        </w:rPr>
        <w:t>矩形钢管</w:t>
      </w:r>
      <w:r>
        <w:rPr>
          <w:rFonts w:ascii="Times New Roman" w:hAnsi="Times New Roman" w:eastAsia="宋体" w:cs="Times New Roman"/>
          <w:color w:val="auto"/>
          <w:sz w:val="24"/>
          <w:szCs w:val="24"/>
          <w:highlight w:val="none"/>
        </w:rPr>
        <w:t>桁架兼做吊点</w:t>
      </w:r>
      <w:r>
        <w:rPr>
          <w:rFonts w:hint="eastAsia" w:ascii="Times New Roman" w:hAnsi="Times New Roman" w:eastAsia="宋体" w:cs="Times New Roman"/>
          <w:color w:val="auto"/>
          <w:sz w:val="24"/>
          <w:szCs w:val="24"/>
          <w:highlight w:val="none"/>
        </w:rPr>
        <w:t>时，</w:t>
      </w:r>
      <w:r>
        <w:rPr>
          <w:rFonts w:ascii="Times New Roman" w:hAnsi="Times New Roman" w:eastAsia="宋体" w:cs="Times New Roman"/>
          <w:color w:val="auto"/>
          <w:sz w:val="24"/>
          <w:szCs w:val="24"/>
          <w:highlight w:val="none"/>
        </w:rPr>
        <w:t>应满足下列要求：</w:t>
      </w:r>
    </w:p>
    <w:p>
      <w:pPr>
        <w:widowControl w:val="0"/>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1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吊点</w:t>
      </w:r>
      <w:r>
        <w:rPr>
          <w:rFonts w:hint="eastAsia" w:ascii="Times New Roman" w:hAnsi="Times New Roman" w:eastAsia="宋体" w:cs="Times New Roman"/>
          <w:color w:val="auto"/>
          <w:sz w:val="24"/>
          <w:szCs w:val="24"/>
          <w:highlight w:val="none"/>
        </w:rPr>
        <w:t>应设置在矩形钢管与腹杆钢筋相交处；</w:t>
      </w:r>
    </w:p>
    <w:p>
      <w:pPr>
        <w:widowControl w:val="0"/>
        <w:spacing w:after="0"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2 </w:t>
      </w:r>
      <w:r>
        <w:rPr>
          <w:rFonts w:ascii="Times New Roman" w:hAnsi="Times New Roman" w:eastAsia="宋体" w:cs="Times New Roman"/>
          <w:color w:val="auto"/>
          <w:sz w:val="24"/>
          <w:szCs w:val="24"/>
          <w:highlight w:val="none"/>
        </w:rPr>
        <w:t xml:space="preserve"> 吊点</w:t>
      </w:r>
      <w:r>
        <w:rPr>
          <w:rFonts w:hint="eastAsia" w:ascii="Times New Roman" w:hAnsi="Times New Roman" w:eastAsia="宋体" w:cs="Times New Roman"/>
          <w:color w:val="auto"/>
          <w:sz w:val="24"/>
          <w:szCs w:val="24"/>
          <w:highlight w:val="none"/>
        </w:rPr>
        <w:t>应对称布置</w:t>
      </w:r>
      <w:r>
        <w:rPr>
          <w:rFonts w:ascii="Times New Roman" w:hAnsi="Times New Roman" w:eastAsia="宋体" w:cs="Times New Roman"/>
          <w:color w:val="auto"/>
          <w:sz w:val="24"/>
          <w:szCs w:val="24"/>
          <w:highlight w:val="none"/>
        </w:rPr>
        <w:t>；</w:t>
      </w:r>
    </w:p>
    <w:p>
      <w:pPr>
        <w:widowControl w:val="0"/>
        <w:spacing w:after="0"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w:t>
      </w:r>
      <w:r>
        <w:rPr>
          <w:rFonts w:ascii="Times New Roman" w:hAnsi="Times New Roman" w:eastAsia="宋体" w:cs="Times New Roman"/>
          <w:color w:val="auto"/>
          <w:sz w:val="24"/>
          <w:szCs w:val="24"/>
          <w:highlight w:val="none"/>
        </w:rPr>
        <w:t xml:space="preserve">  吊点位置应设置明显标识（图</w:t>
      </w:r>
      <w:r>
        <w:rPr>
          <w:rFonts w:hint="eastAsia" w:ascii="Times New Roman" w:hAnsi="Times New Roman" w:eastAsia="宋体" w:cs="Times New Roman"/>
          <w:color w:val="auto"/>
          <w:sz w:val="24"/>
          <w:szCs w:val="24"/>
          <w:highlight w:val="none"/>
        </w:rPr>
        <w:t>7.2.8</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w:t>
      </w:r>
    </w:p>
    <w:p>
      <w:pPr>
        <w:widowControl w:val="0"/>
        <w:spacing w:after="0" w:line="360" w:lineRule="auto"/>
        <w:jc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sz w:val="24"/>
          <w:szCs w:val="24"/>
          <w:highlight w:val="none"/>
        </w:rPr>
        <w:t xml:space="preserve"> </w:t>
      </w:r>
      <w:r>
        <w:rPr>
          <w:color w:val="auto"/>
          <w:highlight w:val="none"/>
        </w:rPr>
        <w:drawing>
          <wp:inline distT="0" distB="0" distL="0" distR="0">
            <wp:extent cx="2880360" cy="129413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2"/>
                    <a:stretch>
                      <a:fillRect/>
                    </a:stretch>
                  </pic:blipFill>
                  <pic:spPr>
                    <a:xfrm>
                      <a:off x="0" y="0"/>
                      <a:ext cx="2945694" cy="1323736"/>
                    </a:xfrm>
                    <a:prstGeom prst="rect">
                      <a:avLst/>
                    </a:prstGeom>
                  </pic:spPr>
                </pic:pic>
              </a:graphicData>
            </a:graphic>
          </wp:inline>
        </w:drawing>
      </w:r>
    </w:p>
    <w:p>
      <w:pPr>
        <w:spacing w:after="0" w:line="36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图7.2.8</w:t>
      </w:r>
      <w:r>
        <w:rPr>
          <w:rFonts w:hint="eastAsia" w:ascii="宋体" w:hAnsi="宋体" w:eastAsia="宋体"/>
          <w:color w:val="auto"/>
          <w:sz w:val="21"/>
          <w:szCs w:val="21"/>
          <w:highlight w:val="none"/>
        </w:rPr>
        <w:t xml:space="preserve"> </w:t>
      </w:r>
      <w:r>
        <w:rPr>
          <w:rFonts w:ascii="宋体" w:hAnsi="宋体" w:eastAsia="宋体"/>
          <w:color w:val="auto"/>
          <w:sz w:val="21"/>
          <w:szCs w:val="21"/>
          <w:highlight w:val="none"/>
        </w:rPr>
        <w:t xml:space="preserve"> 吊点位置</w:t>
      </w:r>
      <w:r>
        <w:rPr>
          <w:rFonts w:hint="eastAsia" w:ascii="宋体" w:hAnsi="宋体" w:eastAsia="宋体"/>
          <w:color w:val="auto"/>
          <w:sz w:val="21"/>
          <w:szCs w:val="21"/>
          <w:highlight w:val="none"/>
        </w:rPr>
        <w:t>横向附加钢筋与</w:t>
      </w:r>
      <w:r>
        <w:rPr>
          <w:rFonts w:ascii="宋体" w:hAnsi="宋体" w:eastAsia="宋体"/>
          <w:color w:val="auto"/>
          <w:sz w:val="21"/>
          <w:szCs w:val="21"/>
          <w:highlight w:val="none"/>
        </w:rPr>
        <w:t>预制</w:t>
      </w:r>
      <w:r>
        <w:rPr>
          <w:rFonts w:hint="eastAsia" w:ascii="宋体" w:hAnsi="宋体" w:eastAsia="宋体"/>
          <w:color w:val="auto"/>
          <w:sz w:val="21"/>
          <w:szCs w:val="21"/>
          <w:highlight w:val="none"/>
        </w:rPr>
        <w:t>底</w:t>
      </w:r>
      <w:r>
        <w:rPr>
          <w:rFonts w:ascii="宋体" w:hAnsi="宋体" w:eastAsia="宋体"/>
          <w:color w:val="auto"/>
          <w:sz w:val="21"/>
          <w:szCs w:val="21"/>
          <w:highlight w:val="none"/>
        </w:rPr>
        <w:t>板内钢筋位置关系示意</w:t>
      </w:r>
    </w:p>
    <w:p>
      <w:pPr>
        <w:autoSpaceDE w:val="0"/>
        <w:autoSpaceDN w:val="0"/>
        <w:spacing w:line="300" w:lineRule="auto"/>
        <w:jc w:val="center"/>
        <w:rPr>
          <w:rFonts w:ascii="宋体" w:hAnsi="宋体" w:eastAsia="宋体"/>
          <w:color w:val="auto"/>
          <w:sz w:val="18"/>
          <w:szCs w:val="21"/>
          <w:highlight w:val="none"/>
        </w:rPr>
      </w:pPr>
      <w:r>
        <w:rPr>
          <w:rFonts w:ascii="宋体" w:hAnsi="宋体" w:eastAsia="宋体"/>
          <w:color w:val="auto"/>
          <w:sz w:val="18"/>
          <w:szCs w:val="21"/>
          <w:highlight w:val="none"/>
        </w:rPr>
        <w:t>1—</w:t>
      </w:r>
      <w:r>
        <w:rPr>
          <w:rFonts w:hint="eastAsia" w:ascii="宋体" w:hAnsi="宋体" w:eastAsia="宋体"/>
          <w:color w:val="auto"/>
          <w:sz w:val="18"/>
          <w:szCs w:val="21"/>
          <w:highlight w:val="none"/>
        </w:rPr>
        <w:t>矩形钢管</w:t>
      </w:r>
      <w:r>
        <w:rPr>
          <w:rFonts w:ascii="宋体" w:hAnsi="宋体" w:eastAsia="宋体"/>
          <w:color w:val="auto"/>
          <w:sz w:val="18"/>
          <w:szCs w:val="21"/>
          <w:highlight w:val="none"/>
        </w:rPr>
        <w:t>；2—</w:t>
      </w:r>
      <w:r>
        <w:rPr>
          <w:rFonts w:hint="eastAsia" w:ascii="宋体" w:hAnsi="宋体" w:eastAsia="宋体"/>
          <w:color w:val="auto"/>
          <w:sz w:val="18"/>
          <w:szCs w:val="21"/>
          <w:highlight w:val="none"/>
        </w:rPr>
        <w:t>腹杆</w:t>
      </w:r>
      <w:r>
        <w:rPr>
          <w:rFonts w:ascii="宋体" w:hAnsi="宋体" w:eastAsia="宋体"/>
          <w:color w:val="auto"/>
          <w:sz w:val="18"/>
          <w:szCs w:val="21"/>
          <w:highlight w:val="none"/>
        </w:rPr>
        <w:t>钢筋；3—</w:t>
      </w:r>
      <w:r>
        <w:rPr>
          <w:rFonts w:hint="eastAsia" w:ascii="宋体" w:hAnsi="宋体" w:eastAsia="宋体"/>
          <w:color w:val="auto"/>
          <w:sz w:val="18"/>
          <w:szCs w:val="21"/>
          <w:highlight w:val="none"/>
        </w:rPr>
        <w:t>吊点</w:t>
      </w:r>
    </w:p>
    <w:p>
      <w:pPr>
        <w:widowControl w:val="0"/>
        <w:spacing w:before="100" w:beforeAutospacing="1" w:after="0" w:line="360" w:lineRule="auto"/>
        <w:outlineLvl w:val="2"/>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7.2.9</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Times New Roman" w:eastAsia="宋体" w:cs="Times New Roman"/>
          <w:color w:val="auto"/>
          <w:sz w:val="24"/>
          <w:szCs w:val="24"/>
          <w:highlight w:val="none"/>
        </w:rPr>
        <w:t>开洞时，洞口应避开</w:t>
      </w:r>
      <w:r>
        <w:rPr>
          <w:rFonts w:hint="eastAsia" w:ascii="Times New Roman" w:hAnsi="Times New Roman" w:eastAsia="宋体" w:cs="Times New Roman"/>
          <w:color w:val="auto"/>
          <w:sz w:val="24"/>
          <w:szCs w:val="24"/>
          <w:highlight w:val="none"/>
        </w:rPr>
        <w:t>矩形钢管</w:t>
      </w:r>
      <w:r>
        <w:rPr>
          <w:rFonts w:ascii="Times New Roman" w:hAnsi="Times New Roman" w:eastAsia="宋体" w:cs="Times New Roman"/>
          <w:color w:val="auto"/>
          <w:sz w:val="24"/>
          <w:szCs w:val="24"/>
          <w:highlight w:val="none"/>
        </w:rPr>
        <w:t>桁架</w:t>
      </w:r>
      <w:r>
        <w:rPr>
          <w:rFonts w:hint="eastAsia" w:ascii="Times New Roman" w:hAnsi="Times New Roman" w:eastAsia="宋体" w:cs="Times New Roman"/>
          <w:color w:val="auto"/>
          <w:sz w:val="24"/>
          <w:szCs w:val="24"/>
          <w:highlight w:val="none"/>
        </w:rPr>
        <w:t>位置，并不宜切断</w:t>
      </w:r>
      <w:r>
        <w:rPr>
          <w:rFonts w:ascii="Times New Roman" w:hAnsi="Times New Roman" w:eastAsia="宋体" w:cs="Times New Roman"/>
          <w:color w:val="auto"/>
          <w:sz w:val="24"/>
          <w:szCs w:val="24"/>
          <w:highlight w:val="none"/>
        </w:rPr>
        <w:t>预应力钢筋</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圆洞孔径或</w:t>
      </w:r>
      <w:r>
        <w:rPr>
          <w:rFonts w:hint="eastAsia" w:ascii="Times New Roman" w:hAnsi="Times New Roman" w:eastAsia="宋体" w:cs="Times New Roman"/>
          <w:color w:val="auto"/>
          <w:sz w:val="24"/>
          <w:szCs w:val="24"/>
          <w:highlight w:val="none"/>
        </w:rPr>
        <w:t>矩形</w:t>
      </w:r>
      <w:r>
        <w:rPr>
          <w:rFonts w:ascii="Times New Roman" w:hAnsi="Times New Roman" w:eastAsia="宋体" w:cs="Times New Roman"/>
          <w:color w:val="auto"/>
          <w:sz w:val="24"/>
          <w:szCs w:val="24"/>
          <w:highlight w:val="none"/>
        </w:rPr>
        <w:t>洞口边长不应大于120mm，</w:t>
      </w:r>
      <w:r>
        <w:rPr>
          <w:rFonts w:hint="eastAsia" w:ascii="Times New Roman" w:hAnsi="Times New Roman" w:eastAsia="宋体" w:cs="Times New Roman"/>
          <w:color w:val="auto"/>
          <w:sz w:val="24"/>
          <w:szCs w:val="24"/>
          <w:highlight w:val="none"/>
        </w:rPr>
        <w:t>并应符合以下规定：</w:t>
      </w:r>
    </w:p>
    <w:p>
      <w:pPr>
        <w:widowControl w:val="0"/>
        <w:spacing w:after="0"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1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开洞未截断预制底板的预应力钢筋且开洞尺寸不大于80mm时，可不采取加强措施；</w:t>
      </w:r>
    </w:p>
    <w:p>
      <w:pPr>
        <w:widowControl w:val="0"/>
        <w:spacing w:after="0"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2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开洞截断预制底板的预应力钢筋或开洞尺寸在80mm～120mm之间时，应采取有效加强措施，可根据等强原则在孔洞四周设置附加钢筋，钢筋直径不应小于8mm，数量不应少于2根，伸出洞边距离应满足受拉搭接长度要求</w:t>
      </w:r>
      <w:r>
        <w:rPr>
          <w:rFonts w:ascii="Times New Roman" w:hAnsi="Times New Roman" w:eastAsia="宋体" w:cs="Times New Roman"/>
          <w:color w:val="auto"/>
          <w:sz w:val="24"/>
          <w:szCs w:val="24"/>
          <w:highlight w:val="none"/>
        </w:rPr>
        <w:t>（图</w:t>
      </w:r>
      <w:r>
        <w:rPr>
          <w:rFonts w:hint="eastAsia" w:ascii="Times New Roman" w:hAnsi="Times New Roman" w:eastAsia="宋体" w:cs="Times New Roman"/>
          <w:color w:val="auto"/>
          <w:sz w:val="24"/>
          <w:szCs w:val="24"/>
          <w:highlight w:val="none"/>
        </w:rPr>
        <w:t>7.2.9</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w:t>
      </w:r>
    </w:p>
    <w:p>
      <w:pPr>
        <w:widowControl w:val="0"/>
        <w:spacing w:after="0" w:line="360" w:lineRule="auto"/>
        <w:ind w:firstLine="440" w:firstLineChars="200"/>
        <w:jc w:val="center"/>
        <w:rPr>
          <w:rFonts w:ascii="Times New Roman" w:hAnsi="Times New Roman" w:eastAsia="宋体" w:cs="Times New Roman"/>
          <w:color w:val="auto"/>
          <w:sz w:val="24"/>
          <w:szCs w:val="24"/>
          <w:highlight w:val="none"/>
        </w:rPr>
      </w:pPr>
      <w:r>
        <w:rPr>
          <w:color w:val="auto"/>
          <w:highlight w:val="none"/>
        </w:rPr>
        <w:drawing>
          <wp:inline distT="0" distB="0" distL="0" distR="0">
            <wp:extent cx="2468245" cy="2156460"/>
            <wp:effectExtent l="0" t="0" r="825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3"/>
                    <a:stretch>
                      <a:fillRect/>
                    </a:stretch>
                  </pic:blipFill>
                  <pic:spPr>
                    <a:xfrm>
                      <a:off x="0" y="0"/>
                      <a:ext cx="2479355" cy="2165999"/>
                    </a:xfrm>
                    <a:prstGeom prst="rect">
                      <a:avLst/>
                    </a:prstGeom>
                  </pic:spPr>
                </pic:pic>
              </a:graphicData>
            </a:graphic>
          </wp:inline>
        </w:drawing>
      </w:r>
    </w:p>
    <w:p>
      <w:pPr>
        <w:spacing w:after="0" w:line="36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图7.2.</w:t>
      </w:r>
      <w:r>
        <w:rPr>
          <w:rFonts w:hint="eastAsia" w:ascii="宋体" w:hAnsi="宋体" w:eastAsia="宋体"/>
          <w:color w:val="auto"/>
          <w:sz w:val="21"/>
          <w:szCs w:val="21"/>
          <w:highlight w:val="none"/>
        </w:rPr>
        <w:t xml:space="preserve">9 </w:t>
      </w:r>
      <w:r>
        <w:rPr>
          <w:rFonts w:ascii="宋体" w:hAnsi="宋体" w:eastAsia="宋体"/>
          <w:color w:val="auto"/>
          <w:sz w:val="21"/>
          <w:szCs w:val="21"/>
          <w:highlight w:val="none"/>
        </w:rPr>
        <w:t xml:space="preserve"> 预制</w:t>
      </w:r>
      <w:r>
        <w:rPr>
          <w:rFonts w:hint="eastAsia" w:ascii="宋体" w:hAnsi="宋体" w:eastAsia="宋体"/>
          <w:color w:val="auto"/>
          <w:sz w:val="21"/>
          <w:szCs w:val="21"/>
          <w:highlight w:val="none"/>
        </w:rPr>
        <w:t>底板开洞加强措施</w:t>
      </w:r>
    </w:p>
    <w:p>
      <w:pPr>
        <w:autoSpaceDE w:val="0"/>
        <w:autoSpaceDN w:val="0"/>
        <w:spacing w:line="300" w:lineRule="auto"/>
        <w:jc w:val="center"/>
        <w:rPr>
          <w:rFonts w:ascii="宋体" w:hAnsi="宋体" w:eastAsia="宋体"/>
          <w:color w:val="auto"/>
          <w:sz w:val="18"/>
          <w:szCs w:val="21"/>
          <w:highlight w:val="none"/>
        </w:rPr>
      </w:pPr>
      <w:r>
        <w:rPr>
          <w:rFonts w:ascii="宋体" w:hAnsi="宋体" w:eastAsia="宋体"/>
          <w:color w:val="auto"/>
          <w:sz w:val="18"/>
          <w:szCs w:val="21"/>
          <w:highlight w:val="none"/>
        </w:rPr>
        <w:t>1—</w:t>
      </w:r>
      <w:r>
        <w:rPr>
          <w:rFonts w:hint="eastAsia" w:ascii="宋体" w:hAnsi="宋体" w:eastAsia="宋体"/>
          <w:color w:val="auto"/>
          <w:sz w:val="18"/>
          <w:szCs w:val="21"/>
          <w:highlight w:val="none"/>
        </w:rPr>
        <w:t>矩形钢管</w:t>
      </w:r>
      <w:r>
        <w:rPr>
          <w:rFonts w:ascii="宋体" w:hAnsi="宋体" w:eastAsia="宋体"/>
          <w:color w:val="auto"/>
          <w:sz w:val="18"/>
          <w:szCs w:val="21"/>
          <w:highlight w:val="none"/>
        </w:rPr>
        <w:t>；2—</w:t>
      </w:r>
      <w:r>
        <w:rPr>
          <w:rFonts w:hint="eastAsia" w:ascii="宋体" w:hAnsi="宋体" w:eastAsia="宋体"/>
          <w:color w:val="auto"/>
          <w:sz w:val="18"/>
          <w:szCs w:val="21"/>
          <w:highlight w:val="none"/>
        </w:rPr>
        <w:t>附加</w:t>
      </w:r>
      <w:r>
        <w:rPr>
          <w:rFonts w:ascii="宋体" w:hAnsi="宋体" w:eastAsia="宋体"/>
          <w:color w:val="auto"/>
          <w:sz w:val="18"/>
          <w:szCs w:val="21"/>
          <w:highlight w:val="none"/>
        </w:rPr>
        <w:t>钢筋</w:t>
      </w:r>
    </w:p>
    <w:p>
      <w:pPr>
        <w:autoSpaceDE w:val="0"/>
        <w:autoSpaceDN w:val="0"/>
        <w:spacing w:line="300" w:lineRule="auto"/>
        <w:jc w:val="center"/>
        <w:rPr>
          <w:rFonts w:ascii="宋体" w:hAnsi="宋体" w:eastAsia="宋体"/>
          <w:color w:val="auto"/>
          <w:sz w:val="18"/>
          <w:szCs w:val="21"/>
          <w:highlight w:val="none"/>
        </w:rPr>
      </w:pPr>
    </w:p>
    <w:p>
      <w:pPr>
        <w:pStyle w:val="25"/>
        <w:spacing w:beforeLines="0" w:after="312" w:line="360" w:lineRule="auto"/>
        <w:rPr>
          <w:rFonts w:hAnsi="宋体"/>
          <w:color w:val="auto"/>
          <w:highlight w:val="none"/>
        </w:rPr>
      </w:pPr>
      <w:bookmarkStart w:id="51" w:name="_Toc111709522"/>
      <w:r>
        <w:rPr>
          <w:rFonts w:hAnsi="宋体"/>
          <w:color w:val="auto"/>
          <w:highlight w:val="none"/>
        </w:rPr>
        <w:t>7.</w:t>
      </w:r>
      <w:r>
        <w:rPr>
          <w:rFonts w:hint="eastAsia" w:hAnsi="宋体"/>
          <w:color w:val="auto"/>
          <w:highlight w:val="none"/>
        </w:rPr>
        <w:t>3</w:t>
      </w:r>
      <w:r>
        <w:rPr>
          <w:rFonts w:hAnsi="宋体"/>
          <w:color w:val="auto"/>
          <w:highlight w:val="none"/>
        </w:rPr>
        <w:t xml:space="preserve">  </w:t>
      </w:r>
      <w:r>
        <w:rPr>
          <w:rFonts w:hint="eastAsia" w:hAnsi="宋体"/>
          <w:color w:val="auto"/>
          <w:highlight w:val="none"/>
        </w:rPr>
        <w:t>拼缝构造</w:t>
      </w:r>
      <w:bookmarkEnd w:id="51"/>
    </w:p>
    <w:p>
      <w:pPr>
        <w:widowControl w:val="0"/>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7.3.1</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预制底板侧边的密拼式接缝</w:t>
      </w:r>
      <w:r>
        <w:rPr>
          <w:rFonts w:hint="eastAsia" w:ascii="Times New Roman" w:hAnsi="Times New Roman" w:eastAsia="宋体" w:cs="Times New Roman"/>
          <w:color w:val="auto"/>
          <w:sz w:val="24"/>
          <w:szCs w:val="24"/>
          <w:highlight w:val="none"/>
        </w:rPr>
        <w:t>宜</w:t>
      </w:r>
      <w:r>
        <w:rPr>
          <w:rFonts w:ascii="Times New Roman" w:hAnsi="Times New Roman" w:eastAsia="宋体" w:cs="Times New Roman"/>
          <w:color w:val="auto"/>
          <w:sz w:val="24"/>
          <w:szCs w:val="24"/>
          <w:highlight w:val="none"/>
        </w:rPr>
        <w:t>为紧密接缝，构造形式可采用斜平边、部分斜平边等</w:t>
      </w:r>
      <w:r>
        <w:rPr>
          <w:rFonts w:hint="eastAsia" w:ascii="Times New Roman" w:hAnsi="Times New Roman" w:eastAsia="宋体" w:cs="Times New Roman"/>
          <w:color w:val="auto"/>
          <w:sz w:val="24"/>
          <w:szCs w:val="24"/>
          <w:highlight w:val="none"/>
        </w:rPr>
        <w:t>形式（</w:t>
      </w:r>
      <w:r>
        <w:rPr>
          <w:rFonts w:ascii="Times New Roman" w:hAnsi="Times New Roman" w:eastAsia="宋体" w:cs="Times New Roman"/>
          <w:color w:val="auto"/>
          <w:sz w:val="24"/>
          <w:szCs w:val="24"/>
          <w:highlight w:val="none"/>
        </w:rPr>
        <w:t>图7.3.1</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w:t>
      </w:r>
    </w:p>
    <w:p>
      <w:pPr>
        <w:widowControl w:val="0"/>
        <w:spacing w:after="0" w:line="360" w:lineRule="auto"/>
        <w:jc w:val="center"/>
        <w:rPr>
          <w:color w:val="auto"/>
          <w:sz w:val="18"/>
          <w:highlight w:val="none"/>
        </w:rPr>
      </w:pPr>
      <w:r>
        <w:rPr>
          <w:rFonts w:hint="eastAsia" w:ascii="Times New Roman" w:hAnsi="Times New Roman" w:eastAsia="宋体" w:cs="Times New Roman"/>
          <w:color w:val="auto"/>
          <w:sz w:val="24"/>
          <w:szCs w:val="24"/>
          <w:highlight w:val="none"/>
        </w:rPr>
        <w:t xml:space="preserve">   </w:t>
      </w:r>
      <w:r>
        <w:rPr>
          <w:color w:val="auto"/>
          <w:highlight w:val="none"/>
        </w:rPr>
        <w:drawing>
          <wp:inline distT="0" distB="0" distL="0" distR="0">
            <wp:extent cx="2378710" cy="2159000"/>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54"/>
                    <a:stretch>
                      <a:fillRect/>
                    </a:stretch>
                  </pic:blipFill>
                  <pic:spPr>
                    <a:xfrm>
                      <a:off x="0" y="0"/>
                      <a:ext cx="2391501" cy="2170691"/>
                    </a:xfrm>
                    <a:prstGeom prst="rect">
                      <a:avLst/>
                    </a:prstGeom>
                  </pic:spPr>
                </pic:pic>
              </a:graphicData>
            </a:graphic>
          </wp:inline>
        </w:drawing>
      </w:r>
    </w:p>
    <w:p>
      <w:pPr>
        <w:widowControl w:val="0"/>
        <w:spacing w:after="0" w:line="360" w:lineRule="auto"/>
        <w:jc w:val="center"/>
        <w:rPr>
          <w:rFonts w:asciiTheme="minorEastAsia" w:hAnsiTheme="minorEastAsia" w:eastAsiaTheme="minorEastAsia"/>
          <w:color w:val="auto"/>
          <w:sz w:val="18"/>
          <w:highlight w:val="none"/>
        </w:rPr>
      </w:pPr>
      <w:r>
        <w:rPr>
          <w:rFonts w:hint="eastAsia" w:asciiTheme="minorEastAsia" w:hAnsiTheme="minorEastAsia" w:eastAsiaTheme="minorEastAsia"/>
          <w:color w:val="auto"/>
          <w:sz w:val="18"/>
          <w:highlight w:val="none"/>
        </w:rPr>
        <w:t>（a）板侧斜平边接缝</w:t>
      </w:r>
    </w:p>
    <w:p>
      <w:pPr>
        <w:widowControl w:val="0"/>
        <w:spacing w:after="0"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drawing>
          <wp:inline distT="0" distB="0" distL="0" distR="0">
            <wp:extent cx="3063240" cy="2165985"/>
            <wp:effectExtent l="0" t="0" r="3810" b="571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55"/>
                    <a:stretch>
                      <a:fillRect/>
                    </a:stretch>
                  </pic:blipFill>
                  <pic:spPr>
                    <a:xfrm>
                      <a:off x="0" y="0"/>
                      <a:ext cx="3091519" cy="2186058"/>
                    </a:xfrm>
                    <a:prstGeom prst="rect">
                      <a:avLst/>
                    </a:prstGeom>
                  </pic:spPr>
                </pic:pic>
              </a:graphicData>
            </a:graphic>
          </wp:inline>
        </w:drawing>
      </w:r>
    </w:p>
    <w:p>
      <w:pPr>
        <w:jc w:val="center"/>
        <w:rPr>
          <w:rFonts w:asciiTheme="minorEastAsia" w:hAnsiTheme="minorEastAsia" w:eastAsiaTheme="minorEastAsia"/>
          <w:color w:val="auto"/>
          <w:sz w:val="18"/>
          <w:highlight w:val="none"/>
        </w:rPr>
      </w:pPr>
      <w:r>
        <w:rPr>
          <w:rFonts w:hint="eastAsia" w:asciiTheme="minorEastAsia" w:hAnsiTheme="minorEastAsia" w:eastAsiaTheme="minorEastAsia"/>
          <w:color w:val="auto"/>
          <w:sz w:val="18"/>
          <w:highlight w:val="none"/>
        </w:rPr>
        <w:t>（b）板侧部分斜平边接缝</w:t>
      </w:r>
    </w:p>
    <w:p>
      <w:pPr>
        <w:spacing w:after="0" w:line="36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图</w:t>
      </w:r>
      <w:r>
        <w:rPr>
          <w:rFonts w:hint="eastAsia" w:ascii="宋体" w:hAnsi="宋体" w:eastAsia="宋体"/>
          <w:color w:val="auto"/>
          <w:sz w:val="21"/>
          <w:szCs w:val="21"/>
          <w:highlight w:val="none"/>
        </w:rPr>
        <w:t>7.3.1 矩形钢管</w:t>
      </w:r>
      <w:r>
        <w:rPr>
          <w:rFonts w:ascii="宋体" w:hAnsi="宋体" w:eastAsia="宋体"/>
          <w:color w:val="auto"/>
          <w:sz w:val="21"/>
          <w:szCs w:val="21"/>
          <w:highlight w:val="none"/>
        </w:rPr>
        <w:t>桁架预制板密拼接缝构造示意</w:t>
      </w:r>
    </w:p>
    <w:p>
      <w:pPr>
        <w:jc w:val="center"/>
        <w:rPr>
          <w:rFonts w:asciiTheme="minorEastAsia" w:hAnsiTheme="minorEastAsia" w:eastAsiaTheme="minorEastAsia"/>
          <w:color w:val="auto"/>
          <w:sz w:val="18"/>
          <w:szCs w:val="18"/>
          <w:highlight w:val="none"/>
        </w:rPr>
      </w:pPr>
      <w:r>
        <w:rPr>
          <w:rFonts w:asciiTheme="minorEastAsia" w:hAnsiTheme="minorEastAsia" w:eastAsiaTheme="minorEastAsia"/>
          <w:color w:val="auto"/>
          <w:sz w:val="18"/>
          <w:highlight w:val="none"/>
        </w:rPr>
        <w:t>1—桁架</w:t>
      </w:r>
      <w:r>
        <w:rPr>
          <w:rFonts w:asciiTheme="minorEastAsia" w:hAnsiTheme="minorEastAsia" w:eastAsiaTheme="minorEastAsia"/>
          <w:color w:val="auto"/>
          <w:sz w:val="18"/>
          <w:szCs w:val="18"/>
          <w:highlight w:val="none"/>
        </w:rPr>
        <w:t>预制板；2—后浇混凝土叠合层</w:t>
      </w:r>
    </w:p>
    <w:p>
      <w:pPr>
        <w:widowControl w:val="0"/>
        <w:spacing w:after="0" w:line="360" w:lineRule="auto"/>
        <w:outlineLvl w:val="2"/>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7.3.</w:t>
      </w:r>
      <w:r>
        <w:rPr>
          <w:rFonts w:hint="eastAsia" w:ascii="Times New Roman" w:hAnsi="Times New Roman" w:eastAsia="宋体" w:cs="Times New Roman"/>
          <w:b/>
          <w:color w:val="auto"/>
          <w:sz w:val="24"/>
          <w:szCs w:val="24"/>
          <w:highlight w:val="none"/>
        </w:rPr>
        <w:t>2</w:t>
      </w:r>
      <w:r>
        <w:rPr>
          <w:rFonts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预制底板侧边的</w:t>
      </w:r>
      <w:r>
        <w:rPr>
          <w:rFonts w:hint="eastAsia" w:ascii="Times New Roman" w:hAnsi="Times New Roman" w:eastAsia="宋体" w:cs="Times New Roman"/>
          <w:color w:val="auto"/>
          <w:sz w:val="24"/>
          <w:szCs w:val="24"/>
          <w:highlight w:val="none"/>
        </w:rPr>
        <w:t>接缝应采用无机材料嵌填，嵌缝无机材料宜采用微膨胀高强水泥砂浆。</w:t>
      </w:r>
    </w:p>
    <w:p>
      <w:pPr>
        <w:pStyle w:val="25"/>
        <w:spacing w:beforeLines="0" w:after="312" w:line="360" w:lineRule="auto"/>
        <w:rPr>
          <w:rFonts w:hAnsi="宋体"/>
          <w:color w:val="auto"/>
          <w:highlight w:val="none"/>
        </w:rPr>
      </w:pPr>
      <w:bookmarkStart w:id="52" w:name="_Toc111709523"/>
      <w:r>
        <w:rPr>
          <w:rFonts w:hAnsi="宋体"/>
          <w:color w:val="auto"/>
          <w:highlight w:val="none"/>
        </w:rPr>
        <w:t>7.</w:t>
      </w:r>
      <w:r>
        <w:rPr>
          <w:rFonts w:hint="eastAsia" w:hAnsi="宋体"/>
          <w:color w:val="auto"/>
          <w:highlight w:val="none"/>
        </w:rPr>
        <w:t>4支座构造</w:t>
      </w:r>
      <w:bookmarkEnd w:id="52"/>
    </w:p>
    <w:p>
      <w:pPr>
        <w:widowControl w:val="0"/>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7.</w:t>
      </w:r>
      <w:r>
        <w:rPr>
          <w:rFonts w:hint="eastAsia" w:ascii="Times New Roman" w:hAnsi="Times New Roman" w:eastAsia="宋体" w:cs="Times New Roman"/>
          <w:b/>
          <w:color w:val="auto"/>
          <w:sz w:val="24"/>
          <w:szCs w:val="24"/>
          <w:highlight w:val="none"/>
        </w:rPr>
        <w:t>4</w:t>
      </w:r>
      <w:r>
        <w:rPr>
          <w:rFonts w:ascii="Times New Roman" w:hAnsi="Times New Roman" w:eastAsia="宋体" w:cs="Times New Roman"/>
          <w:b/>
          <w:color w:val="auto"/>
          <w:sz w:val="24"/>
          <w:szCs w:val="24"/>
          <w:highlight w:val="none"/>
        </w:rPr>
        <w:t>.1</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w:t>
      </w:r>
      <w:r>
        <w:rPr>
          <w:rFonts w:hint="eastAsia" w:ascii="Times New Roman" w:hAnsi="宋体" w:eastAsia="宋体" w:cs="Times New Roman"/>
          <w:color w:val="auto"/>
          <w:sz w:val="24"/>
          <w:szCs w:val="24"/>
          <w:highlight w:val="none"/>
        </w:rPr>
        <w:t>的搁置长度应符合下列规定</w:t>
      </w:r>
    </w:p>
    <w:p>
      <w:pPr>
        <w:widowControl w:val="0"/>
        <w:spacing w:after="0" w:line="360" w:lineRule="auto"/>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(图7.4.1)：</w:t>
      </w:r>
    </w:p>
    <w:p>
      <w:pPr>
        <w:widowControl w:val="0"/>
        <w:spacing w:after="0" w:line="360" w:lineRule="auto"/>
        <w:ind w:firstLine="480" w:firstLineChars="200"/>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1</w:t>
      </w:r>
      <w:r>
        <w:rPr>
          <w:rFonts w:ascii="Times New Roman" w:hAnsi="宋体" w:eastAsia="宋体" w:cs="Times New Roman"/>
          <w:color w:val="auto"/>
          <w:sz w:val="24"/>
          <w:szCs w:val="24"/>
          <w:highlight w:val="none"/>
        </w:rPr>
        <w:t xml:space="preserve">  </w:t>
      </w:r>
      <w:r>
        <w:rPr>
          <w:rFonts w:hint="eastAsia" w:ascii="Times New Roman" w:hAnsi="宋体" w:eastAsia="宋体" w:cs="Times New Roman"/>
          <w:color w:val="auto"/>
          <w:sz w:val="24"/>
          <w:szCs w:val="24"/>
          <w:highlight w:val="none"/>
        </w:rPr>
        <w:t>与混凝土梁或叠合梁同时浇筑时伸入梁内不应小于10mm；</w:t>
      </w:r>
    </w:p>
    <w:p>
      <w:pPr>
        <w:widowControl w:val="0"/>
        <w:spacing w:after="0" w:line="360" w:lineRule="auto"/>
        <w:ind w:firstLine="480" w:firstLineChars="200"/>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2</w:t>
      </w:r>
      <w:r>
        <w:rPr>
          <w:rFonts w:ascii="Times New Roman" w:hAnsi="宋体" w:eastAsia="宋体" w:cs="Times New Roman"/>
          <w:color w:val="auto"/>
          <w:sz w:val="24"/>
          <w:szCs w:val="24"/>
          <w:highlight w:val="none"/>
        </w:rPr>
        <w:t xml:space="preserve">  </w:t>
      </w:r>
      <w:r>
        <w:rPr>
          <w:rFonts w:hint="eastAsia" w:ascii="Times New Roman" w:hAnsi="宋体" w:eastAsia="宋体" w:cs="Times New Roman"/>
          <w:color w:val="auto"/>
          <w:sz w:val="24"/>
          <w:szCs w:val="24"/>
          <w:highlight w:val="none"/>
        </w:rPr>
        <w:t>与钢筋混凝土剪力墙同时浇筑时伸入墙内不应小于10mm；</w:t>
      </w:r>
    </w:p>
    <w:p>
      <w:pPr>
        <w:widowControl w:val="0"/>
        <w:spacing w:after="0" w:line="360" w:lineRule="auto"/>
        <w:ind w:firstLine="480" w:firstLineChars="200"/>
        <w:rPr>
          <w:rFonts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3</w:t>
      </w:r>
      <w:r>
        <w:rPr>
          <w:rFonts w:ascii="Times New Roman" w:hAnsi="宋体" w:eastAsia="宋体" w:cs="Times New Roman"/>
          <w:color w:val="auto"/>
          <w:sz w:val="24"/>
          <w:szCs w:val="24"/>
          <w:highlight w:val="none"/>
        </w:rPr>
        <w:t xml:space="preserve">  </w:t>
      </w:r>
      <w:r>
        <w:rPr>
          <w:rFonts w:hint="eastAsia" w:ascii="Times New Roman" w:hAnsi="宋体" w:eastAsia="宋体" w:cs="Times New Roman"/>
          <w:color w:val="auto"/>
          <w:sz w:val="24"/>
          <w:szCs w:val="24"/>
          <w:highlight w:val="none"/>
        </w:rPr>
        <w:t>搁置在承重砌体墙时不应小于80mm。当在承重砌体墙上设混凝土圈梁，利用胡子筋拉结时，搁置长度不应小于40mm；</w:t>
      </w:r>
    </w:p>
    <w:p>
      <w:pPr>
        <w:ind w:firstLine="482"/>
        <w:rPr>
          <w:rFonts w:ascii="Times New Roman" w:hAnsi="宋体" w:eastAsia="宋体" w:cs="Times New Roman"/>
          <w:color w:val="auto"/>
          <w:sz w:val="24"/>
          <w:szCs w:val="24"/>
          <w:highlight w:val="none"/>
        </w:rPr>
      </w:pPr>
      <w:r>
        <w:rPr>
          <w:rFonts w:ascii="Times New Roman" w:hAnsi="Times New Roman" w:cs="Times New Roman"/>
          <w:color w:val="auto"/>
          <w:highlight w:val="none"/>
        </w:rPr>
        <w:t xml:space="preserve">4  </w:t>
      </w:r>
      <w:r>
        <w:rPr>
          <w:rFonts w:hint="eastAsia" w:ascii="Times New Roman" w:hAnsi="宋体" w:eastAsia="宋体" w:cs="Times New Roman"/>
          <w:color w:val="auto"/>
          <w:sz w:val="24"/>
          <w:szCs w:val="24"/>
          <w:highlight w:val="none"/>
        </w:rPr>
        <w:t>搁置在钢梁或预制混凝土梁上时不应小于40mm。</w:t>
      </w:r>
    </w:p>
    <w:tbl>
      <w:tblPr>
        <w:tblStyle w:val="16"/>
        <w:tblW w:w="8522" w:type="dxa"/>
        <w:tblInd w:w="0" w:type="dxa"/>
        <w:tblLayout w:type="fixed"/>
        <w:tblCellMar>
          <w:top w:w="0" w:type="dxa"/>
          <w:left w:w="108" w:type="dxa"/>
          <w:bottom w:w="0" w:type="dxa"/>
          <w:right w:w="108" w:type="dxa"/>
        </w:tblCellMar>
      </w:tblPr>
      <w:tblGrid>
        <w:gridCol w:w="4261"/>
        <w:gridCol w:w="4261"/>
      </w:tblGrid>
      <w:tr>
        <w:tc>
          <w:tcPr>
            <w:tcW w:w="4261" w:type="dxa"/>
            <w:vAlign w:val="center"/>
          </w:tcPr>
          <w:p>
            <w:pPr>
              <w:widowControl w:val="0"/>
              <w:adjustRightInd/>
              <w:snapToGrid/>
              <w:spacing w:before="156" w:beforeLines="50"/>
              <w:jc w:val="center"/>
              <w:rPr>
                <w:rFonts w:ascii="Times New Roman" w:hAnsi="宋体" w:eastAsia="宋体" w:cs="Times New Roman"/>
                <w:color w:val="auto"/>
                <w:sz w:val="24"/>
                <w:szCs w:val="24"/>
                <w:highlight w:val="none"/>
              </w:rPr>
            </w:pPr>
            <w:r>
              <w:rPr>
                <w:color w:val="auto"/>
                <w:highlight w:val="none"/>
              </w:rPr>
              <w:drawing>
                <wp:inline distT="0" distB="0" distL="0" distR="0">
                  <wp:extent cx="2019300" cy="1880870"/>
                  <wp:effectExtent l="0" t="0" r="0" b="508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6"/>
                          <a:stretch>
                            <a:fillRect/>
                          </a:stretch>
                        </pic:blipFill>
                        <pic:spPr>
                          <a:xfrm>
                            <a:off x="0" y="0"/>
                            <a:ext cx="2030109" cy="1891088"/>
                          </a:xfrm>
                          <a:prstGeom prst="rect">
                            <a:avLst/>
                          </a:prstGeom>
                        </pic:spPr>
                      </pic:pic>
                    </a:graphicData>
                  </a:graphic>
                </wp:inline>
              </w:drawing>
            </w:r>
          </w:p>
        </w:tc>
        <w:tc>
          <w:tcPr>
            <w:tcW w:w="4261" w:type="dxa"/>
            <w:vAlign w:val="center"/>
          </w:tcPr>
          <w:p>
            <w:pPr>
              <w:widowControl w:val="0"/>
              <w:adjustRightInd/>
              <w:snapToGrid/>
              <w:spacing w:before="156" w:beforeLines="50"/>
              <w:jc w:val="center"/>
              <w:rPr>
                <w:rFonts w:ascii="Times New Roman" w:hAnsi="宋体" w:eastAsia="宋体" w:cs="Times New Roman"/>
                <w:color w:val="auto"/>
                <w:sz w:val="24"/>
                <w:szCs w:val="24"/>
                <w:highlight w:val="none"/>
              </w:rPr>
            </w:pPr>
            <w:r>
              <w:rPr>
                <w:color w:val="auto"/>
                <w:highlight w:val="none"/>
              </w:rPr>
              <w:drawing>
                <wp:inline distT="0" distB="0" distL="0" distR="0">
                  <wp:extent cx="1889760" cy="17145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7"/>
                          <a:stretch>
                            <a:fillRect/>
                          </a:stretch>
                        </pic:blipFill>
                        <pic:spPr>
                          <a:xfrm>
                            <a:off x="0" y="0"/>
                            <a:ext cx="1907476" cy="1730640"/>
                          </a:xfrm>
                          <a:prstGeom prst="rect">
                            <a:avLst/>
                          </a:prstGeom>
                        </pic:spPr>
                      </pic:pic>
                    </a:graphicData>
                  </a:graphic>
                </wp:inline>
              </w:drawing>
            </w:r>
          </w:p>
        </w:tc>
      </w:tr>
      <w:tr>
        <w:tblPrEx>
          <w:tblCellMar>
            <w:top w:w="0" w:type="dxa"/>
            <w:left w:w="108" w:type="dxa"/>
            <w:bottom w:w="0" w:type="dxa"/>
            <w:right w:w="108" w:type="dxa"/>
          </w:tblCellMar>
        </w:tblPrEx>
        <w:tc>
          <w:tcPr>
            <w:tcW w:w="8522" w:type="dxa"/>
            <w:gridSpan w:val="2"/>
            <w:vAlign w:val="center"/>
          </w:tcPr>
          <w:p>
            <w:pPr>
              <w:widowControl w:val="0"/>
              <w:adjustRightInd/>
              <w:snapToGrid/>
              <w:spacing w:before="312" w:beforeLines="100" w:after="156" w:afterLines="50"/>
              <w:jc w:val="center"/>
              <w:rPr>
                <w:rFonts w:ascii="Times New Roman" w:hAnsi="宋体" w:eastAsia="宋体" w:cs="Times New Roman"/>
                <w:color w:val="auto"/>
                <w:sz w:val="24"/>
                <w:szCs w:val="24"/>
                <w:highlight w:val="none"/>
              </w:rPr>
            </w:pPr>
            <w:r>
              <w:rPr>
                <w:color w:val="auto"/>
                <w:highlight w:val="none"/>
              </w:rPr>
              <w:drawing>
                <wp:inline distT="0" distB="0" distL="0" distR="0">
                  <wp:extent cx="2103120" cy="22567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8"/>
                          <a:stretch>
                            <a:fillRect/>
                          </a:stretch>
                        </pic:blipFill>
                        <pic:spPr>
                          <a:xfrm>
                            <a:off x="0" y="0"/>
                            <a:ext cx="2117702" cy="2272898"/>
                          </a:xfrm>
                          <a:prstGeom prst="rect">
                            <a:avLst/>
                          </a:prstGeom>
                        </pic:spPr>
                      </pic:pic>
                    </a:graphicData>
                  </a:graphic>
                </wp:inline>
              </w:drawing>
            </w:r>
          </w:p>
        </w:tc>
      </w:tr>
    </w:tbl>
    <w:p>
      <w:pPr>
        <w:spacing w:after="0" w:line="360" w:lineRule="auto"/>
        <w:jc w:val="center"/>
        <w:rPr>
          <w:rFonts w:ascii="宋体" w:hAnsi="宋体" w:eastAsia="宋体"/>
          <w:color w:val="auto"/>
          <w:sz w:val="21"/>
          <w:szCs w:val="21"/>
          <w:highlight w:val="none"/>
        </w:rPr>
      </w:pPr>
      <w:bookmarkStart w:id="53" w:name="OLE_LINK1"/>
      <w:r>
        <w:rPr>
          <w:rFonts w:ascii="宋体" w:hAnsi="宋体" w:eastAsia="宋体"/>
          <w:color w:val="auto"/>
          <w:sz w:val="21"/>
          <w:szCs w:val="21"/>
          <w:highlight w:val="none"/>
        </w:rPr>
        <w:t xml:space="preserve">图7.4.1板端支座构造示意 </w:t>
      </w:r>
    </w:p>
    <w:p>
      <w:pPr>
        <w:spacing w:after="0" w:line="360" w:lineRule="auto"/>
        <w:jc w:val="center"/>
        <w:rPr>
          <w:rFonts w:ascii="Times New Roman" w:hAnsi="Times New Roman" w:cs="Times New Roman" w:eastAsiaTheme="minorEastAsia"/>
          <w:color w:val="auto"/>
          <w:spacing w:val="4"/>
          <w:sz w:val="18"/>
          <w:szCs w:val="18"/>
          <w:highlight w:val="none"/>
        </w:rPr>
      </w:pPr>
      <w:r>
        <w:rPr>
          <w:rFonts w:ascii="Times New Roman" w:hAnsi="Times New Roman" w:cs="Times New Roman" w:eastAsiaTheme="minorEastAsia"/>
          <w:color w:val="auto"/>
          <w:spacing w:val="4"/>
          <w:sz w:val="18"/>
          <w:szCs w:val="18"/>
          <w:highlight w:val="none"/>
        </w:rPr>
        <w:t>1—</w:t>
      </w:r>
      <w:r>
        <w:rPr>
          <w:rFonts w:ascii="Times New Roman" w:cs="Times New Roman" w:hAnsiTheme="minorEastAsia" w:eastAsiaTheme="minorEastAsia"/>
          <w:color w:val="auto"/>
          <w:spacing w:val="4"/>
          <w:sz w:val="18"/>
          <w:szCs w:val="18"/>
          <w:highlight w:val="none"/>
        </w:rPr>
        <w:t>支承混凝土梁或混凝土墙；</w:t>
      </w:r>
      <w:r>
        <w:rPr>
          <w:rFonts w:ascii="Times New Roman" w:hAnsi="Times New Roman" w:cs="Times New Roman" w:eastAsiaTheme="minorEastAsia"/>
          <w:color w:val="auto"/>
          <w:spacing w:val="4"/>
          <w:sz w:val="18"/>
          <w:szCs w:val="18"/>
          <w:highlight w:val="none"/>
        </w:rPr>
        <w:t>2—</w:t>
      </w:r>
      <w:r>
        <w:rPr>
          <w:rFonts w:ascii="Times New Roman" w:cs="Times New Roman" w:hAnsiTheme="minorEastAsia" w:eastAsiaTheme="minorEastAsia"/>
          <w:color w:val="auto"/>
          <w:spacing w:val="4"/>
          <w:sz w:val="18"/>
          <w:szCs w:val="18"/>
          <w:highlight w:val="none"/>
        </w:rPr>
        <w:t>预制底板；</w:t>
      </w:r>
      <w:r>
        <w:rPr>
          <w:rFonts w:ascii="Times New Roman" w:hAnsi="Times New Roman" w:cs="Times New Roman" w:eastAsiaTheme="minorEastAsia"/>
          <w:color w:val="auto"/>
          <w:spacing w:val="4"/>
          <w:sz w:val="18"/>
          <w:szCs w:val="18"/>
          <w:highlight w:val="none"/>
        </w:rPr>
        <w:t>3—</w:t>
      </w:r>
      <w:r>
        <w:rPr>
          <w:rFonts w:ascii="Times New Roman" w:cs="Times New Roman" w:hAnsiTheme="minorEastAsia" w:eastAsiaTheme="minorEastAsia"/>
          <w:color w:val="auto"/>
          <w:spacing w:val="4"/>
          <w:sz w:val="18"/>
          <w:szCs w:val="18"/>
          <w:highlight w:val="none"/>
        </w:rPr>
        <w:t>板底横向钢筋；</w:t>
      </w:r>
      <w:r>
        <w:rPr>
          <w:rFonts w:ascii="Times New Roman" w:hAnsi="Times New Roman" w:cs="Times New Roman" w:eastAsiaTheme="minorEastAsia"/>
          <w:color w:val="auto"/>
          <w:spacing w:val="4"/>
          <w:sz w:val="18"/>
          <w:szCs w:val="18"/>
          <w:highlight w:val="none"/>
        </w:rPr>
        <w:t>4—</w:t>
      </w:r>
      <w:r>
        <w:rPr>
          <w:rFonts w:ascii="Times New Roman" w:cs="Times New Roman" w:hAnsiTheme="minorEastAsia" w:eastAsiaTheme="minorEastAsia"/>
          <w:color w:val="auto"/>
          <w:spacing w:val="4"/>
          <w:sz w:val="18"/>
          <w:szCs w:val="18"/>
          <w:highlight w:val="none"/>
        </w:rPr>
        <w:t>叠合层；</w:t>
      </w:r>
      <w:r>
        <w:rPr>
          <w:rFonts w:ascii="Times New Roman" w:hAnsi="Times New Roman" w:cs="Times New Roman" w:eastAsiaTheme="minorEastAsia"/>
          <w:color w:val="auto"/>
          <w:spacing w:val="4"/>
          <w:sz w:val="18"/>
          <w:szCs w:val="18"/>
          <w:highlight w:val="none"/>
        </w:rPr>
        <w:t>5—</w:t>
      </w:r>
      <w:r>
        <w:rPr>
          <w:rFonts w:hint="eastAsia" w:ascii="Times New Roman" w:cs="Times New Roman" w:hAnsiTheme="minorEastAsia" w:eastAsiaTheme="minorEastAsia"/>
          <w:color w:val="auto"/>
          <w:spacing w:val="4"/>
          <w:sz w:val="18"/>
          <w:szCs w:val="18"/>
          <w:highlight w:val="none"/>
        </w:rPr>
        <w:t>矩形钢管</w:t>
      </w:r>
      <w:r>
        <w:rPr>
          <w:rFonts w:ascii="Times New Roman" w:cs="Times New Roman" w:hAnsiTheme="minorEastAsia" w:eastAsiaTheme="minorEastAsia"/>
          <w:color w:val="auto"/>
          <w:spacing w:val="4"/>
          <w:sz w:val="18"/>
          <w:szCs w:val="18"/>
          <w:highlight w:val="none"/>
        </w:rPr>
        <w:t>；</w:t>
      </w:r>
      <w:r>
        <w:rPr>
          <w:rFonts w:ascii="Times New Roman" w:hAnsi="Times New Roman" w:cs="Times New Roman" w:eastAsiaTheme="minorEastAsia"/>
          <w:color w:val="auto"/>
          <w:spacing w:val="4"/>
          <w:sz w:val="18"/>
          <w:szCs w:val="18"/>
          <w:highlight w:val="none"/>
        </w:rPr>
        <w:t>6—</w:t>
      </w:r>
      <w:r>
        <w:rPr>
          <w:rFonts w:ascii="Times New Roman" w:cs="Times New Roman" w:hAnsiTheme="minorEastAsia" w:eastAsiaTheme="minorEastAsia"/>
          <w:color w:val="auto"/>
          <w:spacing w:val="4"/>
          <w:sz w:val="18"/>
          <w:szCs w:val="18"/>
          <w:highlight w:val="none"/>
        </w:rPr>
        <w:t>腹杆钢筋；</w:t>
      </w:r>
      <w:r>
        <w:rPr>
          <w:rFonts w:ascii="Times New Roman" w:hAnsi="Times New Roman" w:cs="Times New Roman" w:eastAsiaTheme="minorEastAsia"/>
          <w:color w:val="auto"/>
          <w:spacing w:val="4"/>
          <w:sz w:val="18"/>
          <w:szCs w:val="18"/>
          <w:highlight w:val="none"/>
        </w:rPr>
        <w:t>7—</w:t>
      </w:r>
      <w:bookmarkEnd w:id="53"/>
      <w:r>
        <w:rPr>
          <w:rFonts w:ascii="Times New Roman" w:cs="Times New Roman" w:hAnsiTheme="minorEastAsia" w:eastAsiaTheme="minorEastAsia"/>
          <w:color w:val="auto"/>
          <w:spacing w:val="4"/>
          <w:sz w:val="18"/>
          <w:szCs w:val="18"/>
          <w:highlight w:val="none"/>
        </w:rPr>
        <w:t>支承钢梁；</w:t>
      </w:r>
      <w:r>
        <w:rPr>
          <w:rFonts w:ascii="Times New Roman" w:hAnsi="Times New Roman" w:cs="Times New Roman" w:eastAsiaTheme="minorEastAsia"/>
          <w:color w:val="auto"/>
          <w:spacing w:val="4"/>
          <w:sz w:val="18"/>
          <w:szCs w:val="18"/>
          <w:highlight w:val="none"/>
        </w:rPr>
        <w:t>8—</w:t>
      </w:r>
      <w:r>
        <w:rPr>
          <w:rFonts w:ascii="Times New Roman" w:cs="Times New Roman" w:hAnsiTheme="minorEastAsia" w:eastAsiaTheme="minorEastAsia"/>
          <w:color w:val="auto"/>
          <w:spacing w:val="4"/>
          <w:sz w:val="18"/>
          <w:szCs w:val="18"/>
          <w:highlight w:val="none"/>
        </w:rPr>
        <w:t>抗剪连接件；</w:t>
      </w:r>
      <w:r>
        <w:rPr>
          <w:rFonts w:ascii="Times New Roman" w:hAnsi="Times New Roman" w:cs="Times New Roman" w:eastAsiaTheme="minorEastAsia"/>
          <w:color w:val="auto"/>
          <w:spacing w:val="4"/>
          <w:sz w:val="18"/>
          <w:szCs w:val="18"/>
          <w:highlight w:val="none"/>
        </w:rPr>
        <w:t>9—</w:t>
      </w:r>
      <w:r>
        <w:rPr>
          <w:rFonts w:ascii="Times New Roman" w:cs="Times New Roman" w:hAnsiTheme="minorEastAsia" w:eastAsiaTheme="minorEastAsia"/>
          <w:color w:val="auto"/>
          <w:spacing w:val="4"/>
          <w:sz w:val="18"/>
          <w:szCs w:val="18"/>
          <w:highlight w:val="none"/>
        </w:rPr>
        <w:t>混凝土圈梁；</w:t>
      </w:r>
      <w:r>
        <w:rPr>
          <w:rFonts w:ascii="Times New Roman" w:hAnsi="Times New Roman" w:cs="Times New Roman" w:eastAsiaTheme="minorEastAsia"/>
          <w:color w:val="auto"/>
          <w:spacing w:val="4"/>
          <w:sz w:val="18"/>
          <w:szCs w:val="18"/>
          <w:highlight w:val="none"/>
        </w:rPr>
        <w:t>10—</w:t>
      </w:r>
      <w:r>
        <w:rPr>
          <w:rFonts w:ascii="Times New Roman" w:cs="Times New Roman" w:hAnsiTheme="minorEastAsia" w:eastAsiaTheme="minorEastAsia"/>
          <w:color w:val="auto"/>
          <w:spacing w:val="4"/>
          <w:sz w:val="18"/>
          <w:szCs w:val="18"/>
          <w:highlight w:val="none"/>
        </w:rPr>
        <w:t>设混凝土圈梁的承重砌体墙</w:t>
      </w:r>
    </w:p>
    <w:p>
      <w:pPr>
        <w:adjustRightInd/>
        <w:snapToGrid/>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7.4.2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w:t>
      </w:r>
      <w:r>
        <w:rPr>
          <w:rFonts w:hint="eastAsia" w:ascii="Times New Roman" w:hAnsi="Times New Roman" w:eastAsia="宋体" w:cs="Times New Roman"/>
          <w:color w:val="auto"/>
          <w:sz w:val="24"/>
          <w:szCs w:val="24"/>
          <w:highlight w:val="none"/>
        </w:rPr>
        <w:t>预应力钢筋在支座处的锚固应符合以下规定：</w:t>
      </w:r>
    </w:p>
    <w:p>
      <w:pPr>
        <w:adjustRightInd/>
        <w:snapToGrid/>
        <w:spacing w:after="0"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w:t>
      </w:r>
      <w:r>
        <w:rPr>
          <w:rFonts w:hint="eastAsia" w:ascii="Times New Roman" w:hAnsi="Times New Roman" w:eastAsia="宋体" w:cs="Times New Roman"/>
          <w:color w:val="auto"/>
          <w:sz w:val="24"/>
          <w:szCs w:val="24"/>
          <w:highlight w:val="none"/>
        </w:rPr>
        <w:t>宜在板端预留胡子筋；</w:t>
      </w:r>
    </w:p>
    <w:p>
      <w:pPr>
        <w:adjustRightInd/>
        <w:snapToGrid/>
        <w:spacing w:after="0"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当胡子筋影响</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w:t>
      </w:r>
      <w:r>
        <w:rPr>
          <w:rFonts w:hint="eastAsia" w:ascii="Times New Roman" w:hAnsi="Times New Roman" w:eastAsia="宋体" w:cs="Times New Roman"/>
          <w:color w:val="auto"/>
          <w:sz w:val="24"/>
          <w:szCs w:val="24"/>
          <w:highlight w:val="none"/>
        </w:rPr>
        <w:t>安装施工时，可在一端预留胡子筋，另一端不预留胡子筋，并在不预留胡子筋一端的预制底板上方设置端部连接钢筋，端部连接钢筋应沿板端交错布置(图7.4.2)。</w:t>
      </w:r>
    </w:p>
    <w:p>
      <w:pPr>
        <w:spacing w:after="240"/>
        <w:jc w:val="center"/>
        <w:rPr>
          <w:rFonts w:ascii="宋体" w:hAnsi="宋体" w:eastAsia="宋体"/>
          <w:color w:val="auto"/>
          <w:sz w:val="21"/>
          <w:szCs w:val="21"/>
          <w:highlight w:val="none"/>
        </w:rPr>
      </w:pPr>
      <w:r>
        <w:rPr>
          <w:color w:val="auto"/>
          <w:highlight w:val="none"/>
        </w:rPr>
        <w:drawing>
          <wp:inline distT="0" distB="0" distL="0" distR="0">
            <wp:extent cx="5586730" cy="2573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9"/>
                    <a:stretch>
                      <a:fillRect/>
                    </a:stretch>
                  </pic:blipFill>
                  <pic:spPr>
                    <a:xfrm>
                      <a:off x="0" y="0"/>
                      <a:ext cx="5641955" cy="2599226"/>
                    </a:xfrm>
                    <a:prstGeom prst="rect">
                      <a:avLst/>
                    </a:prstGeom>
                  </pic:spPr>
                </pic:pic>
              </a:graphicData>
            </a:graphic>
          </wp:inline>
        </w:drawing>
      </w:r>
      <w:r>
        <w:rPr>
          <w:rFonts w:hint="eastAsia"/>
          <w:color w:val="auto"/>
          <w:highlight w:val="none"/>
        </w:rPr>
        <w:br w:type="textWrapping"/>
      </w:r>
      <w:r>
        <w:rPr>
          <w:rFonts w:hint="eastAsia" w:ascii="宋体" w:hAnsi="宋体" w:eastAsia="宋体"/>
          <w:color w:val="auto"/>
          <w:sz w:val="21"/>
          <w:szCs w:val="21"/>
          <w:highlight w:val="none"/>
        </w:rPr>
        <w:t>图7.4.2 叠合楼板设置端部连接钢筋构造</w:t>
      </w:r>
    </w:p>
    <w:p>
      <w:pPr>
        <w:spacing w:after="0" w:line="360" w:lineRule="auto"/>
        <w:jc w:val="center"/>
        <w:rPr>
          <w:rFonts w:ascii="Times New Roman" w:hAnsi="Times New Roman" w:cs="Times New Roman" w:eastAsiaTheme="minorEastAsia"/>
          <w:color w:val="auto"/>
          <w:spacing w:val="4"/>
          <w:sz w:val="18"/>
          <w:szCs w:val="18"/>
          <w:highlight w:val="none"/>
        </w:rPr>
      </w:pPr>
      <w:r>
        <w:rPr>
          <w:rFonts w:hint="eastAsia" w:ascii="Times New Roman" w:hAnsi="Times New Roman" w:cs="Times New Roman" w:eastAsiaTheme="minorEastAsia"/>
          <w:color w:val="auto"/>
          <w:spacing w:val="4"/>
          <w:sz w:val="18"/>
          <w:szCs w:val="18"/>
          <w:highlight w:val="none"/>
        </w:rPr>
        <w:t>1</w:t>
      </w:r>
      <w:r>
        <w:rPr>
          <w:rFonts w:asciiTheme="minorEastAsia" w:hAnsiTheme="minorEastAsia" w:eastAsiaTheme="minorEastAsia"/>
          <w:color w:val="auto"/>
          <w:sz w:val="18"/>
          <w:highlight w:val="none"/>
        </w:rPr>
        <w:t>—</w:t>
      </w:r>
      <w:r>
        <w:rPr>
          <w:rFonts w:hint="eastAsia" w:asciiTheme="minorEastAsia" w:hAnsiTheme="minorEastAsia" w:eastAsiaTheme="minorEastAsia"/>
          <w:color w:val="auto"/>
          <w:sz w:val="18"/>
          <w:highlight w:val="none"/>
        </w:rPr>
        <w:t>支架预应力混凝土叠合板</w:t>
      </w:r>
      <w:r>
        <w:rPr>
          <w:rFonts w:ascii="Times New Roman" w:hAnsi="Times New Roman" w:cs="Times New Roman" w:eastAsiaTheme="minorEastAsia"/>
          <w:color w:val="auto"/>
          <w:spacing w:val="4"/>
          <w:sz w:val="18"/>
          <w:szCs w:val="18"/>
          <w:highlight w:val="none"/>
        </w:rPr>
        <w:t>预制</w:t>
      </w:r>
      <w:r>
        <w:rPr>
          <w:rFonts w:hint="eastAsia" w:ascii="Times New Roman" w:hAnsi="Times New Roman" w:cs="Times New Roman" w:eastAsiaTheme="minorEastAsia"/>
          <w:color w:val="auto"/>
          <w:spacing w:val="4"/>
          <w:sz w:val="18"/>
          <w:szCs w:val="18"/>
          <w:highlight w:val="none"/>
        </w:rPr>
        <w:t>底</w:t>
      </w:r>
      <w:r>
        <w:rPr>
          <w:rFonts w:ascii="Times New Roman" w:hAnsi="Times New Roman" w:cs="Times New Roman" w:eastAsiaTheme="minorEastAsia"/>
          <w:color w:val="auto"/>
          <w:spacing w:val="4"/>
          <w:sz w:val="18"/>
          <w:szCs w:val="18"/>
          <w:highlight w:val="none"/>
        </w:rPr>
        <w:t>板</w:t>
      </w:r>
      <w:r>
        <w:rPr>
          <w:rFonts w:hint="eastAsia" w:ascii="Times New Roman" w:hAnsi="Times New Roman" w:cs="Times New Roman" w:eastAsiaTheme="minorEastAsia"/>
          <w:color w:val="auto"/>
          <w:spacing w:val="4"/>
          <w:sz w:val="18"/>
          <w:szCs w:val="18"/>
          <w:highlight w:val="none"/>
        </w:rPr>
        <w:t>；2</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胡子筋；3</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端部连接钢筋</w:t>
      </w:r>
    </w:p>
    <w:p>
      <w:pPr>
        <w:widowControl w:val="0"/>
        <w:tabs>
          <w:tab w:val="left" w:pos="735"/>
        </w:tabs>
        <w:adjustRightInd/>
        <w:snapToGrid/>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7.4.</w:t>
      </w:r>
      <w:r>
        <w:rPr>
          <w:rFonts w:hint="eastAsia" w:ascii="Times New Roman" w:hAnsi="Times New Roman" w:eastAsia="宋体" w:cs="Times New Roman"/>
          <w:b/>
          <w:color w:val="auto"/>
          <w:sz w:val="24"/>
          <w:szCs w:val="24"/>
          <w:highlight w:val="none"/>
        </w:rPr>
        <w:t>3</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w:t>
      </w:r>
      <w:r>
        <w:rPr>
          <w:rFonts w:hint="eastAsia" w:ascii="Times New Roman" w:hAnsi="Times New Roman" w:eastAsia="宋体" w:cs="Times New Roman"/>
          <w:color w:val="auto"/>
          <w:sz w:val="24"/>
          <w:szCs w:val="24"/>
          <w:highlight w:val="none"/>
        </w:rPr>
        <w:t>预留胡子</w:t>
      </w:r>
      <w:r>
        <w:rPr>
          <w:rFonts w:ascii="Times New Roman" w:hAnsi="Times New Roman" w:eastAsia="宋体" w:cs="Times New Roman"/>
          <w:color w:val="auto"/>
          <w:sz w:val="24"/>
          <w:szCs w:val="24"/>
          <w:highlight w:val="none"/>
        </w:rPr>
        <w:t>筋应伸入板端支座，在支承梁或墙的后浇混凝土中锚固</w:t>
      </w:r>
      <w:r>
        <w:rPr>
          <w:rFonts w:hint="eastAsia" w:ascii="Times New Roman" w:hAnsi="Times New Roman" w:eastAsia="宋体" w:cs="Times New Roman"/>
          <w:color w:val="auto"/>
          <w:sz w:val="24"/>
          <w:szCs w:val="24"/>
          <w:highlight w:val="none"/>
        </w:rPr>
        <w:t>（图7.4.1）</w:t>
      </w:r>
      <w:r>
        <w:rPr>
          <w:rFonts w:ascii="Times New Roman" w:hAnsi="Times New Roman" w:eastAsia="宋体" w:cs="Times New Roman"/>
          <w:color w:val="auto"/>
          <w:sz w:val="24"/>
          <w:szCs w:val="24"/>
          <w:highlight w:val="none"/>
        </w:rPr>
        <w:t>。当钢筋受压时，</w:t>
      </w:r>
      <w:r>
        <w:rPr>
          <w:rFonts w:hint="eastAsia" w:ascii="Times New Roman" w:hAnsi="Times New Roman" w:eastAsia="宋体" w:cs="Times New Roman"/>
          <w:color w:val="auto"/>
          <w:sz w:val="24"/>
          <w:szCs w:val="24"/>
          <w:highlight w:val="none"/>
        </w:rPr>
        <w:t>锚固长度</w:t>
      </w:r>
      <w:r>
        <w:rPr>
          <w:rFonts w:ascii="Times New Roman" w:hAnsi="Times New Roman" w:eastAsia="宋体" w:cs="Times New Roman"/>
          <w:color w:val="auto"/>
          <w:sz w:val="24"/>
          <w:szCs w:val="24"/>
          <w:highlight w:val="none"/>
        </w:rPr>
        <w:t>不应小于</w:t>
      </w: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5d且宜伸过支座中心线；当钢筋受拉时，</w:t>
      </w:r>
      <w:r>
        <w:rPr>
          <w:rFonts w:hint="eastAsia" w:ascii="Times New Roman" w:hAnsi="Times New Roman" w:eastAsia="宋体" w:cs="Times New Roman"/>
          <w:color w:val="auto"/>
          <w:sz w:val="24"/>
          <w:szCs w:val="24"/>
          <w:highlight w:val="none"/>
        </w:rPr>
        <w:t>锚固长度</w:t>
      </w:r>
      <w:r>
        <w:rPr>
          <w:rFonts w:ascii="Times New Roman" w:hAnsi="Times New Roman" w:eastAsia="宋体" w:cs="Times New Roman"/>
          <w:color w:val="auto"/>
          <w:sz w:val="24"/>
          <w:szCs w:val="24"/>
          <w:highlight w:val="none"/>
        </w:rPr>
        <w:t>不应小于受拉</w:t>
      </w:r>
      <w:r>
        <w:rPr>
          <w:rFonts w:hint="eastAsia" w:ascii="Times New Roman" w:hAnsi="Times New Roman" w:eastAsia="宋体" w:cs="Times New Roman"/>
          <w:color w:val="auto"/>
          <w:sz w:val="24"/>
          <w:szCs w:val="24"/>
          <w:highlight w:val="none"/>
        </w:rPr>
        <w:t>钢筋</w:t>
      </w:r>
      <w:r>
        <w:rPr>
          <w:rFonts w:ascii="Times New Roman" w:hAnsi="Times New Roman" w:eastAsia="宋体" w:cs="Times New Roman"/>
          <w:color w:val="auto"/>
          <w:sz w:val="24"/>
          <w:szCs w:val="24"/>
          <w:highlight w:val="none"/>
        </w:rPr>
        <w:t>锚固长度</w:t>
      </w:r>
      <w:r>
        <w:rPr>
          <w:rFonts w:ascii="Times New Roman" w:hAnsi="Times New Roman" w:eastAsia="宋体" w:cs="Times New Roman"/>
          <w:i/>
          <w:color w:val="auto"/>
          <w:sz w:val="24"/>
          <w:szCs w:val="24"/>
          <w:highlight w:val="none"/>
        </w:rPr>
        <w:t>l</w:t>
      </w:r>
      <w:r>
        <w:rPr>
          <w:rFonts w:ascii="Times New Roman" w:hAnsi="Times New Roman" w:eastAsia="宋体" w:cs="Times New Roman"/>
          <w:color w:val="auto"/>
          <w:sz w:val="24"/>
          <w:szCs w:val="24"/>
          <w:highlight w:val="none"/>
          <w:vertAlign w:val="subscript"/>
        </w:rPr>
        <w:t>a</w:t>
      </w:r>
      <w:r>
        <w:rPr>
          <w:rFonts w:ascii="Times New Roman" w:hAnsi="Times New Roman" w:eastAsia="宋体" w:cs="Times New Roman"/>
          <w:color w:val="auto"/>
          <w:sz w:val="24"/>
          <w:szCs w:val="24"/>
          <w:highlight w:val="none"/>
        </w:rPr>
        <w:t>。</w:t>
      </w:r>
    </w:p>
    <w:p>
      <w:pPr>
        <w:widowControl w:val="0"/>
        <w:tabs>
          <w:tab w:val="left" w:pos="735"/>
        </w:tabs>
        <w:adjustRightInd/>
        <w:snapToGrid/>
        <w:spacing w:after="0" w:line="360" w:lineRule="auto"/>
        <w:jc w:val="both"/>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7.4.</w:t>
      </w:r>
      <w:r>
        <w:rPr>
          <w:rFonts w:hint="eastAsia" w:ascii="Times New Roman" w:hAnsi="Times New Roman" w:eastAsia="宋体" w:cs="Times New Roman"/>
          <w:b/>
          <w:color w:val="auto"/>
          <w:sz w:val="24"/>
          <w:szCs w:val="24"/>
          <w:highlight w:val="none"/>
        </w:rPr>
        <w:t xml:space="preserve">4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w:t>
      </w:r>
      <w:r>
        <w:rPr>
          <w:rFonts w:hint="eastAsia" w:ascii="Times New Roman" w:hAnsi="Times New Roman" w:eastAsia="宋体" w:cs="Times New Roman"/>
          <w:color w:val="auto"/>
          <w:sz w:val="24"/>
          <w:szCs w:val="24"/>
          <w:highlight w:val="none"/>
        </w:rPr>
        <w:t>上方设置的端部连接钢筋应满足以下要求：</w:t>
      </w:r>
    </w:p>
    <w:p>
      <w:pPr>
        <w:widowControl w:val="0"/>
        <w:tabs>
          <w:tab w:val="left" w:pos="735"/>
        </w:tabs>
        <w:adjustRightInd/>
        <w:snapToGrid/>
        <w:spacing w:after="0"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连接</w:t>
      </w:r>
      <w:r>
        <w:rPr>
          <w:rFonts w:ascii="Times New Roman" w:hAnsi="Times New Roman" w:eastAsia="宋体" w:cs="Times New Roman"/>
          <w:color w:val="auto"/>
          <w:sz w:val="24"/>
          <w:szCs w:val="24"/>
          <w:highlight w:val="none"/>
        </w:rPr>
        <w:t>钢筋截面积应满足</w:t>
      </w:r>
      <w:r>
        <w:rPr>
          <w:rFonts w:hint="eastAsia" w:ascii="Times New Roman" w:hAnsi="Times New Roman" w:eastAsia="宋体" w:cs="Times New Roman"/>
          <w:color w:val="auto"/>
          <w:sz w:val="24"/>
          <w:szCs w:val="24"/>
          <w:highlight w:val="none"/>
        </w:rPr>
        <w:t>承载力</w:t>
      </w:r>
      <w:r>
        <w:rPr>
          <w:rFonts w:ascii="Times New Roman" w:hAnsi="Times New Roman" w:eastAsia="宋体" w:cs="Times New Roman"/>
          <w:color w:val="auto"/>
          <w:sz w:val="24"/>
          <w:szCs w:val="24"/>
          <w:highlight w:val="none"/>
        </w:rPr>
        <w:t>要求，且不应小于</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板内跨中同方向受力钢筋面积的1/3；</w:t>
      </w:r>
      <w:r>
        <w:rPr>
          <w:rFonts w:hint="eastAsia" w:ascii="Times New Roman" w:hAnsi="Times New Roman" w:eastAsia="宋体" w:cs="Times New Roman"/>
          <w:color w:val="auto"/>
          <w:sz w:val="24"/>
          <w:szCs w:val="24"/>
          <w:highlight w:val="none"/>
        </w:rPr>
        <w:t>连</w:t>
      </w:r>
      <w:r>
        <w:rPr>
          <w:rFonts w:ascii="Times New Roman" w:hAnsi="Times New Roman" w:eastAsia="宋体" w:cs="Times New Roman"/>
          <w:color w:val="auto"/>
          <w:sz w:val="24"/>
          <w:szCs w:val="24"/>
          <w:highlight w:val="none"/>
        </w:rPr>
        <w:t>接钢筋直径不宜小于</w:t>
      </w:r>
      <w:r>
        <w:rPr>
          <w:rFonts w:hint="eastAsia" w:ascii="Times New Roman" w:hAnsi="Times New Roman" w:eastAsia="宋体" w:cs="Times New Roman"/>
          <w:color w:val="auto"/>
          <w:sz w:val="24"/>
          <w:szCs w:val="24"/>
          <w:highlight w:val="none"/>
        </w:rPr>
        <w:t>5</w:t>
      </w:r>
      <w:r>
        <w:rPr>
          <w:rFonts w:ascii="Times New Roman" w:hAnsi="Times New Roman" w:eastAsia="宋体" w:cs="Times New Roman"/>
          <w:color w:val="auto"/>
          <w:sz w:val="24"/>
          <w:szCs w:val="24"/>
          <w:highlight w:val="none"/>
        </w:rPr>
        <w:t>mm，间距不宜大于250mm；</w:t>
      </w:r>
      <w:r>
        <w:rPr>
          <w:rFonts w:hint="eastAsia" w:ascii="Times New Roman" w:hAnsi="Times New Roman" w:eastAsia="宋体" w:cs="Times New Roman"/>
          <w:color w:val="auto"/>
          <w:sz w:val="24"/>
          <w:szCs w:val="24"/>
          <w:highlight w:val="none"/>
        </w:rPr>
        <w:t>连接</w:t>
      </w:r>
      <w:r>
        <w:rPr>
          <w:rFonts w:ascii="Times New Roman" w:hAnsi="Times New Roman" w:eastAsia="宋体" w:cs="Times New Roman"/>
          <w:color w:val="auto"/>
          <w:sz w:val="24"/>
          <w:szCs w:val="24"/>
          <w:highlight w:val="none"/>
        </w:rPr>
        <w:t>钢筋</w:t>
      </w:r>
      <w:r>
        <w:rPr>
          <w:rFonts w:hint="eastAsia" w:ascii="Times New Roman" w:hAnsi="Times New Roman" w:eastAsia="宋体" w:cs="Times New Roman"/>
          <w:color w:val="auto"/>
          <w:sz w:val="24"/>
          <w:szCs w:val="24"/>
          <w:highlight w:val="none"/>
        </w:rPr>
        <w:t>宜采用与</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板内</w:t>
      </w:r>
      <w:r>
        <w:rPr>
          <w:rFonts w:hint="eastAsia" w:ascii="Times New Roman" w:hAnsi="Times New Roman" w:eastAsia="宋体" w:cs="Times New Roman"/>
          <w:color w:val="auto"/>
          <w:sz w:val="24"/>
          <w:szCs w:val="24"/>
          <w:highlight w:val="none"/>
        </w:rPr>
        <w:t>同种类的预应力钢筋，种类不同时钢筋面积应按等强原则进行相应换算；</w:t>
      </w:r>
    </w:p>
    <w:p>
      <w:pPr>
        <w:widowControl w:val="0"/>
        <w:tabs>
          <w:tab w:val="left" w:pos="735"/>
        </w:tabs>
        <w:adjustRightInd/>
        <w:snapToGrid/>
        <w:spacing w:after="0"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 xml:space="preserve"> 对于端节点支座，</w:t>
      </w:r>
      <w:r>
        <w:rPr>
          <w:rFonts w:hint="eastAsia" w:ascii="Times New Roman" w:hAnsi="Times New Roman" w:eastAsia="宋体" w:cs="Times New Roman"/>
          <w:color w:val="auto"/>
          <w:sz w:val="24"/>
          <w:szCs w:val="24"/>
          <w:highlight w:val="none"/>
        </w:rPr>
        <w:t>连接</w:t>
      </w:r>
      <w:r>
        <w:rPr>
          <w:rFonts w:ascii="Times New Roman" w:hAnsi="Times New Roman" w:eastAsia="宋体" w:cs="Times New Roman"/>
          <w:color w:val="auto"/>
          <w:sz w:val="24"/>
          <w:szCs w:val="24"/>
          <w:highlight w:val="none"/>
        </w:rPr>
        <w:t>钢筋伸入后浇叠合层长度不应小于1.</w:t>
      </w:r>
      <w:r>
        <w:rPr>
          <w:rFonts w:hint="eastAsia" w:ascii="Times New Roman" w:hAnsi="Times New Roman" w:eastAsia="宋体" w:cs="Times New Roman"/>
          <w:color w:val="auto"/>
          <w:sz w:val="24"/>
          <w:szCs w:val="24"/>
          <w:highlight w:val="none"/>
        </w:rPr>
        <w:t>6</w:t>
      </w:r>
      <w:r>
        <w:rPr>
          <w:rFonts w:ascii="Times New Roman" w:hAnsi="Times New Roman" w:eastAsia="宋体" w:cs="Times New Roman"/>
          <w:i/>
          <w:color w:val="auto"/>
          <w:sz w:val="24"/>
          <w:szCs w:val="24"/>
          <w:highlight w:val="none"/>
        </w:rPr>
        <w:t>l</w:t>
      </w:r>
      <w:r>
        <w:rPr>
          <w:rFonts w:ascii="Times New Roman" w:hAnsi="Times New Roman" w:eastAsia="宋体" w:cs="Times New Roman"/>
          <w:color w:val="auto"/>
          <w:sz w:val="24"/>
          <w:szCs w:val="24"/>
          <w:highlight w:val="none"/>
          <w:vertAlign w:val="subscript"/>
        </w:rPr>
        <w:t>a</w:t>
      </w:r>
      <w:r>
        <w:rPr>
          <w:rFonts w:ascii="Times New Roman" w:hAnsi="Times New Roman" w:eastAsia="宋体" w:cs="Times New Roman"/>
          <w:color w:val="auto"/>
          <w:sz w:val="24"/>
          <w:szCs w:val="24"/>
          <w:highlight w:val="none"/>
        </w:rPr>
        <w:t>，伸入支座的长度不应小于</w:t>
      </w:r>
      <w:r>
        <w:rPr>
          <w:rFonts w:ascii="Times New Roman" w:hAnsi="Times New Roman" w:eastAsia="宋体" w:cs="Times New Roman"/>
          <w:i/>
          <w:color w:val="auto"/>
          <w:sz w:val="24"/>
          <w:szCs w:val="24"/>
          <w:highlight w:val="none"/>
        </w:rPr>
        <w:t>l</w:t>
      </w:r>
      <w:r>
        <w:rPr>
          <w:rFonts w:ascii="Times New Roman" w:hAnsi="Times New Roman" w:eastAsia="宋体" w:cs="Times New Roman"/>
          <w:color w:val="auto"/>
          <w:sz w:val="24"/>
          <w:szCs w:val="24"/>
          <w:highlight w:val="none"/>
          <w:vertAlign w:val="subscript"/>
        </w:rPr>
        <w:t>a</w:t>
      </w:r>
      <w:r>
        <w:rPr>
          <w:rFonts w:ascii="Times New Roman" w:hAnsi="Times New Roman" w:eastAsia="宋体" w:cs="Times New Roman"/>
          <w:color w:val="auto"/>
          <w:sz w:val="24"/>
          <w:szCs w:val="24"/>
          <w:highlight w:val="none"/>
        </w:rPr>
        <w:t>（图</w:t>
      </w: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.4.4a）；对于中节点支座，搭接钢筋在节点区应贯通，且每侧伸入后浇叠合层长度不应小于1.</w:t>
      </w:r>
      <w:r>
        <w:rPr>
          <w:rFonts w:hint="eastAsia" w:ascii="Times New Roman" w:hAnsi="Times New Roman" w:eastAsia="宋体" w:cs="Times New Roman"/>
          <w:color w:val="auto"/>
          <w:sz w:val="24"/>
          <w:szCs w:val="24"/>
          <w:highlight w:val="none"/>
        </w:rPr>
        <w:t>6</w:t>
      </w:r>
      <w:r>
        <w:rPr>
          <w:rFonts w:ascii="Times New Roman" w:hAnsi="Times New Roman" w:eastAsia="宋体" w:cs="Times New Roman"/>
          <w:i/>
          <w:color w:val="auto"/>
          <w:sz w:val="24"/>
          <w:szCs w:val="24"/>
          <w:highlight w:val="none"/>
        </w:rPr>
        <w:t>l</w:t>
      </w:r>
      <w:r>
        <w:rPr>
          <w:rFonts w:ascii="Times New Roman" w:hAnsi="Times New Roman" w:eastAsia="宋体" w:cs="Times New Roman"/>
          <w:color w:val="auto"/>
          <w:sz w:val="24"/>
          <w:szCs w:val="24"/>
          <w:highlight w:val="none"/>
          <w:vertAlign w:val="subscript"/>
        </w:rPr>
        <w:t>a</w:t>
      </w:r>
      <w:r>
        <w:rPr>
          <w:rFonts w:ascii="Times New Roman" w:hAnsi="Times New Roman" w:eastAsia="宋体" w:cs="Times New Roman"/>
          <w:color w:val="auto"/>
          <w:sz w:val="24"/>
          <w:szCs w:val="24"/>
          <w:highlight w:val="none"/>
        </w:rPr>
        <w:t>（图</w:t>
      </w: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.4.4b）。</w:t>
      </w:r>
    </w:p>
    <w:tbl>
      <w:tblPr>
        <w:tblStyle w:val="16"/>
        <w:tblW w:w="8523" w:type="dxa"/>
        <w:tblInd w:w="0" w:type="dxa"/>
        <w:tblLayout w:type="fixed"/>
        <w:tblCellMar>
          <w:top w:w="0" w:type="dxa"/>
          <w:left w:w="108" w:type="dxa"/>
          <w:bottom w:w="0" w:type="dxa"/>
          <w:right w:w="108" w:type="dxa"/>
        </w:tblCellMar>
      </w:tblPr>
      <w:tblGrid>
        <w:gridCol w:w="3447"/>
        <w:gridCol w:w="5076"/>
      </w:tblGrid>
      <w:tr>
        <w:tblPrEx>
          <w:tblCellMar>
            <w:top w:w="0" w:type="dxa"/>
            <w:left w:w="108" w:type="dxa"/>
            <w:bottom w:w="0" w:type="dxa"/>
            <w:right w:w="108" w:type="dxa"/>
          </w:tblCellMar>
        </w:tblPrEx>
        <w:tc>
          <w:tcPr>
            <w:tcW w:w="3447" w:type="dxa"/>
            <w:vAlign w:val="center"/>
          </w:tcPr>
          <w:p>
            <w:pPr>
              <w:widowControl w:val="0"/>
              <w:adjustRightInd/>
              <w:snapToGrid/>
              <w:spacing w:before="156" w:beforeLines="50"/>
              <w:jc w:val="center"/>
              <w:rPr>
                <w:rFonts w:ascii="Times New Roman" w:hAnsi="宋体" w:eastAsia="宋体" w:cs="Times New Roman"/>
                <w:color w:val="auto"/>
                <w:sz w:val="24"/>
                <w:szCs w:val="24"/>
                <w:highlight w:val="none"/>
              </w:rPr>
            </w:pPr>
            <w:r>
              <w:rPr>
                <w:color w:val="auto"/>
                <w:highlight w:val="none"/>
              </w:rPr>
              <w:drawing>
                <wp:inline distT="0" distB="0" distL="0" distR="0">
                  <wp:extent cx="2185035" cy="2200910"/>
                  <wp:effectExtent l="0" t="0" r="571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0"/>
                          <a:stretch>
                            <a:fillRect/>
                          </a:stretch>
                        </pic:blipFill>
                        <pic:spPr>
                          <a:xfrm>
                            <a:off x="0" y="0"/>
                            <a:ext cx="2189412" cy="2205675"/>
                          </a:xfrm>
                          <a:prstGeom prst="rect">
                            <a:avLst/>
                          </a:prstGeom>
                        </pic:spPr>
                      </pic:pic>
                    </a:graphicData>
                  </a:graphic>
                </wp:inline>
              </w:drawing>
            </w:r>
          </w:p>
        </w:tc>
        <w:tc>
          <w:tcPr>
            <w:tcW w:w="5076" w:type="dxa"/>
            <w:vAlign w:val="center"/>
          </w:tcPr>
          <w:p>
            <w:pPr>
              <w:widowControl w:val="0"/>
              <w:adjustRightInd/>
              <w:snapToGrid/>
              <w:spacing w:before="156" w:beforeLines="50"/>
              <w:jc w:val="center"/>
              <w:rPr>
                <w:rFonts w:ascii="Times New Roman" w:hAnsi="宋体" w:eastAsia="宋体" w:cs="Times New Roman"/>
                <w:color w:val="auto"/>
                <w:sz w:val="24"/>
                <w:szCs w:val="24"/>
                <w:highlight w:val="none"/>
              </w:rPr>
            </w:pPr>
            <w:r>
              <w:rPr>
                <w:color w:val="auto"/>
                <w:highlight w:val="none"/>
              </w:rPr>
              <w:drawing>
                <wp:inline distT="0" distB="0" distL="0" distR="0">
                  <wp:extent cx="2910205" cy="1896110"/>
                  <wp:effectExtent l="0" t="0" r="444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1"/>
                          <a:stretch>
                            <a:fillRect/>
                          </a:stretch>
                        </pic:blipFill>
                        <pic:spPr>
                          <a:xfrm>
                            <a:off x="0" y="0"/>
                            <a:ext cx="2915997" cy="1900198"/>
                          </a:xfrm>
                          <a:prstGeom prst="rect">
                            <a:avLst/>
                          </a:prstGeom>
                        </pic:spPr>
                      </pic:pic>
                    </a:graphicData>
                  </a:graphic>
                </wp:inline>
              </w:drawing>
            </w:r>
          </w:p>
        </w:tc>
      </w:tr>
      <w:tr>
        <w:tblPrEx>
          <w:tblCellMar>
            <w:top w:w="0" w:type="dxa"/>
            <w:left w:w="108" w:type="dxa"/>
            <w:bottom w:w="0" w:type="dxa"/>
            <w:right w:w="108" w:type="dxa"/>
          </w:tblCellMar>
        </w:tblPrEx>
        <w:tc>
          <w:tcPr>
            <w:tcW w:w="3447" w:type="dxa"/>
            <w:vAlign w:val="bottom"/>
          </w:tcPr>
          <w:p>
            <w:pPr>
              <w:widowControl w:val="0"/>
              <w:jc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sz w:val="18"/>
                <w:szCs w:val="20"/>
                <w:highlight w:val="none"/>
              </w:rPr>
              <w:t>（a）端节点</w:t>
            </w:r>
          </w:p>
        </w:tc>
        <w:tc>
          <w:tcPr>
            <w:tcW w:w="5076" w:type="dxa"/>
            <w:vAlign w:val="bottom"/>
          </w:tcPr>
          <w:p>
            <w:pPr>
              <w:widowControl w:val="0"/>
              <w:jc w:val="center"/>
              <w:rPr>
                <w:rFonts w:ascii="Times New Roman" w:hAnsi="Times New Roman" w:eastAsia="宋体" w:cs="Times New Roman"/>
                <w:color w:val="auto"/>
                <w:sz w:val="20"/>
                <w:szCs w:val="20"/>
                <w:highlight w:val="none"/>
              </w:rPr>
            </w:pPr>
            <w:r>
              <w:rPr>
                <w:rFonts w:ascii="Times New Roman" w:hAnsi="Times New Roman" w:eastAsia="宋体" w:cs="Times New Roman"/>
                <w:color w:val="auto"/>
                <w:sz w:val="18"/>
                <w:szCs w:val="20"/>
                <w:highlight w:val="none"/>
              </w:rPr>
              <w:t>（b）中节点</w:t>
            </w:r>
          </w:p>
        </w:tc>
      </w:tr>
      <w:tr>
        <w:tblPrEx>
          <w:tblCellMar>
            <w:top w:w="0" w:type="dxa"/>
            <w:left w:w="108" w:type="dxa"/>
            <w:bottom w:w="0" w:type="dxa"/>
            <w:right w:w="108" w:type="dxa"/>
          </w:tblCellMar>
        </w:tblPrEx>
        <w:tc>
          <w:tcPr>
            <w:tcW w:w="8523" w:type="dxa"/>
            <w:gridSpan w:val="2"/>
            <w:vAlign w:val="center"/>
          </w:tcPr>
          <w:p>
            <w:pPr>
              <w:widowControl w:val="0"/>
              <w:jc w:val="center"/>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t>图7.4.4 无胡子筋的板端支座构造示意</w:t>
            </w:r>
          </w:p>
        </w:tc>
      </w:tr>
    </w:tbl>
    <w:p>
      <w:pPr>
        <w:spacing w:line="360" w:lineRule="auto"/>
        <w:jc w:val="center"/>
        <w:rPr>
          <w:rFonts w:eastAsia="宋体"/>
          <w:color w:val="auto"/>
          <w:spacing w:val="4"/>
          <w:sz w:val="18"/>
          <w:szCs w:val="18"/>
          <w:highlight w:val="none"/>
        </w:rPr>
      </w:pPr>
      <w:r>
        <w:rPr>
          <w:rFonts w:eastAsia="宋体"/>
          <w:color w:val="auto"/>
          <w:spacing w:val="4"/>
          <w:sz w:val="18"/>
          <w:szCs w:val="18"/>
          <w:highlight w:val="none"/>
        </w:rPr>
        <w:t>1—支承</w:t>
      </w:r>
      <w:r>
        <w:rPr>
          <w:rFonts w:hint="eastAsia" w:eastAsia="宋体"/>
          <w:color w:val="auto"/>
          <w:spacing w:val="4"/>
          <w:sz w:val="18"/>
          <w:szCs w:val="18"/>
          <w:highlight w:val="none"/>
        </w:rPr>
        <w:t>混凝土</w:t>
      </w:r>
      <w:r>
        <w:rPr>
          <w:rFonts w:eastAsia="宋体"/>
          <w:color w:val="auto"/>
          <w:spacing w:val="4"/>
          <w:sz w:val="18"/>
          <w:szCs w:val="18"/>
          <w:highlight w:val="none"/>
        </w:rPr>
        <w:t>梁或</w:t>
      </w:r>
      <w:r>
        <w:rPr>
          <w:rFonts w:hint="eastAsia" w:eastAsia="宋体"/>
          <w:color w:val="auto"/>
          <w:spacing w:val="4"/>
          <w:sz w:val="18"/>
          <w:szCs w:val="18"/>
          <w:highlight w:val="none"/>
        </w:rPr>
        <w:t>混凝土</w:t>
      </w:r>
      <w:r>
        <w:rPr>
          <w:rFonts w:eastAsia="宋体"/>
          <w:color w:val="auto"/>
          <w:spacing w:val="4"/>
          <w:sz w:val="18"/>
          <w:szCs w:val="18"/>
          <w:highlight w:val="none"/>
        </w:rPr>
        <w:t>墙；2—预制</w:t>
      </w:r>
      <w:r>
        <w:rPr>
          <w:rFonts w:hint="eastAsia" w:eastAsia="宋体"/>
          <w:color w:val="auto"/>
          <w:spacing w:val="4"/>
          <w:sz w:val="18"/>
          <w:szCs w:val="18"/>
          <w:highlight w:val="none"/>
        </w:rPr>
        <w:t>底</w:t>
      </w:r>
      <w:r>
        <w:rPr>
          <w:rFonts w:eastAsia="宋体"/>
          <w:color w:val="auto"/>
          <w:spacing w:val="4"/>
          <w:sz w:val="18"/>
          <w:szCs w:val="18"/>
          <w:highlight w:val="none"/>
        </w:rPr>
        <w:t>板；3—钢筋桁架；</w:t>
      </w:r>
      <w:r>
        <w:rPr>
          <w:rFonts w:hint="eastAsia" w:eastAsia="宋体"/>
          <w:color w:val="auto"/>
          <w:spacing w:val="4"/>
          <w:sz w:val="18"/>
          <w:szCs w:val="18"/>
          <w:highlight w:val="none"/>
        </w:rPr>
        <w:t>4</w:t>
      </w:r>
      <w:r>
        <w:rPr>
          <w:rFonts w:eastAsia="宋体"/>
          <w:color w:val="auto"/>
          <w:spacing w:val="4"/>
          <w:sz w:val="18"/>
          <w:szCs w:val="18"/>
          <w:highlight w:val="none"/>
        </w:rPr>
        <w:t>—</w:t>
      </w:r>
      <w:r>
        <w:rPr>
          <w:rFonts w:hint="eastAsia" w:eastAsia="宋体"/>
          <w:color w:val="auto"/>
          <w:spacing w:val="4"/>
          <w:sz w:val="18"/>
          <w:szCs w:val="18"/>
          <w:highlight w:val="none"/>
        </w:rPr>
        <w:t>横向钢筋</w:t>
      </w:r>
      <w:r>
        <w:rPr>
          <w:rFonts w:eastAsia="宋体"/>
          <w:color w:val="auto"/>
          <w:spacing w:val="4"/>
          <w:sz w:val="18"/>
          <w:szCs w:val="18"/>
          <w:highlight w:val="none"/>
        </w:rPr>
        <w:t>；</w:t>
      </w:r>
      <w:r>
        <w:rPr>
          <w:rFonts w:hint="eastAsia" w:eastAsia="宋体"/>
          <w:color w:val="auto"/>
          <w:spacing w:val="4"/>
          <w:sz w:val="18"/>
          <w:szCs w:val="18"/>
          <w:highlight w:val="none"/>
        </w:rPr>
        <w:t>5</w:t>
      </w:r>
      <w:r>
        <w:rPr>
          <w:rFonts w:eastAsia="宋体"/>
          <w:color w:val="auto"/>
          <w:spacing w:val="4"/>
          <w:sz w:val="18"/>
          <w:szCs w:val="18"/>
          <w:highlight w:val="none"/>
        </w:rPr>
        <w:t>—</w:t>
      </w:r>
      <w:r>
        <w:rPr>
          <w:rFonts w:hint="eastAsia" w:eastAsia="宋体"/>
          <w:color w:val="auto"/>
          <w:spacing w:val="4"/>
          <w:sz w:val="18"/>
          <w:szCs w:val="18"/>
          <w:highlight w:val="none"/>
        </w:rPr>
        <w:t>连接钢筋</w:t>
      </w:r>
    </w:p>
    <w:p>
      <w:pPr>
        <w:widowControl w:val="0"/>
        <w:tabs>
          <w:tab w:val="left" w:pos="735"/>
        </w:tabs>
        <w:adjustRightInd/>
        <w:snapToGrid/>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7.4.</w:t>
      </w:r>
      <w:r>
        <w:rPr>
          <w:rFonts w:hint="eastAsia" w:ascii="Times New Roman" w:hAnsi="Times New Roman" w:eastAsia="宋体" w:cs="Times New Roman"/>
          <w:b/>
          <w:color w:val="auto"/>
          <w:sz w:val="24"/>
          <w:szCs w:val="24"/>
          <w:highlight w:val="none"/>
        </w:rPr>
        <w:t xml:space="preserve">5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w:t>
      </w:r>
      <w:r>
        <w:rPr>
          <w:rFonts w:hint="eastAsia" w:ascii="Times New Roman" w:hAnsi="Times New Roman" w:eastAsia="宋体" w:cs="Times New Roman"/>
          <w:color w:val="auto"/>
          <w:sz w:val="24"/>
          <w:szCs w:val="24"/>
          <w:highlight w:val="none"/>
        </w:rPr>
        <w:t>上表面设置的垂直于预应力钢筋方向的横向钢筋在支座处的锚固长度应满足现行国家标准《混凝土结构设计规范》GB50010的规定。</w:t>
      </w:r>
    </w:p>
    <w:p>
      <w:pPr>
        <w:adjustRightInd/>
        <w:snapToGrid/>
        <w:spacing w:line="220" w:lineRule="atLeast"/>
        <w:rPr>
          <w:rFonts w:ascii="宋体" w:hAnsi="宋体" w:eastAsia="宋体" w:cs="Times New Roman"/>
          <w:b/>
          <w:color w:val="auto"/>
          <w:kern w:val="2"/>
          <w:sz w:val="28"/>
          <w:szCs w:val="20"/>
          <w:highlight w:val="none"/>
        </w:rPr>
      </w:pPr>
      <w:r>
        <w:rPr>
          <w:rFonts w:ascii="宋体" w:hAnsi="宋体" w:eastAsia="宋体"/>
          <w:color w:val="auto"/>
          <w:highlight w:val="none"/>
        </w:rPr>
        <w:br w:type="page"/>
      </w:r>
    </w:p>
    <w:p>
      <w:pPr>
        <w:pStyle w:val="24"/>
        <w:spacing w:before="312" w:after="312"/>
        <w:rPr>
          <w:rFonts w:eastAsiaTheme="minorEastAsia"/>
          <w:color w:val="auto"/>
          <w:highlight w:val="none"/>
        </w:rPr>
      </w:pPr>
      <w:bookmarkStart w:id="54" w:name="_Toc111709524"/>
      <w:r>
        <w:rPr>
          <w:rFonts w:hint="eastAsia" w:eastAsiaTheme="minorEastAsia"/>
          <w:color w:val="auto"/>
          <w:highlight w:val="none"/>
        </w:rPr>
        <w:t xml:space="preserve">8 </w:t>
      </w:r>
      <w:r>
        <w:rPr>
          <w:rFonts w:eastAsiaTheme="minorEastAsia"/>
          <w:color w:val="auto"/>
          <w:highlight w:val="none"/>
        </w:rPr>
        <w:t>构件制作与运输</w:t>
      </w:r>
      <w:bookmarkEnd w:id="54"/>
    </w:p>
    <w:p>
      <w:pPr>
        <w:pStyle w:val="25"/>
        <w:spacing w:beforeLines="0" w:after="312" w:line="360" w:lineRule="auto"/>
        <w:rPr>
          <w:color w:val="auto"/>
          <w:highlight w:val="none"/>
        </w:rPr>
      </w:pPr>
      <w:bookmarkStart w:id="55" w:name="_Toc111709525"/>
      <w:r>
        <w:rPr>
          <w:rFonts w:hint="eastAsia" w:hAnsi="宋体"/>
          <w:color w:val="auto"/>
          <w:highlight w:val="none"/>
        </w:rPr>
        <w:t>8.1</w:t>
      </w:r>
      <w:r>
        <w:rPr>
          <w:rFonts w:hAnsi="宋体"/>
          <w:color w:val="auto"/>
          <w:highlight w:val="none"/>
        </w:rPr>
        <w:t>一般规定</w:t>
      </w:r>
      <w:bookmarkEnd w:id="55"/>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8.1.1</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板生产企</w:t>
      </w:r>
      <w:r>
        <w:rPr>
          <w:rFonts w:ascii="Times New Roman" w:hAnsi="宋体" w:eastAsia="宋体" w:cs="Times New Roman"/>
          <w:color w:val="auto"/>
          <w:sz w:val="24"/>
          <w:szCs w:val="24"/>
          <w:highlight w:val="none"/>
        </w:rPr>
        <w:t>业应具有预应力张拉台座</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钢筋</w:t>
      </w:r>
      <w:r>
        <w:rPr>
          <w:rFonts w:hint="eastAsia" w:ascii="Times New Roman" w:hAnsi="宋体" w:eastAsia="宋体" w:cs="Times New Roman"/>
          <w:color w:val="auto"/>
          <w:sz w:val="24"/>
          <w:szCs w:val="24"/>
          <w:highlight w:val="none"/>
        </w:rPr>
        <w:t>加工设备、</w:t>
      </w:r>
      <w:r>
        <w:rPr>
          <w:rFonts w:ascii="Times New Roman" w:hAnsi="宋体" w:eastAsia="宋体" w:cs="Times New Roman"/>
          <w:color w:val="auto"/>
          <w:sz w:val="24"/>
          <w:szCs w:val="24"/>
          <w:highlight w:val="none"/>
        </w:rPr>
        <w:t>预应力张拉</w:t>
      </w:r>
      <w:r>
        <w:rPr>
          <w:rFonts w:hint="eastAsia" w:ascii="Times New Roman" w:hAnsi="宋体" w:eastAsia="宋体" w:cs="Times New Roman"/>
          <w:color w:val="auto"/>
          <w:sz w:val="24"/>
          <w:szCs w:val="24"/>
          <w:highlight w:val="none"/>
        </w:rPr>
        <w:t>机具、</w:t>
      </w:r>
      <w:r>
        <w:rPr>
          <w:rFonts w:ascii="Times New Roman" w:hAnsi="宋体" w:eastAsia="宋体" w:cs="Times New Roman"/>
          <w:color w:val="auto"/>
          <w:sz w:val="24"/>
          <w:szCs w:val="24"/>
          <w:highlight w:val="none"/>
        </w:rPr>
        <w:t>混凝土搅拌</w:t>
      </w:r>
      <w:r>
        <w:rPr>
          <w:rFonts w:hint="eastAsia" w:ascii="Times New Roman" w:hAnsi="宋体" w:eastAsia="宋体" w:cs="Times New Roman"/>
          <w:color w:val="auto"/>
          <w:sz w:val="24"/>
          <w:szCs w:val="24"/>
          <w:highlight w:val="none"/>
        </w:rPr>
        <w:t>站、</w:t>
      </w:r>
      <w:r>
        <w:rPr>
          <w:rFonts w:ascii="Times New Roman" w:hAnsi="宋体" w:eastAsia="宋体" w:cs="Times New Roman"/>
          <w:color w:val="auto"/>
          <w:sz w:val="24"/>
          <w:szCs w:val="24"/>
          <w:highlight w:val="none"/>
        </w:rPr>
        <w:t>输送布料震捣的专用设备</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混凝土养护</w:t>
      </w:r>
      <w:r>
        <w:rPr>
          <w:rFonts w:hint="eastAsia" w:ascii="Times New Roman" w:hAnsi="宋体" w:eastAsia="宋体" w:cs="Times New Roman"/>
          <w:color w:val="auto"/>
          <w:sz w:val="24"/>
          <w:szCs w:val="24"/>
          <w:highlight w:val="none"/>
        </w:rPr>
        <w:t>系统、</w:t>
      </w:r>
      <w:r>
        <w:rPr>
          <w:rFonts w:ascii="Times New Roman" w:hAnsi="宋体" w:eastAsia="宋体" w:cs="Times New Roman"/>
          <w:color w:val="auto"/>
          <w:sz w:val="24"/>
          <w:szCs w:val="24"/>
          <w:highlight w:val="none"/>
        </w:rPr>
        <w:t>吊运设备</w:t>
      </w:r>
      <w:r>
        <w:rPr>
          <w:rFonts w:hint="eastAsia" w:ascii="Times New Roman" w:hAnsi="宋体" w:eastAsia="宋体" w:cs="Times New Roman"/>
          <w:color w:val="auto"/>
          <w:sz w:val="24"/>
          <w:szCs w:val="24"/>
          <w:highlight w:val="none"/>
        </w:rPr>
        <w:t>和</w:t>
      </w:r>
      <w:r>
        <w:rPr>
          <w:rFonts w:ascii="Times New Roman" w:hAnsi="宋体" w:eastAsia="宋体" w:cs="Times New Roman"/>
          <w:color w:val="auto"/>
          <w:sz w:val="24"/>
          <w:szCs w:val="24"/>
          <w:highlight w:val="none"/>
        </w:rPr>
        <w:t>堆放场地</w:t>
      </w:r>
      <w:r>
        <w:rPr>
          <w:rFonts w:hint="eastAsia" w:ascii="Times New Roman" w:hAnsi="宋体" w:eastAsia="宋体" w:cs="Times New Roman"/>
          <w:color w:val="auto"/>
          <w:sz w:val="24"/>
          <w:szCs w:val="24"/>
          <w:highlight w:val="none"/>
        </w:rPr>
        <w:t>，并应符合现行行业标准《工厂预制混凝土构件质量管理标准》JG</w:t>
      </w:r>
      <w:r>
        <w:rPr>
          <w:rFonts w:ascii="Times New Roman" w:hAnsi="宋体" w:eastAsia="宋体" w:cs="Times New Roman"/>
          <w:color w:val="auto"/>
          <w:sz w:val="24"/>
          <w:szCs w:val="24"/>
          <w:highlight w:val="none"/>
        </w:rPr>
        <w:t>/</w:t>
      </w:r>
      <w:r>
        <w:rPr>
          <w:rFonts w:hint="eastAsia" w:ascii="Times New Roman" w:hAnsi="宋体" w:eastAsia="宋体" w:cs="Times New Roman"/>
          <w:color w:val="auto"/>
          <w:sz w:val="24"/>
          <w:szCs w:val="24"/>
          <w:highlight w:val="none"/>
        </w:rPr>
        <w:t>T565的相关规定。</w:t>
      </w:r>
    </w:p>
    <w:p>
      <w:pPr>
        <w:tabs>
          <w:tab w:val="left" w:pos="777"/>
        </w:tabs>
        <w:spacing w:after="0" w:line="360" w:lineRule="auto"/>
        <w:outlineLvl w:val="2"/>
        <w:rPr>
          <w:rFonts w:ascii="Times New Roman" w:hAnsi="Times New Roman" w:eastAsia="宋体" w:cs="Times New Roman"/>
          <w:color w:val="auto"/>
          <w:highlight w:val="none"/>
        </w:rPr>
      </w:pPr>
      <w:r>
        <w:rPr>
          <w:rFonts w:ascii="Times New Roman" w:hAnsi="Times New Roman" w:eastAsia="宋体" w:cs="Times New Roman"/>
          <w:b/>
          <w:color w:val="auto"/>
          <w:sz w:val="24"/>
          <w:szCs w:val="24"/>
          <w:highlight w:val="none"/>
        </w:rPr>
        <w:t>8.1.2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板生产企业</w:t>
      </w:r>
      <w:r>
        <w:rPr>
          <w:rFonts w:ascii="Times New Roman" w:hAnsi="宋体" w:eastAsia="宋体" w:cs="Times New Roman"/>
          <w:color w:val="auto"/>
          <w:sz w:val="24"/>
          <w:szCs w:val="24"/>
          <w:highlight w:val="none"/>
        </w:rPr>
        <w:t>应有必要的原材料、半成品和成品试验检验能力，并应建立完善的质量管理体系和检验制度。</w:t>
      </w:r>
    </w:p>
    <w:p>
      <w:pPr>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8.1.3</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w:t>
      </w:r>
      <w:r>
        <w:rPr>
          <w:rFonts w:ascii="Times New Roman" w:hAnsi="宋体" w:eastAsia="宋体" w:cs="Times New Roman"/>
          <w:color w:val="auto"/>
          <w:sz w:val="24"/>
          <w:szCs w:val="24"/>
          <w:highlight w:val="none"/>
        </w:rPr>
        <w:t>制作前应组织图纸会审</w:t>
      </w:r>
      <w:r>
        <w:rPr>
          <w:rFonts w:hint="eastAsia" w:ascii="Times New Roman" w:hAnsi="宋体" w:eastAsia="宋体" w:cs="Times New Roman"/>
          <w:color w:val="auto"/>
          <w:sz w:val="24"/>
          <w:szCs w:val="24"/>
          <w:highlight w:val="none"/>
        </w:rPr>
        <w:t>。按</w:t>
      </w:r>
      <w:r>
        <w:rPr>
          <w:rFonts w:ascii="Times New Roman" w:hAnsi="宋体" w:eastAsia="宋体" w:cs="Times New Roman"/>
          <w:color w:val="auto"/>
          <w:sz w:val="24"/>
          <w:szCs w:val="24"/>
          <w:highlight w:val="none"/>
        </w:rPr>
        <w:t>设计要求和质量标准进行技术交底</w:t>
      </w:r>
      <w:r>
        <w:rPr>
          <w:rFonts w:hint="eastAsia" w:ascii="Times New Roman" w:hAnsi="宋体" w:eastAsia="宋体" w:cs="Times New Roman"/>
          <w:color w:val="auto"/>
          <w:sz w:val="24"/>
          <w:szCs w:val="24"/>
          <w:highlight w:val="none"/>
        </w:rPr>
        <w:t>。</w:t>
      </w:r>
    </w:p>
    <w:p>
      <w:pPr>
        <w:spacing w:after="0" w:line="360" w:lineRule="auto"/>
        <w:outlineLvl w:val="2"/>
        <w:rPr>
          <w:rFonts w:ascii="Times New Roman" w:eastAsia="宋体" w:cs="Times New Roman"/>
          <w:color w:val="auto"/>
          <w:sz w:val="24"/>
          <w:szCs w:val="24"/>
          <w:highlight w:val="none"/>
        </w:rPr>
      </w:pPr>
      <w:bookmarkStart w:id="56" w:name="_Hlk111663527"/>
      <w:r>
        <w:rPr>
          <w:rFonts w:ascii="Times New Roman" w:hAnsi="Times New Roman" w:eastAsia="宋体" w:cs="Times New Roman"/>
          <w:b/>
          <w:color w:val="auto"/>
          <w:sz w:val="24"/>
          <w:szCs w:val="24"/>
          <w:highlight w:val="none"/>
        </w:rPr>
        <w:t xml:space="preserve">8.1.4 </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bookmarkEnd w:id="56"/>
      <w:r>
        <w:rPr>
          <w:rFonts w:hint="eastAsia" w:ascii="Times New Roman" w:hAnsi="Times New Roman" w:eastAsia="宋体" w:cs="Times New Roman"/>
          <w:color w:val="auto"/>
          <w:sz w:val="24"/>
          <w:szCs w:val="24"/>
          <w:highlight w:val="none"/>
        </w:rPr>
        <w:t>支架预应力混凝土叠合板</w:t>
      </w:r>
      <w:r>
        <w:rPr>
          <w:rFonts w:ascii="Times New Roman" w:hAnsi="Times New Roman" w:eastAsia="宋体" w:cs="Times New Roman"/>
          <w:color w:val="auto"/>
          <w:sz w:val="24"/>
          <w:szCs w:val="24"/>
          <w:highlight w:val="none"/>
        </w:rPr>
        <w:t>预制</w:t>
      </w:r>
      <w:r>
        <w:rPr>
          <w:rFonts w:hint="eastAsia" w:ascii="Times New Roman" w:hAnsi="Times New Roman" w:eastAsia="宋体" w:cs="Times New Roman"/>
          <w:color w:val="auto"/>
          <w:sz w:val="24"/>
          <w:szCs w:val="24"/>
          <w:highlight w:val="none"/>
        </w:rPr>
        <w:t>底</w:t>
      </w:r>
      <w:r>
        <w:rPr>
          <w:rFonts w:ascii="Times New Roman" w:hAnsi="Times New Roman" w:eastAsia="宋体" w:cs="Times New Roman"/>
          <w:color w:val="auto"/>
          <w:sz w:val="24"/>
          <w:szCs w:val="24"/>
          <w:highlight w:val="none"/>
        </w:rPr>
        <w:t>板的</w:t>
      </w:r>
      <w:r>
        <w:rPr>
          <w:rFonts w:hint="eastAsia" w:ascii="Times New Roman" w:hAnsi="Times New Roman" w:eastAsia="宋体" w:cs="Times New Roman"/>
          <w:color w:val="auto"/>
          <w:sz w:val="24"/>
          <w:szCs w:val="24"/>
          <w:highlight w:val="none"/>
        </w:rPr>
        <w:t>制作</w:t>
      </w:r>
      <w:r>
        <w:rPr>
          <w:rFonts w:ascii="Times New Roman" w:hAnsi="Times New Roman" w:eastAsia="宋体" w:cs="Times New Roman"/>
          <w:color w:val="auto"/>
          <w:sz w:val="24"/>
          <w:szCs w:val="24"/>
          <w:highlight w:val="none"/>
        </w:rPr>
        <w:t>除应</w:t>
      </w:r>
      <w:r>
        <w:rPr>
          <w:rFonts w:ascii="Times New Roman" w:hAnsi="宋体" w:eastAsia="宋体" w:cs="Times New Roman"/>
          <w:color w:val="auto"/>
          <w:sz w:val="24"/>
          <w:szCs w:val="24"/>
          <w:highlight w:val="none"/>
        </w:rPr>
        <w:t>符合本规程规定外，</w:t>
      </w:r>
      <w:r>
        <w:rPr>
          <w:rFonts w:ascii="Times New Roman" w:eastAsia="宋体" w:cs="Times New Roman"/>
          <w:color w:val="auto"/>
          <w:sz w:val="24"/>
          <w:szCs w:val="24"/>
          <w:highlight w:val="none"/>
        </w:rPr>
        <w:t>尚应符合国家现行有关标准的规定。</w:t>
      </w:r>
    </w:p>
    <w:p>
      <w:pPr>
        <w:pStyle w:val="25"/>
        <w:spacing w:beforeLines="0" w:after="312" w:line="360" w:lineRule="auto"/>
        <w:rPr>
          <w:color w:val="auto"/>
          <w:szCs w:val="24"/>
          <w:highlight w:val="none"/>
        </w:rPr>
      </w:pPr>
      <w:bookmarkStart w:id="57" w:name="_Toc111709526"/>
      <w:r>
        <w:rPr>
          <w:color w:val="auto"/>
          <w:highlight w:val="none"/>
        </w:rPr>
        <w:t>8.2</w:t>
      </w:r>
      <w:r>
        <w:rPr>
          <w:rFonts w:hint="eastAsia"/>
          <w:color w:val="auto"/>
          <w:szCs w:val="24"/>
          <w:highlight w:val="none"/>
        </w:rPr>
        <w:t>预制底板</w:t>
      </w:r>
      <w:r>
        <w:rPr>
          <w:color w:val="auto"/>
          <w:szCs w:val="24"/>
          <w:highlight w:val="none"/>
        </w:rPr>
        <w:t>制作</w:t>
      </w:r>
      <w:bookmarkEnd w:id="57"/>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8.2.1</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Times New Roman" w:eastAsia="宋体" w:cs="Times New Roman"/>
          <w:color w:val="auto"/>
          <w:sz w:val="24"/>
          <w:szCs w:val="24"/>
          <w:highlight w:val="none"/>
        </w:rPr>
        <w:t>制作需要在钢筋混凝土预应力长线台座上进行，台座应具有足够的承载力、刚度及整体稳固性，应能满足各阶段</w:t>
      </w:r>
      <w:r>
        <w:rPr>
          <w:rFonts w:hint="eastAsia" w:ascii="Times New Roman" w:hAnsi="Times New Roman" w:eastAsia="宋体" w:cs="Times New Roman"/>
          <w:color w:val="auto"/>
          <w:sz w:val="24"/>
          <w:szCs w:val="24"/>
          <w:highlight w:val="none"/>
        </w:rPr>
        <w:t>作业</w:t>
      </w:r>
      <w:r>
        <w:rPr>
          <w:rFonts w:ascii="Times New Roman" w:hAnsi="Times New Roman" w:eastAsia="宋体" w:cs="Times New Roman"/>
          <w:color w:val="auto"/>
          <w:sz w:val="24"/>
          <w:szCs w:val="24"/>
          <w:highlight w:val="none"/>
        </w:rPr>
        <w:t>荷载和</w:t>
      </w:r>
      <w:r>
        <w:rPr>
          <w:rFonts w:hint="eastAsia" w:ascii="Times New Roman" w:hAnsi="Times New Roman" w:eastAsia="宋体" w:cs="Times New Roman"/>
          <w:color w:val="auto"/>
          <w:sz w:val="24"/>
          <w:szCs w:val="24"/>
          <w:highlight w:val="none"/>
        </w:rPr>
        <w:t>制作</w:t>
      </w:r>
      <w:r>
        <w:rPr>
          <w:rFonts w:ascii="Times New Roman" w:hAnsi="Times New Roman" w:eastAsia="宋体" w:cs="Times New Roman"/>
          <w:color w:val="auto"/>
          <w:sz w:val="24"/>
          <w:szCs w:val="24"/>
          <w:highlight w:val="none"/>
        </w:rPr>
        <w:t>工艺的要求</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矩形钢管的设计制作应考虑施工措施和施工过程对结构的影响。当施工方法或顺序对主体结构的内力和变形有较大影响时，应进行施工阶段分析验算</w:t>
      </w:r>
      <w:r>
        <w:rPr>
          <w:rFonts w:ascii="Times New Roman" w:hAnsi="Times New Roman" w:eastAsia="宋体" w:cs="Times New Roman"/>
          <w:color w:val="auto"/>
          <w:sz w:val="24"/>
          <w:szCs w:val="24"/>
          <w:highlight w:val="none"/>
        </w:rPr>
        <w:t>。</w:t>
      </w:r>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8.2.2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制作</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的侧模和端模应该在满足生产工艺的基础上具备足够的强度、刚度和整体稳定性。</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8.2.3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模具拼装应连接牢固、缝隙严密。与混凝土的接触面不应有划痕、锈渍和氧化层脱落等现象；模具拼装前应进行表面清理，脱模剂宜采用水溶性隔离剂，脱模剂不得污染钢筋表面。模具拼装完成后，其尺寸偏差应符合表</w:t>
      </w:r>
      <w:r>
        <w:rPr>
          <w:rFonts w:ascii="Times New Roman" w:hAnsi="Times New Roman" w:eastAsia="宋体" w:cs="Times New Roman"/>
          <w:color w:val="auto"/>
          <w:sz w:val="24"/>
          <w:szCs w:val="24"/>
          <w:highlight w:val="none"/>
        </w:rPr>
        <w:t>8.2.3</w:t>
      </w:r>
      <w:r>
        <w:rPr>
          <w:rFonts w:ascii="Times New Roman" w:hAnsi="宋体" w:eastAsia="宋体" w:cs="Times New Roman"/>
          <w:color w:val="auto"/>
          <w:sz w:val="24"/>
          <w:szCs w:val="24"/>
          <w:highlight w:val="none"/>
        </w:rPr>
        <w:t>的要求。</w:t>
      </w:r>
    </w:p>
    <w:p>
      <w:pPr>
        <w:spacing w:after="0" w:line="324" w:lineRule="auto"/>
        <w:jc w:val="center"/>
        <w:rPr>
          <w:rFonts w:ascii="Times New Roman" w:cs="Times New Roman" w:hAnsiTheme="minorEastAsia" w:eastAsiaTheme="minorEastAsia"/>
          <w:b/>
          <w:color w:val="auto"/>
          <w:sz w:val="21"/>
          <w:szCs w:val="21"/>
          <w:highlight w:val="none"/>
        </w:rPr>
      </w:pPr>
      <w:r>
        <w:rPr>
          <w:rFonts w:ascii="Times New Roman" w:cs="Times New Roman" w:hAnsiTheme="minorEastAsia" w:eastAsiaTheme="minorEastAsia"/>
          <w:b/>
          <w:color w:val="auto"/>
          <w:sz w:val="21"/>
          <w:szCs w:val="21"/>
          <w:highlight w:val="none"/>
        </w:rPr>
        <w:t>表8.2.3  模具安装允许偏差和检验方法</w:t>
      </w:r>
    </w:p>
    <w:tbl>
      <w:tblPr>
        <w:tblStyle w:val="1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1701"/>
        <w:gridCol w:w="1701"/>
        <w:gridCol w:w="3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项次</w:t>
            </w:r>
          </w:p>
        </w:tc>
        <w:tc>
          <w:tcPr>
            <w:tcW w:w="2693"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检验项目、内容</w:t>
            </w:r>
          </w:p>
        </w:tc>
        <w:tc>
          <w:tcPr>
            <w:tcW w:w="170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允许偏差</w:t>
            </w:r>
            <w:r>
              <w:rPr>
                <w:rFonts w:ascii="Times New Roman" w:hAnsi="Times New Roman" w:eastAsia="宋体" w:cs="Times New Roman"/>
                <w:color w:val="auto"/>
                <w:sz w:val="21"/>
                <w:szCs w:val="21"/>
                <w:highlight w:val="none"/>
              </w:rPr>
              <w:t>mm</w:t>
            </w:r>
          </w:p>
        </w:tc>
        <w:tc>
          <w:tcPr>
            <w:tcW w:w="331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992" w:type="dxa"/>
            <w:vMerge w:val="restart"/>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长度</w:t>
            </w:r>
          </w:p>
        </w:tc>
        <w:tc>
          <w:tcPr>
            <w:tcW w:w="170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w:t>
            </w:r>
            <w:r>
              <w:rPr>
                <w:rFonts w:ascii="Times New Roman" w:hAnsi="Times New Roman" w:eastAsia="宋体" w:cs="Times New Roman"/>
                <w:color w:val="auto"/>
                <w:sz w:val="21"/>
                <w:szCs w:val="21"/>
                <w:highlight w:val="none"/>
              </w:rPr>
              <w:t xml:space="preserve"> 6m</w:t>
            </w:r>
          </w:p>
        </w:tc>
        <w:tc>
          <w:tcPr>
            <w:tcW w:w="170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  -2</w:t>
            </w:r>
          </w:p>
        </w:tc>
        <w:tc>
          <w:tcPr>
            <w:tcW w:w="3311" w:type="dxa"/>
            <w:vMerge w:val="restart"/>
            <w:vAlign w:val="center"/>
          </w:tcPr>
          <w:p>
            <w:pPr>
              <w:widowControl w:val="0"/>
              <w:spacing w:after="0"/>
              <w:ind w:firstLine="315" w:firstLineChars="150"/>
              <w:jc w:val="both"/>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尺量两端模间距，取其中绝对值较大处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widowControl w:val="0"/>
              <w:spacing w:after="0"/>
              <w:jc w:val="center"/>
              <w:rPr>
                <w:rFonts w:ascii="Times New Roman" w:hAnsi="Times New Roman" w:eastAsia="宋体" w:cs="Times New Roman"/>
                <w:color w:val="auto"/>
                <w:sz w:val="21"/>
                <w:szCs w:val="21"/>
                <w:highlight w:val="none"/>
              </w:rPr>
            </w:pPr>
          </w:p>
        </w:tc>
        <w:tc>
          <w:tcPr>
            <w:tcW w:w="992" w:type="dxa"/>
            <w:vMerge w:val="continue"/>
            <w:vAlign w:val="center"/>
          </w:tcPr>
          <w:p>
            <w:pPr>
              <w:widowControl w:val="0"/>
              <w:spacing w:after="0"/>
              <w:jc w:val="center"/>
              <w:rPr>
                <w:rFonts w:ascii="Times New Roman" w:hAnsi="Times New Roman" w:eastAsia="宋体" w:cs="Times New Roman"/>
                <w:color w:val="auto"/>
                <w:sz w:val="21"/>
                <w:szCs w:val="21"/>
                <w:highlight w:val="none"/>
              </w:rPr>
            </w:pPr>
          </w:p>
        </w:tc>
        <w:tc>
          <w:tcPr>
            <w:tcW w:w="170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&gt;6m</w:t>
            </w:r>
            <w:r>
              <w:rPr>
                <w:rFonts w:ascii="Times New Roman" w:hAnsi="宋体" w:eastAsia="宋体" w:cs="Times New Roman"/>
                <w:color w:val="auto"/>
                <w:sz w:val="21"/>
                <w:szCs w:val="21"/>
                <w:highlight w:val="none"/>
              </w:rPr>
              <w:t>且≦</w:t>
            </w:r>
            <w:r>
              <w:rPr>
                <w:rFonts w:ascii="Times New Roman" w:hAnsi="Times New Roman" w:eastAsia="宋体" w:cs="Times New Roman"/>
                <w:color w:val="auto"/>
                <w:sz w:val="21"/>
                <w:szCs w:val="21"/>
                <w:highlight w:val="none"/>
              </w:rPr>
              <w:t>12m</w:t>
            </w:r>
          </w:p>
        </w:tc>
        <w:tc>
          <w:tcPr>
            <w:tcW w:w="170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  -4</w:t>
            </w:r>
          </w:p>
        </w:tc>
        <w:tc>
          <w:tcPr>
            <w:tcW w:w="3311" w:type="dxa"/>
            <w:vMerge w:val="continue"/>
            <w:vAlign w:val="center"/>
          </w:tcPr>
          <w:p>
            <w:pPr>
              <w:widowControl w:val="0"/>
              <w:spacing w:after="0"/>
              <w:jc w:val="both"/>
              <w:rPr>
                <w:rFonts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p>
        </w:tc>
        <w:tc>
          <w:tcPr>
            <w:tcW w:w="2693"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宽度（侧模间距）</w:t>
            </w:r>
          </w:p>
        </w:tc>
        <w:tc>
          <w:tcPr>
            <w:tcW w:w="1701" w:type="dxa"/>
            <w:vAlign w:val="center"/>
          </w:tcPr>
          <w:p>
            <w:pPr>
              <w:widowControl w:val="0"/>
              <w:spacing w:after="0"/>
              <w:ind w:firstLine="420" w:firstLineChars="20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r>
              <w:rPr>
                <w:rFonts w:ascii="Times New Roman" w:hAnsi="宋体" w:eastAsia="宋体" w:cs="Times New Roman"/>
                <w:color w:val="auto"/>
                <w:sz w:val="21"/>
                <w:szCs w:val="21"/>
                <w:highlight w:val="none"/>
              </w:rPr>
              <w:t>，</w:t>
            </w:r>
            <w:r>
              <w:rPr>
                <w:rFonts w:ascii="Times New Roman" w:hAnsi="Times New Roman" w:eastAsia="宋体" w:cs="Times New Roman"/>
                <w:color w:val="auto"/>
                <w:sz w:val="21"/>
                <w:szCs w:val="21"/>
                <w:highlight w:val="none"/>
              </w:rPr>
              <w:t>-4</w:t>
            </w:r>
          </w:p>
        </w:tc>
        <w:tc>
          <w:tcPr>
            <w:tcW w:w="3311" w:type="dxa"/>
            <w:vAlign w:val="center"/>
          </w:tcPr>
          <w:p>
            <w:pPr>
              <w:widowControl w:val="0"/>
              <w:spacing w:after="0"/>
              <w:ind w:firstLine="315" w:firstLineChars="150"/>
              <w:jc w:val="both"/>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尺量两侧模任何部位间距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w:t>
            </w:r>
          </w:p>
        </w:tc>
        <w:tc>
          <w:tcPr>
            <w:tcW w:w="2693"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模台平整度</w:t>
            </w:r>
          </w:p>
        </w:tc>
        <w:tc>
          <w:tcPr>
            <w:tcW w:w="1701" w:type="dxa"/>
            <w:vAlign w:val="center"/>
          </w:tcPr>
          <w:p>
            <w:pPr>
              <w:widowControl w:val="0"/>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3</w:t>
            </w:r>
            <w:r>
              <w:rPr>
                <w:rFonts w:ascii="Times New Roman" w:hAnsi="Times New Roman" w:eastAsia="宋体" w:cs="Times New Roman"/>
                <w:color w:val="auto"/>
                <w:sz w:val="21"/>
                <w:szCs w:val="21"/>
                <w:highlight w:val="none"/>
              </w:rPr>
              <w:t>m</w:t>
            </w:r>
            <w:r>
              <w:rPr>
                <w:rFonts w:ascii="Times New Roman" w:hAnsi="宋体" w:eastAsia="宋体" w:cs="Times New Roman"/>
                <w:color w:val="auto"/>
                <w:sz w:val="21"/>
                <w:szCs w:val="21"/>
                <w:highlight w:val="none"/>
              </w:rPr>
              <w:t>长度内</w:t>
            </w:r>
          </w:p>
        </w:tc>
        <w:tc>
          <w:tcPr>
            <w:tcW w:w="3311" w:type="dxa"/>
            <w:vAlign w:val="center"/>
          </w:tcPr>
          <w:p>
            <w:pPr>
              <w:widowControl w:val="0"/>
              <w:spacing w:after="0"/>
              <w:ind w:firstLine="315" w:firstLineChars="150"/>
              <w:jc w:val="both"/>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w:t>
            </w:r>
            <w:r>
              <w:rPr>
                <w:rFonts w:hint="eastAsia" w:ascii="Times New Roman" w:hAnsi="Times New Roman" w:eastAsia="宋体" w:cs="Times New Roman"/>
                <w:color w:val="auto"/>
                <w:sz w:val="21"/>
                <w:szCs w:val="21"/>
                <w:highlight w:val="none"/>
              </w:rPr>
              <w:t>3</w:t>
            </w:r>
            <w:r>
              <w:rPr>
                <w:rFonts w:ascii="Times New Roman" w:hAnsi="Times New Roman" w:eastAsia="宋体" w:cs="Times New Roman"/>
                <w:color w:val="auto"/>
                <w:sz w:val="21"/>
                <w:szCs w:val="21"/>
                <w:highlight w:val="none"/>
              </w:rPr>
              <w:t>m</w:t>
            </w:r>
            <w:r>
              <w:rPr>
                <w:rFonts w:ascii="Times New Roman" w:hAnsi="宋体" w:eastAsia="宋体" w:cs="Times New Roman"/>
                <w:color w:val="auto"/>
                <w:sz w:val="21"/>
                <w:szCs w:val="21"/>
                <w:highlight w:val="none"/>
              </w:rPr>
              <w:t>靠尺和塞尺量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w:t>
            </w:r>
          </w:p>
        </w:tc>
        <w:tc>
          <w:tcPr>
            <w:tcW w:w="2693"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对角线差</w:t>
            </w:r>
          </w:p>
        </w:tc>
        <w:tc>
          <w:tcPr>
            <w:tcW w:w="170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w:t>
            </w:r>
          </w:p>
        </w:tc>
        <w:tc>
          <w:tcPr>
            <w:tcW w:w="3311" w:type="dxa"/>
            <w:vAlign w:val="center"/>
          </w:tcPr>
          <w:p>
            <w:pPr>
              <w:widowControl w:val="0"/>
              <w:spacing w:after="0"/>
              <w:ind w:firstLine="315" w:firstLineChars="150"/>
              <w:jc w:val="both"/>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尺量对角线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2693"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端模和侧模高低差</w:t>
            </w:r>
          </w:p>
        </w:tc>
        <w:tc>
          <w:tcPr>
            <w:tcW w:w="170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3311" w:type="dxa"/>
            <w:vAlign w:val="center"/>
          </w:tcPr>
          <w:p>
            <w:pPr>
              <w:widowControl w:val="0"/>
              <w:spacing w:after="0"/>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 xml:space="preserve">     </w:t>
            </w:r>
            <w:r>
              <w:rPr>
                <w:rFonts w:ascii="Times New Roman" w:hAnsi="宋体" w:eastAsia="宋体" w:cs="Times New Roman"/>
                <w:color w:val="auto"/>
                <w:sz w:val="21"/>
                <w:szCs w:val="21"/>
                <w:highlight w:val="none"/>
              </w:rPr>
              <w:t>用钢尺量</w:t>
            </w:r>
          </w:p>
        </w:tc>
      </w:tr>
    </w:tbl>
    <w:p>
      <w:pPr>
        <w:tabs>
          <w:tab w:val="left" w:pos="777"/>
        </w:tabs>
        <w:spacing w:before="156" w:beforeLines="50"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8.2.4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w:t>
      </w:r>
      <w:r>
        <w:rPr>
          <w:rFonts w:ascii="Times New Roman" w:hAnsi="宋体" w:eastAsia="宋体" w:cs="Times New Roman"/>
          <w:color w:val="auto"/>
          <w:sz w:val="24"/>
          <w:szCs w:val="24"/>
          <w:highlight w:val="none"/>
        </w:rPr>
        <w:t>底板生产用钢筋应该符合下列规定：</w:t>
      </w:r>
    </w:p>
    <w:p>
      <w:pPr>
        <w:tabs>
          <w:tab w:val="left" w:pos="777"/>
        </w:tabs>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进厂时，应全数检查外观质量，并应按国家现行有关标准的规定抽取试件作屈服强度、受拉强度、伸长率、弯曲性能和重量偏差检验，检验结果应符合相应标准的规定。</w:t>
      </w:r>
    </w:p>
    <w:p>
      <w:pPr>
        <w:tabs>
          <w:tab w:val="left" w:pos="777"/>
        </w:tabs>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2</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预应力钢筋的下料长度应根据台座的长度、锚具、夹具长度等经过计算确定；</w:t>
      </w:r>
      <w:r>
        <w:rPr>
          <w:rFonts w:hint="eastAsia" w:ascii="Times New Roman" w:hAnsi="宋体" w:eastAsia="宋体" w:cs="Times New Roman"/>
          <w:color w:val="auto"/>
          <w:sz w:val="24"/>
          <w:szCs w:val="24"/>
          <w:highlight w:val="none"/>
        </w:rPr>
        <w:t>钢</w:t>
      </w:r>
      <w:r>
        <w:rPr>
          <w:rFonts w:ascii="Times New Roman" w:hAnsi="宋体" w:eastAsia="宋体" w:cs="Times New Roman"/>
          <w:color w:val="auto"/>
          <w:sz w:val="24"/>
          <w:szCs w:val="24"/>
          <w:highlight w:val="none"/>
        </w:rPr>
        <w:t>筋</w:t>
      </w:r>
      <w:r>
        <w:rPr>
          <w:rFonts w:hint="eastAsia" w:ascii="Times New Roman" w:hAnsi="宋体" w:eastAsia="宋体" w:cs="Times New Roman"/>
          <w:color w:val="auto"/>
          <w:sz w:val="24"/>
          <w:szCs w:val="24"/>
          <w:highlight w:val="none"/>
        </w:rPr>
        <w:t>的</w:t>
      </w:r>
      <w:r>
        <w:rPr>
          <w:rFonts w:ascii="Times New Roman" w:hAnsi="宋体" w:eastAsia="宋体" w:cs="Times New Roman"/>
          <w:color w:val="auto"/>
          <w:sz w:val="24"/>
          <w:szCs w:val="24"/>
          <w:highlight w:val="none"/>
        </w:rPr>
        <w:t>调直</w:t>
      </w:r>
      <w:r>
        <w:rPr>
          <w:rFonts w:hint="eastAsia" w:ascii="Times New Roman" w:hAnsi="宋体" w:eastAsia="宋体" w:cs="Times New Roman"/>
          <w:color w:val="auto"/>
          <w:sz w:val="24"/>
          <w:szCs w:val="24"/>
          <w:highlight w:val="none"/>
        </w:rPr>
        <w:t>与</w:t>
      </w:r>
      <w:r>
        <w:rPr>
          <w:rFonts w:ascii="Times New Roman" w:hAnsi="宋体" w:eastAsia="宋体" w:cs="Times New Roman"/>
          <w:color w:val="auto"/>
          <w:sz w:val="24"/>
          <w:szCs w:val="24"/>
          <w:highlight w:val="none"/>
        </w:rPr>
        <w:t>切</w:t>
      </w:r>
      <w:r>
        <w:rPr>
          <w:rFonts w:hint="eastAsia" w:ascii="Times New Roman" w:hAnsi="宋体" w:eastAsia="宋体" w:cs="Times New Roman"/>
          <w:color w:val="auto"/>
          <w:sz w:val="24"/>
          <w:szCs w:val="24"/>
          <w:highlight w:val="none"/>
        </w:rPr>
        <w:t>割应</w:t>
      </w:r>
      <w:r>
        <w:rPr>
          <w:rFonts w:ascii="Times New Roman" w:hAnsi="宋体" w:eastAsia="宋体" w:cs="Times New Roman"/>
          <w:color w:val="auto"/>
          <w:sz w:val="24"/>
          <w:szCs w:val="24"/>
          <w:highlight w:val="none"/>
        </w:rPr>
        <w:t>使用专用机械设备，不得采用电弧或气焊切断；</w:t>
      </w:r>
    </w:p>
    <w:p>
      <w:pPr>
        <w:tabs>
          <w:tab w:val="left" w:pos="777"/>
        </w:tabs>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预应力钢筋的安装、定位和保护层厚度应符合设计要求。</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8.2.5</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预应力</w:t>
      </w:r>
      <w:r>
        <w:rPr>
          <w:rFonts w:hint="eastAsia" w:ascii="Times New Roman" w:hAnsi="宋体" w:eastAsia="宋体" w:cs="Times New Roman"/>
          <w:color w:val="auto"/>
          <w:sz w:val="24"/>
          <w:szCs w:val="24"/>
          <w:highlight w:val="none"/>
        </w:rPr>
        <w:t>钢</w:t>
      </w:r>
      <w:r>
        <w:rPr>
          <w:rFonts w:ascii="Times New Roman" w:hAnsi="宋体" w:eastAsia="宋体" w:cs="Times New Roman"/>
          <w:color w:val="auto"/>
          <w:sz w:val="24"/>
          <w:szCs w:val="24"/>
          <w:highlight w:val="none"/>
        </w:rPr>
        <w:t>筋张拉设备及压力表应定期维护和标定，并应符合下列规定：</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张拉设备和压力表应配套标定和使用，标定期限不应超过半年</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当张拉设备检修后或使用过程中出现反常现象</w:t>
      </w:r>
      <w:r>
        <w:rPr>
          <w:rFonts w:hint="eastAsia" w:ascii="Times New Roman" w:hAnsi="宋体" w:eastAsia="宋体" w:cs="Times New Roman"/>
          <w:color w:val="auto"/>
          <w:sz w:val="24"/>
          <w:szCs w:val="24"/>
          <w:highlight w:val="none"/>
        </w:rPr>
        <w:t>时</w:t>
      </w:r>
      <w:r>
        <w:rPr>
          <w:rFonts w:ascii="Times New Roman" w:hAnsi="宋体" w:eastAsia="宋体" w:cs="Times New Roman"/>
          <w:color w:val="auto"/>
          <w:sz w:val="24"/>
          <w:szCs w:val="24"/>
          <w:highlight w:val="none"/>
        </w:rPr>
        <w:t>，应重新标定；</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压力表的量程应大于张拉工作压力读值，压力表的精确度等级不应低于</w:t>
      </w:r>
      <w:r>
        <w:rPr>
          <w:rFonts w:ascii="Times New Roman" w:hAnsi="Times New Roman" w:eastAsia="宋体" w:cs="Times New Roman"/>
          <w:color w:val="auto"/>
          <w:sz w:val="24"/>
          <w:szCs w:val="24"/>
          <w:highlight w:val="none"/>
        </w:rPr>
        <w:t>1</w:t>
      </w:r>
      <w:r>
        <w:rPr>
          <w:rFonts w:hint="eastAsia" w:ascii="Times New Roman" w:hAnsi="宋体" w:eastAsia="宋体" w:cs="Times New Roman"/>
          <w:color w:val="auto"/>
          <w:sz w:val="24"/>
          <w:szCs w:val="24"/>
          <w:highlight w:val="none"/>
        </w:rPr>
        <w:t>.</w:t>
      </w:r>
      <w:r>
        <w:rPr>
          <w:rFonts w:ascii="Times New Roman" w:hAnsi="Times New Roman" w:eastAsia="宋体" w:cs="Times New Roman"/>
          <w:color w:val="auto"/>
          <w:sz w:val="24"/>
          <w:szCs w:val="24"/>
          <w:highlight w:val="none"/>
        </w:rPr>
        <w:t>6</w:t>
      </w:r>
      <w:r>
        <w:rPr>
          <w:rFonts w:ascii="Times New Roman" w:hAnsi="宋体" w:eastAsia="宋体" w:cs="Times New Roman"/>
          <w:color w:val="auto"/>
          <w:sz w:val="24"/>
          <w:szCs w:val="24"/>
          <w:highlight w:val="none"/>
        </w:rPr>
        <w:t>级；</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标定张拉设备用的试验机或测力计的测力示值不确定度不应大于</w:t>
      </w: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0％</w:t>
      </w:r>
      <w:r>
        <w:rPr>
          <w:rFonts w:ascii="Times New Roman" w:hAnsi="宋体" w:eastAsia="宋体" w:cs="Times New Roman"/>
          <w:color w:val="auto"/>
          <w:sz w:val="24"/>
          <w:szCs w:val="24"/>
          <w:highlight w:val="none"/>
        </w:rPr>
        <w:t>；</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4</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张拉设备标定时，千斤顶活塞的运行方向应与实际张拉工作状态一致。</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8.2.6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生产用</w:t>
      </w:r>
      <w:r>
        <w:rPr>
          <w:rFonts w:hint="eastAsia" w:ascii="Times New Roman" w:hAnsi="宋体" w:eastAsia="宋体" w:cs="Times New Roman"/>
          <w:color w:val="auto"/>
          <w:sz w:val="24"/>
          <w:szCs w:val="24"/>
          <w:highlight w:val="none"/>
        </w:rPr>
        <w:t>矩形钢管</w:t>
      </w:r>
      <w:r>
        <w:rPr>
          <w:rFonts w:ascii="Times New Roman" w:hAnsi="宋体" w:eastAsia="宋体" w:cs="Times New Roman"/>
          <w:color w:val="auto"/>
          <w:sz w:val="24"/>
          <w:szCs w:val="24"/>
          <w:highlight w:val="none"/>
        </w:rPr>
        <w:t>桁架的</w:t>
      </w:r>
      <w:r>
        <w:rPr>
          <w:rFonts w:hint="eastAsia" w:ascii="Times New Roman" w:hAnsi="宋体" w:eastAsia="宋体" w:cs="Times New Roman"/>
          <w:color w:val="auto"/>
          <w:sz w:val="24"/>
          <w:szCs w:val="24"/>
          <w:highlight w:val="none"/>
        </w:rPr>
        <w:t>制作</w:t>
      </w:r>
      <w:r>
        <w:rPr>
          <w:rFonts w:ascii="Times New Roman" w:hAnsi="宋体" w:eastAsia="宋体" w:cs="Times New Roman"/>
          <w:color w:val="auto"/>
          <w:sz w:val="24"/>
          <w:szCs w:val="24"/>
          <w:highlight w:val="none"/>
        </w:rPr>
        <w:t>和验收应符合设计要求。</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8.2.7</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预应力</w:t>
      </w:r>
      <w:r>
        <w:rPr>
          <w:rFonts w:hint="eastAsia" w:ascii="Times New Roman" w:hAnsi="宋体" w:eastAsia="宋体" w:cs="Times New Roman"/>
          <w:color w:val="auto"/>
          <w:sz w:val="24"/>
          <w:szCs w:val="24"/>
          <w:highlight w:val="none"/>
        </w:rPr>
        <w:t>钢</w:t>
      </w:r>
      <w:r>
        <w:rPr>
          <w:rFonts w:ascii="Times New Roman" w:hAnsi="宋体" w:eastAsia="宋体" w:cs="Times New Roman"/>
          <w:color w:val="auto"/>
          <w:sz w:val="24"/>
          <w:szCs w:val="24"/>
          <w:highlight w:val="none"/>
        </w:rPr>
        <w:t>筋张拉前</w:t>
      </w:r>
      <w:r>
        <w:rPr>
          <w:rFonts w:hint="eastAsia" w:ascii="Times New Roman" w:hAnsi="宋体" w:eastAsia="宋体" w:cs="Times New Roman"/>
          <w:color w:val="auto"/>
          <w:sz w:val="24"/>
          <w:szCs w:val="24"/>
          <w:highlight w:val="none"/>
        </w:rPr>
        <w:t>应将</w:t>
      </w:r>
      <w:r>
        <w:rPr>
          <w:rFonts w:ascii="Times New Roman" w:hAnsi="宋体" w:eastAsia="宋体" w:cs="Times New Roman"/>
          <w:color w:val="auto"/>
          <w:sz w:val="24"/>
          <w:szCs w:val="24"/>
          <w:highlight w:val="none"/>
        </w:rPr>
        <w:t>台面清理</w:t>
      </w:r>
      <w:r>
        <w:rPr>
          <w:rFonts w:hint="eastAsia" w:ascii="Times New Roman" w:hAnsi="宋体" w:eastAsia="宋体" w:cs="Times New Roman"/>
          <w:color w:val="auto"/>
          <w:sz w:val="24"/>
          <w:szCs w:val="24"/>
          <w:highlight w:val="none"/>
        </w:rPr>
        <w:t>干净</w:t>
      </w:r>
      <w:r>
        <w:rPr>
          <w:rFonts w:ascii="Times New Roman" w:hAnsi="宋体" w:eastAsia="宋体" w:cs="Times New Roman"/>
          <w:color w:val="auto"/>
          <w:sz w:val="24"/>
          <w:szCs w:val="24"/>
          <w:highlight w:val="none"/>
        </w:rPr>
        <w:t>，预应力施工应符合现行国家标准《混凝土结构工程施工规范》</w:t>
      </w:r>
      <w:r>
        <w:rPr>
          <w:rFonts w:ascii="Times New Roman" w:hAnsi="Times New Roman" w:eastAsia="宋体" w:cs="Times New Roman"/>
          <w:color w:val="auto"/>
          <w:sz w:val="24"/>
          <w:szCs w:val="24"/>
          <w:highlight w:val="none"/>
        </w:rPr>
        <w:t>GB 50666</w:t>
      </w:r>
      <w:r>
        <w:rPr>
          <w:rFonts w:ascii="Times New Roman" w:hAnsi="宋体" w:eastAsia="宋体" w:cs="Times New Roman"/>
          <w:color w:val="auto"/>
          <w:sz w:val="24"/>
          <w:szCs w:val="24"/>
          <w:highlight w:val="none"/>
        </w:rPr>
        <w:t>的规定。</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8.2.8 </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 xml:space="preserve"> </w:t>
      </w:r>
      <w:r>
        <w:rPr>
          <w:rFonts w:hint="eastAsia" w:ascii="Times New Roman" w:hAnsi="宋体" w:eastAsia="宋体" w:cs="Times New Roman"/>
          <w:color w:val="auto"/>
          <w:sz w:val="24"/>
          <w:szCs w:val="24"/>
          <w:highlight w:val="none"/>
        </w:rPr>
        <w:t>预</w:t>
      </w:r>
      <w:r>
        <w:rPr>
          <w:rFonts w:ascii="Times New Roman" w:hAnsi="宋体" w:eastAsia="宋体" w:cs="Times New Roman"/>
          <w:color w:val="auto"/>
          <w:sz w:val="24"/>
          <w:szCs w:val="24"/>
          <w:highlight w:val="none"/>
        </w:rPr>
        <w:t>应力筋的张拉控制应力应符合设计及专项方案的要求。</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8.2.9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采用应力控制方法张拉时，应校核最大张拉力下预应力筋伸长值。实测伸长值与计算伸长值的偏差应控制在</w:t>
      </w:r>
      <w:r>
        <w:rPr>
          <w:rFonts w:ascii="Times New Roman" w:hAnsi="Times New Roman" w:eastAsia="宋体" w:cs="Times New Roman"/>
          <w:color w:val="auto"/>
          <w:sz w:val="24"/>
          <w:szCs w:val="24"/>
          <w:highlight w:val="none"/>
        </w:rPr>
        <w:t>±6</w:t>
      </w:r>
      <w:r>
        <w:rPr>
          <w:rFonts w:ascii="Times New Roman" w:hAnsi="宋体" w:eastAsia="宋体" w:cs="Times New Roman"/>
          <w:color w:val="auto"/>
          <w:sz w:val="24"/>
          <w:szCs w:val="24"/>
          <w:highlight w:val="none"/>
        </w:rPr>
        <w:t>％之内，否则应查明原因并采取措施后再张拉。</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8.2.10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预应力筋的张拉应符合设计要求，并应符合下列规定：</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应根据预制构件受力特点、施工方便及操作安全等因素确定张拉顺序；</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2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张拉时应采取对称和分级方式，按照校准的张拉力控制张拉精度，以预应力筋的伸长值作为校核；</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预应力筋张拉时，应从零拉力加载至初拉力后，量测伸长值初读数，再以均匀速率加载至张拉控制力；</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4</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张拉过程中应避免预应力筋断裂</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滑脱</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遗漏、绞缠等；</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5</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预应力筋张拉锚固后，应对实际建立的预应力值与设计给定值的偏差进行控制；应以每工作班为一批，抽查预应力筋总数的</w:t>
      </w:r>
      <w:r>
        <w:rPr>
          <w:rFonts w:ascii="Times New Roman" w:hAnsi="Times New Roman" w:eastAsia="宋体" w:cs="Times New Roman"/>
          <w:color w:val="auto"/>
          <w:sz w:val="24"/>
          <w:szCs w:val="24"/>
          <w:highlight w:val="none"/>
        </w:rPr>
        <w:t>1</w:t>
      </w:r>
      <w:r>
        <w:rPr>
          <w:rFonts w:ascii="Times New Roman" w:hAnsi="宋体" w:eastAsia="宋体" w:cs="Times New Roman"/>
          <w:color w:val="auto"/>
          <w:sz w:val="24"/>
          <w:szCs w:val="24"/>
          <w:highlight w:val="none"/>
        </w:rPr>
        <w:t>％，且不少于</w:t>
      </w:r>
      <w:r>
        <w:rPr>
          <w:rFonts w:ascii="Times New Roman" w:hAnsi="Times New Roman" w:eastAsia="宋体" w:cs="Times New Roman"/>
          <w:color w:val="auto"/>
          <w:sz w:val="24"/>
          <w:szCs w:val="24"/>
          <w:highlight w:val="none"/>
        </w:rPr>
        <w:t>3</w:t>
      </w:r>
      <w:r>
        <w:rPr>
          <w:rFonts w:ascii="Times New Roman" w:hAnsi="宋体" w:eastAsia="宋体" w:cs="Times New Roman"/>
          <w:color w:val="auto"/>
          <w:sz w:val="24"/>
          <w:szCs w:val="24"/>
          <w:highlight w:val="none"/>
        </w:rPr>
        <w:t>根。</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8.2.11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混凝土浇筑应连续浇筑铺滩均匀，振捣要密实，</w:t>
      </w:r>
      <w:r>
        <w:rPr>
          <w:rFonts w:hint="eastAsia" w:ascii="Times New Roman" w:hAnsi="宋体" w:eastAsia="宋体" w:cs="Times New Roman"/>
          <w:color w:val="auto"/>
          <w:sz w:val="24"/>
          <w:szCs w:val="24"/>
          <w:highlight w:val="none"/>
        </w:rPr>
        <w:t>避免</w:t>
      </w:r>
      <w:r>
        <w:rPr>
          <w:rFonts w:ascii="Times New Roman" w:hAnsi="宋体" w:eastAsia="宋体" w:cs="Times New Roman"/>
          <w:color w:val="auto"/>
          <w:sz w:val="24"/>
          <w:szCs w:val="24"/>
          <w:highlight w:val="none"/>
        </w:rPr>
        <w:t>漏振、过振，</w:t>
      </w:r>
      <w:r>
        <w:rPr>
          <w:rFonts w:hint="eastAsia" w:ascii="Times New Roman" w:hAnsi="宋体" w:eastAsia="宋体" w:cs="Times New Roman"/>
          <w:color w:val="auto"/>
          <w:sz w:val="24"/>
          <w:szCs w:val="24"/>
          <w:highlight w:val="none"/>
        </w:rPr>
        <w:t>严禁</w:t>
      </w:r>
      <w:r>
        <w:rPr>
          <w:rFonts w:ascii="Times New Roman" w:hAnsi="宋体" w:eastAsia="宋体" w:cs="Times New Roman"/>
          <w:color w:val="auto"/>
          <w:sz w:val="24"/>
          <w:szCs w:val="24"/>
          <w:highlight w:val="none"/>
        </w:rPr>
        <w:t>发生离析、泌水现象；振捣完成后应及时量测混凝土浇筑厚度，必要时应做相应处理</w:t>
      </w:r>
      <w:r>
        <w:rPr>
          <w:rFonts w:hint="eastAsia" w:ascii="Times New Roman" w:hAnsi="宋体" w:eastAsia="宋体" w:cs="Times New Roman"/>
          <w:color w:val="auto"/>
          <w:sz w:val="24"/>
          <w:szCs w:val="24"/>
          <w:highlight w:val="none"/>
        </w:rPr>
        <w:t>。</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8.2.12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应</w:t>
      </w:r>
      <w:r>
        <w:rPr>
          <w:rFonts w:hint="eastAsia" w:ascii="Times New Roman" w:hAnsi="宋体" w:eastAsia="宋体" w:cs="Times New Roman"/>
          <w:color w:val="auto"/>
          <w:sz w:val="24"/>
          <w:szCs w:val="24"/>
          <w:highlight w:val="none"/>
        </w:rPr>
        <w:t>严格落实</w:t>
      </w:r>
      <w:r>
        <w:rPr>
          <w:rFonts w:ascii="Times New Roman" w:hAnsi="宋体" w:eastAsia="宋体" w:cs="Times New Roman"/>
          <w:color w:val="auto"/>
          <w:sz w:val="24"/>
          <w:szCs w:val="24"/>
          <w:highlight w:val="none"/>
        </w:rPr>
        <w:t>养护制度</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严格控制升降温速度和最高温度，并做好温控记录。</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8.2.13</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预应力</w:t>
      </w:r>
      <w:r>
        <w:rPr>
          <w:rFonts w:hint="eastAsia" w:ascii="Times New Roman" w:hAnsi="宋体" w:eastAsia="宋体" w:cs="Times New Roman"/>
          <w:color w:val="auto"/>
          <w:sz w:val="24"/>
          <w:szCs w:val="24"/>
          <w:highlight w:val="none"/>
        </w:rPr>
        <w:t>钢</w:t>
      </w:r>
      <w:r>
        <w:rPr>
          <w:rFonts w:ascii="Times New Roman" w:hAnsi="宋体" w:eastAsia="宋体" w:cs="Times New Roman"/>
          <w:color w:val="auto"/>
          <w:sz w:val="24"/>
          <w:szCs w:val="24"/>
          <w:highlight w:val="none"/>
        </w:rPr>
        <w:t>筋放张应符合设计要求，并应符合下列规定：</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预应力筋放张时，混凝土</w:t>
      </w:r>
      <w:r>
        <w:rPr>
          <w:rFonts w:hint="eastAsia" w:ascii="Times New Roman" w:hAnsi="宋体" w:eastAsia="宋体" w:cs="Times New Roman"/>
          <w:color w:val="auto"/>
          <w:sz w:val="24"/>
          <w:szCs w:val="24"/>
          <w:highlight w:val="none"/>
        </w:rPr>
        <w:t>立方体抗压</w:t>
      </w:r>
      <w:r>
        <w:rPr>
          <w:rFonts w:ascii="Times New Roman" w:hAnsi="宋体" w:eastAsia="宋体" w:cs="Times New Roman"/>
          <w:color w:val="auto"/>
          <w:sz w:val="24"/>
          <w:szCs w:val="24"/>
          <w:highlight w:val="none"/>
        </w:rPr>
        <w:t>强度不应低于设计值的</w:t>
      </w:r>
      <w:r>
        <w:rPr>
          <w:rFonts w:ascii="Times New Roman" w:hAnsi="Times New Roman" w:eastAsia="宋体" w:cs="Times New Roman"/>
          <w:color w:val="auto"/>
          <w:sz w:val="24"/>
          <w:szCs w:val="24"/>
          <w:highlight w:val="none"/>
        </w:rPr>
        <w:t>75</w:t>
      </w:r>
      <w:r>
        <w:rPr>
          <w:rFonts w:ascii="Times New Roman" w:hAnsi="宋体" w:eastAsia="宋体" w:cs="Times New Roman"/>
          <w:color w:val="auto"/>
          <w:sz w:val="24"/>
          <w:szCs w:val="24"/>
          <w:highlight w:val="none"/>
        </w:rPr>
        <w:t>％</w:t>
      </w:r>
      <w:r>
        <w:rPr>
          <w:rFonts w:hint="eastAsia" w:ascii="Times New Roman" w:hAnsi="宋体" w:eastAsia="宋体" w:cs="Times New Roman"/>
          <w:color w:val="auto"/>
          <w:sz w:val="24"/>
          <w:szCs w:val="24"/>
          <w:highlight w:val="none"/>
        </w:rPr>
        <w:t>，且</w:t>
      </w:r>
      <w:r>
        <w:rPr>
          <w:rFonts w:ascii="Times New Roman" w:hAnsi="宋体" w:eastAsia="宋体" w:cs="Times New Roman"/>
          <w:color w:val="auto"/>
          <w:sz w:val="24"/>
          <w:szCs w:val="24"/>
          <w:highlight w:val="none"/>
        </w:rPr>
        <w:t>不应低于</w:t>
      </w:r>
      <w:r>
        <w:rPr>
          <w:rFonts w:ascii="Times New Roman" w:hAnsi="Times New Roman" w:eastAsia="宋体" w:cs="Times New Roman"/>
          <w:color w:val="auto"/>
          <w:sz w:val="24"/>
          <w:szCs w:val="24"/>
          <w:highlight w:val="none"/>
        </w:rPr>
        <w:t>30MPa</w:t>
      </w:r>
      <w:r>
        <w:rPr>
          <w:rFonts w:ascii="Times New Roman" w:hAnsi="宋体" w:eastAsia="宋体" w:cs="Times New Roman"/>
          <w:color w:val="auto"/>
          <w:sz w:val="24"/>
          <w:szCs w:val="24"/>
          <w:highlight w:val="none"/>
        </w:rPr>
        <w:t>；</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2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放张前，应将限制构件变形的模具拆除</w:t>
      </w:r>
      <w:r>
        <w:rPr>
          <w:rFonts w:hint="eastAsia" w:ascii="Times New Roman" w:hAnsi="宋体" w:eastAsia="宋体" w:cs="Times New Roman"/>
          <w:color w:val="auto"/>
          <w:sz w:val="24"/>
          <w:szCs w:val="24"/>
          <w:highlight w:val="none"/>
        </w:rPr>
        <w:t>；</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放张时</w:t>
      </w:r>
      <w:r>
        <w:rPr>
          <w:rFonts w:hint="eastAsia" w:ascii="Times New Roman" w:hAnsi="宋体" w:eastAsia="宋体" w:cs="Times New Roman"/>
          <w:color w:val="auto"/>
          <w:sz w:val="24"/>
          <w:szCs w:val="24"/>
          <w:highlight w:val="none"/>
        </w:rPr>
        <w:t>应</w:t>
      </w:r>
      <w:r>
        <w:rPr>
          <w:rFonts w:ascii="Times New Roman" w:hAnsi="宋体" w:eastAsia="宋体" w:cs="Times New Roman"/>
          <w:color w:val="auto"/>
          <w:sz w:val="24"/>
          <w:szCs w:val="24"/>
          <w:highlight w:val="none"/>
        </w:rPr>
        <w:t>首先取长线台座</w:t>
      </w:r>
      <w:r>
        <w:rPr>
          <w:rFonts w:hint="eastAsia" w:ascii="Times New Roman" w:hAnsi="宋体" w:eastAsia="宋体" w:cs="Times New Roman"/>
          <w:color w:val="auto"/>
          <w:sz w:val="24"/>
          <w:szCs w:val="24"/>
          <w:highlight w:val="none"/>
        </w:rPr>
        <w:t>中部处预制底板</w:t>
      </w:r>
      <w:r>
        <w:rPr>
          <w:rFonts w:ascii="Times New Roman" w:hAnsi="宋体" w:eastAsia="宋体" w:cs="Times New Roman"/>
          <w:color w:val="auto"/>
          <w:sz w:val="24"/>
          <w:szCs w:val="24"/>
          <w:highlight w:val="none"/>
        </w:rPr>
        <w:t>，由</w:t>
      </w:r>
      <w:r>
        <w:rPr>
          <w:rFonts w:hint="eastAsia" w:ascii="Times New Roman" w:hAnsi="宋体" w:eastAsia="宋体" w:cs="Times New Roman"/>
          <w:color w:val="auto"/>
          <w:sz w:val="24"/>
          <w:szCs w:val="24"/>
          <w:highlight w:val="none"/>
        </w:rPr>
        <w:t>预制底板宽度</w:t>
      </w:r>
      <w:r>
        <w:rPr>
          <w:rFonts w:ascii="Times New Roman" w:hAnsi="宋体" w:eastAsia="宋体" w:cs="Times New Roman"/>
          <w:color w:val="auto"/>
          <w:sz w:val="24"/>
          <w:szCs w:val="24"/>
          <w:highlight w:val="none"/>
        </w:rPr>
        <w:t>的中间位置向两侧对称交错放张，每次</w:t>
      </w:r>
      <w:r>
        <w:rPr>
          <w:rFonts w:hint="eastAsia" w:ascii="Times New Roman" w:hAnsi="宋体" w:eastAsia="宋体" w:cs="Times New Roman"/>
          <w:color w:val="auto"/>
          <w:sz w:val="24"/>
          <w:szCs w:val="24"/>
          <w:highlight w:val="none"/>
        </w:rPr>
        <w:t>截断钢筋根数</w:t>
      </w:r>
      <w:r>
        <w:rPr>
          <w:rFonts w:ascii="Times New Roman" w:hAnsi="宋体" w:eastAsia="宋体" w:cs="Times New Roman"/>
          <w:color w:val="auto"/>
          <w:sz w:val="24"/>
          <w:szCs w:val="24"/>
          <w:highlight w:val="none"/>
        </w:rPr>
        <w:t>不应超过钢筋</w:t>
      </w:r>
      <w:r>
        <w:rPr>
          <w:rFonts w:hint="eastAsia" w:ascii="Times New Roman" w:hAnsi="宋体" w:eastAsia="宋体" w:cs="Times New Roman"/>
          <w:color w:val="auto"/>
          <w:sz w:val="24"/>
          <w:szCs w:val="24"/>
          <w:highlight w:val="none"/>
        </w:rPr>
        <w:t>总</w:t>
      </w:r>
      <w:r>
        <w:rPr>
          <w:rFonts w:ascii="Times New Roman" w:hAnsi="宋体" w:eastAsia="宋体" w:cs="Times New Roman"/>
          <w:color w:val="auto"/>
          <w:sz w:val="24"/>
          <w:szCs w:val="24"/>
          <w:highlight w:val="none"/>
        </w:rPr>
        <w:t>根数的</w:t>
      </w:r>
      <w:r>
        <w:rPr>
          <w:rFonts w:ascii="Times New Roman" w:hAnsi="Times New Roman" w:eastAsia="宋体" w:cs="Times New Roman"/>
          <w:color w:val="auto"/>
          <w:sz w:val="24"/>
          <w:szCs w:val="24"/>
          <w:highlight w:val="none"/>
        </w:rPr>
        <w:t>15%</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其他</w:t>
      </w:r>
      <w:r>
        <w:rPr>
          <w:rFonts w:hint="eastAsia" w:ascii="Times New Roman" w:hAnsi="宋体" w:eastAsia="宋体" w:cs="Times New Roman"/>
          <w:color w:val="auto"/>
          <w:sz w:val="24"/>
          <w:szCs w:val="24"/>
          <w:highlight w:val="none"/>
        </w:rPr>
        <w:t>位置</w:t>
      </w:r>
      <w:r>
        <w:rPr>
          <w:rFonts w:ascii="Times New Roman" w:hAnsi="宋体" w:eastAsia="宋体" w:cs="Times New Roman"/>
          <w:color w:val="auto"/>
          <w:sz w:val="24"/>
          <w:szCs w:val="24"/>
          <w:highlight w:val="none"/>
        </w:rPr>
        <w:t>板与板之间的钢筋可由中间向两侧对称互相交错</w:t>
      </w:r>
      <w:r>
        <w:rPr>
          <w:rFonts w:hint="eastAsia" w:ascii="Times New Roman" w:hAnsi="宋体" w:eastAsia="宋体" w:cs="Times New Roman"/>
          <w:color w:val="auto"/>
          <w:sz w:val="24"/>
          <w:szCs w:val="24"/>
          <w:highlight w:val="none"/>
        </w:rPr>
        <w:t>截</w:t>
      </w:r>
      <w:r>
        <w:rPr>
          <w:rFonts w:ascii="Times New Roman" w:hAnsi="宋体" w:eastAsia="宋体" w:cs="Times New Roman"/>
          <w:color w:val="auto"/>
          <w:sz w:val="24"/>
          <w:szCs w:val="24"/>
          <w:highlight w:val="none"/>
        </w:rPr>
        <w:t>断；</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5</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如有设计要求时按设计要求放张，以免放张不正确影响构件质量</w:t>
      </w:r>
      <w:r>
        <w:rPr>
          <w:rFonts w:hint="eastAsia" w:ascii="Times New Roman" w:hAnsi="宋体" w:eastAsia="宋体" w:cs="Times New Roman"/>
          <w:color w:val="auto"/>
          <w:sz w:val="24"/>
          <w:szCs w:val="24"/>
          <w:highlight w:val="none"/>
        </w:rPr>
        <w:t>；</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6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放张后板端部预应力钢丝与混凝土应牢固粘结，钢丝无滑移现象。</w:t>
      </w:r>
    </w:p>
    <w:p>
      <w:pPr>
        <w:spacing w:after="0" w:line="360" w:lineRule="auto"/>
        <w:outlineLvl w:val="2"/>
        <w:rPr>
          <w:rFonts w:ascii="仿宋" w:hAnsi="仿宋" w:eastAsia="仿宋" w:cs="Times New Roman"/>
          <w:color w:val="auto"/>
          <w:sz w:val="24"/>
          <w:szCs w:val="24"/>
          <w:highlight w:val="none"/>
        </w:rPr>
      </w:pPr>
      <w:r>
        <w:rPr>
          <w:rFonts w:ascii="Times New Roman" w:hAnsi="Times New Roman" w:eastAsia="宋体" w:cs="Times New Roman"/>
          <w:b/>
          <w:color w:val="auto"/>
          <w:sz w:val="24"/>
          <w:szCs w:val="24"/>
          <w:highlight w:val="none"/>
        </w:rPr>
        <w:t>8.2.14</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当预应力钢</w:t>
      </w:r>
      <w:r>
        <w:rPr>
          <w:rFonts w:hint="eastAsia" w:ascii="Times New Roman" w:hAnsi="宋体" w:eastAsia="宋体" w:cs="Times New Roman"/>
          <w:color w:val="auto"/>
          <w:sz w:val="24"/>
          <w:szCs w:val="24"/>
          <w:highlight w:val="none"/>
        </w:rPr>
        <w:t>筋</w:t>
      </w:r>
      <w:r>
        <w:rPr>
          <w:rFonts w:ascii="Times New Roman" w:hAnsi="宋体" w:eastAsia="宋体" w:cs="Times New Roman"/>
          <w:color w:val="auto"/>
          <w:sz w:val="24"/>
          <w:szCs w:val="24"/>
          <w:highlight w:val="none"/>
        </w:rPr>
        <w:t>全部断开，可采用专用吊具进行起板，起板脱模后应进行质量检查，检查内容应符合本规程第</w:t>
      </w:r>
      <w:r>
        <w:rPr>
          <w:rFonts w:ascii="Times New Roman" w:hAnsi="Times New Roman" w:eastAsia="宋体" w:cs="Times New Roman"/>
          <w:color w:val="auto"/>
          <w:sz w:val="24"/>
          <w:szCs w:val="24"/>
          <w:highlight w:val="none"/>
        </w:rPr>
        <w:t>8.3.4</w:t>
      </w:r>
      <w:r>
        <w:rPr>
          <w:rFonts w:ascii="Times New Roman" w:hAnsi="宋体" w:eastAsia="宋体" w:cs="Times New Roman"/>
          <w:color w:val="auto"/>
          <w:sz w:val="24"/>
          <w:szCs w:val="24"/>
          <w:highlight w:val="none"/>
        </w:rPr>
        <w:t>、</w:t>
      </w:r>
      <w:r>
        <w:rPr>
          <w:rFonts w:ascii="Times New Roman" w:hAnsi="Times New Roman" w:eastAsia="宋体" w:cs="Times New Roman"/>
          <w:color w:val="auto"/>
          <w:sz w:val="24"/>
          <w:szCs w:val="24"/>
          <w:highlight w:val="none"/>
        </w:rPr>
        <w:t>8.3.5</w:t>
      </w:r>
      <w:r>
        <w:rPr>
          <w:rFonts w:ascii="Times New Roman" w:hAnsi="宋体" w:eastAsia="宋体" w:cs="Times New Roman"/>
          <w:color w:val="auto"/>
          <w:sz w:val="24"/>
          <w:szCs w:val="24"/>
          <w:highlight w:val="none"/>
        </w:rPr>
        <w:t>条的规定。检查后，应及时在构件上设置产品标识、吊点位置标识及</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安装</w:t>
      </w:r>
      <w:r>
        <w:rPr>
          <w:rFonts w:hint="eastAsia" w:ascii="Times New Roman" w:hAnsi="宋体" w:eastAsia="宋体" w:cs="Times New Roman"/>
          <w:color w:val="auto"/>
          <w:sz w:val="24"/>
          <w:szCs w:val="24"/>
          <w:highlight w:val="none"/>
        </w:rPr>
        <w:t>顺序</w:t>
      </w:r>
      <w:r>
        <w:rPr>
          <w:rFonts w:ascii="Times New Roman" w:hAnsi="宋体" w:eastAsia="宋体" w:cs="Times New Roman"/>
          <w:color w:val="auto"/>
          <w:sz w:val="24"/>
          <w:szCs w:val="24"/>
          <w:highlight w:val="none"/>
        </w:rPr>
        <w:t>标识。</w:t>
      </w:r>
    </w:p>
    <w:p>
      <w:pPr>
        <w:pStyle w:val="25"/>
        <w:spacing w:before="156" w:beforeLines="50" w:after="312" w:line="360" w:lineRule="auto"/>
        <w:rPr>
          <w:color w:val="auto"/>
          <w:highlight w:val="none"/>
        </w:rPr>
      </w:pPr>
      <w:bookmarkStart w:id="58" w:name="_Toc111709527"/>
      <w:r>
        <w:rPr>
          <w:color w:val="auto"/>
          <w:highlight w:val="none"/>
        </w:rPr>
        <w:t>8.3</w:t>
      </w:r>
      <w:r>
        <w:rPr>
          <w:rFonts w:hAnsi="宋体"/>
          <w:color w:val="auto"/>
          <w:highlight w:val="none"/>
        </w:rPr>
        <w:t>构件检验</w:t>
      </w:r>
      <w:bookmarkEnd w:id="58"/>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8.3.1</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的制作、运输与堆放应符合现行国家标准《混凝土结构工程施工质量验收规范》</w:t>
      </w:r>
      <w:r>
        <w:rPr>
          <w:rFonts w:ascii="Times New Roman" w:hAnsi="Times New Roman" w:eastAsia="宋体" w:cs="Times New Roman"/>
          <w:color w:val="auto"/>
          <w:sz w:val="24"/>
          <w:szCs w:val="24"/>
          <w:highlight w:val="none"/>
        </w:rPr>
        <w:t>GB 50204</w:t>
      </w:r>
      <w:r>
        <w:rPr>
          <w:rFonts w:ascii="Times New Roman" w:hAnsi="宋体" w:eastAsia="宋体" w:cs="Times New Roman"/>
          <w:color w:val="auto"/>
          <w:sz w:val="24"/>
          <w:szCs w:val="24"/>
          <w:highlight w:val="none"/>
        </w:rPr>
        <w:t>和《装配式混凝土建筑技术标准》</w:t>
      </w:r>
      <w:r>
        <w:rPr>
          <w:rFonts w:ascii="Times New Roman" w:hAnsi="Times New Roman" w:eastAsia="宋体" w:cs="Times New Roman"/>
          <w:color w:val="auto"/>
          <w:sz w:val="24"/>
          <w:szCs w:val="24"/>
          <w:highlight w:val="none"/>
        </w:rPr>
        <w:t>GB/T 51231</w:t>
      </w:r>
      <w:r>
        <w:rPr>
          <w:rFonts w:ascii="Times New Roman" w:hAnsi="宋体" w:eastAsia="宋体" w:cs="Times New Roman"/>
          <w:color w:val="auto"/>
          <w:sz w:val="24"/>
          <w:szCs w:val="24"/>
          <w:highlight w:val="none"/>
        </w:rPr>
        <w:t>的有关规定。</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8.3.2</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混凝土浇筑前，应对预应力钢</w:t>
      </w:r>
      <w:r>
        <w:rPr>
          <w:rFonts w:hint="eastAsia" w:ascii="Times New Roman" w:hAnsi="宋体" w:eastAsia="宋体" w:cs="Times New Roman"/>
          <w:color w:val="auto"/>
          <w:sz w:val="24"/>
          <w:szCs w:val="24"/>
          <w:highlight w:val="none"/>
        </w:rPr>
        <w:t>筋</w:t>
      </w:r>
      <w:r>
        <w:rPr>
          <w:rFonts w:ascii="Times New Roman" w:hAnsi="宋体" w:eastAsia="宋体" w:cs="Times New Roman"/>
          <w:color w:val="auto"/>
          <w:sz w:val="24"/>
          <w:szCs w:val="24"/>
          <w:highlight w:val="none"/>
        </w:rPr>
        <w:t>、横筋、</w:t>
      </w:r>
      <w:r>
        <w:rPr>
          <w:rFonts w:hint="eastAsia" w:ascii="Times New Roman" w:hAnsi="宋体" w:eastAsia="宋体" w:cs="Times New Roman"/>
          <w:color w:val="auto"/>
          <w:sz w:val="24"/>
          <w:szCs w:val="24"/>
          <w:highlight w:val="none"/>
        </w:rPr>
        <w:t>矩形钢管</w:t>
      </w:r>
      <w:r>
        <w:rPr>
          <w:rFonts w:ascii="Times New Roman" w:hAnsi="宋体" w:eastAsia="宋体" w:cs="Times New Roman"/>
          <w:color w:val="auto"/>
          <w:sz w:val="24"/>
          <w:szCs w:val="24"/>
          <w:highlight w:val="none"/>
        </w:rPr>
        <w:t>桁架等进行隐蔽工程验收；对于单位工程应</w:t>
      </w:r>
      <w:r>
        <w:rPr>
          <w:rFonts w:hint="eastAsia" w:ascii="Times New Roman" w:hAnsi="宋体" w:eastAsia="宋体" w:cs="Times New Roman"/>
          <w:color w:val="auto"/>
          <w:sz w:val="24"/>
          <w:szCs w:val="24"/>
          <w:highlight w:val="none"/>
        </w:rPr>
        <w:t>执行</w:t>
      </w:r>
      <w:r>
        <w:rPr>
          <w:rFonts w:ascii="Times New Roman" w:hAnsi="宋体" w:eastAsia="宋体" w:cs="Times New Roman"/>
          <w:color w:val="auto"/>
          <w:sz w:val="24"/>
          <w:szCs w:val="24"/>
          <w:highlight w:val="none"/>
        </w:rPr>
        <w:t>首件检验</w:t>
      </w:r>
      <w:r>
        <w:rPr>
          <w:rFonts w:hint="eastAsia" w:ascii="Times New Roman" w:hAnsi="宋体" w:eastAsia="宋体" w:cs="Times New Roman"/>
          <w:color w:val="auto"/>
          <w:sz w:val="24"/>
          <w:szCs w:val="24"/>
          <w:highlight w:val="none"/>
        </w:rPr>
        <w:t>制度</w:t>
      </w:r>
      <w:r>
        <w:rPr>
          <w:rFonts w:ascii="Times New Roman" w:hAnsi="宋体" w:eastAsia="宋体" w:cs="Times New Roman"/>
          <w:color w:val="auto"/>
          <w:sz w:val="24"/>
          <w:szCs w:val="24"/>
          <w:highlight w:val="none"/>
        </w:rPr>
        <w:t>，首件检验应该有业主、施工、监理、设计等共同参加。</w:t>
      </w:r>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8.3.3</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预应力值检测</w:t>
      </w:r>
      <w:r>
        <w:rPr>
          <w:rFonts w:hint="eastAsia" w:ascii="Times New Roman" w:hAnsi="宋体" w:eastAsia="宋体" w:cs="Times New Roman"/>
          <w:color w:val="auto"/>
          <w:sz w:val="24"/>
          <w:szCs w:val="24"/>
          <w:highlight w:val="none"/>
        </w:rPr>
        <w:t>应符合以下要求：</w:t>
      </w:r>
      <w:r>
        <w:rPr>
          <w:rFonts w:ascii="Times New Roman" w:hAnsi="Times New Roman" w:eastAsia="宋体" w:cs="Times New Roman"/>
          <w:color w:val="auto"/>
          <w:sz w:val="24"/>
          <w:szCs w:val="24"/>
          <w:highlight w:val="none"/>
        </w:rPr>
        <w:t xml:space="preserve"> </w:t>
      </w:r>
    </w:p>
    <w:p>
      <w:pPr>
        <w:tabs>
          <w:tab w:val="left" w:pos="777"/>
        </w:tabs>
        <w:spacing w:after="0" w:line="360" w:lineRule="auto"/>
        <w:ind w:firstLine="48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预应力张拉机具及仪表应定期维护和校核，并配套标定、配套使用（不超过半年应该标定一次）；</w:t>
      </w:r>
    </w:p>
    <w:p>
      <w:pPr>
        <w:tabs>
          <w:tab w:val="left" w:pos="777"/>
        </w:tabs>
        <w:spacing w:after="0" w:line="360" w:lineRule="auto"/>
        <w:ind w:firstLine="48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2</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检测数量：每一工作班抽查预应力筋总数的</w:t>
      </w:r>
      <w:r>
        <w:rPr>
          <w:rFonts w:ascii="Times New Roman" w:hAnsi="Times New Roman" w:eastAsia="宋体" w:cs="Times New Roman"/>
          <w:color w:val="auto"/>
          <w:sz w:val="24"/>
          <w:szCs w:val="24"/>
          <w:highlight w:val="none"/>
        </w:rPr>
        <w:t>1%</w:t>
      </w:r>
      <w:r>
        <w:rPr>
          <w:rFonts w:ascii="Times New Roman" w:hAnsi="宋体" w:eastAsia="宋体" w:cs="Times New Roman"/>
          <w:color w:val="auto"/>
          <w:sz w:val="24"/>
          <w:szCs w:val="24"/>
          <w:highlight w:val="none"/>
        </w:rPr>
        <w:t>，且不得少于</w:t>
      </w:r>
      <w:r>
        <w:rPr>
          <w:rFonts w:ascii="Times New Roman" w:hAnsi="Times New Roman" w:eastAsia="宋体" w:cs="Times New Roman"/>
          <w:color w:val="auto"/>
          <w:sz w:val="24"/>
          <w:szCs w:val="24"/>
          <w:highlight w:val="none"/>
        </w:rPr>
        <w:t>3</w:t>
      </w:r>
      <w:r>
        <w:rPr>
          <w:rFonts w:ascii="Times New Roman" w:hAnsi="宋体" w:eastAsia="宋体" w:cs="Times New Roman"/>
          <w:color w:val="auto"/>
          <w:sz w:val="24"/>
          <w:szCs w:val="24"/>
          <w:highlight w:val="none"/>
        </w:rPr>
        <w:t>根；</w:t>
      </w:r>
    </w:p>
    <w:p>
      <w:pPr>
        <w:tabs>
          <w:tab w:val="left" w:pos="777"/>
        </w:tabs>
        <w:spacing w:before="156" w:beforeLines="50" w:after="0" w:line="360" w:lineRule="auto"/>
        <w:ind w:firstLine="482"/>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3</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在一个构件中全部钢丝预应力平均值与规定值的偏差应符合有关规范和规程的规定。</w:t>
      </w:r>
      <w:r>
        <w:rPr>
          <w:rFonts w:ascii="Times New Roman" w:hAnsi="Times New Roman" w:eastAsia="宋体" w:cs="Times New Roman"/>
          <w:color w:val="auto"/>
          <w:sz w:val="24"/>
          <w:szCs w:val="24"/>
          <w:highlight w:val="none"/>
        </w:rPr>
        <w:t xml:space="preserve"> </w:t>
      </w:r>
    </w:p>
    <w:p>
      <w:pPr>
        <w:tabs>
          <w:tab w:val="left" w:pos="777"/>
        </w:tabs>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8.3.4 </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w:t>
      </w:r>
      <w:r>
        <w:rPr>
          <w:rFonts w:ascii="Times New Roman" w:hAnsi="宋体" w:eastAsia="宋体" w:cs="Times New Roman"/>
          <w:color w:val="auto"/>
          <w:sz w:val="24"/>
          <w:szCs w:val="24"/>
          <w:highlight w:val="none"/>
        </w:rPr>
        <w:t>底板成品应按表</w:t>
      </w:r>
      <w:r>
        <w:rPr>
          <w:rFonts w:ascii="Times New Roman" w:hAnsi="Times New Roman" w:eastAsia="宋体" w:cs="Times New Roman"/>
          <w:color w:val="auto"/>
          <w:sz w:val="24"/>
          <w:szCs w:val="24"/>
          <w:highlight w:val="none"/>
        </w:rPr>
        <w:t>8.3.4</w:t>
      </w:r>
      <w:r>
        <w:rPr>
          <w:rFonts w:ascii="Times New Roman" w:hAnsi="宋体" w:eastAsia="宋体" w:cs="Times New Roman"/>
          <w:color w:val="auto"/>
          <w:sz w:val="24"/>
          <w:szCs w:val="24"/>
          <w:highlight w:val="none"/>
        </w:rPr>
        <w:t>对外观质量进行检查，对于外观质量不宜有一般缺陷，不应有严重缺进行陷。对于出现一般缺陷</w:t>
      </w:r>
      <w:r>
        <w:rPr>
          <w:rFonts w:hint="eastAsia" w:ascii="Times New Roman" w:hAnsi="宋体" w:eastAsia="宋体" w:cs="Times New Roman"/>
          <w:color w:val="auto"/>
          <w:sz w:val="24"/>
          <w:szCs w:val="24"/>
          <w:highlight w:val="none"/>
        </w:rPr>
        <w:t>的构件</w:t>
      </w:r>
      <w:r>
        <w:rPr>
          <w:rFonts w:ascii="Times New Roman" w:hAnsi="宋体" w:eastAsia="宋体" w:cs="Times New Roman"/>
          <w:color w:val="auto"/>
          <w:sz w:val="24"/>
          <w:szCs w:val="24"/>
          <w:highlight w:val="none"/>
        </w:rPr>
        <w:t>，应进行修补处理，并重新检查验收。对于外观质量合格的和不合格的均应记录、编号标识并</w:t>
      </w:r>
      <w:r>
        <w:rPr>
          <w:rFonts w:hint="eastAsia" w:ascii="Times New Roman" w:hAnsi="宋体" w:eastAsia="宋体" w:cs="Times New Roman"/>
          <w:color w:val="auto"/>
          <w:sz w:val="24"/>
          <w:szCs w:val="24"/>
          <w:highlight w:val="none"/>
        </w:rPr>
        <w:t>分区</w:t>
      </w:r>
      <w:r>
        <w:rPr>
          <w:rFonts w:ascii="Times New Roman" w:hAnsi="宋体" w:eastAsia="宋体" w:cs="Times New Roman"/>
          <w:color w:val="auto"/>
          <w:sz w:val="24"/>
          <w:szCs w:val="24"/>
          <w:highlight w:val="none"/>
        </w:rPr>
        <w:t>分类码放。</w:t>
      </w:r>
    </w:p>
    <w:p>
      <w:pPr>
        <w:tabs>
          <w:tab w:val="left" w:pos="777"/>
        </w:tabs>
        <w:spacing w:after="0" w:line="360" w:lineRule="auto"/>
        <w:jc w:val="center"/>
        <w:rPr>
          <w:rFonts w:ascii="Times New Roman" w:hAnsi="Times New Roman" w:eastAsia="宋体" w:cs="Times New Roman"/>
          <w:b/>
          <w:color w:val="auto"/>
          <w:sz w:val="21"/>
          <w:szCs w:val="21"/>
          <w:highlight w:val="none"/>
        </w:rPr>
      </w:pPr>
      <w:r>
        <w:rPr>
          <w:rFonts w:ascii="Times New Roman" w:hAnsi="宋体" w:eastAsia="宋体" w:cs="Times New Roman"/>
          <w:b/>
          <w:color w:val="auto"/>
          <w:sz w:val="21"/>
          <w:szCs w:val="21"/>
          <w:highlight w:val="none"/>
        </w:rPr>
        <w:t>表</w:t>
      </w:r>
      <w:r>
        <w:rPr>
          <w:rFonts w:ascii="Times New Roman" w:hAnsi="Times New Roman" w:eastAsia="宋体" w:cs="Times New Roman"/>
          <w:b/>
          <w:color w:val="auto"/>
          <w:sz w:val="21"/>
          <w:szCs w:val="21"/>
          <w:highlight w:val="none"/>
        </w:rPr>
        <w:t xml:space="preserve">8.3.4 </w:t>
      </w:r>
      <w:r>
        <w:rPr>
          <w:rFonts w:hint="eastAsia" w:ascii="Times New Roman" w:hAnsi="宋体" w:eastAsia="宋体" w:cs="Times New Roman"/>
          <w:b/>
          <w:color w:val="auto"/>
          <w:sz w:val="21"/>
          <w:szCs w:val="21"/>
          <w:highlight w:val="none"/>
        </w:rPr>
        <w:t>支架预应力混凝土叠合板预</w:t>
      </w:r>
      <w:r>
        <w:rPr>
          <w:rFonts w:ascii="Times New Roman" w:hAnsi="宋体" w:eastAsia="宋体" w:cs="Times New Roman"/>
          <w:b/>
          <w:color w:val="auto"/>
          <w:sz w:val="21"/>
          <w:szCs w:val="21"/>
          <w:highlight w:val="none"/>
        </w:rPr>
        <w:t>制底板外观质量判定方法</w:t>
      </w:r>
    </w:p>
    <w:tbl>
      <w:tblPr>
        <w:tblStyle w:val="16"/>
        <w:tblW w:w="8520" w:type="dxa"/>
        <w:tblInd w:w="-17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685"/>
        <w:gridCol w:w="2410"/>
        <w:gridCol w:w="12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5"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项目</w:t>
            </w:r>
          </w:p>
        </w:tc>
        <w:tc>
          <w:tcPr>
            <w:tcW w:w="3685"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现象</w:t>
            </w:r>
          </w:p>
        </w:tc>
        <w:tc>
          <w:tcPr>
            <w:tcW w:w="241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质量</w:t>
            </w:r>
            <w:r>
              <w:rPr>
                <w:rFonts w:hint="eastAsia" w:ascii="Times New Roman" w:hAnsi="宋体" w:eastAsia="宋体" w:cs="Times New Roman"/>
                <w:color w:val="auto"/>
                <w:sz w:val="21"/>
                <w:szCs w:val="21"/>
                <w:highlight w:val="none"/>
              </w:rPr>
              <w:t>评定</w:t>
            </w:r>
            <w:r>
              <w:rPr>
                <w:rFonts w:ascii="Times New Roman" w:hAnsi="宋体" w:eastAsia="宋体" w:cs="Times New Roman"/>
                <w:color w:val="auto"/>
                <w:sz w:val="21"/>
                <w:szCs w:val="21"/>
                <w:highlight w:val="none"/>
              </w:rPr>
              <w:t>要求</w:t>
            </w:r>
          </w:p>
        </w:tc>
        <w:tc>
          <w:tcPr>
            <w:tcW w:w="129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判定方法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5"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露筋</w:t>
            </w:r>
          </w:p>
        </w:tc>
        <w:tc>
          <w:tcPr>
            <w:tcW w:w="3685" w:type="dxa"/>
            <w:vAlign w:val="center"/>
          </w:tcPr>
          <w:p>
            <w:pPr>
              <w:widowControl w:val="0"/>
              <w:spacing w:after="0"/>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钢筋未被混凝土完全包裹而外露</w:t>
            </w:r>
          </w:p>
        </w:tc>
        <w:tc>
          <w:tcPr>
            <w:tcW w:w="241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预应力钢丝不应有</w:t>
            </w:r>
          </w:p>
        </w:tc>
        <w:tc>
          <w:tcPr>
            <w:tcW w:w="129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5"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蜂窝</w:t>
            </w:r>
          </w:p>
        </w:tc>
        <w:tc>
          <w:tcPr>
            <w:tcW w:w="3685" w:type="dxa"/>
            <w:vAlign w:val="center"/>
          </w:tcPr>
          <w:p>
            <w:pPr>
              <w:widowControl w:val="0"/>
              <w:spacing w:after="0"/>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混凝土表面缺少水泥砂浆而形成石子外露</w:t>
            </w:r>
          </w:p>
        </w:tc>
        <w:tc>
          <w:tcPr>
            <w:tcW w:w="241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不应有</w:t>
            </w:r>
          </w:p>
        </w:tc>
        <w:tc>
          <w:tcPr>
            <w:tcW w:w="129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5"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孔洞</w:t>
            </w:r>
          </w:p>
        </w:tc>
        <w:tc>
          <w:tcPr>
            <w:tcW w:w="3685" w:type="dxa"/>
            <w:vAlign w:val="center"/>
          </w:tcPr>
          <w:p>
            <w:pPr>
              <w:widowControl w:val="0"/>
              <w:spacing w:after="0"/>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混凝土中孔穴深度和长度超过保护层厚度</w:t>
            </w:r>
          </w:p>
        </w:tc>
        <w:tc>
          <w:tcPr>
            <w:tcW w:w="241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禁止裂缝贯穿保护层到达构件内部</w:t>
            </w:r>
          </w:p>
        </w:tc>
        <w:tc>
          <w:tcPr>
            <w:tcW w:w="129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5"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夹渣</w:t>
            </w:r>
          </w:p>
        </w:tc>
        <w:tc>
          <w:tcPr>
            <w:tcW w:w="3685" w:type="dxa"/>
            <w:vAlign w:val="center"/>
          </w:tcPr>
          <w:p>
            <w:pPr>
              <w:widowControl w:val="0"/>
              <w:spacing w:after="0"/>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混凝土中夹有杂物且深度超过保护层厚度</w:t>
            </w:r>
          </w:p>
        </w:tc>
        <w:tc>
          <w:tcPr>
            <w:tcW w:w="241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禁止夹渣</w:t>
            </w:r>
          </w:p>
        </w:tc>
        <w:tc>
          <w:tcPr>
            <w:tcW w:w="129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5"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裂缝</w:t>
            </w:r>
            <w:r>
              <w:rPr>
                <w:rFonts w:hint="eastAsia" w:ascii="Times New Roman" w:hAnsi="宋体" w:eastAsia="宋体" w:cs="Times New Roman"/>
                <w:color w:val="auto"/>
                <w:sz w:val="21"/>
                <w:szCs w:val="21"/>
                <w:highlight w:val="none"/>
              </w:rPr>
              <w:t>1</w:t>
            </w:r>
          </w:p>
        </w:tc>
        <w:tc>
          <w:tcPr>
            <w:tcW w:w="3685" w:type="dxa"/>
            <w:vAlign w:val="center"/>
          </w:tcPr>
          <w:p>
            <w:pPr>
              <w:widowControl w:val="0"/>
              <w:spacing w:after="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垂直预应力方向，</w:t>
            </w:r>
            <w:r>
              <w:rPr>
                <w:rFonts w:ascii="Times New Roman" w:hAnsi="宋体" w:eastAsia="宋体" w:cs="Times New Roman"/>
                <w:color w:val="auto"/>
                <w:sz w:val="21"/>
                <w:szCs w:val="21"/>
                <w:highlight w:val="none"/>
              </w:rPr>
              <w:t>缝隙从混凝土表面延伸至混凝土内部</w:t>
            </w:r>
          </w:p>
        </w:tc>
        <w:tc>
          <w:tcPr>
            <w:tcW w:w="241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不允许</w:t>
            </w:r>
          </w:p>
        </w:tc>
        <w:tc>
          <w:tcPr>
            <w:tcW w:w="129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5"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裂缝</w:t>
            </w:r>
            <w:r>
              <w:rPr>
                <w:rFonts w:hint="eastAsia" w:ascii="Times New Roman" w:hAnsi="宋体" w:eastAsia="宋体" w:cs="Times New Roman"/>
                <w:color w:val="auto"/>
                <w:sz w:val="21"/>
                <w:szCs w:val="21"/>
                <w:highlight w:val="none"/>
              </w:rPr>
              <w:t>2</w:t>
            </w:r>
          </w:p>
        </w:tc>
        <w:tc>
          <w:tcPr>
            <w:tcW w:w="3685" w:type="dxa"/>
            <w:vAlign w:val="center"/>
          </w:tcPr>
          <w:p>
            <w:pPr>
              <w:widowControl w:val="0"/>
              <w:spacing w:after="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平行预应力方向，</w:t>
            </w:r>
            <w:r>
              <w:rPr>
                <w:rFonts w:ascii="Times New Roman" w:hAnsi="宋体" w:eastAsia="宋体" w:cs="Times New Roman"/>
                <w:color w:val="auto"/>
                <w:sz w:val="21"/>
                <w:szCs w:val="21"/>
                <w:highlight w:val="none"/>
              </w:rPr>
              <w:t>缝隙从混凝土表面延伸至混凝土内部</w:t>
            </w:r>
          </w:p>
        </w:tc>
        <w:tc>
          <w:tcPr>
            <w:tcW w:w="2410" w:type="dxa"/>
            <w:vAlign w:val="center"/>
          </w:tcPr>
          <w:p>
            <w:pPr>
              <w:widowControl w:val="0"/>
              <w:spacing w:after="0"/>
              <w:jc w:val="center"/>
              <w:rPr>
                <w:rFonts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1、缝长度不允许大于板长的50%</w:t>
            </w:r>
          </w:p>
          <w:p>
            <w:pPr>
              <w:widowControl w:val="0"/>
              <w:spacing w:after="0"/>
              <w:jc w:val="center"/>
              <w:rPr>
                <w:rFonts w:ascii="Times New Roman" w:hAnsi="Times New Roman" w:eastAsia="宋体" w:cs="Times New Roman"/>
                <w:color w:val="auto"/>
                <w:sz w:val="21"/>
                <w:szCs w:val="21"/>
                <w:highlight w:val="none"/>
              </w:rPr>
            </w:pPr>
            <w:r>
              <w:rPr>
                <w:rFonts w:hint="eastAsia" w:ascii="Times New Roman" w:hAnsi="宋体" w:eastAsia="宋体" w:cs="Times New Roman"/>
                <w:color w:val="auto"/>
                <w:sz w:val="21"/>
                <w:szCs w:val="21"/>
                <w:highlight w:val="none"/>
              </w:rPr>
              <w:t>2、不形成贯穿裂缝</w:t>
            </w:r>
          </w:p>
        </w:tc>
        <w:tc>
          <w:tcPr>
            <w:tcW w:w="1290"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观察</w:t>
            </w:r>
          </w:p>
        </w:tc>
      </w:tr>
    </w:tbl>
    <w:p>
      <w:pPr>
        <w:tabs>
          <w:tab w:val="left" w:pos="777"/>
        </w:tabs>
        <w:spacing w:after="0" w:line="360" w:lineRule="auto"/>
        <w:rPr>
          <w:rFonts w:ascii="Times New Roman" w:hAnsi="Times New Roman" w:eastAsia="宋体" w:cs="Times New Roman"/>
          <w:b/>
          <w:color w:val="auto"/>
          <w:sz w:val="24"/>
          <w:szCs w:val="24"/>
          <w:highlight w:val="none"/>
        </w:rPr>
      </w:pPr>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8.3.5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成品应按表</w:t>
      </w:r>
      <w:r>
        <w:rPr>
          <w:rFonts w:ascii="Times New Roman" w:hAnsi="Times New Roman" w:eastAsia="宋体" w:cs="Times New Roman"/>
          <w:color w:val="auto"/>
          <w:sz w:val="24"/>
          <w:szCs w:val="24"/>
          <w:highlight w:val="none"/>
        </w:rPr>
        <w:t>8.3.5</w:t>
      </w:r>
      <w:r>
        <w:rPr>
          <w:rFonts w:ascii="Times New Roman" w:hAnsi="宋体" w:eastAsia="宋体" w:cs="Times New Roman"/>
          <w:color w:val="auto"/>
          <w:sz w:val="24"/>
          <w:szCs w:val="24"/>
          <w:highlight w:val="none"/>
        </w:rPr>
        <w:t>对外型尺寸进行检查，对超过尺寸允许偏差且影响结构性能和安装、使用功能的部位应经原设计单位认可，制定技术处理方案进行处理，并重新检查验收。</w:t>
      </w:r>
    </w:p>
    <w:p>
      <w:pPr>
        <w:spacing w:after="0" w:line="324" w:lineRule="auto"/>
        <w:jc w:val="center"/>
        <w:rPr>
          <w:rFonts w:ascii="Times New Roman" w:cs="Times New Roman" w:hAnsiTheme="minorEastAsia" w:eastAsiaTheme="minorEastAsia"/>
          <w:b/>
          <w:color w:val="auto"/>
          <w:sz w:val="21"/>
          <w:szCs w:val="21"/>
          <w:highlight w:val="none"/>
        </w:rPr>
      </w:pPr>
      <w:r>
        <w:rPr>
          <w:rFonts w:ascii="Times New Roman" w:cs="Times New Roman" w:hAnsiTheme="minorEastAsia" w:eastAsiaTheme="minorEastAsia"/>
          <w:b/>
          <w:color w:val="auto"/>
          <w:sz w:val="21"/>
          <w:szCs w:val="21"/>
          <w:highlight w:val="none"/>
        </w:rPr>
        <w:t>表8.3.5</w:t>
      </w:r>
      <w:r>
        <w:rPr>
          <w:rFonts w:hint="eastAsia" w:ascii="Times New Roman" w:cs="Times New Roman" w:hAnsiTheme="minorEastAsia" w:eastAsiaTheme="minorEastAsia"/>
          <w:b/>
          <w:color w:val="auto"/>
          <w:sz w:val="21"/>
          <w:szCs w:val="21"/>
          <w:highlight w:val="none"/>
        </w:rPr>
        <w:t>预</w:t>
      </w:r>
      <w:r>
        <w:rPr>
          <w:rFonts w:ascii="Times New Roman" w:cs="Times New Roman" w:hAnsiTheme="minorEastAsia" w:eastAsiaTheme="minorEastAsia"/>
          <w:b/>
          <w:color w:val="auto"/>
          <w:sz w:val="21"/>
          <w:szCs w:val="21"/>
          <w:highlight w:val="none"/>
        </w:rPr>
        <w:t>制底板外形尺寸允许偏差及检验方法</w:t>
      </w:r>
    </w:p>
    <w:tbl>
      <w:tblPr>
        <w:tblStyle w:val="16"/>
        <w:tblW w:w="818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553"/>
        <w:gridCol w:w="1837"/>
        <w:gridCol w:w="40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0"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检查项目</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允许偏差</w:t>
            </w:r>
            <w:r>
              <w:rPr>
                <w:rFonts w:ascii="Times New Roman" w:hAnsi="Times New Roman" w:eastAsia="宋体" w:cs="Times New Roman"/>
                <w:color w:val="auto"/>
                <w:sz w:val="21"/>
                <w:szCs w:val="21"/>
                <w:highlight w:val="none"/>
              </w:rPr>
              <w:t>mm</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检查方法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0"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长度</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+10</w:t>
            </w:r>
            <w:r>
              <w:rPr>
                <w:rFonts w:ascii="Times New Roman" w:hAnsi="宋体" w:eastAsia="宋体" w:cs="Times New Roman"/>
                <w:color w:val="auto"/>
                <w:sz w:val="21"/>
                <w:szCs w:val="21"/>
                <w:highlight w:val="none"/>
              </w:rPr>
              <w:t>，</w:t>
            </w:r>
            <w:r>
              <w:rPr>
                <w:rFonts w:ascii="Times New Roman" w:hAnsi="Times New Roman" w:eastAsia="宋体" w:cs="Times New Roman"/>
                <w:color w:val="auto"/>
                <w:sz w:val="21"/>
                <w:szCs w:val="21"/>
                <w:highlight w:val="none"/>
              </w:rPr>
              <w:t>-5</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用尺量测平行于长度方向的任何部位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0"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宽度</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用尺量测平行于宽度方向的任何部位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0"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厚度</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r>
              <w:rPr>
                <w:rFonts w:ascii="Times New Roman" w:hAnsi="宋体" w:eastAsia="宋体" w:cs="Times New Roman"/>
                <w:color w:val="auto"/>
                <w:sz w:val="21"/>
                <w:szCs w:val="21"/>
                <w:highlight w:val="none"/>
              </w:rPr>
              <w:t>，</w:t>
            </w:r>
            <w:r>
              <w:rPr>
                <w:rFonts w:ascii="Times New Roman" w:hAnsi="Times New Roman" w:eastAsia="宋体" w:cs="Times New Roman"/>
                <w:color w:val="auto"/>
                <w:sz w:val="21"/>
                <w:szCs w:val="21"/>
                <w:highlight w:val="none"/>
              </w:rPr>
              <w:t>-3</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用尺量测平行于厚度方向的任何部位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Merge w:val="restart"/>
            <w:vAlign w:val="center"/>
          </w:tcPr>
          <w:p>
            <w:pPr>
              <w:widowControl w:val="0"/>
              <w:spacing w:after="0"/>
              <w:jc w:val="center"/>
              <w:rPr>
                <w:rFonts w:ascii="Times New Roman" w:hAnsi="宋体" w:eastAsia="宋体" w:cs="Times New Roman"/>
                <w:color w:val="auto"/>
                <w:sz w:val="21"/>
                <w:szCs w:val="21"/>
                <w:highlight w:val="none"/>
              </w:rPr>
            </w:pPr>
            <w:r>
              <w:rPr>
                <w:rFonts w:ascii="Times New Roman" w:hAnsi="宋体" w:eastAsia="宋体" w:cs="Times New Roman"/>
                <w:color w:val="auto"/>
                <w:sz w:val="21"/>
                <w:szCs w:val="21"/>
                <w:highlight w:val="none"/>
              </w:rPr>
              <w:t>下</w:t>
            </w:r>
          </w:p>
          <w:p>
            <w:pPr>
              <w:widowControl w:val="0"/>
              <w:spacing w:after="0"/>
              <w:jc w:val="center"/>
              <w:rPr>
                <w:rFonts w:ascii="Times New Roman" w:hAnsi="宋体" w:eastAsia="宋体" w:cs="Times New Roman"/>
                <w:color w:val="auto"/>
                <w:sz w:val="21"/>
                <w:szCs w:val="21"/>
                <w:highlight w:val="none"/>
              </w:rPr>
            </w:pPr>
            <w:r>
              <w:rPr>
                <w:rFonts w:ascii="Times New Roman" w:hAnsi="宋体" w:eastAsia="宋体" w:cs="Times New Roman"/>
                <w:color w:val="auto"/>
                <w:sz w:val="21"/>
                <w:szCs w:val="21"/>
                <w:highlight w:val="none"/>
              </w:rPr>
              <w:t>平</w:t>
            </w:r>
          </w:p>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面</w:t>
            </w:r>
          </w:p>
        </w:tc>
        <w:tc>
          <w:tcPr>
            <w:tcW w:w="1553"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对角线差</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10</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用尺量测下表面两个对角线差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Merge w:val="continue"/>
            <w:vAlign w:val="center"/>
          </w:tcPr>
          <w:p>
            <w:pPr>
              <w:widowControl w:val="0"/>
              <w:spacing w:after="0"/>
              <w:jc w:val="center"/>
              <w:rPr>
                <w:rFonts w:ascii="Times New Roman" w:hAnsi="Times New Roman" w:eastAsia="宋体" w:cs="Times New Roman"/>
                <w:color w:val="auto"/>
                <w:sz w:val="21"/>
                <w:szCs w:val="21"/>
                <w:highlight w:val="none"/>
              </w:rPr>
            </w:pPr>
          </w:p>
        </w:tc>
        <w:tc>
          <w:tcPr>
            <w:tcW w:w="1553"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侧向弯曲</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L/750</w:t>
            </w:r>
            <w:r>
              <w:rPr>
                <w:rFonts w:ascii="Times New Roman" w:hAnsi="宋体" w:eastAsia="宋体" w:cs="Times New Roman"/>
                <w:color w:val="auto"/>
                <w:sz w:val="21"/>
                <w:szCs w:val="21"/>
                <w:highlight w:val="none"/>
              </w:rPr>
              <w:t>且</w:t>
            </w:r>
            <w:r>
              <w:rPr>
                <w:rFonts w:ascii="Times New Roman" w:hAnsi="Times New Roman" w:eastAsia="宋体" w:cs="Times New Roman"/>
                <w:bCs/>
                <w:color w:val="auto"/>
                <w:sz w:val="21"/>
                <w:szCs w:val="21"/>
                <w:highlight w:val="none"/>
              </w:rPr>
              <w:t>≤20</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拉线、用尺量测侧向弯曲最大处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Merge w:val="continue"/>
            <w:vAlign w:val="center"/>
          </w:tcPr>
          <w:p>
            <w:pPr>
              <w:widowControl w:val="0"/>
              <w:spacing w:after="0"/>
              <w:jc w:val="center"/>
              <w:rPr>
                <w:rFonts w:ascii="Times New Roman" w:hAnsi="Times New Roman" w:eastAsia="宋体" w:cs="Times New Roman"/>
                <w:color w:val="auto"/>
                <w:sz w:val="21"/>
                <w:szCs w:val="21"/>
                <w:highlight w:val="none"/>
              </w:rPr>
            </w:pPr>
          </w:p>
        </w:tc>
        <w:tc>
          <w:tcPr>
            <w:tcW w:w="1553"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翘曲</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L/750</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用测平尺在下表面两端量测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Merge w:val="continue"/>
            <w:vAlign w:val="center"/>
          </w:tcPr>
          <w:p>
            <w:pPr>
              <w:widowControl w:val="0"/>
              <w:spacing w:after="0"/>
              <w:jc w:val="center"/>
              <w:rPr>
                <w:rFonts w:ascii="Times New Roman" w:hAnsi="Times New Roman" w:eastAsia="宋体" w:cs="Times New Roman"/>
                <w:color w:val="auto"/>
                <w:sz w:val="21"/>
                <w:szCs w:val="21"/>
                <w:highlight w:val="none"/>
              </w:rPr>
            </w:pPr>
          </w:p>
        </w:tc>
        <w:tc>
          <w:tcPr>
            <w:tcW w:w="1553"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表面平整</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w:t>
            </w:r>
            <w:r>
              <w:rPr>
                <w:rFonts w:ascii="Times New Roman" w:hAnsi="Times New Roman" w:eastAsia="宋体" w:cs="Times New Roman"/>
                <w:color w:val="auto"/>
                <w:sz w:val="21"/>
                <w:szCs w:val="21"/>
                <w:highlight w:val="none"/>
              </w:rPr>
              <w:t>2m</w:t>
            </w:r>
            <w:r>
              <w:rPr>
                <w:rFonts w:ascii="Times New Roman" w:hAnsi="宋体" w:eastAsia="宋体" w:cs="Times New Roman"/>
                <w:color w:val="auto"/>
                <w:sz w:val="21"/>
                <w:szCs w:val="21"/>
                <w:highlight w:val="none"/>
              </w:rPr>
              <w:t>靠尺和塞尺量测两点间最大缝隙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Merge w:val="restart"/>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预应力钢丝</w:t>
            </w:r>
          </w:p>
        </w:tc>
        <w:tc>
          <w:tcPr>
            <w:tcW w:w="1553"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间距</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Merge w:val="continue"/>
            <w:vAlign w:val="center"/>
          </w:tcPr>
          <w:p>
            <w:pPr>
              <w:widowControl w:val="0"/>
              <w:spacing w:after="0"/>
              <w:jc w:val="center"/>
              <w:rPr>
                <w:rFonts w:ascii="Times New Roman" w:hAnsi="Times New Roman" w:eastAsia="宋体" w:cs="Times New Roman"/>
                <w:color w:val="auto"/>
                <w:sz w:val="21"/>
                <w:szCs w:val="21"/>
                <w:highlight w:val="none"/>
              </w:rPr>
            </w:pPr>
          </w:p>
        </w:tc>
        <w:tc>
          <w:tcPr>
            <w:tcW w:w="1553"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保护层厚度</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r>
              <w:rPr>
                <w:rFonts w:ascii="Times New Roman" w:hAnsi="宋体" w:eastAsia="宋体" w:cs="Times New Roman"/>
                <w:color w:val="auto"/>
                <w:sz w:val="21"/>
                <w:szCs w:val="21"/>
                <w:highlight w:val="none"/>
              </w:rPr>
              <w:t>，</w:t>
            </w:r>
            <w:r>
              <w:rPr>
                <w:rFonts w:ascii="Times New Roman" w:hAnsi="Times New Roman" w:eastAsia="宋体" w:cs="Times New Roman"/>
                <w:color w:val="auto"/>
                <w:sz w:val="21"/>
                <w:szCs w:val="21"/>
                <w:highlight w:val="none"/>
              </w:rPr>
              <w:t>-3</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Merge w:val="continue"/>
            <w:vAlign w:val="center"/>
          </w:tcPr>
          <w:p>
            <w:pPr>
              <w:widowControl w:val="0"/>
              <w:spacing w:after="0"/>
              <w:jc w:val="center"/>
              <w:rPr>
                <w:rFonts w:ascii="Times New Roman" w:hAnsi="Times New Roman" w:eastAsia="宋体" w:cs="Times New Roman"/>
                <w:color w:val="auto"/>
                <w:sz w:val="21"/>
                <w:szCs w:val="21"/>
                <w:highlight w:val="none"/>
              </w:rPr>
            </w:pPr>
          </w:p>
        </w:tc>
        <w:tc>
          <w:tcPr>
            <w:tcW w:w="1553"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外伸长度</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+30</w:t>
            </w:r>
            <w:r>
              <w:rPr>
                <w:rFonts w:ascii="Times New Roman" w:hAnsi="宋体" w:eastAsia="宋体" w:cs="Times New Roman"/>
                <w:color w:val="auto"/>
                <w:sz w:val="21"/>
                <w:szCs w:val="21"/>
                <w:highlight w:val="none"/>
              </w:rPr>
              <w:t>，</w:t>
            </w:r>
            <w:r>
              <w:rPr>
                <w:rFonts w:ascii="Times New Roman" w:hAnsi="Times New Roman" w:eastAsia="宋体" w:cs="Times New Roman"/>
                <w:color w:val="auto"/>
                <w:sz w:val="21"/>
                <w:szCs w:val="21"/>
                <w:highlight w:val="none"/>
              </w:rPr>
              <w:t>-10</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用尺或钢筋保护层厚度测定仪量测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0"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hint="eastAsia" w:ascii="Times New Roman" w:hAnsi="宋体" w:eastAsia="宋体" w:cs="Times New Roman"/>
                <w:color w:val="auto"/>
                <w:sz w:val="21"/>
                <w:szCs w:val="21"/>
                <w:highlight w:val="none"/>
              </w:rPr>
              <w:t>矩形钢管</w:t>
            </w:r>
            <w:r>
              <w:rPr>
                <w:rFonts w:ascii="Times New Roman" w:hAnsi="宋体" w:eastAsia="宋体" w:cs="Times New Roman"/>
                <w:color w:val="auto"/>
                <w:sz w:val="21"/>
                <w:szCs w:val="21"/>
                <w:highlight w:val="none"/>
              </w:rPr>
              <w:t>桁架高度</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r>
              <w:rPr>
                <w:rFonts w:ascii="Times New Roman" w:hAnsi="宋体" w:eastAsia="宋体" w:cs="Times New Roman"/>
                <w:color w:val="auto"/>
                <w:sz w:val="21"/>
                <w:szCs w:val="21"/>
                <w:highlight w:val="none"/>
              </w:rPr>
              <w:t>，</w:t>
            </w:r>
            <w:r>
              <w:rPr>
                <w:rFonts w:ascii="Times New Roman" w:hAnsi="Times New Roman" w:eastAsia="宋体" w:cs="Times New Roman"/>
                <w:color w:val="auto"/>
                <w:sz w:val="21"/>
                <w:szCs w:val="21"/>
                <w:highlight w:val="none"/>
              </w:rPr>
              <w:t>0</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0" w:type="dxa"/>
            <w:gridSpan w:val="2"/>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自重偏差</w:t>
            </w:r>
          </w:p>
        </w:tc>
        <w:tc>
          <w:tcPr>
            <w:tcW w:w="1837"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±7%</w:t>
            </w:r>
          </w:p>
        </w:tc>
        <w:tc>
          <w:tcPr>
            <w:tcW w:w="4091" w:type="dxa"/>
            <w:vAlign w:val="center"/>
          </w:tcPr>
          <w:p>
            <w:pPr>
              <w:widowControl w:val="0"/>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用衡器量测</w:t>
            </w:r>
          </w:p>
        </w:tc>
      </w:tr>
    </w:tbl>
    <w:p>
      <w:pPr>
        <w:spacing w:before="156" w:beforeLines="50" w:after="0" w:line="360" w:lineRule="auto"/>
        <w:rPr>
          <w:rFonts w:ascii="Times New Roman" w:hAnsi="Times New Roman" w:cs="Times New Roman" w:eastAsiaTheme="minorEastAsia"/>
          <w:color w:val="auto"/>
          <w:sz w:val="18"/>
          <w:szCs w:val="18"/>
          <w:highlight w:val="none"/>
        </w:rPr>
      </w:pPr>
      <w:r>
        <w:rPr>
          <w:rFonts w:ascii="Times New Roman" w:cs="Times New Roman" w:hAnsiTheme="minorEastAsia" w:eastAsiaTheme="minorEastAsia"/>
          <w:color w:val="auto"/>
          <w:sz w:val="18"/>
          <w:szCs w:val="18"/>
          <w:highlight w:val="none"/>
        </w:rPr>
        <w:t>注：</w:t>
      </w:r>
      <w:r>
        <w:rPr>
          <w:rFonts w:ascii="Times New Roman" w:hAnsi="Times New Roman" w:cs="Times New Roman" w:eastAsiaTheme="minorEastAsia"/>
          <w:color w:val="auto"/>
          <w:sz w:val="18"/>
          <w:szCs w:val="18"/>
          <w:highlight w:val="none"/>
        </w:rPr>
        <w:t xml:space="preserve">1    </w:t>
      </w:r>
      <w:r>
        <w:rPr>
          <w:rFonts w:ascii="Times New Roman" w:cs="Times New Roman" w:hAnsiTheme="minorEastAsia" w:eastAsiaTheme="minorEastAsia"/>
          <w:color w:val="auto"/>
          <w:sz w:val="18"/>
          <w:szCs w:val="18"/>
          <w:highlight w:val="none"/>
        </w:rPr>
        <w:t>自重偏差检验仅用于型式试验；</w:t>
      </w:r>
    </w:p>
    <w:p>
      <w:pPr>
        <w:spacing w:after="0" w:line="360" w:lineRule="auto"/>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2    L</w:t>
      </w:r>
      <w:r>
        <w:rPr>
          <w:rFonts w:ascii="Times New Roman" w:cs="Times New Roman" w:hAnsiTheme="minorEastAsia" w:eastAsiaTheme="minorEastAsia"/>
          <w:color w:val="auto"/>
          <w:sz w:val="18"/>
          <w:szCs w:val="18"/>
          <w:highlight w:val="none"/>
        </w:rPr>
        <w:t>为</w:t>
      </w:r>
      <w:r>
        <w:rPr>
          <w:rFonts w:hint="eastAsia" w:ascii="Times New Roman" w:cs="Times New Roman" w:hAnsiTheme="minorEastAsia" w:eastAsiaTheme="minorEastAsia"/>
          <w:color w:val="auto"/>
          <w:sz w:val="18"/>
          <w:szCs w:val="18"/>
          <w:highlight w:val="none"/>
        </w:rPr>
        <w:t>支架预应力混凝土叠合板</w:t>
      </w:r>
      <w:r>
        <w:rPr>
          <w:rFonts w:ascii="Times New Roman" w:cs="Times New Roman" w:hAnsiTheme="minorEastAsia" w:eastAsiaTheme="minorEastAsia"/>
          <w:color w:val="auto"/>
          <w:sz w:val="18"/>
          <w:szCs w:val="18"/>
          <w:highlight w:val="none"/>
        </w:rPr>
        <w:t>预制底板标志跨度。</w:t>
      </w:r>
    </w:p>
    <w:p>
      <w:pPr>
        <w:pStyle w:val="25"/>
        <w:snapToGrid w:val="0"/>
        <w:spacing w:beforeLines="0" w:after="312" w:line="276" w:lineRule="auto"/>
        <w:contextualSpacing/>
        <w:jc w:val="both"/>
        <w:outlineLvl w:val="9"/>
        <w:rPr>
          <w:rFonts w:hAnsi="宋体"/>
          <w:b w:val="0"/>
          <w:color w:val="auto"/>
          <w:kern w:val="0"/>
          <w:szCs w:val="24"/>
          <w:highlight w:val="none"/>
        </w:rPr>
      </w:pPr>
    </w:p>
    <w:p>
      <w:pPr>
        <w:pStyle w:val="25"/>
        <w:snapToGrid w:val="0"/>
        <w:spacing w:beforeLines="0" w:after="312" w:line="360" w:lineRule="auto"/>
        <w:contextualSpacing/>
        <w:rPr>
          <w:color w:val="auto"/>
          <w:szCs w:val="24"/>
          <w:highlight w:val="none"/>
        </w:rPr>
      </w:pPr>
      <w:bookmarkStart w:id="59" w:name="_Toc111709528"/>
      <w:r>
        <w:rPr>
          <w:color w:val="auto"/>
          <w:szCs w:val="24"/>
          <w:highlight w:val="none"/>
        </w:rPr>
        <w:t>8.4</w:t>
      </w:r>
      <w:r>
        <w:rPr>
          <w:rFonts w:hAnsi="宋体"/>
          <w:color w:val="auto"/>
          <w:szCs w:val="24"/>
          <w:highlight w:val="none"/>
        </w:rPr>
        <w:t>构件运输与堆放</w:t>
      </w:r>
      <w:bookmarkEnd w:id="59"/>
    </w:p>
    <w:p>
      <w:pPr>
        <w:spacing w:after="0" w:line="360" w:lineRule="auto"/>
        <w:outlineLvl w:val="2"/>
        <w:rPr>
          <w:rFonts w:ascii="宋体" w:hAnsi="宋体" w:eastAsia="宋体"/>
          <w:color w:val="auto"/>
          <w:sz w:val="24"/>
          <w:szCs w:val="24"/>
          <w:highlight w:val="none"/>
        </w:rPr>
      </w:pPr>
      <w:r>
        <w:rPr>
          <w:rFonts w:ascii="Times New Roman" w:hAnsi="Times New Roman" w:eastAsia="宋体" w:cs="Times New Roman"/>
          <w:b/>
          <w:color w:val="auto"/>
          <w:sz w:val="24"/>
          <w:szCs w:val="24"/>
          <w:highlight w:val="none"/>
        </w:rPr>
        <w:t>8.4.1</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 xml:space="preserve">  </w:t>
      </w:r>
      <w:r>
        <w:rPr>
          <w:rFonts w:ascii="Times New Roman" w:hAnsi="Times New Roman" w:eastAsia="宋体" w:cs="Times New Roman"/>
          <w:color w:val="auto"/>
          <w:sz w:val="24"/>
          <w:szCs w:val="24"/>
          <w:highlight w:val="none"/>
        </w:rPr>
        <w:t>预制构件运输与堆放时的支承位置应经计算确定</w:t>
      </w:r>
      <w:r>
        <w:rPr>
          <w:rFonts w:ascii="宋体" w:hAnsi="宋体" w:eastAsia="宋体"/>
          <w:color w:val="auto"/>
          <w:sz w:val="24"/>
          <w:szCs w:val="24"/>
          <w:highlight w:val="none"/>
        </w:rPr>
        <w:t>。</w:t>
      </w:r>
    </w:p>
    <w:p>
      <w:pPr>
        <w:spacing w:after="0" w:line="360" w:lineRule="auto"/>
        <w:outlineLvl w:val="2"/>
        <w:rPr>
          <w:rFonts w:ascii="宋体" w:hAnsi="宋体" w:eastAsia="宋体"/>
          <w:color w:val="auto"/>
          <w:sz w:val="24"/>
          <w:szCs w:val="24"/>
          <w:highlight w:val="none"/>
        </w:rPr>
      </w:pPr>
      <w:r>
        <w:rPr>
          <w:rFonts w:ascii="Times New Roman" w:hAnsi="Times New Roman" w:eastAsia="宋体" w:cs="Times New Roman"/>
          <w:b/>
          <w:color w:val="auto"/>
          <w:sz w:val="24"/>
          <w:szCs w:val="24"/>
          <w:highlight w:val="none"/>
        </w:rPr>
        <w:t xml:space="preserve">8.4.2 </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 xml:space="preserve"> </w:t>
      </w:r>
      <w:r>
        <w:rPr>
          <w:rFonts w:ascii="宋体" w:hAnsi="宋体" w:eastAsia="宋体"/>
          <w:color w:val="auto"/>
          <w:sz w:val="24"/>
          <w:szCs w:val="24"/>
          <w:highlight w:val="none"/>
        </w:rPr>
        <w:t>支架预应力混凝土叠合板预制底板混凝土强度达到设计值的100%时，方可进行脱模、吊装和运输。应使用专用吊具，缓起慢落，避免与其他物体撞，并应保证起重设备的吊钩位置与构件重心在垂直方向上重合</w:t>
      </w:r>
      <w:r>
        <w:rPr>
          <w:rFonts w:hint="eastAsia" w:ascii="宋体" w:hAnsi="宋体" w:eastAsia="宋体"/>
          <w:color w:val="auto"/>
          <w:sz w:val="24"/>
          <w:szCs w:val="24"/>
          <w:highlight w:val="none"/>
        </w:rPr>
        <w:t>。</w:t>
      </w:r>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8.4.3</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color w:val="auto"/>
          <w:sz w:val="24"/>
          <w:szCs w:val="24"/>
          <w:highlight w:val="none"/>
        </w:rPr>
        <w:t xml:space="preserve">  预制构件的运输应符合下列规定：</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1</w:t>
      </w:r>
      <w:r>
        <w:rPr>
          <w:rFonts w:ascii="Times New Roman" w:hAnsi="宋体" w:eastAsia="宋体" w:cs="Times New Roman"/>
          <w:color w:val="auto"/>
          <w:sz w:val="24"/>
          <w:szCs w:val="24"/>
          <w:highlight w:val="none"/>
        </w:rPr>
        <w:t xml:space="preserve">  </w:t>
      </w:r>
      <w:r>
        <w:rPr>
          <w:rFonts w:hint="eastAsia" w:ascii="Times New Roman" w:hAnsi="宋体" w:eastAsia="宋体" w:cs="Times New Roman"/>
          <w:color w:val="auto"/>
          <w:sz w:val="24"/>
          <w:szCs w:val="24"/>
          <w:highlight w:val="none"/>
        </w:rPr>
        <w:t>预制构件的运输路线应根据道路、桥梁的实际条件确定，场内运输宜设置循环线路；</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2</w:t>
      </w:r>
      <w:r>
        <w:rPr>
          <w:rFonts w:hint="eastAsia" w:ascii="Times New Roman" w:hAnsi="宋体" w:eastAsia="宋体" w:cs="Times New Roman"/>
          <w:color w:val="auto"/>
          <w:sz w:val="24"/>
          <w:szCs w:val="24"/>
          <w:highlight w:val="none"/>
        </w:rPr>
        <w:t xml:space="preserve">  运输车辆应满足构件尺寸和载重要求；</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3</w:t>
      </w:r>
      <w:r>
        <w:rPr>
          <w:rFonts w:hint="eastAsia" w:ascii="Times New Roman" w:hAnsi="宋体" w:eastAsia="宋体" w:cs="Times New Roman"/>
          <w:color w:val="auto"/>
          <w:sz w:val="24"/>
          <w:szCs w:val="24"/>
          <w:highlight w:val="none"/>
        </w:rPr>
        <w:t xml:space="preserve">  装卸构件过程中，应采取保证车体平衡、防止车体倾覆的措施；</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4</w:t>
      </w:r>
      <w:r>
        <w:rPr>
          <w:rFonts w:hint="eastAsia" w:ascii="Times New Roman" w:hAnsi="宋体" w:eastAsia="宋体" w:cs="Times New Roman"/>
          <w:color w:val="auto"/>
          <w:sz w:val="24"/>
          <w:szCs w:val="24"/>
          <w:highlight w:val="none"/>
        </w:rPr>
        <w:t xml:space="preserve">  应采取防止构件移动或倾倒的绑扎固定措施；</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5</w:t>
      </w:r>
      <w:r>
        <w:rPr>
          <w:rFonts w:hint="eastAsia" w:ascii="Times New Roman" w:hAnsi="宋体" w:eastAsia="宋体" w:cs="Times New Roman"/>
          <w:color w:val="auto"/>
          <w:sz w:val="24"/>
          <w:szCs w:val="24"/>
          <w:highlight w:val="none"/>
        </w:rPr>
        <w:t xml:space="preserve">  构件边角部的混凝土，宜采用垫衬加以保护。</w:t>
      </w:r>
    </w:p>
    <w:p>
      <w:pPr>
        <w:tabs>
          <w:tab w:val="left" w:pos="777"/>
        </w:tabs>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8.4.4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的堆放应符合下列规定：</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1</w:t>
      </w:r>
      <w:r>
        <w:rPr>
          <w:rFonts w:hint="eastAsia" w:ascii="Times New Roman" w:hAnsi="宋体" w:eastAsia="宋体" w:cs="Times New Roman"/>
          <w:color w:val="auto"/>
          <w:sz w:val="24"/>
          <w:szCs w:val="24"/>
          <w:highlight w:val="none"/>
        </w:rPr>
        <w:t xml:space="preserve">  堆放场地应平整、坚实，并应具有良好的排水措施；</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2</w:t>
      </w:r>
      <w:r>
        <w:rPr>
          <w:rFonts w:hint="eastAsia" w:ascii="Times New Roman" w:hAnsi="宋体" w:eastAsia="宋体" w:cs="Times New Roman"/>
          <w:color w:val="auto"/>
          <w:sz w:val="24"/>
          <w:szCs w:val="24"/>
          <w:highlight w:val="none"/>
        </w:rPr>
        <w:t xml:space="preserve">  应保证垫木上下对齐，最下层构件垫实，预埋吊件宜向上，标识宜朝向堆垛间的通道；</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3</w:t>
      </w:r>
      <w:r>
        <w:rPr>
          <w:rFonts w:hint="eastAsia" w:ascii="Times New Roman" w:hAnsi="宋体" w:eastAsia="宋体" w:cs="Times New Roman"/>
          <w:color w:val="auto"/>
          <w:sz w:val="24"/>
          <w:szCs w:val="24"/>
          <w:highlight w:val="none"/>
        </w:rPr>
        <w:t xml:space="preserve">  堆放层数不应超过15层，应设置防止构件倾覆的支架；</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宋体" w:eastAsia="宋体" w:cs="Times New Roman"/>
          <w:b/>
          <w:bCs/>
          <w:color w:val="auto"/>
          <w:sz w:val="24"/>
          <w:szCs w:val="24"/>
          <w:highlight w:val="none"/>
        </w:rPr>
        <w:t>4</w:t>
      </w:r>
      <w:r>
        <w:rPr>
          <w:rFonts w:hint="eastAsia" w:ascii="Times New Roman" w:hAnsi="宋体" w:eastAsia="宋体" w:cs="Times New Roman"/>
          <w:color w:val="auto"/>
          <w:sz w:val="24"/>
          <w:szCs w:val="24"/>
          <w:highlight w:val="none"/>
        </w:rPr>
        <w:t xml:space="preserve">  不同型号应分别堆放，严禁混放。</w:t>
      </w:r>
    </w:p>
    <w:p>
      <w:pPr>
        <w:spacing w:after="0" w:line="360" w:lineRule="auto"/>
        <w:outlineLvl w:val="2"/>
        <w:rPr>
          <w:rFonts w:ascii="Times New Roman" w:hAnsi="Times New Roman" w:eastAsia="宋体" w:cs="Times New Roman"/>
          <w:b/>
          <w:color w:val="auto"/>
          <w:sz w:val="24"/>
          <w:szCs w:val="24"/>
          <w:highlight w:val="none"/>
        </w:rPr>
      </w:pPr>
      <w:bookmarkStart w:id="60" w:name="_Hlk111646843"/>
      <w:r>
        <w:rPr>
          <w:rFonts w:ascii="Times New Roman" w:hAnsi="Times New Roman" w:eastAsia="宋体" w:cs="Times New Roman"/>
          <w:b/>
          <w:color w:val="auto"/>
          <w:sz w:val="24"/>
          <w:szCs w:val="24"/>
          <w:highlight w:val="none"/>
        </w:rPr>
        <w:t>8.4.</w:t>
      </w:r>
      <w:bookmarkEnd w:id="60"/>
      <w:r>
        <w:rPr>
          <w:rFonts w:ascii="Times New Roman" w:hAnsi="Times New Roman" w:eastAsia="宋体" w:cs="Times New Roman"/>
          <w:b/>
          <w:color w:val="auto"/>
          <w:sz w:val="24"/>
          <w:szCs w:val="24"/>
          <w:highlight w:val="none"/>
        </w:rPr>
        <w:t>5</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成品堆放位置和次序、装车位置和次序，应与工程施工进度及次序相衔接。</w:t>
      </w:r>
    </w:p>
    <w:p>
      <w:pPr>
        <w:adjustRightInd/>
        <w:snapToGrid/>
        <w:spacing w:line="220" w:lineRule="atLeast"/>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br w:type="page"/>
      </w:r>
    </w:p>
    <w:p>
      <w:pPr>
        <w:pStyle w:val="24"/>
        <w:spacing w:before="312" w:after="312"/>
        <w:rPr>
          <w:rFonts w:eastAsiaTheme="minorEastAsia"/>
          <w:color w:val="auto"/>
          <w:highlight w:val="none"/>
        </w:rPr>
      </w:pPr>
      <w:bookmarkStart w:id="61" w:name="_Toc111709529"/>
      <w:r>
        <w:rPr>
          <w:rFonts w:hint="eastAsia" w:eastAsiaTheme="minorEastAsia"/>
          <w:color w:val="auto"/>
          <w:highlight w:val="none"/>
        </w:rPr>
        <w:t>9</w:t>
      </w:r>
      <w:r>
        <w:rPr>
          <w:rFonts w:eastAsiaTheme="minorEastAsia"/>
          <w:color w:val="auto"/>
          <w:highlight w:val="none"/>
        </w:rPr>
        <w:t>施工安装</w:t>
      </w:r>
      <w:bookmarkEnd w:id="61"/>
    </w:p>
    <w:p>
      <w:pPr>
        <w:pStyle w:val="25"/>
        <w:spacing w:beforeLines="0" w:after="312" w:line="360" w:lineRule="auto"/>
        <w:rPr>
          <w:color w:val="auto"/>
          <w:highlight w:val="none"/>
        </w:rPr>
      </w:pPr>
      <w:bookmarkStart w:id="62" w:name="_Toc111709530"/>
      <w:r>
        <w:rPr>
          <w:rFonts w:hint="eastAsia" w:hAnsi="宋体"/>
          <w:color w:val="auto"/>
          <w:highlight w:val="none"/>
        </w:rPr>
        <w:t>9.1</w:t>
      </w:r>
      <w:r>
        <w:rPr>
          <w:rFonts w:hAnsi="宋体"/>
          <w:color w:val="auto"/>
          <w:highlight w:val="none"/>
        </w:rPr>
        <w:t>一般规定</w:t>
      </w:r>
      <w:bookmarkEnd w:id="62"/>
    </w:p>
    <w:p>
      <w:pPr>
        <w:widowControl w:val="0"/>
        <w:spacing w:after="0" w:line="360" w:lineRule="auto"/>
        <w:jc w:val="both"/>
        <w:outlineLvl w:val="2"/>
        <w:rPr>
          <w:rFonts w:ascii="Times New Roman" w:hAnsi="宋体" w:eastAsia="宋体" w:cs="Times New Roman"/>
          <w:color w:val="auto"/>
          <w:sz w:val="24"/>
          <w:szCs w:val="24"/>
          <w:highlight w:val="none"/>
        </w:rPr>
      </w:pPr>
      <w:r>
        <w:rPr>
          <w:rFonts w:hint="eastAsia" w:ascii="Times New Roman" w:hAnsi="宋体" w:eastAsia="宋体" w:cs="Times New Roman"/>
          <w:b/>
          <w:color w:val="auto"/>
          <w:sz w:val="24"/>
          <w:szCs w:val="24"/>
          <w:highlight w:val="none"/>
        </w:rPr>
        <w:t xml:space="preserve">9.1.1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吊装施工前应编制专项施工方案，并对施工人员</w:t>
      </w:r>
      <w:r>
        <w:rPr>
          <w:rFonts w:hint="eastAsia" w:ascii="Times New Roman" w:hAnsi="宋体" w:eastAsia="宋体" w:cs="Times New Roman"/>
          <w:color w:val="auto"/>
          <w:sz w:val="24"/>
          <w:szCs w:val="24"/>
          <w:highlight w:val="none"/>
        </w:rPr>
        <w:t>进行</w:t>
      </w:r>
      <w:r>
        <w:rPr>
          <w:rFonts w:ascii="Times New Roman" w:hAnsi="宋体" w:eastAsia="宋体" w:cs="Times New Roman"/>
          <w:color w:val="auto"/>
          <w:sz w:val="24"/>
          <w:szCs w:val="24"/>
          <w:highlight w:val="none"/>
        </w:rPr>
        <w:t>技术交底。</w:t>
      </w:r>
    </w:p>
    <w:p>
      <w:pPr>
        <w:widowControl w:val="0"/>
        <w:spacing w:after="0" w:line="360" w:lineRule="auto"/>
        <w:jc w:val="both"/>
        <w:outlineLvl w:val="2"/>
        <w:rPr>
          <w:rFonts w:ascii="Times New Roman" w:hAnsi="Times New Roman" w:eastAsia="宋体" w:cs="Times New Roman"/>
          <w:color w:val="auto"/>
          <w:sz w:val="24"/>
          <w:szCs w:val="24"/>
          <w:highlight w:val="none"/>
        </w:rPr>
      </w:pPr>
      <w:r>
        <w:rPr>
          <w:rFonts w:hint="eastAsia" w:ascii="Times New Roman" w:hAnsi="宋体" w:eastAsia="宋体" w:cs="Times New Roman"/>
          <w:b/>
          <w:color w:val="auto"/>
          <w:sz w:val="24"/>
          <w:szCs w:val="24"/>
          <w:highlight w:val="none"/>
        </w:rPr>
        <w:t>9.1.2</w:t>
      </w:r>
      <w:r>
        <w:rPr>
          <w:rFonts w:ascii="Times New Roman" w:hAnsi="宋体" w:eastAsia="宋体" w:cs="Times New Roman"/>
          <w:b/>
          <w:color w:val="auto"/>
          <w:sz w:val="24"/>
          <w:szCs w:val="24"/>
          <w:highlight w:val="none"/>
        </w:rPr>
        <w:t xml:space="preserve"> </w:t>
      </w:r>
      <w:r>
        <w:rPr>
          <w:rFonts w:hint="eastAsia" w:ascii="Times New Roman" w:hAnsi="宋体"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入场应及时按表8.3.4、表8.3.5进行验收。</w:t>
      </w:r>
    </w:p>
    <w:p>
      <w:pPr>
        <w:widowControl w:val="0"/>
        <w:spacing w:after="0" w:line="360" w:lineRule="auto"/>
        <w:outlineLvl w:val="2"/>
        <w:rPr>
          <w:rFonts w:ascii="Times New Roman" w:hAnsi="Times New Roman" w:eastAsia="宋体" w:cs="Times New Roman"/>
          <w:color w:val="auto"/>
          <w:sz w:val="24"/>
          <w:szCs w:val="24"/>
          <w:highlight w:val="none"/>
        </w:rPr>
      </w:pPr>
      <w:r>
        <w:rPr>
          <w:rFonts w:hint="eastAsia" w:ascii="Times New Roman" w:hAnsi="宋体" w:eastAsia="宋体" w:cs="Times New Roman"/>
          <w:b/>
          <w:color w:val="auto"/>
          <w:sz w:val="24"/>
          <w:szCs w:val="24"/>
          <w:highlight w:val="none"/>
        </w:rPr>
        <w:t>9.1.3</w:t>
      </w:r>
      <w:r>
        <w:rPr>
          <w:rFonts w:hint="eastAsia" w:ascii="Times New Roman" w:hAnsi="宋体"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施工现场的运输道路和存放场地应平整、坚实，应有排水设施；</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运送到施工现场后需要存放时，应按规格、所用部位、吊装顺序分别存放，并采取可靠的稳定措施。存放场地</w:t>
      </w:r>
      <w:r>
        <w:rPr>
          <w:rFonts w:hint="eastAsia" w:ascii="Times New Roman" w:hAnsi="宋体" w:eastAsia="宋体" w:cs="Times New Roman"/>
          <w:color w:val="auto"/>
          <w:sz w:val="24"/>
          <w:szCs w:val="24"/>
          <w:highlight w:val="none"/>
        </w:rPr>
        <w:t>宜</w:t>
      </w:r>
      <w:r>
        <w:rPr>
          <w:rFonts w:ascii="Times New Roman" w:hAnsi="宋体" w:eastAsia="宋体" w:cs="Times New Roman"/>
          <w:color w:val="auto"/>
          <w:sz w:val="24"/>
          <w:szCs w:val="24"/>
          <w:highlight w:val="none"/>
        </w:rPr>
        <w:t>设置在吊装设备的有效起重范围内。</w:t>
      </w:r>
    </w:p>
    <w:p>
      <w:pPr>
        <w:widowControl w:val="0"/>
        <w:spacing w:after="0" w:line="360" w:lineRule="auto"/>
        <w:jc w:val="both"/>
        <w:outlineLvl w:val="2"/>
        <w:rPr>
          <w:rFonts w:ascii="Times New Roman" w:hAnsi="Times New Roman" w:eastAsia="宋体" w:cs="Times New Roman"/>
          <w:color w:val="auto"/>
          <w:sz w:val="24"/>
          <w:szCs w:val="24"/>
          <w:highlight w:val="none"/>
        </w:rPr>
      </w:pPr>
      <w:r>
        <w:rPr>
          <w:rFonts w:hint="eastAsia" w:ascii="Times New Roman" w:hAnsi="宋体" w:eastAsia="宋体" w:cs="Times New Roman"/>
          <w:b/>
          <w:color w:val="auto"/>
          <w:sz w:val="24"/>
          <w:szCs w:val="24"/>
          <w:highlight w:val="none"/>
        </w:rPr>
        <w:t>9.1.4</w:t>
      </w:r>
      <w:r>
        <w:rPr>
          <w:rFonts w:hint="eastAsia" w:ascii="Times New Roman" w:hAnsi="宋体"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卸放、吊装工作范围内不得有障碍物，不应影响运输道路的正常使用。</w:t>
      </w:r>
    </w:p>
    <w:p>
      <w:pPr>
        <w:widowControl w:val="0"/>
        <w:spacing w:after="0" w:line="360" w:lineRule="auto"/>
        <w:jc w:val="both"/>
        <w:outlineLvl w:val="2"/>
        <w:rPr>
          <w:rFonts w:ascii="Times New Roman" w:hAnsi="宋体" w:eastAsia="宋体" w:cs="Times New Roman"/>
          <w:color w:val="auto"/>
          <w:sz w:val="24"/>
          <w:szCs w:val="24"/>
          <w:highlight w:val="none"/>
        </w:rPr>
      </w:pPr>
      <w:r>
        <w:rPr>
          <w:rFonts w:hint="eastAsia" w:ascii="Times New Roman" w:hAnsi="宋体" w:eastAsia="宋体" w:cs="Times New Roman"/>
          <w:b/>
          <w:color w:val="auto"/>
          <w:sz w:val="24"/>
          <w:szCs w:val="24"/>
          <w:highlight w:val="none"/>
        </w:rPr>
        <w:t>9.1.5</w:t>
      </w:r>
      <w:r>
        <w:rPr>
          <w:rFonts w:hint="eastAsia" w:ascii="Times New Roman" w:hAnsi="宋体"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安装过程中，应避免在</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上集中堆放施工材料，施工材料自重及施工荷载不应超过</w:t>
      </w:r>
      <w:r>
        <w:rPr>
          <w:rFonts w:hint="eastAsia" w:ascii="Times New Roman" w:hAnsi="宋体" w:eastAsia="宋体" w:cs="Times New Roman"/>
          <w:color w:val="auto"/>
          <w:sz w:val="24"/>
          <w:szCs w:val="24"/>
          <w:highlight w:val="none"/>
        </w:rPr>
        <w:t>施工荷载</w:t>
      </w:r>
      <w:r>
        <w:rPr>
          <w:rFonts w:ascii="Times New Roman" w:hAnsi="宋体" w:eastAsia="宋体" w:cs="Times New Roman"/>
          <w:color w:val="auto"/>
          <w:sz w:val="24"/>
          <w:szCs w:val="24"/>
          <w:highlight w:val="none"/>
        </w:rPr>
        <w:t>允许值。</w:t>
      </w:r>
    </w:p>
    <w:p>
      <w:pPr>
        <w:pStyle w:val="25"/>
        <w:spacing w:beforeLines="0" w:after="312" w:line="360" w:lineRule="auto"/>
        <w:rPr>
          <w:color w:val="auto"/>
          <w:highlight w:val="none"/>
        </w:rPr>
      </w:pPr>
      <w:bookmarkStart w:id="63" w:name="_Toc111709531"/>
      <w:r>
        <w:rPr>
          <w:color w:val="auto"/>
          <w:highlight w:val="none"/>
        </w:rPr>
        <w:t>9.2</w:t>
      </w:r>
      <w:r>
        <w:rPr>
          <w:rFonts w:hAnsi="宋体"/>
          <w:color w:val="auto"/>
          <w:highlight w:val="none"/>
        </w:rPr>
        <w:t>构件安装</w:t>
      </w:r>
      <w:bookmarkEnd w:id="63"/>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9.2.1</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szCs w:val="24"/>
          <w:highlight w:val="none"/>
        </w:rPr>
        <w:t>的安装应进行支撑设计</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就位前应设置好支撑</w:t>
      </w:r>
      <w:r>
        <w:rPr>
          <w:rFonts w:hint="eastAsia" w:ascii="Times New Roman" w:hAnsi="宋体" w:eastAsia="宋体" w:cs="Times New Roman"/>
          <w:color w:val="auto"/>
          <w:sz w:val="24"/>
          <w:szCs w:val="24"/>
          <w:highlight w:val="none"/>
        </w:rPr>
        <w:t>。</w:t>
      </w:r>
    </w:p>
    <w:p>
      <w:pPr>
        <w:spacing w:after="0" w:line="360" w:lineRule="auto"/>
        <w:ind w:firstLine="482" w:firstLineChars="200"/>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板端支撑：对于</w:t>
      </w:r>
      <w:r>
        <w:rPr>
          <w:rFonts w:ascii="Times New Roman" w:hAnsi="Times New Roman" w:eastAsia="宋体" w:cs="Times New Roman"/>
          <w:color w:val="auto"/>
          <w:sz w:val="24"/>
          <w:szCs w:val="24"/>
          <w:highlight w:val="none"/>
        </w:rPr>
        <w:t>混凝土</w:t>
      </w:r>
      <w:r>
        <w:rPr>
          <w:rFonts w:hint="eastAsia" w:ascii="Times New Roman" w:hAnsi="Times New Roman" w:eastAsia="宋体" w:cs="Times New Roman"/>
          <w:color w:val="auto"/>
          <w:sz w:val="24"/>
          <w:szCs w:val="24"/>
          <w:highlight w:val="none"/>
        </w:rPr>
        <w:t>梁</w:t>
      </w:r>
      <w:r>
        <w:rPr>
          <w:rFonts w:ascii="Times New Roman" w:hAnsi="Times New Roman" w:eastAsia="宋体" w:cs="Times New Roman"/>
          <w:color w:val="auto"/>
          <w:sz w:val="24"/>
          <w:szCs w:val="24"/>
          <w:highlight w:val="none"/>
        </w:rPr>
        <w:t>和剪力墙</w:t>
      </w:r>
      <w:r>
        <w:rPr>
          <w:rFonts w:hint="eastAsia" w:ascii="Times New Roman" w:hAnsi="Times New Roman" w:eastAsia="宋体" w:cs="Times New Roman"/>
          <w:color w:val="auto"/>
          <w:sz w:val="24"/>
          <w:szCs w:val="24"/>
          <w:highlight w:val="none"/>
        </w:rPr>
        <w:t>，</w:t>
      </w:r>
      <w:r>
        <w:rPr>
          <w:rFonts w:hint="eastAsia" w:ascii="Times New Roman" w:hAnsi="宋体" w:eastAsia="宋体" w:cs="Times New Roman"/>
          <w:color w:val="auto"/>
          <w:sz w:val="24"/>
          <w:szCs w:val="24"/>
          <w:highlight w:val="none"/>
        </w:rPr>
        <w:t>在预制底板</w:t>
      </w:r>
      <w:r>
        <w:rPr>
          <w:rFonts w:ascii="Times New Roman" w:hAnsi="宋体" w:eastAsia="宋体" w:cs="Times New Roman"/>
          <w:color w:val="auto"/>
          <w:sz w:val="24"/>
          <w:szCs w:val="24"/>
          <w:highlight w:val="none"/>
        </w:rPr>
        <w:t>两端距离支座</w:t>
      </w:r>
      <w:r>
        <w:rPr>
          <w:rFonts w:hint="eastAsia" w:ascii="Times New Roman" w:hAnsi="Times New Roman" w:eastAsia="宋体" w:cs="Times New Roman"/>
          <w:color w:val="auto"/>
          <w:sz w:val="24"/>
          <w:szCs w:val="24"/>
          <w:highlight w:val="none"/>
        </w:rPr>
        <w:t>5</w:t>
      </w:r>
      <w:r>
        <w:rPr>
          <w:rFonts w:ascii="Times New Roman" w:hAnsi="Times New Roman" w:eastAsia="宋体" w:cs="Times New Roman"/>
          <w:color w:val="auto"/>
          <w:sz w:val="24"/>
          <w:szCs w:val="24"/>
          <w:highlight w:val="none"/>
        </w:rPr>
        <w:t>00mm</w:t>
      </w:r>
      <w:r>
        <w:rPr>
          <w:rFonts w:hint="eastAsia" w:ascii="Times New Roman" w:hAnsi="Times New Roman" w:eastAsia="宋体" w:cs="Times New Roman"/>
          <w:color w:val="auto"/>
          <w:sz w:val="24"/>
          <w:szCs w:val="24"/>
          <w:highlight w:val="none"/>
        </w:rPr>
        <w:t>范围各内</w:t>
      </w:r>
      <w:r>
        <w:rPr>
          <w:rFonts w:ascii="Times New Roman" w:hAnsi="宋体" w:eastAsia="宋体" w:cs="Times New Roman"/>
          <w:color w:val="auto"/>
          <w:sz w:val="24"/>
          <w:szCs w:val="24"/>
          <w:highlight w:val="none"/>
        </w:rPr>
        <w:t>设置一道</w:t>
      </w:r>
      <w:r>
        <w:rPr>
          <w:rFonts w:hint="eastAsia" w:ascii="Times New Roman" w:hAnsi="宋体" w:eastAsia="宋体" w:cs="Times New Roman"/>
          <w:color w:val="auto"/>
          <w:sz w:val="24"/>
          <w:szCs w:val="24"/>
          <w:highlight w:val="none"/>
        </w:rPr>
        <w:t>，如图9.2.1、9.2.2所示；</w:t>
      </w:r>
      <w:r>
        <w:rPr>
          <w:rFonts w:ascii="Times New Roman" w:hAnsi="宋体" w:eastAsia="宋体" w:cs="Times New Roman"/>
          <w:color w:val="auto"/>
          <w:sz w:val="24"/>
          <w:szCs w:val="24"/>
          <w:highlight w:val="none"/>
        </w:rPr>
        <w:t>对于</w:t>
      </w:r>
      <w:r>
        <w:rPr>
          <w:rFonts w:hint="eastAsia" w:ascii="Times New Roman" w:hAnsi="宋体" w:eastAsia="宋体" w:cs="Times New Roman"/>
          <w:color w:val="auto"/>
          <w:sz w:val="24"/>
          <w:szCs w:val="24"/>
          <w:highlight w:val="none"/>
        </w:rPr>
        <w:t>与钢梁、承重砌体墙可不设支撑</w:t>
      </w:r>
      <w:r>
        <w:rPr>
          <w:rFonts w:ascii="Times New Roman" w:hAnsi="宋体" w:eastAsia="宋体" w:cs="Times New Roman"/>
          <w:color w:val="auto"/>
          <w:sz w:val="24"/>
          <w:szCs w:val="24"/>
          <w:highlight w:val="none"/>
        </w:rPr>
        <w:t>，</w:t>
      </w:r>
      <w:r>
        <w:rPr>
          <w:rFonts w:hint="eastAsia" w:ascii="Times New Roman" w:hAnsi="宋体" w:eastAsia="宋体" w:cs="Times New Roman"/>
          <w:color w:val="auto"/>
          <w:sz w:val="24"/>
          <w:szCs w:val="24"/>
          <w:highlight w:val="none"/>
        </w:rPr>
        <w:t>如图9.2.3、9.2.4所示。</w:t>
      </w:r>
    </w:p>
    <w:p>
      <w:pPr>
        <w:spacing w:after="0" w:line="360" w:lineRule="auto"/>
        <w:jc w:val="center"/>
        <w:rPr>
          <w:rFonts w:ascii="Times New Roman" w:hAnsi="宋体" w:eastAsia="宋体" w:cs="Times New Roman"/>
          <w:b/>
          <w:color w:val="auto"/>
          <w:sz w:val="24"/>
          <w:szCs w:val="24"/>
          <w:highlight w:val="none"/>
        </w:rPr>
      </w:pPr>
      <w:r>
        <w:rPr>
          <w:color w:val="auto"/>
          <w:highlight w:val="none"/>
        </w:rPr>
        <w:drawing>
          <wp:inline distT="0" distB="0" distL="0" distR="0">
            <wp:extent cx="3168650" cy="20612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2"/>
                    <a:stretch>
                      <a:fillRect/>
                    </a:stretch>
                  </pic:blipFill>
                  <pic:spPr>
                    <a:xfrm>
                      <a:off x="0" y="0"/>
                      <a:ext cx="3193167" cy="2077060"/>
                    </a:xfrm>
                    <a:prstGeom prst="rect">
                      <a:avLst/>
                    </a:prstGeom>
                  </pic:spPr>
                </pic:pic>
              </a:graphicData>
            </a:graphic>
          </wp:inline>
        </w:drawing>
      </w:r>
    </w:p>
    <w:p>
      <w:pPr>
        <w:widowControl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图9.2.1混凝土梁支座处支撑布置图</w:t>
      </w:r>
    </w:p>
    <w:p>
      <w:pPr>
        <w:widowControl w:val="0"/>
        <w:jc w:val="center"/>
        <w:rPr>
          <w:rFonts w:ascii="Times New Roman" w:hAnsi="Times New Roman" w:cs="Times New Roman" w:eastAsiaTheme="minorEastAsia"/>
          <w:color w:val="auto"/>
          <w:spacing w:val="4"/>
          <w:sz w:val="18"/>
          <w:szCs w:val="18"/>
          <w:highlight w:val="none"/>
        </w:rPr>
      </w:pPr>
      <w:r>
        <w:rPr>
          <w:rFonts w:hint="eastAsia" w:ascii="Times New Roman" w:hAnsi="Times New Roman" w:cs="Times New Roman" w:eastAsiaTheme="minorEastAsia"/>
          <w:color w:val="auto"/>
          <w:spacing w:val="4"/>
          <w:sz w:val="18"/>
          <w:szCs w:val="18"/>
          <w:highlight w:val="none"/>
        </w:rPr>
        <w:t>1</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梁 ；2</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混凝土底板 ； 3</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支撑 ； 4</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上部钢筋 ； 5</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横向钢筋；</w:t>
      </w:r>
    </w:p>
    <w:p>
      <w:pPr>
        <w:widowControl w:val="0"/>
        <w:jc w:val="center"/>
        <w:rPr>
          <w:rFonts w:ascii="Times New Roman" w:hAnsi="Times New Roman" w:eastAsia="宋体" w:cs="Times New Roman"/>
          <w:color w:val="auto"/>
          <w:sz w:val="24"/>
          <w:szCs w:val="24"/>
          <w:highlight w:val="none"/>
        </w:rPr>
      </w:pPr>
      <w:r>
        <w:rPr>
          <w:color w:val="auto"/>
          <w:highlight w:val="none"/>
        </w:rPr>
        <w:drawing>
          <wp:inline distT="0" distB="0" distL="0" distR="0">
            <wp:extent cx="3034665" cy="211328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3"/>
                    <a:stretch>
                      <a:fillRect/>
                    </a:stretch>
                  </pic:blipFill>
                  <pic:spPr>
                    <a:xfrm>
                      <a:off x="0" y="0"/>
                      <a:ext cx="3043235" cy="2119397"/>
                    </a:xfrm>
                    <a:prstGeom prst="rect">
                      <a:avLst/>
                    </a:prstGeom>
                  </pic:spPr>
                </pic:pic>
              </a:graphicData>
            </a:graphic>
          </wp:inline>
        </w:drawing>
      </w:r>
      <w:r>
        <w:rPr>
          <w:rFonts w:hint="eastAsia" w:ascii="Times New Roman" w:hAnsi="Times New Roman" w:eastAsia="宋体" w:cs="Times New Roman"/>
          <w:color w:val="auto"/>
          <w:sz w:val="24"/>
          <w:szCs w:val="24"/>
          <w:highlight w:val="none"/>
        </w:rPr>
        <w:t xml:space="preserve"> </w:t>
      </w:r>
    </w:p>
    <w:p>
      <w:pPr>
        <w:widowControl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图9.2.2 剪力墙支座处支撑布置图</w:t>
      </w:r>
    </w:p>
    <w:p>
      <w:pPr>
        <w:spacing w:after="0" w:line="360" w:lineRule="auto"/>
        <w:jc w:val="center"/>
        <w:rPr>
          <w:rFonts w:ascii="Times New Roman" w:hAnsi="Times New Roman" w:eastAsia="宋体" w:cs="Times New Roman"/>
          <w:color w:val="auto"/>
          <w:sz w:val="24"/>
          <w:szCs w:val="24"/>
          <w:highlight w:val="none"/>
        </w:rPr>
      </w:pPr>
      <w:r>
        <w:rPr>
          <w:rFonts w:hint="eastAsia" w:ascii="Times New Roman" w:hAnsi="Times New Roman" w:cs="Times New Roman" w:eastAsiaTheme="minorEastAsia"/>
          <w:color w:val="auto"/>
          <w:spacing w:val="4"/>
          <w:sz w:val="18"/>
          <w:szCs w:val="18"/>
          <w:highlight w:val="none"/>
        </w:rPr>
        <w:t>1</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混凝土剪力墙 ；2</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混凝土底板 ； 3</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支撑 ； 4</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上部钢筋； 5</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横向钢筋；</w:t>
      </w:r>
    </w:p>
    <w:p>
      <w:pPr>
        <w:spacing w:after="0" w:line="360" w:lineRule="auto"/>
        <w:jc w:val="center"/>
        <w:rPr>
          <w:rFonts w:ascii="Times New Roman" w:hAnsi="Times New Roman" w:eastAsia="宋体" w:cs="Times New Roman"/>
          <w:color w:val="auto"/>
          <w:sz w:val="24"/>
          <w:szCs w:val="24"/>
          <w:highlight w:val="none"/>
        </w:rPr>
      </w:pPr>
      <w:r>
        <w:rPr>
          <w:color w:val="auto"/>
          <w:highlight w:val="none"/>
        </w:rPr>
        <w:drawing>
          <wp:inline distT="0" distB="0" distL="0" distR="0">
            <wp:extent cx="2491740" cy="195072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4"/>
                    <a:stretch>
                      <a:fillRect/>
                    </a:stretch>
                  </pic:blipFill>
                  <pic:spPr>
                    <a:xfrm>
                      <a:off x="0" y="0"/>
                      <a:ext cx="2535093" cy="1984861"/>
                    </a:xfrm>
                    <a:prstGeom prst="rect">
                      <a:avLst/>
                    </a:prstGeom>
                  </pic:spPr>
                </pic:pic>
              </a:graphicData>
            </a:graphic>
          </wp:inline>
        </w:drawing>
      </w:r>
    </w:p>
    <w:p>
      <w:pPr>
        <w:spacing w:after="0"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图9.2.3预制底板与钢梁支座连接示意图</w:t>
      </w:r>
    </w:p>
    <w:p>
      <w:pPr>
        <w:spacing w:after="0" w:line="360" w:lineRule="auto"/>
        <w:jc w:val="center"/>
        <w:rPr>
          <w:rFonts w:ascii="Times New Roman" w:hAnsi="Times New Roman" w:eastAsia="宋体" w:cs="Times New Roman"/>
          <w:color w:val="auto"/>
          <w:sz w:val="24"/>
          <w:szCs w:val="24"/>
          <w:highlight w:val="none"/>
        </w:rPr>
      </w:pPr>
      <w:r>
        <w:rPr>
          <w:rFonts w:hint="eastAsia" w:ascii="Times New Roman" w:hAnsi="Times New Roman" w:cs="Times New Roman" w:eastAsiaTheme="minorEastAsia"/>
          <w:color w:val="auto"/>
          <w:spacing w:val="4"/>
          <w:sz w:val="18"/>
          <w:szCs w:val="18"/>
          <w:highlight w:val="none"/>
        </w:rPr>
        <w:t>1</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钢梁；2</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混凝土底板 ； 3</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上部钢筋；</w:t>
      </w:r>
    </w:p>
    <w:p>
      <w:pPr>
        <w:spacing w:after="0" w:line="360" w:lineRule="auto"/>
        <w:jc w:val="center"/>
        <w:rPr>
          <w:rFonts w:ascii="宋体" w:hAnsi="宋体" w:eastAsia="宋体"/>
          <w:color w:val="auto"/>
          <w:sz w:val="21"/>
          <w:szCs w:val="21"/>
          <w:highlight w:val="none"/>
        </w:rPr>
      </w:pPr>
    </w:p>
    <w:p>
      <w:pPr>
        <w:spacing w:after="0" w:line="360" w:lineRule="auto"/>
        <w:jc w:val="center"/>
        <w:rPr>
          <w:rFonts w:ascii="Times New Roman" w:hAnsi="宋体" w:eastAsia="宋体" w:cs="Times New Roman"/>
          <w:b/>
          <w:color w:val="auto"/>
          <w:sz w:val="21"/>
          <w:szCs w:val="21"/>
          <w:highlight w:val="none"/>
        </w:rPr>
      </w:pPr>
      <w:r>
        <w:rPr>
          <w:color w:val="auto"/>
          <w:highlight w:val="none"/>
        </w:rPr>
        <w:drawing>
          <wp:inline distT="0" distB="0" distL="0" distR="0">
            <wp:extent cx="2429510" cy="2095500"/>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5"/>
                    <a:stretch>
                      <a:fillRect/>
                    </a:stretch>
                  </pic:blipFill>
                  <pic:spPr>
                    <a:xfrm>
                      <a:off x="0" y="0"/>
                      <a:ext cx="2466520" cy="2127374"/>
                    </a:xfrm>
                    <a:prstGeom prst="rect">
                      <a:avLst/>
                    </a:prstGeom>
                  </pic:spPr>
                </pic:pic>
              </a:graphicData>
            </a:graphic>
          </wp:inline>
        </w:drawing>
      </w:r>
    </w:p>
    <w:p>
      <w:pPr>
        <w:spacing w:after="0"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图9.2.4 预制底板与承重砌体墙支座连接示意图</w:t>
      </w:r>
    </w:p>
    <w:p>
      <w:pPr>
        <w:spacing w:after="0" w:line="360" w:lineRule="auto"/>
        <w:jc w:val="center"/>
        <w:rPr>
          <w:rFonts w:ascii="Times New Roman" w:hAnsi="Times New Roman" w:cs="Times New Roman" w:eastAsiaTheme="minorEastAsia"/>
          <w:color w:val="auto"/>
          <w:spacing w:val="4"/>
          <w:sz w:val="18"/>
          <w:szCs w:val="18"/>
          <w:highlight w:val="none"/>
        </w:rPr>
      </w:pPr>
      <w:r>
        <w:rPr>
          <w:rFonts w:hint="eastAsia" w:ascii="Times New Roman" w:hAnsi="Times New Roman" w:cs="Times New Roman" w:eastAsiaTheme="minorEastAsia"/>
          <w:color w:val="auto"/>
          <w:spacing w:val="4"/>
          <w:sz w:val="18"/>
          <w:szCs w:val="18"/>
          <w:highlight w:val="none"/>
        </w:rPr>
        <w:t>1</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承重砌体墙； 2</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圈梁； 3</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混凝土底板；4</w:t>
      </w:r>
      <w:r>
        <w:rPr>
          <w:rFonts w:asciiTheme="minorEastAsia" w:hAnsiTheme="minorEastAsia" w:eastAsiaTheme="minorEastAsia"/>
          <w:color w:val="auto"/>
          <w:sz w:val="18"/>
          <w:highlight w:val="none"/>
        </w:rPr>
        <w:t>—</w:t>
      </w:r>
      <w:r>
        <w:rPr>
          <w:rFonts w:hint="eastAsia" w:ascii="Times New Roman" w:hAnsi="Times New Roman" w:cs="Times New Roman" w:eastAsiaTheme="minorEastAsia"/>
          <w:color w:val="auto"/>
          <w:spacing w:val="4"/>
          <w:sz w:val="18"/>
          <w:szCs w:val="18"/>
          <w:highlight w:val="none"/>
        </w:rPr>
        <w:t>上部钢筋；</w:t>
      </w:r>
    </w:p>
    <w:p>
      <w:pPr>
        <w:spacing w:after="0" w:line="360" w:lineRule="auto"/>
        <w:jc w:val="both"/>
        <w:rPr>
          <w:rFonts w:ascii="Times New Roman" w:hAnsi="Times New Roman" w:cs="Times New Roman" w:eastAsiaTheme="minorEastAsia"/>
          <w:color w:val="auto"/>
          <w:spacing w:val="4"/>
          <w:sz w:val="18"/>
          <w:szCs w:val="18"/>
          <w:highlight w:val="none"/>
        </w:rPr>
      </w:pPr>
    </w:p>
    <w:p>
      <w:pPr>
        <w:spacing w:after="0" w:line="360" w:lineRule="auto"/>
        <w:ind w:firstLine="482" w:firstLineChars="200"/>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跨内支撑布置</w:t>
      </w:r>
      <w:r>
        <w:rPr>
          <w:rFonts w:hint="eastAsia" w:ascii="Times New Roman" w:hAnsi="宋体" w:eastAsia="宋体" w:cs="Times New Roman"/>
          <w:color w:val="auto"/>
          <w:sz w:val="24"/>
          <w:szCs w:val="24"/>
          <w:highlight w:val="none"/>
        </w:rPr>
        <w:t>应按计算确定。</w:t>
      </w:r>
    </w:p>
    <w:p>
      <w:pPr>
        <w:spacing w:after="0" w:line="360" w:lineRule="auto"/>
        <w:ind w:firstLine="482"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3</w:t>
      </w:r>
      <w:r>
        <w:rPr>
          <w:rFonts w:hint="eastAsia" w:ascii="Times New Roman" w:hAnsi="Times New Roman" w:eastAsia="宋体" w:cs="Times New Roman"/>
          <w:color w:val="auto"/>
          <w:sz w:val="24"/>
          <w:szCs w:val="24"/>
          <w:highlight w:val="none"/>
        </w:rPr>
        <w:t xml:space="preserve"> 板端外挑不大于0.5m。</w:t>
      </w:r>
    </w:p>
    <w:p>
      <w:pPr>
        <w:spacing w:after="0" w:line="360" w:lineRule="auto"/>
        <w:ind w:firstLine="482"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4</w:t>
      </w:r>
      <w:r>
        <w:rPr>
          <w:rFonts w:hint="eastAsia" w:ascii="Times New Roman" w:hAnsi="Times New Roman" w:eastAsia="宋体" w:cs="Times New Roman"/>
          <w:color w:val="auto"/>
          <w:sz w:val="24"/>
          <w:szCs w:val="24"/>
          <w:highlight w:val="none"/>
        </w:rPr>
        <w:t xml:space="preserve"> 全部支撑需要进行承载力、稳定性计算。</w:t>
      </w:r>
    </w:p>
    <w:p>
      <w:pPr>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5</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支撑顶面应可靠抄平，以保证底板底面平整</w:t>
      </w:r>
      <w:r>
        <w:rPr>
          <w:rFonts w:hint="eastAsia" w:ascii="Times New Roman" w:hAnsi="宋体" w:eastAsia="宋体" w:cs="Times New Roman"/>
          <w:color w:val="auto"/>
          <w:sz w:val="24"/>
          <w:szCs w:val="24"/>
          <w:highlight w:val="none"/>
        </w:rPr>
        <w:t>；支撑横梁要有足够的刚度并保证平直；应优先选用工字木、工字铝、工字钢、铝矩形管、钢矩形管，严禁使用圆钢管。</w:t>
      </w:r>
    </w:p>
    <w:p>
      <w:pPr>
        <w:spacing w:after="0" w:line="360" w:lineRule="auto"/>
        <w:ind w:firstLine="482" w:firstLineChars="200"/>
        <w:rPr>
          <w:rFonts w:ascii="Times New Roman" w:hAnsi="Times New Roman" w:eastAsia="宋体" w:cs="Times New Roman"/>
          <w:color w:val="auto"/>
          <w:sz w:val="24"/>
          <w:szCs w:val="24"/>
          <w:highlight w:val="none"/>
        </w:rPr>
      </w:pPr>
      <w:r>
        <w:rPr>
          <w:rFonts w:hint="eastAsia" w:ascii="Times New Roman" w:hAnsi="宋体" w:eastAsia="宋体" w:cs="Times New Roman"/>
          <w:b/>
          <w:color w:val="auto"/>
          <w:sz w:val="24"/>
          <w:szCs w:val="24"/>
          <w:highlight w:val="none"/>
        </w:rPr>
        <w:t>6</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支撑拆除时，后浇混凝土同条件养护的混凝土立方体抗压强度应达到设计值的</w:t>
      </w:r>
      <w:r>
        <w:rPr>
          <w:rFonts w:ascii="Times New Roman" w:hAnsi="Times New Roman" w:eastAsia="宋体" w:cs="Times New Roman"/>
          <w:color w:val="auto"/>
          <w:sz w:val="24"/>
          <w:szCs w:val="24"/>
          <w:highlight w:val="none"/>
        </w:rPr>
        <w:t>100%</w:t>
      </w:r>
      <w:r>
        <w:rPr>
          <w:rFonts w:ascii="Times New Roman" w:hAnsi="宋体" w:eastAsia="宋体" w:cs="Times New Roman"/>
          <w:color w:val="auto"/>
          <w:sz w:val="24"/>
          <w:szCs w:val="24"/>
          <w:highlight w:val="none"/>
        </w:rPr>
        <w:t>。</w:t>
      </w:r>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9.2.2</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安装的临时支撑应根据设计方案设置，并应符合下列规定：</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 xml:space="preserve">1 </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宜采用工具式支架和定型模板；</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2</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首层支架的地基应平整坚实，宜采取硬化措施；支撑架体立杆下宜设置垫块；竖向连续支撑层数不宜少于</w:t>
      </w:r>
      <w:r>
        <w:rPr>
          <w:rFonts w:ascii="Times New Roman" w:hAnsi="Times New Roman" w:eastAsia="宋体" w:cs="Times New Roman"/>
          <w:color w:val="auto"/>
          <w:sz w:val="24"/>
          <w:highlight w:val="none"/>
        </w:rPr>
        <w:t>2</w:t>
      </w:r>
      <w:r>
        <w:rPr>
          <w:rFonts w:ascii="Times New Roman" w:hAnsi="宋体" w:eastAsia="宋体" w:cs="Times New Roman"/>
          <w:color w:val="auto"/>
          <w:sz w:val="24"/>
          <w:highlight w:val="none"/>
        </w:rPr>
        <w:t>层且上下层支撑</w:t>
      </w:r>
      <w:r>
        <w:rPr>
          <w:rFonts w:hint="eastAsia" w:ascii="Times New Roman" w:hAnsi="宋体" w:eastAsia="宋体" w:cs="Times New Roman"/>
          <w:color w:val="auto"/>
          <w:sz w:val="24"/>
          <w:highlight w:val="none"/>
        </w:rPr>
        <w:t>应</w:t>
      </w:r>
      <w:r>
        <w:rPr>
          <w:rFonts w:ascii="Times New Roman" w:hAnsi="宋体" w:eastAsia="宋体" w:cs="Times New Roman"/>
          <w:color w:val="auto"/>
          <w:sz w:val="24"/>
          <w:highlight w:val="none"/>
        </w:rPr>
        <w:t>对准</w:t>
      </w:r>
      <w:r>
        <w:rPr>
          <w:rFonts w:hint="eastAsia" w:ascii="Times New Roman" w:hAnsi="宋体" w:eastAsia="宋体" w:cs="Times New Roman"/>
          <w:color w:val="auto"/>
          <w:sz w:val="24"/>
          <w:highlight w:val="none"/>
        </w:rPr>
        <w:t>在 一</w:t>
      </w:r>
      <w:r>
        <w:rPr>
          <w:rFonts w:ascii="Times New Roman" w:hAnsi="宋体" w:eastAsia="宋体" w:cs="Times New Roman"/>
          <w:color w:val="auto"/>
          <w:sz w:val="24"/>
          <w:highlight w:val="none"/>
        </w:rPr>
        <w:t>条垂直线上；</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 xml:space="preserve">3 </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highlight w:val="none"/>
        </w:rPr>
        <w:t>边缘，应增设竖向支撑杆件；对泵管、布料机部位的</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highlight w:val="none"/>
        </w:rPr>
        <w:t>底部应进行支撑加固；</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4</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支架的高宽比不宜大于</w:t>
      </w:r>
      <w:r>
        <w:rPr>
          <w:rFonts w:ascii="Times New Roman" w:hAnsi="Times New Roman" w:eastAsia="宋体" w:cs="Times New Roman"/>
          <w:color w:val="auto"/>
          <w:sz w:val="24"/>
          <w:highlight w:val="none"/>
        </w:rPr>
        <w:t>3</w:t>
      </w:r>
      <w:r>
        <w:rPr>
          <w:rFonts w:ascii="Times New Roman" w:hAnsi="宋体" w:eastAsia="宋体" w:cs="Times New Roman"/>
          <w:color w:val="auto"/>
          <w:sz w:val="24"/>
          <w:highlight w:val="none"/>
        </w:rPr>
        <w:t>；当高宽比大于</w:t>
      </w:r>
      <w:r>
        <w:rPr>
          <w:rFonts w:ascii="Times New Roman" w:hAnsi="Times New Roman" w:eastAsia="宋体" w:cs="Times New Roman"/>
          <w:color w:val="auto"/>
          <w:sz w:val="24"/>
          <w:highlight w:val="none"/>
        </w:rPr>
        <w:t>3</w:t>
      </w:r>
      <w:r>
        <w:rPr>
          <w:rFonts w:ascii="Times New Roman" w:hAnsi="宋体" w:eastAsia="宋体" w:cs="Times New Roman"/>
          <w:color w:val="auto"/>
          <w:sz w:val="24"/>
          <w:highlight w:val="none"/>
        </w:rPr>
        <w:t>时，应加强整体稳固性措施；支架的轴向压缩变形或侧向挠度，不应大于计算高度或计算跨度的</w:t>
      </w:r>
      <w:r>
        <w:rPr>
          <w:rFonts w:ascii="Times New Roman" w:hAnsi="Times New Roman" w:eastAsia="宋体" w:cs="Times New Roman"/>
          <w:color w:val="auto"/>
          <w:sz w:val="24"/>
          <w:highlight w:val="none"/>
        </w:rPr>
        <w:t>1/1000</w:t>
      </w:r>
      <w:r>
        <w:rPr>
          <w:rFonts w:ascii="Times New Roman" w:hAnsi="宋体" w:eastAsia="宋体" w:cs="Times New Roman"/>
          <w:color w:val="auto"/>
          <w:sz w:val="24"/>
          <w:highlight w:val="none"/>
        </w:rPr>
        <w:t>；</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5</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临时支撑架体搭设完成后应对其标高</w:t>
      </w:r>
      <w:r>
        <w:rPr>
          <w:rFonts w:hint="eastAsia" w:ascii="Times New Roman" w:hAnsi="宋体" w:eastAsia="宋体" w:cs="Times New Roman"/>
          <w:color w:val="auto"/>
          <w:sz w:val="24"/>
          <w:highlight w:val="none"/>
        </w:rPr>
        <w:t>及垂直度</w:t>
      </w:r>
      <w:r>
        <w:rPr>
          <w:rFonts w:ascii="Times New Roman" w:hAnsi="宋体" w:eastAsia="宋体" w:cs="Times New Roman"/>
          <w:color w:val="auto"/>
          <w:sz w:val="24"/>
          <w:highlight w:val="none"/>
        </w:rPr>
        <w:t>进行校核；</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6</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临时支撑架体不得与外防护架相连接。</w:t>
      </w:r>
    </w:p>
    <w:p>
      <w:pPr>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9.2.3</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的搁置</w:t>
      </w:r>
      <w:r>
        <w:rPr>
          <w:rFonts w:hint="eastAsia" w:ascii="Times New Roman" w:hAnsi="宋体" w:eastAsia="宋体" w:cs="Times New Roman"/>
          <w:color w:val="auto"/>
          <w:sz w:val="24"/>
          <w:szCs w:val="24"/>
          <w:highlight w:val="none"/>
        </w:rPr>
        <w:t>长度</w:t>
      </w:r>
      <w:r>
        <w:rPr>
          <w:rFonts w:ascii="Times New Roman" w:hAnsi="宋体" w:eastAsia="宋体" w:cs="Times New Roman"/>
          <w:color w:val="auto"/>
          <w:sz w:val="24"/>
          <w:szCs w:val="24"/>
          <w:highlight w:val="none"/>
        </w:rPr>
        <w:t>应</w:t>
      </w:r>
      <w:r>
        <w:rPr>
          <w:rFonts w:hint="eastAsia" w:ascii="Times New Roman" w:hAnsi="宋体" w:eastAsia="宋体" w:cs="Times New Roman"/>
          <w:color w:val="auto"/>
          <w:sz w:val="24"/>
          <w:szCs w:val="24"/>
          <w:highlight w:val="none"/>
        </w:rPr>
        <w:t>符合7.4.1的</w:t>
      </w:r>
      <w:r>
        <w:rPr>
          <w:rFonts w:ascii="Times New Roman" w:hAnsi="宋体" w:eastAsia="宋体" w:cs="Times New Roman"/>
          <w:color w:val="auto"/>
          <w:sz w:val="24"/>
          <w:szCs w:val="24"/>
          <w:highlight w:val="none"/>
        </w:rPr>
        <w:t>设计</w:t>
      </w:r>
      <w:r>
        <w:rPr>
          <w:rFonts w:hint="eastAsia" w:ascii="Times New Roman" w:hAnsi="宋体" w:eastAsia="宋体" w:cs="Times New Roman"/>
          <w:color w:val="auto"/>
          <w:sz w:val="24"/>
          <w:szCs w:val="24"/>
          <w:highlight w:val="none"/>
        </w:rPr>
        <w:t>规定。</w:t>
      </w:r>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9.2.4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的吊装施工前应该进行</w:t>
      </w:r>
      <w:r>
        <w:rPr>
          <w:rFonts w:hint="eastAsia" w:ascii="Times New Roman" w:hAnsi="宋体" w:eastAsia="宋体" w:cs="Times New Roman"/>
          <w:color w:val="auto"/>
          <w:sz w:val="24"/>
          <w:szCs w:val="24"/>
          <w:highlight w:val="none"/>
        </w:rPr>
        <w:t>以下</w:t>
      </w:r>
      <w:r>
        <w:rPr>
          <w:rFonts w:ascii="Times New Roman" w:hAnsi="宋体" w:eastAsia="宋体" w:cs="Times New Roman"/>
          <w:color w:val="auto"/>
          <w:sz w:val="24"/>
          <w:szCs w:val="24"/>
          <w:highlight w:val="none"/>
        </w:rPr>
        <w:t>准备工作：</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应按国家现行有关标准的规定和设计方案的要求对吊具进行检查，同时应核实现场环境、天气、道路状况等，确认满足吊装施工要求</w:t>
      </w:r>
      <w:r>
        <w:rPr>
          <w:rFonts w:hint="eastAsia" w:ascii="Times New Roman" w:hAnsi="宋体" w:eastAsia="宋体" w:cs="Times New Roman"/>
          <w:color w:val="auto"/>
          <w:sz w:val="24"/>
          <w:szCs w:val="24"/>
          <w:highlight w:val="none"/>
        </w:rPr>
        <w:t>；</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 xml:space="preserve">2  </w:t>
      </w:r>
      <w:r>
        <w:rPr>
          <w:rFonts w:hint="eastAsia" w:ascii="Times New Roman" w:hAnsi="宋体" w:eastAsia="宋体" w:cs="Times New Roman"/>
          <w:color w:val="auto"/>
          <w:sz w:val="24"/>
          <w:szCs w:val="24"/>
          <w:highlight w:val="none"/>
        </w:rPr>
        <w:t>使用专用吊具，保证每个吊点受力均匀一致。</w:t>
      </w:r>
    </w:p>
    <w:p>
      <w:pPr>
        <w:tabs>
          <w:tab w:val="left" w:pos="777"/>
        </w:tabs>
        <w:spacing w:after="0" w:line="360" w:lineRule="auto"/>
        <w:ind w:firstLine="482" w:firstLineChars="200"/>
        <w:rPr>
          <w:rFonts w:ascii="Times New Roman" w:hAnsi="宋体"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3</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应核对</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的规格和编号</w:t>
      </w:r>
      <w:r>
        <w:rPr>
          <w:rFonts w:hint="eastAsia" w:ascii="Times New Roman" w:hAnsi="宋体" w:eastAsia="宋体" w:cs="Times New Roman"/>
          <w:color w:val="auto"/>
          <w:sz w:val="24"/>
          <w:szCs w:val="24"/>
          <w:highlight w:val="none"/>
        </w:rPr>
        <w:t>，</w:t>
      </w:r>
      <w:r>
        <w:rPr>
          <w:rFonts w:ascii="Times New Roman" w:hAnsi="宋体" w:eastAsia="宋体" w:cs="Times New Roman"/>
          <w:color w:val="auto"/>
          <w:sz w:val="24"/>
          <w:szCs w:val="24"/>
          <w:highlight w:val="none"/>
        </w:rPr>
        <w:t>吊装过程应严格按编号顺序进行。</w:t>
      </w:r>
    </w:p>
    <w:p>
      <w:pPr>
        <w:tabs>
          <w:tab w:val="left" w:pos="777"/>
        </w:tabs>
        <w:spacing w:after="0" w:line="360" w:lineRule="auto"/>
        <w:ind w:firstLine="482"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 xml:space="preserve">4  </w:t>
      </w:r>
      <w:r>
        <w:rPr>
          <w:rFonts w:hint="eastAsia" w:ascii="Times New Roman" w:hAnsi="宋体" w:eastAsia="宋体" w:cs="Times New Roman"/>
          <w:color w:val="auto"/>
          <w:sz w:val="24"/>
          <w:szCs w:val="24"/>
          <w:highlight w:val="none"/>
        </w:rPr>
        <w:t>现场堆放应该严格执行</w:t>
      </w:r>
      <w:r>
        <w:rPr>
          <w:rFonts w:ascii="Times New Roman" w:hAnsi="Times New Roman" w:eastAsia="宋体" w:cs="Times New Roman"/>
          <w:color w:val="auto"/>
          <w:sz w:val="24"/>
          <w:szCs w:val="24"/>
          <w:highlight w:val="none"/>
        </w:rPr>
        <w:t>8.4.2条</w:t>
      </w:r>
      <w:r>
        <w:rPr>
          <w:rFonts w:hint="eastAsia" w:ascii="Times New Roman" w:hAnsi="宋体" w:eastAsia="宋体" w:cs="Times New Roman"/>
          <w:color w:val="auto"/>
          <w:sz w:val="24"/>
          <w:szCs w:val="24"/>
          <w:highlight w:val="none"/>
        </w:rPr>
        <w:t>的</w:t>
      </w:r>
      <w:r>
        <w:rPr>
          <w:rFonts w:ascii="Times New Roman" w:hAnsi="宋体" w:eastAsia="宋体" w:cs="Times New Roman"/>
          <w:color w:val="auto"/>
          <w:sz w:val="24"/>
          <w:szCs w:val="24"/>
          <w:highlight w:val="none"/>
        </w:rPr>
        <w:t>相关规定</w:t>
      </w:r>
      <w:r>
        <w:rPr>
          <w:rFonts w:hint="eastAsia" w:ascii="Times New Roman" w:hAnsi="宋体" w:eastAsia="宋体" w:cs="Times New Roman"/>
          <w:color w:val="auto"/>
          <w:sz w:val="24"/>
          <w:szCs w:val="24"/>
          <w:highlight w:val="none"/>
        </w:rPr>
        <w:t>，并优先采用从运输车辆上直接吊装，以避免二次倒运。</w:t>
      </w:r>
    </w:p>
    <w:p>
      <w:pPr>
        <w:pStyle w:val="26"/>
        <w:widowControl w:val="0"/>
        <w:numPr>
          <w:ilvl w:val="2"/>
          <w:numId w:val="3"/>
        </w:numPr>
        <w:tabs>
          <w:tab w:val="left" w:pos="777"/>
        </w:tabs>
        <w:spacing w:after="0" w:line="360" w:lineRule="auto"/>
        <w:ind w:firstLineChars="0"/>
        <w:jc w:val="both"/>
        <w:outlineLvl w:val="2"/>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的吊运应符合下列规定：</w:t>
      </w:r>
    </w:p>
    <w:p>
      <w:pPr>
        <w:tabs>
          <w:tab w:val="left" w:pos="777"/>
        </w:tabs>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起吊、移动、就位的全过程中，信号指挥员、司索工、起重机械司机应保持通讯畅通并协调一致。信号不明时不得吊运和安装。</w:t>
      </w:r>
    </w:p>
    <w:p>
      <w:pPr>
        <w:tabs>
          <w:tab w:val="left" w:pos="777"/>
        </w:tabs>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highlight w:val="none"/>
        </w:rPr>
        <w:t>在吊运过程中应保持稳定，采用慢起、稳升、缓放的操作方式</w:t>
      </w:r>
      <w:r>
        <w:rPr>
          <w:rFonts w:hint="eastAsia" w:ascii="Times New Roman" w:hAnsi="宋体" w:eastAsia="宋体" w:cs="Times New Roman"/>
          <w:color w:val="auto"/>
          <w:sz w:val="24"/>
          <w:highlight w:val="none"/>
        </w:rPr>
        <w:t>；</w:t>
      </w:r>
      <w:r>
        <w:rPr>
          <w:rFonts w:ascii="Times New Roman" w:hAnsi="宋体" w:eastAsia="宋体" w:cs="Times New Roman"/>
          <w:color w:val="auto"/>
          <w:sz w:val="24"/>
          <w:szCs w:val="24"/>
          <w:highlight w:val="none"/>
        </w:rPr>
        <w:t>桁架预制板吊装就位后，应及时对安装位置、安装标高、相邻构件平整度、高低差、接缝尺寸进行校核和调整；</w:t>
      </w:r>
    </w:p>
    <w:p>
      <w:pPr>
        <w:tabs>
          <w:tab w:val="left" w:pos="777"/>
        </w:tabs>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每班作业时宜先试吊一次，确认起重设备与吊具工作正常，吊具连接可靠；每次起吊脱离运输车辆或存放点时，应适当停顿，确认起吊系统安全可靠后方可继续提升。</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szCs w:val="24"/>
          <w:highlight w:val="none"/>
        </w:rPr>
        <w:t xml:space="preserve">4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highlight w:val="none"/>
        </w:rPr>
        <w:t>应垂直吊运，严禁斜拉、斜吊；吊运的预制</w:t>
      </w:r>
      <w:r>
        <w:rPr>
          <w:rFonts w:hint="eastAsia" w:ascii="Times New Roman" w:hAnsi="宋体" w:eastAsia="宋体" w:cs="Times New Roman"/>
          <w:color w:val="auto"/>
          <w:sz w:val="24"/>
          <w:highlight w:val="none"/>
        </w:rPr>
        <w:t>底</w:t>
      </w:r>
      <w:r>
        <w:rPr>
          <w:rFonts w:ascii="Times New Roman" w:hAnsi="宋体" w:eastAsia="宋体" w:cs="Times New Roman"/>
          <w:color w:val="auto"/>
          <w:sz w:val="24"/>
          <w:highlight w:val="none"/>
        </w:rPr>
        <w:t>板应及时安装就位，严禁长时间悬停在空中；</w:t>
      </w:r>
    </w:p>
    <w:p>
      <w:pPr>
        <w:spacing w:after="0"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highlight w:val="none"/>
        </w:rPr>
        <w:t xml:space="preserve">5  </w:t>
      </w:r>
      <w:r>
        <w:rPr>
          <w:rFonts w:hint="eastAsia" w:ascii="Times New Roman" w:hAnsi="Times New Roman" w:eastAsia="宋体" w:cs="Times New Roman"/>
          <w:b/>
          <w:color w:val="auto"/>
          <w:sz w:val="24"/>
          <w:highlight w:val="none"/>
        </w:rPr>
        <w:t xml:space="preserve"> </w:t>
      </w:r>
      <w:r>
        <w:rPr>
          <w:rFonts w:ascii="Times New Roman" w:hAnsi="宋体" w:eastAsia="宋体" w:cs="Times New Roman"/>
          <w:color w:val="auto"/>
          <w:sz w:val="24"/>
          <w:highlight w:val="none"/>
        </w:rPr>
        <w:t>构件</w:t>
      </w:r>
      <w:r>
        <w:rPr>
          <w:rFonts w:ascii="Times New Roman" w:hAnsi="宋体" w:eastAsia="宋体" w:cs="Times New Roman"/>
          <w:color w:val="auto"/>
          <w:sz w:val="24"/>
          <w:szCs w:val="24"/>
          <w:highlight w:val="none"/>
        </w:rPr>
        <w:t>与吊具的分离应在定位校准和临时支撑安装完成后进行。</w:t>
      </w:r>
    </w:p>
    <w:p>
      <w:pPr>
        <w:spacing w:after="0" w:line="360" w:lineRule="auto"/>
        <w:ind w:firstLine="482"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highlight w:val="none"/>
        </w:rPr>
        <w:t xml:space="preserve">6 </w:t>
      </w:r>
      <w:r>
        <w:rPr>
          <w:rFonts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rPr>
        <w:t xml:space="preserve"> </w:t>
      </w:r>
      <w:r>
        <w:rPr>
          <w:rFonts w:hint="eastAsia" w:ascii="Times New Roman" w:hAnsi="宋体" w:eastAsia="宋体" w:cs="Times New Roman"/>
          <w:color w:val="auto"/>
          <w:sz w:val="24"/>
          <w:highlight w:val="none"/>
        </w:rPr>
        <w:t>应在吊装前设置安全区域并派专人值守，禁止无关人员和车辆通行。</w:t>
      </w:r>
    </w:p>
    <w:p>
      <w:pPr>
        <w:pStyle w:val="25"/>
        <w:spacing w:beforeLines="0" w:after="312" w:line="360" w:lineRule="auto"/>
        <w:rPr>
          <w:color w:val="auto"/>
          <w:highlight w:val="none"/>
        </w:rPr>
      </w:pPr>
      <w:bookmarkStart w:id="64" w:name="_Toc111709532"/>
      <w:r>
        <w:rPr>
          <w:color w:val="auto"/>
          <w:highlight w:val="none"/>
        </w:rPr>
        <w:t>9.3</w:t>
      </w:r>
      <w:r>
        <w:rPr>
          <w:rFonts w:hAnsi="宋体"/>
          <w:color w:val="auto"/>
          <w:highlight w:val="none"/>
        </w:rPr>
        <w:t>叠合层施工</w:t>
      </w:r>
      <w:bookmarkEnd w:id="64"/>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9.3.1</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szCs w:val="24"/>
          <w:highlight w:val="none"/>
        </w:rPr>
        <w:t>叠合层混凝土浇筑前</w:t>
      </w:r>
      <w:r>
        <w:rPr>
          <w:rFonts w:hint="eastAsia" w:ascii="Times New Roman" w:hAnsi="宋体" w:eastAsia="宋体" w:cs="Times New Roman"/>
          <w:color w:val="auto"/>
          <w:sz w:val="24"/>
          <w:szCs w:val="24"/>
          <w:highlight w:val="none"/>
        </w:rPr>
        <w:t>应进行以下工作：</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szCs w:val="24"/>
          <w:highlight w:val="none"/>
        </w:rPr>
        <w:t>1</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highlight w:val="none"/>
        </w:rPr>
        <w:t>接缝处应采取防止漏浆的措施；</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2</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应该按设计要求铺设横向钢筋和其他钢筋，布设电气管、盒；并在浇筑混凝土前进行隐蔽验收；</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3</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应</w:t>
      </w:r>
      <w:r>
        <w:rPr>
          <w:rFonts w:hint="eastAsia" w:ascii="Times New Roman" w:hAnsi="宋体" w:eastAsia="宋体" w:cs="Times New Roman"/>
          <w:color w:val="auto"/>
          <w:sz w:val="24"/>
          <w:highlight w:val="none"/>
        </w:rPr>
        <w:t>清</w:t>
      </w:r>
      <w:r>
        <w:rPr>
          <w:rFonts w:ascii="Times New Roman" w:hAnsi="宋体" w:eastAsia="宋体" w:cs="Times New Roman"/>
          <w:color w:val="auto"/>
          <w:sz w:val="24"/>
          <w:highlight w:val="none"/>
        </w:rPr>
        <w:t>除</w:t>
      </w:r>
      <w:r>
        <w:rPr>
          <w:rFonts w:hint="eastAsia" w:ascii="Times New Roman" w:hAnsi="宋体" w:eastAsia="宋体" w:cs="Times New Roman"/>
          <w:color w:val="auto"/>
          <w:sz w:val="24"/>
          <w:highlight w:val="none"/>
        </w:rPr>
        <w:t>矩形钢管</w:t>
      </w:r>
      <w:r>
        <w:rPr>
          <w:rFonts w:ascii="Times New Roman" w:hAnsi="Times New Roman" w:eastAsia="宋体" w:cs="Times New Roman"/>
          <w:color w:val="auto"/>
          <w:sz w:val="24"/>
          <w:szCs w:val="24"/>
          <w:highlight w:val="none"/>
        </w:rPr>
        <w:t>桁架</w:t>
      </w:r>
      <w:r>
        <w:rPr>
          <w:rFonts w:hint="eastAsia" w:ascii="Times New Roman" w:hAnsi="宋体" w:eastAsia="宋体" w:cs="Times New Roman"/>
          <w:color w:val="auto"/>
          <w:sz w:val="24"/>
          <w:szCs w:val="24"/>
          <w:highlight w:val="none"/>
        </w:rPr>
        <w:t>预制底板</w:t>
      </w:r>
      <w:r>
        <w:rPr>
          <w:rFonts w:ascii="Times New Roman" w:hAnsi="宋体" w:eastAsia="宋体" w:cs="Times New Roman"/>
          <w:color w:val="auto"/>
          <w:sz w:val="24"/>
          <w:highlight w:val="none"/>
        </w:rPr>
        <w:t>上表面疏松的混凝土和浮浆，并清理干净；应在混凝土浇筑前</w:t>
      </w:r>
      <w:r>
        <w:rPr>
          <w:rFonts w:ascii="Times New Roman" w:hAnsi="Times New Roman" w:eastAsia="宋体" w:cs="Times New Roman"/>
          <w:color w:val="auto"/>
          <w:sz w:val="24"/>
          <w:highlight w:val="none"/>
        </w:rPr>
        <w:t>24h</w:t>
      </w:r>
      <w:r>
        <w:rPr>
          <w:rFonts w:ascii="Times New Roman" w:hAnsi="宋体" w:eastAsia="宋体" w:cs="Times New Roman"/>
          <w:color w:val="auto"/>
          <w:sz w:val="24"/>
          <w:highlight w:val="none"/>
        </w:rPr>
        <w:t>对节点及叠合面充分浇水湿润，浇筑前</w:t>
      </w:r>
      <w:r>
        <w:rPr>
          <w:rFonts w:ascii="Times New Roman" w:hAnsi="Times New Roman" w:eastAsia="宋体" w:cs="Times New Roman"/>
          <w:color w:val="auto"/>
          <w:sz w:val="24"/>
          <w:highlight w:val="none"/>
        </w:rPr>
        <w:t>1h</w:t>
      </w:r>
      <w:r>
        <w:rPr>
          <w:rFonts w:ascii="Times New Roman" w:hAnsi="宋体" w:eastAsia="宋体" w:cs="Times New Roman"/>
          <w:color w:val="auto"/>
          <w:sz w:val="24"/>
          <w:highlight w:val="none"/>
        </w:rPr>
        <w:t>吸干积水。</w:t>
      </w:r>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9.3.2</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叠合层的混凝土浇筑应符合下列规定：</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1</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混凝土浇筑应布料均衡，布料的堆积高度严格按现浇层厚度加施工活荷载</w:t>
      </w:r>
      <w:r>
        <w:rPr>
          <w:rFonts w:ascii="Times New Roman" w:hAnsi="Times New Roman" w:eastAsia="宋体" w:cs="Times New Roman"/>
          <w:color w:val="auto"/>
          <w:sz w:val="24"/>
          <w:highlight w:val="none"/>
        </w:rPr>
        <w:t>1.5KN/</w:t>
      </w:r>
      <w:r>
        <w:rPr>
          <w:rFonts w:ascii="Times New Roman" w:hAnsi="宋体" w:eastAsia="宋体" w:cs="Times New Roman"/>
          <w:color w:val="auto"/>
          <w:sz w:val="24"/>
          <w:highlight w:val="none"/>
        </w:rPr>
        <w:t>㎡控制，并应该采用振动器振捣密实，以保证与底板结合成一整体；</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2</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浇筑和振捣时，应对模板及支架进行观察和维护，发生异常情况应及时处理；</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 xml:space="preserve">4 </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接缝处混凝土浇筑和振捣，应采取措施防止模板、钢筋、及预埋件移位；</w:t>
      </w:r>
    </w:p>
    <w:p>
      <w:pPr>
        <w:pStyle w:val="26"/>
        <w:widowControl w:val="0"/>
        <w:adjustRightInd/>
        <w:snapToGrid/>
        <w:spacing w:after="0" w:line="360" w:lineRule="auto"/>
        <w:ind w:firstLine="482"/>
        <w:jc w:val="both"/>
        <w:rPr>
          <w:rFonts w:ascii="Times New Roman" w:hAnsi="宋体" w:eastAsia="宋体" w:cs="Times New Roman"/>
          <w:color w:val="auto"/>
          <w:sz w:val="24"/>
          <w:highlight w:val="none"/>
        </w:rPr>
      </w:pPr>
      <w:r>
        <w:rPr>
          <w:rFonts w:hint="eastAsia" w:ascii="Times New Roman" w:hAnsi="宋体" w:eastAsia="宋体" w:cs="Times New Roman"/>
          <w:b/>
          <w:color w:val="auto"/>
          <w:sz w:val="24"/>
          <w:highlight w:val="none"/>
        </w:rPr>
        <w:t>5</w:t>
      </w:r>
      <w:r>
        <w:rPr>
          <w:rFonts w:ascii="Times New Roman" w:hAnsi="宋体" w:eastAsia="宋体" w:cs="Times New Roman"/>
          <w:b/>
          <w:color w:val="auto"/>
          <w:sz w:val="24"/>
          <w:highlight w:val="none"/>
        </w:rPr>
        <w:t xml:space="preserve">  </w:t>
      </w:r>
      <w:r>
        <w:rPr>
          <w:rFonts w:ascii="Times New Roman" w:hAnsi="宋体" w:eastAsia="宋体" w:cs="Times New Roman"/>
          <w:color w:val="auto"/>
          <w:sz w:val="24"/>
          <w:highlight w:val="none"/>
        </w:rPr>
        <w:t>后浇混凝土浇筑完成后，应及时对其表面标高进行校核；</w:t>
      </w:r>
    </w:p>
    <w:p>
      <w:pPr>
        <w:spacing w:after="0" w:line="360" w:lineRule="auto"/>
        <w:ind w:firstLine="482" w:firstLineChars="200"/>
        <w:rPr>
          <w:rFonts w:ascii="Times New Roman" w:hAnsi="宋体" w:eastAsia="宋体" w:cs="Times New Roman"/>
          <w:color w:val="auto"/>
          <w:sz w:val="24"/>
          <w:highlight w:val="none"/>
        </w:rPr>
      </w:pPr>
      <w:r>
        <w:rPr>
          <w:rFonts w:ascii="Times New Roman" w:hAnsi="宋体" w:eastAsia="宋体" w:cs="Times New Roman"/>
          <w:b/>
          <w:color w:val="auto"/>
          <w:sz w:val="24"/>
          <w:highlight w:val="none"/>
        </w:rPr>
        <w:t xml:space="preserve">6  </w:t>
      </w:r>
      <w:r>
        <w:rPr>
          <w:rFonts w:ascii="Times New Roman" w:hAnsi="宋体" w:eastAsia="宋体" w:cs="Times New Roman"/>
          <w:color w:val="auto"/>
          <w:sz w:val="24"/>
          <w:highlight w:val="none"/>
        </w:rPr>
        <w:t>后浇混凝土</w:t>
      </w:r>
      <w:r>
        <w:rPr>
          <w:rFonts w:hint="eastAsia" w:ascii="Times New Roman" w:hAnsi="宋体" w:eastAsia="宋体" w:cs="Times New Roman"/>
          <w:color w:val="auto"/>
          <w:sz w:val="24"/>
          <w:highlight w:val="none"/>
        </w:rPr>
        <w:t>强度应符合设计要求及现行国家标准《混凝土结构设计规范》GB 50010和</w:t>
      </w:r>
      <w:r>
        <w:rPr>
          <w:rFonts w:hint="eastAsia" w:ascii="Times New Roman" w:hAnsi="Times New Roman" w:eastAsia="宋体" w:cs="Times New Roman"/>
          <w:color w:val="auto"/>
          <w:sz w:val="24"/>
          <w:szCs w:val="24"/>
          <w:highlight w:val="none"/>
        </w:rPr>
        <w:t>现行行业标准《装配式混凝土结构技术规程》</w:t>
      </w:r>
      <w:r>
        <w:rPr>
          <w:rFonts w:ascii="Times New Roman" w:hAnsi="Times New Roman" w:eastAsia="宋体" w:cs="Times New Roman"/>
          <w:color w:val="auto"/>
          <w:sz w:val="24"/>
          <w:szCs w:val="24"/>
          <w:highlight w:val="none"/>
        </w:rPr>
        <w:t>JGJ</w:t>
      </w:r>
      <w:r>
        <w:rPr>
          <w:rFonts w:hint="eastAsia" w:ascii="Times New Roman" w:hAnsi="Times New Roman" w:eastAsia="宋体" w:cs="Times New Roman"/>
          <w:color w:val="auto"/>
          <w:sz w:val="24"/>
          <w:szCs w:val="24"/>
          <w:highlight w:val="none"/>
        </w:rPr>
        <w:t xml:space="preserve"> 1的相关规定</w:t>
      </w:r>
      <w:r>
        <w:rPr>
          <w:rFonts w:hint="eastAsia" w:ascii="Times New Roman" w:hAnsi="宋体" w:eastAsia="宋体" w:cs="Times New Roman"/>
          <w:color w:val="auto"/>
          <w:sz w:val="24"/>
          <w:highlight w:val="none"/>
        </w:rPr>
        <w:t>。</w:t>
      </w:r>
    </w:p>
    <w:p>
      <w:pPr>
        <w:spacing w:after="0" w:line="360" w:lineRule="auto"/>
        <w:ind w:firstLine="482" w:firstLineChars="200"/>
        <w:rPr>
          <w:rFonts w:ascii="Times New Roman" w:hAnsi="宋体" w:eastAsia="宋体" w:cs="Times New Roman"/>
          <w:color w:val="auto"/>
          <w:sz w:val="24"/>
          <w:highlight w:val="none"/>
        </w:rPr>
      </w:pPr>
      <w:r>
        <w:rPr>
          <w:rFonts w:ascii="Times New Roman" w:hAnsi="Times New Roman" w:eastAsia="宋体" w:cs="Times New Roman"/>
          <w:b/>
          <w:color w:val="auto"/>
          <w:sz w:val="24"/>
          <w:highlight w:val="none"/>
        </w:rPr>
        <w:t>7</w:t>
      </w: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highlight w:val="none"/>
        </w:rPr>
        <w:t>同一配合比的混凝土，</w:t>
      </w:r>
      <w:r>
        <w:rPr>
          <w:rFonts w:hint="eastAsia" w:ascii="Times New Roman" w:hAnsi="宋体" w:eastAsia="宋体" w:cs="Times New Roman"/>
          <w:color w:val="auto"/>
          <w:sz w:val="24"/>
          <w:highlight w:val="none"/>
        </w:rPr>
        <w:t>试件留置应满足《混凝土结构工程施工质量验收规范》GB50024-2015的相关要求</w:t>
      </w:r>
      <w:r>
        <w:rPr>
          <w:rFonts w:ascii="Times New Roman" w:hAnsi="宋体" w:eastAsia="宋体" w:cs="Times New Roman"/>
          <w:color w:val="auto"/>
          <w:sz w:val="24"/>
          <w:highlight w:val="none"/>
        </w:rPr>
        <w:t>。</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highlight w:val="none"/>
        </w:rPr>
        <w:t>9.3.3</w:t>
      </w:r>
      <w:r>
        <w:rPr>
          <w:rFonts w:hint="eastAsia" w:ascii="Times New Roman" w:hAnsi="Times New Roman" w:eastAsia="宋体" w:cs="Times New Roman"/>
          <w:b/>
          <w:color w:val="auto"/>
          <w:sz w:val="24"/>
          <w:highlight w:val="none"/>
        </w:rPr>
        <w:t xml:space="preserve">   </w:t>
      </w:r>
      <w:r>
        <w:rPr>
          <w:rFonts w:ascii="Times New Roman" w:hAnsi="宋体" w:eastAsia="宋体" w:cs="Times New Roman"/>
          <w:color w:val="auto"/>
          <w:sz w:val="24"/>
          <w:szCs w:val="24"/>
          <w:highlight w:val="none"/>
        </w:rPr>
        <w:t>采用泵送混凝土浇筑时，应采取措施防止泵送设备超重或冲击力过大影响</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及支架的安全。</w:t>
      </w:r>
    </w:p>
    <w:p>
      <w:pPr>
        <w:tabs>
          <w:tab w:val="left" w:pos="777"/>
        </w:tabs>
        <w:spacing w:after="0" w:line="360" w:lineRule="auto"/>
        <w:outlineLvl w:val="2"/>
        <w:rPr>
          <w:rFonts w:ascii="Times New Roman" w:hAnsi="宋体" w:eastAsia="宋体" w:cs="Times New Roman"/>
          <w:color w:val="auto"/>
          <w:sz w:val="24"/>
          <w:szCs w:val="24"/>
          <w:highlight w:val="none"/>
        </w:rPr>
      </w:pPr>
      <w:bookmarkStart w:id="65" w:name="_Hlk107434130"/>
      <w:r>
        <w:rPr>
          <w:rFonts w:ascii="Times New Roman" w:hAnsi="Times New Roman" w:eastAsia="宋体" w:cs="Times New Roman"/>
          <w:b/>
          <w:color w:val="auto"/>
          <w:sz w:val="24"/>
          <w:szCs w:val="24"/>
          <w:highlight w:val="none"/>
        </w:rPr>
        <w:t>9.3.4</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预预制底板</w:t>
      </w:r>
      <w:r>
        <w:rPr>
          <w:rFonts w:ascii="Times New Roman" w:hAnsi="宋体" w:eastAsia="宋体" w:cs="Times New Roman"/>
          <w:color w:val="auto"/>
          <w:sz w:val="24"/>
          <w:szCs w:val="24"/>
          <w:highlight w:val="none"/>
        </w:rPr>
        <w:t>混凝土浇筑后</w:t>
      </w:r>
      <w:r>
        <w:rPr>
          <w:rFonts w:ascii="Times New Roman" w:hAnsi="Times New Roman" w:eastAsia="宋体" w:cs="Times New Roman"/>
          <w:color w:val="auto"/>
          <w:sz w:val="24"/>
          <w:szCs w:val="24"/>
          <w:highlight w:val="none"/>
        </w:rPr>
        <w:t>12h</w:t>
      </w:r>
      <w:r>
        <w:rPr>
          <w:rFonts w:ascii="Times New Roman" w:hAnsi="宋体" w:eastAsia="宋体" w:cs="Times New Roman"/>
          <w:color w:val="auto"/>
          <w:sz w:val="24"/>
          <w:szCs w:val="24"/>
          <w:highlight w:val="none"/>
        </w:rPr>
        <w:t>内应进行洒水养护或覆盖养护，养护时间不少于</w:t>
      </w:r>
      <w:r>
        <w:rPr>
          <w:rFonts w:ascii="Times New Roman" w:hAnsi="Times New Roman" w:eastAsia="宋体" w:cs="Times New Roman"/>
          <w:color w:val="auto"/>
          <w:sz w:val="24"/>
          <w:szCs w:val="24"/>
          <w:highlight w:val="none"/>
        </w:rPr>
        <w:t>7d</w:t>
      </w:r>
      <w:r>
        <w:rPr>
          <w:rFonts w:ascii="Times New Roman" w:hAnsi="宋体" w:eastAsia="宋体" w:cs="Times New Roman"/>
          <w:color w:val="auto"/>
          <w:sz w:val="24"/>
          <w:szCs w:val="24"/>
          <w:highlight w:val="none"/>
        </w:rPr>
        <w:t>。</w:t>
      </w:r>
    </w:p>
    <w:bookmarkEnd w:id="65"/>
    <w:p>
      <w:pPr>
        <w:tabs>
          <w:tab w:val="left" w:pos="777"/>
        </w:tabs>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9.3.5</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支架预应力混凝土叠合板达到混凝土强度要求后进行矩形钢管的拆卸</w:t>
      </w:r>
      <w:r>
        <w:rPr>
          <w:rFonts w:ascii="Times New Roman" w:hAnsi="宋体" w:eastAsia="宋体" w:cs="Times New Roman"/>
          <w:color w:val="auto"/>
          <w:sz w:val="24"/>
          <w:szCs w:val="24"/>
          <w:highlight w:val="none"/>
        </w:rPr>
        <w:t>。</w:t>
      </w:r>
    </w:p>
    <w:p>
      <w:pPr>
        <w:pStyle w:val="25"/>
        <w:spacing w:beforeLines="0" w:after="312" w:line="360" w:lineRule="auto"/>
        <w:rPr>
          <w:color w:val="auto"/>
          <w:highlight w:val="none"/>
        </w:rPr>
      </w:pPr>
      <w:bookmarkStart w:id="66" w:name="_Toc111709533"/>
      <w:r>
        <w:rPr>
          <w:color w:val="auto"/>
          <w:highlight w:val="none"/>
        </w:rPr>
        <w:t>9.</w:t>
      </w:r>
      <w:r>
        <w:rPr>
          <w:rFonts w:hint="eastAsia"/>
          <w:color w:val="auto"/>
          <w:highlight w:val="none"/>
        </w:rPr>
        <w:t>4矩形钢管拆卸</w:t>
      </w:r>
      <w:bookmarkEnd w:id="66"/>
    </w:p>
    <w:p>
      <w:pPr>
        <w:spacing w:after="0" w:line="360" w:lineRule="auto"/>
        <w:outlineLvl w:val="2"/>
        <w:rPr>
          <w:b/>
          <w:color w:val="auto"/>
          <w:highlight w:val="none"/>
        </w:rPr>
      </w:pPr>
      <w:r>
        <w:rPr>
          <w:rFonts w:ascii="Times New Roman" w:hAnsi="Times New Roman" w:cs="Times New Roman"/>
          <w:b/>
          <w:bCs/>
          <w:color w:val="auto"/>
          <w:highlight w:val="none"/>
        </w:rPr>
        <w:t xml:space="preserve">9.4.1   </w:t>
      </w:r>
      <w:r>
        <w:rPr>
          <w:rFonts w:hint="eastAsia" w:asciiTheme="minorEastAsia" w:hAnsiTheme="minorEastAsia" w:eastAsiaTheme="minorEastAsia"/>
          <w:color w:val="auto"/>
          <w:sz w:val="24"/>
          <w:szCs w:val="24"/>
          <w:highlight w:val="none"/>
        </w:rPr>
        <w:t>矩形钢管应在混凝土强度达到设计要求后再拆除；当设计无具体要求时，当支架预应力混凝土叠合板的跨度为2m至8m时，待浇筑的混凝土强度达到75%时矩形钢管可拆除；当支架预应力混凝土叠合板跨度大于8m时，待浇筑的混凝土强度达到100%时矩形钢管可拆除。</w:t>
      </w:r>
    </w:p>
    <w:p>
      <w:pPr>
        <w:spacing w:after="0" w:line="360" w:lineRule="auto"/>
        <w:outlineLvl w:val="2"/>
        <w:rPr>
          <w:b/>
          <w:bCs/>
          <w:color w:val="auto"/>
          <w:highlight w:val="none"/>
        </w:rPr>
      </w:pPr>
      <w:r>
        <w:rPr>
          <w:rFonts w:ascii="Times New Roman" w:hAnsi="Times New Roman" w:cs="Times New Roman"/>
          <w:b/>
          <w:bCs/>
          <w:color w:val="auto"/>
          <w:highlight w:val="none"/>
        </w:rPr>
        <w:t>9.4.2</w:t>
      </w:r>
      <w:r>
        <w:rPr>
          <w:rFonts w:ascii="Times New Roman" w:hAnsi="Times New Roman" w:cs="Times New Roman"/>
          <w:color w:val="auto"/>
          <w:highlight w:val="none"/>
        </w:rPr>
        <w:t xml:space="preserve">   </w:t>
      </w:r>
      <w:bookmarkStart w:id="67" w:name="_Hlk111655709"/>
      <w:r>
        <w:rPr>
          <w:rFonts w:hint="eastAsia" w:ascii="宋体" w:hAnsi="宋体" w:eastAsia="宋体"/>
          <w:bCs/>
          <w:color w:val="auto"/>
          <w:sz w:val="24"/>
          <w:szCs w:val="24"/>
          <w:highlight w:val="none"/>
        </w:rPr>
        <w:t>矩形钢管拆除时，先拆螺栓、后拆矩形钢管的顺序，并应从上而下进行拆除</w:t>
      </w:r>
      <w:r>
        <w:rPr>
          <w:rFonts w:ascii="宋体" w:hAnsi="宋体" w:eastAsia="宋体"/>
          <w:bCs/>
          <w:color w:val="auto"/>
          <w:sz w:val="24"/>
          <w:szCs w:val="24"/>
          <w:highlight w:val="none"/>
        </w:rPr>
        <w:t>。</w:t>
      </w:r>
      <w:bookmarkEnd w:id="67"/>
    </w:p>
    <w:p>
      <w:pPr>
        <w:spacing w:after="0" w:line="360" w:lineRule="auto"/>
        <w:outlineLvl w:val="2"/>
        <w:rPr>
          <w:b/>
          <w:bCs/>
          <w:color w:val="auto"/>
          <w:highlight w:val="none"/>
        </w:rPr>
      </w:pPr>
      <w:r>
        <w:rPr>
          <w:rFonts w:ascii="Times New Roman" w:hAnsi="Times New Roman" w:cs="Times New Roman"/>
          <w:b/>
          <w:bCs/>
          <w:color w:val="auto"/>
          <w:highlight w:val="none"/>
        </w:rPr>
        <w:t xml:space="preserve">9.4.3 </w:t>
      </w:r>
      <w:r>
        <w:rPr>
          <w:rFonts w:ascii="Times New Roman" w:hAnsi="Times New Roman" w:cs="Times New Roman"/>
          <w:bCs/>
          <w:color w:val="auto"/>
          <w:highlight w:val="none"/>
        </w:rPr>
        <w:t xml:space="preserve">  </w:t>
      </w:r>
      <w:r>
        <w:rPr>
          <w:rFonts w:ascii="宋体" w:hAnsi="宋体" w:eastAsia="宋体"/>
          <w:bCs/>
          <w:color w:val="auto"/>
          <w:sz w:val="24"/>
          <w:szCs w:val="24"/>
          <w:highlight w:val="none"/>
        </w:rPr>
        <w:t>矩形钢管拆除后应将可拆卸支架混凝土叠合板表面清理干净，对变形和损伤部位应进行修复。</w:t>
      </w:r>
    </w:p>
    <w:p>
      <w:pPr>
        <w:spacing w:after="0" w:line="360" w:lineRule="auto"/>
        <w:outlineLvl w:val="2"/>
        <w:rPr>
          <w:b/>
          <w:bCs/>
          <w:color w:val="auto"/>
          <w:highlight w:val="none"/>
        </w:rPr>
      </w:pPr>
      <w:r>
        <w:rPr>
          <w:rFonts w:ascii="Times New Roman" w:hAnsi="Times New Roman" w:cs="Times New Roman"/>
          <w:b/>
          <w:bCs/>
          <w:color w:val="auto"/>
          <w:highlight w:val="none"/>
        </w:rPr>
        <w:t xml:space="preserve">9.4.4 </w:t>
      </w:r>
      <w:r>
        <w:rPr>
          <w:rFonts w:ascii="Times New Roman" w:hAnsi="Times New Roman" w:cs="Times New Roman"/>
          <w:bCs/>
          <w:color w:val="auto"/>
          <w:highlight w:val="none"/>
        </w:rPr>
        <w:t xml:space="preserve">  </w:t>
      </w:r>
      <w:r>
        <w:rPr>
          <w:rFonts w:ascii="宋体" w:hAnsi="宋体" w:eastAsia="宋体"/>
          <w:bCs/>
          <w:color w:val="auto"/>
          <w:sz w:val="24"/>
          <w:szCs w:val="24"/>
          <w:highlight w:val="none"/>
        </w:rPr>
        <w:t>拆下的钢管不得抛掷，应进行分类并堆放在指定地点，以便于回收利用。</w:t>
      </w:r>
    </w:p>
    <w:p>
      <w:pPr>
        <w:spacing w:after="0" w:line="360" w:lineRule="auto"/>
        <w:outlineLvl w:val="2"/>
        <w:rPr>
          <w:b/>
          <w:bCs/>
          <w:color w:val="auto"/>
          <w:highlight w:val="none"/>
        </w:rPr>
      </w:pPr>
      <w:r>
        <w:rPr>
          <w:rFonts w:ascii="Times New Roman" w:hAnsi="Times New Roman" w:cs="Times New Roman"/>
          <w:b/>
          <w:bCs/>
          <w:color w:val="auto"/>
          <w:highlight w:val="none"/>
        </w:rPr>
        <w:t xml:space="preserve">9.4.5  </w:t>
      </w:r>
      <w:r>
        <w:rPr>
          <w:rFonts w:ascii="Times New Roman" w:hAnsi="Times New Roman" w:cs="Times New Roman"/>
          <w:bCs/>
          <w:color w:val="auto"/>
          <w:highlight w:val="none"/>
        </w:rPr>
        <w:t xml:space="preserve"> </w:t>
      </w:r>
      <w:r>
        <w:rPr>
          <w:rFonts w:ascii="宋体" w:hAnsi="宋体" w:eastAsia="宋体"/>
          <w:bCs/>
          <w:color w:val="auto"/>
          <w:sz w:val="24"/>
          <w:szCs w:val="24"/>
          <w:highlight w:val="none"/>
        </w:rPr>
        <w:t>矩形钢管拆卸时，现浇部分的质量验收应符合《混凝土结构工程施工规范》GB50666。</w:t>
      </w:r>
      <w:r>
        <w:rPr>
          <w:rFonts w:hAnsi="宋体"/>
          <w:color w:val="auto"/>
          <w:highlight w:val="none"/>
        </w:rPr>
        <w:br w:type="page"/>
      </w:r>
    </w:p>
    <w:p>
      <w:pPr>
        <w:pStyle w:val="24"/>
        <w:spacing w:before="312" w:after="312"/>
        <w:rPr>
          <w:rFonts w:eastAsiaTheme="minorEastAsia"/>
          <w:color w:val="auto"/>
          <w:highlight w:val="none"/>
        </w:rPr>
      </w:pPr>
      <w:bookmarkStart w:id="68" w:name="_Toc111709534"/>
      <w:r>
        <w:rPr>
          <w:rFonts w:hint="eastAsia" w:eastAsiaTheme="minorEastAsia"/>
          <w:color w:val="auto"/>
          <w:highlight w:val="none"/>
        </w:rPr>
        <w:t xml:space="preserve">10 </w:t>
      </w:r>
      <w:r>
        <w:rPr>
          <w:rFonts w:eastAsiaTheme="minorEastAsia"/>
          <w:color w:val="auto"/>
          <w:highlight w:val="none"/>
        </w:rPr>
        <w:t>质量验收</w:t>
      </w:r>
      <w:bookmarkEnd w:id="68"/>
    </w:p>
    <w:p>
      <w:pPr>
        <w:pStyle w:val="25"/>
        <w:spacing w:beforeLines="0" w:after="312" w:line="360" w:lineRule="auto"/>
        <w:rPr>
          <w:color w:val="auto"/>
          <w:highlight w:val="none"/>
        </w:rPr>
      </w:pPr>
      <w:bookmarkStart w:id="69" w:name="_Toc111709535"/>
      <w:r>
        <w:rPr>
          <w:color w:val="auto"/>
          <w:highlight w:val="none"/>
        </w:rPr>
        <w:t>10.1</w:t>
      </w:r>
      <w:r>
        <w:rPr>
          <w:rFonts w:hAnsi="宋体"/>
          <w:color w:val="auto"/>
          <w:highlight w:val="none"/>
        </w:rPr>
        <w:t>一般规定</w:t>
      </w:r>
      <w:bookmarkEnd w:id="69"/>
    </w:p>
    <w:p>
      <w:pPr>
        <w:spacing w:after="0" w:line="360" w:lineRule="auto"/>
        <w:outlineLvl w:val="2"/>
        <w:rPr>
          <w:rFonts w:ascii="Times New Roman" w:hAnsi="宋体"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10.1.1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施工的分项工程、检验批划分和质量验收应符合现行国家标准《混凝土结构工程施工质量验收规范》</w:t>
      </w:r>
      <w:r>
        <w:rPr>
          <w:rFonts w:ascii="Times New Roman" w:hAnsi="Times New Roman" w:eastAsia="宋体" w:cs="Times New Roman"/>
          <w:color w:val="auto"/>
          <w:sz w:val="24"/>
          <w:szCs w:val="24"/>
          <w:highlight w:val="none"/>
        </w:rPr>
        <w:t>G</w:t>
      </w:r>
      <w:r>
        <w:rPr>
          <w:rFonts w:ascii="Times New Roman" w:hAnsi="宋体" w:eastAsia="宋体" w:cs="Times New Roman"/>
          <w:color w:val="auto"/>
          <w:sz w:val="24"/>
          <w:szCs w:val="24"/>
          <w:highlight w:val="none"/>
        </w:rPr>
        <w:t>B 50204</w:t>
      </w:r>
      <w:r>
        <w:rPr>
          <w:rFonts w:hint="eastAsia" w:ascii="Times New Roman" w:hAnsi="宋体" w:eastAsia="宋体" w:cs="Times New Roman"/>
          <w:color w:val="auto"/>
          <w:sz w:val="24"/>
          <w:szCs w:val="24"/>
          <w:highlight w:val="none"/>
        </w:rPr>
        <w:t>中装配式结构分项工程</w:t>
      </w:r>
      <w:r>
        <w:rPr>
          <w:rFonts w:ascii="Times New Roman" w:hAnsi="宋体" w:eastAsia="宋体" w:cs="Times New Roman"/>
          <w:color w:val="auto"/>
          <w:sz w:val="24"/>
          <w:szCs w:val="24"/>
          <w:highlight w:val="none"/>
        </w:rPr>
        <w:t>的规定。</w:t>
      </w:r>
    </w:p>
    <w:p>
      <w:pPr>
        <w:pStyle w:val="26"/>
        <w:widowControl w:val="0"/>
        <w:spacing w:after="0" w:line="360" w:lineRule="auto"/>
        <w:ind w:firstLine="0" w:firstLineChars="0"/>
        <w:jc w:val="both"/>
        <w:outlineLvl w:val="2"/>
        <w:rPr>
          <w:rFonts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rPr>
        <w:t xml:space="preserve">10.1.2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施工用的原材料、部品、构配件均应按检验</w:t>
      </w:r>
      <w:r>
        <w:rPr>
          <w:rFonts w:hint="eastAsia" w:ascii="Times New Roman" w:hAnsi="Times New Roman" w:eastAsia="宋体" w:cs="Times New Roman"/>
          <w:color w:val="auto"/>
          <w:sz w:val="24"/>
          <w:szCs w:val="24"/>
          <w:highlight w:val="none"/>
        </w:rPr>
        <w:t>批</w:t>
      </w:r>
      <w:r>
        <w:rPr>
          <w:rFonts w:ascii="Times New Roman" w:hAnsi="Times New Roman" w:eastAsia="宋体" w:cs="Times New Roman"/>
          <w:color w:val="auto"/>
          <w:sz w:val="24"/>
          <w:szCs w:val="24"/>
          <w:highlight w:val="none"/>
        </w:rPr>
        <w:t>进</w:t>
      </w:r>
      <w:r>
        <w:rPr>
          <w:rFonts w:ascii="Times New Roman" w:hAnsi="宋体" w:eastAsia="宋体" w:cs="Times New Roman"/>
          <w:color w:val="auto"/>
          <w:sz w:val="24"/>
          <w:szCs w:val="24"/>
          <w:highlight w:val="none"/>
        </w:rPr>
        <w:t>行</w:t>
      </w:r>
      <w:r>
        <w:rPr>
          <w:rFonts w:hint="eastAsia" w:ascii="Times New Roman" w:hAnsi="宋体" w:eastAsia="宋体" w:cs="Times New Roman"/>
          <w:color w:val="auto"/>
          <w:sz w:val="24"/>
          <w:szCs w:val="24"/>
          <w:highlight w:val="none"/>
        </w:rPr>
        <w:t>进</w:t>
      </w:r>
      <w:r>
        <w:rPr>
          <w:rFonts w:ascii="Times New Roman" w:hAnsi="宋体" w:eastAsia="宋体" w:cs="Times New Roman"/>
          <w:color w:val="auto"/>
          <w:sz w:val="24"/>
          <w:szCs w:val="24"/>
          <w:highlight w:val="none"/>
        </w:rPr>
        <w:t>场验收。</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10.1.3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浇筑混凝土前，应进行</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隐蔽工程验收。隐蔽工程验收应包括下列主要内容：</w:t>
      </w:r>
    </w:p>
    <w:p>
      <w:pPr>
        <w:spacing w:after="0"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板面钢筋、附加钢筋的牌号、规格、数量、位置、间距；</w:t>
      </w:r>
    </w:p>
    <w:p>
      <w:pPr>
        <w:spacing w:after="0"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预埋件、预留管线的规格、数量、位置；</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3</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其他隐蔽项目。</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w:t>
      </w:r>
      <w:r>
        <w:rPr>
          <w:rFonts w:hint="eastAsia" w:ascii="Times New Roman" w:hAnsi="Times New Roman" w:eastAsia="宋体" w:cs="Times New Roman"/>
          <w:b/>
          <w:color w:val="auto"/>
          <w:sz w:val="24"/>
          <w:szCs w:val="24"/>
          <w:highlight w:val="none"/>
        </w:rPr>
        <w:t>1</w:t>
      </w:r>
      <w:r>
        <w:rPr>
          <w:rFonts w:ascii="Times New Roman" w:hAnsi="Times New Roman" w:eastAsia="宋体" w:cs="Times New Roman"/>
          <w:b/>
          <w:color w:val="auto"/>
          <w:sz w:val="24"/>
          <w:szCs w:val="24"/>
          <w:highlight w:val="none"/>
        </w:rPr>
        <w:t>.4</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混凝土结构子分部工程施工质量验收时，应提供下列文件和记录：</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1</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工程设计文件、</w:t>
      </w:r>
      <w:r>
        <w:rPr>
          <w:rFonts w:hint="eastAsia" w:ascii="Times New Roman" w:hAnsi="Times New Roman" w:eastAsia="宋体" w:cs="Times New Roman"/>
          <w:color w:val="auto"/>
          <w:sz w:val="24"/>
          <w:szCs w:val="24"/>
          <w:highlight w:val="none"/>
        </w:rPr>
        <w:t>支架预应力混凝土叠合板</w:t>
      </w:r>
      <w:r>
        <w:rPr>
          <w:rFonts w:ascii="Times New Roman" w:hAnsi="宋体" w:eastAsia="宋体" w:cs="Times New Roman"/>
          <w:color w:val="auto"/>
          <w:sz w:val="24"/>
          <w:highlight w:val="none"/>
        </w:rPr>
        <w:t>安装施工图和加工制作详图；</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2</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hint="eastAsia" w:ascii="Times New Roman" w:hAnsi="宋体" w:eastAsia="宋体" w:cs="Times New Roman"/>
          <w:color w:val="auto"/>
          <w:sz w:val="24"/>
          <w:highlight w:val="none"/>
        </w:rPr>
        <w:t>的</w:t>
      </w:r>
      <w:r>
        <w:rPr>
          <w:rFonts w:ascii="Times New Roman" w:hAnsi="宋体" w:eastAsia="宋体" w:cs="Times New Roman"/>
          <w:color w:val="auto"/>
          <w:sz w:val="24"/>
          <w:highlight w:val="none"/>
        </w:rPr>
        <w:t>主要材料及配件的质量证明文件、进场验收记录和抽样复验报告；</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3</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highlight w:val="none"/>
        </w:rPr>
        <w:t>吊装施工记录；</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4</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隐蔽工程验收文件；</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5</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后浇混凝土强度检测报告；</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6</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装配式结构分项工程质量验收文件；</w:t>
      </w:r>
    </w:p>
    <w:p>
      <w:pPr>
        <w:spacing w:after="0" w:line="360" w:lineRule="auto"/>
        <w:ind w:firstLine="48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z w:val="24"/>
          <w:highlight w:val="none"/>
        </w:rPr>
        <w:t>7</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rPr>
        <w:t xml:space="preserve"> </w:t>
      </w:r>
      <w:r>
        <w:rPr>
          <w:rFonts w:ascii="Times New Roman" w:hAnsi="宋体" w:eastAsia="宋体" w:cs="Times New Roman"/>
          <w:color w:val="auto"/>
          <w:sz w:val="24"/>
          <w:highlight w:val="none"/>
        </w:rPr>
        <w:t>其他相关文件和记录。</w:t>
      </w:r>
    </w:p>
    <w:p>
      <w:pPr>
        <w:pStyle w:val="25"/>
        <w:spacing w:beforeLines="0" w:after="312" w:line="360" w:lineRule="auto"/>
        <w:rPr>
          <w:color w:val="auto"/>
          <w:highlight w:val="none"/>
        </w:rPr>
      </w:pPr>
      <w:bookmarkStart w:id="70" w:name="_Toc111709536"/>
      <w:r>
        <w:rPr>
          <w:color w:val="auto"/>
          <w:highlight w:val="none"/>
        </w:rPr>
        <w:t>10.2</w:t>
      </w:r>
      <w:r>
        <w:rPr>
          <w:rFonts w:hAnsi="宋体"/>
          <w:color w:val="auto"/>
          <w:highlight w:val="none"/>
        </w:rPr>
        <w:t>构件出厂检验</w:t>
      </w:r>
      <w:bookmarkEnd w:id="70"/>
    </w:p>
    <w:p>
      <w:pPr>
        <w:spacing w:after="240"/>
        <w:jc w:val="center"/>
        <w:rPr>
          <w:rFonts w:ascii="宋体" w:hAnsi="宋体" w:eastAsia="宋体"/>
          <w:b/>
          <w:color w:val="auto"/>
          <w:sz w:val="24"/>
          <w:szCs w:val="24"/>
          <w:highlight w:val="none"/>
        </w:rPr>
      </w:pPr>
      <w:r>
        <w:rPr>
          <w:rFonts w:ascii="宋体" w:hAnsi="宋体" w:eastAsia="宋体"/>
          <w:b/>
          <w:color w:val="auto"/>
          <w:sz w:val="24"/>
          <w:szCs w:val="24"/>
          <w:highlight w:val="none"/>
        </w:rPr>
        <w:fldChar w:fldCharType="begin"/>
      </w:r>
      <w:r>
        <w:rPr>
          <w:rFonts w:ascii="宋体" w:hAnsi="宋体" w:eastAsia="宋体"/>
          <w:b/>
          <w:color w:val="auto"/>
          <w:sz w:val="24"/>
          <w:szCs w:val="24"/>
          <w:highlight w:val="none"/>
        </w:rPr>
        <w:instrText xml:space="preserve"> = 1 \* ROMAN </w:instrText>
      </w:r>
      <w:r>
        <w:rPr>
          <w:rFonts w:ascii="宋体" w:hAnsi="宋体" w:eastAsia="宋体"/>
          <w:b/>
          <w:color w:val="auto"/>
          <w:sz w:val="24"/>
          <w:szCs w:val="24"/>
          <w:highlight w:val="none"/>
        </w:rPr>
        <w:fldChar w:fldCharType="separate"/>
      </w:r>
      <w:r>
        <w:rPr>
          <w:rFonts w:ascii="宋体" w:hAnsi="宋体" w:eastAsia="宋体"/>
          <w:b/>
          <w:color w:val="auto"/>
          <w:sz w:val="24"/>
          <w:szCs w:val="24"/>
          <w:highlight w:val="none"/>
        </w:rPr>
        <w:t>I</w:t>
      </w:r>
      <w:r>
        <w:rPr>
          <w:rFonts w:ascii="宋体" w:hAnsi="宋体" w:eastAsia="宋体"/>
          <w:b/>
          <w:color w:val="auto"/>
          <w:sz w:val="24"/>
          <w:szCs w:val="24"/>
          <w:highlight w:val="none"/>
        </w:rPr>
        <w:fldChar w:fldCharType="end"/>
      </w:r>
      <w:r>
        <w:rPr>
          <w:rFonts w:ascii="宋体" w:hAnsi="宋体" w:eastAsia="宋体"/>
          <w:b/>
          <w:color w:val="auto"/>
          <w:sz w:val="24"/>
          <w:szCs w:val="24"/>
          <w:highlight w:val="none"/>
        </w:rPr>
        <w:t xml:space="preserve"> 主控项目</w:t>
      </w:r>
    </w:p>
    <w:p>
      <w:pPr>
        <w:pStyle w:val="26"/>
        <w:widowControl w:val="0"/>
        <w:numPr>
          <w:ilvl w:val="2"/>
          <w:numId w:val="4"/>
        </w:numPr>
        <w:tabs>
          <w:tab w:val="left" w:pos="777"/>
        </w:tabs>
        <w:spacing w:after="0" w:line="360" w:lineRule="auto"/>
        <w:ind w:firstLineChars="0"/>
        <w:jc w:val="both"/>
        <w:outlineLvl w:val="2"/>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进场时，应检查质量证明文件和标识。</w:t>
      </w:r>
    </w:p>
    <w:p>
      <w:pPr>
        <w:spacing w:after="0" w:line="360" w:lineRule="auto"/>
        <w:ind w:firstLine="482"/>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检查数量：全数检查。</w:t>
      </w:r>
    </w:p>
    <w:p>
      <w:pPr>
        <w:spacing w:after="0" w:line="360" w:lineRule="auto"/>
        <w:ind w:firstLine="482"/>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检验方法：检查质量证明文件或质量验收记录。</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10.2.</w:t>
      </w:r>
      <w:r>
        <w:rPr>
          <w:rFonts w:hint="eastAsia" w:ascii="Times New Roman" w:hAnsi="Times New Roman" w:eastAsia="宋体" w:cs="Times New Roman"/>
          <w:b/>
          <w:color w:val="auto"/>
          <w:sz w:val="24"/>
          <w:szCs w:val="24"/>
          <w:highlight w:val="none"/>
        </w:rPr>
        <w:t>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的混凝土外观质量不应有严重缺陷，且不应有影响结构性能和安装、使用功能的尺寸偏差</w:t>
      </w:r>
      <w:r>
        <w:rPr>
          <w:rFonts w:hint="eastAsia" w:ascii="Times New Roman" w:hAnsi="宋体" w:eastAsia="宋体" w:cs="Times New Roman"/>
          <w:color w:val="auto"/>
          <w:sz w:val="24"/>
          <w:szCs w:val="24"/>
          <w:highlight w:val="none"/>
        </w:rPr>
        <w:t>，</w:t>
      </w:r>
      <w:bookmarkStart w:id="71" w:name="_Hlk111654912"/>
      <w:r>
        <w:rPr>
          <w:rFonts w:hint="eastAsia" w:ascii="Times New Roman" w:hAnsi="宋体" w:eastAsia="宋体" w:cs="Times New Roman"/>
          <w:color w:val="auto"/>
          <w:sz w:val="24"/>
          <w:szCs w:val="24"/>
          <w:highlight w:val="none"/>
        </w:rPr>
        <w:t>螺栓孔的允许偏差和孔壁表面粗糙度，均应符合现行国家标准《钢结构工程施工质量验收规范》</w:t>
      </w:r>
      <w:r>
        <w:rPr>
          <w:rFonts w:ascii="Times New Roman" w:hAnsi="宋体" w:eastAsia="宋体" w:cs="Times New Roman"/>
          <w:color w:val="auto"/>
          <w:sz w:val="24"/>
          <w:szCs w:val="24"/>
          <w:highlight w:val="none"/>
        </w:rPr>
        <w:t>GB 50205</w:t>
      </w:r>
      <w:r>
        <w:rPr>
          <w:rFonts w:hint="eastAsia" w:ascii="Times New Roman" w:hAnsi="宋体" w:eastAsia="宋体" w:cs="Times New Roman"/>
          <w:color w:val="auto"/>
          <w:sz w:val="24"/>
          <w:szCs w:val="24"/>
          <w:highlight w:val="none"/>
        </w:rPr>
        <w:t>相关规定</w:t>
      </w:r>
      <w:r>
        <w:rPr>
          <w:rFonts w:ascii="Times New Roman" w:hAnsi="宋体" w:eastAsia="宋体" w:cs="Times New Roman"/>
          <w:color w:val="auto"/>
          <w:sz w:val="24"/>
          <w:szCs w:val="24"/>
          <w:highlight w:val="none"/>
        </w:rPr>
        <w:t>。</w:t>
      </w:r>
      <w:bookmarkEnd w:id="71"/>
    </w:p>
    <w:p>
      <w:pPr>
        <w:spacing w:after="0"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检查数量：全数检查。</w:t>
      </w:r>
    </w:p>
    <w:p>
      <w:pPr>
        <w:spacing w:after="0" w:line="360" w:lineRule="auto"/>
        <w:ind w:firstLine="240" w:firstLineChars="1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检验方法：观察、尺量；检查处理记录。</w:t>
      </w:r>
    </w:p>
    <w:p>
      <w:pPr>
        <w:spacing w:after="0" w:line="360" w:lineRule="auto"/>
        <w:jc w:val="center"/>
        <w:rPr>
          <w:rFonts w:ascii="Times New Roman" w:hAnsi="Times New Roman" w:eastAsia="宋体" w:cs="Times New Roman"/>
          <w:b/>
          <w:color w:val="auto"/>
          <w:sz w:val="24"/>
          <w:szCs w:val="24"/>
          <w:highlight w:val="none"/>
        </w:rPr>
      </w:pPr>
    </w:p>
    <w:p>
      <w:pPr>
        <w:spacing w:after="240"/>
        <w:jc w:val="center"/>
        <w:rPr>
          <w:rFonts w:ascii="宋体" w:hAnsi="宋体" w:eastAsia="宋体"/>
          <w:b/>
          <w:color w:val="auto"/>
          <w:sz w:val="24"/>
          <w:szCs w:val="24"/>
          <w:highlight w:val="none"/>
        </w:rPr>
      </w:pPr>
      <w:r>
        <w:rPr>
          <w:rFonts w:ascii="宋体" w:hAnsi="宋体" w:eastAsia="宋体"/>
          <w:b/>
          <w:color w:val="auto"/>
          <w:sz w:val="24"/>
          <w:szCs w:val="24"/>
          <w:highlight w:val="none"/>
        </w:rPr>
        <w:fldChar w:fldCharType="begin"/>
      </w:r>
      <w:r>
        <w:rPr>
          <w:rFonts w:ascii="宋体" w:hAnsi="宋体" w:eastAsia="宋体"/>
          <w:b/>
          <w:color w:val="auto"/>
          <w:sz w:val="24"/>
          <w:szCs w:val="24"/>
          <w:highlight w:val="none"/>
        </w:rPr>
        <w:instrText xml:space="preserve"> = 2 \* ROMAN </w:instrText>
      </w:r>
      <w:r>
        <w:rPr>
          <w:rFonts w:ascii="宋体" w:hAnsi="宋体" w:eastAsia="宋体"/>
          <w:b/>
          <w:color w:val="auto"/>
          <w:sz w:val="24"/>
          <w:szCs w:val="24"/>
          <w:highlight w:val="none"/>
        </w:rPr>
        <w:fldChar w:fldCharType="separate"/>
      </w:r>
      <w:r>
        <w:rPr>
          <w:rFonts w:ascii="宋体" w:hAnsi="宋体" w:eastAsia="宋体"/>
          <w:b/>
          <w:color w:val="auto"/>
          <w:sz w:val="24"/>
          <w:szCs w:val="24"/>
          <w:highlight w:val="none"/>
        </w:rPr>
        <w:t>II</w:t>
      </w:r>
      <w:r>
        <w:rPr>
          <w:rFonts w:ascii="宋体" w:hAnsi="宋体" w:eastAsia="宋体"/>
          <w:b/>
          <w:color w:val="auto"/>
          <w:sz w:val="24"/>
          <w:szCs w:val="24"/>
          <w:highlight w:val="none"/>
        </w:rPr>
        <w:fldChar w:fldCharType="end"/>
      </w:r>
      <w:r>
        <w:rPr>
          <w:rFonts w:ascii="宋体" w:hAnsi="宋体" w:eastAsia="宋体"/>
          <w:b/>
          <w:color w:val="auto"/>
          <w:sz w:val="24"/>
          <w:szCs w:val="24"/>
          <w:highlight w:val="none"/>
        </w:rPr>
        <w:t xml:space="preserve"> 一般项目</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10.2.</w:t>
      </w:r>
      <w:r>
        <w:rPr>
          <w:rFonts w:hint="eastAsia" w:ascii="Times New Roman" w:hAnsi="Times New Roman" w:eastAsia="宋体" w:cs="Times New Roman"/>
          <w:b/>
          <w:color w:val="auto"/>
          <w:sz w:val="24"/>
          <w:szCs w:val="24"/>
          <w:highlight w:val="none"/>
        </w:rPr>
        <w:t>3</w:t>
      </w:r>
      <w:r>
        <w:rPr>
          <w:rFonts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外观质量不应有一般缺陷，对出现的一般缺陷应要求构件生产单位按技术处理方案进行处理，并重新检查验收。</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检查数量：全数检查。</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检验方法：观察，检查技术处理方案和处理记录。</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10.2.</w:t>
      </w:r>
      <w:r>
        <w:rPr>
          <w:rFonts w:hint="eastAsia" w:ascii="Times New Roman" w:hAnsi="Times New Roman" w:eastAsia="宋体" w:cs="Times New Roman"/>
          <w:b/>
          <w:color w:val="auto"/>
          <w:sz w:val="24"/>
          <w:szCs w:val="24"/>
          <w:highlight w:val="none"/>
        </w:rPr>
        <w:t xml:space="preserve">4  </w:t>
      </w:r>
      <w:r>
        <w:rPr>
          <w:rFonts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的尺寸允许偏差和检验方法应符合本规范表</w:t>
      </w:r>
      <w:r>
        <w:rPr>
          <w:rFonts w:ascii="Times New Roman" w:hAnsi="Times New Roman" w:eastAsia="宋体" w:cs="Times New Roman"/>
          <w:color w:val="auto"/>
          <w:sz w:val="24"/>
          <w:szCs w:val="24"/>
          <w:highlight w:val="none"/>
        </w:rPr>
        <w:t>8.3.5</w:t>
      </w:r>
      <w:r>
        <w:rPr>
          <w:rFonts w:ascii="Times New Roman" w:hAnsi="宋体" w:eastAsia="宋体" w:cs="Times New Roman"/>
          <w:color w:val="auto"/>
          <w:sz w:val="24"/>
          <w:szCs w:val="24"/>
          <w:highlight w:val="none"/>
        </w:rPr>
        <w:t>的规定。</w:t>
      </w:r>
    </w:p>
    <w:p>
      <w:pPr>
        <w:spacing w:after="0" w:line="360" w:lineRule="auto"/>
        <w:ind w:firstLine="482"/>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检查数量：按批检查，同一规格构件抽检数量不应少于该规格构件数量的</w:t>
      </w:r>
      <w:r>
        <w:rPr>
          <w:rFonts w:ascii="Times New Roman" w:hAnsi="Times New Roman" w:eastAsia="宋体" w:cs="Times New Roman"/>
          <w:color w:val="auto"/>
          <w:sz w:val="24"/>
          <w:szCs w:val="24"/>
          <w:highlight w:val="none"/>
        </w:rPr>
        <w:t>5%</w:t>
      </w:r>
      <w:r>
        <w:rPr>
          <w:rFonts w:ascii="Times New Roman" w:hAnsi="宋体" w:eastAsia="宋体" w:cs="Times New Roman"/>
          <w:color w:val="auto"/>
          <w:sz w:val="24"/>
          <w:szCs w:val="24"/>
          <w:highlight w:val="none"/>
        </w:rPr>
        <w:t>且不少于</w:t>
      </w:r>
      <w:r>
        <w:rPr>
          <w:rFonts w:ascii="Times New Roman" w:hAnsi="Times New Roman" w:eastAsia="宋体" w:cs="Times New Roman"/>
          <w:color w:val="auto"/>
          <w:sz w:val="24"/>
          <w:szCs w:val="24"/>
          <w:highlight w:val="none"/>
        </w:rPr>
        <w:t>3</w:t>
      </w:r>
      <w:r>
        <w:rPr>
          <w:rFonts w:ascii="Times New Roman" w:hAnsi="宋体" w:eastAsia="宋体" w:cs="Times New Roman"/>
          <w:color w:val="auto"/>
          <w:sz w:val="24"/>
          <w:szCs w:val="24"/>
          <w:highlight w:val="none"/>
        </w:rPr>
        <w:t>件。</w:t>
      </w:r>
    </w:p>
    <w:p>
      <w:pPr>
        <w:pStyle w:val="25"/>
        <w:spacing w:beforeLines="0" w:after="312" w:line="360" w:lineRule="auto"/>
        <w:rPr>
          <w:color w:val="auto"/>
          <w:highlight w:val="none"/>
        </w:rPr>
      </w:pPr>
      <w:bookmarkStart w:id="72" w:name="_Toc111709537"/>
      <w:r>
        <w:rPr>
          <w:color w:val="auto"/>
          <w:highlight w:val="none"/>
        </w:rPr>
        <w:t>10.3</w:t>
      </w:r>
      <w:r>
        <w:rPr>
          <w:rFonts w:hAnsi="宋体"/>
          <w:color w:val="auto"/>
          <w:highlight w:val="none"/>
        </w:rPr>
        <w:t>叠合板质量验收</w:t>
      </w:r>
      <w:bookmarkEnd w:id="72"/>
    </w:p>
    <w:p>
      <w:pPr>
        <w:spacing w:after="240"/>
        <w:jc w:val="center"/>
        <w:rPr>
          <w:rFonts w:ascii="宋体" w:hAnsi="宋体" w:eastAsia="宋体"/>
          <w:b/>
          <w:color w:val="auto"/>
          <w:sz w:val="24"/>
          <w:szCs w:val="24"/>
          <w:highlight w:val="none"/>
        </w:rPr>
      </w:pPr>
      <w:r>
        <w:rPr>
          <w:rFonts w:ascii="宋体" w:hAnsi="宋体" w:eastAsia="宋体"/>
          <w:b/>
          <w:color w:val="auto"/>
          <w:sz w:val="24"/>
          <w:szCs w:val="24"/>
          <w:highlight w:val="none"/>
        </w:rPr>
        <w:fldChar w:fldCharType="begin"/>
      </w:r>
      <w:r>
        <w:rPr>
          <w:rFonts w:ascii="宋体" w:hAnsi="宋体" w:eastAsia="宋体"/>
          <w:b/>
          <w:color w:val="auto"/>
          <w:sz w:val="24"/>
          <w:szCs w:val="24"/>
          <w:highlight w:val="none"/>
        </w:rPr>
        <w:instrText xml:space="preserve"> = 1 \* ROMAN </w:instrText>
      </w:r>
      <w:r>
        <w:rPr>
          <w:rFonts w:ascii="宋体" w:hAnsi="宋体" w:eastAsia="宋体"/>
          <w:b/>
          <w:color w:val="auto"/>
          <w:sz w:val="24"/>
          <w:szCs w:val="24"/>
          <w:highlight w:val="none"/>
        </w:rPr>
        <w:fldChar w:fldCharType="separate"/>
      </w:r>
      <w:r>
        <w:rPr>
          <w:rFonts w:ascii="宋体" w:hAnsi="宋体" w:eastAsia="宋体"/>
          <w:b/>
          <w:color w:val="auto"/>
          <w:sz w:val="24"/>
          <w:szCs w:val="24"/>
          <w:highlight w:val="none"/>
        </w:rPr>
        <w:t>I</w:t>
      </w:r>
      <w:r>
        <w:rPr>
          <w:rFonts w:ascii="宋体" w:hAnsi="宋体" w:eastAsia="宋体"/>
          <w:b/>
          <w:color w:val="auto"/>
          <w:sz w:val="24"/>
          <w:szCs w:val="24"/>
          <w:highlight w:val="none"/>
        </w:rPr>
        <w:fldChar w:fldCharType="end"/>
      </w:r>
      <w:r>
        <w:rPr>
          <w:rFonts w:ascii="宋体" w:hAnsi="宋体" w:eastAsia="宋体"/>
          <w:b/>
          <w:color w:val="auto"/>
          <w:sz w:val="24"/>
          <w:szCs w:val="24"/>
          <w:highlight w:val="none"/>
        </w:rPr>
        <w:t xml:space="preserve"> 主控项目</w:t>
      </w:r>
    </w:p>
    <w:p>
      <w:pPr>
        <w:spacing w:after="0" w:line="360" w:lineRule="auto"/>
        <w:outlineLvl w:val="2"/>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10.3.1</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安装的临时支撑措施应符合设计、专项施工方案要求及国家现行有关标准的规定。</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检查数量：全数检查。</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检验方法：观察；检查施工方案、施工记录或设计文件。</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10.3.2</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ascii="Times New Roman" w:hAnsi="宋体" w:eastAsia="宋体" w:cs="Times New Roman"/>
          <w:color w:val="auto"/>
          <w:sz w:val="24"/>
          <w:szCs w:val="24"/>
          <w:highlight w:val="none"/>
        </w:rPr>
        <w:t>在浇筑叠合层混凝土之前，应进行钢筋隐蔽工程验收，其内容包括钢筋品种、规格、数量、位置和连接接头位置以及预埋管、线盒数量、位置等。</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检查数量：全数检查。</w:t>
      </w:r>
    </w:p>
    <w:p>
      <w:pPr>
        <w:spacing w:after="0" w:line="360" w:lineRule="auto"/>
        <w:ind w:firstLine="480" w:firstLineChars="200"/>
        <w:rPr>
          <w:rFonts w:ascii="Times New Roman" w:hAnsi="Times New Roman" w:eastAsia="宋体" w:cs="Times New Roman"/>
          <w:b/>
          <w:color w:val="auto"/>
          <w:sz w:val="24"/>
          <w:szCs w:val="24"/>
          <w:highlight w:val="none"/>
        </w:rPr>
      </w:pPr>
      <w:r>
        <w:rPr>
          <w:rFonts w:ascii="Times New Roman" w:hAnsi="宋体" w:eastAsia="宋体" w:cs="Times New Roman"/>
          <w:color w:val="auto"/>
          <w:sz w:val="24"/>
          <w:szCs w:val="24"/>
          <w:highlight w:val="none"/>
        </w:rPr>
        <w:t>检验方法：观察；钢尺检查。</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10.3.3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叠合层后浇混凝土强度应符合设计要求。</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检查数量：按批检查。</w:t>
      </w:r>
    </w:p>
    <w:p>
      <w:pPr>
        <w:spacing w:after="0" w:line="360" w:lineRule="auto"/>
        <w:ind w:firstLine="480" w:firstLineChars="200"/>
        <w:rPr>
          <w:rFonts w:ascii="仿宋" w:hAnsi="仿宋" w:eastAsia="仿宋" w:cs="Times New Roman"/>
          <w:color w:val="auto"/>
          <w:sz w:val="24"/>
          <w:szCs w:val="24"/>
          <w:highlight w:val="none"/>
        </w:rPr>
      </w:pPr>
      <w:r>
        <w:rPr>
          <w:rFonts w:ascii="Times New Roman" w:hAnsi="宋体" w:eastAsia="宋体" w:cs="Times New Roman"/>
          <w:color w:val="auto"/>
          <w:sz w:val="24"/>
          <w:szCs w:val="24"/>
          <w:highlight w:val="none"/>
        </w:rPr>
        <w:t>检验方法：检查混凝土强度试验报告。</w:t>
      </w:r>
    </w:p>
    <w:p>
      <w:pPr>
        <w:spacing w:after="0" w:line="360" w:lineRule="auto"/>
        <w:outlineLvl w:val="2"/>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 xml:space="preserve">10.3.4 </w:t>
      </w:r>
      <w:r>
        <w:rPr>
          <w:rFonts w:hint="eastAsia" w:ascii="Times New Roman" w:hAnsi="Times New Roman" w:eastAsia="宋体" w:cs="Times New Roman"/>
          <w:b/>
          <w:color w:val="auto"/>
          <w:sz w:val="24"/>
          <w:szCs w:val="24"/>
          <w:highlight w:val="none"/>
        </w:rPr>
        <w:t xml:space="preserve">  </w:t>
      </w:r>
      <w:r>
        <w:rPr>
          <w:rFonts w:ascii="Times New Roman" w:hAnsi="宋体" w:eastAsia="宋体" w:cs="Times New Roman"/>
          <w:color w:val="auto"/>
          <w:sz w:val="24"/>
          <w:szCs w:val="24"/>
          <w:highlight w:val="none"/>
        </w:rPr>
        <w:t>混凝土运输、浇筑及间歇的全部时间不应超过混凝土的初凝时间。</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检查数量：全数检查。</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检验方法：观察；检查施工记录。</w:t>
      </w:r>
    </w:p>
    <w:p>
      <w:pPr>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10.3.5</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底部座浆强度应满足设计要求。</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检查数量：按批检验，以每层为一检验批；每工作班同一配合比应制作</w:t>
      </w:r>
      <w:r>
        <w:rPr>
          <w:rFonts w:ascii="Times New Roman" w:hAnsi="Times New Roman" w:eastAsia="宋体" w:cs="Times New Roman"/>
          <w:color w:val="auto"/>
          <w:sz w:val="24"/>
          <w:szCs w:val="24"/>
          <w:highlight w:val="none"/>
        </w:rPr>
        <w:t>1</w:t>
      </w:r>
      <w:r>
        <w:rPr>
          <w:rFonts w:ascii="Times New Roman" w:hAnsi="宋体" w:eastAsia="宋体" w:cs="Times New Roman"/>
          <w:color w:val="auto"/>
          <w:sz w:val="24"/>
          <w:szCs w:val="24"/>
          <w:highlight w:val="none"/>
        </w:rPr>
        <w:t>组且每层不应少于</w:t>
      </w:r>
      <w:r>
        <w:rPr>
          <w:rFonts w:ascii="Times New Roman" w:hAnsi="Times New Roman" w:eastAsia="宋体" w:cs="Times New Roman"/>
          <w:color w:val="auto"/>
          <w:sz w:val="24"/>
          <w:szCs w:val="24"/>
          <w:highlight w:val="none"/>
        </w:rPr>
        <w:t>3</w:t>
      </w:r>
      <w:r>
        <w:rPr>
          <w:rFonts w:ascii="Times New Roman" w:hAnsi="宋体" w:eastAsia="宋体" w:cs="Times New Roman"/>
          <w:color w:val="auto"/>
          <w:sz w:val="24"/>
          <w:szCs w:val="24"/>
          <w:highlight w:val="none"/>
        </w:rPr>
        <w:t>组边长为</w:t>
      </w:r>
      <w:r>
        <w:rPr>
          <w:rFonts w:ascii="Times New Roman" w:hAnsi="Times New Roman" w:eastAsia="宋体" w:cs="Times New Roman"/>
          <w:color w:val="auto"/>
          <w:sz w:val="24"/>
          <w:szCs w:val="24"/>
          <w:highlight w:val="none"/>
        </w:rPr>
        <w:t>70</w:t>
      </w:r>
      <w:r>
        <w:rPr>
          <w:rFonts w:hint="eastAsia" w:ascii="Times New Roman" w:hAnsi="宋体" w:eastAsia="宋体" w:cs="Times New Roman"/>
          <w:color w:val="auto"/>
          <w:sz w:val="24"/>
          <w:szCs w:val="24"/>
          <w:highlight w:val="none"/>
        </w:rPr>
        <w:t>.</w:t>
      </w:r>
      <w:r>
        <w:rPr>
          <w:rFonts w:ascii="Times New Roman" w:hAnsi="Times New Roman" w:eastAsia="宋体" w:cs="Times New Roman"/>
          <w:color w:val="auto"/>
          <w:sz w:val="24"/>
          <w:szCs w:val="24"/>
          <w:highlight w:val="none"/>
        </w:rPr>
        <w:t>7mm</w:t>
      </w:r>
      <w:r>
        <w:rPr>
          <w:rFonts w:ascii="Times New Roman" w:hAnsi="宋体" w:eastAsia="宋体" w:cs="Times New Roman"/>
          <w:color w:val="auto"/>
          <w:sz w:val="24"/>
          <w:szCs w:val="24"/>
          <w:highlight w:val="none"/>
        </w:rPr>
        <w:t>的立方体试件，标准养护</w:t>
      </w:r>
      <w:r>
        <w:rPr>
          <w:rFonts w:ascii="Times New Roman" w:hAnsi="Times New Roman" w:eastAsia="宋体" w:cs="Times New Roman"/>
          <w:color w:val="auto"/>
          <w:sz w:val="24"/>
          <w:szCs w:val="24"/>
          <w:highlight w:val="none"/>
        </w:rPr>
        <w:t>28d</w:t>
      </w:r>
      <w:r>
        <w:rPr>
          <w:rFonts w:ascii="Times New Roman" w:hAnsi="宋体" w:eastAsia="宋体" w:cs="Times New Roman"/>
          <w:color w:val="auto"/>
          <w:sz w:val="24"/>
          <w:szCs w:val="24"/>
          <w:highlight w:val="none"/>
        </w:rPr>
        <w:t>后进行抗压强度试验。</w:t>
      </w:r>
    </w:p>
    <w:p>
      <w:pPr>
        <w:spacing w:after="0" w:line="360" w:lineRule="auto"/>
        <w:ind w:firstLine="480" w:firstLineChars="20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检验方法：检查座浆材料强度试验报告及评定记录。</w:t>
      </w:r>
    </w:p>
    <w:p>
      <w:pPr>
        <w:spacing w:before="312" w:beforeLines="100" w:after="240"/>
        <w:jc w:val="center"/>
        <w:rPr>
          <w:rFonts w:ascii="宋体" w:hAnsi="宋体" w:eastAsia="宋体"/>
          <w:b/>
          <w:color w:val="auto"/>
          <w:sz w:val="24"/>
          <w:szCs w:val="24"/>
          <w:highlight w:val="none"/>
        </w:rPr>
      </w:pPr>
      <w:r>
        <w:rPr>
          <w:rFonts w:ascii="宋体" w:hAnsi="宋体" w:eastAsia="宋体"/>
          <w:b/>
          <w:color w:val="auto"/>
          <w:sz w:val="24"/>
          <w:szCs w:val="24"/>
          <w:highlight w:val="none"/>
        </w:rPr>
        <w:fldChar w:fldCharType="begin"/>
      </w:r>
      <w:r>
        <w:rPr>
          <w:rFonts w:ascii="宋体" w:hAnsi="宋体" w:eastAsia="宋体"/>
          <w:b/>
          <w:color w:val="auto"/>
          <w:sz w:val="24"/>
          <w:szCs w:val="24"/>
          <w:highlight w:val="none"/>
        </w:rPr>
        <w:instrText xml:space="preserve"> = 2 \* ROMAN </w:instrText>
      </w:r>
      <w:r>
        <w:rPr>
          <w:rFonts w:ascii="宋体" w:hAnsi="宋体" w:eastAsia="宋体"/>
          <w:b/>
          <w:color w:val="auto"/>
          <w:sz w:val="24"/>
          <w:szCs w:val="24"/>
          <w:highlight w:val="none"/>
        </w:rPr>
        <w:fldChar w:fldCharType="separate"/>
      </w:r>
      <w:r>
        <w:rPr>
          <w:rFonts w:ascii="宋体" w:hAnsi="宋体" w:eastAsia="宋体"/>
          <w:b/>
          <w:color w:val="auto"/>
          <w:sz w:val="24"/>
          <w:szCs w:val="24"/>
          <w:highlight w:val="none"/>
        </w:rPr>
        <w:t>II</w:t>
      </w:r>
      <w:r>
        <w:rPr>
          <w:rFonts w:ascii="宋体" w:hAnsi="宋体" w:eastAsia="宋体"/>
          <w:b/>
          <w:color w:val="auto"/>
          <w:sz w:val="24"/>
          <w:szCs w:val="24"/>
          <w:highlight w:val="none"/>
        </w:rPr>
        <w:fldChar w:fldCharType="end"/>
      </w:r>
      <w:r>
        <w:rPr>
          <w:rFonts w:ascii="宋体" w:hAnsi="宋体" w:eastAsia="宋体"/>
          <w:b/>
          <w:color w:val="auto"/>
          <w:sz w:val="24"/>
          <w:szCs w:val="24"/>
          <w:highlight w:val="none"/>
        </w:rPr>
        <w:t xml:space="preserve"> 一般项目</w:t>
      </w:r>
    </w:p>
    <w:p>
      <w:pPr>
        <w:overflowPunct w:val="0"/>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 xml:space="preserve">10.3.6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安装的尺寸允许偏差及检验方法应符合设计要求；当设计无具体要求时，应符合表</w:t>
      </w:r>
      <w:r>
        <w:rPr>
          <w:rFonts w:ascii="Times New Roman" w:hAnsi="Times New Roman" w:eastAsia="宋体" w:cs="Times New Roman"/>
          <w:color w:val="auto"/>
          <w:sz w:val="24"/>
          <w:szCs w:val="24"/>
          <w:highlight w:val="none"/>
        </w:rPr>
        <w:t>10.3.6</w:t>
      </w:r>
      <w:r>
        <w:rPr>
          <w:rFonts w:ascii="Times New Roman" w:hAnsi="宋体" w:eastAsia="宋体" w:cs="Times New Roman"/>
          <w:color w:val="auto"/>
          <w:sz w:val="24"/>
          <w:szCs w:val="24"/>
          <w:highlight w:val="none"/>
        </w:rPr>
        <w:t>的规定。</w:t>
      </w:r>
    </w:p>
    <w:p>
      <w:pPr>
        <w:overflowPunct w:val="0"/>
        <w:spacing w:after="0" w:line="360" w:lineRule="auto"/>
        <w:ind w:firstLine="360" w:firstLineChars="150"/>
        <w:rPr>
          <w:rFonts w:ascii="Times New Roman" w:hAnsi="Times New Roman" w:eastAsia="宋体" w:cs="Times New Roman"/>
          <w:color w:val="auto"/>
          <w:sz w:val="24"/>
          <w:szCs w:val="24"/>
          <w:highlight w:val="none"/>
        </w:rPr>
      </w:pPr>
      <w:r>
        <w:rPr>
          <w:rFonts w:ascii="Times New Roman" w:hAnsi="宋体" w:eastAsia="宋体" w:cs="Times New Roman"/>
          <w:color w:val="auto"/>
          <w:sz w:val="24"/>
          <w:szCs w:val="24"/>
          <w:highlight w:val="none"/>
        </w:rPr>
        <w:t>检查数量：按楼层、结构缝或施工段划分检验批。同一检验批内，应按有代表性的自然间抽查</w:t>
      </w:r>
      <w:r>
        <w:rPr>
          <w:rFonts w:ascii="Times New Roman" w:hAnsi="Times New Roman" w:eastAsia="宋体" w:cs="Times New Roman"/>
          <w:color w:val="auto"/>
          <w:sz w:val="24"/>
          <w:szCs w:val="24"/>
          <w:highlight w:val="none"/>
        </w:rPr>
        <w:t>10%</w:t>
      </w:r>
      <w:r>
        <w:rPr>
          <w:rFonts w:ascii="Times New Roman" w:hAnsi="宋体" w:eastAsia="宋体" w:cs="Times New Roman"/>
          <w:color w:val="auto"/>
          <w:sz w:val="24"/>
          <w:szCs w:val="24"/>
          <w:highlight w:val="none"/>
        </w:rPr>
        <w:t>，且不小于</w:t>
      </w:r>
      <w:r>
        <w:rPr>
          <w:rFonts w:ascii="Times New Roman" w:hAnsi="Times New Roman" w:eastAsia="宋体" w:cs="Times New Roman"/>
          <w:color w:val="auto"/>
          <w:sz w:val="24"/>
          <w:szCs w:val="24"/>
          <w:highlight w:val="none"/>
        </w:rPr>
        <w:t>3</w:t>
      </w:r>
      <w:r>
        <w:rPr>
          <w:rFonts w:ascii="Times New Roman" w:hAnsi="宋体" w:eastAsia="宋体" w:cs="Times New Roman"/>
          <w:color w:val="auto"/>
          <w:sz w:val="24"/>
          <w:szCs w:val="24"/>
          <w:highlight w:val="none"/>
        </w:rPr>
        <w:t>间；对大空间结构，可按纵、横轴线划分检查面，抽查</w:t>
      </w:r>
      <w:r>
        <w:rPr>
          <w:rFonts w:ascii="Times New Roman" w:hAnsi="Times New Roman" w:eastAsia="宋体" w:cs="Times New Roman"/>
          <w:color w:val="auto"/>
          <w:sz w:val="24"/>
          <w:szCs w:val="24"/>
          <w:highlight w:val="none"/>
        </w:rPr>
        <w:t>10%</w:t>
      </w:r>
      <w:r>
        <w:rPr>
          <w:rFonts w:ascii="Times New Roman" w:hAnsi="宋体" w:eastAsia="宋体" w:cs="Times New Roman"/>
          <w:color w:val="auto"/>
          <w:sz w:val="24"/>
          <w:szCs w:val="24"/>
          <w:highlight w:val="none"/>
        </w:rPr>
        <w:t>，且不少于</w:t>
      </w:r>
      <w:r>
        <w:rPr>
          <w:rFonts w:ascii="Times New Roman" w:hAnsi="Times New Roman" w:eastAsia="宋体" w:cs="Times New Roman"/>
          <w:color w:val="auto"/>
          <w:sz w:val="24"/>
          <w:szCs w:val="24"/>
          <w:highlight w:val="none"/>
        </w:rPr>
        <w:t>3</w:t>
      </w:r>
      <w:r>
        <w:rPr>
          <w:rFonts w:ascii="Times New Roman" w:hAnsi="宋体" w:eastAsia="宋体" w:cs="Times New Roman"/>
          <w:color w:val="auto"/>
          <w:sz w:val="24"/>
          <w:szCs w:val="24"/>
          <w:highlight w:val="none"/>
        </w:rPr>
        <w:t>面。</w:t>
      </w:r>
    </w:p>
    <w:p>
      <w:pPr>
        <w:spacing w:after="0" w:line="324" w:lineRule="auto"/>
        <w:jc w:val="center"/>
        <w:rPr>
          <w:rFonts w:ascii="Times New Roman" w:cs="Times New Roman" w:hAnsiTheme="minorEastAsia" w:eastAsiaTheme="minorEastAsia"/>
          <w:b/>
          <w:color w:val="auto"/>
          <w:sz w:val="21"/>
          <w:szCs w:val="21"/>
          <w:highlight w:val="none"/>
        </w:rPr>
      </w:pPr>
      <w:r>
        <w:rPr>
          <w:rFonts w:ascii="Times New Roman" w:cs="Times New Roman" w:hAnsiTheme="minorEastAsia" w:eastAsiaTheme="minorEastAsia"/>
          <w:b/>
          <w:color w:val="auto"/>
          <w:sz w:val="21"/>
          <w:szCs w:val="21"/>
          <w:highlight w:val="none"/>
        </w:rPr>
        <w:t xml:space="preserve">表10.3.6 </w:t>
      </w:r>
      <w:r>
        <w:rPr>
          <w:rFonts w:hint="eastAsia" w:ascii="Times New Roman" w:cs="Times New Roman" w:hAnsiTheme="minorEastAsia" w:eastAsiaTheme="minorEastAsia"/>
          <w:b/>
          <w:color w:val="auto"/>
          <w:sz w:val="21"/>
          <w:szCs w:val="21"/>
          <w:highlight w:val="none"/>
        </w:rPr>
        <w:t>支架预应力混凝土</w:t>
      </w:r>
      <w:r>
        <w:rPr>
          <w:rFonts w:ascii="Times New Roman" w:cs="Times New Roman" w:hAnsiTheme="minorEastAsia" w:eastAsiaTheme="minorEastAsia"/>
          <w:b/>
          <w:color w:val="auto"/>
          <w:sz w:val="21"/>
          <w:szCs w:val="21"/>
          <w:highlight w:val="none"/>
        </w:rPr>
        <w:t>叠合板安装允许偏差及检验方法</w:t>
      </w:r>
    </w:p>
    <w:tbl>
      <w:tblPr>
        <w:tblStyle w:val="16"/>
        <w:tblW w:w="85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860"/>
        <w:gridCol w:w="2190"/>
        <w:gridCol w:w="2336"/>
        <w:gridCol w:w="3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860" w:type="dxa"/>
            <w:tcBorders>
              <w:top w:val="single" w:color="auto" w:sz="12" w:space="0"/>
              <w:bottom w:val="single" w:color="auto" w:sz="4"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序号</w:t>
            </w:r>
          </w:p>
        </w:tc>
        <w:tc>
          <w:tcPr>
            <w:tcW w:w="2190" w:type="dxa"/>
            <w:tcBorders>
              <w:top w:val="single" w:color="auto" w:sz="12" w:space="0"/>
              <w:bottom w:val="single" w:color="auto" w:sz="4"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项目</w:t>
            </w:r>
          </w:p>
        </w:tc>
        <w:tc>
          <w:tcPr>
            <w:tcW w:w="2336" w:type="dxa"/>
            <w:tcBorders>
              <w:top w:val="single" w:color="auto" w:sz="12" w:space="0"/>
              <w:bottom w:val="single" w:color="auto" w:sz="4"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允许偏差（</w:t>
            </w:r>
            <w:r>
              <w:rPr>
                <w:rFonts w:ascii="Times New Roman" w:hAnsi="Times New Roman" w:eastAsia="宋体" w:cs="Times New Roman"/>
                <w:color w:val="auto"/>
                <w:sz w:val="21"/>
                <w:szCs w:val="21"/>
                <w:highlight w:val="none"/>
              </w:rPr>
              <w:t>mm</w:t>
            </w:r>
            <w:r>
              <w:rPr>
                <w:rFonts w:ascii="Times New Roman" w:hAnsi="宋体" w:eastAsia="宋体" w:cs="Times New Roman"/>
                <w:color w:val="auto"/>
                <w:sz w:val="21"/>
                <w:szCs w:val="21"/>
                <w:highlight w:val="none"/>
              </w:rPr>
              <w:t>）</w:t>
            </w:r>
          </w:p>
        </w:tc>
        <w:tc>
          <w:tcPr>
            <w:tcW w:w="3137" w:type="dxa"/>
            <w:tcBorders>
              <w:top w:val="single" w:color="auto" w:sz="12" w:space="0"/>
              <w:bottom w:val="single" w:color="auto" w:sz="4"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860" w:type="dxa"/>
            <w:tcBorders>
              <w:top w:val="single" w:color="auto" w:sz="4"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2190" w:type="dxa"/>
            <w:tcBorders>
              <w:top w:val="single" w:color="auto" w:sz="4"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板下表面标高</w:t>
            </w:r>
          </w:p>
        </w:tc>
        <w:tc>
          <w:tcPr>
            <w:tcW w:w="2336" w:type="dxa"/>
            <w:tcBorders>
              <w:top w:val="single" w:color="auto" w:sz="4"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3137" w:type="dxa"/>
            <w:tcBorders>
              <w:top w:val="single" w:color="auto" w:sz="4"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水准仪或拉线、钢尺检查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860" w:type="dxa"/>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p>
        </w:tc>
        <w:tc>
          <w:tcPr>
            <w:tcW w:w="2190" w:type="dxa"/>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搁置长度</w:t>
            </w:r>
          </w:p>
        </w:tc>
        <w:tc>
          <w:tcPr>
            <w:tcW w:w="2336" w:type="dxa"/>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±10</w:t>
            </w:r>
          </w:p>
        </w:tc>
        <w:tc>
          <w:tcPr>
            <w:tcW w:w="3137" w:type="dxa"/>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860" w:type="dxa"/>
            <w:vAlign w:val="center"/>
          </w:tcPr>
          <w:p>
            <w:pPr>
              <w:spacing w:after="0"/>
              <w:jc w:val="center"/>
              <w:rPr>
                <w:rFonts w:ascii="Times New Roman" w:hAnsi="Times New Roman" w:eastAsia="宋体" w:cs="Times New Roman"/>
                <w:strike/>
                <w:color w:val="auto"/>
                <w:sz w:val="21"/>
                <w:szCs w:val="21"/>
                <w:highlight w:val="none"/>
              </w:rPr>
            </w:pPr>
            <w:r>
              <w:rPr>
                <w:rFonts w:ascii="Times New Roman" w:hAnsi="Times New Roman" w:eastAsia="宋体" w:cs="Times New Roman"/>
                <w:color w:val="auto"/>
                <w:sz w:val="21"/>
                <w:szCs w:val="21"/>
                <w:highlight w:val="none"/>
              </w:rPr>
              <w:t>3</w:t>
            </w:r>
          </w:p>
        </w:tc>
        <w:tc>
          <w:tcPr>
            <w:tcW w:w="2190" w:type="dxa"/>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相邻板面高低差</w:t>
            </w:r>
          </w:p>
        </w:tc>
        <w:tc>
          <w:tcPr>
            <w:tcW w:w="2336" w:type="dxa"/>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w:t>
            </w:r>
          </w:p>
        </w:tc>
        <w:tc>
          <w:tcPr>
            <w:tcW w:w="3137" w:type="dxa"/>
            <w:vAlign w:val="center"/>
          </w:tcPr>
          <w:p>
            <w:pPr>
              <w:spacing w:after="0"/>
              <w:jc w:val="center"/>
              <w:rPr>
                <w:rFonts w:ascii="Times New Roman" w:hAnsi="Times New Roman" w:eastAsia="宋体" w:cs="Times New Roman"/>
                <w:color w:val="auto"/>
                <w:sz w:val="21"/>
                <w:szCs w:val="21"/>
                <w:highlight w:val="none"/>
              </w:rPr>
            </w:pPr>
            <w:r>
              <w:rPr>
                <w:rFonts w:ascii="Times New Roman" w:hAnsi="宋体" w:eastAsia="宋体" w:cs="Times New Roman"/>
                <w:color w:val="auto"/>
                <w:sz w:val="21"/>
                <w:szCs w:val="21"/>
                <w:highlight w:val="none"/>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860" w:type="dxa"/>
            <w:tcBorders>
              <w:bottom w:val="single" w:color="auto" w:sz="1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w:t>
            </w:r>
          </w:p>
        </w:tc>
        <w:tc>
          <w:tcPr>
            <w:tcW w:w="2190" w:type="dxa"/>
            <w:tcBorders>
              <w:bottom w:val="single" w:color="auto" w:sz="12" w:space="0"/>
            </w:tcBorders>
            <w:vAlign w:val="center"/>
          </w:tcPr>
          <w:p>
            <w:pPr>
              <w:spacing w:after="0"/>
              <w:jc w:val="center"/>
              <w:rPr>
                <w:rFonts w:ascii="Times New Roman" w:hAnsi="Times New Roman" w:eastAsia="宋体" w:cs="Times New Roman"/>
                <w:color w:val="auto"/>
                <w:sz w:val="21"/>
                <w:szCs w:val="21"/>
                <w:highlight w:val="none"/>
              </w:rPr>
            </w:pPr>
            <w:r>
              <w:rPr>
                <w:rFonts w:hint="eastAsia" w:ascii="Times New Roman" w:hAnsi="宋体" w:eastAsia="宋体" w:cs="Times New Roman"/>
                <w:color w:val="auto"/>
                <w:sz w:val="21"/>
                <w:szCs w:val="21"/>
                <w:highlight w:val="none"/>
              </w:rPr>
              <w:t>下表面</w:t>
            </w:r>
            <w:r>
              <w:rPr>
                <w:rFonts w:ascii="Times New Roman" w:hAnsi="宋体" w:eastAsia="宋体" w:cs="Times New Roman"/>
                <w:color w:val="auto"/>
                <w:sz w:val="21"/>
                <w:szCs w:val="21"/>
                <w:highlight w:val="none"/>
              </w:rPr>
              <w:t>平整度</w:t>
            </w:r>
          </w:p>
        </w:tc>
        <w:tc>
          <w:tcPr>
            <w:tcW w:w="2336" w:type="dxa"/>
            <w:tcBorders>
              <w:bottom w:val="single" w:color="auto" w:sz="1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3137" w:type="dxa"/>
            <w:tcBorders>
              <w:bottom w:val="single" w:color="auto" w:sz="12" w:space="0"/>
            </w:tcBorders>
            <w:vAlign w:val="center"/>
          </w:tcPr>
          <w:p>
            <w:pPr>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2m</w:t>
            </w:r>
            <w:r>
              <w:rPr>
                <w:rFonts w:ascii="Times New Roman" w:hAnsi="宋体" w:eastAsia="宋体" w:cs="Times New Roman"/>
                <w:color w:val="auto"/>
                <w:sz w:val="21"/>
                <w:szCs w:val="21"/>
                <w:highlight w:val="none"/>
              </w:rPr>
              <w:t>靠尺检查</w:t>
            </w:r>
          </w:p>
        </w:tc>
      </w:tr>
    </w:tbl>
    <w:p>
      <w:pPr>
        <w:spacing w:after="0" w:line="360" w:lineRule="auto"/>
        <w:ind w:firstLine="240" w:firstLineChars="100"/>
        <w:rPr>
          <w:rFonts w:ascii="Times New Roman" w:hAnsi="Times New Roman" w:eastAsia="宋体" w:cs="Times New Roman"/>
          <w:color w:val="auto"/>
          <w:sz w:val="24"/>
          <w:szCs w:val="24"/>
          <w:highlight w:val="none"/>
        </w:rPr>
      </w:pPr>
    </w:p>
    <w:p>
      <w:pPr>
        <w:tabs>
          <w:tab w:val="left" w:pos="777"/>
        </w:tabs>
        <w:spacing w:after="0" w:line="360" w:lineRule="auto"/>
        <w:outlineLvl w:val="2"/>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10.3.</w:t>
      </w:r>
      <w:r>
        <w:rPr>
          <w:rFonts w:hint="eastAsia" w:ascii="Times New Roman" w:hAnsi="Times New Roman" w:eastAsia="宋体" w:cs="Times New Roman"/>
          <w:b/>
          <w:color w:val="auto"/>
          <w:sz w:val="24"/>
          <w:szCs w:val="24"/>
          <w:highlight w:val="none"/>
        </w:rPr>
        <w:t>7</w:t>
      </w:r>
      <w:r>
        <w:rPr>
          <w:rFonts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hint="eastAsia" w:ascii="Times New Roman" w:hAnsi="Times New Roman" w:eastAsia="宋体" w:cs="Times New Roman"/>
          <w:color w:val="auto"/>
          <w:sz w:val="24"/>
          <w:szCs w:val="24"/>
          <w:highlight w:val="none"/>
        </w:rPr>
        <w:t>预制底板</w:t>
      </w:r>
      <w:r>
        <w:rPr>
          <w:rFonts w:ascii="Times New Roman" w:hAnsi="宋体" w:eastAsia="宋体" w:cs="Times New Roman"/>
          <w:color w:val="auto"/>
          <w:sz w:val="24"/>
          <w:szCs w:val="24"/>
          <w:highlight w:val="none"/>
        </w:rPr>
        <w:t>厚度允许偏差应符合设计要求；当设计无具体要求时，应为</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3</w:t>
      </w:r>
      <w:r>
        <w:rPr>
          <w:rFonts w:ascii="Times New Roman" w:hAnsi="Times New Roman" w:eastAsia="宋体" w:cs="Times New Roman"/>
          <w:color w:val="auto"/>
          <w:sz w:val="24"/>
          <w:szCs w:val="24"/>
          <w:highlight w:val="none"/>
        </w:rPr>
        <w:t>mm</w:t>
      </w:r>
      <w:r>
        <w:rPr>
          <w:rFonts w:ascii="Times New Roman" w:hAnsi="宋体" w:eastAsia="宋体" w:cs="Times New Roman"/>
          <w:color w:val="auto"/>
          <w:sz w:val="24"/>
          <w:szCs w:val="24"/>
          <w:highlight w:val="none"/>
        </w:rPr>
        <w:t>。</w:t>
      </w:r>
    </w:p>
    <w:p>
      <w:pPr>
        <w:tabs>
          <w:tab w:val="left" w:pos="777"/>
        </w:tabs>
        <w:spacing w:after="0" w:line="360" w:lineRule="auto"/>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t>检查数量：按楼层、结构缝或施工段划分检验批。同一检验批内，应按有代表性的自然间抽查</w:t>
      </w:r>
      <w:r>
        <w:rPr>
          <w:rFonts w:ascii="Times New Roman" w:hAnsi="Times New Roman" w:eastAsia="宋体" w:cs="Times New Roman"/>
          <w:color w:val="auto"/>
          <w:sz w:val="24"/>
          <w:szCs w:val="24"/>
          <w:highlight w:val="none"/>
        </w:rPr>
        <w:t>10%</w:t>
      </w:r>
      <w:r>
        <w:rPr>
          <w:rFonts w:ascii="Times New Roman" w:hAnsi="宋体" w:eastAsia="宋体" w:cs="Times New Roman"/>
          <w:color w:val="auto"/>
          <w:sz w:val="24"/>
          <w:szCs w:val="24"/>
          <w:highlight w:val="none"/>
        </w:rPr>
        <w:t>，且不小于</w:t>
      </w:r>
      <w:r>
        <w:rPr>
          <w:rFonts w:ascii="Times New Roman" w:hAnsi="Times New Roman" w:eastAsia="宋体" w:cs="Times New Roman"/>
          <w:color w:val="auto"/>
          <w:sz w:val="24"/>
          <w:szCs w:val="24"/>
          <w:highlight w:val="none"/>
        </w:rPr>
        <w:t>3</w:t>
      </w:r>
      <w:r>
        <w:rPr>
          <w:rFonts w:ascii="Times New Roman" w:hAnsi="宋体" w:eastAsia="宋体" w:cs="Times New Roman"/>
          <w:color w:val="auto"/>
          <w:sz w:val="24"/>
          <w:szCs w:val="24"/>
          <w:highlight w:val="none"/>
        </w:rPr>
        <w:t>间；对大空间结构，可按纵、横轴线划分检查面，抽查</w:t>
      </w:r>
      <w:r>
        <w:rPr>
          <w:rFonts w:ascii="Times New Roman" w:hAnsi="Times New Roman" w:eastAsia="宋体" w:cs="Times New Roman"/>
          <w:color w:val="auto"/>
          <w:sz w:val="24"/>
          <w:szCs w:val="24"/>
          <w:highlight w:val="none"/>
        </w:rPr>
        <w:t>10%</w:t>
      </w:r>
      <w:r>
        <w:rPr>
          <w:rFonts w:ascii="Times New Roman" w:hAnsi="宋体" w:eastAsia="宋体" w:cs="Times New Roman"/>
          <w:color w:val="auto"/>
          <w:sz w:val="24"/>
          <w:szCs w:val="24"/>
          <w:highlight w:val="none"/>
        </w:rPr>
        <w:t>，且不少于</w:t>
      </w:r>
      <w:r>
        <w:rPr>
          <w:rFonts w:ascii="Times New Roman" w:hAnsi="Times New Roman" w:eastAsia="宋体" w:cs="Times New Roman"/>
          <w:color w:val="auto"/>
          <w:sz w:val="24"/>
          <w:szCs w:val="24"/>
          <w:highlight w:val="none"/>
        </w:rPr>
        <w:t>3</w:t>
      </w:r>
      <w:r>
        <w:rPr>
          <w:rFonts w:ascii="Times New Roman" w:hAnsi="宋体" w:eastAsia="宋体" w:cs="Times New Roman"/>
          <w:color w:val="auto"/>
          <w:sz w:val="24"/>
          <w:szCs w:val="24"/>
          <w:highlight w:val="none"/>
        </w:rPr>
        <w:t>面。</w:t>
      </w:r>
    </w:p>
    <w:p>
      <w:pPr>
        <w:adjustRightInd/>
        <w:snapToGrid/>
        <w:spacing w:line="22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br w:type="page"/>
      </w:r>
    </w:p>
    <w:p>
      <w:pPr>
        <w:pStyle w:val="24"/>
        <w:spacing w:before="312" w:after="312"/>
        <w:rPr>
          <w:color w:val="auto"/>
          <w:highlight w:val="none"/>
        </w:rPr>
      </w:pPr>
      <w:bookmarkStart w:id="73" w:name="_Toc111709538"/>
      <w:r>
        <w:rPr>
          <w:color w:val="auto"/>
          <w:highlight w:val="none"/>
        </w:rPr>
        <w:t>本规程用词说明</w:t>
      </w:r>
      <w:bookmarkEnd w:id="73"/>
    </w:p>
    <w:p>
      <w:pPr>
        <w:spacing w:line="360" w:lineRule="auto"/>
        <w:ind w:firstLine="482" w:firstLineChars="200"/>
        <w:rPr>
          <w:rFonts w:asciiTheme="minorEastAsia" w:hAnsiTheme="minorEastAsia" w:eastAsiaTheme="minorEastAsia"/>
          <w:color w:val="auto"/>
          <w:sz w:val="24"/>
          <w:highlight w:val="none"/>
        </w:rPr>
      </w:pPr>
      <w:r>
        <w:rPr>
          <w:rFonts w:asciiTheme="minorEastAsia" w:hAnsiTheme="minorEastAsia" w:eastAsiaTheme="minorEastAsia"/>
          <w:b/>
          <w:color w:val="auto"/>
          <w:sz w:val="24"/>
          <w:highlight w:val="none"/>
        </w:rPr>
        <w:t>1</w:t>
      </w:r>
      <w:r>
        <w:rPr>
          <w:rFonts w:asciiTheme="minorEastAsia" w:hAnsiTheme="minorEastAsia" w:eastAsiaTheme="minorEastAsia"/>
          <w:color w:val="auto"/>
          <w:sz w:val="24"/>
          <w:highlight w:val="none"/>
        </w:rPr>
        <w:t>为便于在执行本规程条文时区别对待，对要求严格程度不同的用词说明如下：</w:t>
      </w:r>
    </w:p>
    <w:p>
      <w:pPr>
        <w:pStyle w:val="7"/>
        <w:numPr>
          <w:ilvl w:val="1"/>
          <w:numId w:val="5"/>
        </w:numPr>
        <w:adjustRightInd w:val="0"/>
        <w:snapToGrid w:val="0"/>
        <w:spacing w:line="360" w:lineRule="auto"/>
        <w:textAlignment w:val="baseline"/>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表示很严格，非这样做不可的：</w:t>
      </w:r>
    </w:p>
    <w:p>
      <w:pPr>
        <w:pStyle w:val="7"/>
        <w:adjustRightInd w:val="0"/>
        <w:snapToGrid w:val="0"/>
        <w:spacing w:line="360" w:lineRule="auto"/>
        <w:textAlignment w:val="baseline"/>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正面词采用“必须”；反面词采用“严禁”；</w:t>
      </w:r>
    </w:p>
    <w:p>
      <w:pPr>
        <w:pStyle w:val="7"/>
        <w:adjustRightInd w:val="0"/>
        <w:snapToGrid w:val="0"/>
        <w:spacing w:line="360" w:lineRule="auto"/>
        <w:ind w:firstLine="480" w:firstLineChars="200"/>
        <w:textAlignment w:val="baseline"/>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2）表示严格，在正常情况下均应这样做的：</w:t>
      </w:r>
    </w:p>
    <w:p>
      <w:pPr>
        <w:pStyle w:val="7"/>
        <w:adjustRightInd w:val="0"/>
        <w:snapToGrid w:val="0"/>
        <w:spacing w:line="360" w:lineRule="auto"/>
        <w:ind w:firstLine="480" w:firstLineChars="200"/>
        <w:textAlignment w:val="baseline"/>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正面词采用“应”；反面词采用“不应”或“不得”；</w:t>
      </w:r>
    </w:p>
    <w:p>
      <w:pPr>
        <w:pStyle w:val="7"/>
        <w:adjustRightInd w:val="0"/>
        <w:snapToGrid w:val="0"/>
        <w:spacing w:line="360" w:lineRule="auto"/>
        <w:ind w:firstLine="480" w:firstLineChars="200"/>
        <w:textAlignment w:val="baseline"/>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3）表示允许稍有选择，在条件允许时首先这样做的：</w:t>
      </w:r>
    </w:p>
    <w:p>
      <w:pPr>
        <w:pStyle w:val="7"/>
        <w:adjustRightInd w:val="0"/>
        <w:snapToGrid w:val="0"/>
        <w:spacing w:line="360" w:lineRule="auto"/>
        <w:ind w:firstLine="480" w:firstLineChars="200"/>
        <w:textAlignment w:val="baseline"/>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正面词采用“宜”；反面词采用“不宜”；</w:t>
      </w:r>
    </w:p>
    <w:p>
      <w:pPr>
        <w:pStyle w:val="7"/>
        <w:adjustRightInd w:val="0"/>
        <w:snapToGrid w:val="0"/>
        <w:spacing w:line="360" w:lineRule="auto"/>
        <w:ind w:firstLine="480" w:firstLineChars="200"/>
        <w:textAlignment w:val="baseline"/>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4）表示有选择，在一定条件下可以这样做的，采用“可”。</w:t>
      </w:r>
    </w:p>
    <w:p>
      <w:pPr>
        <w:spacing w:line="360" w:lineRule="auto"/>
        <w:ind w:firstLine="482" w:firstLineChars="200"/>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2</w:t>
      </w:r>
      <w:r>
        <w:rPr>
          <w:rFonts w:asciiTheme="minorEastAsia" w:hAnsiTheme="minorEastAsia" w:eastAsiaTheme="minorEastAsia"/>
          <w:color w:val="auto"/>
          <w:sz w:val="24"/>
          <w:highlight w:val="none"/>
        </w:rPr>
        <w:t>条文中指明应按其他有关标准执行的写法为：“应符合……的规定”或“应按……执行”。</w:t>
      </w:r>
    </w:p>
    <w:p>
      <w:pPr>
        <w:widowControl w:val="0"/>
        <w:numPr>
          <w:ilvl w:val="2"/>
          <w:numId w:val="6"/>
        </w:numPr>
        <w:spacing w:after="0" w:line="360" w:lineRule="auto"/>
        <w:jc w:val="both"/>
        <w:outlineLvl w:val="2"/>
        <w:rPr>
          <w:rFonts w:eastAsia="宋体"/>
          <w:color w:val="auto"/>
          <w:sz w:val="24"/>
          <w:szCs w:val="24"/>
          <w:highlight w:val="none"/>
        </w:rPr>
        <w:sectPr>
          <w:pgSz w:w="11907" w:h="16839"/>
          <w:pgMar w:top="1440" w:right="1800" w:bottom="1440" w:left="1800" w:header="851" w:footer="992" w:gutter="0"/>
          <w:pgNumType w:start="1"/>
          <w:cols w:space="720" w:num="1"/>
          <w:docGrid w:type="lines" w:linePitch="312" w:charSpace="0"/>
        </w:sectPr>
      </w:pPr>
    </w:p>
    <w:p>
      <w:pPr>
        <w:pStyle w:val="24"/>
        <w:spacing w:before="312" w:after="312"/>
        <w:rPr>
          <w:color w:val="auto"/>
          <w:highlight w:val="none"/>
        </w:rPr>
      </w:pPr>
      <w:bookmarkStart w:id="74" w:name="_Toc111709539"/>
      <w:r>
        <w:rPr>
          <w:color w:val="auto"/>
          <w:highlight w:val="none"/>
        </w:rPr>
        <w:t>引用标准名录</w:t>
      </w:r>
      <w:bookmarkEnd w:id="74"/>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《混凝土结构设计规范》GB 50010</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《建筑抗震设计规范》GB50011</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《建筑设计防火规范》GB 50016</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bookmarkStart w:id="75" w:name="_Hlk107438189"/>
      <w:r>
        <w:rPr>
          <w:rFonts w:ascii="Times New Roman" w:hAnsi="Times New Roman" w:eastAsia="宋体"/>
          <w:color w:val="auto"/>
          <w:sz w:val="24"/>
          <w:szCs w:val="24"/>
          <w:highlight w:val="none"/>
        </w:rPr>
        <w:t>《钢结构设计</w:t>
      </w:r>
      <w:r>
        <w:rPr>
          <w:rFonts w:hint="eastAsia" w:ascii="Times New Roman" w:hAnsi="Times New Roman" w:eastAsia="宋体"/>
          <w:color w:val="auto"/>
          <w:sz w:val="24"/>
          <w:szCs w:val="24"/>
          <w:highlight w:val="none"/>
        </w:rPr>
        <w:t>标准</w:t>
      </w:r>
      <w:r>
        <w:rPr>
          <w:rFonts w:ascii="Times New Roman" w:hAnsi="Times New Roman" w:eastAsia="宋体"/>
          <w:color w:val="auto"/>
          <w:sz w:val="24"/>
          <w:szCs w:val="24"/>
          <w:highlight w:val="none"/>
        </w:rPr>
        <w:t>》GB 50017</w:t>
      </w:r>
    </w:p>
    <w:bookmarkEnd w:id="75"/>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《工程测量规范》GB 50026</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《混凝土结构工程施工质量验收规范》GB 50204</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《混凝土强度检验评定标准》GB50107</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《钢管混凝土结构技术规范》GB50396</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《钢结构焊接规范》GB 50661</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《混凝土结构施工规范》GB 50666</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《预应力混凝土用钢丝》GB/T 5223</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《叠合板用预应力混凝土底板》</w:t>
      </w:r>
      <w:r>
        <w:rPr>
          <w:rFonts w:ascii="Times New Roman" w:hAnsi="Times New Roman" w:eastAsia="宋体"/>
          <w:color w:val="auto"/>
          <w:sz w:val="24"/>
          <w:szCs w:val="24"/>
          <w:highlight w:val="none"/>
        </w:rPr>
        <w:t>GB/T</w:t>
      </w:r>
      <w:r>
        <w:rPr>
          <w:rFonts w:hint="eastAsia" w:ascii="Times New Roman" w:hAnsi="Times New Roman" w:eastAsia="宋体"/>
          <w:color w:val="auto"/>
          <w:sz w:val="24"/>
          <w:szCs w:val="24"/>
          <w:highlight w:val="none"/>
        </w:rPr>
        <w:t xml:space="preserve"> 16727</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《装配式混凝土建筑技术标准》GB/T 51231</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《金属材料 拉伸试验 第1部分：室温试验方法》GB/T 228.1</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《金属材料 弯曲试验方法》GB/T 232</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《装配式混凝土结构技术规程》JGJ 1</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《高层建筑混凝土结构设计规程》JGJ 3</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《钢筋焊接及验收规程》JGJ 18</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《混凝土配合比设计规程》JGJ55</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《冷轧带肋钢筋混凝土结构技术规程》JGJ 95</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《建筑工程冬期施工规程》JGJ104</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《钢筋焊接网混凝土结构技术规程》JGJ 114</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《建筑砂浆基本性能试验方法标准》JGJ/T 70</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《预制带肋底板混凝土叠合楼板技术规程》</w:t>
      </w:r>
      <w:r>
        <w:rPr>
          <w:rFonts w:ascii="Times New Roman" w:hAnsi="Times New Roman" w:eastAsia="宋体"/>
          <w:color w:val="auto"/>
          <w:sz w:val="24"/>
          <w:szCs w:val="24"/>
          <w:highlight w:val="none"/>
        </w:rPr>
        <w:t>JGJ/T 258</w:t>
      </w:r>
    </w:p>
    <w:p>
      <w:pPr>
        <w:pStyle w:val="26"/>
        <w:numPr>
          <w:ilvl w:val="0"/>
          <w:numId w:val="7"/>
        </w:numPr>
        <w:adjustRightInd/>
        <w:snapToGrid/>
        <w:spacing w:after="0" w:line="360" w:lineRule="auto"/>
        <w:ind w:firstLineChars="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《工厂预制混凝土构件质量管理标准》JGT565-2018</w:t>
      </w:r>
    </w:p>
    <w:p>
      <w:pPr>
        <w:pStyle w:val="26"/>
        <w:adjustRightInd/>
        <w:snapToGrid/>
        <w:spacing w:after="0" w:line="360" w:lineRule="auto"/>
        <w:ind w:left="420" w:firstLine="0" w:firstLineChars="0"/>
        <w:rPr>
          <w:rFonts w:ascii="Times New Roman" w:hAnsi="Times New Roman" w:eastAsia="宋体"/>
          <w:color w:val="auto"/>
          <w:sz w:val="24"/>
          <w:szCs w:val="24"/>
          <w:highlight w:val="none"/>
        </w:rPr>
      </w:pPr>
    </w:p>
    <w:p>
      <w:pPr>
        <w:pStyle w:val="24"/>
        <w:spacing w:beforeLines="0" w:after="312" w:line="360" w:lineRule="auto"/>
        <w:rPr>
          <w:rFonts w:ascii="宋体" w:hAnsi="宋体"/>
          <w:color w:val="auto"/>
          <w:highlight w:val="none"/>
        </w:rPr>
        <w:sectPr>
          <w:pgSz w:w="11907" w:h="16839"/>
          <w:pgMar w:top="1440" w:right="1800" w:bottom="1440" w:left="1800" w:header="851" w:footer="992" w:gutter="0"/>
          <w:cols w:space="720" w:num="1"/>
          <w:docGrid w:type="lines" w:linePitch="312" w:charSpace="0"/>
        </w:sectPr>
      </w:pPr>
    </w:p>
    <w:p>
      <w:pPr>
        <w:spacing w:before="156" w:beforeLines="50" w:line="300" w:lineRule="auto"/>
        <w:jc w:val="center"/>
        <w:rPr>
          <w:rFonts w:eastAsiaTheme="minorEastAsia"/>
          <w:b/>
          <w:color w:val="auto"/>
          <w:sz w:val="28"/>
          <w:szCs w:val="28"/>
          <w:highlight w:val="none"/>
        </w:rPr>
      </w:pPr>
    </w:p>
    <w:p>
      <w:pPr>
        <w:spacing w:before="156" w:beforeLines="50" w:line="300" w:lineRule="auto"/>
        <w:jc w:val="center"/>
        <w:rPr>
          <w:rFonts w:eastAsiaTheme="minorEastAsia"/>
          <w:b/>
          <w:color w:val="auto"/>
          <w:sz w:val="28"/>
          <w:szCs w:val="28"/>
          <w:highlight w:val="none"/>
        </w:rPr>
      </w:pPr>
    </w:p>
    <w:p>
      <w:pPr>
        <w:spacing w:before="156" w:beforeLines="50" w:line="300" w:lineRule="auto"/>
        <w:jc w:val="center"/>
        <w:rPr>
          <w:rFonts w:eastAsiaTheme="minorEastAsia"/>
          <w:b/>
          <w:color w:val="auto"/>
          <w:sz w:val="28"/>
          <w:szCs w:val="28"/>
          <w:highlight w:val="none"/>
        </w:rPr>
      </w:pPr>
    </w:p>
    <w:p>
      <w:pPr>
        <w:spacing w:before="156" w:beforeLines="50" w:line="300" w:lineRule="auto"/>
        <w:jc w:val="center"/>
        <w:rPr>
          <w:rFonts w:eastAsiaTheme="minorEastAsia"/>
          <w:b/>
          <w:color w:val="auto"/>
          <w:sz w:val="28"/>
          <w:szCs w:val="28"/>
          <w:highlight w:val="none"/>
        </w:rPr>
      </w:pPr>
      <w:r>
        <w:rPr>
          <w:rFonts w:hint="eastAsia" w:eastAsiaTheme="minorEastAsia"/>
          <w:b/>
          <w:color w:val="auto"/>
          <w:sz w:val="28"/>
          <w:szCs w:val="28"/>
          <w:highlight w:val="none"/>
        </w:rPr>
        <w:t>中</w:t>
      </w:r>
      <w:r>
        <w:rPr>
          <w:rFonts w:eastAsiaTheme="minorEastAsia"/>
          <w:b/>
          <w:color w:val="auto"/>
          <w:sz w:val="28"/>
          <w:szCs w:val="28"/>
          <w:highlight w:val="none"/>
        </w:rPr>
        <w:t>国工程建设</w:t>
      </w:r>
      <w:r>
        <w:rPr>
          <w:rFonts w:hint="eastAsia" w:eastAsiaTheme="minorEastAsia"/>
          <w:b/>
          <w:color w:val="auto"/>
          <w:sz w:val="28"/>
          <w:szCs w:val="28"/>
          <w:highlight w:val="none"/>
        </w:rPr>
        <w:t>标准化</w:t>
      </w:r>
      <w:r>
        <w:rPr>
          <w:rFonts w:eastAsiaTheme="minorEastAsia"/>
          <w:b/>
          <w:color w:val="auto"/>
          <w:sz w:val="28"/>
          <w:szCs w:val="28"/>
          <w:highlight w:val="none"/>
        </w:rPr>
        <w:t>协会标准</w:t>
      </w:r>
    </w:p>
    <w:p>
      <w:pPr>
        <w:spacing w:line="300" w:lineRule="auto"/>
        <w:jc w:val="center"/>
        <w:rPr>
          <w:rFonts w:eastAsiaTheme="minorEastAsia"/>
          <w:b/>
          <w:color w:val="auto"/>
          <w:sz w:val="30"/>
          <w:szCs w:val="30"/>
          <w:highlight w:val="none"/>
        </w:rPr>
      </w:pPr>
    </w:p>
    <w:p>
      <w:pPr>
        <w:spacing w:line="300" w:lineRule="auto"/>
        <w:jc w:val="center"/>
        <w:rPr>
          <w:rFonts w:eastAsiaTheme="minorEastAsia"/>
          <w:b/>
          <w:color w:val="auto"/>
          <w:sz w:val="32"/>
          <w:szCs w:val="32"/>
          <w:highlight w:val="none"/>
        </w:rPr>
      </w:pPr>
      <w:r>
        <w:rPr>
          <w:rFonts w:hint="eastAsia" w:eastAsiaTheme="minorEastAsia"/>
          <w:b/>
          <w:color w:val="auto"/>
          <w:sz w:val="32"/>
          <w:szCs w:val="32"/>
          <w:highlight w:val="none"/>
        </w:rPr>
        <w:t>支架预应力混凝土叠合板应用技术规程</w:t>
      </w:r>
    </w:p>
    <w:p>
      <w:pPr>
        <w:spacing w:line="300" w:lineRule="auto"/>
        <w:jc w:val="center"/>
        <w:rPr>
          <w:rFonts w:eastAsiaTheme="minorEastAsia"/>
          <w:b/>
          <w:color w:val="auto"/>
          <w:sz w:val="24"/>
          <w:highlight w:val="none"/>
        </w:rPr>
      </w:pPr>
    </w:p>
    <w:p>
      <w:pPr>
        <w:spacing w:line="300" w:lineRule="auto"/>
        <w:jc w:val="center"/>
        <w:rPr>
          <w:rFonts w:eastAsiaTheme="minorEastAsia"/>
          <w:b/>
          <w:color w:val="auto"/>
          <w:sz w:val="24"/>
          <w:highlight w:val="none"/>
        </w:rPr>
      </w:pPr>
    </w:p>
    <w:p>
      <w:pPr>
        <w:spacing w:line="300" w:lineRule="auto"/>
        <w:jc w:val="center"/>
        <w:rPr>
          <w:rFonts w:eastAsiaTheme="minorEastAsia"/>
          <w:color w:val="auto"/>
          <w:sz w:val="24"/>
          <w:highlight w:val="none"/>
        </w:rPr>
      </w:pPr>
      <w:r>
        <w:rPr>
          <w:rFonts w:eastAsiaTheme="minorEastAsia"/>
          <w:color w:val="auto"/>
          <w:sz w:val="24"/>
          <w:highlight w:val="none"/>
        </w:rPr>
        <w:t>T/CECS xxx-</w:t>
      </w:r>
      <w:r>
        <w:rPr>
          <w:rFonts w:hint="eastAsia" w:eastAsiaTheme="minorEastAsia"/>
          <w:color w:val="auto"/>
          <w:sz w:val="24"/>
          <w:highlight w:val="none"/>
        </w:rPr>
        <w:t>20</w:t>
      </w:r>
      <w:r>
        <w:rPr>
          <w:rFonts w:eastAsiaTheme="minorEastAsia"/>
          <w:color w:val="auto"/>
          <w:sz w:val="24"/>
          <w:highlight w:val="none"/>
        </w:rPr>
        <w:t>22</w:t>
      </w:r>
    </w:p>
    <w:p>
      <w:pPr>
        <w:spacing w:line="300" w:lineRule="auto"/>
        <w:jc w:val="center"/>
        <w:rPr>
          <w:rFonts w:eastAsiaTheme="minorEastAsia"/>
          <w:b/>
          <w:color w:val="auto"/>
          <w:sz w:val="24"/>
          <w:highlight w:val="none"/>
        </w:rPr>
      </w:pPr>
    </w:p>
    <w:p>
      <w:pPr>
        <w:spacing w:line="300" w:lineRule="auto"/>
        <w:jc w:val="center"/>
        <w:rPr>
          <w:rFonts w:eastAsiaTheme="minorEastAsia"/>
          <w:b/>
          <w:color w:val="auto"/>
          <w:sz w:val="24"/>
          <w:highlight w:val="none"/>
        </w:rPr>
      </w:pPr>
    </w:p>
    <w:p>
      <w:pPr>
        <w:pStyle w:val="24"/>
        <w:spacing w:before="312" w:after="312"/>
        <w:rPr>
          <w:rFonts w:eastAsiaTheme="minorEastAsia"/>
          <w:color w:val="auto"/>
          <w:highlight w:val="none"/>
        </w:rPr>
      </w:pPr>
      <w:bookmarkStart w:id="76" w:name="_Toc111709540"/>
      <w:bookmarkStart w:id="77" w:name="_Toc40210903"/>
      <w:r>
        <w:rPr>
          <w:rFonts w:eastAsiaTheme="minorEastAsia"/>
          <w:color w:val="auto"/>
          <w:highlight w:val="none"/>
        </w:rPr>
        <w:t>条文说明</w:t>
      </w:r>
      <w:bookmarkEnd w:id="76"/>
      <w:bookmarkEnd w:id="77"/>
    </w:p>
    <w:p>
      <w:pPr>
        <w:spacing w:line="300" w:lineRule="auto"/>
        <w:ind w:firstLine="1512" w:firstLineChars="630"/>
        <w:rPr>
          <w:rFonts w:eastAsiaTheme="minorEastAsia"/>
          <w:color w:val="auto"/>
          <w:sz w:val="24"/>
          <w:highlight w:val="none"/>
        </w:rPr>
      </w:pPr>
    </w:p>
    <w:p>
      <w:pPr>
        <w:spacing w:line="300" w:lineRule="auto"/>
        <w:ind w:firstLine="1512" w:firstLineChars="630"/>
        <w:rPr>
          <w:rFonts w:eastAsiaTheme="minorEastAsia"/>
          <w:color w:val="auto"/>
          <w:sz w:val="24"/>
          <w:highlight w:val="none"/>
        </w:rPr>
      </w:pPr>
    </w:p>
    <w:p>
      <w:pPr>
        <w:spacing w:line="300" w:lineRule="auto"/>
        <w:ind w:firstLine="1512" w:firstLineChars="630"/>
        <w:rPr>
          <w:rFonts w:eastAsiaTheme="minorEastAsia"/>
          <w:color w:val="auto"/>
          <w:sz w:val="24"/>
          <w:highlight w:val="none"/>
        </w:rPr>
      </w:pPr>
    </w:p>
    <w:p>
      <w:pPr>
        <w:spacing w:line="300" w:lineRule="auto"/>
        <w:ind w:firstLine="1512" w:firstLineChars="630"/>
        <w:rPr>
          <w:rFonts w:eastAsiaTheme="minorEastAsia"/>
          <w:color w:val="auto"/>
          <w:sz w:val="24"/>
          <w:highlight w:val="none"/>
        </w:rPr>
      </w:pPr>
    </w:p>
    <w:p>
      <w:pPr>
        <w:spacing w:line="300" w:lineRule="auto"/>
        <w:ind w:firstLine="1512" w:firstLineChars="630"/>
        <w:rPr>
          <w:rFonts w:eastAsiaTheme="minorEastAsia"/>
          <w:color w:val="auto"/>
          <w:sz w:val="24"/>
          <w:highlight w:val="none"/>
        </w:rPr>
      </w:pPr>
    </w:p>
    <w:p>
      <w:pPr>
        <w:spacing w:line="300" w:lineRule="auto"/>
        <w:rPr>
          <w:rFonts w:eastAsiaTheme="minorEastAsia"/>
          <w:color w:val="auto"/>
          <w:sz w:val="24"/>
          <w:highlight w:val="none"/>
        </w:rPr>
      </w:pPr>
    </w:p>
    <w:p>
      <w:pPr>
        <w:spacing w:line="300" w:lineRule="auto"/>
        <w:jc w:val="center"/>
        <w:rPr>
          <w:rFonts w:eastAsiaTheme="minorEastAsia"/>
          <w:b/>
          <w:color w:val="auto"/>
          <w:sz w:val="24"/>
          <w:highlight w:val="none"/>
        </w:rPr>
      </w:pPr>
    </w:p>
    <w:p>
      <w:pPr>
        <w:rPr>
          <w:rFonts w:eastAsiaTheme="minorEastAsia"/>
          <w:color w:val="auto"/>
          <w:szCs w:val="21"/>
          <w:highlight w:val="none"/>
        </w:rPr>
      </w:pPr>
    </w:p>
    <w:p>
      <w:pPr>
        <w:rPr>
          <w:rFonts w:eastAsiaTheme="minorEastAsia"/>
          <w:color w:val="auto"/>
          <w:szCs w:val="21"/>
          <w:highlight w:val="none"/>
        </w:rPr>
      </w:pPr>
    </w:p>
    <w:p>
      <w:pPr>
        <w:rPr>
          <w:rFonts w:eastAsiaTheme="minorEastAsia"/>
          <w:color w:val="auto"/>
          <w:szCs w:val="21"/>
          <w:highlight w:val="none"/>
        </w:rPr>
      </w:pPr>
    </w:p>
    <w:p>
      <w:pPr>
        <w:rPr>
          <w:rFonts w:eastAsiaTheme="minorEastAsia"/>
          <w:color w:val="auto"/>
          <w:szCs w:val="21"/>
          <w:highlight w:val="none"/>
        </w:rPr>
      </w:pPr>
    </w:p>
    <w:p>
      <w:pPr>
        <w:rPr>
          <w:rFonts w:eastAsiaTheme="minorEastAsia"/>
          <w:color w:val="auto"/>
          <w:szCs w:val="21"/>
          <w:highlight w:val="none"/>
        </w:rPr>
      </w:pPr>
    </w:p>
    <w:p>
      <w:pPr>
        <w:rPr>
          <w:rFonts w:eastAsiaTheme="minorEastAsia"/>
          <w:color w:val="auto"/>
          <w:szCs w:val="21"/>
          <w:highlight w:val="none"/>
        </w:rPr>
      </w:pPr>
    </w:p>
    <w:p>
      <w:pPr>
        <w:rPr>
          <w:rFonts w:eastAsiaTheme="minorEastAsia"/>
          <w:color w:val="auto"/>
          <w:szCs w:val="21"/>
          <w:highlight w:val="none"/>
        </w:rPr>
      </w:pPr>
    </w:p>
    <w:p>
      <w:pPr>
        <w:rPr>
          <w:rFonts w:eastAsiaTheme="minorEastAsia"/>
          <w:color w:val="auto"/>
          <w:szCs w:val="21"/>
          <w:highlight w:val="none"/>
        </w:rPr>
      </w:pPr>
    </w:p>
    <w:p>
      <w:pPr>
        <w:rPr>
          <w:rFonts w:eastAsiaTheme="minorEastAsia"/>
          <w:b/>
          <w:color w:val="auto"/>
          <w:sz w:val="28"/>
          <w:highlight w:val="none"/>
        </w:rPr>
      </w:pPr>
      <w:r>
        <w:rPr>
          <w:rFonts w:eastAsiaTheme="minorEastAsia"/>
          <w:color w:val="auto"/>
          <w:highlight w:val="none"/>
        </w:rPr>
        <w:br w:type="page"/>
      </w:r>
    </w:p>
    <w:p>
      <w:pPr>
        <w:spacing w:line="220" w:lineRule="atLeast"/>
        <w:jc w:val="center"/>
        <w:rPr>
          <w:b/>
          <w:color w:val="auto"/>
          <w:sz w:val="30"/>
          <w:szCs w:val="30"/>
          <w:highlight w:val="none"/>
        </w:rPr>
      </w:pPr>
      <w:r>
        <w:rPr>
          <w:b/>
          <w:color w:val="auto"/>
          <w:sz w:val="30"/>
          <w:szCs w:val="30"/>
          <w:highlight w:val="none"/>
        </w:rPr>
        <w:t>目次</w:t>
      </w:r>
    </w:p>
    <w:p>
      <w:pPr>
        <w:pStyle w:val="12"/>
        <w:rPr>
          <w:rFonts w:ascii="Times New Roman" w:hAnsi="Times New Roman" w:eastAsiaTheme="minorEastAsia"/>
          <w:bCs w:val="0"/>
          <w:caps w:val="0"/>
          <w:color w:val="auto"/>
          <w:highlight w:val="none"/>
        </w:rPr>
      </w:pPr>
      <w:r>
        <w:rPr>
          <w:rFonts w:ascii="Times New Roman" w:hAnsi="Times New Roman" w:eastAsiaTheme="minorEastAsia"/>
          <w:color w:val="auto"/>
          <w:highlight w:val="none"/>
        </w:rPr>
        <w:fldChar w:fldCharType="begin"/>
      </w:r>
      <w:r>
        <w:rPr>
          <w:rFonts w:ascii="Times New Roman" w:hAnsi="Times New Roman" w:eastAsiaTheme="minorEastAsia"/>
          <w:color w:val="auto"/>
          <w:highlight w:val="none"/>
        </w:rPr>
        <w:instrText xml:space="preserve"> TOC \o "1-2" \h \z \u </w:instrText>
      </w:r>
      <w:r>
        <w:rPr>
          <w:rFonts w:ascii="Times New Roman" w:hAnsi="Times New Roman" w:eastAsiaTheme="minorEastAsia"/>
          <w:color w:val="auto"/>
          <w:highlight w:val="none"/>
        </w:rPr>
        <w:fldChar w:fldCharType="separate"/>
      </w:r>
      <w:r>
        <w:rPr>
          <w:color w:val="auto"/>
          <w:highlight w:val="none"/>
        </w:rPr>
        <w:fldChar w:fldCharType="begin"/>
      </w:r>
      <w:r>
        <w:rPr>
          <w:color w:val="auto"/>
          <w:highlight w:val="none"/>
        </w:rPr>
        <w:instrText xml:space="preserve"> HYPERLINK \l "_Toc40210904" </w:instrText>
      </w:r>
      <w:r>
        <w:rPr>
          <w:color w:val="auto"/>
          <w:highlight w:val="none"/>
        </w:rPr>
        <w:fldChar w:fldCharType="separate"/>
      </w:r>
      <w:r>
        <w:rPr>
          <w:rStyle w:val="22"/>
          <w:rFonts w:ascii="Times New Roman" w:hAnsi="Times New Roman"/>
          <w:color w:val="auto"/>
          <w:highlight w:val="none"/>
        </w:rPr>
        <w:t xml:space="preserve">1 </w:t>
      </w:r>
      <w:r>
        <w:rPr>
          <w:rStyle w:val="22"/>
          <w:rFonts w:ascii="Times New Roman"/>
          <w:color w:val="auto"/>
          <w:highlight w:val="none"/>
        </w:rPr>
        <w:t>总则</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_Toc40210904 \h </w:instrText>
      </w:r>
      <w:r>
        <w:rPr>
          <w:rFonts w:ascii="Times New Roman" w:hAnsi="Times New Roman"/>
          <w:color w:val="auto"/>
          <w:highlight w:val="none"/>
        </w:rPr>
        <w:fldChar w:fldCharType="separate"/>
      </w:r>
      <w:r>
        <w:rPr>
          <w:rFonts w:ascii="Times New Roman" w:hAnsi="Times New Roman"/>
          <w:color w:val="auto"/>
          <w:highlight w:val="none"/>
        </w:rPr>
        <w:t>41</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"_Toc40210905" </w:instrText>
      </w:r>
      <w:r>
        <w:rPr>
          <w:color w:val="auto"/>
          <w:highlight w:val="none"/>
        </w:rPr>
        <w:fldChar w:fldCharType="separate"/>
      </w:r>
      <w:r>
        <w:rPr>
          <w:rStyle w:val="22"/>
          <w:rFonts w:ascii="Times New Roman" w:hAnsi="Times New Roman"/>
          <w:color w:val="auto"/>
          <w:highlight w:val="none"/>
        </w:rPr>
        <w:t xml:space="preserve">2 </w:t>
      </w:r>
      <w:r>
        <w:rPr>
          <w:rStyle w:val="22"/>
          <w:rFonts w:ascii="Times New Roman"/>
          <w:color w:val="auto"/>
          <w:highlight w:val="none"/>
        </w:rPr>
        <w:t>术语和符号</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_Toc40210905 \h </w:instrText>
      </w:r>
      <w:r>
        <w:rPr>
          <w:rFonts w:ascii="Times New Roman" w:hAnsi="Times New Roman"/>
          <w:color w:val="auto"/>
          <w:highlight w:val="none"/>
        </w:rPr>
        <w:fldChar w:fldCharType="separate"/>
      </w:r>
      <w:r>
        <w:rPr>
          <w:rFonts w:ascii="Times New Roman" w:hAnsi="Times New Roman"/>
          <w:color w:val="auto"/>
          <w:highlight w:val="none"/>
        </w:rPr>
        <w:t>42</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"_Toc40210906" </w:instrText>
      </w:r>
      <w:r>
        <w:rPr>
          <w:color w:val="auto"/>
          <w:highlight w:val="none"/>
        </w:rPr>
        <w:fldChar w:fldCharType="separate"/>
      </w:r>
      <w:r>
        <w:rPr>
          <w:rStyle w:val="22"/>
          <w:color w:val="auto"/>
          <w:sz w:val="24"/>
          <w:szCs w:val="24"/>
          <w:highlight w:val="none"/>
        </w:rPr>
        <w:t>2.1 术语</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_Toc40210906 \h </w:instrText>
      </w:r>
      <w:r>
        <w:rPr>
          <w:color w:val="auto"/>
          <w:sz w:val="24"/>
          <w:szCs w:val="24"/>
          <w:highlight w:val="none"/>
        </w:rPr>
        <w:fldChar w:fldCharType="separate"/>
      </w:r>
      <w:r>
        <w:rPr>
          <w:color w:val="auto"/>
          <w:sz w:val="24"/>
          <w:szCs w:val="24"/>
          <w:highlight w:val="none"/>
        </w:rPr>
        <w:t>42</w:t>
      </w:r>
      <w:r>
        <w:rPr>
          <w:color w:val="auto"/>
          <w:sz w:val="24"/>
          <w:szCs w:val="24"/>
          <w:highlight w:val="none"/>
        </w:rPr>
        <w:fldChar w:fldCharType="end"/>
      </w:r>
      <w:r>
        <w:rPr>
          <w:color w:val="auto"/>
          <w:sz w:val="24"/>
          <w:szCs w:val="24"/>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"_Toc40210907" </w:instrText>
      </w:r>
      <w:r>
        <w:rPr>
          <w:color w:val="auto"/>
          <w:highlight w:val="none"/>
        </w:rPr>
        <w:fldChar w:fldCharType="separate"/>
      </w:r>
      <w:r>
        <w:rPr>
          <w:rStyle w:val="22"/>
          <w:rFonts w:ascii="Times New Roman" w:hAnsi="Times New Roman"/>
          <w:color w:val="auto"/>
          <w:highlight w:val="none"/>
        </w:rPr>
        <w:t>3</w:t>
      </w:r>
      <w:r>
        <w:rPr>
          <w:rStyle w:val="22"/>
          <w:rFonts w:ascii="Times New Roman"/>
          <w:color w:val="auto"/>
          <w:highlight w:val="none"/>
        </w:rPr>
        <w:t>材料</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_Toc40210907 \h </w:instrText>
      </w:r>
      <w:r>
        <w:rPr>
          <w:rFonts w:ascii="Times New Roman" w:hAnsi="Times New Roman"/>
          <w:color w:val="auto"/>
          <w:highlight w:val="none"/>
        </w:rPr>
        <w:fldChar w:fldCharType="separate"/>
      </w:r>
      <w:r>
        <w:rPr>
          <w:rFonts w:ascii="Times New Roman" w:hAnsi="Times New Roman"/>
          <w:color w:val="auto"/>
          <w:highlight w:val="none"/>
        </w:rPr>
        <w:t>44</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"_Toc40210908" </w:instrText>
      </w:r>
      <w:r>
        <w:rPr>
          <w:color w:val="auto"/>
          <w:highlight w:val="none"/>
        </w:rPr>
        <w:fldChar w:fldCharType="separate"/>
      </w:r>
      <w:r>
        <w:rPr>
          <w:rStyle w:val="22"/>
          <w:color w:val="auto"/>
          <w:sz w:val="24"/>
          <w:szCs w:val="24"/>
          <w:highlight w:val="none"/>
        </w:rPr>
        <w:t>3.1 混凝土及灌浆材料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_Toc40210908 \h </w:instrText>
      </w:r>
      <w:r>
        <w:rPr>
          <w:color w:val="auto"/>
          <w:sz w:val="24"/>
          <w:szCs w:val="24"/>
          <w:highlight w:val="none"/>
        </w:rPr>
        <w:fldChar w:fldCharType="separate"/>
      </w:r>
      <w:r>
        <w:rPr>
          <w:color w:val="auto"/>
          <w:sz w:val="24"/>
          <w:szCs w:val="24"/>
          <w:highlight w:val="none"/>
        </w:rPr>
        <w:t>44</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"_Toc40210909" </w:instrText>
      </w:r>
      <w:r>
        <w:rPr>
          <w:color w:val="auto"/>
          <w:highlight w:val="none"/>
        </w:rPr>
        <w:fldChar w:fldCharType="separate"/>
      </w:r>
      <w:r>
        <w:rPr>
          <w:rStyle w:val="22"/>
          <w:color w:val="auto"/>
          <w:sz w:val="24"/>
          <w:szCs w:val="24"/>
          <w:highlight w:val="none"/>
        </w:rPr>
        <w:t>3.2钢筋和钢材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_Toc40210909 \h </w:instrText>
      </w:r>
      <w:r>
        <w:rPr>
          <w:color w:val="auto"/>
          <w:sz w:val="24"/>
          <w:szCs w:val="24"/>
          <w:highlight w:val="none"/>
        </w:rPr>
        <w:fldChar w:fldCharType="separate"/>
      </w:r>
      <w:r>
        <w:rPr>
          <w:color w:val="auto"/>
          <w:sz w:val="24"/>
          <w:szCs w:val="24"/>
          <w:highlight w:val="none"/>
        </w:rPr>
        <w:t>44</w:t>
      </w:r>
      <w:r>
        <w:rPr>
          <w:color w:val="auto"/>
          <w:sz w:val="24"/>
          <w:szCs w:val="24"/>
          <w:highlight w:val="none"/>
        </w:rPr>
        <w:fldChar w:fldCharType="end"/>
      </w:r>
      <w:r>
        <w:rPr>
          <w:color w:val="auto"/>
          <w:sz w:val="24"/>
          <w:szCs w:val="24"/>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"_Toc40210910" </w:instrText>
      </w:r>
      <w:r>
        <w:rPr>
          <w:color w:val="auto"/>
          <w:highlight w:val="none"/>
        </w:rPr>
        <w:fldChar w:fldCharType="separate"/>
      </w:r>
      <w:r>
        <w:rPr>
          <w:rStyle w:val="22"/>
          <w:rFonts w:ascii="Times New Roman" w:hAnsi="Times New Roman"/>
          <w:color w:val="auto"/>
          <w:highlight w:val="none"/>
        </w:rPr>
        <w:t>4</w:t>
      </w:r>
      <w:r>
        <w:rPr>
          <w:rStyle w:val="22"/>
          <w:rFonts w:ascii="Times New Roman"/>
          <w:color w:val="auto"/>
          <w:highlight w:val="none"/>
        </w:rPr>
        <w:t>基本规定</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_Toc40210910 \h </w:instrText>
      </w:r>
      <w:r>
        <w:rPr>
          <w:rFonts w:ascii="Times New Roman" w:hAnsi="Times New Roman"/>
          <w:color w:val="auto"/>
          <w:highlight w:val="none"/>
        </w:rPr>
        <w:fldChar w:fldCharType="separate"/>
      </w:r>
      <w:r>
        <w:rPr>
          <w:rFonts w:ascii="Times New Roman" w:hAnsi="Times New Roman"/>
          <w:color w:val="auto"/>
          <w:highlight w:val="none"/>
        </w:rPr>
        <w:t>45</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"_Toc40210911" </w:instrText>
      </w:r>
      <w:r>
        <w:rPr>
          <w:color w:val="auto"/>
          <w:highlight w:val="none"/>
        </w:rPr>
        <w:fldChar w:fldCharType="separate"/>
      </w:r>
      <w:r>
        <w:rPr>
          <w:rStyle w:val="22"/>
          <w:rFonts w:ascii="Times New Roman" w:hAnsi="Times New Roman"/>
          <w:color w:val="auto"/>
          <w:highlight w:val="none"/>
        </w:rPr>
        <w:t xml:space="preserve">5 </w:t>
      </w:r>
      <w:r>
        <w:rPr>
          <w:rStyle w:val="22"/>
          <w:rFonts w:ascii="Times New Roman"/>
          <w:color w:val="auto"/>
          <w:highlight w:val="none"/>
        </w:rPr>
        <w:t>预应力损失值计算</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_Toc40210911 \h </w:instrText>
      </w:r>
      <w:r>
        <w:rPr>
          <w:rFonts w:ascii="Times New Roman" w:hAnsi="Times New Roman"/>
          <w:color w:val="auto"/>
          <w:highlight w:val="none"/>
        </w:rPr>
        <w:fldChar w:fldCharType="separate"/>
      </w:r>
      <w:r>
        <w:rPr>
          <w:rFonts w:ascii="Times New Roman" w:hAnsi="Times New Roman"/>
          <w:color w:val="auto"/>
          <w:highlight w:val="none"/>
        </w:rPr>
        <w:t>46</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"_Toc40210912" </w:instrText>
      </w:r>
      <w:r>
        <w:rPr>
          <w:color w:val="auto"/>
          <w:highlight w:val="none"/>
        </w:rPr>
        <w:fldChar w:fldCharType="separate"/>
      </w:r>
      <w:r>
        <w:rPr>
          <w:rStyle w:val="22"/>
          <w:rFonts w:ascii="Times New Roman" w:hAnsi="Times New Roman"/>
          <w:color w:val="auto"/>
          <w:highlight w:val="none"/>
        </w:rPr>
        <w:t>6</w:t>
      </w:r>
      <w:r>
        <w:rPr>
          <w:rStyle w:val="22"/>
          <w:rFonts w:ascii="Times New Roman"/>
          <w:color w:val="auto"/>
          <w:highlight w:val="none"/>
        </w:rPr>
        <w:t>构件设计计算</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_Toc40210912 \h </w:instrText>
      </w:r>
      <w:r>
        <w:rPr>
          <w:rFonts w:ascii="Times New Roman" w:hAnsi="Times New Roman"/>
          <w:color w:val="auto"/>
          <w:highlight w:val="none"/>
        </w:rPr>
        <w:fldChar w:fldCharType="separate"/>
      </w:r>
      <w:r>
        <w:rPr>
          <w:rFonts w:ascii="Times New Roman" w:hAnsi="Times New Roman"/>
          <w:color w:val="auto"/>
          <w:highlight w:val="none"/>
        </w:rPr>
        <w:t>47</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"_Toc40210913" </w:instrText>
      </w:r>
      <w:r>
        <w:rPr>
          <w:color w:val="auto"/>
          <w:highlight w:val="none"/>
        </w:rPr>
        <w:fldChar w:fldCharType="separate"/>
      </w:r>
      <w:r>
        <w:rPr>
          <w:rStyle w:val="22"/>
          <w:color w:val="auto"/>
          <w:sz w:val="24"/>
          <w:szCs w:val="24"/>
          <w:highlight w:val="none"/>
        </w:rPr>
        <w:t>6.1  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_Toc40210913 \h </w:instrText>
      </w:r>
      <w:r>
        <w:rPr>
          <w:color w:val="auto"/>
          <w:sz w:val="24"/>
          <w:szCs w:val="24"/>
          <w:highlight w:val="none"/>
        </w:rPr>
        <w:fldChar w:fldCharType="separate"/>
      </w:r>
      <w:r>
        <w:rPr>
          <w:color w:val="auto"/>
          <w:sz w:val="24"/>
          <w:szCs w:val="24"/>
          <w:highlight w:val="none"/>
        </w:rPr>
        <w:t>47</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"_Toc40210914" </w:instrText>
      </w:r>
      <w:r>
        <w:rPr>
          <w:color w:val="auto"/>
          <w:highlight w:val="none"/>
        </w:rPr>
        <w:fldChar w:fldCharType="separate"/>
      </w:r>
      <w:r>
        <w:rPr>
          <w:rStyle w:val="22"/>
          <w:color w:val="auto"/>
          <w:sz w:val="24"/>
          <w:szCs w:val="24"/>
          <w:highlight w:val="none"/>
        </w:rPr>
        <w:t>6.2  短暂设计状况计算</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_Toc40210914 \h </w:instrText>
      </w:r>
      <w:r>
        <w:rPr>
          <w:color w:val="auto"/>
          <w:sz w:val="24"/>
          <w:szCs w:val="24"/>
          <w:highlight w:val="none"/>
        </w:rPr>
        <w:fldChar w:fldCharType="separate"/>
      </w:r>
      <w:r>
        <w:rPr>
          <w:color w:val="auto"/>
          <w:sz w:val="24"/>
          <w:szCs w:val="24"/>
          <w:highlight w:val="none"/>
        </w:rPr>
        <w:t>47</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"_Toc40210915" </w:instrText>
      </w:r>
      <w:r>
        <w:rPr>
          <w:color w:val="auto"/>
          <w:highlight w:val="none"/>
        </w:rPr>
        <w:fldChar w:fldCharType="separate"/>
      </w:r>
      <w:r>
        <w:rPr>
          <w:rStyle w:val="22"/>
          <w:color w:val="auto"/>
          <w:sz w:val="24"/>
          <w:szCs w:val="24"/>
          <w:highlight w:val="none"/>
        </w:rPr>
        <w:t>6.3  持久设计状况计算</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_Toc40210915 \h </w:instrText>
      </w:r>
      <w:r>
        <w:rPr>
          <w:color w:val="auto"/>
          <w:sz w:val="24"/>
          <w:szCs w:val="24"/>
          <w:highlight w:val="none"/>
        </w:rPr>
        <w:fldChar w:fldCharType="separate"/>
      </w:r>
      <w:r>
        <w:rPr>
          <w:color w:val="auto"/>
          <w:sz w:val="24"/>
          <w:szCs w:val="24"/>
          <w:highlight w:val="none"/>
        </w:rPr>
        <w:t>50</w:t>
      </w:r>
      <w:r>
        <w:rPr>
          <w:color w:val="auto"/>
          <w:sz w:val="24"/>
          <w:szCs w:val="24"/>
          <w:highlight w:val="none"/>
        </w:rPr>
        <w:fldChar w:fldCharType="end"/>
      </w:r>
      <w:r>
        <w:rPr>
          <w:color w:val="auto"/>
          <w:sz w:val="24"/>
          <w:szCs w:val="24"/>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"_Toc40210916" </w:instrText>
      </w:r>
      <w:r>
        <w:rPr>
          <w:color w:val="auto"/>
          <w:highlight w:val="none"/>
        </w:rPr>
        <w:fldChar w:fldCharType="separate"/>
      </w:r>
      <w:r>
        <w:rPr>
          <w:rStyle w:val="22"/>
          <w:rFonts w:ascii="Times New Roman" w:hAnsi="Times New Roman"/>
          <w:color w:val="auto"/>
          <w:highlight w:val="none"/>
        </w:rPr>
        <w:t xml:space="preserve">7 </w:t>
      </w:r>
      <w:r>
        <w:rPr>
          <w:rStyle w:val="22"/>
          <w:rFonts w:ascii="Times New Roman"/>
          <w:color w:val="auto"/>
          <w:highlight w:val="none"/>
        </w:rPr>
        <w:t>构造要求</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_Toc40210916 \h </w:instrText>
      </w:r>
      <w:r>
        <w:rPr>
          <w:rFonts w:ascii="Times New Roman" w:hAnsi="Times New Roman"/>
          <w:color w:val="auto"/>
          <w:highlight w:val="none"/>
        </w:rPr>
        <w:fldChar w:fldCharType="separate"/>
      </w:r>
      <w:r>
        <w:rPr>
          <w:rFonts w:ascii="Times New Roman" w:hAnsi="Times New Roman"/>
          <w:color w:val="auto"/>
          <w:highlight w:val="none"/>
        </w:rPr>
        <w:t>51</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"_Toc40210917" </w:instrText>
      </w:r>
      <w:r>
        <w:rPr>
          <w:color w:val="auto"/>
          <w:highlight w:val="none"/>
        </w:rPr>
        <w:fldChar w:fldCharType="separate"/>
      </w:r>
      <w:r>
        <w:rPr>
          <w:rStyle w:val="22"/>
          <w:color w:val="auto"/>
          <w:sz w:val="24"/>
          <w:szCs w:val="24"/>
          <w:highlight w:val="none"/>
        </w:rPr>
        <w:t>7.1  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_Toc40210917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"_Toc40210918" </w:instrText>
      </w:r>
      <w:r>
        <w:rPr>
          <w:color w:val="auto"/>
          <w:highlight w:val="none"/>
        </w:rPr>
        <w:fldChar w:fldCharType="separate"/>
      </w:r>
      <w:r>
        <w:rPr>
          <w:rStyle w:val="22"/>
          <w:color w:val="auto"/>
          <w:sz w:val="24"/>
          <w:szCs w:val="24"/>
          <w:highlight w:val="none"/>
        </w:rPr>
        <w:t>7.2  钢筋布置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_Toc40210918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"_Toc40210919" </w:instrText>
      </w:r>
      <w:r>
        <w:rPr>
          <w:color w:val="auto"/>
          <w:highlight w:val="none"/>
        </w:rPr>
        <w:fldChar w:fldCharType="separate"/>
      </w:r>
      <w:r>
        <w:rPr>
          <w:rStyle w:val="22"/>
          <w:color w:val="auto"/>
          <w:sz w:val="24"/>
          <w:szCs w:val="24"/>
          <w:highlight w:val="none"/>
        </w:rPr>
        <w:t>7.4  支座构造</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_Toc40210919 \h </w:instrText>
      </w:r>
      <w:r>
        <w:rPr>
          <w:color w:val="auto"/>
          <w:sz w:val="24"/>
          <w:szCs w:val="24"/>
          <w:highlight w:val="none"/>
        </w:rPr>
        <w:fldChar w:fldCharType="separate"/>
      </w:r>
      <w:r>
        <w:rPr>
          <w:color w:val="auto"/>
          <w:sz w:val="24"/>
          <w:szCs w:val="24"/>
          <w:highlight w:val="none"/>
        </w:rPr>
        <w:t>53</w:t>
      </w:r>
      <w:r>
        <w:rPr>
          <w:color w:val="auto"/>
          <w:sz w:val="24"/>
          <w:szCs w:val="24"/>
          <w:highlight w:val="none"/>
        </w:rPr>
        <w:fldChar w:fldCharType="end"/>
      </w:r>
      <w:r>
        <w:rPr>
          <w:color w:val="auto"/>
          <w:sz w:val="24"/>
          <w:szCs w:val="24"/>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"_Toc40210920" </w:instrText>
      </w:r>
      <w:r>
        <w:rPr>
          <w:color w:val="auto"/>
          <w:highlight w:val="none"/>
        </w:rPr>
        <w:fldChar w:fldCharType="separate"/>
      </w:r>
      <w:r>
        <w:rPr>
          <w:rStyle w:val="22"/>
          <w:rFonts w:ascii="Times New Roman" w:hAnsi="Times New Roman"/>
          <w:color w:val="auto"/>
          <w:highlight w:val="none"/>
        </w:rPr>
        <w:t xml:space="preserve">8 </w:t>
      </w:r>
      <w:r>
        <w:rPr>
          <w:rStyle w:val="22"/>
          <w:rFonts w:ascii="Times New Roman"/>
          <w:color w:val="auto"/>
          <w:highlight w:val="none"/>
        </w:rPr>
        <w:t>构件制作与运输</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_Toc40210920 \h </w:instrText>
      </w:r>
      <w:r>
        <w:rPr>
          <w:rFonts w:ascii="Times New Roman" w:hAnsi="Times New Roman"/>
          <w:color w:val="auto"/>
          <w:highlight w:val="none"/>
        </w:rPr>
        <w:fldChar w:fldCharType="separate"/>
      </w:r>
      <w:r>
        <w:rPr>
          <w:rFonts w:ascii="Times New Roman" w:hAnsi="Times New Roman"/>
          <w:color w:val="auto"/>
          <w:highlight w:val="none"/>
        </w:rPr>
        <w:t>54</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"_Toc40210921" </w:instrText>
      </w:r>
      <w:r>
        <w:rPr>
          <w:color w:val="auto"/>
          <w:highlight w:val="none"/>
        </w:rPr>
        <w:fldChar w:fldCharType="separate"/>
      </w:r>
      <w:r>
        <w:rPr>
          <w:rStyle w:val="22"/>
          <w:color w:val="auto"/>
          <w:sz w:val="24"/>
          <w:szCs w:val="24"/>
          <w:highlight w:val="none"/>
        </w:rPr>
        <w:t>8.1一般规定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_Toc40210921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"_Toc40210922" </w:instrText>
      </w:r>
      <w:r>
        <w:rPr>
          <w:color w:val="auto"/>
          <w:highlight w:val="none"/>
        </w:rPr>
        <w:fldChar w:fldCharType="separate"/>
      </w:r>
      <w:r>
        <w:rPr>
          <w:rStyle w:val="22"/>
          <w:color w:val="auto"/>
          <w:sz w:val="24"/>
          <w:szCs w:val="24"/>
          <w:highlight w:val="none"/>
        </w:rPr>
        <w:t>8.2</w:t>
      </w:r>
      <w:r>
        <w:rPr>
          <w:rStyle w:val="22"/>
          <w:rFonts w:hint="eastAsia"/>
          <w:color w:val="auto"/>
          <w:sz w:val="24"/>
          <w:szCs w:val="24"/>
          <w:highlight w:val="none"/>
        </w:rPr>
        <w:t>支架预应力混凝土叠合板</w:t>
      </w:r>
      <w:r>
        <w:rPr>
          <w:rStyle w:val="22"/>
          <w:color w:val="auto"/>
          <w:sz w:val="24"/>
          <w:szCs w:val="24"/>
          <w:highlight w:val="none"/>
        </w:rPr>
        <w:t>预制底板制作</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_Toc40210922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"_Toc40210923" </w:instrText>
      </w:r>
      <w:r>
        <w:rPr>
          <w:color w:val="auto"/>
          <w:highlight w:val="none"/>
        </w:rPr>
        <w:fldChar w:fldCharType="separate"/>
      </w:r>
      <w:r>
        <w:rPr>
          <w:rStyle w:val="22"/>
          <w:color w:val="auto"/>
          <w:sz w:val="24"/>
          <w:szCs w:val="24"/>
          <w:highlight w:val="none"/>
        </w:rPr>
        <w:t>8.3构件检验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_Toc40210923 \h </w:instrText>
      </w:r>
      <w:r>
        <w:rPr>
          <w:color w:val="auto"/>
          <w:sz w:val="24"/>
          <w:szCs w:val="24"/>
          <w:highlight w:val="none"/>
        </w:rPr>
        <w:fldChar w:fldCharType="separate"/>
      </w:r>
      <w:r>
        <w:rPr>
          <w:color w:val="auto"/>
          <w:sz w:val="24"/>
          <w:szCs w:val="24"/>
          <w:highlight w:val="none"/>
        </w:rPr>
        <w:t>55</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"_Toc40210924" </w:instrText>
      </w:r>
      <w:r>
        <w:rPr>
          <w:color w:val="auto"/>
          <w:highlight w:val="none"/>
        </w:rPr>
        <w:fldChar w:fldCharType="separate"/>
      </w:r>
      <w:r>
        <w:rPr>
          <w:rStyle w:val="22"/>
          <w:color w:val="auto"/>
          <w:sz w:val="24"/>
          <w:szCs w:val="24"/>
          <w:highlight w:val="none"/>
        </w:rPr>
        <w:t>8.4  构件运输与堆放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_Toc40210924 \h </w:instrText>
      </w:r>
      <w:r>
        <w:rPr>
          <w:color w:val="auto"/>
          <w:sz w:val="24"/>
          <w:szCs w:val="24"/>
          <w:highlight w:val="none"/>
        </w:rPr>
        <w:fldChar w:fldCharType="separate"/>
      </w:r>
      <w:r>
        <w:rPr>
          <w:color w:val="auto"/>
          <w:sz w:val="24"/>
          <w:szCs w:val="24"/>
          <w:highlight w:val="none"/>
        </w:rPr>
        <w:t>55</w:t>
      </w:r>
      <w:r>
        <w:rPr>
          <w:color w:val="auto"/>
          <w:sz w:val="24"/>
          <w:szCs w:val="24"/>
          <w:highlight w:val="none"/>
        </w:rPr>
        <w:fldChar w:fldCharType="end"/>
      </w:r>
      <w:r>
        <w:rPr>
          <w:color w:val="auto"/>
          <w:sz w:val="24"/>
          <w:szCs w:val="24"/>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"_Toc40210925" </w:instrText>
      </w:r>
      <w:r>
        <w:rPr>
          <w:color w:val="auto"/>
          <w:highlight w:val="none"/>
        </w:rPr>
        <w:fldChar w:fldCharType="separate"/>
      </w:r>
      <w:r>
        <w:rPr>
          <w:rStyle w:val="22"/>
          <w:rFonts w:ascii="Times New Roman" w:hAnsi="Times New Roman"/>
          <w:color w:val="auto"/>
          <w:highlight w:val="none"/>
        </w:rPr>
        <w:t>9</w:t>
      </w:r>
      <w:r>
        <w:rPr>
          <w:rStyle w:val="22"/>
          <w:rFonts w:ascii="Times New Roman"/>
          <w:color w:val="auto"/>
          <w:highlight w:val="none"/>
        </w:rPr>
        <w:t>施工安装</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_Toc40210925 \h </w:instrText>
      </w:r>
      <w:r>
        <w:rPr>
          <w:rFonts w:ascii="Times New Roman" w:hAnsi="Times New Roman"/>
          <w:color w:val="auto"/>
          <w:highlight w:val="none"/>
        </w:rPr>
        <w:fldChar w:fldCharType="separate"/>
      </w:r>
      <w:r>
        <w:rPr>
          <w:rFonts w:ascii="Times New Roman" w:hAnsi="Times New Roman"/>
          <w:color w:val="auto"/>
          <w:highlight w:val="none"/>
        </w:rPr>
        <w:t>58</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"_Toc40210926" </w:instrText>
      </w:r>
      <w:r>
        <w:rPr>
          <w:color w:val="auto"/>
          <w:highlight w:val="none"/>
        </w:rPr>
        <w:fldChar w:fldCharType="separate"/>
      </w:r>
      <w:r>
        <w:rPr>
          <w:rStyle w:val="22"/>
          <w:color w:val="auto"/>
          <w:sz w:val="24"/>
          <w:szCs w:val="24"/>
          <w:highlight w:val="none"/>
        </w:rPr>
        <w:t>9.1一般规定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_Toc40210926 \h </w:instrText>
      </w:r>
      <w:r>
        <w:rPr>
          <w:color w:val="auto"/>
          <w:sz w:val="24"/>
          <w:szCs w:val="24"/>
          <w:highlight w:val="none"/>
        </w:rPr>
        <w:fldChar w:fldCharType="separate"/>
      </w:r>
      <w:r>
        <w:rPr>
          <w:color w:val="auto"/>
          <w:sz w:val="24"/>
          <w:szCs w:val="24"/>
          <w:highlight w:val="none"/>
        </w:rPr>
        <w:t>58</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"_Toc40210927" </w:instrText>
      </w:r>
      <w:r>
        <w:rPr>
          <w:color w:val="auto"/>
          <w:highlight w:val="none"/>
        </w:rPr>
        <w:fldChar w:fldCharType="separate"/>
      </w:r>
      <w:r>
        <w:rPr>
          <w:rStyle w:val="22"/>
          <w:color w:val="auto"/>
          <w:sz w:val="24"/>
          <w:szCs w:val="24"/>
          <w:highlight w:val="none"/>
        </w:rPr>
        <w:t>9.2构件安装</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_Toc40210927 \h </w:instrText>
      </w:r>
      <w:r>
        <w:rPr>
          <w:color w:val="auto"/>
          <w:sz w:val="24"/>
          <w:szCs w:val="24"/>
          <w:highlight w:val="none"/>
        </w:rPr>
        <w:fldChar w:fldCharType="separate"/>
      </w:r>
      <w:r>
        <w:rPr>
          <w:color w:val="auto"/>
          <w:sz w:val="24"/>
          <w:szCs w:val="24"/>
          <w:highlight w:val="none"/>
        </w:rPr>
        <w:t>58</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"_Toc40210928" </w:instrText>
      </w:r>
      <w:r>
        <w:rPr>
          <w:color w:val="auto"/>
          <w:highlight w:val="none"/>
        </w:rPr>
        <w:fldChar w:fldCharType="separate"/>
      </w:r>
      <w:r>
        <w:rPr>
          <w:rStyle w:val="22"/>
          <w:color w:val="auto"/>
          <w:sz w:val="24"/>
          <w:szCs w:val="24"/>
          <w:highlight w:val="none"/>
        </w:rPr>
        <w:t>9.3叠合层施工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_Toc40210928 \h </w:instrText>
      </w:r>
      <w:r>
        <w:rPr>
          <w:color w:val="auto"/>
          <w:sz w:val="24"/>
          <w:szCs w:val="24"/>
          <w:highlight w:val="none"/>
        </w:rPr>
        <w:fldChar w:fldCharType="separate"/>
      </w:r>
      <w:r>
        <w:rPr>
          <w:color w:val="auto"/>
          <w:sz w:val="24"/>
          <w:szCs w:val="24"/>
          <w:highlight w:val="none"/>
        </w:rPr>
        <w:t>60</w:t>
      </w:r>
      <w:r>
        <w:rPr>
          <w:color w:val="auto"/>
          <w:sz w:val="24"/>
          <w:szCs w:val="24"/>
          <w:highlight w:val="none"/>
        </w:rPr>
        <w:fldChar w:fldCharType="end"/>
      </w:r>
      <w:r>
        <w:rPr>
          <w:color w:val="auto"/>
          <w:sz w:val="24"/>
          <w:szCs w:val="24"/>
          <w:highlight w:val="none"/>
        </w:rPr>
        <w:fldChar w:fldCharType="end"/>
      </w:r>
    </w:p>
    <w:p>
      <w:pPr>
        <w:pStyle w:val="12"/>
        <w:rPr>
          <w:rFonts w:ascii="Times New Roman" w:hAnsi="Times New Roman" w:eastAsiaTheme="minorEastAsia"/>
          <w:bCs w:val="0"/>
          <w:caps w:val="0"/>
          <w:color w:val="auto"/>
          <w:highlight w:val="none"/>
        </w:rPr>
      </w:pPr>
      <w:r>
        <w:rPr>
          <w:color w:val="auto"/>
          <w:highlight w:val="none"/>
        </w:rPr>
        <w:fldChar w:fldCharType="begin"/>
      </w:r>
      <w:r>
        <w:rPr>
          <w:color w:val="auto"/>
          <w:highlight w:val="none"/>
        </w:rPr>
        <w:instrText xml:space="preserve"> HYPERLINK \l "_Toc40210929" </w:instrText>
      </w:r>
      <w:r>
        <w:rPr>
          <w:color w:val="auto"/>
          <w:highlight w:val="none"/>
        </w:rPr>
        <w:fldChar w:fldCharType="separate"/>
      </w:r>
      <w:r>
        <w:rPr>
          <w:rStyle w:val="22"/>
          <w:rFonts w:ascii="Times New Roman" w:hAnsi="Times New Roman"/>
          <w:color w:val="auto"/>
          <w:highlight w:val="none"/>
        </w:rPr>
        <w:t xml:space="preserve">10 </w:t>
      </w:r>
      <w:r>
        <w:rPr>
          <w:rStyle w:val="22"/>
          <w:rFonts w:ascii="Times New Roman"/>
          <w:color w:val="auto"/>
          <w:highlight w:val="none"/>
        </w:rPr>
        <w:t>质量验收</w:t>
      </w:r>
      <w:r>
        <w:rPr>
          <w:rFonts w:ascii="Times New Roman" w:hAnsi="Times New Roman"/>
          <w:bCs w:val="0"/>
          <w:caps w:val="0"/>
          <w:smallCaps/>
          <w:color w:val="auto"/>
          <w:highlight w:val="none"/>
        </w:rPr>
        <w:tab/>
      </w:r>
      <w:r>
        <w:rPr>
          <w:rFonts w:ascii="Times New Roman" w:hAnsi="Times New Roman"/>
          <w:color w:val="auto"/>
          <w:highlight w:val="none"/>
        </w:rPr>
        <w:fldChar w:fldCharType="begin"/>
      </w:r>
      <w:r>
        <w:rPr>
          <w:rFonts w:ascii="Times New Roman" w:hAnsi="Times New Roman"/>
          <w:color w:val="auto"/>
          <w:highlight w:val="none"/>
        </w:rPr>
        <w:instrText xml:space="preserve"> PAGEREF _Toc40210929 \h </w:instrText>
      </w:r>
      <w:r>
        <w:rPr>
          <w:rFonts w:ascii="Times New Roman" w:hAnsi="Times New Roman"/>
          <w:color w:val="auto"/>
          <w:highlight w:val="none"/>
        </w:rPr>
        <w:fldChar w:fldCharType="separate"/>
      </w:r>
      <w:r>
        <w:rPr>
          <w:rFonts w:ascii="Times New Roman" w:hAnsi="Times New Roman"/>
          <w:color w:val="auto"/>
          <w:highlight w:val="none"/>
        </w:rPr>
        <w:t>61</w:t>
      </w:r>
      <w:r>
        <w:rPr>
          <w:rFonts w:ascii="Times New Roman" w:hAnsi="Times New Roman"/>
          <w:color w:val="auto"/>
          <w:highlight w:val="none"/>
        </w:rPr>
        <w:fldChar w:fldCharType="end"/>
      </w:r>
      <w:r>
        <w:rPr>
          <w:rFonts w:ascii="Times New Roman" w:hAnsi="Times New Roman"/>
          <w:color w:val="auto"/>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"_Toc40210930" </w:instrText>
      </w:r>
      <w:r>
        <w:rPr>
          <w:color w:val="auto"/>
          <w:highlight w:val="none"/>
        </w:rPr>
        <w:fldChar w:fldCharType="separate"/>
      </w:r>
      <w:r>
        <w:rPr>
          <w:rStyle w:val="22"/>
          <w:color w:val="auto"/>
          <w:sz w:val="24"/>
          <w:szCs w:val="24"/>
          <w:highlight w:val="none"/>
        </w:rPr>
        <w:t>10.1一般规定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_Toc40210930 \h </w:instrText>
      </w:r>
      <w:r>
        <w:rPr>
          <w:color w:val="auto"/>
          <w:sz w:val="24"/>
          <w:szCs w:val="24"/>
          <w:highlight w:val="none"/>
        </w:rPr>
        <w:fldChar w:fldCharType="separate"/>
      </w:r>
      <w:r>
        <w:rPr>
          <w:color w:val="auto"/>
          <w:sz w:val="24"/>
          <w:szCs w:val="24"/>
          <w:highlight w:val="none"/>
        </w:rPr>
        <w:t>61</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4"/>
          <w:szCs w:val="24"/>
          <w:highlight w:val="none"/>
        </w:rPr>
      </w:pPr>
      <w:r>
        <w:rPr>
          <w:color w:val="auto"/>
          <w:highlight w:val="none"/>
        </w:rPr>
        <w:fldChar w:fldCharType="begin"/>
      </w:r>
      <w:r>
        <w:rPr>
          <w:color w:val="auto"/>
          <w:highlight w:val="none"/>
        </w:rPr>
        <w:instrText xml:space="preserve"> HYPERLINK \l "_Toc40210931" </w:instrText>
      </w:r>
      <w:r>
        <w:rPr>
          <w:color w:val="auto"/>
          <w:highlight w:val="none"/>
        </w:rPr>
        <w:fldChar w:fldCharType="separate"/>
      </w:r>
      <w:r>
        <w:rPr>
          <w:rStyle w:val="22"/>
          <w:color w:val="auto"/>
          <w:sz w:val="24"/>
          <w:szCs w:val="24"/>
          <w:highlight w:val="none"/>
        </w:rPr>
        <w:t>10.2构件出厂检验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_Toc40210931 \h </w:instrText>
      </w:r>
      <w:r>
        <w:rPr>
          <w:color w:val="auto"/>
          <w:sz w:val="24"/>
          <w:szCs w:val="24"/>
          <w:highlight w:val="none"/>
        </w:rPr>
        <w:fldChar w:fldCharType="separate"/>
      </w:r>
      <w:r>
        <w:rPr>
          <w:color w:val="auto"/>
          <w:sz w:val="24"/>
          <w:szCs w:val="24"/>
          <w:highlight w:val="none"/>
        </w:rPr>
        <w:t>61</w:t>
      </w:r>
      <w:r>
        <w:rPr>
          <w:color w:val="auto"/>
          <w:sz w:val="24"/>
          <w:szCs w:val="24"/>
          <w:highlight w:val="none"/>
        </w:rPr>
        <w:fldChar w:fldCharType="end"/>
      </w:r>
      <w:r>
        <w:rPr>
          <w:color w:val="auto"/>
          <w:sz w:val="24"/>
          <w:szCs w:val="24"/>
          <w:highlight w:val="none"/>
        </w:rPr>
        <w:fldChar w:fldCharType="end"/>
      </w:r>
    </w:p>
    <w:p>
      <w:pPr>
        <w:pStyle w:val="13"/>
        <w:rPr>
          <w:rFonts w:eastAsiaTheme="minorEastAsia"/>
          <w:smallCaps w:val="0"/>
          <w:color w:val="auto"/>
          <w:sz w:val="21"/>
          <w:szCs w:val="22"/>
          <w:highlight w:val="none"/>
        </w:rPr>
      </w:pPr>
      <w:r>
        <w:rPr>
          <w:color w:val="auto"/>
          <w:highlight w:val="none"/>
        </w:rPr>
        <w:fldChar w:fldCharType="begin"/>
      </w:r>
      <w:r>
        <w:rPr>
          <w:color w:val="auto"/>
          <w:highlight w:val="none"/>
        </w:rPr>
        <w:instrText xml:space="preserve"> HYPERLINK \l "_Toc40210932" </w:instrText>
      </w:r>
      <w:r>
        <w:rPr>
          <w:color w:val="auto"/>
          <w:highlight w:val="none"/>
        </w:rPr>
        <w:fldChar w:fldCharType="separate"/>
      </w:r>
      <w:r>
        <w:rPr>
          <w:rStyle w:val="22"/>
          <w:color w:val="auto"/>
          <w:sz w:val="24"/>
          <w:szCs w:val="24"/>
          <w:highlight w:val="none"/>
        </w:rPr>
        <w:t>10.3叠合板质量验收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_Toc40210932 \h </w:instrText>
      </w:r>
      <w:r>
        <w:rPr>
          <w:color w:val="auto"/>
          <w:sz w:val="24"/>
          <w:szCs w:val="24"/>
          <w:highlight w:val="none"/>
        </w:rPr>
        <w:fldChar w:fldCharType="separate"/>
      </w:r>
      <w:r>
        <w:rPr>
          <w:color w:val="auto"/>
          <w:sz w:val="24"/>
          <w:szCs w:val="24"/>
          <w:highlight w:val="none"/>
        </w:rPr>
        <w:t>61</w:t>
      </w:r>
      <w:r>
        <w:rPr>
          <w:color w:val="auto"/>
          <w:sz w:val="24"/>
          <w:szCs w:val="24"/>
          <w:highlight w:val="none"/>
        </w:rPr>
        <w:fldChar w:fldCharType="end"/>
      </w:r>
      <w:r>
        <w:rPr>
          <w:color w:val="auto"/>
          <w:sz w:val="24"/>
          <w:szCs w:val="24"/>
          <w:highlight w:val="none"/>
        </w:rPr>
        <w:fldChar w:fldCharType="end"/>
      </w:r>
    </w:p>
    <w:p>
      <w:pPr>
        <w:pStyle w:val="12"/>
        <w:tabs>
          <w:tab w:val="left" w:pos="0"/>
        </w:tabs>
        <w:rPr>
          <w:rFonts w:ascii="Times New Roman" w:hAnsi="Times New Roman" w:eastAsiaTheme="minorEastAsia"/>
          <w:color w:val="auto"/>
          <w:highlight w:val="none"/>
        </w:rPr>
      </w:pPr>
      <w:r>
        <w:rPr>
          <w:rFonts w:ascii="Times New Roman" w:hAnsi="Times New Roman" w:eastAsiaTheme="minorEastAsia"/>
          <w:color w:val="auto"/>
          <w:highlight w:val="none"/>
        </w:rPr>
        <w:fldChar w:fldCharType="end"/>
      </w:r>
    </w:p>
    <w:p>
      <w:pPr>
        <w:pStyle w:val="12"/>
        <w:tabs>
          <w:tab w:val="left" w:pos="0"/>
        </w:tabs>
        <w:rPr>
          <w:rFonts w:ascii="Times New Roman" w:hAnsi="Times New Roman" w:eastAsiaTheme="minorEastAsia"/>
          <w:color w:val="auto"/>
          <w:highlight w:val="none"/>
        </w:rPr>
      </w:pPr>
      <w:r>
        <w:rPr>
          <w:rFonts w:ascii="Times New Roman" w:hAnsi="Times New Roman" w:eastAsiaTheme="minorEastAsia"/>
          <w:color w:val="auto"/>
          <w:highlight w:val="none"/>
        </w:rPr>
        <w:br w:type="page"/>
      </w:r>
    </w:p>
    <w:p>
      <w:pPr>
        <w:pStyle w:val="24"/>
        <w:spacing w:before="312" w:after="312"/>
        <w:rPr>
          <w:rFonts w:eastAsiaTheme="minorEastAsia"/>
          <w:color w:val="auto"/>
          <w:highlight w:val="none"/>
        </w:rPr>
      </w:pPr>
      <w:bookmarkStart w:id="78" w:name="_Toc40210904"/>
      <w:bookmarkStart w:id="79" w:name="_Toc25156797"/>
      <w:bookmarkStart w:id="80" w:name="_Toc111709541"/>
      <w:bookmarkStart w:id="81" w:name="_Toc25156738"/>
      <w:r>
        <w:rPr>
          <w:rFonts w:eastAsiaTheme="minorEastAsia"/>
          <w:color w:val="auto"/>
          <w:highlight w:val="none"/>
        </w:rPr>
        <w:t>1 总则</w:t>
      </w:r>
      <w:bookmarkEnd w:id="78"/>
      <w:bookmarkEnd w:id="79"/>
      <w:bookmarkEnd w:id="80"/>
      <w:bookmarkEnd w:id="81"/>
    </w:p>
    <w:p>
      <w:pPr>
        <w:pStyle w:val="38"/>
        <w:widowControl w:val="0"/>
        <w:numPr>
          <w:ilvl w:val="0"/>
          <w:numId w:val="8"/>
        </w:numPr>
        <w:adjustRightInd/>
        <w:snapToGrid/>
        <w:spacing w:after="0" w:line="360" w:lineRule="auto"/>
        <w:ind w:left="0" w:firstLine="0" w:firstLineChars="0"/>
        <w:jc w:val="both"/>
        <w:rPr>
          <w:rFonts w:eastAsiaTheme="minorEastAsia"/>
          <w:color w:val="auto"/>
          <w:sz w:val="24"/>
          <w:szCs w:val="24"/>
          <w:highlight w:val="none"/>
        </w:rPr>
      </w:pPr>
      <w:r>
        <w:rPr>
          <w:rFonts w:hint="eastAsia" w:ascii="Times New Roman" w:hAnsi="Times New Roman" w:eastAsia="宋体" w:cs="Times New Roman"/>
          <w:color w:val="auto"/>
          <w:sz w:val="24"/>
          <w:szCs w:val="24"/>
          <w:highlight w:val="none"/>
        </w:rPr>
        <w:t>支架预应力混凝土叠合板</w:t>
      </w:r>
      <w:r>
        <w:rPr>
          <w:rFonts w:hAnsiTheme="minorEastAsia" w:eastAsiaTheme="minorEastAsia"/>
          <w:color w:val="auto"/>
          <w:sz w:val="24"/>
          <w:szCs w:val="24"/>
          <w:highlight w:val="none"/>
        </w:rPr>
        <w:t>具有刚度适中、承载能力适中、自重轻、宽度大、生产效率高、支撑少、方便穿插管线等优点，目前已大量应用于装配式建筑中，并且具有广阔的应用前景，为规范</w:t>
      </w:r>
      <w:r>
        <w:rPr>
          <w:rFonts w:hint="eastAsia" w:ascii="Times New Roman" w:hAnsi="Times New Roman" w:eastAsia="宋体" w:cs="Times New Roman"/>
          <w:color w:val="auto"/>
          <w:sz w:val="24"/>
          <w:szCs w:val="24"/>
          <w:highlight w:val="none"/>
        </w:rPr>
        <w:t>支架预应力混凝土叠合板</w:t>
      </w:r>
      <w:r>
        <w:rPr>
          <w:rFonts w:hAnsiTheme="minorEastAsia" w:eastAsiaTheme="minorEastAsia"/>
          <w:color w:val="auto"/>
          <w:sz w:val="24"/>
          <w:szCs w:val="24"/>
          <w:highlight w:val="none"/>
        </w:rPr>
        <w:t>的设计、生产、施工，制定本规程。</w:t>
      </w:r>
    </w:p>
    <w:p>
      <w:pPr>
        <w:pStyle w:val="38"/>
        <w:widowControl w:val="0"/>
        <w:numPr>
          <w:ilvl w:val="0"/>
          <w:numId w:val="8"/>
        </w:numPr>
        <w:adjustRightInd/>
        <w:snapToGrid/>
        <w:spacing w:after="0" w:line="360" w:lineRule="auto"/>
        <w:ind w:left="0" w:firstLine="0" w:firstLineChars="0"/>
        <w:jc w:val="both"/>
        <w:rPr>
          <w:rFonts w:eastAsiaTheme="minorEastAsia"/>
          <w:color w:val="auto"/>
          <w:sz w:val="24"/>
          <w:szCs w:val="24"/>
          <w:highlight w:val="none"/>
        </w:rPr>
      </w:pPr>
      <w:r>
        <w:rPr>
          <w:rFonts w:hAnsiTheme="minorEastAsia" w:eastAsiaTheme="minorEastAsia"/>
          <w:color w:val="auto"/>
          <w:sz w:val="24"/>
          <w:szCs w:val="24"/>
          <w:highlight w:val="none"/>
        </w:rPr>
        <w:t>限于目前研究成果的局限性，</w:t>
      </w:r>
      <w:r>
        <w:rPr>
          <w:rFonts w:hint="eastAsia" w:ascii="Times New Roman" w:hAnsi="Times New Roman" w:eastAsia="宋体" w:cs="Times New Roman"/>
          <w:color w:val="auto"/>
          <w:sz w:val="24"/>
          <w:szCs w:val="24"/>
          <w:highlight w:val="none"/>
        </w:rPr>
        <w:t>支架预应力混凝土叠合板</w:t>
      </w:r>
      <w:r>
        <w:rPr>
          <w:rFonts w:hAnsiTheme="minorEastAsia" w:eastAsiaTheme="minorEastAsia"/>
          <w:color w:val="auto"/>
          <w:sz w:val="24"/>
          <w:szCs w:val="24"/>
          <w:highlight w:val="none"/>
        </w:rPr>
        <w:t>尚不适用于抗震设防烈度</w:t>
      </w:r>
      <w:r>
        <w:rPr>
          <w:rFonts w:eastAsiaTheme="minorEastAsia"/>
          <w:color w:val="auto"/>
          <w:sz w:val="24"/>
          <w:szCs w:val="24"/>
          <w:highlight w:val="none"/>
        </w:rPr>
        <w:t>8</w:t>
      </w:r>
      <w:r>
        <w:rPr>
          <w:rFonts w:hAnsiTheme="minorEastAsia" w:eastAsiaTheme="minorEastAsia"/>
          <w:color w:val="auto"/>
          <w:sz w:val="24"/>
          <w:szCs w:val="24"/>
          <w:highlight w:val="none"/>
        </w:rPr>
        <w:t>度以上地区。当建筑处于特殊使用环境，如板底高温（板底表面温度大于</w:t>
      </w:r>
      <w:r>
        <w:rPr>
          <w:rFonts w:eastAsiaTheme="minorEastAsia"/>
          <w:color w:val="auto"/>
          <w:sz w:val="24"/>
          <w:szCs w:val="24"/>
          <w:highlight w:val="none"/>
        </w:rPr>
        <w:t>100</w:t>
      </w:r>
      <w:r>
        <w:rPr>
          <w:rFonts w:asciiTheme="minorEastAsia" w:hAnsiTheme="minorEastAsia" w:eastAsiaTheme="minorEastAsia"/>
          <w:color w:val="auto"/>
          <w:sz w:val="24"/>
          <w:szCs w:val="24"/>
          <w:highlight w:val="none"/>
        </w:rPr>
        <w:t>℃</w:t>
      </w:r>
      <w:r>
        <w:rPr>
          <w:rFonts w:hAnsiTheme="minorEastAsia" w:eastAsiaTheme="minorEastAsia"/>
          <w:color w:val="auto"/>
          <w:sz w:val="24"/>
          <w:szCs w:val="24"/>
          <w:highlight w:val="none"/>
        </w:rPr>
        <w:t>或有生产热源且表面温度经常大于</w:t>
      </w:r>
      <w:r>
        <w:rPr>
          <w:rFonts w:eastAsiaTheme="minorEastAsia"/>
          <w:color w:val="auto"/>
          <w:sz w:val="24"/>
          <w:szCs w:val="24"/>
          <w:highlight w:val="none"/>
        </w:rPr>
        <w:t>60</w:t>
      </w:r>
      <w:r>
        <w:rPr>
          <w:rFonts w:asciiTheme="minorEastAsia" w:hAnsiTheme="minorEastAsia" w:eastAsiaTheme="minorEastAsia"/>
          <w:color w:val="auto"/>
          <w:sz w:val="24"/>
          <w:szCs w:val="24"/>
          <w:highlight w:val="none"/>
        </w:rPr>
        <w:t>℃</w:t>
      </w:r>
      <w:r>
        <w:rPr>
          <w:rFonts w:hAnsiTheme="minorEastAsia" w:eastAsiaTheme="minorEastAsia"/>
          <w:color w:val="auto"/>
          <w:sz w:val="24"/>
          <w:szCs w:val="24"/>
          <w:highlight w:val="none"/>
        </w:rPr>
        <w:t>）、板承受动力荷载、腐蚀性环境等，应按国家现行有关标准进行专门设计。</w:t>
      </w:r>
    </w:p>
    <w:p>
      <w:pPr>
        <w:rPr>
          <w:rFonts w:hAnsi="仿宋" w:eastAsia="仿宋"/>
          <w:color w:val="auto"/>
          <w:sz w:val="24"/>
          <w:szCs w:val="24"/>
          <w:highlight w:val="none"/>
        </w:rPr>
      </w:pPr>
      <w:r>
        <w:rPr>
          <w:rFonts w:hAnsi="仿宋" w:eastAsia="仿宋"/>
          <w:color w:val="auto"/>
          <w:sz w:val="24"/>
          <w:szCs w:val="24"/>
          <w:highlight w:val="none"/>
        </w:rPr>
        <w:br w:type="page"/>
      </w:r>
    </w:p>
    <w:p>
      <w:pPr>
        <w:pStyle w:val="24"/>
        <w:spacing w:before="312" w:after="312"/>
        <w:rPr>
          <w:rFonts w:eastAsiaTheme="minorEastAsia"/>
          <w:color w:val="auto"/>
          <w:highlight w:val="none"/>
        </w:rPr>
      </w:pPr>
      <w:bookmarkStart w:id="82" w:name="_Toc24528931"/>
      <w:bookmarkStart w:id="83" w:name="_Toc111709542"/>
      <w:bookmarkStart w:id="84" w:name="_Toc40210905"/>
      <w:bookmarkStart w:id="85" w:name="_Toc25156739"/>
      <w:bookmarkStart w:id="86" w:name="_Toc25156798"/>
      <w:r>
        <w:rPr>
          <w:rFonts w:eastAsiaTheme="minorEastAsia"/>
          <w:color w:val="auto"/>
          <w:highlight w:val="none"/>
        </w:rPr>
        <w:t>2 术语和符号</w:t>
      </w:r>
      <w:bookmarkEnd w:id="82"/>
      <w:bookmarkEnd w:id="83"/>
      <w:bookmarkEnd w:id="84"/>
      <w:bookmarkEnd w:id="85"/>
      <w:bookmarkEnd w:id="86"/>
    </w:p>
    <w:p>
      <w:pPr>
        <w:pStyle w:val="25"/>
        <w:spacing w:before="312" w:after="312" w:line="360" w:lineRule="auto"/>
        <w:rPr>
          <w:color w:val="auto"/>
          <w:highlight w:val="none"/>
        </w:rPr>
      </w:pPr>
      <w:bookmarkStart w:id="87" w:name="_Toc40210906"/>
      <w:bookmarkStart w:id="88" w:name="_Toc25156740"/>
      <w:bookmarkStart w:id="89" w:name="_Toc24528932"/>
      <w:bookmarkStart w:id="90" w:name="_Toc25156799"/>
      <w:bookmarkStart w:id="91" w:name="_Toc111709543"/>
      <w:r>
        <w:rPr>
          <w:color w:val="auto"/>
          <w:highlight w:val="none"/>
        </w:rPr>
        <w:t>2.1 术语</w:t>
      </w:r>
      <w:bookmarkEnd w:id="87"/>
      <w:bookmarkEnd w:id="88"/>
      <w:bookmarkEnd w:id="89"/>
      <w:bookmarkEnd w:id="90"/>
      <w:bookmarkEnd w:id="91"/>
    </w:p>
    <w:p>
      <w:pPr>
        <w:pStyle w:val="38"/>
        <w:widowControl w:val="0"/>
        <w:numPr>
          <w:ilvl w:val="0"/>
          <w:numId w:val="9"/>
        </w:numPr>
        <w:adjustRightInd/>
        <w:snapToGrid/>
        <w:spacing w:after="0" w:line="360" w:lineRule="auto"/>
        <w:ind w:left="0" w:firstLine="0" w:firstLineChars="0"/>
        <w:jc w:val="both"/>
        <w:rPr>
          <w:rFonts w:ascii="Times New Roman" w:hAnsi="Times New Roman" w:cs="Times New Roman" w:eastAsiaTheme="minorEastAsia"/>
          <w:color w:val="auto"/>
          <w:sz w:val="24"/>
          <w:szCs w:val="24"/>
          <w:highlight w:val="none"/>
        </w:rPr>
      </w:pP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预制底板用作叠合板的底板。</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预制底板在生产、施工过程中独立承载，并作为叠合层的永久模板，后浇混凝土叠合层后形成</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w:t>
      </w:r>
    </w:p>
    <w:p>
      <w:pPr>
        <w:spacing w:before="312" w:beforeLines="100" w:after="0" w:line="360" w:lineRule="auto"/>
        <w:jc w:val="center"/>
        <w:rPr>
          <w:rFonts w:ascii="Times New Roman" w:hAnsi="Times New Roman" w:cs="Times New Roman" w:eastAsiaTheme="minorEastAsia"/>
          <w:color w:val="auto"/>
          <w:sz w:val="24"/>
          <w:szCs w:val="24"/>
          <w:highlight w:val="none"/>
        </w:rPr>
      </w:pPr>
      <w:r>
        <w:rPr>
          <w:color w:val="auto"/>
          <w:highlight w:val="none"/>
        </w:rPr>
        <w:drawing>
          <wp:inline distT="0" distB="0" distL="0" distR="0">
            <wp:extent cx="3995420" cy="1845945"/>
            <wp:effectExtent l="0" t="0" r="5080" b="19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6"/>
                    <a:stretch>
                      <a:fillRect/>
                    </a:stretch>
                  </pic:blipFill>
                  <pic:spPr>
                    <a:xfrm>
                      <a:off x="0" y="0"/>
                      <a:ext cx="4038397" cy="1866045"/>
                    </a:xfrm>
                    <a:prstGeom prst="rect">
                      <a:avLst/>
                    </a:prstGeom>
                  </pic:spPr>
                </pic:pic>
              </a:graphicData>
            </a:graphic>
          </wp:inline>
        </w:drawing>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（a）俯视图</w:t>
      </w:r>
    </w:p>
    <w:p>
      <w:pPr>
        <w:spacing w:after="0" w:line="360" w:lineRule="auto"/>
        <w:jc w:val="center"/>
        <w:rPr>
          <w:rFonts w:ascii="Times New Roman" w:hAnsi="Times New Roman" w:cs="Times New Roman" w:eastAsiaTheme="minorEastAsia"/>
          <w:color w:val="auto"/>
          <w:sz w:val="24"/>
          <w:szCs w:val="24"/>
          <w:highlight w:val="none"/>
        </w:rPr>
      </w:pPr>
      <w:r>
        <w:rPr>
          <w:color w:val="auto"/>
          <w:highlight w:val="none"/>
        </w:rPr>
        <w:drawing>
          <wp:inline distT="0" distB="0" distL="0" distR="0">
            <wp:extent cx="4442460" cy="128524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7"/>
                    <a:stretch>
                      <a:fillRect/>
                    </a:stretch>
                  </pic:blipFill>
                  <pic:spPr>
                    <a:xfrm>
                      <a:off x="0" y="0"/>
                      <a:ext cx="4463583" cy="1291892"/>
                    </a:xfrm>
                    <a:prstGeom prst="rect">
                      <a:avLst/>
                    </a:prstGeom>
                  </pic:spPr>
                </pic:pic>
              </a:graphicData>
            </a:graphic>
          </wp:inline>
        </w:drawing>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（b）横剖面</w:t>
      </w:r>
    </w:p>
    <w:p>
      <w:pPr>
        <w:spacing w:after="0" w:line="360" w:lineRule="auto"/>
        <w:jc w:val="center"/>
        <w:rPr>
          <w:rFonts w:ascii="Times New Roman" w:hAnsi="Times New Roman" w:cs="Times New Roman" w:eastAsiaTheme="minorEastAsia"/>
          <w:color w:val="auto"/>
          <w:sz w:val="24"/>
          <w:szCs w:val="24"/>
          <w:highlight w:val="none"/>
        </w:rPr>
      </w:pPr>
      <w:r>
        <w:rPr>
          <w:color w:val="auto"/>
          <w:highlight w:val="none"/>
        </w:rPr>
        <w:drawing>
          <wp:inline distT="0" distB="0" distL="0" distR="0">
            <wp:extent cx="5274310" cy="688975"/>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8"/>
                    <a:stretch>
                      <a:fillRect/>
                    </a:stretch>
                  </pic:blipFill>
                  <pic:spPr>
                    <a:xfrm>
                      <a:off x="0" y="0"/>
                      <a:ext cx="5333219" cy="696670"/>
                    </a:xfrm>
                    <a:prstGeom prst="rect">
                      <a:avLst/>
                    </a:prstGeom>
                  </pic:spPr>
                </pic:pic>
              </a:graphicData>
            </a:graphic>
          </wp:inline>
        </w:drawing>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（c）纵剖面</w:t>
      </w:r>
    </w:p>
    <w:p>
      <w:pPr>
        <w:autoSpaceDE w:val="0"/>
        <w:autoSpaceDN w:val="0"/>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1—</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桁架；2—预应力钢筋；3—横向分布钢筋</w:t>
      </w:r>
    </w:p>
    <w:p>
      <w:pPr>
        <w:autoSpaceDE w:val="0"/>
        <w:autoSpaceDN w:val="0"/>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 xml:space="preserve">图1 </w:t>
      </w:r>
      <w:r>
        <w:rPr>
          <w:rFonts w:hint="eastAsia" w:ascii="Times New Roman" w:hAnsi="Times New Roman" w:cs="Times New Roman" w:eastAsiaTheme="minorEastAsia"/>
          <w:color w:val="auto"/>
          <w:sz w:val="24"/>
          <w:szCs w:val="24"/>
          <w:highlight w:val="none"/>
        </w:rPr>
        <w:t>支架预应力叠合板</w:t>
      </w:r>
      <w:r>
        <w:rPr>
          <w:rFonts w:ascii="Times New Roman" w:hAnsi="Times New Roman" w:cs="Times New Roman" w:eastAsiaTheme="minorEastAsia"/>
          <w:color w:val="auto"/>
          <w:sz w:val="24"/>
          <w:szCs w:val="24"/>
          <w:highlight w:val="none"/>
        </w:rPr>
        <w:t>预制底板</w:t>
      </w:r>
    </w:p>
    <w:p>
      <w:pPr>
        <w:pStyle w:val="38"/>
        <w:widowControl w:val="0"/>
        <w:numPr>
          <w:ilvl w:val="0"/>
          <w:numId w:val="9"/>
        </w:numPr>
        <w:adjustRightInd/>
        <w:snapToGrid/>
        <w:spacing w:after="0" w:line="360" w:lineRule="auto"/>
        <w:ind w:firstLineChars="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钢管</w:t>
      </w:r>
      <w:r>
        <w:rPr>
          <w:rFonts w:hint="eastAsia" w:ascii="Times New Roman" w:hAnsi="Times New Roman" w:cs="Times New Roman" w:eastAsiaTheme="minorEastAsia"/>
          <w:color w:val="auto"/>
          <w:sz w:val="24"/>
          <w:szCs w:val="24"/>
          <w:highlight w:val="none"/>
        </w:rPr>
        <w:t>采用Q</w:t>
      </w:r>
      <w:r>
        <w:rPr>
          <w:rFonts w:ascii="Times New Roman" w:hAnsi="Times New Roman" w:cs="Times New Roman" w:eastAsiaTheme="minorEastAsia"/>
          <w:color w:val="auto"/>
          <w:sz w:val="24"/>
          <w:szCs w:val="24"/>
          <w:highlight w:val="none"/>
        </w:rPr>
        <w:t>235</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，作为</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桁架的上弦；腹杆钢筋为</w:t>
      </w:r>
      <w:r>
        <w:rPr>
          <w:rFonts w:hint="eastAsia" w:ascii="Times New Roman" w:hAnsi="Times New Roman" w:cs="Times New Roman" w:eastAsiaTheme="minorEastAsia"/>
          <w:color w:val="auto"/>
          <w:sz w:val="24"/>
          <w:szCs w:val="24"/>
          <w:highlight w:val="none"/>
        </w:rPr>
        <w:t>热轧光圆</w:t>
      </w:r>
      <w:r>
        <w:rPr>
          <w:rFonts w:ascii="Times New Roman" w:hAnsi="Times New Roman" w:cs="Times New Roman" w:eastAsiaTheme="minorEastAsia"/>
          <w:color w:val="auto"/>
          <w:sz w:val="24"/>
          <w:szCs w:val="24"/>
          <w:highlight w:val="none"/>
        </w:rPr>
        <w:t>钢筋</w:t>
      </w:r>
      <w:r>
        <w:rPr>
          <w:rFonts w:hint="eastAsia" w:ascii="Times New Roman" w:hAnsi="Times New Roman" w:cs="Times New Roman" w:eastAsiaTheme="minorEastAsia"/>
          <w:color w:val="auto"/>
          <w:sz w:val="24"/>
          <w:szCs w:val="24"/>
          <w:highlight w:val="none"/>
        </w:rPr>
        <w:t>，矩形钢管和腹杆通过螺栓连接</w:t>
      </w:r>
      <w:r>
        <w:rPr>
          <w:rFonts w:ascii="Times New Roman" w:hAnsi="Times New Roman" w:cs="Times New Roman" w:eastAsiaTheme="minorEastAsia"/>
          <w:color w:val="auto"/>
          <w:sz w:val="24"/>
          <w:szCs w:val="24"/>
          <w:highlight w:val="none"/>
        </w:rPr>
        <w:t>。</w:t>
      </w:r>
    </w:p>
    <w:p>
      <w:pPr>
        <w:spacing w:line="360" w:lineRule="auto"/>
        <w:jc w:val="center"/>
        <w:rPr>
          <w:rFonts w:ascii="Times New Roman" w:hAnsi="Times New Roman" w:cs="Times New Roman" w:eastAsiaTheme="minorEastAsia"/>
          <w:b/>
          <w:color w:val="auto"/>
          <w:sz w:val="24"/>
          <w:szCs w:val="24"/>
          <w:highlight w:val="none"/>
        </w:rPr>
      </w:pPr>
      <w:r>
        <w:rPr>
          <w:color w:val="auto"/>
          <w:highlight w:val="none"/>
        </w:rPr>
        <w:drawing>
          <wp:inline distT="0" distB="0" distL="0" distR="0">
            <wp:extent cx="4732020" cy="168402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9"/>
                    <a:stretch>
                      <a:fillRect/>
                    </a:stretch>
                  </pic:blipFill>
                  <pic:spPr>
                    <a:xfrm>
                      <a:off x="0" y="0"/>
                      <a:ext cx="4808334" cy="1711019"/>
                    </a:xfrm>
                    <a:prstGeom prst="rect">
                      <a:avLst/>
                    </a:prstGeom>
                  </pic:spPr>
                </pic:pic>
              </a:graphicData>
            </a:graphic>
          </wp:inline>
        </w:drawing>
      </w:r>
    </w:p>
    <w:p>
      <w:pPr>
        <w:spacing w:after="0" w:line="360" w:lineRule="auto"/>
        <w:ind w:firstLine="720" w:firstLineChars="300"/>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(a) 剖面图                                                         (b) 立面图</w:t>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 xml:space="preserve">图2 </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w:t>
      </w:r>
    </w:p>
    <w:p>
      <w:pPr>
        <w:autoSpaceDE w:val="0"/>
        <w:autoSpaceDN w:val="0"/>
        <w:spacing w:after="0" w:line="360" w:lineRule="auto"/>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color w:val="auto"/>
          <w:szCs w:val="21"/>
          <w:highlight w:val="none"/>
        </w:rPr>
        <w:t>1—</w:t>
      </w:r>
      <w:r>
        <w:rPr>
          <w:rFonts w:hint="eastAsia" w:ascii="Times New Roman" w:hAnsi="Times New Roman" w:cs="Times New Roman" w:eastAsiaTheme="minorEastAsia"/>
          <w:color w:val="auto"/>
          <w:szCs w:val="21"/>
          <w:highlight w:val="none"/>
        </w:rPr>
        <w:t>矩形钢管</w:t>
      </w:r>
      <w:r>
        <w:rPr>
          <w:rFonts w:ascii="Times New Roman" w:hAnsi="Times New Roman" w:cs="Times New Roman" w:eastAsiaTheme="minorEastAsia"/>
          <w:color w:val="auto"/>
          <w:szCs w:val="21"/>
          <w:highlight w:val="none"/>
        </w:rPr>
        <w:t>；2—腹杆钢筋</w:t>
      </w:r>
    </w:p>
    <w:p>
      <w:pPr>
        <w:pStyle w:val="38"/>
        <w:widowControl w:val="0"/>
        <w:numPr>
          <w:ilvl w:val="0"/>
          <w:numId w:val="10"/>
        </w:numPr>
        <w:adjustRightInd/>
        <w:snapToGrid/>
        <w:spacing w:after="0" w:line="360" w:lineRule="auto"/>
        <w:ind w:left="0" w:firstLine="0" w:firstLineChars="0"/>
        <w:jc w:val="both"/>
        <w:rPr>
          <w:rFonts w:ascii="Times New Roman" w:hAnsi="Times New Roman" w:cs="Times New Roman" w:eastAsiaTheme="minorEastAsia"/>
          <w:color w:val="auto"/>
          <w:sz w:val="24"/>
          <w:szCs w:val="24"/>
          <w:highlight w:val="none"/>
        </w:rPr>
      </w:pP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预制底板较薄，预制底板仅在一个方向配置受力钢筋（预应力钢丝），在紧贴预制底板上表面的叠合层内配置另一方向的板底受力钢筋，故</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预制底板之间一般采用密拼式接缝。</w:t>
      </w:r>
    </w:p>
    <w:p>
      <w:pPr>
        <w:spacing w:line="360" w:lineRule="auto"/>
        <w:jc w:val="center"/>
        <w:rPr>
          <w:rFonts w:ascii="Times New Roman" w:hAnsi="Times New Roman" w:cs="Times New Roman" w:eastAsiaTheme="minorEastAsia"/>
          <w:color w:val="auto"/>
          <w:sz w:val="24"/>
          <w:szCs w:val="24"/>
          <w:highlight w:val="none"/>
        </w:rPr>
      </w:pPr>
      <w:r>
        <w:rPr>
          <w:color w:val="auto"/>
          <w:highlight w:val="none"/>
        </w:rPr>
        <w:drawing>
          <wp:inline distT="0" distB="0" distL="0" distR="0">
            <wp:extent cx="3914140" cy="188976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9"/>
                    <a:stretch>
                      <a:fillRect/>
                    </a:stretch>
                  </pic:blipFill>
                  <pic:spPr>
                    <a:xfrm>
                      <a:off x="0" y="0"/>
                      <a:ext cx="3947123" cy="1905606"/>
                    </a:xfrm>
                    <a:prstGeom prst="rect">
                      <a:avLst/>
                    </a:prstGeom>
                  </pic:spPr>
                </pic:pic>
              </a:graphicData>
            </a:graphic>
          </wp:inline>
        </w:drawing>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图3  密拼式接缝</w:t>
      </w:r>
    </w:p>
    <w:p>
      <w:pPr>
        <w:autoSpaceDE w:val="0"/>
        <w:autoSpaceDN w:val="0"/>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Cs w:val="21"/>
          <w:highlight w:val="none"/>
        </w:rPr>
        <w:t>1—预制底板；2—叠合层</w:t>
      </w:r>
    </w:p>
    <w:p>
      <w:pPr>
        <w:autoSpaceDE w:val="0"/>
        <w:autoSpaceDN w:val="0"/>
        <w:spacing w:line="360" w:lineRule="auto"/>
        <w:rPr>
          <w:rFonts w:ascii="Times New Roman" w:hAnsi="Times New Roman" w:cs="Times New Roman" w:eastAsiaTheme="minorEastAsia"/>
          <w:color w:val="auto"/>
          <w:highlight w:val="none"/>
        </w:rPr>
      </w:pPr>
    </w:p>
    <w:p>
      <w:pPr>
        <w:rPr>
          <w:rFonts w:ascii="Times New Roman" w:hAnsi="Times New Roman" w:eastAsia="仿宋" w:cs="Times New Roman"/>
          <w:color w:val="auto"/>
          <w:sz w:val="24"/>
          <w:szCs w:val="24"/>
          <w:highlight w:val="none"/>
        </w:rPr>
      </w:pPr>
      <w:r>
        <w:rPr>
          <w:rFonts w:ascii="Times New Roman" w:hAnsi="Times New Roman" w:eastAsia="仿宋" w:cs="Times New Roman"/>
          <w:color w:val="auto"/>
          <w:sz w:val="24"/>
          <w:szCs w:val="24"/>
          <w:highlight w:val="none"/>
        </w:rPr>
        <w:br w:type="page"/>
      </w:r>
    </w:p>
    <w:p>
      <w:pPr>
        <w:pStyle w:val="24"/>
        <w:spacing w:before="312" w:after="312"/>
        <w:ind w:left="1"/>
        <w:rPr>
          <w:color w:val="auto"/>
          <w:highlight w:val="none"/>
        </w:rPr>
      </w:pPr>
      <w:bookmarkStart w:id="92" w:name="_Toc40210907"/>
      <w:bookmarkStart w:id="93" w:name="_Toc111709544"/>
      <w:r>
        <w:rPr>
          <w:color w:val="auto"/>
          <w:highlight w:val="none"/>
        </w:rPr>
        <w:t>3</w:t>
      </w:r>
      <w:r>
        <w:rPr>
          <w:rFonts w:hAnsi="宋体"/>
          <w:color w:val="auto"/>
          <w:highlight w:val="none"/>
        </w:rPr>
        <w:t>材料</w:t>
      </w:r>
      <w:bookmarkEnd w:id="92"/>
      <w:bookmarkEnd w:id="93"/>
    </w:p>
    <w:p>
      <w:pPr>
        <w:pStyle w:val="25"/>
        <w:spacing w:before="312" w:after="312" w:line="360" w:lineRule="auto"/>
        <w:rPr>
          <w:color w:val="auto"/>
          <w:highlight w:val="none"/>
        </w:rPr>
      </w:pPr>
      <w:bookmarkStart w:id="94" w:name="_Toc111709545"/>
      <w:bookmarkStart w:id="95" w:name="_Toc40210908"/>
      <w:r>
        <w:rPr>
          <w:color w:val="auto"/>
          <w:highlight w:val="none"/>
        </w:rPr>
        <w:t>3.1 混凝土材料</w:t>
      </w:r>
      <w:bookmarkEnd w:id="94"/>
      <w:bookmarkEnd w:id="95"/>
    </w:p>
    <w:p>
      <w:pPr>
        <w:pStyle w:val="38"/>
        <w:widowControl w:val="0"/>
        <w:numPr>
          <w:ilvl w:val="0"/>
          <w:numId w:val="11"/>
        </w:numPr>
        <w:tabs>
          <w:tab w:val="left" w:pos="777"/>
        </w:tabs>
        <w:adjustRightInd/>
        <w:snapToGrid/>
        <w:spacing w:after="0" w:line="360" w:lineRule="auto"/>
        <w:ind w:left="0" w:firstLine="0" w:firstLineChars="0"/>
        <w:jc w:val="both"/>
        <w:outlineLvl w:val="2"/>
        <w:rPr>
          <w:rFonts w:ascii="Times New Roman" w:hAnsi="Times New Roman" w:cs="Times New Roman" w:eastAsiaTheme="minorEastAsia"/>
          <w:color w:val="auto"/>
          <w:sz w:val="24"/>
          <w:szCs w:val="24"/>
          <w:highlight w:val="none"/>
        </w:rPr>
      </w:pP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预制底板内受力钢筋为预应力高强钢丝，因此预制底板混凝土强度等级应相应提高。</w:t>
      </w:r>
    </w:p>
    <w:p>
      <w:pPr>
        <w:pStyle w:val="38"/>
        <w:widowControl w:val="0"/>
        <w:numPr>
          <w:ilvl w:val="0"/>
          <w:numId w:val="11"/>
        </w:numPr>
        <w:tabs>
          <w:tab w:val="left" w:pos="777"/>
        </w:tabs>
        <w:adjustRightInd/>
        <w:snapToGrid/>
        <w:spacing w:after="0" w:line="360" w:lineRule="auto"/>
        <w:ind w:left="0" w:firstLine="0" w:firstLineChars="0"/>
        <w:jc w:val="both"/>
        <w:outlineLvl w:val="2"/>
        <w:rPr>
          <w:rFonts w:ascii="Times New Roman" w:hAnsi="Times New Roman" w:cs="Times New Roman" w:eastAsiaTheme="minorEastAsia"/>
          <w:color w:val="auto"/>
          <w:sz w:val="24"/>
          <w:szCs w:val="24"/>
          <w:highlight w:val="none"/>
        </w:rPr>
      </w:pP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预制底板较薄，为保证底板混凝土质量，专门对底板混凝土骨料做出了要求。</w:t>
      </w:r>
    </w:p>
    <w:p>
      <w:pPr>
        <w:pStyle w:val="25"/>
        <w:spacing w:before="312" w:after="312" w:line="360" w:lineRule="auto"/>
        <w:rPr>
          <w:color w:val="auto"/>
          <w:highlight w:val="none"/>
        </w:rPr>
      </w:pPr>
      <w:bookmarkStart w:id="96" w:name="_Toc40210909"/>
      <w:bookmarkStart w:id="97" w:name="_Toc111709546"/>
      <w:r>
        <w:rPr>
          <w:color w:val="auto"/>
          <w:highlight w:val="none"/>
        </w:rPr>
        <w:t>3.2钢筋和钢材</w:t>
      </w:r>
      <w:bookmarkEnd w:id="96"/>
      <w:bookmarkEnd w:id="97"/>
    </w:p>
    <w:p>
      <w:pPr>
        <w:pStyle w:val="38"/>
        <w:widowControl w:val="0"/>
        <w:numPr>
          <w:ilvl w:val="0"/>
          <w:numId w:val="12"/>
        </w:numPr>
        <w:tabs>
          <w:tab w:val="left" w:pos="777"/>
        </w:tabs>
        <w:adjustRightInd/>
        <w:snapToGrid/>
        <w:spacing w:after="0" w:line="360" w:lineRule="auto"/>
        <w:ind w:left="0" w:firstLine="0" w:firstLineChars="0"/>
        <w:jc w:val="both"/>
        <w:outlineLvl w:val="2"/>
        <w:rPr>
          <w:rFonts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桁架中的</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作为预制底板的上弦，在预制底板脱模、运输、吊装、浇筑叠合层等生产及施工阶段承受压力，对保证构件的刚度和承载力具有重要作用。</w:t>
      </w:r>
    </w:p>
    <w:p>
      <w:pPr>
        <w:pStyle w:val="38"/>
        <w:numPr>
          <w:ilvl w:val="0"/>
          <w:numId w:val="12"/>
        </w:numPr>
        <w:ind w:firstLineChars="0"/>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腹杆钢筋为</w:t>
      </w:r>
      <w:r>
        <w:rPr>
          <w:rFonts w:ascii="Times New Roman" w:hAnsi="Times New Roman" w:eastAsia="宋体" w:cs="Times New Roman"/>
          <w:color w:val="auto"/>
          <w:sz w:val="24"/>
          <w:highlight w:val="none"/>
        </w:rPr>
        <w:t>热轧光圆钢筋</w:t>
      </w:r>
      <w:r>
        <w:rPr>
          <w:rFonts w:ascii="Times New Roman" w:hAnsi="Times New Roman" w:cs="Times New Roman" w:eastAsiaTheme="minorEastAsia"/>
          <w:color w:val="auto"/>
          <w:sz w:val="24"/>
          <w:szCs w:val="24"/>
          <w:highlight w:val="none"/>
        </w:rPr>
        <w:t>钢筋，与</w:t>
      </w:r>
      <w:r>
        <w:rPr>
          <w:rFonts w:hint="eastAsia" w:ascii="Times New Roman" w:hAnsi="Times New Roman" w:cs="Times New Roman" w:eastAsiaTheme="minorEastAsia"/>
          <w:color w:val="auto"/>
          <w:sz w:val="24"/>
          <w:szCs w:val="24"/>
          <w:highlight w:val="none"/>
        </w:rPr>
        <w:t>矩形钢管螺栓连接</w:t>
      </w:r>
      <w:r>
        <w:rPr>
          <w:rFonts w:ascii="Times New Roman" w:hAnsi="Times New Roman" w:cs="Times New Roman" w:eastAsiaTheme="minorEastAsia"/>
          <w:color w:val="auto"/>
          <w:sz w:val="24"/>
          <w:szCs w:val="24"/>
          <w:highlight w:val="none"/>
        </w:rPr>
        <w:t>，腹杆钢筋与</w:t>
      </w:r>
      <w:r>
        <w:rPr>
          <w:rFonts w:hint="eastAsia" w:ascii="Times New Roman" w:hAnsi="Times New Roman" w:cs="Times New Roman" w:eastAsiaTheme="minorEastAsia"/>
          <w:color w:val="auto"/>
          <w:sz w:val="24"/>
          <w:szCs w:val="24"/>
          <w:highlight w:val="none"/>
        </w:rPr>
        <w:t>矩形钢管连</w:t>
      </w:r>
      <w:r>
        <w:rPr>
          <w:rFonts w:ascii="Times New Roman" w:hAnsi="Times New Roman" w:cs="Times New Roman" w:eastAsiaTheme="minorEastAsia"/>
          <w:color w:val="auto"/>
          <w:sz w:val="24"/>
          <w:szCs w:val="24"/>
          <w:highlight w:val="none"/>
        </w:rPr>
        <w:t>接性能对</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预制底板的受力性能影响较为关键，为确保在生产、施工过程中的受力要求</w:t>
      </w:r>
      <w:r>
        <w:rPr>
          <w:rFonts w:hint="eastAsia" w:ascii="Times New Roman" w:hAnsi="Times New Roman" w:cs="Times New Roman" w:eastAsiaTheme="minorEastAsia"/>
          <w:color w:val="auto"/>
          <w:sz w:val="24"/>
          <w:szCs w:val="24"/>
          <w:highlight w:val="none"/>
        </w:rPr>
        <w:t>，螺栓性能要满足《钢结构设计标准》GB 50017</w:t>
      </w:r>
      <w:r>
        <w:rPr>
          <w:rFonts w:ascii="Times New Roman" w:hAnsi="Times New Roman" w:cs="Times New Roman" w:eastAsiaTheme="minorEastAsia"/>
          <w:color w:val="auto"/>
          <w:sz w:val="24"/>
          <w:szCs w:val="24"/>
          <w:highlight w:val="none"/>
        </w:rPr>
        <w:t>。</w:t>
      </w:r>
    </w:p>
    <w:p>
      <w:pPr>
        <w:rPr>
          <w:rFonts w:ascii="Times New Roman" w:hAnsi="Times New Roman" w:eastAsia="仿宋" w:cs="Times New Roman"/>
          <w:color w:val="auto"/>
          <w:sz w:val="24"/>
          <w:szCs w:val="24"/>
          <w:highlight w:val="none"/>
        </w:rPr>
      </w:pPr>
      <w:r>
        <w:rPr>
          <w:rFonts w:ascii="Times New Roman" w:hAnsi="Times New Roman" w:eastAsia="仿宋" w:cs="Times New Roman"/>
          <w:color w:val="auto"/>
          <w:sz w:val="24"/>
          <w:szCs w:val="24"/>
          <w:highlight w:val="none"/>
        </w:rPr>
        <w:br w:type="page"/>
      </w:r>
    </w:p>
    <w:p>
      <w:pPr>
        <w:pStyle w:val="24"/>
        <w:spacing w:before="312" w:after="312"/>
        <w:ind w:left="360"/>
        <w:rPr>
          <w:color w:val="auto"/>
          <w:highlight w:val="none"/>
        </w:rPr>
      </w:pPr>
      <w:bookmarkStart w:id="98" w:name="_Toc40210910"/>
      <w:bookmarkStart w:id="99" w:name="_Toc111709547"/>
      <w:r>
        <w:rPr>
          <w:color w:val="auto"/>
          <w:highlight w:val="none"/>
        </w:rPr>
        <w:t>4</w:t>
      </w:r>
      <w:r>
        <w:rPr>
          <w:rFonts w:hAnsi="宋体"/>
          <w:color w:val="auto"/>
          <w:highlight w:val="none"/>
        </w:rPr>
        <w:t>基本规定</w:t>
      </w:r>
      <w:bookmarkEnd w:id="98"/>
      <w:bookmarkEnd w:id="99"/>
    </w:p>
    <w:p>
      <w:pPr>
        <w:pStyle w:val="38"/>
        <w:widowControl w:val="0"/>
        <w:numPr>
          <w:ilvl w:val="0"/>
          <w:numId w:val="13"/>
        </w:numPr>
        <w:adjustRightInd/>
        <w:snapToGrid/>
        <w:spacing w:after="0" w:line="360" w:lineRule="auto"/>
        <w:ind w:left="0" w:firstLine="0" w:firstLineChars="0"/>
        <w:contextualSpacing/>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作为上部结构嵌固部位的地下室楼层、结构转换层、结构体型收进及相邻上下各一层、平面复杂或开洞较大的楼层、斜柱上下端周围局部楼盖对整体性及传递水平力的要求较高，宜采用现浇楼板。平面复杂或开洞较大的情况参见现行国家标准《建筑抗震设计规范》GB50011和行业标准《高层建筑混凝土结构设计规程》JGJ 3的有关规定。结构体型收进是指上部楼层相对于下部楼层收进或外挑尺寸偏大，不符合现行行业标准《高层建筑混凝土结构技术规程》JGJ 3的有关规定。</w:t>
      </w:r>
    </w:p>
    <w:p>
      <w:pPr>
        <w:spacing w:line="360" w:lineRule="auto"/>
        <w:ind w:firstLine="480" w:firstLineChars="200"/>
        <w:contextualSpacing/>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当地下室顶层、结构顶层采用</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时，应适当增大后浇叠合层厚度，并加强叠合板与支承结构的连接。</w:t>
      </w:r>
    </w:p>
    <w:p>
      <w:pPr>
        <w:pStyle w:val="38"/>
        <w:widowControl w:val="0"/>
        <w:numPr>
          <w:ilvl w:val="0"/>
          <w:numId w:val="13"/>
        </w:numPr>
        <w:adjustRightInd/>
        <w:snapToGrid/>
        <w:spacing w:after="0" w:line="360" w:lineRule="auto"/>
        <w:ind w:left="0" w:firstLine="0" w:firstLineChars="0"/>
        <w:contextualSpacing/>
        <w:jc w:val="both"/>
        <w:rPr>
          <w:rFonts w:ascii="Times New Roman" w:hAnsi="Times New Roman" w:cs="Times New Roman" w:eastAsiaTheme="minorEastAsia"/>
          <w:color w:val="auto"/>
          <w:sz w:val="24"/>
          <w:szCs w:val="24"/>
          <w:highlight w:val="none"/>
        </w:rPr>
      </w:pP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的预制底板与后浇叠合层结合较好，另一方面预制底板较薄、后浇叠合层厚度较大，因此</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的整体性较好，可视为整体。</w:t>
      </w:r>
    </w:p>
    <w:p>
      <w:pPr>
        <w:pStyle w:val="38"/>
        <w:widowControl w:val="0"/>
        <w:numPr>
          <w:ilvl w:val="0"/>
          <w:numId w:val="13"/>
        </w:numPr>
        <w:adjustRightInd/>
        <w:snapToGrid/>
        <w:spacing w:after="0" w:line="360" w:lineRule="auto"/>
        <w:ind w:left="0" w:firstLine="0" w:firstLineChars="0"/>
        <w:contextualSpacing/>
        <w:jc w:val="both"/>
        <w:rPr>
          <w:rFonts w:ascii="Times New Roman" w:hAnsi="Times New Roman" w:cs="Times New Roman" w:eastAsiaTheme="minorEastAsia"/>
          <w:color w:val="auto"/>
          <w:sz w:val="24"/>
          <w:szCs w:val="24"/>
          <w:highlight w:val="none"/>
        </w:rPr>
      </w:pP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预制底板较薄，预制底板仅在一个方向配置受力钢筋（预应力钢丝），在紧贴预制底板上表面的叠合层内配置另一方向的板底受力钢筋，故</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预制底板之间一般采用密拼式接缝。当因排板布置需要设置后浇带时，后浇带的设置及配筋要求应符合现行国家标准《混凝土结构设计规范》GB 50010的规定。试验研究表明，对于满足双向板支座构造、长宽比的条件时，</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预制底板之间采用密拼式接缝可实现内力的连续传递，形成双向受力，可按双向板设计。叠合板按双向板设计时，接缝宜设置于次要受力方向且宜避开最大弯矩截面。</w:t>
      </w:r>
    </w:p>
    <w:p>
      <w:pP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br w:type="page"/>
      </w:r>
    </w:p>
    <w:p>
      <w:pPr>
        <w:pStyle w:val="24"/>
        <w:spacing w:before="312" w:after="312"/>
        <w:ind w:left="360"/>
        <w:rPr>
          <w:b w:val="0"/>
          <w:color w:val="auto"/>
          <w:kern w:val="0"/>
          <w:sz w:val="24"/>
          <w:szCs w:val="24"/>
          <w:highlight w:val="none"/>
        </w:rPr>
      </w:pPr>
      <w:bookmarkStart w:id="100" w:name="_Toc111709548"/>
      <w:bookmarkStart w:id="101" w:name="_Toc40210911"/>
      <w:r>
        <w:rPr>
          <w:color w:val="auto"/>
          <w:highlight w:val="none"/>
        </w:rPr>
        <w:t xml:space="preserve">5 </w:t>
      </w:r>
      <w:r>
        <w:rPr>
          <w:rFonts w:hAnsi="宋体"/>
          <w:color w:val="auto"/>
          <w:highlight w:val="none"/>
        </w:rPr>
        <w:t>预应力损失值计算</w:t>
      </w:r>
      <w:bookmarkEnd w:id="100"/>
      <w:bookmarkEnd w:id="101"/>
    </w:p>
    <w:p>
      <w:pPr>
        <w:pStyle w:val="38"/>
        <w:widowControl w:val="0"/>
        <w:numPr>
          <w:ilvl w:val="0"/>
          <w:numId w:val="14"/>
        </w:numPr>
        <w:adjustRightInd/>
        <w:snapToGrid/>
        <w:spacing w:after="0" w:line="360" w:lineRule="auto"/>
        <w:ind w:left="0" w:firstLine="0" w:firstLineChars="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本条规定与现行国家标准《混凝土结构设计规范》GB50010一致。因本规程</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预制底板采用先张法工艺制作，表5.0.1中未列出后张法构件预应力损失值。</w:t>
      </w:r>
    </w:p>
    <w:p>
      <w:pPr>
        <w:pStyle w:val="38"/>
        <w:widowControl w:val="0"/>
        <w:numPr>
          <w:ilvl w:val="0"/>
          <w:numId w:val="14"/>
        </w:numPr>
        <w:adjustRightInd/>
        <w:snapToGrid/>
        <w:spacing w:after="0" w:line="360" w:lineRule="auto"/>
        <w:ind w:left="0" w:firstLine="0" w:firstLineChars="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本条规定与现行国家标准《混凝土结构设计规范》GB50010一致。预应力钢筋一般采用长线法台座生产，端部锚具采用锥塞式锚具时，张拉端锚具变形和预应力筋内缩值可取5mm。</w:t>
      </w:r>
    </w:p>
    <w:p>
      <w:pPr>
        <w:pStyle w:val="38"/>
        <w:widowControl w:val="0"/>
        <w:numPr>
          <w:ilvl w:val="0"/>
          <w:numId w:val="14"/>
        </w:numPr>
        <w:adjustRightInd/>
        <w:snapToGrid/>
        <w:spacing w:after="0" w:line="360" w:lineRule="auto"/>
        <w:ind w:left="0" w:firstLine="0" w:firstLineChars="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本条第1、2款规定与现行国家标准《混凝土结构设计规范》GB50010一致。</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预制底板进行运输、吊运、安装等短暂设计状况下的施工验算时，混凝土收缩、徐变引起受拉区纵向预应力筋的预应力损失值</w:t>
      </w:r>
      <w:r>
        <w:rPr>
          <w:rFonts w:ascii="Times New Roman" w:hAnsi="Times New Roman" w:cs="Times New Roman" w:eastAsiaTheme="minorEastAsia"/>
          <w:color w:val="auto"/>
          <w:position w:val="-12"/>
          <w:sz w:val="24"/>
          <w:szCs w:val="24"/>
          <w:highlight w:val="none"/>
        </w:rPr>
        <w:drawing>
          <wp:inline distT="0" distB="0" distL="114300" distR="114300">
            <wp:extent cx="204470" cy="238760"/>
            <wp:effectExtent l="0" t="0" r="4445" b="5715"/>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1"/>
                    <pic:cNvPicPr>
                      <a:picLocks noChangeAspect="1"/>
                    </pic:cNvPicPr>
                  </pic:nvPicPr>
                  <pic:blipFill>
                    <a:blip r:embed="rId23" cstate="print"/>
                    <a:stretch>
                      <a:fillRect/>
                    </a:stretch>
                  </pic:blipFill>
                  <pic:spPr>
                    <a:xfrm>
                      <a:off x="0" y="0"/>
                      <a:ext cx="204470" cy="238760"/>
                    </a:xfrm>
                    <a:prstGeom prst="rect">
                      <a:avLst/>
                    </a:prstGeom>
                    <a:noFill/>
                    <a:ln>
                      <a:noFill/>
                    </a:ln>
                  </pic:spPr>
                </pic:pic>
              </a:graphicData>
            </a:graphic>
          </wp:inline>
        </w:drawing>
      </w:r>
      <w:r>
        <w:rPr>
          <w:rFonts w:ascii="Times New Roman" w:hAnsi="Times New Roman" w:cs="Times New Roman" w:eastAsiaTheme="minorEastAsia"/>
          <w:color w:val="auto"/>
          <w:sz w:val="24"/>
          <w:szCs w:val="24"/>
          <w:highlight w:val="none"/>
        </w:rPr>
        <w:t>可考虑时间的影响，按本条第2款进行计算。</w:t>
      </w:r>
    </w:p>
    <w:p>
      <w:pPr>
        <w:pStyle w:val="38"/>
        <w:widowControl w:val="0"/>
        <w:numPr>
          <w:ilvl w:val="0"/>
          <w:numId w:val="14"/>
        </w:numPr>
        <w:adjustRightInd/>
        <w:snapToGrid/>
        <w:spacing w:after="0" w:line="360" w:lineRule="auto"/>
        <w:ind w:left="0" w:firstLine="0" w:firstLineChars="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本条规定与现行国家标准《混凝土结构设计规范》GB50010一致。</w:t>
      </w:r>
    </w:p>
    <w:p>
      <w:pP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br w:type="page"/>
      </w:r>
    </w:p>
    <w:p>
      <w:pPr>
        <w:pStyle w:val="24"/>
        <w:spacing w:before="312" w:after="312"/>
        <w:rPr>
          <w:b w:val="0"/>
          <w:color w:val="auto"/>
          <w:kern w:val="0"/>
          <w:sz w:val="24"/>
          <w:szCs w:val="24"/>
          <w:highlight w:val="none"/>
        </w:rPr>
      </w:pPr>
      <w:bookmarkStart w:id="102" w:name="_Toc111709549"/>
      <w:bookmarkStart w:id="103" w:name="_Toc40210912"/>
      <w:r>
        <w:rPr>
          <w:color w:val="auto"/>
          <w:highlight w:val="none"/>
        </w:rPr>
        <w:t>6</w:t>
      </w:r>
      <w:r>
        <w:rPr>
          <w:rFonts w:hAnsi="宋体"/>
          <w:color w:val="auto"/>
          <w:highlight w:val="none"/>
        </w:rPr>
        <w:t>构件设计计算</w:t>
      </w:r>
      <w:bookmarkEnd w:id="102"/>
      <w:bookmarkEnd w:id="103"/>
    </w:p>
    <w:p>
      <w:pPr>
        <w:pStyle w:val="25"/>
        <w:spacing w:before="312" w:after="312" w:line="360" w:lineRule="auto"/>
        <w:rPr>
          <w:color w:val="auto"/>
          <w:highlight w:val="none"/>
        </w:rPr>
      </w:pPr>
      <w:bookmarkStart w:id="104" w:name="_Toc111709550"/>
      <w:bookmarkStart w:id="105" w:name="_Toc40210913"/>
      <w:r>
        <w:rPr>
          <w:color w:val="auto"/>
          <w:highlight w:val="none"/>
        </w:rPr>
        <w:t>6.1  一般规定</w:t>
      </w:r>
      <w:bookmarkEnd w:id="104"/>
      <w:bookmarkEnd w:id="105"/>
    </w:p>
    <w:p>
      <w:pPr>
        <w:pStyle w:val="38"/>
        <w:widowControl w:val="0"/>
        <w:numPr>
          <w:ilvl w:val="0"/>
          <w:numId w:val="15"/>
        </w:numPr>
        <w:adjustRightInd/>
        <w:snapToGrid/>
        <w:spacing w:after="0" w:line="360" w:lineRule="auto"/>
        <w:ind w:left="0" w:firstLine="0" w:firstLineChars="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短暂设计状况包括</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预制底板的制作、脱模、吊运、存放和安装、浇筑叠合层等工况。短暂设计状况应验算预制底板的板底抗裂、挠度、板面混凝土受压、灌浆钢管和腹杆钢筋强度及稳定性。</w:t>
      </w:r>
    </w:p>
    <w:p>
      <w:pPr>
        <w:pStyle w:val="25"/>
        <w:spacing w:before="312" w:after="312" w:line="360" w:lineRule="auto"/>
        <w:rPr>
          <w:color w:val="auto"/>
          <w:highlight w:val="none"/>
        </w:rPr>
      </w:pPr>
      <w:bookmarkStart w:id="106" w:name="_Toc40210914"/>
      <w:bookmarkStart w:id="107" w:name="_Toc111709551"/>
      <w:r>
        <w:rPr>
          <w:color w:val="auto"/>
          <w:highlight w:val="none"/>
        </w:rPr>
        <w:t>6.2  短暂设计状况计算</w:t>
      </w:r>
      <w:bookmarkEnd w:id="106"/>
      <w:bookmarkEnd w:id="107"/>
    </w:p>
    <w:p>
      <w:pPr>
        <w:pStyle w:val="38"/>
        <w:widowControl w:val="0"/>
        <w:numPr>
          <w:ilvl w:val="0"/>
          <w:numId w:val="16"/>
        </w:numPr>
        <w:adjustRightInd/>
        <w:snapToGrid/>
        <w:spacing w:after="0" w:line="360" w:lineRule="auto"/>
        <w:ind w:firstLineChars="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本条规定与现行行业标准《装配式混凝土结构技术规程》JGJ 1一致。</w:t>
      </w:r>
    </w:p>
    <w:p>
      <w:pPr>
        <w:pStyle w:val="38"/>
        <w:widowControl w:val="0"/>
        <w:numPr>
          <w:ilvl w:val="0"/>
          <w:numId w:val="16"/>
        </w:numPr>
        <w:adjustRightInd/>
        <w:snapToGrid/>
        <w:spacing w:after="0" w:line="360" w:lineRule="auto"/>
        <w:ind w:left="0" w:firstLine="0" w:firstLineChars="0"/>
        <w:jc w:val="both"/>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本条规定与现行国家标准《混凝土结构工程施工规范》GB 50666一致，不包括后浇叠合层施工阶段。</w:t>
      </w:r>
    </w:p>
    <w:p>
      <w:pPr>
        <w:pStyle w:val="38"/>
        <w:widowControl w:val="0"/>
        <w:numPr>
          <w:ilvl w:val="0"/>
          <w:numId w:val="16"/>
        </w:numPr>
        <w:adjustRightInd/>
        <w:snapToGrid/>
        <w:spacing w:after="0" w:line="360" w:lineRule="auto"/>
        <w:ind w:left="0" w:firstLine="0" w:firstLineChars="0"/>
        <w:jc w:val="both"/>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本条规定与现行国家标准《混凝土结构工程施工规范》GB 50666一致。</w:t>
      </w:r>
    </w:p>
    <w:p>
      <w:pPr>
        <w:pStyle w:val="38"/>
        <w:widowControl w:val="0"/>
        <w:numPr>
          <w:ilvl w:val="0"/>
          <w:numId w:val="16"/>
        </w:numPr>
        <w:adjustRightInd/>
        <w:snapToGrid/>
        <w:spacing w:after="0" w:line="360" w:lineRule="auto"/>
        <w:ind w:left="0" w:firstLine="0" w:firstLineChars="0"/>
        <w:jc w:val="both"/>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叠合板用于钢结构时，叠合板两端支承梁为钢梁且满足支承长度要求时，钢梁可作为为叠合板端部的可靠支撑，此时可不再端部另设支撑。</w:t>
      </w:r>
    </w:p>
    <w:p>
      <w:pPr>
        <w:pStyle w:val="38"/>
        <w:spacing w:line="360" w:lineRule="auto"/>
        <w:ind w:firstLine="0" w:firstLineChars="0"/>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6.2.5~6.2.10</w:t>
      </w:r>
      <w:r>
        <w:rPr>
          <w:rFonts w:ascii="Times New Roman" w:hAnsi="Times New Roman" w:cs="Times New Roman" w:eastAsiaTheme="minorEastAsia"/>
          <w:color w:val="auto"/>
          <w:sz w:val="24"/>
          <w:szCs w:val="24"/>
          <w:highlight w:val="none"/>
        </w:rPr>
        <w:t xml:space="preserve">  参考现行国家标准《混凝土结构工程施工规范》GB 50666及《混凝土结构设计规范》GB50010，规定了</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预制底板的施工验算方法。</w:t>
      </w:r>
    </w:p>
    <w:p>
      <w:pPr>
        <w:spacing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验算状况包括预制底板的脱模、吊装、存储以及叠合层混凝土浇筑施工等。使用吊环时，还应对吊环进行验算并应符合现行国家标准《混凝土设计规范》GB50010的相关要求。</w:t>
      </w:r>
    </w:p>
    <w:p>
      <w:pPr>
        <w:spacing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计算各工况时，截面特性宜按组合截面（图4）计算。计算跨内截面应力时截面中和轴位置、惯性矩计算见式1、式2。</w:t>
      </w:r>
    </w:p>
    <w:p>
      <w:pPr>
        <w:spacing w:line="360" w:lineRule="auto"/>
        <w:jc w:val="center"/>
        <w:rPr>
          <w:rFonts w:ascii="Times New Roman" w:hAnsi="Times New Roman" w:eastAsia="仿宋" w:cs="Times New Roman"/>
          <w:color w:val="auto"/>
          <w:sz w:val="24"/>
          <w:szCs w:val="24"/>
          <w:highlight w:val="none"/>
        </w:rPr>
      </w:pPr>
      <w:r>
        <w:rPr>
          <w:color w:val="auto"/>
          <w:highlight w:val="none"/>
        </w:rPr>
        <w:drawing>
          <wp:inline distT="0" distB="0" distL="0" distR="0">
            <wp:extent cx="4206240" cy="2125345"/>
            <wp:effectExtent l="0" t="0" r="3810" b="825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0"/>
                    <a:stretch>
                      <a:fillRect/>
                    </a:stretch>
                  </pic:blipFill>
                  <pic:spPr>
                    <a:xfrm>
                      <a:off x="0" y="0"/>
                      <a:ext cx="4224202" cy="2134986"/>
                    </a:xfrm>
                    <a:prstGeom prst="rect">
                      <a:avLst/>
                    </a:prstGeom>
                  </pic:spPr>
                </pic:pic>
              </a:graphicData>
            </a:graphic>
          </wp:inline>
        </w:drawing>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cs="Times New Roman" w:hAnsiTheme="minorEastAsia" w:eastAsiaTheme="minorEastAsia"/>
          <w:color w:val="auto"/>
          <w:sz w:val="24"/>
          <w:szCs w:val="24"/>
          <w:highlight w:val="none"/>
        </w:rPr>
        <w:t>图</w:t>
      </w:r>
      <w:r>
        <w:rPr>
          <w:rFonts w:ascii="Times New Roman" w:hAnsi="Times New Roman" w:cs="Times New Roman" w:eastAsiaTheme="minorEastAsia"/>
          <w:color w:val="auto"/>
          <w:sz w:val="24"/>
          <w:szCs w:val="24"/>
          <w:highlight w:val="none"/>
        </w:rPr>
        <w:t xml:space="preserve">4  </w:t>
      </w:r>
      <w:r>
        <w:rPr>
          <w:rFonts w:hint="eastAsia" w:ascii="Times New Roman" w:hAnsi="Times New Roman" w:cs="Times New Roman" w:eastAsiaTheme="minorEastAsia"/>
          <w:color w:val="auto"/>
          <w:sz w:val="24"/>
          <w:szCs w:val="24"/>
          <w:highlight w:val="none"/>
        </w:rPr>
        <w:t>支架预应力混凝土叠合板</w:t>
      </w:r>
      <w:r>
        <w:rPr>
          <w:rFonts w:ascii="Times New Roman" w:cs="Times New Roman" w:hAnsiTheme="minorEastAsia" w:eastAsiaTheme="minorEastAsia"/>
          <w:color w:val="auto"/>
          <w:sz w:val="24"/>
          <w:szCs w:val="24"/>
          <w:highlight w:val="none"/>
        </w:rPr>
        <w:t>预制底板组合截面</w:t>
      </w:r>
    </w:p>
    <w:p>
      <w:pPr>
        <w:wordWrap w:val="0"/>
        <w:jc w:val="right"/>
        <w:rPr>
          <w:rFonts w:ascii="Times New Roman" w:hAnsi="Times New Roman" w:cs="Times New Roman"/>
          <w:color w:val="auto"/>
          <w:position w:val="-24"/>
          <w:highlight w:val="none"/>
        </w:rPr>
      </w:pP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 xml:space="preserve"> </w:t>
      </w:r>
      <w:r>
        <w:rPr>
          <w:rFonts w:ascii="Times New Roman" w:hAnsi="Times New Roman" w:cs="Times New Roman"/>
          <w:color w:val="auto"/>
          <w:position w:val="-36"/>
          <w:highlight w:val="none"/>
        </w:rPr>
        <w:object>
          <v:shape id="_x0000_i1043" o:spt="75" type="#_x0000_t75" style="height:52.2pt;width:250.75pt;" o:ole="t" filled="f" o:preferrelative="t" stroked="f" coordsize="21600,21600">
            <v:path/>
            <v:fill on="f" focussize="0,0"/>
            <v:stroke on="f" joinstyle="miter"/>
            <v:imagedata r:id="rId72" o:title=""/>
            <o:lock v:ext="edit" aspectratio="t"/>
            <w10:wrap type="none"/>
            <w10:anchorlock/>
          </v:shape>
          <o:OLEObject Type="Embed" ProgID="Equation.DSMT4" ShapeID="_x0000_i1043" DrawAspect="Content" ObjectID="_1468075743" r:id="rId71">
            <o:LockedField>false</o:LockedField>
          </o:OLEObject>
        </w:objec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 xml:space="preserve"> </w:t>
      </w:r>
      <w:r>
        <w:rPr>
          <w:rFonts w:ascii="Times New Roman" w:cs="Times New Roman" w:eastAsiaTheme="minorEastAsia"/>
          <w:color w:val="auto"/>
          <w:sz w:val="24"/>
          <w:szCs w:val="24"/>
          <w:highlight w:val="none"/>
        </w:rPr>
        <w:t>（</w:t>
      </w:r>
      <w:r>
        <w:rPr>
          <w:rFonts w:ascii="Times New Roman" w:hAnsi="Times New Roman" w:cs="Times New Roman" w:eastAsiaTheme="minorEastAsia"/>
          <w:color w:val="auto"/>
          <w:sz w:val="24"/>
          <w:szCs w:val="24"/>
          <w:highlight w:val="none"/>
        </w:rPr>
        <w:t>1</w:t>
      </w:r>
      <w:r>
        <w:rPr>
          <w:rFonts w:ascii="Times New Roman" w:cs="Times New Roman" w:eastAsiaTheme="minorEastAsia"/>
          <w:color w:val="auto"/>
          <w:sz w:val="24"/>
          <w:szCs w:val="24"/>
          <w:highlight w:val="none"/>
        </w:rPr>
        <w:t>）</w:t>
      </w:r>
      <w:r>
        <w:rPr>
          <w:rFonts w:ascii="Times New Roman" w:hAnsi="Times New Roman" w:cs="Times New Roman" w:eastAsiaTheme="minorEastAsia"/>
          <w:color w:val="auto"/>
          <w:position w:val="-24"/>
          <w:sz w:val="24"/>
          <w:szCs w:val="24"/>
          <w:highlight w:val="none"/>
        </w:rPr>
        <w:t xml:space="preserve">      </w:t>
      </w:r>
      <w:r>
        <w:rPr>
          <w:rFonts w:ascii="Times New Roman" w:hAnsi="Times New Roman" w:cs="Times New Roman" w:eastAsiaTheme="minorEastAsia"/>
          <w:color w:val="auto"/>
          <w:position w:val="-24"/>
          <w:highlight w:val="none"/>
        </w:rPr>
        <w:t xml:space="preserve">                                                      </w:t>
      </w:r>
    </w:p>
    <w:p>
      <w:pPr>
        <w:jc w:val="right"/>
        <w:rPr>
          <w:rFonts w:ascii="Times New Roman" w:hAnsi="Times New Roman" w:cs="Times New Roman" w:eastAsiaTheme="minorEastAsia"/>
          <w:color w:val="auto"/>
          <w:sz w:val="24"/>
          <w:szCs w:val="24"/>
          <w:highlight w:val="none"/>
        </w:rPr>
      </w:pPr>
      <w:r>
        <w:rPr>
          <w:rFonts w:ascii="Times New Roman" w:hAnsi="Times New Roman" w:cs="Times New Roman"/>
          <w:color w:val="auto"/>
          <w:position w:val="-24"/>
          <w:highlight w:val="none"/>
        </w:rPr>
        <w:object>
          <v:shape id="_x0000_i1044" o:spt="75" type="#_x0000_t75" style="height:33pt;width:462pt;" o:ole="t" filled="f" o:preferrelative="t" stroked="f" coordsize="21600,21600">
            <v:path/>
            <v:fill on="f" focussize="0,0"/>
            <v:stroke on="f" joinstyle="miter"/>
            <v:imagedata r:id="rId74" o:title=""/>
            <o:lock v:ext="edit" aspectratio="t"/>
            <w10:wrap type="none"/>
            <w10:anchorlock/>
          </v:shape>
          <o:OLEObject Type="Embed" ProgID="Equation.DSMT4" ShapeID="_x0000_i1044" DrawAspect="Content" ObjectID="_1468075744" r:id="rId73">
            <o:LockedField>false</o:LockedField>
          </o:OLEObject>
        </w:object>
      </w:r>
      <w:r>
        <w:rPr>
          <w:rFonts w:ascii="Times New Roman" w:cs="Times New Roman" w:hAnsiTheme="minorEastAsia" w:eastAsiaTheme="minorEastAsia"/>
          <w:color w:val="auto"/>
          <w:sz w:val="24"/>
          <w:szCs w:val="24"/>
          <w:highlight w:val="none"/>
        </w:rPr>
        <w:t>（</w:t>
      </w:r>
      <w:r>
        <w:rPr>
          <w:rFonts w:ascii="Times New Roman" w:hAnsi="Times New Roman" w:cs="Times New Roman" w:eastAsiaTheme="minorEastAsia"/>
          <w:color w:val="auto"/>
          <w:sz w:val="24"/>
          <w:szCs w:val="24"/>
          <w:highlight w:val="none"/>
        </w:rPr>
        <w:t>2</w:t>
      </w:r>
      <w:r>
        <w:rPr>
          <w:rFonts w:ascii="Times New Roman" w:cs="Times New Roman" w:hAnsiTheme="minorEastAsia" w:eastAsiaTheme="minorEastAsia"/>
          <w:color w:val="auto"/>
          <w:sz w:val="24"/>
          <w:szCs w:val="24"/>
          <w:highlight w:val="none"/>
        </w:rPr>
        <w:t>）</w:t>
      </w:r>
    </w:p>
    <w:p>
      <w:pPr>
        <w:jc w:val="center"/>
        <w:rPr>
          <w:rFonts w:ascii="Times New Roman" w:hAnsi="Times New Roman" w:cs="Times New Roman" w:eastAsiaTheme="minorEastAsia"/>
          <w:b/>
          <w:color w:val="auto"/>
          <w:sz w:val="24"/>
          <w:szCs w:val="24"/>
          <w:highlight w:val="none"/>
        </w:rPr>
      </w:pPr>
      <w:r>
        <w:rPr>
          <w:rFonts w:hint="eastAsia" w:ascii="Times New Roman" w:hAnsi="Times New Roman" w:cs="Times New Roman"/>
          <w:color w:val="auto"/>
          <w:position w:val="-52"/>
          <w:highlight w:val="none"/>
        </w:rPr>
        <w:t xml:space="preserve">                    </w:t>
      </w:r>
    </w:p>
    <w:p>
      <w:pPr>
        <w:spacing w:after="0" w:line="360" w:lineRule="auto"/>
        <w:rPr>
          <w:rFonts w:ascii="Times New Roman" w:hAnsi="Times New Roman" w:cs="Times New Roman" w:eastAsiaTheme="minorEastAsia"/>
          <w:b/>
          <w:color w:val="auto"/>
          <w:highlight w:val="none"/>
        </w:rPr>
      </w:pPr>
      <w:r>
        <w:rPr>
          <w:rFonts w:ascii="Times New Roman" w:cs="Times New Roman" w:hAnsiTheme="minorEastAsia" w:eastAsiaTheme="minorEastAsia"/>
          <w:color w:val="auto"/>
          <w:highlight w:val="none"/>
        </w:rPr>
        <w:t>式中：</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eastAsia="华文仿宋" w:cs="Times New Roman"/>
          <w:i/>
          <w:color w:val="auto"/>
          <w:sz w:val="24"/>
          <w:szCs w:val="24"/>
          <w:highlight w:val="none"/>
        </w:rPr>
        <w:t>α</w:t>
      </w:r>
      <w:r>
        <w:rPr>
          <w:rFonts w:ascii="Times New Roman" w:hAnsi="Times New Roman" w:eastAsia="华文仿宋" w:cs="Times New Roman"/>
          <w:color w:val="auto"/>
          <w:sz w:val="24"/>
          <w:szCs w:val="24"/>
          <w:highlight w:val="none"/>
          <w:vertAlign w:val="subscript"/>
        </w:rPr>
        <w:t>Ep</w:t>
      </w:r>
      <w:r>
        <w:rPr>
          <w:rFonts w:ascii="Times New Roman" w:hAnsi="Times New Roman" w:cs="Times New Roman"/>
          <w:color w:val="auto"/>
          <w:sz w:val="24"/>
          <w:highlight w:val="none"/>
        </w:rPr>
        <w:t>——</w:t>
      </w:r>
      <w:r>
        <w:rPr>
          <w:rFonts w:hint="eastAsia" w:ascii="Times New Roman" w:cs="Times New Roman" w:hAnsiTheme="minorEastAsia" w:eastAsiaTheme="minorEastAsia"/>
          <w:color w:val="auto"/>
          <w:sz w:val="24"/>
          <w:szCs w:val="24"/>
          <w:highlight w:val="none"/>
        </w:rPr>
        <w:t>支架预应力混凝土叠合板</w:t>
      </w:r>
      <w:r>
        <w:rPr>
          <w:rFonts w:ascii="Times New Roman" w:cs="Times New Roman" w:hAnsiTheme="minorEastAsia" w:eastAsiaTheme="minorEastAsia"/>
          <w:color w:val="auto"/>
          <w:sz w:val="24"/>
          <w:szCs w:val="24"/>
          <w:highlight w:val="none"/>
        </w:rPr>
        <w:t>预制板内预应力钢筋与预制底板混凝土的弹性模量之比；</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eastAsia="华文仿宋" w:cs="Times New Roman"/>
          <w:i/>
          <w:color w:val="auto"/>
          <w:sz w:val="24"/>
          <w:szCs w:val="24"/>
          <w:highlight w:val="none"/>
        </w:rPr>
        <w:t>α</w:t>
      </w:r>
      <w:r>
        <w:rPr>
          <w:rFonts w:ascii="Times New Roman" w:hAnsi="Times New Roman" w:eastAsia="华文仿宋" w:cs="Times New Roman"/>
          <w:color w:val="auto"/>
          <w:sz w:val="24"/>
          <w:szCs w:val="24"/>
          <w:highlight w:val="none"/>
          <w:vertAlign w:val="subscript"/>
        </w:rPr>
        <w:t>E</w:t>
      </w:r>
      <w:r>
        <w:rPr>
          <w:rFonts w:ascii="Times New Roman" w:hAnsi="Times New Roman" w:cs="Times New Roman"/>
          <w:color w:val="auto"/>
          <w:sz w:val="24"/>
          <w:highlight w:val="none"/>
        </w:rPr>
        <w:t>——</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弹性模量与预制底板混凝土的弹性模量之比；</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hint="eastAsia" w:ascii="Times New Roman" w:hAnsi="Times New Roman" w:eastAsia="华文仿宋" w:cs="Times New Roman"/>
          <w:i/>
          <w:color w:val="auto"/>
          <w:sz w:val="24"/>
          <w:szCs w:val="24"/>
          <w:highlight w:val="none"/>
        </w:rPr>
        <w:t>b</w:t>
      </w:r>
      <w:r>
        <w:rPr>
          <w:rFonts w:ascii="Times New Roman" w:hAnsi="Times New Roman" w:cs="Times New Roman"/>
          <w:color w:val="auto"/>
          <w:sz w:val="24"/>
          <w:highlight w:val="none"/>
        </w:rPr>
        <w:t>——</w:t>
      </w:r>
      <w:r>
        <w:rPr>
          <w:rFonts w:hint="eastAsia" w:ascii="Times New Roman" w:hAnsi="Times New Roman" w:cs="Times New Roman" w:eastAsiaTheme="minorEastAsia"/>
          <w:color w:val="auto"/>
          <w:sz w:val="24"/>
          <w:szCs w:val="24"/>
          <w:highlight w:val="none"/>
        </w:rPr>
        <w:t>矩形钢管截面宽度</w:t>
      </w:r>
      <w:r>
        <w:rPr>
          <w:rFonts w:ascii="Times New Roman" w:hAnsi="Times New Roman" w:cs="Times New Roman" w:eastAsiaTheme="minorEastAsia"/>
          <w:color w:val="auto"/>
          <w:sz w:val="24"/>
          <w:szCs w:val="24"/>
          <w:highlight w:val="none"/>
        </w:rPr>
        <w:t>；</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hint="eastAsia" w:ascii="Times New Roman" w:hAnsi="Times New Roman" w:eastAsia="华文仿宋" w:cs="Times New Roman"/>
          <w:i/>
          <w:color w:val="auto"/>
          <w:sz w:val="24"/>
          <w:szCs w:val="24"/>
          <w:highlight w:val="none"/>
        </w:rPr>
        <w:t>h</w:t>
      </w:r>
      <w:r>
        <w:rPr>
          <w:rFonts w:ascii="Times New Roman" w:hAnsi="Times New Roman" w:cs="Times New Roman"/>
          <w:color w:val="auto"/>
          <w:sz w:val="24"/>
          <w:highlight w:val="none"/>
        </w:rPr>
        <w:t>——</w:t>
      </w:r>
      <w:r>
        <w:rPr>
          <w:rFonts w:hint="eastAsia" w:ascii="Times New Roman" w:hAnsi="Times New Roman" w:cs="Times New Roman" w:eastAsiaTheme="minorEastAsia"/>
          <w:color w:val="auto"/>
          <w:sz w:val="24"/>
          <w:szCs w:val="24"/>
          <w:highlight w:val="none"/>
        </w:rPr>
        <w:t>矩形钢管截面高度</w:t>
      </w:r>
      <w:r>
        <w:rPr>
          <w:rFonts w:ascii="Times New Roman" w:hAnsi="Times New Roman" w:cs="Times New Roman" w:eastAsiaTheme="minorEastAsia"/>
          <w:color w:val="auto"/>
          <w:sz w:val="24"/>
          <w:szCs w:val="24"/>
          <w:highlight w:val="none"/>
        </w:rPr>
        <w:t>；</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eastAsia="华文仿宋" w:cs="Times New Roman"/>
          <w:i/>
          <w:color w:val="auto"/>
          <w:sz w:val="24"/>
          <w:szCs w:val="24"/>
          <w:highlight w:val="none"/>
        </w:rPr>
        <w:t>t</w:t>
      </w:r>
      <w:r>
        <w:rPr>
          <w:rFonts w:ascii="Times New Roman" w:hAnsi="Times New Roman" w:eastAsia="华文仿宋" w:cs="Times New Roman"/>
          <w:color w:val="auto"/>
          <w:sz w:val="24"/>
          <w:szCs w:val="24"/>
          <w:highlight w:val="none"/>
          <w:vertAlign w:val="subscript"/>
        </w:rPr>
        <w:t>gc</w:t>
      </w:r>
      <w:r>
        <w:rPr>
          <w:rFonts w:ascii="Times New Roman" w:hAnsi="Times New Roman" w:cs="Times New Roman"/>
          <w:color w:val="auto"/>
          <w:sz w:val="24"/>
          <w:highlight w:val="none"/>
        </w:rPr>
        <w:t>——</w:t>
      </w:r>
      <w:r>
        <w:rPr>
          <w:rFonts w:hint="eastAsia" w:cs="Times New Roman" w:asciiTheme="minorEastAsia" w:hAnsiTheme="minorEastAsia" w:eastAsiaTheme="minorEastAsia"/>
          <w:color w:val="auto"/>
          <w:sz w:val="24"/>
          <w:highlight w:val="none"/>
        </w:rPr>
        <w:t>矩形钢管</w:t>
      </w:r>
      <w:r>
        <w:rPr>
          <w:rFonts w:ascii="Times New Roman" w:cs="Times New Roman" w:hAnsiTheme="minorEastAsia" w:eastAsiaTheme="minorEastAsia"/>
          <w:color w:val="auto"/>
          <w:sz w:val="24"/>
          <w:szCs w:val="24"/>
          <w:highlight w:val="none"/>
        </w:rPr>
        <w:t>壁厚；</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eastAsia="华文仿宋" w:cs="Times New Roman"/>
          <w:i/>
          <w:color w:val="auto"/>
          <w:sz w:val="24"/>
          <w:szCs w:val="24"/>
          <w:highlight w:val="none"/>
        </w:rPr>
        <w:t>t</w:t>
      </w:r>
      <w:r>
        <w:rPr>
          <w:rFonts w:ascii="Times New Roman" w:hAnsi="Times New Roman" w:eastAsia="华文仿宋" w:cs="Times New Roman"/>
          <w:color w:val="auto"/>
          <w:sz w:val="24"/>
          <w:szCs w:val="24"/>
          <w:highlight w:val="none"/>
          <w:vertAlign w:val="subscript"/>
        </w:rPr>
        <w:t>p</w:t>
      </w:r>
      <w:r>
        <w:rPr>
          <w:rFonts w:ascii="Times New Roman" w:hAnsi="Times New Roman" w:cs="Times New Roman"/>
          <w:color w:val="auto"/>
          <w:sz w:val="24"/>
          <w:highlight w:val="none"/>
        </w:rPr>
        <w:t>——</w:t>
      </w:r>
      <w:r>
        <w:rPr>
          <w:rFonts w:ascii="Times New Roman" w:cs="Times New Roman" w:hAnsiTheme="minorEastAsia" w:eastAsiaTheme="minorEastAsia"/>
          <w:color w:val="auto"/>
          <w:sz w:val="24"/>
          <w:szCs w:val="24"/>
          <w:highlight w:val="none"/>
        </w:rPr>
        <w:t>预制底板厚度；</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eastAsia="华文仿宋" w:cs="Times New Roman"/>
          <w:i/>
          <w:color w:val="auto"/>
          <w:sz w:val="24"/>
          <w:szCs w:val="24"/>
          <w:highlight w:val="none"/>
        </w:rPr>
        <w:t>h</w:t>
      </w:r>
      <w:r>
        <w:rPr>
          <w:rFonts w:ascii="Times New Roman" w:hAnsi="Times New Roman" w:eastAsia="华文仿宋" w:cs="Times New Roman"/>
          <w:color w:val="auto"/>
          <w:sz w:val="24"/>
          <w:szCs w:val="24"/>
          <w:highlight w:val="none"/>
          <w:vertAlign w:val="subscript"/>
        </w:rPr>
        <w:t>a</w:t>
      </w:r>
      <w:r>
        <w:rPr>
          <w:rFonts w:ascii="Times New Roman" w:hAnsi="Times New Roman" w:cs="Times New Roman"/>
          <w:color w:val="auto"/>
          <w:sz w:val="24"/>
          <w:highlight w:val="none"/>
        </w:rPr>
        <w:t>——</w:t>
      </w:r>
      <w:r>
        <w:rPr>
          <w:rFonts w:hint="eastAsia" w:cs="Times New Roman" w:asciiTheme="minorEastAsia" w:hAnsiTheme="minorEastAsia" w:eastAsiaTheme="minorEastAsia"/>
          <w:color w:val="auto"/>
          <w:sz w:val="24"/>
          <w:highlight w:val="none"/>
        </w:rPr>
        <w:t>矩形钢管</w:t>
      </w:r>
      <w:r>
        <w:rPr>
          <w:rFonts w:ascii="Times New Roman" w:cs="Times New Roman" w:hAnsiTheme="minorEastAsia" w:eastAsiaTheme="minorEastAsia"/>
          <w:color w:val="auto"/>
          <w:sz w:val="24"/>
          <w:szCs w:val="24"/>
          <w:highlight w:val="none"/>
        </w:rPr>
        <w:t>形心至预制底板下边缘距离；</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eastAsia="华文仿宋" w:cs="Times New Roman"/>
          <w:i/>
          <w:color w:val="auto"/>
          <w:sz w:val="24"/>
          <w:szCs w:val="24"/>
          <w:highlight w:val="none"/>
        </w:rPr>
        <w:t>h</w:t>
      </w:r>
      <w:r>
        <w:rPr>
          <w:rFonts w:ascii="Times New Roman" w:hAnsi="Times New Roman" w:eastAsia="华文仿宋" w:cs="Times New Roman"/>
          <w:color w:val="auto"/>
          <w:sz w:val="24"/>
          <w:szCs w:val="24"/>
          <w:highlight w:val="none"/>
          <w:vertAlign w:val="subscript"/>
        </w:rPr>
        <w:t>p</w:t>
      </w:r>
      <w:r>
        <w:rPr>
          <w:rFonts w:ascii="Times New Roman" w:hAnsi="Times New Roman" w:cs="Times New Roman"/>
          <w:color w:val="auto"/>
          <w:sz w:val="24"/>
          <w:highlight w:val="none"/>
        </w:rPr>
        <w:t>——</w:t>
      </w:r>
      <w:r>
        <w:rPr>
          <w:rFonts w:hint="eastAsia" w:cs="Times New Roman" w:asciiTheme="minorEastAsia" w:hAnsiTheme="minorEastAsia" w:eastAsiaTheme="minorEastAsia"/>
          <w:color w:val="auto"/>
          <w:sz w:val="24"/>
          <w:highlight w:val="none"/>
        </w:rPr>
        <w:t>矩形钢管</w:t>
      </w:r>
      <w:r>
        <w:rPr>
          <w:rFonts w:ascii="Times New Roman" w:cs="Times New Roman" w:hAnsiTheme="minorEastAsia" w:eastAsiaTheme="minorEastAsia"/>
          <w:color w:val="auto"/>
          <w:sz w:val="24"/>
          <w:szCs w:val="24"/>
          <w:highlight w:val="none"/>
        </w:rPr>
        <w:t>形心至预应力钢筋形心距离；</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eastAsia="华文仿宋" w:cs="Times New Roman"/>
          <w:i/>
          <w:color w:val="auto"/>
          <w:sz w:val="24"/>
          <w:szCs w:val="24"/>
          <w:highlight w:val="none"/>
        </w:rPr>
        <w:t>y</w:t>
      </w:r>
      <w:r>
        <w:rPr>
          <w:rFonts w:ascii="Times New Roman" w:hAnsi="Times New Roman" w:eastAsia="华文仿宋" w:cs="Times New Roman"/>
          <w:color w:val="auto"/>
          <w:sz w:val="24"/>
          <w:szCs w:val="24"/>
          <w:highlight w:val="none"/>
          <w:vertAlign w:val="subscript"/>
        </w:rPr>
        <w:t>0</w:t>
      </w:r>
      <w:r>
        <w:rPr>
          <w:rFonts w:ascii="Times New Roman" w:hAnsi="Times New Roman" w:cs="Times New Roman"/>
          <w:color w:val="auto"/>
          <w:sz w:val="24"/>
          <w:highlight w:val="none"/>
        </w:rPr>
        <w:t>——</w:t>
      </w:r>
      <w:r>
        <w:rPr>
          <w:rFonts w:ascii="Times New Roman" w:cs="Times New Roman" w:hAnsiTheme="minorEastAsia" w:eastAsiaTheme="minorEastAsia"/>
          <w:color w:val="auto"/>
          <w:sz w:val="24"/>
          <w:szCs w:val="24"/>
          <w:highlight w:val="none"/>
        </w:rPr>
        <w:t>等效组合截面形心至预制底板下边缘距离。</w:t>
      </w:r>
    </w:p>
    <w:p>
      <w:pPr>
        <w:pStyle w:val="25"/>
        <w:spacing w:before="312" w:after="312" w:line="360" w:lineRule="auto"/>
        <w:rPr>
          <w:color w:val="auto"/>
          <w:highlight w:val="none"/>
        </w:rPr>
      </w:pPr>
      <w:bookmarkStart w:id="108" w:name="_Toc40210915"/>
      <w:bookmarkStart w:id="109" w:name="_Toc111709552"/>
      <w:r>
        <w:rPr>
          <w:color w:val="auto"/>
          <w:highlight w:val="none"/>
        </w:rPr>
        <w:t>6.3  持久设计状况计算</w:t>
      </w:r>
      <w:bookmarkEnd w:id="108"/>
      <w:bookmarkEnd w:id="109"/>
    </w:p>
    <w:p>
      <w:pPr>
        <w:spacing w:after="0" w:line="360" w:lineRule="auto"/>
        <w:rPr>
          <w:rFonts w:ascii="Times New Roman" w:hAnsi="Times New Roman" w:cs="Times New Roman" w:eastAsiaTheme="minorEastAsia"/>
          <w:b/>
          <w:bCs/>
          <w:color w:val="auto"/>
          <w:sz w:val="24"/>
          <w:szCs w:val="24"/>
          <w:highlight w:val="none"/>
        </w:rPr>
      </w:pPr>
      <w:r>
        <w:rPr>
          <w:rFonts w:ascii="Times New Roman" w:hAnsi="Times New Roman" w:cs="Times New Roman" w:eastAsiaTheme="minorEastAsia"/>
          <w:b/>
          <w:color w:val="auto"/>
          <w:sz w:val="24"/>
          <w:szCs w:val="24"/>
          <w:highlight w:val="none"/>
        </w:rPr>
        <w:t xml:space="preserve">6.3.1  </w:t>
      </w:r>
      <w:r>
        <w:rPr>
          <w:rFonts w:ascii="Times New Roman" w:hAnsi="Times New Roman" w:cs="Times New Roman" w:eastAsiaTheme="minorEastAsia"/>
          <w:color w:val="auto"/>
          <w:sz w:val="24"/>
          <w:szCs w:val="24"/>
          <w:highlight w:val="none"/>
        </w:rPr>
        <w:t>施工阶段如跨中不加临时支撑时，</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为二阶段受力叠合板，应按照《混凝土结构设计规范》GB 50010-2010附录H中关于无支撑叠合板的规定进行计算。</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6.3.2</w:t>
      </w:r>
      <w:r>
        <w:rPr>
          <w:rFonts w:ascii="Times New Roman" w:hAnsi="Times New Roman" w:cs="Times New Roman" w:eastAsiaTheme="minorEastAsia"/>
          <w:color w:val="auto"/>
          <w:sz w:val="24"/>
          <w:szCs w:val="24"/>
          <w:highlight w:val="none"/>
        </w:rPr>
        <w:t xml:space="preserve">  因为叠合层混凝土达到设计强度值后仍可能存在施工活荷载，且其产生的荷载效应可能大于使用阶段可变荷载产生的荷载效应，故叠合板承载力计算时应考虑两种荷载效应中的较大值。</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6.3.3</w:t>
      </w:r>
      <w:r>
        <w:rPr>
          <w:rFonts w:ascii="Times New Roman" w:hAnsi="Times New Roman" w:cs="Times New Roman" w:eastAsiaTheme="minorEastAsia"/>
          <w:color w:val="auto"/>
          <w:sz w:val="24"/>
          <w:szCs w:val="24"/>
          <w:highlight w:val="none"/>
        </w:rPr>
        <w:t xml:space="preserve">  试验研究及理论分析表明，均布荷载作用下采用密拼接缝的</w:t>
      </w:r>
      <w:r>
        <w:rPr>
          <w:rFonts w:hint="eastAsia" w:ascii="Times New Roman" w:hAnsi="Times New Roman" w:eastAsia="宋体" w:cs="Times New Roman"/>
          <w:color w:val="auto"/>
          <w:sz w:val="24"/>
          <w:szCs w:val="24"/>
          <w:highlight w:val="none"/>
        </w:rPr>
        <w:t>支架预应力混凝土</w:t>
      </w:r>
      <w:r>
        <w:rPr>
          <w:rFonts w:ascii="Times New Roman" w:hAnsi="Times New Roman" w:cs="Times New Roman" w:eastAsiaTheme="minorEastAsia"/>
          <w:color w:val="auto"/>
          <w:sz w:val="24"/>
          <w:szCs w:val="24"/>
          <w:highlight w:val="none"/>
        </w:rPr>
        <w:t xml:space="preserve">双向叠合板发生屈服后，板底塑性铰线走势与现浇板略有差异，两个方向内力有一定影响，但差异不大，因此在内力计算时，可忽略整体式接缝的影响。        </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6.3.5</w:t>
      </w:r>
      <w:r>
        <w:rPr>
          <w:rFonts w:ascii="Times New Roman" w:hAnsi="Times New Roman" w:cs="Times New Roman" w:eastAsiaTheme="minorEastAsia"/>
          <w:color w:val="auto"/>
          <w:sz w:val="24"/>
          <w:szCs w:val="24"/>
          <w:highlight w:val="none"/>
        </w:rPr>
        <w:t xml:space="preserve">  本条关于受压区混凝土强度等级的规定，与现行国家标准《混凝土结构设计规范》GB 50010一致。</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6.3.6  </w:t>
      </w:r>
      <w:r>
        <w:rPr>
          <w:rFonts w:ascii="Times New Roman" w:hAnsi="Times New Roman" w:cs="Times New Roman" w:eastAsiaTheme="minorEastAsia"/>
          <w:color w:val="auto"/>
          <w:sz w:val="24"/>
          <w:szCs w:val="24"/>
          <w:highlight w:val="none"/>
        </w:rPr>
        <w:t>双向叠合板中垂直于预应力钢筋方向的受力钢筋放置于预制底板顶面，截面有效高度为钢筋形心至叠合板上表面距离，明显小于预应力钢筋方向，因此计正截面承载力算时两个方向应分别取相应的截面有效高度。</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6.3.7</w:t>
      </w:r>
      <w:r>
        <w:rPr>
          <w:rFonts w:ascii="Times New Roman" w:hAnsi="Times New Roman" w:cs="Times New Roman" w:eastAsiaTheme="minorEastAsia"/>
          <w:color w:val="auto"/>
          <w:sz w:val="24"/>
          <w:szCs w:val="24"/>
          <w:highlight w:val="none"/>
        </w:rPr>
        <w:t xml:space="preserve">  试验研究表明：</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桁架形成抗剪销栓，并且预制底板上表面采用粗糙面，能够满足叠合面抗剪要求，保证叠合层与预制底板形成整体共同承载、协调受力。故在均布荷载作用下，可不对叠合面进行受剪强度验算。</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6.3.9</w:t>
      </w:r>
      <w:r>
        <w:rPr>
          <w:rFonts w:ascii="Times New Roman" w:hAnsi="Times New Roman" w:cs="Times New Roman" w:eastAsiaTheme="minorEastAsia"/>
          <w:color w:val="auto"/>
          <w:sz w:val="24"/>
          <w:szCs w:val="24"/>
          <w:highlight w:val="none"/>
        </w:rPr>
        <w:t xml:space="preserve">  试验研究及理论分析表明：双向叠合楼板在两个正交方向存在明显的刚度差异，在计算时应合理考虑。考虑两个方向的刚度时，可在预应力方向按不出现裂缝的刚度、非预应力方向按出现裂缝的刚度进行计算。</w:t>
      </w:r>
    </w:p>
    <w:p>
      <w:pPr>
        <w:spacing w:after="0" w:line="360" w:lineRule="auto"/>
        <w:rPr>
          <w:rFonts w:ascii="Times New Roman" w:hAnsi="Times New Roman" w:cs="Times New Roman" w:eastAsiaTheme="minorEastAsia"/>
          <w:color w:val="auto"/>
          <w:highlight w:val="none"/>
        </w:rPr>
      </w:pPr>
      <w:r>
        <w:rPr>
          <w:rFonts w:ascii="Times New Roman" w:hAnsi="Times New Roman" w:cs="Times New Roman" w:eastAsiaTheme="minorEastAsia"/>
          <w:b/>
          <w:color w:val="auto"/>
          <w:sz w:val="24"/>
          <w:szCs w:val="24"/>
          <w:highlight w:val="none"/>
        </w:rPr>
        <w:t>6.3.10</w:t>
      </w:r>
      <w:r>
        <w:rPr>
          <w:rFonts w:ascii="Times New Roman" w:hAnsi="Times New Roman" w:cs="Times New Roman" w:eastAsiaTheme="minorEastAsia"/>
          <w:color w:val="auto"/>
          <w:sz w:val="24"/>
          <w:szCs w:val="24"/>
          <w:highlight w:val="none"/>
        </w:rPr>
        <w:t xml:space="preserve">  </w:t>
      </w:r>
      <w:r>
        <w:rPr>
          <w:rFonts w:hint="eastAsia" w:ascii="Times New Roman" w:hAnsi="Times New Roman" w:eastAsia="宋体" w:cs="Times New Roman"/>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适用一类和二a类环境类别，并且底板沿平行</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桁架方向施加了预应力，故对叠合楼板沿平行</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桁架方向的板底裂缝控制等级为二级，即一般要求不出现裂缝。</w:t>
      </w:r>
      <w:r>
        <w:rPr>
          <w:rFonts w:ascii="Times New Roman" w:hAnsi="Times New Roman" w:cs="Times New Roman" w:eastAsiaTheme="minorEastAsia"/>
          <w:color w:val="auto"/>
          <w:sz w:val="24"/>
          <w:szCs w:val="24"/>
          <w:highlight w:val="none"/>
        </w:rPr>
        <w:br w:type="textWrapping"/>
      </w:r>
    </w:p>
    <w:p>
      <w:pP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br w:type="page"/>
      </w:r>
    </w:p>
    <w:p>
      <w:pPr>
        <w:pStyle w:val="24"/>
        <w:spacing w:before="312" w:after="312"/>
        <w:rPr>
          <w:b w:val="0"/>
          <w:color w:val="auto"/>
          <w:kern w:val="0"/>
          <w:sz w:val="24"/>
          <w:szCs w:val="24"/>
          <w:highlight w:val="none"/>
        </w:rPr>
      </w:pPr>
      <w:bookmarkStart w:id="110" w:name="_Toc111709553"/>
      <w:bookmarkStart w:id="111" w:name="_Toc40210916"/>
      <w:r>
        <w:rPr>
          <w:color w:val="auto"/>
          <w:highlight w:val="none"/>
        </w:rPr>
        <w:t xml:space="preserve">7 </w:t>
      </w:r>
      <w:r>
        <w:rPr>
          <w:rFonts w:hAnsi="宋体"/>
          <w:color w:val="auto"/>
          <w:highlight w:val="none"/>
        </w:rPr>
        <w:t>构造要求</w:t>
      </w:r>
      <w:bookmarkEnd w:id="110"/>
      <w:bookmarkEnd w:id="111"/>
    </w:p>
    <w:p>
      <w:pPr>
        <w:pStyle w:val="25"/>
        <w:spacing w:before="312" w:after="312" w:line="360" w:lineRule="auto"/>
        <w:rPr>
          <w:color w:val="auto"/>
          <w:highlight w:val="none"/>
        </w:rPr>
      </w:pPr>
      <w:bookmarkStart w:id="112" w:name="_Toc40210917"/>
      <w:bookmarkStart w:id="113" w:name="_Toc111709554"/>
      <w:r>
        <w:rPr>
          <w:color w:val="auto"/>
          <w:highlight w:val="none"/>
        </w:rPr>
        <w:t>7.1  一般规定</w:t>
      </w:r>
      <w:bookmarkEnd w:id="112"/>
      <w:bookmarkEnd w:id="113"/>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7.1.1</w:t>
      </w:r>
      <w:r>
        <w:rPr>
          <w:rFonts w:ascii="Times New Roman" w:hAnsi="Times New Roman" w:cs="Times New Roman" w:eastAsiaTheme="minorEastAsia"/>
          <w:color w:val="auto"/>
          <w:sz w:val="24"/>
          <w:szCs w:val="24"/>
          <w:highlight w:val="none"/>
        </w:rPr>
        <w:t xml:space="preserve">  </w:t>
      </w:r>
      <w:r>
        <w:rPr>
          <w:rFonts w:ascii="Times New Roman" w:hAnsi="Times New Roman" w:cs="Times New Roman" w:eastAsiaTheme="minorEastAsia"/>
          <w:color w:val="auto"/>
          <w:sz w:val="24"/>
          <w:szCs w:val="24"/>
          <w:highlight w:val="none"/>
        </w:rPr>
        <w:t>对</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的最小板厚做出了规定，最小底板厚度主要考虑了混凝土浇筑质量，施工阶段的承载力、刚度、抗裂性能，叠合板使用阶段的耐火性能及耐久性要求来确定的。</w:t>
      </w:r>
    </w:p>
    <w:p>
      <w:pPr>
        <w:spacing w:after="0" w:line="360" w:lineRule="auto"/>
        <w:ind w:firstLine="360" w:firstLineChars="150"/>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叠合层最小厚度的规定综合考虑了楼板整体性、双向受力性能以及管线预埋等因素。</w:t>
      </w:r>
    </w:p>
    <w:p>
      <w:pPr>
        <w:spacing w:after="0" w:line="324"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7.1.2</w:t>
      </w:r>
      <w:r>
        <w:rPr>
          <w:rFonts w:ascii="Times New Roman" w:hAnsi="Times New Roman" w:cs="Times New Roman" w:eastAsiaTheme="minorEastAsia"/>
          <w:color w:val="auto"/>
          <w:sz w:val="24"/>
          <w:szCs w:val="24"/>
          <w:highlight w:val="none"/>
        </w:rPr>
        <w:t xml:space="preserve">  基于耐火极限要求的耐火保护层厚度系参照现行国家标准《建筑设计防火规范》GB 50016及现行行业标准《预制带肋底板混凝土叠合楼板技术规程》</w:t>
      </w:r>
      <w:bookmarkStart w:id="114" w:name="_Toc10204969"/>
      <w:bookmarkStart w:id="115" w:name="_Toc10204786"/>
      <w:r>
        <w:rPr>
          <w:rFonts w:ascii="Times New Roman" w:hAnsi="Times New Roman" w:cs="Times New Roman" w:eastAsiaTheme="minorEastAsia"/>
          <w:color w:val="auto"/>
          <w:sz w:val="24"/>
          <w:szCs w:val="24"/>
          <w:highlight w:val="none"/>
        </w:rPr>
        <w:t>JGJ/T 258</w:t>
      </w:r>
      <w:bookmarkEnd w:id="114"/>
      <w:bookmarkEnd w:id="115"/>
      <w:r>
        <w:rPr>
          <w:rFonts w:ascii="Times New Roman" w:hAnsi="Times New Roman" w:cs="Times New Roman" w:eastAsiaTheme="minorEastAsia"/>
          <w:color w:val="auto"/>
          <w:sz w:val="24"/>
          <w:szCs w:val="24"/>
          <w:highlight w:val="none"/>
        </w:rPr>
        <w:t>确定。当叠合板的端支座为固定端支座时，表中的约束条件可按连续考虑。若板底存在抹灰粉刷层，计算耐火保护层时，可将抹灰粉刷层包括在内。</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7.1.3</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预制底板上表面设置粗糙面，以保证结合面受剪承载力满足要求，从而叠合层混凝土与钢管桁架预制底板形成整体协调受力并共同承载。</w:t>
      </w:r>
    </w:p>
    <w:p>
      <w:pPr>
        <w:pStyle w:val="25"/>
        <w:spacing w:before="312" w:after="312" w:line="360" w:lineRule="auto"/>
        <w:rPr>
          <w:color w:val="auto"/>
          <w:highlight w:val="none"/>
        </w:rPr>
      </w:pPr>
      <w:bookmarkStart w:id="116" w:name="_Toc111709555"/>
      <w:bookmarkStart w:id="117" w:name="_Toc40210918"/>
      <w:r>
        <w:rPr>
          <w:color w:val="auto"/>
          <w:highlight w:val="none"/>
        </w:rPr>
        <w:t>7.2  钢筋布置</w:t>
      </w:r>
      <w:bookmarkEnd w:id="116"/>
      <w:bookmarkEnd w:id="117"/>
    </w:p>
    <w:p>
      <w:pPr>
        <w:autoSpaceDE w:val="0"/>
        <w:autoSpaceDN w:val="0"/>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7.2.1</w:t>
      </w:r>
      <w:r>
        <w:rPr>
          <w:rFonts w:ascii="Times New Roman" w:hAnsi="Times New Roman" w:cs="Times New Roman" w:eastAsiaTheme="minorEastAsia"/>
          <w:color w:val="auto"/>
          <w:sz w:val="24"/>
          <w:szCs w:val="24"/>
          <w:highlight w:val="none"/>
        </w:rPr>
        <w:t xml:space="preserve">  根据试验研究结果，并参考国内外关于钢筋桁架的研究成果，对</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桁架外形尺寸作出了规定。</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7.2.2</w:t>
      </w:r>
      <w:r>
        <w:rPr>
          <w:rFonts w:ascii="Times New Roman" w:hAnsi="Times New Roman" w:cs="Times New Roman" w:eastAsiaTheme="minorEastAsia"/>
          <w:color w:val="auto"/>
          <w:sz w:val="24"/>
          <w:szCs w:val="24"/>
          <w:highlight w:val="none"/>
        </w:rPr>
        <w:t xml:space="preserve">  </w:t>
      </w:r>
      <w:bookmarkStart w:id="118" w:name="_Hlk107607573"/>
      <w:r>
        <w:rPr>
          <w:rFonts w:ascii="Times New Roman" w:hAnsi="Times New Roman" w:cs="Times New Roman" w:eastAsiaTheme="minorEastAsia"/>
          <w:color w:val="auto"/>
          <w:sz w:val="24"/>
          <w:szCs w:val="24"/>
          <w:highlight w:val="none"/>
        </w:rPr>
        <w:t>对</w:t>
      </w:r>
      <w:r>
        <w:rPr>
          <w:rFonts w:hint="eastAsia" w:ascii="Times New Roman" w:hAnsi="Times New Roman" w:cs="Times New Roman" w:eastAsiaTheme="minorEastAsia"/>
          <w:color w:val="auto"/>
          <w:sz w:val="24"/>
          <w:szCs w:val="24"/>
          <w:highlight w:val="none"/>
        </w:rPr>
        <w:t>支架预应力混凝土叠合板</w:t>
      </w:r>
      <w:bookmarkEnd w:id="118"/>
      <w:r>
        <w:rPr>
          <w:rFonts w:ascii="Times New Roman" w:hAnsi="Times New Roman" w:cs="Times New Roman" w:eastAsiaTheme="minorEastAsia"/>
          <w:color w:val="auto"/>
          <w:sz w:val="24"/>
          <w:szCs w:val="24"/>
          <w:highlight w:val="none"/>
        </w:rPr>
        <w:t>预制底板为单向板，</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桁架和预应力的施加使预制底板在施工阶段具有较大的刚度和承载力，因此</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桁架应与预应力钢筋方向一致；在施工阶段沿长边的受力更为不利，故</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桁架沿预制底板的长边布置。</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桁架至预制底板板边的距离不宜过大，过大时在运输、吊装等阶段对预制底板受力不利，易造成预制底板破损。</w:t>
      </w:r>
    </w:p>
    <w:p>
      <w:pPr>
        <w:spacing w:after="0" w:line="360" w:lineRule="auto"/>
        <w:ind w:firstLine="480" w:firstLineChars="200"/>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对</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桁架腹筋埋入预制板深度和上弦钢管的露出高度的规定，主要是考虑了</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桁架预制底板的施工阶段以及叠合后使用阶段板的受力性能因素。</w:t>
      </w:r>
    </w:p>
    <w:p>
      <w:pPr>
        <w:tabs>
          <w:tab w:val="left" w:pos="735"/>
        </w:tabs>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7.2.3</w:t>
      </w:r>
      <w:r>
        <w:rPr>
          <w:rFonts w:ascii="Times New Roman" w:hAnsi="Times New Roman" w:cs="Times New Roman" w:eastAsiaTheme="minorEastAsia"/>
          <w:color w:val="auto"/>
          <w:sz w:val="24"/>
          <w:szCs w:val="24"/>
          <w:highlight w:val="none"/>
        </w:rPr>
        <w:t xml:space="preserve">  预应力钢筋的最小水平净距应根据浇筑混凝土、预应力钢筋锚固及预应力传递性能等要求确定。预应力钢筋形式主要采用预应力钢丝，本条规定与《混凝土结构设计规范》GB50010-2010一致。</w:t>
      </w:r>
    </w:p>
    <w:p>
      <w:pPr>
        <w:tabs>
          <w:tab w:val="left" w:pos="735"/>
        </w:tabs>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7.2.4  </w:t>
      </w:r>
      <w:r>
        <w:rPr>
          <w:rFonts w:ascii="Times New Roman" w:hAnsi="Times New Roman" w:cs="Times New Roman" w:eastAsiaTheme="minorEastAsia"/>
          <w:color w:val="auto"/>
          <w:sz w:val="24"/>
          <w:szCs w:val="24"/>
          <w:highlight w:val="none"/>
        </w:rPr>
        <w:t xml:space="preserve">先张法预应力传递长度范围内局部挤压造成的环向拉应力容易导致构件端部混凝土出现劈裂裂缝，因此端部应采取构造措施，以保证自锚端的局部承载力。   </w:t>
      </w:r>
    </w:p>
    <w:p>
      <w:pPr>
        <w:tabs>
          <w:tab w:val="left" w:pos="735"/>
        </w:tabs>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7.2.5</w:t>
      </w:r>
      <w:r>
        <w:rPr>
          <w:rFonts w:ascii="Times New Roman" w:hAnsi="Times New Roman" w:cs="Times New Roman" w:eastAsiaTheme="minorEastAsia"/>
          <w:color w:val="auto"/>
          <w:sz w:val="24"/>
          <w:szCs w:val="24"/>
          <w:highlight w:val="none"/>
        </w:rPr>
        <w:t xml:space="preserve">  </w:t>
      </w:r>
      <w:r>
        <w:rPr>
          <w:rFonts w:ascii="Times New Roman" w:hAnsi="Times New Roman" w:cs="Times New Roman" w:eastAsiaTheme="minorEastAsia"/>
          <w:color w:val="auto"/>
          <w:sz w:val="24"/>
          <w:szCs w:val="24"/>
          <w:highlight w:val="none"/>
        </w:rPr>
        <w:t>试验研究和工程实践表明，因施工阶段传递剪力较大，腹杆钢筋与</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之间采用</w:t>
      </w:r>
      <w:r>
        <w:rPr>
          <w:rFonts w:hint="eastAsia" w:ascii="Times New Roman" w:hAnsi="Times New Roman" w:cs="Times New Roman" w:eastAsiaTheme="minorEastAsia"/>
          <w:color w:val="auto"/>
          <w:sz w:val="24"/>
          <w:szCs w:val="24"/>
          <w:highlight w:val="none"/>
        </w:rPr>
        <w:t>螺栓连接</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要求</w:t>
      </w:r>
      <w:r>
        <w:rPr>
          <w:rFonts w:ascii="Times New Roman" w:hAnsi="Times New Roman" w:cs="Times New Roman" w:eastAsiaTheme="minorEastAsia"/>
          <w:color w:val="auto"/>
          <w:sz w:val="24"/>
          <w:szCs w:val="24"/>
          <w:highlight w:val="none"/>
        </w:rPr>
        <w:t>能够满足内力传递要求。</w:t>
      </w:r>
      <w:r>
        <w:rPr>
          <w:rFonts w:ascii="Times New Roman" w:hAnsi="Times New Roman" w:cs="Times New Roman" w:eastAsiaTheme="minorEastAsia"/>
          <w:color w:val="auto"/>
          <w:sz w:val="24"/>
          <w:szCs w:val="24"/>
          <w:highlight w:val="none"/>
        </w:rPr>
        <w:t>。</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7.2.8  </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桁架兼做吊点,可避免设置吊钩或吊具，提高生产效率，并节约成本。吊装时宜采用专用吊具，常用吊装方式见图5，配套的吊具见图6。</w:t>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drawing>
          <wp:inline distT="0" distB="0" distL="0" distR="0">
            <wp:extent cx="1844040" cy="1518920"/>
            <wp:effectExtent l="0" t="0" r="3810" b="5080"/>
            <wp:docPr id="55" name="图片 7" descr="PK板吊装示意图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PK板吊装示意图2-Model"/>
                    <pic:cNvPicPr>
                      <a:picLocks noChangeAspect="1"/>
                    </pic:cNvPicPr>
                  </pic:nvPicPr>
                  <pic:blipFill>
                    <a:blip r:embed="rId75" cstate="print"/>
                    <a:srcRect l="21008" t="12611" r="14062" b="6715"/>
                    <a:stretch>
                      <a:fillRect/>
                    </a:stretch>
                  </pic:blipFill>
                  <pic:spPr>
                    <a:xfrm>
                      <a:off x="0" y="0"/>
                      <a:ext cx="1862006" cy="1533550"/>
                    </a:xfrm>
                    <a:prstGeom prst="rect">
                      <a:avLst/>
                    </a:prstGeom>
                  </pic:spPr>
                </pic:pic>
              </a:graphicData>
            </a:graphic>
          </wp:inline>
        </w:drawing>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图5 常用吊装方式</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drawing>
          <wp:inline distT="0" distB="0" distL="0" distR="0">
            <wp:extent cx="5274945" cy="1328420"/>
            <wp:effectExtent l="19050" t="0" r="190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6" cstate="print"/>
                    <a:stretch>
                      <a:fillRect/>
                    </a:stretch>
                  </pic:blipFill>
                  <pic:spPr>
                    <a:xfrm>
                      <a:off x="0" y="0"/>
                      <a:ext cx="5274945" cy="1328998"/>
                    </a:xfrm>
                    <a:prstGeom prst="rect">
                      <a:avLst/>
                    </a:prstGeom>
                    <a:noFill/>
                    <a:ln>
                      <a:noFill/>
                    </a:ln>
                  </pic:spPr>
                </pic:pic>
              </a:graphicData>
            </a:graphic>
          </wp:inline>
        </w:drawing>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drawing>
          <wp:inline distT="0" distB="0" distL="0" distR="0">
            <wp:extent cx="854075" cy="1212850"/>
            <wp:effectExtent l="19050" t="0" r="293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77" cstate="print"/>
                    <a:stretch>
                      <a:fillRect/>
                    </a:stretch>
                  </pic:blipFill>
                  <pic:spPr>
                    <a:xfrm>
                      <a:off x="0" y="0"/>
                      <a:ext cx="857241" cy="1217223"/>
                    </a:xfrm>
                    <a:prstGeom prst="rect">
                      <a:avLst/>
                    </a:prstGeom>
                    <a:noFill/>
                    <a:ln>
                      <a:noFill/>
                    </a:ln>
                  </pic:spPr>
                </pic:pic>
              </a:graphicData>
            </a:graphic>
          </wp:inline>
        </w:drawing>
      </w:r>
      <w:r>
        <w:rPr>
          <w:rFonts w:ascii="Times New Roman" w:hAnsi="Times New Roman" w:cs="Times New Roman" w:eastAsiaTheme="minorEastAsia"/>
          <w:color w:val="auto"/>
          <w:sz w:val="24"/>
          <w:szCs w:val="24"/>
          <w:highlight w:val="none"/>
        </w:rPr>
        <w:t xml:space="preserve">    </w:t>
      </w:r>
      <w:r>
        <w:rPr>
          <w:rFonts w:ascii="Times New Roman" w:hAnsi="Times New Roman" w:cs="Times New Roman" w:eastAsiaTheme="minorEastAsia"/>
          <w:color w:val="auto"/>
          <w:sz w:val="24"/>
          <w:szCs w:val="24"/>
          <w:highlight w:val="none"/>
        </w:rPr>
        <w:drawing>
          <wp:inline distT="0" distB="0" distL="0" distR="0">
            <wp:extent cx="1015365" cy="1336040"/>
            <wp:effectExtent l="19050" t="0" r="0"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78" cstate="print"/>
                    <a:stretch>
                      <a:fillRect/>
                    </a:stretch>
                  </pic:blipFill>
                  <pic:spPr>
                    <a:xfrm>
                      <a:off x="0" y="0"/>
                      <a:ext cx="1016400" cy="1337562"/>
                    </a:xfrm>
                    <a:prstGeom prst="rect">
                      <a:avLst/>
                    </a:prstGeom>
                    <a:noFill/>
                    <a:ln>
                      <a:noFill/>
                    </a:ln>
                  </pic:spPr>
                </pic:pic>
              </a:graphicData>
            </a:graphic>
          </wp:inline>
        </w:drawing>
      </w:r>
    </w:p>
    <w:p>
      <w:pPr>
        <w:spacing w:after="0" w:line="360" w:lineRule="auto"/>
        <w:jc w:val="center"/>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图6 专用吊具示意图</w:t>
      </w:r>
    </w:p>
    <w:p>
      <w:pPr>
        <w:autoSpaceDE w:val="0"/>
        <w:autoSpaceDN w:val="0"/>
        <w:spacing w:after="0" w:line="300" w:lineRule="auto"/>
        <w:jc w:val="center"/>
        <w:rPr>
          <w:rFonts w:ascii="Times New Roman" w:hAnsi="Times New Roman" w:cs="Times New Roman" w:eastAsiaTheme="minorEastAsia"/>
          <w:color w:val="auto"/>
          <w:sz w:val="18"/>
          <w:szCs w:val="21"/>
          <w:highlight w:val="none"/>
        </w:rPr>
      </w:pPr>
      <w:r>
        <w:rPr>
          <w:rFonts w:ascii="Times New Roman" w:hAnsi="Times New Roman" w:cs="Times New Roman" w:eastAsiaTheme="minorEastAsia"/>
          <w:color w:val="auto"/>
          <w:sz w:val="18"/>
          <w:szCs w:val="21"/>
          <w:highlight w:val="none"/>
        </w:rPr>
        <w:t>1—方管；2—吊耳；3—2T U型夹扣；4—滑轮固定座；5—圆钢；6—钢丝绳；7—带起重链吊钩；8—滑轮</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7.2.9  </w:t>
      </w:r>
      <w:r>
        <w:rPr>
          <w:rFonts w:ascii="Times New Roman" w:hAnsi="Times New Roman" w:cs="Times New Roman" w:eastAsiaTheme="minorEastAsia"/>
          <w:color w:val="auto"/>
          <w:sz w:val="24"/>
          <w:szCs w:val="24"/>
          <w:highlight w:val="none"/>
        </w:rPr>
        <w:t>叠合楼板严禁在</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位置开洞，且开洞宜避免截断预制底板的预应力钢筋。当开洞尺寸较大或截断预制底板的预应力钢筋时，宜优先考虑采用现浇板带，也可在预制底板设计制作阶段采取适当补强措施。对平面尺寸不大且洞口较多的厨房、卫生间等功能房间可采用现浇板。</w:t>
      </w:r>
    </w:p>
    <w:p>
      <w:pPr>
        <w:pStyle w:val="25"/>
        <w:spacing w:before="312" w:after="312" w:line="360" w:lineRule="auto"/>
        <w:rPr>
          <w:color w:val="auto"/>
          <w:highlight w:val="none"/>
        </w:rPr>
      </w:pPr>
      <w:bookmarkStart w:id="119" w:name="_Toc111709556"/>
      <w:bookmarkStart w:id="120" w:name="_Toc40210919"/>
      <w:r>
        <w:rPr>
          <w:color w:val="auto"/>
          <w:highlight w:val="none"/>
        </w:rPr>
        <w:t>7.4  支座构造</w:t>
      </w:r>
      <w:bookmarkEnd w:id="119"/>
      <w:bookmarkEnd w:id="120"/>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7.4.1</w:t>
      </w:r>
      <w:r>
        <w:rPr>
          <w:rFonts w:ascii="Times New Roman" w:hAnsi="Times New Roman" w:cs="Times New Roman" w:eastAsiaTheme="minorEastAsia"/>
          <w:color w:val="auto"/>
          <w:sz w:val="24"/>
          <w:szCs w:val="24"/>
          <w:highlight w:val="none"/>
        </w:rPr>
        <w:t xml:space="preserve">  叠合板与钢梁之间的抗剪连接件宜采用栓钉，钢梁设计时应避免栓钉的位置与预制底板冲突，并应符合现行国家标准《钢结构设计标准》GB50017的相关规定。</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7.4.2</w:t>
      </w:r>
      <w:r>
        <w:rPr>
          <w:rFonts w:ascii="Times New Roman" w:hAnsi="Times New Roman" w:cs="Times New Roman" w:eastAsiaTheme="minorEastAsia"/>
          <w:color w:val="auto"/>
          <w:sz w:val="24"/>
          <w:szCs w:val="24"/>
          <w:highlight w:val="none"/>
        </w:rPr>
        <w:t xml:space="preserve">  生产工艺上，</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预制底板一般采用长线法台座生产，留置胡子筋对构件生产效率无明显影响。试验研究表明，对于中间支座处不留置胡子筋的连续叠合板，破坏时中间支座处易产生底板与叠合层之间的开裂，故</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预制底板预应力钢筋宜在板端预留胡子筋。</w:t>
      </w:r>
    </w:p>
    <w:p>
      <w:pPr>
        <w:spacing w:after="0" w:line="360" w:lineRule="auto"/>
        <w:ind w:firstLine="360" w:firstLineChars="150"/>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当支承梁或剪力墙为现浇时，两端均预留胡子筋会影响铺板施工，可在一端不预留胡子筋，在不预留胡子筋一端在预制底板上方设置端部连接钢筋替代胡子筋。</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7.4.3</w:t>
      </w:r>
      <w:r>
        <w:rPr>
          <w:rFonts w:ascii="Times New Roman" w:hAnsi="Times New Roman" w:cs="Times New Roman" w:eastAsiaTheme="minorEastAsia"/>
          <w:color w:val="auto"/>
          <w:sz w:val="24"/>
          <w:szCs w:val="24"/>
          <w:highlight w:val="none"/>
        </w:rPr>
        <w:t xml:space="preserve">  参考现行行业标准《装配式混凝土结构技术规程》JGJ1–2014，规定了桁架预制板纵向钢筋伸入支座的锚固长度。</w:t>
      </w:r>
    </w:p>
    <w:p>
      <w:pPr>
        <w:adjustRightInd/>
        <w:snapToGrid/>
        <w:spacing w:after="0"/>
        <w:rPr>
          <w:rFonts w:ascii="Times New Roman" w:hAnsi="Times New Roman" w:eastAsia="宋体" w:cs="Times New Roman"/>
          <w:b/>
          <w:color w:val="auto"/>
          <w:kern w:val="2"/>
          <w:sz w:val="28"/>
          <w:szCs w:val="20"/>
          <w:highlight w:val="none"/>
        </w:rPr>
      </w:pPr>
      <w:bookmarkStart w:id="121" w:name="_Toc40210920"/>
      <w:r>
        <w:rPr>
          <w:color w:val="auto"/>
          <w:highlight w:val="none"/>
        </w:rPr>
        <w:br w:type="page"/>
      </w:r>
    </w:p>
    <w:p>
      <w:pPr>
        <w:pStyle w:val="24"/>
        <w:spacing w:beforeLines="0" w:after="312" w:line="360" w:lineRule="auto"/>
        <w:rPr>
          <w:color w:val="auto"/>
          <w:highlight w:val="none"/>
        </w:rPr>
      </w:pPr>
      <w:bookmarkStart w:id="122" w:name="_Toc111709557"/>
      <w:r>
        <w:rPr>
          <w:color w:val="auto"/>
          <w:highlight w:val="none"/>
        </w:rPr>
        <w:t xml:space="preserve">8 </w:t>
      </w:r>
      <w:r>
        <w:rPr>
          <w:rFonts w:hAnsi="宋体"/>
          <w:color w:val="auto"/>
          <w:highlight w:val="none"/>
        </w:rPr>
        <w:t>构件制作与运输</w:t>
      </w:r>
      <w:bookmarkEnd w:id="121"/>
      <w:bookmarkEnd w:id="122"/>
    </w:p>
    <w:p>
      <w:pPr>
        <w:pStyle w:val="25"/>
        <w:spacing w:before="312" w:after="312" w:line="360" w:lineRule="auto"/>
        <w:rPr>
          <w:color w:val="auto"/>
          <w:highlight w:val="none"/>
        </w:rPr>
      </w:pPr>
      <w:bookmarkStart w:id="123" w:name="_Toc40210921"/>
      <w:bookmarkStart w:id="124" w:name="_Toc111709558"/>
      <w:r>
        <w:rPr>
          <w:color w:val="auto"/>
          <w:highlight w:val="none"/>
        </w:rPr>
        <w:t>8.1一般规定</w:t>
      </w:r>
      <w:bookmarkEnd w:id="123"/>
      <w:bookmarkEnd w:id="124"/>
    </w:p>
    <w:p>
      <w:pPr>
        <w:tabs>
          <w:tab w:val="left" w:pos="777"/>
        </w:tabs>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8.1.1  </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预制底板生产的场所、设备、设施是保证预应力混凝土构件生产和质量的基础设施，必须满足构件制作的技术要求；对于需要准确计量的设备、工具必须按有关规定定期进行计量校准和认证。</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8.1.2  </w:t>
      </w:r>
      <w:r>
        <w:rPr>
          <w:rFonts w:ascii="Times New Roman" w:hAnsi="Times New Roman" w:cs="Times New Roman" w:eastAsiaTheme="minorEastAsia"/>
          <w:color w:val="auto"/>
          <w:sz w:val="24"/>
          <w:szCs w:val="24"/>
          <w:highlight w:val="none"/>
        </w:rPr>
        <w:t>完善的质量管理体系和制度是质量管理的前提条件和企业质量管理水平的体现。质量管理体系中应建立并保持与质量管理有关的文件形成和控制工作程序，该程序应包括文件的编制、审核、批准、发放、变更和保存等。</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8.1.3  </w:t>
      </w:r>
      <w:r>
        <w:rPr>
          <w:rFonts w:ascii="Times New Roman" w:hAnsi="Times New Roman" w:cs="Times New Roman" w:eastAsiaTheme="minorEastAsia"/>
          <w:color w:val="auto"/>
          <w:sz w:val="24"/>
          <w:szCs w:val="24"/>
          <w:highlight w:val="none"/>
        </w:rPr>
        <w:t>技术交底包括制定生产工艺方案、生产计划、操作程序、质量控制措施、成品保护、运输与堆放要求等内容。</w:t>
      </w:r>
    </w:p>
    <w:p>
      <w:pPr>
        <w:pStyle w:val="25"/>
        <w:spacing w:before="312" w:after="312" w:line="360" w:lineRule="auto"/>
        <w:rPr>
          <w:color w:val="auto"/>
          <w:highlight w:val="none"/>
        </w:rPr>
      </w:pPr>
      <w:bookmarkStart w:id="125" w:name="_Toc40210922"/>
      <w:bookmarkStart w:id="126" w:name="_Toc111709559"/>
      <w:r>
        <w:rPr>
          <w:color w:val="auto"/>
          <w:highlight w:val="none"/>
        </w:rPr>
        <w:t>8.2</w:t>
      </w:r>
      <w:r>
        <w:rPr>
          <w:rFonts w:hint="eastAsia" w:eastAsiaTheme="minorEastAsia"/>
          <w:color w:val="auto"/>
          <w:szCs w:val="24"/>
          <w:highlight w:val="none"/>
        </w:rPr>
        <w:t>支架预应力混凝土叠合板</w:t>
      </w:r>
      <w:r>
        <w:rPr>
          <w:color w:val="auto"/>
          <w:highlight w:val="none"/>
        </w:rPr>
        <w:t>预制底板制作</w:t>
      </w:r>
      <w:bookmarkEnd w:id="125"/>
      <w:bookmarkEnd w:id="126"/>
    </w:p>
    <w:p>
      <w:pPr>
        <w:tabs>
          <w:tab w:val="left" w:pos="777"/>
        </w:tabs>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8.2.1  </w:t>
      </w:r>
      <w:r>
        <w:rPr>
          <w:rFonts w:ascii="Times New Roman" w:hAnsi="Times New Roman" w:cs="Times New Roman" w:eastAsiaTheme="minorEastAsia"/>
          <w:color w:val="auto"/>
          <w:sz w:val="24"/>
          <w:szCs w:val="24"/>
          <w:highlight w:val="none"/>
        </w:rPr>
        <w:t>先张法预应力构件张拉台座受力较大，为保证安全施工应由设计单位进行专门设计计算。</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8.2.2  </w:t>
      </w:r>
      <w:r>
        <w:rPr>
          <w:rFonts w:ascii="Times New Roman" w:hAnsi="Times New Roman" w:cs="Times New Roman" w:eastAsiaTheme="minorEastAsia"/>
          <w:color w:val="auto"/>
          <w:sz w:val="24"/>
          <w:szCs w:val="24"/>
          <w:highlight w:val="none"/>
        </w:rPr>
        <w:t>两条侧模应平行，端模上为穿插预应力钢丝开的槽必须满足预应力钢丝保护层和间距的设计要求。</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8.2.4  </w:t>
      </w:r>
      <w:r>
        <w:rPr>
          <w:rFonts w:ascii="Times New Roman" w:hAnsi="Times New Roman" w:cs="Times New Roman" w:eastAsiaTheme="minorEastAsia"/>
          <w:color w:val="auto"/>
          <w:sz w:val="24"/>
          <w:szCs w:val="24"/>
          <w:highlight w:val="none"/>
        </w:rPr>
        <w:t>预应力钢筋对构件的质量至关重要，进厂时应检查质量证明文件，并按有关标准的规定进行抽样检验。由于预应力筋过度受热会降低力学性能，因此不得采用电弧或气焊切断。</w:t>
      </w:r>
    </w:p>
    <w:p>
      <w:pPr>
        <w:spacing w:after="0" w:line="360" w:lineRule="auto"/>
        <w:outlineLvl w:val="2"/>
        <w:rPr>
          <w:rFonts w:ascii="Times New Roman" w:hAnsi="Times New Roman" w:cs="Times New Roman" w:eastAsiaTheme="minorEastAsia"/>
          <w:b/>
          <w:color w:val="auto"/>
          <w:sz w:val="24"/>
          <w:szCs w:val="24"/>
          <w:highlight w:val="none"/>
        </w:rPr>
      </w:pPr>
      <w:r>
        <w:rPr>
          <w:rFonts w:ascii="Times New Roman" w:hAnsi="Times New Roman" w:cs="Times New Roman" w:eastAsiaTheme="minorEastAsia"/>
          <w:b/>
          <w:color w:val="auto"/>
          <w:sz w:val="24"/>
          <w:szCs w:val="24"/>
          <w:highlight w:val="none"/>
        </w:rPr>
        <w:t xml:space="preserve">8.2.9  </w:t>
      </w:r>
      <w:r>
        <w:rPr>
          <w:rFonts w:ascii="Times New Roman" w:hAnsi="Times New Roman" w:cs="Times New Roman" w:eastAsiaTheme="minorEastAsia"/>
          <w:color w:val="auto"/>
          <w:sz w:val="24"/>
          <w:szCs w:val="24"/>
          <w:highlight w:val="none"/>
        </w:rPr>
        <w:t>张拉预应力筋的目的是得到设计希望的预应力，而伸长值校核是为了判断张拉质量是否达到设计规定的要求。如果各项参数都与设计相符，一般情况下张拉力值的偏差在±5％范围内是合理的，考虑到实际工程的测量精度及预应力筋材料参数的偏差等因素，适当放松了对伸长值偏差的限值，将其最大偏差放宽到±6％。</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8.2.10 </w:t>
      </w:r>
      <w:r>
        <w:rPr>
          <w:rFonts w:hint="eastAsia" w:ascii="Times New Roman" w:hAnsi="Times New Roman" w:cs="Times New Roman" w:eastAsiaTheme="minorEastAsia"/>
          <w:b/>
          <w:color w:val="auto"/>
          <w:sz w:val="24"/>
          <w:szCs w:val="24"/>
          <w:highlight w:val="none"/>
        </w:rPr>
        <w:t xml:space="preserve"> </w:t>
      </w:r>
      <w:r>
        <w:rPr>
          <w:rFonts w:ascii="Times New Roman" w:hAnsi="Times New Roman" w:cs="Times New Roman" w:eastAsiaTheme="minorEastAsia"/>
          <w:b/>
          <w:color w:val="auto"/>
          <w:sz w:val="24"/>
          <w:szCs w:val="24"/>
          <w:highlight w:val="none"/>
        </w:rPr>
        <w:t xml:space="preserve"> </w:t>
      </w:r>
      <w:r>
        <w:rPr>
          <w:rFonts w:ascii="Times New Roman" w:hAnsi="Times New Roman" w:cs="Times New Roman" w:eastAsiaTheme="minorEastAsia"/>
          <w:color w:val="auto"/>
          <w:sz w:val="24"/>
          <w:szCs w:val="24"/>
          <w:highlight w:val="none"/>
        </w:rPr>
        <w:t>预应力筋的张拉顺序应使混凝土不产生超应力、构件不扭转与侧弯，因此，对称张拉是一个重要原则，对张拉比较敏感的结构构件，若不能对称张拉，也应尽量做到逐步渐进的施加预应力。</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 xml:space="preserve">    预应力工程的重要目的是通过配置的预应力筋建立设计希望的准确的预应力值。然而，张拉阶段出现预应力筋的断裂，可能意味着，其材料、加工制作、安装及张拉等一系列环节中出现了问题。同时，由于预应力筋断裂或滑脱对结构构件的受力性能影响极大，因此，规定应严格限制其断裂或滑脱的数量。先张法预应力构件中的预应力筋不允许出现断裂或滑脱，若在浇筑混凝土前出现断裂或滑脱，相应的预应力筋应予以更换。本条控制的不仅是张拉质量，同时也是对材料、制作、安装等工序的质量要求。</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8.2.11</w:t>
      </w:r>
      <w:r>
        <w:rPr>
          <w:rFonts w:hint="eastAsia" w:ascii="Times New Roman" w:hAnsi="Times New Roman" w:cs="Times New Roman" w:eastAsiaTheme="minorEastAsia"/>
          <w:b/>
          <w:color w:val="auto"/>
          <w:sz w:val="24"/>
          <w:szCs w:val="24"/>
          <w:highlight w:val="none"/>
        </w:rPr>
        <w:t xml:space="preserve">   </w:t>
      </w:r>
      <w:r>
        <w:rPr>
          <w:rFonts w:ascii="Times New Roman" w:hAnsi="Times New Roman" w:cs="Times New Roman" w:eastAsiaTheme="minorEastAsia"/>
          <w:color w:val="auto"/>
          <w:sz w:val="24"/>
          <w:szCs w:val="24"/>
          <w:highlight w:val="none"/>
        </w:rPr>
        <w:t>混凝土浇筑宜采用机械化数控布料。由于底板较薄，数控布料可有效保证底板厚度。振捣时随时检查，侧模不得有松动漏浆、端模不得有跑位，混凝土振捣过程中不应碰触</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桁架；对洒落的混凝土应当及时清理，应按照相关标准要求留置开盘鉴定、标养、张拉、脱模、出厂吊装等试块。</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8.2.12</w:t>
      </w:r>
      <w:r>
        <w:rPr>
          <w:rFonts w:ascii="Times New Roman" w:hAnsi="Times New Roman" w:cs="Times New Roman" w:eastAsiaTheme="minorEastAsia"/>
          <w:color w:val="auto"/>
          <w:sz w:val="24"/>
          <w:szCs w:val="24"/>
          <w:highlight w:val="none"/>
        </w:rPr>
        <w:t xml:space="preserve">  </w:t>
      </w:r>
      <w:r>
        <w:rPr>
          <w:rFonts w:hint="eastAsia" w:ascii="Times New Roman" w:hAnsi="Times New Roman" w:cs="Times New Roman" w:eastAsiaTheme="minorEastAsia"/>
          <w:color w:val="auto"/>
          <w:sz w:val="24"/>
          <w:szCs w:val="24"/>
          <w:highlight w:val="none"/>
        </w:rPr>
        <w:t xml:space="preserve"> </w:t>
      </w:r>
      <w:r>
        <w:rPr>
          <w:rFonts w:ascii="Times New Roman" w:hAnsi="Times New Roman" w:cs="Times New Roman" w:eastAsiaTheme="minorEastAsia"/>
          <w:color w:val="auto"/>
          <w:sz w:val="24"/>
          <w:szCs w:val="24"/>
          <w:highlight w:val="none"/>
        </w:rPr>
        <w:t>加热养护制度应通过试验确定，宜采用加热养护温度自动控制装置。宜在常温下预养护2h～6h，升、降温速度不宜超过20</w:t>
      </w:r>
      <w:r>
        <w:rPr>
          <w:rFonts w:ascii="Times New Roman" w:cs="Times New Roman" w:hAnsiTheme="minorEastAsia" w:eastAsiaTheme="minorEastAsia"/>
          <w:color w:val="auto"/>
          <w:sz w:val="24"/>
          <w:szCs w:val="24"/>
          <w:highlight w:val="none"/>
        </w:rPr>
        <w:t>℃</w:t>
      </w:r>
      <w:r>
        <w:rPr>
          <w:rFonts w:ascii="Times New Roman" w:hAnsi="Times New Roman" w:cs="Times New Roman" w:eastAsiaTheme="minorEastAsia"/>
          <w:color w:val="auto"/>
          <w:sz w:val="24"/>
          <w:szCs w:val="24"/>
          <w:highlight w:val="none"/>
        </w:rPr>
        <w:t>／h，最高养护温度不宜超过70</w:t>
      </w:r>
      <w:r>
        <w:rPr>
          <w:rFonts w:ascii="Times New Roman" w:cs="Times New Roman" w:hAnsiTheme="minorEastAsia" w:eastAsiaTheme="minorEastAsia"/>
          <w:color w:val="auto"/>
          <w:sz w:val="24"/>
          <w:szCs w:val="24"/>
          <w:highlight w:val="none"/>
        </w:rPr>
        <w:t>℃</w:t>
      </w:r>
      <w:r>
        <w:rPr>
          <w:rFonts w:ascii="Times New Roman" w:hAnsi="Times New Roman" w:cs="Times New Roman" w:eastAsiaTheme="minorEastAsia"/>
          <w:color w:val="auto"/>
          <w:sz w:val="24"/>
          <w:szCs w:val="24"/>
          <w:highlight w:val="none"/>
        </w:rPr>
        <w:t xml:space="preserve">。预制构件脱模时的表面温度与环境温度的差值不宜超过 25 </w:t>
      </w:r>
      <w:r>
        <w:rPr>
          <w:rFonts w:ascii="Times New Roman" w:cs="Times New Roman" w:hAnsiTheme="minorEastAsia" w:eastAsiaTheme="minorEastAsia"/>
          <w:color w:val="auto"/>
          <w:sz w:val="24"/>
          <w:szCs w:val="24"/>
          <w:highlight w:val="none"/>
        </w:rPr>
        <w:t>℃</w:t>
      </w:r>
      <w:r>
        <w:rPr>
          <w:rFonts w:ascii="Times New Roman" w:hAnsi="Times New Roman" w:cs="Times New Roman" w:eastAsiaTheme="minorEastAsia"/>
          <w:color w:val="auto"/>
          <w:sz w:val="24"/>
          <w:szCs w:val="24"/>
          <w:highlight w:val="none"/>
        </w:rPr>
        <w:t>。加热养护可加速混凝土凝结硬化，缩短脱模时间，加快模具的周转，提高生产效率。</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8.2.13</w:t>
      </w:r>
      <w:r>
        <w:rPr>
          <w:rFonts w:hint="eastAsia" w:ascii="Times New Roman" w:hAnsi="Times New Roman" w:cs="Times New Roman" w:eastAsiaTheme="minorEastAsia"/>
          <w:b/>
          <w:color w:val="auto"/>
          <w:sz w:val="24"/>
          <w:szCs w:val="24"/>
          <w:highlight w:val="none"/>
        </w:rPr>
        <w:t xml:space="preserve"> </w:t>
      </w:r>
      <w:r>
        <w:rPr>
          <w:rFonts w:ascii="Times New Roman" w:hAnsi="Times New Roman" w:cs="Times New Roman" w:eastAsiaTheme="minorEastAsia"/>
          <w:b/>
          <w:color w:val="auto"/>
          <w:sz w:val="24"/>
          <w:szCs w:val="24"/>
          <w:highlight w:val="none"/>
        </w:rPr>
        <w:t xml:space="preserve">  </w:t>
      </w:r>
      <w:r>
        <w:rPr>
          <w:rFonts w:ascii="Times New Roman" w:hAnsi="Times New Roman" w:cs="Times New Roman" w:eastAsiaTheme="minorEastAsia"/>
          <w:color w:val="auto"/>
          <w:sz w:val="24"/>
          <w:szCs w:val="24"/>
          <w:highlight w:val="none"/>
        </w:rPr>
        <w:t>先张法构件的预应力是靠粘结力传递的，过低的混凝土强度相应的粘结强度也较低，造成预应力传递长度增加，因此本条规定了放张时的混凝土最低强度值。</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8.2.14  </w:t>
      </w:r>
      <w:r>
        <w:rPr>
          <w:rFonts w:ascii="Times New Roman" w:hAnsi="Times New Roman" w:cs="Times New Roman" w:eastAsiaTheme="minorEastAsia"/>
          <w:color w:val="auto"/>
          <w:sz w:val="24"/>
          <w:szCs w:val="24"/>
          <w:highlight w:val="none"/>
        </w:rPr>
        <w:t>产品标识可包括工程名称、构件编号、构件重量、制作日期、生产单位、质检员等信息。</w:t>
      </w:r>
    </w:p>
    <w:p>
      <w:pPr>
        <w:pStyle w:val="25"/>
        <w:spacing w:before="312" w:after="312" w:line="360" w:lineRule="auto"/>
        <w:rPr>
          <w:color w:val="auto"/>
          <w:highlight w:val="none"/>
        </w:rPr>
      </w:pPr>
      <w:bookmarkStart w:id="127" w:name="_Toc40210923"/>
      <w:bookmarkStart w:id="128" w:name="_Toc111709560"/>
      <w:r>
        <w:rPr>
          <w:color w:val="auto"/>
          <w:highlight w:val="none"/>
        </w:rPr>
        <w:t>8.3构件检验</w:t>
      </w:r>
      <w:bookmarkEnd w:id="127"/>
      <w:bookmarkEnd w:id="128"/>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8.3.2  </w:t>
      </w:r>
      <w:r>
        <w:rPr>
          <w:rFonts w:ascii="Times New Roman" w:hAnsi="Times New Roman" w:cs="Times New Roman" w:eastAsiaTheme="minorEastAsia"/>
          <w:color w:val="auto"/>
          <w:sz w:val="24"/>
          <w:szCs w:val="24"/>
          <w:highlight w:val="none"/>
        </w:rPr>
        <w:t>隐蔽工程检查是保证预制构件结构性能满足要求的关键质量控制环节。</w:t>
      </w:r>
    </w:p>
    <w:p>
      <w:pPr>
        <w:pStyle w:val="25"/>
        <w:spacing w:before="312" w:after="312" w:line="360" w:lineRule="auto"/>
        <w:rPr>
          <w:color w:val="auto"/>
          <w:highlight w:val="none"/>
        </w:rPr>
      </w:pPr>
      <w:bookmarkStart w:id="129" w:name="_Toc40210924"/>
      <w:bookmarkStart w:id="130" w:name="_Toc111709561"/>
      <w:r>
        <w:rPr>
          <w:color w:val="auto"/>
          <w:highlight w:val="none"/>
        </w:rPr>
        <w:t>8.4  构件运输与堆放</w:t>
      </w:r>
      <w:bookmarkEnd w:id="129"/>
      <w:bookmarkEnd w:id="130"/>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8.4.1  </w:t>
      </w:r>
      <w:r>
        <w:rPr>
          <w:rFonts w:ascii="Times New Roman" w:hAnsi="Times New Roman" w:cs="Times New Roman" w:eastAsiaTheme="minorEastAsia"/>
          <w:color w:val="auto"/>
          <w:sz w:val="24"/>
          <w:szCs w:val="24"/>
          <w:highlight w:val="none"/>
        </w:rPr>
        <w:t>应采用专用吊具，吊具应具有足够的承载力和刚度，并保证每个吊点均匀受力。</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8.4.2  </w:t>
      </w:r>
      <w:r>
        <w:rPr>
          <w:rFonts w:ascii="Times New Roman" w:hAnsi="Times New Roman" w:cs="Times New Roman" w:eastAsiaTheme="minorEastAsia"/>
          <w:color w:val="auto"/>
          <w:sz w:val="24"/>
          <w:szCs w:val="24"/>
          <w:highlight w:val="none"/>
        </w:rPr>
        <w:t>应按照产品品种、规格型号、检验状态分类存放，产品标识应明确、耐久，预埋吊件应朝上，标识应向外。</w:t>
      </w:r>
      <w:r>
        <w:rPr>
          <w:rFonts w:hint="eastAsia" w:ascii="Times New Roman" w:hAnsi="Times New Roman" w:cs="Times New Roman" w:eastAsiaTheme="minorEastAsia"/>
          <w:color w:val="auto"/>
          <w:sz w:val="24"/>
          <w:szCs w:val="24"/>
          <w:highlight w:val="none"/>
        </w:rPr>
        <w:t>支架预应力混凝土叠合板预</w:t>
      </w:r>
      <w:r>
        <w:rPr>
          <w:rFonts w:ascii="Times New Roman" w:hAnsi="Times New Roman" w:cs="Times New Roman" w:eastAsiaTheme="minorEastAsia"/>
          <w:color w:val="auto"/>
          <w:sz w:val="24"/>
          <w:szCs w:val="24"/>
          <w:highlight w:val="none"/>
        </w:rPr>
        <w:t>制底板多层水平堆放时，构件间垫木应坚实，位置准确（图7）。每层构件间的垫块应上下对齐。堆放层数应根据构件、垫块的承载能力及堆垛的稳定性确定，必要时应设置防倾覆措施。</w:t>
      </w:r>
    </w:p>
    <w:p>
      <w:pPr>
        <w:spacing w:after="0" w:line="360" w:lineRule="auto"/>
        <w:jc w:val="center"/>
        <w:rPr>
          <w:rFonts w:ascii="Times New Roman" w:hAnsi="Times New Roman" w:cs="Times New Roman" w:eastAsiaTheme="minorEastAsia"/>
          <w:color w:val="auto"/>
          <w:sz w:val="24"/>
          <w:szCs w:val="24"/>
          <w:highlight w:val="none"/>
        </w:rPr>
      </w:pPr>
      <w:r>
        <w:rPr>
          <w:color w:val="auto"/>
          <w:highlight w:val="none"/>
        </w:rPr>
        <w:drawing>
          <wp:inline distT="0" distB="0" distL="0" distR="0">
            <wp:extent cx="3404870" cy="31242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9"/>
                    <a:stretch>
                      <a:fillRect/>
                    </a:stretch>
                  </pic:blipFill>
                  <pic:spPr>
                    <a:xfrm>
                      <a:off x="0" y="0"/>
                      <a:ext cx="3418088" cy="3136013"/>
                    </a:xfrm>
                    <a:prstGeom prst="rect">
                      <a:avLst/>
                    </a:prstGeom>
                  </pic:spPr>
                </pic:pic>
              </a:graphicData>
            </a:graphic>
          </wp:inline>
        </w:drawing>
      </w:r>
    </w:p>
    <w:p>
      <w:pPr>
        <w:spacing w:after="0"/>
        <w:jc w:val="center"/>
        <w:rPr>
          <w:rFonts w:ascii="Times New Roman" w:hAnsi="Times New Roman" w:cs="Times New Roman" w:eastAsiaTheme="minorEastAsia"/>
          <w:color w:val="auto"/>
          <w:highlight w:val="none"/>
        </w:rPr>
      </w:pPr>
      <w:r>
        <w:rPr>
          <w:color w:val="auto"/>
          <w:highlight w:val="none"/>
        </w:rPr>
        <w:drawing>
          <wp:inline distT="0" distB="0" distL="0" distR="0">
            <wp:extent cx="3421380" cy="196913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0"/>
                    <a:stretch>
                      <a:fillRect/>
                    </a:stretch>
                  </pic:blipFill>
                  <pic:spPr>
                    <a:xfrm>
                      <a:off x="0" y="0"/>
                      <a:ext cx="3438861" cy="1979442"/>
                    </a:xfrm>
                    <a:prstGeom prst="rect">
                      <a:avLst/>
                    </a:prstGeom>
                  </pic:spPr>
                </pic:pic>
              </a:graphicData>
            </a:graphic>
          </wp:inline>
        </w:drawing>
      </w:r>
    </w:p>
    <w:p>
      <w:pPr>
        <w:pStyle w:val="26"/>
        <w:spacing w:before="156" w:beforeLines="50" w:after="0" w:line="360" w:lineRule="auto"/>
        <w:ind w:firstLine="0" w:firstLineChars="0"/>
        <w:jc w:val="center"/>
        <w:outlineLvl w:val="2"/>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图7 垫木的摆放示意图</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8.4.3  </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预制底板的堆放和运输涉及质量和安全要求，应按设计要求、工程和产品特点制定运输、堆放方案，策划重点控制环节。</w:t>
      </w:r>
    </w:p>
    <w:p>
      <w:pPr>
        <w:spacing w:after="0"/>
        <w:rPr>
          <w:rFonts w:ascii="Times New Roman" w:hAnsi="Times New Roman" w:cs="Times New Roman"/>
          <w:b/>
          <w:color w:val="auto"/>
          <w:sz w:val="28"/>
          <w:highlight w:val="none"/>
        </w:rPr>
      </w:pPr>
      <w:r>
        <w:rPr>
          <w:rFonts w:ascii="Times New Roman" w:hAnsi="Times New Roman" w:cs="Times New Roman"/>
          <w:color w:val="auto"/>
          <w:highlight w:val="none"/>
        </w:rPr>
        <w:br w:type="page"/>
      </w:r>
    </w:p>
    <w:p>
      <w:pPr>
        <w:pStyle w:val="24"/>
        <w:spacing w:beforeLines="0" w:after="312" w:line="360" w:lineRule="auto"/>
        <w:rPr>
          <w:color w:val="auto"/>
          <w:highlight w:val="none"/>
        </w:rPr>
      </w:pPr>
      <w:bookmarkStart w:id="131" w:name="_Toc111709562"/>
      <w:bookmarkStart w:id="132" w:name="_Toc40210925"/>
      <w:r>
        <w:rPr>
          <w:color w:val="auto"/>
          <w:highlight w:val="none"/>
        </w:rPr>
        <w:t>9</w:t>
      </w:r>
      <w:r>
        <w:rPr>
          <w:rFonts w:hAnsi="宋体"/>
          <w:color w:val="auto"/>
          <w:highlight w:val="none"/>
        </w:rPr>
        <w:t>施工安装</w:t>
      </w:r>
      <w:bookmarkEnd w:id="131"/>
      <w:bookmarkEnd w:id="132"/>
    </w:p>
    <w:p>
      <w:pPr>
        <w:pStyle w:val="25"/>
        <w:spacing w:before="312" w:after="312" w:line="360" w:lineRule="auto"/>
        <w:rPr>
          <w:color w:val="auto"/>
          <w:highlight w:val="none"/>
        </w:rPr>
      </w:pPr>
      <w:bookmarkStart w:id="133" w:name="_Toc40210926"/>
      <w:bookmarkStart w:id="134" w:name="_Toc111709563"/>
      <w:r>
        <w:rPr>
          <w:color w:val="auto"/>
          <w:highlight w:val="none"/>
        </w:rPr>
        <w:t>9.1一般规定</w:t>
      </w:r>
      <w:bookmarkEnd w:id="133"/>
      <w:bookmarkEnd w:id="134"/>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9.1.1  </w:t>
      </w:r>
      <w:r>
        <w:rPr>
          <w:rFonts w:ascii="Times New Roman" w:hAnsi="Times New Roman" w:cs="Times New Roman" w:eastAsiaTheme="minorEastAsia"/>
          <w:color w:val="auto"/>
          <w:sz w:val="24"/>
          <w:szCs w:val="24"/>
          <w:highlight w:val="none"/>
        </w:rPr>
        <w:t>专项施工方案应按规定程序审批，包含施工现场平面布置、</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排板布置，场内转运路线、道路条件及吊装方案等；对涉及结构安全和人身安全的内容，应有明确的规定和相应的措施。</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9.1.3  </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运输到施工现场后，可根据场地平面布置，分单元合理安排堆放，便于现场吊装施工。构件临时堆放场地可合理布置在吊装机械覆盖范围内，宜从运输车辆上直接吊装，避免二次搬运。预制底板应水平堆放，以避免其产生变形、开裂。</w:t>
      </w:r>
    </w:p>
    <w:p>
      <w:pPr>
        <w:spacing w:line="360" w:lineRule="auto"/>
        <w:rPr>
          <w:rFonts w:ascii="Times New Roman" w:hAnsi="Times New Roman" w:eastAsia="仿宋" w:cs="Times New Roman"/>
          <w:color w:val="auto"/>
          <w:sz w:val="24"/>
          <w:szCs w:val="24"/>
          <w:highlight w:val="none"/>
        </w:rPr>
      </w:pPr>
    </w:p>
    <w:p>
      <w:pPr>
        <w:pStyle w:val="25"/>
        <w:spacing w:before="312" w:after="312" w:line="360" w:lineRule="auto"/>
        <w:rPr>
          <w:color w:val="auto"/>
          <w:highlight w:val="none"/>
        </w:rPr>
      </w:pPr>
      <w:bookmarkStart w:id="135" w:name="_Toc40210927"/>
      <w:bookmarkStart w:id="136" w:name="_Toc111709564"/>
      <w:r>
        <w:rPr>
          <w:color w:val="auto"/>
          <w:highlight w:val="none"/>
        </w:rPr>
        <w:t>9.2构件安装</w:t>
      </w:r>
      <w:bookmarkEnd w:id="135"/>
      <w:bookmarkEnd w:id="136"/>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9.2.1  </w:t>
      </w:r>
      <w:r>
        <w:rPr>
          <w:rFonts w:ascii="Times New Roman" w:hAnsi="Times New Roman" w:cs="Times New Roman" w:eastAsiaTheme="minorEastAsia"/>
          <w:color w:val="auto"/>
          <w:sz w:val="24"/>
          <w:szCs w:val="24"/>
          <w:highlight w:val="none"/>
        </w:rPr>
        <w:t>支撑系统应具有足够的强度、刚度和整体稳定性，应能承受结构自重、施工荷载、风荷载、吊装就位产生的冲击荷载等的作用，不得使结构构件产生永久变形。应按现行国家标准《混凝土结构工程施工规范》GB 50666的有关规定进行检查与验收。</w:t>
      </w:r>
    </w:p>
    <w:p>
      <w:pPr>
        <w:tabs>
          <w:tab w:val="left" w:pos="777"/>
        </w:tabs>
        <w:spacing w:after="0" w:line="360" w:lineRule="auto"/>
        <w:ind w:firstLine="480" w:firstLineChars="200"/>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支撑的设置与施工荷载、后浇混凝土的厚度、板跨度、预制底板厚度、以及预制底板</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桁架和预应力钢筋设置等因素有关。</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叠合板施工时分为两种工况。第一种工况，预制底板吊装完成，安装到位如图9（a）、图10（a）所示，在板面上进行板面钢筋铺设和电气管线安装等作业。第二种工况是浇筑混凝土，在浇筑混凝土之前设置临时支撑，如图9（b）、图10（b）所示，用来承担更大的施工荷载和控制好板底平整度。</w:t>
      </w:r>
    </w:p>
    <w:p>
      <w:pPr>
        <w:tabs>
          <w:tab w:val="left" w:pos="777"/>
        </w:tabs>
        <w:spacing w:after="0" w:line="360" w:lineRule="auto"/>
        <w:ind w:firstLine="480" w:firstLineChars="200"/>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设置支撑是为了装配式结构构件安装过程中承受施工荷载、保证构件定位准确，控制好板底平整度。支撑设计验算依据这两种工况进行。</w:t>
      </w:r>
    </w:p>
    <w:p>
      <w:pPr>
        <w:tabs>
          <w:tab w:val="left" w:pos="777"/>
        </w:tabs>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对于超出以上两种工况的特殊情况需依据具体情况进行设计验算。</w:t>
      </w:r>
    </w:p>
    <w:p>
      <w:pPr>
        <w:tabs>
          <w:tab w:val="left" w:pos="777"/>
        </w:tabs>
        <w:spacing w:after="0" w:line="360" w:lineRule="auto"/>
        <w:outlineLvl w:val="2"/>
        <w:rPr>
          <w:rFonts w:ascii="Times New Roman" w:hAnsi="Times New Roman" w:cs="Times New Roman"/>
          <w:color w:val="auto"/>
          <w:highlight w:val="none"/>
        </w:rPr>
      </w:pPr>
      <w:r>
        <w:rPr>
          <w:color w:val="auto"/>
          <w:highlight w:val="none"/>
        </w:rPr>
        <w:drawing>
          <wp:inline distT="0" distB="0" distL="0" distR="0">
            <wp:extent cx="5233035" cy="1706880"/>
            <wp:effectExtent l="0" t="0" r="57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1"/>
                    <a:stretch>
                      <a:fillRect/>
                    </a:stretch>
                  </pic:blipFill>
                  <pic:spPr>
                    <a:xfrm>
                      <a:off x="0" y="0"/>
                      <a:ext cx="5276839" cy="1721040"/>
                    </a:xfrm>
                    <a:prstGeom prst="rect">
                      <a:avLst/>
                    </a:prstGeom>
                  </pic:spPr>
                </pic:pic>
              </a:graphicData>
            </a:graphic>
          </wp:inline>
        </w:drawing>
      </w:r>
    </w:p>
    <w:p>
      <w:pPr>
        <w:pStyle w:val="26"/>
        <w:spacing w:after="0" w:line="360" w:lineRule="auto"/>
        <w:ind w:firstLine="0" w:firstLineChars="0"/>
        <w:jc w:val="center"/>
        <w:outlineLvl w:val="2"/>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图9（a）与混凝土梁搭接浇筑叠合层混凝土前不设支撑示意图</w:t>
      </w:r>
    </w:p>
    <w:p>
      <w:pPr>
        <w:tabs>
          <w:tab w:val="left" w:pos="777"/>
        </w:tabs>
        <w:spacing w:after="0" w:line="360" w:lineRule="auto"/>
        <w:jc w:val="center"/>
        <w:outlineLvl w:val="2"/>
        <w:rPr>
          <w:rFonts w:ascii="Times New Roman" w:hAnsi="Times New Roman" w:cs="Times New Roman"/>
          <w:b/>
          <w:color w:val="auto"/>
          <w:sz w:val="24"/>
          <w:szCs w:val="24"/>
          <w:highlight w:val="none"/>
        </w:rPr>
      </w:pPr>
      <w:r>
        <w:rPr>
          <w:color w:val="auto"/>
          <w:highlight w:val="none"/>
        </w:rPr>
        <w:drawing>
          <wp:inline distT="0" distB="0" distL="0" distR="0">
            <wp:extent cx="4930140" cy="158496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2"/>
                    <a:stretch>
                      <a:fillRect/>
                    </a:stretch>
                  </pic:blipFill>
                  <pic:spPr>
                    <a:xfrm>
                      <a:off x="0" y="0"/>
                      <a:ext cx="4951279" cy="1592207"/>
                    </a:xfrm>
                    <a:prstGeom prst="rect">
                      <a:avLst/>
                    </a:prstGeom>
                  </pic:spPr>
                </pic:pic>
              </a:graphicData>
            </a:graphic>
          </wp:inline>
        </w:drawing>
      </w:r>
    </w:p>
    <w:p>
      <w:pPr>
        <w:pStyle w:val="26"/>
        <w:spacing w:after="0" w:line="360" w:lineRule="auto"/>
        <w:ind w:firstLine="0" w:firstLineChars="0"/>
        <w:jc w:val="center"/>
        <w:outlineLvl w:val="2"/>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图9（b）与混凝土梁搭接浇筑叠合层混凝土时设临时支撑示意图</w:t>
      </w:r>
    </w:p>
    <w:p>
      <w:pPr>
        <w:pStyle w:val="26"/>
        <w:spacing w:after="0" w:line="360" w:lineRule="auto"/>
        <w:ind w:firstLine="0" w:firstLineChars="0"/>
        <w:jc w:val="center"/>
        <w:outlineLvl w:val="2"/>
        <w:rPr>
          <w:rFonts w:ascii="Times New Roman" w:hAnsi="Times New Roman" w:cs="Times New Roman"/>
          <w:color w:val="auto"/>
          <w:highlight w:val="none"/>
        </w:rPr>
      </w:pPr>
      <w:r>
        <w:rPr>
          <w:color w:val="auto"/>
          <w:highlight w:val="none"/>
        </w:rPr>
        <w:drawing>
          <wp:inline distT="0" distB="0" distL="0" distR="0">
            <wp:extent cx="4930140" cy="995045"/>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3"/>
                    <a:stretch>
                      <a:fillRect/>
                    </a:stretch>
                  </pic:blipFill>
                  <pic:spPr>
                    <a:xfrm>
                      <a:off x="0" y="0"/>
                      <a:ext cx="4953581" cy="1000139"/>
                    </a:xfrm>
                    <a:prstGeom prst="rect">
                      <a:avLst/>
                    </a:prstGeom>
                  </pic:spPr>
                </pic:pic>
              </a:graphicData>
            </a:graphic>
          </wp:inline>
        </w:drawing>
      </w:r>
    </w:p>
    <w:p>
      <w:pPr>
        <w:pStyle w:val="26"/>
        <w:spacing w:after="0" w:line="360" w:lineRule="auto"/>
        <w:ind w:firstLine="0" w:firstLineChars="0"/>
        <w:jc w:val="center"/>
        <w:outlineLvl w:val="2"/>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图10（a）与钢梁搭接浇筑叠合层混凝土前不设支撑示意图</w:t>
      </w:r>
    </w:p>
    <w:p>
      <w:pPr>
        <w:pStyle w:val="26"/>
        <w:spacing w:after="0" w:line="360" w:lineRule="auto"/>
        <w:ind w:firstLine="0" w:firstLineChars="0"/>
        <w:jc w:val="center"/>
        <w:outlineLvl w:val="2"/>
        <w:rPr>
          <w:rFonts w:ascii="Times New Roman" w:hAnsi="Times New Roman" w:eastAsia="宋体" w:cs="Times New Roman"/>
          <w:b/>
          <w:color w:val="auto"/>
          <w:sz w:val="24"/>
          <w:szCs w:val="24"/>
          <w:highlight w:val="none"/>
        </w:rPr>
      </w:pPr>
      <w:r>
        <w:rPr>
          <w:color w:val="auto"/>
          <w:highlight w:val="none"/>
        </w:rPr>
        <w:drawing>
          <wp:inline distT="0" distB="0" distL="0" distR="0">
            <wp:extent cx="5102860" cy="162877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4"/>
                    <a:stretch>
                      <a:fillRect/>
                    </a:stretch>
                  </pic:blipFill>
                  <pic:spPr>
                    <a:xfrm>
                      <a:off x="0" y="0"/>
                      <a:ext cx="5125030" cy="1635739"/>
                    </a:xfrm>
                    <a:prstGeom prst="rect">
                      <a:avLst/>
                    </a:prstGeom>
                  </pic:spPr>
                </pic:pic>
              </a:graphicData>
            </a:graphic>
          </wp:inline>
        </w:drawing>
      </w:r>
    </w:p>
    <w:p>
      <w:pPr>
        <w:pStyle w:val="26"/>
        <w:spacing w:after="0" w:line="360" w:lineRule="auto"/>
        <w:ind w:firstLine="0" w:firstLineChars="0"/>
        <w:jc w:val="center"/>
        <w:outlineLvl w:val="2"/>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图10（b）与钢梁搭接浇筑叠合层混凝土前设临时支撑示意图</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9.2.2  </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预制底板安装采用的临时支撑系统应具有足够的强度、刚度和整体稳定性，应按现行国家标准《混凝土结构工程施工规范》GB 50666的有关规定进行检查与验收。支撑架体标高校核时，应考虑支撑架体自身的变形，支架的轴向压缩变形或侧向挠度应经计算确定。</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9.2.3  </w:t>
      </w:r>
      <w:r>
        <w:rPr>
          <w:rFonts w:ascii="Times New Roman" w:hAnsi="Times New Roman" w:cs="Times New Roman" w:eastAsiaTheme="minorEastAsia"/>
          <w:color w:val="auto"/>
          <w:sz w:val="24"/>
          <w:szCs w:val="24"/>
          <w:highlight w:val="none"/>
        </w:rPr>
        <w:t>当底板搁置于砌体墙或钢筋混凝土梁上时，安装前应在两端支座上用10mm厚M10水泥砂浆或不低于砌体砂强度等级的砂浆座浆找平；</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9.2.4</w:t>
      </w:r>
      <w:r>
        <w:rPr>
          <w:rFonts w:ascii="Times New Roman" w:hAnsi="Times New Roman" w:cs="Times New Roman" w:eastAsiaTheme="minorEastAsia"/>
          <w:color w:val="auto"/>
          <w:sz w:val="24"/>
          <w:szCs w:val="24"/>
          <w:highlight w:val="none"/>
        </w:rPr>
        <w:t xml:space="preserve">  吊装施工前，应复核吊装设备和吊具的吊装能力。对焊接类吊具，应进行验算并经验收合格后方可使用。预制构件安装顺序、校准定位及临时固定措施是装配式结构施工的关键工序，应在施工方案中明确规定并遵照执行。吊装作业应符合国家相关规范。</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9.2.5 </w:t>
      </w:r>
      <w:r>
        <w:rPr>
          <w:rFonts w:ascii="Times New Roman" w:hAnsi="Times New Roman" w:cs="Times New Roman" w:eastAsiaTheme="minorEastAsia"/>
          <w:color w:val="auto"/>
          <w:sz w:val="24"/>
          <w:szCs w:val="24"/>
          <w:highlight w:val="none"/>
        </w:rPr>
        <w:t xml:space="preserve"> 构件正式吊装时，应至少安排两个信号指挥员与起重机械司机沟通。起吊时以下方信号指挥员的发令为准，安装时以上方信号指挥员的发令为准；司索工是指吊装作业中主要从事地面吊具准备、捆绑挂钩、摘钩卸载等工作的工人，多数情况还担任指挥任务。司索工的工作质量与整个吊装作业安全关系极大。根据《建筑施工安全检查标准》JGJ 59–2011规定，起重机作业应设专职信号指挥员和司索工，一人不得同时承担信号指挥和司索作业。</w:t>
      </w:r>
    </w:p>
    <w:p>
      <w:pPr>
        <w:pStyle w:val="25"/>
        <w:spacing w:before="312" w:after="312" w:line="360" w:lineRule="auto"/>
        <w:rPr>
          <w:color w:val="auto"/>
          <w:highlight w:val="none"/>
        </w:rPr>
      </w:pPr>
      <w:bookmarkStart w:id="137" w:name="_Toc40210928"/>
      <w:bookmarkStart w:id="138" w:name="_Toc111709565"/>
      <w:r>
        <w:rPr>
          <w:color w:val="auto"/>
          <w:highlight w:val="none"/>
        </w:rPr>
        <w:t>9.3叠合层施工</w:t>
      </w:r>
      <w:bookmarkEnd w:id="137"/>
      <w:bookmarkEnd w:id="138"/>
    </w:p>
    <w:p>
      <w:pPr>
        <w:spacing w:after="0" w:line="360" w:lineRule="auto"/>
        <w:rPr>
          <w:rFonts w:ascii="Times New Roman" w:hAnsi="Times New Roman" w:cs="Times New Roman" w:eastAsiaTheme="minorEastAsia"/>
          <w:color w:val="auto"/>
          <w:sz w:val="24"/>
          <w:highlight w:val="none"/>
        </w:rPr>
      </w:pPr>
      <w:r>
        <w:rPr>
          <w:rFonts w:ascii="Times New Roman" w:hAnsi="Times New Roman" w:cs="Times New Roman" w:eastAsiaTheme="minorEastAsia"/>
          <w:b/>
          <w:color w:val="auto"/>
          <w:sz w:val="24"/>
          <w:szCs w:val="24"/>
          <w:highlight w:val="none"/>
        </w:rPr>
        <w:t>9.3.1</w:t>
      </w:r>
      <w:r>
        <w:rPr>
          <w:rFonts w:ascii="Times New Roman" w:hAnsi="Times New Roman" w:cs="Times New Roman" w:eastAsiaTheme="minorEastAsia"/>
          <w:color w:val="auto"/>
          <w:sz w:val="24"/>
          <w:szCs w:val="24"/>
          <w:highlight w:val="none"/>
        </w:rPr>
        <w:t xml:space="preserve">  对已铺设好的钢筋应进行成品保护，禁止在</w:t>
      </w:r>
      <w:r>
        <w:rPr>
          <w:rFonts w:hint="eastAsia" w:ascii="Times New Roman" w:hAnsi="Times New Roman" w:cs="Times New Roman" w:eastAsiaTheme="minorEastAsia"/>
          <w:color w:val="auto"/>
          <w:sz w:val="24"/>
          <w:szCs w:val="24"/>
          <w:highlight w:val="none"/>
        </w:rPr>
        <w:t>支架预应力混凝土叠合板</w:t>
      </w:r>
      <w:r>
        <w:rPr>
          <w:rFonts w:ascii="Times New Roman" w:hAnsi="Times New Roman" w:cs="Times New Roman" w:eastAsiaTheme="minorEastAsia"/>
          <w:color w:val="auto"/>
          <w:sz w:val="24"/>
          <w:szCs w:val="24"/>
          <w:highlight w:val="none"/>
        </w:rPr>
        <w:t>预制底板上行走或踩踏，禁止随意扳动、切断</w:t>
      </w:r>
      <w:r>
        <w:rPr>
          <w:rFonts w:hint="eastAsia" w:ascii="Times New Roman" w:hAnsi="Times New Roman" w:cs="Times New Roman" w:eastAsiaTheme="minorEastAsia"/>
          <w:color w:val="auto"/>
          <w:sz w:val="24"/>
          <w:szCs w:val="24"/>
          <w:highlight w:val="none"/>
        </w:rPr>
        <w:t>矩形钢管</w:t>
      </w:r>
      <w:r>
        <w:rPr>
          <w:rFonts w:ascii="Times New Roman" w:hAnsi="Times New Roman" w:cs="Times New Roman" w:eastAsiaTheme="minorEastAsia"/>
          <w:color w:val="auto"/>
          <w:sz w:val="24"/>
          <w:szCs w:val="24"/>
          <w:highlight w:val="none"/>
        </w:rPr>
        <w:t>桁架。</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9.3.3  </w:t>
      </w:r>
      <w:r>
        <w:rPr>
          <w:rFonts w:ascii="Times New Roman" w:hAnsi="Times New Roman" w:cs="Times New Roman" w:eastAsiaTheme="minorEastAsia"/>
          <w:color w:val="auto"/>
          <w:sz w:val="24"/>
          <w:szCs w:val="24"/>
          <w:highlight w:val="none"/>
        </w:rPr>
        <w:t>叠合层采用泵送混凝土浇筑时，应采取措施避免泵送设备的重量及水平冲击力对安装构件及临时支撑体系造成损害。</w:t>
      </w:r>
    </w:p>
    <w:p>
      <w:pPr>
        <w:tabs>
          <w:tab w:val="left" w:pos="777"/>
        </w:tabs>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9.3.4  </w:t>
      </w:r>
      <w:r>
        <w:rPr>
          <w:rFonts w:ascii="Times New Roman" w:hAnsi="Times New Roman" w:cs="Times New Roman" w:eastAsiaTheme="minorEastAsia"/>
          <w:color w:val="auto"/>
          <w:sz w:val="24"/>
          <w:szCs w:val="24"/>
          <w:highlight w:val="none"/>
        </w:rPr>
        <w:t>冬期施工时，应按《混凝土结构工程施工规范》GB50666及《建筑工程冬期施工规程》JGJ104等规范中有关冬期施工的要求采取相应措施。</w:t>
      </w:r>
    </w:p>
    <w:p>
      <w:pPr>
        <w:spacing w:after="0"/>
        <w:rPr>
          <w:rFonts w:ascii="Times New Roman" w:hAnsi="Times New Roman" w:cs="Times New Roman"/>
          <w:b/>
          <w:color w:val="auto"/>
          <w:sz w:val="28"/>
          <w:highlight w:val="none"/>
        </w:rPr>
      </w:pPr>
      <w:r>
        <w:rPr>
          <w:rFonts w:ascii="Times New Roman" w:hAnsi="Times New Roman" w:cs="Times New Roman"/>
          <w:color w:val="auto"/>
          <w:highlight w:val="none"/>
        </w:rPr>
        <w:br w:type="page"/>
      </w:r>
    </w:p>
    <w:p>
      <w:pPr>
        <w:pStyle w:val="24"/>
        <w:spacing w:beforeLines="0" w:after="312" w:line="360" w:lineRule="auto"/>
        <w:rPr>
          <w:color w:val="auto"/>
          <w:highlight w:val="none"/>
        </w:rPr>
      </w:pPr>
      <w:bookmarkStart w:id="139" w:name="_Toc40210929"/>
      <w:bookmarkStart w:id="140" w:name="_Toc111709566"/>
      <w:r>
        <w:rPr>
          <w:color w:val="auto"/>
          <w:highlight w:val="none"/>
        </w:rPr>
        <w:t>10 质量验收</w:t>
      </w:r>
      <w:bookmarkEnd w:id="139"/>
      <w:bookmarkEnd w:id="140"/>
    </w:p>
    <w:p>
      <w:pPr>
        <w:pStyle w:val="25"/>
        <w:spacing w:before="312" w:after="312" w:line="360" w:lineRule="auto"/>
        <w:rPr>
          <w:color w:val="auto"/>
          <w:highlight w:val="none"/>
        </w:rPr>
      </w:pPr>
      <w:bookmarkStart w:id="141" w:name="_Toc40210930"/>
      <w:bookmarkStart w:id="142" w:name="_Toc111709567"/>
      <w:r>
        <w:rPr>
          <w:color w:val="auto"/>
          <w:highlight w:val="none"/>
        </w:rPr>
        <w:t>10.1一般规定</w:t>
      </w:r>
      <w:bookmarkEnd w:id="141"/>
      <w:bookmarkEnd w:id="142"/>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10.1.1</w:t>
      </w:r>
      <w:r>
        <w:rPr>
          <w:rFonts w:ascii="Times New Roman" w:hAnsi="Times New Roman" w:cs="Times New Roman" w:eastAsiaTheme="minorEastAsia"/>
          <w:color w:val="auto"/>
          <w:sz w:val="24"/>
          <w:szCs w:val="24"/>
          <w:highlight w:val="none"/>
        </w:rPr>
        <w:t xml:space="preserve">  当装配式混凝土结构工程存在现浇混凝土施工段时，应按现行国家标准《混凝土结构工程施工质量验收规范》GB 50204的有关规定进行其他分项工程和检验批的验收。</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10.1.3</w:t>
      </w:r>
      <w:r>
        <w:rPr>
          <w:rFonts w:ascii="Times New Roman" w:hAnsi="Times New Roman" w:cs="Times New Roman" w:eastAsiaTheme="minorEastAsia"/>
          <w:color w:val="auto"/>
          <w:sz w:val="24"/>
          <w:szCs w:val="24"/>
          <w:highlight w:val="none"/>
        </w:rPr>
        <w:t xml:space="preserve">  在后浇筑混凝土之前进行隐蔽工程验收是为了确保后浇混凝土与构件连接构造性能满足设计要求。</w:t>
      </w:r>
    </w:p>
    <w:p>
      <w:pPr>
        <w:pStyle w:val="25"/>
        <w:spacing w:before="312" w:after="312" w:line="360" w:lineRule="auto"/>
        <w:rPr>
          <w:color w:val="auto"/>
          <w:highlight w:val="none"/>
        </w:rPr>
      </w:pPr>
      <w:bookmarkStart w:id="143" w:name="_Toc111709568"/>
      <w:bookmarkStart w:id="144" w:name="_Toc40210931"/>
      <w:r>
        <w:rPr>
          <w:color w:val="auto"/>
          <w:highlight w:val="none"/>
        </w:rPr>
        <w:t>10.2构件出厂检验</w:t>
      </w:r>
      <w:bookmarkEnd w:id="143"/>
      <w:bookmarkEnd w:id="144"/>
    </w:p>
    <w:p>
      <w:pPr>
        <w:spacing w:after="312" w:afterLines="100"/>
        <w:jc w:val="center"/>
        <w:rPr>
          <w:rFonts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fldChar w:fldCharType="begin"/>
      </w:r>
      <w:r>
        <w:rPr>
          <w:rFonts w:cs="Times New Roman" w:asciiTheme="minorEastAsia" w:hAnsiTheme="minorEastAsia" w:eastAsiaTheme="minorEastAsia"/>
          <w:b/>
          <w:color w:val="auto"/>
          <w:sz w:val="24"/>
          <w:szCs w:val="24"/>
          <w:highlight w:val="none"/>
        </w:rPr>
        <w:instrText xml:space="preserve"> = 1 \* ROMAN </w:instrText>
      </w:r>
      <w:r>
        <w:rPr>
          <w:rFonts w:cs="Times New Roman" w:asciiTheme="minorEastAsia" w:hAnsiTheme="minorEastAsia" w:eastAsiaTheme="minorEastAsia"/>
          <w:b/>
          <w:color w:val="auto"/>
          <w:sz w:val="24"/>
          <w:szCs w:val="24"/>
          <w:highlight w:val="none"/>
        </w:rPr>
        <w:fldChar w:fldCharType="separate"/>
      </w:r>
      <w:r>
        <w:rPr>
          <w:rFonts w:cs="Times New Roman" w:asciiTheme="minorEastAsia" w:hAnsiTheme="minorEastAsia" w:eastAsiaTheme="minorEastAsia"/>
          <w:b/>
          <w:color w:val="auto"/>
          <w:sz w:val="24"/>
          <w:szCs w:val="24"/>
          <w:highlight w:val="none"/>
        </w:rPr>
        <w:t>I</w:t>
      </w:r>
      <w:r>
        <w:rPr>
          <w:rFonts w:cs="Times New Roman" w:asciiTheme="minorEastAsia" w:hAnsiTheme="minorEastAsia" w:eastAsiaTheme="minorEastAsia"/>
          <w:b/>
          <w:color w:val="auto"/>
          <w:sz w:val="24"/>
          <w:szCs w:val="24"/>
          <w:highlight w:val="none"/>
        </w:rPr>
        <w:fldChar w:fldCharType="end"/>
      </w:r>
      <w:r>
        <w:rPr>
          <w:rFonts w:cs="Times New Roman" w:asciiTheme="minorEastAsia" w:hAnsiTheme="minorEastAsia" w:eastAsiaTheme="minorEastAsia"/>
          <w:b/>
          <w:color w:val="auto"/>
          <w:sz w:val="24"/>
          <w:szCs w:val="24"/>
          <w:highlight w:val="none"/>
        </w:rPr>
        <w:t xml:space="preserve"> 主控项目</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10.2.1  </w:t>
      </w:r>
      <w:r>
        <w:rPr>
          <w:rFonts w:ascii="Times New Roman" w:hAnsi="Times New Roman" w:cs="Times New Roman" w:eastAsiaTheme="minorEastAsia"/>
          <w:color w:val="auto"/>
          <w:sz w:val="24"/>
          <w:szCs w:val="24"/>
          <w:highlight w:val="none"/>
        </w:rPr>
        <w:t>质量证明文件应包括：出厂合格证、混凝土强度检验报告、合同要求的其他质量证明文件。</w:t>
      </w:r>
    </w:p>
    <w:p>
      <w:pPr>
        <w:spacing w:after="0" w:line="360" w:lineRule="auto"/>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10.2.2  </w:t>
      </w:r>
      <w:r>
        <w:rPr>
          <w:rFonts w:ascii="Times New Roman" w:hAnsi="Times New Roman" w:cs="Times New Roman" w:eastAsiaTheme="minorEastAsia"/>
          <w:color w:val="auto"/>
          <w:sz w:val="24"/>
          <w:szCs w:val="24"/>
          <w:highlight w:val="none"/>
        </w:rPr>
        <w:t>对于出现的外观质量严重缺陷、影响结构性能和安装、使用功能的尺寸偏差等，有不符合设计要求的情形应作退场处理。如经设计同意可以进行修理使用，则应制定处理方案并获得监理确认后，预制构件生产单位应按技术处理方案处理，修理后应重新验收。</w:t>
      </w:r>
    </w:p>
    <w:p>
      <w:pPr>
        <w:pStyle w:val="25"/>
        <w:spacing w:before="312" w:after="312" w:line="360" w:lineRule="auto"/>
        <w:rPr>
          <w:color w:val="auto"/>
          <w:highlight w:val="none"/>
        </w:rPr>
      </w:pPr>
      <w:bookmarkStart w:id="145" w:name="_Toc111709569"/>
      <w:bookmarkStart w:id="146" w:name="_Toc40210932"/>
      <w:r>
        <w:rPr>
          <w:color w:val="auto"/>
          <w:highlight w:val="none"/>
        </w:rPr>
        <w:t>10.3叠合板质量验收</w:t>
      </w:r>
      <w:bookmarkEnd w:id="145"/>
      <w:bookmarkEnd w:id="146"/>
    </w:p>
    <w:p>
      <w:pPr>
        <w:spacing w:after="312" w:afterLines="100"/>
        <w:jc w:val="center"/>
        <w:rPr>
          <w:rFonts w:cs="Times New Roman" w:asciiTheme="minorEastAsia" w:hAnsiTheme="minorEastAsia" w:eastAsiaTheme="minorEastAsia"/>
          <w:b/>
          <w:color w:val="auto"/>
          <w:highlight w:val="none"/>
        </w:rPr>
      </w:pPr>
      <w:r>
        <w:rPr>
          <w:rFonts w:cs="Times New Roman" w:asciiTheme="minorEastAsia" w:hAnsiTheme="minorEastAsia" w:eastAsiaTheme="minorEastAsia"/>
          <w:b/>
          <w:color w:val="auto"/>
          <w:highlight w:val="none"/>
        </w:rPr>
        <w:fldChar w:fldCharType="begin"/>
      </w:r>
      <w:r>
        <w:rPr>
          <w:rFonts w:cs="Times New Roman" w:asciiTheme="minorEastAsia" w:hAnsiTheme="minorEastAsia" w:eastAsiaTheme="minorEastAsia"/>
          <w:b/>
          <w:color w:val="auto"/>
          <w:highlight w:val="none"/>
        </w:rPr>
        <w:instrText xml:space="preserve"> = 1 \* ROMAN </w:instrText>
      </w:r>
      <w:r>
        <w:rPr>
          <w:rFonts w:cs="Times New Roman" w:asciiTheme="minorEastAsia" w:hAnsiTheme="minorEastAsia" w:eastAsiaTheme="minorEastAsia"/>
          <w:b/>
          <w:color w:val="auto"/>
          <w:highlight w:val="none"/>
        </w:rPr>
        <w:fldChar w:fldCharType="separate"/>
      </w:r>
      <w:r>
        <w:rPr>
          <w:rFonts w:cs="Times New Roman" w:asciiTheme="minorEastAsia" w:hAnsiTheme="minorEastAsia" w:eastAsiaTheme="minorEastAsia"/>
          <w:b/>
          <w:color w:val="auto"/>
          <w:highlight w:val="none"/>
        </w:rPr>
        <w:t>I</w:t>
      </w:r>
      <w:r>
        <w:rPr>
          <w:rFonts w:cs="Times New Roman" w:asciiTheme="minorEastAsia" w:hAnsiTheme="minorEastAsia" w:eastAsiaTheme="minorEastAsia"/>
          <w:b/>
          <w:color w:val="auto"/>
          <w:highlight w:val="none"/>
        </w:rPr>
        <w:fldChar w:fldCharType="end"/>
      </w:r>
      <w:r>
        <w:rPr>
          <w:rFonts w:cs="Times New Roman" w:asciiTheme="minorEastAsia" w:hAnsiTheme="minorEastAsia" w:eastAsiaTheme="minorEastAsia"/>
          <w:b/>
          <w:color w:val="auto"/>
          <w:highlight w:val="none"/>
        </w:rPr>
        <w:t xml:space="preserve"> </w:t>
      </w:r>
      <w:r>
        <w:rPr>
          <w:rFonts w:cs="Times New Roman" w:asciiTheme="minorEastAsia" w:hAnsiTheme="minorEastAsia" w:eastAsiaTheme="minorEastAsia"/>
          <w:b/>
          <w:color w:val="auto"/>
          <w:szCs w:val="24"/>
          <w:highlight w:val="none"/>
        </w:rPr>
        <w:t>主控项目</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10.3.1  </w:t>
      </w:r>
      <w:r>
        <w:rPr>
          <w:rFonts w:ascii="Times New Roman" w:hAnsi="Times New Roman" w:cs="Times New Roman" w:eastAsiaTheme="minorEastAsia"/>
          <w:color w:val="auto"/>
          <w:sz w:val="24"/>
          <w:szCs w:val="24"/>
          <w:highlight w:val="none"/>
        </w:rPr>
        <w:t>临时固定措施是装配式混凝土结构安装过程中承受施工荷载、保证构件定位、确保施工安全的有效措施。临时支撑是常用的临时固定措施，包括板下的临时竖向支撑、两端支撑构件上设置的临时牛腿等。</w:t>
      </w:r>
    </w:p>
    <w:p>
      <w:pPr>
        <w:spacing w:after="0" w:line="360" w:lineRule="auto"/>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b/>
          <w:color w:val="auto"/>
          <w:sz w:val="24"/>
          <w:szCs w:val="24"/>
          <w:highlight w:val="none"/>
        </w:rPr>
        <w:t xml:space="preserve">10.3.3  </w:t>
      </w:r>
      <w:r>
        <w:rPr>
          <w:rFonts w:ascii="Times New Roman" w:hAnsi="Times New Roman" w:cs="Times New Roman" w:eastAsiaTheme="minorEastAsia"/>
          <w:color w:val="auto"/>
          <w:sz w:val="24"/>
          <w:szCs w:val="24"/>
          <w:highlight w:val="none"/>
        </w:rPr>
        <w:t>装配整体式混凝土结构的后浇混凝土质量控制非常重要，不但要求其与预制构件的结合面紧密结合，还要求其自身浇筑密实，更重要的是要控制混凝土强度指标。</w:t>
      </w:r>
    </w:p>
    <w:p>
      <w:pPr>
        <w:spacing w:after="0" w:line="360" w:lineRule="auto"/>
        <w:ind w:firstLine="482"/>
        <w:outlineLvl w:val="2"/>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 xml:space="preserve">当后浇混凝土和现浇结构采用相同强度等级混凝土浇筑时，此时可以采用现浇结构的混凝土试块强度按照《混凝土强度检验评定标准》GB50107相关规定进行评定。 </w:t>
      </w:r>
    </w:p>
    <w:p>
      <w:pPr>
        <w:pStyle w:val="24"/>
        <w:spacing w:beforeLines="0" w:after="312" w:line="360" w:lineRule="auto"/>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SJQY">
    <w:panose1 w:val="02010600030101010101"/>
    <w:charset w:val="86"/>
    <w:family w:val="auto"/>
    <w:pitch w:val="default"/>
    <w:sig w:usb0="00000003" w:usb1="080E0000" w:usb2="00000000" w:usb3="00000000" w:csb0="00040001"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jc w:val="right"/>
                          </w:pPr>
                          <w:r>
                            <w:fldChar w:fldCharType="begin"/>
                          </w:r>
                          <w:r>
                            <w:instrText xml:space="preserve">PAGE   \* MERGEFORMAT</w:instrText>
                          </w:r>
                          <w:r>
                            <w:fldChar w:fldCharType="separate"/>
                          </w:r>
                          <w:r>
                            <w:rPr>
                              <w:lang w:val="zh-CN"/>
                            </w:rPr>
                            <w:t>1</w:t>
                          </w:r>
                          <w:r>
                            <w:rPr>
                              <w:lang w:val="zh-CN"/>
                            </w:rP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kk6w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u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qSTrDICAABlBAAADgAAAAAAAAABACAAAAAfAQAAZHJzL2Uyb0RvYy54bWxQSwUG&#10;AAAAAAYABgBZAQAAwwUAAAAA&#10;">
              <v:fill on="f" focussize="0,0"/>
              <v:stroke on="f" weight="0.5pt"/>
              <v:imagedata o:title=""/>
              <o:lock v:ext="edit" aspectratio="f"/>
              <v:textbox inset="0mm,0mm,0mm,0mm" style="mso-fit-shape-to-text:t;">
                <w:txbxContent>
                  <w:p>
                    <w:pPr>
                      <w:pStyle w:val="10"/>
                      <w:jc w:val="right"/>
                    </w:pPr>
                    <w:r>
                      <w:fldChar w:fldCharType="begin"/>
                    </w:r>
                    <w:r>
                      <w:instrText xml:space="preserve">PAGE   \* MERGEFORMAT</w:instrText>
                    </w:r>
                    <w:r>
                      <w:fldChar w:fldCharType="separate"/>
                    </w:r>
                    <w:r>
                      <w:rPr>
                        <w:lang w:val="zh-CN"/>
                      </w:rPr>
                      <w:t>1</w:t>
                    </w:r>
                    <w:r>
                      <w:rPr>
                        <w:lang w:val="zh-CN"/>
                      </w:rPr>
                      <w:fldChar w:fldCharType="end"/>
                    </w:r>
                  </w:p>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0"/>
      <w:framePr w:wrap="around" w:vAnchor="text" w:hAnchor="margin" w:xAlign="right" w:y="1"/>
      <w:jc w:val="center"/>
      <w:rPr>
        <w:rStyle w:val="19"/>
      </w:rPr>
    </w:pPr>
    <w:r>
      <w:rPr>
        <w:rStyle w:val="19"/>
      </w:rPr>
      <w:fldChar w:fldCharType="begin"/>
    </w:r>
    <w:r>
      <w:rPr>
        <w:rStyle w:val="19"/>
      </w:rPr>
      <w:instrText xml:space="preserve">PAGE  </w:instrText>
    </w:r>
    <w:r>
      <w:rPr>
        <w:rStyle w:val="19"/>
      </w:rPr>
      <w:fldChar w:fldCharType="separate"/>
    </w:r>
    <w:r>
      <w:rPr>
        <w:rStyle w:val="19"/>
      </w:rPr>
      <w:t>37</w:t>
    </w:r>
    <w:r>
      <w:rPr>
        <w:rStyle w:val="19"/>
      </w:rPr>
      <w:fldChar w:fldCharType="end"/>
    </w:r>
  </w:p>
  <w:p>
    <w:pPr>
      <w:pStyle w:val="10"/>
      <w:framePr w:wrap="around" w:vAnchor="text" w:hAnchor="margin" w:xAlign="right" w:y="1"/>
      <w:rPr>
        <w:rStyle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DF4D95"/>
    <w:multiLevelType w:val="multilevel"/>
    <w:tmpl w:val="06DF4D95"/>
    <w:lvl w:ilvl="0" w:tentative="0">
      <w:start w:val="9"/>
      <w:numFmt w:val="decimal"/>
      <w:lvlText w:val="%1"/>
      <w:lvlJc w:val="left"/>
      <w:pPr>
        <w:ind w:left="480" w:hanging="480"/>
      </w:pPr>
      <w:rPr>
        <w:rFonts w:hint="default"/>
        <w:b/>
      </w:rPr>
    </w:lvl>
    <w:lvl w:ilvl="1" w:tentative="0">
      <w:start w:val="2"/>
      <w:numFmt w:val="decimal"/>
      <w:lvlText w:val="%1.%2"/>
      <w:lvlJc w:val="left"/>
      <w:pPr>
        <w:ind w:left="480" w:hanging="480"/>
      </w:pPr>
      <w:rPr>
        <w:rFonts w:hint="default"/>
        <w:b/>
      </w:rPr>
    </w:lvl>
    <w:lvl w:ilvl="2" w:tentative="0">
      <w:start w:val="5"/>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1">
    <w:nsid w:val="0AE82024"/>
    <w:multiLevelType w:val="multilevel"/>
    <w:tmpl w:val="0AE82024"/>
    <w:lvl w:ilvl="0" w:tentative="0">
      <w:start w:val="2"/>
      <w:numFmt w:val="decimal"/>
      <w:lvlText w:val="3.1.%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C857BC5"/>
    <w:multiLevelType w:val="multilevel"/>
    <w:tmpl w:val="0C857BC5"/>
    <w:lvl w:ilvl="0" w:tentative="0">
      <w:start w:val="5"/>
      <w:numFmt w:val="decimal"/>
      <w:lvlText w:val="2.1.%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D6D4BAF"/>
    <w:multiLevelType w:val="multilevel"/>
    <w:tmpl w:val="0D6D4BAF"/>
    <w:lvl w:ilvl="0" w:tentative="0">
      <w:start w:val="1"/>
      <w:numFmt w:val="decimal"/>
      <w:lvlText w:val="6.2. %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1C0D99"/>
    <w:multiLevelType w:val="multilevel"/>
    <w:tmpl w:val="151C0D99"/>
    <w:lvl w:ilvl="0" w:tentative="0">
      <w:start w:val="10"/>
      <w:numFmt w:val="decimal"/>
      <w:lvlText w:val="%1"/>
      <w:lvlJc w:val="left"/>
      <w:pPr>
        <w:ind w:left="600" w:hanging="600"/>
      </w:pPr>
      <w:rPr>
        <w:rFonts w:hint="default"/>
        <w:b/>
      </w:rPr>
    </w:lvl>
    <w:lvl w:ilvl="1" w:tentative="0">
      <w:start w:val="2"/>
      <w:numFmt w:val="decimal"/>
      <w:lvlText w:val="%1.%2"/>
      <w:lvlJc w:val="left"/>
      <w:pPr>
        <w:ind w:left="600" w:hanging="60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5">
    <w:nsid w:val="21986976"/>
    <w:multiLevelType w:val="multilevel"/>
    <w:tmpl w:val="21986976"/>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5F02697"/>
    <w:multiLevelType w:val="multilevel"/>
    <w:tmpl w:val="25F02697"/>
    <w:lvl w:ilvl="0" w:tentative="0">
      <w:start w:val="1"/>
      <w:numFmt w:val="decimal"/>
      <w:lvlText w:val="4.0.%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BE77D87"/>
    <w:multiLevelType w:val="multilevel"/>
    <w:tmpl w:val="2BE77D87"/>
    <w:lvl w:ilvl="0" w:tentative="0">
      <w:start w:val="5"/>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none"/>
      <w:lvlText w:val="1"/>
      <w:lvlJc w:val="left"/>
      <w:pPr>
        <w:tabs>
          <w:tab w:val="left" w:pos="567"/>
        </w:tabs>
        <w:ind w:left="0" w:firstLine="0"/>
      </w:pPr>
      <w:rPr>
        <w:rFonts w:hint="default" w:ascii="Times New Roman" w:hAnsi="Times New Roman"/>
        <w:b/>
        <w:i w:val="0"/>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34974163"/>
    <w:multiLevelType w:val="multilevel"/>
    <w:tmpl w:val="34974163"/>
    <w:lvl w:ilvl="0" w:tentative="0">
      <w:start w:val="1"/>
      <w:numFmt w:val="decimal"/>
      <w:lvlText w:val="5.0.%1"/>
      <w:lvlJc w:val="left"/>
      <w:pPr>
        <w:ind w:left="420" w:hanging="420"/>
      </w:pPr>
      <w:rPr>
        <w:rFonts w:hint="eastAsia" w:eastAsia="黑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A034C23"/>
    <w:multiLevelType w:val="multilevel"/>
    <w:tmpl w:val="3A034C23"/>
    <w:lvl w:ilvl="0" w:tentative="0">
      <w:start w:val="2"/>
      <w:numFmt w:val="decimal"/>
      <w:lvlText w:val="3.2.%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02F0ED0"/>
    <w:multiLevelType w:val="multilevel"/>
    <w:tmpl w:val="402F0ED0"/>
    <w:lvl w:ilvl="0" w:tentative="0">
      <w:start w:val="1"/>
      <w:numFmt w:val="decimal"/>
      <w:lvlText w:val="1.0.%1"/>
      <w:lvlJc w:val="left"/>
      <w:pPr>
        <w:ind w:left="420" w:hanging="42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21B43FD"/>
    <w:multiLevelType w:val="multilevel"/>
    <w:tmpl w:val="421B43F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C283BE6"/>
    <w:multiLevelType w:val="multilevel"/>
    <w:tmpl w:val="5C283BE6"/>
    <w:lvl w:ilvl="0" w:tentative="0">
      <w:start w:val="1"/>
      <w:numFmt w:val="decimal"/>
      <w:lvlText w:val="6.1. %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17F0F68"/>
    <w:multiLevelType w:val="multilevel"/>
    <w:tmpl w:val="617F0F68"/>
    <w:lvl w:ilvl="0" w:tentative="0">
      <w:start w:val="2"/>
      <w:numFmt w:val="decimal"/>
      <w:lvlText w:val="2.1.%1"/>
      <w:lvlJc w:val="left"/>
      <w:pPr>
        <w:ind w:left="420" w:hanging="42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A29064D"/>
    <w:multiLevelType w:val="multilevel"/>
    <w:tmpl w:val="6A29064D"/>
    <w:lvl w:ilvl="0" w:tentative="0">
      <w:start w:val="1"/>
      <w:numFmt w:val="decimal"/>
      <w:lvlText w:val="%1"/>
      <w:lvlJc w:val="left"/>
      <w:pPr>
        <w:tabs>
          <w:tab w:val="left" w:pos="425"/>
        </w:tabs>
        <w:ind w:left="635" w:hanging="425"/>
      </w:pPr>
      <w:rPr>
        <w:rFonts w:hint="eastAsia"/>
      </w:rPr>
    </w:lvl>
    <w:lvl w:ilvl="1" w:tentative="0">
      <w:start w:val="0"/>
      <w:numFmt w:val="decimal"/>
      <w:lvlText w:val="%1.%2"/>
      <w:lvlJc w:val="left"/>
      <w:pPr>
        <w:tabs>
          <w:tab w:val="left" w:pos="992"/>
        </w:tabs>
        <w:ind w:left="992" w:hanging="567"/>
      </w:pPr>
      <w:rPr>
        <w:rFonts w:hint="eastAsia"/>
      </w:rPr>
    </w:lvl>
    <w:lvl w:ilvl="2" w:tentative="0">
      <w:start w:val="1"/>
      <w:numFmt w:val="decimal"/>
      <w:lvlText w:val="2.1.%3"/>
      <w:lvlJc w:val="left"/>
      <w:pPr>
        <w:tabs>
          <w:tab w:val="left" w:pos="567"/>
        </w:tabs>
        <w:ind w:left="0" w:firstLine="0"/>
      </w:pPr>
      <w:rPr>
        <w:rFonts w:hint="default" w:ascii="Times New Roman" w:hAnsi="Times New Roman"/>
        <w:b/>
        <w:i w:val="0"/>
        <w:sz w:val="24"/>
        <w:szCs w:val="24"/>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73403AD1"/>
    <w:multiLevelType w:val="multilevel"/>
    <w:tmpl w:val="73403AD1"/>
    <w:lvl w:ilvl="0" w:tentative="0">
      <w:start w:val="1"/>
      <w:numFmt w:val="decimal"/>
      <w:lvlText w:val="%1"/>
      <w:lvlJc w:val="left"/>
      <w:pPr>
        <w:tabs>
          <w:tab w:val="left" w:pos="425"/>
        </w:tabs>
        <w:ind w:left="635" w:hanging="425"/>
      </w:pPr>
      <w:rPr>
        <w:rFonts w:hint="eastAsia"/>
      </w:rPr>
    </w:lvl>
    <w:lvl w:ilvl="1" w:tentative="0">
      <w:start w:val="0"/>
      <w:numFmt w:val="decimal"/>
      <w:lvlText w:val="%1.%2"/>
      <w:lvlJc w:val="left"/>
      <w:pPr>
        <w:tabs>
          <w:tab w:val="left" w:pos="992"/>
        </w:tabs>
        <w:ind w:left="992" w:hanging="567"/>
      </w:pPr>
      <w:rPr>
        <w:rFonts w:hint="eastAsia"/>
      </w:rPr>
    </w:lvl>
    <w:lvl w:ilvl="2" w:tentative="0">
      <w:start w:val="1"/>
      <w:numFmt w:val="decimal"/>
      <w:lvlText w:val="2.2.%3"/>
      <w:lvlJc w:val="left"/>
      <w:pPr>
        <w:tabs>
          <w:tab w:val="left" w:pos="851"/>
        </w:tabs>
        <w:ind w:left="0" w:firstLine="0"/>
      </w:pPr>
      <w:rPr>
        <w:rFonts w:hint="default" w:ascii="Times New Roman" w:hAnsi="Times New Roman"/>
        <w:b/>
        <w:i w:val="0"/>
        <w:sz w:val="24"/>
        <w:szCs w:val="24"/>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4"/>
  </w:num>
  <w:num w:numId="2">
    <w:abstractNumId w:val="15"/>
  </w:num>
  <w:num w:numId="3">
    <w:abstractNumId w:val="0"/>
  </w:num>
  <w:num w:numId="4">
    <w:abstractNumId w:val="4"/>
  </w:num>
  <w:num w:numId="5">
    <w:abstractNumId w:val="5"/>
  </w:num>
  <w:num w:numId="6">
    <w:abstractNumId w:val="7"/>
  </w:num>
  <w:num w:numId="7">
    <w:abstractNumId w:val="11"/>
  </w:num>
  <w:num w:numId="8">
    <w:abstractNumId w:val="10"/>
  </w:num>
  <w:num w:numId="9">
    <w:abstractNumId w:val="13"/>
  </w:num>
  <w:num w:numId="10">
    <w:abstractNumId w:val="2"/>
  </w:num>
  <w:num w:numId="11">
    <w:abstractNumId w:val="1"/>
  </w:num>
  <w:num w:numId="12">
    <w:abstractNumId w:val="9"/>
  </w:num>
  <w:num w:numId="13">
    <w:abstractNumId w:val="6"/>
  </w:num>
  <w:num w:numId="14">
    <w:abstractNumId w:val="8"/>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hZDk1MzQ4NTBlN2RjYzhhMTk1OWNhYzRmYjg4YWYifQ=="/>
  </w:docVars>
  <w:rsids>
    <w:rsidRoot w:val="00B049A7"/>
    <w:rsid w:val="00000A86"/>
    <w:rsid w:val="00001232"/>
    <w:rsid w:val="00001915"/>
    <w:rsid w:val="000019F5"/>
    <w:rsid w:val="00002894"/>
    <w:rsid w:val="00005ABD"/>
    <w:rsid w:val="0000686E"/>
    <w:rsid w:val="0000709E"/>
    <w:rsid w:val="000107D3"/>
    <w:rsid w:val="00010D66"/>
    <w:rsid w:val="00011684"/>
    <w:rsid w:val="000142D0"/>
    <w:rsid w:val="00016906"/>
    <w:rsid w:val="00023CDE"/>
    <w:rsid w:val="00023FFC"/>
    <w:rsid w:val="00024006"/>
    <w:rsid w:val="0002400C"/>
    <w:rsid w:val="00024304"/>
    <w:rsid w:val="00026055"/>
    <w:rsid w:val="00026EF8"/>
    <w:rsid w:val="0003184E"/>
    <w:rsid w:val="000351E4"/>
    <w:rsid w:val="00041A86"/>
    <w:rsid w:val="00044BE0"/>
    <w:rsid w:val="00045F95"/>
    <w:rsid w:val="00047D72"/>
    <w:rsid w:val="00051678"/>
    <w:rsid w:val="00053366"/>
    <w:rsid w:val="00053A23"/>
    <w:rsid w:val="000547BB"/>
    <w:rsid w:val="000564C5"/>
    <w:rsid w:val="00056B5D"/>
    <w:rsid w:val="00057284"/>
    <w:rsid w:val="000577D0"/>
    <w:rsid w:val="00057F9B"/>
    <w:rsid w:val="000600EF"/>
    <w:rsid w:val="00060418"/>
    <w:rsid w:val="000614A1"/>
    <w:rsid w:val="00061BD7"/>
    <w:rsid w:val="00063E37"/>
    <w:rsid w:val="00065C82"/>
    <w:rsid w:val="00073557"/>
    <w:rsid w:val="0007592C"/>
    <w:rsid w:val="00077F8B"/>
    <w:rsid w:val="00080C3A"/>
    <w:rsid w:val="00081733"/>
    <w:rsid w:val="00082C69"/>
    <w:rsid w:val="000835AC"/>
    <w:rsid w:val="00086E7A"/>
    <w:rsid w:val="0009048F"/>
    <w:rsid w:val="000942D8"/>
    <w:rsid w:val="00096F41"/>
    <w:rsid w:val="000A0C29"/>
    <w:rsid w:val="000A24B6"/>
    <w:rsid w:val="000A4CD3"/>
    <w:rsid w:val="000A50E1"/>
    <w:rsid w:val="000A6A13"/>
    <w:rsid w:val="000B1C0F"/>
    <w:rsid w:val="000B3CDA"/>
    <w:rsid w:val="000C0DEE"/>
    <w:rsid w:val="000C3541"/>
    <w:rsid w:val="000D129C"/>
    <w:rsid w:val="000D2F1B"/>
    <w:rsid w:val="000D4038"/>
    <w:rsid w:val="000D4963"/>
    <w:rsid w:val="000D6DF7"/>
    <w:rsid w:val="000E09DF"/>
    <w:rsid w:val="000E1FCF"/>
    <w:rsid w:val="000E2969"/>
    <w:rsid w:val="000E38EE"/>
    <w:rsid w:val="000E5A39"/>
    <w:rsid w:val="000E6E5F"/>
    <w:rsid w:val="000E6F4C"/>
    <w:rsid w:val="000F01B2"/>
    <w:rsid w:val="000F0EAA"/>
    <w:rsid w:val="000F389B"/>
    <w:rsid w:val="000F4083"/>
    <w:rsid w:val="000F4B61"/>
    <w:rsid w:val="000F7624"/>
    <w:rsid w:val="00100E70"/>
    <w:rsid w:val="00100F34"/>
    <w:rsid w:val="00101AC1"/>
    <w:rsid w:val="0010277F"/>
    <w:rsid w:val="0010326A"/>
    <w:rsid w:val="00104188"/>
    <w:rsid w:val="00105263"/>
    <w:rsid w:val="0010798D"/>
    <w:rsid w:val="00111F5D"/>
    <w:rsid w:val="001131E0"/>
    <w:rsid w:val="0011476F"/>
    <w:rsid w:val="001154F2"/>
    <w:rsid w:val="0012141C"/>
    <w:rsid w:val="0012462E"/>
    <w:rsid w:val="00126C15"/>
    <w:rsid w:val="00126DF5"/>
    <w:rsid w:val="00133043"/>
    <w:rsid w:val="00135EB9"/>
    <w:rsid w:val="001410AA"/>
    <w:rsid w:val="00144592"/>
    <w:rsid w:val="00145F0F"/>
    <w:rsid w:val="00146A64"/>
    <w:rsid w:val="00150E1B"/>
    <w:rsid w:val="0015725C"/>
    <w:rsid w:val="0015776F"/>
    <w:rsid w:val="001602AA"/>
    <w:rsid w:val="00160F95"/>
    <w:rsid w:val="001615FF"/>
    <w:rsid w:val="00163E2E"/>
    <w:rsid w:val="00163EF4"/>
    <w:rsid w:val="00165750"/>
    <w:rsid w:val="00165861"/>
    <w:rsid w:val="00174D50"/>
    <w:rsid w:val="00176305"/>
    <w:rsid w:val="00177AF9"/>
    <w:rsid w:val="00182A84"/>
    <w:rsid w:val="00184268"/>
    <w:rsid w:val="00184698"/>
    <w:rsid w:val="0018717D"/>
    <w:rsid w:val="00190C6B"/>
    <w:rsid w:val="001921F5"/>
    <w:rsid w:val="00192C76"/>
    <w:rsid w:val="00193C9B"/>
    <w:rsid w:val="00193E78"/>
    <w:rsid w:val="00196329"/>
    <w:rsid w:val="001A02C5"/>
    <w:rsid w:val="001A1944"/>
    <w:rsid w:val="001A2FF5"/>
    <w:rsid w:val="001A4D32"/>
    <w:rsid w:val="001A503E"/>
    <w:rsid w:val="001A6014"/>
    <w:rsid w:val="001B5BD7"/>
    <w:rsid w:val="001C2964"/>
    <w:rsid w:val="001C3080"/>
    <w:rsid w:val="001C543C"/>
    <w:rsid w:val="001C7645"/>
    <w:rsid w:val="001D1E39"/>
    <w:rsid w:val="001D21B7"/>
    <w:rsid w:val="001D2A19"/>
    <w:rsid w:val="001D2CCD"/>
    <w:rsid w:val="001D4291"/>
    <w:rsid w:val="001D5185"/>
    <w:rsid w:val="001D64EC"/>
    <w:rsid w:val="001D6CD2"/>
    <w:rsid w:val="001E221A"/>
    <w:rsid w:val="001E2A4A"/>
    <w:rsid w:val="001E5581"/>
    <w:rsid w:val="001E5B4C"/>
    <w:rsid w:val="001F15CB"/>
    <w:rsid w:val="001F503C"/>
    <w:rsid w:val="001F7004"/>
    <w:rsid w:val="00201E35"/>
    <w:rsid w:val="002024EF"/>
    <w:rsid w:val="00202EDB"/>
    <w:rsid w:val="0020385E"/>
    <w:rsid w:val="00211B74"/>
    <w:rsid w:val="00215602"/>
    <w:rsid w:val="00215CD3"/>
    <w:rsid w:val="002176DB"/>
    <w:rsid w:val="00217E3A"/>
    <w:rsid w:val="00222C45"/>
    <w:rsid w:val="00224FAF"/>
    <w:rsid w:val="002308E8"/>
    <w:rsid w:val="002323AD"/>
    <w:rsid w:val="00235ED0"/>
    <w:rsid w:val="00235F41"/>
    <w:rsid w:val="00240FA0"/>
    <w:rsid w:val="00241B3C"/>
    <w:rsid w:val="002428C0"/>
    <w:rsid w:val="00242C37"/>
    <w:rsid w:val="0024329F"/>
    <w:rsid w:val="00243AF1"/>
    <w:rsid w:val="00243C88"/>
    <w:rsid w:val="00246487"/>
    <w:rsid w:val="00247D65"/>
    <w:rsid w:val="0025405F"/>
    <w:rsid w:val="002602A6"/>
    <w:rsid w:val="002620B7"/>
    <w:rsid w:val="0026297F"/>
    <w:rsid w:val="002639CA"/>
    <w:rsid w:val="00263BE0"/>
    <w:rsid w:val="00263C6D"/>
    <w:rsid w:val="00265F66"/>
    <w:rsid w:val="00276445"/>
    <w:rsid w:val="00283D9E"/>
    <w:rsid w:val="00284F61"/>
    <w:rsid w:val="0028766B"/>
    <w:rsid w:val="002949C2"/>
    <w:rsid w:val="002969C4"/>
    <w:rsid w:val="00296FCE"/>
    <w:rsid w:val="0029712A"/>
    <w:rsid w:val="002A24D5"/>
    <w:rsid w:val="002A4691"/>
    <w:rsid w:val="002A508C"/>
    <w:rsid w:val="002B0961"/>
    <w:rsid w:val="002B2710"/>
    <w:rsid w:val="002B444D"/>
    <w:rsid w:val="002B5635"/>
    <w:rsid w:val="002B608F"/>
    <w:rsid w:val="002D4F45"/>
    <w:rsid w:val="002D7448"/>
    <w:rsid w:val="002E25F8"/>
    <w:rsid w:val="002F097E"/>
    <w:rsid w:val="002F1918"/>
    <w:rsid w:val="002F2DCB"/>
    <w:rsid w:val="002F7556"/>
    <w:rsid w:val="003012AD"/>
    <w:rsid w:val="00302129"/>
    <w:rsid w:val="0030315A"/>
    <w:rsid w:val="0031230B"/>
    <w:rsid w:val="00312383"/>
    <w:rsid w:val="003135F6"/>
    <w:rsid w:val="0031392B"/>
    <w:rsid w:val="00314523"/>
    <w:rsid w:val="0031495F"/>
    <w:rsid w:val="003155C9"/>
    <w:rsid w:val="00317E68"/>
    <w:rsid w:val="00317EAB"/>
    <w:rsid w:val="003247C5"/>
    <w:rsid w:val="003256DA"/>
    <w:rsid w:val="00326181"/>
    <w:rsid w:val="0032655A"/>
    <w:rsid w:val="00342278"/>
    <w:rsid w:val="003445C1"/>
    <w:rsid w:val="003466F2"/>
    <w:rsid w:val="003467FD"/>
    <w:rsid w:val="00346819"/>
    <w:rsid w:val="00347239"/>
    <w:rsid w:val="0034793B"/>
    <w:rsid w:val="00347D9A"/>
    <w:rsid w:val="003538D8"/>
    <w:rsid w:val="0035409F"/>
    <w:rsid w:val="0036312F"/>
    <w:rsid w:val="00363509"/>
    <w:rsid w:val="00364B40"/>
    <w:rsid w:val="00365194"/>
    <w:rsid w:val="0036626A"/>
    <w:rsid w:val="00371D88"/>
    <w:rsid w:val="00372701"/>
    <w:rsid w:val="00372D16"/>
    <w:rsid w:val="00372F54"/>
    <w:rsid w:val="0037302B"/>
    <w:rsid w:val="00374D36"/>
    <w:rsid w:val="00376AB6"/>
    <w:rsid w:val="00377309"/>
    <w:rsid w:val="00380E8A"/>
    <w:rsid w:val="003836CC"/>
    <w:rsid w:val="00383E53"/>
    <w:rsid w:val="00383F77"/>
    <w:rsid w:val="00387162"/>
    <w:rsid w:val="00387B5B"/>
    <w:rsid w:val="00387F4C"/>
    <w:rsid w:val="00390EC1"/>
    <w:rsid w:val="00392E85"/>
    <w:rsid w:val="003965DE"/>
    <w:rsid w:val="0039664E"/>
    <w:rsid w:val="003A1287"/>
    <w:rsid w:val="003A2AC9"/>
    <w:rsid w:val="003A2B36"/>
    <w:rsid w:val="003A2B5E"/>
    <w:rsid w:val="003A368C"/>
    <w:rsid w:val="003A480F"/>
    <w:rsid w:val="003A4B7A"/>
    <w:rsid w:val="003A51DC"/>
    <w:rsid w:val="003A5768"/>
    <w:rsid w:val="003B19D3"/>
    <w:rsid w:val="003B37CC"/>
    <w:rsid w:val="003B3A05"/>
    <w:rsid w:val="003B417A"/>
    <w:rsid w:val="003B51D0"/>
    <w:rsid w:val="003B569A"/>
    <w:rsid w:val="003B5C60"/>
    <w:rsid w:val="003B5E02"/>
    <w:rsid w:val="003B6D8B"/>
    <w:rsid w:val="003C3EED"/>
    <w:rsid w:val="003C4502"/>
    <w:rsid w:val="003C4F08"/>
    <w:rsid w:val="003D3BCE"/>
    <w:rsid w:val="003D6215"/>
    <w:rsid w:val="003E1572"/>
    <w:rsid w:val="003E33B3"/>
    <w:rsid w:val="003E3DC1"/>
    <w:rsid w:val="003E50A0"/>
    <w:rsid w:val="003E67E9"/>
    <w:rsid w:val="003E6DFF"/>
    <w:rsid w:val="003E7E4E"/>
    <w:rsid w:val="003F1CD2"/>
    <w:rsid w:val="003F44A3"/>
    <w:rsid w:val="003F7DC2"/>
    <w:rsid w:val="004070CB"/>
    <w:rsid w:val="004121D2"/>
    <w:rsid w:val="00413B90"/>
    <w:rsid w:val="00414EEE"/>
    <w:rsid w:val="00415388"/>
    <w:rsid w:val="00420221"/>
    <w:rsid w:val="00422874"/>
    <w:rsid w:val="00425F29"/>
    <w:rsid w:val="00430B33"/>
    <w:rsid w:val="00430FAC"/>
    <w:rsid w:val="00431BEA"/>
    <w:rsid w:val="004326B8"/>
    <w:rsid w:val="00434972"/>
    <w:rsid w:val="004367A4"/>
    <w:rsid w:val="00437160"/>
    <w:rsid w:val="004376EC"/>
    <w:rsid w:val="004407DF"/>
    <w:rsid w:val="004417A1"/>
    <w:rsid w:val="00441F3F"/>
    <w:rsid w:val="00446CBC"/>
    <w:rsid w:val="00447CBF"/>
    <w:rsid w:val="00451449"/>
    <w:rsid w:val="00462CB1"/>
    <w:rsid w:val="00465878"/>
    <w:rsid w:val="004676E8"/>
    <w:rsid w:val="00471973"/>
    <w:rsid w:val="00473C42"/>
    <w:rsid w:val="004742F2"/>
    <w:rsid w:val="00474B58"/>
    <w:rsid w:val="0047522D"/>
    <w:rsid w:val="00476601"/>
    <w:rsid w:val="004774A4"/>
    <w:rsid w:val="00480811"/>
    <w:rsid w:val="00492ADA"/>
    <w:rsid w:val="00492B84"/>
    <w:rsid w:val="004951E5"/>
    <w:rsid w:val="004A0D0E"/>
    <w:rsid w:val="004A4A98"/>
    <w:rsid w:val="004A6B51"/>
    <w:rsid w:val="004A7D99"/>
    <w:rsid w:val="004B00BE"/>
    <w:rsid w:val="004B5767"/>
    <w:rsid w:val="004B5885"/>
    <w:rsid w:val="004B6A93"/>
    <w:rsid w:val="004C189F"/>
    <w:rsid w:val="004C61A4"/>
    <w:rsid w:val="004C79CD"/>
    <w:rsid w:val="004D0E96"/>
    <w:rsid w:val="004D21E4"/>
    <w:rsid w:val="004D2B47"/>
    <w:rsid w:val="004D2D65"/>
    <w:rsid w:val="004D4A3C"/>
    <w:rsid w:val="004D65FD"/>
    <w:rsid w:val="004E174C"/>
    <w:rsid w:val="004E17D7"/>
    <w:rsid w:val="004E255B"/>
    <w:rsid w:val="004E44F4"/>
    <w:rsid w:val="004E783C"/>
    <w:rsid w:val="004E790F"/>
    <w:rsid w:val="004F0C88"/>
    <w:rsid w:val="004F31FC"/>
    <w:rsid w:val="004F4DE1"/>
    <w:rsid w:val="00503E6B"/>
    <w:rsid w:val="005047CC"/>
    <w:rsid w:val="00505896"/>
    <w:rsid w:val="005075AD"/>
    <w:rsid w:val="00512243"/>
    <w:rsid w:val="00512849"/>
    <w:rsid w:val="00512D4F"/>
    <w:rsid w:val="0051388F"/>
    <w:rsid w:val="005156FA"/>
    <w:rsid w:val="00515D5F"/>
    <w:rsid w:val="00516A4E"/>
    <w:rsid w:val="00517BC6"/>
    <w:rsid w:val="00517C84"/>
    <w:rsid w:val="00520DE5"/>
    <w:rsid w:val="005210D1"/>
    <w:rsid w:val="005210D9"/>
    <w:rsid w:val="005220BE"/>
    <w:rsid w:val="00526622"/>
    <w:rsid w:val="00532C23"/>
    <w:rsid w:val="005353FB"/>
    <w:rsid w:val="00545753"/>
    <w:rsid w:val="00553218"/>
    <w:rsid w:val="00553E23"/>
    <w:rsid w:val="00555398"/>
    <w:rsid w:val="0055556D"/>
    <w:rsid w:val="00556513"/>
    <w:rsid w:val="0055740D"/>
    <w:rsid w:val="00560548"/>
    <w:rsid w:val="00562CB0"/>
    <w:rsid w:val="0056326F"/>
    <w:rsid w:val="00563821"/>
    <w:rsid w:val="00565995"/>
    <w:rsid w:val="00570DD6"/>
    <w:rsid w:val="00573820"/>
    <w:rsid w:val="00574518"/>
    <w:rsid w:val="00574AD6"/>
    <w:rsid w:val="005820CC"/>
    <w:rsid w:val="005849A3"/>
    <w:rsid w:val="00585526"/>
    <w:rsid w:val="00592FC3"/>
    <w:rsid w:val="005933D4"/>
    <w:rsid w:val="00595B14"/>
    <w:rsid w:val="00596BB6"/>
    <w:rsid w:val="0059724A"/>
    <w:rsid w:val="00597C84"/>
    <w:rsid w:val="005A0682"/>
    <w:rsid w:val="005A0B1E"/>
    <w:rsid w:val="005A59FC"/>
    <w:rsid w:val="005A6B1D"/>
    <w:rsid w:val="005B47C2"/>
    <w:rsid w:val="005B5DAD"/>
    <w:rsid w:val="005C3160"/>
    <w:rsid w:val="005C437B"/>
    <w:rsid w:val="005C518E"/>
    <w:rsid w:val="005C572F"/>
    <w:rsid w:val="005C601A"/>
    <w:rsid w:val="005D0916"/>
    <w:rsid w:val="005D1A42"/>
    <w:rsid w:val="005D24D6"/>
    <w:rsid w:val="005D2FDA"/>
    <w:rsid w:val="005D7627"/>
    <w:rsid w:val="005E018A"/>
    <w:rsid w:val="005E4C4A"/>
    <w:rsid w:val="005E62EE"/>
    <w:rsid w:val="005F1473"/>
    <w:rsid w:val="005F1BA2"/>
    <w:rsid w:val="005F1EF6"/>
    <w:rsid w:val="005F3E23"/>
    <w:rsid w:val="005F5532"/>
    <w:rsid w:val="005F7CB7"/>
    <w:rsid w:val="00601181"/>
    <w:rsid w:val="00601E07"/>
    <w:rsid w:val="00603332"/>
    <w:rsid w:val="006103F8"/>
    <w:rsid w:val="0061662A"/>
    <w:rsid w:val="0061691E"/>
    <w:rsid w:val="006179AE"/>
    <w:rsid w:val="00620F17"/>
    <w:rsid w:val="00624A44"/>
    <w:rsid w:val="00624CCE"/>
    <w:rsid w:val="00625232"/>
    <w:rsid w:val="00625DA4"/>
    <w:rsid w:val="00626619"/>
    <w:rsid w:val="00631487"/>
    <w:rsid w:val="00635F7B"/>
    <w:rsid w:val="00635FF6"/>
    <w:rsid w:val="00640E39"/>
    <w:rsid w:val="00642426"/>
    <w:rsid w:val="00642DC8"/>
    <w:rsid w:val="00643BBC"/>
    <w:rsid w:val="00645173"/>
    <w:rsid w:val="00645952"/>
    <w:rsid w:val="0064621A"/>
    <w:rsid w:val="00663320"/>
    <w:rsid w:val="006640CB"/>
    <w:rsid w:val="006661E5"/>
    <w:rsid w:val="00670470"/>
    <w:rsid w:val="00671267"/>
    <w:rsid w:val="00675C9E"/>
    <w:rsid w:val="006773CE"/>
    <w:rsid w:val="0068167A"/>
    <w:rsid w:val="006816F5"/>
    <w:rsid w:val="00686F4F"/>
    <w:rsid w:val="00686FF9"/>
    <w:rsid w:val="00687A95"/>
    <w:rsid w:val="006934C2"/>
    <w:rsid w:val="006938B2"/>
    <w:rsid w:val="00696019"/>
    <w:rsid w:val="006964D2"/>
    <w:rsid w:val="00697832"/>
    <w:rsid w:val="006A5C69"/>
    <w:rsid w:val="006A6601"/>
    <w:rsid w:val="006A66E8"/>
    <w:rsid w:val="006A6F9A"/>
    <w:rsid w:val="006B2432"/>
    <w:rsid w:val="006B3605"/>
    <w:rsid w:val="006B518A"/>
    <w:rsid w:val="006B637D"/>
    <w:rsid w:val="006C036E"/>
    <w:rsid w:val="006C0D44"/>
    <w:rsid w:val="006C2235"/>
    <w:rsid w:val="006C2938"/>
    <w:rsid w:val="006C3AB4"/>
    <w:rsid w:val="006C630D"/>
    <w:rsid w:val="006D3B09"/>
    <w:rsid w:val="006D5715"/>
    <w:rsid w:val="006D7A88"/>
    <w:rsid w:val="006E3727"/>
    <w:rsid w:val="006E7781"/>
    <w:rsid w:val="006F07E5"/>
    <w:rsid w:val="006F446B"/>
    <w:rsid w:val="006F5BE8"/>
    <w:rsid w:val="006F7843"/>
    <w:rsid w:val="0070531F"/>
    <w:rsid w:val="007114FC"/>
    <w:rsid w:val="00714BDE"/>
    <w:rsid w:val="00717480"/>
    <w:rsid w:val="0071749F"/>
    <w:rsid w:val="007205EB"/>
    <w:rsid w:val="007206CA"/>
    <w:rsid w:val="00720AAB"/>
    <w:rsid w:val="00720CCD"/>
    <w:rsid w:val="007308C2"/>
    <w:rsid w:val="007314C8"/>
    <w:rsid w:val="00732ED0"/>
    <w:rsid w:val="007346B8"/>
    <w:rsid w:val="00735857"/>
    <w:rsid w:val="007403E9"/>
    <w:rsid w:val="007421DF"/>
    <w:rsid w:val="007435C6"/>
    <w:rsid w:val="00750455"/>
    <w:rsid w:val="00752DA3"/>
    <w:rsid w:val="0075442D"/>
    <w:rsid w:val="007561FB"/>
    <w:rsid w:val="0075624D"/>
    <w:rsid w:val="00756989"/>
    <w:rsid w:val="00760918"/>
    <w:rsid w:val="0076111D"/>
    <w:rsid w:val="00762BED"/>
    <w:rsid w:val="00762CF4"/>
    <w:rsid w:val="0076715D"/>
    <w:rsid w:val="00771D91"/>
    <w:rsid w:val="00773045"/>
    <w:rsid w:val="00773772"/>
    <w:rsid w:val="00773EB9"/>
    <w:rsid w:val="00774C90"/>
    <w:rsid w:val="00774CD7"/>
    <w:rsid w:val="00775588"/>
    <w:rsid w:val="007861FC"/>
    <w:rsid w:val="00791BA7"/>
    <w:rsid w:val="00793D27"/>
    <w:rsid w:val="00793DA3"/>
    <w:rsid w:val="0079766E"/>
    <w:rsid w:val="007976E6"/>
    <w:rsid w:val="00797C5F"/>
    <w:rsid w:val="007A298D"/>
    <w:rsid w:val="007A62E4"/>
    <w:rsid w:val="007A6921"/>
    <w:rsid w:val="007A6A18"/>
    <w:rsid w:val="007A6BE2"/>
    <w:rsid w:val="007A73E2"/>
    <w:rsid w:val="007A791C"/>
    <w:rsid w:val="007A7A61"/>
    <w:rsid w:val="007B059B"/>
    <w:rsid w:val="007B099F"/>
    <w:rsid w:val="007B2A49"/>
    <w:rsid w:val="007B4940"/>
    <w:rsid w:val="007B5848"/>
    <w:rsid w:val="007B6280"/>
    <w:rsid w:val="007B663C"/>
    <w:rsid w:val="007B6D14"/>
    <w:rsid w:val="007C1FE9"/>
    <w:rsid w:val="007C2B53"/>
    <w:rsid w:val="007C4D39"/>
    <w:rsid w:val="007C6AEC"/>
    <w:rsid w:val="007D4A5A"/>
    <w:rsid w:val="007E08EB"/>
    <w:rsid w:val="007E2066"/>
    <w:rsid w:val="007E2C4D"/>
    <w:rsid w:val="007E33DD"/>
    <w:rsid w:val="007E4FE8"/>
    <w:rsid w:val="007E7433"/>
    <w:rsid w:val="007E75A4"/>
    <w:rsid w:val="007F063F"/>
    <w:rsid w:val="007F360D"/>
    <w:rsid w:val="007F393E"/>
    <w:rsid w:val="007F41DE"/>
    <w:rsid w:val="00802DDA"/>
    <w:rsid w:val="00802EB9"/>
    <w:rsid w:val="00806F9B"/>
    <w:rsid w:val="00812E34"/>
    <w:rsid w:val="00817548"/>
    <w:rsid w:val="0082110B"/>
    <w:rsid w:val="008273CA"/>
    <w:rsid w:val="00827E13"/>
    <w:rsid w:val="00834BEA"/>
    <w:rsid w:val="0083517C"/>
    <w:rsid w:val="00836628"/>
    <w:rsid w:val="0083694A"/>
    <w:rsid w:val="00837195"/>
    <w:rsid w:val="00840272"/>
    <w:rsid w:val="00842938"/>
    <w:rsid w:val="00842A49"/>
    <w:rsid w:val="008573F6"/>
    <w:rsid w:val="00857993"/>
    <w:rsid w:val="00860354"/>
    <w:rsid w:val="00861818"/>
    <w:rsid w:val="008679FF"/>
    <w:rsid w:val="00875BAB"/>
    <w:rsid w:val="00876485"/>
    <w:rsid w:val="008771BA"/>
    <w:rsid w:val="00880115"/>
    <w:rsid w:val="00882DBC"/>
    <w:rsid w:val="008845E5"/>
    <w:rsid w:val="00884877"/>
    <w:rsid w:val="00884DE1"/>
    <w:rsid w:val="0088528C"/>
    <w:rsid w:val="0088565B"/>
    <w:rsid w:val="00885BBC"/>
    <w:rsid w:val="00887860"/>
    <w:rsid w:val="0088798B"/>
    <w:rsid w:val="00893E60"/>
    <w:rsid w:val="008963C8"/>
    <w:rsid w:val="00896A28"/>
    <w:rsid w:val="00897613"/>
    <w:rsid w:val="008A19C8"/>
    <w:rsid w:val="008A24AD"/>
    <w:rsid w:val="008A3971"/>
    <w:rsid w:val="008B11E6"/>
    <w:rsid w:val="008B193E"/>
    <w:rsid w:val="008B5D52"/>
    <w:rsid w:val="008B7D64"/>
    <w:rsid w:val="008C038D"/>
    <w:rsid w:val="008C21DA"/>
    <w:rsid w:val="008C34D3"/>
    <w:rsid w:val="008C359D"/>
    <w:rsid w:val="008C67F0"/>
    <w:rsid w:val="008C706D"/>
    <w:rsid w:val="008D17A4"/>
    <w:rsid w:val="008D4620"/>
    <w:rsid w:val="008D4E26"/>
    <w:rsid w:val="008D5EA0"/>
    <w:rsid w:val="008D712C"/>
    <w:rsid w:val="008E083F"/>
    <w:rsid w:val="008E1222"/>
    <w:rsid w:val="008E1847"/>
    <w:rsid w:val="008E1B92"/>
    <w:rsid w:val="008E4662"/>
    <w:rsid w:val="008E7DFF"/>
    <w:rsid w:val="008F00B8"/>
    <w:rsid w:val="008F1377"/>
    <w:rsid w:val="008F49FD"/>
    <w:rsid w:val="008F655E"/>
    <w:rsid w:val="008F6BD3"/>
    <w:rsid w:val="008F74B6"/>
    <w:rsid w:val="008F7F59"/>
    <w:rsid w:val="0090121F"/>
    <w:rsid w:val="009012D9"/>
    <w:rsid w:val="00901D33"/>
    <w:rsid w:val="00906A78"/>
    <w:rsid w:val="00914377"/>
    <w:rsid w:val="009143FF"/>
    <w:rsid w:val="009150B5"/>
    <w:rsid w:val="00920029"/>
    <w:rsid w:val="00920506"/>
    <w:rsid w:val="009231E5"/>
    <w:rsid w:val="00924336"/>
    <w:rsid w:val="00924ABB"/>
    <w:rsid w:val="00927FEE"/>
    <w:rsid w:val="009301D4"/>
    <w:rsid w:val="00930CCB"/>
    <w:rsid w:val="00930D77"/>
    <w:rsid w:val="00933D8D"/>
    <w:rsid w:val="00935D49"/>
    <w:rsid w:val="00937457"/>
    <w:rsid w:val="00940690"/>
    <w:rsid w:val="00942195"/>
    <w:rsid w:val="00942905"/>
    <w:rsid w:val="00943930"/>
    <w:rsid w:val="009447C2"/>
    <w:rsid w:val="00946F4F"/>
    <w:rsid w:val="009604EF"/>
    <w:rsid w:val="00966EE7"/>
    <w:rsid w:val="0097105A"/>
    <w:rsid w:val="00975A6D"/>
    <w:rsid w:val="00975F57"/>
    <w:rsid w:val="0097600D"/>
    <w:rsid w:val="0097699B"/>
    <w:rsid w:val="00977210"/>
    <w:rsid w:val="00984392"/>
    <w:rsid w:val="009908FB"/>
    <w:rsid w:val="00990F0E"/>
    <w:rsid w:val="0099132B"/>
    <w:rsid w:val="00992B60"/>
    <w:rsid w:val="00993144"/>
    <w:rsid w:val="00993A00"/>
    <w:rsid w:val="00993DB0"/>
    <w:rsid w:val="009959BC"/>
    <w:rsid w:val="00995A81"/>
    <w:rsid w:val="009A045B"/>
    <w:rsid w:val="009A111C"/>
    <w:rsid w:val="009A1F21"/>
    <w:rsid w:val="009A375E"/>
    <w:rsid w:val="009A400E"/>
    <w:rsid w:val="009A4DA4"/>
    <w:rsid w:val="009A661A"/>
    <w:rsid w:val="009A6CF6"/>
    <w:rsid w:val="009B5AD6"/>
    <w:rsid w:val="009C0EF5"/>
    <w:rsid w:val="009C108F"/>
    <w:rsid w:val="009C168C"/>
    <w:rsid w:val="009C18D3"/>
    <w:rsid w:val="009C5C4D"/>
    <w:rsid w:val="009C5DBF"/>
    <w:rsid w:val="009C659E"/>
    <w:rsid w:val="009D0703"/>
    <w:rsid w:val="009D14EF"/>
    <w:rsid w:val="009D5B41"/>
    <w:rsid w:val="009D74DA"/>
    <w:rsid w:val="009E024A"/>
    <w:rsid w:val="009E0E8D"/>
    <w:rsid w:val="009E2E37"/>
    <w:rsid w:val="009E4658"/>
    <w:rsid w:val="009E537E"/>
    <w:rsid w:val="009F696D"/>
    <w:rsid w:val="00A000D0"/>
    <w:rsid w:val="00A00167"/>
    <w:rsid w:val="00A00305"/>
    <w:rsid w:val="00A0096C"/>
    <w:rsid w:val="00A00991"/>
    <w:rsid w:val="00A01F12"/>
    <w:rsid w:val="00A05521"/>
    <w:rsid w:val="00A06817"/>
    <w:rsid w:val="00A110A0"/>
    <w:rsid w:val="00A1110E"/>
    <w:rsid w:val="00A116B8"/>
    <w:rsid w:val="00A11714"/>
    <w:rsid w:val="00A14FB8"/>
    <w:rsid w:val="00A1501F"/>
    <w:rsid w:val="00A16047"/>
    <w:rsid w:val="00A17025"/>
    <w:rsid w:val="00A215A0"/>
    <w:rsid w:val="00A2269D"/>
    <w:rsid w:val="00A2547F"/>
    <w:rsid w:val="00A2712C"/>
    <w:rsid w:val="00A279E1"/>
    <w:rsid w:val="00A27A66"/>
    <w:rsid w:val="00A33D8B"/>
    <w:rsid w:val="00A37C5C"/>
    <w:rsid w:val="00A37D92"/>
    <w:rsid w:val="00A41F84"/>
    <w:rsid w:val="00A4786F"/>
    <w:rsid w:val="00A507D1"/>
    <w:rsid w:val="00A51FFC"/>
    <w:rsid w:val="00A5282F"/>
    <w:rsid w:val="00A52EF5"/>
    <w:rsid w:val="00A57FCC"/>
    <w:rsid w:val="00A60EB6"/>
    <w:rsid w:val="00A62425"/>
    <w:rsid w:val="00A62483"/>
    <w:rsid w:val="00A62AFA"/>
    <w:rsid w:val="00A62FEE"/>
    <w:rsid w:val="00A662AE"/>
    <w:rsid w:val="00A6662B"/>
    <w:rsid w:val="00A66E5A"/>
    <w:rsid w:val="00A748FB"/>
    <w:rsid w:val="00A74DD6"/>
    <w:rsid w:val="00A7570C"/>
    <w:rsid w:val="00A75D49"/>
    <w:rsid w:val="00A77F69"/>
    <w:rsid w:val="00A80985"/>
    <w:rsid w:val="00A87848"/>
    <w:rsid w:val="00A91258"/>
    <w:rsid w:val="00A913AC"/>
    <w:rsid w:val="00A9360D"/>
    <w:rsid w:val="00A95783"/>
    <w:rsid w:val="00A95980"/>
    <w:rsid w:val="00AA1BC9"/>
    <w:rsid w:val="00AA1C4C"/>
    <w:rsid w:val="00AA223A"/>
    <w:rsid w:val="00AA3FEA"/>
    <w:rsid w:val="00AA58D8"/>
    <w:rsid w:val="00AA5CE6"/>
    <w:rsid w:val="00AA70C5"/>
    <w:rsid w:val="00AB15FE"/>
    <w:rsid w:val="00AB2247"/>
    <w:rsid w:val="00AB4BA1"/>
    <w:rsid w:val="00AC100E"/>
    <w:rsid w:val="00AC5720"/>
    <w:rsid w:val="00AC5FF9"/>
    <w:rsid w:val="00AC62F3"/>
    <w:rsid w:val="00AC6582"/>
    <w:rsid w:val="00AC75AA"/>
    <w:rsid w:val="00AC76D9"/>
    <w:rsid w:val="00AD21CB"/>
    <w:rsid w:val="00AD238F"/>
    <w:rsid w:val="00AD41DE"/>
    <w:rsid w:val="00AD6683"/>
    <w:rsid w:val="00AE0401"/>
    <w:rsid w:val="00AE450D"/>
    <w:rsid w:val="00AE4E13"/>
    <w:rsid w:val="00AE5A2F"/>
    <w:rsid w:val="00AE7912"/>
    <w:rsid w:val="00AF27F5"/>
    <w:rsid w:val="00AF53ED"/>
    <w:rsid w:val="00AF5549"/>
    <w:rsid w:val="00AF5766"/>
    <w:rsid w:val="00AF6525"/>
    <w:rsid w:val="00AF6768"/>
    <w:rsid w:val="00AF6E4D"/>
    <w:rsid w:val="00B00A67"/>
    <w:rsid w:val="00B02798"/>
    <w:rsid w:val="00B02872"/>
    <w:rsid w:val="00B03138"/>
    <w:rsid w:val="00B033F0"/>
    <w:rsid w:val="00B03CD8"/>
    <w:rsid w:val="00B03EEE"/>
    <w:rsid w:val="00B03F4C"/>
    <w:rsid w:val="00B049A7"/>
    <w:rsid w:val="00B06906"/>
    <w:rsid w:val="00B13E0C"/>
    <w:rsid w:val="00B14C2B"/>
    <w:rsid w:val="00B16A3A"/>
    <w:rsid w:val="00B218ED"/>
    <w:rsid w:val="00B23533"/>
    <w:rsid w:val="00B23768"/>
    <w:rsid w:val="00B26C81"/>
    <w:rsid w:val="00B302C0"/>
    <w:rsid w:val="00B34167"/>
    <w:rsid w:val="00B37F3A"/>
    <w:rsid w:val="00B40CAB"/>
    <w:rsid w:val="00B41E9B"/>
    <w:rsid w:val="00B42255"/>
    <w:rsid w:val="00B440CA"/>
    <w:rsid w:val="00B44937"/>
    <w:rsid w:val="00B45101"/>
    <w:rsid w:val="00B45212"/>
    <w:rsid w:val="00B46AB6"/>
    <w:rsid w:val="00B51A9A"/>
    <w:rsid w:val="00B52F4C"/>
    <w:rsid w:val="00B5339D"/>
    <w:rsid w:val="00B61A2B"/>
    <w:rsid w:val="00B629A9"/>
    <w:rsid w:val="00B62C50"/>
    <w:rsid w:val="00B65FF2"/>
    <w:rsid w:val="00B701DB"/>
    <w:rsid w:val="00B7343F"/>
    <w:rsid w:val="00B73E4F"/>
    <w:rsid w:val="00B80FC0"/>
    <w:rsid w:val="00B8402B"/>
    <w:rsid w:val="00B86901"/>
    <w:rsid w:val="00B87132"/>
    <w:rsid w:val="00B9209B"/>
    <w:rsid w:val="00B923A4"/>
    <w:rsid w:val="00B9469E"/>
    <w:rsid w:val="00BA2C2A"/>
    <w:rsid w:val="00BA6491"/>
    <w:rsid w:val="00BA6E65"/>
    <w:rsid w:val="00BB3020"/>
    <w:rsid w:val="00BB337C"/>
    <w:rsid w:val="00BB4BFC"/>
    <w:rsid w:val="00BB6EF8"/>
    <w:rsid w:val="00BC1054"/>
    <w:rsid w:val="00BC38C5"/>
    <w:rsid w:val="00BC542E"/>
    <w:rsid w:val="00BD518E"/>
    <w:rsid w:val="00BD5A73"/>
    <w:rsid w:val="00BE1FBC"/>
    <w:rsid w:val="00BE469B"/>
    <w:rsid w:val="00BE58CB"/>
    <w:rsid w:val="00BE748B"/>
    <w:rsid w:val="00BF0669"/>
    <w:rsid w:val="00BF08D7"/>
    <w:rsid w:val="00BF4D6C"/>
    <w:rsid w:val="00BF57DE"/>
    <w:rsid w:val="00C01F87"/>
    <w:rsid w:val="00C02C81"/>
    <w:rsid w:val="00C04546"/>
    <w:rsid w:val="00C04EAE"/>
    <w:rsid w:val="00C07993"/>
    <w:rsid w:val="00C1026C"/>
    <w:rsid w:val="00C108B3"/>
    <w:rsid w:val="00C12A06"/>
    <w:rsid w:val="00C14E07"/>
    <w:rsid w:val="00C17863"/>
    <w:rsid w:val="00C21B03"/>
    <w:rsid w:val="00C21F7E"/>
    <w:rsid w:val="00C22329"/>
    <w:rsid w:val="00C226A9"/>
    <w:rsid w:val="00C26136"/>
    <w:rsid w:val="00C261A0"/>
    <w:rsid w:val="00C31BB8"/>
    <w:rsid w:val="00C327E2"/>
    <w:rsid w:val="00C34FCB"/>
    <w:rsid w:val="00C36E98"/>
    <w:rsid w:val="00C3721A"/>
    <w:rsid w:val="00C37DDC"/>
    <w:rsid w:val="00C40493"/>
    <w:rsid w:val="00C4176C"/>
    <w:rsid w:val="00C41778"/>
    <w:rsid w:val="00C45276"/>
    <w:rsid w:val="00C45989"/>
    <w:rsid w:val="00C507B7"/>
    <w:rsid w:val="00C50EF3"/>
    <w:rsid w:val="00C5360F"/>
    <w:rsid w:val="00C54BC1"/>
    <w:rsid w:val="00C560EC"/>
    <w:rsid w:val="00C57938"/>
    <w:rsid w:val="00C57FAF"/>
    <w:rsid w:val="00C651B0"/>
    <w:rsid w:val="00C71A4D"/>
    <w:rsid w:val="00C77361"/>
    <w:rsid w:val="00C80947"/>
    <w:rsid w:val="00C82711"/>
    <w:rsid w:val="00C8419A"/>
    <w:rsid w:val="00C84754"/>
    <w:rsid w:val="00C914C2"/>
    <w:rsid w:val="00C938EE"/>
    <w:rsid w:val="00C960B6"/>
    <w:rsid w:val="00C96B9D"/>
    <w:rsid w:val="00CA2A07"/>
    <w:rsid w:val="00CA2E94"/>
    <w:rsid w:val="00CA352A"/>
    <w:rsid w:val="00CA4010"/>
    <w:rsid w:val="00CA667C"/>
    <w:rsid w:val="00CA6D31"/>
    <w:rsid w:val="00CB19E8"/>
    <w:rsid w:val="00CB2D68"/>
    <w:rsid w:val="00CB3EB3"/>
    <w:rsid w:val="00CB6AC3"/>
    <w:rsid w:val="00CC024D"/>
    <w:rsid w:val="00CC040E"/>
    <w:rsid w:val="00CC4EC0"/>
    <w:rsid w:val="00CC605D"/>
    <w:rsid w:val="00CC610A"/>
    <w:rsid w:val="00CC77A1"/>
    <w:rsid w:val="00CD0B7B"/>
    <w:rsid w:val="00CD14BD"/>
    <w:rsid w:val="00CD6862"/>
    <w:rsid w:val="00CE05D0"/>
    <w:rsid w:val="00CE44C1"/>
    <w:rsid w:val="00CE4869"/>
    <w:rsid w:val="00CE5E58"/>
    <w:rsid w:val="00CE752A"/>
    <w:rsid w:val="00CF04EF"/>
    <w:rsid w:val="00CF162D"/>
    <w:rsid w:val="00CF409B"/>
    <w:rsid w:val="00CF4B19"/>
    <w:rsid w:val="00D01DA5"/>
    <w:rsid w:val="00D061E2"/>
    <w:rsid w:val="00D07846"/>
    <w:rsid w:val="00D10383"/>
    <w:rsid w:val="00D1042C"/>
    <w:rsid w:val="00D11D5E"/>
    <w:rsid w:val="00D131AE"/>
    <w:rsid w:val="00D1444C"/>
    <w:rsid w:val="00D15145"/>
    <w:rsid w:val="00D15EE6"/>
    <w:rsid w:val="00D166E0"/>
    <w:rsid w:val="00D20F86"/>
    <w:rsid w:val="00D22AF1"/>
    <w:rsid w:val="00D27922"/>
    <w:rsid w:val="00D307FF"/>
    <w:rsid w:val="00D31566"/>
    <w:rsid w:val="00D342B4"/>
    <w:rsid w:val="00D3620B"/>
    <w:rsid w:val="00D37791"/>
    <w:rsid w:val="00D40D46"/>
    <w:rsid w:val="00D42D22"/>
    <w:rsid w:val="00D440A0"/>
    <w:rsid w:val="00D51A47"/>
    <w:rsid w:val="00D61085"/>
    <w:rsid w:val="00D614EF"/>
    <w:rsid w:val="00D629AF"/>
    <w:rsid w:val="00D6315E"/>
    <w:rsid w:val="00D633BC"/>
    <w:rsid w:val="00D66432"/>
    <w:rsid w:val="00D67507"/>
    <w:rsid w:val="00D70900"/>
    <w:rsid w:val="00D73985"/>
    <w:rsid w:val="00D73A08"/>
    <w:rsid w:val="00D7454A"/>
    <w:rsid w:val="00D75914"/>
    <w:rsid w:val="00D75AE7"/>
    <w:rsid w:val="00D7661E"/>
    <w:rsid w:val="00D76C20"/>
    <w:rsid w:val="00D76FDA"/>
    <w:rsid w:val="00D82BF0"/>
    <w:rsid w:val="00D912D5"/>
    <w:rsid w:val="00D91599"/>
    <w:rsid w:val="00D93419"/>
    <w:rsid w:val="00D94182"/>
    <w:rsid w:val="00D941D3"/>
    <w:rsid w:val="00D963DE"/>
    <w:rsid w:val="00D974D5"/>
    <w:rsid w:val="00D97511"/>
    <w:rsid w:val="00DA364E"/>
    <w:rsid w:val="00DA36AE"/>
    <w:rsid w:val="00DA3711"/>
    <w:rsid w:val="00DA490A"/>
    <w:rsid w:val="00DA6764"/>
    <w:rsid w:val="00DA7205"/>
    <w:rsid w:val="00DA7666"/>
    <w:rsid w:val="00DB11D2"/>
    <w:rsid w:val="00DB20C8"/>
    <w:rsid w:val="00DB4E75"/>
    <w:rsid w:val="00DB6C65"/>
    <w:rsid w:val="00DC0642"/>
    <w:rsid w:val="00DC22B5"/>
    <w:rsid w:val="00DC3901"/>
    <w:rsid w:val="00DC5622"/>
    <w:rsid w:val="00DC5928"/>
    <w:rsid w:val="00DC734F"/>
    <w:rsid w:val="00DD1483"/>
    <w:rsid w:val="00DD1F85"/>
    <w:rsid w:val="00DD4B6B"/>
    <w:rsid w:val="00DD5B5F"/>
    <w:rsid w:val="00DD6CE8"/>
    <w:rsid w:val="00DE0312"/>
    <w:rsid w:val="00DE278D"/>
    <w:rsid w:val="00DE3C05"/>
    <w:rsid w:val="00DE5215"/>
    <w:rsid w:val="00DF0644"/>
    <w:rsid w:val="00DF19BD"/>
    <w:rsid w:val="00DF4CEA"/>
    <w:rsid w:val="00DF508F"/>
    <w:rsid w:val="00E00084"/>
    <w:rsid w:val="00E01A76"/>
    <w:rsid w:val="00E023B7"/>
    <w:rsid w:val="00E026AF"/>
    <w:rsid w:val="00E0404E"/>
    <w:rsid w:val="00E04924"/>
    <w:rsid w:val="00E0550D"/>
    <w:rsid w:val="00E10423"/>
    <w:rsid w:val="00E109C4"/>
    <w:rsid w:val="00E10F2E"/>
    <w:rsid w:val="00E131E0"/>
    <w:rsid w:val="00E13FEE"/>
    <w:rsid w:val="00E16A18"/>
    <w:rsid w:val="00E17587"/>
    <w:rsid w:val="00E20E42"/>
    <w:rsid w:val="00E234B4"/>
    <w:rsid w:val="00E242D0"/>
    <w:rsid w:val="00E25E18"/>
    <w:rsid w:val="00E2613C"/>
    <w:rsid w:val="00E262E4"/>
    <w:rsid w:val="00E3038A"/>
    <w:rsid w:val="00E31850"/>
    <w:rsid w:val="00E33DF7"/>
    <w:rsid w:val="00E357CF"/>
    <w:rsid w:val="00E374AC"/>
    <w:rsid w:val="00E3751D"/>
    <w:rsid w:val="00E428DC"/>
    <w:rsid w:val="00E47114"/>
    <w:rsid w:val="00E47FDE"/>
    <w:rsid w:val="00E53137"/>
    <w:rsid w:val="00E5320B"/>
    <w:rsid w:val="00E54641"/>
    <w:rsid w:val="00E554E0"/>
    <w:rsid w:val="00E5566E"/>
    <w:rsid w:val="00E55690"/>
    <w:rsid w:val="00E61E2D"/>
    <w:rsid w:val="00E6453F"/>
    <w:rsid w:val="00E66FE9"/>
    <w:rsid w:val="00E675B9"/>
    <w:rsid w:val="00E70518"/>
    <w:rsid w:val="00E718A1"/>
    <w:rsid w:val="00E75311"/>
    <w:rsid w:val="00E755BB"/>
    <w:rsid w:val="00E76524"/>
    <w:rsid w:val="00E76729"/>
    <w:rsid w:val="00E76F9F"/>
    <w:rsid w:val="00E8121D"/>
    <w:rsid w:val="00E81686"/>
    <w:rsid w:val="00E81AD7"/>
    <w:rsid w:val="00E8230F"/>
    <w:rsid w:val="00E83E99"/>
    <w:rsid w:val="00E873D5"/>
    <w:rsid w:val="00E93D5A"/>
    <w:rsid w:val="00E953F0"/>
    <w:rsid w:val="00E95CFB"/>
    <w:rsid w:val="00EA1EC5"/>
    <w:rsid w:val="00EA27BD"/>
    <w:rsid w:val="00EB0393"/>
    <w:rsid w:val="00EB041C"/>
    <w:rsid w:val="00EB066B"/>
    <w:rsid w:val="00EB282C"/>
    <w:rsid w:val="00EB47DD"/>
    <w:rsid w:val="00EB5DD6"/>
    <w:rsid w:val="00EC36E6"/>
    <w:rsid w:val="00EC5BC3"/>
    <w:rsid w:val="00EC7F66"/>
    <w:rsid w:val="00EE4E12"/>
    <w:rsid w:val="00EE59F7"/>
    <w:rsid w:val="00EF1409"/>
    <w:rsid w:val="00EF3533"/>
    <w:rsid w:val="00EF3E95"/>
    <w:rsid w:val="00EF491B"/>
    <w:rsid w:val="00EF4CDE"/>
    <w:rsid w:val="00EF5528"/>
    <w:rsid w:val="00EF6B66"/>
    <w:rsid w:val="00EF75B9"/>
    <w:rsid w:val="00F01018"/>
    <w:rsid w:val="00F0360D"/>
    <w:rsid w:val="00F04DCE"/>
    <w:rsid w:val="00F07B0A"/>
    <w:rsid w:val="00F11843"/>
    <w:rsid w:val="00F169C9"/>
    <w:rsid w:val="00F21424"/>
    <w:rsid w:val="00F230D9"/>
    <w:rsid w:val="00F2314E"/>
    <w:rsid w:val="00F23D40"/>
    <w:rsid w:val="00F305AB"/>
    <w:rsid w:val="00F31266"/>
    <w:rsid w:val="00F33639"/>
    <w:rsid w:val="00F33C3D"/>
    <w:rsid w:val="00F376B4"/>
    <w:rsid w:val="00F40E0C"/>
    <w:rsid w:val="00F46E46"/>
    <w:rsid w:val="00F46E96"/>
    <w:rsid w:val="00F46EDB"/>
    <w:rsid w:val="00F50534"/>
    <w:rsid w:val="00F514DF"/>
    <w:rsid w:val="00F53380"/>
    <w:rsid w:val="00F56B70"/>
    <w:rsid w:val="00F610F9"/>
    <w:rsid w:val="00F65295"/>
    <w:rsid w:val="00F6555C"/>
    <w:rsid w:val="00F677D5"/>
    <w:rsid w:val="00F70D61"/>
    <w:rsid w:val="00F72C0C"/>
    <w:rsid w:val="00F73587"/>
    <w:rsid w:val="00F74CCD"/>
    <w:rsid w:val="00F8384F"/>
    <w:rsid w:val="00F8646D"/>
    <w:rsid w:val="00F86B38"/>
    <w:rsid w:val="00F9011F"/>
    <w:rsid w:val="00F905C3"/>
    <w:rsid w:val="00F91A0A"/>
    <w:rsid w:val="00F95F76"/>
    <w:rsid w:val="00F970B9"/>
    <w:rsid w:val="00FA0703"/>
    <w:rsid w:val="00FA0C45"/>
    <w:rsid w:val="00FA2D2E"/>
    <w:rsid w:val="00FA2D53"/>
    <w:rsid w:val="00FA6E0E"/>
    <w:rsid w:val="00FA7CCC"/>
    <w:rsid w:val="00FB0D6A"/>
    <w:rsid w:val="00FB0EC0"/>
    <w:rsid w:val="00FB27E5"/>
    <w:rsid w:val="00FB6B7A"/>
    <w:rsid w:val="00FC2505"/>
    <w:rsid w:val="00FD16B4"/>
    <w:rsid w:val="00FD195A"/>
    <w:rsid w:val="00FD1C5F"/>
    <w:rsid w:val="00FD2832"/>
    <w:rsid w:val="00FD3FDB"/>
    <w:rsid w:val="00FE1573"/>
    <w:rsid w:val="00FE47E5"/>
    <w:rsid w:val="00FE4E7B"/>
    <w:rsid w:val="00FF1662"/>
    <w:rsid w:val="00FF3C78"/>
    <w:rsid w:val="00FF44EB"/>
    <w:rsid w:val="00FF4F78"/>
    <w:rsid w:val="01784461"/>
    <w:rsid w:val="01F02A75"/>
    <w:rsid w:val="04DD7BCE"/>
    <w:rsid w:val="05F70675"/>
    <w:rsid w:val="0600538F"/>
    <w:rsid w:val="067957A7"/>
    <w:rsid w:val="06AE09A7"/>
    <w:rsid w:val="06C21E07"/>
    <w:rsid w:val="08BD0259"/>
    <w:rsid w:val="0BA969D1"/>
    <w:rsid w:val="0C8D4A8F"/>
    <w:rsid w:val="0D3432C9"/>
    <w:rsid w:val="0F5D1B50"/>
    <w:rsid w:val="10E75B49"/>
    <w:rsid w:val="15B51366"/>
    <w:rsid w:val="1789587C"/>
    <w:rsid w:val="17C35896"/>
    <w:rsid w:val="183763C9"/>
    <w:rsid w:val="1A236D37"/>
    <w:rsid w:val="1D5A4A59"/>
    <w:rsid w:val="1E9E6C97"/>
    <w:rsid w:val="21EE6797"/>
    <w:rsid w:val="226276D6"/>
    <w:rsid w:val="25F25E6C"/>
    <w:rsid w:val="27DB66AA"/>
    <w:rsid w:val="2A817E34"/>
    <w:rsid w:val="2A976494"/>
    <w:rsid w:val="2D0C2864"/>
    <w:rsid w:val="2DC40B01"/>
    <w:rsid w:val="2ECF624A"/>
    <w:rsid w:val="30A60CBB"/>
    <w:rsid w:val="30EE30BF"/>
    <w:rsid w:val="312A3580"/>
    <w:rsid w:val="31370345"/>
    <w:rsid w:val="359A3F9A"/>
    <w:rsid w:val="38687ACA"/>
    <w:rsid w:val="38D718DA"/>
    <w:rsid w:val="392153D0"/>
    <w:rsid w:val="3A073744"/>
    <w:rsid w:val="3A486AE2"/>
    <w:rsid w:val="3B8A002F"/>
    <w:rsid w:val="3BAA11E8"/>
    <w:rsid w:val="3F6128C5"/>
    <w:rsid w:val="41B8044D"/>
    <w:rsid w:val="440D301E"/>
    <w:rsid w:val="44481229"/>
    <w:rsid w:val="477C610A"/>
    <w:rsid w:val="4C07139B"/>
    <w:rsid w:val="4C930EF0"/>
    <w:rsid w:val="53B53039"/>
    <w:rsid w:val="54DD3FED"/>
    <w:rsid w:val="54FC220B"/>
    <w:rsid w:val="59D10ACB"/>
    <w:rsid w:val="5BB15003"/>
    <w:rsid w:val="5DF85D1E"/>
    <w:rsid w:val="5E1C087E"/>
    <w:rsid w:val="62006B5F"/>
    <w:rsid w:val="63AB4105"/>
    <w:rsid w:val="6428515D"/>
    <w:rsid w:val="64D702A7"/>
    <w:rsid w:val="666779F0"/>
    <w:rsid w:val="68484E20"/>
    <w:rsid w:val="6AFE5116"/>
    <w:rsid w:val="6C6026B4"/>
    <w:rsid w:val="703B2F32"/>
    <w:rsid w:val="7723656D"/>
    <w:rsid w:val="78D804AD"/>
    <w:rsid w:val="7B797FB2"/>
    <w:rsid w:val="7BFD3CA8"/>
    <w:rsid w:val="7E4563C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nhideWhenUsed="0"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iPriority="0" w:name="Document Map"/>
    <w:lsdException w:qFormat="1" w:unhideWhenUsed="0" w:uiPriority="0" w:semiHidden="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黑体"/>
      <w:sz w:val="22"/>
      <w:szCs w:val="22"/>
      <w:lang w:val="en-US" w:eastAsia="zh-CN" w:bidi="ar-SA"/>
    </w:rPr>
  </w:style>
  <w:style w:type="paragraph" w:styleId="2">
    <w:name w:val="heading 1"/>
    <w:basedOn w:val="1"/>
    <w:next w:val="1"/>
    <w:link w:val="34"/>
    <w:qFormat/>
    <w:uiPriority w:val="0"/>
    <w:pPr>
      <w:keepNext/>
      <w:keepLines/>
      <w:widowControl w:val="0"/>
      <w:tabs>
        <w:tab w:val="left" w:pos="425"/>
      </w:tabs>
      <w:adjustRightInd/>
      <w:snapToGrid/>
      <w:spacing w:before="340" w:after="330" w:line="576" w:lineRule="auto"/>
      <w:ind w:left="425" w:hanging="425"/>
      <w:jc w:val="both"/>
      <w:outlineLvl w:val="0"/>
    </w:pPr>
    <w:rPr>
      <w:rFonts w:ascii="Times New Roman" w:hAnsi="Times New Roman" w:eastAsia="宋体" w:cs="Times New Roman"/>
      <w:b/>
      <w:kern w:val="44"/>
      <w:sz w:val="44"/>
      <w:szCs w:val="20"/>
    </w:rPr>
  </w:style>
  <w:style w:type="paragraph" w:styleId="3">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9"/>
    <w:semiHidden/>
    <w:unhideWhenUsed/>
    <w:qFormat/>
    <w:uiPriority w:val="0"/>
    <w:rPr>
      <w:rFonts w:ascii="宋体" w:eastAsia="宋体"/>
      <w:sz w:val="18"/>
      <w:szCs w:val="18"/>
    </w:rPr>
  </w:style>
  <w:style w:type="paragraph" w:styleId="6">
    <w:name w:val="annotation text"/>
    <w:basedOn w:val="1"/>
    <w:link w:val="35"/>
    <w:qFormat/>
    <w:uiPriority w:val="99"/>
    <w:pPr>
      <w:widowControl w:val="0"/>
      <w:adjustRightInd/>
      <w:snapToGrid/>
      <w:spacing w:after="0"/>
    </w:pPr>
    <w:rPr>
      <w:rFonts w:ascii="Times New Roman" w:hAnsi="Times New Roman" w:eastAsia="宋体" w:cs="Times New Roman"/>
      <w:kern w:val="2"/>
      <w:sz w:val="21"/>
      <w:szCs w:val="20"/>
    </w:rPr>
  </w:style>
  <w:style w:type="paragraph" w:styleId="7">
    <w:name w:val="Plain Text"/>
    <w:basedOn w:val="1"/>
    <w:link w:val="36"/>
    <w:qFormat/>
    <w:uiPriority w:val="0"/>
    <w:pPr>
      <w:widowControl w:val="0"/>
      <w:adjustRightInd/>
      <w:snapToGrid/>
      <w:spacing w:after="0"/>
      <w:jc w:val="both"/>
    </w:pPr>
    <w:rPr>
      <w:rFonts w:ascii="宋体" w:hAnsi="Courier New" w:eastAsia="宋体" w:cs="Times New Roman"/>
      <w:kern w:val="2"/>
      <w:sz w:val="21"/>
      <w:szCs w:val="20"/>
    </w:rPr>
  </w:style>
  <w:style w:type="paragraph" w:styleId="8">
    <w:name w:val="Date"/>
    <w:basedOn w:val="1"/>
    <w:next w:val="1"/>
    <w:link w:val="33"/>
    <w:semiHidden/>
    <w:unhideWhenUsed/>
    <w:qFormat/>
    <w:uiPriority w:val="99"/>
    <w:pPr>
      <w:ind w:left="100" w:leftChars="2500"/>
    </w:pPr>
  </w:style>
  <w:style w:type="paragraph" w:styleId="9">
    <w:name w:val="Balloon Text"/>
    <w:basedOn w:val="1"/>
    <w:link w:val="32"/>
    <w:semiHidden/>
    <w:unhideWhenUsed/>
    <w:qFormat/>
    <w:uiPriority w:val="99"/>
    <w:pPr>
      <w:spacing w:after="0"/>
    </w:pPr>
    <w:rPr>
      <w:sz w:val="18"/>
      <w:szCs w:val="18"/>
    </w:rPr>
  </w:style>
  <w:style w:type="paragraph" w:styleId="10">
    <w:name w:val="footer"/>
    <w:basedOn w:val="1"/>
    <w:link w:val="30"/>
    <w:unhideWhenUsed/>
    <w:qFormat/>
    <w:uiPriority w:val="99"/>
    <w:pPr>
      <w:tabs>
        <w:tab w:val="center" w:pos="4153"/>
        <w:tab w:val="right" w:pos="8306"/>
      </w:tabs>
    </w:pPr>
    <w:rPr>
      <w:sz w:val="18"/>
      <w:szCs w:val="18"/>
    </w:rPr>
  </w:style>
  <w:style w:type="paragraph" w:styleId="11">
    <w:name w:val="header"/>
    <w:basedOn w:val="1"/>
    <w:link w:val="29"/>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val="0"/>
      <w:tabs>
        <w:tab w:val="right" w:leader="dot" w:pos="8222"/>
      </w:tabs>
      <w:snapToGrid/>
      <w:spacing w:after="0" w:line="360" w:lineRule="auto"/>
      <w:ind w:right="88" w:rightChars="40" w:firstLine="12" w:firstLineChars="5"/>
      <w:jc w:val="distribute"/>
    </w:pPr>
    <w:rPr>
      <w:rFonts w:ascii="宋体" w:hAnsi="宋体" w:eastAsia="宋体" w:cs="Times New Roman"/>
      <w:bCs/>
      <w:caps/>
      <w:kern w:val="2"/>
      <w:sz w:val="24"/>
      <w:szCs w:val="24"/>
    </w:rPr>
  </w:style>
  <w:style w:type="paragraph" w:styleId="13">
    <w:name w:val="toc 2"/>
    <w:basedOn w:val="1"/>
    <w:next w:val="1"/>
    <w:qFormat/>
    <w:uiPriority w:val="39"/>
    <w:pPr>
      <w:widowControl w:val="0"/>
      <w:tabs>
        <w:tab w:val="right" w:leader="dot" w:pos="8222"/>
      </w:tabs>
      <w:adjustRightInd/>
      <w:snapToGrid/>
      <w:spacing w:after="0" w:line="360" w:lineRule="auto"/>
      <w:ind w:left="210"/>
    </w:pPr>
    <w:rPr>
      <w:rFonts w:ascii="Times New Roman" w:hAnsi="Times New Roman" w:eastAsia="宋体" w:cs="Times New Roman"/>
      <w:smallCaps/>
      <w:kern w:val="2"/>
      <w:sz w:val="20"/>
      <w:szCs w:val="20"/>
    </w:rPr>
  </w:style>
  <w:style w:type="paragraph" w:styleId="14">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5">
    <w:name w:val="Title"/>
    <w:basedOn w:val="1"/>
    <w:next w:val="1"/>
    <w:link w:val="41"/>
    <w:qFormat/>
    <w:uiPriority w:val="10"/>
    <w:pPr>
      <w:spacing w:before="240" w:after="60"/>
      <w:jc w:val="center"/>
      <w:outlineLvl w:val="0"/>
    </w:pPr>
    <w:rPr>
      <w:rFonts w:eastAsia="宋体" w:asciiTheme="majorHAnsi" w:hAnsiTheme="majorHAnsi" w:cstheme="majorBidi"/>
      <w:b/>
      <w:bCs/>
      <w:sz w:val="32"/>
      <w:szCs w:val="32"/>
    </w:rPr>
  </w:style>
  <w:style w:type="table" w:styleId="17">
    <w:name w:val="Table Gri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FollowedHyperlink"/>
    <w:basedOn w:val="18"/>
    <w:semiHidden/>
    <w:unhideWhenUsed/>
    <w:qFormat/>
    <w:uiPriority w:val="0"/>
    <w:rPr>
      <w:color w:val="800080" w:themeColor="followedHyperlink"/>
      <w:u w:val="single"/>
      <w14:textFill>
        <w14:solidFill>
          <w14:schemeClr w14:val="folHlink"/>
        </w14:solidFill>
      </w14:textFill>
    </w:rPr>
  </w:style>
  <w:style w:type="character" w:styleId="21">
    <w:name w:val="Emphasis"/>
    <w:basedOn w:val="18"/>
    <w:qFormat/>
    <w:uiPriority w:val="20"/>
    <w:rPr>
      <w:i/>
      <w:iCs/>
    </w:rPr>
  </w:style>
  <w:style w:type="character" w:styleId="22">
    <w:name w:val="Hyperlink"/>
    <w:qFormat/>
    <w:uiPriority w:val="99"/>
    <w:rPr>
      <w:color w:val="0000FF"/>
      <w:u w:val="single"/>
    </w:rPr>
  </w:style>
  <w:style w:type="character" w:styleId="23">
    <w:name w:val="annotation reference"/>
    <w:qFormat/>
    <w:uiPriority w:val="99"/>
    <w:rPr>
      <w:sz w:val="21"/>
      <w:szCs w:val="21"/>
    </w:rPr>
  </w:style>
  <w:style w:type="paragraph" w:customStyle="1" w:styleId="24">
    <w:name w:val="章"/>
    <w:basedOn w:val="1"/>
    <w:link w:val="31"/>
    <w:qFormat/>
    <w:uiPriority w:val="99"/>
    <w:pPr>
      <w:widowControl w:val="0"/>
      <w:adjustRightInd/>
      <w:snapToGrid/>
      <w:spacing w:beforeLines="100" w:afterLines="100" w:line="300" w:lineRule="auto"/>
      <w:jc w:val="center"/>
      <w:outlineLvl w:val="0"/>
    </w:pPr>
    <w:rPr>
      <w:rFonts w:ascii="Times New Roman" w:hAnsi="Times New Roman" w:eastAsia="宋体" w:cs="Times New Roman"/>
      <w:b/>
      <w:kern w:val="2"/>
      <w:sz w:val="28"/>
      <w:szCs w:val="20"/>
    </w:rPr>
  </w:style>
  <w:style w:type="paragraph" w:customStyle="1" w:styleId="25">
    <w:name w:val="节"/>
    <w:basedOn w:val="1"/>
    <w:qFormat/>
    <w:uiPriority w:val="99"/>
    <w:pPr>
      <w:widowControl w:val="0"/>
      <w:adjustRightInd/>
      <w:snapToGrid/>
      <w:spacing w:beforeLines="100" w:afterLines="100" w:line="300" w:lineRule="auto"/>
      <w:jc w:val="center"/>
      <w:outlineLvl w:val="1"/>
    </w:pPr>
    <w:rPr>
      <w:rFonts w:ascii="Times New Roman" w:hAnsi="Times New Roman" w:eastAsia="宋体" w:cs="Times New Roman"/>
      <w:b/>
      <w:kern w:val="2"/>
      <w:sz w:val="24"/>
      <w:szCs w:val="20"/>
    </w:rPr>
  </w:style>
  <w:style w:type="paragraph" w:customStyle="1" w:styleId="26">
    <w:name w:val="列出段落1"/>
    <w:basedOn w:val="1"/>
    <w:link w:val="37"/>
    <w:qFormat/>
    <w:uiPriority w:val="99"/>
    <w:pPr>
      <w:ind w:firstLine="420" w:firstLineChars="200"/>
    </w:pPr>
  </w:style>
  <w:style w:type="paragraph" w:customStyle="1" w:styleId="27">
    <w:name w:val="Char1 Char Char Char"/>
    <w:basedOn w:val="1"/>
    <w:qFormat/>
    <w:uiPriority w:val="0"/>
    <w:pPr>
      <w:adjustRightInd/>
      <w:snapToGrid/>
      <w:spacing w:after="160" w:line="240" w:lineRule="exact"/>
      <w:ind w:firstLine="200" w:firstLineChars="200"/>
    </w:pPr>
    <w:rPr>
      <w:rFonts w:ascii="Times New Roman" w:hAnsi="Times New Roman" w:eastAsia="宋体" w:cs="Times New Roman"/>
      <w:kern w:val="2"/>
      <w:sz w:val="21"/>
      <w:szCs w:val="20"/>
    </w:rPr>
  </w:style>
  <w:style w:type="paragraph" w:customStyle="1" w:styleId="28">
    <w:name w:val="条文"/>
    <w:basedOn w:val="1"/>
    <w:qFormat/>
    <w:uiPriority w:val="99"/>
    <w:pPr>
      <w:widowControl w:val="0"/>
      <w:adjustRightInd/>
      <w:snapToGrid/>
      <w:spacing w:after="0" w:line="240" w:lineRule="atLeast"/>
      <w:jc w:val="both"/>
    </w:pPr>
    <w:rPr>
      <w:rFonts w:ascii="Times New Roman" w:hAnsi="Times New Roman" w:eastAsia="宋体" w:cs="Times New Roman"/>
      <w:kern w:val="2"/>
      <w:sz w:val="24"/>
      <w:szCs w:val="20"/>
    </w:rPr>
  </w:style>
  <w:style w:type="character" w:customStyle="1" w:styleId="29">
    <w:name w:val="页眉 字符"/>
    <w:basedOn w:val="18"/>
    <w:link w:val="11"/>
    <w:qFormat/>
    <w:uiPriority w:val="99"/>
    <w:rPr>
      <w:rFonts w:ascii="Tahoma" w:hAnsi="Tahoma"/>
      <w:sz w:val="18"/>
      <w:szCs w:val="18"/>
    </w:rPr>
  </w:style>
  <w:style w:type="character" w:customStyle="1" w:styleId="30">
    <w:name w:val="页脚 字符"/>
    <w:basedOn w:val="18"/>
    <w:link w:val="10"/>
    <w:qFormat/>
    <w:uiPriority w:val="99"/>
    <w:rPr>
      <w:rFonts w:ascii="Tahoma" w:hAnsi="Tahoma"/>
      <w:sz w:val="18"/>
      <w:szCs w:val="18"/>
    </w:rPr>
  </w:style>
  <w:style w:type="character" w:customStyle="1" w:styleId="31">
    <w:name w:val="章 Char"/>
    <w:link w:val="24"/>
    <w:qFormat/>
    <w:uiPriority w:val="99"/>
    <w:rPr>
      <w:rFonts w:ascii="Times New Roman" w:hAnsi="Times New Roman" w:eastAsia="宋体" w:cs="Times New Roman"/>
      <w:b/>
      <w:kern w:val="2"/>
      <w:sz w:val="28"/>
      <w:szCs w:val="20"/>
    </w:rPr>
  </w:style>
  <w:style w:type="character" w:customStyle="1" w:styleId="32">
    <w:name w:val="批注框文本 字符"/>
    <w:basedOn w:val="18"/>
    <w:link w:val="9"/>
    <w:semiHidden/>
    <w:qFormat/>
    <w:uiPriority w:val="99"/>
    <w:rPr>
      <w:rFonts w:ascii="Tahoma" w:hAnsi="Tahoma"/>
      <w:sz w:val="18"/>
      <w:szCs w:val="18"/>
    </w:rPr>
  </w:style>
  <w:style w:type="character" w:customStyle="1" w:styleId="33">
    <w:name w:val="日期 字符"/>
    <w:basedOn w:val="18"/>
    <w:link w:val="8"/>
    <w:semiHidden/>
    <w:qFormat/>
    <w:uiPriority w:val="99"/>
    <w:rPr>
      <w:rFonts w:ascii="Tahoma" w:hAnsi="Tahoma"/>
    </w:rPr>
  </w:style>
  <w:style w:type="character" w:customStyle="1" w:styleId="34">
    <w:name w:val="标题 1 字符"/>
    <w:basedOn w:val="18"/>
    <w:link w:val="2"/>
    <w:qFormat/>
    <w:uiPriority w:val="0"/>
    <w:rPr>
      <w:rFonts w:ascii="Times New Roman" w:hAnsi="Times New Roman" w:eastAsia="宋体" w:cs="Times New Roman"/>
      <w:b/>
      <w:kern w:val="44"/>
      <w:sz w:val="44"/>
      <w:szCs w:val="20"/>
    </w:rPr>
  </w:style>
  <w:style w:type="character" w:customStyle="1" w:styleId="35">
    <w:name w:val="批注文字 字符"/>
    <w:basedOn w:val="18"/>
    <w:link w:val="6"/>
    <w:qFormat/>
    <w:uiPriority w:val="99"/>
    <w:rPr>
      <w:rFonts w:ascii="Times New Roman" w:hAnsi="Times New Roman" w:eastAsia="宋体" w:cs="Times New Roman"/>
      <w:kern w:val="2"/>
      <w:sz w:val="21"/>
      <w:szCs w:val="20"/>
    </w:rPr>
  </w:style>
  <w:style w:type="character" w:customStyle="1" w:styleId="36">
    <w:name w:val="纯文本 字符"/>
    <w:basedOn w:val="18"/>
    <w:link w:val="7"/>
    <w:qFormat/>
    <w:uiPriority w:val="0"/>
    <w:rPr>
      <w:rFonts w:ascii="宋体" w:hAnsi="Courier New" w:eastAsia="宋体" w:cs="Times New Roman"/>
      <w:kern w:val="2"/>
      <w:sz w:val="21"/>
      <w:szCs w:val="20"/>
    </w:rPr>
  </w:style>
  <w:style w:type="character" w:customStyle="1" w:styleId="37">
    <w:name w:val="列出段落 Char"/>
    <w:link w:val="26"/>
    <w:qFormat/>
    <w:locked/>
    <w:uiPriority w:val="99"/>
    <w:rPr>
      <w:rFonts w:ascii="Tahoma" w:hAnsi="Tahoma"/>
    </w:rPr>
  </w:style>
  <w:style w:type="paragraph" w:styleId="38">
    <w:name w:val="List Paragraph"/>
    <w:basedOn w:val="1"/>
    <w:qFormat/>
    <w:uiPriority w:val="34"/>
    <w:pPr>
      <w:ind w:firstLine="420" w:firstLineChars="200"/>
    </w:pPr>
  </w:style>
  <w:style w:type="character" w:customStyle="1" w:styleId="39">
    <w:name w:val="文档结构图 字符"/>
    <w:basedOn w:val="18"/>
    <w:link w:val="5"/>
    <w:semiHidden/>
    <w:qFormat/>
    <w:uiPriority w:val="0"/>
    <w:rPr>
      <w:rFonts w:ascii="宋体" w:hAnsi="Tahoma" w:eastAsia="宋体" w:cs="黑体"/>
      <w:sz w:val="18"/>
      <w:szCs w:val="18"/>
    </w:rPr>
  </w:style>
  <w:style w:type="paragraph" w:customStyle="1" w:styleId="40">
    <w:name w:val="ordinary-output"/>
    <w:basedOn w:val="1"/>
    <w:qFormat/>
    <w:uiPriority w:val="0"/>
    <w:pPr>
      <w:spacing w:before="100" w:beforeAutospacing="1" w:after="63" w:line="275" w:lineRule="atLeast"/>
    </w:pPr>
    <w:rPr>
      <w:rFonts w:ascii="宋体" w:hAnsi="宋体" w:eastAsia="宋体" w:cs="宋体"/>
      <w:color w:val="333333"/>
      <w:sz w:val="18"/>
      <w:szCs w:val="18"/>
    </w:rPr>
  </w:style>
  <w:style w:type="character" w:customStyle="1" w:styleId="41">
    <w:name w:val="标题 字符"/>
    <w:basedOn w:val="18"/>
    <w:link w:val="15"/>
    <w:qFormat/>
    <w:uiPriority w:val="10"/>
    <w:rPr>
      <w:rFonts w:asciiTheme="majorHAnsi" w:hAnsiTheme="majorHAnsi" w:cstheme="majorBidi"/>
      <w:b/>
      <w:bCs/>
      <w:sz w:val="32"/>
      <w:szCs w:val="32"/>
    </w:rPr>
  </w:style>
  <w:style w:type="character" w:customStyle="1" w:styleId="42">
    <w:name w:val="标题 2 字符"/>
    <w:basedOn w:val="18"/>
    <w:link w:val="3"/>
    <w:qFormat/>
    <w:uiPriority w:val="9"/>
    <w:rPr>
      <w:rFonts w:asciiTheme="majorHAnsi" w:hAnsiTheme="majorHAnsi" w:eastAsiaTheme="majorEastAsia" w:cstheme="majorBidi"/>
      <w:b/>
      <w:bCs/>
      <w:sz w:val="32"/>
      <w:szCs w:val="32"/>
    </w:rPr>
  </w:style>
  <w:style w:type="character" w:customStyle="1" w:styleId="43">
    <w:name w:val="标题 3 字符"/>
    <w:basedOn w:val="18"/>
    <w:link w:val="4"/>
    <w:semiHidden/>
    <w:qFormat/>
    <w:uiPriority w:val="9"/>
    <w:rPr>
      <w:rFonts w:ascii="Tahoma" w:hAnsi="Tahoma" w:eastAsia="微软雅黑" w:cs="黑体"/>
      <w:b/>
      <w:bCs/>
      <w:sz w:val="32"/>
      <w:szCs w:val="32"/>
    </w:rPr>
  </w:style>
  <w:style w:type="table" w:customStyle="1" w:styleId="44">
    <w:name w:val="网格型浅色1"/>
    <w:basedOn w:val="1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image" Target="media/image1.png"/><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jpeg"/><Relationship Id="rId74" Type="http://schemas.openxmlformats.org/officeDocument/2006/relationships/image" Target="media/image48.wmf"/><Relationship Id="rId73" Type="http://schemas.openxmlformats.org/officeDocument/2006/relationships/oleObject" Target="embeddings/oleObject20.bin"/><Relationship Id="rId72" Type="http://schemas.openxmlformats.org/officeDocument/2006/relationships/image" Target="media/image47.wmf"/><Relationship Id="rId71" Type="http://schemas.openxmlformats.org/officeDocument/2006/relationships/oleObject" Target="embeddings/oleObject19.bin"/><Relationship Id="rId70" Type="http://schemas.openxmlformats.org/officeDocument/2006/relationships/image" Target="media/image46.png"/><Relationship Id="rId7" Type="http://schemas.openxmlformats.org/officeDocument/2006/relationships/oleObject" Target="embeddings/oleObject1.bin"/><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theme" Target="theme/theme1.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2.xml"/><Relationship Id="rId49" Type="http://schemas.openxmlformats.org/officeDocument/2006/relationships/image" Target="media/image25.png"/><Relationship Id="rId48" Type="http://schemas.openxmlformats.org/officeDocument/2006/relationships/image" Target="media/image24.wmf"/><Relationship Id="rId47" Type="http://schemas.openxmlformats.org/officeDocument/2006/relationships/image" Target="media/image23.wmf"/><Relationship Id="rId46" Type="http://schemas.openxmlformats.org/officeDocument/2006/relationships/image" Target="media/image22.wmf"/><Relationship Id="rId45" Type="http://schemas.openxmlformats.org/officeDocument/2006/relationships/oleObject" Target="embeddings/oleObject18.bin"/><Relationship Id="rId44" Type="http://schemas.openxmlformats.org/officeDocument/2006/relationships/image" Target="media/image21.wmf"/><Relationship Id="rId43" Type="http://schemas.openxmlformats.org/officeDocument/2006/relationships/oleObject" Target="embeddings/oleObject17.bin"/><Relationship Id="rId42" Type="http://schemas.openxmlformats.org/officeDocument/2006/relationships/image" Target="media/image20.wmf"/><Relationship Id="rId41" Type="http://schemas.openxmlformats.org/officeDocument/2006/relationships/oleObject" Target="embeddings/oleObject16.bin"/><Relationship Id="rId40" Type="http://schemas.openxmlformats.org/officeDocument/2006/relationships/image" Target="media/image19.wmf"/><Relationship Id="rId4" Type="http://schemas.openxmlformats.org/officeDocument/2006/relationships/footer" Target="footer1.xml"/><Relationship Id="rId39" Type="http://schemas.openxmlformats.org/officeDocument/2006/relationships/oleObject" Target="embeddings/oleObject15.bin"/><Relationship Id="rId38" Type="http://schemas.openxmlformats.org/officeDocument/2006/relationships/oleObject" Target="embeddings/oleObject14.bin"/><Relationship Id="rId37" Type="http://schemas.openxmlformats.org/officeDocument/2006/relationships/image" Target="media/image18.wmf"/><Relationship Id="rId36" Type="http://schemas.openxmlformats.org/officeDocument/2006/relationships/oleObject" Target="embeddings/oleObject13.bin"/><Relationship Id="rId35" Type="http://schemas.openxmlformats.org/officeDocument/2006/relationships/image" Target="media/image17.wmf"/><Relationship Id="rId34" Type="http://schemas.openxmlformats.org/officeDocument/2006/relationships/oleObject" Target="embeddings/oleObject12.bin"/><Relationship Id="rId33" Type="http://schemas.openxmlformats.org/officeDocument/2006/relationships/image" Target="media/image16.wmf"/><Relationship Id="rId32" Type="http://schemas.openxmlformats.org/officeDocument/2006/relationships/oleObject" Target="embeddings/oleObject11.bin"/><Relationship Id="rId31" Type="http://schemas.openxmlformats.org/officeDocument/2006/relationships/image" Target="media/image15.wmf"/><Relationship Id="rId30" Type="http://schemas.openxmlformats.org/officeDocument/2006/relationships/oleObject" Target="embeddings/oleObject10.bin"/><Relationship Id="rId3" Type="http://schemas.openxmlformats.org/officeDocument/2006/relationships/footnotes" Target="footnotes.xml"/><Relationship Id="rId29" Type="http://schemas.openxmlformats.org/officeDocument/2006/relationships/image" Target="media/image14.wmf"/><Relationship Id="rId28" Type="http://schemas.openxmlformats.org/officeDocument/2006/relationships/oleObject" Target="embeddings/oleObject9.bin"/><Relationship Id="rId27" Type="http://schemas.openxmlformats.org/officeDocument/2006/relationships/image" Target="media/image13.wmf"/><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image" Target="media/image8.wmf"/><Relationship Id="rId21" Type="http://schemas.openxmlformats.org/officeDocument/2006/relationships/oleObject" Target="embeddings/oleObject8.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wmf"/><Relationship Id="rId17" Type="http://schemas.openxmlformats.org/officeDocument/2006/relationships/oleObject" Target="embeddings/oleObject6.bin"/><Relationship Id="rId16" Type="http://schemas.openxmlformats.org/officeDocument/2006/relationships/image" Target="media/image5.wmf"/><Relationship Id="rId15" Type="http://schemas.openxmlformats.org/officeDocument/2006/relationships/oleObject" Target="embeddings/oleObject5.bin"/><Relationship Id="rId14" Type="http://schemas.openxmlformats.org/officeDocument/2006/relationships/image" Target="media/image4.wmf"/><Relationship Id="rId13" Type="http://schemas.openxmlformats.org/officeDocument/2006/relationships/oleObject" Target="embeddings/oleObject4.bin"/><Relationship Id="rId12" Type="http://schemas.openxmlformats.org/officeDocument/2006/relationships/image" Target="media/image3.wmf"/><Relationship Id="rId11" Type="http://schemas.openxmlformats.org/officeDocument/2006/relationships/oleObject" Target="embeddings/oleObject3.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D07824-C674-4340-AD70-2EFF0E15CDE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69</Pages>
  <Words>25750</Words>
  <Characters>29603</Characters>
  <Lines>278</Lines>
  <Paragraphs>78</Paragraphs>
  <TotalTime>2</TotalTime>
  <ScaleCrop>false</ScaleCrop>
  <LinksUpToDate>false</LinksUpToDate>
  <CharactersWithSpaces>32141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2022-08-25T12:23:00Z</dcterms:created>
  <dc:creator>Administrator</dc:creator>
  <cp:lastModifiedBy>zj180309</cp:lastModifiedBy>
  <cp:lastPrinted>2020-05-20T09:43:00Z</cp:lastPrinted>
  <dcterms:modified xsi:type="dcterms:W3CDTF">2022-11-01T06:07:35Z</dcterms:modified>
  <dc:title>T/	CECS        CECS  XXX：2019</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2A66A1DF59B44045AAF1566DD5CEBE22</vt:lpwstr>
  </property>
  <property fmtid="{D5CDD505-2E9C-101B-9397-08002B2CF9AE}" pid="4" name="MTWinEqns">
    <vt:bool>true</vt:bool>
  </property>
</Properties>
</file>