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FD688" w14:textId="48F87038" w:rsidR="00C8163F" w:rsidRDefault="00C8163F" w:rsidP="00C8163F">
      <w:pPr>
        <w:rPr>
          <w:b/>
          <w:bCs/>
          <w:sz w:val="52"/>
          <w:szCs w:val="84"/>
        </w:rPr>
      </w:pPr>
      <w:bookmarkStart w:id="0" w:name="_GoBack"/>
      <w:bookmarkEnd w:id="0"/>
      <w:r>
        <w:rPr>
          <w:noProof/>
        </w:rPr>
        <w:drawing>
          <wp:anchor distT="0" distB="0" distL="114300" distR="114300" simplePos="0" relativeHeight="251661312" behindDoc="0" locked="0" layoutInCell="1" allowOverlap="1" wp14:anchorId="7DF5EFFA" wp14:editId="5F044FA4">
            <wp:simplePos x="0" y="0"/>
            <wp:positionH relativeFrom="column">
              <wp:posOffset>0</wp:posOffset>
            </wp:positionH>
            <wp:positionV relativeFrom="paragraph">
              <wp:posOffset>0</wp:posOffset>
            </wp:positionV>
            <wp:extent cx="1737995" cy="1149350"/>
            <wp:effectExtent l="0" t="0" r="5080" b="3175"/>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stretch>
                      <a:fillRect/>
                    </a:stretch>
                  </pic:blipFill>
                  <pic:spPr>
                    <a:xfrm>
                      <a:off x="0" y="0"/>
                      <a:ext cx="1737995" cy="1149350"/>
                    </a:xfrm>
                    <a:prstGeom prst="rect">
                      <a:avLst/>
                    </a:prstGeom>
                    <a:noFill/>
                    <a:ln>
                      <a:noFill/>
                    </a:ln>
                  </pic:spPr>
                </pic:pic>
              </a:graphicData>
            </a:graphic>
          </wp:anchor>
        </w:drawing>
      </w:r>
    </w:p>
    <w:p w14:paraId="29F1B0B5" w14:textId="77777777" w:rsidR="00C8163F" w:rsidRDefault="00C8163F" w:rsidP="00C8163F">
      <w:pPr>
        <w:jc w:val="right"/>
        <w:rPr>
          <w:b/>
          <w:bCs/>
          <w:sz w:val="36"/>
          <w:szCs w:val="36"/>
        </w:rPr>
      </w:pPr>
    </w:p>
    <w:p w14:paraId="4BE5CF36" w14:textId="41F9DF20" w:rsidR="00C8163F" w:rsidRDefault="00C8163F" w:rsidP="00C8163F">
      <w:pPr>
        <w:jc w:val="right"/>
        <w:rPr>
          <w:sz w:val="32"/>
          <w:szCs w:val="32"/>
        </w:rPr>
      </w:pPr>
      <w:r>
        <w:rPr>
          <w:b/>
          <w:bCs/>
          <w:sz w:val="36"/>
          <w:szCs w:val="36"/>
        </w:rPr>
        <w:t xml:space="preserve">T/CECS </w:t>
      </w:r>
      <w:r>
        <w:rPr>
          <w:sz w:val="36"/>
          <w:szCs w:val="36"/>
        </w:rPr>
        <w:t>XXX- 202X</w:t>
      </w:r>
    </w:p>
    <w:p w14:paraId="4A4B201D" w14:textId="77777777" w:rsidR="00C8163F" w:rsidRDefault="00C8163F" w:rsidP="00C8163F">
      <w:pPr>
        <w:jc w:val="center"/>
        <w:rPr>
          <w:szCs w:val="32"/>
        </w:rPr>
      </w:pPr>
      <w:r>
        <w:rPr>
          <w:noProof/>
          <w:szCs w:val="32"/>
        </w:rPr>
        <mc:AlternateContent>
          <mc:Choice Requires="wps">
            <w:drawing>
              <wp:anchor distT="0" distB="0" distL="114300" distR="114300" simplePos="0" relativeHeight="251659264" behindDoc="0" locked="0" layoutInCell="1" allowOverlap="1" wp14:anchorId="62A2A6E5" wp14:editId="14E97DAE">
                <wp:simplePos x="0" y="0"/>
                <wp:positionH relativeFrom="column">
                  <wp:posOffset>1905</wp:posOffset>
                </wp:positionH>
                <wp:positionV relativeFrom="paragraph">
                  <wp:posOffset>120650</wp:posOffset>
                </wp:positionV>
                <wp:extent cx="5422265" cy="0"/>
                <wp:effectExtent l="0" t="9525" r="6985" b="9525"/>
                <wp:wrapNone/>
                <wp:docPr id="4" name="直接连接符 4"/>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rgbClr val="000000"/>
                          </a:solidFill>
                          <a:prstDash val="solid"/>
                          <a:miter lim="800000"/>
                        </a:ln>
                        <a:effectLst/>
                      </wps:spPr>
                      <wps:bodyPr/>
                    </wps:wsp>
                  </a:graphicData>
                </a:graphic>
              </wp:anchor>
            </w:drawing>
          </mc:Choice>
          <mc:Fallback>
            <w:pict>
              <v:line w14:anchorId="00B369C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" strokeweight="1.5pt">
                <v:stroke joinstyle="miter"/>
              </v:line>
            </w:pict>
          </mc:Fallback>
        </mc:AlternateContent>
      </w:r>
    </w:p>
    <w:p w14:paraId="3F1BCCAE" w14:textId="77777777" w:rsidR="00C8163F" w:rsidRDefault="00C8163F" w:rsidP="00C8163F">
      <w:pPr>
        <w:widowControl/>
        <w:tabs>
          <w:tab w:val="left" w:pos="3510"/>
        </w:tabs>
        <w:jc w:val="left"/>
        <w:rPr>
          <w:color w:val="000000"/>
        </w:rPr>
      </w:pPr>
    </w:p>
    <w:p w14:paraId="28880861" w14:textId="77777777" w:rsidR="00C8163F" w:rsidRDefault="00C8163F" w:rsidP="00C8163F">
      <w:pPr>
        <w:rPr>
          <w:color w:val="000000"/>
        </w:rPr>
      </w:pPr>
    </w:p>
    <w:p w14:paraId="05B62A90" w14:textId="77777777" w:rsidR="00C8163F" w:rsidRDefault="00C8163F" w:rsidP="00C8163F">
      <w:pPr>
        <w:jc w:val="center"/>
        <w:rPr>
          <w:b/>
          <w:color w:val="000000"/>
          <w:sz w:val="36"/>
          <w:szCs w:val="36"/>
        </w:rPr>
      </w:pPr>
      <w:r>
        <w:rPr>
          <w:b/>
          <w:color w:val="000000"/>
          <w:sz w:val="36"/>
          <w:szCs w:val="36"/>
        </w:rPr>
        <w:t>中国工程建设标准化协会标准</w:t>
      </w:r>
    </w:p>
    <w:p w14:paraId="388B8811" w14:textId="77777777" w:rsidR="00C8163F" w:rsidRDefault="00C8163F" w:rsidP="00C8163F">
      <w:pPr>
        <w:spacing w:line="20" w:lineRule="atLeast"/>
        <w:ind w:left="119" w:firstLine="40"/>
        <w:rPr>
          <w:rFonts w:eastAsia="Times New Roman"/>
          <w:sz w:val="2"/>
          <w:szCs w:val="2"/>
        </w:rPr>
      </w:pPr>
    </w:p>
    <w:p w14:paraId="5BEFBF07" w14:textId="77777777" w:rsidR="00C8163F" w:rsidRDefault="00C8163F" w:rsidP="00C8163F">
      <w:pPr>
        <w:ind w:firstLine="402"/>
        <w:rPr>
          <w:b/>
          <w:bCs/>
          <w:sz w:val="20"/>
          <w:szCs w:val="20"/>
        </w:rPr>
      </w:pPr>
    </w:p>
    <w:p w14:paraId="17805AFE" w14:textId="77777777" w:rsidR="00C8163F" w:rsidRDefault="00C8163F" w:rsidP="00C8163F">
      <w:pPr>
        <w:spacing w:before="3"/>
        <w:ind w:firstLine="640"/>
        <w:rPr>
          <w:sz w:val="32"/>
          <w:szCs w:val="32"/>
        </w:rPr>
      </w:pPr>
    </w:p>
    <w:p w14:paraId="322F87E2" w14:textId="65C03F66" w:rsidR="00C8163F" w:rsidRDefault="00C8163F" w:rsidP="00C8163F">
      <w:pPr>
        <w:spacing w:before="143" w:line="407" w:lineRule="auto"/>
        <w:jc w:val="center"/>
        <w:rPr>
          <w:rFonts w:eastAsia="黑体"/>
          <w:sz w:val="48"/>
          <w:szCs w:val="52"/>
        </w:rPr>
      </w:pPr>
      <w:r>
        <w:rPr>
          <w:rFonts w:eastAsia="黑体"/>
          <w:sz w:val="48"/>
          <w:szCs w:val="52"/>
        </w:rPr>
        <w:t>修复后场地作为居住和商服用途安全利用标准</w:t>
      </w:r>
    </w:p>
    <w:p w14:paraId="647CB920" w14:textId="77777777" w:rsidR="00C8163F" w:rsidRDefault="00C8163F" w:rsidP="00C8163F">
      <w:pPr>
        <w:spacing w:line="353" w:lineRule="exact"/>
        <w:jc w:val="center"/>
        <w:rPr>
          <w:sz w:val="32"/>
          <w:szCs w:val="32"/>
        </w:rPr>
      </w:pPr>
      <w:r>
        <w:rPr>
          <w:b/>
          <w:bCs/>
          <w:sz w:val="32"/>
          <w:szCs w:val="32"/>
        </w:rPr>
        <w:t>Standard for safe reuse of post-remediation contaminated site as residential and commercial and business facilities</w:t>
      </w:r>
    </w:p>
    <w:p w14:paraId="1FD6DA2B" w14:textId="77777777" w:rsidR="00C8163F" w:rsidRDefault="00C8163F" w:rsidP="00C8163F">
      <w:pPr>
        <w:jc w:val="center"/>
        <w:rPr>
          <w:b/>
          <w:bCs/>
          <w:sz w:val="32"/>
          <w:szCs w:val="32"/>
        </w:rPr>
      </w:pPr>
    </w:p>
    <w:p w14:paraId="107C596C" w14:textId="77777777" w:rsidR="00C8163F" w:rsidRDefault="00C8163F" w:rsidP="00C8163F">
      <w:pPr>
        <w:rPr>
          <w:b/>
          <w:bCs/>
          <w:sz w:val="32"/>
          <w:szCs w:val="32"/>
        </w:rPr>
      </w:pPr>
    </w:p>
    <w:p w14:paraId="0D7F47C0" w14:textId="77777777" w:rsidR="00C8163F" w:rsidRDefault="00C8163F" w:rsidP="00C8163F">
      <w:pPr>
        <w:rPr>
          <w:b/>
          <w:bCs/>
          <w:sz w:val="32"/>
          <w:szCs w:val="32"/>
        </w:rPr>
      </w:pPr>
    </w:p>
    <w:p w14:paraId="31FC8D8C" w14:textId="77777777" w:rsidR="00C8163F" w:rsidRPr="00E707F5" w:rsidRDefault="00C8163F" w:rsidP="00C8163F">
      <w:pPr>
        <w:rPr>
          <w:b/>
          <w:bCs/>
          <w:sz w:val="32"/>
          <w:szCs w:val="32"/>
        </w:rPr>
      </w:pPr>
    </w:p>
    <w:p w14:paraId="40CF0D40" w14:textId="77777777" w:rsidR="00C8163F" w:rsidRDefault="00C8163F" w:rsidP="00C8163F">
      <w:pPr>
        <w:rPr>
          <w:b/>
          <w:bCs/>
          <w:sz w:val="32"/>
          <w:szCs w:val="32"/>
        </w:rPr>
      </w:pPr>
    </w:p>
    <w:p w14:paraId="623C1E79" w14:textId="77777777" w:rsidR="00C8163F" w:rsidRDefault="00C8163F" w:rsidP="00C8163F">
      <w:pPr>
        <w:rPr>
          <w:b/>
          <w:bCs/>
          <w:sz w:val="32"/>
          <w:szCs w:val="32"/>
        </w:rPr>
      </w:pPr>
    </w:p>
    <w:p w14:paraId="3769FA13" w14:textId="77777777" w:rsidR="00C8163F" w:rsidRDefault="00C8163F" w:rsidP="00C8163F">
      <w:pPr>
        <w:rPr>
          <w:b/>
          <w:bCs/>
          <w:sz w:val="32"/>
          <w:szCs w:val="32"/>
        </w:rPr>
      </w:pPr>
    </w:p>
    <w:p w14:paraId="77AB76E0" w14:textId="77777777" w:rsidR="00C8163F" w:rsidRDefault="00C8163F" w:rsidP="00C8163F">
      <w:pPr>
        <w:widowControl/>
        <w:jc w:val="center"/>
      </w:pPr>
      <w:r>
        <w:rPr>
          <w:b/>
          <w:bCs/>
          <w:sz w:val="28"/>
          <w:szCs w:val="28"/>
        </w:rPr>
        <w:t>***</w:t>
      </w:r>
      <w:r>
        <w:rPr>
          <w:b/>
          <w:bCs/>
          <w:sz w:val="28"/>
          <w:szCs w:val="28"/>
        </w:rPr>
        <w:t>出版社</w:t>
      </w:r>
      <w:r>
        <w:br w:type="page"/>
      </w:r>
    </w:p>
    <w:p w14:paraId="07FC76A0" w14:textId="77777777" w:rsidR="00C8163F" w:rsidRDefault="00C8163F" w:rsidP="00C8163F">
      <w:pPr>
        <w:pStyle w:val="a3"/>
      </w:pPr>
    </w:p>
    <w:p w14:paraId="7B5F865A" w14:textId="77777777" w:rsidR="00C8163F" w:rsidRDefault="00C8163F" w:rsidP="00C8163F">
      <w:pPr>
        <w:pStyle w:val="a3"/>
      </w:pPr>
    </w:p>
    <w:p w14:paraId="1AB22DAC" w14:textId="77777777" w:rsidR="00C8163F" w:rsidRDefault="00C8163F" w:rsidP="00C8163F">
      <w:pPr>
        <w:pStyle w:val="a3"/>
      </w:pPr>
    </w:p>
    <w:p w14:paraId="408EE671" w14:textId="77777777" w:rsidR="00C8163F" w:rsidRDefault="00C8163F" w:rsidP="00C8163F">
      <w:pPr>
        <w:autoSpaceDE w:val="0"/>
        <w:autoSpaceDN w:val="0"/>
        <w:jc w:val="center"/>
        <w:textAlignment w:val="bottom"/>
        <w:rPr>
          <w:color w:val="000000"/>
        </w:rPr>
      </w:pPr>
      <w:r>
        <w:rPr>
          <w:rFonts w:eastAsia="黑体"/>
          <w:color w:val="000000"/>
          <w:sz w:val="36"/>
          <w:szCs w:val="36"/>
        </w:rPr>
        <w:t>中国工程建设标准化协会标准</w:t>
      </w:r>
    </w:p>
    <w:p w14:paraId="452B576A" w14:textId="77777777" w:rsidR="00C8163F" w:rsidRDefault="00C8163F" w:rsidP="00C8163F">
      <w:pPr>
        <w:spacing w:line="360" w:lineRule="auto"/>
        <w:ind w:firstLine="426"/>
        <w:jc w:val="center"/>
        <w:rPr>
          <w:sz w:val="24"/>
        </w:rPr>
      </w:pPr>
    </w:p>
    <w:p w14:paraId="2AC55999" w14:textId="1B4D1F12" w:rsidR="00C8163F" w:rsidRDefault="00C8163F" w:rsidP="00C8163F">
      <w:pPr>
        <w:spacing w:before="143" w:line="407" w:lineRule="auto"/>
        <w:jc w:val="center"/>
        <w:rPr>
          <w:rFonts w:eastAsia="黑体"/>
          <w:sz w:val="48"/>
          <w:szCs w:val="52"/>
        </w:rPr>
      </w:pPr>
      <w:r>
        <w:rPr>
          <w:rFonts w:eastAsia="黑体"/>
          <w:sz w:val="48"/>
          <w:szCs w:val="52"/>
        </w:rPr>
        <w:t>修复后场地作为居住和商服用途安全利用标准</w:t>
      </w:r>
    </w:p>
    <w:p w14:paraId="700AFF1F" w14:textId="77777777" w:rsidR="00C8163F" w:rsidRDefault="00C8163F" w:rsidP="00C8163F">
      <w:pPr>
        <w:spacing w:line="353" w:lineRule="exact"/>
        <w:jc w:val="center"/>
        <w:rPr>
          <w:sz w:val="32"/>
          <w:szCs w:val="32"/>
        </w:rPr>
      </w:pPr>
      <w:r>
        <w:rPr>
          <w:b/>
          <w:bCs/>
          <w:sz w:val="32"/>
          <w:szCs w:val="32"/>
        </w:rPr>
        <w:t>Standard for safe reuse of post-remediation contaminated site as residential and commercial and business facilities</w:t>
      </w:r>
    </w:p>
    <w:p w14:paraId="70EA3F78" w14:textId="77777777" w:rsidR="00C8163F" w:rsidRDefault="00C8163F" w:rsidP="00C8163F">
      <w:pPr>
        <w:spacing w:line="353" w:lineRule="exact"/>
        <w:jc w:val="center"/>
        <w:rPr>
          <w:sz w:val="32"/>
          <w:szCs w:val="32"/>
        </w:rPr>
      </w:pPr>
    </w:p>
    <w:p w14:paraId="6591DE7F" w14:textId="77777777" w:rsidR="00C8163F" w:rsidRDefault="00C8163F" w:rsidP="00C8163F">
      <w:pPr>
        <w:spacing w:line="360" w:lineRule="auto"/>
        <w:ind w:firstLine="426"/>
        <w:jc w:val="center"/>
        <w:rPr>
          <w:sz w:val="24"/>
        </w:rPr>
      </w:pPr>
    </w:p>
    <w:p w14:paraId="28118A60" w14:textId="77777777" w:rsidR="00C8163F" w:rsidRDefault="00C8163F" w:rsidP="00C8163F">
      <w:pPr>
        <w:pStyle w:val="a3"/>
      </w:pPr>
    </w:p>
    <w:p w14:paraId="43F64F5B" w14:textId="77777777" w:rsidR="00C8163F" w:rsidRDefault="00C8163F" w:rsidP="00C8163F">
      <w:pPr>
        <w:spacing w:line="400" w:lineRule="atLeast"/>
        <w:jc w:val="center"/>
        <w:rPr>
          <w:color w:val="000000"/>
          <w:sz w:val="28"/>
          <w:szCs w:val="28"/>
        </w:rPr>
      </w:pPr>
      <w:bookmarkStart w:id="1" w:name="_Toc7027037"/>
      <w:r>
        <w:rPr>
          <w:color w:val="000000"/>
          <w:sz w:val="28"/>
          <w:szCs w:val="28"/>
        </w:rPr>
        <w:t>T/</w:t>
      </w:r>
      <w:proofErr w:type="gramStart"/>
      <w:r>
        <w:rPr>
          <w:color w:val="000000"/>
          <w:sz w:val="28"/>
          <w:szCs w:val="28"/>
        </w:rPr>
        <w:t xml:space="preserve">CECS </w:t>
      </w:r>
      <w:bookmarkEnd w:id="1"/>
      <w:r>
        <w:rPr>
          <w:color w:val="000000"/>
          <w:sz w:val="28"/>
          <w:szCs w:val="28"/>
        </w:rPr>
        <w:t xml:space="preserve"> -</w:t>
      </w:r>
      <w:proofErr w:type="gramEnd"/>
      <w:r>
        <w:rPr>
          <w:color w:val="000000"/>
          <w:sz w:val="28"/>
          <w:szCs w:val="28"/>
        </w:rPr>
        <w:t xml:space="preserve">20  </w:t>
      </w:r>
    </w:p>
    <w:p w14:paraId="5B4F1EAA" w14:textId="77777777" w:rsidR="00C8163F" w:rsidRDefault="00C8163F" w:rsidP="00C8163F">
      <w:pPr>
        <w:spacing w:line="360" w:lineRule="auto"/>
        <w:ind w:firstLine="426"/>
        <w:jc w:val="center"/>
        <w:rPr>
          <w:color w:val="000000"/>
          <w:sz w:val="24"/>
        </w:rPr>
      </w:pPr>
    </w:p>
    <w:p w14:paraId="055839FA" w14:textId="77777777" w:rsidR="00C8163F" w:rsidRDefault="00C8163F" w:rsidP="00C8163F">
      <w:pPr>
        <w:spacing w:line="400" w:lineRule="atLeast"/>
        <w:jc w:val="center"/>
        <w:rPr>
          <w:color w:val="000000"/>
          <w:sz w:val="28"/>
          <w:szCs w:val="28"/>
        </w:rPr>
      </w:pPr>
      <w:r>
        <w:rPr>
          <w:color w:val="000000"/>
          <w:sz w:val="28"/>
          <w:szCs w:val="28"/>
        </w:rPr>
        <w:t>主编单位：中国城市建设研究院有限公司</w:t>
      </w:r>
    </w:p>
    <w:p w14:paraId="24B4D39C" w14:textId="77777777" w:rsidR="00C8163F" w:rsidRDefault="00C8163F" w:rsidP="00C8163F">
      <w:pPr>
        <w:spacing w:line="400" w:lineRule="atLeast"/>
        <w:ind w:firstLineChars="600" w:firstLine="1680"/>
        <w:rPr>
          <w:color w:val="000000"/>
          <w:sz w:val="28"/>
          <w:szCs w:val="28"/>
        </w:rPr>
      </w:pPr>
      <w:r>
        <w:rPr>
          <w:color w:val="000000"/>
          <w:sz w:val="28"/>
          <w:szCs w:val="28"/>
        </w:rPr>
        <w:t>批准单位：中国工程建设标准化协会</w:t>
      </w:r>
    </w:p>
    <w:p w14:paraId="4826CC75" w14:textId="77777777" w:rsidR="00C8163F" w:rsidRDefault="00C8163F" w:rsidP="00C8163F">
      <w:pPr>
        <w:spacing w:line="400" w:lineRule="atLeast"/>
        <w:ind w:firstLineChars="600" w:firstLine="1680"/>
        <w:rPr>
          <w:color w:val="000000"/>
          <w:sz w:val="28"/>
          <w:szCs w:val="28"/>
        </w:rPr>
      </w:pPr>
      <w:r>
        <w:rPr>
          <w:color w:val="000000"/>
          <w:sz w:val="28"/>
          <w:szCs w:val="28"/>
        </w:rPr>
        <w:t>施行日期：</w:t>
      </w:r>
      <w:r>
        <w:rPr>
          <w:color w:val="000000"/>
          <w:sz w:val="28"/>
          <w:szCs w:val="28"/>
        </w:rPr>
        <w:t xml:space="preserve">20  </w:t>
      </w:r>
      <w:r>
        <w:rPr>
          <w:color w:val="000000"/>
          <w:sz w:val="28"/>
          <w:szCs w:val="28"/>
        </w:rPr>
        <w:t>年</w:t>
      </w:r>
      <w:r>
        <w:rPr>
          <w:color w:val="000000"/>
          <w:sz w:val="28"/>
          <w:szCs w:val="28"/>
        </w:rPr>
        <w:t xml:space="preserve">  </w:t>
      </w:r>
      <w:r>
        <w:rPr>
          <w:color w:val="000000"/>
          <w:sz w:val="28"/>
          <w:szCs w:val="28"/>
        </w:rPr>
        <w:t>月</w:t>
      </w:r>
      <w:r>
        <w:rPr>
          <w:color w:val="000000"/>
          <w:sz w:val="28"/>
          <w:szCs w:val="28"/>
        </w:rPr>
        <w:t xml:space="preserve">   </w:t>
      </w:r>
      <w:r>
        <w:rPr>
          <w:color w:val="000000"/>
          <w:sz w:val="28"/>
          <w:szCs w:val="28"/>
        </w:rPr>
        <w:t>日</w:t>
      </w:r>
    </w:p>
    <w:p w14:paraId="137E749B" w14:textId="77777777" w:rsidR="00C8163F" w:rsidRDefault="00C8163F" w:rsidP="00C8163F">
      <w:pPr>
        <w:spacing w:line="360" w:lineRule="auto"/>
        <w:ind w:firstLine="426"/>
        <w:jc w:val="center"/>
        <w:rPr>
          <w:color w:val="000000"/>
          <w:sz w:val="24"/>
        </w:rPr>
      </w:pPr>
    </w:p>
    <w:p w14:paraId="754C1873" w14:textId="77777777" w:rsidR="00C8163F" w:rsidRDefault="00C8163F" w:rsidP="00C8163F">
      <w:pPr>
        <w:spacing w:line="360" w:lineRule="auto"/>
        <w:ind w:firstLine="426"/>
        <w:jc w:val="center"/>
        <w:rPr>
          <w:color w:val="000000"/>
          <w:sz w:val="24"/>
        </w:rPr>
      </w:pPr>
    </w:p>
    <w:p w14:paraId="0352F22F" w14:textId="77777777" w:rsidR="00C8163F" w:rsidRDefault="00C8163F" w:rsidP="00C8163F">
      <w:pPr>
        <w:spacing w:line="360" w:lineRule="auto"/>
        <w:ind w:firstLine="426"/>
        <w:jc w:val="center"/>
        <w:rPr>
          <w:color w:val="000000"/>
          <w:sz w:val="24"/>
        </w:rPr>
      </w:pPr>
    </w:p>
    <w:p w14:paraId="2021B909" w14:textId="77777777" w:rsidR="00C8163F" w:rsidRDefault="00C8163F" w:rsidP="00C8163F">
      <w:pPr>
        <w:spacing w:line="360" w:lineRule="auto"/>
        <w:ind w:firstLine="426"/>
        <w:jc w:val="center"/>
        <w:rPr>
          <w:color w:val="000000"/>
          <w:sz w:val="24"/>
        </w:rPr>
      </w:pPr>
    </w:p>
    <w:p w14:paraId="48C45E72" w14:textId="77777777" w:rsidR="00C8163F" w:rsidRDefault="00C8163F" w:rsidP="00C8163F">
      <w:pPr>
        <w:spacing w:line="360" w:lineRule="auto"/>
        <w:ind w:firstLine="426"/>
        <w:jc w:val="center"/>
        <w:rPr>
          <w:color w:val="000000"/>
          <w:sz w:val="24"/>
        </w:rPr>
      </w:pPr>
    </w:p>
    <w:p w14:paraId="30681388" w14:textId="77777777" w:rsidR="00C8163F" w:rsidRDefault="00C8163F" w:rsidP="00C8163F">
      <w:pPr>
        <w:spacing w:line="360" w:lineRule="auto"/>
        <w:ind w:firstLine="426"/>
        <w:jc w:val="center"/>
        <w:rPr>
          <w:color w:val="000000"/>
          <w:sz w:val="24"/>
        </w:rPr>
      </w:pPr>
    </w:p>
    <w:p w14:paraId="23C21343" w14:textId="77777777" w:rsidR="00C8163F" w:rsidRDefault="00C8163F" w:rsidP="00C8163F">
      <w:pPr>
        <w:spacing w:line="360" w:lineRule="auto"/>
        <w:ind w:firstLine="426"/>
        <w:jc w:val="center"/>
        <w:rPr>
          <w:color w:val="000000"/>
          <w:sz w:val="24"/>
        </w:rPr>
      </w:pPr>
    </w:p>
    <w:p w14:paraId="5D883934" w14:textId="77777777" w:rsidR="00C8163F" w:rsidRPr="000C7401" w:rsidRDefault="00C8163F" w:rsidP="000C7401">
      <w:pPr>
        <w:spacing w:line="360" w:lineRule="auto"/>
        <w:rPr>
          <w:color w:val="000000"/>
          <w:sz w:val="24"/>
        </w:rPr>
      </w:pPr>
    </w:p>
    <w:p w14:paraId="4E077647" w14:textId="77777777" w:rsidR="00C8163F" w:rsidRDefault="00C8163F" w:rsidP="00C8163F">
      <w:pPr>
        <w:spacing w:line="360" w:lineRule="auto"/>
        <w:ind w:firstLine="426"/>
        <w:jc w:val="center"/>
        <w:rPr>
          <w:color w:val="000000"/>
          <w:sz w:val="24"/>
        </w:rPr>
      </w:pPr>
      <w:r>
        <w:rPr>
          <w:color w:val="000000"/>
          <w:sz w:val="24"/>
        </w:rPr>
        <w:t>****</w:t>
      </w:r>
      <w:r>
        <w:rPr>
          <w:color w:val="000000"/>
          <w:sz w:val="24"/>
        </w:rPr>
        <w:t>出版社</w:t>
      </w:r>
    </w:p>
    <w:p w14:paraId="0F515B56" w14:textId="77777777" w:rsidR="00C8163F" w:rsidRDefault="00C8163F" w:rsidP="00C8163F">
      <w:pPr>
        <w:spacing w:line="360" w:lineRule="auto"/>
        <w:ind w:firstLine="426"/>
        <w:jc w:val="center"/>
        <w:rPr>
          <w:color w:val="000000"/>
          <w:sz w:val="24"/>
        </w:rPr>
      </w:pPr>
      <w:r>
        <w:rPr>
          <w:color w:val="000000"/>
          <w:sz w:val="24"/>
        </w:rPr>
        <w:t>2022</w:t>
      </w:r>
      <w:r>
        <w:rPr>
          <w:color w:val="000000"/>
          <w:sz w:val="24"/>
        </w:rPr>
        <w:t>北京</w:t>
      </w:r>
    </w:p>
    <w:p w14:paraId="3F29A80B" w14:textId="77777777" w:rsidR="00C8163F" w:rsidRDefault="00C8163F" w:rsidP="00C8163F">
      <w:pPr>
        <w:spacing w:line="360" w:lineRule="auto"/>
        <w:ind w:firstLine="426"/>
        <w:jc w:val="center"/>
        <w:rPr>
          <w:sz w:val="24"/>
        </w:rPr>
      </w:pPr>
    </w:p>
    <w:p w14:paraId="3C207182" w14:textId="77777777" w:rsidR="00C8163F" w:rsidRDefault="00C8163F" w:rsidP="00C8163F">
      <w:pPr>
        <w:pStyle w:val="a3"/>
      </w:pPr>
    </w:p>
    <w:p w14:paraId="43AF54F4" w14:textId="77777777" w:rsidR="00C8163F" w:rsidRDefault="00C8163F" w:rsidP="00C8163F">
      <w:pPr>
        <w:pStyle w:val="a3"/>
      </w:pPr>
    </w:p>
    <w:p w14:paraId="385AEE7B" w14:textId="77777777" w:rsidR="00C8163F" w:rsidRDefault="00C8163F" w:rsidP="00C8163F">
      <w:pPr>
        <w:pStyle w:val="a3"/>
      </w:pPr>
    </w:p>
    <w:p w14:paraId="137BB65C" w14:textId="77777777" w:rsidR="00C8163F" w:rsidRDefault="00C8163F" w:rsidP="00C8163F">
      <w:pPr>
        <w:pStyle w:val="ab"/>
        <w:spacing w:after="0"/>
        <w:jc w:val="center"/>
        <w:rPr>
          <w:b/>
          <w:bCs/>
          <w:sz w:val="32"/>
          <w:szCs w:val="32"/>
        </w:rPr>
      </w:pPr>
      <w:r>
        <w:rPr>
          <w:b/>
          <w:bCs/>
          <w:sz w:val="32"/>
          <w:szCs w:val="32"/>
        </w:rPr>
        <w:t>前　言</w:t>
      </w:r>
    </w:p>
    <w:p w14:paraId="0C0F9A74" w14:textId="77777777" w:rsidR="00C8163F" w:rsidRDefault="00C8163F" w:rsidP="00C8163F">
      <w:pPr>
        <w:pStyle w:val="ad"/>
        <w:spacing w:line="458" w:lineRule="exact"/>
        <w:ind w:firstLineChars="200" w:firstLine="420"/>
      </w:pPr>
      <w:r>
        <w:t>根据中国工程建设标准化协会《关于印发</w:t>
      </w:r>
      <w:r>
        <w:t>&lt;2021</w:t>
      </w:r>
      <w:r>
        <w:t>年第一批协会标准制订、修订计划</w:t>
      </w:r>
      <w:r>
        <w:t>&gt;</w:t>
      </w:r>
      <w:r>
        <w:t>的通知》（建标协字</w:t>
      </w:r>
      <w:r>
        <w:t>[2021]11</w:t>
      </w:r>
      <w:r>
        <w:t>号）的要求，编制组经广泛调查研究，认真总结实践经验，参考有关国外和国内先进标准，并在广泛征求意见的基础上，制定本标准。</w:t>
      </w:r>
    </w:p>
    <w:p w14:paraId="4DA4FC01" w14:textId="77777777" w:rsidR="00C8163F" w:rsidRDefault="00C8163F" w:rsidP="00C8163F">
      <w:pPr>
        <w:pStyle w:val="ad"/>
        <w:spacing w:line="458" w:lineRule="exact"/>
        <w:ind w:firstLineChars="200" w:firstLine="420"/>
      </w:pPr>
      <w:r>
        <w:t>本标准共分</w:t>
      </w:r>
      <w:r>
        <w:t>7</w:t>
      </w:r>
      <w:r>
        <w:t>章，主要技术内容包括：总则，术语，</w:t>
      </w:r>
      <w:r>
        <w:rPr>
          <w:rFonts w:hint="eastAsia"/>
        </w:rPr>
        <w:t>基本规定，</w:t>
      </w:r>
      <w:r>
        <w:t>勘察，设计</w:t>
      </w:r>
      <w:r>
        <w:rPr>
          <w:rFonts w:hint="eastAsia"/>
        </w:rPr>
        <w:t>，</w:t>
      </w:r>
      <w:r>
        <w:t>施工，监测维护。</w:t>
      </w:r>
    </w:p>
    <w:p w14:paraId="4D647E1E" w14:textId="77777777" w:rsidR="00C8163F" w:rsidRDefault="00C8163F" w:rsidP="00C8163F">
      <w:pPr>
        <w:pStyle w:val="ad"/>
        <w:spacing w:line="458" w:lineRule="exact"/>
        <w:ind w:firstLineChars="200" w:firstLine="420"/>
      </w:pPr>
      <w:r>
        <w:t>本标准的某些内容可能直接或间接涉及专利，本标准的发布机构不承担识别这些专利的责任。</w:t>
      </w:r>
    </w:p>
    <w:p w14:paraId="234710E1" w14:textId="77777777" w:rsidR="00C8163F" w:rsidRDefault="00C8163F" w:rsidP="00C8163F">
      <w:pPr>
        <w:pStyle w:val="ad"/>
        <w:spacing w:line="458" w:lineRule="exact"/>
        <w:ind w:firstLineChars="200" w:firstLine="420"/>
      </w:pPr>
      <w:r>
        <w:t>本标准由中国工程建设标准化协会绿色建筑与生态城区分会归口管理，由中国城市建设研究院有限公司负责具体技术内容的解释。执行过程中如有意见和建议，请寄送中国城市建设研究院有限公司（地址：北京市西城区德胜门外大街</w:t>
      </w:r>
      <w:r>
        <w:t>36</w:t>
      </w:r>
      <w:r>
        <w:t>号，邮编：</w:t>
      </w:r>
      <w:r>
        <w:t>100120</w:t>
      </w:r>
      <w:r>
        <w:t>）。</w:t>
      </w:r>
    </w:p>
    <w:p w14:paraId="785F4241" w14:textId="77777777" w:rsidR="00C8163F" w:rsidRDefault="00C8163F" w:rsidP="00C8163F">
      <w:pPr>
        <w:pStyle w:val="ad"/>
        <w:tabs>
          <w:tab w:val="left" w:pos="1701"/>
        </w:tabs>
        <w:spacing w:line="458" w:lineRule="exact"/>
        <w:ind w:firstLineChars="200" w:firstLine="420"/>
      </w:pPr>
      <w:bookmarkStart w:id="2" w:name="_Hlk42184784"/>
      <w:r>
        <w:t>主编单位：中国城市建设研究院有限公司</w:t>
      </w:r>
    </w:p>
    <w:p w14:paraId="797DB27E" w14:textId="77777777" w:rsidR="00C8163F" w:rsidRDefault="00C8163F" w:rsidP="00C8163F">
      <w:pPr>
        <w:pStyle w:val="ad"/>
        <w:tabs>
          <w:tab w:val="left" w:pos="1701"/>
        </w:tabs>
        <w:spacing w:line="458" w:lineRule="exact"/>
        <w:ind w:firstLineChars="200" w:firstLine="420"/>
      </w:pPr>
      <w:r>
        <w:t>参编单位：北京市科学技术研究院资源环境研究所</w:t>
      </w:r>
    </w:p>
    <w:p w14:paraId="663587C7" w14:textId="77777777" w:rsidR="00C8163F" w:rsidRDefault="00C8163F" w:rsidP="00C8163F">
      <w:pPr>
        <w:pStyle w:val="ad"/>
        <w:tabs>
          <w:tab w:val="left" w:pos="1701"/>
        </w:tabs>
        <w:spacing w:line="458" w:lineRule="exact"/>
        <w:ind w:firstLineChars="700" w:firstLine="1470"/>
      </w:pPr>
      <w:r>
        <w:t>中国环境科学研究院</w:t>
      </w:r>
    </w:p>
    <w:p w14:paraId="2EA6CED0" w14:textId="77777777" w:rsidR="00C8163F" w:rsidRDefault="00C8163F" w:rsidP="00C8163F">
      <w:pPr>
        <w:pStyle w:val="ad"/>
        <w:tabs>
          <w:tab w:val="left" w:pos="1701"/>
        </w:tabs>
        <w:spacing w:line="458" w:lineRule="exact"/>
        <w:ind w:firstLineChars="700" w:firstLine="1470"/>
      </w:pPr>
      <w:proofErr w:type="gramStart"/>
      <w:r>
        <w:t>万创青绿</w:t>
      </w:r>
      <w:proofErr w:type="gramEnd"/>
      <w:r>
        <w:t>（北京）环境科技有限公司</w:t>
      </w:r>
    </w:p>
    <w:p w14:paraId="5058BC28" w14:textId="77777777" w:rsidR="00C8163F" w:rsidRDefault="00C8163F" w:rsidP="00C8163F">
      <w:pPr>
        <w:pStyle w:val="ad"/>
        <w:tabs>
          <w:tab w:val="left" w:pos="1701"/>
        </w:tabs>
        <w:spacing w:line="458" w:lineRule="exact"/>
        <w:ind w:firstLineChars="700" w:firstLine="1470"/>
      </w:pPr>
      <w:proofErr w:type="gramStart"/>
      <w:r>
        <w:t>煜环环境</w:t>
      </w:r>
      <w:proofErr w:type="gramEnd"/>
      <w:r>
        <w:t>科技有限公司</w:t>
      </w:r>
      <w:bookmarkEnd w:id="2"/>
    </w:p>
    <w:p w14:paraId="77372604" w14:textId="77777777" w:rsidR="00C8163F" w:rsidRDefault="00C8163F" w:rsidP="00C8163F">
      <w:pPr>
        <w:pStyle w:val="ad"/>
        <w:tabs>
          <w:tab w:val="left" w:pos="1701"/>
        </w:tabs>
        <w:spacing w:line="458" w:lineRule="exact"/>
        <w:ind w:firstLineChars="200" w:firstLine="420"/>
      </w:pPr>
      <w:r>
        <w:t>主要起草人：</w:t>
      </w:r>
      <w:r>
        <w:t>……</w:t>
      </w:r>
    </w:p>
    <w:p w14:paraId="19BA5F57" w14:textId="77777777" w:rsidR="00C8163F" w:rsidRDefault="00C8163F" w:rsidP="00C8163F">
      <w:pPr>
        <w:pStyle w:val="ad"/>
      </w:pPr>
    </w:p>
    <w:p w14:paraId="1DE85810" w14:textId="77777777" w:rsidR="00C8163F" w:rsidRDefault="00C8163F" w:rsidP="00C8163F">
      <w:pPr>
        <w:pStyle w:val="ad"/>
      </w:pPr>
    </w:p>
    <w:p w14:paraId="75870DEA" w14:textId="77777777" w:rsidR="00C8163F" w:rsidRDefault="00C8163F" w:rsidP="00C8163F">
      <w:pPr>
        <w:pStyle w:val="ad"/>
        <w:ind w:firstLineChars="200" w:firstLine="420"/>
      </w:pPr>
      <w:r>
        <w:t>主要审查人：</w:t>
      </w:r>
      <w:r>
        <w:t>……</w:t>
      </w:r>
    </w:p>
    <w:p w14:paraId="592DBB60" w14:textId="77777777" w:rsidR="00C8163F" w:rsidRDefault="00C8163F" w:rsidP="00C8163F">
      <w:pPr>
        <w:widowControl/>
        <w:jc w:val="left"/>
        <w:rPr>
          <w:b/>
          <w:sz w:val="32"/>
          <w:szCs w:val="32"/>
        </w:rPr>
      </w:pPr>
      <w:r>
        <w:rPr>
          <w:b/>
          <w:sz w:val="32"/>
          <w:szCs w:val="32"/>
        </w:rPr>
        <w:br w:type="page"/>
      </w:r>
    </w:p>
    <w:p w14:paraId="4A7A24F8" w14:textId="77777777" w:rsidR="00C8163F" w:rsidRDefault="00C8163F" w:rsidP="00C8163F">
      <w:pPr>
        <w:snapToGrid w:val="0"/>
        <w:spacing w:line="480" w:lineRule="auto"/>
        <w:jc w:val="center"/>
        <w:rPr>
          <w:b/>
          <w:bCs/>
          <w:sz w:val="32"/>
          <w:szCs w:val="32"/>
        </w:rPr>
      </w:pPr>
      <w:r>
        <w:rPr>
          <w:b/>
          <w:bCs/>
          <w:sz w:val="32"/>
          <w:szCs w:val="32"/>
        </w:rPr>
        <w:lastRenderedPageBreak/>
        <w:t>目</w:t>
      </w:r>
      <w:r>
        <w:rPr>
          <w:b/>
          <w:bCs/>
          <w:sz w:val="32"/>
          <w:szCs w:val="32"/>
        </w:rPr>
        <w:t xml:space="preserve">  </w:t>
      </w:r>
      <w:r>
        <w:rPr>
          <w:b/>
          <w:bCs/>
          <w:sz w:val="32"/>
          <w:szCs w:val="32"/>
        </w:rPr>
        <w:t>次</w:t>
      </w:r>
    </w:p>
    <w:p w14:paraId="4AE928CB" w14:textId="387AA661" w:rsidR="00C8163F" w:rsidRDefault="00C8163F" w:rsidP="00C8163F">
      <w:pPr>
        <w:pStyle w:val="TOC1"/>
        <w:tabs>
          <w:tab w:val="left" w:pos="420"/>
        </w:tabs>
        <w:spacing w:line="276" w:lineRule="auto"/>
        <w:rPr>
          <w:rFonts w:ascii="Times New Roman" w:hAnsi="Times New Roman" w:cs="Times New Roman"/>
          <w:szCs w:val="22"/>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bookmarkStart w:id="3" w:name="_Hlk117001815"/>
      <w:r w:rsidR="00921EF4">
        <w:fldChar w:fldCharType="begin"/>
      </w:r>
      <w:r w:rsidR="00921EF4">
        <w:instrText xml:space="preserve"> HYPERLINK \l "_Toc114066404" </w:instrText>
      </w:r>
      <w:r w:rsidR="00921EF4">
        <w:fldChar w:fldCharType="separate"/>
      </w:r>
      <w:r>
        <w:rPr>
          <w:rStyle w:val="af"/>
          <w:rFonts w:ascii="Times New Roman" w:hAnsi="Times New Roman" w:cs="Times New Roman"/>
        </w:rPr>
        <w:t>1</w:t>
      </w:r>
      <w:r>
        <w:rPr>
          <w:rFonts w:ascii="Times New Roman" w:hAnsi="Times New Roman" w:cs="Times New Roman"/>
          <w:szCs w:val="22"/>
        </w:rPr>
        <w:tab/>
      </w:r>
      <w:r>
        <w:rPr>
          <w:rStyle w:val="af"/>
          <w:rFonts w:ascii="Times New Roman" w:hAnsi="Times New Roman" w:cs="Times New Roman"/>
        </w:rPr>
        <w:t>总则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_Toc114066404 \h </w:instrText>
      </w:r>
      <w:r>
        <w:rPr>
          <w:rFonts w:ascii="Times New Roman" w:hAnsi="Times New Roman" w:cs="Times New Roman"/>
        </w:rPr>
      </w:r>
      <w:r>
        <w:rPr>
          <w:rFonts w:ascii="Times New Roman" w:hAnsi="Times New Roman" w:cs="Times New Roman"/>
        </w:rPr>
        <w:fldChar w:fldCharType="separate"/>
      </w:r>
      <w:r w:rsidR="007403BD">
        <w:rPr>
          <w:rFonts w:ascii="Times New Roman" w:hAnsi="Times New Roman" w:cs="Times New Roman"/>
          <w:noProof/>
        </w:rPr>
        <w:t>1</w:t>
      </w:r>
      <w:r>
        <w:rPr>
          <w:rFonts w:ascii="Times New Roman" w:hAnsi="Times New Roman" w:cs="Times New Roman"/>
        </w:rPr>
        <w:fldChar w:fldCharType="end"/>
      </w:r>
      <w:r w:rsidR="00921EF4">
        <w:rPr>
          <w:rFonts w:ascii="Times New Roman" w:hAnsi="Times New Roman" w:cs="Times New Roman"/>
        </w:rPr>
        <w:fldChar w:fldCharType="end"/>
      </w:r>
    </w:p>
    <w:p w14:paraId="6DCEC065" w14:textId="782C3A98" w:rsidR="00C8163F" w:rsidRDefault="000B22E9" w:rsidP="00C8163F">
      <w:pPr>
        <w:pStyle w:val="TOC1"/>
        <w:tabs>
          <w:tab w:val="left" w:pos="420"/>
        </w:tabs>
        <w:spacing w:line="276" w:lineRule="auto"/>
        <w:rPr>
          <w:rFonts w:ascii="Times New Roman" w:hAnsi="Times New Roman" w:cs="Times New Roman"/>
          <w:szCs w:val="22"/>
        </w:rPr>
      </w:pPr>
      <w:hyperlink w:anchor="_Toc114066405" w:history="1">
        <w:r w:rsidR="00C8163F">
          <w:rPr>
            <w:rStyle w:val="af"/>
            <w:rFonts w:ascii="Times New Roman" w:hAnsi="Times New Roman" w:cs="Times New Roman"/>
          </w:rPr>
          <w:t>2</w:t>
        </w:r>
        <w:r w:rsidR="00C8163F">
          <w:rPr>
            <w:rFonts w:ascii="Times New Roman" w:hAnsi="Times New Roman" w:cs="Times New Roman"/>
            <w:szCs w:val="22"/>
          </w:rPr>
          <w:tab/>
        </w:r>
        <w:r w:rsidR="00C8163F">
          <w:rPr>
            <w:rStyle w:val="af"/>
            <w:rFonts w:ascii="Times New Roman" w:hAnsi="Times New Roman" w:cs="Times New Roman"/>
          </w:rPr>
          <w:t>术语</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_Toc114066405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2</w:t>
        </w:r>
        <w:r w:rsidR="00C8163F">
          <w:rPr>
            <w:rFonts w:ascii="Times New Roman" w:hAnsi="Times New Roman" w:cs="Times New Roman"/>
          </w:rPr>
          <w:fldChar w:fldCharType="end"/>
        </w:r>
      </w:hyperlink>
    </w:p>
    <w:p w14:paraId="2FB7DBED" w14:textId="0B045A82" w:rsidR="00C8163F" w:rsidRDefault="000B22E9" w:rsidP="00C8163F">
      <w:pPr>
        <w:pStyle w:val="TOC1"/>
        <w:tabs>
          <w:tab w:val="left" w:pos="420"/>
        </w:tabs>
        <w:spacing w:line="276" w:lineRule="auto"/>
        <w:rPr>
          <w:rFonts w:ascii="Times New Roman" w:hAnsi="Times New Roman" w:cs="Times New Roman"/>
          <w:szCs w:val="22"/>
        </w:rPr>
      </w:pPr>
      <w:hyperlink w:anchor="_Toc114066406" w:history="1">
        <w:r w:rsidR="00C8163F">
          <w:rPr>
            <w:rStyle w:val="af"/>
            <w:rFonts w:ascii="Times New Roman" w:hAnsi="Times New Roman" w:cs="Times New Roman"/>
          </w:rPr>
          <w:t>3</w:t>
        </w:r>
        <w:r w:rsidR="00C8163F">
          <w:rPr>
            <w:rFonts w:ascii="Times New Roman" w:hAnsi="Times New Roman" w:cs="Times New Roman"/>
            <w:szCs w:val="22"/>
          </w:rPr>
          <w:tab/>
        </w:r>
        <w:r w:rsidR="00C8163F">
          <w:rPr>
            <w:rStyle w:val="af"/>
            <w:rFonts w:ascii="Times New Roman" w:hAnsi="Times New Roman" w:cs="Times New Roman"/>
          </w:rPr>
          <w:t>基本规定</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_Toc114066406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3</w:t>
        </w:r>
        <w:r w:rsidR="00C8163F">
          <w:rPr>
            <w:rFonts w:ascii="Times New Roman" w:hAnsi="Times New Roman" w:cs="Times New Roman"/>
          </w:rPr>
          <w:fldChar w:fldCharType="end"/>
        </w:r>
      </w:hyperlink>
    </w:p>
    <w:p w14:paraId="3B7CE90A" w14:textId="41C53154" w:rsidR="00C8163F" w:rsidRDefault="000B22E9" w:rsidP="00C8163F">
      <w:pPr>
        <w:pStyle w:val="TOC1"/>
        <w:tabs>
          <w:tab w:val="left" w:pos="420"/>
        </w:tabs>
        <w:spacing w:line="276" w:lineRule="auto"/>
        <w:rPr>
          <w:rFonts w:ascii="Times New Roman" w:hAnsi="Times New Roman" w:cs="Times New Roman"/>
          <w:szCs w:val="22"/>
        </w:rPr>
      </w:pPr>
      <w:hyperlink w:anchor="_Toc114066407" w:history="1">
        <w:r w:rsidR="00C8163F">
          <w:rPr>
            <w:rStyle w:val="af"/>
            <w:rFonts w:ascii="Times New Roman" w:hAnsi="Times New Roman" w:cs="Times New Roman"/>
          </w:rPr>
          <w:t>4</w:t>
        </w:r>
        <w:r w:rsidR="00C8163F">
          <w:rPr>
            <w:rFonts w:ascii="Times New Roman" w:hAnsi="Times New Roman" w:cs="Times New Roman"/>
            <w:szCs w:val="22"/>
          </w:rPr>
          <w:tab/>
        </w:r>
        <w:r w:rsidR="00C8163F">
          <w:rPr>
            <w:rStyle w:val="af"/>
            <w:rFonts w:ascii="Times New Roman" w:hAnsi="Times New Roman" w:cs="Times New Roman"/>
          </w:rPr>
          <w:t>勘察</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_Toc114066407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4</w:t>
        </w:r>
        <w:r w:rsidR="00C8163F">
          <w:rPr>
            <w:rFonts w:ascii="Times New Roman" w:hAnsi="Times New Roman" w:cs="Times New Roman"/>
          </w:rPr>
          <w:fldChar w:fldCharType="end"/>
        </w:r>
      </w:hyperlink>
    </w:p>
    <w:p w14:paraId="42050B96" w14:textId="7FBC9776" w:rsidR="00C8163F" w:rsidRDefault="000B22E9" w:rsidP="00C8163F">
      <w:pPr>
        <w:pStyle w:val="TOC1"/>
        <w:tabs>
          <w:tab w:val="left" w:pos="420"/>
        </w:tabs>
        <w:spacing w:line="276" w:lineRule="auto"/>
        <w:rPr>
          <w:rFonts w:ascii="Times New Roman" w:hAnsi="Times New Roman" w:cs="Times New Roman"/>
          <w:szCs w:val="22"/>
        </w:rPr>
      </w:pPr>
      <w:hyperlink w:anchor="_Toc114066408" w:history="1">
        <w:r w:rsidR="00C8163F">
          <w:rPr>
            <w:rStyle w:val="af"/>
            <w:rFonts w:ascii="Times New Roman" w:hAnsi="Times New Roman" w:cs="Times New Roman"/>
          </w:rPr>
          <w:t>5</w:t>
        </w:r>
        <w:r w:rsidR="00C8163F">
          <w:rPr>
            <w:rFonts w:ascii="Times New Roman" w:hAnsi="Times New Roman" w:cs="Times New Roman"/>
            <w:szCs w:val="22"/>
          </w:rPr>
          <w:tab/>
        </w:r>
        <w:r w:rsidR="00C8163F">
          <w:rPr>
            <w:rStyle w:val="af"/>
            <w:rFonts w:ascii="Times New Roman" w:hAnsi="Times New Roman" w:cs="Times New Roman"/>
          </w:rPr>
          <w:t>设计</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_Toc114066408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5</w:t>
        </w:r>
        <w:r w:rsidR="00C8163F">
          <w:rPr>
            <w:rFonts w:ascii="Times New Roman" w:hAnsi="Times New Roman" w:cs="Times New Roman"/>
          </w:rPr>
          <w:fldChar w:fldCharType="end"/>
        </w:r>
      </w:hyperlink>
    </w:p>
    <w:p w14:paraId="569A42FF" w14:textId="34D62E2E" w:rsidR="00C8163F" w:rsidRDefault="000B22E9" w:rsidP="00C8163F">
      <w:pPr>
        <w:pStyle w:val="TOC2"/>
        <w:tabs>
          <w:tab w:val="right" w:leader="dot" w:pos="8296"/>
        </w:tabs>
        <w:spacing w:line="276" w:lineRule="auto"/>
        <w:rPr>
          <w:rFonts w:ascii="Times New Roman" w:hAnsi="Times New Roman" w:cs="Times New Roman"/>
          <w:szCs w:val="22"/>
        </w:rPr>
      </w:pPr>
      <w:hyperlink w:anchor="_Toc114066409" w:history="1">
        <w:r w:rsidR="00C8163F">
          <w:rPr>
            <w:rStyle w:val="af"/>
            <w:rFonts w:ascii="Times New Roman" w:hAnsi="Times New Roman" w:cs="Times New Roman"/>
          </w:rPr>
          <w:t xml:space="preserve">5.1 </w:t>
        </w:r>
        <w:r w:rsidR="00C8163F">
          <w:rPr>
            <w:rStyle w:val="af"/>
            <w:rFonts w:ascii="Times New Roman" w:hAnsi="Times New Roman" w:cs="Times New Roman"/>
          </w:rPr>
          <w:t>场地设计</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_Toc114066409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5</w:t>
        </w:r>
        <w:r w:rsidR="00C8163F">
          <w:rPr>
            <w:rFonts w:ascii="Times New Roman" w:hAnsi="Times New Roman" w:cs="Times New Roman"/>
          </w:rPr>
          <w:fldChar w:fldCharType="end"/>
        </w:r>
      </w:hyperlink>
    </w:p>
    <w:p w14:paraId="770911BE" w14:textId="49667327" w:rsidR="00C8163F" w:rsidRDefault="000B22E9" w:rsidP="00C8163F">
      <w:pPr>
        <w:pStyle w:val="TOC2"/>
        <w:tabs>
          <w:tab w:val="right" w:leader="dot" w:pos="8296"/>
        </w:tabs>
        <w:spacing w:line="276" w:lineRule="auto"/>
        <w:rPr>
          <w:rFonts w:ascii="Times New Roman" w:hAnsi="Times New Roman" w:cs="Times New Roman"/>
          <w:szCs w:val="22"/>
        </w:rPr>
      </w:pPr>
      <w:hyperlink w:anchor="_Toc114066410" w:history="1">
        <w:r w:rsidR="00C8163F">
          <w:rPr>
            <w:rStyle w:val="af"/>
            <w:rFonts w:ascii="Times New Roman" w:hAnsi="Times New Roman" w:cs="Times New Roman"/>
          </w:rPr>
          <w:t xml:space="preserve">5.2 </w:t>
        </w:r>
        <w:r w:rsidR="00C8163F">
          <w:rPr>
            <w:rStyle w:val="af"/>
            <w:rFonts w:ascii="Times New Roman" w:hAnsi="Times New Roman" w:cs="Times New Roman"/>
          </w:rPr>
          <w:t>建筑设计</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_Toc114066410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5</w:t>
        </w:r>
        <w:r w:rsidR="00C8163F">
          <w:rPr>
            <w:rFonts w:ascii="Times New Roman" w:hAnsi="Times New Roman" w:cs="Times New Roman"/>
          </w:rPr>
          <w:fldChar w:fldCharType="end"/>
        </w:r>
      </w:hyperlink>
    </w:p>
    <w:p w14:paraId="31FA8F73" w14:textId="47D90C17" w:rsidR="00C8163F" w:rsidRDefault="000B22E9" w:rsidP="00C8163F">
      <w:pPr>
        <w:pStyle w:val="TOC2"/>
        <w:tabs>
          <w:tab w:val="right" w:leader="dot" w:pos="8296"/>
        </w:tabs>
        <w:spacing w:line="276" w:lineRule="auto"/>
        <w:rPr>
          <w:rFonts w:ascii="Times New Roman" w:hAnsi="Times New Roman" w:cs="Times New Roman"/>
          <w:szCs w:val="22"/>
        </w:rPr>
      </w:pPr>
      <w:hyperlink w:anchor="_Toc114066411" w:history="1">
        <w:r w:rsidR="00C8163F">
          <w:rPr>
            <w:rStyle w:val="af"/>
            <w:rFonts w:ascii="Times New Roman" w:hAnsi="Times New Roman" w:cs="Times New Roman"/>
          </w:rPr>
          <w:t xml:space="preserve">5.3 </w:t>
        </w:r>
        <w:r w:rsidR="00C8163F">
          <w:rPr>
            <w:rStyle w:val="af"/>
            <w:rFonts w:ascii="Times New Roman" w:hAnsi="Times New Roman" w:cs="Times New Roman"/>
          </w:rPr>
          <w:t>防腐措施</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_Toc114066411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6</w:t>
        </w:r>
        <w:r w:rsidR="00C8163F">
          <w:rPr>
            <w:rFonts w:ascii="Times New Roman" w:hAnsi="Times New Roman" w:cs="Times New Roman"/>
          </w:rPr>
          <w:fldChar w:fldCharType="end"/>
        </w:r>
      </w:hyperlink>
    </w:p>
    <w:p w14:paraId="745DF821" w14:textId="7768CE01" w:rsidR="00C8163F" w:rsidRDefault="000B22E9" w:rsidP="00C8163F">
      <w:pPr>
        <w:pStyle w:val="TOC1"/>
        <w:tabs>
          <w:tab w:val="left" w:pos="420"/>
        </w:tabs>
        <w:spacing w:line="276" w:lineRule="auto"/>
        <w:rPr>
          <w:rFonts w:ascii="Times New Roman" w:hAnsi="Times New Roman" w:cs="Times New Roman"/>
          <w:szCs w:val="22"/>
        </w:rPr>
      </w:pPr>
      <w:hyperlink w:anchor="_Toc114066412" w:history="1">
        <w:r w:rsidR="00C8163F">
          <w:rPr>
            <w:rStyle w:val="af"/>
            <w:rFonts w:ascii="Times New Roman" w:hAnsi="Times New Roman" w:cs="Times New Roman"/>
          </w:rPr>
          <w:t>6</w:t>
        </w:r>
        <w:r w:rsidR="00C8163F">
          <w:rPr>
            <w:rFonts w:ascii="Times New Roman" w:hAnsi="Times New Roman" w:cs="Times New Roman"/>
            <w:szCs w:val="22"/>
          </w:rPr>
          <w:tab/>
        </w:r>
        <w:r w:rsidR="00C8163F">
          <w:rPr>
            <w:rStyle w:val="af"/>
            <w:rFonts w:ascii="Times New Roman" w:hAnsi="Times New Roman" w:cs="Times New Roman"/>
          </w:rPr>
          <w:t>施工</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_Toc114066412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8</w:t>
        </w:r>
        <w:r w:rsidR="00C8163F">
          <w:rPr>
            <w:rFonts w:ascii="Times New Roman" w:hAnsi="Times New Roman" w:cs="Times New Roman"/>
          </w:rPr>
          <w:fldChar w:fldCharType="end"/>
        </w:r>
      </w:hyperlink>
    </w:p>
    <w:p w14:paraId="54050385" w14:textId="34F023CE" w:rsidR="00C8163F" w:rsidRDefault="000B22E9" w:rsidP="00C8163F">
      <w:pPr>
        <w:pStyle w:val="TOC1"/>
        <w:tabs>
          <w:tab w:val="left" w:pos="420"/>
        </w:tabs>
        <w:spacing w:line="276" w:lineRule="auto"/>
        <w:rPr>
          <w:rFonts w:ascii="Times New Roman" w:hAnsi="Times New Roman" w:cs="Times New Roman"/>
          <w:szCs w:val="22"/>
        </w:rPr>
      </w:pPr>
      <w:hyperlink w:anchor="_Toc114066413" w:history="1">
        <w:r w:rsidR="00C8163F">
          <w:rPr>
            <w:rStyle w:val="af"/>
            <w:rFonts w:ascii="Times New Roman" w:hAnsi="Times New Roman" w:cs="Times New Roman"/>
          </w:rPr>
          <w:t>7</w:t>
        </w:r>
        <w:r w:rsidR="00C8163F">
          <w:rPr>
            <w:rFonts w:ascii="Times New Roman" w:hAnsi="Times New Roman" w:cs="Times New Roman"/>
            <w:szCs w:val="22"/>
          </w:rPr>
          <w:tab/>
        </w:r>
        <w:r w:rsidR="00C8163F">
          <w:rPr>
            <w:rStyle w:val="af"/>
            <w:rFonts w:ascii="Times New Roman" w:hAnsi="Times New Roman" w:cs="Times New Roman"/>
          </w:rPr>
          <w:t>监测维护</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_Toc114066413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9</w:t>
        </w:r>
        <w:r w:rsidR="00C8163F">
          <w:rPr>
            <w:rFonts w:ascii="Times New Roman" w:hAnsi="Times New Roman" w:cs="Times New Roman"/>
          </w:rPr>
          <w:fldChar w:fldCharType="end"/>
        </w:r>
      </w:hyperlink>
    </w:p>
    <w:bookmarkEnd w:id="3"/>
    <w:p w14:paraId="5F64F722" w14:textId="666B8D2F" w:rsidR="00C8163F" w:rsidRDefault="00921EF4" w:rsidP="00C8163F">
      <w:pPr>
        <w:pStyle w:val="TOC1"/>
        <w:spacing w:line="276" w:lineRule="auto"/>
        <w:rPr>
          <w:rFonts w:ascii="Times New Roman" w:hAnsi="Times New Roman" w:cs="Times New Roman"/>
          <w:szCs w:val="22"/>
        </w:rPr>
      </w:pPr>
      <w:r>
        <w:fldChar w:fldCharType="begin"/>
      </w:r>
      <w:r>
        <w:instrText xml:space="preserve"> HYPERLINK \l "_Toc114066414" </w:instrText>
      </w:r>
      <w:r>
        <w:fldChar w:fldCharType="separate"/>
      </w:r>
      <w:r w:rsidR="00C8163F">
        <w:rPr>
          <w:rStyle w:val="af"/>
          <w:rFonts w:ascii="Times New Roman" w:hAnsi="Times New Roman" w:cs="Times New Roman"/>
        </w:rPr>
        <w:t>本标准用词说明</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_Toc114066414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10</w:t>
      </w:r>
      <w:r w:rsidR="00C8163F">
        <w:rPr>
          <w:rFonts w:ascii="Times New Roman" w:hAnsi="Times New Roman" w:cs="Times New Roman"/>
        </w:rPr>
        <w:fldChar w:fldCharType="end"/>
      </w:r>
      <w:r>
        <w:rPr>
          <w:rFonts w:ascii="Times New Roman" w:hAnsi="Times New Roman" w:cs="Times New Roman"/>
        </w:rPr>
        <w:fldChar w:fldCharType="end"/>
      </w:r>
    </w:p>
    <w:p w14:paraId="3F69A9D2" w14:textId="6D13C5EA" w:rsidR="00C8163F" w:rsidRDefault="000B22E9" w:rsidP="00C8163F">
      <w:pPr>
        <w:pStyle w:val="TOC1"/>
        <w:spacing w:line="276" w:lineRule="auto"/>
        <w:rPr>
          <w:rFonts w:ascii="Times New Roman" w:hAnsi="Times New Roman" w:cs="Times New Roman"/>
          <w:szCs w:val="22"/>
        </w:rPr>
      </w:pPr>
      <w:hyperlink w:anchor="_Toc114066415" w:history="1">
        <w:r w:rsidR="00C8163F">
          <w:rPr>
            <w:rStyle w:val="af"/>
            <w:rFonts w:ascii="Times New Roman" w:hAnsi="Times New Roman" w:cs="Times New Roman"/>
          </w:rPr>
          <w:t>引用标准名录</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_Toc114066415 \h </w:instrText>
        </w:r>
        <w:r w:rsidR="00C8163F">
          <w:rPr>
            <w:rFonts w:ascii="Times New Roman" w:hAnsi="Times New Roman" w:cs="Times New Roman"/>
          </w:rPr>
        </w:r>
        <w:r w:rsidR="00C8163F">
          <w:rPr>
            <w:rFonts w:ascii="Times New Roman" w:hAnsi="Times New Roman" w:cs="Times New Roman"/>
          </w:rPr>
          <w:fldChar w:fldCharType="separate"/>
        </w:r>
        <w:r w:rsidR="007403BD">
          <w:rPr>
            <w:rFonts w:ascii="Times New Roman" w:hAnsi="Times New Roman" w:cs="Times New Roman"/>
            <w:noProof/>
          </w:rPr>
          <w:t>11</w:t>
        </w:r>
        <w:r w:rsidR="00C8163F">
          <w:rPr>
            <w:rFonts w:ascii="Times New Roman" w:hAnsi="Times New Roman" w:cs="Times New Roman"/>
          </w:rPr>
          <w:fldChar w:fldCharType="end"/>
        </w:r>
      </w:hyperlink>
    </w:p>
    <w:p w14:paraId="53A4A84B" w14:textId="32EA3936" w:rsidR="00C8163F" w:rsidRDefault="000B22E9" w:rsidP="00C8163F">
      <w:pPr>
        <w:pStyle w:val="TOC1"/>
        <w:spacing w:line="276" w:lineRule="auto"/>
        <w:rPr>
          <w:rFonts w:ascii="Times New Roman" w:hAnsi="Times New Roman" w:cs="Times New Roman"/>
          <w:szCs w:val="22"/>
        </w:rPr>
      </w:pPr>
      <w:hyperlink w:anchor="_Toc114066416" w:history="1">
        <w:r w:rsidR="00C8163F">
          <w:rPr>
            <w:rStyle w:val="af"/>
            <w:rFonts w:ascii="Times New Roman" w:hAnsi="Times New Roman" w:cs="Times New Roman"/>
          </w:rPr>
          <w:t>条文说明</w:t>
        </w:r>
        <w:r w:rsidR="00C8163F">
          <w:rPr>
            <w:rFonts w:ascii="Times New Roman" w:hAnsi="Times New Roman" w:cs="Times New Roman"/>
          </w:rPr>
          <w:tab/>
        </w:r>
        <w:r w:rsidR="00C8163F">
          <w:rPr>
            <w:rFonts w:ascii="Times New Roman" w:hAnsi="Times New Roman" w:cs="Times New Roman"/>
          </w:rPr>
          <w:fldChar w:fldCharType="begin"/>
        </w:r>
        <w:r w:rsidR="00C8163F">
          <w:rPr>
            <w:rFonts w:ascii="Times New Roman" w:hAnsi="Times New Roman" w:cs="Times New Roman"/>
          </w:rPr>
          <w:instrText xml:space="preserve"> PAGEREF _Toc114066416 \h </w:instrText>
        </w:r>
        <w:r w:rsidR="00C8163F">
          <w:rPr>
            <w:rFonts w:ascii="Times New Roman" w:hAnsi="Times New Roman" w:cs="Times New Roman"/>
          </w:rPr>
          <w:fldChar w:fldCharType="separate"/>
        </w:r>
        <w:r w:rsidR="007403BD">
          <w:rPr>
            <w:rFonts w:ascii="Times New Roman" w:hAnsi="Times New Roman" w:cs="Times New Roman" w:hint="eastAsia"/>
            <w:b/>
            <w:bCs/>
            <w:noProof/>
          </w:rPr>
          <w:t>错误</w:t>
        </w:r>
        <w:r w:rsidR="007403BD">
          <w:rPr>
            <w:rFonts w:ascii="Times New Roman" w:hAnsi="Times New Roman" w:cs="Times New Roman" w:hint="eastAsia"/>
            <w:b/>
            <w:bCs/>
            <w:noProof/>
          </w:rPr>
          <w:t>!</w:t>
        </w:r>
        <w:r w:rsidR="007403BD">
          <w:rPr>
            <w:rFonts w:ascii="Times New Roman" w:hAnsi="Times New Roman" w:cs="Times New Roman" w:hint="eastAsia"/>
            <w:b/>
            <w:bCs/>
            <w:noProof/>
          </w:rPr>
          <w:t>未定义书签。</w:t>
        </w:r>
        <w:r w:rsidR="00C8163F">
          <w:rPr>
            <w:rFonts w:ascii="Times New Roman" w:hAnsi="Times New Roman" w:cs="Times New Roman"/>
          </w:rPr>
          <w:fldChar w:fldCharType="end"/>
        </w:r>
      </w:hyperlink>
    </w:p>
    <w:p w14:paraId="6ED91844" w14:textId="77777777" w:rsidR="00C8163F" w:rsidRDefault="00C8163F" w:rsidP="00C8163F">
      <w:pPr>
        <w:adjustRightInd w:val="0"/>
        <w:snapToGrid w:val="0"/>
        <w:spacing w:line="276" w:lineRule="auto"/>
        <w:rPr>
          <w:b/>
          <w:sz w:val="24"/>
        </w:rPr>
      </w:pPr>
      <w:r>
        <w:fldChar w:fldCharType="end"/>
      </w:r>
      <w:r>
        <w:rPr>
          <w:b/>
          <w:sz w:val="24"/>
        </w:rPr>
        <w:t xml:space="preserve"> </w:t>
      </w:r>
      <w:r>
        <w:rPr>
          <w:b/>
          <w:sz w:val="24"/>
        </w:rPr>
        <w:br w:type="page"/>
      </w:r>
    </w:p>
    <w:p w14:paraId="1984CC6F" w14:textId="77777777" w:rsidR="00C8163F" w:rsidRDefault="00C8163F" w:rsidP="00C8163F">
      <w:pPr>
        <w:snapToGrid w:val="0"/>
        <w:spacing w:line="480" w:lineRule="auto"/>
        <w:jc w:val="center"/>
        <w:rPr>
          <w:b/>
          <w:bCs/>
          <w:sz w:val="32"/>
          <w:szCs w:val="32"/>
        </w:rPr>
      </w:pPr>
      <w:r>
        <w:rPr>
          <w:b/>
          <w:bCs/>
          <w:sz w:val="32"/>
          <w:szCs w:val="32"/>
        </w:rPr>
        <w:lastRenderedPageBreak/>
        <w:t>CONTENTS</w:t>
      </w:r>
    </w:p>
    <w:p w14:paraId="645849CA" w14:textId="388AACB4" w:rsidR="002A4680" w:rsidRDefault="002A4680" w:rsidP="00C240B9">
      <w:pPr>
        <w:pStyle w:val="a3"/>
        <w:jc w:val="distribute"/>
      </w:pPr>
      <w:proofErr w:type="gramStart"/>
      <w:r>
        <w:t>1  General</w:t>
      </w:r>
      <w:proofErr w:type="gramEnd"/>
      <w:r>
        <w:t xml:space="preserve"> </w:t>
      </w:r>
      <w:r w:rsidR="00982CBE">
        <w:rPr>
          <w:rFonts w:hint="eastAsia"/>
        </w:rPr>
        <w:t>p</w:t>
      </w:r>
      <w:r>
        <w:t>rovisions...........................................................</w:t>
      </w:r>
      <w:r w:rsidR="00A07CB8">
        <w:t>.....................</w:t>
      </w:r>
      <w:r>
        <w:t>.......................................1</w:t>
      </w:r>
    </w:p>
    <w:p w14:paraId="2A13C411" w14:textId="3F6D59E7" w:rsidR="002A4680" w:rsidRDefault="002A4680" w:rsidP="00C240B9">
      <w:pPr>
        <w:pStyle w:val="a3"/>
        <w:jc w:val="distribute"/>
      </w:pPr>
      <w:proofErr w:type="gramStart"/>
      <w:r>
        <w:t>2  Terms</w:t>
      </w:r>
      <w:proofErr w:type="gramEnd"/>
      <w:r>
        <w:t>......................................................</w:t>
      </w:r>
      <w:r w:rsidR="00A07CB8">
        <w:t>....................</w:t>
      </w:r>
      <w:r>
        <w:t>..................................................................2</w:t>
      </w:r>
    </w:p>
    <w:p w14:paraId="46391900" w14:textId="78106664" w:rsidR="002A4680" w:rsidRDefault="002A4680" w:rsidP="00C240B9">
      <w:pPr>
        <w:pStyle w:val="a3"/>
        <w:jc w:val="distribute"/>
      </w:pPr>
      <w:proofErr w:type="gramStart"/>
      <w:r w:rsidRPr="002A4680">
        <w:t xml:space="preserve">3  </w:t>
      </w:r>
      <w:r>
        <w:t>B</w:t>
      </w:r>
      <w:r>
        <w:rPr>
          <w:rFonts w:hint="eastAsia"/>
        </w:rPr>
        <w:t>asic</w:t>
      </w:r>
      <w:proofErr w:type="gramEnd"/>
      <w:r>
        <w:t xml:space="preserve"> </w:t>
      </w:r>
      <w:r w:rsidR="00982CBE">
        <w:rPr>
          <w:rFonts w:hint="eastAsia"/>
        </w:rPr>
        <w:t>r</w:t>
      </w:r>
      <w:r>
        <w:rPr>
          <w:rFonts w:hint="eastAsia"/>
        </w:rPr>
        <w:t>equirements</w:t>
      </w:r>
      <w:r w:rsidRPr="002A4680">
        <w:t>........................</w:t>
      </w:r>
      <w:r w:rsidR="00A07CB8">
        <w:t>..........................................</w:t>
      </w:r>
      <w:r w:rsidRPr="002A4680">
        <w:t>....................................................</w:t>
      </w:r>
      <w:r>
        <w:t>3</w:t>
      </w:r>
    </w:p>
    <w:p w14:paraId="5355996A" w14:textId="2C8966A4" w:rsidR="002A4680" w:rsidRPr="002A4680" w:rsidRDefault="002A4680" w:rsidP="00C240B9">
      <w:pPr>
        <w:pStyle w:val="a3"/>
        <w:jc w:val="distribute"/>
      </w:pPr>
      <w:proofErr w:type="gramStart"/>
      <w:r>
        <w:t xml:space="preserve">4  </w:t>
      </w:r>
      <w:r w:rsidRPr="002A4680">
        <w:t>I</w:t>
      </w:r>
      <w:r w:rsidRPr="002A4680">
        <w:rPr>
          <w:rFonts w:hint="eastAsia"/>
        </w:rPr>
        <w:t>nvestigation</w:t>
      </w:r>
      <w:proofErr w:type="gramEnd"/>
      <w:r w:rsidRPr="002A4680">
        <w:t>.......................................</w:t>
      </w:r>
      <w:r w:rsidR="00A07CB8">
        <w:t>........................................</w:t>
      </w:r>
      <w:r w:rsidRPr="002A4680">
        <w:t>..................................................</w:t>
      </w:r>
      <w:r>
        <w:t>4</w:t>
      </w:r>
    </w:p>
    <w:p w14:paraId="15EB5E2A" w14:textId="48688C2C" w:rsidR="002A4680" w:rsidRPr="002A4680" w:rsidRDefault="002A4680" w:rsidP="00C240B9">
      <w:pPr>
        <w:pStyle w:val="a3"/>
        <w:jc w:val="distribute"/>
      </w:pPr>
      <w:proofErr w:type="gramStart"/>
      <w:r w:rsidRPr="002A4680">
        <w:t>5  Desig</w:t>
      </w:r>
      <w:r w:rsidRPr="002A4680">
        <w:rPr>
          <w:rFonts w:hint="eastAsia"/>
        </w:rPr>
        <w:t>n</w:t>
      </w:r>
      <w:proofErr w:type="gramEnd"/>
      <w:r w:rsidRPr="002A4680">
        <w:t>........................................................</w:t>
      </w:r>
      <w:r w:rsidR="00A07CB8">
        <w:t>....................................................</w:t>
      </w:r>
      <w:r w:rsidRPr="002A4680">
        <w:t>..............................5</w:t>
      </w:r>
    </w:p>
    <w:p w14:paraId="01881EE5" w14:textId="168B6D9A" w:rsidR="002A4680" w:rsidRPr="006B2DA5" w:rsidRDefault="006B2DA5" w:rsidP="00C240B9">
      <w:pPr>
        <w:pStyle w:val="a3"/>
        <w:ind w:firstLineChars="200" w:firstLine="420"/>
        <w:jc w:val="distribute"/>
      </w:pPr>
      <w:proofErr w:type="gramStart"/>
      <w:r w:rsidRPr="006B2DA5">
        <w:t>5</w:t>
      </w:r>
      <w:r w:rsidR="002A4680" w:rsidRPr="006B2DA5">
        <w:t>.</w:t>
      </w:r>
      <w:r w:rsidRPr="006B2DA5">
        <w:t>1</w:t>
      </w:r>
      <w:r w:rsidR="002A4680" w:rsidRPr="006B2DA5">
        <w:t xml:space="preserve"> </w:t>
      </w:r>
      <w:r w:rsidR="00C240B9">
        <w:t xml:space="preserve"> </w:t>
      </w:r>
      <w:r w:rsidRPr="006B2DA5">
        <w:t>S</w:t>
      </w:r>
      <w:r w:rsidRPr="006B2DA5">
        <w:rPr>
          <w:rFonts w:hint="eastAsia"/>
        </w:rPr>
        <w:t>ite</w:t>
      </w:r>
      <w:proofErr w:type="gramEnd"/>
      <w:r w:rsidRPr="006B2DA5">
        <w:t xml:space="preserve"> </w:t>
      </w:r>
      <w:r w:rsidR="00982CBE">
        <w:rPr>
          <w:rFonts w:hint="eastAsia"/>
        </w:rPr>
        <w:t>d</w:t>
      </w:r>
      <w:r w:rsidR="002A4680" w:rsidRPr="006B2DA5">
        <w:t>esign.......................................................</w:t>
      </w:r>
      <w:r w:rsidR="00A07CB8">
        <w:t>.....................</w:t>
      </w:r>
      <w:r w:rsidR="002A4680" w:rsidRPr="006B2DA5">
        <w:t>............................................</w:t>
      </w:r>
      <w:r w:rsidRPr="006B2DA5">
        <w:t>5</w:t>
      </w:r>
    </w:p>
    <w:p w14:paraId="5E15DC0E" w14:textId="31B69C02" w:rsidR="002A4680" w:rsidRPr="00DC651A" w:rsidRDefault="006B2DA5" w:rsidP="00C240B9">
      <w:pPr>
        <w:pStyle w:val="a3"/>
        <w:ind w:firstLineChars="200" w:firstLine="420"/>
        <w:jc w:val="distribute"/>
      </w:pPr>
      <w:proofErr w:type="gramStart"/>
      <w:r w:rsidRPr="00DC651A">
        <w:t>5.2</w:t>
      </w:r>
      <w:r w:rsidR="002A4680" w:rsidRPr="00DC651A">
        <w:t xml:space="preserve">  </w:t>
      </w:r>
      <w:r w:rsidR="00DC651A" w:rsidRPr="00DC651A">
        <w:t>Architectural</w:t>
      </w:r>
      <w:proofErr w:type="gramEnd"/>
      <w:r w:rsidR="00DC651A" w:rsidRPr="00DC651A">
        <w:t xml:space="preserve"> design</w:t>
      </w:r>
      <w:r w:rsidR="002A4680" w:rsidRPr="00DC651A">
        <w:t>........................................................................</w:t>
      </w:r>
      <w:r w:rsidR="00C240B9" w:rsidRPr="00DC651A">
        <w:t>....................</w:t>
      </w:r>
      <w:r w:rsidR="002A4680" w:rsidRPr="00DC651A">
        <w:t>..............5</w:t>
      </w:r>
    </w:p>
    <w:p w14:paraId="59F01BDE" w14:textId="3CAC0000" w:rsidR="002A4680" w:rsidRPr="00A07CB8" w:rsidRDefault="006B2DA5" w:rsidP="00C240B9">
      <w:pPr>
        <w:pStyle w:val="a3"/>
        <w:ind w:firstLineChars="200" w:firstLine="420"/>
        <w:jc w:val="distribute"/>
      </w:pPr>
      <w:proofErr w:type="gramStart"/>
      <w:r w:rsidRPr="00A07CB8">
        <w:t>5.3</w:t>
      </w:r>
      <w:r w:rsidR="002A4680" w:rsidRPr="00A07CB8">
        <w:t xml:space="preserve">  </w:t>
      </w:r>
      <w:r w:rsidR="00A07CB8" w:rsidRPr="00A07CB8">
        <w:t>Corrosion</w:t>
      </w:r>
      <w:proofErr w:type="gramEnd"/>
      <w:r w:rsidR="00A07CB8" w:rsidRPr="00A07CB8">
        <w:t xml:space="preserve"> </w:t>
      </w:r>
      <w:r w:rsidR="00982CBE">
        <w:rPr>
          <w:rFonts w:hint="eastAsia"/>
        </w:rPr>
        <w:t>p</w:t>
      </w:r>
      <w:r w:rsidR="00A07CB8" w:rsidRPr="00A07CB8">
        <w:t>revention</w:t>
      </w:r>
      <w:r w:rsidR="002A4680" w:rsidRPr="00A07CB8">
        <w:t>.......................</w:t>
      </w:r>
      <w:r w:rsidR="00C240B9" w:rsidRPr="00DC651A">
        <w:t>.........................................</w:t>
      </w:r>
      <w:r w:rsidR="002A4680" w:rsidRPr="00A07CB8">
        <w:t>.........................................</w:t>
      </w:r>
      <w:r w:rsidRPr="00A07CB8">
        <w:t>6</w:t>
      </w:r>
    </w:p>
    <w:p w14:paraId="18D90DB8" w14:textId="7B8ACDB0" w:rsidR="002A4680" w:rsidRPr="002A4680" w:rsidRDefault="002A4680" w:rsidP="00C240B9">
      <w:pPr>
        <w:pStyle w:val="a3"/>
        <w:jc w:val="distribute"/>
      </w:pPr>
      <w:proofErr w:type="gramStart"/>
      <w:r w:rsidRPr="002A4680">
        <w:t>6  Construction</w:t>
      </w:r>
      <w:proofErr w:type="gramEnd"/>
      <w:r w:rsidRPr="002A4680">
        <w:t>............................</w:t>
      </w:r>
      <w:r w:rsidR="00C240B9" w:rsidRPr="00DC651A">
        <w:t>.......................................</w:t>
      </w:r>
      <w:r w:rsidRPr="002A4680">
        <w:t>..............................................................8</w:t>
      </w:r>
    </w:p>
    <w:p w14:paraId="07A7ED04" w14:textId="77788EFF" w:rsidR="002A4680" w:rsidRDefault="002A4680" w:rsidP="00C240B9">
      <w:pPr>
        <w:pStyle w:val="a3"/>
        <w:jc w:val="distribute"/>
      </w:pPr>
      <w:proofErr w:type="gramStart"/>
      <w:r w:rsidRPr="002A4680">
        <w:t>7  Monitoring</w:t>
      </w:r>
      <w:proofErr w:type="gramEnd"/>
      <w:r w:rsidRPr="002A4680">
        <w:t xml:space="preserve"> and </w:t>
      </w:r>
      <w:r w:rsidR="00982CBE">
        <w:rPr>
          <w:rFonts w:hint="eastAsia"/>
        </w:rPr>
        <w:t>m</w:t>
      </w:r>
      <w:r w:rsidRPr="002A4680">
        <w:t>aintenance...</w:t>
      </w:r>
      <w:r w:rsidR="00C240B9" w:rsidRPr="00DC651A">
        <w:t>.......................................</w:t>
      </w:r>
      <w:r w:rsidRPr="002A4680">
        <w:t>..............................................................9</w:t>
      </w:r>
    </w:p>
    <w:p w14:paraId="503C6EEB" w14:textId="62012E69" w:rsidR="002A4680" w:rsidRDefault="002A4680" w:rsidP="00C240B9">
      <w:pPr>
        <w:pStyle w:val="a3"/>
        <w:jc w:val="distribute"/>
      </w:pPr>
      <w:r>
        <w:t xml:space="preserve">Explanation of </w:t>
      </w:r>
      <w:r w:rsidR="00233F2B">
        <w:rPr>
          <w:rFonts w:hint="eastAsia"/>
        </w:rPr>
        <w:t>w</w:t>
      </w:r>
      <w:r>
        <w:t>ordin</w:t>
      </w:r>
      <w:r w:rsidR="00233F2B">
        <w:rPr>
          <w:rFonts w:hint="eastAsia"/>
        </w:rPr>
        <w:t>g</w:t>
      </w:r>
      <w:r>
        <w:t>.............</w:t>
      </w:r>
      <w:r w:rsidR="00233F2B" w:rsidRPr="00DC651A">
        <w:t>..................</w:t>
      </w:r>
      <w:r w:rsidR="00233F2B" w:rsidRPr="002A4680">
        <w:t>..</w:t>
      </w:r>
      <w:r w:rsidR="00233F2B" w:rsidRPr="00DC651A">
        <w:t>.................</w:t>
      </w:r>
      <w:r w:rsidR="00233F2B" w:rsidRPr="002A4680">
        <w:t>...</w:t>
      </w:r>
      <w:r w:rsidR="00C240B9" w:rsidRPr="00DC651A">
        <w:t>............</w:t>
      </w:r>
      <w:r>
        <w:t>...................................................10</w:t>
      </w:r>
    </w:p>
    <w:p w14:paraId="39781D9D" w14:textId="6C874825" w:rsidR="002A4680" w:rsidRDefault="002A4680" w:rsidP="00C240B9">
      <w:pPr>
        <w:pStyle w:val="a3"/>
        <w:jc w:val="distribute"/>
      </w:pPr>
      <w:r>
        <w:t xml:space="preserve">List of </w:t>
      </w:r>
      <w:r w:rsidR="00233F2B">
        <w:rPr>
          <w:rFonts w:hint="eastAsia"/>
        </w:rPr>
        <w:t>q</w:t>
      </w:r>
      <w:r>
        <w:t xml:space="preserve">uoted </w:t>
      </w:r>
      <w:r w:rsidR="00233F2B">
        <w:rPr>
          <w:rFonts w:hint="eastAsia"/>
        </w:rPr>
        <w:t>s</w:t>
      </w:r>
      <w:r>
        <w:t>tandards............................</w:t>
      </w:r>
      <w:r w:rsidR="00C240B9" w:rsidRPr="00DC651A">
        <w:t>.....................</w:t>
      </w:r>
      <w:r>
        <w:t>..................................................................11</w:t>
      </w:r>
    </w:p>
    <w:p w14:paraId="23E2D4B7" w14:textId="007ECBB5" w:rsidR="00C8163F" w:rsidRDefault="002A4680" w:rsidP="00C240B9">
      <w:pPr>
        <w:pStyle w:val="a3"/>
        <w:jc w:val="distribute"/>
      </w:pPr>
      <w:r>
        <w:t xml:space="preserve">Addition: Explanation of </w:t>
      </w:r>
      <w:r w:rsidR="00233F2B">
        <w:rPr>
          <w:rFonts w:hint="eastAsia"/>
        </w:rPr>
        <w:t>p</w:t>
      </w:r>
      <w:r>
        <w:t>rovisions...........</w:t>
      </w:r>
      <w:r w:rsidR="00C240B9" w:rsidRPr="00DC651A">
        <w:t>.....................</w:t>
      </w:r>
      <w:r>
        <w:t>.................................................................12</w:t>
      </w:r>
    </w:p>
    <w:p w14:paraId="50074479" w14:textId="77777777" w:rsidR="00C8163F" w:rsidRDefault="00C8163F" w:rsidP="00C8163F">
      <w:pPr>
        <w:pStyle w:val="a3"/>
      </w:pPr>
    </w:p>
    <w:p w14:paraId="41DAC78C" w14:textId="77777777" w:rsidR="00C8163F" w:rsidRDefault="00C8163F" w:rsidP="00C8163F">
      <w:pPr>
        <w:pStyle w:val="a3"/>
      </w:pPr>
    </w:p>
    <w:p w14:paraId="01262DCA" w14:textId="77777777" w:rsidR="00C8163F" w:rsidRDefault="00C8163F" w:rsidP="00C8163F">
      <w:pPr>
        <w:pStyle w:val="a3"/>
        <w:sectPr w:rsidR="00C8163F">
          <w:footerReference w:type="default" r:id="rId8"/>
          <w:pgSz w:w="11906" w:h="16838"/>
          <w:pgMar w:top="1440" w:right="1800" w:bottom="1440" w:left="1800" w:header="851" w:footer="992" w:gutter="0"/>
          <w:pgNumType w:start="1"/>
          <w:cols w:space="720"/>
          <w:docGrid w:type="lines" w:linePitch="312"/>
        </w:sectPr>
      </w:pPr>
    </w:p>
    <w:p w14:paraId="30B74F63" w14:textId="77777777" w:rsidR="00C8163F" w:rsidRDefault="00C8163F" w:rsidP="00C8163F">
      <w:pPr>
        <w:pStyle w:val="a"/>
        <w:tabs>
          <w:tab w:val="clear" w:pos="360"/>
        </w:tabs>
      </w:pPr>
      <w:bookmarkStart w:id="4" w:name="_Toc99697049"/>
      <w:bookmarkStart w:id="5" w:name="_Toc114066404"/>
      <w:r>
        <w:lastRenderedPageBreak/>
        <w:t>总则</w:t>
      </w:r>
      <w:bookmarkEnd w:id="4"/>
      <w:bookmarkEnd w:id="5"/>
    </w:p>
    <w:p w14:paraId="036D5ADE" w14:textId="77777777" w:rsidR="00C8163F" w:rsidRDefault="00C8163F" w:rsidP="00C8163F">
      <w:pPr>
        <w:spacing w:line="360" w:lineRule="auto"/>
        <w:rPr>
          <w:szCs w:val="32"/>
        </w:rPr>
      </w:pPr>
      <w:r>
        <w:rPr>
          <w:b/>
          <w:szCs w:val="32"/>
        </w:rPr>
        <w:t>1.0.1</w:t>
      </w:r>
      <w:r>
        <w:rPr>
          <w:szCs w:val="32"/>
        </w:rPr>
        <w:t>为推进生态文明建设，提高土地利用率，规范修复后场地作为居住用地、商业服务业设施用地用途的建设及使用，实现修复后场地安全利用，保障人体、环境及工程建设安全，制定本标准。</w:t>
      </w:r>
    </w:p>
    <w:p w14:paraId="1543A3B9" w14:textId="77777777" w:rsidR="00C8163F" w:rsidRDefault="00C8163F" w:rsidP="00C8163F">
      <w:pPr>
        <w:spacing w:line="360" w:lineRule="auto"/>
        <w:rPr>
          <w:szCs w:val="32"/>
        </w:rPr>
      </w:pPr>
      <w:r>
        <w:rPr>
          <w:b/>
          <w:szCs w:val="32"/>
        </w:rPr>
        <w:t>1.0.2</w:t>
      </w:r>
      <w:r>
        <w:rPr>
          <w:szCs w:val="32"/>
        </w:rPr>
        <w:t>本标准适用于</w:t>
      </w:r>
      <w:r>
        <w:t>修复后场地作为居住用地、商业服务业设施用地用途</w:t>
      </w:r>
      <w:r>
        <w:rPr>
          <w:szCs w:val="32"/>
        </w:rPr>
        <w:t>的勘察设计、施工建设和使用管理过程。</w:t>
      </w:r>
    </w:p>
    <w:p w14:paraId="5EEC9A5A" w14:textId="77777777" w:rsidR="00C8163F" w:rsidRDefault="00C8163F" w:rsidP="00C8163F">
      <w:pPr>
        <w:spacing w:line="360" w:lineRule="auto"/>
        <w:rPr>
          <w:szCs w:val="32"/>
        </w:rPr>
      </w:pPr>
      <w:r>
        <w:rPr>
          <w:b/>
          <w:szCs w:val="32"/>
        </w:rPr>
        <w:t>1.0.3</w:t>
      </w:r>
      <w:r>
        <w:rPr>
          <w:szCs w:val="32"/>
        </w:rPr>
        <w:t>本标准不适用于涉及放射性污染和致病性生物污染的修复后场地作为居住用地、商业服务业设施用地用途的安全利用。</w:t>
      </w:r>
    </w:p>
    <w:p w14:paraId="35EA6259" w14:textId="77777777" w:rsidR="00C8163F" w:rsidRDefault="00C8163F" w:rsidP="00C8163F">
      <w:pPr>
        <w:spacing w:line="360" w:lineRule="auto"/>
        <w:rPr>
          <w:szCs w:val="32"/>
        </w:rPr>
      </w:pPr>
      <w:r>
        <w:rPr>
          <w:b/>
          <w:szCs w:val="32"/>
        </w:rPr>
        <w:t>1.0.4</w:t>
      </w:r>
      <w:r>
        <w:rPr>
          <w:szCs w:val="32"/>
        </w:rPr>
        <w:t>修复后场地作为</w:t>
      </w:r>
      <w:r>
        <w:t>居住用地、商业服务业设施用地</w:t>
      </w:r>
      <w:r>
        <w:rPr>
          <w:szCs w:val="32"/>
        </w:rPr>
        <w:t>规划建设除应符合本标准外，尚应符合国家及地方现行有关标准的规定。</w:t>
      </w:r>
    </w:p>
    <w:p w14:paraId="7BCBC4D9" w14:textId="77777777" w:rsidR="00C8163F" w:rsidRDefault="00C8163F" w:rsidP="00C8163F">
      <w:pPr>
        <w:pStyle w:val="a"/>
        <w:tabs>
          <w:tab w:val="clear" w:pos="360"/>
        </w:tabs>
      </w:pPr>
      <w:bookmarkStart w:id="6" w:name="_Toc99697050"/>
      <w:bookmarkStart w:id="7" w:name="_Toc114066405"/>
      <w:bookmarkStart w:id="8" w:name="_Toc73650753"/>
      <w:bookmarkStart w:id="9" w:name="_Toc80108287"/>
      <w:r>
        <w:lastRenderedPageBreak/>
        <w:t>术语</w:t>
      </w:r>
      <w:bookmarkEnd w:id="6"/>
      <w:bookmarkEnd w:id="7"/>
      <w:bookmarkEnd w:id="8"/>
      <w:bookmarkEnd w:id="9"/>
    </w:p>
    <w:p w14:paraId="534BB4D6" w14:textId="77777777" w:rsidR="00C8163F" w:rsidRDefault="00C8163F" w:rsidP="00C8163F">
      <w:pPr>
        <w:spacing w:line="360" w:lineRule="auto"/>
        <w:rPr>
          <w:szCs w:val="32"/>
        </w:rPr>
      </w:pPr>
      <w:r>
        <w:rPr>
          <w:b/>
          <w:szCs w:val="32"/>
        </w:rPr>
        <w:t>2.0.1</w:t>
      </w:r>
      <w:r>
        <w:rPr>
          <w:szCs w:val="32"/>
        </w:rPr>
        <w:t>修复后场地</w:t>
      </w:r>
      <w:r>
        <w:rPr>
          <w:szCs w:val="32"/>
        </w:rPr>
        <w:t xml:space="preserve"> post-remediation contaminated site</w:t>
      </w:r>
    </w:p>
    <w:p w14:paraId="1A656743" w14:textId="77777777" w:rsidR="00C8163F" w:rsidRDefault="00C8163F" w:rsidP="00C8163F">
      <w:pPr>
        <w:spacing w:line="360" w:lineRule="auto"/>
        <w:ind w:firstLineChars="200" w:firstLine="420"/>
        <w:rPr>
          <w:szCs w:val="32"/>
        </w:rPr>
      </w:pPr>
      <w:r>
        <w:rPr>
          <w:szCs w:val="32"/>
        </w:rPr>
        <w:t>已按照国家相关法律法规和标准要求，完成污染场地环境调查、风险评估与修复活动，并通过修复效果评估，移出建设用地土壤污染风险管控和修复名录的场地。</w:t>
      </w:r>
    </w:p>
    <w:p w14:paraId="3F372FEF" w14:textId="77777777" w:rsidR="00C8163F" w:rsidRDefault="00C8163F" w:rsidP="00C8163F">
      <w:pPr>
        <w:spacing w:line="360" w:lineRule="auto"/>
        <w:rPr>
          <w:szCs w:val="32"/>
        </w:rPr>
      </w:pPr>
      <w:r>
        <w:rPr>
          <w:b/>
          <w:szCs w:val="32"/>
        </w:rPr>
        <w:t>2.0.2</w:t>
      </w:r>
      <w:r>
        <w:rPr>
          <w:szCs w:val="32"/>
        </w:rPr>
        <w:t>修复后土壤</w:t>
      </w:r>
      <w:r>
        <w:rPr>
          <w:szCs w:val="32"/>
        </w:rPr>
        <w:t xml:space="preserve"> post-remediation contaminated soil</w:t>
      </w:r>
    </w:p>
    <w:p w14:paraId="4336BF50" w14:textId="77777777" w:rsidR="00C8163F" w:rsidRDefault="00C8163F" w:rsidP="00C8163F">
      <w:pPr>
        <w:spacing w:line="360" w:lineRule="auto"/>
        <w:ind w:firstLineChars="200" w:firstLine="420"/>
        <w:rPr>
          <w:szCs w:val="32"/>
        </w:rPr>
      </w:pPr>
      <w:r>
        <w:rPr>
          <w:szCs w:val="32"/>
        </w:rPr>
        <w:t>采用各类修复工程措施处理后，并达到场地修复目标的土壤。</w:t>
      </w:r>
    </w:p>
    <w:p w14:paraId="26563196" w14:textId="77777777" w:rsidR="00C8163F" w:rsidRDefault="00C8163F" w:rsidP="00C8163F">
      <w:pPr>
        <w:spacing w:line="360" w:lineRule="auto"/>
        <w:rPr>
          <w:szCs w:val="32"/>
        </w:rPr>
      </w:pPr>
      <w:r>
        <w:rPr>
          <w:b/>
          <w:szCs w:val="32"/>
        </w:rPr>
        <w:t>2.0.3</w:t>
      </w:r>
      <w:r>
        <w:rPr>
          <w:szCs w:val="32"/>
        </w:rPr>
        <w:t xml:space="preserve"> </w:t>
      </w:r>
      <w:r>
        <w:rPr>
          <w:szCs w:val="32"/>
        </w:rPr>
        <w:t>地下修复设施</w:t>
      </w:r>
      <w:r>
        <w:rPr>
          <w:szCs w:val="32"/>
        </w:rPr>
        <w:t xml:space="preserve"> underground remediation facilities</w:t>
      </w:r>
    </w:p>
    <w:p w14:paraId="53B912F2" w14:textId="77777777" w:rsidR="00C8163F" w:rsidRDefault="00C8163F" w:rsidP="00C8163F">
      <w:pPr>
        <w:spacing w:line="360" w:lineRule="auto"/>
        <w:ind w:firstLineChars="200" w:firstLine="420"/>
        <w:rPr>
          <w:szCs w:val="32"/>
        </w:rPr>
      </w:pPr>
      <w:r>
        <w:rPr>
          <w:szCs w:val="32"/>
        </w:rPr>
        <w:t>修复后场地中因风险管控或修复活动而遗留在地下的阻隔层、反应墙、采样监测井、各类管线和环境监测设备等设施。</w:t>
      </w:r>
    </w:p>
    <w:p w14:paraId="7E18A461" w14:textId="77777777" w:rsidR="00C8163F" w:rsidRDefault="00C8163F" w:rsidP="00C8163F">
      <w:pPr>
        <w:spacing w:line="360" w:lineRule="auto"/>
        <w:ind w:firstLineChars="200" w:firstLine="420"/>
        <w:rPr>
          <w:szCs w:val="32"/>
        </w:rPr>
      </w:pPr>
    </w:p>
    <w:p w14:paraId="12670E9C" w14:textId="77777777" w:rsidR="00C8163F" w:rsidRDefault="00C8163F" w:rsidP="00C8163F">
      <w:pPr>
        <w:pStyle w:val="a"/>
        <w:tabs>
          <w:tab w:val="clear" w:pos="360"/>
        </w:tabs>
      </w:pPr>
      <w:bookmarkStart w:id="10" w:name="_Toc114066406"/>
      <w:bookmarkStart w:id="11" w:name="_Toc99697051"/>
      <w:r>
        <w:rPr>
          <w:rFonts w:hint="eastAsia"/>
        </w:rPr>
        <w:lastRenderedPageBreak/>
        <w:t>基本规定</w:t>
      </w:r>
      <w:bookmarkEnd w:id="10"/>
    </w:p>
    <w:p w14:paraId="16A82368" w14:textId="77777777" w:rsidR="00C8163F" w:rsidRDefault="00C8163F" w:rsidP="00C8163F">
      <w:pPr>
        <w:spacing w:line="360" w:lineRule="auto"/>
        <w:rPr>
          <w:szCs w:val="32"/>
        </w:rPr>
      </w:pPr>
      <w:r>
        <w:rPr>
          <w:rFonts w:hint="eastAsia"/>
          <w:b/>
          <w:szCs w:val="32"/>
        </w:rPr>
        <w:t>3.</w:t>
      </w:r>
      <w:r>
        <w:rPr>
          <w:b/>
          <w:szCs w:val="32"/>
        </w:rPr>
        <w:t>0</w:t>
      </w:r>
      <w:r>
        <w:rPr>
          <w:rFonts w:hint="eastAsia"/>
          <w:b/>
          <w:szCs w:val="32"/>
        </w:rPr>
        <w:t>.1</w:t>
      </w:r>
      <w:r>
        <w:rPr>
          <w:szCs w:val="32"/>
        </w:rPr>
        <w:t xml:space="preserve"> </w:t>
      </w:r>
      <w:r>
        <w:rPr>
          <w:rFonts w:hint="eastAsia"/>
          <w:szCs w:val="32"/>
        </w:rPr>
        <w:t>在修复后场地再利用前，应</w:t>
      </w:r>
      <w:r>
        <w:rPr>
          <w:bCs/>
          <w:szCs w:val="32"/>
        </w:rPr>
        <w:t>收集场地相关资料并复核。场地相关资料应包括但不限于以下内容：</w:t>
      </w:r>
    </w:p>
    <w:p w14:paraId="4B63111E" w14:textId="77777777" w:rsidR="00C8163F" w:rsidRDefault="00C8163F" w:rsidP="00C8163F">
      <w:pPr>
        <w:spacing w:line="360" w:lineRule="auto"/>
        <w:ind w:leftChars="300" w:left="841" w:hangingChars="100" w:hanging="211"/>
        <w:rPr>
          <w:bCs/>
          <w:szCs w:val="32"/>
        </w:rPr>
      </w:pPr>
      <w:r>
        <w:rPr>
          <w:rFonts w:hint="eastAsia"/>
          <w:b/>
          <w:bCs/>
          <w:szCs w:val="32"/>
        </w:rPr>
        <w:t>1</w:t>
      </w:r>
      <w:r>
        <w:rPr>
          <w:bCs/>
          <w:szCs w:val="32"/>
        </w:rPr>
        <w:t xml:space="preserve"> </w:t>
      </w:r>
      <w:r>
        <w:rPr>
          <w:bCs/>
          <w:szCs w:val="32"/>
        </w:rPr>
        <w:t>场地修复方案具体情况，包括修复技术、修复过程中使用的化学品信息、修复工程措施、修复后土壤及地下水处置及去向等；</w:t>
      </w:r>
    </w:p>
    <w:p w14:paraId="3294788D" w14:textId="77777777" w:rsidR="00C8163F" w:rsidRDefault="00C8163F" w:rsidP="00C8163F">
      <w:pPr>
        <w:spacing w:line="360" w:lineRule="auto"/>
        <w:ind w:leftChars="300" w:left="841" w:hangingChars="100" w:hanging="211"/>
        <w:rPr>
          <w:bCs/>
          <w:szCs w:val="32"/>
        </w:rPr>
      </w:pPr>
      <w:r>
        <w:rPr>
          <w:b/>
          <w:bCs/>
          <w:szCs w:val="32"/>
        </w:rPr>
        <w:t xml:space="preserve">2 </w:t>
      </w:r>
      <w:r>
        <w:rPr>
          <w:bCs/>
          <w:szCs w:val="32"/>
        </w:rPr>
        <w:t>修复工程验收资料，包括修复效果评估报告、场地内需要长期或短期保留的修复设施、安全利用限制条件等；</w:t>
      </w:r>
    </w:p>
    <w:p w14:paraId="04E18C19" w14:textId="77777777" w:rsidR="00C8163F" w:rsidRDefault="00C8163F" w:rsidP="00C8163F">
      <w:pPr>
        <w:spacing w:line="360" w:lineRule="auto"/>
        <w:ind w:leftChars="300" w:left="841" w:hangingChars="100" w:hanging="211"/>
        <w:rPr>
          <w:bCs/>
          <w:szCs w:val="32"/>
        </w:rPr>
      </w:pPr>
      <w:r>
        <w:rPr>
          <w:b/>
          <w:bCs/>
          <w:szCs w:val="32"/>
        </w:rPr>
        <w:t>3</w:t>
      </w:r>
      <w:r>
        <w:rPr>
          <w:bCs/>
          <w:szCs w:val="32"/>
        </w:rPr>
        <w:t xml:space="preserve"> </w:t>
      </w:r>
      <w:r>
        <w:rPr>
          <w:bCs/>
          <w:szCs w:val="32"/>
        </w:rPr>
        <w:t>场地工程地质和水文地质条件，包括地层结构、地下水位及流向等；</w:t>
      </w:r>
    </w:p>
    <w:p w14:paraId="5BC84A83" w14:textId="77777777" w:rsidR="00C8163F" w:rsidRDefault="00C8163F" w:rsidP="00C8163F">
      <w:pPr>
        <w:spacing w:line="360" w:lineRule="auto"/>
        <w:ind w:leftChars="300" w:left="841" w:hangingChars="100" w:hanging="211"/>
        <w:rPr>
          <w:bCs/>
          <w:szCs w:val="32"/>
        </w:rPr>
      </w:pPr>
      <w:r>
        <w:rPr>
          <w:b/>
          <w:bCs/>
          <w:szCs w:val="32"/>
        </w:rPr>
        <w:t>4</w:t>
      </w:r>
      <w:r>
        <w:rPr>
          <w:bCs/>
          <w:szCs w:val="32"/>
        </w:rPr>
        <w:t xml:space="preserve"> </w:t>
      </w:r>
      <w:r>
        <w:rPr>
          <w:bCs/>
          <w:szCs w:val="32"/>
        </w:rPr>
        <w:t>场地现状及规划用途；</w:t>
      </w:r>
    </w:p>
    <w:p w14:paraId="2DDF5C9B" w14:textId="77777777" w:rsidR="00C8163F" w:rsidRDefault="00C8163F" w:rsidP="00C8163F">
      <w:pPr>
        <w:spacing w:line="360" w:lineRule="auto"/>
        <w:ind w:leftChars="300" w:left="841" w:hangingChars="100" w:hanging="211"/>
        <w:rPr>
          <w:bCs/>
          <w:szCs w:val="32"/>
        </w:rPr>
      </w:pPr>
      <w:r>
        <w:rPr>
          <w:b/>
          <w:bCs/>
          <w:szCs w:val="32"/>
        </w:rPr>
        <w:t>5</w:t>
      </w:r>
      <w:r>
        <w:rPr>
          <w:bCs/>
          <w:szCs w:val="32"/>
        </w:rPr>
        <w:t xml:space="preserve"> </w:t>
      </w:r>
      <w:r>
        <w:rPr>
          <w:bCs/>
          <w:szCs w:val="32"/>
        </w:rPr>
        <w:t>场地周边环境敏感点分布及范围，包括居民点、地表水源地及地下水源地、敏感工业企业（如食品生产加工）等。</w:t>
      </w:r>
    </w:p>
    <w:p w14:paraId="6CF0780E" w14:textId="77777777" w:rsidR="00C8163F" w:rsidRDefault="00C8163F" w:rsidP="00C8163F">
      <w:pPr>
        <w:spacing w:line="360" w:lineRule="auto"/>
        <w:rPr>
          <w:szCs w:val="32"/>
        </w:rPr>
      </w:pPr>
      <w:r>
        <w:rPr>
          <w:rFonts w:hint="eastAsia"/>
          <w:b/>
          <w:szCs w:val="32"/>
        </w:rPr>
        <w:t>3</w:t>
      </w:r>
      <w:r>
        <w:rPr>
          <w:b/>
          <w:szCs w:val="32"/>
        </w:rPr>
        <w:t>.0.2</w:t>
      </w:r>
      <w:r>
        <w:rPr>
          <w:rFonts w:hint="eastAsia"/>
          <w:szCs w:val="32"/>
        </w:rPr>
        <w:t>应根据场地相关资料、场地实际情况在修复后场地内划定修复活动扰动区域，在场地设计阶段尽量规避修复活动扰动区域，在场地施工阶段减少对修复活动扰动区域内修复后土壤的扰动。</w:t>
      </w:r>
    </w:p>
    <w:p w14:paraId="603A9171" w14:textId="77777777" w:rsidR="00C8163F" w:rsidRDefault="00C8163F" w:rsidP="00C8163F">
      <w:pPr>
        <w:pStyle w:val="a"/>
        <w:tabs>
          <w:tab w:val="clear" w:pos="360"/>
        </w:tabs>
      </w:pPr>
      <w:bookmarkStart w:id="12" w:name="_Toc114066407"/>
      <w:r>
        <w:lastRenderedPageBreak/>
        <w:t>勘察</w:t>
      </w:r>
      <w:bookmarkEnd w:id="11"/>
      <w:bookmarkEnd w:id="12"/>
    </w:p>
    <w:p w14:paraId="41EA8CAB" w14:textId="77777777" w:rsidR="00C8163F" w:rsidRDefault="00C8163F" w:rsidP="00C8163F">
      <w:pPr>
        <w:spacing w:line="360" w:lineRule="auto"/>
        <w:rPr>
          <w:bCs/>
          <w:szCs w:val="32"/>
        </w:rPr>
      </w:pPr>
      <w:r>
        <w:rPr>
          <w:b/>
          <w:szCs w:val="32"/>
        </w:rPr>
        <w:t>4.0.1</w:t>
      </w:r>
      <w:r>
        <w:rPr>
          <w:bCs/>
          <w:szCs w:val="32"/>
        </w:rPr>
        <w:t>常规勘察内容应符合现行国家标准《岩土工程勘察规范》</w:t>
      </w:r>
      <w:r>
        <w:rPr>
          <w:bCs/>
          <w:szCs w:val="32"/>
        </w:rPr>
        <w:t>GB 50021</w:t>
      </w:r>
      <w:r>
        <w:rPr>
          <w:bCs/>
          <w:szCs w:val="32"/>
        </w:rPr>
        <w:t>的规定。</w:t>
      </w:r>
    </w:p>
    <w:p w14:paraId="5E23562F" w14:textId="77777777" w:rsidR="00C8163F" w:rsidRDefault="00C8163F" w:rsidP="00C8163F">
      <w:pPr>
        <w:spacing w:line="360" w:lineRule="auto"/>
        <w:rPr>
          <w:szCs w:val="32"/>
        </w:rPr>
      </w:pPr>
      <w:r>
        <w:rPr>
          <w:b/>
          <w:szCs w:val="32"/>
        </w:rPr>
        <w:t>4.0.2</w:t>
      </w:r>
      <w:r>
        <w:rPr>
          <w:szCs w:val="32"/>
        </w:rPr>
        <w:t>除了开工建设所需的常规勘察内容外，还应根据土壤性质、水文地质条件合理安排勘察重点内容，包括但不限于以下内容：</w:t>
      </w:r>
    </w:p>
    <w:p w14:paraId="0CAE2FA8" w14:textId="77777777" w:rsidR="00C8163F" w:rsidRDefault="00C8163F" w:rsidP="00C8163F">
      <w:pPr>
        <w:spacing w:line="360" w:lineRule="auto"/>
        <w:ind w:leftChars="300" w:left="841" w:hangingChars="100" w:hanging="211"/>
        <w:rPr>
          <w:bCs/>
          <w:szCs w:val="32"/>
        </w:rPr>
      </w:pPr>
      <w:r>
        <w:rPr>
          <w:rFonts w:hint="eastAsia"/>
          <w:b/>
          <w:bCs/>
          <w:szCs w:val="32"/>
        </w:rPr>
        <w:t>1</w:t>
      </w:r>
      <w:r>
        <w:rPr>
          <w:bCs/>
          <w:szCs w:val="32"/>
        </w:rPr>
        <w:t xml:space="preserve"> </w:t>
      </w:r>
      <w:r>
        <w:rPr>
          <w:bCs/>
          <w:szCs w:val="32"/>
        </w:rPr>
        <w:t>修复后场地的土壤理化性质、土壤力学性质（含地基承载力）等变化情况，修复药剂、中间产物、最终产物等物质的残留浓度等；</w:t>
      </w:r>
    </w:p>
    <w:p w14:paraId="1166E6B3" w14:textId="77777777" w:rsidR="00C8163F" w:rsidRDefault="00C8163F" w:rsidP="00C8163F">
      <w:pPr>
        <w:spacing w:line="360" w:lineRule="auto"/>
        <w:ind w:leftChars="300" w:left="841" w:hangingChars="100" w:hanging="211"/>
        <w:rPr>
          <w:bCs/>
          <w:szCs w:val="32"/>
        </w:rPr>
      </w:pPr>
      <w:r>
        <w:rPr>
          <w:rFonts w:hint="eastAsia"/>
          <w:b/>
          <w:bCs/>
          <w:szCs w:val="32"/>
        </w:rPr>
        <w:t>2</w:t>
      </w:r>
      <w:r>
        <w:rPr>
          <w:bCs/>
          <w:szCs w:val="32"/>
        </w:rPr>
        <w:t xml:space="preserve"> </w:t>
      </w:r>
      <w:r>
        <w:rPr>
          <w:bCs/>
          <w:szCs w:val="32"/>
        </w:rPr>
        <w:t>修复后场地内</w:t>
      </w:r>
      <w:r>
        <w:rPr>
          <w:rFonts w:hint="eastAsia"/>
          <w:bCs/>
          <w:szCs w:val="32"/>
        </w:rPr>
        <w:t>拟</w:t>
      </w:r>
      <w:r>
        <w:rPr>
          <w:bCs/>
          <w:szCs w:val="32"/>
        </w:rPr>
        <w:t>保留的地下修复设施类型及分布情况，原有地下结构分布，包括地下构筑物、埋藏物、地下管线等。</w:t>
      </w:r>
    </w:p>
    <w:p w14:paraId="33AD0A04" w14:textId="77777777" w:rsidR="00C8163F" w:rsidRDefault="00C8163F" w:rsidP="00C8163F">
      <w:pPr>
        <w:pStyle w:val="a3"/>
      </w:pPr>
    </w:p>
    <w:p w14:paraId="1065FCA5" w14:textId="77777777" w:rsidR="00C8163F" w:rsidRDefault="00C8163F" w:rsidP="00C8163F">
      <w:pPr>
        <w:pStyle w:val="a"/>
        <w:tabs>
          <w:tab w:val="clear" w:pos="360"/>
        </w:tabs>
      </w:pPr>
      <w:bookmarkStart w:id="13" w:name="_Toc114066408"/>
      <w:bookmarkStart w:id="14" w:name="_Toc99697052"/>
      <w:r>
        <w:lastRenderedPageBreak/>
        <w:t>设计</w:t>
      </w:r>
      <w:bookmarkEnd w:id="13"/>
      <w:bookmarkEnd w:id="14"/>
    </w:p>
    <w:p w14:paraId="3399FA78" w14:textId="77777777" w:rsidR="00C8163F" w:rsidRDefault="00C8163F" w:rsidP="00C8163F">
      <w:pPr>
        <w:pStyle w:val="a0"/>
        <w:tabs>
          <w:tab w:val="clear" w:pos="360"/>
        </w:tabs>
        <w:spacing w:before="156"/>
      </w:pPr>
      <w:bookmarkStart w:id="15" w:name="_Toc114066409"/>
      <w:bookmarkStart w:id="16" w:name="_Toc99697053"/>
      <w:r>
        <w:t>场地设计</w:t>
      </w:r>
      <w:bookmarkEnd w:id="15"/>
      <w:bookmarkEnd w:id="16"/>
    </w:p>
    <w:p w14:paraId="352A8DBC" w14:textId="77777777" w:rsidR="00C8163F" w:rsidRDefault="00C8163F" w:rsidP="00C8163F">
      <w:pPr>
        <w:spacing w:line="360" w:lineRule="auto"/>
        <w:rPr>
          <w:szCs w:val="32"/>
        </w:rPr>
      </w:pPr>
      <w:r>
        <w:rPr>
          <w:b/>
          <w:szCs w:val="32"/>
        </w:rPr>
        <w:t>5.1.1</w:t>
      </w:r>
      <w:r>
        <w:rPr>
          <w:szCs w:val="32"/>
        </w:rPr>
        <w:t>场地设计宜保持土方平衡，确需土方外运的</w:t>
      </w:r>
      <w:r>
        <w:rPr>
          <w:rFonts w:hint="eastAsia"/>
          <w:szCs w:val="32"/>
        </w:rPr>
        <w:t>应检测达标后外运</w:t>
      </w:r>
      <w:r>
        <w:rPr>
          <w:szCs w:val="32"/>
        </w:rPr>
        <w:t>。</w:t>
      </w:r>
    </w:p>
    <w:p w14:paraId="3C8C2B5B" w14:textId="77777777" w:rsidR="00C8163F" w:rsidRDefault="00C8163F" w:rsidP="00C8163F">
      <w:pPr>
        <w:spacing w:line="360" w:lineRule="auto"/>
        <w:rPr>
          <w:szCs w:val="32"/>
        </w:rPr>
      </w:pPr>
      <w:r>
        <w:rPr>
          <w:b/>
          <w:szCs w:val="32"/>
        </w:rPr>
        <w:t>5.1.2</w:t>
      </w:r>
      <w:r>
        <w:rPr>
          <w:szCs w:val="32"/>
        </w:rPr>
        <w:t>建筑建设宜尽量避开</w:t>
      </w:r>
      <w:r>
        <w:rPr>
          <w:rFonts w:hint="eastAsia"/>
          <w:szCs w:val="32"/>
        </w:rPr>
        <w:t>拟保留的</w:t>
      </w:r>
      <w:r>
        <w:rPr>
          <w:szCs w:val="32"/>
        </w:rPr>
        <w:t>地下修复设施，如因修复后场地现状条件约束，确需对</w:t>
      </w:r>
      <w:r>
        <w:rPr>
          <w:rFonts w:hint="eastAsia"/>
          <w:szCs w:val="32"/>
        </w:rPr>
        <w:t>地下</w:t>
      </w:r>
      <w:r>
        <w:rPr>
          <w:szCs w:val="32"/>
        </w:rPr>
        <w:t>修复设施进行更改的，应征询相关部门，达成一致后方可实施。</w:t>
      </w:r>
    </w:p>
    <w:p w14:paraId="68681587" w14:textId="77777777" w:rsidR="00C8163F" w:rsidRDefault="00C8163F" w:rsidP="00C8163F">
      <w:pPr>
        <w:spacing w:line="360" w:lineRule="auto"/>
        <w:rPr>
          <w:szCs w:val="32"/>
        </w:rPr>
      </w:pPr>
      <w:r>
        <w:rPr>
          <w:b/>
          <w:szCs w:val="32"/>
        </w:rPr>
        <w:t>5.1.3</w:t>
      </w:r>
      <w:r>
        <w:rPr>
          <w:szCs w:val="32"/>
        </w:rPr>
        <w:t>建筑建设时因开挖深度需要穿透场地</w:t>
      </w:r>
      <w:r>
        <w:rPr>
          <w:rFonts w:hint="eastAsia"/>
          <w:szCs w:val="32"/>
        </w:rPr>
        <w:t>地下</w:t>
      </w:r>
      <w:r>
        <w:rPr>
          <w:szCs w:val="32"/>
        </w:rPr>
        <w:t>修复设施阻隔层时，应结合场地护坡对基坑内</w:t>
      </w:r>
      <w:r>
        <w:rPr>
          <w:rFonts w:hint="eastAsia"/>
          <w:szCs w:val="32"/>
        </w:rPr>
        <w:t>修复后</w:t>
      </w:r>
      <w:r>
        <w:rPr>
          <w:szCs w:val="32"/>
        </w:rPr>
        <w:t>土壤进行阻隔措施后，再进行施工。</w:t>
      </w:r>
    </w:p>
    <w:p w14:paraId="7C0EC337" w14:textId="77777777" w:rsidR="00C8163F" w:rsidRDefault="00C8163F" w:rsidP="00C8163F">
      <w:pPr>
        <w:pStyle w:val="a0"/>
        <w:tabs>
          <w:tab w:val="clear" w:pos="360"/>
        </w:tabs>
        <w:spacing w:before="156"/>
      </w:pPr>
      <w:bookmarkStart w:id="17" w:name="_Toc114066410"/>
      <w:bookmarkStart w:id="18" w:name="_Toc99697054"/>
      <w:r>
        <w:t>建筑设计</w:t>
      </w:r>
      <w:bookmarkEnd w:id="17"/>
      <w:bookmarkEnd w:id="18"/>
    </w:p>
    <w:p w14:paraId="5D6419C0" w14:textId="77777777" w:rsidR="00C8163F" w:rsidRDefault="00C8163F" w:rsidP="00C8163F">
      <w:pPr>
        <w:spacing w:line="360" w:lineRule="auto"/>
        <w:rPr>
          <w:bCs/>
          <w:szCs w:val="32"/>
        </w:rPr>
      </w:pPr>
      <w:r>
        <w:rPr>
          <w:b/>
          <w:szCs w:val="32"/>
        </w:rPr>
        <w:t>5.2.1</w:t>
      </w:r>
      <w:r>
        <w:rPr>
          <w:bCs/>
          <w:szCs w:val="32"/>
        </w:rPr>
        <w:t>原污染物为挥发性有机物的修复后场地，在建筑建设时应充分考虑土壤气及挥发性有机物</w:t>
      </w:r>
      <w:proofErr w:type="gramStart"/>
      <w:r>
        <w:rPr>
          <w:bCs/>
          <w:szCs w:val="32"/>
        </w:rPr>
        <w:t>蒸气</w:t>
      </w:r>
      <w:proofErr w:type="gramEnd"/>
      <w:r>
        <w:rPr>
          <w:bCs/>
          <w:szCs w:val="32"/>
        </w:rPr>
        <w:t>入侵的影响，结合修复后场地资料及建设前期勘察结果，对建筑进行有效防护。防护措施应符合以下规定：</w:t>
      </w:r>
    </w:p>
    <w:p w14:paraId="643CD5DB" w14:textId="77777777" w:rsidR="00C8163F" w:rsidRDefault="00C8163F" w:rsidP="00C8163F">
      <w:pPr>
        <w:spacing w:line="360" w:lineRule="auto"/>
        <w:ind w:leftChars="300" w:left="841" w:hangingChars="100" w:hanging="211"/>
        <w:rPr>
          <w:szCs w:val="32"/>
        </w:rPr>
      </w:pPr>
      <w:r>
        <w:rPr>
          <w:b/>
          <w:bCs/>
          <w:szCs w:val="32"/>
        </w:rPr>
        <w:t>1</w:t>
      </w:r>
      <w:r>
        <w:rPr>
          <w:szCs w:val="32"/>
        </w:rPr>
        <w:t xml:space="preserve"> </w:t>
      </w:r>
      <w:r>
        <w:rPr>
          <w:szCs w:val="32"/>
        </w:rPr>
        <w:t>地下工程防水材料应选择断裂伸长率及撕裂强度较高的卷材，如高分子自粘胶膜防水卷材</w:t>
      </w:r>
      <w:r>
        <w:rPr>
          <w:rFonts w:hint="eastAsia"/>
          <w:szCs w:val="32"/>
        </w:rPr>
        <w:t>。</w:t>
      </w:r>
    </w:p>
    <w:p w14:paraId="0CE51D1C" w14:textId="77777777" w:rsidR="00C8163F" w:rsidRDefault="00C8163F" w:rsidP="00C8163F">
      <w:pPr>
        <w:spacing w:line="360" w:lineRule="auto"/>
        <w:ind w:leftChars="300" w:left="841" w:hangingChars="100" w:hanging="211"/>
        <w:rPr>
          <w:szCs w:val="32"/>
        </w:rPr>
      </w:pPr>
      <w:r>
        <w:rPr>
          <w:b/>
          <w:bCs/>
          <w:szCs w:val="32"/>
        </w:rPr>
        <w:t>2</w:t>
      </w:r>
      <w:r>
        <w:rPr>
          <w:szCs w:val="32"/>
        </w:rPr>
        <w:t xml:space="preserve"> </w:t>
      </w:r>
      <w:r>
        <w:rPr>
          <w:szCs w:val="32"/>
        </w:rPr>
        <w:t>结构阴阳角处应做成圆弧或</w:t>
      </w:r>
      <w:r>
        <w:rPr>
          <w:szCs w:val="32"/>
        </w:rPr>
        <w:t>45º</w:t>
      </w:r>
      <w:r>
        <w:rPr>
          <w:szCs w:val="32"/>
        </w:rPr>
        <w:t>坡角，其尺寸应根据卷材品种确定。在阴阳角等特殊部位，</w:t>
      </w:r>
      <w:proofErr w:type="gramStart"/>
      <w:r>
        <w:rPr>
          <w:szCs w:val="32"/>
        </w:rPr>
        <w:t>应赠做卷材</w:t>
      </w:r>
      <w:proofErr w:type="gramEnd"/>
      <w:r>
        <w:rPr>
          <w:szCs w:val="32"/>
        </w:rPr>
        <w:t>加强层，加强层宽度宜为</w:t>
      </w:r>
      <w:r>
        <w:rPr>
          <w:szCs w:val="32"/>
        </w:rPr>
        <w:t>300~500mm</w:t>
      </w:r>
      <w:r>
        <w:rPr>
          <w:szCs w:val="32"/>
        </w:rPr>
        <w:t>。</w:t>
      </w:r>
    </w:p>
    <w:p w14:paraId="4C9A79E3" w14:textId="77777777" w:rsidR="00C8163F" w:rsidRDefault="00C8163F" w:rsidP="00C8163F">
      <w:pPr>
        <w:spacing w:line="360" w:lineRule="auto"/>
        <w:ind w:leftChars="300" w:left="841" w:hangingChars="100" w:hanging="211"/>
      </w:pPr>
      <w:r>
        <w:rPr>
          <w:b/>
          <w:bCs/>
          <w:szCs w:val="32"/>
        </w:rPr>
        <w:t>3</w:t>
      </w:r>
      <w:r>
        <w:rPr>
          <w:szCs w:val="32"/>
        </w:rPr>
        <w:t xml:space="preserve"> </w:t>
      </w:r>
      <w:r>
        <w:rPr>
          <w:szCs w:val="32"/>
        </w:rPr>
        <w:t>外墙防水出</w:t>
      </w:r>
      <w:proofErr w:type="gramStart"/>
      <w:r>
        <w:rPr>
          <w:szCs w:val="32"/>
        </w:rPr>
        <w:t>地面收头处</w:t>
      </w:r>
      <w:proofErr w:type="gramEnd"/>
      <w:r>
        <w:rPr>
          <w:szCs w:val="32"/>
        </w:rPr>
        <w:t>应做附加防水层，距离地面高度不小于</w:t>
      </w:r>
      <w:r>
        <w:rPr>
          <w:szCs w:val="32"/>
        </w:rPr>
        <w:t>500</w:t>
      </w:r>
      <w:r>
        <w:rPr>
          <w:rFonts w:hint="eastAsia"/>
          <w:szCs w:val="32"/>
        </w:rPr>
        <w:t>mm</w:t>
      </w:r>
      <w:r>
        <w:rPr>
          <w:szCs w:val="32"/>
        </w:rPr>
        <w:t>。</w:t>
      </w:r>
    </w:p>
    <w:p w14:paraId="5D42D494" w14:textId="77777777" w:rsidR="00C8163F" w:rsidRDefault="00C8163F" w:rsidP="00C8163F">
      <w:pPr>
        <w:spacing w:line="360" w:lineRule="auto"/>
        <w:rPr>
          <w:b/>
          <w:szCs w:val="32"/>
        </w:rPr>
      </w:pPr>
      <w:r>
        <w:rPr>
          <w:b/>
          <w:szCs w:val="32"/>
        </w:rPr>
        <w:t>5.2.2</w:t>
      </w:r>
      <w:r>
        <w:rPr>
          <w:bCs/>
          <w:szCs w:val="32"/>
        </w:rPr>
        <w:t>建筑物地下室气体阻隔措施应符合表</w:t>
      </w:r>
      <w:r>
        <w:rPr>
          <w:bCs/>
          <w:szCs w:val="32"/>
        </w:rPr>
        <w:t>5.2.2</w:t>
      </w:r>
      <w:r>
        <w:rPr>
          <w:bCs/>
          <w:szCs w:val="32"/>
        </w:rPr>
        <w:t>规定。</w:t>
      </w:r>
    </w:p>
    <w:p w14:paraId="67E206CF" w14:textId="77777777" w:rsidR="00C8163F" w:rsidRDefault="00C8163F" w:rsidP="00C8163F">
      <w:pPr>
        <w:spacing w:line="360" w:lineRule="auto"/>
        <w:jc w:val="center"/>
        <w:rPr>
          <w:b/>
          <w:bCs/>
          <w:szCs w:val="32"/>
        </w:rPr>
      </w:pPr>
      <w:r>
        <w:rPr>
          <w:b/>
          <w:bCs/>
          <w:szCs w:val="32"/>
        </w:rPr>
        <w:t>表</w:t>
      </w:r>
      <w:r>
        <w:rPr>
          <w:b/>
          <w:bCs/>
          <w:szCs w:val="32"/>
        </w:rPr>
        <w:t>5.2.2</w:t>
      </w:r>
      <w:r>
        <w:rPr>
          <w:b/>
          <w:bCs/>
          <w:szCs w:val="32"/>
        </w:rPr>
        <w:t>建筑物地下室气体阻隔措施</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52"/>
        <w:gridCol w:w="1275"/>
        <w:gridCol w:w="2552"/>
      </w:tblGrid>
      <w:tr w:rsidR="00C8163F" w14:paraId="2EEFCD91" w14:textId="77777777" w:rsidTr="00ED604E">
        <w:trPr>
          <w:jc w:val="center"/>
        </w:trPr>
        <w:tc>
          <w:tcPr>
            <w:tcW w:w="1838" w:type="dxa"/>
            <w:vAlign w:val="center"/>
          </w:tcPr>
          <w:p w14:paraId="652C1341" w14:textId="77777777" w:rsidR="00C8163F" w:rsidRDefault="00C8163F" w:rsidP="00ED604E">
            <w:pPr>
              <w:jc w:val="center"/>
              <w:rPr>
                <w:sz w:val="18"/>
              </w:rPr>
            </w:pPr>
            <w:r>
              <w:rPr>
                <w:sz w:val="18"/>
              </w:rPr>
              <w:t>部位</w:t>
            </w:r>
          </w:p>
        </w:tc>
        <w:tc>
          <w:tcPr>
            <w:tcW w:w="2552" w:type="dxa"/>
            <w:vAlign w:val="center"/>
          </w:tcPr>
          <w:p w14:paraId="66EB9F92" w14:textId="77777777" w:rsidR="00C8163F" w:rsidRDefault="00C8163F" w:rsidP="00ED604E">
            <w:pPr>
              <w:jc w:val="center"/>
              <w:rPr>
                <w:sz w:val="18"/>
              </w:rPr>
            </w:pPr>
            <w:r>
              <w:rPr>
                <w:sz w:val="18"/>
              </w:rPr>
              <w:t>表面防护</w:t>
            </w:r>
          </w:p>
        </w:tc>
        <w:tc>
          <w:tcPr>
            <w:tcW w:w="1275" w:type="dxa"/>
            <w:vAlign w:val="center"/>
          </w:tcPr>
          <w:p w14:paraId="785580A6" w14:textId="77777777" w:rsidR="00C8163F" w:rsidRDefault="00C8163F" w:rsidP="00ED604E">
            <w:pPr>
              <w:jc w:val="center"/>
              <w:rPr>
                <w:sz w:val="18"/>
              </w:rPr>
            </w:pPr>
            <w:r>
              <w:rPr>
                <w:sz w:val="18"/>
              </w:rPr>
              <w:t>防水等级</w:t>
            </w:r>
          </w:p>
        </w:tc>
        <w:tc>
          <w:tcPr>
            <w:tcW w:w="2552" w:type="dxa"/>
            <w:vAlign w:val="center"/>
          </w:tcPr>
          <w:p w14:paraId="03354DA1" w14:textId="77777777" w:rsidR="00C8163F" w:rsidRDefault="00C8163F" w:rsidP="00ED604E">
            <w:pPr>
              <w:jc w:val="center"/>
              <w:rPr>
                <w:sz w:val="18"/>
              </w:rPr>
            </w:pPr>
            <w:r>
              <w:rPr>
                <w:sz w:val="18"/>
              </w:rPr>
              <w:t>备注</w:t>
            </w:r>
          </w:p>
        </w:tc>
      </w:tr>
      <w:tr w:rsidR="00C8163F" w14:paraId="2A7D3F0C" w14:textId="77777777" w:rsidTr="00ED604E">
        <w:trPr>
          <w:jc w:val="center"/>
        </w:trPr>
        <w:tc>
          <w:tcPr>
            <w:tcW w:w="1838" w:type="dxa"/>
            <w:vAlign w:val="center"/>
          </w:tcPr>
          <w:p w14:paraId="40ADF05F" w14:textId="77777777" w:rsidR="00C8163F" w:rsidRDefault="00C8163F" w:rsidP="00ED604E">
            <w:pPr>
              <w:jc w:val="center"/>
              <w:rPr>
                <w:sz w:val="18"/>
              </w:rPr>
            </w:pPr>
            <w:r>
              <w:rPr>
                <w:sz w:val="18"/>
              </w:rPr>
              <w:t>基础垫层</w:t>
            </w:r>
          </w:p>
        </w:tc>
        <w:tc>
          <w:tcPr>
            <w:tcW w:w="2552" w:type="dxa"/>
            <w:vAlign w:val="center"/>
          </w:tcPr>
          <w:p w14:paraId="6BEB3BEF" w14:textId="77777777" w:rsidR="00C8163F" w:rsidRDefault="00C8163F" w:rsidP="00ED604E">
            <w:pPr>
              <w:jc w:val="center"/>
              <w:rPr>
                <w:sz w:val="18"/>
              </w:rPr>
            </w:pPr>
            <w:r>
              <w:rPr>
                <w:sz w:val="18"/>
              </w:rPr>
              <w:t>环氧沥青或聚合物水泥砂浆</w:t>
            </w:r>
          </w:p>
        </w:tc>
        <w:tc>
          <w:tcPr>
            <w:tcW w:w="1275" w:type="dxa"/>
            <w:vAlign w:val="center"/>
          </w:tcPr>
          <w:p w14:paraId="3A672E58" w14:textId="77777777" w:rsidR="00C8163F" w:rsidRDefault="00C8163F" w:rsidP="00ED604E">
            <w:pPr>
              <w:jc w:val="center"/>
              <w:rPr>
                <w:sz w:val="18"/>
              </w:rPr>
            </w:pPr>
            <w:r>
              <w:rPr>
                <w:rFonts w:hint="eastAsia"/>
                <w:sz w:val="18"/>
              </w:rPr>
              <w:t>-</w:t>
            </w:r>
          </w:p>
        </w:tc>
        <w:tc>
          <w:tcPr>
            <w:tcW w:w="2552" w:type="dxa"/>
            <w:vAlign w:val="center"/>
          </w:tcPr>
          <w:p w14:paraId="2369BCD0" w14:textId="77777777" w:rsidR="00C8163F" w:rsidRDefault="00C8163F" w:rsidP="00ED604E">
            <w:pPr>
              <w:rPr>
                <w:sz w:val="18"/>
              </w:rPr>
            </w:pPr>
            <w:r>
              <w:rPr>
                <w:sz w:val="18"/>
              </w:rPr>
              <w:t>宜采用</w:t>
            </w:r>
            <w:r>
              <w:rPr>
                <w:sz w:val="18"/>
              </w:rPr>
              <w:t>150</w:t>
            </w:r>
            <w:r>
              <w:rPr>
                <w:sz w:val="18"/>
              </w:rPr>
              <w:t>厚</w:t>
            </w:r>
            <w:r>
              <w:rPr>
                <w:sz w:val="18"/>
              </w:rPr>
              <w:t>C20</w:t>
            </w:r>
            <w:r>
              <w:rPr>
                <w:sz w:val="18"/>
              </w:rPr>
              <w:t>混凝土、</w:t>
            </w:r>
            <w:r>
              <w:rPr>
                <w:sz w:val="18"/>
              </w:rPr>
              <w:t>100</w:t>
            </w:r>
            <w:r>
              <w:rPr>
                <w:sz w:val="18"/>
              </w:rPr>
              <w:t>厚聚合物水泥混凝土</w:t>
            </w:r>
          </w:p>
        </w:tc>
      </w:tr>
      <w:tr w:rsidR="00C8163F" w14:paraId="6C4ECD27" w14:textId="77777777" w:rsidTr="00ED604E">
        <w:trPr>
          <w:jc w:val="center"/>
        </w:trPr>
        <w:tc>
          <w:tcPr>
            <w:tcW w:w="1838" w:type="dxa"/>
            <w:vAlign w:val="center"/>
          </w:tcPr>
          <w:p w14:paraId="21E86DC7" w14:textId="77777777" w:rsidR="00C8163F" w:rsidRDefault="00C8163F" w:rsidP="00ED604E">
            <w:pPr>
              <w:jc w:val="center"/>
              <w:rPr>
                <w:sz w:val="18"/>
              </w:rPr>
            </w:pPr>
            <w:r>
              <w:rPr>
                <w:sz w:val="18"/>
              </w:rPr>
              <w:t>基础</w:t>
            </w:r>
          </w:p>
        </w:tc>
        <w:tc>
          <w:tcPr>
            <w:tcW w:w="2552" w:type="dxa"/>
            <w:vAlign w:val="center"/>
          </w:tcPr>
          <w:p w14:paraId="6CC82A88" w14:textId="77777777" w:rsidR="00C8163F" w:rsidRDefault="00C8163F" w:rsidP="00ED604E">
            <w:pPr>
              <w:jc w:val="center"/>
              <w:rPr>
                <w:sz w:val="18"/>
              </w:rPr>
            </w:pPr>
            <w:r>
              <w:rPr>
                <w:sz w:val="18"/>
              </w:rPr>
              <w:t>环氧沥青或聚合物水泥砂浆</w:t>
            </w:r>
          </w:p>
        </w:tc>
        <w:tc>
          <w:tcPr>
            <w:tcW w:w="1275" w:type="dxa"/>
            <w:vAlign w:val="center"/>
          </w:tcPr>
          <w:p w14:paraId="561488EF" w14:textId="77777777" w:rsidR="00C8163F" w:rsidRDefault="00C8163F" w:rsidP="00ED604E">
            <w:pPr>
              <w:jc w:val="center"/>
              <w:rPr>
                <w:sz w:val="18"/>
              </w:rPr>
            </w:pPr>
            <w:r>
              <w:rPr>
                <w:rFonts w:hint="eastAsia"/>
                <w:sz w:val="18"/>
              </w:rPr>
              <w:t>-</w:t>
            </w:r>
          </w:p>
        </w:tc>
        <w:tc>
          <w:tcPr>
            <w:tcW w:w="2552" w:type="dxa"/>
            <w:vAlign w:val="center"/>
          </w:tcPr>
          <w:p w14:paraId="6CD61775" w14:textId="77777777" w:rsidR="00C8163F" w:rsidRDefault="00C8163F" w:rsidP="00ED604E">
            <w:pPr>
              <w:rPr>
                <w:sz w:val="18"/>
              </w:rPr>
            </w:pPr>
            <w:r>
              <w:rPr>
                <w:sz w:val="18"/>
              </w:rPr>
              <w:t>适用于无防水保护的基础</w:t>
            </w:r>
          </w:p>
        </w:tc>
      </w:tr>
      <w:tr w:rsidR="00C8163F" w14:paraId="3BF503AC" w14:textId="77777777" w:rsidTr="00ED604E">
        <w:trPr>
          <w:jc w:val="center"/>
        </w:trPr>
        <w:tc>
          <w:tcPr>
            <w:tcW w:w="1838" w:type="dxa"/>
            <w:vAlign w:val="center"/>
          </w:tcPr>
          <w:p w14:paraId="26212F81" w14:textId="77777777" w:rsidR="00C8163F" w:rsidRDefault="00C8163F" w:rsidP="00ED604E">
            <w:pPr>
              <w:jc w:val="center"/>
              <w:rPr>
                <w:sz w:val="18"/>
              </w:rPr>
            </w:pPr>
            <w:r>
              <w:rPr>
                <w:sz w:val="18"/>
              </w:rPr>
              <w:t>地下室外墙、底板</w:t>
            </w:r>
          </w:p>
        </w:tc>
        <w:tc>
          <w:tcPr>
            <w:tcW w:w="2552" w:type="dxa"/>
            <w:vAlign w:val="center"/>
          </w:tcPr>
          <w:p w14:paraId="622835B6" w14:textId="77777777" w:rsidR="00C8163F" w:rsidRDefault="00C8163F" w:rsidP="00ED604E">
            <w:pPr>
              <w:jc w:val="center"/>
              <w:rPr>
                <w:sz w:val="18"/>
              </w:rPr>
            </w:pPr>
            <w:r>
              <w:rPr>
                <w:sz w:val="18"/>
              </w:rPr>
              <w:t>沥青类防水卷材</w:t>
            </w:r>
          </w:p>
        </w:tc>
        <w:tc>
          <w:tcPr>
            <w:tcW w:w="1275" w:type="dxa"/>
            <w:vAlign w:val="center"/>
          </w:tcPr>
          <w:p w14:paraId="3BA17CC1" w14:textId="77777777" w:rsidR="00C8163F" w:rsidRDefault="00C8163F" w:rsidP="00ED604E">
            <w:pPr>
              <w:jc w:val="center"/>
              <w:rPr>
                <w:sz w:val="18"/>
              </w:rPr>
            </w:pPr>
            <w:r>
              <w:rPr>
                <w:sz w:val="18"/>
              </w:rPr>
              <w:t>一级</w:t>
            </w:r>
          </w:p>
        </w:tc>
        <w:tc>
          <w:tcPr>
            <w:tcW w:w="2552" w:type="dxa"/>
            <w:vAlign w:val="center"/>
          </w:tcPr>
          <w:p w14:paraId="3D3BD8B2" w14:textId="77777777" w:rsidR="00C8163F" w:rsidRDefault="00C8163F" w:rsidP="00ED604E">
            <w:pPr>
              <w:jc w:val="center"/>
              <w:rPr>
                <w:sz w:val="18"/>
              </w:rPr>
            </w:pPr>
            <w:r>
              <w:rPr>
                <w:rFonts w:hint="eastAsia"/>
                <w:sz w:val="18"/>
              </w:rPr>
              <w:t>-</w:t>
            </w:r>
          </w:p>
        </w:tc>
      </w:tr>
      <w:tr w:rsidR="00C8163F" w14:paraId="0A5056FA" w14:textId="77777777" w:rsidTr="00ED604E">
        <w:trPr>
          <w:jc w:val="center"/>
        </w:trPr>
        <w:tc>
          <w:tcPr>
            <w:tcW w:w="1838" w:type="dxa"/>
            <w:vAlign w:val="center"/>
          </w:tcPr>
          <w:p w14:paraId="419AC39D" w14:textId="77777777" w:rsidR="00C8163F" w:rsidRDefault="00C8163F" w:rsidP="00ED604E">
            <w:pPr>
              <w:jc w:val="center"/>
              <w:rPr>
                <w:sz w:val="18"/>
              </w:rPr>
            </w:pPr>
            <w:proofErr w:type="gramStart"/>
            <w:r>
              <w:rPr>
                <w:sz w:val="18"/>
              </w:rPr>
              <w:t>后浇带</w:t>
            </w:r>
            <w:proofErr w:type="gramEnd"/>
          </w:p>
        </w:tc>
        <w:tc>
          <w:tcPr>
            <w:tcW w:w="2552" w:type="dxa"/>
            <w:vAlign w:val="center"/>
          </w:tcPr>
          <w:p w14:paraId="694F279D" w14:textId="77777777" w:rsidR="00C8163F" w:rsidRDefault="00C8163F" w:rsidP="00ED604E">
            <w:pPr>
              <w:jc w:val="center"/>
              <w:rPr>
                <w:sz w:val="18"/>
              </w:rPr>
            </w:pPr>
            <w:r>
              <w:rPr>
                <w:sz w:val="18"/>
              </w:rPr>
              <w:t>附加防水层</w:t>
            </w:r>
          </w:p>
        </w:tc>
        <w:tc>
          <w:tcPr>
            <w:tcW w:w="1275" w:type="dxa"/>
            <w:vAlign w:val="center"/>
          </w:tcPr>
          <w:p w14:paraId="1CAF9A1D" w14:textId="77777777" w:rsidR="00C8163F" w:rsidRDefault="00C8163F" w:rsidP="00ED604E">
            <w:pPr>
              <w:jc w:val="center"/>
              <w:rPr>
                <w:sz w:val="18"/>
              </w:rPr>
            </w:pPr>
            <w:r>
              <w:rPr>
                <w:sz w:val="18"/>
              </w:rPr>
              <w:t>一级</w:t>
            </w:r>
          </w:p>
        </w:tc>
        <w:tc>
          <w:tcPr>
            <w:tcW w:w="2552" w:type="dxa"/>
            <w:vAlign w:val="center"/>
          </w:tcPr>
          <w:p w14:paraId="17B8097A" w14:textId="77777777" w:rsidR="00C8163F" w:rsidRDefault="00C8163F" w:rsidP="00ED604E">
            <w:pPr>
              <w:jc w:val="center"/>
              <w:rPr>
                <w:sz w:val="18"/>
              </w:rPr>
            </w:pPr>
            <w:r>
              <w:rPr>
                <w:rFonts w:hint="eastAsia"/>
                <w:sz w:val="18"/>
              </w:rPr>
              <w:t>-</w:t>
            </w:r>
          </w:p>
        </w:tc>
      </w:tr>
      <w:tr w:rsidR="00C8163F" w14:paraId="66231E2B" w14:textId="77777777" w:rsidTr="00ED604E">
        <w:trPr>
          <w:jc w:val="center"/>
        </w:trPr>
        <w:tc>
          <w:tcPr>
            <w:tcW w:w="1838" w:type="dxa"/>
            <w:vAlign w:val="center"/>
          </w:tcPr>
          <w:p w14:paraId="47257D80" w14:textId="77777777" w:rsidR="00C8163F" w:rsidRDefault="00C8163F" w:rsidP="00ED604E">
            <w:pPr>
              <w:jc w:val="center"/>
              <w:rPr>
                <w:sz w:val="18"/>
              </w:rPr>
            </w:pPr>
            <w:r>
              <w:rPr>
                <w:sz w:val="18"/>
              </w:rPr>
              <w:t>施工缝</w:t>
            </w:r>
          </w:p>
        </w:tc>
        <w:tc>
          <w:tcPr>
            <w:tcW w:w="2552" w:type="dxa"/>
            <w:vAlign w:val="center"/>
          </w:tcPr>
          <w:p w14:paraId="044C78B0" w14:textId="77777777" w:rsidR="00C8163F" w:rsidRDefault="00C8163F" w:rsidP="00ED604E">
            <w:pPr>
              <w:jc w:val="center"/>
              <w:rPr>
                <w:sz w:val="18"/>
              </w:rPr>
            </w:pPr>
            <w:r>
              <w:rPr>
                <w:sz w:val="18"/>
              </w:rPr>
              <w:t>附加防水层</w:t>
            </w:r>
          </w:p>
        </w:tc>
        <w:tc>
          <w:tcPr>
            <w:tcW w:w="1275" w:type="dxa"/>
            <w:vAlign w:val="center"/>
          </w:tcPr>
          <w:p w14:paraId="04BE9B9B" w14:textId="77777777" w:rsidR="00C8163F" w:rsidRDefault="00C8163F" w:rsidP="00ED604E">
            <w:pPr>
              <w:jc w:val="center"/>
              <w:rPr>
                <w:sz w:val="18"/>
              </w:rPr>
            </w:pPr>
            <w:r>
              <w:rPr>
                <w:sz w:val="18"/>
              </w:rPr>
              <w:t>一级</w:t>
            </w:r>
          </w:p>
        </w:tc>
        <w:tc>
          <w:tcPr>
            <w:tcW w:w="2552" w:type="dxa"/>
            <w:vAlign w:val="center"/>
          </w:tcPr>
          <w:p w14:paraId="1F644E78" w14:textId="77777777" w:rsidR="00C8163F" w:rsidRDefault="00C8163F" w:rsidP="00ED604E">
            <w:pPr>
              <w:jc w:val="center"/>
              <w:rPr>
                <w:sz w:val="18"/>
              </w:rPr>
            </w:pPr>
            <w:r>
              <w:rPr>
                <w:sz w:val="18"/>
              </w:rPr>
              <w:t>宜</w:t>
            </w:r>
            <w:proofErr w:type="gramStart"/>
            <w:r>
              <w:rPr>
                <w:sz w:val="18"/>
              </w:rPr>
              <w:t>选用中埋式</w:t>
            </w:r>
            <w:proofErr w:type="gramEnd"/>
            <w:r>
              <w:rPr>
                <w:sz w:val="18"/>
              </w:rPr>
              <w:t>止水带</w:t>
            </w:r>
          </w:p>
        </w:tc>
      </w:tr>
      <w:tr w:rsidR="00C8163F" w14:paraId="658E6C53" w14:textId="77777777" w:rsidTr="00ED604E">
        <w:trPr>
          <w:jc w:val="center"/>
        </w:trPr>
        <w:tc>
          <w:tcPr>
            <w:tcW w:w="1838" w:type="dxa"/>
            <w:vAlign w:val="center"/>
          </w:tcPr>
          <w:p w14:paraId="6C4949E2" w14:textId="77777777" w:rsidR="00C8163F" w:rsidRDefault="00C8163F" w:rsidP="00ED604E">
            <w:pPr>
              <w:jc w:val="center"/>
              <w:rPr>
                <w:sz w:val="18"/>
              </w:rPr>
            </w:pPr>
            <w:r>
              <w:rPr>
                <w:sz w:val="18"/>
              </w:rPr>
              <w:t>变形缝</w:t>
            </w:r>
          </w:p>
        </w:tc>
        <w:tc>
          <w:tcPr>
            <w:tcW w:w="2552" w:type="dxa"/>
            <w:vAlign w:val="center"/>
          </w:tcPr>
          <w:p w14:paraId="52A46361" w14:textId="77777777" w:rsidR="00C8163F" w:rsidRDefault="00C8163F" w:rsidP="00ED604E">
            <w:pPr>
              <w:jc w:val="center"/>
              <w:rPr>
                <w:sz w:val="18"/>
              </w:rPr>
            </w:pPr>
            <w:r>
              <w:rPr>
                <w:sz w:val="18"/>
              </w:rPr>
              <w:t>附加防水层</w:t>
            </w:r>
          </w:p>
        </w:tc>
        <w:tc>
          <w:tcPr>
            <w:tcW w:w="1275" w:type="dxa"/>
            <w:vAlign w:val="center"/>
          </w:tcPr>
          <w:p w14:paraId="078558E2" w14:textId="77777777" w:rsidR="00C8163F" w:rsidRDefault="00C8163F" w:rsidP="00ED604E">
            <w:pPr>
              <w:jc w:val="center"/>
              <w:rPr>
                <w:sz w:val="18"/>
              </w:rPr>
            </w:pPr>
            <w:r>
              <w:rPr>
                <w:sz w:val="18"/>
              </w:rPr>
              <w:t>一级</w:t>
            </w:r>
          </w:p>
        </w:tc>
        <w:tc>
          <w:tcPr>
            <w:tcW w:w="2552" w:type="dxa"/>
            <w:vAlign w:val="center"/>
          </w:tcPr>
          <w:p w14:paraId="21AF8502" w14:textId="77777777" w:rsidR="00C8163F" w:rsidRDefault="00C8163F" w:rsidP="00ED604E">
            <w:pPr>
              <w:jc w:val="center"/>
              <w:rPr>
                <w:sz w:val="18"/>
              </w:rPr>
            </w:pPr>
            <w:r>
              <w:rPr>
                <w:sz w:val="18"/>
              </w:rPr>
              <w:t>宜</w:t>
            </w:r>
            <w:proofErr w:type="gramStart"/>
            <w:r>
              <w:rPr>
                <w:sz w:val="18"/>
              </w:rPr>
              <w:t>选用中埋式</w:t>
            </w:r>
            <w:proofErr w:type="gramEnd"/>
            <w:r>
              <w:rPr>
                <w:sz w:val="18"/>
              </w:rPr>
              <w:t>止水带</w:t>
            </w:r>
          </w:p>
        </w:tc>
      </w:tr>
      <w:tr w:rsidR="00C8163F" w14:paraId="2BB1EE47" w14:textId="77777777" w:rsidTr="00ED604E">
        <w:trPr>
          <w:jc w:val="center"/>
        </w:trPr>
        <w:tc>
          <w:tcPr>
            <w:tcW w:w="1838" w:type="dxa"/>
            <w:vAlign w:val="center"/>
          </w:tcPr>
          <w:p w14:paraId="23DE9AC0" w14:textId="77777777" w:rsidR="00C8163F" w:rsidRDefault="00C8163F" w:rsidP="00ED604E">
            <w:pPr>
              <w:jc w:val="center"/>
              <w:rPr>
                <w:sz w:val="18"/>
              </w:rPr>
            </w:pPr>
            <w:r>
              <w:rPr>
                <w:sz w:val="18"/>
              </w:rPr>
              <w:t>地下室穿管</w:t>
            </w:r>
          </w:p>
        </w:tc>
        <w:tc>
          <w:tcPr>
            <w:tcW w:w="2552" w:type="dxa"/>
            <w:vAlign w:val="center"/>
          </w:tcPr>
          <w:p w14:paraId="2DE36F20" w14:textId="77777777" w:rsidR="00C8163F" w:rsidRDefault="00C8163F" w:rsidP="00ED604E">
            <w:pPr>
              <w:jc w:val="center"/>
              <w:rPr>
                <w:sz w:val="18"/>
              </w:rPr>
            </w:pPr>
            <w:r>
              <w:rPr>
                <w:sz w:val="18"/>
              </w:rPr>
              <w:t>附加防水层</w:t>
            </w:r>
          </w:p>
        </w:tc>
        <w:tc>
          <w:tcPr>
            <w:tcW w:w="1275" w:type="dxa"/>
            <w:vAlign w:val="center"/>
          </w:tcPr>
          <w:p w14:paraId="092ADB05" w14:textId="77777777" w:rsidR="00C8163F" w:rsidRDefault="00C8163F" w:rsidP="00ED604E">
            <w:pPr>
              <w:jc w:val="center"/>
              <w:rPr>
                <w:sz w:val="18"/>
              </w:rPr>
            </w:pPr>
            <w:r>
              <w:rPr>
                <w:sz w:val="18"/>
              </w:rPr>
              <w:t>一级</w:t>
            </w:r>
          </w:p>
        </w:tc>
        <w:tc>
          <w:tcPr>
            <w:tcW w:w="2552" w:type="dxa"/>
            <w:vAlign w:val="center"/>
          </w:tcPr>
          <w:p w14:paraId="4C2111BA" w14:textId="77777777" w:rsidR="00C8163F" w:rsidRDefault="00C8163F" w:rsidP="00ED604E">
            <w:pPr>
              <w:jc w:val="center"/>
              <w:rPr>
                <w:sz w:val="18"/>
              </w:rPr>
            </w:pPr>
            <w:r>
              <w:rPr>
                <w:rFonts w:hint="eastAsia"/>
                <w:sz w:val="18"/>
              </w:rPr>
              <w:t>-</w:t>
            </w:r>
          </w:p>
        </w:tc>
      </w:tr>
    </w:tbl>
    <w:p w14:paraId="640EEE3C" w14:textId="77777777" w:rsidR="00C8163F" w:rsidRDefault="00C8163F" w:rsidP="00C8163F">
      <w:pPr>
        <w:spacing w:line="360" w:lineRule="auto"/>
        <w:rPr>
          <w:b/>
          <w:szCs w:val="32"/>
        </w:rPr>
      </w:pPr>
      <w:r>
        <w:rPr>
          <w:b/>
          <w:szCs w:val="32"/>
        </w:rPr>
        <w:t>5.2.3</w:t>
      </w:r>
      <w:r>
        <w:rPr>
          <w:bCs/>
          <w:szCs w:val="32"/>
        </w:rPr>
        <w:t>建筑首层地面做法应根据建设用地情况选用卷材类防水层或防潮层，防止</w:t>
      </w:r>
      <w:proofErr w:type="gramStart"/>
      <w:r>
        <w:rPr>
          <w:bCs/>
          <w:szCs w:val="32"/>
        </w:rPr>
        <w:t>蒸气</w:t>
      </w:r>
      <w:proofErr w:type="gramEnd"/>
      <w:r>
        <w:rPr>
          <w:bCs/>
          <w:szCs w:val="32"/>
        </w:rPr>
        <w:t>入侵至室内。</w:t>
      </w:r>
    </w:p>
    <w:p w14:paraId="2BD668D6" w14:textId="77777777" w:rsidR="00C8163F" w:rsidRDefault="00C8163F" w:rsidP="00C8163F">
      <w:pPr>
        <w:spacing w:line="360" w:lineRule="auto"/>
        <w:rPr>
          <w:szCs w:val="32"/>
        </w:rPr>
      </w:pPr>
      <w:r>
        <w:rPr>
          <w:b/>
          <w:szCs w:val="32"/>
        </w:rPr>
        <w:t>5.2.4</w:t>
      </w:r>
      <w:r>
        <w:rPr>
          <w:szCs w:val="32"/>
        </w:rPr>
        <w:t>对于</w:t>
      </w:r>
      <w:proofErr w:type="gramStart"/>
      <w:r>
        <w:rPr>
          <w:szCs w:val="32"/>
        </w:rPr>
        <w:t>地基土含腐蚀性</w:t>
      </w:r>
      <w:proofErr w:type="gramEnd"/>
      <w:r>
        <w:rPr>
          <w:szCs w:val="32"/>
        </w:rPr>
        <w:t>介质，可根据腐蚀性等级，地面垫层宜采用</w:t>
      </w:r>
      <w:r>
        <w:rPr>
          <w:szCs w:val="32"/>
        </w:rPr>
        <w:t>80mm</w:t>
      </w:r>
      <w:r>
        <w:rPr>
          <w:szCs w:val="32"/>
        </w:rPr>
        <w:t>或</w:t>
      </w:r>
      <w:r>
        <w:rPr>
          <w:szCs w:val="32"/>
        </w:rPr>
        <w:t>100mm</w:t>
      </w:r>
      <w:r>
        <w:rPr>
          <w:szCs w:val="32"/>
        </w:rPr>
        <w:t>厚</w:t>
      </w:r>
      <w:r>
        <w:rPr>
          <w:szCs w:val="32"/>
        </w:rPr>
        <w:t>C15</w:t>
      </w:r>
      <w:r>
        <w:rPr>
          <w:szCs w:val="32"/>
        </w:rPr>
        <w:t>混凝土垫层，或选用较高标号混凝土。</w:t>
      </w:r>
    </w:p>
    <w:p w14:paraId="5B80A8F1" w14:textId="77777777" w:rsidR="00C8163F" w:rsidRDefault="00C8163F" w:rsidP="00C8163F">
      <w:pPr>
        <w:spacing w:line="360" w:lineRule="auto"/>
        <w:rPr>
          <w:szCs w:val="32"/>
        </w:rPr>
      </w:pPr>
      <w:r>
        <w:rPr>
          <w:b/>
          <w:szCs w:val="32"/>
        </w:rPr>
        <w:lastRenderedPageBreak/>
        <w:t>5.2.5</w:t>
      </w:r>
      <w:r>
        <w:rPr>
          <w:szCs w:val="32"/>
        </w:rPr>
        <w:t>地面变形缝的构造应严密。嵌缝材料应采用弹性耐腐蚀耐老化密封材料，伸缩片应采用橡胶、塑料、耐腐蚀的金属等材料制成。</w:t>
      </w:r>
    </w:p>
    <w:p w14:paraId="71DDFF2A" w14:textId="77777777" w:rsidR="00C8163F" w:rsidRDefault="00C8163F" w:rsidP="00C8163F">
      <w:pPr>
        <w:spacing w:line="360" w:lineRule="auto"/>
        <w:rPr>
          <w:szCs w:val="32"/>
        </w:rPr>
      </w:pPr>
      <w:r>
        <w:rPr>
          <w:b/>
          <w:szCs w:val="32"/>
        </w:rPr>
        <w:t>5.2.6</w:t>
      </w:r>
      <w:r>
        <w:rPr>
          <w:szCs w:val="32"/>
        </w:rPr>
        <w:t>首层墙体采用砌体结构时，应加强墙身防潮层。墙体底部至混凝土垫层部分宜采用混凝土墙，混凝土的强度等级不应低于地面垫层混凝土的强度等级。</w:t>
      </w:r>
    </w:p>
    <w:p w14:paraId="6C92D163" w14:textId="77777777" w:rsidR="00C8163F" w:rsidRDefault="00C8163F" w:rsidP="00C8163F">
      <w:pPr>
        <w:spacing w:line="360" w:lineRule="auto"/>
        <w:rPr>
          <w:szCs w:val="32"/>
        </w:rPr>
      </w:pPr>
      <w:r>
        <w:rPr>
          <w:b/>
          <w:szCs w:val="32"/>
        </w:rPr>
        <w:t>5.2.7</w:t>
      </w:r>
      <w:r>
        <w:rPr>
          <w:szCs w:val="32"/>
        </w:rPr>
        <w:t>地沟和地坑的做法应符合下列规定：</w:t>
      </w:r>
    </w:p>
    <w:p w14:paraId="5777A8CB" w14:textId="77777777" w:rsidR="00C8163F" w:rsidRDefault="00C8163F" w:rsidP="00C8163F">
      <w:pPr>
        <w:spacing w:line="360" w:lineRule="auto"/>
        <w:ind w:leftChars="300" w:left="841" w:hangingChars="100" w:hanging="211"/>
        <w:rPr>
          <w:szCs w:val="32"/>
        </w:rPr>
      </w:pPr>
      <w:r>
        <w:rPr>
          <w:b/>
          <w:szCs w:val="32"/>
        </w:rPr>
        <w:t>1</w:t>
      </w:r>
      <w:r>
        <w:rPr>
          <w:szCs w:val="32"/>
        </w:rPr>
        <w:t xml:space="preserve"> </w:t>
      </w:r>
      <w:r>
        <w:rPr>
          <w:szCs w:val="32"/>
        </w:rPr>
        <w:t>地沟和地坑的材料应采用混凝土或钢筋混凝土；混凝土的强度等级不应低于地面垫层混凝土的强度等级。</w:t>
      </w:r>
    </w:p>
    <w:p w14:paraId="249347E4" w14:textId="77777777" w:rsidR="00C8163F" w:rsidRDefault="00C8163F" w:rsidP="00C8163F">
      <w:pPr>
        <w:pStyle w:val="af0"/>
        <w:spacing w:line="360" w:lineRule="auto"/>
        <w:ind w:leftChars="300" w:left="841" w:hangingChars="100" w:hanging="211"/>
        <w:rPr>
          <w:color w:val="auto"/>
          <w:szCs w:val="32"/>
        </w:rPr>
      </w:pPr>
      <w:r>
        <w:rPr>
          <w:b/>
          <w:color w:val="auto"/>
          <w:szCs w:val="32"/>
        </w:rPr>
        <w:t>2</w:t>
      </w:r>
      <w:r>
        <w:rPr>
          <w:color w:val="auto"/>
          <w:szCs w:val="32"/>
        </w:rPr>
        <w:t xml:space="preserve"> </w:t>
      </w:r>
      <w:r>
        <w:rPr>
          <w:color w:val="auto"/>
          <w:szCs w:val="32"/>
        </w:rPr>
        <w:t>建筑物的墙、柱、基础不得兼做地沟和地坑的底板和侧壁。</w:t>
      </w:r>
    </w:p>
    <w:p w14:paraId="4139CEFE" w14:textId="77777777" w:rsidR="00C8163F" w:rsidRDefault="00C8163F" w:rsidP="00C8163F">
      <w:pPr>
        <w:pStyle w:val="af0"/>
        <w:spacing w:line="360" w:lineRule="auto"/>
        <w:ind w:leftChars="300" w:left="841" w:hangingChars="100" w:hanging="211"/>
        <w:rPr>
          <w:color w:val="auto"/>
          <w:szCs w:val="32"/>
        </w:rPr>
      </w:pPr>
      <w:r>
        <w:rPr>
          <w:b/>
          <w:color w:val="auto"/>
          <w:szCs w:val="32"/>
        </w:rPr>
        <w:t>3</w:t>
      </w:r>
      <w:r>
        <w:rPr>
          <w:color w:val="auto"/>
          <w:szCs w:val="32"/>
        </w:rPr>
        <w:t xml:space="preserve"> </w:t>
      </w:r>
      <w:r>
        <w:rPr>
          <w:color w:val="auto"/>
          <w:szCs w:val="32"/>
        </w:rPr>
        <w:t>地沟和地</w:t>
      </w:r>
      <w:proofErr w:type="gramStart"/>
      <w:r>
        <w:rPr>
          <w:color w:val="auto"/>
          <w:szCs w:val="32"/>
        </w:rPr>
        <w:t>坑接触</w:t>
      </w:r>
      <w:proofErr w:type="gramEnd"/>
      <w:r>
        <w:rPr>
          <w:color w:val="auto"/>
          <w:szCs w:val="32"/>
        </w:rPr>
        <w:t>土壤一侧设置防水层或防潮层，并于地面防水层、防潮层闭合。</w:t>
      </w:r>
    </w:p>
    <w:p w14:paraId="61C6C5F5" w14:textId="77777777" w:rsidR="00C8163F" w:rsidRDefault="00C8163F" w:rsidP="00C8163F">
      <w:pPr>
        <w:spacing w:line="360" w:lineRule="auto"/>
        <w:rPr>
          <w:szCs w:val="32"/>
        </w:rPr>
      </w:pPr>
      <w:r>
        <w:rPr>
          <w:b/>
          <w:bCs/>
          <w:szCs w:val="32"/>
        </w:rPr>
        <w:t>5.2.8</w:t>
      </w:r>
      <w:r>
        <w:rPr>
          <w:szCs w:val="32"/>
        </w:rPr>
        <w:t>地下室通风换气应适度加强，并符合以下要求：</w:t>
      </w:r>
    </w:p>
    <w:p w14:paraId="21A5201F" w14:textId="77777777" w:rsidR="00C8163F" w:rsidRDefault="00C8163F" w:rsidP="00C8163F">
      <w:pPr>
        <w:spacing w:line="360" w:lineRule="auto"/>
        <w:ind w:leftChars="100" w:left="210" w:firstLineChars="200" w:firstLine="422"/>
        <w:rPr>
          <w:szCs w:val="32"/>
        </w:rPr>
      </w:pPr>
      <w:r>
        <w:rPr>
          <w:b/>
          <w:bCs/>
          <w:szCs w:val="32"/>
        </w:rPr>
        <w:t>1</w:t>
      </w:r>
      <w:r>
        <w:rPr>
          <w:szCs w:val="32"/>
        </w:rPr>
        <w:t xml:space="preserve"> </w:t>
      </w:r>
      <w:r>
        <w:rPr>
          <w:szCs w:val="32"/>
        </w:rPr>
        <w:t>地下室使用功能为机动车停车库，其换气次数应不小于</w:t>
      </w:r>
      <w:r>
        <w:rPr>
          <w:szCs w:val="32"/>
        </w:rPr>
        <w:t>6</w:t>
      </w:r>
      <w:r>
        <w:rPr>
          <w:szCs w:val="32"/>
        </w:rPr>
        <w:t>次</w:t>
      </w:r>
      <w:r>
        <w:rPr>
          <w:szCs w:val="32"/>
        </w:rPr>
        <w:t>/h</w:t>
      </w:r>
      <w:r>
        <w:rPr>
          <w:rFonts w:hint="eastAsia"/>
          <w:szCs w:val="32"/>
        </w:rPr>
        <w:t>。</w:t>
      </w:r>
    </w:p>
    <w:p w14:paraId="56CE101D" w14:textId="77777777" w:rsidR="00C8163F" w:rsidRDefault="00C8163F" w:rsidP="00C8163F">
      <w:pPr>
        <w:spacing w:line="360" w:lineRule="auto"/>
        <w:ind w:leftChars="300" w:left="841" w:hangingChars="100" w:hanging="211"/>
        <w:rPr>
          <w:szCs w:val="32"/>
        </w:rPr>
      </w:pPr>
      <w:r>
        <w:rPr>
          <w:b/>
          <w:bCs/>
          <w:szCs w:val="32"/>
        </w:rPr>
        <w:t xml:space="preserve">2 </w:t>
      </w:r>
      <w:r>
        <w:rPr>
          <w:szCs w:val="32"/>
        </w:rPr>
        <w:t>别墅地下室、其他建筑地下室作为小型商业、物业办公等经常停留人数较多功能时，</w:t>
      </w:r>
      <w:proofErr w:type="gramStart"/>
      <w:r>
        <w:rPr>
          <w:szCs w:val="32"/>
        </w:rPr>
        <w:t>宜设置</w:t>
      </w:r>
      <w:proofErr w:type="gramEnd"/>
      <w:r>
        <w:rPr>
          <w:szCs w:val="32"/>
        </w:rPr>
        <w:t>新风交换机，以提高环境舒适度</w:t>
      </w:r>
      <w:r>
        <w:rPr>
          <w:rFonts w:hint="eastAsia"/>
          <w:szCs w:val="32"/>
        </w:rPr>
        <w:t>。</w:t>
      </w:r>
    </w:p>
    <w:p w14:paraId="3A4D13FC" w14:textId="77777777" w:rsidR="00C8163F" w:rsidRDefault="00C8163F" w:rsidP="00C8163F">
      <w:pPr>
        <w:spacing w:line="360" w:lineRule="auto"/>
        <w:ind w:leftChars="300" w:left="841" w:hangingChars="100" w:hanging="211"/>
        <w:rPr>
          <w:szCs w:val="32"/>
        </w:rPr>
      </w:pPr>
      <w:r>
        <w:rPr>
          <w:b/>
          <w:bCs/>
          <w:szCs w:val="32"/>
        </w:rPr>
        <w:t>3</w:t>
      </w:r>
      <w:r>
        <w:rPr>
          <w:szCs w:val="32"/>
        </w:rPr>
        <w:t xml:space="preserve"> </w:t>
      </w:r>
      <w:r>
        <w:rPr>
          <w:szCs w:val="32"/>
        </w:rPr>
        <w:t>地下室使用功能为小型库房、设备机房等功能，应考虑适当进排风措施。</w:t>
      </w:r>
    </w:p>
    <w:p w14:paraId="3A047028" w14:textId="77777777" w:rsidR="00C8163F" w:rsidRDefault="00C8163F" w:rsidP="00C8163F">
      <w:pPr>
        <w:spacing w:line="360" w:lineRule="auto"/>
        <w:rPr>
          <w:szCs w:val="32"/>
        </w:rPr>
      </w:pPr>
      <w:r>
        <w:rPr>
          <w:b/>
          <w:bCs/>
          <w:szCs w:val="32"/>
        </w:rPr>
        <w:t>5.2.9</w:t>
      </w:r>
      <w:r>
        <w:rPr>
          <w:szCs w:val="32"/>
        </w:rPr>
        <w:t>地下室排风口宜设于下风向，不应朝向临近建筑可开启外窗；</w:t>
      </w:r>
      <w:proofErr w:type="gramStart"/>
      <w:r>
        <w:rPr>
          <w:szCs w:val="32"/>
        </w:rPr>
        <w:t>当排风口与</w:t>
      </w:r>
      <w:proofErr w:type="gramEnd"/>
      <w:r>
        <w:rPr>
          <w:szCs w:val="32"/>
        </w:rPr>
        <w:t>人员活动距离小于</w:t>
      </w:r>
      <w:r>
        <w:rPr>
          <w:szCs w:val="32"/>
        </w:rPr>
        <w:t>10m</w:t>
      </w:r>
      <w:r>
        <w:rPr>
          <w:szCs w:val="32"/>
        </w:rPr>
        <w:t>时，朝向人员活动场所的排风口底部距离人员活动地坪的高度不小于</w:t>
      </w:r>
      <w:r>
        <w:rPr>
          <w:szCs w:val="32"/>
        </w:rPr>
        <w:t>2.5m</w:t>
      </w:r>
      <w:r>
        <w:rPr>
          <w:szCs w:val="32"/>
        </w:rPr>
        <w:t>。</w:t>
      </w:r>
    </w:p>
    <w:p w14:paraId="574F7E8E" w14:textId="77777777" w:rsidR="00C8163F" w:rsidRDefault="00C8163F" w:rsidP="00C8163F">
      <w:pPr>
        <w:pStyle w:val="a0"/>
        <w:tabs>
          <w:tab w:val="clear" w:pos="360"/>
        </w:tabs>
        <w:spacing w:before="156"/>
      </w:pPr>
      <w:bookmarkStart w:id="19" w:name="_Toc99697055"/>
      <w:bookmarkStart w:id="20" w:name="_Toc114066411"/>
      <w:r>
        <w:t>防腐措施</w:t>
      </w:r>
      <w:bookmarkEnd w:id="19"/>
      <w:bookmarkEnd w:id="20"/>
    </w:p>
    <w:p w14:paraId="1FB6E721" w14:textId="77777777" w:rsidR="00C8163F" w:rsidRDefault="00C8163F" w:rsidP="00C8163F">
      <w:pPr>
        <w:pStyle w:val="a1"/>
        <w:tabs>
          <w:tab w:val="clear" w:pos="360"/>
        </w:tabs>
        <w:spacing w:line="360" w:lineRule="auto"/>
        <w:rPr>
          <w:lang w:val="en-US"/>
        </w:rPr>
      </w:pPr>
      <w:r>
        <w:rPr>
          <w:rFonts w:hint="eastAsia"/>
          <w:lang w:val="en-US"/>
        </w:rPr>
        <w:t>应</w:t>
      </w:r>
      <w:r>
        <w:rPr>
          <w:lang w:val="en-US"/>
        </w:rPr>
        <w:t>根据前期修复效果评估</w:t>
      </w:r>
      <w:r>
        <w:rPr>
          <w:rFonts w:hint="eastAsia"/>
          <w:lang w:val="en-US"/>
        </w:rPr>
        <w:t>报告</w:t>
      </w:r>
      <w:r>
        <w:rPr>
          <w:lang w:val="en-US"/>
        </w:rPr>
        <w:t>和勘查</w:t>
      </w:r>
      <w:r>
        <w:rPr>
          <w:rFonts w:hint="eastAsia"/>
          <w:lang w:val="en-US"/>
        </w:rPr>
        <w:t>结果</w:t>
      </w:r>
      <w:r>
        <w:rPr>
          <w:lang w:val="en-US"/>
        </w:rPr>
        <w:t>，判断</w:t>
      </w:r>
      <w:r>
        <w:rPr>
          <w:rFonts w:hint="eastAsia"/>
          <w:lang w:val="en-US"/>
        </w:rPr>
        <w:t>修复后场地内</w:t>
      </w:r>
      <w:r>
        <w:rPr>
          <w:lang w:val="en-US"/>
        </w:rPr>
        <w:t>土壤和地下水腐蚀风险等级。</w:t>
      </w:r>
      <w:r>
        <w:rPr>
          <w:rFonts w:hint="eastAsia"/>
          <w:lang w:val="en-US"/>
        </w:rPr>
        <w:t>若</w:t>
      </w:r>
      <w:r>
        <w:rPr>
          <w:lang w:val="en-US"/>
        </w:rPr>
        <w:t>修复后场地</w:t>
      </w:r>
      <w:r>
        <w:rPr>
          <w:rFonts w:hint="eastAsia"/>
          <w:lang w:val="en-US"/>
        </w:rPr>
        <w:t>中</w:t>
      </w:r>
      <w:r>
        <w:rPr>
          <w:lang w:val="en-US"/>
        </w:rPr>
        <w:t>地下水或土壤部分检测指标异常升高，</w:t>
      </w:r>
      <w:r>
        <w:rPr>
          <w:rFonts w:hint="eastAsia"/>
          <w:lang w:val="en-US"/>
        </w:rPr>
        <w:t>并根据《岩土工程勘察规范》（</w:t>
      </w:r>
      <w:r>
        <w:rPr>
          <w:rFonts w:hint="eastAsia"/>
          <w:lang w:val="en-US"/>
        </w:rPr>
        <w:t>GB50021</w:t>
      </w:r>
      <w:r>
        <w:rPr>
          <w:rFonts w:hint="eastAsia"/>
          <w:lang w:val="en-US"/>
        </w:rPr>
        <w:t>）中的规定</w:t>
      </w:r>
      <w:r>
        <w:rPr>
          <w:lang w:val="en-US"/>
        </w:rPr>
        <w:t>综合判断为强腐蚀等级，</w:t>
      </w:r>
      <w:r>
        <w:rPr>
          <w:rFonts w:hint="eastAsia"/>
          <w:lang w:val="en-US"/>
        </w:rPr>
        <w:t>应</w:t>
      </w:r>
      <w:r>
        <w:rPr>
          <w:lang w:val="en-US"/>
        </w:rPr>
        <w:t>采取主动或被动腐蚀控制措施</w:t>
      </w:r>
      <w:r>
        <w:rPr>
          <w:rFonts w:hint="eastAsia"/>
          <w:lang w:val="en-US"/>
        </w:rPr>
        <w:t>，保护新建建筑物</w:t>
      </w:r>
      <w:r>
        <w:rPr>
          <w:color w:val="000000"/>
          <w:lang w:val="en-US"/>
        </w:rPr>
        <w:t>地下基础（含桩基）和地下构筑物。</w:t>
      </w:r>
    </w:p>
    <w:p w14:paraId="46CD92C9" w14:textId="77777777" w:rsidR="00C8163F" w:rsidRDefault="00C8163F" w:rsidP="00C8163F">
      <w:pPr>
        <w:pStyle w:val="a1"/>
        <w:tabs>
          <w:tab w:val="clear" w:pos="360"/>
        </w:tabs>
        <w:spacing w:line="360" w:lineRule="auto"/>
        <w:rPr>
          <w:lang w:val="en-US"/>
        </w:rPr>
      </w:pPr>
      <w:r>
        <w:rPr>
          <w:lang w:val="en-US"/>
        </w:rPr>
        <w:t>如前期</w:t>
      </w:r>
      <w:r>
        <w:rPr>
          <w:rFonts w:hint="eastAsia"/>
          <w:lang w:val="en-US"/>
        </w:rPr>
        <w:t>效果评估监测、长期监测或其它专项调查中</w:t>
      </w:r>
      <w:r>
        <w:rPr>
          <w:lang w:val="en-US"/>
        </w:rPr>
        <w:t>发现修复后土壤或地下水中某</w:t>
      </w:r>
      <w:r>
        <w:rPr>
          <w:rFonts w:hint="eastAsia"/>
          <w:lang w:val="en-US"/>
        </w:rPr>
        <w:t>些</w:t>
      </w:r>
      <w:r>
        <w:rPr>
          <w:lang w:val="en-US"/>
        </w:rPr>
        <w:t>指标异常升高，</w:t>
      </w:r>
      <w:r>
        <w:rPr>
          <w:rFonts w:hint="eastAsia"/>
          <w:lang w:val="en-US"/>
        </w:rPr>
        <w:t>且</w:t>
      </w:r>
      <w:r>
        <w:rPr>
          <w:lang w:val="en-US"/>
        </w:rPr>
        <w:t>这些</w:t>
      </w:r>
      <w:r>
        <w:rPr>
          <w:rFonts w:hint="eastAsia"/>
          <w:lang w:val="en-US"/>
        </w:rPr>
        <w:t>指标</w:t>
      </w:r>
      <w:r>
        <w:rPr>
          <w:lang w:val="en-US"/>
        </w:rPr>
        <w:t>都是局部性和非持久性的，可采用主动降低该类指标的办法降低</w:t>
      </w:r>
      <w:r>
        <w:rPr>
          <w:rFonts w:hint="eastAsia"/>
          <w:lang w:val="en-US"/>
        </w:rPr>
        <w:t>局部</w:t>
      </w:r>
      <w:r>
        <w:rPr>
          <w:lang w:val="en-US"/>
        </w:rPr>
        <w:t>区域的腐蚀风险等级。</w:t>
      </w:r>
      <w:r>
        <w:rPr>
          <w:rFonts w:hint="eastAsia"/>
          <w:lang w:val="en-US"/>
        </w:rPr>
        <w:t>主动防腐施工前应制定具体施工方案，明确施工范围、工程目标及效果监测等内容。</w:t>
      </w:r>
      <w:r>
        <w:rPr>
          <w:lang w:val="en-US"/>
        </w:rPr>
        <w:t>主动</w:t>
      </w:r>
      <w:r>
        <w:rPr>
          <w:rFonts w:hint="eastAsia"/>
          <w:lang w:val="en-US"/>
        </w:rPr>
        <w:t>防腐</w:t>
      </w:r>
      <w:r>
        <w:rPr>
          <w:lang w:val="en-US"/>
        </w:rPr>
        <w:t>措施</w:t>
      </w:r>
      <w:r>
        <w:rPr>
          <w:rFonts w:hint="eastAsia"/>
          <w:lang w:val="en-US"/>
        </w:rPr>
        <w:t>可</w:t>
      </w:r>
      <w:r>
        <w:rPr>
          <w:lang w:val="en-US"/>
        </w:rPr>
        <w:t>包括：</w:t>
      </w:r>
    </w:p>
    <w:p w14:paraId="578512E4" w14:textId="77777777" w:rsidR="00C8163F" w:rsidRDefault="00C8163F" w:rsidP="00C8163F">
      <w:pPr>
        <w:spacing w:line="360" w:lineRule="auto"/>
        <w:ind w:firstLineChars="300" w:firstLine="632"/>
      </w:pPr>
      <w:r>
        <w:rPr>
          <w:rFonts w:hint="eastAsia"/>
          <w:b/>
          <w:bCs/>
        </w:rPr>
        <w:t>1</w:t>
      </w:r>
      <w:r>
        <w:rPr>
          <w:rFonts w:hint="eastAsia"/>
        </w:rPr>
        <w:t xml:space="preserve"> </w:t>
      </w:r>
      <w:r>
        <w:t>更换</w:t>
      </w:r>
      <w:r>
        <w:rPr>
          <w:szCs w:val="32"/>
        </w:rPr>
        <w:t>回填</w:t>
      </w:r>
      <w:r>
        <w:t>材料：如果造成腐蚀的关键介质是土壤，可采用客土法置换腐蚀因子相对较高的区域</w:t>
      </w:r>
      <w:r>
        <w:rPr>
          <w:color w:val="000000"/>
        </w:rPr>
        <w:t>，</w:t>
      </w:r>
      <w:r>
        <w:rPr>
          <w:rFonts w:hint="eastAsia"/>
          <w:color w:val="000000"/>
        </w:rPr>
        <w:t>使</w:t>
      </w:r>
      <w:r>
        <w:rPr>
          <w:color w:val="000000"/>
        </w:rPr>
        <w:t>区域整体腐蚀风险等级</w:t>
      </w:r>
      <w:r>
        <w:rPr>
          <w:rFonts w:hint="eastAsia"/>
          <w:color w:val="000000"/>
        </w:rPr>
        <w:t>降低至强腐蚀等级以下</w:t>
      </w:r>
      <w:r>
        <w:rPr>
          <w:rFonts w:hint="eastAsia"/>
        </w:rPr>
        <w:t>限值以下</w:t>
      </w:r>
      <w:r>
        <w:t>水平</w:t>
      </w:r>
      <w:r>
        <w:rPr>
          <w:rFonts w:hint="eastAsia"/>
        </w:rPr>
        <w:t>；</w:t>
      </w:r>
    </w:p>
    <w:p w14:paraId="2732A7EB" w14:textId="77777777" w:rsidR="00C8163F" w:rsidRDefault="00C8163F" w:rsidP="00C8163F">
      <w:pPr>
        <w:spacing w:line="360" w:lineRule="auto"/>
        <w:ind w:firstLineChars="300" w:firstLine="632"/>
      </w:pPr>
      <w:r>
        <w:rPr>
          <w:rFonts w:hint="eastAsia"/>
          <w:b/>
          <w:bCs/>
        </w:rPr>
        <w:t>2</w:t>
      </w:r>
      <w:r>
        <w:rPr>
          <w:rFonts w:hint="eastAsia"/>
        </w:rPr>
        <w:t xml:space="preserve"> </w:t>
      </w:r>
      <w:r>
        <w:t>主动抽水稀释：如果造成腐蚀的关键介质是</w:t>
      </w:r>
      <w:r>
        <w:rPr>
          <w:rFonts w:hint="eastAsia"/>
        </w:rPr>
        <w:t>修复区域局部的</w:t>
      </w:r>
      <w:r>
        <w:t>地下水，可采用地下水抽出处理的方法，</w:t>
      </w:r>
      <w:r>
        <w:rPr>
          <w:rFonts w:hint="eastAsia"/>
        </w:rPr>
        <w:t>使限定区域内的</w:t>
      </w:r>
      <w:r>
        <w:t>腐蚀因子浓度</w:t>
      </w:r>
      <w:r>
        <w:rPr>
          <w:rFonts w:hint="eastAsia"/>
        </w:rPr>
        <w:t>降低</w:t>
      </w:r>
      <w:r>
        <w:t>至</w:t>
      </w:r>
      <w:r>
        <w:rPr>
          <w:rFonts w:hint="eastAsia"/>
        </w:rPr>
        <w:t>强腐蚀等级限值以下</w:t>
      </w:r>
      <w:r>
        <w:t>水平</w:t>
      </w:r>
      <w:r>
        <w:rPr>
          <w:rFonts w:hint="eastAsia"/>
        </w:rPr>
        <w:t>；</w:t>
      </w:r>
    </w:p>
    <w:p w14:paraId="5D60BC35" w14:textId="77777777" w:rsidR="00C8163F" w:rsidRDefault="00C8163F" w:rsidP="00C8163F">
      <w:pPr>
        <w:spacing w:line="360" w:lineRule="auto"/>
        <w:ind w:firstLineChars="300" w:firstLine="632"/>
      </w:pPr>
      <w:r>
        <w:rPr>
          <w:rFonts w:hint="eastAsia"/>
          <w:b/>
          <w:bCs/>
        </w:rPr>
        <w:lastRenderedPageBreak/>
        <w:t>3</w:t>
      </w:r>
      <w:r>
        <w:rPr>
          <w:rFonts w:hint="eastAsia"/>
        </w:rPr>
        <w:t xml:space="preserve"> </w:t>
      </w:r>
      <w:r>
        <w:t>药剂注入：当短期快速置换或抽水条件不具备时，也可综合考虑关键腐蚀因子的作用机制，在进行科学试验的基础上，采</w:t>
      </w:r>
      <w:r>
        <w:rPr>
          <w:rFonts w:hint="eastAsia"/>
        </w:rPr>
        <w:t>用</w:t>
      </w:r>
      <w:r>
        <w:t>注入中和试剂、沉淀试剂、灭菌剂（针对生物侵蚀）等。</w:t>
      </w:r>
    </w:p>
    <w:p w14:paraId="6321354A" w14:textId="77777777" w:rsidR="00C8163F" w:rsidRDefault="00C8163F" w:rsidP="00C8163F">
      <w:pPr>
        <w:pStyle w:val="a1"/>
        <w:tabs>
          <w:tab w:val="clear" w:pos="360"/>
        </w:tabs>
        <w:spacing w:line="360" w:lineRule="auto"/>
        <w:rPr>
          <w:lang w:val="en-US"/>
        </w:rPr>
      </w:pPr>
      <w:proofErr w:type="gramStart"/>
      <w:r>
        <w:rPr>
          <w:rFonts w:hint="eastAsia"/>
          <w:lang w:val="en-US"/>
        </w:rPr>
        <w:t>当主动</w:t>
      </w:r>
      <w:proofErr w:type="gramEnd"/>
      <w:r>
        <w:rPr>
          <w:rFonts w:hint="eastAsia"/>
          <w:lang w:val="en-US"/>
        </w:rPr>
        <w:t>防腐措施不具备实施条件时，可采用被动防腐措施。</w:t>
      </w:r>
      <w:r>
        <w:rPr>
          <w:lang w:val="en-US"/>
        </w:rPr>
        <w:t>被动防腐主要包括在地基结构外侧设置保护套或防腐涂层，避免或减缓腐蚀性介质与结构的直接接触，降低腐蚀风险。可采用聚合物或树脂等保护层对混凝土等地基结构进行外立面封裹，保存层厚度不小于</w:t>
      </w:r>
      <w:r>
        <w:rPr>
          <w:lang w:val="en-US"/>
        </w:rPr>
        <w:t>50mm</w:t>
      </w:r>
      <w:r>
        <w:rPr>
          <w:lang w:val="en-US"/>
        </w:rPr>
        <w:t>。</w:t>
      </w:r>
    </w:p>
    <w:p w14:paraId="0C063147" w14:textId="77777777" w:rsidR="00C8163F" w:rsidRDefault="00C8163F" w:rsidP="00C8163F">
      <w:pPr>
        <w:pStyle w:val="a1"/>
        <w:tabs>
          <w:tab w:val="clear" w:pos="360"/>
        </w:tabs>
        <w:spacing w:line="360" w:lineRule="auto"/>
      </w:pPr>
      <w:r>
        <w:rPr>
          <w:lang w:val="en-US"/>
        </w:rPr>
        <w:t>当采用主动防腐措施时，</w:t>
      </w:r>
      <w:r>
        <w:rPr>
          <w:rFonts w:hint="eastAsia"/>
          <w:lang w:val="en-US"/>
        </w:rPr>
        <w:t>应</w:t>
      </w:r>
      <w:r>
        <w:rPr>
          <w:lang w:val="en-US"/>
        </w:rPr>
        <w:t>采用定期采样监测目标处理介质的短期处理效果，</w:t>
      </w:r>
      <w:r>
        <w:rPr>
          <w:rFonts w:hint="eastAsia"/>
          <w:lang w:val="en-US"/>
        </w:rPr>
        <w:t>如果短期内未到达预期目标，则应</w:t>
      </w:r>
      <w:r>
        <w:rPr>
          <w:lang w:val="en-US"/>
        </w:rPr>
        <w:t>进行长期跟踪监测。具体</w:t>
      </w:r>
      <w:r>
        <w:rPr>
          <w:rFonts w:hint="eastAsia"/>
          <w:lang w:val="en-US"/>
        </w:rPr>
        <w:t>监测对象、</w:t>
      </w:r>
      <w:r>
        <w:rPr>
          <w:lang w:val="en-US"/>
        </w:rPr>
        <w:t>监测周期、监测频次和监测方法可根据防腐工程施工方案</w:t>
      </w:r>
      <w:r>
        <w:rPr>
          <w:rFonts w:hint="eastAsia"/>
          <w:lang w:val="en-US"/>
        </w:rPr>
        <w:t>确定</w:t>
      </w:r>
      <w:r>
        <w:rPr>
          <w:lang w:val="en-US"/>
        </w:rPr>
        <w:t>。如果采用被动防腐措施，可参考《建筑防腐蚀工程施工规范》</w:t>
      </w:r>
      <w:r>
        <w:rPr>
          <w:lang w:val="en-US"/>
        </w:rPr>
        <w:t>GB</w:t>
      </w:r>
      <w:r>
        <w:rPr>
          <w:rFonts w:hint="eastAsia"/>
          <w:lang w:val="en-US"/>
        </w:rPr>
        <w:t xml:space="preserve"> </w:t>
      </w:r>
      <w:r>
        <w:rPr>
          <w:lang w:val="en-US"/>
        </w:rPr>
        <w:t>50212</w:t>
      </w:r>
      <w:r>
        <w:rPr>
          <w:lang w:val="en-US"/>
        </w:rPr>
        <w:t>和《建筑防腐蚀工程施工质量验收标准》</w:t>
      </w:r>
      <w:r>
        <w:rPr>
          <w:lang w:val="en-US"/>
        </w:rPr>
        <w:t>GB/T 50224</w:t>
      </w:r>
      <w:r>
        <w:rPr>
          <w:lang w:val="en-US"/>
        </w:rPr>
        <w:t>中的具体工程施工措施，制定具体的效果监测和评价方法。</w:t>
      </w:r>
    </w:p>
    <w:p w14:paraId="649D18A7" w14:textId="77777777" w:rsidR="00C8163F" w:rsidRDefault="00C8163F" w:rsidP="00C8163F">
      <w:pPr>
        <w:pStyle w:val="a"/>
        <w:tabs>
          <w:tab w:val="clear" w:pos="360"/>
        </w:tabs>
      </w:pPr>
      <w:bookmarkStart w:id="21" w:name="_Toc114066412"/>
      <w:r>
        <w:rPr>
          <w:rFonts w:hint="eastAsia"/>
        </w:rPr>
        <w:lastRenderedPageBreak/>
        <w:t>施工</w:t>
      </w:r>
      <w:bookmarkEnd w:id="21"/>
    </w:p>
    <w:p w14:paraId="79C7B0C8" w14:textId="77777777" w:rsidR="00C8163F" w:rsidRDefault="00C8163F" w:rsidP="00C8163F">
      <w:pPr>
        <w:spacing w:line="360" w:lineRule="auto"/>
      </w:pPr>
      <w:r>
        <w:rPr>
          <w:b/>
        </w:rPr>
        <w:t>6.0.1</w:t>
      </w:r>
      <w:r>
        <w:t>施工前应熟悉场地情况，做好施工组织，确保</w:t>
      </w:r>
      <w:r>
        <w:rPr>
          <w:rFonts w:hint="eastAsia"/>
        </w:rPr>
        <w:t>地下和地上修复</w:t>
      </w:r>
      <w:r>
        <w:t>设施得到充分保护或妥善处理。</w:t>
      </w:r>
    </w:p>
    <w:p w14:paraId="7CD5DAFE" w14:textId="77777777" w:rsidR="00C8163F" w:rsidRDefault="00C8163F" w:rsidP="00C8163F">
      <w:pPr>
        <w:spacing w:line="360" w:lineRule="auto"/>
        <w:rPr>
          <w:b/>
        </w:rPr>
      </w:pPr>
      <w:r>
        <w:rPr>
          <w:b/>
        </w:rPr>
        <w:t>6.0.2</w:t>
      </w:r>
      <w:r>
        <w:t>施工单位应严格按照施工图纸要求完成各项隐蔽工程，确需变更做法，应与设计单位及时沟通，取得合格变更图纸文件，方可施工。</w:t>
      </w:r>
    </w:p>
    <w:p w14:paraId="333F49AC" w14:textId="77777777" w:rsidR="00C8163F" w:rsidRDefault="00C8163F" w:rsidP="00C8163F">
      <w:pPr>
        <w:spacing w:line="360" w:lineRule="auto"/>
      </w:pPr>
      <w:r>
        <w:rPr>
          <w:b/>
        </w:rPr>
        <w:t>6.0.3</w:t>
      </w:r>
      <w:r>
        <w:t>施工过程中土壤或地下水有异常情况应及时报告</w:t>
      </w:r>
      <w:r>
        <w:rPr>
          <w:rFonts w:hint="eastAsia"/>
        </w:rPr>
        <w:t>生态环境</w:t>
      </w:r>
      <w:r>
        <w:t>部门。</w:t>
      </w:r>
    </w:p>
    <w:p w14:paraId="1DFA07A7" w14:textId="77777777" w:rsidR="00C8163F" w:rsidRDefault="00C8163F" w:rsidP="00C8163F">
      <w:pPr>
        <w:spacing w:line="360" w:lineRule="auto"/>
      </w:pPr>
      <w:r>
        <w:rPr>
          <w:b/>
        </w:rPr>
        <w:t>6.0.4</w:t>
      </w:r>
      <w:r>
        <w:t xml:space="preserve"> </w:t>
      </w:r>
      <w:r>
        <w:rPr>
          <w:rFonts w:hint="eastAsia"/>
        </w:rPr>
        <w:t>施工过程中如有异味溢出，应及时排查原因、查找异味源头、加强环境监测、分析异味后续影响并及时采取相应措施。如异味主要来源是持续溢出异味，可采用黏土覆盖的方法阻隔异味扩散；如异味主要来源是临时溢出异味，可采用化学泡沫中和的方法削减异味。</w:t>
      </w:r>
    </w:p>
    <w:p w14:paraId="1C04660A" w14:textId="77777777" w:rsidR="00C8163F" w:rsidRDefault="00C8163F" w:rsidP="00C8163F">
      <w:pPr>
        <w:spacing w:line="360" w:lineRule="auto"/>
      </w:pPr>
      <w:r>
        <w:rPr>
          <w:b/>
        </w:rPr>
        <w:t>6.0.5</w:t>
      </w:r>
      <w:r>
        <w:rPr>
          <w:rFonts w:hint="eastAsia"/>
        </w:rPr>
        <w:t>当修复后场地涉及土壤开挖、消纳等工程措施时，施工人员应根据土壤理化性质采取相应的安全防护措施，制定环境应急安全计划，配备监测设备。</w:t>
      </w:r>
    </w:p>
    <w:p w14:paraId="6FCB5556" w14:textId="77777777" w:rsidR="00C8163F" w:rsidRDefault="00C8163F" w:rsidP="00C8163F">
      <w:pPr>
        <w:pStyle w:val="a"/>
        <w:tabs>
          <w:tab w:val="clear" w:pos="360"/>
        </w:tabs>
      </w:pPr>
      <w:bookmarkStart w:id="22" w:name="_Toc99697057"/>
      <w:bookmarkStart w:id="23" w:name="_Toc114066413"/>
      <w:bookmarkStart w:id="24" w:name="_Toc73646445"/>
      <w:r>
        <w:lastRenderedPageBreak/>
        <w:t>监测维护</w:t>
      </w:r>
      <w:bookmarkEnd w:id="22"/>
      <w:bookmarkEnd w:id="23"/>
    </w:p>
    <w:p w14:paraId="6695BDEC" w14:textId="77777777" w:rsidR="00C8163F" w:rsidRDefault="00C8163F" w:rsidP="00C8163F">
      <w:pPr>
        <w:spacing w:line="360" w:lineRule="auto"/>
        <w:rPr>
          <w:szCs w:val="32"/>
        </w:rPr>
      </w:pPr>
      <w:r>
        <w:rPr>
          <w:b/>
          <w:bCs/>
          <w:szCs w:val="32"/>
        </w:rPr>
        <w:t>7.0.1</w:t>
      </w:r>
      <w:r>
        <w:rPr>
          <w:szCs w:val="32"/>
        </w:rPr>
        <w:t>拟保留的地下修复设施应进行定期监测维护，保证其正常使用。</w:t>
      </w:r>
    </w:p>
    <w:p w14:paraId="19A40657" w14:textId="77777777" w:rsidR="00C8163F" w:rsidRDefault="00C8163F" w:rsidP="00C8163F">
      <w:pPr>
        <w:spacing w:line="360" w:lineRule="auto"/>
        <w:rPr>
          <w:szCs w:val="32"/>
        </w:rPr>
      </w:pPr>
      <w:r>
        <w:rPr>
          <w:b/>
          <w:bCs/>
          <w:szCs w:val="32"/>
        </w:rPr>
        <w:t>7.0.2</w:t>
      </w:r>
      <w:r>
        <w:rPr>
          <w:szCs w:val="32"/>
        </w:rPr>
        <w:t>原污染物为挥发性有机物的修复后场地，应加强建筑周围、建筑内部等位置的土壤气、环境空气监测频率。</w:t>
      </w:r>
    </w:p>
    <w:p w14:paraId="4493F7E5" w14:textId="77777777" w:rsidR="00C8163F" w:rsidRDefault="00C8163F" w:rsidP="00C8163F">
      <w:pPr>
        <w:spacing w:line="360" w:lineRule="auto"/>
        <w:rPr>
          <w:szCs w:val="32"/>
        </w:rPr>
      </w:pPr>
      <w:r>
        <w:rPr>
          <w:b/>
          <w:bCs/>
          <w:szCs w:val="32"/>
        </w:rPr>
        <w:t>7.0.3</w:t>
      </w:r>
      <w:r>
        <w:rPr>
          <w:szCs w:val="32"/>
        </w:rPr>
        <w:t>应根据修复后土壤理化性质编制环境应急预案，如遇突发事件应及时排查原因并采取限制</w:t>
      </w:r>
      <w:r>
        <w:rPr>
          <w:rFonts w:hint="eastAsia"/>
          <w:szCs w:val="32"/>
        </w:rPr>
        <w:t>人员</w:t>
      </w:r>
      <w:r>
        <w:rPr>
          <w:szCs w:val="32"/>
        </w:rPr>
        <w:t>进入、封闭管理等措施。</w:t>
      </w:r>
    </w:p>
    <w:p w14:paraId="7B99E02F" w14:textId="77777777" w:rsidR="00C8163F" w:rsidRDefault="00C8163F" w:rsidP="00C8163F">
      <w:pPr>
        <w:pStyle w:val="a3"/>
      </w:pPr>
    </w:p>
    <w:p w14:paraId="593A5CAA" w14:textId="77777777" w:rsidR="00C8163F" w:rsidRDefault="00C8163F" w:rsidP="00C8163F">
      <w:bookmarkStart w:id="25" w:name="_Toc21936527"/>
      <w:bookmarkStart w:id="26" w:name="_Toc21936526"/>
      <w:bookmarkStart w:id="27" w:name="_Toc26211911"/>
      <w:bookmarkStart w:id="28" w:name="_Toc25573320"/>
      <w:bookmarkStart w:id="29" w:name="_Toc26226236"/>
      <w:bookmarkStart w:id="30" w:name="_Toc26211912"/>
      <w:bookmarkStart w:id="31" w:name="_Toc26226231"/>
      <w:bookmarkStart w:id="32" w:name="_Toc21936498"/>
      <w:bookmarkStart w:id="33" w:name="_Toc21936495"/>
      <w:bookmarkStart w:id="34" w:name="_Toc26211906"/>
      <w:bookmarkStart w:id="35" w:name="_Toc21936524"/>
      <w:bookmarkStart w:id="36" w:name="_Toc25573319"/>
      <w:bookmarkStart w:id="37" w:name="_Toc26226226"/>
      <w:bookmarkStart w:id="38" w:name="_Toc26211913"/>
      <w:bookmarkStart w:id="39" w:name="_Toc26226232"/>
      <w:bookmarkStart w:id="40" w:name="_Toc26226230"/>
      <w:bookmarkStart w:id="41" w:name="_Toc26211904"/>
      <w:bookmarkStart w:id="42" w:name="_Toc25573316"/>
      <w:bookmarkStart w:id="43" w:name="_Toc26211903"/>
      <w:bookmarkStart w:id="44" w:name="_Toc25573324"/>
      <w:bookmarkStart w:id="45" w:name="_Toc26226235"/>
      <w:bookmarkStart w:id="46" w:name="_Toc25573317"/>
      <w:bookmarkStart w:id="47" w:name="_Toc21936355"/>
      <w:bookmarkStart w:id="48" w:name="_Toc26226229"/>
      <w:bookmarkStart w:id="49" w:name="_Toc25573315"/>
      <w:bookmarkStart w:id="50" w:name="_Toc25573318"/>
      <w:bookmarkStart w:id="51" w:name="_Toc21936354"/>
      <w:bookmarkStart w:id="52" w:name="_Toc25573323"/>
      <w:bookmarkStart w:id="53" w:name="_Toc26211907"/>
      <w:bookmarkStart w:id="54" w:name="_Toc21936496"/>
      <w:bookmarkStart w:id="55" w:name="_Toc26211905"/>
      <w:bookmarkStart w:id="56" w:name="_Toc21936525"/>
      <w:bookmarkStart w:id="57" w:name="_Toc21936353"/>
      <w:bookmarkStart w:id="58" w:name="_Toc25573314"/>
      <w:bookmarkStart w:id="59" w:name="_Toc21936497"/>
      <w:bookmarkStart w:id="60" w:name="_Toc25573325"/>
      <w:bookmarkStart w:id="61" w:name="_Toc26226238"/>
      <w:bookmarkStart w:id="62" w:name="_Toc26226234"/>
      <w:bookmarkStart w:id="63" w:name="_Toc26211902"/>
      <w:bookmarkStart w:id="64" w:name="_Toc26226233"/>
      <w:bookmarkStart w:id="65" w:name="_Toc26211901"/>
      <w:bookmarkStart w:id="66" w:name="_Toc25573322"/>
      <w:bookmarkStart w:id="67" w:name="_Toc26226228"/>
      <w:bookmarkStart w:id="68" w:name="_Toc25573326"/>
      <w:bookmarkStart w:id="69" w:name="_Toc67432634"/>
      <w:bookmarkStart w:id="70" w:name="_Toc26226237"/>
      <w:bookmarkStart w:id="71" w:name="_Toc69488765"/>
      <w:bookmarkStart w:id="72" w:name="_Toc26226227"/>
      <w:bookmarkStart w:id="73" w:name="_Toc25573321"/>
      <w:bookmarkStart w:id="74" w:name="_Toc26211909"/>
      <w:bookmarkStart w:id="75" w:name="_Toc67432633"/>
      <w:bookmarkStart w:id="76" w:name="_Toc26211908"/>
      <w:bookmarkStart w:id="77" w:name="_Toc21936356"/>
      <w:bookmarkStart w:id="78" w:name="_Toc69495037"/>
      <w:bookmarkStart w:id="79" w:name="_Toc26211910"/>
      <w:bookmarkStart w:id="80" w:name="_Toc51762133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F01CDAF" w14:textId="77777777" w:rsidR="00C8163F" w:rsidRDefault="00C8163F" w:rsidP="00C8163F">
      <w:pPr>
        <w:pStyle w:val="a3"/>
        <w:sectPr w:rsidR="00C8163F">
          <w:footerReference w:type="default" r:id="rId9"/>
          <w:pgSz w:w="11906" w:h="16838"/>
          <w:pgMar w:top="1440" w:right="1800" w:bottom="1440" w:left="1800" w:header="851" w:footer="992" w:gutter="0"/>
          <w:pgNumType w:start="1"/>
          <w:cols w:space="720"/>
          <w:docGrid w:type="lines" w:linePitch="312"/>
        </w:sectPr>
      </w:pPr>
      <w:bookmarkStart w:id="81" w:name="_Toc67432659"/>
      <w:bookmarkStart w:id="82" w:name="_Toc67472653"/>
      <w:bookmarkStart w:id="83" w:name="_Toc67432642"/>
      <w:bookmarkStart w:id="84" w:name="_Toc67472642"/>
      <w:bookmarkStart w:id="85" w:name="_Toc67432647"/>
      <w:bookmarkStart w:id="86" w:name="_Toc67432651"/>
      <w:bookmarkStart w:id="87" w:name="_Toc67472639"/>
      <w:bookmarkStart w:id="88" w:name="_Toc67472656"/>
      <w:bookmarkStart w:id="89" w:name="_Toc67432653"/>
      <w:bookmarkStart w:id="90" w:name="_Toc67472658"/>
      <w:bookmarkStart w:id="91" w:name="_Toc67432800"/>
      <w:bookmarkStart w:id="92" w:name="_Toc67432646"/>
      <w:bookmarkStart w:id="93" w:name="_Toc67472646"/>
      <w:bookmarkStart w:id="94" w:name="_Toc67432658"/>
      <w:bookmarkStart w:id="95" w:name="_Toc67472643"/>
      <w:bookmarkStart w:id="96" w:name="_Toc67432656"/>
      <w:bookmarkStart w:id="97" w:name="_Toc67432654"/>
      <w:bookmarkStart w:id="98" w:name="_Toc67432645"/>
      <w:bookmarkStart w:id="99" w:name="_Toc67432648"/>
      <w:bookmarkStart w:id="100" w:name="_Toc67472659"/>
      <w:bookmarkStart w:id="101" w:name="_Toc67432637"/>
      <w:bookmarkStart w:id="102" w:name="_Toc67432641"/>
      <w:bookmarkStart w:id="103" w:name="_Toc67472648"/>
      <w:bookmarkStart w:id="104" w:name="_Toc67472641"/>
      <w:bookmarkStart w:id="105" w:name="_Toc67432655"/>
      <w:bookmarkStart w:id="106" w:name="_Toc67472647"/>
      <w:bookmarkStart w:id="107" w:name="_Toc67432650"/>
      <w:bookmarkStart w:id="108" w:name="_Toc67472640"/>
      <w:bookmarkStart w:id="109" w:name="_Toc67472655"/>
      <w:bookmarkStart w:id="110" w:name="_Toc67432640"/>
      <w:bookmarkStart w:id="111" w:name="_Toc67432649"/>
      <w:bookmarkStart w:id="112" w:name="_Toc67432639"/>
      <w:bookmarkStart w:id="113" w:name="_Toc67432643"/>
      <w:bookmarkStart w:id="114" w:name="_Toc67432660"/>
      <w:bookmarkStart w:id="115" w:name="_Toc67472660"/>
      <w:bookmarkStart w:id="116" w:name="_Toc67472649"/>
      <w:bookmarkStart w:id="117" w:name="_Toc67472800"/>
      <w:bookmarkStart w:id="118" w:name="_Toc67472645"/>
      <w:bookmarkStart w:id="119" w:name="_Toc67432644"/>
      <w:bookmarkStart w:id="120" w:name="_Toc67472654"/>
      <w:bookmarkStart w:id="121" w:name="_Toc67472650"/>
      <w:bookmarkStart w:id="122" w:name="_Toc67472651"/>
      <w:bookmarkStart w:id="123" w:name="_Toc6747264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33C89F0" w14:textId="77777777" w:rsidR="00C8163F" w:rsidRDefault="00C8163F" w:rsidP="00C8163F">
      <w:pPr>
        <w:tabs>
          <w:tab w:val="left" w:pos="19"/>
        </w:tabs>
        <w:spacing w:line="360" w:lineRule="auto"/>
        <w:jc w:val="center"/>
        <w:outlineLvl w:val="0"/>
        <w:rPr>
          <w:b/>
          <w:sz w:val="30"/>
        </w:rPr>
      </w:pPr>
      <w:bookmarkStart w:id="124" w:name="_Toc99697058"/>
      <w:bookmarkStart w:id="125" w:name="_Toc485043057"/>
      <w:bookmarkStart w:id="126" w:name="_Toc114066414"/>
      <w:bookmarkStart w:id="127" w:name="_Toc86055361"/>
      <w:bookmarkStart w:id="128" w:name="_Toc502325496"/>
      <w:bookmarkStart w:id="129" w:name="_Toc6815067"/>
      <w:bookmarkStart w:id="130" w:name="_Toc485647658"/>
      <w:bookmarkStart w:id="131" w:name="_Toc74137314"/>
      <w:r>
        <w:rPr>
          <w:b/>
          <w:sz w:val="30"/>
        </w:rPr>
        <w:lastRenderedPageBreak/>
        <w:t>本标准用词说明</w:t>
      </w:r>
      <w:bookmarkEnd w:id="124"/>
      <w:bookmarkEnd w:id="125"/>
      <w:bookmarkEnd w:id="126"/>
      <w:bookmarkEnd w:id="127"/>
      <w:bookmarkEnd w:id="128"/>
      <w:bookmarkEnd w:id="129"/>
      <w:bookmarkEnd w:id="130"/>
      <w:bookmarkEnd w:id="131"/>
    </w:p>
    <w:p w14:paraId="7484B472" w14:textId="77777777" w:rsidR="00C8163F" w:rsidRDefault="00C8163F" w:rsidP="00C8163F">
      <w:pPr>
        <w:tabs>
          <w:tab w:val="left" w:pos="19"/>
        </w:tabs>
        <w:spacing w:line="360" w:lineRule="auto"/>
        <w:rPr>
          <w:b/>
          <w:bCs/>
          <w:sz w:val="22"/>
        </w:rPr>
      </w:pPr>
    </w:p>
    <w:p w14:paraId="220B67C9" w14:textId="77777777" w:rsidR="00C8163F" w:rsidRDefault="00C8163F" w:rsidP="00C8163F">
      <w:pPr>
        <w:tabs>
          <w:tab w:val="left" w:pos="19"/>
        </w:tabs>
        <w:spacing w:line="360" w:lineRule="auto"/>
      </w:pPr>
      <w:r>
        <w:rPr>
          <w:b/>
          <w:bCs/>
        </w:rPr>
        <w:t xml:space="preserve">1 </w:t>
      </w:r>
      <w:r>
        <w:t xml:space="preserve"> </w:t>
      </w:r>
      <w:r>
        <w:t>为便于在执行本标准条文时区别对待，对要求严格程度不同的用词说明如下：</w:t>
      </w:r>
    </w:p>
    <w:p w14:paraId="2A9952ED" w14:textId="77777777" w:rsidR="00C8163F" w:rsidRDefault="00C8163F" w:rsidP="00C8163F">
      <w:pPr>
        <w:tabs>
          <w:tab w:val="left" w:pos="19"/>
        </w:tabs>
        <w:spacing w:line="360" w:lineRule="auto"/>
        <w:ind w:firstLineChars="100" w:firstLine="210"/>
      </w:pPr>
      <w:r>
        <w:t>1</w:t>
      </w:r>
      <w:r>
        <w:t>）表示很严格，非这样做不可的：</w:t>
      </w:r>
    </w:p>
    <w:p w14:paraId="570F1DD2" w14:textId="77777777" w:rsidR="00C8163F" w:rsidRDefault="00C8163F" w:rsidP="00C8163F">
      <w:pPr>
        <w:tabs>
          <w:tab w:val="left" w:pos="19"/>
        </w:tabs>
        <w:spacing w:line="360" w:lineRule="auto"/>
      </w:pPr>
      <w:r>
        <w:t xml:space="preserve">     </w:t>
      </w:r>
      <w:r>
        <w:t>正面</w:t>
      </w:r>
      <w:proofErr w:type="gramStart"/>
      <w:r>
        <w:t>词采用</w:t>
      </w:r>
      <w:proofErr w:type="gramEnd"/>
      <w:r>
        <w:t>“</w:t>
      </w:r>
      <w:r>
        <w:t>必须</w:t>
      </w:r>
      <w:r>
        <w:rPr>
          <w:spacing w:val="120"/>
        </w:rPr>
        <w:t>”</w:t>
      </w:r>
      <w:r>
        <w:t>，反面</w:t>
      </w:r>
      <w:proofErr w:type="gramStart"/>
      <w:r>
        <w:t>词采</w:t>
      </w:r>
      <w:proofErr w:type="gramEnd"/>
      <w:r>
        <w:t>用</w:t>
      </w:r>
      <w:r>
        <w:t>“</w:t>
      </w:r>
      <w:r>
        <w:t>严禁</w:t>
      </w:r>
      <w:r>
        <w:rPr>
          <w:spacing w:val="120"/>
        </w:rPr>
        <w:t>”</w:t>
      </w:r>
      <w:r>
        <w:rPr>
          <w:spacing w:val="120"/>
        </w:rPr>
        <w:t>；</w:t>
      </w:r>
    </w:p>
    <w:p w14:paraId="79F7E551" w14:textId="77777777" w:rsidR="00C8163F" w:rsidRDefault="00C8163F" w:rsidP="00C8163F">
      <w:pPr>
        <w:tabs>
          <w:tab w:val="left" w:pos="19"/>
        </w:tabs>
        <w:spacing w:line="360" w:lineRule="auto"/>
        <w:ind w:firstLineChars="100" w:firstLine="210"/>
      </w:pPr>
      <w:r>
        <w:t>2</w:t>
      </w:r>
      <w:r>
        <w:t>）表示严格，在正常情况下均应这样做的：</w:t>
      </w:r>
    </w:p>
    <w:p w14:paraId="36254113" w14:textId="77777777" w:rsidR="00C8163F" w:rsidRDefault="00C8163F" w:rsidP="00C8163F">
      <w:pPr>
        <w:tabs>
          <w:tab w:val="left" w:pos="19"/>
        </w:tabs>
        <w:spacing w:line="360" w:lineRule="auto"/>
      </w:pPr>
      <w:r>
        <w:t xml:space="preserve">     </w:t>
      </w:r>
      <w:r>
        <w:t>正面</w:t>
      </w:r>
      <w:proofErr w:type="gramStart"/>
      <w:r>
        <w:t>词采用</w:t>
      </w:r>
      <w:proofErr w:type="gramEnd"/>
      <w:r>
        <w:t>“</w:t>
      </w:r>
      <w:r>
        <w:t>应</w:t>
      </w:r>
      <w:r>
        <w:rPr>
          <w:spacing w:val="120"/>
        </w:rPr>
        <w:t>”</w:t>
      </w:r>
      <w:r>
        <w:t>，反面</w:t>
      </w:r>
      <w:proofErr w:type="gramStart"/>
      <w:r>
        <w:t>词采</w:t>
      </w:r>
      <w:proofErr w:type="gramEnd"/>
      <w:r>
        <w:t>用</w:t>
      </w:r>
      <w:r>
        <w:t>“</w:t>
      </w:r>
      <w:r>
        <w:t>不应</w:t>
      </w:r>
      <w:r>
        <w:t>”</w:t>
      </w:r>
      <w:r>
        <w:t>或</w:t>
      </w:r>
      <w:r>
        <w:t>“</w:t>
      </w:r>
      <w:r>
        <w:t>不得</w:t>
      </w:r>
      <w:r>
        <w:rPr>
          <w:spacing w:val="120"/>
        </w:rPr>
        <w:t>”</w:t>
      </w:r>
      <w:r>
        <w:rPr>
          <w:spacing w:val="120"/>
        </w:rPr>
        <w:t>；</w:t>
      </w:r>
    </w:p>
    <w:p w14:paraId="4E3E3810" w14:textId="77777777" w:rsidR="00C8163F" w:rsidRDefault="00C8163F" w:rsidP="00C8163F">
      <w:pPr>
        <w:tabs>
          <w:tab w:val="left" w:pos="19"/>
        </w:tabs>
        <w:spacing w:line="360" w:lineRule="auto"/>
        <w:ind w:firstLineChars="100" w:firstLine="210"/>
      </w:pPr>
      <w:r>
        <w:t>3</w:t>
      </w:r>
      <w:r>
        <w:t>）表示允许稍有选择，在条件许可时首先这样做的：</w:t>
      </w:r>
    </w:p>
    <w:p w14:paraId="43F9A690" w14:textId="77777777" w:rsidR="00C8163F" w:rsidRDefault="00C8163F" w:rsidP="00C8163F">
      <w:pPr>
        <w:tabs>
          <w:tab w:val="left" w:pos="19"/>
        </w:tabs>
        <w:spacing w:line="360" w:lineRule="auto"/>
        <w:ind w:firstLine="600"/>
        <w:rPr>
          <w:spacing w:val="120"/>
        </w:rPr>
      </w:pPr>
      <w:r>
        <w:t>正面</w:t>
      </w:r>
      <w:proofErr w:type="gramStart"/>
      <w:r>
        <w:t>词采用</w:t>
      </w:r>
      <w:proofErr w:type="gramEnd"/>
      <w:r>
        <w:t>“</w:t>
      </w:r>
      <w:r>
        <w:t>宜</w:t>
      </w:r>
      <w:r>
        <w:rPr>
          <w:spacing w:val="120"/>
        </w:rPr>
        <w:t>”</w:t>
      </w:r>
      <w:r>
        <w:t>，反面</w:t>
      </w:r>
      <w:proofErr w:type="gramStart"/>
      <w:r>
        <w:t>词采</w:t>
      </w:r>
      <w:proofErr w:type="gramEnd"/>
      <w:r>
        <w:t>用</w:t>
      </w:r>
      <w:r>
        <w:t>“</w:t>
      </w:r>
      <w:r>
        <w:t>不宜</w:t>
      </w:r>
      <w:r>
        <w:rPr>
          <w:spacing w:val="120"/>
        </w:rPr>
        <w:t>”</w:t>
      </w:r>
      <w:r>
        <w:rPr>
          <w:spacing w:val="120"/>
        </w:rPr>
        <w:t>；</w:t>
      </w:r>
    </w:p>
    <w:p w14:paraId="5B77B99A" w14:textId="77777777" w:rsidR="00C8163F" w:rsidRDefault="00C8163F" w:rsidP="00C8163F">
      <w:pPr>
        <w:tabs>
          <w:tab w:val="left" w:pos="19"/>
        </w:tabs>
        <w:spacing w:line="360" w:lineRule="auto"/>
        <w:ind w:firstLineChars="100" w:firstLine="210"/>
        <w:rPr>
          <w:spacing w:val="120"/>
        </w:rPr>
      </w:pPr>
      <w:r>
        <w:t>4</w:t>
      </w:r>
      <w:r>
        <w:t>）表示有选择，在一定条件下可以这样做的，可采用</w:t>
      </w:r>
      <w:r>
        <w:t>“</w:t>
      </w:r>
      <w:r>
        <w:t>可</w:t>
      </w:r>
      <w:r>
        <w:t>”</w:t>
      </w:r>
      <w:r>
        <w:t>。</w:t>
      </w:r>
    </w:p>
    <w:p w14:paraId="1B183A3D" w14:textId="77777777" w:rsidR="00C8163F" w:rsidRDefault="00C8163F" w:rsidP="00C8163F">
      <w:pPr>
        <w:tabs>
          <w:tab w:val="left" w:pos="19"/>
        </w:tabs>
        <w:spacing w:line="360" w:lineRule="auto"/>
      </w:pPr>
      <w:r>
        <w:rPr>
          <w:b/>
          <w:bCs/>
        </w:rPr>
        <w:t>2</w:t>
      </w:r>
      <w:r>
        <w:t xml:space="preserve">  </w:t>
      </w:r>
      <w:r>
        <w:t>条文中指明应按其他有关标准执行的写法为：</w:t>
      </w:r>
      <w:r>
        <w:t>“</w:t>
      </w:r>
      <w:r>
        <w:t>应符合</w:t>
      </w:r>
      <w:r>
        <w:t>……</w:t>
      </w:r>
      <w:r>
        <w:t>的规定</w:t>
      </w:r>
      <w:r>
        <w:t>”</w:t>
      </w:r>
      <w:r>
        <w:t>或</w:t>
      </w:r>
      <w:r>
        <w:t>“</w:t>
      </w:r>
      <w:r>
        <w:t>应按</w:t>
      </w:r>
      <w:r>
        <w:t>……</w:t>
      </w:r>
      <w:r>
        <w:t>执行</w:t>
      </w:r>
      <w:r>
        <w:t>”</w:t>
      </w:r>
      <w:r>
        <w:t>。</w:t>
      </w:r>
    </w:p>
    <w:p w14:paraId="0B7F0237" w14:textId="77777777" w:rsidR="00C8163F" w:rsidRDefault="00C8163F" w:rsidP="00C8163F">
      <w:pPr>
        <w:pStyle w:val="a3"/>
      </w:pPr>
    </w:p>
    <w:p w14:paraId="2284B978" w14:textId="77777777" w:rsidR="00C8163F" w:rsidRDefault="00C8163F" w:rsidP="00C8163F">
      <w:pPr>
        <w:pStyle w:val="a3"/>
      </w:pPr>
    </w:p>
    <w:p w14:paraId="58CC00FE" w14:textId="77777777" w:rsidR="00C8163F" w:rsidRDefault="00C8163F" w:rsidP="00C8163F">
      <w:pPr>
        <w:pStyle w:val="a3"/>
      </w:pPr>
    </w:p>
    <w:p w14:paraId="254EE64B" w14:textId="77777777" w:rsidR="00C8163F" w:rsidRDefault="00C8163F" w:rsidP="00C8163F">
      <w:pPr>
        <w:pStyle w:val="a3"/>
        <w:sectPr w:rsidR="00C8163F">
          <w:pgSz w:w="11906" w:h="16838"/>
          <w:pgMar w:top="1440" w:right="1800" w:bottom="1440" w:left="1800" w:header="851" w:footer="992" w:gutter="0"/>
          <w:cols w:space="720"/>
          <w:docGrid w:type="lines" w:linePitch="312"/>
        </w:sectPr>
      </w:pPr>
    </w:p>
    <w:p w14:paraId="5EE592CD" w14:textId="77777777" w:rsidR="00C8163F" w:rsidRDefault="00C8163F" w:rsidP="00C8163F">
      <w:pPr>
        <w:tabs>
          <w:tab w:val="left" w:pos="19"/>
        </w:tabs>
        <w:spacing w:line="360" w:lineRule="auto"/>
        <w:jc w:val="center"/>
        <w:outlineLvl w:val="0"/>
        <w:rPr>
          <w:b/>
        </w:rPr>
      </w:pPr>
      <w:bookmarkStart w:id="132" w:name="_Toc99697059"/>
      <w:bookmarkStart w:id="133" w:name="_Toc74137315"/>
      <w:bookmarkStart w:id="134" w:name="_Toc502325497"/>
      <w:bookmarkStart w:id="135" w:name="_Toc114066415"/>
      <w:bookmarkStart w:id="136" w:name="_Toc485647659"/>
      <w:bookmarkStart w:id="137" w:name="_Toc86055362"/>
      <w:bookmarkStart w:id="138" w:name="_Toc485043058"/>
      <w:bookmarkStart w:id="139" w:name="_Toc6815068"/>
      <w:r>
        <w:rPr>
          <w:b/>
          <w:sz w:val="30"/>
        </w:rPr>
        <w:lastRenderedPageBreak/>
        <w:t>引用标准名录</w:t>
      </w:r>
      <w:bookmarkEnd w:id="132"/>
      <w:bookmarkEnd w:id="133"/>
      <w:bookmarkEnd w:id="134"/>
      <w:bookmarkEnd w:id="135"/>
      <w:bookmarkEnd w:id="136"/>
      <w:bookmarkEnd w:id="137"/>
      <w:bookmarkEnd w:id="138"/>
      <w:bookmarkEnd w:id="139"/>
    </w:p>
    <w:p w14:paraId="283DAE39" w14:textId="77777777" w:rsidR="00C8163F" w:rsidRDefault="00C8163F" w:rsidP="00C8163F">
      <w:pPr>
        <w:tabs>
          <w:tab w:val="left" w:pos="19"/>
        </w:tabs>
        <w:spacing w:line="360" w:lineRule="auto"/>
      </w:pPr>
      <w:r>
        <w:t>《建筑给水排水设计规范》</w:t>
      </w:r>
      <w:r>
        <w:t>GB 50015</w:t>
      </w:r>
    </w:p>
    <w:p w14:paraId="61517BD3" w14:textId="77777777" w:rsidR="00C8163F" w:rsidRDefault="00C8163F" w:rsidP="00C8163F">
      <w:pPr>
        <w:pStyle w:val="a3"/>
        <w:spacing w:line="360" w:lineRule="auto"/>
        <w:rPr>
          <w:rFonts w:eastAsia="宋体"/>
        </w:rPr>
      </w:pPr>
      <w:r>
        <w:rPr>
          <w:rFonts w:eastAsia="宋体"/>
        </w:rPr>
        <w:t>《建筑防腐蚀工程施工质量验收标准》</w:t>
      </w:r>
      <w:r>
        <w:rPr>
          <w:rFonts w:eastAsia="宋体"/>
        </w:rPr>
        <w:t>GB/T 50224</w:t>
      </w:r>
    </w:p>
    <w:p w14:paraId="0E08338F" w14:textId="77777777" w:rsidR="00C8163F" w:rsidRDefault="00C8163F" w:rsidP="00C8163F">
      <w:pPr>
        <w:pStyle w:val="a3"/>
        <w:spacing w:line="360" w:lineRule="auto"/>
        <w:rPr>
          <w:rFonts w:eastAsia="宋体"/>
        </w:rPr>
      </w:pPr>
      <w:r>
        <w:rPr>
          <w:rFonts w:eastAsia="宋体"/>
        </w:rPr>
        <w:t>《建筑防腐蚀工程施工规范》</w:t>
      </w:r>
      <w:r>
        <w:rPr>
          <w:rFonts w:eastAsia="宋体"/>
        </w:rPr>
        <w:t>GB 50212</w:t>
      </w:r>
    </w:p>
    <w:p w14:paraId="6BAEA99F" w14:textId="77777777" w:rsidR="00C8163F" w:rsidRDefault="00C8163F" w:rsidP="00C8163F">
      <w:pPr>
        <w:pStyle w:val="a3"/>
        <w:spacing w:line="360" w:lineRule="auto"/>
        <w:rPr>
          <w:rFonts w:eastAsia="宋体"/>
        </w:rPr>
      </w:pPr>
      <w:r>
        <w:rPr>
          <w:rFonts w:eastAsia="宋体"/>
        </w:rPr>
        <w:t>《工业建筑防腐蚀设计标准》</w:t>
      </w:r>
      <w:r>
        <w:rPr>
          <w:rFonts w:eastAsia="宋体"/>
        </w:rPr>
        <w:t>GB/T 50046</w:t>
      </w:r>
    </w:p>
    <w:p w14:paraId="26AE2D34" w14:textId="77777777" w:rsidR="00C8163F" w:rsidRDefault="00C8163F" w:rsidP="00C8163F">
      <w:pPr>
        <w:pStyle w:val="a3"/>
        <w:spacing w:line="360" w:lineRule="auto"/>
        <w:rPr>
          <w:rFonts w:eastAsia="宋体"/>
        </w:rPr>
      </w:pPr>
      <w:r>
        <w:rPr>
          <w:rFonts w:eastAsia="宋体"/>
        </w:rPr>
        <w:t>《岩土工程勘察规范》</w:t>
      </w:r>
      <w:r>
        <w:rPr>
          <w:rFonts w:eastAsia="宋体"/>
        </w:rPr>
        <w:t>GB 50021</w:t>
      </w:r>
    </w:p>
    <w:p w14:paraId="0308E1DC" w14:textId="77777777" w:rsidR="00C8163F" w:rsidRDefault="00C8163F" w:rsidP="00C8163F">
      <w:pPr>
        <w:pStyle w:val="a3"/>
        <w:spacing w:line="360" w:lineRule="auto"/>
      </w:pPr>
      <w:r>
        <w:t>……</w:t>
      </w:r>
    </w:p>
    <w:p w14:paraId="27544805" w14:textId="77777777" w:rsidR="00BA204E" w:rsidRDefault="00C8163F" w:rsidP="00BA204E">
      <w:pPr>
        <w:pStyle w:val="a3"/>
      </w:pPr>
      <w:r>
        <w:br w:type="page"/>
      </w:r>
    </w:p>
    <w:p w14:paraId="0C8A8719" w14:textId="396D728B" w:rsidR="00BA204E" w:rsidRDefault="00BA204E" w:rsidP="00BA204E">
      <w:pPr>
        <w:autoSpaceDE w:val="0"/>
        <w:autoSpaceDN w:val="0"/>
        <w:jc w:val="center"/>
        <w:textAlignment w:val="bottom"/>
        <w:rPr>
          <w:rFonts w:eastAsia="黑体"/>
          <w:color w:val="000000"/>
          <w:sz w:val="36"/>
          <w:szCs w:val="36"/>
        </w:rPr>
      </w:pPr>
    </w:p>
    <w:p w14:paraId="36D01BA2" w14:textId="68C0E739" w:rsidR="00BA204E" w:rsidRDefault="00BA204E" w:rsidP="00BA204E">
      <w:pPr>
        <w:pStyle w:val="a3"/>
      </w:pPr>
    </w:p>
    <w:p w14:paraId="4B735996" w14:textId="2340AE34" w:rsidR="00BA204E" w:rsidRDefault="00BA204E" w:rsidP="00BA204E">
      <w:pPr>
        <w:pStyle w:val="a3"/>
      </w:pPr>
    </w:p>
    <w:p w14:paraId="0367CB26" w14:textId="3FE92481" w:rsidR="00BA204E" w:rsidRDefault="00BA204E" w:rsidP="00BA204E">
      <w:pPr>
        <w:pStyle w:val="a3"/>
      </w:pPr>
    </w:p>
    <w:p w14:paraId="6E2A4F70" w14:textId="68366F13" w:rsidR="00BA204E" w:rsidRDefault="00BA204E" w:rsidP="00BA204E">
      <w:pPr>
        <w:pStyle w:val="a3"/>
      </w:pPr>
    </w:p>
    <w:p w14:paraId="0B50219E" w14:textId="1C266B97" w:rsidR="00BA204E" w:rsidRDefault="00BA204E" w:rsidP="00BA204E">
      <w:pPr>
        <w:pStyle w:val="a3"/>
      </w:pPr>
    </w:p>
    <w:p w14:paraId="08FA3462" w14:textId="77777777" w:rsidR="00BA204E" w:rsidRPr="00BA204E" w:rsidRDefault="00BA204E" w:rsidP="00BA204E">
      <w:pPr>
        <w:pStyle w:val="a3"/>
      </w:pPr>
    </w:p>
    <w:p w14:paraId="675BA7F4" w14:textId="3CBF28BC" w:rsidR="00BA204E" w:rsidRPr="00BA204E" w:rsidRDefault="00BA204E" w:rsidP="00BA204E">
      <w:pPr>
        <w:autoSpaceDE w:val="0"/>
        <w:autoSpaceDN w:val="0"/>
        <w:jc w:val="center"/>
        <w:textAlignment w:val="bottom"/>
        <w:rPr>
          <w:rFonts w:ascii="宋体" w:hAnsi="宋体"/>
          <w:b/>
          <w:color w:val="000000"/>
          <w:sz w:val="28"/>
        </w:rPr>
      </w:pPr>
      <w:r w:rsidRPr="00BA204E">
        <w:rPr>
          <w:rFonts w:ascii="宋体" w:hAnsi="宋体"/>
          <w:b/>
          <w:color w:val="000000"/>
          <w:sz w:val="48"/>
          <w:szCs w:val="36"/>
        </w:rPr>
        <w:t>中国工程建设标准化协会标准</w:t>
      </w:r>
    </w:p>
    <w:p w14:paraId="42472810" w14:textId="134B4D18" w:rsidR="00BA204E" w:rsidRPr="00BA204E" w:rsidRDefault="00BA204E" w:rsidP="00BA204E">
      <w:pPr>
        <w:spacing w:line="360" w:lineRule="auto"/>
        <w:ind w:firstLine="426"/>
        <w:jc w:val="center"/>
        <w:rPr>
          <w:rFonts w:ascii="宋体" w:hAnsi="宋体"/>
          <w:b/>
          <w:sz w:val="24"/>
        </w:rPr>
      </w:pPr>
    </w:p>
    <w:p w14:paraId="4AD94EA3" w14:textId="77777777" w:rsidR="00BA204E" w:rsidRPr="00BA204E" w:rsidRDefault="00BA204E" w:rsidP="00BA204E">
      <w:pPr>
        <w:pStyle w:val="a3"/>
        <w:rPr>
          <w:rFonts w:ascii="宋体" w:eastAsia="宋体" w:hAnsi="宋体"/>
          <w:b/>
        </w:rPr>
      </w:pPr>
    </w:p>
    <w:p w14:paraId="54A7714A" w14:textId="78ADC868" w:rsidR="00BA204E" w:rsidRPr="00BA204E" w:rsidRDefault="00BA204E" w:rsidP="00BA204E">
      <w:pPr>
        <w:spacing w:before="143" w:line="407" w:lineRule="auto"/>
        <w:jc w:val="center"/>
        <w:rPr>
          <w:rFonts w:ascii="宋体" w:hAnsi="宋体"/>
          <w:b/>
          <w:sz w:val="48"/>
          <w:szCs w:val="52"/>
        </w:rPr>
      </w:pPr>
      <w:r w:rsidRPr="00BA204E">
        <w:rPr>
          <w:rFonts w:ascii="宋体" w:hAnsi="宋体"/>
          <w:b/>
          <w:sz w:val="48"/>
          <w:szCs w:val="52"/>
        </w:rPr>
        <w:t>修复后场地作为居住和商服用途安全利用标准</w:t>
      </w:r>
    </w:p>
    <w:p w14:paraId="17716616" w14:textId="77777777" w:rsidR="00BA204E" w:rsidRPr="00BA204E" w:rsidRDefault="00BA204E" w:rsidP="00BA204E">
      <w:pPr>
        <w:pStyle w:val="a3"/>
      </w:pPr>
    </w:p>
    <w:p w14:paraId="649BFCAC" w14:textId="77777777" w:rsidR="00BA204E" w:rsidRDefault="00BA204E" w:rsidP="00BA204E">
      <w:pPr>
        <w:pStyle w:val="a3"/>
      </w:pPr>
    </w:p>
    <w:p w14:paraId="4F393790" w14:textId="47AD1BBC" w:rsidR="00BA204E" w:rsidRPr="00BA204E" w:rsidRDefault="00BA204E" w:rsidP="00BA204E">
      <w:pPr>
        <w:spacing w:line="400" w:lineRule="atLeast"/>
        <w:jc w:val="center"/>
        <w:rPr>
          <w:b/>
          <w:color w:val="000000"/>
          <w:sz w:val="28"/>
          <w:szCs w:val="28"/>
        </w:rPr>
      </w:pPr>
      <w:r w:rsidRPr="00BA204E">
        <w:rPr>
          <w:b/>
          <w:color w:val="000000"/>
          <w:sz w:val="28"/>
          <w:szCs w:val="28"/>
        </w:rPr>
        <w:t>T/</w:t>
      </w:r>
      <w:proofErr w:type="gramStart"/>
      <w:r w:rsidRPr="00BA204E">
        <w:rPr>
          <w:b/>
          <w:color w:val="000000"/>
          <w:sz w:val="28"/>
          <w:szCs w:val="28"/>
        </w:rPr>
        <w:t>CECS  -</w:t>
      </w:r>
      <w:proofErr w:type="gramEnd"/>
      <w:r w:rsidRPr="00BA204E">
        <w:rPr>
          <w:b/>
          <w:color w:val="000000"/>
          <w:sz w:val="28"/>
          <w:szCs w:val="28"/>
        </w:rPr>
        <w:t xml:space="preserve">20  </w:t>
      </w:r>
    </w:p>
    <w:p w14:paraId="570DD8F5" w14:textId="49490ACA" w:rsidR="00BA204E" w:rsidRDefault="00BA204E" w:rsidP="00BA204E">
      <w:pPr>
        <w:pStyle w:val="a3"/>
      </w:pPr>
    </w:p>
    <w:p w14:paraId="122FD4C8" w14:textId="77777777" w:rsidR="00BA204E" w:rsidRPr="00BA204E" w:rsidRDefault="00BA204E" w:rsidP="00BA204E">
      <w:pPr>
        <w:pStyle w:val="a3"/>
      </w:pPr>
    </w:p>
    <w:p w14:paraId="31BD5686" w14:textId="77777777" w:rsidR="00BA204E" w:rsidRPr="00BA204E" w:rsidRDefault="00BA204E" w:rsidP="00BA204E">
      <w:pPr>
        <w:spacing w:line="360" w:lineRule="auto"/>
        <w:ind w:firstLine="426"/>
        <w:jc w:val="center"/>
        <w:rPr>
          <w:b/>
          <w:sz w:val="48"/>
        </w:rPr>
      </w:pPr>
      <w:r w:rsidRPr="00BA204E">
        <w:rPr>
          <w:rFonts w:hint="eastAsia"/>
          <w:b/>
          <w:sz w:val="48"/>
        </w:rPr>
        <w:t>条文说明</w:t>
      </w:r>
    </w:p>
    <w:p w14:paraId="36B39A25" w14:textId="4A1FAAC0" w:rsidR="00BA204E" w:rsidRDefault="00BA204E" w:rsidP="00BA204E">
      <w:pPr>
        <w:pStyle w:val="a3"/>
      </w:pPr>
    </w:p>
    <w:p w14:paraId="1A389C56" w14:textId="77777777" w:rsidR="00BA204E" w:rsidRDefault="00BA204E" w:rsidP="00BA204E">
      <w:pPr>
        <w:pStyle w:val="a3"/>
      </w:pPr>
    </w:p>
    <w:p w14:paraId="06255535" w14:textId="77777777" w:rsidR="00BA204E" w:rsidRDefault="00BA204E" w:rsidP="00BA204E">
      <w:pPr>
        <w:pStyle w:val="a3"/>
      </w:pPr>
    </w:p>
    <w:p w14:paraId="5186D7CB" w14:textId="77777777" w:rsidR="00BA204E" w:rsidRDefault="00BA204E" w:rsidP="00BA204E">
      <w:pPr>
        <w:pStyle w:val="a3"/>
      </w:pPr>
    </w:p>
    <w:p w14:paraId="4F6A5156" w14:textId="61428F78" w:rsidR="00BA204E" w:rsidRPr="00BA204E" w:rsidRDefault="00BA204E" w:rsidP="00BA204E">
      <w:pPr>
        <w:pStyle w:val="a3"/>
        <w:sectPr w:rsidR="00BA204E" w:rsidRPr="00BA204E">
          <w:pgSz w:w="11906" w:h="16838"/>
          <w:pgMar w:top="1440" w:right="1800" w:bottom="1440" w:left="1800" w:header="851" w:footer="992" w:gutter="0"/>
          <w:cols w:space="425"/>
          <w:docGrid w:type="lines" w:linePitch="312"/>
        </w:sectPr>
      </w:pPr>
    </w:p>
    <w:p w14:paraId="39D492C6" w14:textId="21F88EFF" w:rsidR="00BA204E" w:rsidRDefault="00BA204E" w:rsidP="00BA204E">
      <w:pPr>
        <w:snapToGrid w:val="0"/>
        <w:spacing w:line="480" w:lineRule="auto"/>
        <w:jc w:val="center"/>
        <w:rPr>
          <w:b/>
          <w:bCs/>
          <w:sz w:val="32"/>
          <w:szCs w:val="32"/>
        </w:rPr>
      </w:pPr>
      <w:r>
        <w:rPr>
          <w:b/>
          <w:bCs/>
          <w:sz w:val="32"/>
          <w:szCs w:val="32"/>
        </w:rPr>
        <w:lastRenderedPageBreak/>
        <w:t>目</w:t>
      </w:r>
      <w:r>
        <w:rPr>
          <w:b/>
          <w:bCs/>
          <w:sz w:val="32"/>
          <w:szCs w:val="32"/>
        </w:rPr>
        <w:t xml:space="preserve">  </w:t>
      </w:r>
      <w:r>
        <w:rPr>
          <w:b/>
          <w:bCs/>
          <w:sz w:val="32"/>
          <w:szCs w:val="32"/>
        </w:rPr>
        <w:t>次</w:t>
      </w:r>
    </w:p>
    <w:p w14:paraId="632516D8" w14:textId="77777777" w:rsidR="00BA204E" w:rsidRDefault="00BA204E" w:rsidP="00C8163F">
      <w:pPr>
        <w:tabs>
          <w:tab w:val="left" w:pos="19"/>
        </w:tabs>
        <w:spacing w:line="360" w:lineRule="auto"/>
        <w:jc w:val="center"/>
        <w:outlineLvl w:val="0"/>
        <w:rPr>
          <w:b/>
          <w:sz w:val="30"/>
        </w:rPr>
      </w:pPr>
    </w:p>
    <w:p w14:paraId="253B698F" w14:textId="2C562ED9" w:rsidR="00BA204E" w:rsidRPr="00BA204E" w:rsidRDefault="000B22E9" w:rsidP="00BA204E">
      <w:pPr>
        <w:tabs>
          <w:tab w:val="left" w:pos="420"/>
          <w:tab w:val="right" w:leader="dot" w:pos="8296"/>
        </w:tabs>
        <w:adjustRightInd w:val="0"/>
        <w:snapToGrid w:val="0"/>
        <w:spacing w:line="276" w:lineRule="auto"/>
        <w:rPr>
          <w:szCs w:val="22"/>
        </w:rPr>
      </w:pPr>
      <w:hyperlink w:anchor="_Toc114066404" w:history="1">
        <w:r w:rsidR="00BA204E" w:rsidRPr="00BA204E">
          <w:rPr>
            <w:szCs w:val="21"/>
          </w:rPr>
          <w:t>1</w:t>
        </w:r>
        <w:r w:rsidR="00BA204E" w:rsidRPr="00BA204E">
          <w:rPr>
            <w:szCs w:val="22"/>
          </w:rPr>
          <w:tab/>
        </w:r>
        <w:r w:rsidR="00BA204E" w:rsidRPr="00BA204E">
          <w:rPr>
            <w:szCs w:val="21"/>
          </w:rPr>
          <w:t>总则</w:t>
        </w:r>
        <w:r w:rsidR="00BA204E" w:rsidRPr="00BA204E">
          <w:rPr>
            <w:szCs w:val="21"/>
          </w:rPr>
          <w:tab/>
        </w:r>
        <w:r w:rsidR="00BA204E" w:rsidRPr="00BA204E">
          <w:rPr>
            <w:szCs w:val="21"/>
          </w:rPr>
          <w:fldChar w:fldCharType="begin"/>
        </w:r>
        <w:r w:rsidR="00BA204E" w:rsidRPr="00BA204E">
          <w:rPr>
            <w:szCs w:val="21"/>
          </w:rPr>
          <w:instrText xml:space="preserve"> PAGEREF _Toc114066404 \h </w:instrText>
        </w:r>
        <w:r w:rsidR="00BA204E" w:rsidRPr="00BA204E">
          <w:rPr>
            <w:szCs w:val="21"/>
          </w:rPr>
        </w:r>
        <w:r w:rsidR="00BA204E" w:rsidRPr="00BA204E">
          <w:rPr>
            <w:szCs w:val="21"/>
          </w:rPr>
          <w:fldChar w:fldCharType="separate"/>
        </w:r>
        <w:r w:rsidR="007403BD">
          <w:rPr>
            <w:noProof/>
            <w:szCs w:val="21"/>
          </w:rPr>
          <w:t>1</w:t>
        </w:r>
        <w:r w:rsidR="00BA204E" w:rsidRPr="00BA204E">
          <w:rPr>
            <w:szCs w:val="21"/>
          </w:rPr>
          <w:fldChar w:fldCharType="end"/>
        </w:r>
      </w:hyperlink>
      <w:r w:rsidR="00BA204E">
        <w:rPr>
          <w:szCs w:val="21"/>
        </w:rPr>
        <w:t>5</w:t>
      </w:r>
    </w:p>
    <w:p w14:paraId="734D5CD3" w14:textId="0A838201" w:rsidR="00BA204E" w:rsidRPr="00BA204E" w:rsidRDefault="000B22E9" w:rsidP="00BA204E">
      <w:pPr>
        <w:tabs>
          <w:tab w:val="left" w:pos="420"/>
          <w:tab w:val="right" w:leader="dot" w:pos="8296"/>
        </w:tabs>
        <w:adjustRightInd w:val="0"/>
        <w:snapToGrid w:val="0"/>
        <w:spacing w:line="276" w:lineRule="auto"/>
        <w:rPr>
          <w:szCs w:val="22"/>
        </w:rPr>
      </w:pPr>
      <w:hyperlink w:anchor="_Toc114066405" w:history="1">
        <w:r w:rsidR="00BA204E" w:rsidRPr="00BA204E">
          <w:rPr>
            <w:szCs w:val="21"/>
          </w:rPr>
          <w:t>2</w:t>
        </w:r>
        <w:r w:rsidR="00BA204E" w:rsidRPr="00BA204E">
          <w:rPr>
            <w:szCs w:val="22"/>
          </w:rPr>
          <w:tab/>
        </w:r>
        <w:r w:rsidR="00BA204E" w:rsidRPr="00BA204E">
          <w:rPr>
            <w:szCs w:val="21"/>
          </w:rPr>
          <w:t>术语</w:t>
        </w:r>
        <w:r w:rsidR="00BA204E" w:rsidRPr="00BA204E">
          <w:rPr>
            <w:szCs w:val="21"/>
          </w:rPr>
          <w:tab/>
        </w:r>
      </w:hyperlink>
      <w:r w:rsidR="00BA204E">
        <w:rPr>
          <w:szCs w:val="21"/>
        </w:rPr>
        <w:t>15</w:t>
      </w:r>
    </w:p>
    <w:p w14:paraId="79EF0E99" w14:textId="0801435D" w:rsidR="00BA204E" w:rsidRPr="00BA204E" w:rsidRDefault="000B22E9" w:rsidP="00BA204E">
      <w:pPr>
        <w:tabs>
          <w:tab w:val="left" w:pos="420"/>
          <w:tab w:val="right" w:leader="dot" w:pos="8296"/>
        </w:tabs>
        <w:adjustRightInd w:val="0"/>
        <w:snapToGrid w:val="0"/>
        <w:spacing w:line="276" w:lineRule="auto"/>
        <w:rPr>
          <w:szCs w:val="22"/>
        </w:rPr>
      </w:pPr>
      <w:hyperlink w:anchor="_Toc114066406" w:history="1">
        <w:r w:rsidR="00BA204E" w:rsidRPr="00BA204E">
          <w:rPr>
            <w:szCs w:val="21"/>
          </w:rPr>
          <w:t>3</w:t>
        </w:r>
        <w:r w:rsidR="00BA204E" w:rsidRPr="00BA204E">
          <w:rPr>
            <w:szCs w:val="22"/>
          </w:rPr>
          <w:tab/>
        </w:r>
        <w:r w:rsidR="00BA204E" w:rsidRPr="00BA204E">
          <w:rPr>
            <w:szCs w:val="21"/>
          </w:rPr>
          <w:t>基本规定</w:t>
        </w:r>
        <w:r w:rsidR="00BA204E" w:rsidRPr="00BA204E">
          <w:rPr>
            <w:szCs w:val="21"/>
          </w:rPr>
          <w:tab/>
        </w:r>
      </w:hyperlink>
      <w:r w:rsidR="00BA204E">
        <w:rPr>
          <w:szCs w:val="21"/>
        </w:rPr>
        <w:t>15</w:t>
      </w:r>
    </w:p>
    <w:p w14:paraId="630FFED6" w14:textId="64D17350" w:rsidR="00BA204E" w:rsidRPr="00BA204E" w:rsidRDefault="000B22E9" w:rsidP="00BA204E">
      <w:pPr>
        <w:tabs>
          <w:tab w:val="left" w:pos="420"/>
          <w:tab w:val="right" w:leader="dot" w:pos="8296"/>
        </w:tabs>
        <w:adjustRightInd w:val="0"/>
        <w:snapToGrid w:val="0"/>
        <w:spacing w:line="276" w:lineRule="auto"/>
        <w:rPr>
          <w:szCs w:val="22"/>
        </w:rPr>
      </w:pPr>
      <w:hyperlink w:anchor="_Toc114066407" w:history="1">
        <w:r w:rsidR="00BA204E" w:rsidRPr="00BA204E">
          <w:rPr>
            <w:szCs w:val="21"/>
          </w:rPr>
          <w:t>4</w:t>
        </w:r>
        <w:r w:rsidR="00BA204E" w:rsidRPr="00BA204E">
          <w:rPr>
            <w:szCs w:val="22"/>
          </w:rPr>
          <w:tab/>
        </w:r>
        <w:r w:rsidR="00BA204E" w:rsidRPr="00BA204E">
          <w:rPr>
            <w:szCs w:val="21"/>
          </w:rPr>
          <w:t>勘察</w:t>
        </w:r>
        <w:r w:rsidR="00BA204E" w:rsidRPr="00BA204E">
          <w:rPr>
            <w:szCs w:val="21"/>
          </w:rPr>
          <w:tab/>
        </w:r>
      </w:hyperlink>
      <w:r w:rsidR="00BA204E">
        <w:rPr>
          <w:szCs w:val="21"/>
        </w:rPr>
        <w:t>15</w:t>
      </w:r>
    </w:p>
    <w:p w14:paraId="77B0504C" w14:textId="03BAE159" w:rsidR="00BA204E" w:rsidRPr="00BA204E" w:rsidRDefault="000B22E9" w:rsidP="00BA204E">
      <w:pPr>
        <w:tabs>
          <w:tab w:val="left" w:pos="420"/>
          <w:tab w:val="right" w:leader="dot" w:pos="8296"/>
        </w:tabs>
        <w:adjustRightInd w:val="0"/>
        <w:snapToGrid w:val="0"/>
        <w:spacing w:line="276" w:lineRule="auto"/>
        <w:rPr>
          <w:szCs w:val="22"/>
        </w:rPr>
      </w:pPr>
      <w:hyperlink w:anchor="_Toc114066408" w:history="1">
        <w:r w:rsidR="00BA204E" w:rsidRPr="00BA204E">
          <w:rPr>
            <w:szCs w:val="21"/>
          </w:rPr>
          <w:t>5</w:t>
        </w:r>
        <w:r w:rsidR="00BA204E" w:rsidRPr="00BA204E">
          <w:rPr>
            <w:szCs w:val="22"/>
          </w:rPr>
          <w:tab/>
        </w:r>
        <w:r w:rsidR="00BA204E" w:rsidRPr="00BA204E">
          <w:rPr>
            <w:szCs w:val="21"/>
          </w:rPr>
          <w:t>设计</w:t>
        </w:r>
        <w:r w:rsidR="00BA204E" w:rsidRPr="00BA204E">
          <w:rPr>
            <w:szCs w:val="21"/>
          </w:rPr>
          <w:tab/>
        </w:r>
      </w:hyperlink>
      <w:r w:rsidR="00BA204E">
        <w:rPr>
          <w:szCs w:val="21"/>
        </w:rPr>
        <w:t>16</w:t>
      </w:r>
    </w:p>
    <w:p w14:paraId="67B71308" w14:textId="0D359ED3" w:rsidR="00BA204E" w:rsidRPr="00BA204E" w:rsidRDefault="000B22E9" w:rsidP="00BA204E">
      <w:pPr>
        <w:tabs>
          <w:tab w:val="right" w:leader="dot" w:pos="8296"/>
        </w:tabs>
        <w:spacing w:line="276" w:lineRule="auto"/>
        <w:ind w:leftChars="200" w:left="420"/>
        <w:rPr>
          <w:szCs w:val="22"/>
        </w:rPr>
      </w:pPr>
      <w:hyperlink w:anchor="_Toc114066410" w:history="1">
        <w:r w:rsidR="00BA204E" w:rsidRPr="00BA204E">
          <w:rPr>
            <w:szCs w:val="21"/>
          </w:rPr>
          <w:t xml:space="preserve">5.2 </w:t>
        </w:r>
        <w:r w:rsidR="00BA204E" w:rsidRPr="00BA204E">
          <w:rPr>
            <w:szCs w:val="21"/>
          </w:rPr>
          <w:t>建筑设计</w:t>
        </w:r>
        <w:r w:rsidR="00BA204E" w:rsidRPr="00BA204E">
          <w:rPr>
            <w:szCs w:val="21"/>
          </w:rPr>
          <w:tab/>
        </w:r>
      </w:hyperlink>
      <w:r w:rsidR="00BA204E">
        <w:rPr>
          <w:szCs w:val="21"/>
        </w:rPr>
        <w:t>16</w:t>
      </w:r>
    </w:p>
    <w:p w14:paraId="75620EA4" w14:textId="732B4D39" w:rsidR="00BA204E" w:rsidRPr="00BA204E" w:rsidRDefault="000B22E9" w:rsidP="00BA204E">
      <w:pPr>
        <w:tabs>
          <w:tab w:val="right" w:leader="dot" w:pos="8296"/>
        </w:tabs>
        <w:spacing w:line="276" w:lineRule="auto"/>
        <w:ind w:leftChars="200" w:left="420"/>
        <w:rPr>
          <w:szCs w:val="22"/>
        </w:rPr>
      </w:pPr>
      <w:hyperlink w:anchor="_Toc114066411" w:history="1">
        <w:r w:rsidR="00BA204E" w:rsidRPr="00BA204E">
          <w:rPr>
            <w:szCs w:val="21"/>
          </w:rPr>
          <w:t xml:space="preserve">5.3 </w:t>
        </w:r>
        <w:r w:rsidR="00BA204E" w:rsidRPr="00BA204E">
          <w:rPr>
            <w:szCs w:val="21"/>
          </w:rPr>
          <w:t>防腐措施</w:t>
        </w:r>
        <w:r w:rsidR="00BA204E" w:rsidRPr="00BA204E">
          <w:rPr>
            <w:szCs w:val="21"/>
          </w:rPr>
          <w:tab/>
        </w:r>
        <w:r w:rsidR="00BA204E">
          <w:rPr>
            <w:szCs w:val="21"/>
          </w:rPr>
          <w:t>1</w:t>
        </w:r>
        <w:r w:rsidR="00BA204E" w:rsidRPr="00BA204E">
          <w:rPr>
            <w:szCs w:val="21"/>
          </w:rPr>
          <w:fldChar w:fldCharType="begin"/>
        </w:r>
        <w:r w:rsidR="00BA204E" w:rsidRPr="00BA204E">
          <w:rPr>
            <w:szCs w:val="21"/>
          </w:rPr>
          <w:instrText xml:space="preserve"> PAGEREF _Toc114066411 \h </w:instrText>
        </w:r>
        <w:r w:rsidR="00BA204E" w:rsidRPr="00BA204E">
          <w:rPr>
            <w:szCs w:val="21"/>
          </w:rPr>
        </w:r>
        <w:r w:rsidR="00BA204E" w:rsidRPr="00BA204E">
          <w:rPr>
            <w:szCs w:val="21"/>
          </w:rPr>
          <w:fldChar w:fldCharType="separate"/>
        </w:r>
        <w:r w:rsidR="007403BD">
          <w:rPr>
            <w:noProof/>
            <w:szCs w:val="21"/>
          </w:rPr>
          <w:t>6</w:t>
        </w:r>
        <w:r w:rsidR="00BA204E" w:rsidRPr="00BA204E">
          <w:rPr>
            <w:szCs w:val="21"/>
          </w:rPr>
          <w:fldChar w:fldCharType="end"/>
        </w:r>
      </w:hyperlink>
    </w:p>
    <w:p w14:paraId="4DD8A9A1" w14:textId="4A8F5640" w:rsidR="00BA204E" w:rsidRPr="00BA204E" w:rsidRDefault="000B22E9" w:rsidP="00BA204E">
      <w:pPr>
        <w:tabs>
          <w:tab w:val="left" w:pos="420"/>
          <w:tab w:val="right" w:leader="dot" w:pos="8296"/>
        </w:tabs>
        <w:adjustRightInd w:val="0"/>
        <w:snapToGrid w:val="0"/>
        <w:spacing w:line="276" w:lineRule="auto"/>
        <w:rPr>
          <w:szCs w:val="22"/>
        </w:rPr>
      </w:pPr>
      <w:hyperlink w:anchor="_Toc114066412" w:history="1">
        <w:r w:rsidR="00BA204E" w:rsidRPr="00BA204E">
          <w:rPr>
            <w:szCs w:val="21"/>
          </w:rPr>
          <w:t>6</w:t>
        </w:r>
        <w:r w:rsidR="00BA204E" w:rsidRPr="00BA204E">
          <w:rPr>
            <w:szCs w:val="22"/>
          </w:rPr>
          <w:tab/>
        </w:r>
        <w:r w:rsidR="00BA204E" w:rsidRPr="00BA204E">
          <w:rPr>
            <w:szCs w:val="21"/>
          </w:rPr>
          <w:t>施工</w:t>
        </w:r>
        <w:r w:rsidR="00BA204E" w:rsidRPr="00BA204E">
          <w:rPr>
            <w:szCs w:val="21"/>
          </w:rPr>
          <w:tab/>
        </w:r>
      </w:hyperlink>
      <w:r w:rsidR="00BA204E">
        <w:rPr>
          <w:szCs w:val="21"/>
        </w:rPr>
        <w:t>17</w:t>
      </w:r>
    </w:p>
    <w:p w14:paraId="0BF06FAA" w14:textId="77ECAF03" w:rsidR="00BA204E" w:rsidRPr="00BA204E" w:rsidRDefault="000B22E9" w:rsidP="00BA204E">
      <w:pPr>
        <w:tabs>
          <w:tab w:val="left" w:pos="420"/>
          <w:tab w:val="right" w:leader="dot" w:pos="8296"/>
        </w:tabs>
        <w:adjustRightInd w:val="0"/>
        <w:snapToGrid w:val="0"/>
        <w:spacing w:line="276" w:lineRule="auto"/>
        <w:rPr>
          <w:szCs w:val="22"/>
        </w:rPr>
      </w:pPr>
      <w:hyperlink w:anchor="_Toc114066413" w:history="1">
        <w:r w:rsidR="00BA204E" w:rsidRPr="00BA204E">
          <w:rPr>
            <w:szCs w:val="21"/>
          </w:rPr>
          <w:t>7</w:t>
        </w:r>
        <w:r w:rsidR="00BA204E" w:rsidRPr="00BA204E">
          <w:rPr>
            <w:szCs w:val="22"/>
          </w:rPr>
          <w:tab/>
        </w:r>
        <w:r w:rsidR="00BA204E" w:rsidRPr="00BA204E">
          <w:rPr>
            <w:szCs w:val="21"/>
          </w:rPr>
          <w:t>监测维护</w:t>
        </w:r>
        <w:r w:rsidR="00BA204E" w:rsidRPr="00BA204E">
          <w:rPr>
            <w:szCs w:val="21"/>
          </w:rPr>
          <w:tab/>
        </w:r>
      </w:hyperlink>
      <w:r w:rsidR="00BA204E">
        <w:rPr>
          <w:szCs w:val="21"/>
        </w:rPr>
        <w:t>17</w:t>
      </w:r>
    </w:p>
    <w:p w14:paraId="541B4768" w14:textId="77777777" w:rsidR="00BA204E" w:rsidRPr="00BA204E" w:rsidRDefault="00BA204E" w:rsidP="00BA204E">
      <w:pPr>
        <w:pStyle w:val="a3"/>
      </w:pPr>
    </w:p>
    <w:p w14:paraId="51E88185" w14:textId="77777777" w:rsidR="00BA204E" w:rsidRDefault="00BA204E" w:rsidP="00BA204E">
      <w:pPr>
        <w:pStyle w:val="a3"/>
      </w:pPr>
    </w:p>
    <w:p w14:paraId="0B9228E5" w14:textId="77777777" w:rsidR="00BA204E" w:rsidRDefault="00BA204E" w:rsidP="00BA204E">
      <w:pPr>
        <w:pStyle w:val="a3"/>
      </w:pPr>
    </w:p>
    <w:p w14:paraId="49EB9B80" w14:textId="77777777" w:rsidR="00BA204E" w:rsidRDefault="00BA204E" w:rsidP="00BA204E">
      <w:pPr>
        <w:pStyle w:val="a3"/>
      </w:pPr>
    </w:p>
    <w:p w14:paraId="598068E9" w14:textId="77777777" w:rsidR="00BA204E" w:rsidRDefault="00BA204E" w:rsidP="00BA204E">
      <w:pPr>
        <w:pStyle w:val="a3"/>
      </w:pPr>
    </w:p>
    <w:p w14:paraId="3E113860" w14:textId="77777777" w:rsidR="00BA204E" w:rsidRDefault="00BA204E" w:rsidP="00BA204E">
      <w:pPr>
        <w:pStyle w:val="a3"/>
      </w:pPr>
    </w:p>
    <w:p w14:paraId="3556EA3F" w14:textId="77777777" w:rsidR="00BA204E" w:rsidRDefault="00BA204E" w:rsidP="00BA204E">
      <w:pPr>
        <w:pStyle w:val="a3"/>
      </w:pPr>
    </w:p>
    <w:p w14:paraId="5F26FC51" w14:textId="77777777" w:rsidR="00BA204E" w:rsidRDefault="00BA204E" w:rsidP="00BA204E">
      <w:pPr>
        <w:pStyle w:val="a3"/>
      </w:pPr>
    </w:p>
    <w:p w14:paraId="6E415625" w14:textId="62653173" w:rsidR="00BA204E" w:rsidRPr="00BA204E" w:rsidRDefault="00BA204E" w:rsidP="00BA204E">
      <w:pPr>
        <w:pStyle w:val="a3"/>
        <w:sectPr w:rsidR="00BA204E" w:rsidRPr="00BA204E">
          <w:pgSz w:w="11906" w:h="16838"/>
          <w:pgMar w:top="1440" w:right="1800" w:bottom="1440" w:left="1800" w:header="851" w:footer="992" w:gutter="0"/>
          <w:cols w:space="425"/>
          <w:docGrid w:type="lines" w:linePitch="312"/>
        </w:sectPr>
      </w:pPr>
    </w:p>
    <w:p w14:paraId="1269F460" w14:textId="77777777" w:rsidR="00C8163F" w:rsidRDefault="00C8163F" w:rsidP="00C8163F">
      <w:pPr>
        <w:widowControl/>
        <w:spacing w:beforeLines="50" w:before="156" w:afterLines="50" w:after="156" w:line="360" w:lineRule="auto"/>
        <w:jc w:val="center"/>
        <w:outlineLvl w:val="0"/>
        <w:rPr>
          <w:b/>
          <w:sz w:val="24"/>
        </w:rPr>
      </w:pPr>
      <w:bookmarkStart w:id="140" w:name="_Toc114066417"/>
      <w:r>
        <w:rPr>
          <w:rFonts w:hint="eastAsia"/>
          <w:b/>
          <w:bCs/>
          <w:sz w:val="30"/>
          <w:szCs w:val="30"/>
        </w:rPr>
        <w:lastRenderedPageBreak/>
        <w:t>1</w:t>
      </w:r>
      <w:r>
        <w:rPr>
          <w:b/>
          <w:bCs/>
          <w:sz w:val="30"/>
          <w:szCs w:val="30"/>
        </w:rPr>
        <w:t xml:space="preserve">  </w:t>
      </w:r>
      <w:r>
        <w:rPr>
          <w:rFonts w:hint="eastAsia"/>
          <w:b/>
          <w:bCs/>
          <w:sz w:val="30"/>
          <w:szCs w:val="30"/>
        </w:rPr>
        <w:t>总</w:t>
      </w:r>
      <w:r>
        <w:rPr>
          <w:rFonts w:hint="eastAsia"/>
          <w:b/>
          <w:bCs/>
          <w:sz w:val="30"/>
          <w:szCs w:val="30"/>
        </w:rPr>
        <w:t xml:space="preserve">  </w:t>
      </w:r>
      <w:r>
        <w:rPr>
          <w:rFonts w:hint="eastAsia"/>
          <w:b/>
          <w:bCs/>
          <w:sz w:val="30"/>
          <w:szCs w:val="30"/>
        </w:rPr>
        <w:t>则</w:t>
      </w:r>
      <w:bookmarkEnd w:id="140"/>
    </w:p>
    <w:p w14:paraId="05D0D3D2" w14:textId="77777777" w:rsidR="00C8163F" w:rsidRDefault="00C8163F" w:rsidP="00C8163F">
      <w:pPr>
        <w:spacing w:line="360" w:lineRule="auto"/>
        <w:jc w:val="left"/>
        <w:rPr>
          <w:bCs/>
          <w:szCs w:val="21"/>
        </w:rPr>
      </w:pPr>
      <w:r>
        <w:rPr>
          <w:rFonts w:hint="eastAsia"/>
          <w:b/>
          <w:szCs w:val="21"/>
        </w:rPr>
        <w:t>1.0.1</w:t>
      </w:r>
      <w:r>
        <w:rPr>
          <w:bCs/>
          <w:szCs w:val="21"/>
        </w:rPr>
        <w:t>我国自</w:t>
      </w:r>
      <w:r>
        <w:rPr>
          <w:bCs/>
          <w:szCs w:val="21"/>
        </w:rPr>
        <w:t>2018</w:t>
      </w:r>
      <w:r>
        <w:rPr>
          <w:bCs/>
          <w:szCs w:val="21"/>
        </w:rPr>
        <w:t>年颁布《中华人民共和国土壤污染防治法》后，污染场地修复工作领域蓬勃发展，建设用地中修复后场地</w:t>
      </w:r>
      <w:r>
        <w:rPr>
          <w:rFonts w:hint="eastAsia"/>
          <w:bCs/>
          <w:szCs w:val="21"/>
        </w:rPr>
        <w:t>作为居住用地和商业服务业设施用地的</w:t>
      </w:r>
      <w:r>
        <w:rPr>
          <w:bCs/>
          <w:szCs w:val="21"/>
        </w:rPr>
        <w:t>数量逐年增加</w:t>
      </w:r>
      <w:r>
        <w:rPr>
          <w:rFonts w:hint="eastAsia"/>
          <w:bCs/>
          <w:szCs w:val="21"/>
        </w:rPr>
        <w:t>。</w:t>
      </w:r>
      <w:r>
        <w:rPr>
          <w:bCs/>
          <w:szCs w:val="21"/>
        </w:rPr>
        <w:t>修复后场地通常具有周边敏感点多、环境复杂等特点，其作为</w:t>
      </w:r>
      <w:r>
        <w:rPr>
          <w:rFonts w:hint="eastAsia"/>
          <w:bCs/>
          <w:szCs w:val="21"/>
        </w:rPr>
        <w:t>居住用地和商业服务业设施用地</w:t>
      </w:r>
      <w:r>
        <w:rPr>
          <w:bCs/>
          <w:szCs w:val="21"/>
        </w:rPr>
        <w:t>的建设及使用涉及岩土工程、生态环保、建筑设计等多专业、多领域。为规范建设用地中修复后场地作为</w:t>
      </w:r>
      <w:r>
        <w:rPr>
          <w:rFonts w:hint="eastAsia"/>
          <w:bCs/>
          <w:szCs w:val="21"/>
        </w:rPr>
        <w:t>居住和商服用途</w:t>
      </w:r>
      <w:r>
        <w:rPr>
          <w:bCs/>
          <w:szCs w:val="21"/>
        </w:rPr>
        <w:t>再利用的勘察设计、施工建设和监测维护过程，实现修复后场地安全利用，保障人体、环境、工程建设安全，提高修复后场地安全利用的科学性、规范性，制定本标准。本标准可以配合生态环境部发布的建设用地土壤污染风险管控和修复系列环境保护标准使用。</w:t>
      </w:r>
    </w:p>
    <w:p w14:paraId="375AD86C" w14:textId="77777777" w:rsidR="00C8163F" w:rsidRDefault="00C8163F" w:rsidP="00C8163F">
      <w:pPr>
        <w:widowControl/>
        <w:spacing w:beforeLines="50" w:before="156" w:afterLines="50" w:after="156" w:line="360" w:lineRule="auto"/>
        <w:jc w:val="center"/>
        <w:outlineLvl w:val="0"/>
        <w:rPr>
          <w:b/>
          <w:sz w:val="24"/>
        </w:rPr>
      </w:pPr>
      <w:r>
        <w:rPr>
          <w:b/>
          <w:bCs/>
          <w:sz w:val="30"/>
          <w:szCs w:val="30"/>
        </w:rPr>
        <w:t xml:space="preserve">2  </w:t>
      </w:r>
      <w:r>
        <w:rPr>
          <w:rFonts w:hint="eastAsia"/>
          <w:b/>
          <w:bCs/>
          <w:sz w:val="30"/>
          <w:szCs w:val="30"/>
        </w:rPr>
        <w:t>术</w:t>
      </w:r>
      <w:r>
        <w:rPr>
          <w:rFonts w:hint="eastAsia"/>
          <w:b/>
          <w:bCs/>
          <w:sz w:val="30"/>
          <w:szCs w:val="30"/>
        </w:rPr>
        <w:t xml:space="preserve"> </w:t>
      </w:r>
      <w:r>
        <w:rPr>
          <w:b/>
          <w:bCs/>
          <w:sz w:val="30"/>
          <w:szCs w:val="30"/>
        </w:rPr>
        <w:t xml:space="preserve"> </w:t>
      </w:r>
      <w:r>
        <w:rPr>
          <w:rFonts w:hint="eastAsia"/>
          <w:b/>
          <w:bCs/>
          <w:sz w:val="30"/>
          <w:szCs w:val="30"/>
        </w:rPr>
        <w:t>语</w:t>
      </w:r>
    </w:p>
    <w:p w14:paraId="332D811D" w14:textId="77777777" w:rsidR="00C8163F" w:rsidRDefault="00C8163F" w:rsidP="00C8163F">
      <w:pPr>
        <w:spacing w:line="360" w:lineRule="auto"/>
        <w:jc w:val="left"/>
        <w:rPr>
          <w:szCs w:val="21"/>
        </w:rPr>
      </w:pPr>
      <w:r>
        <w:rPr>
          <w:b/>
          <w:szCs w:val="21"/>
        </w:rPr>
        <w:t>2.0.3</w:t>
      </w:r>
      <w:r>
        <w:rPr>
          <w:rFonts w:hint="eastAsia"/>
          <w:szCs w:val="21"/>
        </w:rPr>
        <w:t>地下修复设施是风险管控或修复活动遗留在修复后场地内的设施，在修复后场地再利用阶段分为可废除的和</w:t>
      </w:r>
      <w:proofErr w:type="gramStart"/>
      <w:r>
        <w:rPr>
          <w:rFonts w:hint="eastAsia"/>
          <w:szCs w:val="21"/>
        </w:rPr>
        <w:t>拟保留</w:t>
      </w:r>
      <w:proofErr w:type="gramEnd"/>
      <w:r>
        <w:rPr>
          <w:rFonts w:hint="eastAsia"/>
          <w:szCs w:val="21"/>
        </w:rPr>
        <w:t>的</w:t>
      </w:r>
      <w:r>
        <w:rPr>
          <w:rFonts w:hint="eastAsia"/>
          <w:szCs w:val="21"/>
        </w:rPr>
        <w:t>2</w:t>
      </w:r>
      <w:r>
        <w:rPr>
          <w:rFonts w:hint="eastAsia"/>
          <w:szCs w:val="21"/>
        </w:rPr>
        <w:t>种类型。拟保留的地下修复设施需要后续重点关注，再利用阶段不能破坏拟保留的地下修复设施，并进行定期监测维护。</w:t>
      </w:r>
    </w:p>
    <w:p w14:paraId="73BEF778" w14:textId="77777777" w:rsidR="00C8163F" w:rsidRDefault="00C8163F" w:rsidP="00C8163F">
      <w:pPr>
        <w:widowControl/>
        <w:spacing w:beforeLines="50" w:before="156" w:afterLines="50" w:after="156" w:line="360" w:lineRule="auto"/>
        <w:jc w:val="center"/>
        <w:outlineLvl w:val="0"/>
        <w:rPr>
          <w:b/>
          <w:sz w:val="24"/>
        </w:rPr>
      </w:pPr>
      <w:r>
        <w:rPr>
          <w:b/>
          <w:bCs/>
          <w:sz w:val="30"/>
          <w:szCs w:val="30"/>
        </w:rPr>
        <w:t xml:space="preserve">3  </w:t>
      </w:r>
      <w:r>
        <w:rPr>
          <w:rFonts w:hint="eastAsia"/>
          <w:b/>
          <w:bCs/>
          <w:sz w:val="30"/>
          <w:szCs w:val="30"/>
        </w:rPr>
        <w:t>基本规定</w:t>
      </w:r>
    </w:p>
    <w:p w14:paraId="0028B0CE" w14:textId="77777777" w:rsidR="00C8163F" w:rsidRDefault="00C8163F" w:rsidP="00C8163F">
      <w:pPr>
        <w:spacing w:line="360" w:lineRule="auto"/>
        <w:jc w:val="left"/>
        <w:rPr>
          <w:szCs w:val="21"/>
        </w:rPr>
      </w:pPr>
      <w:r>
        <w:rPr>
          <w:b/>
          <w:szCs w:val="21"/>
        </w:rPr>
        <w:t>3.0.1</w:t>
      </w:r>
      <w:r>
        <w:rPr>
          <w:bCs/>
          <w:szCs w:val="21"/>
        </w:rPr>
        <w:t>修复后场地的修复阶段与再利用阶段相对脱节，未建立起信息共享机制。</w:t>
      </w:r>
      <w:r>
        <w:rPr>
          <w:szCs w:val="21"/>
        </w:rPr>
        <w:t>在场地勘察设计前需先收集地块相关资料，尤其需关注修复过程可能对场地造成的影响，保障勘察内容详实有效。</w:t>
      </w:r>
    </w:p>
    <w:p w14:paraId="34138C34" w14:textId="77777777" w:rsidR="00C8163F" w:rsidRDefault="00C8163F" w:rsidP="00C8163F">
      <w:pPr>
        <w:spacing w:line="360" w:lineRule="auto"/>
        <w:jc w:val="left"/>
        <w:rPr>
          <w:bCs/>
          <w:szCs w:val="21"/>
        </w:rPr>
      </w:pPr>
      <w:r>
        <w:rPr>
          <w:b/>
          <w:szCs w:val="21"/>
        </w:rPr>
        <w:t>3.0.2</w:t>
      </w:r>
      <w:r>
        <w:rPr>
          <w:rFonts w:hint="eastAsia"/>
          <w:szCs w:val="21"/>
        </w:rPr>
        <w:t>修复后场地内不一定全部都是修复区域，也有少部分正常区域，可以根据是否被修复活动扰动来区分修复区域并尽可能进行规避。另外，后期建设过程如果扰动修复后土壤，可能出现残留异味溢出等问题。应尽量避免扰动修复后土壤，首先在规划设计时规避，其次在施工过程中减少扰动。</w:t>
      </w:r>
    </w:p>
    <w:p w14:paraId="6CF677AA" w14:textId="77777777" w:rsidR="00C8163F" w:rsidRDefault="00C8163F" w:rsidP="00C8163F">
      <w:pPr>
        <w:widowControl/>
        <w:spacing w:beforeLines="50" w:before="156" w:afterLines="50" w:after="156" w:line="360" w:lineRule="auto"/>
        <w:jc w:val="center"/>
        <w:outlineLvl w:val="0"/>
        <w:rPr>
          <w:b/>
          <w:sz w:val="24"/>
        </w:rPr>
      </w:pPr>
      <w:bookmarkStart w:id="141" w:name="_Toc114066418"/>
      <w:r>
        <w:rPr>
          <w:b/>
          <w:bCs/>
          <w:sz w:val="30"/>
          <w:szCs w:val="30"/>
        </w:rPr>
        <w:t xml:space="preserve">4  </w:t>
      </w:r>
      <w:r>
        <w:rPr>
          <w:b/>
          <w:bCs/>
          <w:sz w:val="30"/>
          <w:szCs w:val="30"/>
        </w:rPr>
        <w:t>勘察</w:t>
      </w:r>
      <w:bookmarkEnd w:id="141"/>
    </w:p>
    <w:p w14:paraId="465995A4" w14:textId="77777777" w:rsidR="00C8163F" w:rsidRDefault="00C8163F" w:rsidP="00C8163F">
      <w:pPr>
        <w:spacing w:line="360" w:lineRule="auto"/>
        <w:jc w:val="left"/>
        <w:rPr>
          <w:bCs/>
          <w:szCs w:val="21"/>
        </w:rPr>
      </w:pPr>
      <w:r>
        <w:rPr>
          <w:b/>
          <w:szCs w:val="21"/>
        </w:rPr>
        <w:t>4.0.2</w:t>
      </w:r>
      <w:r>
        <w:rPr>
          <w:bCs/>
          <w:szCs w:val="21"/>
        </w:rPr>
        <w:t>修复后场地与未污染场地的环境影响因子不同，因此需根据修复后场地实际情况合理安排勘察重点内容。</w:t>
      </w:r>
    </w:p>
    <w:p w14:paraId="75CE892B" w14:textId="77777777" w:rsidR="00C8163F" w:rsidRDefault="00C8163F" w:rsidP="00C8163F">
      <w:pPr>
        <w:numPr>
          <w:ilvl w:val="0"/>
          <w:numId w:val="2"/>
        </w:numPr>
        <w:spacing w:line="360" w:lineRule="auto"/>
      </w:pPr>
      <w:r>
        <w:t>修复后土壤大多存在</w:t>
      </w:r>
      <w:r>
        <w:rPr>
          <w:bCs/>
          <w:szCs w:val="21"/>
        </w:rPr>
        <w:t>土壤理化性质、土壤力学性质、地基承载力发生变化等情况，同时修复药剂、中间产物、最终产物等物质的残留浓度变化大，可能出现局部土壤</w:t>
      </w:r>
      <w:r>
        <w:rPr>
          <w:bCs/>
          <w:szCs w:val="21"/>
        </w:rPr>
        <w:lastRenderedPageBreak/>
        <w:t>数值差异性强等情况，需要重点勘察</w:t>
      </w:r>
      <w:r>
        <w:rPr>
          <w:bCs/>
          <w:szCs w:val="21"/>
        </w:rPr>
        <w:t>,</w:t>
      </w:r>
      <w:r>
        <w:rPr>
          <w:bCs/>
          <w:szCs w:val="21"/>
        </w:rPr>
        <w:t>可以在重点区域进行加密采样；</w:t>
      </w:r>
    </w:p>
    <w:p w14:paraId="0F713999" w14:textId="77777777" w:rsidR="00C8163F" w:rsidRDefault="00C8163F" w:rsidP="00C8163F">
      <w:pPr>
        <w:numPr>
          <w:ilvl w:val="0"/>
          <w:numId w:val="2"/>
        </w:numPr>
        <w:spacing w:line="360" w:lineRule="auto"/>
      </w:pPr>
      <w:r>
        <w:rPr>
          <w:bCs/>
          <w:szCs w:val="21"/>
        </w:rPr>
        <w:t>确定拟保留的地下修复设施类型及分布情况，及原有地下结构的分布情况，在后续设计中保证其完整性。</w:t>
      </w:r>
    </w:p>
    <w:p w14:paraId="05BB698B" w14:textId="77777777" w:rsidR="00C8163F" w:rsidRDefault="00C8163F" w:rsidP="00C8163F">
      <w:pPr>
        <w:widowControl/>
        <w:spacing w:beforeLines="50" w:before="156" w:afterLines="50" w:after="156" w:line="360" w:lineRule="auto"/>
        <w:jc w:val="center"/>
        <w:outlineLvl w:val="0"/>
        <w:rPr>
          <w:b/>
          <w:bCs/>
          <w:sz w:val="22"/>
        </w:rPr>
      </w:pPr>
      <w:bookmarkStart w:id="142" w:name="_Toc26556"/>
      <w:bookmarkStart w:id="143" w:name="_Toc24581"/>
      <w:bookmarkStart w:id="144" w:name="_Toc114066419"/>
      <w:r>
        <w:rPr>
          <w:b/>
          <w:bCs/>
          <w:kern w:val="0"/>
          <w:sz w:val="30"/>
          <w:szCs w:val="30"/>
        </w:rPr>
        <w:t>5</w:t>
      </w:r>
      <w:r>
        <w:rPr>
          <w:rFonts w:ascii="宋体" w:hAnsi="宋体" w:cs="宋体" w:hint="eastAsia"/>
          <w:b/>
          <w:bCs/>
          <w:kern w:val="0"/>
          <w:sz w:val="30"/>
          <w:szCs w:val="30"/>
        </w:rPr>
        <w:t xml:space="preserve">  </w:t>
      </w:r>
      <w:bookmarkEnd w:id="142"/>
      <w:bookmarkEnd w:id="143"/>
      <w:r>
        <w:rPr>
          <w:rFonts w:ascii="宋体" w:hAnsi="宋体" w:cs="宋体" w:hint="eastAsia"/>
          <w:b/>
          <w:bCs/>
          <w:kern w:val="0"/>
          <w:sz w:val="30"/>
          <w:szCs w:val="30"/>
        </w:rPr>
        <w:t>设计施工</w:t>
      </w:r>
      <w:bookmarkEnd w:id="144"/>
    </w:p>
    <w:p w14:paraId="01CCAD80" w14:textId="77777777" w:rsidR="00C8163F" w:rsidRDefault="00C8163F" w:rsidP="00C8163F">
      <w:pPr>
        <w:pStyle w:val="a0"/>
        <w:numPr>
          <w:ilvl w:val="0"/>
          <w:numId w:val="0"/>
        </w:numPr>
        <w:spacing w:before="156"/>
        <w:rPr>
          <w:sz w:val="24"/>
          <w:szCs w:val="24"/>
        </w:rPr>
      </w:pPr>
      <w:bookmarkStart w:id="145" w:name="_Toc114066420"/>
      <w:r>
        <w:rPr>
          <w:sz w:val="24"/>
          <w:szCs w:val="24"/>
        </w:rPr>
        <w:t xml:space="preserve">5.2 </w:t>
      </w:r>
      <w:r>
        <w:rPr>
          <w:sz w:val="24"/>
          <w:szCs w:val="24"/>
        </w:rPr>
        <w:t>建筑设计</w:t>
      </w:r>
      <w:bookmarkEnd w:id="145"/>
    </w:p>
    <w:p w14:paraId="2428BD3A" w14:textId="77777777" w:rsidR="00C8163F" w:rsidRDefault="00C8163F" w:rsidP="00C8163F">
      <w:pPr>
        <w:spacing w:line="360" w:lineRule="auto"/>
        <w:rPr>
          <w:szCs w:val="32"/>
        </w:rPr>
      </w:pPr>
      <w:r>
        <w:rPr>
          <w:b/>
          <w:bCs/>
          <w:szCs w:val="32"/>
        </w:rPr>
        <w:t>5.2.1</w:t>
      </w:r>
      <w:r>
        <w:rPr>
          <w:szCs w:val="32"/>
        </w:rPr>
        <w:t>本</w:t>
      </w:r>
      <w:proofErr w:type="gramStart"/>
      <w:r>
        <w:rPr>
          <w:szCs w:val="32"/>
        </w:rPr>
        <w:t>条考虑</w:t>
      </w:r>
      <w:proofErr w:type="gramEnd"/>
      <w:r>
        <w:rPr>
          <w:szCs w:val="32"/>
        </w:rPr>
        <w:t>修复后场地土壤内所含物质对建筑产生的影响，可能通过蒸汽入侵、毛细作用等进入到建筑内部，故对建筑地下室底板及基础防水等级做出提高要求，此条为强制性条文，防水等级</w:t>
      </w:r>
      <w:proofErr w:type="gramStart"/>
      <w:r>
        <w:rPr>
          <w:szCs w:val="32"/>
        </w:rPr>
        <w:t>分级</w:t>
      </w:r>
      <w:proofErr w:type="gramEnd"/>
      <w:r>
        <w:rPr>
          <w:szCs w:val="32"/>
        </w:rPr>
        <w:t>见《地下工程防水技术规范》。</w:t>
      </w:r>
    </w:p>
    <w:p w14:paraId="49F0169D" w14:textId="77777777" w:rsidR="00C8163F" w:rsidRDefault="00C8163F" w:rsidP="00C8163F">
      <w:pPr>
        <w:pStyle w:val="a3"/>
        <w:spacing w:line="360" w:lineRule="auto"/>
        <w:rPr>
          <w:rFonts w:eastAsia="宋体"/>
          <w:szCs w:val="32"/>
        </w:rPr>
      </w:pPr>
      <w:r>
        <w:rPr>
          <w:b/>
          <w:bCs/>
          <w:szCs w:val="32"/>
        </w:rPr>
        <w:t>5.2.2</w:t>
      </w:r>
      <w:r>
        <w:rPr>
          <w:rFonts w:eastAsia="宋体"/>
          <w:szCs w:val="32"/>
        </w:rPr>
        <w:t>在建筑没有地下室的情况下，建筑首层接触土壤部分的室内地面，存在土壤内物质向建筑室内空间渗透的可能，因此对建筑首层地面做出增加混凝土垫层厚度，同时增加防潮做法，形成防护屏障，此条为强制性条文。</w:t>
      </w:r>
    </w:p>
    <w:p w14:paraId="1AA06CE3" w14:textId="77777777" w:rsidR="00C8163F" w:rsidRDefault="00C8163F" w:rsidP="00C8163F">
      <w:pPr>
        <w:pStyle w:val="a3"/>
        <w:spacing w:line="360" w:lineRule="auto"/>
        <w:rPr>
          <w:rFonts w:eastAsia="宋体"/>
          <w:szCs w:val="32"/>
        </w:rPr>
      </w:pPr>
      <w:r>
        <w:rPr>
          <w:b/>
          <w:bCs/>
          <w:szCs w:val="32"/>
        </w:rPr>
        <w:t>5.2.3</w:t>
      </w:r>
      <w:r>
        <w:rPr>
          <w:rFonts w:eastAsia="宋体"/>
          <w:szCs w:val="32"/>
        </w:rPr>
        <w:t>此条为考虑土壤所含物质的影响，对建筑垫层的做法提出适当提高的要求。</w:t>
      </w:r>
    </w:p>
    <w:p w14:paraId="177E10DE" w14:textId="77777777" w:rsidR="00C8163F" w:rsidRDefault="00C8163F" w:rsidP="00C8163F">
      <w:pPr>
        <w:pStyle w:val="a3"/>
        <w:spacing w:line="360" w:lineRule="auto"/>
        <w:rPr>
          <w:rFonts w:eastAsia="宋体"/>
          <w:szCs w:val="32"/>
        </w:rPr>
      </w:pPr>
      <w:r>
        <w:rPr>
          <w:rFonts w:eastAsia="宋体"/>
          <w:b/>
          <w:bCs/>
          <w:szCs w:val="32"/>
        </w:rPr>
        <w:t>5.2.4</w:t>
      </w:r>
      <w:r>
        <w:rPr>
          <w:rFonts w:eastAsia="宋体"/>
          <w:szCs w:val="32"/>
        </w:rPr>
        <w:t>变形缝为建筑防水的薄弱环节，因此对变形缝的材料使用</w:t>
      </w:r>
      <w:proofErr w:type="gramStart"/>
      <w:r>
        <w:rPr>
          <w:rFonts w:eastAsia="宋体"/>
          <w:szCs w:val="32"/>
        </w:rPr>
        <w:t>作出</w:t>
      </w:r>
      <w:proofErr w:type="gramEnd"/>
      <w:r>
        <w:rPr>
          <w:rFonts w:eastAsia="宋体"/>
          <w:szCs w:val="32"/>
        </w:rPr>
        <w:t>要求。</w:t>
      </w:r>
    </w:p>
    <w:p w14:paraId="5A59C44D" w14:textId="77777777" w:rsidR="00C8163F" w:rsidRDefault="00C8163F" w:rsidP="00C8163F">
      <w:pPr>
        <w:pStyle w:val="a3"/>
        <w:spacing w:line="360" w:lineRule="auto"/>
        <w:rPr>
          <w:rFonts w:eastAsia="宋体"/>
          <w:szCs w:val="32"/>
        </w:rPr>
      </w:pPr>
      <w:r>
        <w:rPr>
          <w:rFonts w:eastAsia="宋体"/>
          <w:b/>
          <w:bCs/>
          <w:szCs w:val="32"/>
        </w:rPr>
        <w:t>5.2.5</w:t>
      </w:r>
      <w:r>
        <w:rPr>
          <w:rFonts w:eastAsia="宋体"/>
          <w:szCs w:val="32"/>
        </w:rPr>
        <w:t>当建筑无地下室时，首层墙体接触地面易潮湿，空气砌块等密度较低的墙</w:t>
      </w:r>
      <w:proofErr w:type="gramStart"/>
      <w:r>
        <w:rPr>
          <w:rFonts w:eastAsia="宋体"/>
          <w:szCs w:val="32"/>
        </w:rPr>
        <w:t>体材</w:t>
      </w:r>
      <w:proofErr w:type="gramEnd"/>
      <w:r>
        <w:rPr>
          <w:rFonts w:eastAsia="宋体"/>
          <w:szCs w:val="32"/>
        </w:rPr>
        <w:t>料不能起到很好的防水、防止蒸汽入侵的效果，因此对于首层墙体</w:t>
      </w:r>
      <w:proofErr w:type="gramStart"/>
      <w:r>
        <w:rPr>
          <w:rFonts w:eastAsia="宋体"/>
          <w:szCs w:val="32"/>
        </w:rPr>
        <w:t>作</w:t>
      </w:r>
      <w:proofErr w:type="gramEnd"/>
      <w:r>
        <w:rPr>
          <w:rFonts w:eastAsia="宋体"/>
          <w:szCs w:val="32"/>
        </w:rPr>
        <w:t>出增设防潮层的要求，同时对于墙</w:t>
      </w:r>
      <w:proofErr w:type="gramStart"/>
      <w:r>
        <w:rPr>
          <w:rFonts w:eastAsia="宋体"/>
          <w:szCs w:val="32"/>
        </w:rPr>
        <w:t>体</w:t>
      </w:r>
      <w:proofErr w:type="gramEnd"/>
      <w:r>
        <w:rPr>
          <w:rFonts w:eastAsia="宋体"/>
          <w:szCs w:val="32"/>
        </w:rPr>
        <w:t>材料</w:t>
      </w:r>
      <w:proofErr w:type="gramStart"/>
      <w:r>
        <w:rPr>
          <w:rFonts w:eastAsia="宋体"/>
          <w:szCs w:val="32"/>
        </w:rPr>
        <w:t>作</w:t>
      </w:r>
      <w:proofErr w:type="gramEnd"/>
      <w:r>
        <w:rPr>
          <w:rFonts w:eastAsia="宋体"/>
          <w:szCs w:val="32"/>
        </w:rPr>
        <w:t>出建议。</w:t>
      </w:r>
      <w:r>
        <w:rPr>
          <w:rFonts w:eastAsia="宋体"/>
          <w:szCs w:val="32"/>
        </w:rPr>
        <w:t xml:space="preserve"> </w:t>
      </w:r>
    </w:p>
    <w:p w14:paraId="40CCABE5" w14:textId="77777777" w:rsidR="00C8163F" w:rsidRDefault="00C8163F" w:rsidP="00C8163F">
      <w:pPr>
        <w:pStyle w:val="a3"/>
        <w:spacing w:line="360" w:lineRule="auto"/>
        <w:rPr>
          <w:rFonts w:eastAsia="宋体"/>
          <w:szCs w:val="32"/>
        </w:rPr>
      </w:pPr>
      <w:r>
        <w:rPr>
          <w:rFonts w:eastAsia="宋体"/>
          <w:b/>
          <w:bCs/>
          <w:szCs w:val="32"/>
        </w:rPr>
        <w:t>5.2.6</w:t>
      </w:r>
      <w:r>
        <w:rPr>
          <w:rFonts w:eastAsia="宋体"/>
          <w:szCs w:val="32"/>
        </w:rPr>
        <w:t>设备管道在场地内应设置地沟和</w:t>
      </w:r>
      <w:proofErr w:type="gramStart"/>
      <w:r>
        <w:rPr>
          <w:rFonts w:eastAsia="宋体"/>
          <w:szCs w:val="32"/>
        </w:rPr>
        <w:t>地坑对其</w:t>
      </w:r>
      <w:proofErr w:type="gramEnd"/>
      <w:r>
        <w:rPr>
          <w:rFonts w:eastAsia="宋体"/>
          <w:szCs w:val="32"/>
        </w:rPr>
        <w:t>进行保护，同时地坑外部与土壤接触的部位需做防水层、防潮层，做法同建筑单体，并与建筑单体相接部位形成闭合，地沟和地坑的设置不能对建筑结构主体造成影响。</w:t>
      </w:r>
    </w:p>
    <w:p w14:paraId="06EB3594" w14:textId="77777777" w:rsidR="00C8163F" w:rsidRDefault="00C8163F" w:rsidP="00C8163F">
      <w:pPr>
        <w:pStyle w:val="a3"/>
        <w:spacing w:line="360" w:lineRule="auto"/>
        <w:rPr>
          <w:rFonts w:eastAsia="宋体"/>
          <w:szCs w:val="32"/>
        </w:rPr>
      </w:pPr>
      <w:r>
        <w:rPr>
          <w:rFonts w:eastAsia="宋体"/>
          <w:b/>
          <w:bCs/>
          <w:szCs w:val="32"/>
        </w:rPr>
        <w:t>5.2.7</w:t>
      </w:r>
      <w:r>
        <w:rPr>
          <w:rFonts w:eastAsia="宋体"/>
          <w:szCs w:val="32"/>
        </w:rPr>
        <w:t>地基结合护坡对场地进行防护处理后，在基坑内部存在因降水等因素形成积水的可能性，因此在设计中可根据工程所处环境地质条件，适当考虑排水措施，以减小积水对结构的压力。</w:t>
      </w:r>
    </w:p>
    <w:p w14:paraId="087329E3" w14:textId="77777777" w:rsidR="00C8163F" w:rsidRDefault="00C8163F" w:rsidP="00C8163F">
      <w:pPr>
        <w:pStyle w:val="a3"/>
        <w:spacing w:line="360" w:lineRule="auto"/>
        <w:rPr>
          <w:rFonts w:eastAsia="宋体"/>
          <w:szCs w:val="32"/>
        </w:rPr>
      </w:pPr>
      <w:r>
        <w:rPr>
          <w:rFonts w:eastAsia="宋体"/>
          <w:b/>
          <w:bCs/>
          <w:szCs w:val="32"/>
        </w:rPr>
        <w:t>5.2.8</w:t>
      </w:r>
      <w:r>
        <w:rPr>
          <w:rFonts w:eastAsia="宋体"/>
          <w:szCs w:val="32"/>
        </w:rPr>
        <w:t>对建筑内部的通风措施</w:t>
      </w:r>
      <w:proofErr w:type="gramStart"/>
      <w:r>
        <w:rPr>
          <w:rFonts w:eastAsia="宋体"/>
          <w:szCs w:val="32"/>
        </w:rPr>
        <w:t>作出</w:t>
      </w:r>
      <w:proofErr w:type="gramEnd"/>
      <w:r>
        <w:rPr>
          <w:rFonts w:eastAsia="宋体"/>
          <w:szCs w:val="32"/>
        </w:rPr>
        <w:t>要求，以提高室内环境舒适度。排风口需远离常有人员活动的区域，或在建筑最高处排出，不对活动场地、周边房间自然通风造成影响。对于不同功能的房间，通风方式应采用适宜的措施，以达到更好的通风效果，及功能使用要求。</w:t>
      </w:r>
    </w:p>
    <w:p w14:paraId="451AA901" w14:textId="77777777" w:rsidR="00C8163F" w:rsidRDefault="00C8163F" w:rsidP="00C8163F">
      <w:pPr>
        <w:pStyle w:val="a0"/>
        <w:numPr>
          <w:ilvl w:val="1"/>
          <w:numId w:val="0"/>
        </w:numPr>
        <w:spacing w:before="156"/>
      </w:pPr>
      <w:bookmarkStart w:id="146" w:name="_Toc114066421"/>
      <w:r>
        <w:rPr>
          <w:sz w:val="24"/>
          <w:szCs w:val="24"/>
        </w:rPr>
        <w:t>5.</w:t>
      </w:r>
      <w:r>
        <w:rPr>
          <w:rFonts w:hint="eastAsia"/>
          <w:sz w:val="24"/>
          <w:szCs w:val="24"/>
        </w:rPr>
        <w:t>3</w:t>
      </w:r>
      <w:r>
        <w:rPr>
          <w:sz w:val="24"/>
          <w:szCs w:val="24"/>
        </w:rPr>
        <w:t xml:space="preserve"> </w:t>
      </w:r>
      <w:r>
        <w:rPr>
          <w:rFonts w:hint="eastAsia"/>
          <w:sz w:val="24"/>
          <w:szCs w:val="24"/>
        </w:rPr>
        <w:t>防腐措施</w:t>
      </w:r>
      <w:bookmarkEnd w:id="146"/>
    </w:p>
    <w:p w14:paraId="2AD26667" w14:textId="77777777" w:rsidR="00C8163F" w:rsidRDefault="00C8163F" w:rsidP="00C8163F">
      <w:pPr>
        <w:pStyle w:val="a1"/>
        <w:numPr>
          <w:ilvl w:val="0"/>
          <w:numId w:val="0"/>
        </w:numPr>
        <w:spacing w:line="360" w:lineRule="auto"/>
        <w:rPr>
          <w:lang w:val="en-US"/>
        </w:rPr>
      </w:pPr>
      <w:r>
        <w:rPr>
          <w:b/>
          <w:bCs w:val="0"/>
          <w:lang w:val="en-US"/>
        </w:rPr>
        <w:t xml:space="preserve">5.3.1 </w:t>
      </w:r>
      <w:r>
        <w:rPr>
          <w:lang w:val="en-US"/>
        </w:rPr>
        <w:t>通常情况下土壤和地下水腐蚀程度可以参考《岩土工程勘察规范》（</w:t>
      </w:r>
      <w:r>
        <w:rPr>
          <w:lang w:val="en-US"/>
        </w:rPr>
        <w:t>GB50021</w:t>
      </w:r>
      <w:r>
        <w:rPr>
          <w:lang w:val="en-US"/>
        </w:rPr>
        <w:t>）中的规定，划分为强腐蚀、中腐蚀、弱腐蚀和微腐蚀四个等级。</w:t>
      </w:r>
      <w:r>
        <w:rPr>
          <w:rFonts w:hint="eastAsia"/>
          <w:lang w:val="en-US"/>
        </w:rPr>
        <w:t>其中重点关注修复后地下水存在中</w:t>
      </w:r>
      <w:r>
        <w:rPr>
          <w:rFonts w:hint="eastAsia"/>
          <w:lang w:val="en-US"/>
        </w:rPr>
        <w:lastRenderedPageBreak/>
        <w:t>腐蚀或强腐蚀等级腐蚀风险，叠加未来地下水水位波动可能造成的建筑安全影响会更大，则应在建筑整体防渗透、建筑材料等方面加强防护设计。</w:t>
      </w:r>
    </w:p>
    <w:p w14:paraId="64AF4B7E" w14:textId="77777777" w:rsidR="00C8163F" w:rsidRDefault="00C8163F" w:rsidP="00C8163F">
      <w:pPr>
        <w:pStyle w:val="a1"/>
        <w:numPr>
          <w:ilvl w:val="0"/>
          <w:numId w:val="0"/>
        </w:numPr>
        <w:spacing w:line="360" w:lineRule="auto"/>
        <w:rPr>
          <w:lang w:val="en-US"/>
        </w:rPr>
      </w:pPr>
      <w:r>
        <w:rPr>
          <w:b/>
          <w:bCs w:val="0"/>
          <w:lang w:val="en-US"/>
        </w:rPr>
        <w:t xml:space="preserve">5.3.2 </w:t>
      </w:r>
      <w:r>
        <w:rPr>
          <w:lang w:val="en-US"/>
        </w:rPr>
        <w:t>如前期调查发现修复后土壤或地下水中某</w:t>
      </w:r>
      <w:r>
        <w:rPr>
          <w:rFonts w:hint="eastAsia"/>
          <w:lang w:val="en-US"/>
        </w:rPr>
        <w:t>些</w:t>
      </w:r>
      <w:r>
        <w:rPr>
          <w:lang w:val="en-US"/>
        </w:rPr>
        <w:t>具体指标异常升高</w:t>
      </w:r>
      <w:r>
        <w:rPr>
          <w:rFonts w:hint="eastAsia"/>
          <w:lang w:val="en-US"/>
        </w:rPr>
        <w:t>（与周边背景值或对照点浓度存在统计学意义上的显著差异时）</w:t>
      </w:r>
      <w:r>
        <w:rPr>
          <w:lang w:val="en-US"/>
        </w:rPr>
        <w:t>，</w:t>
      </w:r>
      <w:r>
        <w:rPr>
          <w:rFonts w:hint="eastAsia"/>
          <w:lang w:val="en-US"/>
        </w:rPr>
        <w:t>而</w:t>
      </w:r>
      <w:r>
        <w:rPr>
          <w:lang w:val="en-US"/>
        </w:rPr>
        <w:t>这些异常升高的</w:t>
      </w:r>
      <w:r>
        <w:rPr>
          <w:rFonts w:hint="eastAsia"/>
          <w:lang w:val="en-US"/>
        </w:rPr>
        <w:t>指标</w:t>
      </w:r>
      <w:r>
        <w:rPr>
          <w:lang w:val="en-US"/>
        </w:rPr>
        <w:t>都是局部性和非持久性的，</w:t>
      </w:r>
      <w:r>
        <w:rPr>
          <w:rFonts w:hint="eastAsia"/>
          <w:lang w:val="en-US"/>
        </w:rPr>
        <w:t>排除沿海、高盐碱等高背景值的特殊情况，</w:t>
      </w:r>
      <w:r>
        <w:rPr>
          <w:lang w:val="en-US"/>
        </w:rPr>
        <w:t>可采用主动降低该类指标的办法降低该区域的腐蚀风险等级。例如地下水中硫酸盐浓度超过《工业建筑防腐蚀设计标准》（</w:t>
      </w:r>
      <w:r>
        <w:rPr>
          <w:lang w:val="en-US"/>
        </w:rPr>
        <w:t>GB/T 50046</w:t>
      </w:r>
      <w:r>
        <w:rPr>
          <w:lang w:val="en-US"/>
        </w:rPr>
        <w:t>）中规定的强腐蚀等级限值</w:t>
      </w:r>
      <w:r>
        <w:rPr>
          <w:lang w:val="en-US"/>
        </w:rPr>
        <w:t>1%</w:t>
      </w:r>
      <w:r>
        <w:rPr>
          <w:lang w:val="en-US"/>
        </w:rPr>
        <w:t>时，应该采取地下水水质跟踪监测，如果发现其浓度不能达到稳定或逐步降低趋势，</w:t>
      </w:r>
      <w:r>
        <w:rPr>
          <w:rFonts w:hint="eastAsia"/>
          <w:lang w:val="en-US"/>
        </w:rPr>
        <w:t>可</w:t>
      </w:r>
      <w:r>
        <w:rPr>
          <w:lang w:val="en-US"/>
        </w:rPr>
        <w:t>采取应急主动防控措施，适当降低腐蚀风险。</w:t>
      </w:r>
    </w:p>
    <w:p w14:paraId="33F004F4" w14:textId="77777777" w:rsidR="00C8163F" w:rsidRDefault="00C8163F" w:rsidP="00C8163F">
      <w:pPr>
        <w:pStyle w:val="a1"/>
        <w:numPr>
          <w:ilvl w:val="0"/>
          <w:numId w:val="0"/>
        </w:numPr>
        <w:spacing w:line="360" w:lineRule="auto"/>
        <w:rPr>
          <w:lang w:val="en-US"/>
        </w:rPr>
      </w:pPr>
      <w:r>
        <w:rPr>
          <w:b/>
          <w:bCs w:val="0"/>
          <w:lang w:val="en-US"/>
        </w:rPr>
        <w:t>5.3.3</w:t>
      </w:r>
      <w:r>
        <w:rPr>
          <w:lang w:val="en-US"/>
        </w:rPr>
        <w:t>常用的防腐保护层材料包括但不限于：环氧沥青（贴玻璃布）、聚氨酯沥青（贴玻璃布）、树脂玻璃鳞片土层、聚合物水泥砂浆等。</w:t>
      </w:r>
    </w:p>
    <w:p w14:paraId="19FAD8DD" w14:textId="77777777" w:rsidR="00C8163F" w:rsidRDefault="00C8163F" w:rsidP="00C8163F">
      <w:pPr>
        <w:pStyle w:val="a1"/>
        <w:numPr>
          <w:ilvl w:val="0"/>
          <w:numId w:val="0"/>
        </w:numPr>
        <w:spacing w:line="360" w:lineRule="auto"/>
        <w:rPr>
          <w:lang w:val="en-US"/>
        </w:rPr>
      </w:pPr>
      <w:r>
        <w:rPr>
          <w:b/>
          <w:bCs w:val="0"/>
          <w:lang w:val="en-US"/>
        </w:rPr>
        <w:t>5.3.4</w:t>
      </w:r>
      <w:r>
        <w:rPr>
          <w:lang w:val="en-US"/>
        </w:rPr>
        <w:t xml:space="preserve"> </w:t>
      </w:r>
      <w:r>
        <w:rPr>
          <w:lang w:val="en-US"/>
        </w:rPr>
        <w:t>当采用主动防腐措施时，</w:t>
      </w:r>
      <w:r>
        <w:rPr>
          <w:rFonts w:hint="eastAsia"/>
          <w:lang w:val="en-US"/>
        </w:rPr>
        <w:t>防腐工程施工单位应在施工前制定施工方案。其中施工方案中应包括短期</w:t>
      </w:r>
      <w:r>
        <w:rPr>
          <w:lang w:val="en-US"/>
        </w:rPr>
        <w:t>采样监测</w:t>
      </w:r>
      <w:r>
        <w:rPr>
          <w:rFonts w:hint="eastAsia"/>
          <w:lang w:val="en-US"/>
        </w:rPr>
        <w:t>和</w:t>
      </w:r>
      <w:r>
        <w:rPr>
          <w:lang w:val="en-US"/>
        </w:rPr>
        <w:t>效果</w:t>
      </w:r>
      <w:r>
        <w:rPr>
          <w:rFonts w:hint="eastAsia"/>
          <w:lang w:val="en-US"/>
        </w:rPr>
        <w:t>评估方法，以及</w:t>
      </w:r>
      <w:r>
        <w:rPr>
          <w:lang w:val="en-US"/>
        </w:rPr>
        <w:t>长期跟踪监测</w:t>
      </w:r>
      <w:r>
        <w:rPr>
          <w:rFonts w:hint="eastAsia"/>
          <w:lang w:val="en-US"/>
        </w:rPr>
        <w:t>预案（如果短期内未到达预期目标）</w:t>
      </w:r>
      <w:r>
        <w:rPr>
          <w:lang w:val="en-US"/>
        </w:rPr>
        <w:t>。</w:t>
      </w:r>
    </w:p>
    <w:p w14:paraId="475E500E" w14:textId="77777777" w:rsidR="00C8163F" w:rsidRDefault="00C8163F" w:rsidP="00C8163F">
      <w:pPr>
        <w:widowControl/>
        <w:spacing w:beforeLines="50" w:before="156" w:afterLines="50" w:after="156" w:line="360" w:lineRule="auto"/>
        <w:jc w:val="center"/>
        <w:outlineLvl w:val="0"/>
        <w:rPr>
          <w:b/>
          <w:bCs/>
          <w:sz w:val="22"/>
        </w:rPr>
      </w:pPr>
      <w:r>
        <w:rPr>
          <w:b/>
          <w:bCs/>
          <w:kern w:val="0"/>
          <w:sz w:val="30"/>
          <w:szCs w:val="30"/>
        </w:rPr>
        <w:t>6</w:t>
      </w:r>
      <w:r>
        <w:rPr>
          <w:rFonts w:ascii="宋体" w:hAnsi="宋体" w:cs="宋体" w:hint="eastAsia"/>
          <w:b/>
          <w:bCs/>
          <w:kern w:val="0"/>
          <w:sz w:val="30"/>
          <w:szCs w:val="30"/>
        </w:rPr>
        <w:t xml:space="preserve">  施 </w:t>
      </w:r>
      <w:r>
        <w:rPr>
          <w:rFonts w:ascii="宋体" w:hAnsi="宋体" w:cs="宋体"/>
          <w:b/>
          <w:bCs/>
          <w:kern w:val="0"/>
          <w:sz w:val="30"/>
          <w:szCs w:val="30"/>
        </w:rPr>
        <w:t xml:space="preserve"> </w:t>
      </w:r>
      <w:r>
        <w:rPr>
          <w:rFonts w:ascii="宋体" w:hAnsi="宋体" w:cs="宋体" w:hint="eastAsia"/>
          <w:b/>
          <w:bCs/>
          <w:kern w:val="0"/>
          <w:sz w:val="30"/>
          <w:szCs w:val="30"/>
        </w:rPr>
        <w:t>工</w:t>
      </w:r>
    </w:p>
    <w:p w14:paraId="083204A7" w14:textId="77777777" w:rsidR="00C8163F" w:rsidRDefault="00C8163F" w:rsidP="00C8163F">
      <w:pPr>
        <w:pStyle w:val="a1"/>
        <w:numPr>
          <w:ilvl w:val="0"/>
          <w:numId w:val="0"/>
        </w:numPr>
        <w:spacing w:line="360" w:lineRule="auto"/>
        <w:rPr>
          <w:bCs w:val="0"/>
          <w:lang w:val="en-US"/>
        </w:rPr>
      </w:pPr>
      <w:r>
        <w:rPr>
          <w:b/>
          <w:bCs w:val="0"/>
          <w:lang w:val="en-US"/>
        </w:rPr>
        <w:t>6.0.1</w:t>
      </w:r>
      <w:r>
        <w:rPr>
          <w:bCs w:val="0"/>
          <w:lang w:val="en-US"/>
        </w:rPr>
        <w:t>在施工前，应熟悉掌握场地相关资料，并对场地内部环保设施进行保护处理，设置明显标识，施工时不应对其造成破坏。如因工程需要，无法避让，应与相关部门沟通解决。</w:t>
      </w:r>
    </w:p>
    <w:p w14:paraId="01E92CCD" w14:textId="77777777" w:rsidR="00C8163F" w:rsidRDefault="00C8163F" w:rsidP="00C8163F">
      <w:pPr>
        <w:widowControl/>
        <w:spacing w:beforeLines="50" w:before="156" w:afterLines="50" w:after="156" w:line="360" w:lineRule="auto"/>
        <w:jc w:val="center"/>
        <w:outlineLvl w:val="0"/>
        <w:rPr>
          <w:bCs/>
        </w:rPr>
      </w:pPr>
      <w:bookmarkStart w:id="147" w:name="_Toc114066423"/>
      <w:bookmarkStart w:id="148" w:name="_Toc535"/>
      <w:bookmarkStart w:id="149" w:name="_Toc27341"/>
      <w:r>
        <w:rPr>
          <w:b/>
          <w:bCs/>
          <w:kern w:val="0"/>
          <w:sz w:val="30"/>
          <w:szCs w:val="30"/>
        </w:rPr>
        <w:t xml:space="preserve">7  </w:t>
      </w:r>
      <w:r>
        <w:rPr>
          <w:b/>
          <w:bCs/>
          <w:kern w:val="0"/>
          <w:sz w:val="30"/>
          <w:szCs w:val="30"/>
        </w:rPr>
        <w:t>监测维护</w:t>
      </w:r>
      <w:bookmarkEnd w:id="147"/>
      <w:bookmarkEnd w:id="148"/>
      <w:bookmarkEnd w:id="149"/>
    </w:p>
    <w:p w14:paraId="69685570" w14:textId="77777777" w:rsidR="00C8163F" w:rsidRDefault="00C8163F" w:rsidP="00C8163F">
      <w:pPr>
        <w:spacing w:line="360" w:lineRule="auto"/>
        <w:rPr>
          <w:bCs/>
          <w:szCs w:val="21"/>
        </w:rPr>
      </w:pPr>
      <w:r>
        <w:rPr>
          <w:b/>
          <w:bCs/>
          <w:szCs w:val="21"/>
        </w:rPr>
        <w:t>7.0.3</w:t>
      </w:r>
      <w:r>
        <w:rPr>
          <w:bCs/>
          <w:szCs w:val="21"/>
        </w:rPr>
        <w:t>环境应急预案包括针对土壤气、环境空气、地表水、地下水、土壤质量不达标时的应急措施</w:t>
      </w:r>
      <w:r>
        <w:rPr>
          <w:rFonts w:hint="eastAsia"/>
          <w:bCs/>
          <w:szCs w:val="21"/>
        </w:rPr>
        <w:t>。</w:t>
      </w:r>
    </w:p>
    <w:p w14:paraId="61DF6E17" w14:textId="77777777" w:rsidR="00F7137C" w:rsidRPr="00C8163F" w:rsidRDefault="00F7137C"/>
    <w:sectPr w:rsidR="00F7137C" w:rsidRPr="00C816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5170C" w14:textId="77777777" w:rsidR="000B22E9" w:rsidRDefault="000B22E9" w:rsidP="00C8163F">
      <w:r>
        <w:separator/>
      </w:r>
    </w:p>
  </w:endnote>
  <w:endnote w:type="continuationSeparator" w:id="0">
    <w:p w14:paraId="3FFA271E" w14:textId="77777777" w:rsidR="000B22E9" w:rsidRDefault="000B22E9" w:rsidP="00C8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4555" w14:textId="77777777" w:rsidR="00C8163F" w:rsidRDefault="00C8163F">
    <w:pPr>
      <w:pStyle w:val="a9"/>
    </w:pPr>
    <w:r>
      <w:rPr>
        <w:noProof/>
      </w:rPr>
      <mc:AlternateContent>
        <mc:Choice Requires="wps">
          <w:drawing>
            <wp:anchor distT="0" distB="0" distL="114300" distR="114300" simplePos="0" relativeHeight="251659264" behindDoc="0" locked="0" layoutInCell="1" allowOverlap="1" wp14:anchorId="05466101" wp14:editId="78040B3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87318F" w14:textId="77777777" w:rsidR="00C8163F" w:rsidRDefault="00C8163F">
                          <w:pPr>
                            <w:pStyle w:val="a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466101"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14:paraId="5C87318F" w14:textId="77777777" w:rsidR="00C8163F" w:rsidRDefault="00C8163F">
                    <w:pPr>
                      <w:pStyle w:val="a9"/>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159D" w14:textId="77777777" w:rsidR="00C8163F" w:rsidRDefault="00C8163F">
    <w:pPr>
      <w:pStyle w:val="a9"/>
      <w:jc w:val="center"/>
    </w:pPr>
    <w:r>
      <w:fldChar w:fldCharType="begin"/>
    </w:r>
    <w:r>
      <w:instrText>PAGE   \* MERGEFORMAT</w:instrText>
    </w:r>
    <w:r>
      <w:fldChar w:fldCharType="separate"/>
    </w:r>
    <w:r>
      <w:rPr>
        <w:lang w:val="zh-CN"/>
      </w:rPr>
      <w:t>2</w:t>
    </w:r>
    <w:r>
      <w:fldChar w:fldCharType="end"/>
    </w:r>
  </w:p>
  <w:p w14:paraId="7924E39A" w14:textId="77777777" w:rsidR="00C8163F" w:rsidRDefault="00C816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CAF85" w14:textId="77777777" w:rsidR="000B22E9" w:rsidRDefault="000B22E9" w:rsidP="00C8163F">
      <w:r>
        <w:separator/>
      </w:r>
    </w:p>
  </w:footnote>
  <w:footnote w:type="continuationSeparator" w:id="0">
    <w:p w14:paraId="2CDD6C42" w14:textId="77777777" w:rsidR="000B22E9" w:rsidRDefault="000B22E9" w:rsidP="00C8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16240"/>
    <w:multiLevelType w:val="multilevel"/>
    <w:tmpl w:val="69C16240"/>
    <w:lvl w:ilvl="0">
      <w:start w:val="1"/>
      <w:numFmt w:val="decimal"/>
      <w:lvlText w:val="%1"/>
      <w:lvlJc w:val="left"/>
      <w:pPr>
        <w:ind w:left="900" w:hanging="420"/>
      </w:pPr>
      <w:rPr>
        <w:rFonts w:hint="eastAsia"/>
        <w:b/>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7FD84D95"/>
    <w:multiLevelType w:val="multilevel"/>
    <w:tmpl w:val="7FD84D95"/>
    <w:lvl w:ilvl="0">
      <w:start w:val="1"/>
      <w:numFmt w:val="decimal"/>
      <w:pStyle w:val="a"/>
      <w:lvlText w:val="%1"/>
      <w:lvlJc w:val="left"/>
      <w:pPr>
        <w:ind w:left="7513" w:firstLine="0"/>
      </w:pPr>
      <w:rPr>
        <w:rFonts w:hint="eastAsia"/>
      </w:rPr>
    </w:lvl>
    <w:lvl w:ilvl="1">
      <w:start w:val="1"/>
      <w:numFmt w:val="decimal"/>
      <w:pStyle w:val="a0"/>
      <w:suff w:val="space"/>
      <w:lvlText w:val="%1.%2"/>
      <w:lvlJc w:val="left"/>
      <w:pPr>
        <w:ind w:left="3261" w:firstLine="0"/>
      </w:pPr>
      <w:rPr>
        <w:rFonts w:hint="eastAsia"/>
      </w:rPr>
    </w:lvl>
    <w:lvl w:ilvl="2">
      <w:start w:val="1"/>
      <w:numFmt w:val="upperRoman"/>
      <w:suff w:val="space"/>
      <w:lvlText w:val="%3"/>
      <w:lvlJc w:val="left"/>
      <w:pPr>
        <w:ind w:left="0" w:firstLine="0"/>
      </w:pPr>
      <w:rPr>
        <w:rFonts w:hint="eastAsia"/>
      </w:rPr>
    </w:lvl>
    <w:lvl w:ilvl="3">
      <w:start w:val="1"/>
      <w:numFmt w:val="decimal"/>
      <w:lvlRestart w:val="2"/>
      <w:pStyle w:val="a1"/>
      <w:suff w:val="space"/>
      <w:lvlText w:val="%1.%2.%4"/>
      <w:lvlJc w:val="left"/>
      <w:pPr>
        <w:ind w:left="284" w:firstLine="0"/>
      </w:pPr>
      <w:rPr>
        <w:rFonts w:ascii="Times New Roman" w:hAnsi="Times New Roman" w:cs="Times New Roman" w:hint="default"/>
        <w:b/>
        <w:i w:val="0"/>
      </w:rPr>
    </w:lvl>
    <w:lvl w:ilvl="4">
      <w:start w:val="1"/>
      <w:numFmt w:val="decimal"/>
      <w:suff w:val="space"/>
      <w:lvlText w:val="%5"/>
      <w:lvlJc w:val="left"/>
      <w:pPr>
        <w:ind w:left="0" w:firstLine="0"/>
      </w:pPr>
      <w:rPr>
        <w:rFonts w:hint="eastAsia"/>
        <w:b/>
        <w:i w:val="0"/>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FC"/>
    <w:rsid w:val="000B22E9"/>
    <w:rsid w:val="000C7401"/>
    <w:rsid w:val="001215F3"/>
    <w:rsid w:val="001B335F"/>
    <w:rsid w:val="001C302F"/>
    <w:rsid w:val="00233F2B"/>
    <w:rsid w:val="00281F1D"/>
    <w:rsid w:val="002A4680"/>
    <w:rsid w:val="003907AF"/>
    <w:rsid w:val="003C20DD"/>
    <w:rsid w:val="00410135"/>
    <w:rsid w:val="00476B47"/>
    <w:rsid w:val="005B76DF"/>
    <w:rsid w:val="005F7501"/>
    <w:rsid w:val="006B2DA5"/>
    <w:rsid w:val="0072489B"/>
    <w:rsid w:val="007403BD"/>
    <w:rsid w:val="008E3EFC"/>
    <w:rsid w:val="00921EF4"/>
    <w:rsid w:val="00982CBE"/>
    <w:rsid w:val="009C3468"/>
    <w:rsid w:val="009E5A0A"/>
    <w:rsid w:val="00A07CB8"/>
    <w:rsid w:val="00A406C7"/>
    <w:rsid w:val="00A461E0"/>
    <w:rsid w:val="00BA204E"/>
    <w:rsid w:val="00C14724"/>
    <w:rsid w:val="00C240B9"/>
    <w:rsid w:val="00C8163F"/>
    <w:rsid w:val="00D0500C"/>
    <w:rsid w:val="00DC651A"/>
    <w:rsid w:val="00E62DBB"/>
    <w:rsid w:val="00E707F5"/>
    <w:rsid w:val="00EF23C7"/>
    <w:rsid w:val="00F71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0304D"/>
  <w15:chartTrackingRefBased/>
  <w15:docId w15:val="{C2547129-E0F0-49C9-89AF-1A01DEFA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next w:val="a3"/>
    <w:qFormat/>
    <w:rsid w:val="00C8163F"/>
    <w:pPr>
      <w:widowControl w:val="0"/>
      <w:jc w:val="both"/>
    </w:pPr>
    <w:rPr>
      <w:rFonts w:ascii="Times New Roman" w:eastAsia="宋体" w:hAnsi="Times New Roman" w:cs="Times New Roman"/>
      <w:szCs w:val="24"/>
    </w:rPr>
  </w:style>
  <w:style w:type="paragraph" w:styleId="1">
    <w:name w:val="heading 1"/>
    <w:basedOn w:val="a2"/>
    <w:next w:val="a2"/>
    <w:link w:val="10"/>
    <w:uiPriority w:val="9"/>
    <w:qFormat/>
    <w:rsid w:val="00C8163F"/>
    <w:pPr>
      <w:keepNext/>
      <w:keepLines/>
      <w:spacing w:before="340" w:after="330" w:line="578" w:lineRule="auto"/>
      <w:outlineLvl w:val="0"/>
    </w:pPr>
    <w:rPr>
      <w:b/>
      <w:bCs/>
      <w:kern w:val="44"/>
      <w:sz w:val="44"/>
      <w:szCs w:val="44"/>
    </w:rPr>
  </w:style>
  <w:style w:type="paragraph" w:styleId="2">
    <w:name w:val="heading 2"/>
    <w:basedOn w:val="a2"/>
    <w:next w:val="a2"/>
    <w:link w:val="20"/>
    <w:uiPriority w:val="9"/>
    <w:semiHidden/>
    <w:unhideWhenUsed/>
    <w:qFormat/>
    <w:rsid w:val="00C8163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0"/>
    <w:uiPriority w:val="9"/>
    <w:semiHidden/>
    <w:unhideWhenUsed/>
    <w:qFormat/>
    <w:rsid w:val="00C8163F"/>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iPriority w:val="99"/>
    <w:unhideWhenUsed/>
    <w:rsid w:val="00C8163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4"/>
    <w:link w:val="a7"/>
    <w:uiPriority w:val="99"/>
    <w:rsid w:val="00C8163F"/>
    <w:rPr>
      <w:sz w:val="18"/>
      <w:szCs w:val="18"/>
    </w:rPr>
  </w:style>
  <w:style w:type="paragraph" w:styleId="a9">
    <w:name w:val="footer"/>
    <w:basedOn w:val="a2"/>
    <w:link w:val="aa"/>
    <w:uiPriority w:val="99"/>
    <w:unhideWhenUsed/>
    <w:rsid w:val="00C8163F"/>
    <w:pPr>
      <w:tabs>
        <w:tab w:val="center" w:pos="4153"/>
        <w:tab w:val="right" w:pos="8306"/>
      </w:tabs>
      <w:snapToGrid w:val="0"/>
      <w:jc w:val="left"/>
    </w:pPr>
    <w:rPr>
      <w:sz w:val="18"/>
      <w:szCs w:val="18"/>
    </w:rPr>
  </w:style>
  <w:style w:type="character" w:customStyle="1" w:styleId="aa">
    <w:name w:val="页脚 字符"/>
    <w:basedOn w:val="a4"/>
    <w:link w:val="a9"/>
    <w:uiPriority w:val="99"/>
    <w:rsid w:val="00C8163F"/>
    <w:rPr>
      <w:sz w:val="18"/>
      <w:szCs w:val="18"/>
    </w:rPr>
  </w:style>
  <w:style w:type="paragraph" w:customStyle="1" w:styleId="a3">
    <w:name w:val="条文说明"/>
    <w:basedOn w:val="a2"/>
    <w:qFormat/>
    <w:rsid w:val="00C8163F"/>
    <w:rPr>
      <w:rFonts w:eastAsia="楷体"/>
    </w:rPr>
  </w:style>
  <w:style w:type="paragraph" w:styleId="ab">
    <w:name w:val="Body Text"/>
    <w:basedOn w:val="a2"/>
    <w:link w:val="ac"/>
    <w:uiPriority w:val="99"/>
    <w:unhideWhenUsed/>
    <w:qFormat/>
    <w:rsid w:val="00C8163F"/>
    <w:pPr>
      <w:spacing w:after="120"/>
    </w:pPr>
  </w:style>
  <w:style w:type="character" w:customStyle="1" w:styleId="ac">
    <w:name w:val="正文文本 字符"/>
    <w:basedOn w:val="a4"/>
    <w:link w:val="ab"/>
    <w:uiPriority w:val="99"/>
    <w:rsid w:val="00C8163F"/>
    <w:rPr>
      <w:rFonts w:ascii="Times New Roman" w:eastAsia="宋体" w:hAnsi="Times New Roman" w:cs="Times New Roman"/>
      <w:szCs w:val="24"/>
    </w:rPr>
  </w:style>
  <w:style w:type="paragraph" w:styleId="ad">
    <w:name w:val="Body Text Indent"/>
    <w:basedOn w:val="a2"/>
    <w:link w:val="ae"/>
    <w:uiPriority w:val="99"/>
    <w:unhideWhenUsed/>
    <w:qFormat/>
    <w:rsid w:val="00C8163F"/>
  </w:style>
  <w:style w:type="character" w:customStyle="1" w:styleId="ae">
    <w:name w:val="正文文本缩进 字符"/>
    <w:basedOn w:val="a4"/>
    <w:link w:val="ad"/>
    <w:uiPriority w:val="99"/>
    <w:rsid w:val="00C8163F"/>
    <w:rPr>
      <w:rFonts w:ascii="Times New Roman" w:eastAsia="宋体" w:hAnsi="Times New Roman" w:cs="Times New Roman"/>
      <w:szCs w:val="24"/>
    </w:rPr>
  </w:style>
  <w:style w:type="paragraph" w:styleId="TOC1">
    <w:name w:val="toc 1"/>
    <w:basedOn w:val="a2"/>
    <w:next w:val="a2"/>
    <w:uiPriority w:val="39"/>
    <w:qFormat/>
    <w:rsid w:val="00C8163F"/>
    <w:pPr>
      <w:tabs>
        <w:tab w:val="right" w:leader="dot" w:pos="8296"/>
      </w:tabs>
      <w:adjustRightInd w:val="0"/>
      <w:snapToGrid w:val="0"/>
      <w:spacing w:line="300" w:lineRule="auto"/>
    </w:pPr>
    <w:rPr>
      <w:rFonts w:ascii="Calibri" w:hAnsi="Calibri" w:cs="Calibri"/>
      <w:szCs w:val="21"/>
    </w:rPr>
  </w:style>
  <w:style w:type="paragraph" w:styleId="TOC2">
    <w:name w:val="toc 2"/>
    <w:basedOn w:val="a2"/>
    <w:next w:val="a2"/>
    <w:uiPriority w:val="39"/>
    <w:qFormat/>
    <w:rsid w:val="00C8163F"/>
    <w:pPr>
      <w:ind w:leftChars="200" w:left="420"/>
    </w:pPr>
    <w:rPr>
      <w:rFonts w:ascii="Calibri" w:hAnsi="Calibri" w:cs="Calibri"/>
      <w:szCs w:val="21"/>
    </w:rPr>
  </w:style>
  <w:style w:type="character" w:styleId="af">
    <w:name w:val="Hyperlink"/>
    <w:basedOn w:val="a4"/>
    <w:uiPriority w:val="99"/>
    <w:rsid w:val="00C8163F"/>
    <w:rPr>
      <w:color w:val="0000FF"/>
      <w:u w:val="single"/>
    </w:rPr>
  </w:style>
  <w:style w:type="paragraph" w:customStyle="1" w:styleId="a">
    <w:name w:val="章"/>
    <w:basedOn w:val="1"/>
    <w:next w:val="a0"/>
    <w:qFormat/>
    <w:rsid w:val="00C8163F"/>
    <w:pPr>
      <w:pageBreakBefore/>
      <w:numPr>
        <w:numId w:val="1"/>
      </w:numPr>
      <w:tabs>
        <w:tab w:val="num" w:pos="360"/>
      </w:tabs>
      <w:spacing w:before="120" w:after="120" w:line="360" w:lineRule="auto"/>
      <w:ind w:left="0"/>
      <w:jc w:val="center"/>
    </w:pPr>
    <w:rPr>
      <w:sz w:val="32"/>
      <w:szCs w:val="32"/>
    </w:rPr>
  </w:style>
  <w:style w:type="paragraph" w:customStyle="1" w:styleId="a0">
    <w:name w:val="节"/>
    <w:basedOn w:val="2"/>
    <w:next w:val="a1"/>
    <w:qFormat/>
    <w:rsid w:val="00C8163F"/>
    <w:pPr>
      <w:numPr>
        <w:ilvl w:val="1"/>
        <w:numId w:val="1"/>
      </w:numPr>
      <w:tabs>
        <w:tab w:val="num" w:pos="360"/>
      </w:tabs>
      <w:spacing w:beforeLines="50" w:before="50" w:after="0" w:line="360" w:lineRule="auto"/>
      <w:ind w:left="0"/>
      <w:jc w:val="center"/>
    </w:pPr>
    <w:rPr>
      <w:rFonts w:ascii="Times New Roman" w:eastAsia="宋体" w:hAnsi="Times New Roman" w:cs="Times New Roman"/>
      <w:sz w:val="30"/>
    </w:rPr>
  </w:style>
  <w:style w:type="paragraph" w:customStyle="1" w:styleId="a1">
    <w:name w:val="条"/>
    <w:basedOn w:val="3"/>
    <w:qFormat/>
    <w:rsid w:val="00C8163F"/>
    <w:pPr>
      <w:keepNext w:val="0"/>
      <w:keepLines w:val="0"/>
      <w:numPr>
        <w:ilvl w:val="3"/>
        <w:numId w:val="1"/>
      </w:numPr>
      <w:tabs>
        <w:tab w:val="num" w:pos="360"/>
      </w:tabs>
      <w:adjustRightInd w:val="0"/>
      <w:spacing w:before="0" w:after="0" w:line="240" w:lineRule="auto"/>
      <w:ind w:left="0"/>
    </w:pPr>
    <w:rPr>
      <w:b w:val="0"/>
      <w:sz w:val="21"/>
      <w:lang w:val="zh-CN"/>
    </w:rPr>
  </w:style>
  <w:style w:type="paragraph" w:styleId="af0">
    <w:name w:val="List Paragraph"/>
    <w:basedOn w:val="a2"/>
    <w:uiPriority w:val="34"/>
    <w:qFormat/>
    <w:rsid w:val="00C8163F"/>
    <w:pPr>
      <w:ind w:firstLineChars="200" w:firstLine="420"/>
    </w:pPr>
    <w:rPr>
      <w:color w:val="0000FF"/>
      <w:kern w:val="0"/>
      <w:szCs w:val="21"/>
    </w:rPr>
  </w:style>
  <w:style w:type="character" w:customStyle="1" w:styleId="10">
    <w:name w:val="标题 1 字符"/>
    <w:basedOn w:val="a4"/>
    <w:link w:val="1"/>
    <w:uiPriority w:val="9"/>
    <w:rsid w:val="00C8163F"/>
    <w:rPr>
      <w:rFonts w:ascii="Times New Roman" w:eastAsia="宋体" w:hAnsi="Times New Roman" w:cs="Times New Roman"/>
      <w:b/>
      <w:bCs/>
      <w:kern w:val="44"/>
      <w:sz w:val="44"/>
      <w:szCs w:val="44"/>
    </w:rPr>
  </w:style>
  <w:style w:type="character" w:customStyle="1" w:styleId="20">
    <w:name w:val="标题 2 字符"/>
    <w:basedOn w:val="a4"/>
    <w:link w:val="2"/>
    <w:uiPriority w:val="9"/>
    <w:semiHidden/>
    <w:rsid w:val="00C8163F"/>
    <w:rPr>
      <w:rFonts w:asciiTheme="majorHAnsi" w:eastAsiaTheme="majorEastAsia" w:hAnsiTheme="majorHAnsi" w:cstheme="majorBidi"/>
      <w:b/>
      <w:bCs/>
      <w:sz w:val="32"/>
      <w:szCs w:val="32"/>
    </w:rPr>
  </w:style>
  <w:style w:type="character" w:customStyle="1" w:styleId="30">
    <w:name w:val="标题 3 字符"/>
    <w:basedOn w:val="a4"/>
    <w:link w:val="3"/>
    <w:uiPriority w:val="9"/>
    <w:semiHidden/>
    <w:rsid w:val="00C8163F"/>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13</cp:revision>
  <cp:lastPrinted>2022-11-04T06:00:00Z</cp:lastPrinted>
  <dcterms:created xsi:type="dcterms:W3CDTF">2022-09-23T01:39:00Z</dcterms:created>
  <dcterms:modified xsi:type="dcterms:W3CDTF">2022-11-04T09:03:00Z</dcterms:modified>
</cp:coreProperties>
</file>