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12" w:lineRule="auto"/>
        <w:rPr>
          <w:rFonts w:ascii="Times New Roman" w:hAnsi="Times New Roman"/>
        </w:rPr>
      </w:pPr>
      <w:r>
        <w:rPr>
          <w:rFonts w:hint="eastAsia" w:ascii="Times New Roman" w:hAnsi="Times New Roman"/>
        </w:rPr>
        <w:t xml:space="preserve">                                     </w:t>
      </w:r>
    </w:p>
    <w:p>
      <w:pPr>
        <w:snapToGrid w:val="0"/>
        <w:spacing w:line="312" w:lineRule="auto"/>
        <w:rPr>
          <w:rFonts w:ascii="Times New Roman" w:hAnsi="Times New Roman"/>
        </w:rPr>
      </w:pPr>
      <w:r>
        <w:rPr>
          <w:rFonts w:hint="eastAsia" w:ascii="Times New Roman" w:hAnsi="Times New Roman" w:cs="宋体"/>
          <w:b/>
          <w:bCs/>
          <w:kern w:val="0"/>
          <w:sz w:val="24"/>
        </w:rPr>
        <w:t xml:space="preserve">  </w:t>
      </w:r>
      <w:r>
        <w:drawing>
          <wp:inline distT="0" distB="0" distL="114300" distR="114300">
            <wp:extent cx="1359535" cy="693420"/>
            <wp:effectExtent l="0" t="0" r="12065" b="1143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3"/>
                    <a:srcRect b="3534"/>
                    <a:stretch>
                      <a:fillRect/>
                    </a:stretch>
                  </pic:blipFill>
                  <pic:spPr>
                    <a:xfrm>
                      <a:off x="0" y="0"/>
                      <a:ext cx="1359535" cy="693420"/>
                    </a:xfrm>
                    <a:prstGeom prst="rect">
                      <a:avLst/>
                    </a:prstGeom>
                    <a:noFill/>
                    <a:ln>
                      <a:noFill/>
                    </a:ln>
                  </pic:spPr>
                </pic:pic>
              </a:graphicData>
            </a:graphic>
          </wp:inline>
        </w:drawing>
      </w:r>
      <w:r>
        <w:rPr>
          <w:rFonts w:hint="eastAsia" w:ascii="Times New Roman" w:hAnsi="Times New Roman" w:cs="宋体"/>
          <w:b/>
          <w:bCs/>
          <w:kern w:val="0"/>
          <w:sz w:val="24"/>
        </w:rPr>
        <w:t xml:space="preserve">                          </w:t>
      </w:r>
      <w:r>
        <w:rPr>
          <w:rFonts w:ascii="Times New Roman" w:hAnsi="Times New Roman"/>
          <w:sz w:val="28"/>
          <w:szCs w:val="28"/>
        </w:rPr>
        <w:t>T/CECS</w:t>
      </w:r>
      <w:r>
        <w:rPr>
          <w:rFonts w:hint="eastAsia" w:ascii="Times New Roman" w:hAnsi="Times New Roman"/>
          <w:sz w:val="28"/>
          <w:szCs w:val="28"/>
        </w:rPr>
        <w:t>xxx-202x</w:t>
      </w:r>
    </w:p>
    <w:p>
      <w:pPr>
        <w:keepNext w:val="0"/>
        <w:keepLines w:val="0"/>
        <w:pageBreakBefore w:val="0"/>
        <w:widowControl/>
        <w:kinsoku/>
        <w:wordWrap/>
        <w:overflowPunct/>
        <w:topLinePunct w:val="0"/>
        <w:autoSpaceDE/>
        <w:autoSpaceDN/>
        <w:bidi w:val="0"/>
        <w:adjustRightInd/>
        <w:snapToGrid w:val="0"/>
        <w:spacing w:after="0" w:line="312" w:lineRule="auto"/>
        <w:textAlignment w:val="auto"/>
        <w:rPr>
          <w:rFonts w:ascii="Times New Roman" w:hAnsi="Times New Roman"/>
          <w:sz w:val="36"/>
          <w:szCs w:val="36"/>
        </w:rPr>
      </w:pPr>
      <w:r>
        <w:rPr>
          <w:rFonts w:ascii="Times New Roman" w:hAnsi="Times New Roman"/>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14350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0pt;height:0pt;width:405pt;z-index:251662336;mso-width-relative:page;mso-height-relative:page;" filled="f" stroked="t" coordsize="21600,21600" o:gfxdata="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Zh6hvQAAAAAgEA&#10;AA8AAAAAAAAAAQAgAAAAIgAAAGRycy9kb3ducmV2LnhtbFBLAQIUABQAAAAIAIdO4kDwphSl6QEA&#10;ALgDAAAOAAAAAAAAAAEAIAAAAB8BAABkcnMvZTJvRG9jLnhtbFBLBQYAAAAABgAGAFkBAAB6BQAA&#10;AAA=&#10;">
                <v:fill on="f" focussize="0,0"/>
                <v:stroke color="#00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ascii="Times New Roman" w:hAnsi="Times New Roman"/>
          <w:sz w:val="36"/>
          <w:szCs w:val="36"/>
        </w:rPr>
      </w:pPr>
    </w:p>
    <w:p>
      <w:pPr>
        <w:snapToGrid w:val="0"/>
        <w:spacing w:line="312" w:lineRule="auto"/>
        <w:jc w:val="center"/>
        <w:rPr>
          <w:rFonts w:ascii="Times New Roman" w:hAnsi="Times New Roman"/>
          <w:sz w:val="36"/>
          <w:szCs w:val="36"/>
        </w:rPr>
      </w:pPr>
      <w:r>
        <w:rPr>
          <w:rFonts w:hint="eastAsia" w:ascii="Times New Roman" w:hAnsi="Times New Roman"/>
          <w:sz w:val="36"/>
          <w:szCs w:val="36"/>
        </w:rPr>
        <w:t>中 国 工 程 建 设 标 准 化 协 会 标 准</w:t>
      </w:r>
    </w:p>
    <w:p>
      <w:pPr>
        <w:keepNext w:val="0"/>
        <w:keepLines w:val="0"/>
        <w:pageBreakBefore w:val="0"/>
        <w:widowControl/>
        <w:kinsoku/>
        <w:wordWrap/>
        <w:overflowPunct/>
        <w:topLinePunct w:val="0"/>
        <w:autoSpaceDE/>
        <w:autoSpaceDN/>
        <w:bidi w:val="0"/>
        <w:adjustRightInd/>
        <w:snapToGrid w:val="0"/>
        <w:spacing w:after="0" w:line="312" w:lineRule="auto"/>
        <w:textAlignment w:val="auto"/>
        <w:rPr>
          <w:rFonts w:ascii="Times New Roman" w:hAnsi="Times New Roman"/>
          <w:sz w:val="44"/>
          <w:szCs w:val="44"/>
        </w:rPr>
      </w:pPr>
    </w:p>
    <w:p>
      <w:pPr>
        <w:keepNext w:val="0"/>
        <w:keepLines w:val="0"/>
        <w:pageBreakBefore w:val="0"/>
        <w:widowControl/>
        <w:kinsoku/>
        <w:wordWrap/>
        <w:overflowPunct/>
        <w:topLinePunct w:val="0"/>
        <w:autoSpaceDE/>
        <w:autoSpaceDN/>
        <w:bidi w:val="0"/>
        <w:adjustRightInd/>
        <w:snapToGrid w:val="0"/>
        <w:spacing w:after="0" w:line="312" w:lineRule="auto"/>
        <w:jc w:val="center"/>
        <w:textAlignment w:val="auto"/>
        <w:rPr>
          <w:rFonts w:ascii="Times New Roman" w:hAnsi="Times New Roman"/>
          <w:sz w:val="44"/>
          <w:szCs w:val="44"/>
        </w:rPr>
      </w:pPr>
    </w:p>
    <w:p>
      <w:pPr>
        <w:pStyle w:val="78"/>
        <w:widowControl w:val="0"/>
        <w:shd w:val="clear" w:color="auto" w:fill="FFFFFF"/>
        <w:snapToGrid w:val="0"/>
        <w:spacing w:before="0" w:beforeAutospacing="0" w:after="0" w:line="312" w:lineRule="auto"/>
        <w:jc w:val="center"/>
        <w:rPr>
          <w:rFonts w:hint="eastAsia" w:ascii="Times New Roman" w:hAnsi="Times New Roman"/>
          <w:b/>
          <w:bCs/>
          <w:color w:val="000000" w:themeColor="text1"/>
          <w:sz w:val="44"/>
          <w:szCs w:val="44"/>
          <w:lang w:val="zh-CN" w:eastAsia="zh-CN"/>
          <w14:textFill>
            <w14:solidFill>
              <w14:schemeClr w14:val="tx1"/>
            </w14:solidFill>
          </w14:textFill>
        </w:rPr>
      </w:pPr>
      <w:r>
        <w:rPr>
          <w:rFonts w:hint="eastAsia" w:ascii="Times New Roman" w:hAnsi="Times New Roman"/>
          <w:b/>
          <w:bCs/>
          <w:color w:val="000000" w:themeColor="text1"/>
          <w:sz w:val="44"/>
          <w:szCs w:val="44"/>
          <w:lang w:val="zh-CN" w:eastAsia="zh-CN"/>
          <w14:textFill>
            <w14:solidFill>
              <w14:schemeClr w14:val="tx1"/>
            </w14:solidFill>
          </w14:textFill>
        </w:rPr>
        <w:t>垃圾全密闭气力输送工程技术规程</w:t>
      </w:r>
    </w:p>
    <w:p>
      <w:pPr>
        <w:pStyle w:val="78"/>
        <w:widowControl w:val="0"/>
        <w:shd w:val="clear" w:color="auto" w:fill="FFFFFF"/>
        <w:snapToGrid w:val="0"/>
        <w:spacing w:before="0" w:beforeAutospacing="0" w:after="0" w:line="312" w:lineRule="auto"/>
        <w:jc w:val="center"/>
        <w:rPr>
          <w:rFonts w:ascii="Arial" w:hAnsi="Arial" w:cs="Arial"/>
          <w:color w:val="auto"/>
          <w:sz w:val="14"/>
          <w:szCs w:val="14"/>
        </w:rPr>
      </w:pPr>
      <w:r>
        <w:rPr>
          <w:rFonts w:ascii="Arial" w:hAnsi="Arial" w:cs="Arial"/>
          <w:color w:val="auto"/>
          <w:sz w:val="28"/>
          <w:szCs w:val="28"/>
          <w:shd w:val="clear" w:color="auto" w:fill="FFFFFF"/>
          <w:lang w:bidi="ar"/>
        </w:rPr>
        <mc:AlternateContent>
          <mc:Choice Requires="wps">
            <w:drawing>
              <wp:inline distT="0" distB="0" distL="114300" distR="114300">
                <wp:extent cx="635" cy="0"/>
                <wp:effectExtent l="0" t="0" r="0" b="0"/>
                <wp:docPr id="5" name="矩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8ONInc4AAAD/AAAADwAAAAAAAAABACAAAAAiAAAAZHJzL2Rvd25yZXYueG1sUEsB&#10;AhQAFAAAAAgAh07iQMFQoPr/AQAAGAQAAA4AAAAAAAAAAQAgAAAAHQEAAGRycy9lMm9Eb2MueG1s&#10;UEsFBgAAAAAGAAYAWQEAAI4FAAAAAA==&#10;">
                <v:fill on="f" focussize="0,0"/>
                <v:stroke color="#000000" joinstyle="miter"/>
                <v:imagedata o:title=""/>
                <o:lock v:ext="edit" aspectratio="t"/>
                <w10:wrap type="none"/>
                <w10:anchorlock/>
              </v:rect>
            </w:pict>
          </mc:Fallback>
        </mc:AlternateContent>
      </w:r>
      <w:r>
        <w:fldChar w:fldCharType="begin"/>
      </w:r>
      <w:r>
        <w:instrText xml:space="preserve"> HYPERLINK "https://fanyi.baidu.com/" \l "##" </w:instrText>
      </w:r>
      <w:r>
        <w:fldChar w:fldCharType="separate"/>
      </w:r>
      <w:r>
        <w:fldChar w:fldCharType="end"/>
      </w:r>
    </w:p>
    <w:p>
      <w:pPr>
        <w:widowControl/>
        <w:shd w:val="clear" w:color="auto" w:fill="FFFFFF"/>
        <w:ind w:right="108"/>
        <w:jc w:val="left"/>
        <w:rPr>
          <w:rFonts w:ascii="Arial" w:hAnsi="Arial" w:cs="Arial"/>
          <w:sz w:val="14"/>
          <w:szCs w:val="14"/>
        </w:rPr>
      </w:pPr>
      <w:r>
        <w:fldChar w:fldCharType="begin"/>
      </w:r>
      <w:r>
        <w:instrText xml:space="preserve"> HYPERLINK "javascript:void(0);" \o "添加到收藏夹" </w:instrText>
      </w:r>
      <w:r>
        <w:fldChar w:fldCharType="separate"/>
      </w:r>
      <w:r>
        <w:fldChar w:fldCharType="end"/>
      </w:r>
    </w:p>
    <w:p>
      <w:pPr>
        <w:snapToGrid w:val="0"/>
        <w:spacing w:line="312" w:lineRule="auto"/>
        <w:jc w:val="center"/>
        <w:rPr>
          <w:rFonts w:ascii="Times New Roman" w:hAnsi="Times New Roman" w:eastAsia="宋体" w:cs="宋体"/>
          <w:color w:val="000000" w:themeColor="text1"/>
          <w:kern w:val="0"/>
          <w:sz w:val="28"/>
          <w:szCs w:val="28"/>
          <w14:textFill>
            <w14:solidFill>
              <w14:schemeClr w14:val="tx1"/>
            </w14:solidFill>
          </w14:textFill>
        </w:rPr>
      </w:pPr>
      <w:r>
        <w:rPr>
          <w:rFonts w:hint="eastAsia" w:ascii="Times New Roman" w:hAnsi="Times New Roman" w:eastAsia="宋体" w:cs="宋体"/>
          <w:color w:val="000000" w:themeColor="text1"/>
          <w:kern w:val="0"/>
          <w:sz w:val="28"/>
          <w:szCs w:val="28"/>
          <w14:textFill>
            <w14:solidFill>
              <w14:schemeClr w14:val="tx1"/>
            </w14:solidFill>
          </w14:textFill>
        </w:rPr>
        <w:t>Technical Specification for closed pneumatic conveying system of domestic waste</w:t>
      </w:r>
    </w:p>
    <w:p>
      <w:pPr>
        <w:snapToGrid w:val="0"/>
        <w:spacing w:line="312" w:lineRule="auto"/>
        <w:jc w:val="center"/>
        <w:rPr>
          <w:sz w:val="36"/>
          <w:szCs w:val="36"/>
        </w:rPr>
      </w:pPr>
    </w:p>
    <w:p>
      <w:pPr>
        <w:snapToGrid w:val="0"/>
        <w:spacing w:line="312" w:lineRule="auto"/>
        <w:jc w:val="center"/>
        <w:rPr>
          <w:rFonts w:ascii="Times New Roman" w:hAnsi="Times New Roman"/>
          <w:sz w:val="32"/>
          <w:szCs w:val="32"/>
        </w:rPr>
      </w:pPr>
      <w:r>
        <w:rPr>
          <w:rFonts w:hint="eastAsia" w:ascii="Times New Roman" w:hAnsi="Times New Roman"/>
          <w:sz w:val="32"/>
          <w:szCs w:val="32"/>
        </w:rPr>
        <w:t>（</w:t>
      </w:r>
      <w:r>
        <w:rPr>
          <w:rFonts w:hint="eastAsia" w:ascii="Times New Roman" w:hAnsi="Times New Roman"/>
          <w:b/>
          <w:sz w:val="32"/>
          <w:szCs w:val="32"/>
        </w:rPr>
        <w:t>征求意见稿</w:t>
      </w:r>
      <w:r>
        <w:rPr>
          <w:rFonts w:hint="eastAsia" w:ascii="Times New Roman" w:hAnsi="Times New Roman"/>
          <w:sz w:val="32"/>
          <w:szCs w:val="32"/>
        </w:rPr>
        <w:t>）</w:t>
      </w:r>
    </w:p>
    <w:p>
      <w:pPr>
        <w:keepNext w:val="0"/>
        <w:keepLines w:val="0"/>
        <w:pageBreakBefore w:val="0"/>
        <w:widowControl/>
        <w:kinsoku/>
        <w:wordWrap/>
        <w:overflowPunct/>
        <w:topLinePunct w:val="0"/>
        <w:autoSpaceDE/>
        <w:autoSpaceDN/>
        <w:bidi w:val="0"/>
        <w:adjustRightInd/>
        <w:snapToGrid w:val="0"/>
        <w:spacing w:after="0" w:line="312" w:lineRule="auto"/>
        <w:jc w:val="center"/>
        <w:textAlignment w:val="auto"/>
        <w:rPr>
          <w:rFonts w:ascii="Times New Roman" w:hAnsi="Times New Roman"/>
        </w:rPr>
      </w:pPr>
    </w:p>
    <w:p>
      <w:pPr>
        <w:snapToGrid w:val="0"/>
        <w:spacing w:line="312" w:lineRule="auto"/>
        <w:jc w:val="center"/>
        <w:rPr>
          <w:rFonts w:ascii="Times New Roman" w:hAnsi="Times New Roman"/>
          <w:sz w:val="28"/>
          <w:szCs w:val="28"/>
        </w:rPr>
      </w:pPr>
      <w:r>
        <w:rPr>
          <w:rFonts w:hint="eastAsia" w:ascii="Times New Roman" w:hAnsi="Times New Roman"/>
          <w:sz w:val="28"/>
          <w:szCs w:val="28"/>
        </w:rPr>
        <w:t>（提交反馈意见时，请将有关专利连同支持性文件一并附上）</w:t>
      </w:r>
    </w:p>
    <w:p>
      <w:pPr>
        <w:keepNext w:val="0"/>
        <w:keepLines w:val="0"/>
        <w:pageBreakBefore w:val="0"/>
        <w:widowControl/>
        <w:kinsoku/>
        <w:wordWrap/>
        <w:overflowPunct/>
        <w:topLinePunct w:val="0"/>
        <w:autoSpaceDE/>
        <w:autoSpaceDN/>
        <w:bidi w:val="0"/>
        <w:adjustRightInd/>
        <w:snapToGrid w:val="0"/>
        <w:spacing w:after="0" w:line="312" w:lineRule="auto"/>
        <w:textAlignment w:val="auto"/>
        <w:rPr>
          <w:rFonts w:ascii="Times New Roman" w:hAnsi="Times New Roman"/>
        </w:rPr>
      </w:pPr>
    </w:p>
    <w:p>
      <w:pPr>
        <w:keepNext w:val="0"/>
        <w:keepLines w:val="0"/>
        <w:pageBreakBefore w:val="0"/>
        <w:widowControl/>
        <w:kinsoku/>
        <w:wordWrap/>
        <w:overflowPunct/>
        <w:topLinePunct w:val="0"/>
        <w:autoSpaceDE/>
        <w:autoSpaceDN/>
        <w:bidi w:val="0"/>
        <w:adjustRightInd/>
        <w:snapToGrid w:val="0"/>
        <w:spacing w:after="0" w:line="312" w:lineRule="auto"/>
        <w:textAlignment w:val="auto"/>
        <w:rPr>
          <w:rFonts w:ascii="Times New Roman" w:hAnsi="Times New Roman"/>
        </w:rPr>
      </w:pPr>
    </w:p>
    <w:p>
      <w:pPr>
        <w:keepNext w:val="0"/>
        <w:keepLines w:val="0"/>
        <w:pageBreakBefore w:val="0"/>
        <w:widowControl/>
        <w:kinsoku/>
        <w:wordWrap/>
        <w:overflowPunct/>
        <w:topLinePunct w:val="0"/>
        <w:autoSpaceDE/>
        <w:autoSpaceDN/>
        <w:bidi w:val="0"/>
        <w:adjustRightInd/>
        <w:snapToGrid w:val="0"/>
        <w:spacing w:after="0" w:line="312" w:lineRule="auto"/>
        <w:textAlignment w:val="auto"/>
        <w:rPr>
          <w:rFonts w:ascii="Times New Roman" w:hAnsi="Times New Roman"/>
        </w:rPr>
      </w:pPr>
    </w:p>
    <w:p>
      <w:pPr>
        <w:keepNext w:val="0"/>
        <w:keepLines w:val="0"/>
        <w:pageBreakBefore w:val="0"/>
        <w:widowControl/>
        <w:kinsoku/>
        <w:wordWrap/>
        <w:overflowPunct/>
        <w:topLinePunct w:val="0"/>
        <w:autoSpaceDE/>
        <w:autoSpaceDN/>
        <w:bidi w:val="0"/>
        <w:adjustRightInd/>
        <w:snapToGrid w:val="0"/>
        <w:spacing w:after="0" w:line="312" w:lineRule="auto"/>
        <w:textAlignment w:val="auto"/>
        <w:rPr>
          <w:rFonts w:ascii="Times New Roman" w:hAnsi="Times New Roman"/>
        </w:rPr>
      </w:pPr>
    </w:p>
    <w:p>
      <w:pPr>
        <w:snapToGrid w:val="0"/>
        <w:spacing w:line="312" w:lineRule="auto"/>
        <w:jc w:val="center"/>
        <w:rPr>
          <w:rFonts w:ascii="Times New Roman" w:hAnsi="Times New Roman"/>
          <w:sz w:val="30"/>
          <w:szCs w:val="30"/>
        </w:rPr>
      </w:pPr>
    </w:p>
    <w:p>
      <w:pPr>
        <w:snapToGrid w:val="0"/>
        <w:spacing w:line="312" w:lineRule="auto"/>
        <w:jc w:val="center"/>
        <w:rPr>
          <w:rFonts w:ascii="Times New Roman" w:hAnsi="Times New Roman"/>
          <w:sz w:val="28"/>
          <w:szCs w:val="28"/>
        </w:rPr>
        <w:sectPr>
          <w:footerReference r:id="rId9" w:type="first"/>
          <w:headerReference r:id="rId5" w:type="default"/>
          <w:footerReference r:id="rId7" w:type="default"/>
          <w:headerReference r:id="rId6" w:type="even"/>
          <w:footerReference r:id="rId8" w:type="even"/>
          <w:pgSz w:w="11907" w:h="16840"/>
          <w:pgMar w:top="1440" w:right="1797" w:bottom="1440" w:left="1797" w:header="851" w:footer="992" w:gutter="0"/>
          <w:pgNumType w:fmt="upperRoman"/>
          <w:cols w:space="720" w:num="1"/>
          <w:titlePg/>
          <w:docGrid w:type="lines" w:linePitch="312" w:charSpace="0"/>
        </w:sectPr>
      </w:pPr>
      <w:r>
        <w:rPr>
          <w:rFonts w:hint="eastAsia" w:ascii="Times New Roman" w:hAnsi="Times New Roman"/>
          <w:sz w:val="30"/>
          <w:szCs w:val="30"/>
        </w:rPr>
        <w:t>XXX出版社</w:t>
      </w:r>
    </w:p>
    <w:p>
      <w:pPr>
        <w:widowControl w:val="0"/>
        <w:spacing w:after="0" w:line="360" w:lineRule="auto"/>
        <w:jc w:val="center"/>
        <w:rPr>
          <w:rFonts w:ascii="Times New Roman" w:hAnsi="Times New Roman" w:eastAsia="宋体" w:cs="Times New Roman"/>
          <w:kern w:val="2"/>
          <w:sz w:val="28"/>
          <w:szCs w:val="22"/>
        </w:rPr>
      </w:pPr>
      <w:r>
        <w:rPr>
          <w:rFonts w:hint="eastAsia" w:ascii="Times New Roman" w:hAnsi="Times New Roman" w:eastAsia="宋体" w:cs="Times New Roman"/>
          <w:kern w:val="2"/>
          <w:sz w:val="28"/>
          <w:szCs w:val="22"/>
        </w:rPr>
        <w:t>中 国 工 程 建 设 标 准 化 协 会 标 准</w:t>
      </w:r>
    </w:p>
    <w:p>
      <w:pPr>
        <w:widowControl w:val="0"/>
        <w:snapToGrid w:val="0"/>
        <w:spacing w:after="0" w:line="312" w:lineRule="auto"/>
        <w:jc w:val="center"/>
        <w:rPr>
          <w:rFonts w:ascii="Times New Roman" w:hAnsi="Times New Roman" w:cs="Times New Roman"/>
          <w:kern w:val="2"/>
          <w:sz w:val="36"/>
          <w:szCs w:val="36"/>
        </w:rPr>
      </w:pPr>
    </w:p>
    <w:p>
      <w:pPr>
        <w:widowControl w:val="0"/>
        <w:snapToGrid w:val="0"/>
        <w:spacing w:after="0" w:line="312" w:lineRule="auto"/>
        <w:jc w:val="center"/>
        <w:rPr>
          <w:rFonts w:ascii="Times New Roman" w:hAnsi="Times New Roman" w:cs="Times New Roman"/>
          <w:kern w:val="2"/>
          <w:sz w:val="44"/>
          <w:szCs w:val="44"/>
        </w:rPr>
      </w:pPr>
    </w:p>
    <w:p>
      <w:pPr>
        <w:widowControl w:val="0"/>
        <w:snapToGrid w:val="0"/>
        <w:spacing w:after="0" w:line="312" w:lineRule="auto"/>
        <w:jc w:val="center"/>
        <w:rPr>
          <w:rFonts w:ascii="Times New Roman" w:hAnsi="Times New Roman" w:eastAsia="宋体" w:cs="Times New Roman"/>
          <w:kern w:val="2"/>
          <w:sz w:val="28"/>
          <w:szCs w:val="28"/>
        </w:rPr>
      </w:pPr>
      <w:r>
        <w:rPr>
          <w:rFonts w:ascii="Times New Roman" w:hAnsi="Times New Roman" w:eastAsia="宋体" w:cs="宋体"/>
          <w:kern w:val="0"/>
          <w:sz w:val="28"/>
          <w:szCs w:val="28"/>
        </w:rPr>
        <w:t xml:space="preserve"> </w:t>
      </w:r>
    </w:p>
    <w:p>
      <w:pPr>
        <w:pStyle w:val="78"/>
        <w:widowControl w:val="0"/>
        <w:shd w:val="clear" w:color="auto" w:fill="FFFFFF"/>
        <w:snapToGrid w:val="0"/>
        <w:spacing w:before="0" w:beforeAutospacing="0" w:after="0" w:line="312" w:lineRule="auto"/>
        <w:jc w:val="center"/>
        <w:rPr>
          <w:rFonts w:hint="eastAsia" w:ascii="Times New Roman" w:hAnsi="Times New Roman"/>
          <w:b/>
          <w:bCs/>
          <w:color w:val="000000" w:themeColor="text1"/>
          <w:sz w:val="44"/>
          <w:szCs w:val="44"/>
          <w:lang w:val="zh-CN" w:eastAsia="zh-CN"/>
          <w14:textFill>
            <w14:solidFill>
              <w14:schemeClr w14:val="tx1"/>
            </w14:solidFill>
          </w14:textFill>
        </w:rPr>
      </w:pPr>
      <w:r>
        <w:rPr>
          <w:rFonts w:hint="eastAsia" w:ascii="Times New Roman" w:hAnsi="Times New Roman"/>
          <w:b/>
          <w:bCs/>
          <w:color w:val="000000" w:themeColor="text1"/>
          <w:sz w:val="44"/>
          <w:szCs w:val="44"/>
          <w:lang w:val="zh-CN" w:eastAsia="zh-CN"/>
          <w14:textFill>
            <w14:solidFill>
              <w14:schemeClr w14:val="tx1"/>
            </w14:solidFill>
          </w14:textFill>
        </w:rPr>
        <w:t>垃圾全密闭气力输送工程技术规程</w:t>
      </w:r>
    </w:p>
    <w:p>
      <w:pPr>
        <w:widowControl w:val="0"/>
        <w:shd w:val="clear" w:color="auto" w:fill="FFFFFF"/>
        <w:snapToGrid w:val="0"/>
        <w:spacing w:before="0" w:beforeAutospacing="0" w:after="0" w:line="480" w:lineRule="auto"/>
        <w:jc w:val="center"/>
        <w:rPr>
          <w:rFonts w:ascii="黑体" w:hAnsi="黑体" w:eastAsia="黑体" w:cs="黑体"/>
          <w:color w:val="auto"/>
          <w:kern w:val="0"/>
          <w:sz w:val="44"/>
          <w:szCs w:val="44"/>
          <w:lang w:val="en-US" w:eastAsia="zh-CN" w:bidi="ar-SA"/>
        </w:rPr>
      </w:pPr>
    </w:p>
    <w:p>
      <w:pPr>
        <w:snapToGrid w:val="0"/>
        <w:spacing w:line="312" w:lineRule="auto"/>
        <w:jc w:val="center"/>
        <w:rPr>
          <w:rFonts w:ascii="Times New Roman" w:hAnsi="Times New Roman" w:eastAsia="宋体" w:cs="宋体"/>
          <w:color w:val="000000" w:themeColor="text1"/>
          <w:kern w:val="0"/>
          <w:sz w:val="28"/>
          <w:szCs w:val="28"/>
          <w14:textFill>
            <w14:solidFill>
              <w14:schemeClr w14:val="tx1"/>
            </w14:solidFill>
          </w14:textFill>
        </w:rPr>
      </w:pPr>
      <w:r>
        <w:rPr>
          <w:rFonts w:hint="eastAsia" w:ascii="Times New Roman" w:hAnsi="Times New Roman" w:eastAsia="宋体" w:cs="宋体"/>
          <w:color w:val="000000" w:themeColor="text1"/>
          <w:kern w:val="0"/>
          <w:sz w:val="28"/>
          <w:szCs w:val="28"/>
          <w14:textFill>
            <w14:solidFill>
              <w14:schemeClr w14:val="tx1"/>
            </w14:solidFill>
          </w14:textFill>
        </w:rPr>
        <w:t>Technical Specification for closed pneumatic conveying system of domestic waste</w:t>
      </w:r>
    </w:p>
    <w:p>
      <w:pPr>
        <w:widowControl/>
        <w:snapToGrid w:val="0"/>
        <w:spacing w:before="156" w:after="156" w:line="360" w:lineRule="auto"/>
        <w:ind w:left="187" w:leftChars="85"/>
        <w:jc w:val="center"/>
        <w:rPr>
          <w:rFonts w:ascii="Times New Roman" w:hAnsi="Times New Roman" w:eastAsia="宋体" w:cs="Times New Roman"/>
          <w:kern w:val="0"/>
          <w:sz w:val="32"/>
          <w:szCs w:val="32"/>
          <w:lang w:val="en-US" w:eastAsia="zh-CN" w:bidi="ar-SA"/>
        </w:rPr>
      </w:pPr>
    </w:p>
    <w:p>
      <w:pPr>
        <w:widowControl w:val="0"/>
        <w:spacing w:after="0" w:line="360" w:lineRule="auto"/>
        <w:jc w:val="center"/>
        <w:rPr>
          <w:rFonts w:ascii="Times New Roman" w:hAnsi="Times New Roman" w:eastAsia="宋体" w:cs="Times New Roman"/>
          <w:b/>
          <w:kern w:val="2"/>
          <w:sz w:val="24"/>
          <w:szCs w:val="24"/>
        </w:rPr>
      </w:pPr>
      <w:r>
        <w:rPr>
          <w:rFonts w:ascii="Times New Roman" w:hAnsi="Times New Roman" w:eastAsia="宋体" w:cs="Times New Roman"/>
          <w:b/>
          <w:kern w:val="2"/>
          <w:sz w:val="24"/>
          <w:szCs w:val="24"/>
        </w:rPr>
        <w:t xml:space="preserve">T/CECS </w:t>
      </w:r>
      <w:r>
        <w:rPr>
          <w:rFonts w:hint="eastAsia" w:ascii="Times New Roman" w:hAnsi="Times New Roman" w:eastAsia="宋体" w:cs="Times New Roman"/>
          <w:b/>
          <w:kern w:val="2"/>
          <w:sz w:val="24"/>
          <w:szCs w:val="24"/>
        </w:rPr>
        <w:t>xxx－202x</w:t>
      </w:r>
    </w:p>
    <w:p>
      <w:pPr>
        <w:widowControl w:val="0"/>
        <w:snapToGrid w:val="0"/>
        <w:spacing w:after="0" w:line="312" w:lineRule="auto"/>
        <w:ind w:firstLine="1600" w:firstLineChars="500"/>
        <w:rPr>
          <w:rFonts w:ascii="Times New Roman" w:hAnsi="Times New Roman" w:cs="Times New Roman"/>
          <w:kern w:val="2"/>
          <w:sz w:val="32"/>
          <w:szCs w:val="32"/>
        </w:rPr>
      </w:pPr>
    </w:p>
    <w:p>
      <w:pPr>
        <w:widowControl w:val="0"/>
        <w:snapToGrid w:val="0"/>
        <w:spacing w:after="0" w:line="312" w:lineRule="auto"/>
        <w:ind w:firstLine="1600" w:firstLineChars="500"/>
        <w:rPr>
          <w:rFonts w:ascii="Times New Roman" w:hAnsi="Times New Roman" w:cs="Times New Roman"/>
          <w:kern w:val="2"/>
          <w:sz w:val="32"/>
          <w:szCs w:val="32"/>
        </w:rPr>
      </w:pPr>
    </w:p>
    <w:p>
      <w:pPr>
        <w:widowControl w:val="0"/>
        <w:snapToGrid w:val="0"/>
        <w:spacing w:after="0" w:line="312" w:lineRule="auto"/>
        <w:ind w:firstLine="1600" w:firstLineChars="500"/>
        <w:rPr>
          <w:rFonts w:ascii="Times New Roman" w:hAnsi="Times New Roman" w:cs="Times New Roman"/>
          <w:kern w:val="2"/>
          <w:sz w:val="32"/>
          <w:szCs w:val="32"/>
        </w:rPr>
      </w:pPr>
    </w:p>
    <w:p>
      <w:pPr>
        <w:widowControl w:val="0"/>
        <w:snapToGrid w:val="0"/>
        <w:spacing w:after="0" w:line="312" w:lineRule="auto"/>
        <w:ind w:firstLine="1400" w:firstLineChars="500"/>
        <w:rPr>
          <w:rFonts w:ascii="Times New Roman" w:hAnsi="Times New Roman" w:cs="Times New Roman"/>
          <w:kern w:val="2"/>
          <w:sz w:val="28"/>
          <w:szCs w:val="28"/>
        </w:rPr>
      </w:pPr>
      <w:r>
        <w:rPr>
          <w:rFonts w:hint="eastAsia" w:ascii="Times New Roman" w:hAnsi="Times New Roman" w:cs="Times New Roman"/>
          <w:kern w:val="2"/>
          <w:sz w:val="28"/>
          <w:szCs w:val="28"/>
        </w:rPr>
        <w:t>主编单位：</w:t>
      </w:r>
      <w:r>
        <w:rPr>
          <w:rFonts w:hint="eastAsia" w:ascii="Times New Roman" w:hAnsi="Times New Roman" w:cs="Times New Roman"/>
          <w:color w:val="000000"/>
          <w:kern w:val="2"/>
          <w:sz w:val="28"/>
          <w:szCs w:val="28"/>
        </w:rPr>
        <w:t>中国建筑设计研究院有限公司</w:t>
      </w:r>
    </w:p>
    <w:p>
      <w:pPr>
        <w:widowControl w:val="0"/>
        <w:snapToGrid w:val="0"/>
        <w:spacing w:after="0" w:line="312" w:lineRule="auto"/>
        <w:ind w:firstLine="1400" w:firstLineChars="500"/>
        <w:rPr>
          <w:rFonts w:ascii="Times New Roman" w:hAnsi="Times New Roman" w:cs="Times New Roman"/>
          <w:kern w:val="2"/>
          <w:sz w:val="28"/>
          <w:szCs w:val="28"/>
        </w:rPr>
      </w:pPr>
      <w:r>
        <w:rPr>
          <w:rFonts w:hint="eastAsia" w:ascii="Times New Roman" w:hAnsi="Times New Roman" w:cs="Times New Roman"/>
          <w:kern w:val="2"/>
          <w:sz w:val="28"/>
          <w:szCs w:val="28"/>
        </w:rPr>
        <w:t>批准单位：中国工程建设标准化协会</w:t>
      </w:r>
    </w:p>
    <w:p>
      <w:pPr>
        <w:widowControl w:val="0"/>
        <w:snapToGrid w:val="0"/>
        <w:spacing w:after="0" w:line="312" w:lineRule="auto"/>
        <w:ind w:firstLine="1400" w:firstLineChars="500"/>
        <w:rPr>
          <w:rFonts w:ascii="Times New Roman" w:hAnsi="Times New Roman" w:cs="Times New Roman"/>
          <w:kern w:val="2"/>
          <w:sz w:val="28"/>
          <w:szCs w:val="28"/>
        </w:rPr>
      </w:pPr>
      <w:r>
        <w:rPr>
          <w:rFonts w:hint="eastAsia" w:ascii="Times New Roman" w:hAnsi="Times New Roman" w:cs="Times New Roman"/>
          <w:kern w:val="2"/>
          <w:sz w:val="28"/>
          <w:szCs w:val="28"/>
        </w:rPr>
        <w:t>施行日期：</w:t>
      </w:r>
      <w:r>
        <w:rPr>
          <w:rFonts w:ascii="Times New Roman" w:hAnsi="Times New Roman" w:cs="Times New Roman"/>
          <w:kern w:val="2"/>
          <w:sz w:val="28"/>
          <w:szCs w:val="28"/>
        </w:rPr>
        <w:t>20</w:t>
      </w:r>
      <w:r>
        <w:rPr>
          <w:rFonts w:hint="eastAsia" w:ascii="Times New Roman" w:hAnsi="Times New Roman" w:cs="Times New Roman"/>
          <w:kern w:val="2"/>
          <w:sz w:val="28"/>
          <w:szCs w:val="28"/>
        </w:rPr>
        <w:t>2</w:t>
      </w:r>
      <w:r>
        <w:rPr>
          <w:rFonts w:ascii="Times New Roman" w:hAnsi="Times New Roman" w:cs="Times New Roman"/>
          <w:kern w:val="2"/>
          <w:sz w:val="28"/>
          <w:szCs w:val="28"/>
        </w:rPr>
        <w:t>X</w:t>
      </w:r>
      <w:r>
        <w:rPr>
          <w:rFonts w:hint="eastAsia" w:ascii="Times New Roman" w:hAnsi="Times New Roman" w:cs="Times New Roman"/>
          <w:kern w:val="2"/>
          <w:sz w:val="28"/>
          <w:szCs w:val="28"/>
        </w:rPr>
        <w:t>年</w:t>
      </w:r>
      <w:r>
        <w:rPr>
          <w:rFonts w:ascii="Times New Roman" w:hAnsi="Times New Roman" w:cs="Times New Roman"/>
          <w:kern w:val="2"/>
          <w:sz w:val="28"/>
          <w:szCs w:val="28"/>
        </w:rPr>
        <w:t>XX</w:t>
      </w:r>
      <w:r>
        <w:rPr>
          <w:rFonts w:hint="eastAsia" w:ascii="Times New Roman" w:hAnsi="Times New Roman" w:cs="Times New Roman"/>
          <w:kern w:val="2"/>
          <w:sz w:val="28"/>
          <w:szCs w:val="28"/>
        </w:rPr>
        <w:t>月</w:t>
      </w:r>
      <w:r>
        <w:rPr>
          <w:rFonts w:ascii="Times New Roman" w:hAnsi="Times New Roman" w:cs="Times New Roman"/>
          <w:kern w:val="2"/>
          <w:sz w:val="28"/>
          <w:szCs w:val="28"/>
        </w:rPr>
        <w:t>XX</w:t>
      </w:r>
      <w:r>
        <w:rPr>
          <w:rFonts w:hint="eastAsia" w:ascii="Times New Roman" w:hAnsi="Times New Roman" w:cs="Times New Roman"/>
          <w:kern w:val="2"/>
          <w:sz w:val="28"/>
          <w:szCs w:val="28"/>
        </w:rPr>
        <w:t>日</w:t>
      </w:r>
    </w:p>
    <w:p>
      <w:pPr>
        <w:widowControl w:val="0"/>
        <w:snapToGrid w:val="0"/>
        <w:spacing w:after="0" w:line="312" w:lineRule="auto"/>
        <w:rPr>
          <w:rFonts w:ascii="Times New Roman" w:hAnsi="Times New Roman" w:cs="Times New Roman"/>
          <w:kern w:val="2"/>
          <w:sz w:val="21"/>
          <w:szCs w:val="24"/>
        </w:rPr>
      </w:pPr>
    </w:p>
    <w:p>
      <w:pPr>
        <w:widowControl w:val="0"/>
        <w:snapToGrid w:val="0"/>
        <w:spacing w:after="0" w:line="312" w:lineRule="auto"/>
        <w:rPr>
          <w:rFonts w:ascii="Times New Roman" w:hAnsi="Times New Roman" w:cs="Times New Roman"/>
          <w:kern w:val="2"/>
          <w:sz w:val="21"/>
          <w:szCs w:val="24"/>
        </w:rPr>
      </w:pPr>
    </w:p>
    <w:p>
      <w:pPr>
        <w:widowControl w:val="0"/>
        <w:snapToGrid w:val="0"/>
        <w:spacing w:after="0" w:line="312" w:lineRule="auto"/>
        <w:rPr>
          <w:rFonts w:ascii="Times New Roman" w:hAnsi="Times New Roman" w:cs="Times New Roman"/>
          <w:kern w:val="2"/>
          <w:sz w:val="30"/>
          <w:szCs w:val="30"/>
        </w:rPr>
      </w:pPr>
    </w:p>
    <w:p>
      <w:pPr>
        <w:widowControl w:val="0"/>
        <w:snapToGrid w:val="0"/>
        <w:spacing w:after="0" w:line="312" w:lineRule="auto"/>
        <w:jc w:val="center"/>
        <w:rPr>
          <w:rFonts w:ascii="Times New Roman" w:hAnsi="Times New Roman" w:cs="Times New Roman"/>
          <w:kern w:val="2"/>
          <w:sz w:val="30"/>
          <w:szCs w:val="30"/>
        </w:rPr>
      </w:pPr>
    </w:p>
    <w:p>
      <w:pPr>
        <w:widowControl w:val="0"/>
        <w:snapToGrid w:val="0"/>
        <w:spacing w:after="0" w:line="312" w:lineRule="auto"/>
        <w:jc w:val="center"/>
        <w:rPr>
          <w:rFonts w:ascii="Times New Roman" w:hAnsi="Times New Roman" w:cs="Times New Roman"/>
          <w:kern w:val="2"/>
          <w:sz w:val="30"/>
          <w:szCs w:val="30"/>
        </w:rPr>
      </w:pPr>
    </w:p>
    <w:p>
      <w:pPr>
        <w:widowControl w:val="0"/>
        <w:snapToGrid w:val="0"/>
        <w:spacing w:after="0" w:line="312" w:lineRule="auto"/>
        <w:jc w:val="center"/>
        <w:rPr>
          <w:rFonts w:ascii="Times New Roman" w:hAnsi="Times New Roman" w:cs="Times New Roman"/>
          <w:kern w:val="2"/>
          <w:sz w:val="30"/>
          <w:szCs w:val="30"/>
        </w:rPr>
      </w:pPr>
    </w:p>
    <w:p>
      <w:pPr>
        <w:widowControl w:val="0"/>
        <w:snapToGrid w:val="0"/>
        <w:spacing w:after="0" w:line="312" w:lineRule="auto"/>
        <w:jc w:val="center"/>
        <w:rPr>
          <w:rFonts w:ascii="Times New Roman" w:hAnsi="Times New Roman" w:cs="Times New Roman"/>
          <w:kern w:val="2"/>
          <w:sz w:val="30"/>
          <w:szCs w:val="30"/>
        </w:rPr>
      </w:pPr>
    </w:p>
    <w:p>
      <w:pPr>
        <w:widowControl w:val="0"/>
        <w:snapToGrid w:val="0"/>
        <w:spacing w:after="0" w:line="312" w:lineRule="auto"/>
        <w:jc w:val="center"/>
        <w:rPr>
          <w:rFonts w:ascii="Times New Roman" w:hAnsi="Times New Roman" w:cs="Times New Roman"/>
          <w:kern w:val="2"/>
          <w:sz w:val="30"/>
          <w:szCs w:val="30"/>
        </w:rPr>
      </w:pPr>
    </w:p>
    <w:p>
      <w:pPr>
        <w:widowControl w:val="0"/>
        <w:snapToGrid w:val="0"/>
        <w:spacing w:after="0" w:line="312" w:lineRule="auto"/>
        <w:jc w:val="center"/>
        <w:rPr>
          <w:rFonts w:ascii="Times New Roman" w:hAnsi="Times New Roman" w:cs="Times New Roman"/>
          <w:kern w:val="2"/>
          <w:sz w:val="30"/>
          <w:szCs w:val="30"/>
        </w:rPr>
      </w:pPr>
    </w:p>
    <w:p>
      <w:pPr>
        <w:widowControl w:val="0"/>
        <w:snapToGrid w:val="0"/>
        <w:spacing w:after="0" w:line="312" w:lineRule="auto"/>
        <w:jc w:val="center"/>
        <w:rPr>
          <w:rFonts w:ascii="Times New Roman" w:hAnsi="Times New Roman" w:cs="Times New Roman"/>
          <w:kern w:val="2"/>
          <w:sz w:val="30"/>
          <w:szCs w:val="30"/>
        </w:rPr>
      </w:pPr>
      <w:r>
        <w:rPr>
          <w:rFonts w:hint="eastAsia" w:ascii="Times New Roman" w:hAnsi="Times New Roman" w:cs="Times New Roman"/>
          <w:kern w:val="2"/>
          <w:sz w:val="30"/>
          <w:szCs w:val="30"/>
        </w:rPr>
        <w:t>中 国 X X出 版 社</w:t>
      </w:r>
    </w:p>
    <w:p>
      <w:pPr>
        <w:jc w:val="center"/>
        <w:rPr>
          <w:rFonts w:cs="Times New Roman"/>
          <w:b/>
          <w:color w:val="000000" w:themeColor="text1"/>
          <w:sz w:val="28"/>
          <w:szCs w:val="36"/>
          <w:highlight w:val="none"/>
          <w14:textFill>
            <w14:solidFill>
              <w14:schemeClr w14:val="tx1"/>
            </w14:solidFill>
          </w14:textFill>
        </w:rPr>
      </w:pPr>
      <w:r>
        <w:rPr>
          <w:rFonts w:ascii="Times New Roman" w:hAnsi="Times New Roman" w:cs="Times New Roman"/>
          <w:kern w:val="2"/>
          <w:sz w:val="28"/>
          <w:szCs w:val="28"/>
        </w:rPr>
        <w:t>20</w:t>
      </w:r>
      <w:r>
        <w:rPr>
          <w:rFonts w:hint="eastAsia" w:ascii="Times New Roman" w:hAnsi="Times New Roman" w:cs="Times New Roman"/>
          <w:kern w:val="2"/>
          <w:sz w:val="28"/>
          <w:szCs w:val="28"/>
        </w:rPr>
        <w:t>2</w:t>
      </w:r>
      <w:r>
        <w:rPr>
          <w:rFonts w:ascii="Times New Roman" w:hAnsi="Times New Roman" w:cs="Times New Roman"/>
          <w:kern w:val="2"/>
          <w:sz w:val="28"/>
          <w:szCs w:val="28"/>
        </w:rPr>
        <w:t>X</w:t>
      </w:r>
      <w:r>
        <w:rPr>
          <w:rFonts w:hint="eastAsia" w:ascii="Times New Roman" w:hAnsi="Times New Roman" w:cs="Times New Roman"/>
          <w:kern w:val="2"/>
          <w:sz w:val="28"/>
          <w:szCs w:val="28"/>
        </w:rPr>
        <w:t>年  北  京</w:t>
      </w:r>
    </w:p>
    <w:p>
      <w:pPr>
        <w:jc w:val="center"/>
        <w:rPr>
          <w:rFonts w:cs="Times New Roman"/>
          <w:b/>
          <w:bCs/>
          <w:color w:val="000000" w:themeColor="text1"/>
          <w:sz w:val="32"/>
          <w:szCs w:val="40"/>
          <w:highlight w:val="none"/>
          <w14:textFill>
            <w14:solidFill>
              <w14:schemeClr w14:val="tx1"/>
            </w14:solidFill>
          </w14:textFill>
        </w:rPr>
        <w:sectPr>
          <w:pgSz w:w="11906" w:h="16838"/>
          <w:pgMar w:top="1440" w:right="1800" w:bottom="1440" w:left="1800" w:header="851" w:footer="444" w:gutter="0"/>
          <w:cols w:space="720" w:num="1"/>
          <w:docGrid w:type="lines" w:linePitch="312" w:charSpace="0"/>
        </w:sectPr>
      </w:pPr>
    </w:p>
    <w:p>
      <w:pPr>
        <w:jc w:val="center"/>
        <w:rPr>
          <w:rFonts w:cs="Times New Roman"/>
          <w:b/>
          <w:bCs/>
          <w:color w:val="000000" w:themeColor="text1"/>
          <w:sz w:val="32"/>
          <w:szCs w:val="40"/>
          <w:highlight w:val="none"/>
          <w14:textFill>
            <w14:solidFill>
              <w14:schemeClr w14:val="tx1"/>
            </w14:solidFill>
          </w14:textFill>
        </w:rPr>
      </w:pPr>
    </w:p>
    <w:p>
      <w:pPr>
        <w:jc w:val="center"/>
        <w:rPr>
          <w:rFonts w:eastAsia="黑体" w:cs="Times New Roman"/>
          <w:color w:val="000000" w:themeColor="text1"/>
          <w:sz w:val="32"/>
          <w:szCs w:val="21"/>
          <w:highlight w:val="none"/>
          <w14:textFill>
            <w14:solidFill>
              <w14:schemeClr w14:val="tx1"/>
            </w14:solidFill>
          </w14:textFill>
        </w:rPr>
      </w:pPr>
      <w:bookmarkStart w:id="0" w:name="_Toc479244224"/>
      <w:bookmarkStart w:id="1" w:name="_Toc479244497"/>
      <w:r>
        <w:rPr>
          <w:rFonts w:eastAsia="黑体" w:cs="Times New Roman"/>
          <w:color w:val="000000" w:themeColor="text1"/>
          <w:sz w:val="32"/>
          <w:szCs w:val="21"/>
          <w:highlight w:val="none"/>
          <w14:textFill>
            <w14:solidFill>
              <w14:schemeClr w14:val="tx1"/>
            </w14:solidFill>
          </w14:textFill>
        </w:rPr>
        <w:t>前    言</w:t>
      </w:r>
      <w:bookmarkEnd w:id="0"/>
      <w:bookmarkEnd w:id="1"/>
    </w:p>
    <w:p>
      <w:pPr>
        <w:adjustRightInd w:val="0"/>
        <w:snapToGrid w:val="0"/>
        <w:spacing w:after="0" w:line="360" w:lineRule="auto"/>
        <w:ind w:firstLine="480" w:firstLineChars="200"/>
        <w:rPr>
          <w:rFonts w:cs="Times New Roman"/>
          <w:color w:val="000000" w:themeColor="text1"/>
          <w:sz w:val="24"/>
          <w:highlight w:val="none"/>
          <w14:textFill>
            <w14:solidFill>
              <w14:schemeClr w14:val="tx1"/>
            </w14:solidFill>
          </w14:textFill>
        </w:rPr>
      </w:pPr>
      <w:r>
        <w:rPr>
          <w:rFonts w:cs="Times New Roman"/>
          <w:color w:val="000000" w:themeColor="text1"/>
          <w:sz w:val="24"/>
          <w:highlight w:val="none"/>
          <w14:textFill>
            <w14:solidFill>
              <w14:schemeClr w14:val="tx1"/>
            </w14:solidFill>
          </w14:textFill>
        </w:rPr>
        <w:t>根据中国工程建设标准化协会</w:t>
      </w:r>
      <w:r>
        <w:rPr>
          <w:rFonts w:hint="eastAsia" w:cs="Times New Roman"/>
          <w:color w:val="000000" w:themeColor="text1"/>
          <w:sz w:val="24"/>
          <w:highlight w:val="none"/>
          <w14:textFill>
            <w14:solidFill>
              <w14:schemeClr w14:val="tx1"/>
            </w14:solidFill>
          </w14:textFill>
        </w:rPr>
        <w:t>《</w:t>
      </w:r>
      <w:r>
        <w:rPr>
          <w:rFonts w:cs="Times New Roman"/>
          <w:color w:val="000000" w:themeColor="text1"/>
          <w:sz w:val="24"/>
          <w:highlight w:val="none"/>
          <w14:textFill>
            <w14:solidFill>
              <w14:schemeClr w14:val="tx1"/>
            </w14:solidFill>
          </w14:textFill>
        </w:rPr>
        <w:t>关于印发</w:t>
      </w:r>
      <w:r>
        <w:rPr>
          <w:rFonts w:hint="eastAsia" w:cs="Times New Roman"/>
          <w:color w:val="000000" w:themeColor="text1"/>
          <w:sz w:val="24"/>
          <w:highlight w:val="none"/>
          <w14:textFill>
            <w14:solidFill>
              <w14:schemeClr w14:val="tx1"/>
            </w14:solidFill>
          </w14:textFill>
        </w:rPr>
        <w:t>&lt;</w:t>
      </w:r>
      <w:r>
        <w:rPr>
          <w:rFonts w:cs="Times New Roman"/>
          <w:color w:val="000000" w:themeColor="text1"/>
          <w:sz w:val="24"/>
          <w:highlight w:val="none"/>
          <w14:textFill>
            <w14:solidFill>
              <w14:schemeClr w14:val="tx1"/>
            </w14:solidFill>
          </w14:textFill>
        </w:rPr>
        <w:t>20</w:t>
      </w:r>
      <w:r>
        <w:rPr>
          <w:rFonts w:hint="eastAsia" w:cs="Times New Roman"/>
          <w:color w:val="000000" w:themeColor="text1"/>
          <w:sz w:val="24"/>
          <w:highlight w:val="none"/>
          <w:lang w:val="en-US" w:eastAsia="zh-CN"/>
          <w14:textFill>
            <w14:solidFill>
              <w14:schemeClr w14:val="tx1"/>
            </w14:solidFill>
          </w14:textFill>
        </w:rPr>
        <w:t>20</w:t>
      </w:r>
      <w:r>
        <w:rPr>
          <w:rFonts w:cs="Times New Roman"/>
          <w:color w:val="000000" w:themeColor="text1"/>
          <w:sz w:val="24"/>
          <w:highlight w:val="none"/>
          <w14:textFill>
            <w14:solidFill>
              <w14:schemeClr w14:val="tx1"/>
            </w14:solidFill>
          </w14:textFill>
        </w:rPr>
        <w:t>年第</w:t>
      </w:r>
      <w:r>
        <w:rPr>
          <w:rFonts w:hint="eastAsia" w:cs="Times New Roman"/>
          <w:color w:val="000000" w:themeColor="text1"/>
          <w:sz w:val="24"/>
          <w:highlight w:val="none"/>
          <w:lang w:val="en-US" w:eastAsia="zh-CN"/>
          <w14:textFill>
            <w14:solidFill>
              <w14:schemeClr w14:val="tx1"/>
            </w14:solidFill>
          </w14:textFill>
        </w:rPr>
        <w:t>一</w:t>
      </w:r>
      <w:r>
        <w:rPr>
          <w:rFonts w:cs="Times New Roman"/>
          <w:color w:val="000000" w:themeColor="text1"/>
          <w:sz w:val="24"/>
          <w:highlight w:val="none"/>
          <w14:textFill>
            <w14:solidFill>
              <w14:schemeClr w14:val="tx1"/>
            </w14:solidFill>
          </w14:textFill>
        </w:rPr>
        <w:t>批工程建设协会标准制</w:t>
      </w:r>
      <w:r>
        <w:rPr>
          <w:rFonts w:hint="eastAsia" w:cs="Times New Roman"/>
          <w:color w:val="000000" w:themeColor="text1"/>
          <w:sz w:val="24"/>
          <w:highlight w:val="none"/>
          <w14:textFill>
            <w14:solidFill>
              <w14:schemeClr w14:val="tx1"/>
            </w14:solidFill>
          </w14:textFill>
        </w:rPr>
        <w:t>订</w:t>
      </w:r>
      <w:r>
        <w:rPr>
          <w:rFonts w:cs="Times New Roman"/>
          <w:color w:val="000000" w:themeColor="text1"/>
          <w:sz w:val="24"/>
          <w:highlight w:val="none"/>
          <w14:textFill>
            <w14:solidFill>
              <w14:schemeClr w14:val="tx1"/>
            </w14:solidFill>
          </w14:textFill>
        </w:rPr>
        <w:t>、修订计划</w:t>
      </w:r>
      <w:r>
        <w:rPr>
          <w:rFonts w:hint="eastAsia" w:cs="Times New Roman"/>
          <w:color w:val="000000" w:themeColor="text1"/>
          <w:sz w:val="24"/>
          <w:highlight w:val="none"/>
          <w14:textFill>
            <w14:solidFill>
              <w14:schemeClr w14:val="tx1"/>
            </w14:solidFill>
          </w14:textFill>
        </w:rPr>
        <w:t>&gt;</w:t>
      </w:r>
      <w:r>
        <w:rPr>
          <w:rFonts w:cs="Times New Roman"/>
          <w:color w:val="000000" w:themeColor="text1"/>
          <w:sz w:val="24"/>
          <w:highlight w:val="none"/>
          <w14:textFill>
            <w14:solidFill>
              <w14:schemeClr w14:val="tx1"/>
            </w14:solidFill>
          </w14:textFill>
        </w:rPr>
        <w:t>的通知</w:t>
      </w:r>
      <w:r>
        <w:rPr>
          <w:rFonts w:hint="eastAsia" w:cs="Times New Roman"/>
          <w:color w:val="000000" w:themeColor="text1"/>
          <w:sz w:val="24"/>
          <w:highlight w:val="none"/>
          <w14:textFill>
            <w14:solidFill>
              <w14:schemeClr w14:val="tx1"/>
            </w14:solidFill>
          </w14:textFill>
        </w:rPr>
        <w:t>》</w:t>
      </w:r>
      <w:r>
        <w:rPr>
          <w:rFonts w:cs="Times New Roman"/>
          <w:color w:val="000000" w:themeColor="text1"/>
          <w:sz w:val="24"/>
          <w:highlight w:val="none"/>
          <w14:textFill>
            <w14:solidFill>
              <w14:schemeClr w14:val="tx1"/>
            </w14:solidFill>
          </w14:textFill>
        </w:rPr>
        <w:t>（建标协字〔20</w:t>
      </w:r>
      <w:r>
        <w:rPr>
          <w:rFonts w:hint="eastAsia" w:cs="Times New Roman"/>
          <w:color w:val="000000" w:themeColor="text1"/>
          <w:sz w:val="24"/>
          <w:highlight w:val="none"/>
          <w:lang w:val="en-US" w:eastAsia="zh-CN"/>
          <w14:textFill>
            <w14:solidFill>
              <w14:schemeClr w14:val="tx1"/>
            </w14:solidFill>
          </w14:textFill>
        </w:rPr>
        <w:t>20</w:t>
      </w:r>
      <w:r>
        <w:rPr>
          <w:rFonts w:cs="Times New Roman"/>
          <w:color w:val="000000" w:themeColor="text1"/>
          <w:sz w:val="24"/>
          <w:highlight w:val="none"/>
          <w14:textFill>
            <w14:solidFill>
              <w14:schemeClr w14:val="tx1"/>
            </w14:solidFill>
          </w14:textFill>
        </w:rPr>
        <w:t>〕</w:t>
      </w:r>
      <w:r>
        <w:rPr>
          <w:rFonts w:hint="eastAsia" w:cs="Times New Roman"/>
          <w:color w:val="000000" w:themeColor="text1"/>
          <w:sz w:val="24"/>
          <w:highlight w:val="none"/>
          <w:lang w:val="en-US" w:eastAsia="zh-CN"/>
          <w14:textFill>
            <w14:solidFill>
              <w14:schemeClr w14:val="tx1"/>
            </w14:solidFill>
          </w14:textFill>
        </w:rPr>
        <w:t>14</w:t>
      </w:r>
      <w:r>
        <w:rPr>
          <w:rFonts w:cs="Times New Roman"/>
          <w:color w:val="000000" w:themeColor="text1"/>
          <w:sz w:val="24"/>
          <w:highlight w:val="none"/>
          <w14:textFill>
            <w14:solidFill>
              <w14:schemeClr w14:val="tx1"/>
            </w14:solidFill>
          </w14:textFill>
        </w:rPr>
        <w:t>号）的要求，</w:t>
      </w:r>
      <w:r>
        <w:rPr>
          <w:sz w:val="24"/>
        </w:rPr>
        <w:t>编制组经</w:t>
      </w:r>
      <w:r>
        <w:rPr>
          <w:rFonts w:hint="eastAsia"/>
          <w:sz w:val="24"/>
        </w:rPr>
        <w:t>深入</w:t>
      </w:r>
      <w:r>
        <w:rPr>
          <w:sz w:val="24"/>
        </w:rPr>
        <w:t>调查研究，认真总结实践经验，</w:t>
      </w:r>
      <w:r>
        <w:rPr>
          <w:rFonts w:hint="eastAsia"/>
          <w:sz w:val="24"/>
        </w:rPr>
        <w:t>参考国内外先进标准</w:t>
      </w:r>
      <w:r>
        <w:rPr>
          <w:sz w:val="24"/>
        </w:rPr>
        <w:t>，并</w:t>
      </w:r>
      <w:r>
        <w:rPr>
          <w:rFonts w:hint="eastAsia"/>
          <w:sz w:val="24"/>
        </w:rPr>
        <w:t>在</w:t>
      </w:r>
      <w:r>
        <w:rPr>
          <w:sz w:val="24"/>
        </w:rPr>
        <w:t>广泛征求意见</w:t>
      </w:r>
      <w:r>
        <w:rPr>
          <w:rFonts w:hint="eastAsia"/>
          <w:sz w:val="24"/>
        </w:rPr>
        <w:t>的基础上</w:t>
      </w:r>
      <w:r>
        <w:rPr>
          <w:sz w:val="24"/>
        </w:rPr>
        <w:t>，制定本</w:t>
      </w:r>
      <w:r>
        <w:rPr>
          <w:rFonts w:hint="eastAsia"/>
          <w:sz w:val="24"/>
        </w:rPr>
        <w:t>规程</w:t>
      </w:r>
      <w:r>
        <w:rPr>
          <w:sz w:val="24"/>
        </w:rPr>
        <w:t>。</w:t>
      </w:r>
    </w:p>
    <w:p>
      <w:pPr>
        <w:adjustRightInd w:val="0"/>
        <w:snapToGrid w:val="0"/>
        <w:spacing w:after="0" w:line="360" w:lineRule="auto"/>
        <w:ind w:firstLine="480" w:firstLineChars="200"/>
        <w:rPr>
          <w:rFonts w:cs="Times New Roman"/>
          <w:color w:val="000000" w:themeColor="text1"/>
          <w:sz w:val="24"/>
          <w:highlight w:val="none"/>
          <w14:textFill>
            <w14:solidFill>
              <w14:schemeClr w14:val="tx1"/>
            </w14:solidFill>
          </w14:textFill>
        </w:rPr>
      </w:pPr>
      <w:r>
        <w:rPr>
          <w:rFonts w:cs="Times New Roman"/>
          <w:color w:val="000000" w:themeColor="text1"/>
          <w:sz w:val="24"/>
          <w:highlight w:val="none"/>
          <w14:textFill>
            <w14:solidFill>
              <w14:schemeClr w14:val="tx1"/>
            </w14:solidFill>
          </w14:textFill>
        </w:rPr>
        <w:t>本规程</w:t>
      </w:r>
      <w:r>
        <w:rPr>
          <w:rFonts w:hint="eastAsia" w:cs="Times New Roman"/>
          <w:color w:val="000000" w:themeColor="text1"/>
          <w:sz w:val="24"/>
          <w:highlight w:val="none"/>
          <w14:textFill>
            <w14:solidFill>
              <w14:schemeClr w14:val="tx1"/>
            </w14:solidFill>
          </w14:textFill>
        </w:rPr>
        <w:t>共分为</w:t>
      </w:r>
      <w:r>
        <w:rPr>
          <w:rFonts w:hint="eastAsia" w:cs="Times New Roman"/>
          <w:color w:val="000000" w:themeColor="text1"/>
          <w:sz w:val="24"/>
          <w:highlight w:val="none"/>
          <w:lang w:val="en-US" w:eastAsia="zh-CN"/>
          <w14:textFill>
            <w14:solidFill>
              <w14:schemeClr w14:val="tx1"/>
            </w14:solidFill>
          </w14:textFill>
        </w:rPr>
        <w:t>9</w:t>
      </w:r>
      <w:r>
        <w:rPr>
          <w:rFonts w:hint="eastAsia" w:cs="Times New Roman"/>
          <w:color w:val="000000" w:themeColor="text1"/>
          <w:sz w:val="24"/>
          <w:highlight w:val="none"/>
          <w14:textFill>
            <w14:solidFill>
              <w14:schemeClr w14:val="tx1"/>
            </w14:solidFill>
          </w14:textFill>
        </w:rPr>
        <w:t>章，主要技术</w:t>
      </w:r>
      <w:r>
        <w:rPr>
          <w:rFonts w:cs="Times New Roman"/>
          <w:color w:val="000000" w:themeColor="text1"/>
          <w:sz w:val="24"/>
          <w:highlight w:val="none"/>
          <w14:textFill>
            <w14:solidFill>
              <w14:schemeClr w14:val="tx1"/>
            </w14:solidFill>
          </w14:textFill>
        </w:rPr>
        <w:t>内容包括</w:t>
      </w:r>
      <w:r>
        <w:rPr>
          <w:rFonts w:hint="eastAsia" w:cs="Times New Roman"/>
          <w:color w:val="000000" w:themeColor="text1"/>
          <w:sz w:val="24"/>
          <w:highlight w:val="none"/>
          <w14:textFill>
            <w14:solidFill>
              <w14:schemeClr w14:val="tx1"/>
            </w14:solidFill>
          </w14:textFill>
        </w:rPr>
        <w:t>：</w:t>
      </w:r>
      <w:r>
        <w:rPr>
          <w:rFonts w:cs="Times New Roman"/>
          <w:color w:val="000000" w:themeColor="text1"/>
          <w:sz w:val="24"/>
          <w:highlight w:val="none"/>
          <w14:textFill>
            <w14:solidFill>
              <w14:schemeClr w14:val="tx1"/>
            </w14:solidFill>
          </w14:textFill>
        </w:rPr>
        <w:t>总则、术语、</w:t>
      </w:r>
      <w:r>
        <w:rPr>
          <w:rFonts w:hint="eastAsia" w:cs="Times New Roman"/>
          <w:color w:val="000000" w:themeColor="text1"/>
          <w:sz w:val="24"/>
          <w:highlight w:val="none"/>
          <w:lang w:val="en-US" w:eastAsia="zh-CN"/>
          <w14:textFill>
            <w14:solidFill>
              <w14:schemeClr w14:val="tx1"/>
            </w14:solidFill>
          </w14:textFill>
        </w:rPr>
        <w:t>一般</w:t>
      </w:r>
      <w:r>
        <w:rPr>
          <w:rFonts w:cs="Times New Roman"/>
          <w:color w:val="000000" w:themeColor="text1"/>
          <w:sz w:val="24"/>
          <w:highlight w:val="none"/>
          <w14:textFill>
            <w14:solidFill>
              <w14:schemeClr w14:val="tx1"/>
            </w14:solidFill>
          </w14:textFill>
        </w:rPr>
        <w:t>规定、</w:t>
      </w:r>
      <w:r>
        <w:rPr>
          <w:rFonts w:hint="eastAsia" w:cs="Times New Roman"/>
          <w:color w:val="000000" w:themeColor="text1"/>
          <w:sz w:val="24"/>
          <w:highlight w:val="none"/>
          <w:lang w:val="en-US" w:eastAsia="zh-CN"/>
          <w14:textFill>
            <w14:solidFill>
              <w14:schemeClr w14:val="tx1"/>
            </w14:solidFill>
          </w14:textFill>
        </w:rPr>
        <w:t>投放</w:t>
      </w:r>
      <w:r>
        <w:rPr>
          <w:rFonts w:cs="Times New Roman"/>
          <w:color w:val="000000" w:themeColor="text1"/>
          <w:sz w:val="24"/>
          <w:highlight w:val="none"/>
          <w14:textFill>
            <w14:solidFill>
              <w14:schemeClr w14:val="tx1"/>
            </w14:solidFill>
          </w14:textFill>
        </w:rPr>
        <w:t>系统、</w:t>
      </w:r>
      <w:r>
        <w:rPr>
          <w:rFonts w:hint="eastAsia" w:cs="Times New Roman"/>
          <w:color w:val="000000" w:themeColor="text1"/>
          <w:sz w:val="24"/>
          <w:highlight w:val="none"/>
          <w:lang w:val="en-US" w:eastAsia="zh-CN"/>
          <w14:textFill>
            <w14:solidFill>
              <w14:schemeClr w14:val="tx1"/>
            </w14:solidFill>
          </w14:textFill>
        </w:rPr>
        <w:t>管道输送系统、收集站</w:t>
      </w:r>
      <w:r>
        <w:rPr>
          <w:rFonts w:cs="Times New Roman"/>
          <w:color w:val="000000" w:themeColor="text1"/>
          <w:sz w:val="24"/>
          <w:highlight w:val="none"/>
          <w14:textFill>
            <w14:solidFill>
              <w14:schemeClr w14:val="tx1"/>
            </w14:solidFill>
          </w14:textFill>
        </w:rPr>
        <w:t>、</w:t>
      </w:r>
      <w:r>
        <w:rPr>
          <w:rFonts w:hint="eastAsia" w:cs="Times New Roman"/>
          <w:color w:val="000000" w:themeColor="text1"/>
          <w:sz w:val="24"/>
          <w:highlight w:val="none"/>
          <w:lang w:val="en-US" w:eastAsia="zh-CN"/>
          <w14:textFill>
            <w14:solidFill>
              <w14:schemeClr w14:val="tx1"/>
            </w14:solidFill>
          </w14:textFill>
        </w:rPr>
        <w:t>施工安装、质量验收和运行与</w:t>
      </w:r>
      <w:r>
        <w:rPr>
          <w:rFonts w:cs="Times New Roman"/>
          <w:color w:val="000000" w:themeColor="text1"/>
          <w:sz w:val="24"/>
          <w:highlight w:val="none"/>
          <w14:textFill>
            <w14:solidFill>
              <w14:schemeClr w14:val="tx1"/>
            </w14:solidFill>
          </w14:textFill>
        </w:rPr>
        <w:t>维护</w:t>
      </w:r>
      <w:r>
        <w:rPr>
          <w:rFonts w:hint="eastAsia" w:cs="Times New Roman"/>
          <w:color w:val="000000" w:themeColor="text1"/>
          <w:sz w:val="24"/>
          <w:highlight w:val="none"/>
          <w14:textFill>
            <w14:solidFill>
              <w14:schemeClr w14:val="tx1"/>
            </w14:solidFill>
          </w14:textFill>
        </w:rPr>
        <w:t>等</w:t>
      </w:r>
      <w:r>
        <w:rPr>
          <w:rFonts w:cs="Times New Roman"/>
          <w:color w:val="000000" w:themeColor="text1"/>
          <w:sz w:val="24"/>
          <w:highlight w:val="none"/>
          <w14:textFill>
            <w14:solidFill>
              <w14:schemeClr w14:val="tx1"/>
            </w14:solidFill>
          </w14:textFill>
        </w:rPr>
        <w:t>。</w:t>
      </w:r>
    </w:p>
    <w:p>
      <w:pPr>
        <w:snapToGrid w:val="0"/>
        <w:spacing w:after="0" w:line="360" w:lineRule="auto"/>
        <w:ind w:left="0" w:leftChars="0" w:firstLine="439" w:firstLineChars="183"/>
        <w:rPr>
          <w:rFonts w:cs="Times New Roman"/>
          <w:color w:val="000000" w:themeColor="text1"/>
          <w:sz w:val="24"/>
          <w:highlight w:val="none"/>
          <w14:textFill>
            <w14:solidFill>
              <w14:schemeClr w14:val="tx1"/>
            </w14:solidFill>
          </w14:textFill>
        </w:rPr>
      </w:pPr>
      <w:r>
        <w:rPr>
          <w:rFonts w:hint="eastAsia" w:ascii="Times New Roman" w:hAnsi="Times New Roman"/>
          <w:sz w:val="24"/>
        </w:rPr>
        <w:t>本规程的某些内容可能直接或间接涉及专利。本规程的发布机构不承担识别这些专利的责任。</w:t>
      </w:r>
    </w:p>
    <w:p>
      <w:pPr>
        <w:snapToGrid w:val="0"/>
        <w:spacing w:after="0" w:line="360" w:lineRule="auto"/>
        <w:ind w:left="0" w:leftChars="0" w:firstLine="439" w:firstLineChars="183"/>
        <w:rPr>
          <w:rFonts w:cs="Times New Roman"/>
          <w:color w:val="000000" w:themeColor="text1"/>
          <w:sz w:val="24"/>
          <w:highlight w:val="none"/>
          <w14:textFill>
            <w14:solidFill>
              <w14:schemeClr w14:val="tx1"/>
            </w14:solidFill>
          </w14:textFill>
        </w:rPr>
      </w:pPr>
      <w:r>
        <w:rPr>
          <w:rFonts w:hint="eastAsia" w:cs="Times New Roman"/>
          <w:color w:val="000000" w:themeColor="text1"/>
          <w:sz w:val="24"/>
          <w:highlight w:val="none"/>
          <w14:textFill>
            <w14:solidFill>
              <w14:schemeClr w14:val="tx1"/>
            </w14:solidFill>
          </w14:textFill>
        </w:rPr>
        <w:t>本规程由中国工程建设标准化协会建筑与市政工程产品应用分会归口管理，由中国建筑设计研究院有限公司负责具体技术内容的解释。在执行过程中如有意见或建议，请寄送中国建筑设计研究院有限公司（地址：</w:t>
      </w:r>
      <w:r>
        <w:rPr>
          <w:rFonts w:cs="Times New Roman"/>
          <w:color w:val="000000" w:themeColor="text1"/>
          <w:sz w:val="24"/>
          <w:highlight w:val="none"/>
          <w14:textFill>
            <w14:solidFill>
              <w14:schemeClr w14:val="tx1"/>
            </w14:solidFill>
          </w14:textFill>
        </w:rPr>
        <w:t>北京市西城区车公庄大街19号，</w:t>
      </w:r>
      <w:r>
        <w:rPr>
          <w:rFonts w:hint="eastAsia" w:cs="Times New Roman"/>
          <w:color w:val="000000" w:themeColor="text1"/>
          <w:sz w:val="24"/>
          <w:highlight w:val="none"/>
          <w14:textFill>
            <w14:solidFill>
              <w14:schemeClr w14:val="tx1"/>
            </w14:solidFill>
          </w14:textFill>
        </w:rPr>
        <w:t>邮政编码</w:t>
      </w:r>
      <w:r>
        <w:rPr>
          <w:rFonts w:cs="Times New Roman"/>
          <w:color w:val="000000" w:themeColor="text1"/>
          <w:sz w:val="24"/>
          <w:highlight w:val="none"/>
          <w14:textFill>
            <w14:solidFill>
              <w14:schemeClr w14:val="tx1"/>
            </w14:solidFill>
          </w14:textFill>
        </w:rPr>
        <w:t>：100044</w:t>
      </w:r>
      <w:r>
        <w:rPr>
          <w:rFonts w:hint="eastAsia" w:cs="Times New Roman"/>
          <w:color w:val="000000" w:themeColor="text1"/>
          <w:sz w:val="24"/>
          <w:highlight w:val="none"/>
          <w14:textFill>
            <w14:solidFill>
              <w14:schemeClr w14:val="tx1"/>
            </w14:solidFill>
          </w14:textFill>
        </w:rPr>
        <w:t>）。</w:t>
      </w:r>
    </w:p>
    <w:p>
      <w:pPr>
        <w:snapToGrid w:val="0"/>
        <w:spacing w:after="0" w:line="360" w:lineRule="auto"/>
        <w:ind w:firstLine="435" w:firstLineChars="144"/>
        <w:rPr>
          <w:rFonts w:cs="Times New Roman"/>
          <w:bCs/>
          <w:color w:val="000000" w:themeColor="text1"/>
          <w:highlight w:val="none"/>
          <w14:textFill>
            <w14:solidFill>
              <w14:schemeClr w14:val="tx1"/>
            </w14:solidFill>
          </w14:textFill>
        </w:rPr>
      </w:pPr>
      <w:r>
        <w:rPr>
          <w:rFonts w:cs="Times New Roman"/>
          <w:b/>
          <w:color w:val="000000" w:themeColor="text1"/>
          <w:spacing w:val="53"/>
          <w:w w:val="89"/>
          <w:highlight w:val="none"/>
          <w14:textFill>
            <w14:solidFill>
              <w14:schemeClr w14:val="tx1"/>
            </w14:solidFill>
          </w14:textFill>
        </w:rPr>
        <w:t>主编单</w:t>
      </w:r>
      <w:r>
        <w:rPr>
          <w:rFonts w:cs="Times New Roman"/>
          <w:b/>
          <w:color w:val="000000" w:themeColor="text1"/>
          <w:w w:val="89"/>
          <w:highlight w:val="none"/>
          <w14:textFill>
            <w14:solidFill>
              <w14:schemeClr w14:val="tx1"/>
            </w14:solidFill>
          </w14:textFill>
        </w:rPr>
        <w:t>位</w:t>
      </w:r>
      <w:r>
        <w:rPr>
          <w:rFonts w:cs="Times New Roman"/>
          <w:b/>
          <w:color w:val="000000" w:themeColor="text1"/>
          <w:highlight w:val="none"/>
          <w14:textFill>
            <w14:solidFill>
              <w14:schemeClr w14:val="tx1"/>
            </w14:solidFill>
          </w14:textFill>
        </w:rPr>
        <w:t>：</w:t>
      </w:r>
      <w:r>
        <w:rPr>
          <w:rFonts w:cs="Times New Roman"/>
          <w:bCs/>
          <w:color w:val="000000" w:themeColor="text1"/>
          <w:highlight w:val="none"/>
          <w14:textFill>
            <w14:solidFill>
              <w14:schemeClr w14:val="tx1"/>
            </w14:solidFill>
          </w14:textFill>
        </w:rPr>
        <w:t>中国建筑设计研究院有限公司</w:t>
      </w:r>
    </w:p>
    <w:p>
      <w:pPr>
        <w:snapToGrid w:val="0"/>
        <w:spacing w:after="0" w:line="360" w:lineRule="auto"/>
        <w:ind w:left="0" w:leftChars="0" w:firstLine="441" w:firstLineChars="146"/>
        <w:rPr>
          <w:rFonts w:cs="Times New Roman"/>
          <w:bCs/>
          <w:color w:val="000000" w:themeColor="text1"/>
          <w:highlight w:val="none"/>
          <w14:textFill>
            <w14:solidFill>
              <w14:schemeClr w14:val="tx1"/>
            </w14:solidFill>
          </w14:textFill>
        </w:rPr>
      </w:pPr>
      <w:r>
        <w:rPr>
          <w:rFonts w:cs="Times New Roman"/>
          <w:b/>
          <w:color w:val="000000" w:themeColor="text1"/>
          <w:spacing w:val="53"/>
          <w:w w:val="89"/>
          <w:highlight w:val="none"/>
          <w14:textFill>
            <w14:solidFill>
              <w14:schemeClr w14:val="tx1"/>
            </w14:solidFill>
          </w14:textFill>
        </w:rPr>
        <w:t>参编单</w:t>
      </w:r>
      <w:r>
        <w:rPr>
          <w:rFonts w:cs="Times New Roman"/>
          <w:b/>
          <w:color w:val="000000" w:themeColor="text1"/>
          <w:w w:val="89"/>
          <w:highlight w:val="none"/>
          <w14:textFill>
            <w14:solidFill>
              <w14:schemeClr w14:val="tx1"/>
            </w14:solidFill>
          </w14:textFill>
        </w:rPr>
        <w:t>位</w:t>
      </w:r>
      <w:r>
        <w:rPr>
          <w:rFonts w:cs="Times New Roman"/>
          <w:b/>
          <w:color w:val="000000" w:themeColor="text1"/>
          <w:highlight w:val="none"/>
          <w14:textFill>
            <w14:solidFill>
              <w14:schemeClr w14:val="tx1"/>
            </w14:solidFill>
          </w14:textFill>
        </w:rPr>
        <w:t>：</w:t>
      </w:r>
    </w:p>
    <w:p>
      <w:pPr>
        <w:snapToGrid w:val="0"/>
        <w:spacing w:after="0" w:line="360" w:lineRule="auto"/>
        <w:ind w:left="0" w:leftChars="0" w:firstLine="442" w:firstLineChars="200"/>
        <w:rPr>
          <w:rFonts w:cs="Times New Roman"/>
          <w:bCs/>
          <w:color w:val="000000" w:themeColor="text1"/>
          <w:highlight w:val="none"/>
          <w14:textFill>
            <w14:solidFill>
              <w14:schemeClr w14:val="tx1"/>
            </w14:solidFill>
          </w14:textFill>
        </w:rPr>
      </w:pPr>
      <w:r>
        <w:rPr>
          <w:rFonts w:cs="Times New Roman"/>
          <w:b/>
          <w:color w:val="000000" w:themeColor="text1"/>
          <w:highlight w:val="none"/>
          <w14:textFill>
            <w14:solidFill>
              <w14:schemeClr w14:val="tx1"/>
            </w14:solidFill>
          </w14:textFill>
        </w:rPr>
        <w:t>主要起草人</w:t>
      </w:r>
      <w:r>
        <w:rPr>
          <w:rFonts w:cs="Times New Roman"/>
          <w:b/>
          <w:snapToGrid w:val="0"/>
          <w:color w:val="000000" w:themeColor="text1"/>
          <w:highlight w:val="none"/>
          <w14:textFill>
            <w14:solidFill>
              <w14:schemeClr w14:val="tx1"/>
            </w14:solidFill>
          </w14:textFill>
        </w:rPr>
        <w:t>：</w:t>
      </w:r>
    </w:p>
    <w:p>
      <w:pPr>
        <w:snapToGrid w:val="0"/>
        <w:spacing w:after="0" w:line="360" w:lineRule="auto"/>
        <w:ind w:left="0" w:leftChars="0" w:firstLine="442" w:firstLineChars="200"/>
        <w:rPr>
          <w:rFonts w:cs="Times New Roman"/>
          <w:b/>
          <w:color w:val="000000" w:themeColor="text1"/>
          <w:highlight w:val="none"/>
          <w14:textFill>
            <w14:solidFill>
              <w14:schemeClr w14:val="tx1"/>
            </w14:solidFill>
          </w14:textFill>
        </w:rPr>
      </w:pPr>
      <w:r>
        <w:rPr>
          <w:rFonts w:cs="Times New Roman"/>
          <w:b/>
          <w:color w:val="000000" w:themeColor="text1"/>
          <w:highlight w:val="none"/>
          <w14:textFill>
            <w14:solidFill>
              <w14:schemeClr w14:val="tx1"/>
            </w14:solidFill>
          </w14:textFill>
        </w:rPr>
        <w:t>主要审查人：</w:t>
      </w:r>
      <w:r>
        <w:rPr>
          <w:rFonts w:cs="Times New Roman"/>
          <w:b/>
          <w:color w:val="000000" w:themeColor="text1"/>
          <w:highlight w:val="none"/>
          <w14:textFill>
            <w14:solidFill>
              <w14:schemeClr w14:val="tx1"/>
            </w14:solidFill>
          </w14:textFill>
        </w:rPr>
        <w:br w:type="page"/>
      </w:r>
    </w:p>
    <w:p>
      <w:pPr>
        <w:pStyle w:val="20"/>
        <w:tabs>
          <w:tab w:val="right" w:leader="dot" w:pos="8296"/>
        </w:tabs>
        <w:jc w:val="center"/>
        <w:rPr>
          <w:rFonts w:eastAsia="仿宋" w:cs="Times New Roman"/>
          <w:b/>
          <w:color w:val="000000" w:themeColor="text1"/>
          <w:sz w:val="32"/>
          <w:highlight w:val="none"/>
          <w14:textFill>
            <w14:solidFill>
              <w14:schemeClr w14:val="tx1"/>
            </w14:solidFill>
          </w14:textFill>
        </w:rPr>
      </w:pPr>
      <w:bookmarkStart w:id="2" w:name="_Toc509245703"/>
      <w:bookmarkStart w:id="3" w:name="_Toc515537998"/>
      <w:bookmarkStart w:id="4" w:name="_Toc515537975"/>
      <w:bookmarkStart w:id="5" w:name="_Toc515356560"/>
      <w:bookmarkStart w:id="6" w:name="_Toc509245719"/>
      <w:r>
        <w:rPr>
          <w:rFonts w:eastAsia="仿宋" w:cs="Times New Roman"/>
          <w:b/>
          <w:color w:val="000000" w:themeColor="text1"/>
          <w:sz w:val="32"/>
          <w:highlight w:val="none"/>
          <w:lang w:val="zh-CN"/>
          <w14:textFill>
            <w14:solidFill>
              <w14:schemeClr w14:val="tx1"/>
            </w14:solidFill>
          </w14:textFill>
        </w:rPr>
        <w:t>目</w:t>
      </w:r>
      <w:r>
        <w:rPr>
          <w:rFonts w:eastAsia="仿宋" w:cs="Times New Roman"/>
          <w:b/>
          <w:color w:val="000000" w:themeColor="text1"/>
          <w:sz w:val="32"/>
          <w:highlight w:val="none"/>
          <w14:textFill>
            <w14:solidFill>
              <w14:schemeClr w14:val="tx1"/>
            </w14:solidFill>
          </w14:textFill>
        </w:rPr>
        <w:t>次</w:t>
      </w:r>
      <w:bookmarkEnd w:id="2"/>
      <w:bookmarkEnd w:id="3"/>
      <w:bookmarkEnd w:id="4"/>
      <w:bookmarkEnd w:id="5"/>
      <w:bookmarkEnd w:id="6"/>
    </w:p>
    <w:p>
      <w:pPr>
        <w:pStyle w:val="20"/>
        <w:tabs>
          <w:tab w:val="right" w:leader="dot" w:pos="8306"/>
        </w:tabs>
      </w:pPr>
      <w:r>
        <w:rPr>
          <w:rFonts w:cs="Times New Roman"/>
          <w:b/>
          <w:color w:val="000000" w:themeColor="text1"/>
          <w:sz w:val="24"/>
          <w:szCs w:val="24"/>
          <w:highlight w:val="none"/>
          <w14:textFill>
            <w14:solidFill>
              <w14:schemeClr w14:val="tx1"/>
            </w14:solidFill>
          </w14:textFill>
        </w:rPr>
        <w:fldChar w:fldCharType="begin"/>
      </w:r>
      <w:r>
        <w:rPr>
          <w:rFonts w:cs="Times New Roman"/>
          <w:b/>
          <w:color w:val="000000" w:themeColor="text1"/>
          <w:sz w:val="24"/>
          <w:szCs w:val="24"/>
          <w:highlight w:val="none"/>
          <w14:textFill>
            <w14:solidFill>
              <w14:schemeClr w14:val="tx1"/>
            </w14:solidFill>
          </w14:textFill>
        </w:rPr>
        <w:instrText xml:space="preserve"> TOC \o "1-3" \h \z \u </w:instrText>
      </w:r>
      <w:r>
        <w:rPr>
          <w:rFonts w:cs="Times New Roman"/>
          <w:b/>
          <w:color w:val="000000" w:themeColor="text1"/>
          <w:sz w:val="24"/>
          <w:szCs w:val="24"/>
          <w:highlight w:val="none"/>
          <w14:textFill>
            <w14:solidFill>
              <w14:schemeClr w14:val="tx1"/>
            </w14:solidFill>
          </w14:textFill>
        </w:rPr>
        <w:fldChar w:fldCharType="separate"/>
      </w:r>
      <w:r>
        <w:rPr>
          <w:rFonts w:cs="Times New Roman"/>
          <w:color w:val="000000" w:themeColor="text1"/>
          <w:szCs w:val="24"/>
          <w:highlight w:val="none"/>
          <w14:textFill>
            <w14:solidFill>
              <w14:schemeClr w14:val="tx1"/>
            </w14:solidFill>
          </w14:textFill>
        </w:rPr>
        <w:fldChar w:fldCharType="begin"/>
      </w:r>
      <w:r>
        <w:rPr>
          <w:rFonts w:cs="Times New Roman"/>
          <w:szCs w:val="24"/>
          <w:highlight w:val="none"/>
        </w:rPr>
        <w:instrText xml:space="preserve"> HYPERLINK \l _Toc27697 </w:instrText>
      </w:r>
      <w:r>
        <w:rPr>
          <w:rFonts w:cs="Times New Roman"/>
          <w:szCs w:val="24"/>
          <w:highlight w:val="none"/>
        </w:rPr>
        <w:fldChar w:fldCharType="separate"/>
      </w:r>
      <w:r>
        <w:rPr>
          <w:highlight w:val="none"/>
        </w:rPr>
        <w:t>1　总　　则</w:t>
      </w:r>
      <w:r>
        <w:tab/>
      </w:r>
      <w:r>
        <w:fldChar w:fldCharType="begin"/>
      </w:r>
      <w:r>
        <w:instrText xml:space="preserve"> PAGEREF _Toc27697 \h </w:instrText>
      </w:r>
      <w:r>
        <w:fldChar w:fldCharType="separate"/>
      </w:r>
      <w:r>
        <w:t>1</w:t>
      </w:r>
      <w:r>
        <w:fldChar w:fldCharType="end"/>
      </w:r>
      <w:r>
        <w:rPr>
          <w:rFonts w:cs="Times New Roman"/>
          <w:color w:val="000000" w:themeColor="text1"/>
          <w:szCs w:val="24"/>
          <w:highlight w:val="none"/>
          <w14:textFill>
            <w14:solidFill>
              <w14:schemeClr w14:val="tx1"/>
            </w14:solidFill>
          </w14:textFill>
        </w:rPr>
        <w:fldChar w:fldCharType="end"/>
      </w:r>
    </w:p>
    <w:p>
      <w:pPr>
        <w:pStyle w:val="20"/>
        <w:tabs>
          <w:tab w:val="right" w:leader="dot" w:pos="8306"/>
        </w:tabs>
      </w:pPr>
      <w:r>
        <w:rPr>
          <w:rFonts w:cs="Times New Roman"/>
          <w:bCs/>
          <w:color w:val="000000" w:themeColor="text1"/>
          <w:szCs w:val="24"/>
          <w:highlight w:val="none"/>
          <w:lang w:val="zh-CN"/>
          <w14:textFill>
            <w14:solidFill>
              <w14:schemeClr w14:val="tx1"/>
            </w14:solidFill>
          </w14:textFill>
        </w:rPr>
        <w:fldChar w:fldCharType="begin"/>
      </w:r>
      <w:r>
        <w:rPr>
          <w:rFonts w:cs="Times New Roman"/>
          <w:bCs/>
          <w:szCs w:val="24"/>
          <w:highlight w:val="none"/>
          <w:lang w:val="zh-CN"/>
        </w:rPr>
        <w:instrText xml:space="preserve"> HYPERLINK \l _Toc15891 </w:instrText>
      </w:r>
      <w:r>
        <w:rPr>
          <w:rFonts w:cs="Times New Roman"/>
          <w:bCs/>
          <w:szCs w:val="24"/>
          <w:highlight w:val="none"/>
          <w:lang w:val="zh-CN"/>
        </w:rPr>
        <w:fldChar w:fldCharType="separate"/>
      </w:r>
      <w:r>
        <w:rPr>
          <w:highlight w:val="none"/>
        </w:rPr>
        <w:t>2　术　　语</w:t>
      </w:r>
      <w:r>
        <w:tab/>
      </w:r>
      <w:r>
        <w:fldChar w:fldCharType="begin"/>
      </w:r>
      <w:r>
        <w:instrText xml:space="preserve"> PAGEREF _Toc15891 \h </w:instrText>
      </w:r>
      <w:r>
        <w:fldChar w:fldCharType="separate"/>
      </w:r>
      <w:r>
        <w:t>2</w:t>
      </w:r>
      <w:r>
        <w:fldChar w:fldCharType="end"/>
      </w:r>
      <w:r>
        <w:rPr>
          <w:rFonts w:cs="Times New Roman"/>
          <w:bCs/>
          <w:color w:val="000000" w:themeColor="text1"/>
          <w:szCs w:val="24"/>
          <w:highlight w:val="none"/>
          <w:lang w:val="zh-CN"/>
          <w14:textFill>
            <w14:solidFill>
              <w14:schemeClr w14:val="tx1"/>
            </w14:solidFill>
          </w14:textFill>
        </w:rPr>
        <w:fldChar w:fldCharType="end"/>
      </w:r>
    </w:p>
    <w:p>
      <w:pPr>
        <w:pStyle w:val="20"/>
        <w:tabs>
          <w:tab w:val="right" w:leader="dot" w:pos="8306"/>
        </w:tabs>
      </w:pPr>
      <w:r>
        <w:rPr>
          <w:rFonts w:cs="Times New Roman"/>
          <w:bCs/>
          <w:color w:val="000000" w:themeColor="text1"/>
          <w:szCs w:val="24"/>
          <w:highlight w:val="none"/>
          <w:lang w:val="zh-CN"/>
          <w14:textFill>
            <w14:solidFill>
              <w14:schemeClr w14:val="tx1"/>
            </w14:solidFill>
          </w14:textFill>
        </w:rPr>
        <w:fldChar w:fldCharType="begin"/>
      </w:r>
      <w:r>
        <w:rPr>
          <w:rFonts w:cs="Times New Roman"/>
          <w:bCs/>
          <w:szCs w:val="24"/>
          <w:highlight w:val="none"/>
          <w:lang w:val="zh-CN"/>
        </w:rPr>
        <w:instrText xml:space="preserve"> HYPERLINK \l _Toc29136 </w:instrText>
      </w:r>
      <w:r>
        <w:rPr>
          <w:rFonts w:cs="Times New Roman"/>
          <w:bCs/>
          <w:szCs w:val="24"/>
          <w:highlight w:val="none"/>
          <w:lang w:val="zh-CN"/>
        </w:rPr>
        <w:fldChar w:fldCharType="separate"/>
      </w:r>
      <w:r>
        <w:rPr>
          <w:highlight w:val="none"/>
        </w:rPr>
        <w:t>3　</w:t>
      </w:r>
      <w:r>
        <w:rPr>
          <w:rFonts w:hint="eastAsia"/>
          <w:highlight w:val="none"/>
          <w:lang w:val="en-US" w:eastAsia="zh-CN"/>
        </w:rPr>
        <w:t>一般规定</w:t>
      </w:r>
      <w:r>
        <w:tab/>
      </w:r>
      <w:r>
        <w:fldChar w:fldCharType="begin"/>
      </w:r>
      <w:r>
        <w:instrText xml:space="preserve"> PAGEREF _Toc29136 \h </w:instrText>
      </w:r>
      <w:r>
        <w:fldChar w:fldCharType="separate"/>
      </w:r>
      <w:r>
        <w:t>4</w:t>
      </w:r>
      <w:r>
        <w:fldChar w:fldCharType="end"/>
      </w:r>
      <w:r>
        <w:rPr>
          <w:rFonts w:cs="Times New Roman"/>
          <w:bCs/>
          <w:color w:val="000000" w:themeColor="text1"/>
          <w:szCs w:val="24"/>
          <w:highlight w:val="none"/>
          <w:lang w:val="zh-CN"/>
          <w14:textFill>
            <w14:solidFill>
              <w14:schemeClr w14:val="tx1"/>
            </w14:solidFill>
          </w14:textFill>
        </w:rPr>
        <w:fldChar w:fldCharType="end"/>
      </w:r>
    </w:p>
    <w:p>
      <w:pPr>
        <w:pStyle w:val="20"/>
        <w:tabs>
          <w:tab w:val="right" w:leader="dot" w:pos="8306"/>
        </w:tabs>
      </w:pPr>
      <w:r>
        <w:rPr>
          <w:rFonts w:cs="Times New Roman"/>
          <w:bCs/>
          <w:color w:val="000000" w:themeColor="text1"/>
          <w:szCs w:val="24"/>
          <w:highlight w:val="none"/>
          <w:lang w:val="zh-CN"/>
          <w14:textFill>
            <w14:solidFill>
              <w14:schemeClr w14:val="tx1"/>
            </w14:solidFill>
          </w14:textFill>
        </w:rPr>
        <w:fldChar w:fldCharType="begin"/>
      </w:r>
      <w:r>
        <w:rPr>
          <w:rFonts w:cs="Times New Roman"/>
          <w:bCs/>
          <w:szCs w:val="24"/>
          <w:highlight w:val="none"/>
          <w:lang w:val="zh-CN"/>
        </w:rPr>
        <w:instrText xml:space="preserve"> HYPERLINK \l _Toc12512 </w:instrText>
      </w:r>
      <w:r>
        <w:rPr>
          <w:rFonts w:cs="Times New Roman"/>
          <w:bCs/>
          <w:szCs w:val="24"/>
          <w:highlight w:val="none"/>
          <w:lang w:val="zh-CN"/>
        </w:rPr>
        <w:fldChar w:fldCharType="separate"/>
      </w:r>
      <w:r>
        <w:rPr>
          <w:rFonts w:hint="eastAsia"/>
          <w:lang w:val="en-US" w:eastAsia="zh-CN"/>
        </w:rPr>
        <w:t>4</w:t>
      </w:r>
      <w:r>
        <w:rPr>
          <w:rFonts w:cs="Times New Roman"/>
          <w:highlight w:val="none"/>
        </w:rPr>
        <w:t>　</w:t>
      </w:r>
      <w:r>
        <w:rPr>
          <w:rFonts w:hint="eastAsia"/>
          <w:lang w:val="en-US" w:eastAsia="zh-CN"/>
        </w:rPr>
        <w:t>投放系统</w:t>
      </w:r>
      <w:r>
        <w:tab/>
      </w:r>
      <w:r>
        <w:fldChar w:fldCharType="begin"/>
      </w:r>
      <w:r>
        <w:instrText xml:space="preserve"> PAGEREF _Toc12512 \h </w:instrText>
      </w:r>
      <w:r>
        <w:fldChar w:fldCharType="separate"/>
      </w:r>
      <w:r>
        <w:t>5</w:t>
      </w:r>
      <w:r>
        <w:fldChar w:fldCharType="end"/>
      </w:r>
      <w:r>
        <w:rPr>
          <w:rFonts w:cs="Times New Roman"/>
          <w:bCs/>
          <w:color w:val="000000" w:themeColor="text1"/>
          <w:szCs w:val="24"/>
          <w:highlight w:val="none"/>
          <w:lang w:val="zh-CN"/>
          <w14:textFill>
            <w14:solidFill>
              <w14:schemeClr w14:val="tx1"/>
            </w14:solidFill>
          </w14:textFill>
        </w:rPr>
        <w:fldChar w:fldCharType="end"/>
      </w:r>
    </w:p>
    <w:p>
      <w:pPr>
        <w:pStyle w:val="20"/>
        <w:tabs>
          <w:tab w:val="right" w:leader="dot" w:pos="8306"/>
        </w:tabs>
      </w:pPr>
      <w:r>
        <w:rPr>
          <w:rFonts w:cs="Times New Roman"/>
          <w:bCs/>
          <w:color w:val="000000" w:themeColor="text1"/>
          <w:szCs w:val="24"/>
          <w:highlight w:val="none"/>
          <w:lang w:val="zh-CN"/>
          <w14:textFill>
            <w14:solidFill>
              <w14:schemeClr w14:val="tx1"/>
            </w14:solidFill>
          </w14:textFill>
        </w:rPr>
        <w:fldChar w:fldCharType="begin"/>
      </w:r>
      <w:r>
        <w:rPr>
          <w:rFonts w:cs="Times New Roman"/>
          <w:bCs/>
          <w:szCs w:val="24"/>
          <w:highlight w:val="none"/>
          <w:lang w:val="zh-CN"/>
        </w:rPr>
        <w:instrText xml:space="preserve"> HYPERLINK \l _Toc8586 </w:instrText>
      </w:r>
      <w:r>
        <w:rPr>
          <w:rFonts w:cs="Times New Roman"/>
          <w:bCs/>
          <w:szCs w:val="24"/>
          <w:highlight w:val="none"/>
          <w:lang w:val="zh-CN"/>
        </w:rPr>
        <w:fldChar w:fldCharType="separate"/>
      </w:r>
      <w:r>
        <w:rPr>
          <w:rFonts w:hint="eastAsia" w:ascii="Times New Roman" w:hAnsi="Times New Roman" w:eastAsia="黑体" w:cs="Times New Roman"/>
          <w:szCs w:val="28"/>
          <w:highlight w:val="none"/>
          <w:lang w:val="en-US" w:eastAsia="zh-CN" w:bidi="ar-SA"/>
        </w:rPr>
        <w:t>5</w:t>
      </w:r>
      <w:r>
        <w:rPr>
          <w:rFonts w:ascii="Times New Roman" w:hAnsi="Times New Roman"/>
          <w:highlight w:val="none"/>
        </w:rPr>
        <w:t>　</w:t>
      </w:r>
      <w:r>
        <w:rPr>
          <w:rFonts w:hint="eastAsia"/>
          <w:lang w:val="en-US" w:eastAsia="zh-CN"/>
        </w:rPr>
        <w:t>管道输送系统</w:t>
      </w:r>
      <w:r>
        <w:tab/>
      </w:r>
      <w:r>
        <w:fldChar w:fldCharType="begin"/>
      </w:r>
      <w:r>
        <w:instrText xml:space="preserve"> PAGEREF _Toc8586 \h </w:instrText>
      </w:r>
      <w:r>
        <w:fldChar w:fldCharType="separate"/>
      </w:r>
      <w:r>
        <w:t>7</w:t>
      </w:r>
      <w:r>
        <w:fldChar w:fldCharType="end"/>
      </w:r>
      <w:r>
        <w:rPr>
          <w:rFonts w:cs="Times New Roman"/>
          <w:bCs/>
          <w:color w:val="000000" w:themeColor="text1"/>
          <w:szCs w:val="24"/>
          <w:highlight w:val="none"/>
          <w:lang w:val="zh-CN"/>
          <w14:textFill>
            <w14:solidFill>
              <w14:schemeClr w14:val="tx1"/>
            </w14:solidFill>
          </w14:textFill>
        </w:rPr>
        <w:fldChar w:fldCharType="end"/>
      </w:r>
    </w:p>
    <w:p>
      <w:pPr>
        <w:pStyle w:val="22"/>
        <w:tabs>
          <w:tab w:val="right" w:leader="dot" w:pos="8306"/>
          <w:tab w:val="clear" w:pos="8296"/>
        </w:tabs>
      </w:pPr>
      <w:r>
        <w:rPr>
          <w:rFonts w:cs="Times New Roman"/>
          <w:bCs/>
          <w:color w:val="000000" w:themeColor="text1"/>
          <w:szCs w:val="24"/>
          <w:highlight w:val="none"/>
          <w:lang w:val="zh-CN"/>
          <w14:textFill>
            <w14:solidFill>
              <w14:schemeClr w14:val="tx1"/>
            </w14:solidFill>
          </w14:textFill>
        </w:rPr>
        <w:fldChar w:fldCharType="begin"/>
      </w:r>
      <w:r>
        <w:rPr>
          <w:rFonts w:cs="Times New Roman"/>
          <w:bCs/>
          <w:szCs w:val="24"/>
          <w:highlight w:val="none"/>
          <w:lang w:val="zh-CN"/>
        </w:rPr>
        <w:instrText xml:space="preserve"> HYPERLINK \l _Toc20462 </w:instrText>
      </w:r>
      <w:r>
        <w:rPr>
          <w:rFonts w:cs="Times New Roman"/>
          <w:bCs/>
          <w:szCs w:val="24"/>
          <w:highlight w:val="none"/>
          <w:lang w:val="zh-CN"/>
        </w:rPr>
        <w:fldChar w:fldCharType="separate"/>
      </w:r>
      <w:r>
        <w:rPr>
          <w:rFonts w:hint="eastAsia" w:ascii="Times New Roman" w:hAnsi="Times New Roman"/>
          <w:highlight w:val="none"/>
          <w:lang w:val="en-US" w:eastAsia="zh-CN"/>
        </w:rPr>
        <w:t>5</w:t>
      </w:r>
      <w:r>
        <w:rPr>
          <w:rFonts w:ascii="Times New Roman" w:hAnsi="Times New Roman"/>
          <w:highlight w:val="none"/>
        </w:rPr>
        <w:t>.1　</w:t>
      </w:r>
      <w:r>
        <w:rPr>
          <w:rFonts w:hint="eastAsia" w:ascii="Times New Roman" w:hAnsi="Times New Roman"/>
          <w:highlight w:val="none"/>
          <w:lang w:val="en-US" w:eastAsia="zh-CN"/>
        </w:rPr>
        <w:t>一般规定</w:t>
      </w:r>
      <w:r>
        <w:tab/>
      </w:r>
      <w:r>
        <w:fldChar w:fldCharType="begin"/>
      </w:r>
      <w:r>
        <w:instrText xml:space="preserve"> PAGEREF _Toc20462 \h </w:instrText>
      </w:r>
      <w:r>
        <w:fldChar w:fldCharType="separate"/>
      </w:r>
      <w:r>
        <w:t>7</w:t>
      </w:r>
      <w:r>
        <w:fldChar w:fldCharType="end"/>
      </w:r>
      <w:r>
        <w:rPr>
          <w:rFonts w:cs="Times New Roman"/>
          <w:bCs/>
          <w:color w:val="000000" w:themeColor="text1"/>
          <w:szCs w:val="24"/>
          <w:highlight w:val="none"/>
          <w:lang w:val="zh-CN"/>
          <w14:textFill>
            <w14:solidFill>
              <w14:schemeClr w14:val="tx1"/>
            </w14:solidFill>
          </w14:textFill>
        </w:rPr>
        <w:fldChar w:fldCharType="end"/>
      </w:r>
    </w:p>
    <w:p>
      <w:pPr>
        <w:pStyle w:val="22"/>
        <w:tabs>
          <w:tab w:val="right" w:leader="dot" w:pos="8306"/>
          <w:tab w:val="clear" w:pos="8296"/>
        </w:tabs>
      </w:pPr>
      <w:r>
        <w:rPr>
          <w:rFonts w:cs="Times New Roman"/>
          <w:bCs/>
          <w:color w:val="000000" w:themeColor="text1"/>
          <w:szCs w:val="24"/>
          <w:highlight w:val="none"/>
          <w:lang w:val="zh-CN"/>
          <w14:textFill>
            <w14:solidFill>
              <w14:schemeClr w14:val="tx1"/>
            </w14:solidFill>
          </w14:textFill>
        </w:rPr>
        <w:fldChar w:fldCharType="begin"/>
      </w:r>
      <w:r>
        <w:rPr>
          <w:rFonts w:cs="Times New Roman"/>
          <w:bCs/>
          <w:szCs w:val="24"/>
          <w:highlight w:val="none"/>
          <w:lang w:val="zh-CN"/>
        </w:rPr>
        <w:instrText xml:space="preserve"> HYPERLINK \l _Toc26058 </w:instrText>
      </w:r>
      <w:r>
        <w:rPr>
          <w:rFonts w:cs="Times New Roman"/>
          <w:bCs/>
          <w:szCs w:val="24"/>
          <w:highlight w:val="none"/>
          <w:lang w:val="zh-CN"/>
        </w:rPr>
        <w:fldChar w:fldCharType="separate"/>
      </w:r>
      <w:r>
        <w:rPr>
          <w:rFonts w:hint="eastAsia" w:ascii="Times New Roman" w:hAnsi="Times New Roman"/>
          <w:highlight w:val="none"/>
          <w:lang w:val="en-US" w:eastAsia="zh-CN"/>
        </w:rPr>
        <w:t>5</w:t>
      </w:r>
      <w:r>
        <w:rPr>
          <w:rFonts w:ascii="Times New Roman" w:hAnsi="Times New Roman"/>
          <w:highlight w:val="none"/>
        </w:rPr>
        <w:t>.</w:t>
      </w:r>
      <w:r>
        <w:rPr>
          <w:rFonts w:hint="eastAsia" w:ascii="Times New Roman" w:hAnsi="Times New Roman"/>
          <w:highlight w:val="none"/>
          <w:lang w:val="en-US" w:eastAsia="zh-CN"/>
        </w:rPr>
        <w:t>2</w:t>
      </w:r>
      <w:r>
        <w:rPr>
          <w:rFonts w:ascii="Times New Roman" w:hAnsi="Times New Roman"/>
          <w:highlight w:val="none"/>
        </w:rPr>
        <w:t>　</w:t>
      </w:r>
      <w:r>
        <w:rPr>
          <w:rFonts w:hint="eastAsia" w:ascii="Times New Roman" w:hAnsi="Times New Roman"/>
          <w:highlight w:val="none"/>
          <w:lang w:val="en-US" w:eastAsia="zh-CN"/>
        </w:rPr>
        <w:t>垃圾输送管道</w:t>
      </w:r>
      <w:r>
        <w:tab/>
      </w:r>
      <w:r>
        <w:fldChar w:fldCharType="begin"/>
      </w:r>
      <w:r>
        <w:instrText xml:space="preserve"> PAGEREF _Toc26058 \h </w:instrText>
      </w:r>
      <w:r>
        <w:fldChar w:fldCharType="separate"/>
      </w:r>
      <w:r>
        <w:t>7</w:t>
      </w:r>
      <w:r>
        <w:fldChar w:fldCharType="end"/>
      </w:r>
      <w:r>
        <w:rPr>
          <w:rFonts w:cs="Times New Roman"/>
          <w:bCs/>
          <w:color w:val="000000" w:themeColor="text1"/>
          <w:szCs w:val="24"/>
          <w:highlight w:val="none"/>
          <w:lang w:val="zh-CN"/>
          <w14:textFill>
            <w14:solidFill>
              <w14:schemeClr w14:val="tx1"/>
            </w14:solidFill>
          </w14:textFill>
        </w:rPr>
        <w:fldChar w:fldCharType="end"/>
      </w:r>
    </w:p>
    <w:p>
      <w:pPr>
        <w:pStyle w:val="22"/>
        <w:tabs>
          <w:tab w:val="right" w:leader="dot" w:pos="8306"/>
          <w:tab w:val="clear" w:pos="8296"/>
        </w:tabs>
      </w:pPr>
      <w:r>
        <w:rPr>
          <w:rFonts w:cs="Times New Roman"/>
          <w:bCs/>
          <w:color w:val="000000" w:themeColor="text1"/>
          <w:szCs w:val="24"/>
          <w:highlight w:val="none"/>
          <w:lang w:val="zh-CN"/>
          <w14:textFill>
            <w14:solidFill>
              <w14:schemeClr w14:val="tx1"/>
            </w14:solidFill>
          </w14:textFill>
        </w:rPr>
        <w:fldChar w:fldCharType="begin"/>
      </w:r>
      <w:r>
        <w:rPr>
          <w:rFonts w:cs="Times New Roman"/>
          <w:bCs/>
          <w:szCs w:val="24"/>
          <w:highlight w:val="none"/>
          <w:lang w:val="zh-CN"/>
        </w:rPr>
        <w:instrText xml:space="preserve"> HYPERLINK \l _Toc6800 </w:instrText>
      </w:r>
      <w:r>
        <w:rPr>
          <w:rFonts w:cs="Times New Roman"/>
          <w:bCs/>
          <w:szCs w:val="24"/>
          <w:highlight w:val="none"/>
          <w:lang w:val="zh-CN"/>
        </w:rPr>
        <w:fldChar w:fldCharType="separate"/>
      </w:r>
      <w:r>
        <w:rPr>
          <w:rFonts w:hint="eastAsia" w:ascii="Times New Roman" w:hAnsi="Times New Roman"/>
          <w:highlight w:val="none"/>
          <w:lang w:val="en-US" w:eastAsia="zh-CN"/>
        </w:rPr>
        <w:t>5.3</w:t>
      </w:r>
      <w:r>
        <w:rPr>
          <w:rFonts w:ascii="Times New Roman" w:hAnsi="Times New Roman"/>
          <w:highlight w:val="none"/>
        </w:rPr>
        <w:t>　</w:t>
      </w:r>
      <w:r>
        <w:rPr>
          <w:rFonts w:hint="eastAsia" w:ascii="Times New Roman" w:hAnsi="Times New Roman"/>
          <w:highlight w:val="none"/>
          <w:lang w:val="en-US" w:eastAsia="zh-CN"/>
        </w:rPr>
        <w:t>阀门与附件</w:t>
      </w:r>
      <w:r>
        <w:tab/>
      </w:r>
      <w:r>
        <w:fldChar w:fldCharType="begin"/>
      </w:r>
      <w:r>
        <w:instrText xml:space="preserve"> PAGEREF _Toc6800 \h </w:instrText>
      </w:r>
      <w:r>
        <w:fldChar w:fldCharType="separate"/>
      </w:r>
      <w:r>
        <w:t>9</w:t>
      </w:r>
      <w:r>
        <w:fldChar w:fldCharType="end"/>
      </w:r>
      <w:r>
        <w:rPr>
          <w:rFonts w:cs="Times New Roman"/>
          <w:bCs/>
          <w:color w:val="000000" w:themeColor="text1"/>
          <w:szCs w:val="24"/>
          <w:highlight w:val="none"/>
          <w:lang w:val="zh-CN"/>
          <w14:textFill>
            <w14:solidFill>
              <w14:schemeClr w14:val="tx1"/>
            </w14:solidFill>
          </w14:textFill>
        </w:rPr>
        <w:fldChar w:fldCharType="end"/>
      </w:r>
    </w:p>
    <w:p>
      <w:pPr>
        <w:pStyle w:val="20"/>
        <w:tabs>
          <w:tab w:val="right" w:leader="dot" w:pos="8306"/>
        </w:tabs>
      </w:pPr>
      <w:r>
        <w:rPr>
          <w:rFonts w:cs="Times New Roman"/>
          <w:bCs/>
          <w:color w:val="000000" w:themeColor="text1"/>
          <w:szCs w:val="24"/>
          <w:highlight w:val="none"/>
          <w:lang w:val="zh-CN"/>
          <w14:textFill>
            <w14:solidFill>
              <w14:schemeClr w14:val="tx1"/>
            </w14:solidFill>
          </w14:textFill>
        </w:rPr>
        <w:fldChar w:fldCharType="begin"/>
      </w:r>
      <w:r>
        <w:rPr>
          <w:rFonts w:cs="Times New Roman"/>
          <w:bCs/>
          <w:szCs w:val="24"/>
          <w:highlight w:val="none"/>
          <w:lang w:val="zh-CN"/>
        </w:rPr>
        <w:instrText xml:space="preserve"> HYPERLINK \l _Toc19681 </w:instrText>
      </w:r>
      <w:r>
        <w:rPr>
          <w:rFonts w:cs="Times New Roman"/>
          <w:bCs/>
          <w:szCs w:val="24"/>
          <w:highlight w:val="none"/>
          <w:lang w:val="zh-CN"/>
        </w:rPr>
        <w:fldChar w:fldCharType="separate"/>
      </w:r>
      <w:r>
        <w:rPr>
          <w:rFonts w:hint="eastAsia"/>
          <w:lang w:val="en-US" w:eastAsia="zh-CN"/>
        </w:rPr>
        <w:t>6</w:t>
      </w:r>
      <w:r>
        <w:rPr>
          <w:rFonts w:ascii="Times New Roman" w:hAnsi="Times New Roman"/>
          <w:highlight w:val="none"/>
        </w:rPr>
        <w:t>　</w:t>
      </w:r>
      <w:r>
        <w:rPr>
          <w:rFonts w:hint="eastAsia"/>
          <w:lang w:val="en-US" w:eastAsia="zh-CN"/>
        </w:rPr>
        <w:t>收集站</w:t>
      </w:r>
      <w:r>
        <w:tab/>
      </w:r>
      <w:r>
        <w:fldChar w:fldCharType="begin"/>
      </w:r>
      <w:r>
        <w:instrText xml:space="preserve"> PAGEREF _Toc19681 \h </w:instrText>
      </w:r>
      <w:r>
        <w:fldChar w:fldCharType="separate"/>
      </w:r>
      <w:r>
        <w:t>11</w:t>
      </w:r>
      <w:r>
        <w:fldChar w:fldCharType="end"/>
      </w:r>
      <w:r>
        <w:rPr>
          <w:rFonts w:cs="Times New Roman"/>
          <w:bCs/>
          <w:color w:val="000000" w:themeColor="text1"/>
          <w:szCs w:val="24"/>
          <w:highlight w:val="none"/>
          <w:lang w:val="zh-CN"/>
          <w14:textFill>
            <w14:solidFill>
              <w14:schemeClr w14:val="tx1"/>
            </w14:solidFill>
          </w14:textFill>
        </w:rPr>
        <w:fldChar w:fldCharType="end"/>
      </w:r>
    </w:p>
    <w:p>
      <w:pPr>
        <w:pStyle w:val="22"/>
        <w:tabs>
          <w:tab w:val="right" w:leader="dot" w:pos="8306"/>
          <w:tab w:val="clear" w:pos="8296"/>
        </w:tabs>
      </w:pPr>
      <w:r>
        <w:rPr>
          <w:rFonts w:cs="Times New Roman"/>
          <w:bCs/>
          <w:color w:val="000000" w:themeColor="text1"/>
          <w:szCs w:val="24"/>
          <w:highlight w:val="none"/>
          <w:lang w:val="zh-CN"/>
          <w14:textFill>
            <w14:solidFill>
              <w14:schemeClr w14:val="tx1"/>
            </w14:solidFill>
          </w14:textFill>
        </w:rPr>
        <w:fldChar w:fldCharType="begin"/>
      </w:r>
      <w:r>
        <w:rPr>
          <w:rFonts w:cs="Times New Roman"/>
          <w:bCs/>
          <w:szCs w:val="24"/>
          <w:highlight w:val="none"/>
          <w:lang w:val="zh-CN"/>
        </w:rPr>
        <w:instrText xml:space="preserve"> HYPERLINK \l _Toc26865 </w:instrText>
      </w:r>
      <w:r>
        <w:rPr>
          <w:rFonts w:cs="Times New Roman"/>
          <w:bCs/>
          <w:szCs w:val="24"/>
          <w:highlight w:val="none"/>
          <w:lang w:val="zh-CN"/>
        </w:rPr>
        <w:fldChar w:fldCharType="separate"/>
      </w:r>
      <w:r>
        <w:rPr>
          <w:rFonts w:hint="eastAsia" w:ascii="Times New Roman" w:hAnsi="Times New Roman"/>
          <w:highlight w:val="none"/>
          <w:lang w:val="en-US" w:eastAsia="zh-CN"/>
        </w:rPr>
        <w:t>6.1　</w:t>
      </w:r>
      <w:r>
        <w:rPr>
          <w:rFonts w:hint="eastAsia"/>
          <w:lang w:val="en-US" w:eastAsia="zh-CN"/>
        </w:rPr>
        <w:t>一般规定</w:t>
      </w:r>
      <w:r>
        <w:tab/>
      </w:r>
      <w:r>
        <w:fldChar w:fldCharType="begin"/>
      </w:r>
      <w:r>
        <w:instrText xml:space="preserve"> PAGEREF _Toc26865 \h </w:instrText>
      </w:r>
      <w:r>
        <w:fldChar w:fldCharType="separate"/>
      </w:r>
      <w:r>
        <w:t>11</w:t>
      </w:r>
      <w:r>
        <w:fldChar w:fldCharType="end"/>
      </w:r>
      <w:r>
        <w:rPr>
          <w:rFonts w:cs="Times New Roman"/>
          <w:bCs/>
          <w:color w:val="000000" w:themeColor="text1"/>
          <w:szCs w:val="24"/>
          <w:highlight w:val="none"/>
          <w:lang w:val="zh-CN"/>
          <w14:textFill>
            <w14:solidFill>
              <w14:schemeClr w14:val="tx1"/>
            </w14:solidFill>
          </w14:textFill>
        </w:rPr>
        <w:fldChar w:fldCharType="end"/>
      </w:r>
    </w:p>
    <w:p>
      <w:pPr>
        <w:pStyle w:val="22"/>
        <w:tabs>
          <w:tab w:val="right" w:leader="dot" w:pos="8306"/>
          <w:tab w:val="clear" w:pos="8296"/>
        </w:tabs>
      </w:pPr>
      <w:r>
        <w:rPr>
          <w:rFonts w:cs="Times New Roman"/>
          <w:bCs/>
          <w:color w:val="000000" w:themeColor="text1"/>
          <w:szCs w:val="24"/>
          <w:highlight w:val="none"/>
          <w:lang w:val="zh-CN"/>
          <w14:textFill>
            <w14:solidFill>
              <w14:schemeClr w14:val="tx1"/>
            </w14:solidFill>
          </w14:textFill>
        </w:rPr>
        <w:fldChar w:fldCharType="begin"/>
      </w:r>
      <w:r>
        <w:rPr>
          <w:rFonts w:cs="Times New Roman"/>
          <w:bCs/>
          <w:szCs w:val="24"/>
          <w:highlight w:val="none"/>
          <w:lang w:val="zh-CN"/>
        </w:rPr>
        <w:instrText xml:space="preserve"> HYPERLINK \l _Toc19690 </w:instrText>
      </w:r>
      <w:r>
        <w:rPr>
          <w:rFonts w:cs="Times New Roman"/>
          <w:bCs/>
          <w:szCs w:val="24"/>
          <w:highlight w:val="none"/>
          <w:lang w:val="zh-CN"/>
        </w:rPr>
        <w:fldChar w:fldCharType="separate"/>
      </w:r>
      <w:r>
        <w:rPr>
          <w:rFonts w:hint="eastAsia" w:ascii="Times New Roman" w:hAnsi="Times New Roman"/>
          <w:highlight w:val="none"/>
          <w:lang w:val="en-US" w:eastAsia="zh-CN"/>
        </w:rPr>
        <w:t>6.2　规模与选址</w:t>
      </w:r>
      <w:r>
        <w:tab/>
      </w:r>
      <w:r>
        <w:fldChar w:fldCharType="begin"/>
      </w:r>
      <w:r>
        <w:instrText xml:space="preserve"> PAGEREF _Toc19690 \h </w:instrText>
      </w:r>
      <w:r>
        <w:fldChar w:fldCharType="separate"/>
      </w:r>
      <w:r>
        <w:t>11</w:t>
      </w:r>
      <w:r>
        <w:fldChar w:fldCharType="end"/>
      </w:r>
      <w:r>
        <w:rPr>
          <w:rFonts w:cs="Times New Roman"/>
          <w:bCs/>
          <w:color w:val="000000" w:themeColor="text1"/>
          <w:szCs w:val="24"/>
          <w:highlight w:val="none"/>
          <w:lang w:val="zh-CN"/>
          <w14:textFill>
            <w14:solidFill>
              <w14:schemeClr w14:val="tx1"/>
            </w14:solidFill>
          </w14:textFill>
        </w:rPr>
        <w:fldChar w:fldCharType="end"/>
      </w:r>
    </w:p>
    <w:p>
      <w:pPr>
        <w:pStyle w:val="22"/>
        <w:tabs>
          <w:tab w:val="right" w:leader="dot" w:pos="8306"/>
          <w:tab w:val="clear" w:pos="8296"/>
        </w:tabs>
      </w:pPr>
      <w:r>
        <w:rPr>
          <w:rFonts w:cs="Times New Roman"/>
          <w:bCs/>
          <w:color w:val="000000" w:themeColor="text1"/>
          <w:szCs w:val="24"/>
          <w:highlight w:val="none"/>
          <w:lang w:val="zh-CN"/>
          <w14:textFill>
            <w14:solidFill>
              <w14:schemeClr w14:val="tx1"/>
            </w14:solidFill>
          </w14:textFill>
        </w:rPr>
        <w:fldChar w:fldCharType="begin"/>
      </w:r>
      <w:r>
        <w:rPr>
          <w:rFonts w:cs="Times New Roman"/>
          <w:bCs/>
          <w:szCs w:val="24"/>
          <w:highlight w:val="none"/>
          <w:lang w:val="zh-CN"/>
        </w:rPr>
        <w:instrText xml:space="preserve"> HYPERLINK \l _Toc17654 </w:instrText>
      </w:r>
      <w:r>
        <w:rPr>
          <w:rFonts w:cs="Times New Roman"/>
          <w:bCs/>
          <w:szCs w:val="24"/>
          <w:highlight w:val="none"/>
          <w:lang w:val="zh-CN"/>
        </w:rPr>
        <w:fldChar w:fldCharType="separate"/>
      </w:r>
      <w:r>
        <w:rPr>
          <w:rFonts w:hint="eastAsia" w:ascii="Times New Roman" w:hAnsi="Times New Roman"/>
          <w:highlight w:val="none"/>
          <w:lang w:val="en-US" w:eastAsia="zh-CN"/>
        </w:rPr>
        <w:t>6.3　压缩室</w:t>
      </w:r>
      <w:r>
        <w:tab/>
      </w:r>
      <w:r>
        <w:fldChar w:fldCharType="begin"/>
      </w:r>
      <w:r>
        <w:instrText xml:space="preserve"> PAGEREF _Toc17654 \h </w:instrText>
      </w:r>
      <w:r>
        <w:fldChar w:fldCharType="separate"/>
      </w:r>
      <w:r>
        <w:t>12</w:t>
      </w:r>
      <w:r>
        <w:fldChar w:fldCharType="end"/>
      </w:r>
      <w:r>
        <w:rPr>
          <w:rFonts w:cs="Times New Roman"/>
          <w:bCs/>
          <w:color w:val="000000" w:themeColor="text1"/>
          <w:szCs w:val="24"/>
          <w:highlight w:val="none"/>
          <w:lang w:val="zh-CN"/>
          <w14:textFill>
            <w14:solidFill>
              <w14:schemeClr w14:val="tx1"/>
            </w14:solidFill>
          </w14:textFill>
        </w:rPr>
        <w:fldChar w:fldCharType="end"/>
      </w:r>
    </w:p>
    <w:p>
      <w:pPr>
        <w:pStyle w:val="22"/>
        <w:tabs>
          <w:tab w:val="right" w:leader="dot" w:pos="8306"/>
          <w:tab w:val="clear" w:pos="8296"/>
        </w:tabs>
      </w:pPr>
      <w:r>
        <w:rPr>
          <w:rFonts w:cs="Times New Roman"/>
          <w:bCs/>
          <w:color w:val="000000" w:themeColor="text1"/>
          <w:szCs w:val="24"/>
          <w:highlight w:val="none"/>
          <w:lang w:val="zh-CN"/>
          <w14:textFill>
            <w14:solidFill>
              <w14:schemeClr w14:val="tx1"/>
            </w14:solidFill>
          </w14:textFill>
        </w:rPr>
        <w:fldChar w:fldCharType="begin"/>
      </w:r>
      <w:r>
        <w:rPr>
          <w:rFonts w:cs="Times New Roman"/>
          <w:bCs/>
          <w:szCs w:val="24"/>
          <w:highlight w:val="none"/>
          <w:lang w:val="zh-CN"/>
        </w:rPr>
        <w:instrText xml:space="preserve"> HYPERLINK \l _Toc19356 </w:instrText>
      </w:r>
      <w:r>
        <w:rPr>
          <w:rFonts w:cs="Times New Roman"/>
          <w:bCs/>
          <w:szCs w:val="24"/>
          <w:highlight w:val="none"/>
          <w:lang w:val="zh-CN"/>
        </w:rPr>
        <w:fldChar w:fldCharType="separate"/>
      </w:r>
      <w:r>
        <w:rPr>
          <w:rFonts w:hint="eastAsia" w:ascii="Times New Roman" w:hAnsi="Times New Roman"/>
          <w:highlight w:val="none"/>
          <w:lang w:val="en-US" w:eastAsia="zh-CN"/>
        </w:rPr>
        <w:t>6.4　风机房</w:t>
      </w:r>
      <w:r>
        <w:tab/>
      </w:r>
      <w:r>
        <w:fldChar w:fldCharType="begin"/>
      </w:r>
      <w:r>
        <w:instrText xml:space="preserve"> PAGEREF _Toc19356 \h </w:instrText>
      </w:r>
      <w:r>
        <w:fldChar w:fldCharType="separate"/>
      </w:r>
      <w:r>
        <w:t>14</w:t>
      </w:r>
      <w:r>
        <w:fldChar w:fldCharType="end"/>
      </w:r>
      <w:r>
        <w:rPr>
          <w:rFonts w:cs="Times New Roman"/>
          <w:bCs/>
          <w:color w:val="000000" w:themeColor="text1"/>
          <w:szCs w:val="24"/>
          <w:highlight w:val="none"/>
          <w:lang w:val="zh-CN"/>
          <w14:textFill>
            <w14:solidFill>
              <w14:schemeClr w14:val="tx1"/>
            </w14:solidFill>
          </w14:textFill>
        </w:rPr>
        <w:fldChar w:fldCharType="end"/>
      </w:r>
    </w:p>
    <w:p>
      <w:pPr>
        <w:pStyle w:val="22"/>
        <w:tabs>
          <w:tab w:val="right" w:leader="dot" w:pos="8306"/>
          <w:tab w:val="clear" w:pos="8296"/>
        </w:tabs>
      </w:pPr>
      <w:r>
        <w:rPr>
          <w:rFonts w:cs="Times New Roman"/>
          <w:bCs/>
          <w:color w:val="000000" w:themeColor="text1"/>
          <w:szCs w:val="24"/>
          <w:highlight w:val="none"/>
          <w:lang w:val="zh-CN"/>
          <w14:textFill>
            <w14:solidFill>
              <w14:schemeClr w14:val="tx1"/>
            </w14:solidFill>
          </w14:textFill>
        </w:rPr>
        <w:fldChar w:fldCharType="begin"/>
      </w:r>
      <w:r>
        <w:rPr>
          <w:rFonts w:cs="Times New Roman"/>
          <w:bCs/>
          <w:szCs w:val="24"/>
          <w:highlight w:val="none"/>
          <w:lang w:val="zh-CN"/>
        </w:rPr>
        <w:instrText xml:space="preserve"> HYPERLINK \l _Toc6968 </w:instrText>
      </w:r>
      <w:r>
        <w:rPr>
          <w:rFonts w:cs="Times New Roman"/>
          <w:bCs/>
          <w:szCs w:val="24"/>
          <w:highlight w:val="none"/>
          <w:lang w:val="zh-CN"/>
        </w:rPr>
        <w:fldChar w:fldCharType="separate"/>
      </w:r>
      <w:r>
        <w:rPr>
          <w:rFonts w:hint="eastAsia" w:ascii="Times New Roman" w:hAnsi="Times New Roman"/>
          <w:highlight w:val="none"/>
          <w:lang w:val="en-US" w:eastAsia="zh-CN"/>
        </w:rPr>
        <w:t>6</w:t>
      </w:r>
      <w:r>
        <w:rPr>
          <w:rFonts w:ascii="Times New Roman" w:hAnsi="Times New Roman"/>
          <w:highlight w:val="none"/>
        </w:rPr>
        <w:t>.</w:t>
      </w:r>
      <w:r>
        <w:rPr>
          <w:rFonts w:hint="eastAsia" w:ascii="Times New Roman" w:hAnsi="Times New Roman"/>
          <w:highlight w:val="none"/>
          <w:lang w:val="en-US" w:eastAsia="zh-CN"/>
        </w:rPr>
        <w:t>5</w:t>
      </w:r>
      <w:r>
        <w:rPr>
          <w:rFonts w:ascii="Times New Roman" w:hAnsi="Times New Roman"/>
          <w:highlight w:val="none"/>
        </w:rPr>
        <w:t>　</w:t>
      </w:r>
      <w:r>
        <w:rPr>
          <w:rFonts w:hint="eastAsia" w:ascii="Times New Roman" w:hAnsi="Times New Roman"/>
          <w:highlight w:val="none"/>
          <w:lang w:val="en-US" w:eastAsia="zh-CN"/>
        </w:rPr>
        <w:t>过滤室</w:t>
      </w:r>
      <w:r>
        <w:tab/>
      </w:r>
      <w:r>
        <w:fldChar w:fldCharType="begin"/>
      </w:r>
      <w:r>
        <w:instrText xml:space="preserve"> PAGEREF _Toc6968 \h </w:instrText>
      </w:r>
      <w:r>
        <w:fldChar w:fldCharType="separate"/>
      </w:r>
      <w:r>
        <w:t>15</w:t>
      </w:r>
      <w:r>
        <w:fldChar w:fldCharType="end"/>
      </w:r>
      <w:r>
        <w:rPr>
          <w:rFonts w:cs="Times New Roman"/>
          <w:bCs/>
          <w:color w:val="000000" w:themeColor="text1"/>
          <w:szCs w:val="24"/>
          <w:highlight w:val="none"/>
          <w:lang w:val="zh-CN"/>
          <w14:textFill>
            <w14:solidFill>
              <w14:schemeClr w14:val="tx1"/>
            </w14:solidFill>
          </w14:textFill>
        </w:rPr>
        <w:fldChar w:fldCharType="end"/>
      </w:r>
    </w:p>
    <w:p>
      <w:pPr>
        <w:pStyle w:val="20"/>
        <w:tabs>
          <w:tab w:val="right" w:leader="dot" w:pos="8306"/>
        </w:tabs>
      </w:pPr>
      <w:r>
        <w:rPr>
          <w:rFonts w:cs="Times New Roman"/>
          <w:bCs/>
          <w:color w:val="000000" w:themeColor="text1"/>
          <w:szCs w:val="24"/>
          <w:highlight w:val="none"/>
          <w:lang w:val="zh-CN"/>
          <w14:textFill>
            <w14:solidFill>
              <w14:schemeClr w14:val="tx1"/>
            </w14:solidFill>
          </w14:textFill>
        </w:rPr>
        <w:fldChar w:fldCharType="begin"/>
      </w:r>
      <w:r>
        <w:rPr>
          <w:rFonts w:cs="Times New Roman"/>
          <w:bCs/>
          <w:szCs w:val="24"/>
          <w:highlight w:val="none"/>
          <w:lang w:val="zh-CN"/>
        </w:rPr>
        <w:instrText xml:space="preserve"> HYPERLINK \l _Toc12777 </w:instrText>
      </w:r>
      <w:r>
        <w:rPr>
          <w:rFonts w:cs="Times New Roman"/>
          <w:bCs/>
          <w:szCs w:val="24"/>
          <w:highlight w:val="none"/>
          <w:lang w:val="zh-CN"/>
        </w:rPr>
        <w:fldChar w:fldCharType="separate"/>
      </w:r>
      <w:r>
        <w:rPr>
          <w:rFonts w:hint="eastAsia"/>
          <w:lang w:val="en-US" w:eastAsia="zh-CN"/>
        </w:rPr>
        <w:t xml:space="preserve">7 </w:t>
      </w:r>
      <w:r>
        <w:rPr>
          <w:rFonts w:hint="eastAsia"/>
          <w:highlight w:val="none"/>
          <w:lang w:val="en-US" w:eastAsia="zh-CN"/>
        </w:rPr>
        <w:t>施工安装</w:t>
      </w:r>
      <w:r>
        <w:tab/>
      </w:r>
      <w:r>
        <w:fldChar w:fldCharType="begin"/>
      </w:r>
      <w:r>
        <w:instrText xml:space="preserve"> PAGEREF _Toc12777 \h </w:instrText>
      </w:r>
      <w:r>
        <w:fldChar w:fldCharType="separate"/>
      </w:r>
      <w:r>
        <w:t>16</w:t>
      </w:r>
      <w:r>
        <w:fldChar w:fldCharType="end"/>
      </w:r>
      <w:r>
        <w:rPr>
          <w:rFonts w:cs="Times New Roman"/>
          <w:bCs/>
          <w:color w:val="000000" w:themeColor="text1"/>
          <w:szCs w:val="24"/>
          <w:highlight w:val="none"/>
          <w:lang w:val="zh-CN"/>
          <w14:textFill>
            <w14:solidFill>
              <w14:schemeClr w14:val="tx1"/>
            </w14:solidFill>
          </w14:textFill>
        </w:rPr>
        <w:fldChar w:fldCharType="end"/>
      </w:r>
    </w:p>
    <w:p>
      <w:pPr>
        <w:pStyle w:val="22"/>
        <w:tabs>
          <w:tab w:val="right" w:leader="dot" w:pos="8306"/>
          <w:tab w:val="clear" w:pos="8296"/>
        </w:tabs>
      </w:pPr>
      <w:r>
        <w:rPr>
          <w:rFonts w:cs="Times New Roman"/>
          <w:bCs/>
          <w:color w:val="000000" w:themeColor="text1"/>
          <w:szCs w:val="24"/>
          <w:highlight w:val="none"/>
          <w:lang w:val="zh-CN"/>
          <w14:textFill>
            <w14:solidFill>
              <w14:schemeClr w14:val="tx1"/>
            </w14:solidFill>
          </w14:textFill>
        </w:rPr>
        <w:fldChar w:fldCharType="begin"/>
      </w:r>
      <w:r>
        <w:rPr>
          <w:rFonts w:cs="Times New Roman"/>
          <w:bCs/>
          <w:szCs w:val="24"/>
          <w:highlight w:val="none"/>
          <w:lang w:val="zh-CN"/>
        </w:rPr>
        <w:instrText xml:space="preserve"> HYPERLINK \l _Toc3255 </w:instrText>
      </w:r>
      <w:r>
        <w:rPr>
          <w:rFonts w:cs="Times New Roman"/>
          <w:bCs/>
          <w:szCs w:val="24"/>
          <w:highlight w:val="none"/>
          <w:lang w:val="zh-CN"/>
        </w:rPr>
        <w:fldChar w:fldCharType="separate"/>
      </w:r>
      <w:r>
        <w:rPr>
          <w:rFonts w:hint="default"/>
          <w:bCs/>
          <w:lang w:val="en-US" w:eastAsia="zh-CN"/>
        </w:rPr>
        <w:t xml:space="preserve">7.1 </w:t>
      </w:r>
      <w:r>
        <w:rPr>
          <w:rFonts w:hint="eastAsia"/>
          <w:lang w:val="en-US" w:eastAsia="zh-CN"/>
        </w:rPr>
        <w:t>一般规定</w:t>
      </w:r>
      <w:r>
        <w:tab/>
      </w:r>
      <w:r>
        <w:fldChar w:fldCharType="begin"/>
      </w:r>
      <w:r>
        <w:instrText xml:space="preserve"> PAGEREF _Toc3255 \h </w:instrText>
      </w:r>
      <w:r>
        <w:fldChar w:fldCharType="separate"/>
      </w:r>
      <w:r>
        <w:t>16</w:t>
      </w:r>
      <w:r>
        <w:fldChar w:fldCharType="end"/>
      </w:r>
      <w:r>
        <w:rPr>
          <w:rFonts w:cs="Times New Roman"/>
          <w:bCs/>
          <w:color w:val="000000" w:themeColor="text1"/>
          <w:szCs w:val="24"/>
          <w:highlight w:val="none"/>
          <w:lang w:val="zh-CN"/>
          <w14:textFill>
            <w14:solidFill>
              <w14:schemeClr w14:val="tx1"/>
            </w14:solidFill>
          </w14:textFill>
        </w:rPr>
        <w:fldChar w:fldCharType="end"/>
      </w:r>
    </w:p>
    <w:p>
      <w:pPr>
        <w:pStyle w:val="22"/>
        <w:tabs>
          <w:tab w:val="right" w:leader="dot" w:pos="8306"/>
          <w:tab w:val="clear" w:pos="8296"/>
        </w:tabs>
      </w:pPr>
      <w:r>
        <w:rPr>
          <w:rFonts w:cs="Times New Roman"/>
          <w:bCs/>
          <w:color w:val="000000" w:themeColor="text1"/>
          <w:szCs w:val="24"/>
          <w:highlight w:val="none"/>
          <w:lang w:val="zh-CN"/>
          <w14:textFill>
            <w14:solidFill>
              <w14:schemeClr w14:val="tx1"/>
            </w14:solidFill>
          </w14:textFill>
        </w:rPr>
        <w:fldChar w:fldCharType="begin"/>
      </w:r>
      <w:r>
        <w:rPr>
          <w:rFonts w:cs="Times New Roman"/>
          <w:bCs/>
          <w:szCs w:val="24"/>
          <w:highlight w:val="none"/>
          <w:lang w:val="zh-CN"/>
        </w:rPr>
        <w:instrText xml:space="preserve"> HYPERLINK \l _Toc20828 </w:instrText>
      </w:r>
      <w:r>
        <w:rPr>
          <w:rFonts w:cs="Times New Roman"/>
          <w:bCs/>
          <w:szCs w:val="24"/>
          <w:highlight w:val="none"/>
          <w:lang w:val="zh-CN"/>
        </w:rPr>
        <w:fldChar w:fldCharType="separate"/>
      </w:r>
      <w:r>
        <w:rPr>
          <w:rFonts w:hint="default" w:ascii="Times New Roman" w:hAnsi="Times New Roman" w:cs="Times New Roman"/>
          <w:bCs/>
          <w:lang w:val="en-US" w:eastAsia="zh-CN"/>
        </w:rPr>
        <w:t>7.2</w:t>
      </w:r>
      <w:r>
        <w:rPr>
          <w:rFonts w:hint="eastAsia"/>
          <w:lang w:val="en-US" w:eastAsia="zh-CN"/>
        </w:rPr>
        <w:t xml:space="preserve"> 管道施工</w:t>
      </w:r>
      <w:r>
        <w:tab/>
      </w:r>
      <w:r>
        <w:fldChar w:fldCharType="begin"/>
      </w:r>
      <w:r>
        <w:instrText xml:space="preserve"> PAGEREF _Toc20828 \h </w:instrText>
      </w:r>
      <w:r>
        <w:fldChar w:fldCharType="separate"/>
      </w:r>
      <w:r>
        <w:t>16</w:t>
      </w:r>
      <w:r>
        <w:fldChar w:fldCharType="end"/>
      </w:r>
      <w:r>
        <w:rPr>
          <w:rFonts w:cs="Times New Roman"/>
          <w:bCs/>
          <w:color w:val="000000" w:themeColor="text1"/>
          <w:szCs w:val="24"/>
          <w:highlight w:val="none"/>
          <w:lang w:val="zh-CN"/>
          <w14:textFill>
            <w14:solidFill>
              <w14:schemeClr w14:val="tx1"/>
            </w14:solidFill>
          </w14:textFill>
        </w:rPr>
        <w:fldChar w:fldCharType="end"/>
      </w:r>
    </w:p>
    <w:p>
      <w:pPr>
        <w:pStyle w:val="20"/>
        <w:tabs>
          <w:tab w:val="right" w:leader="dot" w:pos="8306"/>
        </w:tabs>
      </w:pPr>
      <w:r>
        <w:rPr>
          <w:rFonts w:cs="Times New Roman"/>
          <w:bCs/>
          <w:color w:val="000000" w:themeColor="text1"/>
          <w:szCs w:val="24"/>
          <w:highlight w:val="none"/>
          <w:lang w:val="zh-CN"/>
          <w14:textFill>
            <w14:solidFill>
              <w14:schemeClr w14:val="tx1"/>
            </w14:solidFill>
          </w14:textFill>
        </w:rPr>
        <w:fldChar w:fldCharType="begin"/>
      </w:r>
      <w:r>
        <w:rPr>
          <w:rFonts w:cs="Times New Roman"/>
          <w:bCs/>
          <w:szCs w:val="24"/>
          <w:highlight w:val="none"/>
          <w:lang w:val="zh-CN"/>
        </w:rPr>
        <w:instrText xml:space="preserve"> HYPERLINK \l _Toc12082 </w:instrText>
      </w:r>
      <w:r>
        <w:rPr>
          <w:rFonts w:cs="Times New Roman"/>
          <w:bCs/>
          <w:szCs w:val="24"/>
          <w:highlight w:val="none"/>
          <w:lang w:val="zh-CN"/>
        </w:rPr>
        <w:fldChar w:fldCharType="separate"/>
      </w:r>
      <w:r>
        <w:rPr>
          <w:rFonts w:hint="eastAsia"/>
          <w:highlight w:val="none"/>
          <w:lang w:val="en-US" w:eastAsia="zh-CN"/>
        </w:rPr>
        <w:t>8</w:t>
      </w:r>
      <w:r>
        <w:rPr>
          <w:highlight w:val="none"/>
        </w:rPr>
        <w:t>　</w:t>
      </w:r>
      <w:r>
        <w:rPr>
          <w:rFonts w:hint="eastAsia"/>
          <w:highlight w:val="none"/>
          <w:lang w:val="en-US" w:eastAsia="zh-CN"/>
        </w:rPr>
        <w:t>质量</w:t>
      </w:r>
      <w:r>
        <w:rPr>
          <w:highlight w:val="none"/>
        </w:rPr>
        <w:t>验收</w:t>
      </w:r>
      <w:r>
        <w:tab/>
      </w:r>
      <w:r>
        <w:fldChar w:fldCharType="begin"/>
      </w:r>
      <w:r>
        <w:instrText xml:space="preserve"> PAGEREF _Toc12082 \h </w:instrText>
      </w:r>
      <w:r>
        <w:fldChar w:fldCharType="separate"/>
      </w:r>
      <w:r>
        <w:t>18</w:t>
      </w:r>
      <w:r>
        <w:fldChar w:fldCharType="end"/>
      </w:r>
      <w:r>
        <w:rPr>
          <w:rFonts w:cs="Times New Roman"/>
          <w:bCs/>
          <w:color w:val="000000" w:themeColor="text1"/>
          <w:szCs w:val="24"/>
          <w:highlight w:val="none"/>
          <w:lang w:val="zh-CN"/>
          <w14:textFill>
            <w14:solidFill>
              <w14:schemeClr w14:val="tx1"/>
            </w14:solidFill>
          </w14:textFill>
        </w:rPr>
        <w:fldChar w:fldCharType="end"/>
      </w:r>
    </w:p>
    <w:p>
      <w:pPr>
        <w:pStyle w:val="20"/>
        <w:tabs>
          <w:tab w:val="right" w:leader="dot" w:pos="8306"/>
        </w:tabs>
        <w:rPr>
          <w:rFonts w:cs="Times New Roman"/>
          <w:bCs/>
          <w:color w:val="000000" w:themeColor="text1"/>
          <w:szCs w:val="24"/>
          <w:highlight w:val="none"/>
          <w:lang w:val="zh-CN"/>
          <w14:textFill>
            <w14:solidFill>
              <w14:schemeClr w14:val="tx1"/>
            </w14:solidFill>
          </w14:textFill>
        </w:rPr>
      </w:pPr>
      <w:r>
        <w:rPr>
          <w:rFonts w:cs="Times New Roman"/>
          <w:bCs/>
          <w:color w:val="000000" w:themeColor="text1"/>
          <w:szCs w:val="24"/>
          <w:highlight w:val="none"/>
          <w:lang w:val="zh-CN"/>
          <w14:textFill>
            <w14:solidFill>
              <w14:schemeClr w14:val="tx1"/>
            </w14:solidFill>
          </w14:textFill>
        </w:rPr>
        <w:fldChar w:fldCharType="begin"/>
      </w:r>
      <w:r>
        <w:rPr>
          <w:rFonts w:cs="Times New Roman"/>
          <w:bCs/>
          <w:szCs w:val="24"/>
          <w:highlight w:val="none"/>
          <w:lang w:val="zh-CN"/>
        </w:rPr>
        <w:instrText xml:space="preserve"> HYPERLINK \l _Toc20877 </w:instrText>
      </w:r>
      <w:r>
        <w:rPr>
          <w:rFonts w:cs="Times New Roman"/>
          <w:bCs/>
          <w:szCs w:val="24"/>
          <w:highlight w:val="none"/>
          <w:lang w:val="zh-CN"/>
        </w:rPr>
        <w:fldChar w:fldCharType="separate"/>
      </w:r>
      <w:r>
        <w:rPr>
          <w:rFonts w:hint="eastAsia" w:ascii="Times New Roman" w:hAnsi="Times New Roman" w:cs="Times New Roman"/>
          <w:highlight w:val="none"/>
          <w:lang w:val="en-US" w:eastAsia="zh-CN"/>
        </w:rPr>
        <w:t>9</w:t>
      </w:r>
      <w:r>
        <w:rPr>
          <w:rFonts w:cs="Times New Roman"/>
          <w:highlight w:val="none"/>
        </w:rPr>
        <w:t>　</w:t>
      </w:r>
      <w:r>
        <w:rPr>
          <w:rFonts w:hint="eastAsia"/>
          <w:highlight w:val="none"/>
          <w:lang w:val="en-US" w:eastAsia="zh-CN"/>
        </w:rPr>
        <w:t>运行与维护</w:t>
      </w:r>
      <w:r>
        <w:tab/>
      </w:r>
      <w:r>
        <w:fldChar w:fldCharType="begin"/>
      </w:r>
      <w:r>
        <w:instrText xml:space="preserve"> PAGEREF _Toc20877 \h </w:instrText>
      </w:r>
      <w:r>
        <w:fldChar w:fldCharType="separate"/>
      </w:r>
      <w:r>
        <w:t>19</w:t>
      </w:r>
      <w:r>
        <w:fldChar w:fldCharType="end"/>
      </w:r>
      <w:r>
        <w:rPr>
          <w:rFonts w:cs="Times New Roman"/>
          <w:bCs/>
          <w:color w:val="000000" w:themeColor="text1"/>
          <w:szCs w:val="24"/>
          <w:highlight w:val="none"/>
          <w:lang w:val="zh-CN"/>
          <w14:textFill>
            <w14:solidFill>
              <w14:schemeClr w14:val="tx1"/>
            </w14:solidFill>
          </w14:textFill>
        </w:rPr>
        <w:fldChar w:fldCharType="end"/>
      </w:r>
    </w:p>
    <w:p/>
    <w:p>
      <w:pPr>
        <w:pStyle w:val="20"/>
        <w:tabs>
          <w:tab w:val="right" w:leader="dot" w:pos="8306"/>
        </w:tabs>
      </w:pPr>
      <w:r>
        <w:rPr>
          <w:rFonts w:cs="Times New Roman"/>
          <w:bCs/>
          <w:color w:val="000000" w:themeColor="text1"/>
          <w:szCs w:val="24"/>
          <w:highlight w:val="none"/>
          <w:lang w:val="zh-CN"/>
          <w14:textFill>
            <w14:solidFill>
              <w14:schemeClr w14:val="tx1"/>
            </w14:solidFill>
          </w14:textFill>
        </w:rPr>
        <w:fldChar w:fldCharType="begin"/>
      </w:r>
      <w:r>
        <w:rPr>
          <w:rFonts w:cs="Times New Roman"/>
          <w:bCs/>
          <w:szCs w:val="24"/>
          <w:highlight w:val="none"/>
          <w:lang w:val="zh-CN"/>
        </w:rPr>
        <w:instrText xml:space="preserve"> HYPERLINK \l _Toc14675 </w:instrText>
      </w:r>
      <w:r>
        <w:rPr>
          <w:rFonts w:cs="Times New Roman"/>
          <w:bCs/>
          <w:szCs w:val="24"/>
          <w:highlight w:val="none"/>
          <w:lang w:val="zh-CN"/>
        </w:rPr>
        <w:fldChar w:fldCharType="separate"/>
      </w:r>
      <w:r>
        <w:rPr>
          <w:highlight w:val="none"/>
        </w:rPr>
        <w:t>用词说明</w:t>
      </w:r>
      <w:r>
        <w:tab/>
      </w:r>
      <w:r>
        <w:fldChar w:fldCharType="begin"/>
      </w:r>
      <w:r>
        <w:instrText xml:space="preserve"> PAGEREF _Toc14675 \h </w:instrText>
      </w:r>
      <w:r>
        <w:fldChar w:fldCharType="separate"/>
      </w:r>
      <w:r>
        <w:t>20</w:t>
      </w:r>
      <w:r>
        <w:fldChar w:fldCharType="end"/>
      </w:r>
      <w:r>
        <w:rPr>
          <w:rFonts w:cs="Times New Roman"/>
          <w:bCs/>
          <w:color w:val="000000" w:themeColor="text1"/>
          <w:szCs w:val="24"/>
          <w:highlight w:val="none"/>
          <w:lang w:val="zh-CN"/>
          <w14:textFill>
            <w14:solidFill>
              <w14:schemeClr w14:val="tx1"/>
            </w14:solidFill>
          </w14:textFill>
        </w:rPr>
        <w:fldChar w:fldCharType="end"/>
      </w:r>
    </w:p>
    <w:p>
      <w:pPr>
        <w:pStyle w:val="20"/>
        <w:tabs>
          <w:tab w:val="right" w:leader="dot" w:pos="8306"/>
        </w:tabs>
      </w:pPr>
      <w:r>
        <w:rPr>
          <w:rFonts w:cs="Times New Roman"/>
          <w:bCs/>
          <w:color w:val="000000" w:themeColor="text1"/>
          <w:szCs w:val="24"/>
          <w:highlight w:val="none"/>
          <w:lang w:val="zh-CN"/>
          <w14:textFill>
            <w14:solidFill>
              <w14:schemeClr w14:val="tx1"/>
            </w14:solidFill>
          </w14:textFill>
        </w:rPr>
        <w:fldChar w:fldCharType="begin"/>
      </w:r>
      <w:r>
        <w:rPr>
          <w:rFonts w:cs="Times New Roman"/>
          <w:bCs/>
          <w:szCs w:val="24"/>
          <w:highlight w:val="none"/>
          <w:lang w:val="zh-CN"/>
        </w:rPr>
        <w:instrText xml:space="preserve"> HYPERLINK \l _Toc20015 </w:instrText>
      </w:r>
      <w:r>
        <w:rPr>
          <w:rFonts w:cs="Times New Roman"/>
          <w:bCs/>
          <w:szCs w:val="24"/>
          <w:highlight w:val="none"/>
          <w:lang w:val="zh-CN"/>
        </w:rPr>
        <w:fldChar w:fldCharType="separate"/>
      </w:r>
      <w:r>
        <w:rPr>
          <w:highlight w:val="none"/>
        </w:rPr>
        <w:t>引用标准名录</w:t>
      </w:r>
      <w:r>
        <w:tab/>
      </w:r>
      <w:r>
        <w:fldChar w:fldCharType="begin"/>
      </w:r>
      <w:r>
        <w:instrText xml:space="preserve"> PAGEREF _Toc20015 \h </w:instrText>
      </w:r>
      <w:r>
        <w:fldChar w:fldCharType="separate"/>
      </w:r>
      <w:r>
        <w:t>21</w:t>
      </w:r>
      <w:r>
        <w:fldChar w:fldCharType="end"/>
      </w:r>
      <w:r>
        <w:rPr>
          <w:rFonts w:cs="Times New Roman"/>
          <w:bCs/>
          <w:color w:val="000000" w:themeColor="text1"/>
          <w:szCs w:val="24"/>
          <w:highlight w:val="none"/>
          <w:lang w:val="zh-CN"/>
          <w14:textFill>
            <w14:solidFill>
              <w14:schemeClr w14:val="tx1"/>
            </w14:solidFill>
          </w14:textFill>
        </w:rPr>
        <w:fldChar w:fldCharType="end"/>
      </w:r>
    </w:p>
    <w:p>
      <w:pPr>
        <w:pStyle w:val="20"/>
        <w:tabs>
          <w:tab w:val="right" w:leader="dot" w:pos="8306"/>
        </w:tabs>
      </w:pPr>
      <w:r>
        <w:rPr>
          <w:rFonts w:cs="Times New Roman"/>
          <w:bCs/>
          <w:color w:val="000000" w:themeColor="text1"/>
          <w:szCs w:val="24"/>
          <w:highlight w:val="none"/>
          <w:lang w:val="zh-CN"/>
          <w14:textFill>
            <w14:solidFill>
              <w14:schemeClr w14:val="tx1"/>
            </w14:solidFill>
          </w14:textFill>
        </w:rPr>
        <w:fldChar w:fldCharType="begin"/>
      </w:r>
      <w:r>
        <w:rPr>
          <w:rFonts w:cs="Times New Roman"/>
          <w:bCs/>
          <w:szCs w:val="24"/>
          <w:highlight w:val="none"/>
          <w:lang w:val="zh-CN"/>
        </w:rPr>
        <w:instrText xml:space="preserve"> HYPERLINK \l _Toc16643 </w:instrText>
      </w:r>
      <w:r>
        <w:rPr>
          <w:rFonts w:cs="Times New Roman"/>
          <w:bCs/>
          <w:szCs w:val="24"/>
          <w:highlight w:val="none"/>
          <w:lang w:val="zh-CN"/>
        </w:rPr>
        <w:fldChar w:fldCharType="separate"/>
      </w:r>
      <w:r>
        <w:rPr>
          <w:highlight w:val="none"/>
        </w:rPr>
        <w:t>条文说明</w:t>
      </w:r>
      <w:r>
        <w:tab/>
      </w:r>
      <w:r>
        <w:fldChar w:fldCharType="begin"/>
      </w:r>
      <w:r>
        <w:instrText xml:space="preserve"> PAGEREF _Toc16643 \h </w:instrText>
      </w:r>
      <w:r>
        <w:fldChar w:fldCharType="separate"/>
      </w:r>
      <w:r>
        <w:t>22</w:t>
      </w:r>
      <w:r>
        <w:fldChar w:fldCharType="end"/>
      </w:r>
      <w:r>
        <w:rPr>
          <w:rFonts w:cs="Times New Roman"/>
          <w:bCs/>
          <w:color w:val="000000" w:themeColor="text1"/>
          <w:szCs w:val="24"/>
          <w:highlight w:val="none"/>
          <w:lang w:val="zh-CN"/>
          <w14:textFill>
            <w14:solidFill>
              <w14:schemeClr w14:val="tx1"/>
            </w14:solidFill>
          </w14:textFill>
        </w:rPr>
        <w:fldChar w:fldCharType="end"/>
      </w:r>
    </w:p>
    <w:p>
      <w:pPr>
        <w:snapToGrid w:val="0"/>
        <w:spacing w:after="0" w:line="360" w:lineRule="auto"/>
        <w:rPr>
          <w:rFonts w:cs="Times New Roman"/>
          <w:b/>
          <w:bCs/>
          <w:color w:val="000000" w:themeColor="text1"/>
          <w:highlight w:val="none"/>
          <w14:textFill>
            <w14:solidFill>
              <w14:schemeClr w14:val="tx1"/>
            </w14:solidFill>
          </w14:textFill>
        </w:rPr>
      </w:pPr>
      <w:r>
        <w:rPr>
          <w:rFonts w:cs="Times New Roman"/>
          <w:bCs/>
          <w:color w:val="000000" w:themeColor="text1"/>
          <w:szCs w:val="24"/>
          <w:highlight w:val="none"/>
          <w:lang w:val="zh-CN"/>
          <w14:textFill>
            <w14:solidFill>
              <w14:schemeClr w14:val="tx1"/>
            </w14:solidFill>
          </w14:textFill>
        </w:rPr>
        <w:fldChar w:fldCharType="end"/>
      </w:r>
    </w:p>
    <w:p>
      <w:pPr>
        <w:rPr>
          <w:rFonts w:cs="Times New Roman"/>
          <w:b/>
          <w:bCs/>
          <w:color w:val="000000" w:themeColor="text1"/>
          <w:sz w:val="32"/>
          <w:szCs w:val="32"/>
          <w:highlight w:val="none"/>
          <w14:textFill>
            <w14:solidFill>
              <w14:schemeClr w14:val="tx1"/>
            </w14:solidFill>
          </w14:textFill>
        </w:rPr>
      </w:pPr>
      <w:bookmarkStart w:id="7" w:name="_Toc479244227"/>
      <w:r>
        <w:rPr>
          <w:rFonts w:cs="Times New Roman"/>
          <w:color w:val="000000" w:themeColor="text1"/>
          <w:highlight w:val="none"/>
          <w14:textFill>
            <w14:solidFill>
              <w14:schemeClr w14:val="tx1"/>
            </w14:solidFill>
          </w14:textFill>
        </w:rPr>
        <w:br w:type="page"/>
      </w:r>
    </w:p>
    <w:p>
      <w:pPr>
        <w:pStyle w:val="24"/>
        <w:jc w:val="center"/>
        <w:rPr>
          <w:rFonts w:ascii="Times New Roman" w:hAnsi="Times New Roman" w:cs="Times New Roman"/>
          <w:b/>
          <w:color w:val="000000" w:themeColor="text1"/>
          <w:sz w:val="32"/>
          <w:highlight w:val="none"/>
          <w14:textFill>
            <w14:solidFill>
              <w14:schemeClr w14:val="tx1"/>
            </w14:solidFill>
          </w14:textFill>
        </w:rPr>
      </w:pPr>
      <w:bookmarkStart w:id="8" w:name="_Toc515537976"/>
      <w:bookmarkStart w:id="9" w:name="_Toc509245704"/>
      <w:bookmarkStart w:id="10" w:name="_Toc515537999"/>
      <w:bookmarkStart w:id="11" w:name="_Toc509245720"/>
    </w:p>
    <w:p>
      <w:pPr>
        <w:pStyle w:val="24"/>
        <w:jc w:val="center"/>
        <w:rPr>
          <w:rFonts w:ascii="Times New Roman" w:hAnsi="Times New Roman" w:cs="Times New Roman"/>
          <w:b/>
          <w:color w:val="000000" w:themeColor="text1"/>
          <w:sz w:val="32"/>
          <w:highlight w:val="none"/>
          <w14:textFill>
            <w14:solidFill>
              <w14:schemeClr w14:val="tx1"/>
            </w14:solidFill>
          </w14:textFill>
        </w:rPr>
      </w:pPr>
      <w:r>
        <w:rPr>
          <w:rFonts w:ascii="Times New Roman" w:hAnsi="Times New Roman" w:cs="Times New Roman"/>
          <w:b/>
          <w:color w:val="000000" w:themeColor="text1"/>
          <w:sz w:val="32"/>
          <w:highlight w:val="none"/>
          <w14:textFill>
            <w14:solidFill>
              <w14:schemeClr w14:val="tx1"/>
            </w14:solidFill>
          </w14:textFill>
        </w:rPr>
        <w:t>Contents</w:t>
      </w:r>
      <w:bookmarkEnd w:id="8"/>
      <w:bookmarkEnd w:id="9"/>
      <w:bookmarkEnd w:id="10"/>
      <w:bookmarkEnd w:id="11"/>
    </w:p>
    <w:p>
      <w:pPr>
        <w:spacing w:after="120" w:line="260" w:lineRule="auto"/>
        <w:ind w:left="0" w:leftChars="0" w:firstLine="0" w:firstLineChars="0"/>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1 General Provision............................................................................................................................1</w:t>
      </w:r>
    </w:p>
    <w:p>
      <w:pPr>
        <w:spacing w:after="120" w:line="260" w:lineRule="auto"/>
        <w:ind w:left="0" w:leftChars="0" w:firstLine="0" w:firstLineChars="0"/>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2 Terms and symbols.........................................................................................................................2</w:t>
      </w:r>
    </w:p>
    <w:p>
      <w:pPr>
        <w:spacing w:after="120" w:line="260" w:lineRule="auto"/>
        <w:ind w:left="0" w:leftChars="0" w:firstLine="0" w:firstLineChars="0"/>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3 General requirements......................................................................................................................4</w:t>
      </w:r>
    </w:p>
    <w:p>
      <w:pPr>
        <w:spacing w:after="120" w:line="260" w:lineRule="auto"/>
        <w:ind w:left="0" w:leftChars="0" w:firstLine="0" w:firstLineChars="0"/>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 xml:space="preserve">4 </w:t>
      </w:r>
      <w:r>
        <w:rPr>
          <w:rFonts w:hint="eastAsia"/>
          <w:color w:val="000000" w:themeColor="text1"/>
          <w:sz w:val="21"/>
          <w:lang w:val="en-US" w:eastAsia="zh-CN"/>
          <w14:textFill>
            <w14:solidFill>
              <w14:schemeClr w14:val="tx1"/>
            </w14:solidFill>
          </w14:textFill>
        </w:rPr>
        <w:t xml:space="preserve">Delivery </w:t>
      </w:r>
      <w:r>
        <w:rPr>
          <w:rFonts w:hint="eastAsia"/>
          <w:color w:val="000000" w:themeColor="text1"/>
          <w:sz w:val="21"/>
          <w14:textFill>
            <w14:solidFill>
              <w14:schemeClr w14:val="tx1"/>
            </w14:solidFill>
          </w14:textFill>
        </w:rPr>
        <w:t>System..............................................................................................................................5</w:t>
      </w:r>
    </w:p>
    <w:p>
      <w:pPr>
        <w:spacing w:after="120" w:line="260" w:lineRule="auto"/>
        <w:ind w:left="0" w:leftChars="0" w:firstLine="0" w:firstLineChars="0"/>
        <w:rPr>
          <w:rFonts w:hint="eastAsia" w:eastAsia="宋体"/>
          <w:color w:val="000000" w:themeColor="text1"/>
          <w:sz w:val="21"/>
          <w:lang w:eastAsia="zh-CN"/>
          <w14:textFill>
            <w14:solidFill>
              <w14:schemeClr w14:val="tx1"/>
            </w14:solidFill>
          </w14:textFill>
        </w:rPr>
      </w:pPr>
      <w:r>
        <w:rPr>
          <w:rFonts w:hint="eastAsia"/>
          <w:color w:val="000000" w:themeColor="text1"/>
          <w:sz w:val="21"/>
          <w14:textFill>
            <w14:solidFill>
              <w14:schemeClr w14:val="tx1"/>
            </w14:solidFill>
          </w14:textFill>
        </w:rPr>
        <w:t xml:space="preserve">5 </w:t>
      </w:r>
      <w:r>
        <w:rPr>
          <w:rFonts w:hint="eastAsia"/>
          <w:color w:val="000000" w:themeColor="text1"/>
          <w:sz w:val="21"/>
          <w:lang w:val="en-US" w:eastAsia="zh-CN"/>
          <w14:textFill>
            <w14:solidFill>
              <w14:schemeClr w14:val="tx1"/>
            </w14:solidFill>
          </w14:textFill>
        </w:rPr>
        <w:t>Pipeline transportation system</w:t>
      </w:r>
      <w:r>
        <w:rPr>
          <w:rFonts w:hint="eastAsia"/>
          <w:color w:val="000000" w:themeColor="text1"/>
          <w:sz w:val="21"/>
          <w14:textFill>
            <w14:solidFill>
              <w14:schemeClr w14:val="tx1"/>
            </w14:solidFill>
          </w14:textFill>
        </w:rPr>
        <w:t>........................................................................................................</w:t>
      </w:r>
      <w:r>
        <w:rPr>
          <w:rFonts w:hint="eastAsia"/>
          <w:color w:val="000000" w:themeColor="text1"/>
          <w:sz w:val="21"/>
          <w:lang w:val="en-US" w:eastAsia="zh-CN"/>
          <w14:textFill>
            <w14:solidFill>
              <w14:schemeClr w14:val="tx1"/>
            </w14:solidFill>
          </w14:textFill>
        </w:rPr>
        <w:t>7</w:t>
      </w:r>
    </w:p>
    <w:p>
      <w:pPr>
        <w:spacing w:after="120" w:line="260" w:lineRule="auto"/>
        <w:ind w:firstLine="218" w:firstLineChars="104"/>
        <w:rPr>
          <w:rFonts w:hint="eastAsia" w:eastAsia="宋体"/>
          <w:color w:val="000000" w:themeColor="text1"/>
          <w:sz w:val="21"/>
          <w:lang w:eastAsia="zh-CN"/>
          <w14:textFill>
            <w14:solidFill>
              <w14:schemeClr w14:val="tx1"/>
            </w14:solidFill>
          </w14:textFill>
        </w:rPr>
      </w:pPr>
      <w:r>
        <w:rPr>
          <w:rFonts w:hint="eastAsia"/>
          <w:color w:val="000000" w:themeColor="text1"/>
          <w:sz w:val="21"/>
          <w14:textFill>
            <w14:solidFill>
              <w14:schemeClr w14:val="tx1"/>
            </w14:solidFill>
          </w14:textFill>
        </w:rPr>
        <w:t xml:space="preserve">5.1 </w:t>
      </w:r>
      <w:r>
        <w:rPr>
          <w:rFonts w:hint="eastAsia"/>
          <w:color w:val="000000" w:themeColor="text1"/>
          <w:sz w:val="21"/>
          <w:lang w:val="en-US" w:eastAsia="zh-CN"/>
          <w14:textFill>
            <w14:solidFill>
              <w14:schemeClr w14:val="tx1"/>
            </w14:solidFill>
          </w14:textFill>
        </w:rPr>
        <w:t>General requirements</w:t>
      </w:r>
      <w:r>
        <w:rPr>
          <w:rFonts w:hint="eastAsia"/>
          <w:color w:val="000000" w:themeColor="text1"/>
          <w:sz w:val="21"/>
          <w14:textFill>
            <w14:solidFill>
              <w14:schemeClr w14:val="tx1"/>
            </w14:solidFill>
          </w14:textFill>
        </w:rPr>
        <w:t xml:space="preserve"> ..............................................................................................................</w:t>
      </w:r>
      <w:r>
        <w:rPr>
          <w:rFonts w:hint="eastAsia"/>
          <w:color w:val="000000" w:themeColor="text1"/>
          <w:sz w:val="21"/>
          <w:lang w:val="en-US" w:eastAsia="zh-CN"/>
          <w14:textFill>
            <w14:solidFill>
              <w14:schemeClr w14:val="tx1"/>
            </w14:solidFill>
          </w14:textFill>
        </w:rPr>
        <w:t>7</w:t>
      </w:r>
    </w:p>
    <w:p>
      <w:pPr>
        <w:spacing w:after="120" w:line="260" w:lineRule="auto"/>
        <w:ind w:firstLine="218" w:firstLineChars="104"/>
        <w:rPr>
          <w:rFonts w:hint="eastAsia" w:eastAsia="宋体"/>
          <w:color w:val="000000" w:themeColor="text1"/>
          <w:sz w:val="21"/>
          <w:lang w:val="en-US" w:eastAsia="zh-CN"/>
          <w14:textFill>
            <w14:solidFill>
              <w14:schemeClr w14:val="tx1"/>
            </w14:solidFill>
          </w14:textFill>
        </w:rPr>
      </w:pPr>
      <w:r>
        <w:rPr>
          <w:rFonts w:hint="eastAsia"/>
          <w:color w:val="000000" w:themeColor="text1"/>
          <w:sz w:val="21"/>
          <w14:textFill>
            <w14:solidFill>
              <w14:schemeClr w14:val="tx1"/>
            </w14:solidFill>
          </w14:textFill>
        </w:rPr>
        <w:t xml:space="preserve">5.2 </w:t>
      </w:r>
      <w:r>
        <w:rPr>
          <w:rFonts w:hint="eastAsia"/>
          <w:color w:val="000000" w:themeColor="text1"/>
          <w:sz w:val="21"/>
          <w:lang w:val="en-US" w:eastAsia="zh-CN"/>
          <w14:textFill>
            <w14:solidFill>
              <w14:schemeClr w14:val="tx1"/>
            </w14:solidFill>
          </w14:textFill>
        </w:rPr>
        <w:t xml:space="preserve">Waste transportation pipeline </w:t>
      </w:r>
      <w:r>
        <w:rPr>
          <w:rFonts w:hint="eastAsia"/>
          <w:color w:val="000000" w:themeColor="text1"/>
          <w:sz w:val="21"/>
          <w14:textFill>
            <w14:solidFill>
              <w14:schemeClr w14:val="tx1"/>
            </w14:solidFill>
          </w14:textFill>
        </w:rPr>
        <w:t>.................................................................................................</w:t>
      </w:r>
      <w:r>
        <w:rPr>
          <w:rFonts w:hint="eastAsia"/>
          <w:color w:val="000000" w:themeColor="text1"/>
          <w:sz w:val="21"/>
          <w:lang w:val="en-US" w:eastAsia="zh-CN"/>
          <w14:textFill>
            <w14:solidFill>
              <w14:schemeClr w14:val="tx1"/>
            </w14:solidFill>
          </w14:textFill>
        </w:rPr>
        <w:t>7</w:t>
      </w:r>
    </w:p>
    <w:p>
      <w:pPr>
        <w:spacing w:after="120" w:line="260" w:lineRule="auto"/>
        <w:ind w:firstLine="218" w:firstLineChars="104"/>
        <w:rPr>
          <w:rFonts w:hint="eastAsia" w:eastAsia="宋体"/>
          <w:color w:val="000000" w:themeColor="text1"/>
          <w:sz w:val="21"/>
          <w:lang w:val="en-US" w:eastAsia="zh-CN"/>
          <w14:textFill>
            <w14:solidFill>
              <w14:schemeClr w14:val="tx1"/>
            </w14:solidFill>
          </w14:textFill>
        </w:rPr>
      </w:pPr>
      <w:r>
        <w:rPr>
          <w:rFonts w:hint="eastAsia"/>
          <w:color w:val="000000" w:themeColor="text1"/>
          <w:sz w:val="21"/>
          <w14:textFill>
            <w14:solidFill>
              <w14:schemeClr w14:val="tx1"/>
            </w14:solidFill>
          </w14:textFill>
        </w:rPr>
        <w:t>5.</w:t>
      </w:r>
      <w:r>
        <w:rPr>
          <w:rFonts w:hint="eastAsia"/>
          <w:color w:val="000000" w:themeColor="text1"/>
          <w:sz w:val="21"/>
          <w:lang w:val="en-US" w:eastAsia="zh-CN"/>
          <w14:textFill>
            <w14:solidFill>
              <w14:schemeClr w14:val="tx1"/>
            </w14:solidFill>
          </w14:textFill>
        </w:rPr>
        <w:t>3</w:t>
      </w:r>
      <w:r>
        <w:rPr>
          <w:rFonts w:hint="eastAsia"/>
          <w:color w:val="000000" w:themeColor="text1"/>
          <w:sz w:val="21"/>
          <w14:textFill>
            <w14:solidFill>
              <w14:schemeClr w14:val="tx1"/>
            </w14:solidFill>
          </w14:textFill>
        </w:rPr>
        <w:t xml:space="preserve"> </w:t>
      </w:r>
      <w:r>
        <w:rPr>
          <w:rFonts w:hint="eastAsia"/>
          <w:color w:val="000000" w:themeColor="text1"/>
          <w:sz w:val="21"/>
          <w:lang w:val="en-US" w:eastAsia="zh-CN"/>
          <w14:textFill>
            <w14:solidFill>
              <w14:schemeClr w14:val="tx1"/>
            </w14:solidFill>
          </w14:textFill>
        </w:rPr>
        <w:t xml:space="preserve">Valves and fittings </w:t>
      </w:r>
      <w:r>
        <w:rPr>
          <w:rFonts w:hint="eastAsia"/>
          <w:color w:val="000000" w:themeColor="text1"/>
          <w:sz w:val="21"/>
          <w14:textFill>
            <w14:solidFill>
              <w14:schemeClr w14:val="tx1"/>
            </w14:solidFill>
          </w14:textFill>
        </w:rPr>
        <w:t>..................................................................................................................</w:t>
      </w:r>
      <w:r>
        <w:rPr>
          <w:rFonts w:hint="eastAsia"/>
          <w:color w:val="000000" w:themeColor="text1"/>
          <w:sz w:val="21"/>
          <w:lang w:val="en-US" w:eastAsia="zh-CN"/>
          <w14:textFill>
            <w14:solidFill>
              <w14:schemeClr w14:val="tx1"/>
            </w14:solidFill>
          </w14:textFill>
        </w:rPr>
        <w:t>9</w:t>
      </w:r>
    </w:p>
    <w:p>
      <w:pPr>
        <w:spacing w:after="120" w:line="260" w:lineRule="auto"/>
        <w:ind w:left="0" w:leftChars="0" w:firstLine="0" w:firstLineChars="0"/>
        <w:rPr>
          <w:rFonts w:hint="eastAsia"/>
          <w:color w:val="000000" w:themeColor="text1"/>
          <w:sz w:val="21"/>
          <w:lang w:eastAsia="zh-CN"/>
          <w14:textFill>
            <w14:solidFill>
              <w14:schemeClr w14:val="tx1"/>
            </w14:solidFill>
          </w14:textFill>
        </w:rPr>
      </w:pPr>
      <w:r>
        <w:rPr>
          <w:rFonts w:hint="eastAsia"/>
          <w:color w:val="000000" w:themeColor="text1"/>
          <w:sz w:val="21"/>
          <w14:textFill>
            <w14:solidFill>
              <w14:schemeClr w14:val="tx1"/>
            </w14:solidFill>
          </w14:textFill>
        </w:rPr>
        <w:t xml:space="preserve">6 </w:t>
      </w:r>
      <w:r>
        <w:rPr>
          <w:rFonts w:hint="eastAsia"/>
          <w:color w:val="000000" w:themeColor="text1"/>
          <w:sz w:val="21"/>
          <w:lang w:val="en-US" w:eastAsia="zh-CN"/>
          <w14:textFill>
            <w14:solidFill>
              <w14:schemeClr w14:val="tx1"/>
            </w14:solidFill>
          </w14:textFill>
        </w:rPr>
        <w:t>Collection station</w:t>
      </w:r>
      <w:r>
        <w:rPr>
          <w:rFonts w:hint="eastAsia"/>
          <w:color w:val="000000" w:themeColor="text1"/>
          <w:sz w:val="21"/>
          <w14:textFill>
            <w14:solidFill>
              <w14:schemeClr w14:val="tx1"/>
            </w14:solidFill>
          </w14:textFill>
        </w:rPr>
        <w:t xml:space="preserve"> .........................................................................................................................1</w:t>
      </w:r>
      <w:r>
        <w:rPr>
          <w:rFonts w:hint="eastAsia"/>
          <w:color w:val="000000" w:themeColor="text1"/>
          <w:sz w:val="21"/>
          <w:lang w:val="en-US" w:eastAsia="zh-CN"/>
          <w14:textFill>
            <w14:solidFill>
              <w14:schemeClr w14:val="tx1"/>
            </w14:solidFill>
          </w14:textFill>
        </w:rPr>
        <w:t>1</w:t>
      </w:r>
    </w:p>
    <w:p>
      <w:pPr>
        <w:spacing w:after="120" w:line="260" w:lineRule="auto"/>
        <w:ind w:firstLine="218" w:firstLineChars="104"/>
        <w:rPr>
          <w:rFonts w:hint="eastAsia"/>
          <w:color w:val="000000" w:themeColor="text1"/>
          <w:sz w:val="21"/>
          <w:lang w:eastAsia="zh-CN"/>
          <w14:textFill>
            <w14:solidFill>
              <w14:schemeClr w14:val="tx1"/>
            </w14:solidFill>
          </w14:textFill>
        </w:rPr>
      </w:pPr>
      <w:r>
        <w:rPr>
          <w:rFonts w:hint="eastAsia"/>
          <w:color w:val="000000" w:themeColor="text1"/>
          <w:sz w:val="21"/>
          <w14:textFill>
            <w14:solidFill>
              <w14:schemeClr w14:val="tx1"/>
            </w14:solidFill>
          </w14:textFill>
        </w:rPr>
        <w:t>6.1</w:t>
      </w:r>
      <w:r>
        <w:rPr>
          <w:rFonts w:hint="eastAsia"/>
          <w:color w:val="000000" w:themeColor="text1"/>
          <w:sz w:val="21"/>
          <w:lang w:val="en-US" w:eastAsia="zh-CN"/>
          <w14:textFill>
            <w14:solidFill>
              <w14:schemeClr w14:val="tx1"/>
            </w14:solidFill>
          </w14:textFill>
        </w:rPr>
        <w:t xml:space="preserve"> Scale and site selection</w:t>
      </w:r>
      <w:r>
        <w:rPr>
          <w:rFonts w:hint="eastAsia"/>
          <w:color w:val="000000" w:themeColor="text1"/>
          <w:sz w:val="21"/>
          <w14:textFill>
            <w14:solidFill>
              <w14:schemeClr w14:val="tx1"/>
            </w14:solidFill>
          </w14:textFill>
        </w:rPr>
        <w:t>..........................................................................................................1</w:t>
      </w:r>
      <w:r>
        <w:rPr>
          <w:rFonts w:hint="eastAsia"/>
          <w:color w:val="000000" w:themeColor="text1"/>
          <w:sz w:val="21"/>
          <w:lang w:val="en-US" w:eastAsia="zh-CN"/>
          <w14:textFill>
            <w14:solidFill>
              <w14:schemeClr w14:val="tx1"/>
            </w14:solidFill>
          </w14:textFill>
        </w:rPr>
        <w:t>1</w:t>
      </w:r>
    </w:p>
    <w:p>
      <w:pPr>
        <w:spacing w:after="120" w:line="260" w:lineRule="auto"/>
        <w:ind w:firstLine="218" w:firstLineChars="104"/>
        <w:rPr>
          <w:rFonts w:hint="eastAsia"/>
          <w:color w:val="000000" w:themeColor="text1"/>
          <w:sz w:val="21"/>
          <w:lang w:eastAsia="zh-CN"/>
          <w14:textFill>
            <w14:solidFill>
              <w14:schemeClr w14:val="tx1"/>
            </w14:solidFill>
          </w14:textFill>
        </w:rPr>
      </w:pPr>
      <w:r>
        <w:rPr>
          <w:rFonts w:hint="eastAsia"/>
          <w:color w:val="000000" w:themeColor="text1"/>
          <w:sz w:val="21"/>
          <w14:textFill>
            <w14:solidFill>
              <w14:schemeClr w14:val="tx1"/>
            </w14:solidFill>
          </w14:textFill>
        </w:rPr>
        <w:t xml:space="preserve">6.2 </w:t>
      </w:r>
      <w:r>
        <w:rPr>
          <w:rFonts w:hint="eastAsia"/>
          <w:color w:val="000000" w:themeColor="text1"/>
          <w:sz w:val="21"/>
          <w:lang w:val="en-US" w:eastAsia="zh-CN"/>
          <w14:textFill>
            <w14:solidFill>
              <w14:schemeClr w14:val="tx1"/>
            </w14:solidFill>
          </w14:textFill>
        </w:rPr>
        <w:t>Compression chamber</w:t>
      </w:r>
      <w:r>
        <w:rPr>
          <w:rFonts w:hint="eastAsia"/>
          <w:color w:val="000000" w:themeColor="text1"/>
          <w:sz w:val="21"/>
          <w14:textFill>
            <w14:solidFill>
              <w14:schemeClr w14:val="tx1"/>
            </w14:solidFill>
          </w14:textFill>
        </w:rPr>
        <w:t xml:space="preserve"> ...........................................................................................................1</w:t>
      </w:r>
      <w:r>
        <w:rPr>
          <w:rFonts w:hint="eastAsia"/>
          <w:color w:val="000000" w:themeColor="text1"/>
          <w:sz w:val="21"/>
          <w:lang w:val="en-US" w:eastAsia="zh-CN"/>
          <w14:textFill>
            <w14:solidFill>
              <w14:schemeClr w14:val="tx1"/>
            </w14:solidFill>
          </w14:textFill>
        </w:rPr>
        <w:t>1</w:t>
      </w:r>
    </w:p>
    <w:p>
      <w:pPr>
        <w:spacing w:after="120" w:line="260" w:lineRule="auto"/>
        <w:ind w:firstLine="218" w:firstLineChars="104"/>
        <w:rPr>
          <w:rFonts w:hint="eastAsia"/>
          <w:color w:val="000000" w:themeColor="text1"/>
          <w:sz w:val="21"/>
          <w:lang w:val="en-US" w:eastAsia="zh-CN"/>
          <w14:textFill>
            <w14:solidFill>
              <w14:schemeClr w14:val="tx1"/>
            </w14:solidFill>
          </w14:textFill>
        </w:rPr>
      </w:pPr>
      <w:r>
        <w:rPr>
          <w:rFonts w:hint="eastAsia"/>
          <w:color w:val="000000" w:themeColor="text1"/>
          <w:sz w:val="21"/>
          <w14:textFill>
            <w14:solidFill>
              <w14:schemeClr w14:val="tx1"/>
            </w14:solidFill>
          </w14:textFill>
        </w:rPr>
        <w:t>6.3 Pipeline installation ...............................................................................................................1</w:t>
      </w:r>
      <w:r>
        <w:rPr>
          <w:rFonts w:hint="eastAsia"/>
          <w:color w:val="000000" w:themeColor="text1"/>
          <w:sz w:val="21"/>
          <w:lang w:val="en-US" w:eastAsia="zh-CN"/>
          <w14:textFill>
            <w14:solidFill>
              <w14:schemeClr w14:val="tx1"/>
            </w14:solidFill>
          </w14:textFill>
        </w:rPr>
        <w:t>2</w:t>
      </w:r>
    </w:p>
    <w:p>
      <w:pPr>
        <w:spacing w:after="120" w:line="260" w:lineRule="auto"/>
        <w:ind w:firstLine="218" w:firstLineChars="104"/>
        <w:rPr>
          <w:rFonts w:hint="eastAsia"/>
          <w:color w:val="000000" w:themeColor="text1"/>
          <w:sz w:val="21"/>
          <w:lang w:val="en-US" w:eastAsia="zh-CN"/>
          <w14:textFill>
            <w14:solidFill>
              <w14:schemeClr w14:val="tx1"/>
            </w14:solidFill>
          </w14:textFill>
        </w:rPr>
      </w:pPr>
      <w:r>
        <w:rPr>
          <w:rFonts w:hint="eastAsia"/>
          <w:color w:val="000000" w:themeColor="text1"/>
          <w:sz w:val="21"/>
          <w14:textFill>
            <w14:solidFill>
              <w14:schemeClr w14:val="tx1"/>
            </w14:solidFill>
          </w14:textFill>
        </w:rPr>
        <w:t>6.</w:t>
      </w:r>
      <w:r>
        <w:rPr>
          <w:rFonts w:hint="eastAsia"/>
          <w:color w:val="000000" w:themeColor="text1"/>
          <w:sz w:val="21"/>
          <w:lang w:val="en-US" w:eastAsia="zh-CN"/>
          <w14:textFill>
            <w14:solidFill>
              <w14:schemeClr w14:val="tx1"/>
            </w14:solidFill>
          </w14:textFill>
        </w:rPr>
        <w:t>4</w:t>
      </w:r>
      <w:r>
        <w:rPr>
          <w:rFonts w:hint="eastAsia"/>
          <w:color w:val="000000" w:themeColor="text1"/>
          <w:sz w:val="21"/>
          <w14:textFill>
            <w14:solidFill>
              <w14:schemeClr w14:val="tx1"/>
            </w14:solidFill>
          </w14:textFill>
        </w:rPr>
        <w:t xml:space="preserve"> </w:t>
      </w:r>
      <w:r>
        <w:rPr>
          <w:rFonts w:hint="eastAsia"/>
          <w:color w:val="000000" w:themeColor="text1"/>
          <w:sz w:val="21"/>
          <w:lang w:val="en-US" w:eastAsia="zh-CN"/>
          <w14:textFill>
            <w14:solidFill>
              <w14:schemeClr w14:val="tx1"/>
            </w14:solidFill>
          </w14:textFill>
        </w:rPr>
        <w:t>Ventilatior room</w:t>
      </w:r>
      <w:r>
        <w:rPr>
          <w:rFonts w:hint="eastAsia"/>
          <w:color w:val="000000" w:themeColor="text1"/>
          <w:sz w:val="21"/>
          <w14:textFill>
            <w14:solidFill>
              <w14:schemeClr w14:val="tx1"/>
            </w14:solidFill>
          </w14:textFill>
        </w:rPr>
        <w:t xml:space="preserve"> ....................................................................................................................1</w:t>
      </w:r>
      <w:r>
        <w:rPr>
          <w:rFonts w:hint="eastAsia"/>
          <w:color w:val="000000" w:themeColor="text1"/>
          <w:sz w:val="21"/>
          <w:lang w:val="en-US" w:eastAsia="zh-CN"/>
          <w14:textFill>
            <w14:solidFill>
              <w14:schemeClr w14:val="tx1"/>
            </w14:solidFill>
          </w14:textFill>
        </w:rPr>
        <w:t>4</w:t>
      </w:r>
    </w:p>
    <w:p>
      <w:pPr>
        <w:spacing w:after="120" w:line="260" w:lineRule="auto"/>
        <w:ind w:firstLine="218" w:firstLineChars="104"/>
        <w:rPr>
          <w:rFonts w:hint="eastAsia"/>
          <w:color w:val="000000" w:themeColor="text1"/>
          <w:sz w:val="21"/>
          <w:lang w:val="en-US" w:eastAsia="zh-CN"/>
          <w14:textFill>
            <w14:solidFill>
              <w14:schemeClr w14:val="tx1"/>
            </w14:solidFill>
          </w14:textFill>
        </w:rPr>
      </w:pPr>
      <w:r>
        <w:rPr>
          <w:rFonts w:hint="eastAsia"/>
          <w:color w:val="000000" w:themeColor="text1"/>
          <w:sz w:val="21"/>
          <w14:textFill>
            <w14:solidFill>
              <w14:schemeClr w14:val="tx1"/>
            </w14:solidFill>
          </w14:textFill>
        </w:rPr>
        <w:t>6.</w:t>
      </w:r>
      <w:r>
        <w:rPr>
          <w:rFonts w:hint="eastAsia"/>
          <w:color w:val="000000" w:themeColor="text1"/>
          <w:sz w:val="21"/>
          <w:lang w:val="en-US" w:eastAsia="zh-CN"/>
          <w14:textFill>
            <w14:solidFill>
              <w14:schemeClr w14:val="tx1"/>
            </w14:solidFill>
          </w14:textFill>
        </w:rPr>
        <w:t>5</w:t>
      </w:r>
      <w:r>
        <w:rPr>
          <w:rFonts w:hint="eastAsia"/>
          <w:color w:val="000000" w:themeColor="text1"/>
          <w:sz w:val="21"/>
          <w14:textFill>
            <w14:solidFill>
              <w14:schemeClr w14:val="tx1"/>
            </w14:solidFill>
          </w14:textFill>
        </w:rPr>
        <w:t xml:space="preserve"> </w:t>
      </w:r>
      <w:r>
        <w:rPr>
          <w:rFonts w:hint="eastAsia"/>
          <w:color w:val="000000" w:themeColor="text1"/>
          <w:sz w:val="21"/>
          <w:lang w:val="en-US" w:eastAsia="zh-CN"/>
          <w14:textFill>
            <w14:solidFill>
              <w14:schemeClr w14:val="tx1"/>
            </w14:solidFill>
          </w14:textFill>
        </w:rPr>
        <w:t>Filter room</w:t>
      </w:r>
      <w:r>
        <w:rPr>
          <w:rFonts w:hint="eastAsia"/>
          <w:color w:val="000000" w:themeColor="text1"/>
          <w:sz w:val="21"/>
          <w14:textFill>
            <w14:solidFill>
              <w14:schemeClr w14:val="tx1"/>
            </w14:solidFill>
          </w14:textFill>
        </w:rPr>
        <w:t xml:space="preserve"> ............................................................................................................................1</w:t>
      </w:r>
      <w:r>
        <w:rPr>
          <w:rFonts w:hint="eastAsia"/>
          <w:color w:val="000000" w:themeColor="text1"/>
          <w:sz w:val="21"/>
          <w:lang w:val="en-US" w:eastAsia="zh-CN"/>
          <w14:textFill>
            <w14:solidFill>
              <w14:schemeClr w14:val="tx1"/>
            </w14:solidFill>
          </w14:textFill>
        </w:rPr>
        <w:t>5</w:t>
      </w:r>
    </w:p>
    <w:p>
      <w:pPr>
        <w:jc w:val="left"/>
        <w:rPr>
          <w:rStyle w:val="31"/>
          <w:rFonts w:hint="eastAsia"/>
          <w:color w:val="000000" w:themeColor="text1"/>
          <w:szCs w:val="21"/>
          <w:u w:val="none"/>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 xml:space="preserve"> Installation </w:t>
      </w:r>
      <w:r>
        <w:rPr>
          <w:rStyle w:val="31"/>
          <w:rFonts w:hint="eastAsia"/>
          <w:color w:val="000000" w:themeColor="text1"/>
          <w:szCs w:val="21"/>
          <w:u w:val="none"/>
          <w14:textFill>
            <w14:solidFill>
              <w14:schemeClr w14:val="tx1"/>
            </w14:solidFill>
          </w14:textFill>
        </w:rPr>
        <w:t>.............................................................................................................................1</w:t>
      </w:r>
      <w:r>
        <w:rPr>
          <w:rStyle w:val="31"/>
          <w:rFonts w:hint="eastAsia"/>
          <w:color w:val="000000" w:themeColor="text1"/>
          <w:szCs w:val="21"/>
          <w:u w:val="none"/>
          <w:lang w:val="en-US" w:eastAsia="zh-CN"/>
          <w14:textFill>
            <w14:solidFill>
              <w14:schemeClr w14:val="tx1"/>
            </w14:solidFill>
          </w14:textFill>
        </w:rPr>
        <w:t>6</w:t>
      </w:r>
    </w:p>
    <w:p>
      <w:pPr>
        <w:spacing w:line="260" w:lineRule="auto"/>
        <w:ind w:firstLine="228" w:firstLineChars="104"/>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.1 General requirements .....................................................................................................</w:t>
      </w:r>
      <w:r>
        <w:rPr>
          <w:rFonts w:hint="eastAsia"/>
          <w:color w:val="000000" w:themeColor="text1"/>
          <w:lang w:val="en-US" w:eastAsia="zh-CN"/>
          <w14:textFill>
            <w14:solidFill>
              <w14:schemeClr w14:val="tx1"/>
            </w14:solidFill>
          </w14:textFill>
        </w:rPr>
        <w:t>16</w:t>
      </w:r>
    </w:p>
    <w:p>
      <w:pPr>
        <w:spacing w:line="260" w:lineRule="auto"/>
        <w:ind w:firstLine="228" w:firstLineChars="104"/>
        <w:rPr>
          <w:rFonts w:hint="eastAsia"/>
          <w:color w:val="000000" w:themeColor="text1"/>
          <w:sz w:val="2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7.2</w:t>
      </w:r>
      <w:r>
        <w:rPr>
          <w:rFonts w:hint="eastAsia"/>
          <w:color w:val="000000" w:themeColor="text1"/>
          <w14:textFill>
            <w14:solidFill>
              <w14:schemeClr w14:val="tx1"/>
            </w14:solidFill>
          </w14:textFill>
        </w:rPr>
        <w:t xml:space="preserve"> Pipeline installation .......................................................................................................1</w:t>
      </w:r>
      <w:r>
        <w:rPr>
          <w:rFonts w:hint="eastAsia"/>
          <w:color w:val="000000" w:themeColor="text1"/>
          <w:lang w:val="en-US" w:eastAsia="zh-CN"/>
          <w14:textFill>
            <w14:solidFill>
              <w14:schemeClr w14:val="tx1"/>
            </w14:solidFill>
          </w14:textFill>
        </w:rPr>
        <w:t>6</w:t>
      </w:r>
    </w:p>
    <w:p>
      <w:pPr>
        <w:spacing w:after="120" w:line="260" w:lineRule="auto"/>
        <w:ind w:left="0" w:leftChars="0" w:firstLine="0" w:firstLineChars="0"/>
        <w:rPr>
          <w:rFonts w:hint="default"/>
          <w:color w:val="000000" w:themeColor="text1"/>
          <w:sz w:val="21"/>
          <w:lang w:val="en-US" w:eastAsia="zh-CN"/>
          <w14:textFill>
            <w14:solidFill>
              <w14:schemeClr w14:val="tx1"/>
            </w14:solidFill>
          </w14:textFill>
        </w:rPr>
      </w:pPr>
      <w:r>
        <w:rPr>
          <w:rFonts w:hint="eastAsia"/>
          <w:color w:val="000000" w:themeColor="text1"/>
          <w:sz w:val="21"/>
          <w14:textFill>
            <w14:solidFill>
              <w14:schemeClr w14:val="tx1"/>
            </w14:solidFill>
          </w14:textFill>
        </w:rPr>
        <w:t>8</w:t>
      </w:r>
      <w:r>
        <w:rPr>
          <w:rFonts w:hint="eastAsia"/>
          <w:color w:val="000000" w:themeColor="text1"/>
          <w:sz w:val="21"/>
          <w:lang w:val="en-US" w:eastAsia="zh-CN"/>
          <w14:textFill>
            <w14:solidFill>
              <w14:schemeClr w14:val="tx1"/>
            </w14:solidFill>
          </w14:textFill>
        </w:rPr>
        <w:t xml:space="preserve"> Quality inspection and acceptance </w:t>
      </w:r>
      <w:r>
        <w:rPr>
          <w:rFonts w:hint="eastAsia"/>
          <w:color w:val="000000" w:themeColor="text1"/>
          <w:sz w:val="21"/>
          <w14:textFill>
            <w14:solidFill>
              <w14:schemeClr w14:val="tx1"/>
            </w14:solidFill>
          </w14:textFill>
        </w:rPr>
        <w:t>...............................................................................................</w:t>
      </w:r>
      <w:r>
        <w:rPr>
          <w:rFonts w:hint="eastAsia"/>
          <w:color w:val="000000" w:themeColor="text1"/>
          <w:sz w:val="21"/>
          <w:lang w:val="en-US" w:eastAsia="zh-CN"/>
          <w14:textFill>
            <w14:solidFill>
              <w14:schemeClr w14:val="tx1"/>
            </w14:solidFill>
          </w14:textFill>
        </w:rPr>
        <w:t>18</w:t>
      </w:r>
    </w:p>
    <w:p>
      <w:pPr>
        <w:spacing w:after="120" w:line="260" w:lineRule="auto"/>
        <w:ind w:left="0" w:leftChars="0" w:firstLine="0" w:firstLineChars="0"/>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9</w:t>
      </w:r>
      <w:r>
        <w:rPr>
          <w:rFonts w:hint="eastAsia"/>
          <w:color w:val="000000" w:themeColor="text1"/>
          <w:sz w:val="21"/>
          <w14:textFill>
            <w14:solidFill>
              <w14:schemeClr w14:val="tx1"/>
            </w14:solidFill>
          </w14:textFill>
        </w:rPr>
        <w:t xml:space="preserve"> </w:t>
      </w:r>
      <w:r>
        <w:rPr>
          <w:rFonts w:hint="eastAsia"/>
          <w:color w:val="000000" w:themeColor="text1"/>
          <w14:textFill>
            <w14:solidFill>
              <w14:schemeClr w14:val="tx1"/>
            </w14:solidFill>
          </w14:textFill>
        </w:rPr>
        <w:t>Operation, maintenance and management</w:t>
      </w:r>
      <w:r>
        <w:rPr>
          <w:rFonts w:hint="eastAsia"/>
          <w:color w:val="000000" w:themeColor="text1"/>
          <w:sz w:val="21"/>
          <w14:textFill>
            <w14:solidFill>
              <w14:schemeClr w14:val="tx1"/>
            </w14:solidFill>
          </w14:textFill>
        </w:rPr>
        <w:t>.................................................................................</w:t>
      </w:r>
      <w:r>
        <w:rPr>
          <w:rFonts w:hint="eastAsia"/>
          <w:color w:val="000000" w:themeColor="text1"/>
          <w:sz w:val="21"/>
          <w:lang w:val="en-US" w:eastAsia="zh-CN"/>
          <w14:textFill>
            <w14:solidFill>
              <w14:schemeClr w14:val="tx1"/>
            </w14:solidFill>
          </w14:textFill>
        </w:rPr>
        <w:t>19</w:t>
      </w:r>
    </w:p>
    <w:p>
      <w:pPr>
        <w:spacing w:after="120" w:line="260" w:lineRule="auto"/>
        <w:ind w:left="0" w:leftChars="0" w:firstLine="0" w:firstLineChars="0"/>
        <w:rPr>
          <w:rFonts w:hint="default"/>
          <w:color w:val="000000" w:themeColor="text1"/>
          <w:sz w:val="21"/>
          <w:lang w:val="en-US" w:eastAsia="zh-CN"/>
          <w14:textFill>
            <w14:solidFill>
              <w14:schemeClr w14:val="tx1"/>
            </w14:solidFill>
          </w14:textFill>
        </w:rPr>
      </w:pPr>
    </w:p>
    <w:p>
      <w:pPr>
        <w:spacing w:after="120" w:line="260" w:lineRule="auto"/>
        <w:ind w:left="0" w:leftChars="0" w:firstLine="0" w:firstLineChars="0"/>
        <w:rPr>
          <w:rFonts w:hint="eastAsia"/>
          <w:color w:val="000000" w:themeColor="text1"/>
          <w:sz w:val="21"/>
          <w:lang w:eastAsia="zh-CN"/>
          <w14:textFill>
            <w14:solidFill>
              <w14:schemeClr w14:val="tx1"/>
            </w14:solidFill>
          </w14:textFill>
        </w:rPr>
      </w:pPr>
      <w:r>
        <w:rPr>
          <w:rFonts w:hint="eastAsia"/>
          <w:color w:val="000000" w:themeColor="text1"/>
          <w:sz w:val="21"/>
          <w14:textFill>
            <w14:solidFill>
              <w14:schemeClr w14:val="tx1"/>
            </w14:solidFill>
          </w14:textFill>
        </w:rPr>
        <w:t>Explanation of Wording in This Code.............................................................................................2</w:t>
      </w:r>
      <w:r>
        <w:rPr>
          <w:rFonts w:hint="eastAsia"/>
          <w:color w:val="000000" w:themeColor="text1"/>
          <w:sz w:val="21"/>
          <w:lang w:val="en-US" w:eastAsia="zh-CN"/>
          <w14:textFill>
            <w14:solidFill>
              <w14:schemeClr w14:val="tx1"/>
            </w14:solidFill>
          </w14:textFill>
        </w:rPr>
        <w:t>0</w:t>
      </w:r>
    </w:p>
    <w:p>
      <w:pPr>
        <w:spacing w:after="120" w:line="260" w:lineRule="auto"/>
        <w:ind w:left="0" w:leftChars="0" w:firstLine="0" w:firstLineChars="0"/>
        <w:rPr>
          <w:rFonts w:hint="eastAsia"/>
          <w:color w:val="000000" w:themeColor="text1"/>
          <w:sz w:val="21"/>
          <w:lang w:val="en-US" w:eastAsia="zh-CN"/>
          <w14:textFill>
            <w14:solidFill>
              <w14:schemeClr w14:val="tx1"/>
            </w14:solidFill>
          </w14:textFill>
        </w:rPr>
      </w:pPr>
      <w:r>
        <w:rPr>
          <w:rFonts w:hint="eastAsia"/>
          <w:color w:val="000000" w:themeColor="text1"/>
          <w:sz w:val="21"/>
          <w14:textFill>
            <w14:solidFill>
              <w14:schemeClr w14:val="tx1"/>
            </w14:solidFill>
          </w14:textFill>
        </w:rPr>
        <w:t>List of Quoted Standards.................................................................................................................2</w:t>
      </w:r>
      <w:r>
        <w:rPr>
          <w:rFonts w:hint="eastAsia"/>
          <w:color w:val="000000" w:themeColor="text1"/>
          <w:sz w:val="21"/>
          <w:lang w:val="en-US" w:eastAsia="zh-CN"/>
          <w14:textFill>
            <w14:solidFill>
              <w14:schemeClr w14:val="tx1"/>
            </w14:solidFill>
          </w14:textFill>
        </w:rPr>
        <w:t>1</w:t>
      </w:r>
    </w:p>
    <w:p>
      <w:pPr>
        <w:spacing w:after="120" w:line="260" w:lineRule="auto"/>
        <w:ind w:left="0" w:leftChars="0" w:firstLine="0" w:firstLineChars="0"/>
        <w:rPr>
          <w:rStyle w:val="31"/>
          <w:rFonts w:cs="Times New Roman"/>
          <w:color w:val="000000" w:themeColor="text1"/>
          <w:sz w:val="28"/>
          <w:highlight w:val="none"/>
          <w:u w:val="none"/>
          <w14:textFill>
            <w14:solidFill>
              <w14:schemeClr w14:val="tx1"/>
            </w14:solidFill>
          </w14:textFill>
        </w:rPr>
      </w:pPr>
      <w:r>
        <w:rPr>
          <w:rFonts w:hint="eastAsia"/>
          <w:color w:val="000000" w:themeColor="text1"/>
          <w:sz w:val="21"/>
          <w:lang w:val="en-US" w:eastAsia="zh-CN"/>
          <w14:textFill>
            <w14:solidFill>
              <w14:schemeClr w14:val="tx1"/>
            </w14:solidFill>
          </w14:textFill>
        </w:rPr>
        <w:t>Addition: Explanation of provisions</w:t>
      </w:r>
      <w:r>
        <w:rPr>
          <w:rFonts w:hint="eastAsia"/>
          <w:color w:val="000000" w:themeColor="text1"/>
          <w:sz w:val="21"/>
          <w14:textFill>
            <w14:solidFill>
              <w14:schemeClr w14:val="tx1"/>
            </w14:solidFill>
          </w14:textFill>
        </w:rPr>
        <w:t>................................................................................................2</w:t>
      </w:r>
      <w:r>
        <w:rPr>
          <w:rFonts w:hint="eastAsia"/>
          <w:color w:val="000000" w:themeColor="text1"/>
          <w:sz w:val="21"/>
          <w:lang w:val="en-US" w:eastAsia="zh-CN"/>
          <w14:textFill>
            <w14:solidFill>
              <w14:schemeClr w14:val="tx1"/>
            </w14:solidFill>
          </w14:textFill>
        </w:rPr>
        <w:t>2</w:t>
      </w:r>
    </w:p>
    <w:p>
      <w:pPr>
        <w:pStyle w:val="3"/>
        <w:rPr>
          <w:rStyle w:val="31"/>
          <w:rFonts w:ascii="Times New Roman" w:hAnsi="Times New Roman"/>
          <w:color w:val="000000" w:themeColor="text1"/>
          <w:szCs w:val="22"/>
          <w:highlight w:val="none"/>
          <w:u w:val="none"/>
          <w14:textFill>
            <w14:solidFill>
              <w14:schemeClr w14:val="tx1"/>
            </w14:solidFill>
          </w14:textFill>
        </w:rPr>
        <w:sectPr>
          <w:pgSz w:w="11906" w:h="16838"/>
          <w:pgMar w:top="1440" w:right="1558" w:bottom="1440" w:left="1560" w:header="851" w:footer="438" w:gutter="0"/>
          <w:cols w:space="720" w:num="1"/>
          <w:docGrid w:type="lines" w:linePitch="312" w:charSpace="0"/>
        </w:sectPr>
      </w:pPr>
    </w:p>
    <w:p>
      <w:pPr>
        <w:pStyle w:val="2"/>
        <w:rPr>
          <w:color w:val="000000" w:themeColor="text1"/>
          <w:highlight w:val="none"/>
          <w14:textFill>
            <w14:solidFill>
              <w14:schemeClr w14:val="tx1"/>
            </w14:solidFill>
          </w14:textFill>
        </w:rPr>
      </w:pPr>
      <w:bookmarkStart w:id="12" w:name="_Toc19277"/>
      <w:bookmarkStart w:id="13" w:name="_Toc10014461"/>
      <w:bookmarkStart w:id="14" w:name="_Toc6839350"/>
      <w:bookmarkStart w:id="15" w:name="_Toc13473424"/>
      <w:bookmarkStart w:id="16" w:name="_Toc6920048"/>
      <w:bookmarkStart w:id="17" w:name="_Toc12354310"/>
      <w:bookmarkStart w:id="18" w:name="_Toc37455218"/>
      <w:bookmarkStart w:id="19" w:name="_Toc13821475"/>
      <w:bookmarkStart w:id="20" w:name="_Toc6824111"/>
      <w:bookmarkStart w:id="21" w:name="_Toc36894567"/>
      <w:bookmarkStart w:id="22" w:name="_Toc13043"/>
      <w:bookmarkStart w:id="23" w:name="_Toc13746267"/>
      <w:bookmarkStart w:id="24" w:name="_Toc525111734"/>
      <w:bookmarkStart w:id="25" w:name="_Toc27697"/>
      <w:bookmarkStart w:id="26" w:name="_Toc1148"/>
      <w:bookmarkStart w:id="27" w:name="_Toc530731649"/>
      <w:bookmarkStart w:id="28" w:name="_Toc37506837"/>
      <w:r>
        <w:rPr>
          <w:color w:val="000000" w:themeColor="text1"/>
          <w:highlight w:val="none"/>
          <w14:textFill>
            <w14:solidFill>
              <w14:schemeClr w14:val="tx1"/>
            </w14:solidFill>
          </w14:textFill>
        </w:rPr>
        <w:t>1　总则</w:t>
      </w:r>
      <w:bookmarkEnd w:id="7"/>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spacing w:line="360" w:lineRule="auto"/>
        <w:rPr>
          <w:rFonts w:hint="eastAsia" w:cs="Times New Roman"/>
          <w:color w:val="000000" w:themeColor="text1"/>
          <w:sz w:val="24"/>
          <w:highlight w:val="none"/>
          <w:lang w:val="en-US" w:eastAsia="zh-CN"/>
          <w14:textFill>
            <w14:solidFill>
              <w14:schemeClr w14:val="tx1"/>
            </w14:solidFill>
          </w14:textFill>
        </w:rPr>
      </w:pPr>
      <w:r>
        <w:rPr>
          <w:rFonts w:cs="Times New Roman"/>
          <w:b/>
          <w:color w:val="000000" w:themeColor="text1"/>
          <w:sz w:val="24"/>
          <w:highlight w:val="none"/>
          <w14:textFill>
            <w14:solidFill>
              <w14:schemeClr w14:val="tx1"/>
            </w14:solidFill>
          </w14:textFill>
        </w:rPr>
        <w:t>1.0.1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为了保证垃圾全密闭气力输送系统安全、实用，综合考虑先进性、科学性、经济性，促进生活垃圾分类，保护室内居住环境，制定本规程。</w:t>
      </w:r>
    </w:p>
    <w:p>
      <w:pPr>
        <w:spacing w:line="360" w:lineRule="auto"/>
        <w:rPr>
          <w:rFonts w:hint="default" w:eastAsia="宋体" w:cs="Times New Roman"/>
          <w:color w:val="000000" w:themeColor="text1"/>
          <w:sz w:val="24"/>
          <w:highlight w:val="none"/>
          <w:lang w:val="en-US" w:eastAsia="zh-CN"/>
          <w14:textFill>
            <w14:solidFill>
              <w14:schemeClr w14:val="tx1"/>
            </w14:solidFill>
          </w14:textFill>
        </w:rPr>
      </w:pPr>
      <w:r>
        <w:rPr>
          <w:rFonts w:cs="Times New Roman"/>
          <w:b/>
          <w:color w:val="000000" w:themeColor="text1"/>
          <w:sz w:val="24"/>
          <w:highlight w:val="none"/>
          <w14:textFill>
            <w14:solidFill>
              <w14:schemeClr w14:val="tx1"/>
            </w14:solidFill>
          </w14:textFill>
        </w:rPr>
        <w:t>1.0.2</w:t>
      </w:r>
      <w:r>
        <w:rPr>
          <w:rFonts w:cs="Times New Roman"/>
          <w:color w:val="000000" w:themeColor="text1"/>
          <w:sz w:val="24"/>
          <w:highlight w:val="none"/>
          <w14:textFill>
            <w14:solidFill>
              <w14:schemeClr w14:val="tx1"/>
            </w14:solidFill>
          </w14:textFill>
        </w:rPr>
        <w:t>　本规程适用于新建、扩建</w:t>
      </w:r>
      <w:r>
        <w:rPr>
          <w:rFonts w:hint="eastAsia" w:cs="Times New Roman"/>
          <w:color w:val="000000" w:themeColor="text1"/>
          <w:sz w:val="24"/>
          <w:highlight w:val="none"/>
          <w:lang w:val="en-US" w:eastAsia="zh-CN"/>
          <w14:textFill>
            <w14:solidFill>
              <w14:schemeClr w14:val="tx1"/>
            </w14:solidFill>
          </w14:textFill>
        </w:rPr>
        <w:t>民用建筑。</w:t>
      </w:r>
    </w:p>
    <w:p>
      <w:pPr>
        <w:snapToGrid w:val="0"/>
        <w:spacing w:after="0" w:line="360" w:lineRule="auto"/>
        <w:rPr>
          <w:rFonts w:hint="eastAsia" w:ascii="Times New Roman" w:hAnsi="Times New Roman" w:cs="Times New Roman"/>
          <w:color w:val="000000" w:themeColor="text1"/>
          <w:sz w:val="20"/>
          <w:szCs w:val="18"/>
          <w:highlight w:val="none"/>
          <w:u w:val="single"/>
          <w:lang w:val="en-US" w:eastAsia="zh-CN"/>
          <w14:textFill>
            <w14:solidFill>
              <w14:schemeClr w14:val="tx1"/>
            </w14:solidFill>
          </w14:textFill>
        </w:rPr>
      </w:pPr>
      <w:r>
        <w:rPr>
          <w:rFonts w:hint="eastAsia" w:ascii="Times New Roman" w:hAnsi="Times New Roman" w:cs="Times New Roman"/>
          <w:color w:val="000000" w:themeColor="text1"/>
          <w:sz w:val="20"/>
          <w:szCs w:val="18"/>
          <w:highlight w:val="none"/>
          <w:u w:val="single"/>
          <w:lang w:val="en-US" w:eastAsia="zh-CN"/>
          <w14:textFill>
            <w14:solidFill>
              <w14:schemeClr w14:val="tx1"/>
            </w14:solidFill>
          </w14:textFill>
        </w:rPr>
        <w:t>【条文说明】《民用建筑设计统一标准》GB 50352-2019将“民用建筑”定义为“供人们居住和进行公共活动的建筑的总称”。</w:t>
      </w:r>
    </w:p>
    <w:p>
      <w:pPr>
        <w:spacing w:line="360" w:lineRule="auto"/>
        <w:rPr>
          <w:rFonts w:hint="default" w:cs="Times New Roman"/>
          <w:color w:val="000000" w:themeColor="text1"/>
          <w:sz w:val="24"/>
          <w:highlight w:val="none"/>
          <w:lang w:val="en-US"/>
          <w14:textFill>
            <w14:solidFill>
              <w14:schemeClr w14:val="tx1"/>
            </w14:solidFill>
          </w14:textFill>
        </w:rPr>
      </w:pPr>
      <w:r>
        <w:rPr>
          <w:rFonts w:cs="Times New Roman"/>
          <w:b/>
          <w:color w:val="000000" w:themeColor="text1"/>
          <w:sz w:val="24"/>
          <w:highlight w:val="none"/>
          <w14:textFill>
            <w14:solidFill>
              <w14:schemeClr w14:val="tx1"/>
            </w14:solidFill>
          </w14:textFill>
        </w:rPr>
        <w:t>1.0.3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垃圾全密闭气力输送系统应在不断总结科研和生产实践经验的基础上，积极采用新技术、新工艺、新材料、新设备，并应逐步实现智能化。</w:t>
      </w:r>
    </w:p>
    <w:p>
      <w:pPr>
        <w:spacing w:line="360" w:lineRule="auto"/>
        <w:rPr>
          <w:rFonts w:cs="Times New Roman"/>
          <w:color w:val="000000" w:themeColor="text1"/>
          <w:sz w:val="24"/>
          <w:highlight w:val="none"/>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1.0.4</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垃圾全密闭气力输送系统</w:t>
      </w:r>
      <w:r>
        <w:rPr>
          <w:rFonts w:cs="Times New Roman"/>
          <w:color w:val="000000" w:themeColor="text1"/>
          <w:sz w:val="24"/>
          <w:highlight w:val="none"/>
          <w14:textFill>
            <w14:solidFill>
              <w14:schemeClr w14:val="tx1"/>
            </w14:solidFill>
          </w14:textFill>
        </w:rPr>
        <w:t>的材料选用、设计、施工、验收及维护除应执行本规程外，尚应符合国家现行有关标准的规定。</w:t>
      </w:r>
    </w:p>
    <w:p>
      <w:pPr>
        <w:rPr>
          <w:rFonts w:cs="Times New Roman"/>
          <w:color w:val="000000" w:themeColor="text1"/>
          <w:highlight w:val="none"/>
          <w14:textFill>
            <w14:solidFill>
              <w14:schemeClr w14:val="tx1"/>
            </w14:solidFill>
          </w14:textFill>
        </w:rPr>
      </w:pPr>
    </w:p>
    <w:p>
      <w:pPr>
        <w:rPr>
          <w:rFonts w:cs="Times New Roman"/>
          <w:color w:val="000000" w:themeColor="text1"/>
          <w:highlight w:val="none"/>
          <w14:textFill>
            <w14:solidFill>
              <w14:schemeClr w14:val="tx1"/>
            </w14:solidFill>
          </w14:textFill>
        </w:rPr>
      </w:pPr>
    </w:p>
    <w:p>
      <w:pPr>
        <w:rPr>
          <w:rFonts w:cs="Times New Roman"/>
          <w:color w:val="000000" w:themeColor="text1"/>
          <w:highlight w:val="none"/>
          <w14:textFill>
            <w14:solidFill>
              <w14:schemeClr w14:val="tx1"/>
            </w14:solidFill>
          </w14:textFill>
        </w:rPr>
      </w:pPr>
      <w:r>
        <w:rPr>
          <w:rFonts w:cs="Times New Roman"/>
          <w:color w:val="000000" w:themeColor="text1"/>
          <w:highlight w:val="none"/>
          <w14:textFill>
            <w14:solidFill>
              <w14:schemeClr w14:val="tx1"/>
            </w14:solidFill>
          </w14:textFill>
        </w:rPr>
        <w:br w:type="page"/>
      </w:r>
    </w:p>
    <w:p>
      <w:pPr>
        <w:pStyle w:val="2"/>
        <w:rPr>
          <w:color w:val="000000" w:themeColor="text1"/>
          <w:highlight w:val="none"/>
          <w14:textFill>
            <w14:solidFill>
              <w14:schemeClr w14:val="tx1"/>
            </w14:solidFill>
          </w14:textFill>
        </w:rPr>
      </w:pPr>
      <w:bookmarkStart w:id="29" w:name="_Toc29468"/>
      <w:bookmarkStart w:id="30" w:name="_Toc13821476"/>
      <w:bookmarkStart w:id="31" w:name="_Toc13746268"/>
      <w:bookmarkStart w:id="32" w:name="_Toc37455219"/>
      <w:bookmarkStart w:id="33" w:name="_Toc6824112"/>
      <w:bookmarkStart w:id="34" w:name="_Toc6920049"/>
      <w:bookmarkStart w:id="35" w:name="_Toc12354311"/>
      <w:bookmarkStart w:id="36" w:name="_Toc525111735"/>
      <w:bookmarkStart w:id="37" w:name="_Toc37506838"/>
      <w:bookmarkStart w:id="38" w:name="_Toc10014462"/>
      <w:bookmarkStart w:id="39" w:name="_Toc9246"/>
      <w:bookmarkStart w:id="40" w:name="_Toc13473425"/>
      <w:bookmarkStart w:id="41" w:name="_Toc15891"/>
      <w:bookmarkStart w:id="42" w:name="_Toc36894568"/>
      <w:bookmarkStart w:id="43" w:name="_Toc2826"/>
      <w:bookmarkStart w:id="44" w:name="_Toc530731650"/>
      <w:bookmarkStart w:id="45" w:name="_Toc479244228"/>
      <w:bookmarkStart w:id="46" w:name="_Toc6839351"/>
      <w:r>
        <w:rPr>
          <w:color w:val="000000" w:themeColor="text1"/>
          <w:highlight w:val="none"/>
          <w14:textFill>
            <w14:solidFill>
              <w14:schemeClr w14:val="tx1"/>
            </w14:solidFill>
          </w14:textFill>
        </w:rPr>
        <w:t>2　术　　语</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snapToGrid w:val="0"/>
        <w:spacing w:after="0" w:line="360" w:lineRule="auto"/>
        <w:rPr>
          <w:rFonts w:hint="default" w:eastAsia="宋体" w:cs="Times New Roman"/>
          <w:color w:val="000000" w:themeColor="text1"/>
          <w:sz w:val="24"/>
          <w:highlight w:val="none"/>
          <w:lang w:val="en-US" w:eastAsia="zh-CN"/>
          <w14:textFill>
            <w14:solidFill>
              <w14:schemeClr w14:val="tx1"/>
            </w14:solidFill>
          </w14:textFill>
        </w:rPr>
      </w:pPr>
      <w:r>
        <w:rPr>
          <w:rFonts w:cs="Times New Roman"/>
          <w:b/>
          <w:color w:val="000000" w:themeColor="text1"/>
          <w:sz w:val="24"/>
          <w:highlight w:val="none"/>
          <w14:textFill>
            <w14:solidFill>
              <w14:schemeClr w14:val="tx1"/>
            </w14:solidFill>
          </w14:textFill>
        </w:rPr>
        <w:t>2.</w:t>
      </w:r>
      <w:r>
        <w:rPr>
          <w:rFonts w:hint="eastAsia" w:cs="Times New Roman"/>
          <w:b/>
          <w:color w:val="000000" w:themeColor="text1"/>
          <w:sz w:val="24"/>
          <w:highlight w:val="none"/>
          <w:lang w:eastAsia="zh-CN"/>
          <w14:textFill>
            <w14:solidFill>
              <w14:schemeClr w14:val="tx1"/>
            </w14:solidFill>
          </w14:textFill>
        </w:rPr>
        <w:t>0</w:t>
      </w:r>
      <w:r>
        <w:rPr>
          <w:rFonts w:cs="Times New Roman"/>
          <w:b/>
          <w:color w:val="000000" w:themeColor="text1"/>
          <w:sz w:val="24"/>
          <w:highlight w:val="none"/>
          <w14:textFill>
            <w14:solidFill>
              <w14:schemeClr w14:val="tx1"/>
            </w14:solidFill>
          </w14:textFill>
        </w:rPr>
        <w:t>.1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domestic waste</w:t>
      </w:r>
    </w:p>
    <w:p>
      <w:pPr>
        <w:snapToGrid w:val="0"/>
        <w:spacing w:after="0" w:line="360" w:lineRule="auto"/>
        <w:ind w:firstLine="480" w:firstLineChars="200"/>
        <w:rPr>
          <w:rFonts w:hint="eastAsia" w:cs="Times New Roman"/>
          <w:color w:val="000000" w:themeColor="text1"/>
          <w:sz w:val="24"/>
          <w:highlight w:val="none"/>
          <w:lang w:val="en-US" w:eastAsia="zh-CN"/>
          <w14:textFill>
            <w14:solidFill>
              <w14:schemeClr w14:val="tx1"/>
            </w14:solidFill>
          </w14:textFill>
        </w:rPr>
      </w:pPr>
      <w:r>
        <w:rPr>
          <w:rFonts w:hint="eastAsia" w:cs="Times New Roman"/>
          <w:color w:val="000000" w:themeColor="text1"/>
          <w:sz w:val="24"/>
          <w:highlight w:val="none"/>
          <w:lang w:val="en-US" w:eastAsia="zh-CN"/>
          <w14:textFill>
            <w14:solidFill>
              <w14:schemeClr w14:val="tx1"/>
            </w14:solidFill>
          </w14:textFill>
        </w:rPr>
        <w:t>日常生活中或者为日常生活提供服务的活动中产生的固体废物，以及法律、行政法规规定是为生活垃圾的固体废物。</w:t>
      </w:r>
    </w:p>
    <w:p>
      <w:pPr>
        <w:snapToGrid w:val="0"/>
        <w:spacing w:after="0" w:line="360" w:lineRule="auto"/>
        <w:ind w:firstLine="420" w:firstLineChars="200"/>
        <w:rPr>
          <w:rFonts w:hint="default" w:cs="Times New Roman"/>
          <w:color w:val="000000" w:themeColor="text1"/>
          <w:sz w:val="21"/>
          <w:szCs w:val="20"/>
          <w:highlight w:val="none"/>
          <w:u w:val="single"/>
          <w:lang w:val="en-US" w:eastAsia="zh-CN"/>
          <w14:textFill>
            <w14:solidFill>
              <w14:schemeClr w14:val="tx1"/>
            </w14:solidFill>
          </w14:textFill>
        </w:rPr>
      </w:pPr>
      <w:r>
        <w:rPr>
          <w:rFonts w:hint="eastAsia" w:cs="Times New Roman"/>
          <w:color w:val="000000" w:themeColor="text1"/>
          <w:sz w:val="21"/>
          <w:szCs w:val="20"/>
          <w:highlight w:val="none"/>
          <w:u w:val="single"/>
          <w:lang w:val="en-US" w:eastAsia="zh-CN"/>
          <w14:textFill>
            <w14:solidFill>
              <w14:schemeClr w14:val="tx1"/>
            </w14:solidFill>
          </w14:textFill>
        </w:rPr>
        <w:t>【条文说明】本规程中通过全密闭气力输送系统输送的垃圾种类，可根据工程情况确定。可以为厨余垃圾和/或其他垃圾，不包括有毒有害垃圾和大件垃圾。</w:t>
      </w:r>
    </w:p>
    <w:p>
      <w:pPr>
        <w:snapToGrid w:val="0"/>
        <w:spacing w:after="0" w:line="360" w:lineRule="auto"/>
        <w:ind w:firstLine="480" w:firstLineChars="200"/>
        <w:rPr>
          <w:rFonts w:hint="default" w:cs="Times New Roman"/>
          <w:color w:val="000000" w:themeColor="text1"/>
          <w:sz w:val="24"/>
          <w:highlight w:val="none"/>
          <w:lang w:val="en-US" w:eastAsia="zh-CN"/>
          <w14:textFill>
            <w14:solidFill>
              <w14:schemeClr w14:val="tx1"/>
            </w14:solidFill>
          </w14:textFill>
        </w:rPr>
      </w:pPr>
    </w:p>
    <w:p>
      <w:pPr>
        <w:snapToGrid w:val="0"/>
        <w:spacing w:after="0" w:line="360" w:lineRule="auto"/>
        <w:rPr>
          <w:rFonts w:hint="default" w:eastAsia="宋体" w:cs="Times New Roman"/>
          <w:color w:val="000000" w:themeColor="text1"/>
          <w:sz w:val="24"/>
          <w:highlight w:val="none"/>
          <w:lang w:val="en-US" w:eastAsia="zh-CN"/>
          <w14:textFill>
            <w14:solidFill>
              <w14:schemeClr w14:val="tx1"/>
            </w14:solidFill>
          </w14:textFill>
        </w:rPr>
      </w:pPr>
      <w:r>
        <w:rPr>
          <w:rFonts w:cs="Times New Roman"/>
          <w:b/>
          <w:color w:val="000000" w:themeColor="text1"/>
          <w:sz w:val="24"/>
          <w:highlight w:val="none"/>
          <w14:textFill>
            <w14:solidFill>
              <w14:schemeClr w14:val="tx1"/>
            </w14:solidFill>
          </w14:textFill>
        </w:rPr>
        <w:t>2.</w:t>
      </w:r>
      <w:r>
        <w:rPr>
          <w:rFonts w:hint="eastAsia" w:cs="Times New Roman"/>
          <w:b/>
          <w:color w:val="000000" w:themeColor="text1"/>
          <w:sz w:val="24"/>
          <w:highlight w:val="none"/>
          <w:lang w:eastAsia="zh-CN"/>
          <w14:textFill>
            <w14:solidFill>
              <w14:schemeClr w14:val="tx1"/>
            </w14:solidFill>
          </w14:textFill>
        </w:rPr>
        <w:t>0</w:t>
      </w:r>
      <w:r>
        <w:rPr>
          <w:rFonts w:cs="Times New Roman"/>
          <w:b/>
          <w:color w:val="000000" w:themeColor="text1"/>
          <w:sz w:val="24"/>
          <w:highlight w:val="none"/>
          <w14:textFill>
            <w14:solidFill>
              <w14:schemeClr w14:val="tx1"/>
            </w14:solidFill>
          </w14:textFill>
        </w:rPr>
        <w:t>.2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垃圾全密闭气力输送系统</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14:textFill>
            <w14:solidFill>
              <w14:schemeClr w14:val="tx1"/>
            </w14:solidFill>
          </w14:textFill>
        </w:rPr>
        <w:t xml:space="preserve">Fully enclosed </w:t>
      </w:r>
      <w:r>
        <w:rPr>
          <w:rFonts w:hint="eastAsia" w:cs="Times New Roman"/>
          <w:color w:val="000000" w:themeColor="text1"/>
          <w:sz w:val="24"/>
          <w:highlight w:val="none"/>
          <w:lang w:val="en-US" w:eastAsia="zh-CN"/>
          <w14:textFill>
            <w14:solidFill>
              <w14:schemeClr w14:val="tx1"/>
            </w14:solidFill>
          </w14:textFill>
        </w:rPr>
        <w:t>vacuum</w:t>
      </w:r>
      <w:r>
        <w:rPr>
          <w:rFonts w:hint="eastAsia" w:cs="Times New Roman"/>
          <w:color w:val="000000" w:themeColor="text1"/>
          <w:sz w:val="24"/>
          <w:highlight w:val="none"/>
          <w14:textFill>
            <w14:solidFill>
              <w14:schemeClr w14:val="tx1"/>
            </w14:solidFill>
          </w14:textFill>
        </w:rPr>
        <w:t xml:space="preserve"> conveying system for </w:t>
      </w:r>
      <w:r>
        <w:rPr>
          <w:rFonts w:hint="eastAsia" w:cs="Times New Roman"/>
          <w:color w:val="000000" w:themeColor="text1"/>
          <w:sz w:val="24"/>
          <w:highlight w:val="none"/>
          <w:lang w:val="en-US" w:eastAsia="zh-CN"/>
          <w14:textFill>
            <w14:solidFill>
              <w14:schemeClr w14:val="tx1"/>
            </w14:solidFill>
          </w14:textFill>
        </w:rPr>
        <w:t>domestic waste</w:t>
      </w:r>
    </w:p>
    <w:p>
      <w:pPr>
        <w:keepNext w:val="0"/>
        <w:keepLines w:val="0"/>
        <w:pageBreakBefore w:val="0"/>
        <w:widowControl/>
        <w:kinsoku/>
        <w:wordWrap/>
        <w:overflowPunct/>
        <w:topLinePunct w:val="0"/>
        <w:autoSpaceDE/>
        <w:autoSpaceDN/>
        <w:bidi w:val="0"/>
        <w:adjustRightInd/>
        <w:snapToGrid w:val="0"/>
        <w:spacing w:after="0" w:line="360" w:lineRule="auto"/>
        <w:ind w:firstLine="480" w:firstLineChars="200"/>
        <w:textAlignment w:val="auto"/>
        <w:rPr>
          <w:rFonts w:hint="default" w:cs="Times New Roman"/>
          <w:color w:val="000000" w:themeColor="text1"/>
          <w:sz w:val="24"/>
          <w:highlight w:val="none"/>
          <w:lang w:val="en-US" w:eastAsia="zh-CN"/>
          <w14:textFill>
            <w14:solidFill>
              <w14:schemeClr w14:val="tx1"/>
            </w14:solidFill>
          </w14:textFill>
        </w:rPr>
      </w:pPr>
      <w:r>
        <w:rPr>
          <w:rFonts w:hint="default" w:cs="Times New Roman"/>
          <w:color w:val="000000" w:themeColor="text1"/>
          <w:sz w:val="24"/>
          <w:highlight w:val="none"/>
          <w:lang w:val="en-US" w:eastAsia="zh-CN"/>
          <w14:textFill>
            <w14:solidFill>
              <w14:schemeClr w14:val="tx1"/>
            </w14:solidFill>
          </w14:textFill>
        </w:rPr>
        <w:t>通过封闭式真空管道，利用气流的能量（动压能和静压能），将垃圾输送到收集站</w:t>
      </w:r>
      <w:r>
        <w:rPr>
          <w:rFonts w:hint="eastAsia" w:cs="Times New Roman"/>
          <w:color w:val="000000" w:themeColor="text1"/>
          <w:sz w:val="24"/>
          <w:highlight w:val="none"/>
          <w:lang w:val="en-US" w:eastAsia="zh-CN"/>
          <w14:textFill>
            <w14:solidFill>
              <w14:schemeClr w14:val="tx1"/>
            </w14:solidFill>
          </w14:textFill>
        </w:rPr>
        <w:t>、经压缩转运后送至后续大型转运站或末端处理设施</w:t>
      </w:r>
      <w:r>
        <w:rPr>
          <w:rFonts w:hint="default" w:cs="Times New Roman"/>
          <w:color w:val="000000" w:themeColor="text1"/>
          <w:sz w:val="24"/>
          <w:highlight w:val="none"/>
          <w:lang w:val="en-US" w:eastAsia="zh-CN"/>
          <w14:textFill>
            <w14:solidFill>
              <w14:schemeClr w14:val="tx1"/>
            </w14:solidFill>
          </w14:textFill>
        </w:rPr>
        <w:t>的封闭式生活垃圾自动输送系统。</w:t>
      </w:r>
      <w:bookmarkStart w:id="192" w:name="_GoBack"/>
      <w:bookmarkEnd w:id="192"/>
    </w:p>
    <w:p>
      <w:pPr>
        <w:snapToGrid w:val="0"/>
        <w:spacing w:after="0" w:line="360" w:lineRule="auto"/>
        <w:ind w:firstLine="420" w:firstLineChars="200"/>
        <w:rPr>
          <w:rFonts w:hint="eastAsia" w:cs="Times New Roman"/>
          <w:color w:val="000000" w:themeColor="text1"/>
          <w:sz w:val="21"/>
          <w:szCs w:val="20"/>
          <w:highlight w:val="none"/>
          <w:u w:val="single"/>
          <w:lang w:val="en-US" w:eastAsia="zh-CN"/>
          <w14:textFill>
            <w14:solidFill>
              <w14:schemeClr w14:val="tx1"/>
            </w14:solidFill>
          </w14:textFill>
        </w:rPr>
      </w:pPr>
      <w:r>
        <w:rPr>
          <w:rFonts w:hint="eastAsia" w:cs="Times New Roman"/>
          <w:color w:val="000000" w:themeColor="text1"/>
          <w:sz w:val="21"/>
          <w:szCs w:val="20"/>
          <w:highlight w:val="none"/>
          <w:u w:val="single"/>
          <w:lang w:val="en-US" w:eastAsia="zh-CN"/>
          <w14:textFill>
            <w14:solidFill>
              <w14:schemeClr w14:val="tx1"/>
            </w14:solidFill>
          </w14:textFill>
        </w:rPr>
        <w:t>【条文说明】垃圾气力输送系统可分为固定式和移动式，本规程所涉及的全密闭气力输送系统特指固定式。固定式系统根据垃圾收集量和规模可分为大固定式系统（C系统）和小固定式系统（F系统）。大固定式系统配置大型固定式收集站，适用于垃圾产生量较大、集中收集的区域；小固定式系统配置小型固定式收集站，适用于垃圾产生量较少、垃圾量分布相对分散的区域。</w:t>
      </w:r>
    </w:p>
    <w:p>
      <w:pPr>
        <w:snapToGrid w:val="0"/>
        <w:spacing w:after="0" w:line="360" w:lineRule="auto"/>
        <w:ind w:firstLine="440" w:firstLineChars="200"/>
      </w:pPr>
      <w:r>
        <w:drawing>
          <wp:inline distT="0" distB="0" distL="114300" distR="114300">
            <wp:extent cx="5577840" cy="1732280"/>
            <wp:effectExtent l="0" t="0" r="381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5577840" cy="1732280"/>
                    </a:xfrm>
                    <a:prstGeom prst="rect">
                      <a:avLst/>
                    </a:prstGeom>
                    <a:noFill/>
                    <a:ln>
                      <a:noFill/>
                    </a:ln>
                  </pic:spPr>
                </pic:pic>
              </a:graphicData>
            </a:graphic>
          </wp:inline>
        </w:drawing>
      </w:r>
    </w:p>
    <w:p>
      <w:pPr>
        <w:pStyle w:val="68"/>
        <w:bidi w:val="0"/>
        <w:rPr>
          <w:rFonts w:hint="default" w:eastAsia="宋体"/>
          <w:lang w:val="en-US" w:eastAsia="zh-CN"/>
        </w:rPr>
      </w:pPr>
      <w:r>
        <w:t xml:space="preserve">图 </w:t>
      </w:r>
      <w:r>
        <w:fldChar w:fldCharType="begin"/>
      </w:r>
      <w:r>
        <w:instrText xml:space="preserve"> SEQ 图 \* ARABIC </w:instrText>
      </w:r>
      <w:r>
        <w:fldChar w:fldCharType="separate"/>
      </w:r>
      <w:r>
        <w:t>1</w:t>
      </w:r>
      <w:r>
        <w:fldChar w:fldCharType="end"/>
      </w:r>
      <w:r>
        <w:rPr>
          <w:rFonts w:hint="eastAsia"/>
          <w:lang w:val="en-US" w:eastAsia="zh-CN"/>
        </w:rPr>
        <w:t xml:space="preserve"> 全密闭气力输送系统流程示意图</w:t>
      </w:r>
    </w:p>
    <w:p>
      <w:pPr>
        <w:snapToGrid w:val="0"/>
        <w:spacing w:after="0" w:line="360" w:lineRule="auto"/>
        <w:rPr>
          <w:rFonts w:hint="default" w:eastAsia="宋体" w:cs="Times New Roman"/>
          <w:color w:val="000000" w:themeColor="text1"/>
          <w:sz w:val="24"/>
          <w:highlight w:val="none"/>
          <w:lang w:val="en-US" w:eastAsia="zh-CN"/>
          <w14:textFill>
            <w14:solidFill>
              <w14:schemeClr w14:val="tx1"/>
            </w14:solidFill>
          </w14:textFill>
        </w:rPr>
      </w:pPr>
      <w:r>
        <w:rPr>
          <w:rFonts w:cs="Times New Roman"/>
          <w:b/>
          <w:color w:val="000000" w:themeColor="text1"/>
          <w:sz w:val="24"/>
          <w:highlight w:val="none"/>
          <w14:textFill>
            <w14:solidFill>
              <w14:schemeClr w14:val="tx1"/>
            </w14:solidFill>
          </w14:textFill>
        </w:rPr>
        <w:t>2.</w:t>
      </w:r>
      <w:r>
        <w:rPr>
          <w:rFonts w:hint="eastAsia" w:cs="Times New Roman"/>
          <w:b/>
          <w:color w:val="000000" w:themeColor="text1"/>
          <w:sz w:val="24"/>
          <w:highlight w:val="none"/>
          <w:lang w:val="en-US" w:eastAsia="zh-CN"/>
          <w14:textFill>
            <w14:solidFill>
              <w14:schemeClr w14:val="tx1"/>
            </w14:solidFill>
          </w14:textFill>
        </w:rPr>
        <w:t>0</w:t>
      </w:r>
      <w:r>
        <w:rPr>
          <w:rFonts w:cs="Times New Roman"/>
          <w:b/>
          <w:color w:val="000000" w:themeColor="text1"/>
          <w:sz w:val="24"/>
          <w:highlight w:val="none"/>
          <w14:textFill>
            <w14:solidFill>
              <w14:schemeClr w14:val="tx1"/>
            </w14:solidFill>
          </w14:textFill>
        </w:rPr>
        <w:t>.3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投放系统</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Delivery system</w:t>
      </w:r>
    </w:p>
    <w:p>
      <w:pPr>
        <w:snapToGrid w:val="0"/>
        <w:spacing w:after="0" w:line="360" w:lineRule="auto"/>
        <w:rPr>
          <w:rFonts w:hint="default" w:cs="Times New Roman"/>
          <w:color w:val="000000" w:themeColor="text1"/>
          <w:sz w:val="24"/>
          <w:highlight w:val="none"/>
          <w:lang w:val="en-US" w:eastAsia="zh-CN"/>
          <w14:textFill>
            <w14:solidFill>
              <w14:schemeClr w14:val="tx1"/>
            </w14:solidFill>
          </w14:textFill>
        </w:rPr>
      </w:pPr>
      <w:r>
        <w:rPr>
          <w:rFonts w:hint="eastAsia" w:cs="Times New Roman"/>
          <w:color w:val="000000" w:themeColor="text1"/>
          <w:sz w:val="24"/>
          <w:highlight w:val="none"/>
          <w:lang w:val="en-US" w:eastAsia="zh-CN"/>
          <w14:textFill>
            <w14:solidFill>
              <w14:schemeClr w14:val="tx1"/>
            </w14:solidFill>
          </w14:textFill>
        </w:rPr>
        <w:t>设置于垃圾全密闭气力输送系统的起端，用于垃圾的投放、储存、排放和控制输送管道中气流进入的装置。包括投放口、储存节和排放阀。</w:t>
      </w:r>
    </w:p>
    <w:p>
      <w:pPr>
        <w:snapToGrid w:val="0"/>
        <w:spacing w:after="0" w:line="360" w:lineRule="auto"/>
        <w:rPr>
          <w:rFonts w:hint="default" w:eastAsia="宋体" w:cs="Times New Roman"/>
          <w:color w:val="000000" w:themeColor="text1"/>
          <w:sz w:val="24"/>
          <w:highlight w:val="none"/>
          <w:lang w:val="en-US" w:eastAsia="zh-CN"/>
          <w14:textFill>
            <w14:solidFill>
              <w14:schemeClr w14:val="tx1"/>
            </w14:solidFill>
          </w14:textFill>
        </w:rPr>
      </w:pPr>
      <w:r>
        <w:rPr>
          <w:rFonts w:cs="Times New Roman"/>
          <w:b/>
          <w:color w:val="000000" w:themeColor="text1"/>
          <w:sz w:val="24"/>
          <w:highlight w:val="none"/>
          <w14:textFill>
            <w14:solidFill>
              <w14:schemeClr w14:val="tx1"/>
            </w14:solidFill>
          </w14:textFill>
        </w:rPr>
        <w:t>2.</w:t>
      </w:r>
      <w:r>
        <w:rPr>
          <w:rFonts w:hint="eastAsia" w:cs="Times New Roman"/>
          <w:b/>
          <w:color w:val="000000" w:themeColor="text1"/>
          <w:sz w:val="24"/>
          <w:highlight w:val="none"/>
          <w:lang w:val="en-US" w:eastAsia="zh-CN"/>
          <w14:textFill>
            <w14:solidFill>
              <w14:schemeClr w14:val="tx1"/>
            </w14:solidFill>
          </w14:textFill>
        </w:rPr>
        <w:t>0</w:t>
      </w:r>
      <w:r>
        <w:rPr>
          <w:rFonts w:cs="Times New Roman"/>
          <w:b/>
          <w:color w:val="000000" w:themeColor="text1"/>
          <w:sz w:val="24"/>
          <w:highlight w:val="none"/>
          <w14:textFill>
            <w14:solidFill>
              <w14:schemeClr w14:val="tx1"/>
            </w14:solidFill>
          </w14:textFill>
        </w:rPr>
        <w:t>.</w:t>
      </w:r>
      <w:r>
        <w:rPr>
          <w:rFonts w:hint="eastAsia" w:cs="Times New Roman"/>
          <w:b/>
          <w:color w:val="000000" w:themeColor="text1"/>
          <w:sz w:val="24"/>
          <w:highlight w:val="none"/>
          <w:lang w:val="en-US" w:eastAsia="zh-CN"/>
          <w14:textFill>
            <w14:solidFill>
              <w14:schemeClr w14:val="tx1"/>
            </w14:solidFill>
          </w14:textFill>
        </w:rPr>
        <w:t>4</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错峰运行</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Staggered peak operation</w:t>
      </w:r>
    </w:p>
    <w:p>
      <w:pPr>
        <w:snapToGrid w:val="0"/>
        <w:spacing w:after="0" w:line="360" w:lineRule="auto"/>
        <w:rPr>
          <w:rFonts w:hint="eastAsia" w:cs="Times New Roman"/>
          <w:color w:val="000000" w:themeColor="text1"/>
          <w:sz w:val="24"/>
          <w:highlight w:val="none"/>
          <w:lang w:val="en-US" w:eastAsia="zh-CN"/>
          <w14:textFill>
            <w14:solidFill>
              <w14:schemeClr w14:val="tx1"/>
            </w14:solidFill>
          </w14:textFill>
        </w:rPr>
      </w:pPr>
      <w:r>
        <w:rPr>
          <w:rFonts w:hint="eastAsia" w:cs="Times New Roman"/>
          <w:color w:val="000000" w:themeColor="text1"/>
          <w:sz w:val="24"/>
          <w:highlight w:val="none"/>
          <w:lang w:val="en-US" w:eastAsia="zh-CN"/>
          <w14:textFill>
            <w14:solidFill>
              <w14:schemeClr w14:val="tx1"/>
            </w14:solidFill>
          </w14:textFill>
        </w:rPr>
        <w:t>将两种以上分类后的垃圾分时段、用同一套管道系统分别输送的运行模式。</w:t>
      </w:r>
    </w:p>
    <w:p>
      <w:pPr>
        <w:snapToGrid w:val="0"/>
        <w:spacing w:after="0" w:line="360" w:lineRule="auto"/>
        <w:rPr>
          <w:rFonts w:hint="default" w:cs="Times New Roman"/>
          <w:color w:val="000000" w:themeColor="text1"/>
          <w:sz w:val="21"/>
          <w:szCs w:val="20"/>
          <w:highlight w:val="none"/>
          <w:u w:val="single"/>
          <w:lang w:val="en-US" w:eastAsia="zh-CN"/>
          <w14:textFill>
            <w14:solidFill>
              <w14:schemeClr w14:val="tx1"/>
            </w14:solidFill>
          </w14:textFill>
        </w:rPr>
      </w:pPr>
      <w:r>
        <w:rPr>
          <w:rFonts w:hint="eastAsia" w:cs="Times New Roman"/>
          <w:color w:val="000000" w:themeColor="text1"/>
          <w:sz w:val="21"/>
          <w:szCs w:val="20"/>
          <w:highlight w:val="none"/>
          <w:u w:val="single"/>
          <w:lang w:val="en-US" w:eastAsia="zh-CN"/>
          <w14:textFill>
            <w14:solidFill>
              <w14:schemeClr w14:val="tx1"/>
            </w14:solidFill>
          </w14:textFill>
        </w:rPr>
        <w:t>【条文说明】错峰运行具有节省建设投资、降低成本的优点。就厨余垃圾和其他垃圾这两类物化性状反差极大的垃圾而言，只要解决了交叉污染的问题，便可采用错峰运行模式。</w:t>
      </w:r>
    </w:p>
    <w:p>
      <w:pPr>
        <w:snapToGrid w:val="0"/>
        <w:spacing w:after="0" w:line="360" w:lineRule="auto"/>
        <w:rPr>
          <w:rFonts w:hint="default" w:eastAsia="宋体" w:cs="Times New Roman"/>
          <w:color w:val="000000" w:themeColor="text1"/>
          <w:sz w:val="24"/>
          <w:highlight w:val="none"/>
          <w:lang w:val="en-US" w:eastAsia="zh-CN"/>
          <w14:textFill>
            <w14:solidFill>
              <w14:schemeClr w14:val="tx1"/>
            </w14:solidFill>
          </w14:textFill>
        </w:rPr>
      </w:pPr>
      <w:r>
        <w:rPr>
          <w:rFonts w:cs="Times New Roman"/>
          <w:b/>
          <w:color w:val="000000" w:themeColor="text1"/>
          <w:sz w:val="24"/>
          <w:highlight w:val="none"/>
          <w14:textFill>
            <w14:solidFill>
              <w14:schemeClr w14:val="tx1"/>
            </w14:solidFill>
          </w14:textFill>
        </w:rPr>
        <w:t>2.</w:t>
      </w:r>
      <w:r>
        <w:rPr>
          <w:rFonts w:hint="eastAsia" w:cs="Times New Roman"/>
          <w:b/>
          <w:color w:val="000000" w:themeColor="text1"/>
          <w:sz w:val="24"/>
          <w:highlight w:val="none"/>
          <w:lang w:val="en-US" w:eastAsia="zh-CN"/>
          <w14:textFill>
            <w14:solidFill>
              <w14:schemeClr w14:val="tx1"/>
            </w14:solidFill>
          </w14:textFill>
        </w:rPr>
        <w:t>0</w:t>
      </w:r>
      <w:r>
        <w:rPr>
          <w:rFonts w:cs="Times New Roman"/>
          <w:b/>
          <w:color w:val="000000" w:themeColor="text1"/>
          <w:sz w:val="24"/>
          <w:highlight w:val="none"/>
          <w14:textFill>
            <w14:solidFill>
              <w14:schemeClr w14:val="tx1"/>
            </w14:solidFill>
          </w14:textFill>
        </w:rPr>
        <w:t>.</w:t>
      </w:r>
      <w:r>
        <w:rPr>
          <w:rFonts w:hint="eastAsia" w:cs="Times New Roman"/>
          <w:b/>
          <w:color w:val="000000" w:themeColor="text1"/>
          <w:sz w:val="24"/>
          <w:highlight w:val="none"/>
          <w:lang w:val="en-US" w:eastAsia="zh-CN"/>
          <w14:textFill>
            <w14:solidFill>
              <w14:schemeClr w14:val="tx1"/>
            </w14:solidFill>
          </w14:textFill>
        </w:rPr>
        <w:t>5</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垃圾投放口</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Domestic waste drop port</w:t>
      </w:r>
    </w:p>
    <w:p>
      <w:pPr>
        <w:snapToGrid w:val="0"/>
        <w:spacing w:after="0" w:line="360" w:lineRule="auto"/>
        <w:rPr>
          <w:rFonts w:hint="default" w:cs="Times New Roman"/>
          <w:color w:val="000000" w:themeColor="text1"/>
          <w:sz w:val="24"/>
          <w:highlight w:val="none"/>
          <w:lang w:val="en-US" w:eastAsia="zh-CN"/>
          <w14:textFill>
            <w14:solidFill>
              <w14:schemeClr w14:val="tx1"/>
            </w14:solidFill>
          </w14:textFill>
        </w:rPr>
      </w:pPr>
      <w:r>
        <w:rPr>
          <w:rFonts w:hint="eastAsia" w:cs="Times New Roman"/>
          <w:color w:val="000000" w:themeColor="text1"/>
          <w:sz w:val="24"/>
          <w:highlight w:val="none"/>
          <w:lang w:val="en-US" w:eastAsia="zh-CN"/>
          <w14:textFill>
            <w14:solidFill>
              <w14:schemeClr w14:val="tx1"/>
            </w14:solidFill>
          </w14:textFill>
        </w:rPr>
        <w:t>设置于垃圾全密闭气力输送系统的起端，可自动或手动开启、用于投放垃圾的装置。根据设置位置，可分为室内投放口和室外投放口。</w:t>
      </w:r>
    </w:p>
    <w:p>
      <w:pPr>
        <w:snapToGrid w:val="0"/>
        <w:spacing w:after="0" w:line="360" w:lineRule="auto"/>
        <w:rPr>
          <w:rFonts w:hint="default" w:eastAsia="宋体" w:cs="Times New Roman"/>
          <w:color w:val="000000" w:themeColor="text1"/>
          <w:sz w:val="24"/>
          <w:highlight w:val="none"/>
          <w:lang w:val="en-US" w:eastAsia="zh-CN"/>
          <w14:textFill>
            <w14:solidFill>
              <w14:schemeClr w14:val="tx1"/>
            </w14:solidFill>
          </w14:textFill>
        </w:rPr>
      </w:pPr>
      <w:r>
        <w:rPr>
          <w:rFonts w:cs="Times New Roman"/>
          <w:b/>
          <w:color w:val="000000" w:themeColor="text1"/>
          <w:sz w:val="24"/>
          <w:highlight w:val="none"/>
          <w14:textFill>
            <w14:solidFill>
              <w14:schemeClr w14:val="tx1"/>
            </w14:solidFill>
          </w14:textFill>
        </w:rPr>
        <w:t>2.</w:t>
      </w:r>
      <w:r>
        <w:rPr>
          <w:rFonts w:hint="eastAsia" w:cs="Times New Roman"/>
          <w:b/>
          <w:color w:val="000000" w:themeColor="text1"/>
          <w:sz w:val="24"/>
          <w:highlight w:val="none"/>
          <w:lang w:val="en-US" w:eastAsia="zh-CN"/>
          <w14:textFill>
            <w14:solidFill>
              <w14:schemeClr w14:val="tx1"/>
            </w14:solidFill>
          </w14:textFill>
        </w:rPr>
        <w:t>0</w:t>
      </w:r>
      <w:r>
        <w:rPr>
          <w:rFonts w:cs="Times New Roman"/>
          <w:b/>
          <w:color w:val="000000" w:themeColor="text1"/>
          <w:sz w:val="24"/>
          <w:highlight w:val="none"/>
          <w14:textFill>
            <w14:solidFill>
              <w14:schemeClr w14:val="tx1"/>
            </w14:solidFill>
          </w14:textFill>
        </w:rPr>
        <w:t>.</w:t>
      </w:r>
      <w:r>
        <w:rPr>
          <w:rFonts w:hint="eastAsia" w:cs="Times New Roman"/>
          <w:b/>
          <w:color w:val="000000" w:themeColor="text1"/>
          <w:sz w:val="24"/>
          <w:highlight w:val="none"/>
          <w:lang w:val="en-US" w:eastAsia="zh-CN"/>
          <w14:textFill>
            <w14:solidFill>
              <w14:schemeClr w14:val="tx1"/>
            </w14:solidFill>
          </w14:textFill>
        </w:rPr>
        <w:t>6</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存储节</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Storage section</w:t>
      </w:r>
    </w:p>
    <w:p>
      <w:pPr>
        <w:snapToGrid w:val="0"/>
        <w:spacing w:after="0" w:line="360" w:lineRule="auto"/>
        <w:rPr>
          <w:rFonts w:hint="eastAsia" w:cs="Times New Roman"/>
          <w:color w:val="000000" w:themeColor="text1"/>
          <w:sz w:val="24"/>
          <w:highlight w:val="none"/>
          <w:lang w:val="en-US" w:eastAsia="zh-CN"/>
          <w14:textFill>
            <w14:solidFill>
              <w14:schemeClr w14:val="tx1"/>
            </w14:solidFill>
          </w14:textFill>
        </w:rPr>
      </w:pPr>
      <w:r>
        <w:rPr>
          <w:rFonts w:hint="eastAsia" w:cs="Times New Roman"/>
          <w:color w:val="000000" w:themeColor="text1"/>
          <w:sz w:val="24"/>
          <w:highlight w:val="none"/>
          <w:lang w:val="en-US" w:eastAsia="zh-CN"/>
          <w14:textFill>
            <w14:solidFill>
              <w14:schemeClr w14:val="tx1"/>
            </w14:solidFill>
          </w14:textFill>
        </w:rPr>
        <w:t>用于临时储存垃圾的一段管道。</w:t>
      </w:r>
    </w:p>
    <w:p>
      <w:pPr>
        <w:snapToGrid w:val="0"/>
        <w:spacing w:after="0" w:line="360" w:lineRule="auto"/>
        <w:rPr>
          <w:rFonts w:hint="default" w:cs="Times New Roman"/>
          <w:color w:val="000000" w:themeColor="text1"/>
          <w:sz w:val="21"/>
          <w:szCs w:val="20"/>
          <w:highlight w:val="none"/>
          <w:u w:val="single"/>
          <w:lang w:val="en-US" w:eastAsia="zh-CN"/>
          <w14:textFill>
            <w14:solidFill>
              <w14:schemeClr w14:val="tx1"/>
            </w14:solidFill>
          </w14:textFill>
        </w:rPr>
      </w:pPr>
      <w:r>
        <w:rPr>
          <w:rFonts w:hint="eastAsia" w:cs="Times New Roman"/>
          <w:color w:val="000000" w:themeColor="text1"/>
          <w:sz w:val="21"/>
          <w:szCs w:val="20"/>
          <w:highlight w:val="none"/>
          <w:u w:val="single"/>
          <w:lang w:val="en-US" w:eastAsia="zh-CN"/>
          <w14:textFill>
            <w14:solidFill>
              <w14:schemeClr w14:val="tx1"/>
            </w14:solidFill>
          </w14:textFill>
        </w:rPr>
        <w:t>【条文说明】存储节的主体为垂直管道底部、排放阀顶部的一段管道，用于垃圾的暂存。</w:t>
      </w:r>
    </w:p>
    <w:p>
      <w:pPr>
        <w:ind w:firstLine="0" w:firstLineChars="0"/>
        <w:rPr>
          <w:rFonts w:hint="default" w:eastAsia="宋体" w:cs="Times New Roman"/>
          <w:color w:val="000000" w:themeColor="text1"/>
          <w:sz w:val="24"/>
          <w:highlight w:val="none"/>
          <w:lang w:val="en-US" w:eastAsia="zh-CN"/>
          <w14:textFill>
            <w14:solidFill>
              <w14:schemeClr w14:val="tx1"/>
            </w14:solidFill>
          </w14:textFill>
        </w:rPr>
      </w:pPr>
      <w:r>
        <w:rPr>
          <w:rFonts w:hint="default" w:cs="Times New Roman"/>
          <w:b/>
          <w:color w:val="000000" w:themeColor="text1"/>
          <w:sz w:val="24"/>
          <w:highlight w:val="none"/>
          <w:lang w:val="en-US" w:eastAsia="zh-CN"/>
          <w14:textFill>
            <w14:solidFill>
              <w14:schemeClr w14:val="tx1"/>
            </w14:solidFill>
          </w14:textFill>
        </w:rPr>
        <w:t>2.0.</w:t>
      </w:r>
      <w:r>
        <w:rPr>
          <w:rFonts w:hint="eastAsia" w:cs="Times New Roman"/>
          <w:b/>
          <w:color w:val="000000" w:themeColor="text1"/>
          <w:sz w:val="24"/>
          <w:highlight w:val="none"/>
          <w:lang w:val="en-US" w:eastAsia="zh-CN"/>
          <w14:textFill>
            <w14:solidFill>
              <w14:schemeClr w14:val="tx1"/>
            </w14:solidFill>
          </w14:textFill>
        </w:rPr>
        <w:t>7</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排放阀</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Discharge valve</w:t>
      </w:r>
    </w:p>
    <w:p>
      <w:pPr>
        <w:ind w:firstLine="0" w:firstLineChars="0"/>
        <w:rPr>
          <w:rFonts w:hint="default" w:cs="Times New Roman"/>
          <w:color w:val="000000" w:themeColor="text1"/>
          <w:sz w:val="24"/>
          <w:highlight w:val="none"/>
          <w:lang w:val="en-US" w:eastAsia="zh-CN"/>
          <w14:textFill>
            <w14:solidFill>
              <w14:schemeClr w14:val="tx1"/>
            </w14:solidFill>
          </w14:textFill>
        </w:rPr>
      </w:pPr>
      <w:r>
        <w:rPr>
          <w:rFonts w:hint="eastAsia" w:cs="Times New Roman"/>
          <w:color w:val="000000" w:themeColor="text1"/>
          <w:sz w:val="24"/>
          <w:highlight w:val="none"/>
          <w:lang w:val="en-US" w:eastAsia="zh-CN"/>
          <w14:textFill>
            <w14:solidFill>
              <w14:schemeClr w14:val="tx1"/>
            </w14:solidFill>
          </w14:textFill>
        </w:rPr>
        <w:t>设置于建筑物底层，顶部与垂直收集管相连、底部与水平输送管道相连的设备。</w:t>
      </w:r>
    </w:p>
    <w:p>
      <w:pPr>
        <w:snapToGrid w:val="0"/>
        <w:spacing w:after="0" w:line="360" w:lineRule="auto"/>
        <w:rPr>
          <w:rFonts w:hint="default" w:eastAsia="宋体" w:cs="Times New Roman"/>
          <w:color w:val="000000" w:themeColor="text1"/>
          <w:sz w:val="24"/>
          <w:highlight w:val="none"/>
          <w:lang w:val="en-US" w:eastAsia="zh-CN"/>
          <w14:textFill>
            <w14:solidFill>
              <w14:schemeClr w14:val="tx1"/>
            </w14:solidFill>
          </w14:textFill>
        </w:rPr>
      </w:pPr>
      <w:r>
        <w:rPr>
          <w:rFonts w:cs="Times New Roman"/>
          <w:b/>
          <w:color w:val="000000" w:themeColor="text1"/>
          <w:sz w:val="24"/>
          <w:highlight w:val="none"/>
          <w14:textFill>
            <w14:solidFill>
              <w14:schemeClr w14:val="tx1"/>
            </w14:solidFill>
          </w14:textFill>
        </w:rPr>
        <w:t>2.</w:t>
      </w:r>
      <w:r>
        <w:rPr>
          <w:rFonts w:hint="eastAsia" w:cs="Times New Roman"/>
          <w:b/>
          <w:color w:val="000000" w:themeColor="text1"/>
          <w:sz w:val="24"/>
          <w:highlight w:val="none"/>
          <w:lang w:val="en-US" w:eastAsia="zh-CN"/>
          <w14:textFill>
            <w14:solidFill>
              <w14:schemeClr w14:val="tx1"/>
            </w14:solidFill>
          </w14:textFill>
        </w:rPr>
        <w:t>0</w:t>
      </w:r>
      <w:r>
        <w:rPr>
          <w:rFonts w:cs="Times New Roman"/>
          <w:b/>
          <w:color w:val="000000" w:themeColor="text1"/>
          <w:sz w:val="24"/>
          <w:highlight w:val="none"/>
          <w14:textFill>
            <w14:solidFill>
              <w14:schemeClr w14:val="tx1"/>
            </w14:solidFill>
          </w14:textFill>
        </w:rPr>
        <w:t>.</w:t>
      </w:r>
      <w:r>
        <w:rPr>
          <w:rFonts w:hint="eastAsia" w:cs="Times New Roman"/>
          <w:b/>
          <w:color w:val="000000" w:themeColor="text1"/>
          <w:sz w:val="24"/>
          <w:highlight w:val="none"/>
          <w:lang w:val="en-US" w:eastAsia="zh-CN"/>
          <w14:textFill>
            <w14:solidFill>
              <w14:schemeClr w14:val="tx1"/>
            </w14:solidFill>
          </w14:textFill>
        </w:rPr>
        <w:t>8</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管道输送系统</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Pipeline delivery system</w:t>
      </w:r>
    </w:p>
    <w:p>
      <w:pPr>
        <w:snapToGrid w:val="0"/>
        <w:spacing w:after="0" w:line="360" w:lineRule="auto"/>
        <w:rPr>
          <w:rFonts w:hint="eastAsia" w:cs="Times New Roman"/>
          <w:color w:val="000000" w:themeColor="text1"/>
          <w:sz w:val="24"/>
          <w:highlight w:val="none"/>
          <w:lang w:val="en-US" w:eastAsia="zh-CN"/>
          <w14:textFill>
            <w14:solidFill>
              <w14:schemeClr w14:val="tx1"/>
            </w14:solidFill>
          </w14:textFill>
        </w:rPr>
      </w:pPr>
      <w:r>
        <w:rPr>
          <w:rFonts w:hint="eastAsia" w:cs="Times New Roman"/>
          <w:color w:val="000000" w:themeColor="text1"/>
          <w:sz w:val="24"/>
          <w:highlight w:val="none"/>
          <w:lang w:val="en-US" w:eastAsia="zh-CN"/>
          <w14:textFill>
            <w14:solidFill>
              <w14:schemeClr w14:val="tx1"/>
            </w14:solidFill>
          </w14:textFill>
        </w:rPr>
        <w:t>用于输送垃圾的管道，包括垂直垃圾管和水平垃圾管，其中水平垃圾管根据服务范围可分为干管道和支管道。</w:t>
      </w:r>
    </w:p>
    <w:p>
      <w:pPr>
        <w:snapToGrid w:val="0"/>
        <w:spacing w:after="0" w:line="360" w:lineRule="auto"/>
        <w:rPr>
          <w:rFonts w:hint="default" w:eastAsia="宋体" w:cs="Times New Roman"/>
          <w:color w:val="000000" w:themeColor="text1"/>
          <w:sz w:val="24"/>
          <w:highlight w:val="none"/>
          <w:lang w:val="en-US" w:eastAsia="zh-CN"/>
          <w14:textFill>
            <w14:solidFill>
              <w14:schemeClr w14:val="tx1"/>
            </w14:solidFill>
          </w14:textFill>
        </w:rPr>
      </w:pPr>
      <w:r>
        <w:rPr>
          <w:rFonts w:cs="Times New Roman"/>
          <w:b/>
          <w:color w:val="000000" w:themeColor="text1"/>
          <w:sz w:val="24"/>
          <w:highlight w:val="none"/>
          <w14:textFill>
            <w14:solidFill>
              <w14:schemeClr w14:val="tx1"/>
            </w14:solidFill>
          </w14:textFill>
        </w:rPr>
        <w:t>2.</w:t>
      </w:r>
      <w:r>
        <w:rPr>
          <w:rFonts w:hint="eastAsia" w:cs="Times New Roman"/>
          <w:b/>
          <w:color w:val="000000" w:themeColor="text1"/>
          <w:sz w:val="24"/>
          <w:highlight w:val="none"/>
          <w:lang w:val="en-US" w:eastAsia="zh-CN"/>
          <w14:textFill>
            <w14:solidFill>
              <w14:schemeClr w14:val="tx1"/>
            </w14:solidFill>
          </w14:textFill>
        </w:rPr>
        <w:t>0</w:t>
      </w:r>
      <w:r>
        <w:rPr>
          <w:rFonts w:cs="Times New Roman"/>
          <w:b/>
          <w:color w:val="000000" w:themeColor="text1"/>
          <w:sz w:val="24"/>
          <w:highlight w:val="none"/>
          <w14:textFill>
            <w14:solidFill>
              <w14:schemeClr w14:val="tx1"/>
            </w14:solidFill>
          </w14:textFill>
        </w:rPr>
        <w:t>.</w:t>
      </w:r>
      <w:r>
        <w:rPr>
          <w:rFonts w:hint="eastAsia" w:cs="Times New Roman"/>
          <w:b/>
          <w:color w:val="000000" w:themeColor="text1"/>
          <w:sz w:val="24"/>
          <w:highlight w:val="none"/>
          <w:lang w:val="en-US" w:eastAsia="zh-CN"/>
          <w14:textFill>
            <w14:solidFill>
              <w14:schemeClr w14:val="tx1"/>
            </w14:solidFill>
          </w14:textFill>
        </w:rPr>
        <w:t>9</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管道特殊件</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pipeline specific fittings</w:t>
      </w:r>
    </w:p>
    <w:p>
      <w:pPr>
        <w:snapToGrid w:val="0"/>
        <w:spacing w:after="0" w:line="360" w:lineRule="auto"/>
        <w:rPr>
          <w:rFonts w:cs="Times New Roman"/>
          <w:b/>
          <w:color w:val="000000" w:themeColor="text1"/>
          <w:sz w:val="24"/>
          <w:highlight w:val="none"/>
          <w14:textFill>
            <w14:solidFill>
              <w14:schemeClr w14:val="tx1"/>
            </w14:solidFill>
          </w14:textFill>
        </w:rPr>
      </w:pPr>
      <w:r>
        <w:rPr>
          <w:rFonts w:hint="default" w:cs="Times New Roman"/>
          <w:color w:val="000000" w:themeColor="text1"/>
          <w:sz w:val="24"/>
          <w:highlight w:val="none"/>
          <w:lang w:val="en-US" w:eastAsia="zh-CN"/>
          <w14:textFill>
            <w14:solidFill>
              <w14:schemeClr w14:val="tx1"/>
            </w14:solidFill>
          </w14:textFill>
        </w:rPr>
        <w:t>指非普通标准组成件，系按工程设计条件特殊制造的管道组成件，包括：膨胀节、补偿器、特殊阀门、过滤器、挠性接头及软管等。</w:t>
      </w:r>
    </w:p>
    <w:p>
      <w:pPr>
        <w:snapToGrid w:val="0"/>
        <w:spacing w:after="0" w:line="360" w:lineRule="auto"/>
        <w:rPr>
          <w:rFonts w:hint="default" w:eastAsia="宋体" w:cs="Times New Roman"/>
          <w:color w:val="000000" w:themeColor="text1"/>
          <w:sz w:val="24"/>
          <w:highlight w:val="none"/>
          <w:lang w:val="en-US" w:eastAsia="zh-CN"/>
          <w14:textFill>
            <w14:solidFill>
              <w14:schemeClr w14:val="tx1"/>
            </w14:solidFill>
          </w14:textFill>
        </w:rPr>
      </w:pPr>
      <w:r>
        <w:rPr>
          <w:rFonts w:cs="Times New Roman"/>
          <w:b/>
          <w:color w:val="000000" w:themeColor="text1"/>
          <w:sz w:val="24"/>
          <w:highlight w:val="none"/>
          <w14:textFill>
            <w14:solidFill>
              <w14:schemeClr w14:val="tx1"/>
            </w14:solidFill>
          </w14:textFill>
        </w:rPr>
        <w:t>2.</w:t>
      </w:r>
      <w:r>
        <w:rPr>
          <w:rFonts w:hint="eastAsia" w:cs="Times New Roman"/>
          <w:b/>
          <w:color w:val="000000" w:themeColor="text1"/>
          <w:sz w:val="24"/>
          <w:highlight w:val="none"/>
          <w:lang w:val="en-US" w:eastAsia="zh-CN"/>
          <w14:textFill>
            <w14:solidFill>
              <w14:schemeClr w14:val="tx1"/>
            </w14:solidFill>
          </w14:textFill>
        </w:rPr>
        <w:t>0</w:t>
      </w:r>
      <w:r>
        <w:rPr>
          <w:rFonts w:cs="Times New Roman"/>
          <w:b/>
          <w:color w:val="000000" w:themeColor="text1"/>
          <w:sz w:val="24"/>
          <w:highlight w:val="none"/>
          <w14:textFill>
            <w14:solidFill>
              <w14:schemeClr w14:val="tx1"/>
            </w14:solidFill>
          </w14:textFill>
        </w:rPr>
        <w:t>.</w:t>
      </w:r>
      <w:r>
        <w:rPr>
          <w:rFonts w:hint="eastAsia" w:cs="Times New Roman"/>
          <w:b/>
          <w:color w:val="000000" w:themeColor="text1"/>
          <w:sz w:val="24"/>
          <w:highlight w:val="none"/>
          <w:lang w:val="en-US" w:eastAsia="zh-CN"/>
          <w14:textFill>
            <w14:solidFill>
              <w14:schemeClr w14:val="tx1"/>
            </w14:solidFill>
          </w14:textFill>
        </w:rPr>
        <w:t>10</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收集站</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Collection station</w:t>
      </w:r>
    </w:p>
    <w:p>
      <w:pPr>
        <w:snapToGrid w:val="0"/>
        <w:spacing w:after="0" w:line="360" w:lineRule="auto"/>
        <w:rPr>
          <w:rFonts w:hint="default" w:cs="Times New Roman"/>
          <w:color w:val="000000" w:themeColor="text1"/>
          <w:sz w:val="24"/>
          <w:highlight w:val="none"/>
          <w:lang w:val="en-US" w:eastAsia="zh-CN"/>
          <w14:textFill>
            <w14:solidFill>
              <w14:schemeClr w14:val="tx1"/>
            </w14:solidFill>
          </w14:textFill>
        </w:rPr>
      </w:pPr>
      <w:r>
        <w:rPr>
          <w:rFonts w:hint="eastAsia" w:cs="Times New Roman"/>
          <w:color w:val="000000" w:themeColor="text1"/>
          <w:sz w:val="24"/>
          <w:highlight w:val="none"/>
          <w:lang w:val="en-US" w:eastAsia="zh-CN"/>
          <w14:textFill>
            <w14:solidFill>
              <w14:schemeClr w14:val="tx1"/>
            </w14:solidFill>
          </w14:textFill>
        </w:rPr>
        <w:t>气力输送系统的管道终端，垃圾在次汇集、分离、压缩并转运至后续处理设施或转运设施。</w:t>
      </w:r>
    </w:p>
    <w:p>
      <w:pPr>
        <w:snapToGrid w:val="0"/>
        <w:spacing w:after="0" w:line="360" w:lineRule="auto"/>
        <w:rPr>
          <w:rFonts w:hint="default" w:eastAsia="宋体" w:cs="Times New Roman"/>
          <w:color w:val="000000" w:themeColor="text1"/>
          <w:sz w:val="24"/>
          <w:highlight w:val="none"/>
          <w:lang w:val="en-US" w:eastAsia="zh-CN"/>
          <w14:textFill>
            <w14:solidFill>
              <w14:schemeClr w14:val="tx1"/>
            </w14:solidFill>
          </w14:textFill>
        </w:rPr>
      </w:pPr>
      <w:r>
        <w:rPr>
          <w:rFonts w:cs="Times New Roman"/>
          <w:b/>
          <w:color w:val="000000" w:themeColor="text1"/>
          <w:sz w:val="24"/>
          <w:highlight w:val="none"/>
          <w14:textFill>
            <w14:solidFill>
              <w14:schemeClr w14:val="tx1"/>
            </w14:solidFill>
          </w14:textFill>
        </w:rPr>
        <w:t>2.</w:t>
      </w:r>
      <w:r>
        <w:rPr>
          <w:rFonts w:hint="eastAsia" w:cs="Times New Roman"/>
          <w:b/>
          <w:color w:val="000000" w:themeColor="text1"/>
          <w:sz w:val="24"/>
          <w:highlight w:val="none"/>
          <w:lang w:eastAsia="zh-CN"/>
          <w14:textFill>
            <w14:solidFill>
              <w14:schemeClr w14:val="tx1"/>
            </w14:solidFill>
          </w14:textFill>
        </w:rPr>
        <w:t>0</w:t>
      </w:r>
      <w:r>
        <w:rPr>
          <w:rFonts w:cs="Times New Roman"/>
          <w:b/>
          <w:color w:val="000000" w:themeColor="text1"/>
          <w:sz w:val="24"/>
          <w:highlight w:val="none"/>
          <w14:textFill>
            <w14:solidFill>
              <w14:schemeClr w14:val="tx1"/>
            </w14:solidFill>
          </w14:textFill>
        </w:rPr>
        <w:t>.</w:t>
      </w:r>
      <w:r>
        <w:rPr>
          <w:rFonts w:hint="eastAsia" w:cs="Times New Roman"/>
          <w:b/>
          <w:color w:val="000000" w:themeColor="text1"/>
          <w:sz w:val="24"/>
          <w:highlight w:val="none"/>
          <w:lang w:val="en-US" w:eastAsia="zh-CN"/>
          <w14:textFill>
            <w14:solidFill>
              <w14:schemeClr w14:val="tx1"/>
            </w14:solidFill>
          </w14:textFill>
        </w:rPr>
        <w:t>11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垃圾分离器</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Domestic waste separator</w:t>
      </w:r>
    </w:p>
    <w:p>
      <w:pPr>
        <w:snapToGrid w:val="0"/>
        <w:spacing w:after="0" w:line="360" w:lineRule="auto"/>
        <w:rPr>
          <w:rFonts w:hint="eastAsia" w:cs="Times New Roman"/>
          <w:color w:val="000000" w:themeColor="text1"/>
          <w:sz w:val="24"/>
          <w:highlight w:val="none"/>
          <w:lang w:val="en-US" w:eastAsia="zh-CN"/>
          <w14:textFill>
            <w14:solidFill>
              <w14:schemeClr w14:val="tx1"/>
            </w14:solidFill>
          </w14:textFill>
        </w:rPr>
      </w:pPr>
      <w:r>
        <w:rPr>
          <w:rFonts w:hint="eastAsia" w:cs="Times New Roman"/>
          <w:color w:val="000000" w:themeColor="text1"/>
          <w:sz w:val="24"/>
          <w:highlight w:val="none"/>
          <w:lang w:val="en-US" w:eastAsia="zh-CN"/>
          <w14:textFill>
            <w14:solidFill>
              <w14:schemeClr w14:val="tx1"/>
            </w14:solidFill>
          </w14:textFill>
        </w:rPr>
        <w:t>将垃圾与气体分离的装置。</w:t>
      </w:r>
    </w:p>
    <w:p>
      <w:pPr>
        <w:snapToGrid w:val="0"/>
        <w:spacing w:after="0" w:line="360" w:lineRule="auto"/>
        <w:rPr>
          <w:rFonts w:hint="default" w:cs="Times New Roman"/>
          <w:color w:val="000000" w:themeColor="text1"/>
          <w:sz w:val="21"/>
          <w:szCs w:val="20"/>
          <w:highlight w:val="none"/>
          <w:u w:val="single"/>
          <w:lang w:val="en-US" w:eastAsia="zh-CN"/>
          <w14:textFill>
            <w14:solidFill>
              <w14:schemeClr w14:val="tx1"/>
            </w14:solidFill>
          </w14:textFill>
        </w:rPr>
      </w:pPr>
      <w:r>
        <w:rPr>
          <w:rFonts w:hint="eastAsia" w:cs="Times New Roman"/>
          <w:color w:val="000000" w:themeColor="text1"/>
          <w:sz w:val="21"/>
          <w:szCs w:val="20"/>
          <w:highlight w:val="none"/>
          <w:u w:val="single"/>
          <w:lang w:val="en-US" w:eastAsia="zh-CN"/>
          <w14:textFill>
            <w14:solidFill>
              <w14:schemeClr w14:val="tx1"/>
            </w14:solidFill>
          </w14:textFill>
        </w:rPr>
        <w:t>【条文说明】垃圾运输是借助高速流动的气体在全密闭管道中完成的，故实现气固分类的第一步将裹挟垃圾的气流经过垃圾分离器处理，垃圾下沉进入垃圾收集仓，经压实、排至专用集装箱；气体则被抽至净化系统，处理后达标排放。</w:t>
      </w:r>
    </w:p>
    <w:p>
      <w:pPr>
        <w:ind w:firstLine="519" w:firstLineChars="236"/>
        <w:rPr>
          <w:rFonts w:hint="eastAsia" w:eastAsia="宋体" w:cs="Times New Roman"/>
          <w:color w:val="000000" w:themeColor="text1"/>
          <w:highlight w:val="none"/>
          <w:lang w:val="en-US" w:eastAsia="zh-CN"/>
          <w14:textFill>
            <w14:solidFill>
              <w14:schemeClr w14:val="tx1"/>
            </w14:solidFill>
          </w14:textFill>
        </w:rPr>
      </w:pPr>
    </w:p>
    <w:p>
      <w:pPr>
        <w:jc w:val="left"/>
        <w:rPr>
          <w:rFonts w:cs="Times New Roman"/>
          <w:color w:val="000000" w:themeColor="text1"/>
          <w:highlight w:val="none"/>
          <w14:textFill>
            <w14:solidFill>
              <w14:schemeClr w14:val="tx1"/>
            </w14:solidFill>
          </w14:textFill>
        </w:rPr>
      </w:pPr>
      <w:bookmarkStart w:id="47" w:name="_Toc13746271"/>
      <w:bookmarkStart w:id="48" w:name="_Toc6920052"/>
      <w:bookmarkStart w:id="49" w:name="_Toc13473428"/>
      <w:bookmarkStart w:id="50" w:name="_Toc13821479"/>
      <w:bookmarkStart w:id="51" w:name="_Toc6839354"/>
      <w:bookmarkStart w:id="52" w:name="_Toc10014465"/>
      <w:bookmarkStart w:id="53" w:name="_Toc12354314"/>
      <w:bookmarkStart w:id="54" w:name="_Toc6824115"/>
      <w:bookmarkStart w:id="55" w:name="_Toc530731651"/>
      <w:bookmarkStart w:id="56" w:name="_Toc525111736"/>
      <w:r>
        <w:rPr>
          <w:rFonts w:cs="Times New Roman"/>
          <w:color w:val="000000" w:themeColor="text1"/>
          <w:highlight w:val="none"/>
          <w14:textFill>
            <w14:solidFill>
              <w14:schemeClr w14:val="tx1"/>
            </w14:solidFill>
          </w14:textFill>
        </w:rPr>
        <w:br w:type="page"/>
      </w:r>
    </w:p>
    <w:p>
      <w:pPr>
        <w:rPr>
          <w:rFonts w:cs="Times New Roman"/>
          <w:color w:val="000000" w:themeColor="text1"/>
          <w:highlight w:val="none"/>
          <w14:textFill>
            <w14:solidFill>
              <w14:schemeClr w14:val="tx1"/>
            </w14:solidFill>
          </w14:textFill>
        </w:rPr>
      </w:pPr>
      <w:bookmarkStart w:id="57" w:name="_Toc36894571"/>
    </w:p>
    <w:p>
      <w:pPr>
        <w:pStyle w:val="2"/>
        <w:rPr>
          <w:rFonts w:hint="default" w:eastAsia="宋体"/>
          <w:color w:val="000000" w:themeColor="text1"/>
          <w:highlight w:val="none"/>
          <w:lang w:val="en-US" w:eastAsia="zh-CN"/>
          <w14:textFill>
            <w14:solidFill>
              <w14:schemeClr w14:val="tx1"/>
            </w14:solidFill>
          </w14:textFill>
        </w:rPr>
      </w:pPr>
      <w:bookmarkStart w:id="58" w:name="_Toc24984"/>
      <w:bookmarkStart w:id="59" w:name="_Toc29087"/>
      <w:bookmarkStart w:id="60" w:name="_Toc37506841"/>
      <w:bookmarkStart w:id="61" w:name="_Toc5997"/>
      <w:bookmarkStart w:id="62" w:name="_Toc37455222"/>
      <w:bookmarkStart w:id="63" w:name="_Toc29136"/>
      <w:r>
        <w:rPr>
          <w:color w:val="000000" w:themeColor="text1"/>
          <w:highlight w:val="none"/>
          <w14:textFill>
            <w14:solidFill>
              <w14:schemeClr w14:val="tx1"/>
            </w14:solidFill>
          </w14:textFill>
        </w:rPr>
        <w:t>3　</w:t>
      </w:r>
      <w:bookmarkEnd w:id="47"/>
      <w:bookmarkEnd w:id="48"/>
      <w:bookmarkEnd w:id="49"/>
      <w:bookmarkEnd w:id="50"/>
      <w:bookmarkEnd w:id="51"/>
      <w:bookmarkEnd w:id="52"/>
      <w:bookmarkEnd w:id="53"/>
      <w:bookmarkEnd w:id="54"/>
      <w:bookmarkEnd w:id="57"/>
      <w:bookmarkEnd w:id="58"/>
      <w:bookmarkEnd w:id="59"/>
      <w:bookmarkEnd w:id="60"/>
      <w:bookmarkEnd w:id="61"/>
      <w:bookmarkEnd w:id="62"/>
      <w:r>
        <w:rPr>
          <w:rFonts w:hint="eastAsia"/>
          <w:color w:val="000000" w:themeColor="text1"/>
          <w:highlight w:val="none"/>
          <w:lang w:val="en-US" w:eastAsia="zh-CN"/>
          <w14:textFill>
            <w14:solidFill>
              <w14:schemeClr w14:val="tx1"/>
            </w14:solidFill>
          </w14:textFill>
        </w:rPr>
        <w:t>一般规定</w:t>
      </w:r>
      <w:bookmarkEnd w:id="63"/>
    </w:p>
    <w:p>
      <w:pPr>
        <w:snapToGrid w:val="0"/>
        <w:spacing w:after="0" w:line="360" w:lineRule="auto"/>
        <w:rPr>
          <w:rFonts w:hint="default" w:eastAsia="宋体" w:cs="Times New Roman"/>
          <w:color w:val="000000" w:themeColor="text1"/>
          <w:sz w:val="24"/>
          <w:highlight w:val="none"/>
          <w:lang w:val="en-US" w:eastAsia="zh-CN"/>
          <w14:textFill>
            <w14:solidFill>
              <w14:schemeClr w14:val="tx1"/>
            </w14:solidFill>
          </w14:textFill>
        </w:rPr>
      </w:pPr>
      <w:r>
        <w:rPr>
          <w:rFonts w:cs="Times New Roman"/>
          <w:b/>
          <w:color w:val="000000" w:themeColor="text1"/>
          <w:sz w:val="24"/>
          <w:highlight w:val="none"/>
          <w14:textFill>
            <w14:solidFill>
              <w14:schemeClr w14:val="tx1"/>
            </w14:solidFill>
          </w14:textFill>
        </w:rPr>
        <w:t>3.0.1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垃圾产量应根据垃圾平均日产量、远期人口规模经过计算综合确定。</w:t>
      </w:r>
    </w:p>
    <w:p>
      <w:pPr>
        <w:snapToGrid w:val="0"/>
        <w:spacing w:after="0" w:line="360" w:lineRule="auto"/>
        <w:rPr>
          <w:rFonts w:hint="default" w:eastAsia="宋体" w:cs="Times New Roman"/>
          <w:color w:val="000000" w:themeColor="text1"/>
          <w:sz w:val="24"/>
          <w:highlight w:val="none"/>
          <w:lang w:val="en-US" w:eastAsia="zh-CN"/>
          <w14:textFill>
            <w14:solidFill>
              <w14:schemeClr w14:val="tx1"/>
            </w14:solidFill>
          </w14:textFill>
        </w:rPr>
      </w:pPr>
      <w:r>
        <w:rPr>
          <w:rFonts w:cs="Times New Roman"/>
          <w:b/>
          <w:color w:val="000000" w:themeColor="text1"/>
          <w:sz w:val="24"/>
          <w:highlight w:val="none"/>
          <w14:textFill>
            <w14:solidFill>
              <w14:schemeClr w14:val="tx1"/>
            </w14:solidFill>
          </w14:textFill>
        </w:rPr>
        <w:t>3.0.2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垃圾全密闭气力输送系统的收集规模应按根据规划区域内的垃圾产量确定，并宜考虑20%的安全系数。</w:t>
      </w:r>
    </w:p>
    <w:p>
      <w:pPr>
        <w:snapToGrid w:val="0"/>
        <w:spacing w:after="0" w:line="360" w:lineRule="auto"/>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3.0.3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垃圾全密闭气力输送系统运行模式与制度应与当地垃圾分类制度相协调，并与后续垃圾分类运输环节相衔接。</w:t>
      </w:r>
    </w:p>
    <w:p>
      <w:pPr>
        <w:snapToGrid w:val="0"/>
        <w:spacing w:after="0" w:line="360" w:lineRule="auto"/>
        <w:rPr>
          <w:rFonts w:hint="default" w:cs="Times New Roman"/>
          <w:color w:val="000000" w:themeColor="text1"/>
          <w:sz w:val="21"/>
          <w:szCs w:val="20"/>
          <w:highlight w:val="none"/>
          <w:u w:val="single"/>
          <w:lang w:val="en-US" w:eastAsia="zh-CN"/>
          <w14:textFill>
            <w14:solidFill>
              <w14:schemeClr w14:val="tx1"/>
            </w14:solidFill>
          </w14:textFill>
        </w:rPr>
      </w:pPr>
      <w:r>
        <w:rPr>
          <w:rFonts w:hint="eastAsia" w:cs="Times New Roman"/>
          <w:color w:val="000000" w:themeColor="text1"/>
          <w:sz w:val="21"/>
          <w:szCs w:val="20"/>
          <w:highlight w:val="none"/>
          <w:u w:val="single"/>
          <w:lang w:val="en-US" w:eastAsia="zh-CN"/>
          <w14:textFill>
            <w14:solidFill>
              <w14:schemeClr w14:val="tx1"/>
            </w14:solidFill>
          </w14:textFill>
        </w:rPr>
        <w:t>【条文说明】垃圾全密闭气力输送系统是生活垃圾分类体系的组成部分，是垃圾分类体系的前端环节，应与后续垃圾分类运输环节相衔接。</w:t>
      </w:r>
    </w:p>
    <w:p>
      <w:pPr>
        <w:snapToGrid w:val="0"/>
        <w:spacing w:after="0" w:line="360" w:lineRule="auto"/>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3.0.4</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垃圾全密闭气力输送系统宜采用定时投放、错峰运行模式。</w:t>
      </w:r>
    </w:p>
    <w:p>
      <w:pPr>
        <w:snapToGrid w:val="0"/>
        <w:spacing w:after="0" w:line="360" w:lineRule="auto"/>
        <w:rPr>
          <w:rFonts w:hint="default" w:cs="Times New Roman"/>
          <w:color w:val="000000" w:themeColor="text1"/>
          <w:sz w:val="21"/>
          <w:szCs w:val="20"/>
          <w:highlight w:val="none"/>
          <w:u w:val="single"/>
          <w:lang w:val="en-US" w:eastAsia="zh-CN"/>
          <w14:textFill>
            <w14:solidFill>
              <w14:schemeClr w14:val="tx1"/>
            </w14:solidFill>
          </w14:textFill>
        </w:rPr>
      </w:pPr>
      <w:r>
        <w:rPr>
          <w:rFonts w:hint="eastAsia" w:cs="Times New Roman"/>
          <w:color w:val="000000" w:themeColor="text1"/>
          <w:sz w:val="21"/>
          <w:szCs w:val="20"/>
          <w:highlight w:val="none"/>
          <w:u w:val="single"/>
          <w:lang w:val="en-US" w:eastAsia="zh-CN"/>
          <w14:textFill>
            <w14:solidFill>
              <w14:schemeClr w14:val="tx1"/>
            </w14:solidFill>
          </w14:textFill>
        </w:rPr>
        <w:t>【条文说明】定时投放模式便于运营维护并提高系统运行效率。</w:t>
      </w:r>
    </w:p>
    <w:p>
      <w:pPr>
        <w:snapToGrid w:val="0"/>
        <w:spacing w:after="0" w:line="360" w:lineRule="auto"/>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3.0.5</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下列物品不应投入垃圾全密闭气力输送系统：</w:t>
      </w:r>
    </w:p>
    <w:p>
      <w:pPr>
        <w:snapToGrid w:val="0"/>
        <w:spacing w:after="0" w:line="360" w:lineRule="auto"/>
        <w:ind w:left="0" w:leftChars="0" w:firstLine="441" w:firstLineChars="183"/>
        <w:rPr>
          <w:rFonts w:hint="eastAsia"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易燃易爆物品；</w:t>
      </w:r>
    </w:p>
    <w:p>
      <w:pPr>
        <w:snapToGrid w:val="0"/>
        <w:spacing w:after="0" w:line="360" w:lineRule="auto"/>
        <w:ind w:left="0" w:leftChars="0" w:firstLine="441" w:firstLineChars="183"/>
        <w:rPr>
          <w:rFonts w:hint="eastAsia"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化学药剂；</w:t>
      </w:r>
    </w:p>
    <w:p>
      <w:pPr>
        <w:snapToGrid w:val="0"/>
        <w:spacing w:after="0" w:line="360" w:lineRule="auto"/>
        <w:ind w:left="0" w:leftChars="0" w:firstLine="441" w:firstLineChars="183"/>
        <w:rPr>
          <w:rFonts w:hint="eastAsia"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玻璃、金属等硬质垃圾；</w:t>
      </w:r>
    </w:p>
    <w:p>
      <w:pPr>
        <w:snapToGrid w:val="0"/>
        <w:spacing w:after="0" w:line="360" w:lineRule="auto"/>
        <w:ind w:left="0" w:leftChars="0" w:firstLine="441" w:firstLineChars="183"/>
        <w:rPr>
          <w:rFonts w:hint="eastAsia"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4</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高粘性物质；</w:t>
      </w:r>
    </w:p>
    <w:p>
      <w:pPr>
        <w:snapToGrid w:val="0"/>
        <w:spacing w:after="0" w:line="360" w:lineRule="auto"/>
        <w:ind w:left="0" w:leftChars="0" w:firstLine="441" w:firstLineChars="183"/>
        <w:rPr>
          <w:rFonts w:hint="eastAsia"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5</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体积易膨胀的物品；</w:t>
      </w:r>
    </w:p>
    <w:p>
      <w:pPr>
        <w:snapToGrid w:val="0"/>
        <w:spacing w:after="0" w:line="360" w:lineRule="auto"/>
        <w:ind w:left="0" w:leftChars="0" w:firstLine="441" w:firstLineChars="183"/>
        <w:rPr>
          <w:rFonts w:hint="eastAsia"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6</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塑料泡沫等轻型包装物；</w:t>
      </w:r>
    </w:p>
    <w:p>
      <w:pPr>
        <w:snapToGrid w:val="0"/>
        <w:spacing w:after="0" w:line="360" w:lineRule="auto"/>
        <w:ind w:left="0" w:leftChars="0" w:firstLine="441" w:firstLineChars="183"/>
        <w:rPr>
          <w:rFonts w:hint="eastAsia"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7</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易缠绕物品；</w:t>
      </w:r>
    </w:p>
    <w:p>
      <w:pPr>
        <w:snapToGrid w:val="0"/>
        <w:spacing w:after="0" w:line="360" w:lineRule="auto"/>
        <w:ind w:left="0" w:leftChars="0" w:firstLine="441" w:firstLineChars="183"/>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8</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装修垃圾、园林垃圾等大件物品。</w:t>
      </w:r>
    </w:p>
    <w:p>
      <w:pPr>
        <w:snapToGrid w:val="0"/>
        <w:spacing w:after="0" w:line="360" w:lineRule="auto"/>
        <w:rPr>
          <w:rFonts w:hint="default" w:cs="Times New Roman"/>
          <w:color w:val="000000" w:themeColor="text1"/>
          <w:sz w:val="21"/>
          <w:szCs w:val="20"/>
          <w:highlight w:val="none"/>
          <w:u w:val="single"/>
          <w:lang w:val="en-US" w:eastAsia="zh-CN"/>
          <w14:textFill>
            <w14:solidFill>
              <w14:schemeClr w14:val="tx1"/>
            </w14:solidFill>
          </w14:textFill>
        </w:rPr>
      </w:pPr>
      <w:r>
        <w:rPr>
          <w:rFonts w:hint="eastAsia" w:cs="Times New Roman"/>
          <w:color w:val="000000" w:themeColor="text1"/>
          <w:sz w:val="21"/>
          <w:szCs w:val="20"/>
          <w:highlight w:val="none"/>
          <w:u w:val="single"/>
          <w:lang w:val="en-US" w:eastAsia="zh-CN"/>
          <w14:textFill>
            <w14:solidFill>
              <w14:schemeClr w14:val="tx1"/>
            </w14:solidFill>
          </w14:textFill>
        </w:rPr>
        <w:t>【条文说明】为了保障系统使用的耐久性和安全性，本条列举了严禁投入垃圾全密闭气力输送系统的物品。</w:t>
      </w:r>
    </w:p>
    <w:p>
      <w:pPr>
        <w:rPr>
          <w:rFonts w:hint="default"/>
          <w:lang w:val="en-US" w:eastAsia="zh-CN"/>
        </w:rPr>
      </w:pPr>
      <w:r>
        <w:rPr>
          <w:rFonts w:hint="eastAsia" w:cs="Times New Roman"/>
          <w:b/>
          <w:color w:val="000000" w:themeColor="text1"/>
          <w:sz w:val="24"/>
          <w:highlight w:val="none"/>
          <w:lang w:val="en-US" w:eastAsia="zh-CN"/>
          <w14:textFill>
            <w14:solidFill>
              <w14:schemeClr w14:val="tx1"/>
            </w14:solidFill>
          </w14:textFill>
        </w:rPr>
        <w:t>3.0.6</w:t>
      </w:r>
      <w:r>
        <w:rPr>
          <w:rFonts w:cs="Times New Roman"/>
          <w:color w:val="000000" w:themeColor="text1"/>
          <w:sz w:val="24"/>
          <w:highlight w:val="none"/>
          <w14:textFill>
            <w14:solidFill>
              <w14:schemeClr w14:val="tx1"/>
            </w14:solidFill>
          </w14:textFill>
        </w:rPr>
        <w:t>　</w:t>
      </w:r>
      <w:r>
        <w:rPr>
          <w:rFonts w:hint="default" w:cs="Times New Roman"/>
          <w:color w:val="000000" w:themeColor="text1"/>
          <w:sz w:val="24"/>
          <w:highlight w:val="none"/>
          <w:lang w:val="en-US" w:eastAsia="zh-CN"/>
          <w14:textFill>
            <w14:solidFill>
              <w14:schemeClr w14:val="tx1"/>
            </w14:solidFill>
          </w14:textFill>
        </w:rPr>
        <w:t>管道材料、应根据设计温度、设计压力和介质特殊要求等设计条件，以及材料加工工艺性能、焊接性能和经济合理性等选用</w:t>
      </w:r>
      <w:r>
        <w:rPr>
          <w:rFonts w:hint="eastAsia" w:cs="Times New Roman"/>
          <w:color w:val="000000" w:themeColor="text1"/>
          <w:sz w:val="24"/>
          <w:highlight w:val="none"/>
          <w:lang w:val="en-US"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260" w:lineRule="auto"/>
        <w:ind w:leftChars="0"/>
        <w:textAlignment w:val="auto"/>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3.0.7</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垃圾全密闭气力输送系统应设置检测系统、自动化系统和信息化系统，检测和控制系统宜兼顾现有、新建和规划的要求。</w:t>
      </w:r>
    </w:p>
    <w:p>
      <w:pPr>
        <w:keepNext w:val="0"/>
        <w:keepLines w:val="0"/>
        <w:pageBreakBefore w:val="0"/>
        <w:widowControl/>
        <w:numPr>
          <w:ilvl w:val="0"/>
          <w:numId w:val="0"/>
        </w:numPr>
        <w:kinsoku/>
        <w:wordWrap/>
        <w:overflowPunct/>
        <w:topLinePunct w:val="0"/>
        <w:autoSpaceDE/>
        <w:autoSpaceDN/>
        <w:bidi w:val="0"/>
        <w:adjustRightInd/>
        <w:snapToGrid/>
        <w:spacing w:line="260" w:lineRule="auto"/>
        <w:ind w:leftChars="0"/>
        <w:textAlignment w:val="auto"/>
        <w:rPr>
          <w:rFonts w:hint="default"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3.0.8</w:t>
      </w:r>
      <w:r>
        <w:rPr>
          <w:rFonts w:cs="Times New Roman"/>
          <w:color w:val="000000" w:themeColor="text1"/>
          <w:sz w:val="24"/>
          <w:highlight w:val="none"/>
          <w14:textFill>
            <w14:solidFill>
              <w14:schemeClr w14:val="tx1"/>
            </w14:solidFill>
          </w14:textFill>
        </w:rPr>
        <w:t>　</w:t>
      </w:r>
      <w:r>
        <w:rPr>
          <w:rFonts w:hint="default" w:cs="Times New Roman"/>
          <w:color w:val="000000" w:themeColor="text1"/>
          <w:sz w:val="24"/>
          <w:highlight w:val="none"/>
          <w:lang w:val="en-US" w:eastAsia="zh-CN"/>
          <w14:textFill>
            <w14:solidFill>
              <w14:schemeClr w14:val="tx1"/>
            </w14:solidFill>
          </w14:textFill>
        </w:rPr>
        <w:t>采用未形成国家或行业标准的新材料时，应经过适当级别的技术鉴定，并根据设计条件核对材料的各项性能指标。</w:t>
      </w:r>
    </w:p>
    <w:p>
      <w:pPr>
        <w:snapToGrid w:val="0"/>
        <w:spacing w:after="0" w:line="360" w:lineRule="auto"/>
        <w:rPr>
          <w:rFonts w:hint="default"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3.0.9</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所有设备设施应设置标志牌，</w:t>
      </w:r>
      <w:r>
        <w:rPr>
          <w:rFonts w:hint="eastAsia" w:cs="Times New Roman"/>
          <w:color w:val="000000" w:themeColor="text1"/>
          <w:sz w:val="24"/>
          <w:highlight w:val="none"/>
          <w14:textFill>
            <w14:solidFill>
              <w14:schemeClr w14:val="tx1"/>
            </w14:solidFill>
          </w14:textFill>
        </w:rPr>
        <w:t>垃圾分类收集容器的类别标志应符合国家现行标准《生活垃圾分类标志》GB/T 19095的有关规定。</w:t>
      </w:r>
    </w:p>
    <w:p>
      <w:pPr>
        <w:jc w:val="left"/>
        <w:rPr>
          <w:rFonts w:cs="Times New Roman"/>
          <w:color w:val="000000" w:themeColor="text1"/>
          <w:highlight w:val="none"/>
          <w14:textFill>
            <w14:solidFill>
              <w14:schemeClr w14:val="tx1"/>
            </w14:solidFill>
          </w14:textFill>
        </w:rPr>
      </w:pPr>
      <w:bookmarkStart w:id="64" w:name="_Toc12354315"/>
      <w:bookmarkStart w:id="65" w:name="_Toc6839355"/>
      <w:bookmarkStart w:id="66" w:name="_Toc6920053"/>
      <w:bookmarkStart w:id="67" w:name="_Toc13473429"/>
      <w:bookmarkStart w:id="68" w:name="_Toc10014466"/>
      <w:bookmarkStart w:id="69" w:name="_Toc13746272"/>
      <w:bookmarkStart w:id="70" w:name="_Toc13821480"/>
      <w:bookmarkStart w:id="71" w:name="_Toc6824116"/>
      <w:r>
        <w:rPr>
          <w:rFonts w:cs="Times New Roman"/>
          <w:color w:val="000000" w:themeColor="text1"/>
          <w:highlight w:val="none"/>
          <w14:textFill>
            <w14:solidFill>
              <w14:schemeClr w14:val="tx1"/>
            </w14:solidFill>
          </w14:textFill>
        </w:rPr>
        <w:br w:type="page"/>
      </w:r>
    </w:p>
    <w:p>
      <w:pPr>
        <w:pStyle w:val="2"/>
        <w:bidi w:val="0"/>
        <w:rPr>
          <w:rFonts w:hint="default"/>
          <w:lang w:val="en-US" w:eastAsia="zh-CN"/>
        </w:rPr>
      </w:pPr>
      <w:bookmarkStart w:id="72" w:name="_Toc12512"/>
      <w:bookmarkStart w:id="73" w:name="_Toc6911"/>
      <w:bookmarkStart w:id="74" w:name="_Toc28959"/>
      <w:bookmarkStart w:id="75" w:name="_Toc37455223"/>
      <w:bookmarkStart w:id="76" w:name="_Toc22915"/>
      <w:bookmarkStart w:id="77" w:name="_Toc36894572"/>
      <w:bookmarkStart w:id="78" w:name="_Toc37506842"/>
      <w:r>
        <w:rPr>
          <w:rFonts w:hint="eastAsia"/>
          <w:lang w:val="en-US" w:eastAsia="zh-CN"/>
        </w:rPr>
        <w:t>4</w:t>
      </w:r>
      <w:r>
        <w:rPr>
          <w:rFonts w:cs="Times New Roman"/>
          <w:color w:val="000000" w:themeColor="text1"/>
          <w:sz w:val="24"/>
          <w:highlight w:val="none"/>
          <w14:textFill>
            <w14:solidFill>
              <w14:schemeClr w14:val="tx1"/>
            </w14:solidFill>
          </w14:textFill>
        </w:rPr>
        <w:t>　</w:t>
      </w:r>
      <w:r>
        <w:rPr>
          <w:rFonts w:hint="eastAsia"/>
          <w:lang w:val="en-US" w:eastAsia="zh-CN"/>
        </w:rPr>
        <w:t>投放系统</w:t>
      </w:r>
      <w:bookmarkEnd w:id="72"/>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4.0.1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垃圾投放口外观应美观、卫生，并应防腐、耐用、阻燃、抗老化，设置种类和设置位置应满足垃圾分类需求和使用要求。</w:t>
      </w:r>
    </w:p>
    <w:p>
      <w:pPr>
        <w:rPr>
          <w:rFonts w:hint="eastAsia" w:cs="Times New Roman"/>
          <w:color w:val="000000" w:themeColor="text1"/>
          <w:sz w:val="21"/>
          <w:szCs w:val="20"/>
          <w:highlight w:val="none"/>
          <w:u w:val="single"/>
          <w:lang w:val="en-US" w:eastAsia="zh-CN"/>
          <w14:textFill>
            <w14:solidFill>
              <w14:schemeClr w14:val="tx1"/>
            </w14:solidFill>
          </w14:textFill>
        </w:rPr>
      </w:pPr>
      <w:r>
        <w:rPr>
          <w:rFonts w:hint="eastAsia" w:cs="Times New Roman"/>
          <w:color w:val="000000" w:themeColor="text1"/>
          <w:sz w:val="21"/>
          <w:szCs w:val="20"/>
          <w:highlight w:val="none"/>
          <w:u w:val="single"/>
          <w:lang w:val="en-US" w:eastAsia="zh-CN"/>
          <w14:textFill>
            <w14:solidFill>
              <w14:schemeClr w14:val="tx1"/>
            </w14:solidFill>
          </w14:textFill>
        </w:rPr>
        <w:t>【条文说明】垃圾全密闭气力输送系统的运行模式可分为分管道收集、定时收集等两种措施，若分管道收集需按需要分别设置垃圾投放口。垃圾投放口只能按规定投入厨余垃圾或其他垃圾。</w:t>
      </w:r>
    </w:p>
    <w:p>
      <w:pPr>
        <w:rPr>
          <w:rFonts w:hint="default" w:cs="Times New Roman"/>
          <w:color w:val="000000" w:themeColor="text1"/>
          <w:sz w:val="21"/>
          <w:szCs w:val="20"/>
          <w:highlight w:val="none"/>
          <w:u w:val="single"/>
          <w:lang w:val="en-US" w:eastAsia="zh-CN"/>
          <w14:textFill>
            <w14:solidFill>
              <w14:schemeClr w14:val="tx1"/>
            </w14:solidFill>
          </w14:textFill>
        </w:rPr>
      </w:pPr>
      <w:r>
        <w:rPr>
          <w:rFonts w:hint="eastAsia" w:cs="Times New Roman"/>
          <w:color w:val="000000" w:themeColor="text1"/>
          <w:sz w:val="21"/>
          <w:szCs w:val="20"/>
          <w:highlight w:val="none"/>
          <w:u w:val="single"/>
          <w:lang w:val="en-US" w:eastAsia="zh-CN"/>
          <w14:textFill>
            <w14:solidFill>
              <w14:schemeClr w14:val="tx1"/>
            </w14:solidFill>
          </w14:textFill>
        </w:rPr>
        <w:t>垃圾投放口宜采用304不锈钢的材质。</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4.0.2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多层及小高层居住建筑可仅设室外垃圾投放口，高层可根据设计需求设置室内垃圾投放口和室外垃圾投放口。</w:t>
      </w:r>
    </w:p>
    <w:p>
      <w:pPr>
        <w:rPr>
          <w:rFonts w:hint="default" w:cs="Times New Roman"/>
          <w:color w:val="000000" w:themeColor="text1"/>
          <w:sz w:val="21"/>
          <w:szCs w:val="20"/>
          <w:highlight w:val="none"/>
          <w:u w:val="single"/>
          <w:lang w:val="en-US" w:eastAsia="zh-CN"/>
          <w14:textFill>
            <w14:solidFill>
              <w14:schemeClr w14:val="tx1"/>
            </w14:solidFill>
          </w14:textFill>
        </w:rPr>
      </w:pPr>
      <w:r>
        <w:rPr>
          <w:rFonts w:hint="eastAsia" w:cs="Times New Roman"/>
          <w:color w:val="000000" w:themeColor="text1"/>
          <w:sz w:val="21"/>
          <w:szCs w:val="20"/>
          <w:highlight w:val="none"/>
          <w:u w:val="single"/>
          <w:lang w:val="en-US" w:eastAsia="zh-CN"/>
          <w14:textFill>
            <w14:solidFill>
              <w14:schemeClr w14:val="tx1"/>
            </w14:solidFill>
          </w14:textFill>
        </w:rPr>
        <w:t>【条文说明】对于6层及以下的多层和小高层，可仅在室外单元入口处设置垃圾投放口。。</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4.0.3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室内垃圾投放口根据设计需求，可设置于住宅每个楼层的公共区域、住宅厨房和商业室内。</w:t>
      </w:r>
    </w:p>
    <w:p>
      <w:pPr>
        <w:snapToGrid w:val="0"/>
        <w:spacing w:after="0" w:line="360" w:lineRule="auto"/>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4.0.4</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室外垃圾投放口宜设置在公共设施、广场等出入口附近，行人道每隔400m宜设置一个室外垃圾投放口。</w:t>
      </w:r>
    </w:p>
    <w:p>
      <w:pPr>
        <w:snapToGrid w:val="0"/>
        <w:spacing w:after="0" w:line="360" w:lineRule="auto"/>
        <w:rPr>
          <w:rFonts w:hint="default"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4.0.5</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居住类建筑室外垃圾投放口的设置应满足下列要求：</w:t>
      </w:r>
    </w:p>
    <w:p>
      <w:pPr>
        <w:ind w:firstLine="482" w:firstLineChars="200"/>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根据居住小区的大小、体量，合理设置室外垃圾投放口；</w:t>
      </w:r>
    </w:p>
    <w:p>
      <w:pPr>
        <w:ind w:firstLine="482" w:firstLineChars="200"/>
        <w:rPr>
          <w:rFonts w:hint="default"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一个室外垃圾投放口的服务范围可为150~200户；当单栋户数超过200户的住宅楼可每栋设置1处室外垃圾投放口；</w:t>
      </w:r>
    </w:p>
    <w:p>
      <w:pPr>
        <w:ind w:firstLine="482" w:firstLineChars="200"/>
        <w:rPr>
          <w:rFonts w:hint="eastAsia"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室外投放口应安装自动闭锁措施，在系统运行时应自动锁定。</w:t>
      </w:r>
    </w:p>
    <w:p>
      <w:pPr>
        <w:ind w:left="0" w:leftChars="0" w:firstLine="0" w:firstLineChars="0"/>
        <w:rPr>
          <w:rFonts w:hint="default" w:cs="Times New Roman"/>
          <w:color w:val="000000" w:themeColor="text1"/>
          <w:sz w:val="21"/>
          <w:szCs w:val="20"/>
          <w:highlight w:val="none"/>
          <w:u w:val="single"/>
          <w:lang w:val="en-US" w:eastAsia="zh-CN"/>
          <w14:textFill>
            <w14:solidFill>
              <w14:schemeClr w14:val="tx1"/>
            </w14:solidFill>
          </w14:textFill>
        </w:rPr>
      </w:pPr>
      <w:r>
        <w:rPr>
          <w:rFonts w:hint="eastAsia" w:cs="Times New Roman"/>
          <w:color w:val="000000" w:themeColor="text1"/>
          <w:sz w:val="21"/>
          <w:szCs w:val="20"/>
          <w:highlight w:val="none"/>
          <w:u w:val="single"/>
          <w:lang w:val="en-US" w:eastAsia="zh-CN"/>
          <w14:textFill>
            <w14:solidFill>
              <w14:schemeClr w14:val="tx1"/>
            </w14:solidFill>
          </w14:textFill>
        </w:rPr>
        <w:t>【条文说明】通过设置垃圾投放口自动闭锁措施，以确保非投放时段投放口不被开启，并兼有安全与卫生功能。</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4.0.6</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垃圾投放口宜具有自动计量、计次功能。</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4.0.7</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垃圾投放口的尺寸应满足下列要求：</w:t>
      </w:r>
    </w:p>
    <w:p>
      <w:pPr>
        <w:ind w:firstLine="482" w:firstLineChars="200"/>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住宅室内垃圾投放口的尺寸应为250×350 mm；</w:t>
      </w:r>
    </w:p>
    <w:p>
      <w:pPr>
        <w:ind w:firstLine="482" w:firstLineChars="200"/>
        <w:rPr>
          <w:rFonts w:hint="eastAsia"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商用室内垃圾投放口的尺寸应为400×400 mm；</w:t>
      </w:r>
    </w:p>
    <w:p>
      <w:pPr>
        <w:ind w:firstLine="482" w:firstLineChars="200"/>
        <w:rPr>
          <w:rFonts w:hint="eastAsia"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室外垃圾投放口</w:t>
      </w:r>
      <w:r>
        <w:rPr>
          <w:rFonts w:hint="eastAsia" w:cs="Times New Roman"/>
          <w:color w:val="000000" w:themeColor="text1"/>
          <w:sz w:val="24"/>
          <w:highlight w:val="none"/>
          <w:lang w:eastAsia="zh-CN"/>
          <w14:textFill>
            <w14:solidFill>
              <w14:schemeClr w14:val="tx1"/>
            </w14:solidFill>
          </w14:textFill>
        </w:rPr>
        <w:t>的</w:t>
      </w:r>
      <w:r>
        <w:rPr>
          <w:rFonts w:hint="eastAsia" w:cs="Times New Roman"/>
          <w:color w:val="000000" w:themeColor="text1"/>
          <w:sz w:val="24"/>
          <w:highlight w:val="none"/>
          <w:lang w:val="en-US" w:eastAsia="zh-CN"/>
          <w14:textFill>
            <w14:solidFill>
              <w14:schemeClr w14:val="tx1"/>
            </w14:solidFill>
          </w14:textFill>
        </w:rPr>
        <w:t>尺寸应</w:t>
      </w:r>
      <w:r>
        <w:rPr>
          <w:rFonts w:hint="eastAsia" w:cs="Times New Roman"/>
          <w:color w:val="000000" w:themeColor="text1"/>
          <w:sz w:val="24"/>
          <w:highlight w:val="none"/>
          <w14:textFill>
            <w14:solidFill>
              <w14:schemeClr w14:val="tx1"/>
            </w14:solidFill>
          </w14:textFill>
        </w:rPr>
        <w:t>为350mm×440mm</w:t>
      </w:r>
      <w:r>
        <w:rPr>
          <w:rFonts w:hint="eastAsia" w:cs="Times New Roman"/>
          <w:color w:val="000000" w:themeColor="text1"/>
          <w:sz w:val="24"/>
          <w:highlight w:val="none"/>
          <w:lang w:val="en-US" w:eastAsia="zh-CN"/>
          <w14:textFill>
            <w14:solidFill>
              <w14:schemeClr w14:val="tx1"/>
            </w14:solidFill>
          </w14:textFill>
        </w:rPr>
        <w:t>。</w:t>
      </w:r>
    </w:p>
    <w:p>
      <w:pPr>
        <w:ind w:left="0" w:leftChars="0" w:firstLine="0" w:firstLineChars="0"/>
        <w:rPr>
          <w:rFonts w:hint="eastAsia" w:cs="Times New Roman"/>
          <w:color w:val="000000" w:themeColor="text1"/>
          <w:sz w:val="24"/>
          <w:highlight w:val="none"/>
          <w:lang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4.0.8</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垃圾投放口应设置</w:t>
      </w:r>
      <w:r>
        <w:rPr>
          <w:rFonts w:hint="eastAsia" w:cs="Times New Roman"/>
          <w:color w:val="000000" w:themeColor="text1"/>
          <w:sz w:val="24"/>
          <w:highlight w:val="none"/>
          <w14:textFill>
            <w14:solidFill>
              <w14:schemeClr w14:val="tx1"/>
            </w14:solidFill>
          </w14:textFill>
        </w:rPr>
        <w:t>指示灯</w:t>
      </w:r>
      <w:r>
        <w:rPr>
          <w:rFonts w:hint="eastAsia" w:cs="Times New Roman"/>
          <w:color w:val="000000" w:themeColor="text1"/>
          <w:sz w:val="24"/>
          <w:highlight w:val="none"/>
          <w:lang w:eastAsia="zh-CN"/>
          <w14:textFill>
            <w14:solidFill>
              <w14:schemeClr w14:val="tx1"/>
            </w14:solidFill>
          </w14:textFill>
        </w:rPr>
        <w:t>。</w:t>
      </w:r>
    </w:p>
    <w:p>
      <w:pPr>
        <w:ind w:left="0" w:leftChars="0" w:firstLine="0" w:firstLineChars="0"/>
        <w:rPr>
          <w:rFonts w:hint="default" w:cs="Times New Roman"/>
          <w:color w:val="000000" w:themeColor="text1"/>
          <w:sz w:val="21"/>
          <w:szCs w:val="20"/>
          <w:highlight w:val="none"/>
          <w:u w:val="single"/>
          <w:lang w:val="en-US" w:eastAsia="zh-CN"/>
          <w14:textFill>
            <w14:solidFill>
              <w14:schemeClr w14:val="tx1"/>
            </w14:solidFill>
          </w14:textFill>
        </w:rPr>
      </w:pPr>
      <w:r>
        <w:rPr>
          <w:rFonts w:hint="eastAsia" w:cs="Times New Roman"/>
          <w:color w:val="000000" w:themeColor="text1"/>
          <w:sz w:val="21"/>
          <w:szCs w:val="20"/>
          <w:highlight w:val="none"/>
          <w:u w:val="single"/>
          <w:lang w:val="en-US" w:eastAsia="zh-CN"/>
          <w14:textFill>
            <w14:solidFill>
              <w14:schemeClr w14:val="tx1"/>
            </w14:solidFill>
          </w14:textFill>
        </w:rPr>
        <w:t>【条文说明】进气道的作用在于当排放阀开启后，垃圾可以在重力和气流的共同作用下，迅速掉入底部、进入水平输送管道从而被抽吸走。可防止垃圾在管道中堵塞。</w:t>
      </w:r>
    </w:p>
    <w:p>
      <w:pPr>
        <w:ind w:left="0" w:leftChars="0" w:firstLine="0" w:firstLineChars="0"/>
        <w:rPr>
          <w:rFonts w:hint="default"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4.0.9</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垃圾投放口应根据使用需求设置自动控制和手动操作两种开启方式。</w:t>
      </w:r>
    </w:p>
    <w:p>
      <w:pPr>
        <w:snapToGrid w:val="0"/>
        <w:spacing w:after="0" w:line="360" w:lineRule="auto"/>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4.0.10</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eastAsia="zh-CN"/>
          <w14:textFill>
            <w14:solidFill>
              <w14:schemeClr w14:val="tx1"/>
            </w14:solidFill>
          </w14:textFill>
        </w:rPr>
        <w:t>在</w:t>
      </w:r>
      <w:r>
        <w:rPr>
          <w:rFonts w:hint="eastAsia" w:cs="Times New Roman"/>
          <w:color w:val="000000" w:themeColor="text1"/>
          <w:sz w:val="24"/>
          <w:highlight w:val="none"/>
          <w:lang w:val="en-US" w:eastAsia="zh-CN"/>
          <w14:textFill>
            <w14:solidFill>
              <w14:schemeClr w14:val="tx1"/>
            </w14:solidFill>
          </w14:textFill>
        </w:rPr>
        <w:t>停电或底部储存节为存满状态下，投放口应处于关闭状态且不可开启，并应提示。</w:t>
      </w:r>
    </w:p>
    <w:p>
      <w:pPr>
        <w:ind w:left="0" w:leftChars="0" w:firstLine="0" w:firstLineChars="0"/>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4.0.11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投放口外壁应均匀布置3个进气道，并与进气阀连接。</w:t>
      </w:r>
    </w:p>
    <w:p>
      <w:pPr>
        <w:snapToGrid w:val="0"/>
        <w:spacing w:after="0" w:line="360" w:lineRule="auto"/>
        <w:rPr>
          <w:rFonts w:hint="default"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4.0.12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顶阀应与排放阀联动工作，当排放阀开启时顶阀应处于关闭状态。</w:t>
      </w:r>
    </w:p>
    <w:p>
      <w:pPr>
        <w:snapToGrid w:val="0"/>
        <w:spacing w:after="0" w:line="360" w:lineRule="auto"/>
        <w:rPr>
          <w:rFonts w:hint="default" w:cs="Times New Roman"/>
          <w:color w:val="000000" w:themeColor="text1"/>
          <w:sz w:val="24"/>
          <w:highlight w:val="none"/>
          <w:lang w:val="en-US" w:eastAsia="zh-CN"/>
          <w14:textFill>
            <w14:solidFill>
              <w14:schemeClr w14:val="tx1"/>
            </w14:solidFill>
          </w14:textFill>
        </w:rPr>
      </w:pPr>
      <w:r>
        <w:rPr>
          <w:rFonts w:hint="eastAsia" w:cs="Times New Roman"/>
          <w:color w:val="000000" w:themeColor="text1"/>
          <w:sz w:val="21"/>
          <w:szCs w:val="20"/>
          <w:highlight w:val="none"/>
          <w:u w:val="single"/>
          <w:lang w:val="en-US" w:eastAsia="zh-CN"/>
          <w14:textFill>
            <w14:solidFill>
              <w14:schemeClr w14:val="tx1"/>
            </w14:solidFill>
          </w14:textFill>
        </w:rPr>
        <w:t>【条文说明】顶阀的设置是为了保障在排气阀开启的时候使用者打开投放口投放垃圾时，避免强烈气流造成人身伤害。</w:t>
      </w:r>
    </w:p>
    <w:p>
      <w:pPr>
        <w:snapToGrid w:val="0"/>
        <w:spacing w:after="0" w:line="360" w:lineRule="auto"/>
        <w:rPr>
          <w:rFonts w:hint="eastAsia"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4.0.13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储存节应根据服务人数确定其容积，竖直管道上的存储节应倾斜设置。</w:t>
      </w:r>
    </w:p>
    <w:p>
      <w:pPr>
        <w:snapToGrid w:val="0"/>
        <w:spacing w:after="0" w:line="360" w:lineRule="auto"/>
        <w:rPr>
          <w:rFonts w:hint="default" w:cs="Times New Roman"/>
          <w:color w:val="000000" w:themeColor="text1"/>
          <w:sz w:val="21"/>
          <w:szCs w:val="20"/>
          <w:highlight w:val="none"/>
          <w:u w:val="single"/>
          <w:lang w:val="en-US" w:eastAsia="zh-CN"/>
          <w14:textFill>
            <w14:solidFill>
              <w14:schemeClr w14:val="tx1"/>
            </w14:solidFill>
          </w14:textFill>
        </w:rPr>
      </w:pPr>
      <w:r>
        <w:rPr>
          <w:rFonts w:hint="eastAsia" w:cs="Times New Roman"/>
          <w:color w:val="000000" w:themeColor="text1"/>
          <w:sz w:val="21"/>
          <w:szCs w:val="20"/>
          <w:highlight w:val="none"/>
          <w:u w:val="single"/>
          <w:lang w:val="en-US" w:eastAsia="zh-CN"/>
          <w14:textFill>
            <w14:solidFill>
              <w14:schemeClr w14:val="tx1"/>
            </w14:solidFill>
          </w14:textFill>
        </w:rPr>
        <w:t>【条文说明】存储节倾斜设置，可在垃圾在垂直掉落时起到缓冲作用，防止垃圾对底部排放阀的直接冲击，影响排放阀的密封性和使用寿命。</w:t>
      </w:r>
    </w:p>
    <w:p>
      <w:pPr>
        <w:snapToGrid w:val="0"/>
        <w:spacing w:after="0" w:line="360" w:lineRule="auto"/>
        <w:rPr>
          <w:rFonts w:hint="eastAsia"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4.0.14</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储存节应设置物位传感器，当存储节中的垃圾已满或达到预设抽吸时间时，应由控制系统控制排放阀的开启。</w:t>
      </w:r>
    </w:p>
    <w:p>
      <w:pPr>
        <w:snapToGrid w:val="0"/>
        <w:spacing w:after="0" w:line="360" w:lineRule="auto"/>
        <w:rPr>
          <w:rFonts w:hint="default" w:cs="Times New Roman"/>
          <w:color w:val="000000" w:themeColor="text1"/>
          <w:sz w:val="21"/>
          <w:szCs w:val="20"/>
          <w:highlight w:val="none"/>
          <w:u w:val="single"/>
          <w:lang w:val="en-US" w:eastAsia="zh-CN"/>
          <w14:textFill>
            <w14:solidFill>
              <w14:schemeClr w14:val="tx1"/>
            </w14:solidFill>
          </w14:textFill>
        </w:rPr>
      </w:pPr>
      <w:r>
        <w:rPr>
          <w:rFonts w:hint="eastAsia" w:cs="Times New Roman"/>
          <w:color w:val="000000" w:themeColor="text1"/>
          <w:sz w:val="21"/>
          <w:szCs w:val="20"/>
          <w:highlight w:val="none"/>
          <w:u w:val="single"/>
          <w:lang w:val="en-US" w:eastAsia="zh-CN"/>
          <w14:textFill>
            <w14:solidFill>
              <w14:schemeClr w14:val="tx1"/>
            </w14:solidFill>
          </w14:textFill>
        </w:rPr>
        <w:t>【条文说明】储存节的高、低位均应设置物料传感器，用于及时掌握储存节内的垃圾量。储存节是管道系统中的关键部件，应定期检查其运行状态、传感器的灵敏度等。</w:t>
      </w:r>
    </w:p>
    <w:p>
      <w:pPr>
        <w:snapToGrid w:val="0"/>
        <w:spacing w:after="0" w:line="360" w:lineRule="auto"/>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4.0.15</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系统运行过程中有且仅有一个排放阀打开</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4.0.16</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排放阀每次开启的时间不宜超过10s。</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4.0.17</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垃圾投放口旁应张贴垃圾投放说明及操作注意事项，且应有醒目的垃圾分类投放标识标志。</w:t>
      </w:r>
    </w:p>
    <w:p>
      <w:pPr>
        <w:rPr>
          <w:rFonts w:hint="default" w:cs="Times New Roman"/>
          <w:color w:val="000000" w:themeColor="text1"/>
          <w:sz w:val="21"/>
          <w:szCs w:val="20"/>
          <w:highlight w:val="none"/>
          <w:u w:val="single"/>
          <w:lang w:val="en-US" w:eastAsia="zh-CN"/>
          <w14:textFill>
            <w14:solidFill>
              <w14:schemeClr w14:val="tx1"/>
            </w14:solidFill>
          </w14:textFill>
        </w:rPr>
      </w:pPr>
    </w:p>
    <w:p>
      <w:pPr>
        <w:rPr>
          <w:rFonts w:hint="default"/>
          <w:lang w:val="en-US" w:eastAsia="zh-CN"/>
        </w:rPr>
      </w:pPr>
    </w:p>
    <w:p>
      <w:pPr>
        <w:rPr>
          <w:rFonts w:hint="default"/>
          <w:lang w:val="en-US" w:eastAsia="zh-CN"/>
        </w:rPr>
        <w:sectPr>
          <w:headerReference r:id="rId10" w:type="default"/>
          <w:footerReference r:id="rId11" w:type="default"/>
          <w:pgSz w:w="11906" w:h="16838"/>
          <w:pgMar w:top="1440" w:right="1558" w:bottom="1440" w:left="1560" w:header="851" w:footer="439" w:gutter="0"/>
          <w:pgNumType w:fmt="decimal" w:start="1"/>
          <w:cols w:space="720" w:num="1"/>
          <w:docGrid w:type="lines" w:linePitch="326" w:charSpace="0"/>
        </w:sectPr>
      </w:pPr>
    </w:p>
    <w:p>
      <w:pPr>
        <w:pStyle w:val="2"/>
        <w:bidi w:val="0"/>
        <w:rPr>
          <w:rFonts w:hint="eastAsia"/>
          <w:lang w:val="en-US" w:eastAsia="zh-CN"/>
        </w:rPr>
      </w:pPr>
      <w:bookmarkStart w:id="79" w:name="_Toc8586"/>
      <w:r>
        <w:rPr>
          <w:rFonts w:hint="eastAsia" w:ascii="Times New Roman" w:hAnsi="Times New Roman" w:eastAsia="黑体" w:cs="Times New Roman"/>
          <w:b/>
          <w:color w:val="000000" w:themeColor="text1"/>
          <w:sz w:val="28"/>
          <w:szCs w:val="28"/>
          <w:highlight w:val="none"/>
          <w:lang w:val="en-US" w:eastAsia="zh-CN" w:bidi="ar-SA"/>
          <w14:textFill>
            <w14:solidFill>
              <w14:schemeClr w14:val="tx1"/>
            </w14:solidFill>
          </w14:textFill>
        </w:rPr>
        <w:t>5</w:t>
      </w:r>
      <w:r>
        <w:rPr>
          <w:rFonts w:ascii="Times New Roman" w:hAnsi="Times New Roman"/>
          <w:highlight w:val="none"/>
        </w:rPr>
        <w:t>　</w:t>
      </w:r>
      <w:r>
        <w:rPr>
          <w:rFonts w:hint="eastAsia"/>
          <w:lang w:val="en-US" w:eastAsia="zh-CN"/>
        </w:rPr>
        <w:t>管道输送系统</w:t>
      </w:r>
      <w:bookmarkEnd w:id="79"/>
    </w:p>
    <w:p>
      <w:pPr>
        <w:pStyle w:val="3"/>
        <w:rPr>
          <w:rFonts w:hint="eastAsia" w:ascii="Times New Roman" w:hAnsi="Times New Roman"/>
          <w:highlight w:val="none"/>
          <w:lang w:val="en-US" w:eastAsia="zh-CN"/>
        </w:rPr>
      </w:pPr>
      <w:bookmarkStart w:id="80" w:name="_Toc20462"/>
      <w:r>
        <w:rPr>
          <w:rFonts w:hint="eastAsia" w:ascii="Times New Roman" w:hAnsi="Times New Roman"/>
          <w:b/>
          <w:highlight w:val="none"/>
          <w:lang w:val="en-US" w:eastAsia="zh-CN"/>
        </w:rPr>
        <w:t>5</w:t>
      </w:r>
      <w:r>
        <w:rPr>
          <w:rFonts w:ascii="Times New Roman" w:hAnsi="Times New Roman"/>
          <w:b/>
          <w:highlight w:val="none"/>
        </w:rPr>
        <w:t>.1</w:t>
      </w:r>
      <w:r>
        <w:rPr>
          <w:rFonts w:ascii="Times New Roman" w:hAnsi="Times New Roman"/>
          <w:highlight w:val="none"/>
        </w:rPr>
        <w:t>　</w:t>
      </w:r>
      <w:r>
        <w:rPr>
          <w:rFonts w:hint="eastAsia" w:ascii="Times New Roman" w:hAnsi="Times New Roman"/>
          <w:highlight w:val="none"/>
          <w:lang w:val="en-US" w:eastAsia="zh-CN"/>
        </w:rPr>
        <w:t>一般规定</w:t>
      </w:r>
      <w:bookmarkEnd w:id="80"/>
    </w:p>
    <w:p>
      <w:pPr>
        <w:rPr>
          <w:rFonts w:hint="default"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5.1.1</w:t>
      </w:r>
      <w:r>
        <w:rPr>
          <w:rFonts w:cs="Times New Roman"/>
          <w:color w:val="000000" w:themeColor="text1"/>
          <w:sz w:val="24"/>
          <w:highlight w:val="none"/>
          <w14:textFill>
            <w14:solidFill>
              <w14:schemeClr w14:val="tx1"/>
            </w14:solidFill>
          </w14:textFill>
        </w:rPr>
        <w:t>　</w:t>
      </w:r>
      <w:r>
        <w:rPr>
          <w:rFonts w:hint="default" w:cs="Times New Roman"/>
          <w:color w:val="000000" w:themeColor="text1"/>
          <w:sz w:val="24"/>
          <w:highlight w:val="none"/>
          <w:lang w:val="en-US" w:eastAsia="zh-CN"/>
          <w14:textFill>
            <w14:solidFill>
              <w14:schemeClr w14:val="tx1"/>
            </w14:solidFill>
          </w14:textFill>
        </w:rPr>
        <w:t>管道布置应统筹规划，做到安全可靠、经济合理</w:t>
      </w:r>
      <w:r>
        <w:rPr>
          <w:rFonts w:hint="eastAsia" w:cs="Times New Roman"/>
          <w:color w:val="000000" w:themeColor="text1"/>
          <w:sz w:val="24"/>
          <w:highlight w:val="none"/>
          <w:lang w:val="en-US" w:eastAsia="zh-CN"/>
          <w14:textFill>
            <w14:solidFill>
              <w14:schemeClr w14:val="tx1"/>
            </w14:solidFill>
          </w14:textFill>
        </w:rPr>
        <w:t>，</w:t>
      </w:r>
      <w:r>
        <w:rPr>
          <w:rFonts w:hint="default" w:cs="Times New Roman"/>
          <w:color w:val="000000" w:themeColor="text1"/>
          <w:sz w:val="24"/>
          <w:highlight w:val="none"/>
          <w:lang w:val="en-US" w:eastAsia="zh-CN"/>
          <w14:textFill>
            <w14:solidFill>
              <w14:schemeClr w14:val="tx1"/>
            </w14:solidFill>
          </w14:textFill>
        </w:rPr>
        <w:t>满足施工、操作、维修等方面的要求，并力求整齐美观。</w:t>
      </w:r>
    </w:p>
    <w:p>
      <w:pPr>
        <w:rPr>
          <w:rFonts w:hint="default"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5.1.2</w:t>
      </w:r>
      <w:r>
        <w:rPr>
          <w:rFonts w:cs="Times New Roman"/>
          <w:color w:val="000000" w:themeColor="text1"/>
          <w:sz w:val="24"/>
          <w:highlight w:val="none"/>
          <w14:textFill>
            <w14:solidFill>
              <w14:schemeClr w14:val="tx1"/>
            </w14:solidFill>
          </w14:textFill>
        </w:rPr>
        <w:t>　</w:t>
      </w:r>
      <w:r>
        <w:rPr>
          <w:rFonts w:hint="default" w:cs="Times New Roman"/>
          <w:color w:val="000000" w:themeColor="text1"/>
          <w:sz w:val="24"/>
          <w:highlight w:val="none"/>
          <w:lang w:val="en-US" w:eastAsia="zh-CN"/>
          <w14:textFill>
            <w14:solidFill>
              <w14:schemeClr w14:val="tx1"/>
            </w14:solidFill>
          </w14:textFill>
        </w:rPr>
        <w:t>对于需要分期施工的工程，其管道的布置设计应统一规划，力求做到施工、生产、维修互不影响。</w:t>
      </w:r>
    </w:p>
    <w:p>
      <w:pPr>
        <w:rPr>
          <w:rFonts w:hint="default"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5.1.3</w:t>
      </w:r>
      <w:r>
        <w:rPr>
          <w:rFonts w:cs="Times New Roman"/>
          <w:color w:val="000000" w:themeColor="text1"/>
          <w:sz w:val="24"/>
          <w:highlight w:val="none"/>
          <w14:textFill>
            <w14:solidFill>
              <w14:schemeClr w14:val="tx1"/>
            </w14:solidFill>
          </w14:textFill>
        </w:rPr>
        <w:t>　</w:t>
      </w:r>
      <w:r>
        <w:rPr>
          <w:rFonts w:hint="default" w:cs="Times New Roman"/>
          <w:color w:val="000000" w:themeColor="text1"/>
          <w:sz w:val="24"/>
          <w:highlight w:val="none"/>
          <w:lang w:val="en-US" w:eastAsia="zh-CN"/>
          <w14:textFill>
            <w14:solidFill>
              <w14:schemeClr w14:val="tx1"/>
            </w14:solidFill>
          </w14:textFill>
        </w:rPr>
        <w:t>管道布置不应妨碍设备及其内部构件的安装和检修。</w:t>
      </w:r>
    </w:p>
    <w:p>
      <w:pPr>
        <w:rPr>
          <w:rFonts w:hint="default" w:cs="Times New Roman"/>
          <w:color w:val="000000" w:themeColor="text1"/>
          <w:sz w:val="24"/>
          <w:highlight w:val="none"/>
          <w:lang w:val="en-US" w:eastAsia="zh-CN"/>
          <w14:textFill>
            <w14:solidFill>
              <w14:schemeClr w14:val="tx1"/>
            </w14:solidFill>
          </w14:textFill>
        </w:rPr>
      </w:pPr>
    </w:p>
    <w:p>
      <w:pPr>
        <w:snapToGrid w:val="0"/>
        <w:spacing w:after="0" w:line="360" w:lineRule="auto"/>
        <w:rPr>
          <w:rFonts w:cs="Times New Roman"/>
          <w:color w:val="000000" w:themeColor="text1"/>
          <w:sz w:val="24"/>
          <w:highlight w:val="none"/>
          <w14:textFill>
            <w14:solidFill>
              <w14:schemeClr w14:val="tx1"/>
            </w14:solidFill>
          </w14:textFill>
        </w:rPr>
      </w:pPr>
    </w:p>
    <w:p>
      <w:pPr>
        <w:pStyle w:val="3"/>
        <w:rPr>
          <w:rFonts w:hint="eastAsia" w:ascii="Times New Roman" w:hAnsi="Times New Roman"/>
          <w:highlight w:val="none"/>
          <w:lang w:val="en-US" w:eastAsia="zh-CN"/>
        </w:rPr>
      </w:pPr>
      <w:bookmarkStart w:id="81" w:name="_Toc26058"/>
      <w:r>
        <w:rPr>
          <w:rFonts w:hint="eastAsia" w:ascii="Times New Roman" w:hAnsi="Times New Roman"/>
          <w:b/>
          <w:highlight w:val="none"/>
          <w:lang w:val="en-US" w:eastAsia="zh-CN"/>
        </w:rPr>
        <w:t>5</w:t>
      </w:r>
      <w:r>
        <w:rPr>
          <w:rFonts w:ascii="Times New Roman" w:hAnsi="Times New Roman"/>
          <w:b/>
          <w:highlight w:val="none"/>
        </w:rPr>
        <w:t>.</w:t>
      </w:r>
      <w:r>
        <w:rPr>
          <w:rFonts w:hint="eastAsia" w:ascii="Times New Roman" w:hAnsi="Times New Roman"/>
          <w:b/>
          <w:highlight w:val="none"/>
          <w:lang w:val="en-US" w:eastAsia="zh-CN"/>
        </w:rPr>
        <w:t>2</w:t>
      </w:r>
      <w:r>
        <w:rPr>
          <w:rFonts w:ascii="Times New Roman" w:hAnsi="Times New Roman"/>
          <w:highlight w:val="none"/>
        </w:rPr>
        <w:t>　</w:t>
      </w:r>
      <w:r>
        <w:rPr>
          <w:rFonts w:hint="eastAsia" w:ascii="Times New Roman" w:hAnsi="Times New Roman"/>
          <w:highlight w:val="none"/>
          <w:lang w:val="en-US" w:eastAsia="zh-CN"/>
        </w:rPr>
        <w:t>垃圾输送管道</w:t>
      </w:r>
      <w:bookmarkEnd w:id="81"/>
    </w:p>
    <w:p>
      <w:pPr>
        <w:rPr>
          <w:rFonts w:hint="default"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5.2.1</w:t>
      </w:r>
      <w:r>
        <w:rPr>
          <w:rFonts w:cs="Times New Roman"/>
          <w:color w:val="000000" w:themeColor="text1"/>
          <w:sz w:val="24"/>
          <w:highlight w:val="none"/>
          <w14:textFill>
            <w14:solidFill>
              <w14:schemeClr w14:val="tx1"/>
            </w14:solidFill>
          </w14:textFill>
        </w:rPr>
        <w:t>　</w:t>
      </w:r>
      <w:r>
        <w:rPr>
          <w:rFonts w:hint="default" w:cs="Times New Roman"/>
          <w:color w:val="000000" w:themeColor="text1"/>
          <w:sz w:val="24"/>
          <w:highlight w:val="none"/>
          <w:lang w:val="en-US" w:eastAsia="zh-CN"/>
          <w14:textFill>
            <w14:solidFill>
              <w14:schemeClr w14:val="tx1"/>
            </w14:solidFill>
          </w14:textFill>
        </w:rPr>
        <w:t>管道布置时，应留出试生产、施工、吹扫等所需的临时接口。</w:t>
      </w:r>
    </w:p>
    <w:p>
      <w:pPr>
        <w:rPr>
          <w:rFonts w:hint="default"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5.2.2</w:t>
      </w:r>
      <w:r>
        <w:rPr>
          <w:rFonts w:cs="Times New Roman"/>
          <w:color w:val="000000" w:themeColor="text1"/>
          <w:sz w:val="24"/>
          <w:highlight w:val="none"/>
          <w14:textFill>
            <w14:solidFill>
              <w14:schemeClr w14:val="tx1"/>
            </w14:solidFill>
          </w14:textFill>
        </w:rPr>
        <w:t>　</w:t>
      </w:r>
      <w:r>
        <w:rPr>
          <w:rFonts w:hint="default" w:cs="Times New Roman"/>
          <w:color w:val="000000" w:themeColor="text1"/>
          <w:sz w:val="24"/>
          <w:highlight w:val="none"/>
          <w:lang w:val="en-US" w:eastAsia="zh-CN"/>
          <w14:textFill>
            <w14:solidFill>
              <w14:schemeClr w14:val="tx1"/>
            </w14:solidFill>
          </w14:textFill>
        </w:rPr>
        <w:t>水平输送</w:t>
      </w:r>
      <w:r>
        <w:rPr>
          <w:rFonts w:hint="eastAsia" w:cs="Times New Roman"/>
          <w:color w:val="000000" w:themeColor="text1"/>
          <w:sz w:val="24"/>
          <w:highlight w:val="none"/>
          <w:lang w:val="en-US" w:eastAsia="zh-CN"/>
          <w14:textFill>
            <w14:solidFill>
              <w14:schemeClr w14:val="tx1"/>
            </w14:solidFill>
          </w14:textFill>
        </w:rPr>
        <w:t>的</w:t>
      </w:r>
      <w:r>
        <w:rPr>
          <w:rFonts w:hint="default" w:cs="Times New Roman"/>
          <w:color w:val="000000" w:themeColor="text1"/>
          <w:sz w:val="24"/>
          <w:highlight w:val="none"/>
          <w:lang w:val="en-US" w:eastAsia="zh-CN"/>
          <w14:textFill>
            <w14:solidFill>
              <w14:schemeClr w14:val="tx1"/>
            </w14:solidFill>
          </w14:textFill>
        </w:rPr>
        <w:t>管道，应</w:t>
      </w:r>
      <w:r>
        <w:rPr>
          <w:rFonts w:hint="eastAsia" w:cs="Times New Roman"/>
          <w:color w:val="000000" w:themeColor="text1"/>
          <w:sz w:val="24"/>
          <w:highlight w:val="none"/>
          <w:lang w:val="en-US" w:eastAsia="zh-CN"/>
          <w14:textFill>
            <w14:solidFill>
              <w14:schemeClr w14:val="tx1"/>
            </w14:solidFill>
          </w14:textFill>
        </w:rPr>
        <w:t>顺直且转弯少。</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5.2.3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垃圾管道的管径应符合下列要求：</w:t>
      </w:r>
    </w:p>
    <w:p>
      <w:pPr>
        <w:ind w:left="0" w:leftChars="0" w:firstLine="441" w:firstLineChars="183"/>
        <w:rPr>
          <w:rFonts w:hint="eastAsia"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当垃圾全密闭气力输送系统仅输送厨余垃圾时，垃圾管道管径应为DN300；</w:t>
      </w:r>
    </w:p>
    <w:p>
      <w:pPr>
        <w:ind w:left="0" w:leftChars="0" w:firstLine="441" w:firstLineChars="183"/>
        <w:rPr>
          <w:rFonts w:hint="default"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当垃圾全密闭气力输送系统输送厨余垃圾和其他垃圾时，垃圾管道管径应为DN500。</w:t>
      </w:r>
    </w:p>
    <w:p>
      <w:pPr>
        <w:rPr>
          <w:rFonts w:hint="default"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5.2.4</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不同管道应根据使用需求选择适宜的材质，并满足下列要求：</w:t>
      </w:r>
    </w:p>
    <w:p>
      <w:pPr>
        <w:ind w:left="0" w:leftChars="0" w:firstLine="441" w:firstLineChars="183"/>
        <w:rPr>
          <w:rFonts w:cs="Times New Roman"/>
          <w:color w:val="000000" w:themeColor="text1"/>
          <w:sz w:val="24"/>
          <w:highlight w:val="none"/>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垃圾管道的材质宜为低碳钢Q235B，厚度宜为6~12mm</w:t>
      </w:r>
    </w:p>
    <w:p>
      <w:pPr>
        <w:ind w:left="0" w:leftChars="0" w:firstLine="441" w:firstLineChars="183"/>
        <w:rPr>
          <w:rFonts w:hint="default"/>
          <w:lang w:val="en-US" w:eastAsia="zh-CN"/>
        </w:rPr>
      </w:pPr>
      <w:r>
        <w:rPr>
          <w:rFonts w:hint="eastAsia" w:cs="Times New Roman"/>
          <w:b/>
          <w:bCs/>
          <w:color w:val="000000" w:themeColor="text1"/>
          <w:sz w:val="24"/>
          <w:highlight w:val="none"/>
          <w:lang w:val="en-US" w:eastAsia="zh-CN"/>
          <w14:textFill>
            <w14:solidFill>
              <w14:schemeClr w14:val="tx1"/>
            </w14:solidFill>
          </w14:textFill>
        </w:rPr>
        <w:t>2</w:t>
      </w:r>
      <w:r>
        <w:rPr>
          <w:rFonts w:cs="Times New Roman"/>
          <w:color w:val="000000" w:themeColor="text1"/>
          <w:sz w:val="24"/>
          <w:highlight w:val="none"/>
          <w14:textFill>
            <w14:solidFill>
              <w14:schemeClr w14:val="tx1"/>
            </w14:solidFill>
          </w14:textFill>
        </w:rPr>
        <w:t>　</w:t>
      </w:r>
      <w:r>
        <w:rPr>
          <w:rFonts w:hint="default" w:cs="Times New Roman"/>
          <w:color w:val="000000" w:themeColor="text1"/>
          <w:sz w:val="24"/>
          <w:highlight w:val="none"/>
          <w:lang w:val="en-US" w:eastAsia="zh-CN"/>
          <w14:textFill>
            <w14:solidFill>
              <w14:schemeClr w14:val="tx1"/>
            </w14:solidFill>
          </w14:textFill>
        </w:rPr>
        <w:t>空气管道宜用低碳钢</w:t>
      </w:r>
      <w:r>
        <w:rPr>
          <w:rFonts w:hint="eastAsia" w:cs="Times New Roman"/>
          <w:color w:val="000000" w:themeColor="text1"/>
          <w:sz w:val="24"/>
          <w:highlight w:val="none"/>
          <w:lang w:val="en-US" w:eastAsia="zh-CN"/>
          <w14:textFill>
            <w14:solidFill>
              <w14:schemeClr w14:val="tx1"/>
            </w14:solidFill>
          </w14:textFill>
        </w:rPr>
        <w:t>；</w:t>
      </w:r>
    </w:p>
    <w:p>
      <w:pPr>
        <w:ind w:left="0" w:leftChars="0" w:firstLine="441" w:firstLineChars="183"/>
        <w:rPr>
          <w:rFonts w:hint="default"/>
          <w:lang w:val="en-US" w:eastAsia="zh-CN"/>
        </w:rPr>
      </w:pPr>
      <w:r>
        <w:rPr>
          <w:rFonts w:hint="eastAsia" w:cs="Times New Roman"/>
          <w:b/>
          <w:bCs/>
          <w:color w:val="000000" w:themeColor="text1"/>
          <w:sz w:val="24"/>
          <w:highlight w:val="none"/>
          <w:lang w:val="en-US" w:eastAsia="zh-CN"/>
          <w14:textFill>
            <w14:solidFill>
              <w14:schemeClr w14:val="tx1"/>
            </w14:solidFill>
          </w14:textFill>
        </w:rPr>
        <w:t>3</w:t>
      </w:r>
      <w:r>
        <w:rPr>
          <w:rFonts w:cs="Times New Roman"/>
          <w:color w:val="000000" w:themeColor="text1"/>
          <w:sz w:val="24"/>
          <w:highlight w:val="none"/>
          <w14:textFill>
            <w14:solidFill>
              <w14:schemeClr w14:val="tx1"/>
            </w14:solidFill>
          </w14:textFill>
        </w:rPr>
        <w:t>　</w:t>
      </w:r>
      <w:r>
        <w:rPr>
          <w:rFonts w:hint="default" w:cs="Times New Roman"/>
          <w:color w:val="000000" w:themeColor="text1"/>
          <w:sz w:val="24"/>
          <w:highlight w:val="none"/>
          <w:lang w:val="en-US" w:eastAsia="zh-CN"/>
          <w14:textFill>
            <w14:solidFill>
              <w14:schemeClr w14:val="tx1"/>
            </w14:solidFill>
          </w14:textFill>
        </w:rPr>
        <w:t>压缩空气管道宜用镀锌钢管。</w:t>
      </w:r>
    </w:p>
    <w:p>
      <w:pPr>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5.2.5</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竖直管道的下降坡度应小于20°。</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5.2.6</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水平管道的上升坡度不应大于15°，下降坡度不应大于20°。</w:t>
      </w:r>
    </w:p>
    <w:p>
      <w:pPr>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5.2.7</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水平管道上弯管与分支管、分支管与分支管的最短距离应大于6倍管径。</w:t>
      </w:r>
    </w:p>
    <w:p>
      <w:pPr>
        <w:rPr>
          <w:rFonts w:hint="default" w:eastAsia="宋体" w:cs="Times New Roman"/>
          <w:b/>
          <w:color w:val="000000" w:themeColor="text1"/>
          <w:sz w:val="24"/>
          <w:highlight w:val="none"/>
          <w:lang w:val="en-US" w:eastAsia="zh-CN"/>
          <w14:textFill>
            <w14:solidFill>
              <w14:schemeClr w14:val="tx1"/>
            </w14:solidFill>
          </w14:textFill>
        </w:rPr>
      </w:pPr>
      <w:r>
        <w:rPr>
          <w:rFonts w:hint="eastAsia" w:cs="Times New Roman"/>
          <w:b/>
          <w:color w:val="000000" w:themeColor="text1"/>
          <w:sz w:val="24"/>
          <w:szCs w:val="24"/>
          <w:highlight w:val="none"/>
          <w:lang w:val="en-US" w:eastAsia="zh-CN"/>
          <w14:textFill>
            <w14:solidFill>
              <w14:schemeClr w14:val="tx1"/>
            </w14:solidFill>
          </w14:textFill>
        </w:rPr>
        <w:t>5.2.8</w:t>
      </w:r>
      <w:r>
        <w:rPr>
          <w:rFonts w:cs="Times New Roman"/>
          <w:color w:val="000000" w:themeColor="text1"/>
          <w:sz w:val="24"/>
          <w:szCs w:val="24"/>
          <w:highlight w:val="none"/>
          <w14:textFill>
            <w14:solidFill>
              <w14:schemeClr w14:val="tx1"/>
            </w14:solidFill>
          </w14:textFill>
        </w:rPr>
        <w:t>　</w:t>
      </w:r>
      <w:r>
        <w:rPr>
          <w:rFonts w:hint="eastAsia" w:cs="Times New Roman"/>
          <w:color w:val="000000" w:themeColor="text1"/>
          <w:sz w:val="24"/>
          <w:szCs w:val="24"/>
          <w:highlight w:val="none"/>
          <w:lang w:val="en-US" w:eastAsia="zh-CN"/>
          <w14:textFill>
            <w14:solidFill>
              <w14:schemeClr w14:val="tx1"/>
            </w14:solidFill>
          </w14:textFill>
        </w:rPr>
        <w:t>水平管道上分支管与主管的连接角度应小于30°。</w:t>
      </w:r>
    </w:p>
    <w:p>
      <w:pPr>
        <w:rPr>
          <w:rFonts w:cs="Times New Roman"/>
          <w:color w:val="000000" w:themeColor="text1"/>
          <w:sz w:val="24"/>
          <w:highlight w:val="none"/>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5.2.9</w:t>
      </w:r>
      <w:r>
        <w:rPr>
          <w:rFonts w:cs="Times New Roman"/>
          <w:color w:val="000000" w:themeColor="text1"/>
          <w:sz w:val="24"/>
          <w:highlight w:val="none"/>
          <w14:textFill>
            <w14:solidFill>
              <w14:schemeClr w14:val="tx1"/>
            </w14:solidFill>
          </w14:textFill>
        </w:rPr>
        <w:t>　</w:t>
      </w:r>
      <w:r>
        <w:rPr>
          <w:rFonts w:hint="eastAsia"/>
          <w:sz w:val="24"/>
          <w:szCs w:val="24"/>
          <w:lang w:val="en-US" w:eastAsia="zh-CN"/>
        </w:rPr>
        <w:t>水平管道的转弯半径应大于管外径的3.5倍。</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5.2.10</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架空敷设的管道管底距地面净空高度应符合表5.2.10的要求。</w:t>
      </w:r>
    </w:p>
    <w:p>
      <w:pPr>
        <w:jc w:val="center"/>
        <w:rPr>
          <w:rFonts w:hint="eastAsia" w:cs="Times New Roman"/>
          <w:b/>
          <w:bCs/>
          <w:color w:val="000000" w:themeColor="text1"/>
          <w:sz w:val="21"/>
          <w:szCs w:val="20"/>
          <w:highlight w:val="none"/>
          <w:lang w:val="en-US" w:eastAsia="zh-CN"/>
          <w14:textFill>
            <w14:solidFill>
              <w14:schemeClr w14:val="tx1"/>
            </w14:solidFill>
          </w14:textFill>
        </w:rPr>
      </w:pPr>
      <w:r>
        <w:rPr>
          <w:rFonts w:hint="eastAsia" w:cs="Times New Roman"/>
          <w:b/>
          <w:bCs/>
          <w:color w:val="000000" w:themeColor="text1"/>
          <w:sz w:val="21"/>
          <w:szCs w:val="20"/>
          <w:highlight w:val="none"/>
          <w:lang w:val="en-US" w:eastAsia="zh-CN"/>
          <w14:textFill>
            <w14:solidFill>
              <w14:schemeClr w14:val="tx1"/>
            </w14:solidFill>
          </w14:textFill>
        </w:rPr>
        <w:t>表5.2.10 架空敷设的管道距地面的净空高度</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1"/>
        <w:gridCol w:w="3001"/>
        <w:gridCol w:w="3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2" w:type="dxa"/>
            <w:gridSpan w:val="2"/>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Times New Roman"/>
                <w:color w:val="000000" w:themeColor="text1"/>
                <w:sz w:val="22"/>
                <w:szCs w:val="21"/>
                <w:highlight w:val="none"/>
                <w:vertAlign w:val="baseline"/>
                <w:lang w:val="en-US" w:eastAsia="zh-CN"/>
                <w14:textFill>
                  <w14:solidFill>
                    <w14:schemeClr w14:val="tx1"/>
                  </w14:solidFill>
                </w14:textFill>
              </w:rPr>
            </w:pPr>
            <w:r>
              <w:rPr>
                <w:rFonts w:hint="eastAsia" w:cs="Times New Roman"/>
                <w:color w:val="000000" w:themeColor="text1"/>
                <w:sz w:val="22"/>
                <w:szCs w:val="21"/>
                <w:highlight w:val="none"/>
                <w:vertAlign w:val="baseline"/>
                <w:lang w:val="en-US" w:eastAsia="zh-CN"/>
                <w14:textFill>
                  <w14:solidFill>
                    <w14:schemeClr w14:val="tx1"/>
                  </w14:solidFill>
                </w14:textFill>
              </w:rPr>
              <w:t>项目</w:t>
            </w:r>
          </w:p>
        </w:tc>
        <w:tc>
          <w:tcPr>
            <w:tcW w:w="300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Times New Roman"/>
                <w:color w:val="000000" w:themeColor="text1"/>
                <w:sz w:val="22"/>
                <w:szCs w:val="21"/>
                <w:highlight w:val="none"/>
                <w:vertAlign w:val="baseline"/>
                <w:lang w:val="en-US" w:eastAsia="zh-CN"/>
                <w14:textFill>
                  <w14:solidFill>
                    <w14:schemeClr w14:val="tx1"/>
                  </w14:solidFill>
                </w14:textFill>
              </w:rPr>
            </w:pPr>
            <w:r>
              <w:rPr>
                <w:rFonts w:hint="eastAsia" w:cs="Times New Roman"/>
                <w:color w:val="000000" w:themeColor="text1"/>
                <w:sz w:val="22"/>
                <w:szCs w:val="21"/>
                <w:highlight w:val="none"/>
                <w:vertAlign w:val="baseline"/>
                <w:lang w:val="en-US" w:eastAsia="zh-CN"/>
                <w14:textFill>
                  <w14:solidFill>
                    <w14:schemeClr w14:val="tx1"/>
                  </w14:solidFill>
                </w14:textFill>
              </w:rPr>
              <w:t>最小净空高度（mm）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vMerge w:val="restart"/>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Times New Roman"/>
                <w:color w:val="000000" w:themeColor="text1"/>
                <w:sz w:val="22"/>
                <w:szCs w:val="21"/>
                <w:highlight w:val="none"/>
                <w:vertAlign w:val="baseline"/>
                <w:lang w:val="en-US" w:eastAsia="zh-CN"/>
                <w14:textFill>
                  <w14:solidFill>
                    <w14:schemeClr w14:val="tx1"/>
                  </w14:solidFill>
                </w14:textFill>
              </w:rPr>
            </w:pPr>
            <w:r>
              <w:rPr>
                <w:rFonts w:hint="eastAsia" w:cs="Times New Roman"/>
                <w:color w:val="000000" w:themeColor="text1"/>
                <w:sz w:val="22"/>
                <w:szCs w:val="21"/>
                <w:highlight w:val="none"/>
                <w:vertAlign w:val="baseline"/>
                <w:lang w:val="en-US" w:eastAsia="zh-CN"/>
                <w14:textFill>
                  <w14:solidFill>
                    <w14:schemeClr w14:val="tx1"/>
                  </w14:solidFill>
                </w14:textFill>
              </w:rPr>
              <w:t>道路所需净空高度</w:t>
            </w:r>
          </w:p>
        </w:tc>
        <w:tc>
          <w:tcPr>
            <w:tcW w:w="300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Times New Roman"/>
                <w:color w:val="000000" w:themeColor="text1"/>
                <w:sz w:val="22"/>
                <w:szCs w:val="21"/>
                <w:highlight w:val="none"/>
                <w:vertAlign w:val="baseline"/>
                <w:lang w:val="en-US" w:eastAsia="zh-CN"/>
                <w14:textFill>
                  <w14:solidFill>
                    <w14:schemeClr w14:val="tx1"/>
                  </w14:solidFill>
                </w14:textFill>
              </w:rPr>
            </w:pPr>
            <w:r>
              <w:rPr>
                <w:rFonts w:hint="eastAsia" w:cs="Times New Roman"/>
                <w:color w:val="000000" w:themeColor="text1"/>
                <w:sz w:val="22"/>
                <w:szCs w:val="21"/>
                <w:highlight w:val="none"/>
                <w:vertAlign w:val="baseline"/>
                <w:lang w:val="en-US" w:eastAsia="zh-CN"/>
                <w14:textFill>
                  <w14:solidFill>
                    <w14:schemeClr w14:val="tx1"/>
                  </w14:solidFill>
                </w14:textFill>
              </w:rPr>
              <w:t>卡车通道</w:t>
            </w:r>
          </w:p>
        </w:tc>
        <w:tc>
          <w:tcPr>
            <w:tcW w:w="300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Times New Roman"/>
                <w:color w:val="000000" w:themeColor="text1"/>
                <w:sz w:val="22"/>
                <w:szCs w:val="21"/>
                <w:highlight w:val="none"/>
                <w:vertAlign w:val="baseline"/>
                <w:lang w:val="en-US" w:eastAsia="zh-CN"/>
                <w14:textFill>
                  <w14:solidFill>
                    <w14:schemeClr w14:val="tx1"/>
                  </w14:solidFill>
                </w14:textFill>
              </w:rPr>
            </w:pPr>
            <w:r>
              <w:rPr>
                <w:rFonts w:hint="eastAsia" w:cs="Times New Roman"/>
                <w:color w:val="000000" w:themeColor="text1"/>
                <w:sz w:val="22"/>
                <w:szCs w:val="21"/>
                <w:highlight w:val="none"/>
                <w:vertAlign w:val="baseline"/>
                <w:lang w:val="en-US" w:eastAsia="zh-CN"/>
                <w14:textFill>
                  <w14:solidFill>
                    <w14:schemeClr w14:val="tx1"/>
                  </w14:solidFill>
                </w14:textFill>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Times New Roman"/>
                <w:color w:val="000000" w:themeColor="text1"/>
                <w:sz w:val="22"/>
                <w:szCs w:val="21"/>
                <w:highlight w:val="none"/>
                <w:vertAlign w:val="baseline"/>
                <w:lang w:val="en-US" w:eastAsia="zh-CN"/>
                <w14:textFill>
                  <w14:solidFill>
                    <w14:schemeClr w14:val="tx1"/>
                  </w14:solidFill>
                </w14:textFill>
              </w:rPr>
            </w:pPr>
          </w:p>
        </w:tc>
        <w:tc>
          <w:tcPr>
            <w:tcW w:w="300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Times New Roman"/>
                <w:color w:val="000000" w:themeColor="text1"/>
                <w:sz w:val="22"/>
                <w:szCs w:val="21"/>
                <w:highlight w:val="none"/>
                <w:vertAlign w:val="baseline"/>
                <w:lang w:val="en-US" w:eastAsia="zh-CN"/>
                <w14:textFill>
                  <w14:solidFill>
                    <w14:schemeClr w14:val="tx1"/>
                  </w14:solidFill>
                </w14:textFill>
              </w:rPr>
            </w:pPr>
            <w:r>
              <w:rPr>
                <w:rFonts w:hint="eastAsia" w:cs="Times New Roman"/>
                <w:color w:val="000000" w:themeColor="text1"/>
                <w:sz w:val="22"/>
                <w:szCs w:val="21"/>
                <w:highlight w:val="none"/>
                <w:vertAlign w:val="baseline"/>
                <w:lang w:val="en-US" w:eastAsia="zh-CN"/>
                <w14:textFill>
                  <w14:solidFill>
                    <w14:schemeClr w14:val="tx1"/>
                  </w14:solidFill>
                </w14:textFill>
              </w:rPr>
              <w:t>消防车通道</w:t>
            </w:r>
          </w:p>
        </w:tc>
        <w:tc>
          <w:tcPr>
            <w:tcW w:w="300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Times New Roman"/>
                <w:color w:val="000000" w:themeColor="text1"/>
                <w:sz w:val="22"/>
                <w:szCs w:val="21"/>
                <w:highlight w:val="none"/>
                <w:vertAlign w:val="baseline"/>
                <w:lang w:val="en-US" w:eastAsia="zh-CN"/>
                <w14:textFill>
                  <w14:solidFill>
                    <w14:schemeClr w14:val="tx1"/>
                  </w14:solidFill>
                </w14:textFill>
              </w:rPr>
            </w:pPr>
            <w:r>
              <w:rPr>
                <w:rFonts w:hint="eastAsia" w:cs="Times New Roman"/>
                <w:color w:val="000000" w:themeColor="text1"/>
                <w:sz w:val="22"/>
                <w:szCs w:val="21"/>
                <w:highlight w:val="none"/>
                <w:vertAlign w:val="baseline"/>
                <w:lang w:val="en-US" w:eastAsia="zh-CN"/>
                <w14:textFill>
                  <w14:solidFill>
                    <w14:schemeClr w14:val="tx1"/>
                  </w14:solidFill>
                </w14:textFill>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vMerge w:val="restart"/>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Times New Roman"/>
                <w:color w:val="000000" w:themeColor="text1"/>
                <w:sz w:val="22"/>
                <w:szCs w:val="21"/>
                <w:highlight w:val="none"/>
                <w:vertAlign w:val="baseline"/>
                <w:lang w:val="en-US" w:eastAsia="zh-CN"/>
                <w14:textFill>
                  <w14:solidFill>
                    <w14:schemeClr w14:val="tx1"/>
                  </w14:solidFill>
                </w14:textFill>
              </w:rPr>
            </w:pPr>
            <w:r>
              <w:rPr>
                <w:rFonts w:hint="eastAsia" w:cs="Times New Roman"/>
                <w:color w:val="000000" w:themeColor="text1"/>
                <w:sz w:val="22"/>
                <w:szCs w:val="21"/>
                <w:highlight w:val="none"/>
                <w:vertAlign w:val="baseline"/>
                <w:lang w:val="en-US" w:eastAsia="zh-CN"/>
                <w14:textFill>
                  <w14:solidFill>
                    <w14:schemeClr w14:val="tx1"/>
                  </w14:solidFill>
                </w14:textFill>
              </w:rPr>
              <w:t>通道、走道和检修所需净空高度</w:t>
            </w:r>
          </w:p>
        </w:tc>
        <w:tc>
          <w:tcPr>
            <w:tcW w:w="300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Times New Roman"/>
                <w:color w:val="000000" w:themeColor="text1"/>
                <w:sz w:val="22"/>
                <w:szCs w:val="21"/>
                <w:highlight w:val="none"/>
                <w:vertAlign w:val="baseline"/>
                <w:lang w:val="en-US" w:eastAsia="zh-CN"/>
                <w14:textFill>
                  <w14:solidFill>
                    <w14:schemeClr w14:val="tx1"/>
                  </w14:solidFill>
                </w14:textFill>
              </w:rPr>
            </w:pPr>
            <w:r>
              <w:rPr>
                <w:rFonts w:hint="eastAsia" w:cs="Times New Roman"/>
                <w:color w:val="000000" w:themeColor="text1"/>
                <w:sz w:val="22"/>
                <w:szCs w:val="21"/>
                <w:highlight w:val="none"/>
                <w:vertAlign w:val="baseline"/>
                <w:lang w:val="en-US" w:eastAsia="zh-CN"/>
                <w14:textFill>
                  <w14:solidFill>
                    <w14:schemeClr w14:val="tx1"/>
                  </w14:solidFill>
                </w14:textFill>
              </w:rPr>
              <w:t>通道、走道</w:t>
            </w:r>
          </w:p>
        </w:tc>
        <w:tc>
          <w:tcPr>
            <w:tcW w:w="300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Times New Roman"/>
                <w:color w:val="000000" w:themeColor="text1"/>
                <w:sz w:val="22"/>
                <w:szCs w:val="21"/>
                <w:highlight w:val="none"/>
                <w:vertAlign w:val="baseline"/>
                <w:lang w:val="en-US" w:eastAsia="zh-CN"/>
                <w14:textFill>
                  <w14:solidFill>
                    <w14:schemeClr w14:val="tx1"/>
                  </w14:solidFill>
                </w14:textFill>
              </w:rPr>
            </w:pPr>
            <w:r>
              <w:rPr>
                <w:rFonts w:hint="eastAsia" w:cs="Times New Roman"/>
                <w:color w:val="000000" w:themeColor="text1"/>
                <w:sz w:val="22"/>
                <w:szCs w:val="21"/>
                <w:highlight w:val="none"/>
                <w:vertAlign w:val="baseline"/>
                <w:lang w:val="en-US" w:eastAsia="zh-CN"/>
                <w14:textFill>
                  <w14:solidFill>
                    <w14:schemeClr w14:val="tx1"/>
                  </w14:solidFill>
                </w14:textFill>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Times New Roman"/>
                <w:color w:val="000000" w:themeColor="text1"/>
                <w:sz w:val="22"/>
                <w:szCs w:val="21"/>
                <w:highlight w:val="none"/>
                <w:vertAlign w:val="baseline"/>
                <w:lang w:val="en-US" w:eastAsia="zh-CN"/>
                <w14:textFill>
                  <w14:solidFill>
                    <w14:schemeClr w14:val="tx1"/>
                  </w14:solidFill>
                </w14:textFill>
              </w:rPr>
            </w:pPr>
          </w:p>
        </w:tc>
        <w:tc>
          <w:tcPr>
            <w:tcW w:w="300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Times New Roman"/>
                <w:color w:val="000000" w:themeColor="text1"/>
                <w:sz w:val="22"/>
                <w:szCs w:val="21"/>
                <w:highlight w:val="none"/>
                <w:vertAlign w:val="baseline"/>
                <w:lang w:val="en-US" w:eastAsia="zh-CN"/>
                <w14:textFill>
                  <w14:solidFill>
                    <w14:schemeClr w14:val="tx1"/>
                  </w14:solidFill>
                </w14:textFill>
              </w:rPr>
            </w:pPr>
            <w:r>
              <w:rPr>
                <w:rFonts w:hint="eastAsia" w:cs="Times New Roman"/>
                <w:color w:val="000000" w:themeColor="text1"/>
                <w:sz w:val="22"/>
                <w:szCs w:val="21"/>
                <w:highlight w:val="none"/>
                <w:vertAlign w:val="baseline"/>
                <w:lang w:val="en-US" w:eastAsia="zh-CN"/>
                <w14:textFill>
                  <w14:solidFill>
                    <w14:schemeClr w14:val="tx1"/>
                  </w14:solidFill>
                </w14:textFill>
              </w:rPr>
              <w:t>检修</w:t>
            </w:r>
          </w:p>
        </w:tc>
        <w:tc>
          <w:tcPr>
            <w:tcW w:w="300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Times New Roman"/>
                <w:color w:val="000000" w:themeColor="text1"/>
                <w:sz w:val="22"/>
                <w:szCs w:val="21"/>
                <w:highlight w:val="none"/>
                <w:vertAlign w:val="baseline"/>
                <w:lang w:val="en-US" w:eastAsia="zh-CN"/>
                <w14:textFill>
                  <w14:solidFill>
                    <w14:schemeClr w14:val="tx1"/>
                  </w14:solidFill>
                </w14:textFill>
              </w:rPr>
            </w:pPr>
            <w:r>
              <w:rPr>
                <w:rFonts w:hint="eastAsia" w:cs="Times New Roman"/>
                <w:color w:val="000000" w:themeColor="text1"/>
                <w:sz w:val="22"/>
                <w:szCs w:val="21"/>
                <w:highlight w:val="none"/>
                <w:vertAlign w:val="baseline"/>
                <w:lang w:val="en-US" w:eastAsia="zh-CN"/>
                <w14:textFill>
                  <w14:solidFill>
                    <w14:schemeClr w14:val="tx1"/>
                  </w14:solidFill>
                </w14:textFill>
              </w:rPr>
              <w:t>3000</w:t>
            </w:r>
          </w:p>
        </w:tc>
      </w:tr>
    </w:tbl>
    <w:p>
      <w:pPr>
        <w:rPr>
          <w:rFonts w:hint="default" w:cs="Times New Roman"/>
          <w:color w:val="000000" w:themeColor="text1"/>
          <w:sz w:val="24"/>
          <w:highlight w:val="none"/>
          <w:lang w:val="en-US" w:eastAsia="zh-CN"/>
          <w14:textFill>
            <w14:solidFill>
              <w14:schemeClr w14:val="tx1"/>
            </w14:solidFill>
          </w14:textFill>
        </w:rPr>
      </w:pPr>
    </w:p>
    <w:p>
      <w:pPr>
        <w:rPr>
          <w:rFonts w:hint="default"/>
          <w:sz w:val="24"/>
          <w:szCs w:val="24"/>
          <w:lang w:val="en-US" w:eastAsia="zh-CN"/>
        </w:rPr>
      </w:pPr>
      <w:r>
        <w:rPr>
          <w:rFonts w:hint="eastAsia" w:cs="Times New Roman"/>
          <w:b/>
          <w:color w:val="000000" w:themeColor="text1"/>
          <w:sz w:val="24"/>
          <w:szCs w:val="24"/>
          <w:highlight w:val="none"/>
          <w:lang w:val="en-US" w:eastAsia="zh-CN"/>
          <w14:textFill>
            <w14:solidFill>
              <w14:schemeClr w14:val="tx1"/>
            </w14:solidFill>
          </w14:textFill>
        </w:rPr>
        <w:t>5.2.11</w:t>
      </w:r>
      <w:r>
        <w:rPr>
          <w:rFonts w:cs="Times New Roman"/>
          <w:color w:val="000000" w:themeColor="text1"/>
          <w:sz w:val="24"/>
          <w:szCs w:val="24"/>
          <w:highlight w:val="none"/>
          <w14:textFill>
            <w14:solidFill>
              <w14:schemeClr w14:val="tx1"/>
            </w14:solidFill>
          </w14:textFill>
        </w:rPr>
        <w:t>　</w:t>
      </w:r>
      <w:r>
        <w:rPr>
          <w:rFonts w:hint="default"/>
          <w:sz w:val="24"/>
          <w:szCs w:val="24"/>
          <w:lang w:val="en-US" w:eastAsia="zh-CN"/>
        </w:rPr>
        <w:t>管道穿过建筑物的楼板、屋顶或墙面时，应加套管，套管与管道件的空隙应密封</w:t>
      </w:r>
      <w:r>
        <w:rPr>
          <w:rFonts w:hint="eastAsia"/>
          <w:sz w:val="24"/>
          <w:szCs w:val="24"/>
          <w:lang w:val="en-US" w:eastAsia="zh-CN"/>
        </w:rPr>
        <w:t>，且</w:t>
      </w:r>
      <w:r>
        <w:rPr>
          <w:rFonts w:hint="default"/>
          <w:sz w:val="24"/>
          <w:szCs w:val="24"/>
          <w:lang w:val="en-US" w:eastAsia="zh-CN"/>
        </w:rPr>
        <w:t>套管应高出楼板、屋顶面50</w:t>
      </w:r>
      <w:r>
        <w:rPr>
          <w:rFonts w:hint="eastAsia"/>
          <w:sz w:val="24"/>
          <w:szCs w:val="24"/>
          <w:lang w:val="en-US" w:eastAsia="zh-CN"/>
        </w:rPr>
        <w:t>mm</w:t>
      </w:r>
      <w:r>
        <w:rPr>
          <w:rFonts w:hint="default"/>
          <w:sz w:val="24"/>
          <w:szCs w:val="24"/>
          <w:lang w:val="en-US" w:eastAsia="zh-CN"/>
        </w:rPr>
        <w:t>。</w:t>
      </w:r>
    </w:p>
    <w:p>
      <w:pPr>
        <w:rPr>
          <w:rFonts w:hint="default"/>
          <w:sz w:val="24"/>
          <w:szCs w:val="24"/>
          <w:lang w:val="en-US" w:eastAsia="zh-CN"/>
        </w:rPr>
      </w:pPr>
      <w:r>
        <w:rPr>
          <w:rFonts w:hint="eastAsia" w:cs="Times New Roman"/>
          <w:b/>
          <w:color w:val="000000" w:themeColor="text1"/>
          <w:sz w:val="24"/>
          <w:szCs w:val="24"/>
          <w:highlight w:val="none"/>
          <w:lang w:val="en-US" w:eastAsia="zh-CN"/>
          <w14:textFill>
            <w14:solidFill>
              <w14:schemeClr w14:val="tx1"/>
            </w14:solidFill>
          </w14:textFill>
        </w:rPr>
        <w:t>5.2.12</w:t>
      </w:r>
      <w:r>
        <w:rPr>
          <w:rFonts w:cs="Times New Roman"/>
          <w:color w:val="000000" w:themeColor="text1"/>
          <w:sz w:val="24"/>
          <w:szCs w:val="24"/>
          <w:highlight w:val="none"/>
          <w14:textFill>
            <w14:solidFill>
              <w14:schemeClr w14:val="tx1"/>
            </w14:solidFill>
          </w14:textFill>
        </w:rPr>
        <w:t>　</w:t>
      </w:r>
      <w:r>
        <w:rPr>
          <w:rFonts w:hint="default"/>
          <w:sz w:val="24"/>
          <w:szCs w:val="24"/>
          <w:lang w:val="en-US" w:eastAsia="zh-CN"/>
        </w:rPr>
        <w:t>管道上的焊缝不应在套管内，并距离套管端部不应小于150</w:t>
      </w:r>
      <w:r>
        <w:rPr>
          <w:rFonts w:hint="eastAsia"/>
          <w:sz w:val="24"/>
          <w:szCs w:val="24"/>
          <w:lang w:val="en-US" w:eastAsia="zh-CN"/>
        </w:rPr>
        <w:t>mm。</w:t>
      </w:r>
    </w:p>
    <w:p>
      <w:pPr>
        <w:rPr>
          <w:rFonts w:hint="default"/>
          <w:sz w:val="24"/>
          <w:szCs w:val="24"/>
          <w:lang w:val="en-US" w:eastAsia="zh-CN"/>
        </w:rPr>
      </w:pPr>
      <w:r>
        <w:rPr>
          <w:rFonts w:hint="eastAsia" w:cs="Times New Roman"/>
          <w:b/>
          <w:color w:val="000000" w:themeColor="text1"/>
          <w:sz w:val="24"/>
          <w:szCs w:val="24"/>
          <w:highlight w:val="none"/>
          <w:lang w:val="en-US" w:eastAsia="zh-CN"/>
          <w14:textFill>
            <w14:solidFill>
              <w14:schemeClr w14:val="tx1"/>
            </w14:solidFill>
          </w14:textFill>
        </w:rPr>
        <w:t>5.2.13</w:t>
      </w:r>
      <w:r>
        <w:rPr>
          <w:rFonts w:cs="Times New Roman"/>
          <w:color w:val="000000" w:themeColor="text1"/>
          <w:sz w:val="24"/>
          <w:szCs w:val="24"/>
          <w:highlight w:val="none"/>
          <w14:textFill>
            <w14:solidFill>
              <w14:schemeClr w14:val="tx1"/>
            </w14:solidFill>
          </w14:textFill>
        </w:rPr>
        <w:t>　</w:t>
      </w:r>
      <w:r>
        <w:rPr>
          <w:rFonts w:hint="default"/>
          <w:sz w:val="24"/>
          <w:szCs w:val="24"/>
          <w:lang w:val="en-US" w:eastAsia="zh-CN"/>
        </w:rPr>
        <w:t>管道穿过屋顶时应设防雨罩。</w:t>
      </w:r>
    </w:p>
    <w:p>
      <w:pPr>
        <w:rPr>
          <w:rFonts w:hint="default"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szCs w:val="24"/>
          <w:highlight w:val="none"/>
          <w:lang w:val="en-US" w:eastAsia="zh-CN"/>
          <w14:textFill>
            <w14:solidFill>
              <w14:schemeClr w14:val="tx1"/>
            </w14:solidFill>
          </w14:textFill>
        </w:rPr>
        <w:t>5.2.14</w:t>
      </w:r>
      <w:r>
        <w:rPr>
          <w:rFonts w:cs="Times New Roman"/>
          <w:color w:val="000000" w:themeColor="text1"/>
          <w:sz w:val="24"/>
          <w:szCs w:val="24"/>
          <w:highlight w:val="none"/>
          <w14:textFill>
            <w14:solidFill>
              <w14:schemeClr w14:val="tx1"/>
            </w14:solidFill>
          </w14:textFill>
        </w:rPr>
        <w:t>　</w:t>
      </w:r>
      <w:r>
        <w:rPr>
          <w:rFonts w:hint="default"/>
          <w:sz w:val="24"/>
          <w:szCs w:val="24"/>
          <w:lang w:val="en-US" w:eastAsia="zh-CN"/>
        </w:rPr>
        <w:t>管道不应穿过防火墻或防爆</w:t>
      </w:r>
      <w:r>
        <w:rPr>
          <w:rFonts w:hint="eastAsia"/>
          <w:sz w:val="24"/>
          <w:szCs w:val="24"/>
          <w:lang w:val="en-US" w:eastAsia="zh-CN"/>
        </w:rPr>
        <w:t>墙</w:t>
      </w:r>
      <w:r>
        <w:rPr>
          <w:rFonts w:hint="default"/>
          <w:sz w:val="24"/>
          <w:szCs w:val="24"/>
          <w:lang w:val="en-US" w:eastAsia="zh-CN"/>
        </w:rPr>
        <w:t>。</w:t>
      </w:r>
    </w:p>
    <w:p>
      <w:pPr>
        <w:rPr>
          <w:rFonts w:hint="default"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5.2.15</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管道与附件的安装净距应满足下列要求：</w:t>
      </w:r>
    </w:p>
    <w:p>
      <w:pPr>
        <w:ind w:left="0" w:leftChars="0" w:firstLine="441" w:firstLineChars="183"/>
        <w:rPr>
          <w:rFonts w:hint="default"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1</w:t>
      </w:r>
      <w:r>
        <w:rPr>
          <w:rFonts w:cs="Times New Roman"/>
          <w:color w:val="000000" w:themeColor="text1"/>
          <w:sz w:val="24"/>
          <w:highlight w:val="none"/>
          <w14:textFill>
            <w14:solidFill>
              <w14:schemeClr w14:val="tx1"/>
            </w14:solidFill>
          </w14:textFill>
        </w:rPr>
        <w:t>　</w:t>
      </w:r>
      <w:r>
        <w:rPr>
          <w:rFonts w:hint="default" w:cs="Times New Roman"/>
          <w:color w:val="000000" w:themeColor="text1"/>
          <w:sz w:val="24"/>
          <w:highlight w:val="none"/>
          <w:lang w:val="en-US" w:eastAsia="zh-CN"/>
          <w14:textFill>
            <w14:solidFill>
              <w14:schemeClr w14:val="tx1"/>
            </w14:solidFill>
          </w14:textFill>
        </w:rPr>
        <w:t>管架上敷设的管道其净距不应小于 50mm，法兰外缘与相邻管道的净距不得小于 25mm。</w:t>
      </w:r>
    </w:p>
    <w:p>
      <w:pPr>
        <w:ind w:left="0" w:leftChars="0" w:firstLine="441" w:firstLineChars="183"/>
        <w:rPr>
          <w:rFonts w:hint="default"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2</w:t>
      </w:r>
      <w:r>
        <w:rPr>
          <w:rFonts w:cs="Times New Roman"/>
          <w:color w:val="000000" w:themeColor="text1"/>
          <w:sz w:val="24"/>
          <w:highlight w:val="none"/>
          <w14:textFill>
            <w14:solidFill>
              <w14:schemeClr w14:val="tx1"/>
            </w14:solidFill>
          </w14:textFill>
        </w:rPr>
        <w:t>　</w:t>
      </w:r>
      <w:r>
        <w:rPr>
          <w:rFonts w:hint="default" w:cs="Times New Roman"/>
          <w:color w:val="000000" w:themeColor="text1"/>
          <w:sz w:val="24"/>
          <w:highlight w:val="none"/>
          <w:lang w:val="en-US" w:eastAsia="zh-CN"/>
          <w14:textFill>
            <w14:solidFill>
              <w14:schemeClr w14:val="tx1"/>
            </w14:solidFill>
          </w14:textFill>
        </w:rPr>
        <w:t>管沟内管间距应比架空敷设适当加大，其净距不应小于 80mm，法兰外缘与相邻管道的净距不应小于 50mm。</w:t>
      </w:r>
    </w:p>
    <w:p>
      <w:pPr>
        <w:ind w:left="0" w:leftChars="0" w:firstLine="441" w:firstLineChars="183"/>
        <w:rPr>
          <w:rFonts w:hint="default"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3</w:t>
      </w:r>
      <w:r>
        <w:rPr>
          <w:rFonts w:cs="Times New Roman"/>
          <w:color w:val="000000" w:themeColor="text1"/>
          <w:sz w:val="24"/>
          <w:highlight w:val="none"/>
          <w14:textFill>
            <w14:solidFill>
              <w14:schemeClr w14:val="tx1"/>
            </w14:solidFill>
          </w14:textFill>
        </w:rPr>
        <w:t>　</w:t>
      </w:r>
      <w:r>
        <w:rPr>
          <w:rFonts w:hint="default" w:cs="Times New Roman"/>
          <w:color w:val="000000" w:themeColor="text1"/>
          <w:sz w:val="24"/>
          <w:highlight w:val="none"/>
          <w:lang w:val="en-US" w:eastAsia="zh-CN"/>
          <w14:textFill>
            <w14:solidFill>
              <w14:schemeClr w14:val="tx1"/>
            </w14:solidFill>
          </w14:textFill>
        </w:rPr>
        <w:t>管道上装有外形尺寸较大的管件、小型设备、仪表测量</w:t>
      </w:r>
      <w:r>
        <w:rPr>
          <w:rFonts w:hint="eastAsia" w:cs="Times New Roman"/>
          <w:color w:val="000000" w:themeColor="text1"/>
          <w:sz w:val="24"/>
          <w:highlight w:val="none"/>
          <w:lang w:val="en-US" w:eastAsia="zh-CN"/>
          <w14:textFill>
            <w14:solidFill>
              <w14:schemeClr w14:val="tx1"/>
            </w14:solidFill>
          </w14:textFill>
        </w:rPr>
        <w:t>元件</w:t>
      </w:r>
      <w:r>
        <w:rPr>
          <w:rFonts w:hint="default" w:cs="Times New Roman"/>
          <w:color w:val="000000" w:themeColor="text1"/>
          <w:sz w:val="24"/>
          <w:highlight w:val="none"/>
          <w:lang w:val="en-US" w:eastAsia="zh-CN"/>
          <w14:textFill>
            <w14:solidFill>
              <w14:schemeClr w14:val="tx1"/>
            </w14:solidFill>
          </w14:textFill>
        </w:rPr>
        <w:t>或有侧向位移的管道应加大管道间的间距。</w:t>
      </w:r>
    </w:p>
    <w:p>
      <w:pPr>
        <w:ind w:left="0" w:leftChars="0" w:firstLine="441" w:firstLineChars="183"/>
        <w:rPr>
          <w:rFonts w:hint="default"/>
          <w:sz w:val="24"/>
          <w:szCs w:val="24"/>
          <w:lang w:val="en-US" w:eastAsia="zh-CN"/>
        </w:rPr>
      </w:pPr>
      <w:r>
        <w:rPr>
          <w:rFonts w:hint="eastAsia" w:cs="Times New Roman"/>
          <w:b/>
          <w:bCs/>
          <w:color w:val="000000" w:themeColor="text1"/>
          <w:sz w:val="24"/>
          <w:highlight w:val="none"/>
          <w:lang w:val="en-US" w:eastAsia="zh-CN"/>
          <w14:textFill>
            <w14:solidFill>
              <w14:schemeClr w14:val="tx1"/>
            </w14:solidFill>
          </w14:textFill>
        </w:rPr>
        <w:t>4</w:t>
      </w:r>
      <w:r>
        <w:rPr>
          <w:rFonts w:cs="Times New Roman"/>
          <w:color w:val="000000" w:themeColor="text1"/>
          <w:sz w:val="24"/>
          <w:highlight w:val="none"/>
          <w14:textFill>
            <w14:solidFill>
              <w14:schemeClr w14:val="tx1"/>
            </w14:solidFill>
          </w14:textFill>
        </w:rPr>
        <w:t>　</w:t>
      </w:r>
      <w:r>
        <w:rPr>
          <w:rFonts w:hint="default"/>
          <w:sz w:val="24"/>
          <w:szCs w:val="24"/>
          <w:lang w:val="en-US" w:eastAsia="zh-CN"/>
        </w:rPr>
        <w:t>管道外壁的最突出部分，距管架或构架的立柱、建筑物墙壁或管沟壁的净距不应小于 150mm。</w:t>
      </w:r>
    </w:p>
    <w:p>
      <w:pPr>
        <w:rPr>
          <w:rFonts w:hint="default"/>
          <w:sz w:val="24"/>
          <w:szCs w:val="24"/>
          <w:lang w:val="en-US" w:eastAsia="zh-CN"/>
        </w:rPr>
      </w:pPr>
      <w:r>
        <w:rPr>
          <w:rFonts w:hint="eastAsia" w:cs="Times New Roman"/>
          <w:b/>
          <w:color w:val="000000" w:themeColor="text1"/>
          <w:sz w:val="24"/>
          <w:szCs w:val="24"/>
          <w:highlight w:val="none"/>
          <w:lang w:val="en-US" w:eastAsia="zh-CN"/>
          <w14:textFill>
            <w14:solidFill>
              <w14:schemeClr w14:val="tx1"/>
            </w14:solidFill>
          </w14:textFill>
        </w:rPr>
        <w:t>5.2.16</w:t>
      </w:r>
      <w:r>
        <w:rPr>
          <w:rFonts w:cs="Times New Roman"/>
          <w:color w:val="000000" w:themeColor="text1"/>
          <w:sz w:val="24"/>
          <w:szCs w:val="24"/>
          <w:highlight w:val="none"/>
          <w14:textFill>
            <w14:solidFill>
              <w14:schemeClr w14:val="tx1"/>
            </w14:solidFill>
          </w14:textFill>
        </w:rPr>
        <w:t>　</w:t>
      </w:r>
      <w:r>
        <w:rPr>
          <w:rFonts w:hint="default"/>
          <w:sz w:val="24"/>
          <w:szCs w:val="24"/>
          <w:lang w:val="en-US" w:eastAsia="zh-CN"/>
        </w:rPr>
        <w:t>管道管沟敷设应符合下列规定：</w:t>
      </w:r>
    </w:p>
    <w:p>
      <w:pPr>
        <w:ind w:left="0" w:leftChars="0" w:firstLine="441" w:firstLineChars="183"/>
        <w:rPr>
          <w:rFonts w:hint="default"/>
          <w:sz w:val="24"/>
          <w:szCs w:val="24"/>
          <w:lang w:val="en-US" w:eastAsia="zh-CN"/>
        </w:rPr>
      </w:pPr>
      <w:r>
        <w:rPr>
          <w:rFonts w:hint="eastAsia" w:cs="Times New Roman"/>
          <w:b/>
          <w:bCs/>
          <w:color w:val="000000" w:themeColor="text1"/>
          <w:sz w:val="24"/>
          <w:szCs w:val="24"/>
          <w:highlight w:val="none"/>
          <w:lang w:val="en-US" w:eastAsia="zh-CN"/>
          <w14:textFill>
            <w14:solidFill>
              <w14:schemeClr w14:val="tx1"/>
            </w14:solidFill>
          </w14:textFill>
        </w:rPr>
        <w:t>1</w:t>
      </w:r>
      <w:r>
        <w:rPr>
          <w:rFonts w:cs="Times New Roman"/>
          <w:color w:val="000000" w:themeColor="text1"/>
          <w:sz w:val="24"/>
          <w:szCs w:val="24"/>
          <w:highlight w:val="none"/>
          <w14:textFill>
            <w14:solidFill>
              <w14:schemeClr w14:val="tx1"/>
            </w14:solidFill>
          </w14:textFill>
        </w:rPr>
        <w:t>　</w:t>
      </w:r>
      <w:r>
        <w:rPr>
          <w:rFonts w:hint="default"/>
          <w:sz w:val="24"/>
          <w:szCs w:val="24"/>
          <w:lang w:val="en-US" w:eastAsia="zh-CN"/>
        </w:rPr>
        <w:t>无法架空敷设</w:t>
      </w:r>
      <w:r>
        <w:rPr>
          <w:rFonts w:hint="eastAsia"/>
          <w:sz w:val="24"/>
          <w:szCs w:val="24"/>
          <w:lang w:val="en-US" w:eastAsia="zh-CN"/>
        </w:rPr>
        <w:t>且</w:t>
      </w:r>
      <w:r>
        <w:rPr>
          <w:rFonts w:hint="default"/>
          <w:sz w:val="24"/>
          <w:szCs w:val="24"/>
          <w:lang w:val="en-US" w:eastAsia="zh-CN"/>
        </w:rPr>
        <w:t>不宜埋地敷设的管道可在管沟内敷设；</w:t>
      </w:r>
    </w:p>
    <w:p>
      <w:pPr>
        <w:ind w:left="0" w:leftChars="0" w:firstLine="441" w:firstLineChars="183"/>
        <w:rPr>
          <w:rFonts w:hint="default" w:eastAsia="宋体" w:cs="Times New Roman"/>
          <w:color w:val="000000" w:themeColor="text1"/>
          <w:sz w:val="24"/>
          <w:szCs w:val="24"/>
          <w:highlight w:val="none"/>
          <w:lang w:val="en-US" w:eastAsia="zh-CN"/>
          <w14:textFill>
            <w14:solidFill>
              <w14:schemeClr w14:val="tx1"/>
            </w14:solidFill>
          </w14:textFill>
        </w:rPr>
      </w:pPr>
      <w:r>
        <w:rPr>
          <w:rFonts w:hint="eastAsia" w:cs="Times New Roman"/>
          <w:b/>
          <w:bCs/>
          <w:color w:val="000000" w:themeColor="text1"/>
          <w:sz w:val="24"/>
          <w:szCs w:val="24"/>
          <w:highlight w:val="none"/>
          <w:lang w:val="en-US" w:eastAsia="zh-CN"/>
          <w14:textFill>
            <w14:solidFill>
              <w14:schemeClr w14:val="tx1"/>
            </w14:solidFill>
          </w14:textFill>
        </w:rPr>
        <w:t>2</w:t>
      </w:r>
      <w:r>
        <w:rPr>
          <w:rFonts w:cs="Times New Roman"/>
          <w:color w:val="000000" w:themeColor="text1"/>
          <w:sz w:val="24"/>
          <w:szCs w:val="24"/>
          <w:highlight w:val="none"/>
          <w14:textFill>
            <w14:solidFill>
              <w14:schemeClr w14:val="tx1"/>
            </w14:solidFill>
          </w14:textFill>
        </w:rPr>
        <w:t>　</w:t>
      </w:r>
      <w:r>
        <w:rPr>
          <w:rFonts w:hint="eastAsia" w:cs="Times New Roman"/>
          <w:color w:val="000000" w:themeColor="text1"/>
          <w:sz w:val="24"/>
          <w:szCs w:val="24"/>
          <w:highlight w:val="none"/>
          <w:lang w:val="en-US" w:eastAsia="zh-CN"/>
          <w14:textFill>
            <w14:solidFill>
              <w14:schemeClr w14:val="tx1"/>
            </w14:solidFill>
          </w14:textFill>
        </w:rPr>
        <w:t>需要经常检查或维修的管道宜选用敞开式半地下管沟，且沟壁顶面应高出地面100mm；</w:t>
      </w:r>
    </w:p>
    <w:p>
      <w:pPr>
        <w:ind w:left="0" w:leftChars="0" w:firstLine="441" w:firstLineChars="183"/>
        <w:rPr>
          <w:rFonts w:hint="default"/>
          <w:sz w:val="24"/>
          <w:szCs w:val="24"/>
          <w:highlight w:val="none"/>
          <w:lang w:val="en-US" w:eastAsia="zh-CN"/>
        </w:rPr>
      </w:pPr>
      <w:r>
        <w:rPr>
          <w:rFonts w:hint="eastAsia" w:cs="Times New Roman"/>
          <w:b/>
          <w:bCs/>
          <w:color w:val="000000" w:themeColor="text1"/>
          <w:sz w:val="24"/>
          <w:szCs w:val="24"/>
          <w:highlight w:val="none"/>
          <w:lang w:val="en-US" w:eastAsia="zh-CN"/>
          <w14:textFill>
            <w14:solidFill>
              <w14:schemeClr w14:val="tx1"/>
            </w14:solidFill>
          </w14:textFill>
        </w:rPr>
        <w:t>3</w:t>
      </w:r>
      <w:r>
        <w:rPr>
          <w:rFonts w:cs="Times New Roman"/>
          <w:color w:val="000000" w:themeColor="text1"/>
          <w:sz w:val="24"/>
          <w:szCs w:val="24"/>
          <w:highlight w:val="none"/>
          <w14:textFill>
            <w14:solidFill>
              <w14:schemeClr w14:val="tx1"/>
            </w14:solidFill>
          </w14:textFill>
        </w:rPr>
        <w:t>　</w:t>
      </w:r>
      <w:r>
        <w:rPr>
          <w:rFonts w:hint="default"/>
          <w:sz w:val="24"/>
          <w:szCs w:val="24"/>
          <w:highlight w:val="none"/>
          <w:lang w:val="en-US" w:eastAsia="zh-CN"/>
        </w:rPr>
        <w:t>当管道不保温时，管底距沟底净空不应小于200mm，保温管道不应小于300mm；</w:t>
      </w:r>
    </w:p>
    <w:p>
      <w:pPr>
        <w:ind w:left="0" w:leftChars="0" w:firstLine="441" w:firstLineChars="183"/>
        <w:rPr>
          <w:rFonts w:hint="default"/>
          <w:sz w:val="24"/>
          <w:szCs w:val="24"/>
          <w:highlight w:val="none"/>
          <w:lang w:val="en-US" w:eastAsia="zh-CN"/>
        </w:rPr>
      </w:pPr>
      <w:r>
        <w:rPr>
          <w:rFonts w:hint="eastAsia" w:cs="Times New Roman"/>
          <w:b/>
          <w:bCs/>
          <w:color w:val="000000" w:themeColor="text1"/>
          <w:sz w:val="24"/>
          <w:szCs w:val="24"/>
          <w:highlight w:val="none"/>
          <w:lang w:val="en-US" w:eastAsia="zh-CN"/>
          <w14:textFill>
            <w14:solidFill>
              <w14:schemeClr w14:val="tx1"/>
            </w14:solidFill>
          </w14:textFill>
        </w:rPr>
        <w:t>4</w:t>
      </w:r>
      <w:r>
        <w:rPr>
          <w:rFonts w:cs="Times New Roman"/>
          <w:color w:val="000000" w:themeColor="text1"/>
          <w:sz w:val="24"/>
          <w:szCs w:val="24"/>
          <w:highlight w:val="none"/>
          <w14:textFill>
            <w14:solidFill>
              <w14:schemeClr w14:val="tx1"/>
            </w14:solidFill>
          </w14:textFill>
        </w:rPr>
        <w:t>　</w:t>
      </w:r>
      <w:r>
        <w:rPr>
          <w:rFonts w:hint="default"/>
          <w:sz w:val="24"/>
          <w:szCs w:val="24"/>
          <w:lang w:val="en-US" w:eastAsia="zh-CN"/>
        </w:rPr>
        <w:t>室外管沟沟底应有不小于3‰的坡度，室内管沟沟底应有不小于2‰的坡度；</w:t>
      </w:r>
    </w:p>
    <w:p>
      <w:pPr>
        <w:ind w:left="0" w:leftChars="0" w:firstLine="441" w:firstLineChars="183"/>
        <w:rPr>
          <w:rFonts w:hint="default"/>
          <w:sz w:val="24"/>
          <w:szCs w:val="24"/>
          <w:lang w:val="en-US" w:eastAsia="zh-CN"/>
        </w:rPr>
      </w:pPr>
      <w:r>
        <w:rPr>
          <w:rFonts w:hint="eastAsia" w:cs="Times New Roman"/>
          <w:b/>
          <w:bCs/>
          <w:color w:val="000000" w:themeColor="text1"/>
          <w:sz w:val="24"/>
          <w:szCs w:val="24"/>
          <w:highlight w:val="none"/>
          <w:lang w:val="en-US" w:eastAsia="zh-CN"/>
          <w14:textFill>
            <w14:solidFill>
              <w14:schemeClr w14:val="tx1"/>
            </w14:solidFill>
          </w14:textFill>
        </w:rPr>
        <w:t>5</w:t>
      </w:r>
      <w:r>
        <w:rPr>
          <w:rFonts w:cs="Times New Roman"/>
          <w:color w:val="000000" w:themeColor="text1"/>
          <w:sz w:val="24"/>
          <w:szCs w:val="24"/>
          <w:highlight w:val="none"/>
          <w14:textFill>
            <w14:solidFill>
              <w14:schemeClr w14:val="tx1"/>
            </w14:solidFill>
          </w14:textFill>
        </w:rPr>
        <w:t>　</w:t>
      </w:r>
      <w:r>
        <w:rPr>
          <w:rFonts w:hint="default"/>
          <w:sz w:val="24"/>
          <w:szCs w:val="24"/>
          <w:lang w:val="en-US" w:eastAsia="zh-CN"/>
        </w:rPr>
        <w:t>室内沟底最低点应有排水设施；</w:t>
      </w:r>
    </w:p>
    <w:p>
      <w:pPr>
        <w:ind w:left="0" w:leftChars="0" w:firstLine="441" w:firstLineChars="183"/>
        <w:rPr>
          <w:rFonts w:hint="default"/>
          <w:sz w:val="24"/>
          <w:szCs w:val="24"/>
          <w:lang w:val="en-US" w:eastAsia="zh-CN"/>
        </w:rPr>
      </w:pPr>
      <w:r>
        <w:rPr>
          <w:rFonts w:hint="eastAsia" w:cs="Times New Roman"/>
          <w:b/>
          <w:bCs/>
          <w:color w:val="000000" w:themeColor="text1"/>
          <w:sz w:val="24"/>
          <w:szCs w:val="24"/>
          <w:highlight w:val="none"/>
          <w:lang w:val="en-US" w:eastAsia="zh-CN"/>
          <w14:textFill>
            <w14:solidFill>
              <w14:schemeClr w14:val="tx1"/>
            </w14:solidFill>
          </w14:textFill>
        </w:rPr>
        <w:t>6</w:t>
      </w:r>
      <w:r>
        <w:rPr>
          <w:rFonts w:cs="Times New Roman"/>
          <w:color w:val="000000" w:themeColor="text1"/>
          <w:sz w:val="24"/>
          <w:szCs w:val="24"/>
          <w:highlight w:val="none"/>
          <w14:textFill>
            <w14:solidFill>
              <w14:schemeClr w14:val="tx1"/>
            </w14:solidFill>
          </w14:textFill>
        </w:rPr>
        <w:t>　</w:t>
      </w:r>
      <w:r>
        <w:rPr>
          <w:rFonts w:hint="default"/>
          <w:sz w:val="24"/>
          <w:szCs w:val="24"/>
          <w:lang w:val="en-US" w:eastAsia="zh-CN"/>
        </w:rPr>
        <w:t>管沟进出建筑结构处应设密封隔断。</w:t>
      </w:r>
    </w:p>
    <w:p>
      <w:pPr>
        <w:ind w:left="0" w:leftChars="0" w:firstLine="0" w:firstLineChars="0"/>
        <w:rPr>
          <w:rFonts w:hint="eastAsia" w:cs="Times New Roman"/>
          <w:color w:val="000000" w:themeColor="text1"/>
          <w:sz w:val="24"/>
          <w:szCs w:val="24"/>
          <w:highlight w:val="none"/>
          <w:lang w:val="en-US" w:eastAsia="zh-CN"/>
          <w14:textFill>
            <w14:solidFill>
              <w14:schemeClr w14:val="tx1"/>
            </w14:solidFill>
          </w14:textFill>
        </w:rPr>
      </w:pPr>
      <w:r>
        <w:rPr>
          <w:rFonts w:hint="eastAsia" w:cs="Times New Roman"/>
          <w:b/>
          <w:color w:val="000000" w:themeColor="text1"/>
          <w:sz w:val="24"/>
          <w:szCs w:val="24"/>
          <w:highlight w:val="none"/>
          <w:lang w:val="en-US" w:eastAsia="zh-CN"/>
          <w14:textFill>
            <w14:solidFill>
              <w14:schemeClr w14:val="tx1"/>
            </w14:solidFill>
          </w14:textFill>
        </w:rPr>
        <w:t>5.2.17</w:t>
      </w:r>
      <w:r>
        <w:rPr>
          <w:rFonts w:cs="Times New Roman"/>
          <w:color w:val="000000" w:themeColor="text1"/>
          <w:sz w:val="24"/>
          <w:szCs w:val="24"/>
          <w:highlight w:val="none"/>
          <w14:textFill>
            <w14:solidFill>
              <w14:schemeClr w14:val="tx1"/>
            </w14:solidFill>
          </w14:textFill>
        </w:rPr>
        <w:t>　</w:t>
      </w:r>
      <w:r>
        <w:rPr>
          <w:rFonts w:hint="eastAsia" w:cs="Times New Roman"/>
          <w:color w:val="000000" w:themeColor="text1"/>
          <w:sz w:val="24"/>
          <w:szCs w:val="24"/>
          <w:highlight w:val="none"/>
          <w14:textFill>
            <w14:solidFill>
              <w14:schemeClr w14:val="tx1"/>
            </w14:solidFill>
          </w14:textFill>
        </w:rPr>
        <w:t>埋地管道</w:t>
      </w:r>
      <w:r>
        <w:rPr>
          <w:rFonts w:hint="eastAsia" w:cs="Times New Roman"/>
          <w:color w:val="000000" w:themeColor="text1"/>
          <w:sz w:val="24"/>
          <w:szCs w:val="24"/>
          <w:highlight w:val="none"/>
          <w:lang w:val="en-US" w:eastAsia="zh-CN"/>
          <w14:textFill>
            <w14:solidFill>
              <w14:schemeClr w14:val="tx1"/>
            </w14:solidFill>
          </w14:textFill>
        </w:rPr>
        <w:t>覆土厚度应根据道路的行车等级、管材受压强度、地基承载力、最大冻土深度、地下水位等</w:t>
      </w:r>
      <w:r>
        <w:rPr>
          <w:rFonts w:hint="eastAsia" w:cs="Times New Roman"/>
          <w:color w:val="000000" w:themeColor="text1"/>
          <w:sz w:val="24"/>
          <w:szCs w:val="24"/>
          <w:highlight w:val="none"/>
          <w14:textFill>
            <w14:solidFill>
              <w14:schemeClr w14:val="tx1"/>
            </w14:solidFill>
          </w14:textFill>
        </w:rPr>
        <w:t>确定</w:t>
      </w:r>
      <w:r>
        <w:rPr>
          <w:rFonts w:hint="eastAsia" w:cs="Times New Roman"/>
          <w:color w:val="000000" w:themeColor="text1"/>
          <w:sz w:val="24"/>
          <w:szCs w:val="24"/>
          <w:highlight w:val="none"/>
          <w:lang w:eastAsia="zh-CN"/>
          <w14:textFill>
            <w14:solidFill>
              <w14:schemeClr w14:val="tx1"/>
            </w14:solidFill>
          </w14:textFill>
        </w:rPr>
        <w:t>，</w:t>
      </w:r>
      <w:r>
        <w:rPr>
          <w:rFonts w:hint="eastAsia" w:cs="Times New Roman"/>
          <w:color w:val="000000" w:themeColor="text1"/>
          <w:sz w:val="24"/>
          <w:szCs w:val="24"/>
          <w:highlight w:val="none"/>
          <w:lang w:val="en-US" w:eastAsia="zh-CN"/>
          <w14:textFill>
            <w14:solidFill>
              <w14:schemeClr w14:val="tx1"/>
            </w14:solidFill>
          </w14:textFill>
        </w:rPr>
        <w:t>并应符合下列规定：</w:t>
      </w:r>
    </w:p>
    <w:p>
      <w:pPr>
        <w:ind w:left="0" w:leftChars="0" w:firstLine="663" w:firstLineChars="275"/>
        <w:rPr>
          <w:rFonts w:hint="eastAsia" w:cs="Times New Roman"/>
          <w:color w:val="000000" w:themeColor="text1"/>
          <w:sz w:val="24"/>
          <w:szCs w:val="24"/>
          <w:highlight w:val="none"/>
          <w14:textFill>
            <w14:solidFill>
              <w14:schemeClr w14:val="tx1"/>
            </w14:solidFill>
          </w14:textFill>
        </w:rPr>
      </w:pPr>
      <w:r>
        <w:rPr>
          <w:rFonts w:hint="eastAsia" w:cs="Times New Roman"/>
          <w:b/>
          <w:bCs/>
          <w:color w:val="000000" w:themeColor="text1"/>
          <w:sz w:val="24"/>
          <w:szCs w:val="24"/>
          <w:highlight w:val="none"/>
          <w:lang w:val="en-US" w:eastAsia="zh-CN"/>
          <w14:textFill>
            <w14:solidFill>
              <w14:schemeClr w14:val="tx1"/>
            </w14:solidFill>
          </w14:textFill>
        </w:rPr>
        <w:t>1</w:t>
      </w:r>
      <w:r>
        <w:rPr>
          <w:rFonts w:cs="Times New Roman"/>
          <w:color w:val="000000" w:themeColor="text1"/>
          <w:sz w:val="24"/>
          <w:szCs w:val="24"/>
          <w:highlight w:val="none"/>
          <w14:textFill>
            <w14:solidFill>
              <w14:schemeClr w14:val="tx1"/>
            </w14:solidFill>
          </w14:textFill>
        </w:rPr>
        <w:t>　</w:t>
      </w:r>
      <w:r>
        <w:rPr>
          <w:rFonts w:hint="eastAsia" w:cs="Times New Roman"/>
          <w:color w:val="000000" w:themeColor="text1"/>
          <w:sz w:val="24"/>
          <w:szCs w:val="24"/>
          <w:highlight w:val="none"/>
          <w14:textFill>
            <w14:solidFill>
              <w14:schemeClr w14:val="tx1"/>
            </w14:solidFill>
          </w14:textFill>
        </w:rPr>
        <w:t>管顶应在地面冻土层以下；</w:t>
      </w:r>
    </w:p>
    <w:p>
      <w:pPr>
        <w:ind w:left="0" w:leftChars="0" w:firstLine="663" w:firstLineChars="275"/>
        <w:rPr>
          <w:rFonts w:hint="eastAsia" w:cs="Times New Roman"/>
          <w:color w:val="000000" w:themeColor="text1"/>
          <w:sz w:val="24"/>
          <w:szCs w:val="24"/>
          <w:highlight w:val="none"/>
          <w14:textFill>
            <w14:solidFill>
              <w14:schemeClr w14:val="tx1"/>
            </w14:solidFill>
          </w14:textFill>
        </w:rPr>
      </w:pPr>
      <w:r>
        <w:rPr>
          <w:rFonts w:hint="eastAsia" w:cs="Times New Roman"/>
          <w:b/>
          <w:bCs/>
          <w:color w:val="000000" w:themeColor="text1"/>
          <w:sz w:val="24"/>
          <w:szCs w:val="24"/>
          <w:highlight w:val="none"/>
          <w:lang w:val="en-US" w:eastAsia="zh-CN"/>
          <w14:textFill>
            <w14:solidFill>
              <w14:schemeClr w14:val="tx1"/>
            </w14:solidFill>
          </w14:textFill>
        </w:rPr>
        <w:t>2</w:t>
      </w:r>
      <w:r>
        <w:rPr>
          <w:rFonts w:cs="Times New Roman"/>
          <w:color w:val="000000" w:themeColor="text1"/>
          <w:sz w:val="24"/>
          <w:szCs w:val="24"/>
          <w:highlight w:val="none"/>
          <w14:textFill>
            <w14:solidFill>
              <w14:schemeClr w14:val="tx1"/>
            </w14:solidFill>
          </w14:textFill>
        </w:rPr>
        <w:t>　</w:t>
      </w:r>
      <w:r>
        <w:rPr>
          <w:rFonts w:hint="eastAsia" w:cs="Times New Roman"/>
          <w:color w:val="000000" w:themeColor="text1"/>
          <w:sz w:val="24"/>
          <w:szCs w:val="24"/>
          <w:highlight w:val="none"/>
          <w14:textFill>
            <w14:solidFill>
              <w14:schemeClr w14:val="tx1"/>
            </w14:solidFill>
          </w14:textFill>
        </w:rPr>
        <w:t>在室内或室外有混凝土地面的区域，管顶距地面</w:t>
      </w:r>
      <w:r>
        <w:rPr>
          <w:rFonts w:hint="eastAsia" w:cs="Times New Roman"/>
          <w:color w:val="000000" w:themeColor="text1"/>
          <w:sz w:val="24"/>
          <w:szCs w:val="24"/>
          <w:highlight w:val="none"/>
          <w:lang w:val="en-US" w:eastAsia="zh-CN"/>
          <w14:textFill>
            <w14:solidFill>
              <w14:schemeClr w14:val="tx1"/>
            </w14:solidFill>
          </w14:textFill>
        </w:rPr>
        <w:t>净距</w:t>
      </w:r>
      <w:r>
        <w:rPr>
          <w:rFonts w:hint="eastAsia" w:cs="Times New Roman"/>
          <w:color w:val="000000" w:themeColor="text1"/>
          <w:sz w:val="24"/>
          <w:szCs w:val="24"/>
          <w:highlight w:val="none"/>
          <w14:textFill>
            <w14:solidFill>
              <w14:schemeClr w14:val="tx1"/>
            </w14:solidFill>
          </w14:textFill>
        </w:rPr>
        <w:t>不宜小于0.</w:t>
      </w:r>
      <w:r>
        <w:rPr>
          <w:rFonts w:hint="eastAsia" w:cs="Times New Roman"/>
          <w:color w:val="000000" w:themeColor="text1"/>
          <w:sz w:val="24"/>
          <w:szCs w:val="24"/>
          <w:highlight w:val="none"/>
          <w:lang w:val="en-US" w:eastAsia="zh-CN"/>
          <w14:textFill>
            <w14:solidFill>
              <w14:schemeClr w14:val="tx1"/>
            </w14:solidFill>
          </w14:textFill>
        </w:rPr>
        <w:t>5m</w:t>
      </w:r>
      <w:r>
        <w:rPr>
          <w:rFonts w:hint="eastAsia" w:cs="Times New Roman"/>
          <w:color w:val="000000" w:themeColor="text1"/>
          <w:sz w:val="24"/>
          <w:szCs w:val="24"/>
          <w:highlight w:val="none"/>
          <w14:textFill>
            <w14:solidFill>
              <w14:schemeClr w14:val="tx1"/>
            </w14:solidFill>
          </w14:textFill>
        </w:rPr>
        <w:t>；</w:t>
      </w:r>
    </w:p>
    <w:p>
      <w:pPr>
        <w:ind w:left="0" w:leftChars="0" w:firstLine="663" w:firstLineChars="275"/>
        <w:rPr>
          <w:rFonts w:hint="eastAsia" w:cs="Times New Roman"/>
          <w:color w:val="000000" w:themeColor="text1"/>
          <w:sz w:val="24"/>
          <w:szCs w:val="24"/>
          <w:highlight w:val="none"/>
          <w14:textFill>
            <w14:solidFill>
              <w14:schemeClr w14:val="tx1"/>
            </w14:solidFill>
          </w14:textFill>
        </w:rPr>
      </w:pPr>
      <w:r>
        <w:rPr>
          <w:rFonts w:hint="eastAsia" w:cs="Times New Roman"/>
          <w:b/>
          <w:bCs/>
          <w:color w:val="000000" w:themeColor="text1"/>
          <w:sz w:val="24"/>
          <w:szCs w:val="24"/>
          <w:highlight w:val="none"/>
          <w:lang w:val="en-US" w:eastAsia="zh-CN"/>
          <w14:textFill>
            <w14:solidFill>
              <w14:schemeClr w14:val="tx1"/>
            </w14:solidFill>
          </w14:textFill>
        </w:rPr>
        <w:t>3</w:t>
      </w:r>
      <w:r>
        <w:rPr>
          <w:rFonts w:cs="Times New Roman"/>
          <w:color w:val="000000" w:themeColor="text1"/>
          <w:sz w:val="24"/>
          <w:szCs w:val="24"/>
          <w:highlight w:val="none"/>
          <w14:textFill>
            <w14:solidFill>
              <w14:schemeClr w14:val="tx1"/>
            </w14:solidFill>
          </w14:textFill>
        </w:rPr>
        <w:t>　</w:t>
      </w:r>
      <w:r>
        <w:rPr>
          <w:rFonts w:hint="eastAsia" w:cs="Times New Roman"/>
          <w:color w:val="000000" w:themeColor="text1"/>
          <w:sz w:val="24"/>
          <w:szCs w:val="24"/>
          <w:highlight w:val="none"/>
          <w14:textFill>
            <w14:solidFill>
              <w14:schemeClr w14:val="tx1"/>
            </w14:solidFill>
          </w14:textFill>
        </w:rPr>
        <w:t>通过机械车辆的通道下不宜小于</w:t>
      </w:r>
      <w:r>
        <w:rPr>
          <w:rFonts w:hint="eastAsia" w:cs="Times New Roman"/>
          <w:color w:val="000000" w:themeColor="text1"/>
          <w:sz w:val="24"/>
          <w:szCs w:val="24"/>
          <w:highlight w:val="none"/>
          <w:lang w:val="en-US" w:eastAsia="zh-CN"/>
          <w14:textFill>
            <w14:solidFill>
              <w14:schemeClr w14:val="tx1"/>
            </w14:solidFill>
          </w14:textFill>
        </w:rPr>
        <w:t>1.25m</w:t>
      </w:r>
      <w:r>
        <w:rPr>
          <w:rFonts w:hint="eastAsia" w:cs="Times New Roman"/>
          <w:color w:val="000000" w:themeColor="text1"/>
          <w:sz w:val="24"/>
          <w:szCs w:val="24"/>
          <w:highlight w:val="none"/>
          <w14:textFill>
            <w14:solidFill>
              <w14:schemeClr w14:val="tx1"/>
            </w14:solidFill>
          </w14:textFill>
        </w:rPr>
        <w:t>或釆用套管保护。</w:t>
      </w:r>
    </w:p>
    <w:p>
      <w:pPr>
        <w:rPr>
          <w:rFonts w:hint="default"/>
          <w:lang w:val="en-US" w:eastAsia="zh-CN"/>
        </w:rPr>
      </w:pPr>
    </w:p>
    <w:p>
      <w:pPr>
        <w:pStyle w:val="3"/>
        <w:bidi w:val="0"/>
        <w:rPr>
          <w:rFonts w:hint="default" w:ascii="Times New Roman" w:hAnsi="Times New Roman"/>
          <w:highlight w:val="none"/>
          <w:lang w:val="en-US" w:eastAsia="zh-CN"/>
        </w:rPr>
      </w:pPr>
      <w:bookmarkStart w:id="82" w:name="_Toc6800"/>
      <w:r>
        <w:rPr>
          <w:rFonts w:hint="eastAsia" w:ascii="Times New Roman" w:hAnsi="Times New Roman"/>
          <w:b/>
          <w:highlight w:val="none"/>
          <w:lang w:val="en-US" w:eastAsia="zh-CN"/>
        </w:rPr>
        <w:t>5.3</w:t>
      </w:r>
      <w:r>
        <w:rPr>
          <w:rFonts w:ascii="Times New Roman" w:hAnsi="Times New Roman"/>
          <w:highlight w:val="none"/>
        </w:rPr>
        <w:t>　</w:t>
      </w:r>
      <w:r>
        <w:rPr>
          <w:rFonts w:hint="eastAsia" w:ascii="Times New Roman" w:hAnsi="Times New Roman"/>
          <w:highlight w:val="none"/>
          <w:lang w:val="en-US" w:eastAsia="zh-CN"/>
        </w:rPr>
        <w:t>阀门与附件</w:t>
      </w:r>
      <w:bookmarkEnd w:id="82"/>
    </w:p>
    <w:p>
      <w:pPr>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5.3.1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阀门应设置在易于操作、便于安装与维修的地方，并应留出操作空间。</w:t>
      </w:r>
    </w:p>
    <w:p>
      <w:pPr>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5.3.2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安装在水平管道上的阀门阀杆应朝上。</w:t>
      </w:r>
    </w:p>
    <w:p>
      <w:pPr>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5.3.3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垂直管道上的阀门的安装高度宜为1.2m。</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5.3.4</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阀门相邻布置时，手轮间的净距不宜小于150mm。</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5.3.5</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垃圾管道上应设置检修口，检修口的设置位置应满足下列要求：</w:t>
      </w:r>
    </w:p>
    <w:p>
      <w:pPr>
        <w:ind w:left="0" w:leftChars="0" w:firstLine="441" w:firstLineChars="183"/>
        <w:rPr>
          <w:rFonts w:hint="default"/>
          <w:lang w:val="en-US" w:eastAsia="zh-CN"/>
        </w:rPr>
      </w:pPr>
      <w:r>
        <w:rPr>
          <w:rFonts w:hint="eastAsia" w:cs="Times New Roman"/>
          <w:b/>
          <w:bCs/>
          <w:color w:val="000000" w:themeColor="text1"/>
          <w:sz w:val="24"/>
          <w:highlight w:val="none"/>
          <w:lang w:val="en-US" w:eastAsia="zh-CN"/>
          <w14:textFill>
            <w14:solidFill>
              <w14:schemeClr w14:val="tx1"/>
            </w14:solidFill>
          </w14:textFill>
        </w:rPr>
        <w:t>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储存节的上方应设检修口；</w:t>
      </w:r>
    </w:p>
    <w:p>
      <w:pPr>
        <w:ind w:left="0" w:leftChars="0" w:firstLine="441" w:firstLineChars="183"/>
        <w:rPr>
          <w:rFonts w:hint="default" w:eastAsia="宋体"/>
          <w:lang w:val="en-US" w:eastAsia="zh-CN"/>
        </w:rPr>
      </w:pPr>
      <w:r>
        <w:rPr>
          <w:rFonts w:hint="eastAsia" w:cs="Times New Roman"/>
          <w:b/>
          <w:bCs/>
          <w:color w:val="000000" w:themeColor="text1"/>
          <w:sz w:val="24"/>
          <w:highlight w:val="none"/>
          <w:lang w:val="en-US" w:eastAsia="zh-CN"/>
          <w14:textFill>
            <w14:solidFill>
              <w14:schemeClr w14:val="tx1"/>
            </w14:solidFill>
          </w14:textFill>
        </w:rPr>
        <w:t>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竖直管道的最顶端接驳口与变径管之间应设检修口；</w:t>
      </w:r>
    </w:p>
    <w:p>
      <w:pPr>
        <w:ind w:left="0" w:leftChars="0" w:firstLine="441" w:firstLineChars="183"/>
        <w:rPr>
          <w:rFonts w:hint="default" w:eastAsia="宋体"/>
          <w:lang w:val="en-US" w:eastAsia="zh-CN"/>
        </w:rPr>
      </w:pPr>
      <w:r>
        <w:rPr>
          <w:rFonts w:hint="eastAsia" w:cs="Times New Roman"/>
          <w:b/>
          <w:bCs/>
          <w:color w:val="000000" w:themeColor="text1"/>
          <w:sz w:val="24"/>
          <w:highlight w:val="none"/>
          <w:lang w:val="en-US" w:eastAsia="zh-CN"/>
          <w14:textFill>
            <w14:solidFill>
              <w14:schemeClr w14:val="tx1"/>
            </w14:solidFill>
          </w14:textFill>
        </w:rPr>
        <w:t>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水平管道每隔50m处以及弯头的前后应设置检修口。</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5.3.6</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支管与干管的连接处应设置分段阀。</w:t>
      </w:r>
    </w:p>
    <w:p>
      <w:pPr>
        <w:rPr>
          <w:rFonts w:hint="default" w:cs="Times New Roman"/>
          <w:color w:val="000000" w:themeColor="text1"/>
          <w:sz w:val="21"/>
          <w:szCs w:val="20"/>
          <w:highlight w:val="none"/>
          <w:u w:val="single"/>
          <w:lang w:val="en-US" w:eastAsia="zh-CN"/>
          <w14:textFill>
            <w14:solidFill>
              <w14:schemeClr w14:val="tx1"/>
            </w14:solidFill>
          </w14:textFill>
        </w:rPr>
      </w:pPr>
      <w:r>
        <w:rPr>
          <w:rFonts w:hint="eastAsia" w:cs="Times New Roman"/>
          <w:color w:val="000000" w:themeColor="text1"/>
          <w:sz w:val="21"/>
          <w:szCs w:val="20"/>
          <w:highlight w:val="none"/>
          <w:u w:val="single"/>
          <w:lang w:val="en-US" w:eastAsia="zh-CN"/>
          <w14:textFill>
            <w14:solidFill>
              <w14:schemeClr w14:val="tx1"/>
            </w14:solidFill>
          </w14:textFill>
        </w:rPr>
        <w:t>【条文说明】分段阀的作用在于，在系统工作时通过控制管道中各分段阀的启闭，早证输送系统中仅有一条管道处于通畅和抽吸状态，以保证输送管道的密封性和运输过程中输送垃圾的风速要求。</w:t>
      </w:r>
    </w:p>
    <w:p>
      <w:pPr>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5.3.7</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竖直管道上应设接驳口，连接室内垃圾投放口与竖直管道。</w:t>
      </w:r>
    </w:p>
    <w:p>
      <w:pPr>
        <w:ind w:left="0" w:leftChars="0" w:firstLine="0" w:firstLineChars="0"/>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5.3.8</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埋地管道在管道交汇处、转弯处、检修口处或坡度改变处及直线管段上每隔一定距离处应设检修井。</w:t>
      </w:r>
    </w:p>
    <w:p>
      <w:pPr>
        <w:rPr>
          <w:rFonts w:hint="eastAsia" w:cs="Times New Roman"/>
          <w:color w:val="000000" w:themeColor="text1"/>
          <w:sz w:val="24"/>
          <w:highlight w:val="none"/>
          <w:lang w:val="en-US" w:eastAsia="zh-CN"/>
          <w14:textFill>
            <w14:solidFill>
              <w14:schemeClr w14:val="tx1"/>
            </w14:solidFill>
          </w14:textFill>
        </w:rPr>
      </w:pPr>
      <w:r>
        <w:rPr>
          <w:rFonts w:hint="eastAsia"/>
          <w:u w:val="single"/>
          <w:lang w:val="en-US" w:eastAsia="zh-CN"/>
        </w:rPr>
        <w:t>【条文说明】检修井是用于埋地水平管道的检修空间。直线段上的间隔距离宜为80m。</w:t>
      </w:r>
    </w:p>
    <w:p>
      <w:pPr>
        <w:ind w:left="0" w:leftChars="0" w:firstLine="0" w:firstLineChars="0"/>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5.3.9</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检修井应满足下列要求：</w:t>
      </w:r>
    </w:p>
    <w:p>
      <w:pPr>
        <w:ind w:left="0" w:leftChars="0" w:firstLine="441" w:firstLineChars="183"/>
        <w:rPr>
          <w:rFonts w:hint="default"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szCs w:val="24"/>
          <w:highlight w:val="none"/>
          <w14:textFill>
            <w14:solidFill>
              <w14:schemeClr w14:val="tx1"/>
            </w14:solidFill>
          </w14:textFill>
        </w:rPr>
        <w:t>检修井大小能进入操作与拆装</w:t>
      </w:r>
      <w:r>
        <w:rPr>
          <w:rFonts w:hint="eastAsia" w:cs="Times New Roman"/>
          <w:color w:val="000000" w:themeColor="text1"/>
          <w:sz w:val="24"/>
          <w:szCs w:val="24"/>
          <w:highlight w:val="none"/>
          <w:lang w:eastAsia="zh-CN"/>
          <w14:textFill>
            <w14:solidFill>
              <w14:schemeClr w14:val="tx1"/>
            </w14:solidFill>
          </w14:textFill>
        </w:rPr>
        <w:t>，</w:t>
      </w:r>
      <w:r>
        <w:rPr>
          <w:rFonts w:hint="eastAsia" w:cs="Times New Roman"/>
          <w:color w:val="000000" w:themeColor="text1"/>
          <w:sz w:val="24"/>
          <w:highlight w:val="none"/>
          <w:lang w:val="en-US" w:eastAsia="zh-CN"/>
          <w14:textFill>
            <w14:solidFill>
              <w14:schemeClr w14:val="tx1"/>
            </w14:solidFill>
          </w14:textFill>
        </w:rPr>
        <w:t>检修井尺寸宜为1500×1500 mm；</w:t>
      </w:r>
    </w:p>
    <w:p>
      <w:pPr>
        <w:ind w:left="0" w:leftChars="0" w:firstLine="441" w:firstLineChars="183"/>
        <w:rPr>
          <w:rFonts w:cs="Times New Roman"/>
          <w:color w:val="000000" w:themeColor="text1"/>
          <w:sz w:val="24"/>
          <w:highlight w:val="none"/>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检修井宜采用混凝土结构；</w:t>
      </w:r>
    </w:p>
    <w:p>
      <w:pPr>
        <w:ind w:left="0" w:leftChars="0" w:firstLine="441" w:firstLineChars="183"/>
        <w:rPr>
          <w:rFonts w:hint="eastAsia"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szCs w:val="24"/>
          <w:highlight w:val="none"/>
          <w14:textFill>
            <w14:solidFill>
              <w14:schemeClr w14:val="tx1"/>
            </w14:solidFill>
          </w14:textFill>
        </w:rPr>
        <w:t>检修井井壁顶面应高出地面约100</w:t>
      </w:r>
      <w:r>
        <w:rPr>
          <w:rFonts w:hint="eastAsia" w:cs="Times New Roman"/>
          <w:color w:val="000000" w:themeColor="text1"/>
          <w:sz w:val="24"/>
          <w:szCs w:val="24"/>
          <w:highlight w:val="none"/>
          <w:lang w:val="en-US" w:eastAsia="zh-CN"/>
          <w14:textFill>
            <w14:solidFill>
              <w14:schemeClr w14:val="tx1"/>
            </w14:solidFill>
          </w14:textFill>
        </w:rPr>
        <w:t>mm</w:t>
      </w:r>
      <w:r>
        <w:rPr>
          <w:rFonts w:hint="eastAsia" w:cs="Times New Roman"/>
          <w:color w:val="000000" w:themeColor="text1"/>
          <w:sz w:val="24"/>
          <w:szCs w:val="24"/>
          <w:highlight w:val="none"/>
          <w14:textFill>
            <w14:solidFill>
              <w14:schemeClr w14:val="tx1"/>
            </w14:solidFill>
          </w14:textFill>
        </w:rPr>
        <w:t>，且应设盖板</w:t>
      </w:r>
      <w:r>
        <w:rPr>
          <w:rFonts w:hint="eastAsia" w:cs="Times New Roman"/>
          <w:color w:val="000000" w:themeColor="text1"/>
          <w:sz w:val="24"/>
          <w:szCs w:val="24"/>
          <w:highlight w:val="none"/>
          <w:lang w:eastAsia="zh-CN"/>
          <w14:textFill>
            <w14:solidFill>
              <w14:schemeClr w14:val="tx1"/>
            </w14:solidFill>
          </w14:textFill>
        </w:rPr>
        <w:t>；</w:t>
      </w:r>
    </w:p>
    <w:p>
      <w:pPr>
        <w:ind w:left="0" w:leftChars="0" w:firstLine="441" w:firstLineChars="183"/>
        <w:rPr>
          <w:rFonts w:hint="eastAsia" w:cs="Times New Roman"/>
          <w:color w:val="000000" w:themeColor="text1"/>
          <w:sz w:val="24"/>
          <w:szCs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4</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szCs w:val="24"/>
          <w:highlight w:val="none"/>
          <w14:textFill>
            <w14:solidFill>
              <w14:schemeClr w14:val="tx1"/>
            </w14:solidFill>
          </w14:textFill>
        </w:rPr>
        <w:t>井底离管底净空不应小于200</w:t>
      </w:r>
      <w:r>
        <w:rPr>
          <w:rFonts w:hint="eastAsia" w:cs="Times New Roman"/>
          <w:color w:val="000000" w:themeColor="text1"/>
          <w:sz w:val="24"/>
          <w:szCs w:val="24"/>
          <w:highlight w:val="none"/>
          <w:lang w:val="en-US" w:eastAsia="zh-CN"/>
          <w14:textFill>
            <w14:solidFill>
              <w14:schemeClr w14:val="tx1"/>
            </w14:solidFill>
          </w14:textFill>
        </w:rPr>
        <w:t>mm</w:t>
      </w:r>
      <w:r>
        <w:rPr>
          <w:rFonts w:hint="eastAsia" w:cs="Times New Roman"/>
          <w:color w:val="000000" w:themeColor="text1"/>
          <w:sz w:val="24"/>
          <w:szCs w:val="24"/>
          <w:highlight w:val="none"/>
          <w14:textFill>
            <w14:solidFill>
              <w14:schemeClr w14:val="tx1"/>
            </w14:solidFill>
          </w14:textFill>
        </w:rPr>
        <w:t>，保温管道不应小于300</w:t>
      </w:r>
      <w:r>
        <w:rPr>
          <w:rFonts w:hint="eastAsia" w:cs="Times New Roman"/>
          <w:color w:val="000000" w:themeColor="text1"/>
          <w:sz w:val="24"/>
          <w:szCs w:val="24"/>
          <w:highlight w:val="none"/>
          <w:lang w:val="en-US" w:eastAsia="zh-CN"/>
          <w14:textFill>
            <w14:solidFill>
              <w14:schemeClr w14:val="tx1"/>
            </w14:solidFill>
          </w14:textFill>
        </w:rPr>
        <w:t>mm；</w:t>
      </w:r>
    </w:p>
    <w:p>
      <w:pPr>
        <w:ind w:left="0" w:leftChars="0" w:firstLine="441" w:firstLineChars="183"/>
        <w:rPr>
          <w:rFonts w:hint="default"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5</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szCs w:val="24"/>
          <w:highlight w:val="none"/>
          <w14:textFill>
            <w14:solidFill>
              <w14:schemeClr w14:val="tx1"/>
            </w14:solidFill>
          </w14:textFill>
        </w:rPr>
        <w:t>检修井应设排水</w:t>
      </w:r>
      <w:r>
        <w:rPr>
          <w:rFonts w:hint="eastAsia" w:cs="Times New Roman"/>
          <w:color w:val="000000" w:themeColor="text1"/>
          <w:sz w:val="24"/>
          <w:szCs w:val="24"/>
          <w:highlight w:val="none"/>
          <w:lang w:val="en-US" w:eastAsia="zh-CN"/>
          <w14:textFill>
            <w14:solidFill>
              <w14:schemeClr w14:val="tx1"/>
            </w14:solidFill>
          </w14:textFill>
        </w:rPr>
        <w:t>设施。</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5.3.10</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排气阀室应位置建筑物首层。</w:t>
      </w:r>
    </w:p>
    <w:p>
      <w:pPr>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5.3.11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排气阀室的标准尺寸宜为2500mm（W）×3500 mm（L）×4400 mm（H）。</w:t>
      </w:r>
    </w:p>
    <w:p>
      <w:pPr>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5.3.12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排气阀室应处于负压状态。</w:t>
      </w:r>
    </w:p>
    <w:p>
      <w:pPr>
        <w:snapToGrid/>
        <w:spacing w:after="0" w:line="240" w:lineRule="auto"/>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5.3.13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储存节应设置在竖直管道底端的排放阀上方，与排放阀通过法兰连接。</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5.3.14</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切换阀应满足下列要求：</w:t>
      </w:r>
    </w:p>
    <w:p>
      <w:pPr>
        <w:ind w:left="0" w:leftChars="0" w:firstLine="441" w:firstLineChars="183"/>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当需要切换垃圾管道时切换阀应能自动启动；</w:t>
      </w:r>
    </w:p>
    <w:p>
      <w:pPr>
        <w:ind w:left="0" w:leftChars="0" w:firstLine="441" w:firstLineChars="183"/>
        <w:rPr>
          <w:rFonts w:cs="Times New Roman"/>
          <w:color w:val="000000" w:themeColor="text1"/>
          <w:sz w:val="24"/>
          <w:highlight w:val="none"/>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材质应为低碳钢；</w:t>
      </w:r>
    </w:p>
    <w:p>
      <w:pPr>
        <w:ind w:left="0" w:leftChars="0" w:firstLine="441" w:firstLineChars="183"/>
        <w:rPr>
          <w:rFonts w:cs="Times New Roman"/>
          <w:color w:val="000000" w:themeColor="text1"/>
          <w:sz w:val="24"/>
          <w:highlight w:val="none"/>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切换阀与管道之间应采用法兰连接；</w:t>
      </w:r>
    </w:p>
    <w:p>
      <w:pPr>
        <w:ind w:left="0" w:leftChars="0" w:firstLine="441" w:firstLineChars="183"/>
        <w:rPr>
          <w:rFonts w:hint="default"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4</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控制方式应为气动驱动。</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5.3.15</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分段阀应满足下列要求：</w:t>
      </w:r>
    </w:p>
    <w:p>
      <w:pPr>
        <w:ind w:left="0" w:leftChars="0" w:firstLine="441" w:firstLineChars="183"/>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当需要局部维修或发生事故时可手动控制启闭；</w:t>
      </w:r>
    </w:p>
    <w:p>
      <w:pPr>
        <w:ind w:left="0" w:leftChars="0" w:firstLine="441" w:firstLineChars="183"/>
        <w:rPr>
          <w:rFonts w:cs="Times New Roman"/>
          <w:color w:val="000000" w:themeColor="text1"/>
          <w:sz w:val="24"/>
          <w:highlight w:val="none"/>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材质应为低碳钢；</w:t>
      </w:r>
    </w:p>
    <w:p>
      <w:pPr>
        <w:ind w:left="0" w:leftChars="0" w:firstLine="441" w:firstLineChars="183"/>
        <w:rPr>
          <w:rFonts w:hint="default"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控制方式应为气动驱动。</w:t>
      </w:r>
    </w:p>
    <w:p>
      <w:pPr>
        <w:rPr>
          <w:rFonts w:hint="eastAsia"/>
          <w:lang w:val="en-US" w:eastAsia="zh-CN"/>
        </w:rPr>
      </w:pPr>
    </w:p>
    <w:p>
      <w:pPr>
        <w:rPr>
          <w:rFonts w:hint="default"/>
          <w:lang w:val="en-US" w:eastAsia="zh-CN"/>
        </w:rPr>
      </w:pPr>
    </w:p>
    <w:p>
      <w:pPr>
        <w:widowControl w:val="0"/>
        <w:snapToGrid w:val="0"/>
        <w:spacing w:after="0" w:line="360" w:lineRule="auto"/>
        <w:ind w:firstLine="387" w:firstLineChars="176"/>
        <w:jc w:val="left"/>
        <w:rPr>
          <w:rFonts w:cs="Times New Roman"/>
          <w:color w:val="000000" w:themeColor="text1"/>
          <w:highlight w:val="none"/>
          <w14:textFill>
            <w14:solidFill>
              <w14:schemeClr w14:val="tx1"/>
            </w14:solidFill>
          </w14:textFill>
        </w:rPr>
      </w:pPr>
      <w:bookmarkStart w:id="83" w:name="_Toc13473432"/>
      <w:bookmarkStart w:id="84" w:name="_Toc13746275"/>
      <w:bookmarkStart w:id="85" w:name="_Toc12354318"/>
      <w:bookmarkStart w:id="86" w:name="_Toc13821483"/>
      <w:bookmarkStart w:id="87" w:name="_Toc10014469"/>
      <w:bookmarkStart w:id="88" w:name="_Toc6920056"/>
      <w:bookmarkStart w:id="89" w:name="_Toc6824119"/>
      <w:bookmarkStart w:id="90" w:name="_Toc6839358"/>
      <w:r>
        <w:rPr>
          <w:rFonts w:cs="Times New Roman"/>
          <w:color w:val="000000" w:themeColor="text1"/>
          <w:highlight w:val="none"/>
          <w14:textFill>
            <w14:solidFill>
              <w14:schemeClr w14:val="tx1"/>
            </w14:solidFill>
          </w14:textFill>
        </w:rPr>
        <w:br w:type="page"/>
      </w:r>
    </w:p>
    <w:bookmarkEnd w:id="83"/>
    <w:bookmarkEnd w:id="84"/>
    <w:bookmarkEnd w:id="85"/>
    <w:bookmarkEnd w:id="86"/>
    <w:bookmarkEnd w:id="87"/>
    <w:bookmarkEnd w:id="88"/>
    <w:bookmarkEnd w:id="89"/>
    <w:bookmarkEnd w:id="90"/>
    <w:p>
      <w:pPr>
        <w:pStyle w:val="2"/>
        <w:bidi w:val="0"/>
        <w:rPr>
          <w:rFonts w:hint="eastAsia"/>
          <w:lang w:val="en-US" w:eastAsia="zh-CN"/>
        </w:rPr>
      </w:pPr>
      <w:bookmarkStart w:id="91" w:name="_Toc19681"/>
      <w:r>
        <w:rPr>
          <w:rFonts w:hint="eastAsia"/>
          <w:lang w:val="en-US" w:eastAsia="zh-CN"/>
        </w:rPr>
        <w:t>6</w:t>
      </w:r>
      <w:r>
        <w:rPr>
          <w:rFonts w:ascii="Times New Roman" w:hAnsi="Times New Roman"/>
          <w:highlight w:val="none"/>
        </w:rPr>
        <w:t>　</w:t>
      </w:r>
      <w:r>
        <w:rPr>
          <w:rFonts w:hint="eastAsia"/>
          <w:lang w:val="en-US" w:eastAsia="zh-CN"/>
        </w:rPr>
        <w:t>收集站</w:t>
      </w:r>
      <w:bookmarkEnd w:id="91"/>
    </w:p>
    <w:p>
      <w:pPr>
        <w:pStyle w:val="3"/>
        <w:bidi w:val="0"/>
        <w:rPr>
          <w:rFonts w:hint="eastAsia"/>
          <w:lang w:val="en-US" w:eastAsia="zh-CN"/>
        </w:rPr>
      </w:pPr>
      <w:bookmarkStart w:id="92" w:name="_Toc26865"/>
      <w:r>
        <w:rPr>
          <w:rFonts w:hint="eastAsia" w:ascii="Times New Roman" w:hAnsi="Times New Roman"/>
          <w:b/>
          <w:highlight w:val="none"/>
          <w:lang w:val="en-US" w:eastAsia="zh-CN"/>
        </w:rPr>
        <w:t>6.1　</w:t>
      </w:r>
      <w:r>
        <w:rPr>
          <w:rFonts w:hint="eastAsia"/>
          <w:lang w:val="en-US" w:eastAsia="zh-CN"/>
        </w:rPr>
        <w:t>一般规定</w:t>
      </w:r>
      <w:bookmarkEnd w:id="92"/>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6.1.1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收集站内装置、设备的布置应满足工艺流程、安全生产和环境保护的要求，并应经济合理、节能节地。</w:t>
      </w:r>
    </w:p>
    <w:p>
      <w:pPr>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6.1.2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收集站布局应合理，宜设置在交通便利的地方，并应具备供水、供电、污水排放等条件。</w:t>
      </w:r>
    </w:p>
    <w:p>
      <w:pPr>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6.1.3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收集站地面应硬化。</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6.1.4</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收集站周边应注意环境绿化，并应与周围环境相协调。</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6.1.5</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除尘效果应符合现行国家标准《环境空气质量标准》GB 3095、《恶臭污染排放标准》GB 14554等的有关标准。</w:t>
      </w:r>
    </w:p>
    <w:p>
      <w:pPr>
        <w:rPr>
          <w:rFonts w:hint="default" w:cs="Times New Roman"/>
          <w:color w:val="000000" w:themeColor="text1"/>
          <w:sz w:val="21"/>
          <w:szCs w:val="20"/>
          <w:highlight w:val="none"/>
          <w:u w:val="single"/>
          <w:lang w:val="en-US" w:eastAsia="zh-CN"/>
          <w14:textFill>
            <w14:solidFill>
              <w14:schemeClr w14:val="tx1"/>
            </w14:solidFill>
          </w14:textFill>
        </w:rPr>
      </w:pPr>
      <w:r>
        <w:rPr>
          <w:rFonts w:hint="eastAsia" w:cs="Times New Roman"/>
          <w:color w:val="000000" w:themeColor="text1"/>
          <w:sz w:val="21"/>
          <w:szCs w:val="20"/>
          <w:highlight w:val="none"/>
          <w:u w:val="single"/>
          <w:lang w:val="en-US" w:eastAsia="zh-CN"/>
          <w14:textFill>
            <w14:solidFill>
              <w14:schemeClr w14:val="tx1"/>
            </w14:solidFill>
          </w14:textFill>
        </w:rPr>
        <w:t>【条文说明】粉尘、臭气是气力输送系统在收集站内的主要污染物，应根据国家标准的要求进行妥善处置后达标排放。</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6.1.6</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收集站作业时站内噪声不应大于75dB，站外噪声昼间不应大于60dB、夜间不应大于50dB。</w:t>
      </w:r>
    </w:p>
    <w:p>
      <w:pPr>
        <w:rPr>
          <w:rFonts w:hint="default" w:cs="Times New Roman"/>
          <w:color w:val="000000" w:themeColor="text1"/>
          <w:sz w:val="21"/>
          <w:szCs w:val="20"/>
          <w:highlight w:val="none"/>
          <w:u w:val="single"/>
          <w:lang w:val="en-US" w:eastAsia="zh-CN"/>
          <w14:textFill>
            <w14:solidFill>
              <w14:schemeClr w14:val="tx1"/>
            </w14:solidFill>
          </w14:textFill>
        </w:rPr>
      </w:pPr>
      <w:r>
        <w:rPr>
          <w:rFonts w:hint="eastAsia" w:cs="Times New Roman"/>
          <w:color w:val="000000" w:themeColor="text1"/>
          <w:sz w:val="21"/>
          <w:szCs w:val="20"/>
          <w:highlight w:val="none"/>
          <w:u w:val="single"/>
          <w:lang w:val="en-US" w:eastAsia="zh-CN"/>
          <w14:textFill>
            <w14:solidFill>
              <w14:schemeClr w14:val="tx1"/>
            </w14:solidFill>
          </w14:textFill>
        </w:rPr>
        <w:t>【条文说明】气力输送系统的噪声主要来源于风机、空气压缩机产生的噪声。为了减少对作业人员和周围环境的不利影响，应采取隔音降噪措施。</w:t>
      </w:r>
    </w:p>
    <w:p>
      <w:pPr>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6.1.7</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收集站运行时应保持全部门窗关闭、室内呈微负压状态。</w:t>
      </w:r>
    </w:p>
    <w:p>
      <w:pPr>
        <w:rPr>
          <w:rFonts w:hint="eastAsia" w:cs="Times New Roman"/>
          <w:b w:val="0"/>
          <w:bCs w:val="0"/>
          <w:color w:val="000000" w:themeColor="text1"/>
          <w:sz w:val="21"/>
          <w:szCs w:val="20"/>
          <w:highlight w:val="none"/>
          <w:u w:val="single"/>
          <w:lang w:val="en-US" w:eastAsia="zh-CN"/>
          <w14:textFill>
            <w14:solidFill>
              <w14:schemeClr w14:val="tx1"/>
            </w14:solidFill>
          </w14:textFill>
        </w:rPr>
      </w:pPr>
      <w:r>
        <w:rPr>
          <w:rFonts w:hint="eastAsia" w:cs="Times New Roman"/>
          <w:b w:val="0"/>
          <w:bCs w:val="0"/>
          <w:color w:val="000000" w:themeColor="text1"/>
          <w:sz w:val="21"/>
          <w:szCs w:val="20"/>
          <w:highlight w:val="none"/>
          <w:u w:val="single"/>
          <w:lang w:val="en-US" w:eastAsia="zh-CN"/>
          <w14:textFill>
            <w14:solidFill>
              <w14:schemeClr w14:val="tx1"/>
            </w14:solidFill>
          </w14:textFill>
        </w:rPr>
        <w:t>【条文说明】运行时保持门窗关闭、微负压状态，一是降低运行噪声对周边环境的影响，二是防止气味溢出。</w:t>
      </w:r>
    </w:p>
    <w:p>
      <w:pPr>
        <w:snapToGrid w:val="0"/>
        <w:spacing w:after="0" w:line="360" w:lineRule="auto"/>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6.1.8</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应保持消防通道通畅，并应按现行国家标准《建筑灭火器配置设计规范》GB 50140配备消防器材并保持其安全有效。</w:t>
      </w:r>
    </w:p>
    <w:p>
      <w:pPr>
        <w:rPr>
          <w:rFonts w:hint="default" w:cs="Times New Roman"/>
          <w:b w:val="0"/>
          <w:bCs w:val="0"/>
          <w:color w:val="000000" w:themeColor="text1"/>
          <w:sz w:val="21"/>
          <w:szCs w:val="20"/>
          <w:highlight w:val="none"/>
          <w:u w:val="single"/>
          <w:lang w:val="en-US" w:eastAsia="zh-CN"/>
          <w14:textFill>
            <w14:solidFill>
              <w14:schemeClr w14:val="tx1"/>
            </w14:solidFill>
          </w14:textFill>
        </w:rPr>
      </w:pPr>
    </w:p>
    <w:p>
      <w:pPr>
        <w:pStyle w:val="3"/>
        <w:bidi w:val="0"/>
        <w:rPr>
          <w:rFonts w:hint="default" w:ascii="Times New Roman" w:hAnsi="Times New Roman" w:eastAsia="黑体"/>
          <w:highlight w:val="none"/>
          <w:lang w:val="en-US" w:eastAsia="zh-CN"/>
        </w:rPr>
      </w:pPr>
      <w:bookmarkStart w:id="93" w:name="_Toc19690"/>
      <w:r>
        <w:rPr>
          <w:rFonts w:hint="eastAsia" w:ascii="Times New Roman" w:hAnsi="Times New Roman"/>
          <w:b/>
          <w:highlight w:val="none"/>
          <w:lang w:val="en-US" w:eastAsia="zh-CN"/>
        </w:rPr>
        <w:t>6.2　</w:t>
      </w:r>
      <w:r>
        <w:rPr>
          <w:rFonts w:hint="eastAsia" w:ascii="Times New Roman" w:hAnsi="Times New Roman"/>
          <w:highlight w:val="none"/>
          <w:lang w:val="en-US" w:eastAsia="zh-CN"/>
        </w:rPr>
        <w:t>规模与选址</w:t>
      </w:r>
      <w:bookmarkEnd w:id="93"/>
    </w:p>
    <w:p>
      <w:pPr>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6.2.1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收集站的选址</w:t>
      </w:r>
      <w:r>
        <w:rPr>
          <w:rFonts w:hint="eastAsia" w:asciiTheme="minorEastAsia" w:hAnsiTheme="minorEastAsia"/>
          <w:sz w:val="24"/>
          <w:szCs w:val="24"/>
        </w:rPr>
        <w:t>应综合考虑服务区域、服务人口、转运能力、转运模式、运输距离、污染控制、配套条件等因素的影响</w:t>
      </w:r>
      <w:r>
        <w:rPr>
          <w:rFonts w:hint="eastAsia" w:cs="Times New Roman"/>
          <w:color w:val="000000" w:themeColor="text1"/>
          <w:sz w:val="24"/>
          <w:highlight w:val="none"/>
          <w:lang w:val="en-US" w:eastAsia="zh-CN"/>
          <w14:textFill>
            <w14:solidFill>
              <w14:schemeClr w14:val="tx1"/>
            </w14:solidFill>
          </w14:textFill>
        </w:rPr>
        <w:t>。</w:t>
      </w:r>
    </w:p>
    <w:p>
      <w:pPr>
        <w:snapToGrid w:val="0"/>
        <w:spacing w:after="0" w:line="360" w:lineRule="auto"/>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6.2.2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系统分区布置时，应充分考虑地理、用地规划、技术与投资控制等因素，并满足下列要求：</w:t>
      </w:r>
    </w:p>
    <w:p>
      <w:pPr>
        <w:snapToGrid w:val="0"/>
        <w:spacing w:after="0" w:line="360" w:lineRule="auto"/>
        <w:ind w:left="0" w:leftChars="0" w:firstLine="439" w:firstLineChars="183"/>
        <w:rPr>
          <w:rFonts w:hint="eastAsia" w:cs="Times New Roman"/>
          <w:color w:val="000000" w:themeColor="text1"/>
          <w:sz w:val="24"/>
          <w:highlight w:val="none"/>
          <w:lang w:val="en-US" w:eastAsia="zh-CN"/>
          <w14:textFill>
            <w14:solidFill>
              <w14:schemeClr w14:val="tx1"/>
            </w14:solidFill>
          </w14:textFill>
        </w:rPr>
      </w:pPr>
      <w:r>
        <w:rPr>
          <w:rFonts w:hint="eastAsia" w:cs="Times New Roman"/>
          <w:color w:val="000000" w:themeColor="text1"/>
          <w:sz w:val="24"/>
          <w:highlight w:val="none"/>
          <w:lang w:val="en-US" w:eastAsia="zh-CN"/>
          <w14:textFill>
            <w14:solidFill>
              <w14:schemeClr w14:val="tx1"/>
            </w14:solidFill>
          </w14:textFill>
        </w:rPr>
        <w:t>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应以规划用地为依据进行区域划分，并应使得各系统收集转运规模均衡合理；</w:t>
      </w:r>
    </w:p>
    <w:p>
      <w:pPr>
        <w:snapToGrid w:val="0"/>
        <w:spacing w:after="0" w:line="360" w:lineRule="auto"/>
        <w:ind w:left="0" w:leftChars="0" w:firstLine="441" w:firstLineChars="183"/>
        <w:rPr>
          <w:rFonts w:hint="eastAsia"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应根据开发情况合理选用系统工艺方案，不宜破坏现状设施；</w:t>
      </w:r>
    </w:p>
    <w:p>
      <w:pPr>
        <w:snapToGrid w:val="0"/>
        <w:spacing w:after="0" w:line="360" w:lineRule="auto"/>
        <w:ind w:left="0" w:leftChars="0" w:firstLine="441" w:firstLineChars="183"/>
        <w:rPr>
          <w:rFonts w:hint="eastAsia"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各系统管网敷设长度应合理；</w:t>
      </w:r>
    </w:p>
    <w:p>
      <w:pPr>
        <w:snapToGrid w:val="0"/>
        <w:spacing w:after="0" w:line="360" w:lineRule="auto"/>
        <w:ind w:left="0" w:leftChars="0" w:firstLine="441" w:firstLineChars="183"/>
        <w:rPr>
          <w:rFonts w:hint="eastAsia"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4</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各系统分区边界应以主干道为界，垃圾收集干管不宜横穿主干道；</w:t>
      </w:r>
    </w:p>
    <w:p>
      <w:pPr>
        <w:snapToGrid w:val="0"/>
        <w:spacing w:after="0" w:line="360" w:lineRule="auto"/>
        <w:ind w:left="0" w:leftChars="0" w:firstLine="441" w:firstLineChars="183"/>
        <w:rPr>
          <w:rFonts w:hint="eastAsia"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5</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收集站选址应合理，收集干管敷设长度宜最短。</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6.2.3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收集站根据垃圾收集量可设置大型固定式收集站和小型固定式收集站，并满足下列要求：</w:t>
      </w:r>
    </w:p>
    <w:p>
      <w:pPr>
        <w:ind w:left="0" w:leftChars="0" w:firstLine="441" w:firstLineChars="183"/>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大型固定式收集站的收集规模为10t-30t，小型固定式收集站的收集规模为2.5t -10t；</w:t>
      </w:r>
    </w:p>
    <w:p>
      <w:pPr>
        <w:ind w:left="0" w:leftChars="0" w:firstLine="441" w:firstLineChars="183"/>
        <w:rPr>
          <w:rFonts w:cs="Times New Roman"/>
          <w:color w:val="000000" w:themeColor="text1"/>
          <w:sz w:val="24"/>
          <w:highlight w:val="none"/>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大型固定式收集站的服务半径宜为1.0 km ~1.5 km，小型固定式收集站的服务半径宜为0.5 km ~1.0 km；</w:t>
      </w:r>
    </w:p>
    <w:p>
      <w:pPr>
        <w:ind w:left="0" w:leftChars="0" w:firstLine="441" w:firstLineChars="183"/>
        <w:rPr>
          <w:rFonts w:hint="eastAsia" w:eastAsia="宋体" w:cs="Times New Roman"/>
          <w:color w:val="000000" w:themeColor="text1"/>
          <w:sz w:val="24"/>
          <w:highlight w:val="none"/>
          <w:lang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大型固定式收集站</w:t>
      </w:r>
      <w:r>
        <w:rPr>
          <w:rFonts w:hint="default" w:cs="Times New Roman"/>
          <w:color w:val="000000" w:themeColor="text1"/>
          <w:sz w:val="24"/>
          <w:highlight w:val="none"/>
          <w:lang w:val="en-US" w:eastAsia="zh-CN"/>
          <w14:textFill>
            <w14:solidFill>
              <w14:schemeClr w14:val="tx1"/>
            </w14:solidFill>
          </w14:textFill>
        </w:rPr>
        <w:t xml:space="preserve">占地面积宜为900~1200 </w:t>
      </w:r>
      <w:r>
        <w:rPr>
          <w:rFonts w:hint="eastAsia" w:cs="Times New Roman"/>
          <w:color w:val="000000" w:themeColor="text1"/>
          <w:sz w:val="24"/>
          <w:highlight w:val="none"/>
          <w:lang w:val="en-US" w:eastAsia="zh-CN"/>
          <w14:textFill>
            <w14:solidFill>
              <w14:schemeClr w14:val="tx1"/>
            </w14:solidFill>
          </w14:textFill>
        </w:rPr>
        <w:t>m</w:t>
      </w:r>
      <w:r>
        <w:rPr>
          <w:rFonts w:hint="eastAsia" w:cs="Times New Roman"/>
          <w:color w:val="000000" w:themeColor="text1"/>
          <w:sz w:val="24"/>
          <w:highlight w:val="none"/>
          <w:vertAlign w:val="superscript"/>
          <w:lang w:val="en-US" w:eastAsia="zh-CN"/>
          <w14:textFill>
            <w14:solidFill>
              <w14:schemeClr w14:val="tx1"/>
            </w14:solidFill>
          </w14:textFill>
        </w:rPr>
        <w:t>2</w:t>
      </w:r>
      <w:r>
        <w:rPr>
          <w:rFonts w:hint="eastAsia" w:cs="Times New Roman"/>
          <w:color w:val="000000" w:themeColor="text1"/>
          <w:sz w:val="24"/>
          <w:highlight w:val="none"/>
          <w:vertAlign w:val="baseline"/>
          <w:lang w:val="en-US" w:eastAsia="zh-CN"/>
          <w14:textFill>
            <w14:solidFill>
              <w14:schemeClr w14:val="tx1"/>
            </w14:solidFill>
          </w14:textFill>
        </w:rPr>
        <w:t>，</w:t>
      </w:r>
      <w:r>
        <w:rPr>
          <w:rFonts w:hint="eastAsia" w:cs="Times New Roman"/>
          <w:color w:val="000000" w:themeColor="text1"/>
          <w:sz w:val="24"/>
          <w:highlight w:val="none"/>
          <w:lang w:val="en-US" w:eastAsia="zh-CN"/>
          <w14:textFill>
            <w14:solidFill>
              <w14:schemeClr w14:val="tx1"/>
            </w14:solidFill>
          </w14:textFill>
        </w:rPr>
        <w:t>小型固定式收集站的占地面积宜为200~300 m</w:t>
      </w:r>
      <w:r>
        <w:rPr>
          <w:rFonts w:hint="eastAsia" w:cs="Times New Roman"/>
          <w:color w:val="000000" w:themeColor="text1"/>
          <w:sz w:val="24"/>
          <w:highlight w:val="none"/>
          <w:vertAlign w:val="superscript"/>
          <w:lang w:val="en-US" w:eastAsia="zh-CN"/>
          <w14:textFill>
            <w14:solidFill>
              <w14:schemeClr w14:val="tx1"/>
            </w14:solidFill>
          </w14:textFill>
        </w:rPr>
        <w:t>2</w:t>
      </w:r>
      <w:r>
        <w:rPr>
          <w:rFonts w:hint="eastAsia" w:cs="Times New Roman"/>
          <w:color w:val="000000" w:themeColor="text1"/>
          <w:sz w:val="24"/>
          <w:highlight w:val="none"/>
          <w:lang w:eastAsia="zh-CN"/>
          <w14:textFill>
            <w14:solidFill>
              <w14:schemeClr w14:val="tx1"/>
            </w14:solidFill>
          </w14:textFill>
        </w:rPr>
        <w:t>。</w:t>
      </w:r>
    </w:p>
    <w:p>
      <w:pPr>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6.2.4</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大型固定式收集站应设置于管网的中部，小型固定式收集站可设置于网络边缘。</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6.2.5</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收集站内投放储存设施占地面积宜为 10~12 m</w:t>
      </w:r>
      <w:r>
        <w:rPr>
          <w:rFonts w:hint="eastAsia" w:cs="Times New Roman"/>
          <w:color w:val="000000" w:themeColor="text1"/>
          <w:sz w:val="24"/>
          <w:highlight w:val="none"/>
          <w:vertAlign w:val="superscript"/>
          <w:lang w:val="en-US" w:eastAsia="zh-CN"/>
          <w14:textFill>
            <w14:solidFill>
              <w14:schemeClr w14:val="tx1"/>
            </w14:solidFill>
          </w14:textFill>
        </w:rPr>
        <w:t>2</w:t>
      </w:r>
      <w:r>
        <w:rPr>
          <w:rFonts w:hint="eastAsia" w:cs="Times New Roman"/>
          <w:color w:val="000000" w:themeColor="text1"/>
          <w:sz w:val="24"/>
          <w:highlight w:val="none"/>
          <w:lang w:val="en-US" w:eastAsia="zh-CN"/>
          <w14:textFill>
            <w14:solidFill>
              <w14:schemeClr w14:val="tx1"/>
            </w14:solidFill>
          </w14:textFill>
        </w:rPr>
        <w:t>。</w:t>
      </w:r>
    </w:p>
    <w:p>
      <w:pPr>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6.2.6</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收集站内装置设备的布置应按工艺流程顺序和同类设备适度集中相结合的原则进行布置。</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6.2.7</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应保持收集站通道完整通畅，应便于安排运输路线、利于车辆作业。</w:t>
      </w:r>
    </w:p>
    <w:p>
      <w:pPr>
        <w:rPr>
          <w:rFonts w:hint="default" w:cs="Times New Roman"/>
          <w:color w:val="000000" w:themeColor="text1"/>
          <w:sz w:val="21"/>
          <w:szCs w:val="20"/>
          <w:highlight w:val="none"/>
          <w:u w:val="single"/>
          <w:lang w:val="en-US" w:eastAsia="zh-CN"/>
          <w14:textFill>
            <w14:solidFill>
              <w14:schemeClr w14:val="tx1"/>
            </w14:solidFill>
          </w14:textFill>
        </w:rPr>
      </w:pPr>
      <w:r>
        <w:rPr>
          <w:rFonts w:hint="eastAsia" w:cs="Times New Roman"/>
          <w:color w:val="000000" w:themeColor="text1"/>
          <w:sz w:val="21"/>
          <w:szCs w:val="20"/>
          <w:highlight w:val="none"/>
          <w:u w:val="single"/>
          <w:lang w:val="en-US" w:eastAsia="zh-CN"/>
          <w14:textFill>
            <w14:solidFill>
              <w14:schemeClr w14:val="tx1"/>
            </w14:solidFill>
          </w14:textFill>
        </w:rPr>
        <w:t>【条文说明】收集站应根据工作任务、工作计划做好与下游运输车辆及装载集装箱的对接工作。</w:t>
      </w:r>
    </w:p>
    <w:p>
      <w:pPr>
        <w:pStyle w:val="3"/>
        <w:bidi w:val="0"/>
        <w:rPr>
          <w:rFonts w:hint="eastAsia" w:ascii="Times New Roman" w:hAnsi="Times New Roman"/>
          <w:highlight w:val="none"/>
          <w:lang w:val="en-US" w:eastAsia="zh-CN"/>
        </w:rPr>
      </w:pPr>
      <w:bookmarkStart w:id="94" w:name="_Toc17654"/>
      <w:r>
        <w:rPr>
          <w:rFonts w:hint="eastAsia" w:ascii="Times New Roman" w:hAnsi="Times New Roman"/>
          <w:b/>
          <w:highlight w:val="none"/>
          <w:lang w:val="en-US" w:eastAsia="zh-CN"/>
        </w:rPr>
        <w:t>6.3　</w:t>
      </w:r>
      <w:r>
        <w:rPr>
          <w:rFonts w:hint="eastAsia" w:ascii="Times New Roman" w:hAnsi="Times New Roman"/>
          <w:highlight w:val="none"/>
          <w:lang w:val="en-US" w:eastAsia="zh-CN"/>
        </w:rPr>
        <w:t>压缩室</w:t>
      </w:r>
      <w:bookmarkEnd w:id="94"/>
    </w:p>
    <w:p>
      <w:pPr>
        <w:rPr>
          <w:rFonts w:hint="default" w:eastAsia="宋体"/>
          <w:lang w:val="en-US" w:eastAsia="zh-CN"/>
        </w:rPr>
      </w:pPr>
      <w:r>
        <w:rPr>
          <w:rFonts w:hint="eastAsia" w:cs="Times New Roman"/>
          <w:b/>
          <w:color w:val="000000" w:themeColor="text1"/>
          <w:sz w:val="24"/>
          <w:highlight w:val="none"/>
          <w:lang w:val="en-US" w:eastAsia="zh-CN"/>
          <w14:textFill>
            <w14:solidFill>
              <w14:schemeClr w14:val="tx1"/>
            </w14:solidFill>
          </w14:textFill>
        </w:rPr>
        <w:t>6.3.1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压缩室内应设置垃圾分离器和垃圾压缩机。</w:t>
      </w:r>
    </w:p>
    <w:p>
      <w:pPr>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6.3.2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垃圾分离器根部的空气管道上应设置空气截断阀。</w:t>
      </w:r>
    </w:p>
    <w:p>
      <w:pPr>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6.3.3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垃圾分离器中入口关和出口管应间隔开、并直线安装。</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6.3.4</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垃圾分离器四周应设置不小于800mm的维护保养空间。</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6.3.5</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垃圾分离器底部应设置设备基础，基础厚度不应小于100mm。</w:t>
      </w:r>
    </w:p>
    <w:p>
      <w:pPr>
        <w:rPr>
          <w:rFonts w:hint="eastAsia"/>
          <w:lang w:val="en-US" w:eastAsia="zh-CN"/>
        </w:rPr>
      </w:pPr>
      <w:r>
        <w:rPr>
          <w:rFonts w:hint="eastAsia" w:cs="Times New Roman"/>
          <w:b/>
          <w:color w:val="000000" w:themeColor="text1"/>
          <w:sz w:val="24"/>
          <w:highlight w:val="none"/>
          <w:lang w:val="en-US" w:eastAsia="zh-CN"/>
          <w14:textFill>
            <w14:solidFill>
              <w14:schemeClr w14:val="tx1"/>
            </w14:solidFill>
          </w14:textFill>
        </w:rPr>
        <w:t>6.3.6</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经管道收集的垃圾应经</w:t>
      </w:r>
      <w:r>
        <w:rPr>
          <w:rFonts w:hint="eastAsia"/>
          <w:lang w:val="en-US" w:eastAsia="zh-CN"/>
        </w:rPr>
        <w:t>压力分离器进行分离处理，垃圾分离器应满足下列要求：</w:t>
      </w:r>
    </w:p>
    <w:p>
      <w:pPr>
        <w:ind w:left="0" w:leftChars="0" w:firstLine="441" w:firstLineChars="183"/>
        <w:rPr>
          <w:rFonts w:hint="eastAsia"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垃圾分离器的处理量应不小于10 m</w:t>
      </w:r>
      <w:r>
        <w:rPr>
          <w:rFonts w:hint="eastAsia" w:cs="Times New Roman"/>
          <w:color w:val="000000" w:themeColor="text1"/>
          <w:sz w:val="24"/>
          <w:highlight w:val="none"/>
          <w:vertAlign w:val="superscript"/>
          <w:lang w:val="en-US" w:eastAsia="zh-CN"/>
          <w14:textFill>
            <w14:solidFill>
              <w14:schemeClr w14:val="tx1"/>
            </w14:solidFill>
          </w14:textFill>
        </w:rPr>
        <w:t>3</w:t>
      </w:r>
      <w:r>
        <w:rPr>
          <w:rFonts w:hint="eastAsia" w:cs="Times New Roman"/>
          <w:color w:val="000000" w:themeColor="text1"/>
          <w:sz w:val="24"/>
          <w:highlight w:val="none"/>
          <w:lang w:val="en-US" w:eastAsia="zh-CN"/>
          <w14:textFill>
            <w14:solidFill>
              <w14:schemeClr w14:val="tx1"/>
            </w14:solidFill>
          </w14:textFill>
        </w:rPr>
        <w:t>/h；</w:t>
      </w:r>
    </w:p>
    <w:p>
      <w:pPr>
        <w:ind w:left="0" w:leftChars="0" w:firstLine="441" w:firstLineChars="183"/>
        <w:rPr>
          <w:rFonts w:hint="eastAsia"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垃圾分离器的压力损耗应小于1600 Pa。</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6.3.7</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垃圾分离器内应设物料物位传感器。</w:t>
      </w:r>
    </w:p>
    <w:p>
      <w:pPr>
        <w:rPr>
          <w:rFonts w:hint="default" w:cs="Times New Roman"/>
          <w:color w:val="000000" w:themeColor="text1"/>
          <w:sz w:val="21"/>
          <w:szCs w:val="20"/>
          <w:highlight w:val="none"/>
          <w:u w:val="single"/>
          <w:lang w:val="en-US" w:eastAsia="zh-CN"/>
          <w14:textFill>
            <w14:solidFill>
              <w14:schemeClr w14:val="tx1"/>
            </w14:solidFill>
          </w14:textFill>
        </w:rPr>
      </w:pPr>
      <w:r>
        <w:rPr>
          <w:rFonts w:hint="eastAsia" w:cs="Times New Roman"/>
          <w:color w:val="000000" w:themeColor="text1"/>
          <w:sz w:val="21"/>
          <w:szCs w:val="20"/>
          <w:highlight w:val="none"/>
          <w:u w:val="single"/>
          <w:lang w:val="en-US" w:eastAsia="zh-CN"/>
          <w14:textFill>
            <w14:solidFill>
              <w14:schemeClr w14:val="tx1"/>
            </w14:solidFill>
          </w14:textFill>
        </w:rPr>
        <w:t>【条文说明】物位传感器是控制暂存垃圾量及启闭料仓阀门的关键部件，应保持其良好的灵敏度。当垃圾量达到预设料位后应及时将其推入垃圾垃圾压缩机或垃圾集装箱。</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6.3.8</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垃圾分离器应设备用。</w:t>
      </w:r>
    </w:p>
    <w:p>
      <w:pPr>
        <w:rPr>
          <w:rFonts w:hint="default" w:cs="Times New Roman"/>
          <w:color w:val="000000" w:themeColor="text1"/>
          <w:sz w:val="21"/>
          <w:szCs w:val="20"/>
          <w:highlight w:val="none"/>
          <w:u w:val="single"/>
          <w:lang w:val="en-US" w:eastAsia="zh-CN"/>
          <w14:textFill>
            <w14:solidFill>
              <w14:schemeClr w14:val="tx1"/>
            </w14:solidFill>
          </w14:textFill>
        </w:rPr>
      </w:pPr>
      <w:r>
        <w:rPr>
          <w:rFonts w:hint="eastAsia" w:cs="Times New Roman"/>
          <w:color w:val="000000" w:themeColor="text1"/>
          <w:sz w:val="21"/>
          <w:szCs w:val="20"/>
          <w:highlight w:val="none"/>
          <w:u w:val="single"/>
          <w:lang w:val="en-US" w:eastAsia="zh-CN"/>
          <w14:textFill>
            <w14:solidFill>
              <w14:schemeClr w14:val="tx1"/>
            </w14:solidFill>
          </w14:textFill>
        </w:rPr>
        <w:t>【条文说明】可按一用一备配置，中间用选择阀进行切换。</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6.3.8</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分离后的垃圾需压实处理时应设置压实机，垃圾压缩机设置与垃圾分离器的下端。</w:t>
      </w:r>
    </w:p>
    <w:p>
      <w:pPr>
        <w:rPr>
          <w:rFonts w:hint="default" w:cs="Times New Roman"/>
          <w:color w:val="000000" w:themeColor="text1"/>
          <w:sz w:val="21"/>
          <w:szCs w:val="20"/>
          <w:highlight w:val="none"/>
          <w:u w:val="single"/>
          <w:lang w:val="en-US" w:eastAsia="zh-CN"/>
          <w14:textFill>
            <w14:solidFill>
              <w14:schemeClr w14:val="tx1"/>
            </w14:solidFill>
          </w14:textFill>
        </w:rPr>
      </w:pPr>
      <w:r>
        <w:rPr>
          <w:rFonts w:hint="eastAsia" w:cs="Times New Roman"/>
          <w:color w:val="000000" w:themeColor="text1"/>
          <w:sz w:val="21"/>
          <w:szCs w:val="20"/>
          <w:highlight w:val="none"/>
          <w:u w:val="single"/>
          <w:lang w:val="en-US" w:eastAsia="zh-CN"/>
          <w14:textFill>
            <w14:solidFill>
              <w14:schemeClr w14:val="tx1"/>
            </w14:solidFill>
          </w14:textFill>
        </w:rPr>
        <w:t>【条文说明】垃圾压实机的自动启动装置应与垃圾分离器内物位传感器联动并协同作业。当垃圾量达到预设量后分离器直接卸入压实机，压实装置动作。</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6.3.9</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垃圾压缩机应符合下列要求：</w:t>
      </w:r>
    </w:p>
    <w:p>
      <w:pPr>
        <w:ind w:left="0" w:leftChars="0" w:firstLine="441" w:firstLineChars="183"/>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关键部件应采取耐磨、防腐等处理工艺；</w:t>
      </w:r>
    </w:p>
    <w:p>
      <w:pPr>
        <w:ind w:left="0" w:leftChars="0" w:firstLine="441" w:firstLineChars="183"/>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应有垃圾满载提示装置；</w:t>
      </w:r>
    </w:p>
    <w:p>
      <w:pPr>
        <w:ind w:left="0" w:leftChars="0" w:firstLine="441" w:firstLineChars="183"/>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液压、控制部件应运行可靠；</w:t>
      </w:r>
    </w:p>
    <w:p>
      <w:pPr>
        <w:ind w:left="0" w:leftChars="0" w:firstLine="441" w:firstLineChars="183"/>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4</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运动部件应设有安全防护罩和明显标志；</w:t>
      </w:r>
    </w:p>
    <w:p>
      <w:pPr>
        <w:ind w:left="0" w:leftChars="0" w:firstLine="441" w:firstLineChars="183"/>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5</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电气系统应为防水设计，并应配备紧急停机控制器。</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6.3.10</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垃圾压缩机主要技术参数应符合下列要求：</w:t>
      </w:r>
    </w:p>
    <w:p>
      <w:pPr>
        <w:ind w:left="0" w:leftChars="0" w:firstLine="441" w:firstLineChars="183"/>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垃圾压缩机压实量应不小于30m</w:t>
      </w:r>
      <w:r>
        <w:rPr>
          <w:rFonts w:hint="eastAsia" w:cs="Times New Roman"/>
          <w:color w:val="000000" w:themeColor="text1"/>
          <w:sz w:val="24"/>
          <w:highlight w:val="none"/>
          <w:vertAlign w:val="superscript"/>
          <w:lang w:val="en-US" w:eastAsia="zh-CN"/>
          <w14:textFill>
            <w14:solidFill>
              <w14:schemeClr w14:val="tx1"/>
            </w14:solidFill>
          </w14:textFill>
        </w:rPr>
        <w:t>3</w:t>
      </w:r>
      <w:r>
        <w:rPr>
          <w:rFonts w:hint="eastAsia" w:cs="Times New Roman"/>
          <w:color w:val="000000" w:themeColor="text1"/>
          <w:sz w:val="24"/>
          <w:highlight w:val="none"/>
          <w:lang w:val="en-US" w:eastAsia="zh-CN"/>
          <w14:textFill>
            <w14:solidFill>
              <w14:schemeClr w14:val="tx1"/>
            </w14:solidFill>
          </w14:textFill>
        </w:rPr>
        <w:t>/h；</w:t>
      </w:r>
    </w:p>
    <w:p>
      <w:pPr>
        <w:ind w:left="0" w:leftChars="0" w:firstLine="441" w:firstLineChars="183"/>
        <w:rPr>
          <w:rFonts w:hint="eastAsia"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压实密度不应小于0.65t/m</w:t>
      </w:r>
      <w:r>
        <w:rPr>
          <w:rFonts w:hint="eastAsia" w:cs="Times New Roman"/>
          <w:color w:val="000000" w:themeColor="text1"/>
          <w:sz w:val="24"/>
          <w:highlight w:val="none"/>
          <w:vertAlign w:val="superscript"/>
          <w:lang w:val="en-US" w:eastAsia="zh-CN"/>
          <w14:textFill>
            <w14:solidFill>
              <w14:schemeClr w14:val="tx1"/>
            </w14:solidFill>
          </w14:textFill>
        </w:rPr>
        <w:t>3</w:t>
      </w:r>
      <w:r>
        <w:rPr>
          <w:rFonts w:hint="eastAsia" w:cs="Times New Roman"/>
          <w:color w:val="000000" w:themeColor="text1"/>
          <w:sz w:val="24"/>
          <w:highlight w:val="none"/>
          <w:lang w:val="en-US" w:eastAsia="zh-CN"/>
          <w14:textFill>
            <w14:solidFill>
              <w14:schemeClr w14:val="tx1"/>
            </w14:solidFill>
          </w14:textFill>
        </w:rPr>
        <w:t>；</w:t>
      </w:r>
    </w:p>
    <w:p>
      <w:pPr>
        <w:ind w:left="0" w:leftChars="0" w:firstLine="441" w:firstLineChars="183"/>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宜选用低噪声设备。</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6.3.11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垃圾压缩机与垃圾分离器应保持连接的密封。</w:t>
      </w:r>
    </w:p>
    <w:p>
      <w:pPr>
        <w:rPr>
          <w:rFonts w:hint="default"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6.3.12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垃圾压缩机的顶部或侧面应设检查口，且应易于维护和拆卸。</w:t>
      </w:r>
    </w:p>
    <w:p>
      <w:pPr>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6.3.13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垃圾压缩机应与垃圾集装箱相连，并保证密封。</w:t>
      </w:r>
    </w:p>
    <w:p>
      <w:pPr>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6.3.14</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收集箱应密封可靠，收集、运输过程中应无污水渗漏。</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color w:val="000000" w:themeColor="text1"/>
          <w:sz w:val="24"/>
          <w:highlight w:val="none"/>
          <w:lang w:val="en-US" w:eastAsia="zh-CN"/>
          <w14:textFill>
            <w14:solidFill>
              <w14:schemeClr w14:val="tx1"/>
            </w14:solidFill>
          </w14:textFill>
        </w:rPr>
        <w:t>垃圾集装箱应与市政车辆对接良好。</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6.3.15</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垃圾集装箱底部应设设备基础，基础厚度不应小于100mm。</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6.3.16</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集装箱应符合下列要求：</w:t>
      </w:r>
    </w:p>
    <w:p>
      <w:pPr>
        <w:ind w:left="0" w:leftChars="0" w:firstLine="441" w:firstLineChars="183"/>
        <w:rPr>
          <w:rFonts w:hint="eastAsia"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后门应配备锁紧装置，保证后门锁紧严密；</w:t>
      </w:r>
    </w:p>
    <w:p>
      <w:pPr>
        <w:ind w:left="0" w:leftChars="0" w:firstLine="441" w:firstLineChars="183"/>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应防止污水撒漏，可外置或利用自身结构存储污水；</w:t>
      </w:r>
    </w:p>
    <w:p>
      <w:pPr>
        <w:ind w:left="0" w:leftChars="0" w:firstLine="441" w:firstLineChars="183"/>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采用高强度钢板，表面应采用防腐处理；</w:t>
      </w:r>
    </w:p>
    <w:p>
      <w:pPr>
        <w:ind w:left="0" w:leftChars="0" w:firstLine="441" w:firstLineChars="183"/>
        <w:rPr>
          <w:rFonts w:hint="eastAsia"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4</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集装箱的焊接应无漏焊、裂纹、夹渣、气孔、咬边、飞溅等焊接缺陷。</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6.3.17</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集装箱应符合下列要求：</w:t>
      </w:r>
    </w:p>
    <w:p>
      <w:pPr>
        <w:ind w:left="0" w:leftChars="0" w:firstLine="441" w:firstLineChars="183"/>
        <w:rPr>
          <w:rFonts w:hint="eastAsia"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箱体容积不应小于5m</w:t>
      </w:r>
      <w:r>
        <w:rPr>
          <w:rFonts w:hint="eastAsia" w:cs="Times New Roman"/>
          <w:color w:val="000000" w:themeColor="text1"/>
          <w:sz w:val="24"/>
          <w:highlight w:val="none"/>
          <w:vertAlign w:val="superscript"/>
          <w:lang w:val="en-US" w:eastAsia="zh-CN"/>
          <w14:textFill>
            <w14:solidFill>
              <w14:schemeClr w14:val="tx1"/>
            </w14:solidFill>
          </w14:textFill>
        </w:rPr>
        <w:t>3</w:t>
      </w:r>
      <w:r>
        <w:rPr>
          <w:rFonts w:hint="eastAsia" w:cs="Times New Roman"/>
          <w:color w:val="000000" w:themeColor="text1"/>
          <w:sz w:val="24"/>
          <w:highlight w:val="none"/>
          <w:lang w:val="en-US" w:eastAsia="zh-CN"/>
          <w14:textFill>
            <w14:solidFill>
              <w14:schemeClr w14:val="tx1"/>
            </w14:solidFill>
          </w14:textFill>
        </w:rPr>
        <w:t>；</w:t>
      </w:r>
    </w:p>
    <w:p>
      <w:pPr>
        <w:ind w:left="0" w:leftChars="0" w:firstLine="441" w:firstLineChars="183"/>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密封部位应做水密性试验，30min内部的有渗漏，且密封条正常使用寿命不应小于6个月；</w:t>
      </w:r>
    </w:p>
    <w:p>
      <w:pPr>
        <w:ind w:left="0" w:leftChars="0" w:firstLine="441" w:firstLineChars="183"/>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收集箱上下车最大高度不应大于5.5m。</w:t>
      </w:r>
    </w:p>
    <w:p>
      <w:pPr>
        <w:ind w:left="0" w:leftChars="0" w:firstLine="0" w:firstLineChars="0"/>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6.3.18</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集装箱装箱压满后转运，垃圾积存时间不宜超过24小时。</w:t>
      </w:r>
    </w:p>
    <w:p>
      <w:pPr>
        <w:pStyle w:val="3"/>
        <w:bidi w:val="0"/>
        <w:rPr>
          <w:rFonts w:hint="eastAsia" w:ascii="Times New Roman" w:hAnsi="Times New Roman" w:eastAsia="黑体"/>
          <w:highlight w:val="none"/>
          <w:lang w:val="en-US" w:eastAsia="zh-CN"/>
        </w:rPr>
      </w:pPr>
      <w:bookmarkStart w:id="95" w:name="_Toc19356"/>
      <w:r>
        <w:rPr>
          <w:rFonts w:hint="eastAsia" w:ascii="Times New Roman" w:hAnsi="Times New Roman"/>
          <w:b/>
          <w:highlight w:val="none"/>
          <w:lang w:val="en-US" w:eastAsia="zh-CN"/>
        </w:rPr>
        <w:t>6.4　</w:t>
      </w:r>
      <w:r>
        <w:rPr>
          <w:rFonts w:hint="eastAsia" w:ascii="Times New Roman" w:hAnsi="Times New Roman"/>
          <w:highlight w:val="none"/>
          <w:lang w:val="en-US" w:eastAsia="zh-CN"/>
        </w:rPr>
        <w:t>风机房</w:t>
      </w:r>
      <w:bookmarkEnd w:id="95"/>
    </w:p>
    <w:p>
      <w:pPr>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6.4.1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风机应设置在受噪音和振动影响较小的位置。</w:t>
      </w:r>
    </w:p>
    <w:p>
      <w:pPr>
        <w:rPr>
          <w:rFonts w:hint="default" w:eastAsia="宋体" w:cs="Times New Roman"/>
          <w:b/>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6.4.2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风机房内应设置风机和空气压缩机。</w:t>
      </w:r>
    </w:p>
    <w:p>
      <w:pPr>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6.4.3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风机底部应设置设备基础，并用地脚螺栓固定，且在风机底部应安装防震支架和防震橡胶。</w:t>
      </w:r>
    </w:p>
    <w:p>
      <w:pPr>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6.4.4</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风机应设置在单独的房间内，并应在风机房的墙壁上设置吸音板。</w:t>
      </w:r>
    </w:p>
    <w:p>
      <w:pPr>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6.4.5</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风机与墙壁的净距应满足检修、维护要求，并不应小于2m。</w:t>
      </w:r>
    </w:p>
    <w:p>
      <w:pPr>
        <w:rPr>
          <w:rFonts w:hint="default"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6.4.6</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风机的进风口与出风口之间应安装止回阀，阀瓣开启发现应朝向风机进风口。</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6.4.7</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风机组的前后应设置消音器。</w:t>
      </w:r>
    </w:p>
    <w:p>
      <w:pPr>
        <w:rPr>
          <w:rFonts w:hint="default"/>
          <w:lang w:val="en-US" w:eastAsia="zh-CN"/>
        </w:rPr>
      </w:pPr>
      <w:r>
        <w:rPr>
          <w:rFonts w:hint="eastAsia" w:cs="Times New Roman"/>
          <w:b/>
          <w:color w:val="000000" w:themeColor="text1"/>
          <w:sz w:val="24"/>
          <w:highlight w:val="none"/>
          <w:lang w:val="en-US" w:eastAsia="zh-CN"/>
          <w14:textFill>
            <w14:solidFill>
              <w14:schemeClr w14:val="tx1"/>
            </w14:solidFill>
          </w14:textFill>
        </w:rPr>
        <w:t>6.4.8</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中央收集站宜配置5台风机，卫星收集站宜配置3台风机。</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6.4.9</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风机应满足下列要求：</w:t>
      </w:r>
    </w:p>
    <w:p>
      <w:pPr>
        <w:ind w:left="0" w:leftChars="0" w:firstLine="441" w:firstLineChars="183"/>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宜选用离心式风机；</w:t>
      </w:r>
    </w:p>
    <w:p>
      <w:pPr>
        <w:ind w:left="0" w:leftChars="0" w:firstLine="441" w:firstLineChars="183"/>
        <w:rPr>
          <w:rFonts w:hint="eastAsia"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风机应使气力输送系统内保持-4kPa~-0.4kPa的负压状态，使竖起管道内的风速为25~30m/s；</w:t>
      </w:r>
    </w:p>
    <w:p>
      <w:pPr>
        <w:ind w:left="0" w:leftChars="0" w:firstLine="441" w:firstLineChars="183"/>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应设备用风机。当工作风机台数小于或等于4台时，应设1台备用风机。工作风机台数大于或等于5台时，应设2台备用风机。</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6.4.10</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主控阀应符合下列要求：</w:t>
      </w:r>
    </w:p>
    <w:p>
      <w:pPr>
        <w:ind w:firstLine="482" w:firstLineChars="200"/>
        <w:rPr>
          <w:rFonts w:hint="eastAsia"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应在风机开启、并达到运行速度后自动启动；</w:t>
      </w:r>
    </w:p>
    <w:p>
      <w:pPr>
        <w:ind w:firstLine="482" w:firstLineChars="200"/>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材质应为低碳钢；</w:t>
      </w:r>
    </w:p>
    <w:p>
      <w:pPr>
        <w:ind w:left="0" w:leftChars="0" w:firstLine="441" w:firstLineChars="183"/>
        <w:rPr>
          <w:rFonts w:hint="eastAsia" w:cs="Times New Roman"/>
          <w:b/>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控制方式应为气动驱动。</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6.4.11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空压机应满足下列要求：</w:t>
      </w:r>
    </w:p>
    <w:p>
      <w:pPr>
        <w:ind w:left="0" w:leftChars="0" w:firstLine="441" w:firstLineChars="183"/>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空压机宜选用活塞式；</w:t>
      </w:r>
    </w:p>
    <w:p>
      <w:pPr>
        <w:ind w:left="0" w:leftChars="0" w:firstLine="441" w:firstLineChars="183"/>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空压机的工作压力宜为600~800 kPa；</w:t>
      </w:r>
    </w:p>
    <w:p>
      <w:pPr>
        <w:ind w:left="0" w:leftChars="0" w:firstLine="441" w:firstLineChars="183"/>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空气输出量为24L/s。</w:t>
      </w:r>
    </w:p>
    <w:p>
      <w:pPr>
        <w:rPr>
          <w:rFonts w:hint="default" w:cs="Times New Roman"/>
          <w:color w:val="000000" w:themeColor="text1"/>
          <w:sz w:val="24"/>
          <w:highlight w:val="none"/>
          <w:lang w:val="en-US" w:eastAsia="zh-CN"/>
          <w14:textFill>
            <w14:solidFill>
              <w14:schemeClr w14:val="tx1"/>
            </w14:solidFill>
          </w14:textFill>
        </w:rPr>
      </w:pPr>
    </w:p>
    <w:p>
      <w:pPr>
        <w:pStyle w:val="3"/>
        <w:rPr>
          <w:rFonts w:hint="eastAsia" w:ascii="Times New Roman" w:hAnsi="Times New Roman"/>
          <w:highlight w:val="none"/>
          <w:lang w:val="en-US" w:eastAsia="zh-CN"/>
        </w:rPr>
      </w:pPr>
      <w:bookmarkStart w:id="96" w:name="_Toc6968"/>
      <w:r>
        <w:rPr>
          <w:rFonts w:hint="eastAsia" w:ascii="Times New Roman" w:hAnsi="Times New Roman"/>
          <w:b/>
          <w:highlight w:val="none"/>
          <w:lang w:val="en-US" w:eastAsia="zh-CN"/>
        </w:rPr>
        <w:t>6</w:t>
      </w:r>
      <w:r>
        <w:rPr>
          <w:rFonts w:ascii="Times New Roman" w:hAnsi="Times New Roman"/>
          <w:b/>
          <w:highlight w:val="none"/>
        </w:rPr>
        <w:t>.</w:t>
      </w:r>
      <w:r>
        <w:rPr>
          <w:rFonts w:hint="eastAsia" w:ascii="Times New Roman" w:hAnsi="Times New Roman"/>
          <w:b/>
          <w:highlight w:val="none"/>
          <w:lang w:val="en-US" w:eastAsia="zh-CN"/>
        </w:rPr>
        <w:t>5</w:t>
      </w:r>
      <w:r>
        <w:rPr>
          <w:rFonts w:ascii="Times New Roman" w:hAnsi="Times New Roman"/>
          <w:highlight w:val="none"/>
        </w:rPr>
        <w:t>　</w:t>
      </w:r>
      <w:r>
        <w:rPr>
          <w:rFonts w:hint="eastAsia" w:ascii="Times New Roman" w:hAnsi="Times New Roman"/>
          <w:highlight w:val="none"/>
          <w:lang w:val="en-US" w:eastAsia="zh-CN"/>
        </w:rPr>
        <w:t>过滤室</w:t>
      </w:r>
      <w:bookmarkEnd w:id="96"/>
    </w:p>
    <w:p>
      <w:pPr>
        <w:rPr>
          <w:rFonts w:hint="default" w:eastAsia="宋体"/>
          <w:lang w:val="en-US" w:eastAsia="zh-CN"/>
        </w:rPr>
      </w:pPr>
      <w:r>
        <w:rPr>
          <w:rFonts w:hint="eastAsia" w:cs="Times New Roman"/>
          <w:b/>
          <w:color w:val="000000" w:themeColor="text1"/>
          <w:sz w:val="24"/>
          <w:highlight w:val="none"/>
          <w:lang w:val="en-US" w:eastAsia="zh-CN"/>
          <w14:textFill>
            <w14:solidFill>
              <w14:schemeClr w14:val="tx1"/>
            </w14:solidFill>
          </w14:textFill>
        </w:rPr>
        <w:t>6.5.1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过滤室内应设置光氧消毒器、袋式除尘器、活性炭及气体在线监测传感器。</w:t>
      </w:r>
    </w:p>
    <w:p>
      <w:pPr>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6.5.2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过滤室应设置在风机房之后，前端与风机相连，后端与排气管相连。</w:t>
      </w:r>
    </w:p>
    <w:p>
      <w:pPr>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6.5.3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过滤室应保证良好的气密性。</w:t>
      </w:r>
    </w:p>
    <w:p>
      <w:pPr>
        <w:rPr>
          <w:rFonts w:hint="default"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6.5.4</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输送垃圾的气体应达标后排放。</w:t>
      </w:r>
    </w:p>
    <w:bookmarkEnd w:id="55"/>
    <w:bookmarkEnd w:id="56"/>
    <w:bookmarkEnd w:id="64"/>
    <w:bookmarkEnd w:id="65"/>
    <w:bookmarkEnd w:id="66"/>
    <w:bookmarkEnd w:id="67"/>
    <w:bookmarkEnd w:id="68"/>
    <w:bookmarkEnd w:id="69"/>
    <w:bookmarkEnd w:id="70"/>
    <w:bookmarkEnd w:id="71"/>
    <w:bookmarkEnd w:id="73"/>
    <w:bookmarkEnd w:id="74"/>
    <w:bookmarkEnd w:id="75"/>
    <w:bookmarkEnd w:id="76"/>
    <w:bookmarkEnd w:id="77"/>
    <w:bookmarkEnd w:id="78"/>
    <w:p>
      <w:pPr>
        <w:numPr>
          <w:ilvl w:val="0"/>
          <w:numId w:val="0"/>
        </w:numPr>
        <w:sectPr>
          <w:pgSz w:w="11906" w:h="16838"/>
          <w:pgMar w:top="1440" w:right="1558" w:bottom="1440" w:left="1560" w:header="851" w:footer="439" w:gutter="0"/>
          <w:pgNumType w:fmt="decimal"/>
          <w:cols w:space="720" w:num="1"/>
          <w:docGrid w:type="lines" w:linePitch="326" w:charSpace="0"/>
        </w:sectPr>
      </w:pPr>
      <w:bookmarkStart w:id="97" w:name="_Toc25031"/>
      <w:bookmarkStart w:id="98" w:name="_Toc20179"/>
      <w:bookmarkStart w:id="99" w:name="_Toc16507"/>
      <w:bookmarkStart w:id="100" w:name="_Hlk6824139"/>
    </w:p>
    <w:p>
      <w:pPr>
        <w:pStyle w:val="2"/>
        <w:numPr>
          <w:ilvl w:val="0"/>
          <w:numId w:val="1"/>
        </w:numPr>
        <w:rPr>
          <w:rFonts w:hint="eastAsia"/>
          <w:color w:val="000000" w:themeColor="text1"/>
          <w:highlight w:val="none"/>
          <w:lang w:val="en-US" w:eastAsia="zh-CN"/>
          <w14:textFill>
            <w14:solidFill>
              <w14:schemeClr w14:val="tx1"/>
            </w14:solidFill>
          </w14:textFill>
        </w:rPr>
      </w:pPr>
      <w:bookmarkStart w:id="101" w:name="_Toc12777"/>
      <w:r>
        <w:rPr>
          <w:rFonts w:hint="eastAsia"/>
          <w:color w:val="000000" w:themeColor="text1"/>
          <w:highlight w:val="none"/>
          <w:lang w:val="en-US" w:eastAsia="zh-CN"/>
          <w14:textFill>
            <w14:solidFill>
              <w14:schemeClr w14:val="tx1"/>
            </w14:solidFill>
          </w14:textFill>
        </w:rPr>
        <w:t>施工安装</w:t>
      </w:r>
      <w:bookmarkEnd w:id="97"/>
      <w:bookmarkEnd w:id="98"/>
      <w:bookmarkEnd w:id="99"/>
      <w:bookmarkEnd w:id="101"/>
    </w:p>
    <w:p>
      <w:pPr>
        <w:pStyle w:val="3"/>
        <w:numPr>
          <w:ilvl w:val="1"/>
          <w:numId w:val="1"/>
        </w:numPr>
        <w:bidi w:val="0"/>
        <w:rPr>
          <w:rFonts w:hint="eastAsia"/>
          <w:lang w:val="en-US" w:eastAsia="zh-CN"/>
        </w:rPr>
      </w:pPr>
      <w:bookmarkStart w:id="102" w:name="_Toc3255"/>
      <w:r>
        <w:rPr>
          <w:rFonts w:hint="eastAsia"/>
          <w:lang w:val="en-US" w:eastAsia="zh-CN"/>
        </w:rPr>
        <w:t>一般规定</w:t>
      </w:r>
      <w:bookmarkEnd w:id="102"/>
    </w:p>
    <w:p>
      <w:pPr>
        <w:pStyle w:val="77"/>
        <w:ind w:firstLine="0" w:firstLineChars="0"/>
        <w:rPr>
          <w:rFonts w:hint="default" w:eastAsia="宋体" w:cstheme="minorBidi"/>
          <w:color w:val="000000" w:themeColor="text1"/>
          <w:kern w:val="0"/>
          <w:sz w:val="24"/>
          <w:highlight w:val="none"/>
          <w:lang w:val="en-US" w:eastAsia="zh-CN"/>
          <w14:textFill>
            <w14:solidFill>
              <w14:schemeClr w14:val="tx1"/>
            </w14:solidFill>
          </w14:textFill>
        </w:rPr>
      </w:pPr>
      <w:r>
        <w:rPr>
          <w:rFonts w:hint="eastAsia"/>
          <w:b/>
          <w:color w:val="000000" w:themeColor="text1"/>
          <w:sz w:val="24"/>
          <w:highlight w:val="none"/>
          <w:lang w:val="en-US" w:eastAsia="zh-CN"/>
          <w14:textFill>
            <w14:solidFill>
              <w14:schemeClr w14:val="tx1"/>
            </w14:solidFill>
          </w14:textFill>
        </w:rPr>
        <w:t>7</w:t>
      </w:r>
      <w:r>
        <w:rPr>
          <w:b/>
          <w:color w:val="000000" w:themeColor="text1"/>
          <w:sz w:val="24"/>
          <w:highlight w:val="none"/>
          <w14:textFill>
            <w14:solidFill>
              <w14:schemeClr w14:val="tx1"/>
            </w14:solidFill>
          </w14:textFill>
        </w:rPr>
        <w:t>.1.1</w:t>
      </w:r>
      <w:r>
        <w:rPr>
          <w:rFonts w:hint="eastAsia" w:cstheme="minorBidi"/>
          <w:color w:val="000000" w:themeColor="text1"/>
          <w:kern w:val="0"/>
          <w:sz w:val="24"/>
          <w:highlight w:val="none"/>
          <w14:textFill>
            <w14:solidFill>
              <w14:schemeClr w14:val="tx1"/>
            </w14:solidFill>
          </w14:textFill>
        </w:rPr>
        <w:t>　</w:t>
      </w:r>
      <w:r>
        <w:rPr>
          <w:rFonts w:hint="eastAsia" w:cstheme="minorBidi"/>
          <w:color w:val="000000" w:themeColor="text1"/>
          <w:kern w:val="0"/>
          <w:sz w:val="24"/>
          <w:highlight w:val="none"/>
          <w:lang w:val="en-US" w:eastAsia="zh-CN"/>
          <w14:textFill>
            <w14:solidFill>
              <w14:schemeClr w14:val="tx1"/>
            </w14:solidFill>
          </w14:textFill>
        </w:rPr>
        <w:t>垃圾全密闭气力输送系统</w:t>
      </w:r>
      <w:r>
        <w:rPr>
          <w:rFonts w:hint="eastAsia" w:cstheme="minorBidi"/>
          <w:color w:val="000000" w:themeColor="text1"/>
          <w:kern w:val="0"/>
          <w:sz w:val="24"/>
          <w:highlight w:val="none"/>
          <w14:textFill>
            <w14:solidFill>
              <w14:schemeClr w14:val="tx1"/>
            </w14:solidFill>
          </w14:textFill>
        </w:rPr>
        <w:t>所用的原材料、半成品、成品等产品的品种、规格、性能必须符合国家</w:t>
      </w:r>
      <w:r>
        <w:rPr>
          <w:rFonts w:hint="eastAsia" w:cstheme="minorBidi"/>
          <w:color w:val="000000" w:themeColor="text1"/>
          <w:kern w:val="0"/>
          <w:sz w:val="24"/>
          <w:highlight w:val="none"/>
          <w:lang w:val="en-US" w:eastAsia="zh-CN"/>
          <w14:textFill>
            <w14:solidFill>
              <w14:schemeClr w14:val="tx1"/>
            </w14:solidFill>
          </w14:textFill>
        </w:rPr>
        <w:t>技术</w:t>
      </w:r>
      <w:r>
        <w:rPr>
          <w:rFonts w:hint="eastAsia" w:cstheme="minorBidi"/>
          <w:color w:val="000000" w:themeColor="text1"/>
          <w:kern w:val="0"/>
          <w:sz w:val="24"/>
          <w:highlight w:val="none"/>
          <w14:textFill>
            <w14:solidFill>
              <w14:schemeClr w14:val="tx1"/>
            </w14:solidFill>
          </w14:textFill>
        </w:rPr>
        <w:t>标准和设计要求，</w:t>
      </w:r>
      <w:r>
        <w:rPr>
          <w:rFonts w:hint="eastAsia" w:cstheme="minorBidi"/>
          <w:color w:val="000000" w:themeColor="text1"/>
          <w:kern w:val="0"/>
          <w:sz w:val="24"/>
          <w:highlight w:val="none"/>
          <w:lang w:val="en-US" w:eastAsia="zh-CN"/>
          <w14:textFill>
            <w14:solidFill>
              <w14:schemeClr w14:val="tx1"/>
            </w14:solidFill>
          </w14:textFill>
        </w:rPr>
        <w:t>并应具有中文质量合格证明文件。进场时应做检查验收，并经监理工程师核查确认。</w:t>
      </w:r>
    </w:p>
    <w:p>
      <w:pPr>
        <w:pStyle w:val="77"/>
        <w:ind w:firstLine="0" w:firstLineChars="0"/>
        <w:rPr>
          <w:rFonts w:hint="default" w:eastAsia="宋体" w:cstheme="minorBidi"/>
          <w:color w:val="000000" w:themeColor="text1"/>
          <w:kern w:val="0"/>
          <w:sz w:val="24"/>
          <w:highlight w:val="none"/>
          <w:lang w:val="en-US" w:eastAsia="zh-CN"/>
          <w14:textFill>
            <w14:solidFill>
              <w14:schemeClr w14:val="tx1"/>
            </w14:solidFill>
          </w14:textFill>
        </w:rPr>
      </w:pPr>
      <w:r>
        <w:rPr>
          <w:rFonts w:hint="eastAsia"/>
          <w:b/>
          <w:color w:val="000000" w:themeColor="text1"/>
          <w:sz w:val="24"/>
          <w:highlight w:val="none"/>
          <w:lang w:val="en-US" w:eastAsia="zh-CN"/>
          <w14:textFill>
            <w14:solidFill>
              <w14:schemeClr w14:val="tx1"/>
            </w14:solidFill>
          </w14:textFill>
        </w:rPr>
        <w:t>7.1.2</w:t>
      </w:r>
      <w:r>
        <w:rPr>
          <w:rFonts w:hint="eastAsia" w:cstheme="minorBidi"/>
          <w:color w:val="000000" w:themeColor="text1"/>
          <w:kern w:val="0"/>
          <w:sz w:val="24"/>
          <w:highlight w:val="none"/>
          <w14:textFill>
            <w14:solidFill>
              <w14:schemeClr w14:val="tx1"/>
            </w14:solidFill>
          </w14:textFill>
        </w:rPr>
        <w:t>　施工单位应具备相应的施工资质，同时建立、健全施工技术、质量、安全生产等管理体系，制订各项施工管理规定，并贯彻执行。</w:t>
      </w:r>
    </w:p>
    <w:p>
      <w:pPr>
        <w:pStyle w:val="77"/>
        <w:ind w:firstLine="0" w:firstLineChars="0"/>
        <w:rPr>
          <w:rFonts w:hint="eastAsia" w:cstheme="minorBidi"/>
          <w:color w:val="000000" w:themeColor="text1"/>
          <w:kern w:val="0"/>
          <w:sz w:val="24"/>
          <w:highlight w:val="none"/>
          <w:lang w:val="en-US" w:eastAsia="zh-CN"/>
          <w14:textFill>
            <w14:solidFill>
              <w14:schemeClr w14:val="tx1"/>
            </w14:solidFill>
          </w14:textFill>
        </w:rPr>
      </w:pPr>
      <w:r>
        <w:rPr>
          <w:rFonts w:hint="eastAsia"/>
          <w:b/>
          <w:color w:val="000000" w:themeColor="text1"/>
          <w:sz w:val="24"/>
          <w:highlight w:val="none"/>
          <w:lang w:val="en-US" w:eastAsia="zh-CN"/>
          <w14:textFill>
            <w14:solidFill>
              <w14:schemeClr w14:val="tx1"/>
            </w14:solidFill>
          </w14:textFill>
        </w:rPr>
        <w:t>7.1.3</w:t>
      </w:r>
      <w:r>
        <w:rPr>
          <w:rFonts w:hint="eastAsia" w:cstheme="minorBidi"/>
          <w:color w:val="000000" w:themeColor="text1"/>
          <w:kern w:val="0"/>
          <w:sz w:val="24"/>
          <w:highlight w:val="none"/>
          <w14:textFill>
            <w14:solidFill>
              <w14:schemeClr w14:val="tx1"/>
            </w14:solidFill>
          </w14:textFill>
        </w:rPr>
        <w:t>　</w:t>
      </w:r>
      <w:r>
        <w:rPr>
          <w:rFonts w:hint="eastAsia" w:cstheme="minorBidi"/>
          <w:color w:val="000000" w:themeColor="text1"/>
          <w:kern w:val="0"/>
          <w:sz w:val="24"/>
          <w:highlight w:val="none"/>
          <w:lang w:val="en-US" w:eastAsia="zh-CN"/>
          <w14:textFill>
            <w14:solidFill>
              <w14:schemeClr w14:val="tx1"/>
            </w14:solidFill>
          </w14:textFill>
        </w:rPr>
        <w:t>设备设施应与建筑主体结构或其基础、支架牢靠固定。</w:t>
      </w:r>
    </w:p>
    <w:p>
      <w:pPr>
        <w:widowControl w:val="0"/>
        <w:snapToGrid w:val="0"/>
        <w:spacing w:after="0" w:line="400" w:lineRule="exact"/>
        <w:rPr>
          <w:rFonts w:cs="Times New Roman"/>
          <w:color w:val="000000" w:themeColor="text1"/>
          <w:sz w:val="24"/>
          <w:highlight w:val="none"/>
          <w14:textFill>
            <w14:solidFill>
              <w14:schemeClr w14:val="tx1"/>
            </w14:solidFill>
          </w14:textFill>
        </w:rPr>
      </w:pPr>
      <w:r>
        <w:rPr>
          <w:rFonts w:hint="eastAsia"/>
          <w:b/>
          <w:color w:val="000000" w:themeColor="text1"/>
          <w:sz w:val="24"/>
          <w:highlight w:val="none"/>
          <w:lang w:val="en-US" w:eastAsia="zh-CN"/>
          <w14:textFill>
            <w14:solidFill>
              <w14:schemeClr w14:val="tx1"/>
            </w14:solidFill>
          </w14:textFill>
        </w:rPr>
        <w:t>7.1.4</w:t>
      </w:r>
      <w:r>
        <w:rPr>
          <w:rFonts w:hint="eastAsia" w:cstheme="minorBidi"/>
          <w:color w:val="000000" w:themeColor="text1"/>
          <w:kern w:val="0"/>
          <w:sz w:val="24"/>
          <w:highlight w:val="none"/>
          <w14:textFill>
            <w14:solidFill>
              <w14:schemeClr w14:val="tx1"/>
            </w14:solidFill>
          </w14:textFill>
        </w:rPr>
        <w:t>　</w:t>
      </w:r>
      <w:r>
        <w:rPr>
          <w:rFonts w:hint="eastAsia" w:cstheme="minorBidi"/>
          <w:color w:val="000000" w:themeColor="text1"/>
          <w:kern w:val="0"/>
          <w:sz w:val="24"/>
          <w:highlight w:val="none"/>
          <w:lang w:val="en-US" w:eastAsia="zh-CN"/>
          <w14:textFill>
            <w14:solidFill>
              <w14:schemeClr w14:val="tx1"/>
            </w14:solidFill>
          </w14:textFill>
        </w:rPr>
        <w:t>管道施工应符合现行国家标准《工业金属管道工程施工规范》GB 50235、《工业金属管道工程施工质量验收规范》GB 50184的规定，</w:t>
      </w:r>
      <w:r>
        <w:rPr>
          <w:rFonts w:hint="eastAsia" w:cs="Times New Roman"/>
          <w:color w:val="000000" w:themeColor="text1"/>
          <w:sz w:val="24"/>
          <w:highlight w:val="none"/>
          <w14:textFill>
            <w14:solidFill>
              <w14:schemeClr w14:val="tx1"/>
            </w14:solidFill>
          </w14:textFill>
        </w:rPr>
        <w:t>管道焊接应</w:t>
      </w:r>
      <w:r>
        <w:rPr>
          <w:rFonts w:hint="eastAsia" w:cs="Times New Roman"/>
          <w:color w:val="000000" w:themeColor="text1"/>
          <w:sz w:val="24"/>
          <w:highlight w:val="none"/>
          <w:lang w:val="en-US" w:eastAsia="zh-CN"/>
          <w14:textFill>
            <w14:solidFill>
              <w14:schemeClr w14:val="tx1"/>
            </w14:solidFill>
          </w14:textFill>
        </w:rPr>
        <w:t>符合现行国家标准</w:t>
      </w:r>
      <w:r>
        <w:rPr>
          <w:rFonts w:hint="eastAsia" w:cs="Times New Roman"/>
          <w:color w:val="000000" w:themeColor="text1"/>
          <w:sz w:val="24"/>
          <w:highlight w:val="none"/>
          <w14:textFill>
            <w14:solidFill>
              <w14:schemeClr w14:val="tx1"/>
            </w14:solidFill>
          </w14:textFill>
        </w:rPr>
        <w:t>《现场设备、工业管道焊接工程施工及验收规范》GB50236的规定</w:t>
      </w:r>
      <w:r>
        <w:rPr>
          <w:rFonts w:hint="eastAsia" w:cs="Times New Roman"/>
          <w:color w:val="000000" w:themeColor="text1"/>
          <w:sz w:val="24"/>
          <w:highlight w:val="none"/>
          <w:lang w:eastAsia="zh-CN"/>
          <w14:textFill>
            <w14:solidFill>
              <w14:schemeClr w14:val="tx1"/>
            </w14:solidFill>
          </w14:textFill>
        </w:rPr>
        <w:t>，</w:t>
      </w:r>
      <w:r>
        <w:rPr>
          <w:rFonts w:hint="eastAsia" w:cs="Times New Roman"/>
          <w:color w:val="000000" w:themeColor="text1"/>
          <w:sz w:val="24"/>
          <w:highlight w:val="none"/>
          <w14:textFill>
            <w14:solidFill>
              <w14:schemeClr w14:val="tx1"/>
            </w14:solidFill>
          </w14:textFill>
        </w:rPr>
        <w:t>管道防腐</w:t>
      </w:r>
      <w:r>
        <w:rPr>
          <w:rFonts w:hint="eastAsia" w:cs="Times New Roman"/>
          <w:color w:val="000000" w:themeColor="text1"/>
          <w:sz w:val="24"/>
          <w:highlight w:val="none"/>
          <w:lang w:val="en-US" w:eastAsia="zh-CN"/>
          <w14:textFill>
            <w14:solidFill>
              <w14:schemeClr w14:val="tx1"/>
            </w14:solidFill>
          </w14:textFill>
        </w:rPr>
        <w:t>符合现行国家标准</w:t>
      </w:r>
      <w:r>
        <w:rPr>
          <w:rFonts w:hint="eastAsia" w:cs="Times New Roman"/>
          <w:color w:val="000000" w:themeColor="text1"/>
          <w:sz w:val="24"/>
          <w:highlight w:val="none"/>
          <w:lang w:eastAsia="zh-CN"/>
          <w14:textFill>
            <w14:solidFill>
              <w14:schemeClr w14:val="tx1"/>
            </w14:solidFill>
          </w14:textFill>
        </w:rPr>
        <w:t>《</w:t>
      </w:r>
      <w:r>
        <w:rPr>
          <w:rFonts w:hint="eastAsia" w:cs="Times New Roman"/>
          <w:color w:val="000000" w:themeColor="text1"/>
          <w:sz w:val="24"/>
          <w:highlight w:val="none"/>
          <w:lang w:val="en-US" w:eastAsia="zh-CN"/>
          <w14:textFill>
            <w14:solidFill>
              <w14:schemeClr w14:val="tx1"/>
            </w14:solidFill>
          </w14:textFill>
        </w:rPr>
        <w:t>埋地钢制管道防腐保温层技术标准</w:t>
      </w:r>
      <w:r>
        <w:rPr>
          <w:rFonts w:hint="eastAsia" w:cs="Times New Roman"/>
          <w:color w:val="000000" w:themeColor="text1"/>
          <w:sz w:val="24"/>
          <w:highlight w:val="none"/>
          <w:lang w:eastAsia="zh-CN"/>
          <w14:textFill>
            <w14:solidFill>
              <w14:schemeClr w14:val="tx1"/>
            </w14:solidFill>
          </w14:textFill>
        </w:rPr>
        <w:t>》</w:t>
      </w:r>
      <w:r>
        <w:rPr>
          <w:rFonts w:hint="eastAsia" w:cs="Times New Roman"/>
          <w:color w:val="000000" w:themeColor="text1"/>
          <w:sz w:val="24"/>
          <w:highlight w:val="none"/>
          <w:lang w:val="en-US" w:eastAsia="zh-CN"/>
          <w14:textFill>
            <w14:solidFill>
              <w14:schemeClr w14:val="tx1"/>
            </w14:solidFill>
          </w14:textFill>
        </w:rPr>
        <w:t>GB/T 50538</w:t>
      </w:r>
      <w:r>
        <w:rPr>
          <w:rFonts w:hint="eastAsia" w:cs="Times New Roman"/>
          <w:color w:val="000000" w:themeColor="text1"/>
          <w:sz w:val="24"/>
          <w:highlight w:val="none"/>
          <w14:textFill>
            <w14:solidFill>
              <w14:schemeClr w14:val="tx1"/>
            </w14:solidFill>
          </w14:textFill>
        </w:rPr>
        <w:t>的规定。</w:t>
      </w:r>
    </w:p>
    <w:p>
      <w:pPr>
        <w:pStyle w:val="77"/>
        <w:ind w:firstLine="0" w:firstLineChars="0"/>
        <w:rPr>
          <w:rFonts w:hint="default" w:eastAsia="宋体" w:cstheme="minorBidi"/>
          <w:color w:val="000000" w:themeColor="text1"/>
          <w:kern w:val="0"/>
          <w:sz w:val="24"/>
          <w:highlight w:val="none"/>
          <w:lang w:val="en-US" w:eastAsia="zh-CN"/>
          <w14:textFill>
            <w14:solidFill>
              <w14:schemeClr w14:val="tx1"/>
            </w14:solidFill>
          </w14:textFill>
        </w:rPr>
      </w:pPr>
      <w:r>
        <w:rPr>
          <w:rFonts w:hint="eastAsia"/>
          <w:b/>
          <w:color w:val="000000" w:themeColor="text1"/>
          <w:sz w:val="24"/>
          <w:highlight w:val="none"/>
          <w:lang w:val="en-US" w:eastAsia="zh-CN"/>
          <w14:textFill>
            <w14:solidFill>
              <w14:schemeClr w14:val="tx1"/>
            </w14:solidFill>
          </w14:textFill>
        </w:rPr>
        <w:t>7.1.5</w:t>
      </w:r>
      <w:r>
        <w:rPr>
          <w:rFonts w:hint="eastAsia" w:cstheme="minorBidi"/>
          <w:color w:val="000000" w:themeColor="text1"/>
          <w:kern w:val="0"/>
          <w:sz w:val="24"/>
          <w:highlight w:val="none"/>
          <w14:textFill>
            <w14:solidFill>
              <w14:schemeClr w14:val="tx1"/>
            </w14:solidFill>
          </w14:textFill>
        </w:rPr>
        <w:t>　</w:t>
      </w:r>
      <w:r>
        <w:rPr>
          <w:rFonts w:hint="eastAsia" w:cstheme="minorBidi"/>
          <w:color w:val="000000" w:themeColor="text1"/>
          <w:kern w:val="0"/>
          <w:sz w:val="24"/>
          <w:highlight w:val="none"/>
          <w:lang w:val="en-US" w:eastAsia="zh-CN"/>
          <w14:textFill>
            <w14:solidFill>
              <w14:schemeClr w14:val="tx1"/>
            </w14:solidFill>
          </w14:textFill>
        </w:rPr>
        <w:t>风机、压缩机的施工应符合现行国家标准《风机、压缩机、泵安装工程施工及验收规范》GB 50275的规定。</w:t>
      </w:r>
    </w:p>
    <w:p>
      <w:pPr>
        <w:pStyle w:val="3"/>
        <w:bidi w:val="0"/>
        <w:rPr>
          <w:rFonts w:hint="default"/>
          <w:lang w:val="en-US" w:eastAsia="zh-CN"/>
        </w:rPr>
      </w:pPr>
      <w:bookmarkStart w:id="103" w:name="_Toc20828"/>
      <w:r>
        <w:rPr>
          <w:rFonts w:hint="default" w:ascii="Times New Roman" w:hAnsi="Times New Roman" w:cs="Times New Roman"/>
          <w:b/>
          <w:bCs/>
          <w:lang w:val="en-US" w:eastAsia="zh-CN"/>
        </w:rPr>
        <w:t>7.2</w:t>
      </w:r>
      <w:r>
        <w:rPr>
          <w:rFonts w:hint="eastAsia"/>
          <w:lang w:val="en-US" w:eastAsia="zh-CN"/>
        </w:rPr>
        <w:t xml:space="preserve"> 管道施工</w:t>
      </w:r>
      <w:bookmarkEnd w:id="103"/>
    </w:p>
    <w:p>
      <w:pPr>
        <w:widowControl w:val="0"/>
        <w:snapToGrid w:val="0"/>
        <w:spacing w:after="0" w:line="400" w:lineRule="exact"/>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7</w:t>
      </w:r>
      <w:r>
        <w:rPr>
          <w:rFonts w:cs="Times New Roman"/>
          <w:b/>
          <w:color w:val="000000" w:themeColor="text1"/>
          <w:sz w:val="24"/>
          <w:highlight w:val="none"/>
          <w14:textFill>
            <w14:solidFill>
              <w14:schemeClr w14:val="tx1"/>
            </w14:solidFill>
          </w14:textFill>
        </w:rPr>
        <w:t>.</w:t>
      </w:r>
      <w:r>
        <w:rPr>
          <w:rFonts w:hint="eastAsia" w:cs="Times New Roman"/>
          <w:b/>
          <w:color w:val="000000" w:themeColor="text1"/>
          <w:sz w:val="24"/>
          <w:highlight w:val="none"/>
          <w:lang w:val="en-US" w:eastAsia="zh-CN"/>
          <w14:textFill>
            <w14:solidFill>
              <w14:schemeClr w14:val="tx1"/>
            </w14:solidFill>
          </w14:textFill>
        </w:rPr>
        <w:t>2</w:t>
      </w:r>
      <w:r>
        <w:rPr>
          <w:rFonts w:cs="Times New Roman"/>
          <w:b/>
          <w:color w:val="000000" w:themeColor="text1"/>
          <w:sz w:val="24"/>
          <w:highlight w:val="none"/>
          <w14:textFill>
            <w14:solidFill>
              <w14:schemeClr w14:val="tx1"/>
            </w14:solidFill>
          </w14:textFill>
        </w:rPr>
        <w:t>.1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管道安装施工前应具备下列条件：</w:t>
      </w:r>
    </w:p>
    <w:p>
      <w:pPr>
        <w:widowControl w:val="0"/>
        <w:snapToGrid w:val="0"/>
        <w:spacing w:after="0" w:line="400" w:lineRule="exact"/>
        <w:ind w:left="0" w:leftChars="0" w:firstLine="441" w:firstLineChars="183"/>
        <w:rPr>
          <w:rFonts w:hint="default"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1</w:t>
      </w:r>
      <w:r>
        <w:rPr>
          <w:rFonts w:cs="Times New Roman"/>
          <w:color w:val="000000" w:themeColor="text1"/>
          <w:sz w:val="24"/>
          <w:highlight w:val="none"/>
          <w14:textFill>
            <w14:solidFill>
              <w14:schemeClr w14:val="tx1"/>
            </w14:solidFill>
          </w14:textFill>
        </w:rPr>
        <w:t>　</w:t>
      </w:r>
      <w:r>
        <w:rPr>
          <w:rFonts w:hint="default" w:cs="Times New Roman"/>
          <w:color w:val="000000" w:themeColor="text1"/>
          <w:sz w:val="24"/>
          <w:highlight w:val="none"/>
          <w:lang w:val="en-US" w:eastAsia="zh-CN"/>
          <w14:textFill>
            <w14:solidFill>
              <w14:schemeClr w14:val="tx1"/>
            </w14:solidFill>
          </w14:textFill>
        </w:rPr>
        <w:t>相关设计图纸及技术文件资料齐全，并经会审；</w:t>
      </w:r>
    </w:p>
    <w:p>
      <w:pPr>
        <w:widowControl w:val="0"/>
        <w:snapToGrid w:val="0"/>
        <w:spacing w:after="0" w:line="400" w:lineRule="exact"/>
        <w:ind w:left="0" w:leftChars="0" w:firstLine="441" w:firstLineChars="183"/>
        <w:rPr>
          <w:rFonts w:hint="default"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2</w:t>
      </w:r>
      <w:r>
        <w:rPr>
          <w:rFonts w:cs="Times New Roman"/>
          <w:color w:val="000000" w:themeColor="text1"/>
          <w:sz w:val="24"/>
          <w:highlight w:val="none"/>
          <w14:textFill>
            <w14:solidFill>
              <w14:schemeClr w14:val="tx1"/>
            </w14:solidFill>
          </w14:textFill>
        </w:rPr>
        <w:t>　</w:t>
      </w:r>
      <w:r>
        <w:rPr>
          <w:rFonts w:hint="default" w:cs="Times New Roman"/>
          <w:color w:val="000000" w:themeColor="text1"/>
          <w:sz w:val="24"/>
          <w:highlight w:val="none"/>
          <w:lang w:val="en-US" w:eastAsia="zh-CN"/>
          <w14:textFill>
            <w14:solidFill>
              <w14:schemeClr w14:val="tx1"/>
            </w14:solidFill>
          </w14:textFill>
        </w:rPr>
        <w:t>依据己批准的施工方案或施工组织设计进行了技术交底；</w:t>
      </w:r>
    </w:p>
    <w:p>
      <w:pPr>
        <w:widowControl w:val="0"/>
        <w:snapToGrid w:val="0"/>
        <w:spacing w:after="0" w:line="400" w:lineRule="exact"/>
        <w:ind w:left="0" w:leftChars="0" w:firstLine="441" w:firstLineChars="183"/>
        <w:rPr>
          <w:rFonts w:hint="default"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3</w:t>
      </w:r>
      <w:r>
        <w:rPr>
          <w:rFonts w:cs="Times New Roman"/>
          <w:color w:val="000000" w:themeColor="text1"/>
          <w:sz w:val="24"/>
          <w:highlight w:val="none"/>
          <w14:textFill>
            <w14:solidFill>
              <w14:schemeClr w14:val="tx1"/>
            </w14:solidFill>
          </w14:textFill>
        </w:rPr>
        <w:t>　</w:t>
      </w:r>
      <w:r>
        <w:rPr>
          <w:rFonts w:hint="default" w:cs="Times New Roman"/>
          <w:color w:val="000000" w:themeColor="text1"/>
          <w:sz w:val="24"/>
          <w:highlight w:val="none"/>
          <w:lang w:val="en-US" w:eastAsia="zh-CN"/>
          <w14:textFill>
            <w14:solidFill>
              <w14:schemeClr w14:val="tx1"/>
            </w14:solidFill>
          </w14:textFill>
        </w:rPr>
        <w:t>材料、施工机具等能保证正常施工；</w:t>
      </w:r>
    </w:p>
    <w:p>
      <w:pPr>
        <w:widowControl w:val="0"/>
        <w:snapToGrid w:val="0"/>
        <w:spacing w:after="0" w:line="400" w:lineRule="exact"/>
        <w:ind w:left="0" w:leftChars="0" w:firstLine="441" w:firstLineChars="183"/>
        <w:rPr>
          <w:rFonts w:hint="default"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4</w:t>
      </w:r>
      <w:r>
        <w:rPr>
          <w:rFonts w:cs="Times New Roman"/>
          <w:color w:val="000000" w:themeColor="text1"/>
          <w:sz w:val="24"/>
          <w:highlight w:val="none"/>
          <w14:textFill>
            <w14:solidFill>
              <w14:schemeClr w14:val="tx1"/>
            </w14:solidFill>
          </w14:textFill>
        </w:rPr>
        <w:t>　</w:t>
      </w:r>
      <w:r>
        <w:rPr>
          <w:rFonts w:hint="default" w:cs="Times New Roman"/>
          <w:color w:val="000000" w:themeColor="text1"/>
          <w:sz w:val="24"/>
          <w:highlight w:val="none"/>
          <w:lang w:val="en-US" w:eastAsia="zh-CN"/>
          <w14:textFill>
            <w14:solidFill>
              <w14:schemeClr w14:val="tx1"/>
            </w14:solidFill>
          </w14:textFill>
        </w:rPr>
        <w:t>施工场地及施工用水、用电、材料贮放场地等临时设施，能满足施工需要。</w:t>
      </w:r>
    </w:p>
    <w:p>
      <w:pPr>
        <w:widowControl w:val="0"/>
        <w:snapToGrid w:val="0"/>
        <w:spacing w:after="0" w:line="400" w:lineRule="exact"/>
        <w:rPr>
          <w:rFonts w:hint="default"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7</w:t>
      </w:r>
      <w:r>
        <w:rPr>
          <w:rFonts w:cs="Times New Roman"/>
          <w:b/>
          <w:color w:val="000000" w:themeColor="text1"/>
          <w:sz w:val="24"/>
          <w:highlight w:val="none"/>
          <w14:textFill>
            <w14:solidFill>
              <w14:schemeClr w14:val="tx1"/>
            </w14:solidFill>
          </w14:textFill>
        </w:rPr>
        <w:t>.</w:t>
      </w:r>
      <w:r>
        <w:rPr>
          <w:rFonts w:hint="eastAsia" w:cs="Times New Roman"/>
          <w:b/>
          <w:color w:val="000000" w:themeColor="text1"/>
          <w:sz w:val="24"/>
          <w:highlight w:val="none"/>
          <w:lang w:val="en-US" w:eastAsia="zh-CN"/>
          <w14:textFill>
            <w14:solidFill>
              <w14:schemeClr w14:val="tx1"/>
            </w14:solidFill>
          </w14:textFill>
        </w:rPr>
        <w:t>2</w:t>
      </w:r>
      <w:r>
        <w:rPr>
          <w:rFonts w:cs="Times New Roman"/>
          <w:b/>
          <w:color w:val="000000" w:themeColor="text1"/>
          <w:sz w:val="24"/>
          <w:highlight w:val="none"/>
          <w14:textFill>
            <w14:solidFill>
              <w14:schemeClr w14:val="tx1"/>
            </w14:solidFill>
          </w14:textFill>
        </w:rPr>
        <w:t>.</w:t>
      </w:r>
      <w:r>
        <w:rPr>
          <w:rFonts w:hint="eastAsia" w:cs="Times New Roman"/>
          <w:b/>
          <w:color w:val="000000" w:themeColor="text1"/>
          <w:sz w:val="24"/>
          <w:highlight w:val="none"/>
          <w:lang w:val="en-US" w:eastAsia="zh-CN"/>
          <w14:textFill>
            <w14:solidFill>
              <w14:schemeClr w14:val="tx1"/>
            </w14:solidFill>
          </w14:textFill>
        </w:rPr>
        <w:t>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管道安装应严格遵循设计图纸。</w:t>
      </w:r>
      <w:r>
        <w:rPr>
          <w:rFonts w:hint="default" w:cs="Times New Roman"/>
          <w:color w:val="000000" w:themeColor="text1"/>
          <w:sz w:val="24"/>
          <w:highlight w:val="none"/>
          <w:lang w:val="en-US" w:eastAsia="zh-CN"/>
          <w14:textFill>
            <w14:solidFill>
              <w14:schemeClr w14:val="tx1"/>
            </w14:solidFill>
          </w14:textFill>
        </w:rPr>
        <w:t>在安装管道前，施工单位的主管必须检验所有的管路，确定路由是否与设计图纸一致，在特殊情况下，可结合现场情况进行调整，调整前须征得系统服务方和设计方的同意。</w:t>
      </w:r>
    </w:p>
    <w:p>
      <w:pPr>
        <w:widowControl w:val="0"/>
        <w:snapToGrid w:val="0"/>
        <w:spacing w:after="0" w:line="400" w:lineRule="exact"/>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7.2.3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直埋管道的安装，应满足下列要求：</w:t>
      </w:r>
    </w:p>
    <w:p>
      <w:pPr>
        <w:widowControl w:val="0"/>
        <w:snapToGrid w:val="0"/>
        <w:spacing w:after="0" w:line="400" w:lineRule="exact"/>
        <w:ind w:left="0" w:leftChars="0" w:firstLine="441" w:firstLineChars="183"/>
        <w:rPr>
          <w:rFonts w:hint="default"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从干管引出分支管时，在分支管上应设支墩；</w:t>
      </w:r>
    </w:p>
    <w:p>
      <w:pPr>
        <w:widowControl w:val="0"/>
        <w:snapToGrid w:val="0"/>
        <w:spacing w:after="0" w:line="400" w:lineRule="exact"/>
        <w:ind w:left="0" w:leftChars="0" w:firstLine="441" w:firstLineChars="183"/>
        <w:rPr>
          <w:rFonts w:hint="eastAsia" w:cs="Times New Roman"/>
          <w:color w:val="000000" w:themeColor="text1"/>
          <w:sz w:val="24"/>
          <w:highlight w:val="none"/>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14:textFill>
            <w14:solidFill>
              <w14:schemeClr w14:val="tx1"/>
            </w14:solidFill>
          </w14:textFill>
        </w:rPr>
        <w:t>管道应先在沟边进行分段组对焊接，每段长度在 25-35m 范围内。</w:t>
      </w:r>
    </w:p>
    <w:p>
      <w:pPr>
        <w:widowControl w:val="0"/>
        <w:snapToGrid w:val="0"/>
        <w:spacing w:after="0" w:line="400" w:lineRule="exact"/>
        <w:ind w:left="0" w:leftChars="0" w:firstLine="441" w:firstLineChars="183"/>
        <w:rPr>
          <w:rFonts w:hint="eastAsia" w:eastAsia="宋体" w:cs="Times New Roman"/>
          <w:color w:val="000000" w:themeColor="text1"/>
          <w:sz w:val="24"/>
          <w:highlight w:val="none"/>
          <w:lang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14:textFill>
            <w14:solidFill>
              <w14:schemeClr w14:val="tx1"/>
            </w14:solidFill>
          </w14:textFill>
        </w:rPr>
        <w:t>管道下沟前，应将管内吹扫干净，并检查沟底标高沟宽尺寸是否符合设计要求，应检查防腐层是否有损伤</w:t>
      </w:r>
      <w:r>
        <w:rPr>
          <w:rFonts w:hint="eastAsia" w:cs="Times New Roman"/>
          <w:color w:val="000000" w:themeColor="text1"/>
          <w:sz w:val="24"/>
          <w:highlight w:val="none"/>
          <w:lang w:eastAsia="zh-CN"/>
          <w14:textFill>
            <w14:solidFill>
              <w14:schemeClr w14:val="tx1"/>
            </w14:solidFill>
          </w14:textFill>
        </w:rPr>
        <w:t>；</w:t>
      </w:r>
    </w:p>
    <w:p>
      <w:pPr>
        <w:widowControl w:val="0"/>
        <w:snapToGrid w:val="0"/>
        <w:spacing w:after="0" w:line="400" w:lineRule="exact"/>
        <w:ind w:left="0" w:leftChars="0" w:firstLine="441" w:firstLineChars="183"/>
        <w:rPr>
          <w:rFonts w:hint="default"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4</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14:textFill>
            <w14:solidFill>
              <w14:schemeClr w14:val="tx1"/>
            </w14:solidFill>
          </w14:textFill>
        </w:rPr>
        <w:t>防腐管道下沟前，应用电火花检漏仪对管线全部进行检漏，检漏电压为 15KV。管道（大小头）壁厚变化处，也应设固定墩，固定墩应设在大管径或壁厚较大一侧。固定墩处应采取可靠的防腐措施，钢管不应裸露。</w:t>
      </w:r>
    </w:p>
    <w:p>
      <w:pPr>
        <w:widowControl w:val="0"/>
        <w:snapToGrid w:val="0"/>
        <w:spacing w:after="0" w:line="400" w:lineRule="exact"/>
        <w:ind w:left="0" w:leftChars="0" w:firstLine="441" w:firstLineChars="183"/>
        <w:rPr>
          <w:rFonts w:hint="eastAsia" w:cs="Times New Roman"/>
          <w:color w:val="000000" w:themeColor="text1"/>
          <w:sz w:val="24"/>
          <w:highlight w:val="none"/>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5</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14:textFill>
            <w14:solidFill>
              <w14:schemeClr w14:val="tx1"/>
            </w14:solidFill>
          </w14:textFill>
        </w:rPr>
        <w:t>沟内管道焊接，连接前必须清理管腔，找平、找直，焊接处要挖出操作坑，其大小要便于焊接操作。</w:t>
      </w:r>
    </w:p>
    <w:p>
      <w:pPr>
        <w:widowControl w:val="0"/>
        <w:snapToGrid w:val="0"/>
        <w:spacing w:after="0" w:line="400" w:lineRule="exact"/>
        <w:ind w:left="0" w:leftChars="0" w:firstLine="441" w:firstLineChars="183"/>
        <w:rPr>
          <w:rFonts w:cs="Times New Roman"/>
          <w:color w:val="000000" w:themeColor="text1"/>
          <w:sz w:val="24"/>
          <w:highlight w:val="none"/>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6</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14:textFill>
            <w14:solidFill>
              <w14:schemeClr w14:val="tx1"/>
            </w14:solidFill>
          </w14:textFill>
        </w:rPr>
        <w:t>直埋管道接口应以原本管道保护层相同的物料保护，每段管接驳后，在回填工作进行前，应先以气密测试确定其密封性。</w:t>
      </w:r>
    </w:p>
    <w:p>
      <w:pPr>
        <w:widowControl w:val="0"/>
        <w:snapToGrid w:val="0"/>
        <w:spacing w:after="0" w:line="400" w:lineRule="exact"/>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7.2.4</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室内管道的安装，应下列原则进行安装：</w:t>
      </w:r>
    </w:p>
    <w:p>
      <w:pPr>
        <w:ind w:left="0" w:leftChars="0" w:firstLine="441" w:firstLineChars="183"/>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先预留，后安装；</w:t>
      </w:r>
    </w:p>
    <w:p>
      <w:pPr>
        <w:ind w:left="0" w:leftChars="0" w:firstLine="441" w:firstLineChars="183"/>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先安装内测管道再安装外侧管道；</w:t>
      </w:r>
    </w:p>
    <w:p>
      <w:pPr>
        <w:ind w:left="0" w:leftChars="0" w:firstLine="441" w:firstLineChars="183"/>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先安装管道支架，后安装主管、支管；</w:t>
      </w:r>
    </w:p>
    <w:p>
      <w:pPr>
        <w:ind w:left="0" w:leftChars="0" w:firstLine="441" w:firstLineChars="183"/>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4</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先架空，后地面；</w:t>
      </w:r>
    </w:p>
    <w:p>
      <w:pPr>
        <w:ind w:left="0" w:leftChars="0" w:firstLine="441" w:firstLineChars="183"/>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5</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先大管，后小管；</w:t>
      </w:r>
    </w:p>
    <w:p>
      <w:pPr>
        <w:ind w:left="0" w:leftChars="0" w:firstLine="441" w:firstLineChars="183"/>
        <w:rPr>
          <w:rFonts w:hint="default"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6</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先重力管，后压力管。</w:t>
      </w:r>
    </w:p>
    <w:p>
      <w:pPr>
        <w:keepNext w:val="0"/>
        <w:keepLines w:val="0"/>
        <w:pageBreakBefore w:val="0"/>
        <w:widowControl w:val="0"/>
        <w:kinsoku/>
        <w:wordWrap/>
        <w:overflowPunct/>
        <w:topLinePunct w:val="0"/>
        <w:autoSpaceDE/>
        <w:autoSpaceDN/>
        <w:bidi w:val="0"/>
        <w:adjustRightInd/>
        <w:snapToGrid w:val="0"/>
        <w:spacing w:after="164" w:afterLines="50" w:line="400" w:lineRule="exact"/>
        <w:textAlignment w:val="auto"/>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7.2.5</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支吊架应提前预制，并刷防锈漆。</w:t>
      </w:r>
    </w:p>
    <w:p>
      <w:pPr>
        <w:keepNext w:val="0"/>
        <w:keepLines w:val="0"/>
        <w:pageBreakBefore w:val="0"/>
        <w:widowControl w:val="0"/>
        <w:kinsoku/>
        <w:wordWrap/>
        <w:overflowPunct/>
        <w:topLinePunct w:val="0"/>
        <w:autoSpaceDE/>
        <w:autoSpaceDN/>
        <w:bidi w:val="0"/>
        <w:adjustRightInd/>
        <w:snapToGrid w:val="0"/>
        <w:spacing w:after="164" w:afterLines="50" w:line="400" w:lineRule="exact"/>
        <w:textAlignment w:val="auto"/>
        <w:rPr>
          <w:rFonts w:hint="default"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7.2.6</w:t>
      </w:r>
      <w:r>
        <w:rPr>
          <w:rFonts w:cs="Times New Roman"/>
          <w:color w:val="000000" w:themeColor="text1"/>
          <w:sz w:val="24"/>
          <w:highlight w:val="none"/>
          <w14:textFill>
            <w14:solidFill>
              <w14:schemeClr w14:val="tx1"/>
            </w14:solidFill>
          </w14:textFill>
        </w:rPr>
        <w:t>　</w:t>
      </w:r>
      <w:r>
        <w:rPr>
          <w:rFonts w:hint="default" w:cs="Times New Roman"/>
          <w:color w:val="000000" w:themeColor="text1"/>
          <w:sz w:val="24"/>
          <w:highlight w:val="none"/>
          <w:lang w:val="en-US" w:eastAsia="zh-CN"/>
          <w14:textFill>
            <w14:solidFill>
              <w14:schemeClr w14:val="tx1"/>
            </w14:solidFill>
          </w14:textFill>
        </w:rPr>
        <w:t>各种管道</w:t>
      </w:r>
      <w:r>
        <w:rPr>
          <w:rFonts w:hint="eastAsia" w:cs="Times New Roman"/>
          <w:color w:val="000000" w:themeColor="text1"/>
          <w:sz w:val="24"/>
          <w:highlight w:val="none"/>
          <w:lang w:val="en-US" w:eastAsia="zh-CN"/>
          <w14:textFill>
            <w14:solidFill>
              <w14:schemeClr w14:val="tx1"/>
            </w14:solidFill>
          </w14:textFill>
        </w:rPr>
        <w:t>应</w:t>
      </w:r>
      <w:r>
        <w:rPr>
          <w:rFonts w:hint="default" w:cs="Times New Roman"/>
          <w:color w:val="000000" w:themeColor="text1"/>
          <w:sz w:val="24"/>
          <w:highlight w:val="none"/>
          <w:lang w:val="en-US" w:eastAsia="zh-CN"/>
          <w14:textFill>
            <w14:solidFill>
              <w14:schemeClr w14:val="tx1"/>
            </w14:solidFill>
          </w14:textFill>
        </w:rPr>
        <w:t>在地面组合</w:t>
      </w:r>
      <w:r>
        <w:rPr>
          <w:rFonts w:hint="eastAsia" w:cs="Times New Roman"/>
          <w:color w:val="000000" w:themeColor="text1"/>
          <w:sz w:val="24"/>
          <w:highlight w:val="none"/>
          <w:lang w:val="en-US" w:eastAsia="zh-CN"/>
          <w14:textFill>
            <w14:solidFill>
              <w14:schemeClr w14:val="tx1"/>
            </w14:solidFill>
          </w14:textFill>
        </w:rPr>
        <w:t>后</w:t>
      </w:r>
      <w:r>
        <w:rPr>
          <w:rFonts w:hint="default" w:cs="Times New Roman"/>
          <w:color w:val="000000" w:themeColor="text1"/>
          <w:sz w:val="24"/>
          <w:highlight w:val="none"/>
          <w:lang w:val="en-US" w:eastAsia="zh-CN"/>
          <w14:textFill>
            <w14:solidFill>
              <w14:schemeClr w14:val="tx1"/>
            </w14:solidFill>
          </w14:textFill>
        </w:rPr>
        <w:t>进行吊装。长管段可用汽车吊或倒链吊装就位，减少高空对口。</w:t>
      </w:r>
    </w:p>
    <w:p>
      <w:pPr>
        <w:keepNext w:val="0"/>
        <w:keepLines w:val="0"/>
        <w:pageBreakBefore w:val="0"/>
        <w:widowControl w:val="0"/>
        <w:kinsoku/>
        <w:wordWrap/>
        <w:overflowPunct/>
        <w:topLinePunct w:val="0"/>
        <w:autoSpaceDE/>
        <w:autoSpaceDN/>
        <w:bidi w:val="0"/>
        <w:adjustRightInd/>
        <w:snapToGrid w:val="0"/>
        <w:spacing w:after="164" w:afterLines="50" w:line="260" w:lineRule="auto"/>
        <w:textAlignment w:val="auto"/>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7.2.7</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管道焊接前，应做好焊接前准备：</w:t>
      </w:r>
    </w:p>
    <w:p>
      <w:pPr>
        <w:keepNext w:val="0"/>
        <w:keepLines w:val="0"/>
        <w:pageBreakBefore w:val="0"/>
        <w:kinsoku/>
        <w:wordWrap/>
        <w:overflowPunct/>
        <w:topLinePunct w:val="0"/>
        <w:autoSpaceDE/>
        <w:autoSpaceDN/>
        <w:bidi w:val="0"/>
        <w:adjustRightInd/>
        <w:spacing w:after="164" w:afterLines="50" w:line="260" w:lineRule="auto"/>
        <w:ind w:left="0" w:leftChars="0" w:firstLine="441" w:firstLineChars="183"/>
        <w:textAlignment w:val="auto"/>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检查管道断面，应无变形；</w:t>
      </w:r>
    </w:p>
    <w:p>
      <w:pPr>
        <w:keepNext w:val="0"/>
        <w:keepLines w:val="0"/>
        <w:pageBreakBefore w:val="0"/>
        <w:kinsoku/>
        <w:wordWrap/>
        <w:overflowPunct/>
        <w:topLinePunct w:val="0"/>
        <w:autoSpaceDE/>
        <w:autoSpaceDN/>
        <w:bidi w:val="0"/>
        <w:adjustRightInd/>
        <w:spacing w:after="164" w:afterLines="50" w:line="260" w:lineRule="auto"/>
        <w:ind w:left="0" w:leftChars="0" w:firstLine="441" w:firstLineChars="183"/>
        <w:textAlignment w:val="auto"/>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管道应位于正中位置；</w:t>
      </w:r>
    </w:p>
    <w:p>
      <w:pPr>
        <w:keepNext w:val="0"/>
        <w:keepLines w:val="0"/>
        <w:pageBreakBefore w:val="0"/>
        <w:kinsoku/>
        <w:wordWrap/>
        <w:overflowPunct/>
        <w:topLinePunct w:val="0"/>
        <w:autoSpaceDE/>
        <w:autoSpaceDN/>
        <w:bidi w:val="0"/>
        <w:adjustRightInd/>
        <w:spacing w:after="164" w:afterLines="50" w:line="260" w:lineRule="auto"/>
        <w:ind w:left="0" w:leftChars="0" w:firstLine="441" w:firstLineChars="183"/>
        <w:textAlignment w:val="auto"/>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3</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14:textFill>
            <w14:solidFill>
              <w14:schemeClr w14:val="tx1"/>
            </w14:solidFill>
          </w14:textFill>
        </w:rPr>
        <w:t>在焊接之前焊接表层以及毗连 25mm 范围应彻底清洗，确保管道和配件上所有漆料、油漆、污垢以及其他防腐剂已完全被清除。接口表层的准备或切割必须使用剪切、打磨、热切割。</w:t>
      </w:r>
    </w:p>
    <w:p>
      <w:pPr>
        <w:widowControl w:val="0"/>
        <w:snapToGrid w:val="0"/>
        <w:spacing w:after="0" w:line="400" w:lineRule="exact"/>
        <w:rPr>
          <w:rFonts w:cs="Times New Roman"/>
          <w:color w:val="000000" w:themeColor="text1"/>
          <w:sz w:val="24"/>
          <w:highlight w:val="none"/>
          <w14:textFill>
            <w14:solidFill>
              <w14:schemeClr w14:val="tx1"/>
            </w14:solidFill>
          </w14:textFill>
        </w:rPr>
      </w:pPr>
    </w:p>
    <w:bookmarkEnd w:id="100"/>
    <w:p>
      <w:pPr>
        <w:widowControl w:val="0"/>
        <w:snapToGrid w:val="0"/>
        <w:spacing w:after="0" w:line="360" w:lineRule="auto"/>
        <w:rPr>
          <w:rFonts w:cs="Times New Roman"/>
          <w:color w:val="000000" w:themeColor="text1"/>
          <w:highlight w:val="none"/>
          <w14:textFill>
            <w14:solidFill>
              <w14:schemeClr w14:val="tx1"/>
            </w14:solidFill>
          </w14:textFill>
        </w:rPr>
      </w:pPr>
      <w:bookmarkStart w:id="104" w:name="_Toc13821487"/>
      <w:bookmarkStart w:id="105" w:name="_Toc530731660"/>
      <w:bookmarkStart w:id="106" w:name="_Toc6920061"/>
      <w:bookmarkStart w:id="107" w:name="_Toc10014474"/>
      <w:bookmarkStart w:id="108" w:name="_Toc13746280"/>
      <w:bookmarkStart w:id="109" w:name="_Toc6839368"/>
      <w:bookmarkStart w:id="110" w:name="_Toc525111745"/>
      <w:bookmarkStart w:id="111" w:name="_Toc12354323"/>
      <w:bookmarkStart w:id="112" w:name="_Toc13473437"/>
      <w:bookmarkStart w:id="113" w:name="_Toc6824129"/>
      <w:r>
        <w:rPr>
          <w:rFonts w:cs="Times New Roman"/>
          <w:color w:val="000000" w:themeColor="text1"/>
          <w:highlight w:val="none"/>
          <w14:textFill>
            <w14:solidFill>
              <w14:schemeClr w14:val="tx1"/>
            </w14:solidFill>
          </w14:textFill>
        </w:rPr>
        <w:br w:type="page"/>
      </w:r>
    </w:p>
    <w:p>
      <w:pPr>
        <w:pStyle w:val="2"/>
        <w:rPr>
          <w:color w:val="000000" w:themeColor="text1"/>
          <w:highlight w:val="none"/>
          <w14:textFill>
            <w14:solidFill>
              <w14:schemeClr w14:val="tx1"/>
            </w14:solidFill>
          </w14:textFill>
        </w:rPr>
      </w:pPr>
      <w:bookmarkStart w:id="114" w:name="_Toc18912"/>
      <w:bookmarkStart w:id="115" w:name="_Toc36894579"/>
      <w:bookmarkStart w:id="116" w:name="_Toc11690"/>
      <w:bookmarkStart w:id="117" w:name="_Toc37455230"/>
      <w:bookmarkStart w:id="118" w:name="_Toc5725"/>
      <w:bookmarkStart w:id="119" w:name="_Toc12082"/>
      <w:bookmarkStart w:id="120" w:name="_Toc37506849"/>
      <w:r>
        <w:rPr>
          <w:rFonts w:hint="eastAsia"/>
          <w:color w:val="000000" w:themeColor="text1"/>
          <w:highlight w:val="none"/>
          <w:lang w:val="en-US" w:eastAsia="zh-CN"/>
          <w14:textFill>
            <w14:solidFill>
              <w14:schemeClr w14:val="tx1"/>
            </w14:solidFill>
          </w14:textFill>
        </w:rPr>
        <w:t>8</w:t>
      </w:r>
      <w:r>
        <w:rPr>
          <w:color w:val="000000" w:themeColor="text1"/>
          <w:highlight w:val="none"/>
          <w14:textFill>
            <w14:solidFill>
              <w14:schemeClr w14:val="tx1"/>
            </w14:solidFill>
          </w14:textFill>
        </w:rPr>
        <w:t>　</w:t>
      </w:r>
      <w:r>
        <w:rPr>
          <w:rFonts w:hint="eastAsia"/>
          <w:color w:val="000000" w:themeColor="text1"/>
          <w:highlight w:val="none"/>
          <w:lang w:val="en-US" w:eastAsia="zh-CN"/>
          <w14:textFill>
            <w14:solidFill>
              <w14:schemeClr w14:val="tx1"/>
            </w14:solidFill>
          </w14:textFill>
        </w:rPr>
        <w:t>质量</w:t>
      </w:r>
      <w:r>
        <w:rPr>
          <w:color w:val="000000" w:themeColor="text1"/>
          <w:highlight w:val="none"/>
          <w14:textFill>
            <w14:solidFill>
              <w14:schemeClr w14:val="tx1"/>
            </w14:solidFill>
          </w14:textFill>
        </w:rPr>
        <w:t>验收</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widowControl w:val="0"/>
        <w:snapToGrid w:val="0"/>
        <w:spacing w:after="0" w:line="400" w:lineRule="exact"/>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8</w:t>
      </w:r>
      <w:r>
        <w:rPr>
          <w:rFonts w:cs="Times New Roman"/>
          <w:b/>
          <w:color w:val="000000" w:themeColor="text1"/>
          <w:sz w:val="24"/>
          <w:highlight w:val="none"/>
          <w14:textFill>
            <w14:solidFill>
              <w14:schemeClr w14:val="tx1"/>
            </w14:solidFill>
          </w14:textFill>
        </w:rPr>
        <w:t>.</w:t>
      </w:r>
      <w:r>
        <w:rPr>
          <w:rFonts w:hint="eastAsia" w:cs="Times New Roman"/>
          <w:b/>
          <w:color w:val="000000" w:themeColor="text1"/>
          <w:sz w:val="24"/>
          <w:highlight w:val="none"/>
          <w14:textFill>
            <w14:solidFill>
              <w14:schemeClr w14:val="tx1"/>
            </w14:solidFill>
          </w14:textFill>
        </w:rPr>
        <w:t>0</w:t>
      </w:r>
      <w:r>
        <w:rPr>
          <w:rFonts w:cs="Times New Roman"/>
          <w:b/>
          <w:color w:val="000000" w:themeColor="text1"/>
          <w:sz w:val="24"/>
          <w:highlight w:val="none"/>
          <w14:textFill>
            <w14:solidFill>
              <w14:schemeClr w14:val="tx1"/>
            </w14:solidFill>
          </w14:textFill>
        </w:rPr>
        <w:t>.1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垃圾全密闭气力输送系统设备安装及调试完成后应按下列规定组织竣工验收：</w:t>
      </w:r>
    </w:p>
    <w:p>
      <w:pPr>
        <w:widowControl w:val="0"/>
        <w:snapToGrid w:val="0"/>
        <w:spacing w:after="0" w:line="400" w:lineRule="exact"/>
        <w:ind w:left="0" w:leftChars="0" w:firstLine="441" w:firstLineChars="183"/>
        <w:rPr>
          <w:rFonts w:hint="eastAsia" w:cs="Times New Roman"/>
          <w:color w:val="000000" w:themeColor="text1"/>
          <w:sz w:val="24"/>
          <w:highlight w:val="none"/>
          <w:lang w:val="en-US" w:eastAsia="zh-CN"/>
          <w14:textFill>
            <w14:solidFill>
              <w14:schemeClr w14:val="tx1"/>
            </w14:solidFill>
          </w14:textFill>
        </w:rPr>
      </w:pPr>
      <w:r>
        <w:rPr>
          <w:rFonts w:hint="eastAsia" w:cs="Times New Roman"/>
          <w:b/>
          <w:bCs/>
          <w:color w:val="000000" w:themeColor="text1"/>
          <w:sz w:val="24"/>
          <w:highlight w:val="none"/>
          <w:lang w:val="en-US" w:eastAsia="zh-CN"/>
          <w14:textFill>
            <w14:solidFill>
              <w14:schemeClr w14:val="tx1"/>
            </w14:solidFill>
          </w14:textFill>
        </w:rPr>
        <w:t>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工程质量验收应符合现行国家标准《建筑工程施工质量验收统一标准》GB 50300、《自动化仪表工程施工及质量验收规范》GB 50093和《工业金属管道工程施工质量验收规范》GB 50184的有关规定；</w:t>
      </w:r>
    </w:p>
    <w:p>
      <w:pPr>
        <w:pStyle w:val="77"/>
        <w:ind w:left="0" w:leftChars="0" w:firstLine="441" w:firstLineChars="183"/>
        <w:rPr>
          <w:rFonts w:cstheme="minorBidi"/>
          <w:color w:val="000000" w:themeColor="text1"/>
          <w:kern w:val="0"/>
          <w:sz w:val="24"/>
          <w14:textFill>
            <w14:solidFill>
              <w14:schemeClr w14:val="tx1"/>
            </w14:solidFill>
          </w14:textFill>
        </w:rPr>
      </w:pPr>
      <w:r>
        <w:rPr>
          <w:rFonts w:hint="eastAsia" w:cstheme="minorBidi"/>
          <w:b/>
          <w:bCs/>
          <w:color w:val="000000" w:themeColor="text1"/>
          <w:kern w:val="0"/>
          <w:sz w:val="24"/>
          <w14:textFill>
            <w14:solidFill>
              <w14:schemeClr w14:val="tx1"/>
            </w14:solidFill>
          </w14:textFill>
        </w:rPr>
        <w:t>2</w:t>
      </w:r>
      <w:r>
        <w:rPr>
          <w:rFonts w:hint="eastAsia" w:cstheme="minorBidi"/>
          <w:color w:val="000000" w:themeColor="text1"/>
          <w:kern w:val="0"/>
          <w:sz w:val="24"/>
          <w14:textFill>
            <w14:solidFill>
              <w14:schemeClr w14:val="tx1"/>
            </w14:solidFill>
          </w14:textFill>
        </w:rPr>
        <w:t>　设备安装验收应按照现行国</w:t>
      </w:r>
      <w:r>
        <w:rPr>
          <w:rFonts w:hint="eastAsia" w:cstheme="minorBidi"/>
          <w:color w:val="000000" w:themeColor="text1"/>
          <w:kern w:val="0"/>
          <w:sz w:val="24"/>
          <w:highlight w:val="none"/>
          <w14:textFill>
            <w14:solidFill>
              <w14:schemeClr w14:val="tx1"/>
            </w14:solidFill>
          </w14:textFill>
        </w:rPr>
        <w:t>家标准《机械设备安装工程施工及验收通用规范》GB5023</w:t>
      </w:r>
      <w:r>
        <w:rPr>
          <w:rFonts w:hint="eastAsia" w:cstheme="minorBidi"/>
          <w:color w:val="000000" w:themeColor="text1"/>
          <w:kern w:val="0"/>
          <w:sz w:val="24"/>
          <w:highlight w:val="none"/>
          <w:lang w:val="en-US" w:eastAsia="zh-CN"/>
          <w14:textFill>
            <w14:solidFill>
              <w14:schemeClr w14:val="tx1"/>
            </w14:solidFill>
          </w14:textFill>
        </w:rPr>
        <w:t>1</w:t>
      </w:r>
      <w:r>
        <w:rPr>
          <w:rFonts w:hint="eastAsia" w:cstheme="minorBidi"/>
          <w:color w:val="000000" w:themeColor="text1"/>
          <w:kern w:val="0"/>
          <w:sz w:val="24"/>
          <w:highlight w:val="none"/>
          <w14:textFill>
            <w14:solidFill>
              <w14:schemeClr w14:val="tx1"/>
            </w14:solidFill>
          </w14:textFill>
        </w:rPr>
        <w:t>执行；</w:t>
      </w:r>
    </w:p>
    <w:p>
      <w:pPr>
        <w:pStyle w:val="77"/>
        <w:ind w:left="0" w:leftChars="0" w:firstLine="441" w:firstLineChars="183"/>
        <w:rPr>
          <w:rFonts w:cstheme="minorBidi"/>
          <w:color w:val="000000" w:themeColor="text1"/>
          <w:kern w:val="0"/>
          <w:sz w:val="24"/>
          <w14:textFill>
            <w14:solidFill>
              <w14:schemeClr w14:val="tx1"/>
            </w14:solidFill>
          </w14:textFill>
        </w:rPr>
      </w:pPr>
      <w:r>
        <w:rPr>
          <w:rFonts w:hint="eastAsia" w:cstheme="minorBidi"/>
          <w:b/>
          <w:bCs/>
          <w:color w:val="000000" w:themeColor="text1"/>
          <w:kern w:val="0"/>
          <w:sz w:val="24"/>
          <w14:textFill>
            <w14:solidFill>
              <w14:schemeClr w14:val="tx1"/>
            </w14:solidFill>
          </w14:textFill>
        </w:rPr>
        <w:t>3</w:t>
      </w:r>
      <w:r>
        <w:rPr>
          <w:rFonts w:hint="eastAsia" w:cstheme="minorBidi"/>
          <w:color w:val="000000" w:themeColor="text1"/>
          <w:kern w:val="0"/>
          <w:sz w:val="24"/>
          <w14:textFill>
            <w14:solidFill>
              <w14:schemeClr w14:val="tx1"/>
            </w14:solidFill>
          </w14:textFill>
        </w:rPr>
        <w:t>　电气安装验收应按现行国家标准《建筑电气工程施工质量验收规范》GB503</w:t>
      </w:r>
      <w:r>
        <w:rPr>
          <w:rFonts w:hint="eastAsia" w:cstheme="minorBidi"/>
          <w:color w:val="000000" w:themeColor="text1"/>
          <w:kern w:val="0"/>
          <w:sz w:val="24"/>
          <w:lang w:val="en-US" w:eastAsia="zh-CN"/>
          <w14:textFill>
            <w14:solidFill>
              <w14:schemeClr w14:val="tx1"/>
            </w14:solidFill>
          </w14:textFill>
        </w:rPr>
        <w:t>0</w:t>
      </w:r>
      <w:r>
        <w:rPr>
          <w:rFonts w:hint="eastAsia" w:cstheme="minorBidi"/>
          <w:color w:val="000000" w:themeColor="text1"/>
          <w:kern w:val="0"/>
          <w:sz w:val="24"/>
          <w14:textFill>
            <w14:solidFill>
              <w14:schemeClr w14:val="tx1"/>
            </w14:solidFill>
          </w14:textFill>
        </w:rPr>
        <w:t>3执行。</w:t>
      </w:r>
    </w:p>
    <w:p>
      <w:pPr>
        <w:spacing w:after="0" w:line="360" w:lineRule="auto"/>
        <w:rPr>
          <w:color w:val="000000" w:themeColor="text1"/>
          <w:sz w:val="24"/>
          <w:szCs w:val="24"/>
          <w14:textFill>
            <w14:solidFill>
              <w14:schemeClr w14:val="tx1"/>
            </w14:solidFill>
          </w14:textFill>
        </w:rPr>
      </w:pPr>
      <w:r>
        <w:rPr>
          <w:rFonts w:hint="eastAsia"/>
          <w:b/>
          <w:color w:val="000000" w:themeColor="text1"/>
          <w:sz w:val="24"/>
          <w:szCs w:val="24"/>
          <w:lang w:val="en-US" w:eastAsia="zh-CN"/>
          <w14:textFill>
            <w14:solidFill>
              <w14:schemeClr w14:val="tx1"/>
            </w14:solidFill>
          </w14:textFill>
        </w:rPr>
        <w:t>8.0.</w:t>
      </w:r>
      <w:r>
        <w:rPr>
          <w:rFonts w:hint="eastAsia"/>
          <w:b/>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　竣工验收时应提供下列技术文件资料：</w:t>
      </w:r>
    </w:p>
    <w:p>
      <w:pPr>
        <w:pStyle w:val="77"/>
        <w:ind w:left="0" w:leftChars="0" w:firstLine="441" w:firstLineChars="183"/>
        <w:rPr>
          <w:rFonts w:cstheme="minorBidi"/>
          <w:color w:val="000000" w:themeColor="text1"/>
          <w:kern w:val="0"/>
          <w:sz w:val="24"/>
          <w14:textFill>
            <w14:solidFill>
              <w14:schemeClr w14:val="tx1"/>
            </w14:solidFill>
          </w14:textFill>
        </w:rPr>
      </w:pPr>
      <w:r>
        <w:rPr>
          <w:rFonts w:hint="eastAsia" w:cstheme="minorBidi"/>
          <w:b/>
          <w:bCs/>
          <w:color w:val="000000" w:themeColor="text1"/>
          <w:kern w:val="0"/>
          <w:sz w:val="24"/>
          <w14:textFill>
            <w14:solidFill>
              <w14:schemeClr w14:val="tx1"/>
            </w14:solidFill>
          </w14:textFill>
        </w:rPr>
        <w:t>1</w:t>
      </w:r>
      <w:r>
        <w:rPr>
          <w:rFonts w:hint="eastAsia" w:cstheme="minorBidi"/>
          <w:color w:val="000000" w:themeColor="text1"/>
          <w:kern w:val="0"/>
          <w:sz w:val="24"/>
          <w14:textFill>
            <w14:solidFill>
              <w14:schemeClr w14:val="tx1"/>
            </w14:solidFill>
          </w14:textFill>
        </w:rPr>
        <w:t>　竣工验收申请报告；</w:t>
      </w:r>
    </w:p>
    <w:p>
      <w:pPr>
        <w:pStyle w:val="77"/>
        <w:ind w:left="0" w:leftChars="0" w:firstLine="441" w:firstLineChars="183"/>
        <w:rPr>
          <w:rFonts w:cstheme="minorBidi"/>
          <w:color w:val="000000" w:themeColor="text1"/>
          <w:kern w:val="0"/>
          <w:sz w:val="24"/>
          <w14:textFill>
            <w14:solidFill>
              <w14:schemeClr w14:val="tx1"/>
            </w14:solidFill>
          </w14:textFill>
        </w:rPr>
      </w:pPr>
      <w:r>
        <w:rPr>
          <w:rFonts w:hint="eastAsia" w:cstheme="minorBidi"/>
          <w:b/>
          <w:bCs/>
          <w:color w:val="000000" w:themeColor="text1"/>
          <w:kern w:val="0"/>
          <w:sz w:val="24"/>
          <w14:textFill>
            <w14:solidFill>
              <w14:schemeClr w14:val="tx1"/>
            </w14:solidFill>
          </w14:textFill>
        </w:rPr>
        <w:t>2</w:t>
      </w:r>
      <w:r>
        <w:rPr>
          <w:rFonts w:hint="eastAsia" w:cstheme="minorBidi"/>
          <w:color w:val="000000" w:themeColor="text1"/>
          <w:kern w:val="0"/>
          <w:sz w:val="24"/>
          <w14:textFill>
            <w14:solidFill>
              <w14:schemeClr w14:val="tx1"/>
            </w14:solidFill>
          </w14:textFill>
        </w:rPr>
        <w:t>　施工图、竣工图及设计变更文件；</w:t>
      </w:r>
    </w:p>
    <w:p>
      <w:pPr>
        <w:pStyle w:val="77"/>
        <w:ind w:left="0" w:leftChars="0" w:firstLine="441" w:firstLineChars="183"/>
        <w:rPr>
          <w:rFonts w:cstheme="minorBidi"/>
          <w:color w:val="000000" w:themeColor="text1"/>
          <w:kern w:val="0"/>
          <w:sz w:val="24"/>
          <w14:textFill>
            <w14:solidFill>
              <w14:schemeClr w14:val="tx1"/>
            </w14:solidFill>
          </w14:textFill>
        </w:rPr>
      </w:pPr>
      <w:r>
        <w:rPr>
          <w:rFonts w:hint="eastAsia" w:cstheme="minorBidi"/>
          <w:b/>
          <w:bCs/>
          <w:color w:val="000000" w:themeColor="text1"/>
          <w:kern w:val="0"/>
          <w:sz w:val="24"/>
          <w14:textFill>
            <w14:solidFill>
              <w14:schemeClr w14:val="tx1"/>
            </w14:solidFill>
          </w14:textFill>
        </w:rPr>
        <w:t>3</w:t>
      </w:r>
      <w:r>
        <w:rPr>
          <w:rFonts w:hint="eastAsia" w:cstheme="minorBidi"/>
          <w:color w:val="000000" w:themeColor="text1"/>
          <w:kern w:val="0"/>
          <w:sz w:val="24"/>
          <w14:textFill>
            <w14:solidFill>
              <w14:schemeClr w14:val="tx1"/>
            </w14:solidFill>
          </w14:textFill>
        </w:rPr>
        <w:t>　设备、配套设备、附配件、器材、仪器仪表等产品质量合格证、相关技术文件和施工现场开箱检查验收记录；</w:t>
      </w:r>
    </w:p>
    <w:p>
      <w:pPr>
        <w:pStyle w:val="77"/>
        <w:ind w:left="0" w:leftChars="0" w:firstLine="441" w:firstLineChars="183"/>
        <w:rPr>
          <w:rFonts w:cstheme="minorBidi"/>
          <w:color w:val="000000" w:themeColor="text1"/>
          <w:kern w:val="0"/>
          <w:sz w:val="24"/>
          <w14:textFill>
            <w14:solidFill>
              <w14:schemeClr w14:val="tx1"/>
            </w14:solidFill>
          </w14:textFill>
        </w:rPr>
      </w:pPr>
      <w:r>
        <w:rPr>
          <w:rFonts w:hint="eastAsia" w:cstheme="minorBidi"/>
          <w:b/>
          <w:bCs/>
          <w:color w:val="000000" w:themeColor="text1"/>
          <w:kern w:val="0"/>
          <w:sz w:val="24"/>
          <w14:textFill>
            <w14:solidFill>
              <w14:schemeClr w14:val="tx1"/>
            </w14:solidFill>
          </w14:textFill>
        </w:rPr>
        <w:t>4</w:t>
      </w:r>
      <w:r>
        <w:rPr>
          <w:rFonts w:hint="eastAsia" w:cstheme="minorBidi"/>
          <w:color w:val="000000" w:themeColor="text1"/>
          <w:kern w:val="0"/>
          <w:sz w:val="24"/>
          <w14:textFill>
            <w14:solidFill>
              <w14:schemeClr w14:val="tx1"/>
            </w14:solidFill>
          </w14:textFill>
        </w:rPr>
        <w:t>　系统调试试运行各项技术参数记录和总结报告；</w:t>
      </w:r>
    </w:p>
    <w:p>
      <w:pPr>
        <w:pStyle w:val="77"/>
        <w:ind w:left="0" w:leftChars="0" w:firstLine="441" w:firstLineChars="183"/>
        <w:rPr>
          <w:rFonts w:cstheme="minorBidi"/>
          <w:color w:val="000000" w:themeColor="text1"/>
          <w:kern w:val="0"/>
          <w:sz w:val="24"/>
          <w14:textFill>
            <w14:solidFill>
              <w14:schemeClr w14:val="tx1"/>
            </w14:solidFill>
          </w14:textFill>
        </w:rPr>
      </w:pPr>
      <w:r>
        <w:rPr>
          <w:rFonts w:hint="eastAsia" w:cstheme="minorBidi"/>
          <w:b/>
          <w:bCs/>
          <w:color w:val="000000" w:themeColor="text1"/>
          <w:kern w:val="0"/>
          <w:sz w:val="24"/>
          <w14:textFill>
            <w14:solidFill>
              <w14:schemeClr w14:val="tx1"/>
            </w14:solidFill>
          </w14:textFill>
        </w:rPr>
        <w:t>5</w:t>
      </w:r>
      <w:r>
        <w:rPr>
          <w:rFonts w:hint="eastAsia" w:cstheme="minorBidi"/>
          <w:color w:val="000000" w:themeColor="text1"/>
          <w:kern w:val="0"/>
          <w:sz w:val="24"/>
          <w14:textFill>
            <w14:solidFill>
              <w14:schemeClr w14:val="tx1"/>
            </w14:solidFill>
          </w14:textFill>
        </w:rPr>
        <w:t>　系统设备、电气、检测等各相关设备联动运行合格记录；</w:t>
      </w:r>
    </w:p>
    <w:p>
      <w:pPr>
        <w:pStyle w:val="77"/>
        <w:ind w:left="0" w:leftChars="0" w:firstLine="441" w:firstLineChars="183"/>
        <w:rPr>
          <w:rFonts w:cstheme="minorBidi"/>
          <w:color w:val="000000" w:themeColor="text1"/>
          <w:kern w:val="0"/>
          <w:sz w:val="24"/>
          <w14:textFill>
            <w14:solidFill>
              <w14:schemeClr w14:val="tx1"/>
            </w14:solidFill>
          </w14:textFill>
        </w:rPr>
      </w:pPr>
      <w:r>
        <w:rPr>
          <w:rFonts w:hint="eastAsia" w:cstheme="minorBidi"/>
          <w:b/>
          <w:bCs/>
          <w:color w:val="000000" w:themeColor="text1"/>
          <w:kern w:val="0"/>
          <w:sz w:val="24"/>
          <w14:textFill>
            <w14:solidFill>
              <w14:schemeClr w14:val="tx1"/>
            </w14:solidFill>
          </w14:textFill>
        </w:rPr>
        <w:t>6</w:t>
      </w:r>
      <w:r>
        <w:rPr>
          <w:rFonts w:hint="eastAsia" w:cstheme="minorBidi"/>
          <w:color w:val="000000" w:themeColor="text1"/>
          <w:kern w:val="0"/>
          <w:sz w:val="24"/>
          <w14:textFill>
            <w14:solidFill>
              <w14:schemeClr w14:val="tx1"/>
            </w14:solidFill>
          </w14:textFill>
        </w:rPr>
        <w:t>　各单体验收完成</w:t>
      </w:r>
      <w:r>
        <w:rPr>
          <w:rFonts w:hint="eastAsia" w:cstheme="minorBidi"/>
          <w:color w:val="000000" w:themeColor="text1"/>
          <w:kern w:val="0"/>
          <w:sz w:val="24"/>
          <w:lang w:eastAsia="zh-CN"/>
          <w14:textFill>
            <w14:solidFill>
              <w14:schemeClr w14:val="tx1"/>
            </w14:solidFill>
          </w14:textFill>
        </w:rPr>
        <w:t>记录</w:t>
      </w:r>
      <w:r>
        <w:rPr>
          <w:rFonts w:hint="eastAsia" w:cstheme="minorBidi"/>
          <w:color w:val="000000" w:themeColor="text1"/>
          <w:kern w:val="0"/>
          <w:sz w:val="24"/>
          <w14:textFill>
            <w14:solidFill>
              <w14:schemeClr w14:val="tx1"/>
            </w14:solidFill>
          </w14:textFill>
        </w:rPr>
        <w:t>；</w:t>
      </w:r>
    </w:p>
    <w:p>
      <w:pPr>
        <w:pStyle w:val="77"/>
        <w:rPr>
          <w:rFonts w:cstheme="minorBidi"/>
          <w:color w:val="000000" w:themeColor="text1"/>
          <w:kern w:val="0"/>
          <w:sz w:val="24"/>
          <w14:textFill>
            <w14:solidFill>
              <w14:schemeClr w14:val="tx1"/>
            </w14:solidFill>
          </w14:textFill>
        </w:rPr>
      </w:pPr>
      <w:r>
        <w:rPr>
          <w:rFonts w:hint="eastAsia" w:cstheme="minorBidi"/>
          <w:b/>
          <w:bCs/>
          <w:color w:val="000000" w:themeColor="text1"/>
          <w:kern w:val="0"/>
          <w:sz w:val="24"/>
          <w14:textFill>
            <w14:solidFill>
              <w14:schemeClr w14:val="tx1"/>
            </w14:solidFill>
          </w14:textFill>
        </w:rPr>
        <w:t>7</w:t>
      </w:r>
      <w:r>
        <w:rPr>
          <w:rFonts w:hint="eastAsia" w:cstheme="minorBidi"/>
          <w:color w:val="000000" w:themeColor="text1"/>
          <w:kern w:val="0"/>
          <w:sz w:val="24"/>
          <w14:textFill>
            <w14:solidFill>
              <w14:schemeClr w14:val="tx1"/>
            </w14:solidFill>
          </w14:textFill>
        </w:rPr>
        <w:t>　工程质量评定表。</w:t>
      </w:r>
    </w:p>
    <w:p>
      <w:pPr>
        <w:pStyle w:val="77"/>
        <w:ind w:firstLine="0" w:firstLineChars="0"/>
        <w:rPr>
          <w:rFonts w:cstheme="minorBidi"/>
          <w:color w:val="000000" w:themeColor="text1"/>
          <w:kern w:val="0"/>
          <w:sz w:val="24"/>
          <w14:textFill>
            <w14:solidFill>
              <w14:schemeClr w14:val="tx1"/>
            </w14:solidFill>
          </w14:textFill>
        </w:rPr>
      </w:pPr>
      <w:r>
        <w:rPr>
          <w:rFonts w:hint="eastAsia"/>
          <w:b/>
          <w:color w:val="000000" w:themeColor="text1"/>
          <w:sz w:val="24"/>
          <w:lang w:val="en-US" w:eastAsia="zh-CN"/>
          <w14:textFill>
            <w14:solidFill>
              <w14:schemeClr w14:val="tx1"/>
            </w14:solidFill>
          </w14:textFill>
        </w:rPr>
        <w:t>8.0</w:t>
      </w:r>
      <w:r>
        <w:rPr>
          <w:rFonts w:hint="eastAsia"/>
          <w:b/>
          <w:color w:val="000000" w:themeColor="text1"/>
          <w:sz w:val="24"/>
          <w14:textFill>
            <w14:solidFill>
              <w14:schemeClr w14:val="tx1"/>
            </w14:solidFill>
          </w14:textFill>
        </w:rPr>
        <w:t>.3</w:t>
      </w:r>
      <w:r>
        <w:rPr>
          <w:rFonts w:hint="eastAsia" w:cstheme="minorBidi"/>
          <w:color w:val="000000" w:themeColor="text1"/>
          <w:kern w:val="0"/>
          <w:sz w:val="24"/>
          <w14:textFill>
            <w14:solidFill>
              <w14:schemeClr w14:val="tx1"/>
            </w14:solidFill>
          </w14:textFill>
        </w:rPr>
        <w:t>　竣工验收时应重点检查下列项目：</w:t>
      </w:r>
    </w:p>
    <w:p>
      <w:pPr>
        <w:widowControl w:val="0"/>
        <w:snapToGrid w:val="0"/>
        <w:spacing w:after="0" w:line="400" w:lineRule="exact"/>
        <w:ind w:left="0" w:leftChars="0" w:firstLine="441" w:firstLineChars="183"/>
        <w:rPr>
          <w:rFonts w:cstheme="minorBidi"/>
          <w:color w:val="000000" w:themeColor="text1"/>
          <w:kern w:val="0"/>
          <w:sz w:val="24"/>
          <w14:textFill>
            <w14:solidFill>
              <w14:schemeClr w14:val="tx1"/>
            </w14:solidFill>
          </w14:textFill>
        </w:rPr>
      </w:pPr>
      <w:r>
        <w:rPr>
          <w:rFonts w:hint="eastAsia" w:cstheme="minorBidi"/>
          <w:b/>
          <w:bCs/>
          <w:color w:val="000000" w:themeColor="text1"/>
          <w:kern w:val="0"/>
          <w:sz w:val="24"/>
          <w14:textFill>
            <w14:solidFill>
              <w14:schemeClr w14:val="tx1"/>
            </w14:solidFill>
          </w14:textFill>
        </w:rPr>
        <w:t>1</w:t>
      </w:r>
      <w:r>
        <w:rPr>
          <w:rFonts w:hint="eastAsia" w:cstheme="minorBidi"/>
          <w:color w:val="000000" w:themeColor="text1"/>
          <w:kern w:val="0"/>
          <w:sz w:val="24"/>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设备焊接应均匀、平直，美观、无缺陷。</w:t>
      </w:r>
    </w:p>
    <w:p>
      <w:pPr>
        <w:pStyle w:val="77"/>
        <w:ind w:left="0" w:leftChars="0" w:firstLine="441" w:firstLineChars="183"/>
        <w:rPr>
          <w:rFonts w:cstheme="minorBidi"/>
          <w:color w:val="000000" w:themeColor="text1"/>
          <w:kern w:val="0"/>
          <w:sz w:val="24"/>
          <w14:textFill>
            <w14:solidFill>
              <w14:schemeClr w14:val="tx1"/>
            </w14:solidFill>
          </w14:textFill>
        </w:rPr>
      </w:pPr>
      <w:r>
        <w:rPr>
          <w:rFonts w:hint="eastAsia" w:cstheme="minorBidi"/>
          <w:b/>
          <w:bCs/>
          <w:color w:val="000000" w:themeColor="text1"/>
          <w:kern w:val="0"/>
          <w:sz w:val="24"/>
          <w14:textFill>
            <w14:solidFill>
              <w14:schemeClr w14:val="tx1"/>
            </w14:solidFill>
          </w14:textFill>
        </w:rPr>
        <w:t>2</w:t>
      </w:r>
      <w:r>
        <w:rPr>
          <w:rFonts w:hint="eastAsia" w:cstheme="minorBidi"/>
          <w:color w:val="000000" w:themeColor="text1"/>
          <w:kern w:val="0"/>
          <w:sz w:val="24"/>
          <w14:textFill>
            <w14:solidFill>
              <w14:schemeClr w14:val="tx1"/>
            </w14:solidFill>
          </w14:textFill>
        </w:rPr>
        <w:t>　</w:t>
      </w:r>
      <w:r>
        <w:rPr>
          <w:rFonts w:hint="eastAsia" w:cs="Times New Roman"/>
          <w:color w:val="000000" w:themeColor="text1"/>
          <w:sz w:val="24"/>
          <w:highlight w:val="none"/>
          <w14:textFill>
            <w14:solidFill>
              <w14:schemeClr w14:val="tx1"/>
            </w14:solidFill>
          </w14:textFill>
        </w:rPr>
        <w:t>按设计要求应对所有管道系统进行压力试验，试验压力为 0.2MP</w:t>
      </w:r>
      <w:r>
        <w:rPr>
          <w:rFonts w:hint="eastAsia" w:cs="Times New Roman"/>
          <w:color w:val="000000" w:themeColor="text1"/>
          <w:sz w:val="24"/>
          <w:highlight w:val="none"/>
          <w:lang w:val="en-US" w:eastAsia="zh-CN"/>
          <w14:textFill>
            <w14:solidFill>
              <w14:schemeClr w14:val="tx1"/>
            </w14:solidFill>
          </w14:textFill>
        </w:rPr>
        <w:t>a</w:t>
      </w:r>
      <w:r>
        <w:rPr>
          <w:rFonts w:hint="eastAsia" w:cs="Times New Roman"/>
          <w:color w:val="000000" w:themeColor="text1"/>
          <w:sz w:val="24"/>
          <w:highlight w:val="none"/>
          <w14:textFill>
            <w14:solidFill>
              <w14:schemeClr w14:val="tx1"/>
            </w14:solidFill>
          </w14:textFill>
        </w:rPr>
        <w:t>，在压力试验合格后，还需要做气密性试验，试验压力为 0.04MP</w:t>
      </w:r>
      <w:r>
        <w:rPr>
          <w:rFonts w:hint="eastAsia" w:cs="Times New Roman"/>
          <w:color w:val="000000" w:themeColor="text1"/>
          <w:sz w:val="24"/>
          <w:highlight w:val="none"/>
          <w:lang w:val="en-US" w:eastAsia="zh-CN"/>
          <w14:textFill>
            <w14:solidFill>
              <w14:schemeClr w14:val="tx1"/>
            </w14:solidFill>
          </w14:textFill>
        </w:rPr>
        <w:t>a</w:t>
      </w:r>
      <w:r>
        <w:rPr>
          <w:rFonts w:hint="eastAsia" w:cs="Times New Roman"/>
          <w:color w:val="000000" w:themeColor="text1"/>
          <w:sz w:val="24"/>
          <w:highlight w:val="none"/>
          <w14:textFill>
            <w14:solidFill>
              <w14:schemeClr w14:val="tx1"/>
            </w14:solidFill>
          </w14:textFill>
        </w:rPr>
        <w:t>，试验介质可以采用压缩空气，但应按照规范要求缓慢升压到试验压力</w:t>
      </w:r>
      <w:r>
        <w:rPr>
          <w:rFonts w:hint="eastAsia" w:cstheme="minorBidi"/>
          <w:color w:val="000000" w:themeColor="text1"/>
          <w:kern w:val="0"/>
          <w:sz w:val="24"/>
          <w14:textFill>
            <w14:solidFill>
              <w14:schemeClr w14:val="tx1"/>
            </w14:solidFill>
          </w14:textFill>
        </w:rPr>
        <w:t>；</w:t>
      </w:r>
    </w:p>
    <w:p>
      <w:pPr>
        <w:pStyle w:val="77"/>
        <w:ind w:left="0" w:leftChars="0" w:firstLine="441" w:firstLineChars="183"/>
        <w:rPr>
          <w:rFonts w:cstheme="minorBidi"/>
          <w:color w:val="000000" w:themeColor="text1"/>
          <w:kern w:val="0"/>
          <w:sz w:val="24"/>
          <w14:textFill>
            <w14:solidFill>
              <w14:schemeClr w14:val="tx1"/>
            </w14:solidFill>
          </w14:textFill>
        </w:rPr>
      </w:pPr>
      <w:r>
        <w:rPr>
          <w:rFonts w:hint="eastAsia" w:cstheme="minorBidi"/>
          <w:b/>
          <w:bCs/>
          <w:color w:val="000000" w:themeColor="text1"/>
          <w:kern w:val="0"/>
          <w:sz w:val="24"/>
          <w14:textFill>
            <w14:solidFill>
              <w14:schemeClr w14:val="tx1"/>
            </w14:solidFill>
          </w14:textFill>
        </w:rPr>
        <w:t>3</w:t>
      </w:r>
      <w:r>
        <w:rPr>
          <w:rFonts w:hint="eastAsia" w:cstheme="minorBidi"/>
          <w:color w:val="000000" w:themeColor="text1"/>
          <w:kern w:val="0"/>
          <w:sz w:val="24"/>
          <w14:textFill>
            <w14:solidFill>
              <w14:schemeClr w14:val="tx1"/>
            </w14:solidFill>
          </w14:textFill>
        </w:rPr>
        <w:t>　</w:t>
      </w:r>
      <w:r>
        <w:rPr>
          <w:rFonts w:hint="eastAsia" w:cs="Times New Roman"/>
          <w:color w:val="000000" w:themeColor="text1"/>
          <w:sz w:val="24"/>
          <w:highlight w:val="none"/>
          <w14:textFill>
            <w14:solidFill>
              <w14:schemeClr w14:val="tx1"/>
            </w14:solidFill>
          </w14:textFill>
        </w:rPr>
        <w:t>管道在压力试验合格后，施工单位应负责组织吹扫或清洗工作，使用空气吹扫其压力不得超过 0.1MP</w:t>
      </w:r>
      <w:r>
        <w:rPr>
          <w:rFonts w:hint="eastAsia" w:cs="Times New Roman"/>
          <w:color w:val="000000" w:themeColor="text1"/>
          <w:sz w:val="24"/>
          <w:highlight w:val="none"/>
          <w:lang w:val="en-US" w:eastAsia="zh-CN"/>
          <w14:textFill>
            <w14:solidFill>
              <w14:schemeClr w14:val="tx1"/>
            </w14:solidFill>
          </w14:textFill>
        </w:rPr>
        <w:t>a</w:t>
      </w:r>
      <w:r>
        <w:rPr>
          <w:rFonts w:hint="eastAsia" w:cs="Times New Roman"/>
          <w:color w:val="000000" w:themeColor="text1"/>
          <w:sz w:val="24"/>
          <w:highlight w:val="none"/>
          <w14:textFill>
            <w14:solidFill>
              <w14:schemeClr w14:val="tx1"/>
            </w14:solidFill>
          </w14:textFill>
        </w:rPr>
        <w:t>，流速不宜小于 20m/s</w:t>
      </w:r>
      <w:r>
        <w:rPr>
          <w:rFonts w:hint="eastAsia" w:cstheme="minorBidi"/>
          <w:color w:val="000000" w:themeColor="text1"/>
          <w:kern w:val="0"/>
          <w:sz w:val="24"/>
          <w14:textFill>
            <w14:solidFill>
              <w14:schemeClr w14:val="tx1"/>
            </w14:solidFill>
          </w14:textFill>
        </w:rPr>
        <w:t>。</w:t>
      </w:r>
    </w:p>
    <w:p>
      <w:pPr>
        <w:pStyle w:val="77"/>
        <w:ind w:firstLine="0" w:firstLineChars="0"/>
        <w:rPr>
          <w:rFonts w:cstheme="minorBidi"/>
          <w:color w:val="000000" w:themeColor="text1"/>
          <w:kern w:val="0"/>
          <w:sz w:val="24"/>
          <w14:textFill>
            <w14:solidFill>
              <w14:schemeClr w14:val="tx1"/>
            </w14:solidFill>
          </w14:textFill>
        </w:rPr>
      </w:pPr>
      <w:r>
        <w:rPr>
          <w:rFonts w:hint="eastAsia"/>
          <w:b/>
          <w:color w:val="000000" w:themeColor="text1"/>
          <w:sz w:val="24"/>
          <w:lang w:val="en-US" w:eastAsia="zh-CN"/>
          <w14:textFill>
            <w14:solidFill>
              <w14:schemeClr w14:val="tx1"/>
            </w14:solidFill>
          </w14:textFill>
        </w:rPr>
        <w:t>8.0</w:t>
      </w:r>
      <w:r>
        <w:rPr>
          <w:rFonts w:hint="eastAsia"/>
          <w:b/>
          <w:color w:val="000000" w:themeColor="text1"/>
          <w:sz w:val="24"/>
          <w14:textFill>
            <w14:solidFill>
              <w14:schemeClr w14:val="tx1"/>
            </w14:solidFill>
          </w14:textFill>
        </w:rPr>
        <w:t>.4</w:t>
      </w:r>
      <w:r>
        <w:rPr>
          <w:rFonts w:hint="eastAsia" w:cstheme="minorBidi"/>
          <w:color w:val="000000" w:themeColor="text1"/>
          <w:kern w:val="0"/>
          <w:sz w:val="24"/>
          <w14:textFill>
            <w14:solidFill>
              <w14:schemeClr w14:val="tx1"/>
            </w14:solidFill>
          </w14:textFill>
        </w:rPr>
        <w:t>　验收合格后应将有关项目设计、施工及验收的文件和技术资料立卷归档。</w:t>
      </w:r>
    </w:p>
    <w:p>
      <w:pPr>
        <w:widowControl w:val="0"/>
        <w:snapToGrid w:val="0"/>
        <w:spacing w:after="0" w:line="400" w:lineRule="exact"/>
        <w:rPr>
          <w:rFonts w:hint="default" w:cs="Times New Roman"/>
          <w:color w:val="000000" w:themeColor="text1"/>
          <w:sz w:val="24"/>
          <w:highlight w:val="none"/>
          <w:lang w:val="en-US" w:eastAsia="zh-CN"/>
          <w14:textFill>
            <w14:solidFill>
              <w14:schemeClr w14:val="tx1"/>
            </w14:solidFill>
          </w14:textFill>
        </w:rPr>
      </w:pPr>
    </w:p>
    <w:p>
      <w:pPr>
        <w:widowControl w:val="0"/>
        <w:snapToGrid w:val="0"/>
        <w:spacing w:after="0" w:line="400" w:lineRule="exact"/>
        <w:rPr>
          <w:rFonts w:hint="default" w:cs="Times New Roman"/>
          <w:color w:val="000000" w:themeColor="text1"/>
          <w:sz w:val="24"/>
          <w:highlight w:val="none"/>
          <w:lang w:val="en-US" w:eastAsia="zh-CN"/>
          <w14:textFill>
            <w14:solidFill>
              <w14:schemeClr w14:val="tx1"/>
            </w14:solidFill>
          </w14:textFill>
        </w:rPr>
      </w:pPr>
    </w:p>
    <w:p>
      <w:pPr>
        <w:jc w:val="left"/>
        <w:rPr>
          <w:rFonts w:cs="Times New Roman"/>
          <w:color w:val="000000" w:themeColor="text1"/>
          <w:highlight w:val="none"/>
          <w14:textFill>
            <w14:solidFill>
              <w14:schemeClr w14:val="tx1"/>
            </w14:solidFill>
          </w14:textFill>
        </w:rPr>
      </w:pPr>
      <w:bookmarkStart w:id="121" w:name="_Toc13821490"/>
      <w:bookmarkStart w:id="122" w:name="_Toc10014477"/>
      <w:bookmarkStart w:id="123" w:name="_Toc6920064"/>
      <w:bookmarkStart w:id="124" w:name="_Toc530731663"/>
      <w:bookmarkStart w:id="125" w:name="_Toc13473440"/>
      <w:bookmarkStart w:id="126" w:name="_Toc6839371"/>
      <w:bookmarkStart w:id="127" w:name="_Toc12354326"/>
      <w:bookmarkStart w:id="128" w:name="_Toc525111748"/>
      <w:bookmarkStart w:id="129" w:name="_Toc13746283"/>
      <w:bookmarkStart w:id="130" w:name="_Toc6824132"/>
      <w:r>
        <w:rPr>
          <w:rFonts w:cs="Times New Roman"/>
          <w:color w:val="000000" w:themeColor="text1"/>
          <w:highlight w:val="none"/>
          <w14:textFill>
            <w14:solidFill>
              <w14:schemeClr w14:val="tx1"/>
            </w14:solidFill>
          </w14:textFill>
        </w:rPr>
        <w:br w:type="page"/>
      </w:r>
    </w:p>
    <w:p>
      <w:pPr>
        <w:pStyle w:val="2"/>
        <w:rPr>
          <w:rFonts w:hint="default" w:eastAsia="宋体"/>
          <w:color w:val="000000" w:themeColor="text1"/>
          <w:highlight w:val="none"/>
          <w:lang w:val="en-US" w:eastAsia="zh-CN"/>
          <w14:textFill>
            <w14:solidFill>
              <w14:schemeClr w14:val="tx1"/>
            </w14:solidFill>
          </w14:textFill>
        </w:rPr>
      </w:pPr>
      <w:bookmarkStart w:id="131" w:name="_Toc3227"/>
      <w:bookmarkStart w:id="132" w:name="_Toc37455231"/>
      <w:bookmarkStart w:id="133" w:name="_Toc36894582"/>
      <w:bookmarkStart w:id="134" w:name="_Toc37506850"/>
      <w:bookmarkStart w:id="135" w:name="_Toc11814"/>
      <w:bookmarkStart w:id="136" w:name="_Toc2055"/>
      <w:bookmarkStart w:id="137" w:name="_Toc20877"/>
      <w:r>
        <w:rPr>
          <w:rFonts w:hint="eastAsia" w:ascii="Times New Roman" w:hAnsi="Times New Roman" w:cs="Times New Roman"/>
          <w:color w:val="000000" w:themeColor="text1"/>
          <w:highlight w:val="none"/>
          <w:lang w:val="en-US" w:eastAsia="zh-CN"/>
          <w14:textFill>
            <w14:solidFill>
              <w14:schemeClr w14:val="tx1"/>
            </w14:solidFill>
          </w14:textFill>
        </w:rPr>
        <w:t>9</w:t>
      </w:r>
      <w:r>
        <w:rPr>
          <w:rFonts w:cs="Times New Roman"/>
          <w:color w:val="000000" w:themeColor="text1"/>
          <w:sz w:val="24"/>
          <w:highlight w:val="none"/>
          <w14:textFill>
            <w14:solidFill>
              <w14:schemeClr w14:val="tx1"/>
            </w14:solidFill>
          </w14:textFill>
        </w:rPr>
        <w:t>　</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Fonts w:hint="eastAsia"/>
          <w:color w:val="000000" w:themeColor="text1"/>
          <w:highlight w:val="none"/>
          <w:lang w:val="en-US" w:eastAsia="zh-CN"/>
          <w14:textFill>
            <w14:solidFill>
              <w14:schemeClr w14:val="tx1"/>
            </w14:solidFill>
          </w14:textFill>
        </w:rPr>
        <w:t>运行与维护</w:t>
      </w:r>
      <w:bookmarkEnd w:id="137"/>
    </w:p>
    <w:p>
      <w:pPr>
        <w:widowControl w:val="0"/>
        <w:snapToGrid w:val="0"/>
        <w:spacing w:after="0" w:line="360" w:lineRule="auto"/>
        <w:ind w:firstLine="424" w:firstLineChars="176"/>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9</w:t>
      </w:r>
      <w:r>
        <w:rPr>
          <w:rFonts w:cs="Times New Roman"/>
          <w:b/>
          <w:color w:val="000000" w:themeColor="text1"/>
          <w:sz w:val="24"/>
          <w:highlight w:val="none"/>
          <w14:textFill>
            <w14:solidFill>
              <w14:schemeClr w14:val="tx1"/>
            </w14:solidFill>
          </w14:textFill>
        </w:rPr>
        <w:t>.0.1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应制定运行、维护、安全操作规程，建立运行管理台账。</w:t>
      </w:r>
    </w:p>
    <w:p>
      <w:pPr>
        <w:widowControl w:val="0"/>
        <w:snapToGrid w:val="0"/>
        <w:spacing w:after="0" w:line="360" w:lineRule="auto"/>
        <w:ind w:firstLine="424" w:firstLineChars="176"/>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9</w:t>
      </w:r>
      <w:r>
        <w:rPr>
          <w:rFonts w:cs="Times New Roman"/>
          <w:b/>
          <w:color w:val="000000" w:themeColor="text1"/>
          <w:sz w:val="24"/>
          <w:highlight w:val="none"/>
          <w14:textFill>
            <w14:solidFill>
              <w14:schemeClr w14:val="tx1"/>
            </w14:solidFill>
          </w14:textFill>
        </w:rPr>
        <w:t>.0.</w:t>
      </w:r>
      <w:r>
        <w:rPr>
          <w:rFonts w:hint="eastAsia" w:cs="Times New Roman"/>
          <w:b/>
          <w:color w:val="000000" w:themeColor="text1"/>
          <w:sz w:val="24"/>
          <w:highlight w:val="none"/>
          <w:lang w:val="en-US" w:eastAsia="zh-CN"/>
          <w14:textFill>
            <w14:solidFill>
              <w14:schemeClr w14:val="tx1"/>
            </w14:solidFill>
          </w14:textFill>
        </w:rPr>
        <w:t>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运行管理人员和操作人员应进行上岗前培训，考核合格后方能上岗。</w:t>
      </w:r>
    </w:p>
    <w:p>
      <w:pPr>
        <w:widowControl w:val="0"/>
        <w:snapToGrid w:val="0"/>
        <w:spacing w:after="0" w:line="360" w:lineRule="auto"/>
        <w:ind w:firstLine="424" w:firstLineChars="176"/>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9</w:t>
      </w:r>
      <w:r>
        <w:rPr>
          <w:rFonts w:cs="Times New Roman"/>
          <w:b/>
          <w:color w:val="000000" w:themeColor="text1"/>
          <w:sz w:val="24"/>
          <w:highlight w:val="none"/>
          <w14:textFill>
            <w14:solidFill>
              <w14:schemeClr w14:val="tx1"/>
            </w14:solidFill>
          </w14:textFill>
        </w:rPr>
        <w:t>.0.</w:t>
      </w:r>
      <w:r>
        <w:rPr>
          <w:rFonts w:hint="eastAsia" w:cs="Times New Roman"/>
          <w:b/>
          <w:color w:val="000000" w:themeColor="text1"/>
          <w:sz w:val="24"/>
          <w:highlight w:val="none"/>
          <w:lang w:val="en-US" w:eastAsia="zh-CN"/>
          <w14:textFill>
            <w14:solidFill>
              <w14:schemeClr w14:val="tx1"/>
            </w14:solidFill>
          </w14:textFill>
        </w:rPr>
        <w:t>3</w:t>
      </w:r>
      <w:r>
        <w:rPr>
          <w:rFonts w:cs="Times New Roman"/>
          <w:color w:val="000000" w:themeColor="text1"/>
          <w:sz w:val="24"/>
          <w:highlight w:val="none"/>
          <w14:textFill>
            <w14:solidFill>
              <w14:schemeClr w14:val="tx1"/>
            </w14:solidFill>
          </w14:textFill>
        </w:rPr>
        <w:t>　</w:t>
      </w:r>
      <w:bookmarkStart w:id="138" w:name="_Hlk518832383"/>
      <w:r>
        <w:rPr>
          <w:rFonts w:hint="eastAsia" w:cs="Times New Roman"/>
          <w:color w:val="000000" w:themeColor="text1"/>
          <w:sz w:val="24"/>
          <w:highlight w:val="none"/>
          <w:lang w:val="en-US" w:eastAsia="zh-CN"/>
          <w14:textFill>
            <w14:solidFill>
              <w14:schemeClr w14:val="tx1"/>
            </w14:solidFill>
          </w14:textFill>
        </w:rPr>
        <w:t>运行管理人员应掌握工艺流程、技术要求和有关设施、设备的主要技术指标及运行管理要求。</w:t>
      </w:r>
    </w:p>
    <w:p>
      <w:pPr>
        <w:widowControl w:val="0"/>
        <w:snapToGrid w:val="0"/>
        <w:spacing w:after="0" w:line="360" w:lineRule="auto"/>
        <w:ind w:firstLine="424" w:firstLineChars="176"/>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9</w:t>
      </w:r>
      <w:r>
        <w:rPr>
          <w:rFonts w:cs="Times New Roman"/>
          <w:b/>
          <w:color w:val="000000" w:themeColor="text1"/>
          <w:sz w:val="24"/>
          <w:highlight w:val="none"/>
          <w14:textFill>
            <w14:solidFill>
              <w14:schemeClr w14:val="tx1"/>
            </w14:solidFill>
          </w14:textFill>
        </w:rPr>
        <w:t>.0.</w:t>
      </w:r>
      <w:r>
        <w:rPr>
          <w:rFonts w:hint="eastAsia" w:cs="Times New Roman"/>
          <w:b/>
          <w:color w:val="000000" w:themeColor="text1"/>
          <w:sz w:val="24"/>
          <w:highlight w:val="none"/>
          <w:lang w:val="en-US" w:eastAsia="zh-CN"/>
          <w14:textFill>
            <w14:solidFill>
              <w14:schemeClr w14:val="tx1"/>
            </w14:solidFill>
          </w14:textFill>
        </w:rPr>
        <w:t>4</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垃圾全密闭气力输送系统垃圾输送时间不应设置在夜间。</w:t>
      </w:r>
    </w:p>
    <w:p>
      <w:pPr>
        <w:widowControl w:val="0"/>
        <w:snapToGrid w:val="0"/>
        <w:spacing w:after="0" w:line="360" w:lineRule="auto"/>
        <w:ind w:firstLine="369" w:firstLineChars="176"/>
        <w:rPr>
          <w:rFonts w:hint="default" w:cs="Times New Roman"/>
          <w:strike w:val="0"/>
          <w:dstrike w:val="0"/>
          <w:color w:val="000000" w:themeColor="text1"/>
          <w:sz w:val="21"/>
          <w:szCs w:val="20"/>
          <w:highlight w:val="none"/>
          <w:u w:val="single"/>
          <w:lang w:val="en-US" w:eastAsia="zh-CN"/>
          <w14:textFill>
            <w14:solidFill>
              <w14:schemeClr w14:val="tx1"/>
            </w14:solidFill>
          </w14:textFill>
        </w:rPr>
      </w:pPr>
      <w:r>
        <w:rPr>
          <w:rFonts w:hint="eastAsia" w:cs="Times New Roman"/>
          <w:strike w:val="0"/>
          <w:dstrike w:val="0"/>
          <w:color w:val="000000" w:themeColor="text1"/>
          <w:sz w:val="21"/>
          <w:szCs w:val="20"/>
          <w:highlight w:val="none"/>
          <w:u w:val="single"/>
          <w:lang w:val="en-US" w:eastAsia="zh-CN"/>
          <w14:textFill>
            <w14:solidFill>
              <w14:schemeClr w14:val="tx1"/>
            </w14:solidFill>
          </w14:textFill>
        </w:rPr>
        <w:t>【条文说明】以避免噪声污染。</w:t>
      </w:r>
    </w:p>
    <w:p>
      <w:pPr>
        <w:widowControl w:val="0"/>
        <w:snapToGrid w:val="0"/>
        <w:spacing w:after="0" w:line="360" w:lineRule="auto"/>
        <w:ind w:firstLine="424" w:firstLineChars="176"/>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9</w:t>
      </w:r>
      <w:r>
        <w:rPr>
          <w:rFonts w:cs="Times New Roman"/>
          <w:b/>
          <w:color w:val="000000" w:themeColor="text1"/>
          <w:sz w:val="24"/>
          <w:highlight w:val="none"/>
          <w14:textFill>
            <w14:solidFill>
              <w14:schemeClr w14:val="tx1"/>
            </w14:solidFill>
          </w14:textFill>
        </w:rPr>
        <w:t>.0.</w:t>
      </w:r>
      <w:r>
        <w:rPr>
          <w:rFonts w:hint="eastAsia" w:cs="Times New Roman"/>
          <w:b/>
          <w:color w:val="000000" w:themeColor="text1"/>
          <w:sz w:val="24"/>
          <w:highlight w:val="none"/>
          <w:lang w:val="en-US" w:eastAsia="zh-CN"/>
          <w14:textFill>
            <w14:solidFill>
              <w14:schemeClr w14:val="tx1"/>
            </w14:solidFill>
          </w14:textFill>
        </w:rPr>
        <w:t>5</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收集站现场作业人员应穿戴必要的劳保用品。</w:t>
      </w:r>
    </w:p>
    <w:p>
      <w:pPr>
        <w:widowControl w:val="0"/>
        <w:snapToGrid w:val="0"/>
        <w:spacing w:after="0" w:line="360" w:lineRule="auto"/>
        <w:ind w:firstLine="424" w:firstLineChars="176"/>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9</w:t>
      </w:r>
      <w:r>
        <w:rPr>
          <w:rFonts w:cs="Times New Roman"/>
          <w:b/>
          <w:color w:val="000000" w:themeColor="text1"/>
          <w:sz w:val="24"/>
          <w:highlight w:val="none"/>
          <w14:textFill>
            <w14:solidFill>
              <w14:schemeClr w14:val="tx1"/>
            </w14:solidFill>
          </w14:textFill>
        </w:rPr>
        <w:t>.0.</w:t>
      </w:r>
      <w:r>
        <w:rPr>
          <w:rFonts w:hint="eastAsia" w:cs="Times New Roman"/>
          <w:b/>
          <w:color w:val="000000" w:themeColor="text1"/>
          <w:sz w:val="24"/>
          <w:highlight w:val="none"/>
          <w:lang w:val="en-US" w:eastAsia="zh-CN"/>
          <w14:textFill>
            <w14:solidFill>
              <w14:schemeClr w14:val="tx1"/>
            </w14:solidFill>
          </w14:textFill>
        </w:rPr>
        <w:t>6</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收集站相应位置应设置交通指示、烟火管制指示灯安全标志。</w:t>
      </w:r>
    </w:p>
    <w:p>
      <w:pPr>
        <w:widowControl w:val="0"/>
        <w:snapToGrid w:val="0"/>
        <w:spacing w:after="0" w:line="360" w:lineRule="auto"/>
        <w:ind w:firstLine="424" w:firstLineChars="176"/>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9</w:t>
      </w:r>
      <w:r>
        <w:rPr>
          <w:rFonts w:cs="Times New Roman"/>
          <w:b/>
          <w:color w:val="000000" w:themeColor="text1"/>
          <w:sz w:val="24"/>
          <w:highlight w:val="none"/>
          <w14:textFill>
            <w14:solidFill>
              <w14:schemeClr w14:val="tx1"/>
            </w14:solidFill>
          </w14:textFill>
        </w:rPr>
        <w:t>.0.</w:t>
      </w:r>
      <w:r>
        <w:rPr>
          <w:rFonts w:hint="eastAsia" w:cs="Times New Roman"/>
          <w:b/>
          <w:color w:val="000000" w:themeColor="text1"/>
          <w:sz w:val="24"/>
          <w:highlight w:val="none"/>
          <w:lang w:val="en-US" w:eastAsia="zh-CN"/>
          <w14:textFill>
            <w14:solidFill>
              <w14:schemeClr w14:val="tx1"/>
            </w14:solidFill>
          </w14:textFill>
        </w:rPr>
        <w:t>7</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机械设备的旋转件、启闭装置等处应设置防护罩或警示标志。</w:t>
      </w:r>
    </w:p>
    <w:p>
      <w:pPr>
        <w:widowControl w:val="0"/>
        <w:snapToGrid w:val="0"/>
        <w:spacing w:after="0" w:line="360" w:lineRule="auto"/>
        <w:ind w:firstLine="424" w:firstLineChars="176"/>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9</w:t>
      </w:r>
      <w:r>
        <w:rPr>
          <w:rFonts w:cs="Times New Roman"/>
          <w:b/>
          <w:color w:val="000000" w:themeColor="text1"/>
          <w:sz w:val="24"/>
          <w:highlight w:val="none"/>
          <w14:textFill>
            <w14:solidFill>
              <w14:schemeClr w14:val="tx1"/>
            </w14:solidFill>
          </w14:textFill>
        </w:rPr>
        <w:t>.0.</w:t>
      </w:r>
      <w:r>
        <w:rPr>
          <w:rFonts w:hint="eastAsia" w:cs="Times New Roman"/>
          <w:b/>
          <w:color w:val="000000" w:themeColor="text1"/>
          <w:sz w:val="24"/>
          <w:highlight w:val="none"/>
          <w:lang w:val="en-US" w:eastAsia="zh-CN"/>
          <w14:textFill>
            <w14:solidFill>
              <w14:schemeClr w14:val="tx1"/>
            </w14:solidFill>
          </w14:textFill>
        </w:rPr>
        <w:t>8</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设备保护装置失灵或工作状态下部正常，应及时停机检查维修。</w:t>
      </w:r>
    </w:p>
    <w:p>
      <w:pPr>
        <w:widowControl w:val="0"/>
        <w:snapToGrid w:val="0"/>
        <w:spacing w:after="0" w:line="360" w:lineRule="auto"/>
        <w:ind w:firstLine="424" w:firstLineChars="176"/>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9</w:t>
      </w:r>
      <w:r>
        <w:rPr>
          <w:rFonts w:cs="Times New Roman"/>
          <w:b/>
          <w:color w:val="000000" w:themeColor="text1"/>
          <w:sz w:val="24"/>
          <w:highlight w:val="none"/>
          <w14:textFill>
            <w14:solidFill>
              <w14:schemeClr w14:val="tx1"/>
            </w14:solidFill>
          </w14:textFill>
        </w:rPr>
        <w:t>.0.</w:t>
      </w:r>
      <w:r>
        <w:rPr>
          <w:rFonts w:hint="eastAsia" w:cs="Times New Roman"/>
          <w:b/>
          <w:color w:val="000000" w:themeColor="text1"/>
          <w:sz w:val="24"/>
          <w:highlight w:val="none"/>
          <w:lang w:val="en-US" w:eastAsia="zh-CN"/>
          <w14:textFill>
            <w14:solidFill>
              <w14:schemeClr w14:val="tx1"/>
            </w14:solidFill>
          </w14:textFill>
        </w:rPr>
        <w:t>9</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各种设备设施应进行定期检查维护。</w:t>
      </w:r>
    </w:p>
    <w:p>
      <w:pPr>
        <w:widowControl w:val="0"/>
        <w:snapToGrid w:val="0"/>
        <w:spacing w:after="0" w:line="360" w:lineRule="auto"/>
        <w:ind w:firstLine="424" w:firstLineChars="176"/>
        <w:rPr>
          <w:rFonts w:hint="default" w:eastAsia="宋体"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9</w:t>
      </w:r>
      <w:r>
        <w:rPr>
          <w:rFonts w:cs="Times New Roman"/>
          <w:b/>
          <w:color w:val="000000" w:themeColor="text1"/>
          <w:sz w:val="24"/>
          <w:highlight w:val="none"/>
          <w14:textFill>
            <w14:solidFill>
              <w14:schemeClr w14:val="tx1"/>
            </w14:solidFill>
          </w14:textFill>
        </w:rPr>
        <w:t>.0.</w:t>
      </w:r>
      <w:r>
        <w:rPr>
          <w:rFonts w:hint="eastAsia" w:cs="Times New Roman"/>
          <w:b/>
          <w:color w:val="000000" w:themeColor="text1"/>
          <w:sz w:val="24"/>
          <w:highlight w:val="none"/>
          <w:lang w:val="en-US" w:eastAsia="zh-CN"/>
          <w14:textFill>
            <w14:solidFill>
              <w14:schemeClr w14:val="tx1"/>
            </w14:solidFill>
          </w14:textFill>
        </w:rPr>
        <w:t>10</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运行管理人员应坚守岗位，认真做好运行记录；管理人员应定期检查设施、设备、仪器、仪表的运行情况；发现异常情况，应及时采取相应处理措施，并按照分级管理的原则及时上报。</w:t>
      </w:r>
    </w:p>
    <w:p>
      <w:pPr>
        <w:widowControl w:val="0"/>
        <w:snapToGrid w:val="0"/>
        <w:spacing w:after="0" w:line="360" w:lineRule="auto"/>
        <w:ind w:firstLine="424" w:firstLineChars="176"/>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9</w:t>
      </w:r>
      <w:r>
        <w:rPr>
          <w:rFonts w:cs="Times New Roman"/>
          <w:b/>
          <w:color w:val="000000" w:themeColor="text1"/>
          <w:sz w:val="24"/>
          <w:highlight w:val="none"/>
          <w14:textFill>
            <w14:solidFill>
              <w14:schemeClr w14:val="tx1"/>
            </w14:solidFill>
          </w14:textFill>
        </w:rPr>
        <w:t>.0.1</w:t>
      </w:r>
      <w:r>
        <w:rPr>
          <w:rFonts w:hint="eastAsia" w:cs="Times New Roman"/>
          <w:b/>
          <w:color w:val="000000" w:themeColor="text1"/>
          <w:sz w:val="24"/>
          <w:highlight w:val="none"/>
          <w:lang w:val="en-US" w:eastAsia="zh-CN"/>
          <w14:textFill>
            <w14:solidFill>
              <w14:schemeClr w14:val="tx1"/>
            </w14:solidFill>
          </w14:textFill>
        </w:rPr>
        <w:t>1</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val="en-US" w:eastAsia="zh-CN"/>
          <w14:textFill>
            <w14:solidFill>
              <w14:schemeClr w14:val="tx1"/>
            </w14:solidFill>
          </w14:textFill>
        </w:rPr>
        <w:t>运行管理人员应做好工作记录和交接班记录。</w:t>
      </w:r>
    </w:p>
    <w:p>
      <w:pPr>
        <w:widowControl w:val="0"/>
        <w:snapToGrid w:val="0"/>
        <w:spacing w:after="0" w:line="360" w:lineRule="auto"/>
        <w:ind w:firstLine="424" w:firstLineChars="176"/>
        <w:rPr>
          <w:rFonts w:hint="eastAsia" w:cs="Times New Roman"/>
          <w:color w:val="000000" w:themeColor="text1"/>
          <w:sz w:val="24"/>
          <w:highlight w:val="none"/>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9</w:t>
      </w:r>
      <w:r>
        <w:rPr>
          <w:rFonts w:cs="Times New Roman"/>
          <w:b/>
          <w:color w:val="000000" w:themeColor="text1"/>
          <w:sz w:val="24"/>
          <w:highlight w:val="none"/>
          <w14:textFill>
            <w14:solidFill>
              <w14:schemeClr w14:val="tx1"/>
            </w14:solidFill>
          </w14:textFill>
        </w:rPr>
        <w:t>.0.1</w:t>
      </w:r>
      <w:r>
        <w:rPr>
          <w:rFonts w:hint="eastAsia" w:cs="Times New Roman"/>
          <w:b/>
          <w:color w:val="000000" w:themeColor="text1"/>
          <w:sz w:val="24"/>
          <w:highlight w:val="none"/>
          <w:lang w:val="en-US" w:eastAsia="zh-CN"/>
          <w14:textFill>
            <w14:solidFill>
              <w14:schemeClr w14:val="tx1"/>
            </w14:solidFill>
          </w14:textFill>
        </w:rPr>
        <w:t>2</w:t>
      </w:r>
      <w:r>
        <w:rPr>
          <w:rFonts w:cs="Times New Roman"/>
          <w:color w:val="000000" w:themeColor="text1"/>
          <w:sz w:val="24"/>
          <w:highlight w:val="none"/>
          <w14:textFill>
            <w14:solidFill>
              <w14:schemeClr w14:val="tx1"/>
            </w14:solidFill>
          </w14:textFill>
        </w:rPr>
        <w:t>　</w:t>
      </w:r>
      <w:r>
        <w:rPr>
          <w:rFonts w:hint="eastAsia" w:cs="Times New Roman"/>
          <w:color w:val="000000" w:themeColor="text1"/>
          <w:sz w:val="24"/>
          <w:highlight w:val="none"/>
          <w:lang w:eastAsia="zh-CN"/>
          <w14:textFill>
            <w14:solidFill>
              <w14:schemeClr w14:val="tx1"/>
            </w14:solidFill>
          </w14:textFill>
        </w:rPr>
        <w:t>在</w:t>
      </w:r>
      <w:r>
        <w:rPr>
          <w:rFonts w:hint="eastAsia" w:cs="Times New Roman"/>
          <w:color w:val="000000" w:themeColor="text1"/>
          <w:sz w:val="24"/>
          <w:highlight w:val="none"/>
          <w:lang w:val="en-US" w:eastAsia="zh-CN"/>
          <w14:textFill>
            <w14:solidFill>
              <w14:schemeClr w14:val="tx1"/>
            </w14:solidFill>
          </w14:textFill>
        </w:rPr>
        <w:t>更换垃圾转运集装箱后应及时清洁地面，应保证地面无积水。</w:t>
      </w:r>
    </w:p>
    <w:p>
      <w:pPr>
        <w:widowControl w:val="0"/>
        <w:snapToGrid w:val="0"/>
        <w:spacing w:after="0" w:line="360" w:lineRule="auto"/>
        <w:ind w:firstLine="369" w:firstLineChars="176"/>
        <w:rPr>
          <w:rFonts w:hint="default" w:cs="Times New Roman"/>
          <w:color w:val="000000" w:themeColor="text1"/>
          <w:sz w:val="21"/>
          <w:szCs w:val="20"/>
          <w:highlight w:val="none"/>
          <w:u w:val="single"/>
          <w:lang w:val="en-US" w:eastAsia="zh-CN"/>
          <w14:textFill>
            <w14:solidFill>
              <w14:schemeClr w14:val="tx1"/>
            </w14:solidFill>
          </w14:textFill>
        </w:rPr>
      </w:pPr>
      <w:r>
        <w:rPr>
          <w:rFonts w:hint="eastAsia" w:cs="Times New Roman"/>
          <w:color w:val="000000" w:themeColor="text1"/>
          <w:sz w:val="21"/>
          <w:szCs w:val="20"/>
          <w:highlight w:val="none"/>
          <w:u w:val="single"/>
          <w:lang w:val="en-US" w:eastAsia="zh-CN"/>
          <w14:textFill>
            <w14:solidFill>
              <w14:schemeClr w14:val="tx1"/>
            </w14:solidFill>
          </w14:textFill>
        </w:rPr>
        <w:t>【条文说明】更换集装箱可能存在局部散落的垃圾或污水滴漏现象，应及时清扫清洗。</w:t>
      </w:r>
    </w:p>
    <w:p>
      <w:pPr>
        <w:widowControl w:val="0"/>
        <w:snapToGrid w:val="0"/>
        <w:spacing w:after="0" w:line="360" w:lineRule="auto"/>
        <w:ind w:firstLine="422" w:firstLineChars="176"/>
        <w:rPr>
          <w:rFonts w:hint="default" w:cs="Times New Roman"/>
          <w:color w:val="000000" w:themeColor="text1"/>
          <w:sz w:val="24"/>
          <w:highlight w:val="none"/>
          <w:lang w:val="en-US" w:eastAsia="zh-CN"/>
          <w14:textFill>
            <w14:solidFill>
              <w14:schemeClr w14:val="tx1"/>
            </w14:solidFill>
          </w14:textFill>
        </w:rPr>
      </w:pPr>
    </w:p>
    <w:bookmarkEnd w:id="138"/>
    <w:p>
      <w:pPr>
        <w:rPr>
          <w:rFonts w:hint="eastAsia"/>
          <w:highlight w:val="none"/>
          <w:lang w:val="en-US" w:eastAsia="zh-CN"/>
        </w:rPr>
      </w:pPr>
      <w:bookmarkStart w:id="139" w:name="_Toc525111751"/>
      <w:bookmarkStart w:id="140" w:name="_Toc6824135"/>
      <w:bookmarkStart w:id="141" w:name="_Toc13821491"/>
      <w:bookmarkStart w:id="142" w:name="_Toc6839374"/>
      <w:bookmarkStart w:id="143" w:name="_Toc12354327"/>
      <w:bookmarkStart w:id="144" w:name="_Toc6920067"/>
      <w:bookmarkStart w:id="145" w:name="_Toc530731665"/>
      <w:bookmarkStart w:id="146" w:name="_Toc13746284"/>
      <w:bookmarkStart w:id="147" w:name="_Toc10014480"/>
      <w:bookmarkStart w:id="148" w:name="_Toc13473441"/>
      <w:r>
        <w:rPr>
          <w:rFonts w:cs="Times New Roman"/>
          <w:color w:val="000000" w:themeColor="text1"/>
          <w:highlight w:val="none"/>
          <w14:textFill>
            <w14:solidFill>
              <w14:schemeClr w14:val="tx1"/>
            </w14:solidFill>
          </w14:textFill>
        </w:rPr>
        <w:br w:type="page"/>
      </w:r>
      <w:bookmarkEnd w:id="139"/>
      <w:bookmarkEnd w:id="140"/>
      <w:bookmarkEnd w:id="141"/>
      <w:bookmarkEnd w:id="142"/>
      <w:bookmarkEnd w:id="143"/>
      <w:bookmarkEnd w:id="144"/>
      <w:bookmarkEnd w:id="145"/>
      <w:bookmarkEnd w:id="146"/>
      <w:bookmarkEnd w:id="147"/>
      <w:bookmarkEnd w:id="148"/>
      <w:bookmarkStart w:id="149" w:name="_Toc479244232"/>
      <w:bookmarkStart w:id="150" w:name="_Toc530731666"/>
      <w:bookmarkStart w:id="151" w:name="_Toc13821492"/>
      <w:bookmarkStart w:id="152" w:name="_Toc525111752"/>
      <w:bookmarkStart w:id="153" w:name="_Toc37455233"/>
      <w:bookmarkStart w:id="154" w:name="_Toc27787"/>
      <w:bookmarkStart w:id="155" w:name="_Toc6824136"/>
      <w:bookmarkStart w:id="156" w:name="_Toc6920068"/>
      <w:bookmarkStart w:id="157" w:name="_Toc6839375"/>
      <w:bookmarkStart w:id="158" w:name="_Toc13746285"/>
      <w:bookmarkStart w:id="159" w:name="_Toc36894584"/>
      <w:bookmarkStart w:id="160" w:name="_Toc13473442"/>
      <w:bookmarkStart w:id="161" w:name="_Toc12354328"/>
      <w:bookmarkStart w:id="162" w:name="_Toc23748"/>
      <w:bookmarkStart w:id="163" w:name="_Toc10014481"/>
      <w:bookmarkStart w:id="164" w:name="_Toc37506852"/>
    </w:p>
    <w:p>
      <w:pPr>
        <w:numPr>
          <w:ilvl w:val="-1"/>
          <w:numId w:val="0"/>
        </w:numPr>
        <w:rPr>
          <w:rFonts w:hint="default"/>
          <w:highlight w:val="none"/>
          <w:lang w:val="en-US" w:eastAsia="zh-CN"/>
        </w:rPr>
        <w:sectPr>
          <w:pgSz w:w="11906" w:h="16838"/>
          <w:pgMar w:top="1440" w:right="1558" w:bottom="1440" w:left="1560" w:header="851" w:footer="439" w:gutter="0"/>
          <w:pgNumType w:fmt="decimal"/>
          <w:cols w:space="720" w:num="1"/>
          <w:docGrid w:type="lines" w:linePitch="326" w:charSpace="0"/>
        </w:sectPr>
      </w:pPr>
    </w:p>
    <w:p>
      <w:pPr>
        <w:rPr>
          <w:highlight w:val="none"/>
        </w:rPr>
      </w:pPr>
    </w:p>
    <w:p>
      <w:pPr>
        <w:pStyle w:val="2"/>
        <w:rPr>
          <w:color w:val="000000" w:themeColor="text1"/>
          <w:highlight w:val="none"/>
          <w14:textFill>
            <w14:solidFill>
              <w14:schemeClr w14:val="tx1"/>
            </w14:solidFill>
          </w14:textFill>
        </w:rPr>
      </w:pPr>
      <w:bookmarkStart w:id="165" w:name="_Toc23322"/>
      <w:bookmarkStart w:id="166" w:name="_Toc14675"/>
      <w:r>
        <w:rPr>
          <w:color w:val="000000" w:themeColor="text1"/>
          <w:highlight w:val="none"/>
          <w14:textFill>
            <w14:solidFill>
              <w14:schemeClr w14:val="tx1"/>
            </w14:solidFill>
          </w14:textFill>
        </w:rPr>
        <w:t>用词说明</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widowControl w:val="0"/>
        <w:snapToGrid w:val="0"/>
        <w:spacing w:after="0" w:line="312" w:lineRule="auto"/>
        <w:ind w:firstLine="420" w:firstLineChars="200"/>
        <w:rPr>
          <w:rFonts w:ascii="Times New Roman" w:hAnsi="Times New Roman" w:cs="Times New Roman"/>
          <w:color w:val="000000"/>
          <w:kern w:val="2"/>
          <w:sz w:val="21"/>
          <w:szCs w:val="24"/>
        </w:rPr>
      </w:pPr>
      <w:r>
        <w:rPr>
          <w:rFonts w:hint="eastAsia" w:ascii="Times New Roman" w:hAnsi="Times New Roman" w:cs="Times New Roman"/>
          <w:color w:val="000000"/>
          <w:kern w:val="2"/>
          <w:sz w:val="21"/>
          <w:szCs w:val="24"/>
        </w:rPr>
        <w:t>为便于在执行本规程条文时区别对待，对要求严格程度不同的用词说明如下：</w:t>
      </w:r>
    </w:p>
    <w:p>
      <w:pPr>
        <w:widowControl w:val="0"/>
        <w:snapToGrid w:val="0"/>
        <w:spacing w:after="0" w:line="312" w:lineRule="auto"/>
        <w:ind w:firstLine="420"/>
        <w:rPr>
          <w:rFonts w:ascii="Times New Roman" w:hAnsi="Times New Roman" w:cs="Times New Roman"/>
          <w:color w:val="000000"/>
          <w:kern w:val="2"/>
          <w:sz w:val="21"/>
          <w:szCs w:val="24"/>
        </w:rPr>
      </w:pPr>
      <w:r>
        <w:rPr>
          <w:rFonts w:ascii="Times New Roman" w:hAnsi="Times New Roman" w:cs="Times New Roman"/>
          <w:color w:val="000000"/>
          <w:kern w:val="2"/>
          <w:sz w:val="21"/>
          <w:szCs w:val="24"/>
        </w:rPr>
        <w:t xml:space="preserve">1  </w:t>
      </w:r>
      <w:r>
        <w:rPr>
          <w:rFonts w:hint="eastAsia" w:ascii="Times New Roman" w:hAnsi="Times New Roman" w:cs="Times New Roman"/>
          <w:color w:val="000000"/>
          <w:kern w:val="2"/>
          <w:sz w:val="21"/>
          <w:szCs w:val="24"/>
        </w:rPr>
        <w:t>表示很严格，非这样做不可的：</w:t>
      </w:r>
    </w:p>
    <w:p>
      <w:pPr>
        <w:widowControl w:val="0"/>
        <w:snapToGrid w:val="0"/>
        <w:spacing w:after="0" w:line="312" w:lineRule="auto"/>
        <w:ind w:firstLine="630" w:firstLineChars="300"/>
        <w:rPr>
          <w:rFonts w:ascii="Times New Roman" w:hAnsi="Times New Roman" w:cs="Times New Roman"/>
          <w:color w:val="000000"/>
          <w:kern w:val="2"/>
          <w:sz w:val="21"/>
          <w:szCs w:val="24"/>
        </w:rPr>
      </w:pPr>
      <w:r>
        <w:rPr>
          <w:rFonts w:hint="eastAsia" w:ascii="Times New Roman" w:hAnsi="Times New Roman" w:cs="Times New Roman"/>
          <w:color w:val="000000"/>
          <w:kern w:val="2"/>
          <w:sz w:val="21"/>
          <w:szCs w:val="24"/>
        </w:rPr>
        <w:t>正面词采用“必须”，反面词采用“严禁”。</w:t>
      </w:r>
    </w:p>
    <w:p>
      <w:pPr>
        <w:widowControl w:val="0"/>
        <w:snapToGrid w:val="0"/>
        <w:spacing w:after="0" w:line="312" w:lineRule="auto"/>
        <w:ind w:firstLine="420"/>
        <w:rPr>
          <w:rFonts w:ascii="Times New Roman" w:hAnsi="Times New Roman" w:cs="Times New Roman"/>
          <w:color w:val="000000"/>
          <w:kern w:val="2"/>
          <w:sz w:val="21"/>
          <w:szCs w:val="24"/>
        </w:rPr>
      </w:pPr>
      <w:r>
        <w:rPr>
          <w:rFonts w:ascii="Times New Roman" w:hAnsi="Times New Roman" w:cs="Times New Roman"/>
          <w:color w:val="000000"/>
          <w:kern w:val="2"/>
          <w:sz w:val="21"/>
          <w:szCs w:val="24"/>
        </w:rPr>
        <w:t xml:space="preserve">2  </w:t>
      </w:r>
      <w:r>
        <w:rPr>
          <w:rFonts w:hint="eastAsia" w:ascii="Times New Roman" w:hAnsi="Times New Roman" w:cs="Times New Roman"/>
          <w:color w:val="000000"/>
          <w:kern w:val="2"/>
          <w:sz w:val="21"/>
          <w:szCs w:val="24"/>
        </w:rPr>
        <w:t>表示严格，在正常情况下均应这样做的：</w:t>
      </w:r>
    </w:p>
    <w:p>
      <w:pPr>
        <w:widowControl w:val="0"/>
        <w:snapToGrid w:val="0"/>
        <w:spacing w:after="0" w:line="312" w:lineRule="auto"/>
        <w:ind w:firstLine="840" w:firstLineChars="400"/>
        <w:rPr>
          <w:rFonts w:ascii="Times New Roman" w:hAnsi="Times New Roman" w:cs="Times New Roman"/>
          <w:color w:val="000000"/>
          <w:kern w:val="2"/>
          <w:sz w:val="21"/>
          <w:szCs w:val="24"/>
        </w:rPr>
      </w:pPr>
      <w:r>
        <w:rPr>
          <w:rFonts w:hint="eastAsia" w:ascii="Times New Roman" w:hAnsi="Times New Roman" w:cs="Times New Roman"/>
          <w:color w:val="000000"/>
          <w:kern w:val="2"/>
          <w:sz w:val="21"/>
          <w:szCs w:val="24"/>
        </w:rPr>
        <w:t>正面词采用“应”， 反面词采用“不应”或“不得”。</w:t>
      </w:r>
    </w:p>
    <w:p>
      <w:pPr>
        <w:widowControl w:val="0"/>
        <w:snapToGrid w:val="0"/>
        <w:spacing w:after="0" w:line="312" w:lineRule="auto"/>
        <w:ind w:firstLine="420"/>
        <w:rPr>
          <w:rFonts w:ascii="Times New Roman" w:hAnsi="Times New Roman" w:cs="Times New Roman"/>
          <w:color w:val="000000"/>
          <w:kern w:val="2"/>
          <w:sz w:val="21"/>
          <w:szCs w:val="24"/>
        </w:rPr>
      </w:pPr>
      <w:r>
        <w:rPr>
          <w:rFonts w:ascii="Times New Roman" w:hAnsi="Times New Roman" w:cs="Times New Roman"/>
          <w:color w:val="000000"/>
          <w:kern w:val="2"/>
          <w:sz w:val="21"/>
          <w:szCs w:val="24"/>
        </w:rPr>
        <w:t xml:space="preserve">3  </w:t>
      </w:r>
      <w:r>
        <w:rPr>
          <w:rFonts w:hint="eastAsia" w:ascii="Times New Roman" w:hAnsi="Times New Roman" w:cs="Times New Roman"/>
          <w:color w:val="000000"/>
          <w:kern w:val="2"/>
          <w:sz w:val="21"/>
          <w:szCs w:val="24"/>
        </w:rPr>
        <w:t>表示允许稍有选择，在条件许可时首先应这样做的：</w:t>
      </w:r>
    </w:p>
    <w:p>
      <w:pPr>
        <w:widowControl w:val="0"/>
        <w:snapToGrid w:val="0"/>
        <w:spacing w:after="0" w:line="312" w:lineRule="auto"/>
        <w:ind w:firstLine="840" w:firstLineChars="400"/>
        <w:rPr>
          <w:rFonts w:ascii="Times New Roman" w:hAnsi="Times New Roman" w:cs="Times New Roman"/>
          <w:color w:val="000000"/>
          <w:kern w:val="2"/>
          <w:sz w:val="21"/>
          <w:szCs w:val="24"/>
        </w:rPr>
      </w:pPr>
      <w:r>
        <w:rPr>
          <w:rFonts w:hint="eastAsia" w:ascii="Times New Roman" w:hAnsi="Times New Roman" w:cs="Times New Roman"/>
          <w:color w:val="000000"/>
          <w:kern w:val="2"/>
          <w:sz w:val="21"/>
          <w:szCs w:val="24"/>
        </w:rPr>
        <w:t>正面词采用“宜”，反面词采用“不宜”。</w:t>
      </w:r>
    </w:p>
    <w:p>
      <w:pPr>
        <w:widowControl w:val="0"/>
        <w:snapToGrid w:val="0"/>
        <w:spacing w:after="0" w:line="312" w:lineRule="auto"/>
        <w:ind w:firstLine="420"/>
        <w:rPr>
          <w:rFonts w:ascii="Times New Roman" w:hAnsi="Times New Roman" w:cs="Times New Roman"/>
          <w:color w:val="000000"/>
          <w:kern w:val="2"/>
          <w:sz w:val="21"/>
          <w:szCs w:val="24"/>
        </w:rPr>
      </w:pPr>
      <w:r>
        <w:rPr>
          <w:rFonts w:ascii="Times New Roman" w:hAnsi="Times New Roman" w:cs="Times New Roman"/>
          <w:color w:val="000000"/>
          <w:kern w:val="2"/>
          <w:sz w:val="21"/>
          <w:szCs w:val="24"/>
        </w:rPr>
        <w:t xml:space="preserve">4  </w:t>
      </w:r>
      <w:r>
        <w:rPr>
          <w:rFonts w:hint="eastAsia" w:ascii="Times New Roman" w:hAnsi="Times New Roman" w:cs="Times New Roman"/>
          <w:color w:val="000000"/>
          <w:kern w:val="2"/>
          <w:sz w:val="21"/>
          <w:szCs w:val="24"/>
        </w:rPr>
        <w:t>表示有选择，在一定条件下可以这样做的，采用“可”。</w:t>
      </w:r>
    </w:p>
    <w:p>
      <w:pPr>
        <w:ind w:firstLine="480" w:firstLineChars="200"/>
        <w:rPr>
          <w:rFonts w:cs="Times New Roman"/>
          <w:color w:val="000000" w:themeColor="text1"/>
          <w:sz w:val="24"/>
          <w:highlight w:val="none"/>
          <w14:textFill>
            <w14:solidFill>
              <w14:schemeClr w14:val="tx1"/>
            </w14:solidFill>
          </w14:textFill>
        </w:rPr>
      </w:pPr>
    </w:p>
    <w:p>
      <w:pPr>
        <w:rPr>
          <w:rFonts w:cs="Times New Roman"/>
          <w:color w:val="000000" w:themeColor="text1"/>
          <w:highlight w:val="none"/>
          <w14:textFill>
            <w14:solidFill>
              <w14:schemeClr w14:val="tx1"/>
            </w14:solidFill>
          </w14:textFill>
        </w:rPr>
      </w:pPr>
    </w:p>
    <w:p>
      <w:pPr>
        <w:jc w:val="left"/>
        <w:rPr>
          <w:rFonts w:cs="Times New Roman"/>
          <w:color w:val="000000" w:themeColor="text1"/>
          <w:highlight w:val="none"/>
          <w14:textFill>
            <w14:solidFill>
              <w14:schemeClr w14:val="tx1"/>
            </w14:solidFill>
          </w14:textFill>
        </w:rPr>
      </w:pPr>
      <w:bookmarkStart w:id="167" w:name="_Toc479244233"/>
      <w:bookmarkStart w:id="168" w:name="_Toc6824137"/>
      <w:bookmarkStart w:id="169" w:name="_Toc6920069"/>
      <w:bookmarkStart w:id="170" w:name="_Toc12354329"/>
      <w:bookmarkStart w:id="171" w:name="_Toc13746286"/>
      <w:bookmarkStart w:id="172" w:name="_Toc13821493"/>
      <w:bookmarkStart w:id="173" w:name="_Toc525111753"/>
      <w:bookmarkStart w:id="174" w:name="_Toc6839376"/>
      <w:bookmarkStart w:id="175" w:name="_Toc10014482"/>
      <w:bookmarkStart w:id="176" w:name="_Toc13473443"/>
      <w:bookmarkStart w:id="177" w:name="_Toc530731667"/>
      <w:bookmarkStart w:id="178" w:name="_Toc530731668"/>
      <w:bookmarkStart w:id="179" w:name="_Toc6920070"/>
      <w:bookmarkStart w:id="180" w:name="_Toc515356581"/>
      <w:bookmarkStart w:id="181" w:name="_Toc525111754"/>
      <w:bookmarkStart w:id="182" w:name="_Toc515538020"/>
      <w:bookmarkStart w:id="183" w:name="_Toc6824138"/>
      <w:bookmarkStart w:id="184" w:name="_Toc6839377"/>
      <w:r>
        <w:rPr>
          <w:rFonts w:cs="Times New Roman"/>
          <w:color w:val="000000" w:themeColor="text1"/>
          <w:highlight w:val="none"/>
          <w14:textFill>
            <w14:solidFill>
              <w14:schemeClr w14:val="tx1"/>
            </w14:solidFill>
          </w14:textFill>
        </w:rPr>
        <w:br w:type="page"/>
      </w:r>
    </w:p>
    <w:p>
      <w:pPr>
        <w:pStyle w:val="2"/>
        <w:rPr>
          <w:rFonts w:cs="Times New Roman"/>
          <w:color w:val="000000" w:themeColor="text1"/>
          <w:highlight w:val="none"/>
          <w14:textFill>
            <w14:solidFill>
              <w14:schemeClr w14:val="tx1"/>
            </w14:solidFill>
          </w14:textFill>
        </w:rPr>
      </w:pPr>
      <w:bookmarkStart w:id="185" w:name="_Toc36894585"/>
      <w:bookmarkStart w:id="186" w:name="_Toc20015"/>
      <w:bookmarkStart w:id="187" w:name="_Toc37455234"/>
      <w:bookmarkStart w:id="188" w:name="_Toc37506853"/>
      <w:bookmarkStart w:id="189" w:name="_Toc5659"/>
      <w:bookmarkStart w:id="190" w:name="_Toc22904"/>
      <w:bookmarkStart w:id="191" w:name="_Toc15249"/>
      <w:r>
        <w:rPr>
          <w:color w:val="000000" w:themeColor="text1"/>
          <w:highlight w:val="none"/>
          <w14:textFill>
            <w14:solidFill>
              <w14:schemeClr w14:val="tx1"/>
            </w14:solidFill>
          </w14:textFill>
        </w:rPr>
        <w:t>引用标准</w:t>
      </w:r>
      <w:bookmarkEnd w:id="167"/>
      <w:r>
        <w:rPr>
          <w:color w:val="000000" w:themeColor="text1"/>
          <w:highlight w:val="none"/>
          <w14:textFill>
            <w14:solidFill>
              <w14:schemeClr w14:val="tx1"/>
            </w14:solidFill>
          </w14:textFill>
        </w:rPr>
        <w:t>名录</w:t>
      </w:r>
      <w:bookmarkEnd w:id="168"/>
      <w:bookmarkEnd w:id="169"/>
      <w:bookmarkEnd w:id="170"/>
      <w:bookmarkEnd w:id="171"/>
      <w:bookmarkEnd w:id="172"/>
      <w:bookmarkEnd w:id="173"/>
      <w:bookmarkEnd w:id="174"/>
      <w:bookmarkEnd w:id="175"/>
      <w:bookmarkEnd w:id="176"/>
      <w:bookmarkEnd w:id="177"/>
      <w:bookmarkEnd w:id="185"/>
      <w:bookmarkEnd w:id="186"/>
      <w:bookmarkEnd w:id="187"/>
      <w:bookmarkEnd w:id="188"/>
      <w:bookmarkEnd w:id="189"/>
      <w:bookmarkEnd w:id="190"/>
      <w:bookmarkEnd w:id="191"/>
    </w:p>
    <w:p>
      <w:pPr>
        <w:widowControl w:val="0"/>
        <w:spacing w:after="0" w:line="360" w:lineRule="auto"/>
        <w:ind w:firstLine="480" w:firstLineChars="200"/>
        <w:rPr>
          <w:rFonts w:ascii="Calibri" w:hAnsi="Calibri" w:cs="Times New Roman"/>
          <w:kern w:val="2"/>
          <w:sz w:val="24"/>
          <w:szCs w:val="24"/>
        </w:rPr>
      </w:pPr>
      <w:r>
        <w:rPr>
          <w:rFonts w:hint="eastAsia" w:ascii="Calibri" w:hAnsi="Calibri" w:cs="Times New Roman"/>
          <w:kern w:val="2"/>
          <w:sz w:val="24"/>
          <w:szCs w:val="24"/>
        </w:rPr>
        <w:t>本规程引用下列标准。其中，注日期的，仅对该日期对应的版本适用于本规程；不注日期的，其最新版适用于本规程。</w:t>
      </w:r>
    </w:p>
    <w:p>
      <w:pPr>
        <w:jc w:val="left"/>
        <w:rPr>
          <w:rFonts w:hint="eastAsia"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《自动化仪表工程施工及质量验收规范》GB 50093</w:t>
      </w:r>
    </w:p>
    <w:p>
      <w:pPr>
        <w:jc w:val="left"/>
        <w:rPr>
          <w:rFonts w:hint="eastAsia"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《建筑灭火器配置设计规范》GB 50140</w:t>
      </w:r>
    </w:p>
    <w:p>
      <w:pPr>
        <w:jc w:val="left"/>
        <w:rPr>
          <w:rFonts w:hint="eastAsia"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《工业金属管道工程施工质量验收规范》GB 50184</w:t>
      </w:r>
    </w:p>
    <w:p>
      <w:pPr>
        <w:jc w:val="left"/>
        <w:rPr>
          <w:rFonts w:hint="eastAsia"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14:textFill>
            <w14:solidFill>
              <w14:schemeClr w14:val="tx1"/>
            </w14:solidFill>
          </w14:textFill>
        </w:rPr>
        <w:t>《机械设备安装工程施工及验收通用规范》GB5023</w:t>
      </w:r>
      <w:r>
        <w:rPr>
          <w:rFonts w:hint="eastAsia" w:cs="Times New Roman"/>
          <w:color w:val="000000" w:themeColor="text1"/>
          <w:highlight w:val="none"/>
          <w:lang w:val="en-US" w:eastAsia="zh-CN"/>
          <w14:textFill>
            <w14:solidFill>
              <w14:schemeClr w14:val="tx1"/>
            </w14:solidFill>
          </w14:textFill>
        </w:rPr>
        <w:t>1</w:t>
      </w:r>
    </w:p>
    <w:p>
      <w:pPr>
        <w:jc w:val="left"/>
        <w:rPr>
          <w:rFonts w:hint="eastAsia"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《工业金属管道工程施工规范》GB 50235</w:t>
      </w:r>
    </w:p>
    <w:p>
      <w:pPr>
        <w:jc w:val="left"/>
        <w:rPr>
          <w:rFonts w:hint="eastAsia" w:cs="Times New Roman"/>
          <w:color w:val="000000" w:themeColor="text1"/>
          <w:highlight w:val="none"/>
          <w14:textFill>
            <w14:solidFill>
              <w14:schemeClr w14:val="tx1"/>
            </w14:solidFill>
          </w14:textFill>
        </w:rPr>
      </w:pPr>
      <w:r>
        <w:rPr>
          <w:rFonts w:hint="eastAsia" w:cs="Times New Roman"/>
          <w:color w:val="000000" w:themeColor="text1"/>
          <w:highlight w:val="none"/>
          <w14:textFill>
            <w14:solidFill>
              <w14:schemeClr w14:val="tx1"/>
            </w14:solidFill>
          </w14:textFill>
        </w:rPr>
        <w:t>《现场设备、工业管道焊接工程施工及验收规范》GB50236</w:t>
      </w:r>
    </w:p>
    <w:p>
      <w:pPr>
        <w:jc w:val="left"/>
        <w:rPr>
          <w:rFonts w:hint="eastAsia"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《风机、压缩机、泵安装工程施工及验收规范》GB 50275</w:t>
      </w:r>
    </w:p>
    <w:p>
      <w:pPr>
        <w:jc w:val="left"/>
        <w:rPr>
          <w:rFonts w:hint="eastAsia"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《建筑工程施工质量验收统一标准》GB 50300</w:t>
      </w:r>
    </w:p>
    <w:p>
      <w:pPr>
        <w:jc w:val="left"/>
        <w:rPr>
          <w:rFonts w:hint="eastAsia"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14:textFill>
            <w14:solidFill>
              <w14:schemeClr w14:val="tx1"/>
            </w14:solidFill>
          </w14:textFill>
        </w:rPr>
        <w:t>《建筑电气工程施工质量验收规范》GB503</w:t>
      </w:r>
      <w:r>
        <w:rPr>
          <w:rFonts w:hint="eastAsia" w:cs="Times New Roman"/>
          <w:color w:val="000000" w:themeColor="text1"/>
          <w:highlight w:val="none"/>
          <w:lang w:val="en-US" w:eastAsia="zh-CN"/>
          <w14:textFill>
            <w14:solidFill>
              <w14:schemeClr w14:val="tx1"/>
            </w14:solidFill>
          </w14:textFill>
        </w:rPr>
        <w:t>0</w:t>
      </w:r>
      <w:r>
        <w:rPr>
          <w:rFonts w:hint="eastAsia" w:cs="Times New Roman"/>
          <w:color w:val="000000" w:themeColor="text1"/>
          <w:highlight w:val="none"/>
          <w14:textFill>
            <w14:solidFill>
              <w14:schemeClr w14:val="tx1"/>
            </w14:solidFill>
          </w14:textFill>
        </w:rPr>
        <w:t>3</w:t>
      </w:r>
    </w:p>
    <w:p>
      <w:pPr>
        <w:jc w:val="left"/>
        <w:rPr>
          <w:rFonts w:hint="eastAsia"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eastAsia="zh-CN"/>
          <w14:textFill>
            <w14:solidFill>
              <w14:schemeClr w14:val="tx1"/>
            </w14:solidFill>
          </w14:textFill>
        </w:rPr>
        <w:t>《</w:t>
      </w:r>
      <w:r>
        <w:rPr>
          <w:rFonts w:hint="eastAsia" w:cs="Times New Roman"/>
          <w:color w:val="000000" w:themeColor="text1"/>
          <w:highlight w:val="none"/>
          <w:lang w:val="en-US" w:eastAsia="zh-CN"/>
          <w14:textFill>
            <w14:solidFill>
              <w14:schemeClr w14:val="tx1"/>
            </w14:solidFill>
          </w14:textFill>
        </w:rPr>
        <w:t>埋地钢制管道防腐保温层技术标准</w:t>
      </w:r>
      <w:r>
        <w:rPr>
          <w:rFonts w:hint="eastAsia" w:cs="Times New Roman"/>
          <w:color w:val="000000" w:themeColor="text1"/>
          <w:highlight w:val="none"/>
          <w:lang w:eastAsia="zh-CN"/>
          <w14:textFill>
            <w14:solidFill>
              <w14:schemeClr w14:val="tx1"/>
            </w14:solidFill>
          </w14:textFill>
        </w:rPr>
        <w:t>》</w:t>
      </w:r>
      <w:r>
        <w:rPr>
          <w:rFonts w:hint="eastAsia" w:cs="Times New Roman"/>
          <w:color w:val="000000" w:themeColor="text1"/>
          <w:highlight w:val="none"/>
          <w:lang w:val="en-US" w:eastAsia="zh-CN"/>
          <w14:textFill>
            <w14:solidFill>
              <w14:schemeClr w14:val="tx1"/>
            </w14:solidFill>
          </w14:textFill>
        </w:rPr>
        <w:t>GB/T 50538</w:t>
      </w:r>
    </w:p>
    <w:p>
      <w:pPr>
        <w:jc w:val="left"/>
        <w:rPr>
          <w:rFonts w:hint="eastAsia"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《环境空气质量标准》GB 3095</w:t>
      </w:r>
    </w:p>
    <w:p>
      <w:pPr>
        <w:jc w:val="left"/>
        <w:rPr>
          <w:rFonts w:cs="Times New Roman"/>
          <w:color w:val="000000" w:themeColor="text1"/>
          <w:highlight w:val="none"/>
          <w14:textFill>
            <w14:solidFill>
              <w14:schemeClr w14:val="tx1"/>
            </w14:solidFill>
          </w14:textFill>
        </w:rPr>
      </w:pPr>
      <w:r>
        <w:rPr>
          <w:rFonts w:hint="eastAsia" w:cs="Times New Roman"/>
          <w:color w:val="000000" w:themeColor="text1"/>
          <w:highlight w:val="none"/>
          <w14:textFill>
            <w14:solidFill>
              <w14:schemeClr w14:val="tx1"/>
            </w14:solidFill>
          </w14:textFill>
        </w:rPr>
        <w:t>《生活垃圾分类标志》GB/T 19095</w:t>
      </w:r>
    </w:p>
    <w:p>
      <w:pPr>
        <w:jc w:val="left"/>
        <w:rPr>
          <w:rFonts w:hint="eastAsia"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《恶臭污染排放标准》GB 14554</w:t>
      </w:r>
    </w:p>
    <w:p>
      <w:pPr>
        <w:jc w:val="left"/>
        <w:rPr>
          <w:rFonts w:hint="eastAsia" w:cs="Times New Roman"/>
          <w:color w:val="000000" w:themeColor="text1"/>
          <w:highlight w:val="none"/>
          <w:lang w:val="en-US" w:eastAsia="zh-CN"/>
          <w14:textFill>
            <w14:solidFill>
              <w14:schemeClr w14:val="tx1"/>
            </w14:solidFill>
          </w14:textFill>
        </w:rPr>
      </w:pPr>
    </w:p>
    <w:p>
      <w:pPr>
        <w:jc w:val="left"/>
        <w:rPr>
          <w:rFonts w:cs="Times New Roman"/>
          <w:color w:val="000000" w:themeColor="text1"/>
          <w:highlight w:val="none"/>
          <w14:textFill>
            <w14:solidFill>
              <w14:schemeClr w14:val="tx1"/>
            </w14:solidFill>
          </w14:textFill>
        </w:rPr>
      </w:pPr>
      <w:r>
        <w:rPr>
          <w:rFonts w:cs="Times New Roman"/>
          <w:color w:val="000000" w:themeColor="text1"/>
          <w:highlight w:val="none"/>
          <w14:textFill>
            <w14:solidFill>
              <w14:schemeClr w14:val="tx1"/>
            </w14:solidFill>
          </w14:textFill>
        </w:rPr>
        <w:br w:type="page"/>
      </w: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rPr>
          <w:rFonts w:ascii="Times New Roman" w:hAnsi="Times New Roman"/>
          <w:color w:val="000000" w:themeColor="text1"/>
          <w14:textFill>
            <w14:solidFill>
              <w14:schemeClr w14:val="tx1"/>
            </w14:solidFill>
          </w14:textFill>
        </w:rPr>
      </w:pPr>
    </w:p>
    <w:p>
      <w:pPr>
        <w:snapToGrid w:val="0"/>
        <w:spacing w:line="312" w:lineRule="auto"/>
        <w:jc w:val="center"/>
        <w:rPr>
          <w:rFonts w:ascii="Times New Roman" w:hAnsi="Times New Roman"/>
          <w:color w:val="000000" w:themeColor="text1"/>
          <w:sz w:val="30"/>
          <w:szCs w:val="30"/>
          <w14:textFill>
            <w14:solidFill>
              <w14:schemeClr w14:val="tx1"/>
            </w14:solidFill>
          </w14:textFill>
        </w:rPr>
      </w:pPr>
      <w:r>
        <w:rPr>
          <w:rFonts w:hint="eastAsia" w:ascii="Times New Roman" w:hAnsi="Times New Roman"/>
          <w:color w:val="000000" w:themeColor="text1"/>
          <w:sz w:val="30"/>
          <w:szCs w:val="30"/>
          <w14:textFill>
            <w14:solidFill>
              <w14:schemeClr w14:val="tx1"/>
            </w14:solidFill>
          </w14:textFill>
        </w:rPr>
        <w:t>中国工程建设标准化协会标准</w:t>
      </w:r>
    </w:p>
    <w:p>
      <w:pPr>
        <w:jc w:val="both"/>
        <w:rPr>
          <w:rFonts w:cs="Times New Roman"/>
          <w:b/>
          <w:bCs/>
          <w:color w:val="000000" w:themeColor="text1"/>
          <w:sz w:val="40"/>
          <w:szCs w:val="40"/>
          <w:highlight w:val="none"/>
          <w14:textFill>
            <w14:solidFill>
              <w14:schemeClr w14:val="tx1"/>
            </w14:solidFill>
          </w14:textFill>
        </w:rPr>
      </w:pPr>
    </w:p>
    <w:p>
      <w:pPr>
        <w:widowControl w:val="0"/>
        <w:snapToGrid w:val="0"/>
        <w:spacing w:after="0" w:line="312" w:lineRule="auto"/>
        <w:jc w:val="center"/>
        <w:rPr>
          <w:rFonts w:hint="default" w:ascii="Times New Roman" w:hAnsi="Times New Roman" w:eastAsiaTheme="minorEastAsia"/>
          <w:color w:val="000000" w:themeColor="text1"/>
          <w:kern w:val="2"/>
          <w:sz w:val="36"/>
          <w:szCs w:val="36"/>
          <w:lang w:val="en-US" w:eastAsia="zh-CN"/>
          <w14:textFill>
            <w14:solidFill>
              <w14:schemeClr w14:val="tx1"/>
            </w14:solidFill>
          </w14:textFill>
        </w:rPr>
      </w:pPr>
      <w:r>
        <w:rPr>
          <w:rFonts w:hint="eastAsia" w:ascii="Times New Roman" w:hAnsi="Times New Roman" w:eastAsiaTheme="minorEastAsia"/>
          <w:color w:val="000000" w:themeColor="text1"/>
          <w:kern w:val="2"/>
          <w:sz w:val="36"/>
          <w:szCs w:val="36"/>
          <w:lang w:val="en-US" w:eastAsia="zh-CN"/>
          <w14:textFill>
            <w14:solidFill>
              <w14:schemeClr w14:val="tx1"/>
            </w14:solidFill>
          </w14:textFill>
        </w:rPr>
        <w:t>垃圾全密闭气力输送系统技术规程</w:t>
      </w:r>
    </w:p>
    <w:p>
      <w:pPr>
        <w:widowControl w:val="0"/>
        <w:snapToGrid w:val="0"/>
        <w:spacing w:after="0" w:line="312" w:lineRule="auto"/>
        <w:jc w:val="center"/>
        <w:rPr>
          <w:rFonts w:ascii="Times New Roman" w:hAnsi="Times New Roman" w:eastAsia="宋体" w:cs="Times New Roman"/>
          <w:color w:val="000000"/>
          <w:kern w:val="2"/>
          <w:sz w:val="21"/>
          <w:szCs w:val="24"/>
        </w:rPr>
      </w:pPr>
      <w:r>
        <w:rPr>
          <w:rFonts w:ascii="Times New Roman" w:hAnsi="Times New Roman" w:cs="Times New Roman"/>
          <w:color w:val="000000"/>
          <w:kern w:val="2"/>
          <w:sz w:val="21"/>
          <w:szCs w:val="24"/>
        </w:rPr>
        <w:t xml:space="preserve">T/CECS  </w:t>
      </w:r>
      <w:r>
        <w:rPr>
          <w:rFonts w:hint="eastAsia" w:ascii="Times New Roman" w:hAnsi="Times New Roman" w:cs="Times New Roman"/>
          <w:color w:val="000000"/>
          <w:kern w:val="2"/>
          <w:sz w:val="21"/>
          <w:szCs w:val="24"/>
        </w:rPr>
        <w:t>xxx</w:t>
      </w:r>
      <w:r>
        <w:rPr>
          <w:rFonts w:hint="eastAsia" w:ascii="Times New Roman" w:hAnsi="Times New Roman" w:eastAsia="宋体" w:cs="Times New Roman"/>
          <w:color w:val="000000"/>
          <w:kern w:val="2"/>
          <w:sz w:val="21"/>
          <w:szCs w:val="24"/>
        </w:rPr>
        <w:t>－2019</w:t>
      </w:r>
    </w:p>
    <w:p>
      <w:pPr>
        <w:rPr>
          <w:rFonts w:cs="Times New Roman"/>
          <w:color w:val="000000" w:themeColor="text1"/>
          <w:sz w:val="28"/>
          <w:szCs w:val="28"/>
          <w:highlight w:val="none"/>
          <w14:textFill>
            <w14:solidFill>
              <w14:schemeClr w14:val="tx1"/>
            </w14:solidFill>
          </w14:textFill>
        </w:rPr>
      </w:pPr>
    </w:p>
    <w:bookmarkEnd w:id="178"/>
    <w:bookmarkEnd w:id="179"/>
    <w:bookmarkEnd w:id="180"/>
    <w:bookmarkEnd w:id="181"/>
    <w:bookmarkEnd w:id="182"/>
    <w:bookmarkEnd w:id="183"/>
    <w:bookmarkEnd w:id="184"/>
    <w:p>
      <w:pPr>
        <w:snapToGrid w:val="0"/>
        <w:spacing w:line="312" w:lineRule="auto"/>
        <w:jc w:val="center"/>
        <w:rPr>
          <w:rFonts w:ascii="Times New Roman" w:hAnsi="Times New Roman"/>
          <w:color w:val="000000" w:themeColor="text1"/>
          <w:sz w:val="30"/>
          <w:szCs w:val="30"/>
          <w14:textFill>
            <w14:solidFill>
              <w14:schemeClr w14:val="tx1"/>
            </w14:solidFill>
          </w14:textFill>
        </w:rPr>
      </w:pPr>
      <w:r>
        <w:rPr>
          <w:rFonts w:hint="eastAsia" w:ascii="Times New Roman" w:hAnsi="Times New Roman"/>
          <w:color w:val="000000" w:themeColor="text1"/>
          <w:sz w:val="30"/>
          <w:szCs w:val="30"/>
          <w14:textFill>
            <w14:solidFill>
              <w14:schemeClr w14:val="tx1"/>
            </w14:solidFill>
          </w14:textFill>
        </w:rPr>
        <w:t>条 文 说 明</w:t>
      </w:r>
    </w:p>
    <w:p>
      <w:pPr>
        <w:rPr>
          <w:rFonts w:cs="Times New Roman"/>
          <w:color w:val="000000" w:themeColor="text1"/>
          <w:highlight w:val="none"/>
          <w14:textFill>
            <w14:solidFill>
              <w14:schemeClr w14:val="tx1"/>
            </w14:solidFill>
          </w14:textFill>
        </w:rPr>
      </w:pPr>
    </w:p>
    <w:p>
      <w:pPr>
        <w:jc w:val="left"/>
        <w:rPr>
          <w:rFonts w:cs="Times New Roman"/>
          <w:color w:val="000000" w:themeColor="text1"/>
          <w:highlight w:val="none"/>
          <w14:textFill>
            <w14:solidFill>
              <w14:schemeClr w14:val="tx1"/>
            </w14:solidFill>
          </w14:textFill>
        </w:rPr>
      </w:pPr>
    </w:p>
    <w:p>
      <w:pPr>
        <w:snapToGrid w:val="0"/>
        <w:spacing w:line="440" w:lineRule="atLeast"/>
        <w:jc w:val="center"/>
        <w:rPr>
          <w:rStyle w:val="32"/>
          <w:color w:val="000000" w:themeColor="text1"/>
          <w:highlight w:val="none"/>
          <w14:textFill>
            <w14:solidFill>
              <w14:schemeClr w14:val="tx1"/>
            </w14:solidFill>
          </w14:textFill>
        </w:rPr>
        <w:sectPr>
          <w:pgSz w:w="11906" w:h="16838"/>
          <w:pgMar w:top="1440" w:right="1558" w:bottom="1440" w:left="1560" w:header="851" w:footer="439" w:gutter="0"/>
          <w:pgNumType w:fmt="decimal"/>
          <w:cols w:space="720" w:num="1"/>
          <w:docGrid w:type="lines" w:linePitch="326" w:charSpace="0"/>
        </w:sectPr>
      </w:pPr>
    </w:p>
    <w:p>
      <w:pPr>
        <w:jc w:val="center"/>
        <w:rPr>
          <w:b/>
          <w:bCs/>
          <w:color w:val="000000" w:themeColor="text1"/>
          <w:kern w:val="44"/>
          <w:sz w:val="28"/>
          <w:szCs w:val="28"/>
          <w14:textFill>
            <w14:solidFill>
              <w14:schemeClr w14:val="tx1"/>
            </w14:solidFill>
          </w14:textFill>
        </w:rPr>
      </w:pPr>
    </w:p>
    <w:p>
      <w:pPr>
        <w:jc w:val="center"/>
        <w:rPr>
          <w:b/>
          <w:bCs/>
          <w:color w:val="000000" w:themeColor="text1"/>
          <w:kern w:val="44"/>
          <w:sz w:val="28"/>
          <w:szCs w:val="28"/>
          <w14:textFill>
            <w14:solidFill>
              <w14:schemeClr w14:val="tx1"/>
            </w14:solidFill>
          </w14:textFill>
        </w:rPr>
      </w:pPr>
      <w:r>
        <w:rPr>
          <w:b/>
          <w:bCs/>
          <w:color w:val="000000" w:themeColor="text1"/>
          <w:kern w:val="44"/>
          <w:sz w:val="28"/>
          <w:szCs w:val="28"/>
          <w14:textFill>
            <w14:solidFill>
              <w14:schemeClr w14:val="tx1"/>
            </w14:solidFill>
          </w14:textFill>
        </w:rPr>
        <w:t>制 定 说 明</w:t>
      </w:r>
    </w:p>
    <w:p>
      <w:pPr>
        <w:snapToGrid w:val="0"/>
        <w:spacing w:line="312" w:lineRule="auto"/>
        <w:ind w:firstLine="440" w:firstLineChars="200"/>
        <w:rPr>
          <w:rFonts w:hint="default" w:ascii="Times New Roman" w:hAnsi="Times New Roman" w:eastAsia="宋体"/>
          <w:bCs/>
          <w:color w:val="000000" w:themeColor="text1"/>
          <w:lang w:val="en-US" w:eastAsia="zh-CN"/>
          <w14:textFill>
            <w14:solidFill>
              <w14:schemeClr w14:val="tx1"/>
            </w14:solidFill>
          </w14:textFill>
        </w:rPr>
      </w:pPr>
      <w:r>
        <w:rPr>
          <w:rFonts w:hint="eastAsia" w:ascii="Times New Roman" w:hAnsi="Times New Roman"/>
          <w:bCs/>
          <w:color w:val="000000" w:themeColor="text1"/>
          <w14:textFill>
            <w14:solidFill>
              <w14:schemeClr w14:val="tx1"/>
            </w14:solidFill>
          </w14:textFill>
        </w:rPr>
        <w:t>本规程</w:t>
      </w:r>
      <w:r>
        <w:rPr>
          <w:rFonts w:ascii="Times New Roman" w:hAnsi="Times New Roman"/>
          <w:bCs/>
          <w:color w:val="000000" w:themeColor="text1"/>
          <w14:textFill>
            <w14:solidFill>
              <w14:schemeClr w14:val="tx1"/>
            </w14:solidFill>
          </w14:textFill>
        </w:rPr>
        <w:t>《</w:t>
      </w:r>
      <w:r>
        <w:rPr>
          <w:rFonts w:hint="eastAsia" w:ascii="Times New Roman" w:hAnsi="Times New Roman"/>
          <w:bCs/>
          <w:color w:val="000000" w:themeColor="text1"/>
          <w14:textFill>
            <w14:solidFill>
              <w14:schemeClr w14:val="tx1"/>
            </w14:solidFill>
          </w14:textFill>
        </w:rPr>
        <w:t>垃圾全密闭气力输送系统技术规程</w:t>
      </w:r>
      <w:r>
        <w:rPr>
          <w:rFonts w:ascii="Times New Roman" w:hAnsi="Times New Roman"/>
          <w:bCs/>
          <w:color w:val="000000" w:themeColor="text1"/>
          <w14:textFill>
            <w14:solidFill>
              <w14:schemeClr w14:val="tx1"/>
            </w14:solidFill>
          </w14:textFill>
        </w:rPr>
        <w:t>》制定过程中，编制组进行了</w:t>
      </w:r>
      <w:r>
        <w:rPr>
          <w:rFonts w:hint="eastAsia"/>
          <w:bCs/>
          <w:color w:val="000000" w:themeColor="text1"/>
          <w:lang w:val="en-US" w:eastAsia="zh-CN"/>
          <w14:textFill>
            <w14:solidFill>
              <w14:schemeClr w14:val="tx1"/>
            </w14:solidFill>
          </w14:textFill>
        </w:rPr>
        <w:t>垃圾全密闭气力输送系统和收运体系进行研究，基于我国饮食习惯，总结了垃圾全密闭气力输送系统的主要问题和我国工程建设的实践经验，同时参考了国外先进技术、技术标准，通过对系统服务面积、投放口设施方式、管网系统关键技术参数等的研究与优化，得到了垃圾全密闭气力输送的技术成果。</w:t>
      </w:r>
    </w:p>
    <w:p>
      <w:pPr>
        <w:snapToGrid w:val="0"/>
        <w:spacing w:line="312" w:lineRule="auto"/>
        <w:ind w:firstLine="440" w:firstLineChars="200"/>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为便于广大技术和管理人员在使用</w:t>
      </w:r>
      <w:r>
        <w:rPr>
          <w:rFonts w:hint="eastAsia" w:ascii="Times New Roman" w:hAnsi="Times New Roman"/>
          <w:bCs/>
          <w:color w:val="000000" w:themeColor="text1"/>
          <w14:textFill>
            <w14:solidFill>
              <w14:schemeClr w14:val="tx1"/>
            </w14:solidFill>
          </w14:textFill>
        </w:rPr>
        <w:t>本规程</w:t>
      </w:r>
      <w:r>
        <w:rPr>
          <w:rFonts w:ascii="Times New Roman" w:hAnsi="Times New Roman"/>
          <w:bCs/>
          <w:color w:val="000000" w:themeColor="text1"/>
          <w14:textFill>
            <w14:solidFill>
              <w14:schemeClr w14:val="tx1"/>
            </w14:solidFill>
          </w14:textFill>
        </w:rPr>
        <w:t>《</w:t>
      </w:r>
      <w:r>
        <w:rPr>
          <w:rFonts w:hint="eastAsia" w:ascii="Times New Roman" w:hAnsi="Times New Roman"/>
          <w:bCs/>
          <w:color w:val="000000" w:themeColor="text1"/>
          <w14:textFill>
            <w14:solidFill>
              <w14:schemeClr w14:val="tx1"/>
            </w14:solidFill>
          </w14:textFill>
        </w:rPr>
        <w:t>垃圾全密闭气力输送系统技术规程</w:t>
      </w:r>
      <w:r>
        <w:rPr>
          <w:rFonts w:ascii="Times New Roman" w:hAnsi="Times New Roman"/>
          <w:bCs/>
          <w:color w:val="000000" w:themeColor="text1"/>
          <w14:textFill>
            <w14:solidFill>
              <w14:schemeClr w14:val="tx1"/>
            </w14:solidFill>
          </w14:textFill>
        </w:rPr>
        <w:t>》时能正确理解和执行条款规定，编制组按章、节 、条顺序编制了</w:t>
      </w:r>
      <w:r>
        <w:rPr>
          <w:rFonts w:hint="eastAsia" w:ascii="Times New Roman" w:hAnsi="Times New Roman"/>
          <w:bCs/>
          <w:color w:val="000000" w:themeColor="text1"/>
          <w14:textFill>
            <w14:solidFill>
              <w14:schemeClr w14:val="tx1"/>
            </w14:solidFill>
          </w14:textFill>
        </w:rPr>
        <w:t>本规程</w:t>
      </w:r>
      <w:r>
        <w:rPr>
          <w:rFonts w:ascii="Times New Roman" w:hAnsi="Times New Roman"/>
          <w:bCs/>
          <w:color w:val="000000" w:themeColor="text1"/>
          <w14:textFill>
            <w14:solidFill>
              <w14:schemeClr w14:val="tx1"/>
            </w14:solidFill>
          </w14:textFill>
        </w:rPr>
        <w:t>的条文说明，对条款规定的目的、依据以及执行中需注意的有关事项等进行了说明。本条文说明不具备与</w:t>
      </w:r>
      <w:r>
        <w:rPr>
          <w:rFonts w:hint="eastAsia" w:ascii="Times New Roman" w:hAnsi="Times New Roman"/>
          <w:bCs/>
          <w:color w:val="000000" w:themeColor="text1"/>
          <w14:textFill>
            <w14:solidFill>
              <w14:schemeClr w14:val="tx1"/>
            </w14:solidFill>
          </w14:textFill>
        </w:rPr>
        <w:t>规程</w:t>
      </w:r>
      <w:r>
        <w:rPr>
          <w:rFonts w:ascii="Times New Roman" w:hAnsi="Times New Roman"/>
          <w:bCs/>
          <w:color w:val="000000" w:themeColor="text1"/>
          <w14:textFill>
            <w14:solidFill>
              <w14:schemeClr w14:val="tx1"/>
            </w14:solidFill>
          </w14:textFill>
        </w:rPr>
        <w:t>正文及附录同等的法律效力，仅供使用者作为理解和把握</w:t>
      </w:r>
      <w:r>
        <w:rPr>
          <w:rFonts w:hint="eastAsia" w:ascii="Times New Roman" w:hAnsi="Times New Roman"/>
          <w:bCs/>
          <w:color w:val="000000" w:themeColor="text1"/>
          <w14:textFill>
            <w14:solidFill>
              <w14:schemeClr w14:val="tx1"/>
            </w14:solidFill>
          </w14:textFill>
        </w:rPr>
        <w:t>规程</w:t>
      </w:r>
      <w:r>
        <w:rPr>
          <w:rFonts w:ascii="Times New Roman" w:hAnsi="Times New Roman"/>
          <w:bCs/>
          <w:color w:val="000000" w:themeColor="text1"/>
          <w14:textFill>
            <w14:solidFill>
              <w14:schemeClr w14:val="tx1"/>
            </w14:solidFill>
          </w14:textFill>
        </w:rPr>
        <w:t>规定的参考。</w:t>
      </w:r>
    </w:p>
    <w:p>
      <w:pPr>
        <w:snapToGrid w:val="0"/>
        <w:spacing w:line="312" w:lineRule="auto"/>
        <w:ind w:firstLine="440" w:firstLineChars="200"/>
        <w:rPr>
          <w:rFonts w:ascii="Times New Roman" w:hAnsi="Times New Roman"/>
          <w:bCs/>
          <w:color w:val="000000" w:themeColor="text1"/>
          <w14:textFill>
            <w14:solidFill>
              <w14:schemeClr w14:val="tx1"/>
            </w14:solidFill>
          </w14:textFill>
        </w:rPr>
        <w:sectPr>
          <w:pgSz w:w="11906" w:h="16838"/>
          <w:pgMar w:top="1440" w:right="1558" w:bottom="1440" w:left="1560" w:header="851" w:footer="439" w:gutter="0"/>
          <w:pgNumType w:fmt="decimal"/>
          <w:cols w:space="720" w:num="1"/>
          <w:docGrid w:type="lines" w:linePitch="326" w:charSpace="0"/>
        </w:sectPr>
      </w:pPr>
    </w:p>
    <w:p>
      <w:pPr>
        <w:snapToGrid w:val="0"/>
        <w:spacing w:line="312" w:lineRule="auto"/>
        <w:jc w:val="center"/>
        <w:rPr>
          <w:rFonts w:ascii="Times New Roman" w:hAnsi="Times New Roman" w:eastAsia="宋体" w:cs="Times New Roman"/>
          <w:b/>
          <w:color w:val="000000" w:themeColor="text1"/>
          <w:sz w:val="32"/>
          <w:szCs w:val="32"/>
          <w:lang w:val="zh-CN"/>
          <w14:textFill>
            <w14:solidFill>
              <w14:schemeClr w14:val="tx1"/>
            </w14:solidFill>
          </w14:textFill>
        </w:rPr>
      </w:pPr>
      <w:r>
        <w:rPr>
          <w:rFonts w:hint="eastAsia" w:ascii="Times New Roman" w:hAnsi="Times New Roman" w:eastAsia="宋体" w:cs="Times New Roman"/>
          <w:b/>
          <w:color w:val="000000" w:themeColor="text1"/>
          <w:sz w:val="32"/>
          <w:szCs w:val="32"/>
          <w:lang w:val="zh-CN"/>
          <w14:textFill>
            <w14:solidFill>
              <w14:schemeClr w14:val="tx1"/>
            </w14:solidFill>
          </w14:textFill>
        </w:rPr>
        <w:t xml:space="preserve">目 </w:t>
      </w:r>
      <w:r>
        <w:rPr>
          <w:rFonts w:ascii="Times New Roman" w:hAnsi="Times New Roman" w:eastAsia="宋体" w:cs="Times New Roman"/>
          <w:b/>
          <w:color w:val="000000" w:themeColor="text1"/>
          <w:sz w:val="32"/>
          <w:szCs w:val="32"/>
          <w:lang w:val="zh-CN"/>
          <w14:textFill>
            <w14:solidFill>
              <w14:schemeClr w14:val="tx1"/>
            </w14:solidFill>
          </w14:textFill>
        </w:rPr>
        <w:t xml:space="preserve"> </w:t>
      </w:r>
      <w:r>
        <w:rPr>
          <w:rFonts w:hint="eastAsia" w:ascii="Times New Roman" w:hAnsi="Times New Roman" w:eastAsia="宋体" w:cs="Times New Roman"/>
          <w:b/>
          <w:color w:val="000000" w:themeColor="text1"/>
          <w:sz w:val="32"/>
          <w:szCs w:val="32"/>
          <w:lang w:val="zh-CN"/>
          <w14:textFill>
            <w14:solidFill>
              <w14:schemeClr w14:val="tx1"/>
            </w14:solidFill>
          </w14:textFill>
        </w:rPr>
        <w:t>次</w:t>
      </w:r>
    </w:p>
    <w:p>
      <w:pPr>
        <w:snapToGrid w:val="0"/>
        <w:spacing w:line="312" w:lineRule="auto"/>
        <w:ind w:firstLine="440" w:firstLineChars="200"/>
        <w:rPr>
          <w:rFonts w:ascii="Times New Roman" w:hAnsi="Times New Roman"/>
          <w:bCs/>
          <w:color w:val="000000" w:themeColor="text1"/>
          <w14:textFill>
            <w14:solidFill>
              <w14:schemeClr w14:val="tx1"/>
            </w14:solidFill>
          </w14:textFill>
        </w:rPr>
      </w:pPr>
    </w:p>
    <w:p>
      <w:pPr>
        <w:snapToGrid w:val="0"/>
        <w:spacing w:line="440" w:lineRule="atLeast"/>
        <w:jc w:val="center"/>
        <w:rPr>
          <w:rStyle w:val="32"/>
          <w:color w:val="000000" w:themeColor="text1"/>
          <w:highlight w:val="none"/>
          <w14:textFill>
            <w14:solidFill>
              <w14:schemeClr w14:val="tx1"/>
            </w14:solidFill>
          </w14:textFill>
        </w:rPr>
      </w:pPr>
    </w:p>
    <w:sectPr>
      <w:pgSz w:w="11906" w:h="16838"/>
      <w:pgMar w:top="1440" w:right="1558" w:bottom="1440" w:left="1560" w:header="851" w:footer="439" w:gutter="0"/>
      <w:pgNumType w:fmt="decimal"/>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8"/>
                            <w:jc w:val="right"/>
                          </w:pPr>
                          <w:r>
                            <w:fldChar w:fldCharType="begin"/>
                          </w:r>
                          <w:r>
                            <w:instrText xml:space="preserve">PAGE   \* MERGEFORMAT</w:instrText>
                          </w:r>
                          <w:r>
                            <w:fldChar w:fldCharType="separate"/>
                          </w:r>
                          <w:r>
                            <w:rPr>
                              <w:lang w:val="zh-CN"/>
                            </w:rPr>
                            <w:t>1</w:t>
                          </w:r>
                          <w:r>
                            <w:rPr>
                              <w:lang w:val="zh-CN"/>
                            </w:rP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YWikyAgAAZQ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8EdxCotX6GuHuLyNC9Mx2Ch3uPy8i7q5yKv2BE4Ie8x4u8oguEx0fTyXSaw8XhGw7Azx6f&#10;W+fDe2EUiUZBHfqXZGWHjQ996BASs2mzbqRMPZSatAW9ev0m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JVhaKTICAABlBAAADgAAAAAAAAABACAAAAAfAQAAZHJzL2Uyb0RvYy54bWxQSwUG&#10;AAAAAAYABgBZAQAAwwUAAAAA&#10;">
              <v:fill on="f" focussize="0,0"/>
              <v:stroke on="f" weight="0.5pt"/>
              <v:imagedata o:title=""/>
              <o:lock v:ext="edit" aspectratio="f"/>
              <v:textbox inset="0mm,0mm,0mm,0mm" style="mso-fit-shape-to-text:t;">
                <w:txbxContent>
                  <w:p>
                    <w:pPr>
                      <w:pStyle w:val="18"/>
                      <w:jc w:val="right"/>
                    </w:pPr>
                    <w:r>
                      <w:fldChar w:fldCharType="begin"/>
                    </w:r>
                    <w:r>
                      <w:instrText xml:space="preserve">PAGE   \* MERGEFORMAT</w:instrText>
                    </w:r>
                    <w:r>
                      <w:fldChar w:fldCharType="separate"/>
                    </w:r>
                    <w:r>
                      <w:rPr>
                        <w:lang w:val="zh-CN"/>
                      </w:rPr>
                      <w:t>1</w:t>
                    </w:r>
                    <w:r>
                      <w:rPr>
                        <w:lang w:val="zh-CN"/>
                      </w:rPr>
                      <w:fldChar w:fldCharType="end"/>
                    </w:r>
                  </w:p>
                  <w:p/>
                </w:txbxContent>
              </v:textbox>
            </v:shape>
          </w:pict>
        </mc:Fallback>
      </mc:AlternateContent>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sz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jc w:val="center"/>
                          </w:pPr>
                          <w:r>
                            <w:rPr>
                              <w:sz w:val="21"/>
                            </w:rPr>
                            <w:fldChar w:fldCharType="begin"/>
                          </w:r>
                          <w:r>
                            <w:rPr>
                              <w:sz w:val="21"/>
                            </w:rPr>
                            <w:instrText xml:space="preserve">PAGE   \* MERGEFORMAT</w:instrText>
                          </w:r>
                          <w:r>
                            <w:rPr>
                              <w:sz w:val="21"/>
                            </w:rPr>
                            <w:fldChar w:fldCharType="separate"/>
                          </w:r>
                          <w:r>
                            <w:rPr>
                              <w:sz w:val="21"/>
                              <w:lang w:val="zh-CN"/>
                            </w:rPr>
                            <w:t>1</w:t>
                          </w:r>
                          <w:r>
                            <w:rPr>
                              <w:sz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8"/>
                      <w:jc w:val="center"/>
                    </w:pPr>
                    <w:r>
                      <w:rPr>
                        <w:sz w:val="21"/>
                      </w:rPr>
                      <w:fldChar w:fldCharType="begin"/>
                    </w:r>
                    <w:r>
                      <w:rPr>
                        <w:sz w:val="21"/>
                      </w:rPr>
                      <w:instrText xml:space="preserve">PAGE   \* MERGEFORMAT</w:instrText>
                    </w:r>
                    <w:r>
                      <w:rPr>
                        <w:sz w:val="21"/>
                      </w:rPr>
                      <w:fldChar w:fldCharType="separate"/>
                    </w:r>
                    <w:r>
                      <w:rPr>
                        <w:sz w:val="21"/>
                        <w:lang w:val="zh-CN"/>
                      </w:rPr>
                      <w:t>1</w:t>
                    </w:r>
                    <w:r>
                      <w:rPr>
                        <w:sz w:val="21"/>
                      </w:rPr>
                      <w:fldChar w:fldCharType="end"/>
                    </w:r>
                  </w:p>
                </w:txbxContent>
              </v:textbox>
            </v:shape>
          </w:pict>
        </mc:Fallback>
      </mc:AlternateContent>
    </w:r>
  </w:p>
  <w:p>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198919"/>
    <w:multiLevelType w:val="multilevel"/>
    <w:tmpl w:val="88198919"/>
    <w:lvl w:ilvl="0" w:tentative="0">
      <w:start w:val="7"/>
      <w:numFmt w:val="decimal"/>
      <w:suff w:val="nothing"/>
      <w:lvlText w:val="%1　"/>
      <w:lvlJc w:val="left"/>
    </w:lvl>
    <w:lvl w:ilvl="1" w:tentative="0">
      <w:start w:val="1"/>
      <w:numFmt w:val="decimal"/>
      <w:suff w:val="space"/>
      <w:lvlText w:val="%1.%2"/>
      <w:lvlJc w:val="left"/>
      <w:pPr>
        <w:ind w:left="0" w:leftChars="0" w:firstLine="0" w:firstLineChars="0"/>
      </w:pPr>
      <w:rPr>
        <w:rFonts w:hint="default"/>
        <w:b/>
        <w:bCs/>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xOWJiYWNjNDQyOThkNGE3NGMzNDE4NjFkNTZhYmYifQ=="/>
  </w:docVars>
  <w:rsids>
    <w:rsidRoot w:val="00172A27"/>
    <w:rsid w:val="000001A8"/>
    <w:rsid w:val="000007C4"/>
    <w:rsid w:val="00000885"/>
    <w:rsid w:val="00000C04"/>
    <w:rsid w:val="00000CFA"/>
    <w:rsid w:val="00001410"/>
    <w:rsid w:val="00002097"/>
    <w:rsid w:val="00003BC0"/>
    <w:rsid w:val="00006B32"/>
    <w:rsid w:val="00006E10"/>
    <w:rsid w:val="0000728B"/>
    <w:rsid w:val="00007962"/>
    <w:rsid w:val="00007DA8"/>
    <w:rsid w:val="0001277D"/>
    <w:rsid w:val="00012C78"/>
    <w:rsid w:val="000147A7"/>
    <w:rsid w:val="00015309"/>
    <w:rsid w:val="00015386"/>
    <w:rsid w:val="000155D1"/>
    <w:rsid w:val="00016ADF"/>
    <w:rsid w:val="000179C1"/>
    <w:rsid w:val="000206A4"/>
    <w:rsid w:val="00020DDA"/>
    <w:rsid w:val="00021ACF"/>
    <w:rsid w:val="000244B2"/>
    <w:rsid w:val="00025066"/>
    <w:rsid w:val="0002513C"/>
    <w:rsid w:val="00025E99"/>
    <w:rsid w:val="00025FBE"/>
    <w:rsid w:val="000269EF"/>
    <w:rsid w:val="0002715C"/>
    <w:rsid w:val="00027A2B"/>
    <w:rsid w:val="00027E56"/>
    <w:rsid w:val="00030C49"/>
    <w:rsid w:val="00030FFB"/>
    <w:rsid w:val="00031915"/>
    <w:rsid w:val="000325A0"/>
    <w:rsid w:val="00032DF1"/>
    <w:rsid w:val="0003458D"/>
    <w:rsid w:val="0003543B"/>
    <w:rsid w:val="00036A8F"/>
    <w:rsid w:val="00037CCB"/>
    <w:rsid w:val="00040D81"/>
    <w:rsid w:val="00040EE8"/>
    <w:rsid w:val="00041826"/>
    <w:rsid w:val="00042284"/>
    <w:rsid w:val="00043847"/>
    <w:rsid w:val="00044645"/>
    <w:rsid w:val="00045D1D"/>
    <w:rsid w:val="00045D88"/>
    <w:rsid w:val="00046A35"/>
    <w:rsid w:val="00050538"/>
    <w:rsid w:val="000526DD"/>
    <w:rsid w:val="00052704"/>
    <w:rsid w:val="00052F9A"/>
    <w:rsid w:val="000535CC"/>
    <w:rsid w:val="00053948"/>
    <w:rsid w:val="00053A96"/>
    <w:rsid w:val="000540EE"/>
    <w:rsid w:val="00060AEE"/>
    <w:rsid w:val="000615E5"/>
    <w:rsid w:val="00061A4A"/>
    <w:rsid w:val="00061C22"/>
    <w:rsid w:val="000620CD"/>
    <w:rsid w:val="000635F9"/>
    <w:rsid w:val="00064C93"/>
    <w:rsid w:val="000657ED"/>
    <w:rsid w:val="0006689F"/>
    <w:rsid w:val="00066AB7"/>
    <w:rsid w:val="00067CD7"/>
    <w:rsid w:val="000700B7"/>
    <w:rsid w:val="000710D7"/>
    <w:rsid w:val="000724ED"/>
    <w:rsid w:val="00072C29"/>
    <w:rsid w:val="00074B40"/>
    <w:rsid w:val="00075F06"/>
    <w:rsid w:val="00077701"/>
    <w:rsid w:val="00080E14"/>
    <w:rsid w:val="00081406"/>
    <w:rsid w:val="00081F10"/>
    <w:rsid w:val="0008311E"/>
    <w:rsid w:val="00083F80"/>
    <w:rsid w:val="00084D7C"/>
    <w:rsid w:val="00084F28"/>
    <w:rsid w:val="00085B39"/>
    <w:rsid w:val="00086635"/>
    <w:rsid w:val="00086C13"/>
    <w:rsid w:val="00087171"/>
    <w:rsid w:val="00087A51"/>
    <w:rsid w:val="00090553"/>
    <w:rsid w:val="0009252D"/>
    <w:rsid w:val="000928EE"/>
    <w:rsid w:val="000945AC"/>
    <w:rsid w:val="00096C69"/>
    <w:rsid w:val="00096CA8"/>
    <w:rsid w:val="00096D1D"/>
    <w:rsid w:val="0009710C"/>
    <w:rsid w:val="00097995"/>
    <w:rsid w:val="000A015A"/>
    <w:rsid w:val="000A0188"/>
    <w:rsid w:val="000A12A2"/>
    <w:rsid w:val="000A1950"/>
    <w:rsid w:val="000A2A98"/>
    <w:rsid w:val="000A356C"/>
    <w:rsid w:val="000A3B00"/>
    <w:rsid w:val="000A5BD7"/>
    <w:rsid w:val="000A623C"/>
    <w:rsid w:val="000A62AF"/>
    <w:rsid w:val="000B0607"/>
    <w:rsid w:val="000B0FB3"/>
    <w:rsid w:val="000B224B"/>
    <w:rsid w:val="000B25F8"/>
    <w:rsid w:val="000B386A"/>
    <w:rsid w:val="000B3EB5"/>
    <w:rsid w:val="000B7211"/>
    <w:rsid w:val="000C03A9"/>
    <w:rsid w:val="000C458E"/>
    <w:rsid w:val="000C4E1B"/>
    <w:rsid w:val="000C5069"/>
    <w:rsid w:val="000C524F"/>
    <w:rsid w:val="000C59B6"/>
    <w:rsid w:val="000C5E62"/>
    <w:rsid w:val="000D0F66"/>
    <w:rsid w:val="000D15AC"/>
    <w:rsid w:val="000D1B66"/>
    <w:rsid w:val="000D42D7"/>
    <w:rsid w:val="000D5883"/>
    <w:rsid w:val="000D5E38"/>
    <w:rsid w:val="000D6A5F"/>
    <w:rsid w:val="000D77D7"/>
    <w:rsid w:val="000D77E1"/>
    <w:rsid w:val="000E1C86"/>
    <w:rsid w:val="000E1CAB"/>
    <w:rsid w:val="000E1D07"/>
    <w:rsid w:val="000E1E38"/>
    <w:rsid w:val="000E3C9F"/>
    <w:rsid w:val="000E43AB"/>
    <w:rsid w:val="000E4788"/>
    <w:rsid w:val="000E5850"/>
    <w:rsid w:val="000E5BAB"/>
    <w:rsid w:val="000E5C0E"/>
    <w:rsid w:val="000E658D"/>
    <w:rsid w:val="000E677C"/>
    <w:rsid w:val="000E752F"/>
    <w:rsid w:val="000F27AC"/>
    <w:rsid w:val="000F2C76"/>
    <w:rsid w:val="000F5910"/>
    <w:rsid w:val="000F657C"/>
    <w:rsid w:val="000F675A"/>
    <w:rsid w:val="000F6990"/>
    <w:rsid w:val="000F6B29"/>
    <w:rsid w:val="000F7582"/>
    <w:rsid w:val="000F77C3"/>
    <w:rsid w:val="000F7AA2"/>
    <w:rsid w:val="00100945"/>
    <w:rsid w:val="00100B58"/>
    <w:rsid w:val="00101F7F"/>
    <w:rsid w:val="00104114"/>
    <w:rsid w:val="00104586"/>
    <w:rsid w:val="00104F53"/>
    <w:rsid w:val="00105676"/>
    <w:rsid w:val="0010567C"/>
    <w:rsid w:val="001060C4"/>
    <w:rsid w:val="001061A2"/>
    <w:rsid w:val="00106DDA"/>
    <w:rsid w:val="0010734F"/>
    <w:rsid w:val="00111E7D"/>
    <w:rsid w:val="00111F51"/>
    <w:rsid w:val="001129A9"/>
    <w:rsid w:val="00112C17"/>
    <w:rsid w:val="001131F8"/>
    <w:rsid w:val="001137E3"/>
    <w:rsid w:val="00113DE5"/>
    <w:rsid w:val="00113F4D"/>
    <w:rsid w:val="00114735"/>
    <w:rsid w:val="001151AE"/>
    <w:rsid w:val="0011548E"/>
    <w:rsid w:val="0011571C"/>
    <w:rsid w:val="001170BE"/>
    <w:rsid w:val="0012098C"/>
    <w:rsid w:val="00120CBF"/>
    <w:rsid w:val="0012185B"/>
    <w:rsid w:val="001227FD"/>
    <w:rsid w:val="00122B6B"/>
    <w:rsid w:val="001237FB"/>
    <w:rsid w:val="001247D6"/>
    <w:rsid w:val="00124A71"/>
    <w:rsid w:val="00124DE3"/>
    <w:rsid w:val="00125924"/>
    <w:rsid w:val="0012617E"/>
    <w:rsid w:val="0013088F"/>
    <w:rsid w:val="00131169"/>
    <w:rsid w:val="001319B8"/>
    <w:rsid w:val="00132363"/>
    <w:rsid w:val="001334A3"/>
    <w:rsid w:val="00133D07"/>
    <w:rsid w:val="00134332"/>
    <w:rsid w:val="001343BA"/>
    <w:rsid w:val="001344E7"/>
    <w:rsid w:val="001346AC"/>
    <w:rsid w:val="00135293"/>
    <w:rsid w:val="001356FE"/>
    <w:rsid w:val="00136ACA"/>
    <w:rsid w:val="00137469"/>
    <w:rsid w:val="00137C1E"/>
    <w:rsid w:val="00140489"/>
    <w:rsid w:val="00140725"/>
    <w:rsid w:val="00140D22"/>
    <w:rsid w:val="00141249"/>
    <w:rsid w:val="001414DA"/>
    <w:rsid w:val="001416E0"/>
    <w:rsid w:val="00141FB4"/>
    <w:rsid w:val="00142300"/>
    <w:rsid w:val="00142CC8"/>
    <w:rsid w:val="00143A39"/>
    <w:rsid w:val="00143C06"/>
    <w:rsid w:val="00144594"/>
    <w:rsid w:val="00144877"/>
    <w:rsid w:val="00147D19"/>
    <w:rsid w:val="001512D6"/>
    <w:rsid w:val="00151F41"/>
    <w:rsid w:val="00152B46"/>
    <w:rsid w:val="00152DFC"/>
    <w:rsid w:val="00153BE5"/>
    <w:rsid w:val="00154CE1"/>
    <w:rsid w:val="001561DC"/>
    <w:rsid w:val="0015715D"/>
    <w:rsid w:val="00160DDF"/>
    <w:rsid w:val="0016175E"/>
    <w:rsid w:val="00161DEB"/>
    <w:rsid w:val="001621C5"/>
    <w:rsid w:val="001629E2"/>
    <w:rsid w:val="00162BFB"/>
    <w:rsid w:val="0016389B"/>
    <w:rsid w:val="00164B61"/>
    <w:rsid w:val="0016524E"/>
    <w:rsid w:val="00166A73"/>
    <w:rsid w:val="00167305"/>
    <w:rsid w:val="00170729"/>
    <w:rsid w:val="00171838"/>
    <w:rsid w:val="00171C6C"/>
    <w:rsid w:val="00172846"/>
    <w:rsid w:val="001729EF"/>
    <w:rsid w:val="00172A27"/>
    <w:rsid w:val="00173CEF"/>
    <w:rsid w:val="001748EF"/>
    <w:rsid w:val="00174E93"/>
    <w:rsid w:val="00174F2E"/>
    <w:rsid w:val="001750DF"/>
    <w:rsid w:val="001753A5"/>
    <w:rsid w:val="00175804"/>
    <w:rsid w:val="0017647F"/>
    <w:rsid w:val="001816F8"/>
    <w:rsid w:val="00181FB3"/>
    <w:rsid w:val="00184289"/>
    <w:rsid w:val="001860B7"/>
    <w:rsid w:val="00186E04"/>
    <w:rsid w:val="00186EDD"/>
    <w:rsid w:val="001878B2"/>
    <w:rsid w:val="001878F1"/>
    <w:rsid w:val="00187DDC"/>
    <w:rsid w:val="0019064E"/>
    <w:rsid w:val="00192373"/>
    <w:rsid w:val="00192A0A"/>
    <w:rsid w:val="0019508B"/>
    <w:rsid w:val="00195871"/>
    <w:rsid w:val="00195961"/>
    <w:rsid w:val="001959DA"/>
    <w:rsid w:val="00196EDB"/>
    <w:rsid w:val="001A0AC8"/>
    <w:rsid w:val="001A0EF6"/>
    <w:rsid w:val="001A1B73"/>
    <w:rsid w:val="001A1E99"/>
    <w:rsid w:val="001A227F"/>
    <w:rsid w:val="001A30C3"/>
    <w:rsid w:val="001A49C1"/>
    <w:rsid w:val="001A4EA1"/>
    <w:rsid w:val="001A57B7"/>
    <w:rsid w:val="001A7374"/>
    <w:rsid w:val="001B0C27"/>
    <w:rsid w:val="001B1B2B"/>
    <w:rsid w:val="001B21D1"/>
    <w:rsid w:val="001B2495"/>
    <w:rsid w:val="001B3BDB"/>
    <w:rsid w:val="001B49E3"/>
    <w:rsid w:val="001B7C21"/>
    <w:rsid w:val="001B7D33"/>
    <w:rsid w:val="001B7E27"/>
    <w:rsid w:val="001B7EB9"/>
    <w:rsid w:val="001C038B"/>
    <w:rsid w:val="001C15E2"/>
    <w:rsid w:val="001C1649"/>
    <w:rsid w:val="001C1969"/>
    <w:rsid w:val="001C229C"/>
    <w:rsid w:val="001C26E9"/>
    <w:rsid w:val="001C2F71"/>
    <w:rsid w:val="001C3BE5"/>
    <w:rsid w:val="001C6C9F"/>
    <w:rsid w:val="001C7D65"/>
    <w:rsid w:val="001D208B"/>
    <w:rsid w:val="001D2C27"/>
    <w:rsid w:val="001D43C6"/>
    <w:rsid w:val="001D4554"/>
    <w:rsid w:val="001D4974"/>
    <w:rsid w:val="001D5475"/>
    <w:rsid w:val="001D57D7"/>
    <w:rsid w:val="001D6975"/>
    <w:rsid w:val="001D6997"/>
    <w:rsid w:val="001D7550"/>
    <w:rsid w:val="001D79C7"/>
    <w:rsid w:val="001E0393"/>
    <w:rsid w:val="001E0908"/>
    <w:rsid w:val="001E1DBB"/>
    <w:rsid w:val="001E4547"/>
    <w:rsid w:val="001E6DE3"/>
    <w:rsid w:val="001E7059"/>
    <w:rsid w:val="001E7468"/>
    <w:rsid w:val="001F2B12"/>
    <w:rsid w:val="001F2FAB"/>
    <w:rsid w:val="001F433B"/>
    <w:rsid w:val="001F4734"/>
    <w:rsid w:val="001F59EC"/>
    <w:rsid w:val="001F75EE"/>
    <w:rsid w:val="00202173"/>
    <w:rsid w:val="00202EFE"/>
    <w:rsid w:val="0020323B"/>
    <w:rsid w:val="0020388A"/>
    <w:rsid w:val="00203B70"/>
    <w:rsid w:val="00203BDF"/>
    <w:rsid w:val="00203FBC"/>
    <w:rsid w:val="002046DA"/>
    <w:rsid w:val="00204C71"/>
    <w:rsid w:val="00206203"/>
    <w:rsid w:val="002072E0"/>
    <w:rsid w:val="00207F3D"/>
    <w:rsid w:val="00210727"/>
    <w:rsid w:val="00211786"/>
    <w:rsid w:val="002126DB"/>
    <w:rsid w:val="00212EEE"/>
    <w:rsid w:val="002131FB"/>
    <w:rsid w:val="00213E1C"/>
    <w:rsid w:val="00215B0C"/>
    <w:rsid w:val="002160D3"/>
    <w:rsid w:val="00217350"/>
    <w:rsid w:val="00217CF0"/>
    <w:rsid w:val="002200B0"/>
    <w:rsid w:val="002209A9"/>
    <w:rsid w:val="00221D2F"/>
    <w:rsid w:val="002220F1"/>
    <w:rsid w:val="002251B9"/>
    <w:rsid w:val="002255F2"/>
    <w:rsid w:val="002257EE"/>
    <w:rsid w:val="00225F5A"/>
    <w:rsid w:val="002263A0"/>
    <w:rsid w:val="0022799B"/>
    <w:rsid w:val="00230A9C"/>
    <w:rsid w:val="00230DD7"/>
    <w:rsid w:val="00231319"/>
    <w:rsid w:val="00231D6B"/>
    <w:rsid w:val="00231FB1"/>
    <w:rsid w:val="00232B5B"/>
    <w:rsid w:val="00232C90"/>
    <w:rsid w:val="00232D78"/>
    <w:rsid w:val="0023313B"/>
    <w:rsid w:val="002338EB"/>
    <w:rsid w:val="00235AFD"/>
    <w:rsid w:val="00236768"/>
    <w:rsid w:val="002367FF"/>
    <w:rsid w:val="00240CF2"/>
    <w:rsid w:val="00240DA7"/>
    <w:rsid w:val="00241C4C"/>
    <w:rsid w:val="00241ECD"/>
    <w:rsid w:val="00242073"/>
    <w:rsid w:val="0024216E"/>
    <w:rsid w:val="0024386F"/>
    <w:rsid w:val="00243E08"/>
    <w:rsid w:val="00246F68"/>
    <w:rsid w:val="00246F72"/>
    <w:rsid w:val="00247723"/>
    <w:rsid w:val="00247952"/>
    <w:rsid w:val="002504A7"/>
    <w:rsid w:val="00250771"/>
    <w:rsid w:val="0025151E"/>
    <w:rsid w:val="00252771"/>
    <w:rsid w:val="002531CD"/>
    <w:rsid w:val="002535D2"/>
    <w:rsid w:val="0025372F"/>
    <w:rsid w:val="0025469E"/>
    <w:rsid w:val="00255481"/>
    <w:rsid w:val="00255806"/>
    <w:rsid w:val="00256CEA"/>
    <w:rsid w:val="002571E9"/>
    <w:rsid w:val="00257532"/>
    <w:rsid w:val="00260D03"/>
    <w:rsid w:val="00260F38"/>
    <w:rsid w:val="002610A7"/>
    <w:rsid w:val="0026183A"/>
    <w:rsid w:val="00263A51"/>
    <w:rsid w:val="00264275"/>
    <w:rsid w:val="00264E84"/>
    <w:rsid w:val="0026657F"/>
    <w:rsid w:val="0026700B"/>
    <w:rsid w:val="002673FE"/>
    <w:rsid w:val="00267C56"/>
    <w:rsid w:val="00270487"/>
    <w:rsid w:val="00271390"/>
    <w:rsid w:val="002727EA"/>
    <w:rsid w:val="002743BB"/>
    <w:rsid w:val="002746E5"/>
    <w:rsid w:val="00275622"/>
    <w:rsid w:val="002762A8"/>
    <w:rsid w:val="0027751A"/>
    <w:rsid w:val="00281B3E"/>
    <w:rsid w:val="00282134"/>
    <w:rsid w:val="002829E3"/>
    <w:rsid w:val="00283223"/>
    <w:rsid w:val="002840E4"/>
    <w:rsid w:val="00285029"/>
    <w:rsid w:val="00285B3B"/>
    <w:rsid w:val="00285C16"/>
    <w:rsid w:val="00285E0E"/>
    <w:rsid w:val="00285F24"/>
    <w:rsid w:val="00286FE7"/>
    <w:rsid w:val="002879F0"/>
    <w:rsid w:val="002905B7"/>
    <w:rsid w:val="0029213E"/>
    <w:rsid w:val="00292984"/>
    <w:rsid w:val="00292A5D"/>
    <w:rsid w:val="00292ABE"/>
    <w:rsid w:val="00292C04"/>
    <w:rsid w:val="00293D7A"/>
    <w:rsid w:val="00296EEC"/>
    <w:rsid w:val="00297525"/>
    <w:rsid w:val="002978E8"/>
    <w:rsid w:val="002A029D"/>
    <w:rsid w:val="002A1840"/>
    <w:rsid w:val="002A313C"/>
    <w:rsid w:val="002A3753"/>
    <w:rsid w:val="002A5474"/>
    <w:rsid w:val="002A6AFE"/>
    <w:rsid w:val="002A7FB7"/>
    <w:rsid w:val="002B01F7"/>
    <w:rsid w:val="002B05CC"/>
    <w:rsid w:val="002B093B"/>
    <w:rsid w:val="002B2166"/>
    <w:rsid w:val="002B24B4"/>
    <w:rsid w:val="002B2A8D"/>
    <w:rsid w:val="002B4F65"/>
    <w:rsid w:val="002B5600"/>
    <w:rsid w:val="002B59A2"/>
    <w:rsid w:val="002B66E4"/>
    <w:rsid w:val="002B67D6"/>
    <w:rsid w:val="002B6DC3"/>
    <w:rsid w:val="002B70AE"/>
    <w:rsid w:val="002B7ABC"/>
    <w:rsid w:val="002B7BB8"/>
    <w:rsid w:val="002C1EA7"/>
    <w:rsid w:val="002C21DF"/>
    <w:rsid w:val="002C3C04"/>
    <w:rsid w:val="002C5915"/>
    <w:rsid w:val="002C61AE"/>
    <w:rsid w:val="002C6295"/>
    <w:rsid w:val="002C6462"/>
    <w:rsid w:val="002C7B11"/>
    <w:rsid w:val="002D1083"/>
    <w:rsid w:val="002D1F73"/>
    <w:rsid w:val="002D2933"/>
    <w:rsid w:val="002D35C1"/>
    <w:rsid w:val="002D3A81"/>
    <w:rsid w:val="002D3D7C"/>
    <w:rsid w:val="002D51C4"/>
    <w:rsid w:val="002D52D0"/>
    <w:rsid w:val="002D59BE"/>
    <w:rsid w:val="002D5B69"/>
    <w:rsid w:val="002D63E2"/>
    <w:rsid w:val="002E0E64"/>
    <w:rsid w:val="002E1630"/>
    <w:rsid w:val="002E1E06"/>
    <w:rsid w:val="002E1F10"/>
    <w:rsid w:val="002E2091"/>
    <w:rsid w:val="002E2127"/>
    <w:rsid w:val="002E22F0"/>
    <w:rsid w:val="002E257B"/>
    <w:rsid w:val="002E3070"/>
    <w:rsid w:val="002E475C"/>
    <w:rsid w:val="002E48F1"/>
    <w:rsid w:val="002E7220"/>
    <w:rsid w:val="002E726F"/>
    <w:rsid w:val="002E787C"/>
    <w:rsid w:val="002E79C4"/>
    <w:rsid w:val="002E7DE8"/>
    <w:rsid w:val="002E7EB3"/>
    <w:rsid w:val="002F0CE3"/>
    <w:rsid w:val="002F2437"/>
    <w:rsid w:val="002F2502"/>
    <w:rsid w:val="002F2A43"/>
    <w:rsid w:val="002F2D6D"/>
    <w:rsid w:val="002F359F"/>
    <w:rsid w:val="002F4770"/>
    <w:rsid w:val="002F48EB"/>
    <w:rsid w:val="002F57CE"/>
    <w:rsid w:val="002F5C02"/>
    <w:rsid w:val="002F75E6"/>
    <w:rsid w:val="002F79E1"/>
    <w:rsid w:val="003008AA"/>
    <w:rsid w:val="003023DD"/>
    <w:rsid w:val="00302B72"/>
    <w:rsid w:val="00303051"/>
    <w:rsid w:val="00303614"/>
    <w:rsid w:val="003069E9"/>
    <w:rsid w:val="00307002"/>
    <w:rsid w:val="003070AD"/>
    <w:rsid w:val="00307266"/>
    <w:rsid w:val="00307537"/>
    <w:rsid w:val="00311B39"/>
    <w:rsid w:val="00312133"/>
    <w:rsid w:val="00312979"/>
    <w:rsid w:val="003132E2"/>
    <w:rsid w:val="003133C1"/>
    <w:rsid w:val="003137AC"/>
    <w:rsid w:val="00314983"/>
    <w:rsid w:val="00315633"/>
    <w:rsid w:val="00315C70"/>
    <w:rsid w:val="00316114"/>
    <w:rsid w:val="00317069"/>
    <w:rsid w:val="00317B52"/>
    <w:rsid w:val="00320050"/>
    <w:rsid w:val="0032066B"/>
    <w:rsid w:val="0032155A"/>
    <w:rsid w:val="003225A2"/>
    <w:rsid w:val="00323A70"/>
    <w:rsid w:val="003252AC"/>
    <w:rsid w:val="00330AEF"/>
    <w:rsid w:val="00331993"/>
    <w:rsid w:val="0033249E"/>
    <w:rsid w:val="00332952"/>
    <w:rsid w:val="00332DE2"/>
    <w:rsid w:val="00333869"/>
    <w:rsid w:val="003342BA"/>
    <w:rsid w:val="003345AE"/>
    <w:rsid w:val="003349B4"/>
    <w:rsid w:val="00334B6B"/>
    <w:rsid w:val="00334D08"/>
    <w:rsid w:val="00335A02"/>
    <w:rsid w:val="00335B91"/>
    <w:rsid w:val="003360D8"/>
    <w:rsid w:val="003371E7"/>
    <w:rsid w:val="003378F4"/>
    <w:rsid w:val="0034202A"/>
    <w:rsid w:val="003423C5"/>
    <w:rsid w:val="0034284C"/>
    <w:rsid w:val="00343EC8"/>
    <w:rsid w:val="003440F0"/>
    <w:rsid w:val="003444CB"/>
    <w:rsid w:val="003445E2"/>
    <w:rsid w:val="00344B6F"/>
    <w:rsid w:val="00344F55"/>
    <w:rsid w:val="003452B6"/>
    <w:rsid w:val="003504A7"/>
    <w:rsid w:val="0035132D"/>
    <w:rsid w:val="003514E9"/>
    <w:rsid w:val="0035209C"/>
    <w:rsid w:val="0035268E"/>
    <w:rsid w:val="003549FD"/>
    <w:rsid w:val="00355986"/>
    <w:rsid w:val="00355B55"/>
    <w:rsid w:val="00355DBF"/>
    <w:rsid w:val="00355EDA"/>
    <w:rsid w:val="00355F02"/>
    <w:rsid w:val="00355FAB"/>
    <w:rsid w:val="003571EC"/>
    <w:rsid w:val="00357744"/>
    <w:rsid w:val="00357814"/>
    <w:rsid w:val="00357E82"/>
    <w:rsid w:val="003600A7"/>
    <w:rsid w:val="003614E5"/>
    <w:rsid w:val="003616A2"/>
    <w:rsid w:val="003616A5"/>
    <w:rsid w:val="00361865"/>
    <w:rsid w:val="0036198A"/>
    <w:rsid w:val="00362969"/>
    <w:rsid w:val="00363341"/>
    <w:rsid w:val="0036367E"/>
    <w:rsid w:val="00364164"/>
    <w:rsid w:val="0036477D"/>
    <w:rsid w:val="0036591E"/>
    <w:rsid w:val="003661F6"/>
    <w:rsid w:val="0036645F"/>
    <w:rsid w:val="00366769"/>
    <w:rsid w:val="00366E61"/>
    <w:rsid w:val="003674A9"/>
    <w:rsid w:val="00370D9E"/>
    <w:rsid w:val="00371051"/>
    <w:rsid w:val="0037511F"/>
    <w:rsid w:val="0037790C"/>
    <w:rsid w:val="003803A6"/>
    <w:rsid w:val="003811F5"/>
    <w:rsid w:val="003819B9"/>
    <w:rsid w:val="00381C0C"/>
    <w:rsid w:val="003829C5"/>
    <w:rsid w:val="00382EE3"/>
    <w:rsid w:val="003830C6"/>
    <w:rsid w:val="003841BE"/>
    <w:rsid w:val="003844EE"/>
    <w:rsid w:val="0038481E"/>
    <w:rsid w:val="00384AE4"/>
    <w:rsid w:val="00384CC9"/>
    <w:rsid w:val="00384ECE"/>
    <w:rsid w:val="00385760"/>
    <w:rsid w:val="00385CA2"/>
    <w:rsid w:val="00385E7A"/>
    <w:rsid w:val="00390AE2"/>
    <w:rsid w:val="0039107B"/>
    <w:rsid w:val="00391D28"/>
    <w:rsid w:val="00391DB6"/>
    <w:rsid w:val="00392074"/>
    <w:rsid w:val="003923BD"/>
    <w:rsid w:val="003934DD"/>
    <w:rsid w:val="00393B65"/>
    <w:rsid w:val="00395B3E"/>
    <w:rsid w:val="00396674"/>
    <w:rsid w:val="00397E29"/>
    <w:rsid w:val="003A086C"/>
    <w:rsid w:val="003A41E2"/>
    <w:rsid w:val="003A470D"/>
    <w:rsid w:val="003A598E"/>
    <w:rsid w:val="003A5C8A"/>
    <w:rsid w:val="003B0C4D"/>
    <w:rsid w:val="003B0CCF"/>
    <w:rsid w:val="003B198D"/>
    <w:rsid w:val="003B2516"/>
    <w:rsid w:val="003B2C8A"/>
    <w:rsid w:val="003B35E0"/>
    <w:rsid w:val="003B4096"/>
    <w:rsid w:val="003B48E0"/>
    <w:rsid w:val="003B4AB1"/>
    <w:rsid w:val="003B691E"/>
    <w:rsid w:val="003B7045"/>
    <w:rsid w:val="003B713B"/>
    <w:rsid w:val="003C0377"/>
    <w:rsid w:val="003C08D0"/>
    <w:rsid w:val="003C0D63"/>
    <w:rsid w:val="003C1781"/>
    <w:rsid w:val="003C1D7A"/>
    <w:rsid w:val="003C217A"/>
    <w:rsid w:val="003C2698"/>
    <w:rsid w:val="003C2960"/>
    <w:rsid w:val="003C2F59"/>
    <w:rsid w:val="003C3D12"/>
    <w:rsid w:val="003C4E58"/>
    <w:rsid w:val="003C505E"/>
    <w:rsid w:val="003C6007"/>
    <w:rsid w:val="003C61C5"/>
    <w:rsid w:val="003C7475"/>
    <w:rsid w:val="003C75F5"/>
    <w:rsid w:val="003C7E5F"/>
    <w:rsid w:val="003D01F0"/>
    <w:rsid w:val="003D0A76"/>
    <w:rsid w:val="003D1ACC"/>
    <w:rsid w:val="003D1C8B"/>
    <w:rsid w:val="003D25E8"/>
    <w:rsid w:val="003D280C"/>
    <w:rsid w:val="003D2B49"/>
    <w:rsid w:val="003D2EF3"/>
    <w:rsid w:val="003D531F"/>
    <w:rsid w:val="003D546B"/>
    <w:rsid w:val="003D5AAE"/>
    <w:rsid w:val="003D6521"/>
    <w:rsid w:val="003D6536"/>
    <w:rsid w:val="003D6708"/>
    <w:rsid w:val="003D6A42"/>
    <w:rsid w:val="003E0A8C"/>
    <w:rsid w:val="003E188B"/>
    <w:rsid w:val="003E2C4C"/>
    <w:rsid w:val="003E328D"/>
    <w:rsid w:val="003E375E"/>
    <w:rsid w:val="003E3D6C"/>
    <w:rsid w:val="003E49D2"/>
    <w:rsid w:val="003E4E60"/>
    <w:rsid w:val="003E5BE2"/>
    <w:rsid w:val="003E5F83"/>
    <w:rsid w:val="003E6286"/>
    <w:rsid w:val="003E644F"/>
    <w:rsid w:val="003F0DB1"/>
    <w:rsid w:val="003F100C"/>
    <w:rsid w:val="003F11C4"/>
    <w:rsid w:val="003F2D80"/>
    <w:rsid w:val="003F3664"/>
    <w:rsid w:val="003F3E27"/>
    <w:rsid w:val="003F429D"/>
    <w:rsid w:val="003F43AC"/>
    <w:rsid w:val="003F5913"/>
    <w:rsid w:val="003F6BD2"/>
    <w:rsid w:val="00400112"/>
    <w:rsid w:val="00400460"/>
    <w:rsid w:val="0040140E"/>
    <w:rsid w:val="0040177F"/>
    <w:rsid w:val="00403256"/>
    <w:rsid w:val="00403773"/>
    <w:rsid w:val="00403957"/>
    <w:rsid w:val="004047AD"/>
    <w:rsid w:val="00404A8C"/>
    <w:rsid w:val="00404DC9"/>
    <w:rsid w:val="00404F02"/>
    <w:rsid w:val="00405BF4"/>
    <w:rsid w:val="004071E4"/>
    <w:rsid w:val="0040755B"/>
    <w:rsid w:val="004117CC"/>
    <w:rsid w:val="0041193C"/>
    <w:rsid w:val="00412998"/>
    <w:rsid w:val="00413CBF"/>
    <w:rsid w:val="00414EDB"/>
    <w:rsid w:val="00415559"/>
    <w:rsid w:val="004158F7"/>
    <w:rsid w:val="00415C3A"/>
    <w:rsid w:val="00415C53"/>
    <w:rsid w:val="00415D56"/>
    <w:rsid w:val="0041665F"/>
    <w:rsid w:val="00417F86"/>
    <w:rsid w:val="00420679"/>
    <w:rsid w:val="00421EA3"/>
    <w:rsid w:val="0042213D"/>
    <w:rsid w:val="00422362"/>
    <w:rsid w:val="004234FC"/>
    <w:rsid w:val="00423E16"/>
    <w:rsid w:val="004248DF"/>
    <w:rsid w:val="00425809"/>
    <w:rsid w:val="00425BE4"/>
    <w:rsid w:val="00427A54"/>
    <w:rsid w:val="0043319F"/>
    <w:rsid w:val="00433428"/>
    <w:rsid w:val="00433B69"/>
    <w:rsid w:val="00433C71"/>
    <w:rsid w:val="00434077"/>
    <w:rsid w:val="004340EF"/>
    <w:rsid w:val="00434123"/>
    <w:rsid w:val="004360C8"/>
    <w:rsid w:val="00436698"/>
    <w:rsid w:val="004370FF"/>
    <w:rsid w:val="00437185"/>
    <w:rsid w:val="0044049C"/>
    <w:rsid w:val="00441114"/>
    <w:rsid w:val="004412D1"/>
    <w:rsid w:val="0044171B"/>
    <w:rsid w:val="00442AB2"/>
    <w:rsid w:val="004431F8"/>
    <w:rsid w:val="004466E6"/>
    <w:rsid w:val="004466F2"/>
    <w:rsid w:val="0044700C"/>
    <w:rsid w:val="00447640"/>
    <w:rsid w:val="00447657"/>
    <w:rsid w:val="00451138"/>
    <w:rsid w:val="00451605"/>
    <w:rsid w:val="00451D69"/>
    <w:rsid w:val="00452ABE"/>
    <w:rsid w:val="00452E5F"/>
    <w:rsid w:val="0045448A"/>
    <w:rsid w:val="00454A31"/>
    <w:rsid w:val="00454E92"/>
    <w:rsid w:val="004562BD"/>
    <w:rsid w:val="00456BC1"/>
    <w:rsid w:val="00457687"/>
    <w:rsid w:val="00457975"/>
    <w:rsid w:val="004606AC"/>
    <w:rsid w:val="004616AF"/>
    <w:rsid w:val="00461977"/>
    <w:rsid w:val="00461FC0"/>
    <w:rsid w:val="00464A4C"/>
    <w:rsid w:val="00464F87"/>
    <w:rsid w:val="00466B0D"/>
    <w:rsid w:val="00467B8B"/>
    <w:rsid w:val="00470699"/>
    <w:rsid w:val="00471115"/>
    <w:rsid w:val="00471989"/>
    <w:rsid w:val="00472CEA"/>
    <w:rsid w:val="00474294"/>
    <w:rsid w:val="00474397"/>
    <w:rsid w:val="00474D36"/>
    <w:rsid w:val="004756D5"/>
    <w:rsid w:val="00475CE8"/>
    <w:rsid w:val="00476BB1"/>
    <w:rsid w:val="00477DF0"/>
    <w:rsid w:val="00480E35"/>
    <w:rsid w:val="00482957"/>
    <w:rsid w:val="00482E7D"/>
    <w:rsid w:val="00483432"/>
    <w:rsid w:val="0048362B"/>
    <w:rsid w:val="00484147"/>
    <w:rsid w:val="00484AE0"/>
    <w:rsid w:val="00485B20"/>
    <w:rsid w:val="00486668"/>
    <w:rsid w:val="00486714"/>
    <w:rsid w:val="0048714A"/>
    <w:rsid w:val="00487C36"/>
    <w:rsid w:val="00490748"/>
    <w:rsid w:val="00490C5C"/>
    <w:rsid w:val="00490FF2"/>
    <w:rsid w:val="00492590"/>
    <w:rsid w:val="00492ED8"/>
    <w:rsid w:val="00493289"/>
    <w:rsid w:val="004933C0"/>
    <w:rsid w:val="0049365E"/>
    <w:rsid w:val="0049438E"/>
    <w:rsid w:val="004957D6"/>
    <w:rsid w:val="00495B98"/>
    <w:rsid w:val="00497193"/>
    <w:rsid w:val="00497729"/>
    <w:rsid w:val="00497E5D"/>
    <w:rsid w:val="004A0B76"/>
    <w:rsid w:val="004A18C9"/>
    <w:rsid w:val="004A1DEC"/>
    <w:rsid w:val="004A28B6"/>
    <w:rsid w:val="004A3C28"/>
    <w:rsid w:val="004A3E16"/>
    <w:rsid w:val="004A4110"/>
    <w:rsid w:val="004A42B8"/>
    <w:rsid w:val="004A4C2C"/>
    <w:rsid w:val="004A4CF3"/>
    <w:rsid w:val="004A4E7D"/>
    <w:rsid w:val="004A5541"/>
    <w:rsid w:val="004A690E"/>
    <w:rsid w:val="004A6AFE"/>
    <w:rsid w:val="004A7881"/>
    <w:rsid w:val="004B0AA1"/>
    <w:rsid w:val="004B2CDF"/>
    <w:rsid w:val="004B2DB4"/>
    <w:rsid w:val="004B2F39"/>
    <w:rsid w:val="004B41EF"/>
    <w:rsid w:val="004B45D2"/>
    <w:rsid w:val="004B46A0"/>
    <w:rsid w:val="004B512D"/>
    <w:rsid w:val="004B6EB8"/>
    <w:rsid w:val="004B7CE2"/>
    <w:rsid w:val="004B7DE1"/>
    <w:rsid w:val="004C14ED"/>
    <w:rsid w:val="004C16CA"/>
    <w:rsid w:val="004C3E1D"/>
    <w:rsid w:val="004C490E"/>
    <w:rsid w:val="004C65CB"/>
    <w:rsid w:val="004C6C30"/>
    <w:rsid w:val="004C7019"/>
    <w:rsid w:val="004D0483"/>
    <w:rsid w:val="004D06DF"/>
    <w:rsid w:val="004D136C"/>
    <w:rsid w:val="004D14C5"/>
    <w:rsid w:val="004D1DDD"/>
    <w:rsid w:val="004D31F7"/>
    <w:rsid w:val="004D3872"/>
    <w:rsid w:val="004D3B6C"/>
    <w:rsid w:val="004D4C1F"/>
    <w:rsid w:val="004D56D8"/>
    <w:rsid w:val="004D5FEC"/>
    <w:rsid w:val="004D614A"/>
    <w:rsid w:val="004D639C"/>
    <w:rsid w:val="004D678F"/>
    <w:rsid w:val="004D7663"/>
    <w:rsid w:val="004D7719"/>
    <w:rsid w:val="004E051C"/>
    <w:rsid w:val="004E0D9D"/>
    <w:rsid w:val="004E1178"/>
    <w:rsid w:val="004E18A1"/>
    <w:rsid w:val="004E204E"/>
    <w:rsid w:val="004E2BA8"/>
    <w:rsid w:val="004E3A2B"/>
    <w:rsid w:val="004E6D83"/>
    <w:rsid w:val="004E6FAB"/>
    <w:rsid w:val="004E7F62"/>
    <w:rsid w:val="004E7F91"/>
    <w:rsid w:val="004F12E2"/>
    <w:rsid w:val="004F1D5B"/>
    <w:rsid w:val="004F22A4"/>
    <w:rsid w:val="004F2A39"/>
    <w:rsid w:val="004F2C61"/>
    <w:rsid w:val="004F2DB4"/>
    <w:rsid w:val="004F302C"/>
    <w:rsid w:val="004F3E81"/>
    <w:rsid w:val="004F4EBC"/>
    <w:rsid w:val="004F5082"/>
    <w:rsid w:val="004F5608"/>
    <w:rsid w:val="004F586A"/>
    <w:rsid w:val="004F714D"/>
    <w:rsid w:val="004F7713"/>
    <w:rsid w:val="00500029"/>
    <w:rsid w:val="0050018A"/>
    <w:rsid w:val="005005BC"/>
    <w:rsid w:val="005012EB"/>
    <w:rsid w:val="0050164D"/>
    <w:rsid w:val="00501A15"/>
    <w:rsid w:val="00501EB0"/>
    <w:rsid w:val="005026EE"/>
    <w:rsid w:val="00502D73"/>
    <w:rsid w:val="0050337C"/>
    <w:rsid w:val="0050427A"/>
    <w:rsid w:val="005074B8"/>
    <w:rsid w:val="00507925"/>
    <w:rsid w:val="00510F6E"/>
    <w:rsid w:val="005127B4"/>
    <w:rsid w:val="00512C83"/>
    <w:rsid w:val="005147A6"/>
    <w:rsid w:val="00514F33"/>
    <w:rsid w:val="00515E7B"/>
    <w:rsid w:val="00516B53"/>
    <w:rsid w:val="00520102"/>
    <w:rsid w:val="00520437"/>
    <w:rsid w:val="00520544"/>
    <w:rsid w:val="005215DB"/>
    <w:rsid w:val="00524806"/>
    <w:rsid w:val="00524A3C"/>
    <w:rsid w:val="00525132"/>
    <w:rsid w:val="00526322"/>
    <w:rsid w:val="00526885"/>
    <w:rsid w:val="005272C8"/>
    <w:rsid w:val="0053056E"/>
    <w:rsid w:val="00532CDC"/>
    <w:rsid w:val="00534B6B"/>
    <w:rsid w:val="00534DF7"/>
    <w:rsid w:val="00534F13"/>
    <w:rsid w:val="00535708"/>
    <w:rsid w:val="00535A5B"/>
    <w:rsid w:val="00535B40"/>
    <w:rsid w:val="00536112"/>
    <w:rsid w:val="005363C2"/>
    <w:rsid w:val="00537325"/>
    <w:rsid w:val="005408E0"/>
    <w:rsid w:val="00540FE6"/>
    <w:rsid w:val="005418BA"/>
    <w:rsid w:val="00541EE9"/>
    <w:rsid w:val="0054224F"/>
    <w:rsid w:val="0054278F"/>
    <w:rsid w:val="005437D3"/>
    <w:rsid w:val="00543D40"/>
    <w:rsid w:val="005440FD"/>
    <w:rsid w:val="00544316"/>
    <w:rsid w:val="00545CE2"/>
    <w:rsid w:val="00545F0C"/>
    <w:rsid w:val="00546455"/>
    <w:rsid w:val="00546E90"/>
    <w:rsid w:val="0054710A"/>
    <w:rsid w:val="00547717"/>
    <w:rsid w:val="005479F7"/>
    <w:rsid w:val="005509AA"/>
    <w:rsid w:val="00550B4D"/>
    <w:rsid w:val="00550D95"/>
    <w:rsid w:val="00552F9F"/>
    <w:rsid w:val="00553CCC"/>
    <w:rsid w:val="005555E4"/>
    <w:rsid w:val="005556C7"/>
    <w:rsid w:val="00555E64"/>
    <w:rsid w:val="00556BC3"/>
    <w:rsid w:val="005606C2"/>
    <w:rsid w:val="00563359"/>
    <w:rsid w:val="005637EC"/>
    <w:rsid w:val="00564D42"/>
    <w:rsid w:val="00564FD1"/>
    <w:rsid w:val="005656CA"/>
    <w:rsid w:val="00565945"/>
    <w:rsid w:val="005663BB"/>
    <w:rsid w:val="005667D0"/>
    <w:rsid w:val="00566C82"/>
    <w:rsid w:val="0056704D"/>
    <w:rsid w:val="00570375"/>
    <w:rsid w:val="005706BE"/>
    <w:rsid w:val="0057099B"/>
    <w:rsid w:val="005711BA"/>
    <w:rsid w:val="00571D72"/>
    <w:rsid w:val="005724D5"/>
    <w:rsid w:val="0057293A"/>
    <w:rsid w:val="005729A1"/>
    <w:rsid w:val="00572E29"/>
    <w:rsid w:val="0057328E"/>
    <w:rsid w:val="0057453D"/>
    <w:rsid w:val="00575AB7"/>
    <w:rsid w:val="00576CE9"/>
    <w:rsid w:val="0057761F"/>
    <w:rsid w:val="0058046C"/>
    <w:rsid w:val="00580BC1"/>
    <w:rsid w:val="005816C7"/>
    <w:rsid w:val="00582449"/>
    <w:rsid w:val="00582818"/>
    <w:rsid w:val="005829D8"/>
    <w:rsid w:val="00583597"/>
    <w:rsid w:val="00584E8C"/>
    <w:rsid w:val="005851DA"/>
    <w:rsid w:val="00585538"/>
    <w:rsid w:val="005859C6"/>
    <w:rsid w:val="00585B41"/>
    <w:rsid w:val="005863DC"/>
    <w:rsid w:val="0058711E"/>
    <w:rsid w:val="0058729B"/>
    <w:rsid w:val="00587974"/>
    <w:rsid w:val="005908B8"/>
    <w:rsid w:val="00590D84"/>
    <w:rsid w:val="0059228F"/>
    <w:rsid w:val="00592562"/>
    <w:rsid w:val="005927E7"/>
    <w:rsid w:val="005941AF"/>
    <w:rsid w:val="00595683"/>
    <w:rsid w:val="005A061C"/>
    <w:rsid w:val="005A1B60"/>
    <w:rsid w:val="005A5E27"/>
    <w:rsid w:val="005A7455"/>
    <w:rsid w:val="005B0707"/>
    <w:rsid w:val="005B0C84"/>
    <w:rsid w:val="005B17AC"/>
    <w:rsid w:val="005B18D3"/>
    <w:rsid w:val="005B212C"/>
    <w:rsid w:val="005B24D5"/>
    <w:rsid w:val="005B3B64"/>
    <w:rsid w:val="005B4AFB"/>
    <w:rsid w:val="005B4B27"/>
    <w:rsid w:val="005C2A17"/>
    <w:rsid w:val="005C2DD7"/>
    <w:rsid w:val="005C3059"/>
    <w:rsid w:val="005C3CBD"/>
    <w:rsid w:val="005C6952"/>
    <w:rsid w:val="005C6A81"/>
    <w:rsid w:val="005C6FA7"/>
    <w:rsid w:val="005C7241"/>
    <w:rsid w:val="005C7455"/>
    <w:rsid w:val="005D1624"/>
    <w:rsid w:val="005D1DC4"/>
    <w:rsid w:val="005D209B"/>
    <w:rsid w:val="005D2177"/>
    <w:rsid w:val="005D2C77"/>
    <w:rsid w:val="005D3B2C"/>
    <w:rsid w:val="005D4E98"/>
    <w:rsid w:val="005D52A7"/>
    <w:rsid w:val="005D64D5"/>
    <w:rsid w:val="005D6B9E"/>
    <w:rsid w:val="005D71EA"/>
    <w:rsid w:val="005E1A3B"/>
    <w:rsid w:val="005E1B4B"/>
    <w:rsid w:val="005E1BE5"/>
    <w:rsid w:val="005E1E3D"/>
    <w:rsid w:val="005E340A"/>
    <w:rsid w:val="005E3DDC"/>
    <w:rsid w:val="005E4056"/>
    <w:rsid w:val="005E4AD3"/>
    <w:rsid w:val="005E554A"/>
    <w:rsid w:val="005E5FF1"/>
    <w:rsid w:val="005E6715"/>
    <w:rsid w:val="005E716D"/>
    <w:rsid w:val="005E7BC1"/>
    <w:rsid w:val="005E7E9F"/>
    <w:rsid w:val="005F070D"/>
    <w:rsid w:val="005F09FD"/>
    <w:rsid w:val="005F1042"/>
    <w:rsid w:val="005F2A5B"/>
    <w:rsid w:val="005F37AB"/>
    <w:rsid w:val="005F3FB0"/>
    <w:rsid w:val="005F41A0"/>
    <w:rsid w:val="005F4A68"/>
    <w:rsid w:val="005F6961"/>
    <w:rsid w:val="005F7F84"/>
    <w:rsid w:val="00600784"/>
    <w:rsid w:val="0060095D"/>
    <w:rsid w:val="00600B0C"/>
    <w:rsid w:val="00601E79"/>
    <w:rsid w:val="00602866"/>
    <w:rsid w:val="006037D9"/>
    <w:rsid w:val="006045B3"/>
    <w:rsid w:val="00604A68"/>
    <w:rsid w:val="00605626"/>
    <w:rsid w:val="00605693"/>
    <w:rsid w:val="00605FEA"/>
    <w:rsid w:val="006072D1"/>
    <w:rsid w:val="00607338"/>
    <w:rsid w:val="0060735B"/>
    <w:rsid w:val="00607E19"/>
    <w:rsid w:val="0061145C"/>
    <w:rsid w:val="00611E19"/>
    <w:rsid w:val="0061236B"/>
    <w:rsid w:val="006136EA"/>
    <w:rsid w:val="006137E4"/>
    <w:rsid w:val="0061433E"/>
    <w:rsid w:val="00615111"/>
    <w:rsid w:val="0061603D"/>
    <w:rsid w:val="006162DF"/>
    <w:rsid w:val="0061651F"/>
    <w:rsid w:val="00616C40"/>
    <w:rsid w:val="006179D2"/>
    <w:rsid w:val="00621AD3"/>
    <w:rsid w:val="00621E29"/>
    <w:rsid w:val="006224AF"/>
    <w:rsid w:val="00622565"/>
    <w:rsid w:val="00623051"/>
    <w:rsid w:val="00624C14"/>
    <w:rsid w:val="00624F86"/>
    <w:rsid w:val="00627379"/>
    <w:rsid w:val="0062783B"/>
    <w:rsid w:val="006309CA"/>
    <w:rsid w:val="00632A4C"/>
    <w:rsid w:val="00633190"/>
    <w:rsid w:val="00633FED"/>
    <w:rsid w:val="00634A36"/>
    <w:rsid w:val="00634F20"/>
    <w:rsid w:val="0063529F"/>
    <w:rsid w:val="006359C5"/>
    <w:rsid w:val="006378E4"/>
    <w:rsid w:val="00637E33"/>
    <w:rsid w:val="00637E55"/>
    <w:rsid w:val="00641220"/>
    <w:rsid w:val="006439E2"/>
    <w:rsid w:val="00644A1B"/>
    <w:rsid w:val="00644D47"/>
    <w:rsid w:val="00645761"/>
    <w:rsid w:val="00650B78"/>
    <w:rsid w:val="00653D3F"/>
    <w:rsid w:val="0065469A"/>
    <w:rsid w:val="0065495A"/>
    <w:rsid w:val="0065530A"/>
    <w:rsid w:val="006565A2"/>
    <w:rsid w:val="00656929"/>
    <w:rsid w:val="0065725D"/>
    <w:rsid w:val="00660134"/>
    <w:rsid w:val="00660A1E"/>
    <w:rsid w:val="00661B1F"/>
    <w:rsid w:val="00661C94"/>
    <w:rsid w:val="00661D73"/>
    <w:rsid w:val="00663116"/>
    <w:rsid w:val="006637E5"/>
    <w:rsid w:val="0066491B"/>
    <w:rsid w:val="00666144"/>
    <w:rsid w:val="0066648D"/>
    <w:rsid w:val="00666763"/>
    <w:rsid w:val="00667D6A"/>
    <w:rsid w:val="00667E7F"/>
    <w:rsid w:val="006724AB"/>
    <w:rsid w:val="00673332"/>
    <w:rsid w:val="0067430E"/>
    <w:rsid w:val="00674D78"/>
    <w:rsid w:val="0067537A"/>
    <w:rsid w:val="00675837"/>
    <w:rsid w:val="0067719D"/>
    <w:rsid w:val="00677DBF"/>
    <w:rsid w:val="00680057"/>
    <w:rsid w:val="00680105"/>
    <w:rsid w:val="006819AA"/>
    <w:rsid w:val="00681B3B"/>
    <w:rsid w:val="0068212C"/>
    <w:rsid w:val="006829BA"/>
    <w:rsid w:val="006833DB"/>
    <w:rsid w:val="00685A06"/>
    <w:rsid w:val="00685D65"/>
    <w:rsid w:val="00686A7A"/>
    <w:rsid w:val="00691A87"/>
    <w:rsid w:val="00691C1E"/>
    <w:rsid w:val="00692D56"/>
    <w:rsid w:val="00692F39"/>
    <w:rsid w:val="0069302A"/>
    <w:rsid w:val="0069473F"/>
    <w:rsid w:val="006958CB"/>
    <w:rsid w:val="00695C39"/>
    <w:rsid w:val="00696959"/>
    <w:rsid w:val="00696C0F"/>
    <w:rsid w:val="00697D79"/>
    <w:rsid w:val="006A04B0"/>
    <w:rsid w:val="006A0978"/>
    <w:rsid w:val="006A0D45"/>
    <w:rsid w:val="006A41FE"/>
    <w:rsid w:val="006A6571"/>
    <w:rsid w:val="006A6AA6"/>
    <w:rsid w:val="006A6C7D"/>
    <w:rsid w:val="006A771C"/>
    <w:rsid w:val="006A7D12"/>
    <w:rsid w:val="006B0BFE"/>
    <w:rsid w:val="006B2DCD"/>
    <w:rsid w:val="006B346A"/>
    <w:rsid w:val="006B40EF"/>
    <w:rsid w:val="006B413D"/>
    <w:rsid w:val="006B43E0"/>
    <w:rsid w:val="006B45E5"/>
    <w:rsid w:val="006B49EE"/>
    <w:rsid w:val="006B4D14"/>
    <w:rsid w:val="006B507A"/>
    <w:rsid w:val="006B5E58"/>
    <w:rsid w:val="006B6E1B"/>
    <w:rsid w:val="006B70A6"/>
    <w:rsid w:val="006C4393"/>
    <w:rsid w:val="006C46C1"/>
    <w:rsid w:val="006C4EB6"/>
    <w:rsid w:val="006C5A39"/>
    <w:rsid w:val="006C61A9"/>
    <w:rsid w:val="006C67D5"/>
    <w:rsid w:val="006C73DE"/>
    <w:rsid w:val="006C7438"/>
    <w:rsid w:val="006D007C"/>
    <w:rsid w:val="006D05C3"/>
    <w:rsid w:val="006D1AE9"/>
    <w:rsid w:val="006D1FB7"/>
    <w:rsid w:val="006D3906"/>
    <w:rsid w:val="006D39FC"/>
    <w:rsid w:val="006D3B84"/>
    <w:rsid w:val="006D3C01"/>
    <w:rsid w:val="006D47D0"/>
    <w:rsid w:val="006D4AF1"/>
    <w:rsid w:val="006D4B3B"/>
    <w:rsid w:val="006D5D34"/>
    <w:rsid w:val="006D64A6"/>
    <w:rsid w:val="006D69CC"/>
    <w:rsid w:val="006D6CD2"/>
    <w:rsid w:val="006D7233"/>
    <w:rsid w:val="006D7426"/>
    <w:rsid w:val="006D7FAF"/>
    <w:rsid w:val="006E0021"/>
    <w:rsid w:val="006E123A"/>
    <w:rsid w:val="006E12BD"/>
    <w:rsid w:val="006E2063"/>
    <w:rsid w:val="006E2217"/>
    <w:rsid w:val="006E4094"/>
    <w:rsid w:val="006E48F7"/>
    <w:rsid w:val="006E5962"/>
    <w:rsid w:val="006E6A32"/>
    <w:rsid w:val="006E7DE1"/>
    <w:rsid w:val="006E7F1A"/>
    <w:rsid w:val="006E7F90"/>
    <w:rsid w:val="006F14BE"/>
    <w:rsid w:val="006F20B8"/>
    <w:rsid w:val="006F2E74"/>
    <w:rsid w:val="006F344A"/>
    <w:rsid w:val="006F3D38"/>
    <w:rsid w:val="006F3D7B"/>
    <w:rsid w:val="006F3FA0"/>
    <w:rsid w:val="006F43A2"/>
    <w:rsid w:val="006F4DD2"/>
    <w:rsid w:val="006F57E7"/>
    <w:rsid w:val="006F60BB"/>
    <w:rsid w:val="006F658B"/>
    <w:rsid w:val="006F7259"/>
    <w:rsid w:val="00700008"/>
    <w:rsid w:val="007006B8"/>
    <w:rsid w:val="00700B56"/>
    <w:rsid w:val="00701160"/>
    <w:rsid w:val="0070117E"/>
    <w:rsid w:val="00701DE4"/>
    <w:rsid w:val="0070398B"/>
    <w:rsid w:val="00704668"/>
    <w:rsid w:val="00705516"/>
    <w:rsid w:val="00705EDF"/>
    <w:rsid w:val="00706A54"/>
    <w:rsid w:val="00707509"/>
    <w:rsid w:val="00707EF3"/>
    <w:rsid w:val="0071075F"/>
    <w:rsid w:val="0071089B"/>
    <w:rsid w:val="007114C6"/>
    <w:rsid w:val="00711C5D"/>
    <w:rsid w:val="00712A19"/>
    <w:rsid w:val="00714A9D"/>
    <w:rsid w:val="00715B57"/>
    <w:rsid w:val="00716286"/>
    <w:rsid w:val="00716456"/>
    <w:rsid w:val="00720664"/>
    <w:rsid w:val="00721DCE"/>
    <w:rsid w:val="007220E9"/>
    <w:rsid w:val="00722D01"/>
    <w:rsid w:val="0072370D"/>
    <w:rsid w:val="00723DF7"/>
    <w:rsid w:val="00723F56"/>
    <w:rsid w:val="0072418C"/>
    <w:rsid w:val="00725D45"/>
    <w:rsid w:val="00725E59"/>
    <w:rsid w:val="0072616C"/>
    <w:rsid w:val="007269AE"/>
    <w:rsid w:val="007301DA"/>
    <w:rsid w:val="00731C82"/>
    <w:rsid w:val="00731CD0"/>
    <w:rsid w:val="00732717"/>
    <w:rsid w:val="00733625"/>
    <w:rsid w:val="00733FAA"/>
    <w:rsid w:val="00734A7D"/>
    <w:rsid w:val="00735A0C"/>
    <w:rsid w:val="00735A97"/>
    <w:rsid w:val="00735BC0"/>
    <w:rsid w:val="007360B7"/>
    <w:rsid w:val="007362AB"/>
    <w:rsid w:val="00737682"/>
    <w:rsid w:val="00737CF5"/>
    <w:rsid w:val="00737DC7"/>
    <w:rsid w:val="0074160F"/>
    <w:rsid w:val="00741728"/>
    <w:rsid w:val="00742B8B"/>
    <w:rsid w:val="00743A2D"/>
    <w:rsid w:val="0074438B"/>
    <w:rsid w:val="00744790"/>
    <w:rsid w:val="00744AF3"/>
    <w:rsid w:val="00744D52"/>
    <w:rsid w:val="00745852"/>
    <w:rsid w:val="00750149"/>
    <w:rsid w:val="00750774"/>
    <w:rsid w:val="00750D25"/>
    <w:rsid w:val="00751049"/>
    <w:rsid w:val="00751188"/>
    <w:rsid w:val="00751771"/>
    <w:rsid w:val="00751FC9"/>
    <w:rsid w:val="0075237C"/>
    <w:rsid w:val="00753037"/>
    <w:rsid w:val="007533B4"/>
    <w:rsid w:val="007536DB"/>
    <w:rsid w:val="00755321"/>
    <w:rsid w:val="0075557D"/>
    <w:rsid w:val="007564C7"/>
    <w:rsid w:val="00757459"/>
    <w:rsid w:val="00757822"/>
    <w:rsid w:val="007606A6"/>
    <w:rsid w:val="0076119D"/>
    <w:rsid w:val="0076145E"/>
    <w:rsid w:val="0076181D"/>
    <w:rsid w:val="00763831"/>
    <w:rsid w:val="00763BC7"/>
    <w:rsid w:val="007643DC"/>
    <w:rsid w:val="007663C7"/>
    <w:rsid w:val="00766693"/>
    <w:rsid w:val="007671B6"/>
    <w:rsid w:val="00767365"/>
    <w:rsid w:val="0076736A"/>
    <w:rsid w:val="00767CA4"/>
    <w:rsid w:val="007712EA"/>
    <w:rsid w:val="007730CF"/>
    <w:rsid w:val="007742EE"/>
    <w:rsid w:val="00775100"/>
    <w:rsid w:val="0077515D"/>
    <w:rsid w:val="0077743D"/>
    <w:rsid w:val="00777809"/>
    <w:rsid w:val="00777F3A"/>
    <w:rsid w:val="00780073"/>
    <w:rsid w:val="0078067F"/>
    <w:rsid w:val="0078253B"/>
    <w:rsid w:val="007827CB"/>
    <w:rsid w:val="00782EBB"/>
    <w:rsid w:val="007844CD"/>
    <w:rsid w:val="00784C22"/>
    <w:rsid w:val="00784C4F"/>
    <w:rsid w:val="00786299"/>
    <w:rsid w:val="00786D77"/>
    <w:rsid w:val="00787C5B"/>
    <w:rsid w:val="00790EEC"/>
    <w:rsid w:val="007925BB"/>
    <w:rsid w:val="0079280B"/>
    <w:rsid w:val="00793AA2"/>
    <w:rsid w:val="00794238"/>
    <w:rsid w:val="00794391"/>
    <w:rsid w:val="007944DB"/>
    <w:rsid w:val="00794BE0"/>
    <w:rsid w:val="007970EA"/>
    <w:rsid w:val="0079730B"/>
    <w:rsid w:val="007A0519"/>
    <w:rsid w:val="007A1140"/>
    <w:rsid w:val="007A1489"/>
    <w:rsid w:val="007A20A3"/>
    <w:rsid w:val="007A2294"/>
    <w:rsid w:val="007A3AAC"/>
    <w:rsid w:val="007A40BC"/>
    <w:rsid w:val="007A45EA"/>
    <w:rsid w:val="007A5C17"/>
    <w:rsid w:val="007A7002"/>
    <w:rsid w:val="007A73C2"/>
    <w:rsid w:val="007A7A90"/>
    <w:rsid w:val="007B0F50"/>
    <w:rsid w:val="007B475A"/>
    <w:rsid w:val="007B478D"/>
    <w:rsid w:val="007B4AAC"/>
    <w:rsid w:val="007B50E5"/>
    <w:rsid w:val="007B5502"/>
    <w:rsid w:val="007C0054"/>
    <w:rsid w:val="007C06B1"/>
    <w:rsid w:val="007C0892"/>
    <w:rsid w:val="007C0B9C"/>
    <w:rsid w:val="007C14E5"/>
    <w:rsid w:val="007C1AFD"/>
    <w:rsid w:val="007C292D"/>
    <w:rsid w:val="007C396F"/>
    <w:rsid w:val="007C47B3"/>
    <w:rsid w:val="007C61D5"/>
    <w:rsid w:val="007C6DA7"/>
    <w:rsid w:val="007C6E2E"/>
    <w:rsid w:val="007C7A8D"/>
    <w:rsid w:val="007D1E28"/>
    <w:rsid w:val="007D33EA"/>
    <w:rsid w:val="007D4F7E"/>
    <w:rsid w:val="007D51B0"/>
    <w:rsid w:val="007D5E25"/>
    <w:rsid w:val="007D6AE0"/>
    <w:rsid w:val="007D78A2"/>
    <w:rsid w:val="007E1710"/>
    <w:rsid w:val="007E1A49"/>
    <w:rsid w:val="007E245B"/>
    <w:rsid w:val="007E2AC9"/>
    <w:rsid w:val="007E2DF6"/>
    <w:rsid w:val="007E306F"/>
    <w:rsid w:val="007E34B8"/>
    <w:rsid w:val="007E4720"/>
    <w:rsid w:val="007E4991"/>
    <w:rsid w:val="007E4C8F"/>
    <w:rsid w:val="007E6A7A"/>
    <w:rsid w:val="007E7BAF"/>
    <w:rsid w:val="007F0950"/>
    <w:rsid w:val="007F2B6B"/>
    <w:rsid w:val="007F2E51"/>
    <w:rsid w:val="007F3442"/>
    <w:rsid w:val="007F58C6"/>
    <w:rsid w:val="00800961"/>
    <w:rsid w:val="00801CE8"/>
    <w:rsid w:val="00803A12"/>
    <w:rsid w:val="008045E3"/>
    <w:rsid w:val="00804A37"/>
    <w:rsid w:val="0080565F"/>
    <w:rsid w:val="00806C63"/>
    <w:rsid w:val="00806E53"/>
    <w:rsid w:val="008075E9"/>
    <w:rsid w:val="00810B57"/>
    <w:rsid w:val="008116C9"/>
    <w:rsid w:val="008125A6"/>
    <w:rsid w:val="008153C9"/>
    <w:rsid w:val="0081549B"/>
    <w:rsid w:val="00815911"/>
    <w:rsid w:val="00815A68"/>
    <w:rsid w:val="00817110"/>
    <w:rsid w:val="0081720D"/>
    <w:rsid w:val="008172EE"/>
    <w:rsid w:val="008174CA"/>
    <w:rsid w:val="008203A0"/>
    <w:rsid w:val="0082093C"/>
    <w:rsid w:val="0082350E"/>
    <w:rsid w:val="00824738"/>
    <w:rsid w:val="00825F7C"/>
    <w:rsid w:val="008261D1"/>
    <w:rsid w:val="0082645B"/>
    <w:rsid w:val="00827454"/>
    <w:rsid w:val="00827927"/>
    <w:rsid w:val="00827EE8"/>
    <w:rsid w:val="00830628"/>
    <w:rsid w:val="008307DA"/>
    <w:rsid w:val="00830C2D"/>
    <w:rsid w:val="0083259B"/>
    <w:rsid w:val="008329C1"/>
    <w:rsid w:val="008332C9"/>
    <w:rsid w:val="00834F6B"/>
    <w:rsid w:val="00835390"/>
    <w:rsid w:val="00835583"/>
    <w:rsid w:val="0083657D"/>
    <w:rsid w:val="00836586"/>
    <w:rsid w:val="00836E9B"/>
    <w:rsid w:val="00837A22"/>
    <w:rsid w:val="008410B1"/>
    <w:rsid w:val="0084135C"/>
    <w:rsid w:val="00841585"/>
    <w:rsid w:val="00842205"/>
    <w:rsid w:val="00843105"/>
    <w:rsid w:val="0084355C"/>
    <w:rsid w:val="00843597"/>
    <w:rsid w:val="00843780"/>
    <w:rsid w:val="008437E5"/>
    <w:rsid w:val="00843F83"/>
    <w:rsid w:val="00844442"/>
    <w:rsid w:val="00845430"/>
    <w:rsid w:val="00847061"/>
    <w:rsid w:val="0084789C"/>
    <w:rsid w:val="0085066C"/>
    <w:rsid w:val="00852382"/>
    <w:rsid w:val="00852B13"/>
    <w:rsid w:val="00853215"/>
    <w:rsid w:val="008535C4"/>
    <w:rsid w:val="008538D4"/>
    <w:rsid w:val="00854127"/>
    <w:rsid w:val="008550A1"/>
    <w:rsid w:val="00855E49"/>
    <w:rsid w:val="00856520"/>
    <w:rsid w:val="00856B84"/>
    <w:rsid w:val="008602F2"/>
    <w:rsid w:val="008602F6"/>
    <w:rsid w:val="008616DA"/>
    <w:rsid w:val="008621CA"/>
    <w:rsid w:val="008627D6"/>
    <w:rsid w:val="00862C10"/>
    <w:rsid w:val="00862C8B"/>
    <w:rsid w:val="00862D02"/>
    <w:rsid w:val="008643E2"/>
    <w:rsid w:val="008654F7"/>
    <w:rsid w:val="00867EB5"/>
    <w:rsid w:val="00867FCD"/>
    <w:rsid w:val="0087021B"/>
    <w:rsid w:val="00870450"/>
    <w:rsid w:val="0087078E"/>
    <w:rsid w:val="00870A1C"/>
    <w:rsid w:val="008717D5"/>
    <w:rsid w:val="00873809"/>
    <w:rsid w:val="00873F58"/>
    <w:rsid w:val="00875471"/>
    <w:rsid w:val="0087682D"/>
    <w:rsid w:val="00876C7C"/>
    <w:rsid w:val="00880F44"/>
    <w:rsid w:val="008814FB"/>
    <w:rsid w:val="00884888"/>
    <w:rsid w:val="008849A3"/>
    <w:rsid w:val="00884A55"/>
    <w:rsid w:val="008856C6"/>
    <w:rsid w:val="00885A94"/>
    <w:rsid w:val="0088643D"/>
    <w:rsid w:val="00886D3D"/>
    <w:rsid w:val="008900B0"/>
    <w:rsid w:val="00891FD8"/>
    <w:rsid w:val="008931C4"/>
    <w:rsid w:val="0089479E"/>
    <w:rsid w:val="00895A1D"/>
    <w:rsid w:val="008960C4"/>
    <w:rsid w:val="008966DE"/>
    <w:rsid w:val="008970D4"/>
    <w:rsid w:val="0089777F"/>
    <w:rsid w:val="00897954"/>
    <w:rsid w:val="008A0AFC"/>
    <w:rsid w:val="008A17FC"/>
    <w:rsid w:val="008A2AA8"/>
    <w:rsid w:val="008A2D0E"/>
    <w:rsid w:val="008A2EE0"/>
    <w:rsid w:val="008A3007"/>
    <w:rsid w:val="008A3251"/>
    <w:rsid w:val="008A3527"/>
    <w:rsid w:val="008A398B"/>
    <w:rsid w:val="008A5A77"/>
    <w:rsid w:val="008A66C6"/>
    <w:rsid w:val="008A7A83"/>
    <w:rsid w:val="008B0F98"/>
    <w:rsid w:val="008B1476"/>
    <w:rsid w:val="008B17D5"/>
    <w:rsid w:val="008B1FCA"/>
    <w:rsid w:val="008B3FDB"/>
    <w:rsid w:val="008B489E"/>
    <w:rsid w:val="008B49B4"/>
    <w:rsid w:val="008B53AF"/>
    <w:rsid w:val="008B6021"/>
    <w:rsid w:val="008B605E"/>
    <w:rsid w:val="008B75D5"/>
    <w:rsid w:val="008C0B0D"/>
    <w:rsid w:val="008C0E81"/>
    <w:rsid w:val="008C169A"/>
    <w:rsid w:val="008C2C29"/>
    <w:rsid w:val="008C2C6A"/>
    <w:rsid w:val="008C2CAE"/>
    <w:rsid w:val="008C3996"/>
    <w:rsid w:val="008C5704"/>
    <w:rsid w:val="008C5988"/>
    <w:rsid w:val="008C63B7"/>
    <w:rsid w:val="008C7761"/>
    <w:rsid w:val="008D12EA"/>
    <w:rsid w:val="008D1458"/>
    <w:rsid w:val="008D1B74"/>
    <w:rsid w:val="008D2767"/>
    <w:rsid w:val="008D4724"/>
    <w:rsid w:val="008D4A11"/>
    <w:rsid w:val="008D6CDC"/>
    <w:rsid w:val="008E1339"/>
    <w:rsid w:val="008E249A"/>
    <w:rsid w:val="008E2AA3"/>
    <w:rsid w:val="008E2D97"/>
    <w:rsid w:val="008E3484"/>
    <w:rsid w:val="008E3604"/>
    <w:rsid w:val="008E42D0"/>
    <w:rsid w:val="008E4577"/>
    <w:rsid w:val="008E64AB"/>
    <w:rsid w:val="008E6B43"/>
    <w:rsid w:val="008E6C08"/>
    <w:rsid w:val="008E71F8"/>
    <w:rsid w:val="008E79BD"/>
    <w:rsid w:val="008E7D06"/>
    <w:rsid w:val="008F079B"/>
    <w:rsid w:val="008F0B5E"/>
    <w:rsid w:val="008F140D"/>
    <w:rsid w:val="008F1F9D"/>
    <w:rsid w:val="008F2A25"/>
    <w:rsid w:val="008F2EB4"/>
    <w:rsid w:val="008F375E"/>
    <w:rsid w:val="008F376C"/>
    <w:rsid w:val="008F5227"/>
    <w:rsid w:val="008F5447"/>
    <w:rsid w:val="008F5A97"/>
    <w:rsid w:val="008F5BB0"/>
    <w:rsid w:val="008F797D"/>
    <w:rsid w:val="008F7FBB"/>
    <w:rsid w:val="00900DA6"/>
    <w:rsid w:val="00901F9E"/>
    <w:rsid w:val="00902217"/>
    <w:rsid w:val="009037CD"/>
    <w:rsid w:val="009064D9"/>
    <w:rsid w:val="00906675"/>
    <w:rsid w:val="00906E87"/>
    <w:rsid w:val="0091023A"/>
    <w:rsid w:val="00910540"/>
    <w:rsid w:val="00910B46"/>
    <w:rsid w:val="00910DD1"/>
    <w:rsid w:val="00913037"/>
    <w:rsid w:val="00913118"/>
    <w:rsid w:val="0091312F"/>
    <w:rsid w:val="009133D6"/>
    <w:rsid w:val="00914631"/>
    <w:rsid w:val="009147C5"/>
    <w:rsid w:val="009147D3"/>
    <w:rsid w:val="00914A02"/>
    <w:rsid w:val="00914C4A"/>
    <w:rsid w:val="00915546"/>
    <w:rsid w:val="009166E9"/>
    <w:rsid w:val="00916AB6"/>
    <w:rsid w:val="00920871"/>
    <w:rsid w:val="00922EC0"/>
    <w:rsid w:val="00923067"/>
    <w:rsid w:val="00923A5C"/>
    <w:rsid w:val="0092475D"/>
    <w:rsid w:val="00924845"/>
    <w:rsid w:val="00926B17"/>
    <w:rsid w:val="00926F40"/>
    <w:rsid w:val="00927841"/>
    <w:rsid w:val="009300DC"/>
    <w:rsid w:val="00931CFC"/>
    <w:rsid w:val="00932E17"/>
    <w:rsid w:val="00932F22"/>
    <w:rsid w:val="009336C4"/>
    <w:rsid w:val="009338AE"/>
    <w:rsid w:val="00933DD4"/>
    <w:rsid w:val="00934D22"/>
    <w:rsid w:val="0093516D"/>
    <w:rsid w:val="0093573F"/>
    <w:rsid w:val="009366E1"/>
    <w:rsid w:val="009373B4"/>
    <w:rsid w:val="00937441"/>
    <w:rsid w:val="00937523"/>
    <w:rsid w:val="00937B8C"/>
    <w:rsid w:val="00937C60"/>
    <w:rsid w:val="009426D3"/>
    <w:rsid w:val="00942B22"/>
    <w:rsid w:val="00943602"/>
    <w:rsid w:val="009440C5"/>
    <w:rsid w:val="00945C98"/>
    <w:rsid w:val="009473CE"/>
    <w:rsid w:val="0094788B"/>
    <w:rsid w:val="00953288"/>
    <w:rsid w:val="00953A81"/>
    <w:rsid w:val="009548BB"/>
    <w:rsid w:val="00954F39"/>
    <w:rsid w:val="00956C7C"/>
    <w:rsid w:val="00957DB4"/>
    <w:rsid w:val="0096006D"/>
    <w:rsid w:val="00960AB7"/>
    <w:rsid w:val="00960BA8"/>
    <w:rsid w:val="009611B9"/>
    <w:rsid w:val="00961BAA"/>
    <w:rsid w:val="0096265C"/>
    <w:rsid w:val="00963272"/>
    <w:rsid w:val="009632D0"/>
    <w:rsid w:val="00964A78"/>
    <w:rsid w:val="00965A8C"/>
    <w:rsid w:val="009671FA"/>
    <w:rsid w:val="00967364"/>
    <w:rsid w:val="009679B4"/>
    <w:rsid w:val="00970F22"/>
    <w:rsid w:val="00972769"/>
    <w:rsid w:val="00973473"/>
    <w:rsid w:val="009739CA"/>
    <w:rsid w:val="009749C0"/>
    <w:rsid w:val="00974AA1"/>
    <w:rsid w:val="00974D66"/>
    <w:rsid w:val="0097514C"/>
    <w:rsid w:val="00975DCE"/>
    <w:rsid w:val="009765F5"/>
    <w:rsid w:val="00976897"/>
    <w:rsid w:val="009810F6"/>
    <w:rsid w:val="009812FA"/>
    <w:rsid w:val="00982FED"/>
    <w:rsid w:val="009830F5"/>
    <w:rsid w:val="00983188"/>
    <w:rsid w:val="009839FA"/>
    <w:rsid w:val="00983DEA"/>
    <w:rsid w:val="00984C15"/>
    <w:rsid w:val="00985420"/>
    <w:rsid w:val="00985BE6"/>
    <w:rsid w:val="0098609B"/>
    <w:rsid w:val="009866F9"/>
    <w:rsid w:val="00987613"/>
    <w:rsid w:val="009911C7"/>
    <w:rsid w:val="0099129A"/>
    <w:rsid w:val="0099140C"/>
    <w:rsid w:val="0099225D"/>
    <w:rsid w:val="0099268E"/>
    <w:rsid w:val="00994C26"/>
    <w:rsid w:val="0099708E"/>
    <w:rsid w:val="00997FAE"/>
    <w:rsid w:val="009A008C"/>
    <w:rsid w:val="009A1749"/>
    <w:rsid w:val="009A2427"/>
    <w:rsid w:val="009A2FB6"/>
    <w:rsid w:val="009A306E"/>
    <w:rsid w:val="009A33B8"/>
    <w:rsid w:val="009A4237"/>
    <w:rsid w:val="009A452A"/>
    <w:rsid w:val="009A48A6"/>
    <w:rsid w:val="009A759E"/>
    <w:rsid w:val="009A799C"/>
    <w:rsid w:val="009A7BBD"/>
    <w:rsid w:val="009B183D"/>
    <w:rsid w:val="009B346F"/>
    <w:rsid w:val="009B524B"/>
    <w:rsid w:val="009B5B91"/>
    <w:rsid w:val="009B6790"/>
    <w:rsid w:val="009B7834"/>
    <w:rsid w:val="009B7A5F"/>
    <w:rsid w:val="009C084F"/>
    <w:rsid w:val="009C0DB1"/>
    <w:rsid w:val="009C0E08"/>
    <w:rsid w:val="009C1477"/>
    <w:rsid w:val="009C210B"/>
    <w:rsid w:val="009C288F"/>
    <w:rsid w:val="009C2BF5"/>
    <w:rsid w:val="009C2C6C"/>
    <w:rsid w:val="009C49C0"/>
    <w:rsid w:val="009C4B8E"/>
    <w:rsid w:val="009C4F76"/>
    <w:rsid w:val="009C549F"/>
    <w:rsid w:val="009C5B52"/>
    <w:rsid w:val="009C6A70"/>
    <w:rsid w:val="009C7293"/>
    <w:rsid w:val="009D0707"/>
    <w:rsid w:val="009D09CF"/>
    <w:rsid w:val="009D224D"/>
    <w:rsid w:val="009D4745"/>
    <w:rsid w:val="009D5140"/>
    <w:rsid w:val="009D5146"/>
    <w:rsid w:val="009D51C2"/>
    <w:rsid w:val="009D5708"/>
    <w:rsid w:val="009D5EF9"/>
    <w:rsid w:val="009D6D8A"/>
    <w:rsid w:val="009D7482"/>
    <w:rsid w:val="009D7662"/>
    <w:rsid w:val="009D7BA4"/>
    <w:rsid w:val="009E02FA"/>
    <w:rsid w:val="009E04F0"/>
    <w:rsid w:val="009E04F3"/>
    <w:rsid w:val="009E05E8"/>
    <w:rsid w:val="009E0B63"/>
    <w:rsid w:val="009E11F9"/>
    <w:rsid w:val="009E1E69"/>
    <w:rsid w:val="009E263B"/>
    <w:rsid w:val="009E27E9"/>
    <w:rsid w:val="009E2B2A"/>
    <w:rsid w:val="009E2DDC"/>
    <w:rsid w:val="009E320A"/>
    <w:rsid w:val="009E36F5"/>
    <w:rsid w:val="009E3B25"/>
    <w:rsid w:val="009E4250"/>
    <w:rsid w:val="009E50BA"/>
    <w:rsid w:val="009E5477"/>
    <w:rsid w:val="009E5959"/>
    <w:rsid w:val="009E6610"/>
    <w:rsid w:val="009E6680"/>
    <w:rsid w:val="009E6820"/>
    <w:rsid w:val="009E733F"/>
    <w:rsid w:val="009E74B0"/>
    <w:rsid w:val="009F1507"/>
    <w:rsid w:val="009F1B47"/>
    <w:rsid w:val="009F2E9F"/>
    <w:rsid w:val="009F5156"/>
    <w:rsid w:val="009F7065"/>
    <w:rsid w:val="009F713B"/>
    <w:rsid w:val="009F75BF"/>
    <w:rsid w:val="009F7FF5"/>
    <w:rsid w:val="00A002BE"/>
    <w:rsid w:val="00A0094A"/>
    <w:rsid w:val="00A00B69"/>
    <w:rsid w:val="00A01527"/>
    <w:rsid w:val="00A019A5"/>
    <w:rsid w:val="00A024CE"/>
    <w:rsid w:val="00A0295F"/>
    <w:rsid w:val="00A039D5"/>
    <w:rsid w:val="00A043DD"/>
    <w:rsid w:val="00A046AF"/>
    <w:rsid w:val="00A05588"/>
    <w:rsid w:val="00A066D1"/>
    <w:rsid w:val="00A06AEA"/>
    <w:rsid w:val="00A100C1"/>
    <w:rsid w:val="00A100C3"/>
    <w:rsid w:val="00A10374"/>
    <w:rsid w:val="00A11F47"/>
    <w:rsid w:val="00A123D4"/>
    <w:rsid w:val="00A127E8"/>
    <w:rsid w:val="00A12CBA"/>
    <w:rsid w:val="00A13E67"/>
    <w:rsid w:val="00A14EA8"/>
    <w:rsid w:val="00A157CB"/>
    <w:rsid w:val="00A15963"/>
    <w:rsid w:val="00A176AE"/>
    <w:rsid w:val="00A17C52"/>
    <w:rsid w:val="00A17F31"/>
    <w:rsid w:val="00A2053B"/>
    <w:rsid w:val="00A212F3"/>
    <w:rsid w:val="00A21EE2"/>
    <w:rsid w:val="00A2218D"/>
    <w:rsid w:val="00A22AD0"/>
    <w:rsid w:val="00A2438A"/>
    <w:rsid w:val="00A243CF"/>
    <w:rsid w:val="00A2555A"/>
    <w:rsid w:val="00A26AE2"/>
    <w:rsid w:val="00A3056E"/>
    <w:rsid w:val="00A30E96"/>
    <w:rsid w:val="00A31A16"/>
    <w:rsid w:val="00A31FB2"/>
    <w:rsid w:val="00A34747"/>
    <w:rsid w:val="00A34B00"/>
    <w:rsid w:val="00A34E11"/>
    <w:rsid w:val="00A34F28"/>
    <w:rsid w:val="00A34F90"/>
    <w:rsid w:val="00A3528F"/>
    <w:rsid w:val="00A37859"/>
    <w:rsid w:val="00A37E1E"/>
    <w:rsid w:val="00A40930"/>
    <w:rsid w:val="00A412A4"/>
    <w:rsid w:val="00A41422"/>
    <w:rsid w:val="00A4167C"/>
    <w:rsid w:val="00A418D1"/>
    <w:rsid w:val="00A4257C"/>
    <w:rsid w:val="00A4277B"/>
    <w:rsid w:val="00A427B3"/>
    <w:rsid w:val="00A44332"/>
    <w:rsid w:val="00A45784"/>
    <w:rsid w:val="00A460FE"/>
    <w:rsid w:val="00A47691"/>
    <w:rsid w:val="00A50711"/>
    <w:rsid w:val="00A51E91"/>
    <w:rsid w:val="00A5296C"/>
    <w:rsid w:val="00A52FC5"/>
    <w:rsid w:val="00A532E4"/>
    <w:rsid w:val="00A5358D"/>
    <w:rsid w:val="00A539F5"/>
    <w:rsid w:val="00A542B3"/>
    <w:rsid w:val="00A55D81"/>
    <w:rsid w:val="00A55EDE"/>
    <w:rsid w:val="00A56C70"/>
    <w:rsid w:val="00A56EB7"/>
    <w:rsid w:val="00A611BB"/>
    <w:rsid w:val="00A61408"/>
    <w:rsid w:val="00A62024"/>
    <w:rsid w:val="00A644AF"/>
    <w:rsid w:val="00A6479E"/>
    <w:rsid w:val="00A64CEC"/>
    <w:rsid w:val="00A65116"/>
    <w:rsid w:val="00A654FE"/>
    <w:rsid w:val="00A65D4F"/>
    <w:rsid w:val="00A66BA4"/>
    <w:rsid w:val="00A677C5"/>
    <w:rsid w:val="00A67CAC"/>
    <w:rsid w:val="00A70014"/>
    <w:rsid w:val="00A70BDD"/>
    <w:rsid w:val="00A71024"/>
    <w:rsid w:val="00A730F9"/>
    <w:rsid w:val="00A73684"/>
    <w:rsid w:val="00A73C0A"/>
    <w:rsid w:val="00A74260"/>
    <w:rsid w:val="00A7488F"/>
    <w:rsid w:val="00A7561C"/>
    <w:rsid w:val="00A76310"/>
    <w:rsid w:val="00A7752A"/>
    <w:rsid w:val="00A8076C"/>
    <w:rsid w:val="00A80E95"/>
    <w:rsid w:val="00A817C7"/>
    <w:rsid w:val="00A818A9"/>
    <w:rsid w:val="00A82341"/>
    <w:rsid w:val="00A83904"/>
    <w:rsid w:val="00A844B7"/>
    <w:rsid w:val="00A85DEB"/>
    <w:rsid w:val="00A85FEA"/>
    <w:rsid w:val="00A873ED"/>
    <w:rsid w:val="00A9028F"/>
    <w:rsid w:val="00A907B3"/>
    <w:rsid w:val="00A920C6"/>
    <w:rsid w:val="00A9245D"/>
    <w:rsid w:val="00A939DF"/>
    <w:rsid w:val="00A94258"/>
    <w:rsid w:val="00A94369"/>
    <w:rsid w:val="00A94747"/>
    <w:rsid w:val="00A947B6"/>
    <w:rsid w:val="00A94B71"/>
    <w:rsid w:val="00A94CDB"/>
    <w:rsid w:val="00A95633"/>
    <w:rsid w:val="00A960B9"/>
    <w:rsid w:val="00A96A99"/>
    <w:rsid w:val="00A975E1"/>
    <w:rsid w:val="00AA17DC"/>
    <w:rsid w:val="00AA187A"/>
    <w:rsid w:val="00AA29C1"/>
    <w:rsid w:val="00AA32DE"/>
    <w:rsid w:val="00AA3B4A"/>
    <w:rsid w:val="00AA4319"/>
    <w:rsid w:val="00AA45FB"/>
    <w:rsid w:val="00AA475B"/>
    <w:rsid w:val="00AA48AA"/>
    <w:rsid w:val="00AA539A"/>
    <w:rsid w:val="00AA549D"/>
    <w:rsid w:val="00AA55C7"/>
    <w:rsid w:val="00AA5613"/>
    <w:rsid w:val="00AA5D7C"/>
    <w:rsid w:val="00AA6B61"/>
    <w:rsid w:val="00AA6FC1"/>
    <w:rsid w:val="00AB0123"/>
    <w:rsid w:val="00AB2136"/>
    <w:rsid w:val="00AB357B"/>
    <w:rsid w:val="00AB3686"/>
    <w:rsid w:val="00AB3F53"/>
    <w:rsid w:val="00AB4C61"/>
    <w:rsid w:val="00AB5659"/>
    <w:rsid w:val="00AB5C2E"/>
    <w:rsid w:val="00AB5EA2"/>
    <w:rsid w:val="00AB5F59"/>
    <w:rsid w:val="00AB608A"/>
    <w:rsid w:val="00AB626C"/>
    <w:rsid w:val="00AB6B1C"/>
    <w:rsid w:val="00AC0761"/>
    <w:rsid w:val="00AC2396"/>
    <w:rsid w:val="00AC3130"/>
    <w:rsid w:val="00AC3E2B"/>
    <w:rsid w:val="00AC4FA9"/>
    <w:rsid w:val="00AC5987"/>
    <w:rsid w:val="00AC6326"/>
    <w:rsid w:val="00AC6528"/>
    <w:rsid w:val="00AC6757"/>
    <w:rsid w:val="00AD0D67"/>
    <w:rsid w:val="00AD0DF4"/>
    <w:rsid w:val="00AD213C"/>
    <w:rsid w:val="00AD3281"/>
    <w:rsid w:val="00AD42F3"/>
    <w:rsid w:val="00AD4480"/>
    <w:rsid w:val="00AD69AE"/>
    <w:rsid w:val="00AD6F07"/>
    <w:rsid w:val="00AD791D"/>
    <w:rsid w:val="00AE0763"/>
    <w:rsid w:val="00AE1356"/>
    <w:rsid w:val="00AE16BA"/>
    <w:rsid w:val="00AE2086"/>
    <w:rsid w:val="00AE3500"/>
    <w:rsid w:val="00AE35C2"/>
    <w:rsid w:val="00AE3FA2"/>
    <w:rsid w:val="00AE411A"/>
    <w:rsid w:val="00AE596C"/>
    <w:rsid w:val="00AE6255"/>
    <w:rsid w:val="00AF1C69"/>
    <w:rsid w:val="00AF2027"/>
    <w:rsid w:val="00AF29A2"/>
    <w:rsid w:val="00AF2F1B"/>
    <w:rsid w:val="00AF3B21"/>
    <w:rsid w:val="00AF40FF"/>
    <w:rsid w:val="00AF4C54"/>
    <w:rsid w:val="00AF5F59"/>
    <w:rsid w:val="00AF605B"/>
    <w:rsid w:val="00AF6440"/>
    <w:rsid w:val="00AF646E"/>
    <w:rsid w:val="00AF693C"/>
    <w:rsid w:val="00AF73A2"/>
    <w:rsid w:val="00AF7C7F"/>
    <w:rsid w:val="00B000C9"/>
    <w:rsid w:val="00B000F6"/>
    <w:rsid w:val="00B007BA"/>
    <w:rsid w:val="00B008ED"/>
    <w:rsid w:val="00B02769"/>
    <w:rsid w:val="00B04450"/>
    <w:rsid w:val="00B044DD"/>
    <w:rsid w:val="00B045E0"/>
    <w:rsid w:val="00B05C06"/>
    <w:rsid w:val="00B077BC"/>
    <w:rsid w:val="00B07812"/>
    <w:rsid w:val="00B07B80"/>
    <w:rsid w:val="00B10F67"/>
    <w:rsid w:val="00B114CA"/>
    <w:rsid w:val="00B129EC"/>
    <w:rsid w:val="00B12F98"/>
    <w:rsid w:val="00B13E10"/>
    <w:rsid w:val="00B14379"/>
    <w:rsid w:val="00B15BA8"/>
    <w:rsid w:val="00B15D11"/>
    <w:rsid w:val="00B169B2"/>
    <w:rsid w:val="00B16BC6"/>
    <w:rsid w:val="00B21400"/>
    <w:rsid w:val="00B21946"/>
    <w:rsid w:val="00B223F1"/>
    <w:rsid w:val="00B23444"/>
    <w:rsid w:val="00B23EA4"/>
    <w:rsid w:val="00B23FA6"/>
    <w:rsid w:val="00B2458E"/>
    <w:rsid w:val="00B2564D"/>
    <w:rsid w:val="00B25DA3"/>
    <w:rsid w:val="00B264BD"/>
    <w:rsid w:val="00B26ADB"/>
    <w:rsid w:val="00B26CE6"/>
    <w:rsid w:val="00B2747E"/>
    <w:rsid w:val="00B2749E"/>
    <w:rsid w:val="00B27A83"/>
    <w:rsid w:val="00B31D1D"/>
    <w:rsid w:val="00B3200C"/>
    <w:rsid w:val="00B32601"/>
    <w:rsid w:val="00B33363"/>
    <w:rsid w:val="00B340C3"/>
    <w:rsid w:val="00B34E18"/>
    <w:rsid w:val="00B34E71"/>
    <w:rsid w:val="00B34FCD"/>
    <w:rsid w:val="00B35D15"/>
    <w:rsid w:val="00B36173"/>
    <w:rsid w:val="00B37168"/>
    <w:rsid w:val="00B3794B"/>
    <w:rsid w:val="00B404D0"/>
    <w:rsid w:val="00B41392"/>
    <w:rsid w:val="00B41534"/>
    <w:rsid w:val="00B41A30"/>
    <w:rsid w:val="00B41A44"/>
    <w:rsid w:val="00B42236"/>
    <w:rsid w:val="00B42D02"/>
    <w:rsid w:val="00B42E6B"/>
    <w:rsid w:val="00B42F15"/>
    <w:rsid w:val="00B45790"/>
    <w:rsid w:val="00B466E3"/>
    <w:rsid w:val="00B47C02"/>
    <w:rsid w:val="00B47EC5"/>
    <w:rsid w:val="00B520EE"/>
    <w:rsid w:val="00B534ED"/>
    <w:rsid w:val="00B54992"/>
    <w:rsid w:val="00B54F6C"/>
    <w:rsid w:val="00B551C8"/>
    <w:rsid w:val="00B5567A"/>
    <w:rsid w:val="00B55CC1"/>
    <w:rsid w:val="00B56A3E"/>
    <w:rsid w:val="00B5771F"/>
    <w:rsid w:val="00B57F07"/>
    <w:rsid w:val="00B60B4E"/>
    <w:rsid w:val="00B60DB7"/>
    <w:rsid w:val="00B623FB"/>
    <w:rsid w:val="00B62508"/>
    <w:rsid w:val="00B63394"/>
    <w:rsid w:val="00B65BD7"/>
    <w:rsid w:val="00B65D20"/>
    <w:rsid w:val="00B65DB4"/>
    <w:rsid w:val="00B67852"/>
    <w:rsid w:val="00B70B74"/>
    <w:rsid w:val="00B70C58"/>
    <w:rsid w:val="00B72D7A"/>
    <w:rsid w:val="00B72EDD"/>
    <w:rsid w:val="00B743D0"/>
    <w:rsid w:val="00B77D18"/>
    <w:rsid w:val="00B800C8"/>
    <w:rsid w:val="00B80134"/>
    <w:rsid w:val="00B806F6"/>
    <w:rsid w:val="00B80D33"/>
    <w:rsid w:val="00B80E07"/>
    <w:rsid w:val="00B81A48"/>
    <w:rsid w:val="00B843FB"/>
    <w:rsid w:val="00B84404"/>
    <w:rsid w:val="00B84A7C"/>
    <w:rsid w:val="00B858BC"/>
    <w:rsid w:val="00B8680B"/>
    <w:rsid w:val="00B87D84"/>
    <w:rsid w:val="00B90665"/>
    <w:rsid w:val="00B913BC"/>
    <w:rsid w:val="00B91EA7"/>
    <w:rsid w:val="00B92E8C"/>
    <w:rsid w:val="00B93D6B"/>
    <w:rsid w:val="00B942BD"/>
    <w:rsid w:val="00B94B49"/>
    <w:rsid w:val="00B950DB"/>
    <w:rsid w:val="00B957D7"/>
    <w:rsid w:val="00B9692A"/>
    <w:rsid w:val="00B9760E"/>
    <w:rsid w:val="00B97BE9"/>
    <w:rsid w:val="00BA175B"/>
    <w:rsid w:val="00BA1A70"/>
    <w:rsid w:val="00BA1F33"/>
    <w:rsid w:val="00BA2FA1"/>
    <w:rsid w:val="00BA3451"/>
    <w:rsid w:val="00BA44AA"/>
    <w:rsid w:val="00BA4820"/>
    <w:rsid w:val="00BA68E0"/>
    <w:rsid w:val="00BA77C5"/>
    <w:rsid w:val="00BB506F"/>
    <w:rsid w:val="00BB5F83"/>
    <w:rsid w:val="00BC2C1E"/>
    <w:rsid w:val="00BC3698"/>
    <w:rsid w:val="00BC3741"/>
    <w:rsid w:val="00BC4262"/>
    <w:rsid w:val="00BC4373"/>
    <w:rsid w:val="00BC51A4"/>
    <w:rsid w:val="00BC5B7C"/>
    <w:rsid w:val="00BC5CA4"/>
    <w:rsid w:val="00BC65DB"/>
    <w:rsid w:val="00BC7B9A"/>
    <w:rsid w:val="00BD0E14"/>
    <w:rsid w:val="00BD0FAA"/>
    <w:rsid w:val="00BD1924"/>
    <w:rsid w:val="00BD1DA1"/>
    <w:rsid w:val="00BD2752"/>
    <w:rsid w:val="00BD345B"/>
    <w:rsid w:val="00BD4108"/>
    <w:rsid w:val="00BD45D0"/>
    <w:rsid w:val="00BD4C9C"/>
    <w:rsid w:val="00BD5546"/>
    <w:rsid w:val="00BD62D5"/>
    <w:rsid w:val="00BD66BB"/>
    <w:rsid w:val="00BE18D9"/>
    <w:rsid w:val="00BE1E4F"/>
    <w:rsid w:val="00BE524C"/>
    <w:rsid w:val="00BE6712"/>
    <w:rsid w:val="00BE6BDE"/>
    <w:rsid w:val="00BE770F"/>
    <w:rsid w:val="00BE7998"/>
    <w:rsid w:val="00BF00BF"/>
    <w:rsid w:val="00BF261E"/>
    <w:rsid w:val="00BF2DD6"/>
    <w:rsid w:val="00BF31A7"/>
    <w:rsid w:val="00BF328A"/>
    <w:rsid w:val="00BF3D2F"/>
    <w:rsid w:val="00BF401A"/>
    <w:rsid w:val="00BF42A5"/>
    <w:rsid w:val="00BF4A0C"/>
    <w:rsid w:val="00BF5630"/>
    <w:rsid w:val="00BF5ED6"/>
    <w:rsid w:val="00BF6804"/>
    <w:rsid w:val="00BF7711"/>
    <w:rsid w:val="00BF79F0"/>
    <w:rsid w:val="00BF7DBC"/>
    <w:rsid w:val="00C0015E"/>
    <w:rsid w:val="00C00360"/>
    <w:rsid w:val="00C00ECE"/>
    <w:rsid w:val="00C01DC5"/>
    <w:rsid w:val="00C044FC"/>
    <w:rsid w:val="00C04553"/>
    <w:rsid w:val="00C04C3D"/>
    <w:rsid w:val="00C054FC"/>
    <w:rsid w:val="00C06A59"/>
    <w:rsid w:val="00C06A93"/>
    <w:rsid w:val="00C07526"/>
    <w:rsid w:val="00C10FAB"/>
    <w:rsid w:val="00C1156D"/>
    <w:rsid w:val="00C11B71"/>
    <w:rsid w:val="00C11DE4"/>
    <w:rsid w:val="00C11EC8"/>
    <w:rsid w:val="00C11FEB"/>
    <w:rsid w:val="00C1228E"/>
    <w:rsid w:val="00C12D0B"/>
    <w:rsid w:val="00C13950"/>
    <w:rsid w:val="00C13E1A"/>
    <w:rsid w:val="00C1629D"/>
    <w:rsid w:val="00C17CDC"/>
    <w:rsid w:val="00C21453"/>
    <w:rsid w:val="00C21D70"/>
    <w:rsid w:val="00C227F5"/>
    <w:rsid w:val="00C23274"/>
    <w:rsid w:val="00C23E80"/>
    <w:rsid w:val="00C2460F"/>
    <w:rsid w:val="00C24BAA"/>
    <w:rsid w:val="00C24DB1"/>
    <w:rsid w:val="00C250E3"/>
    <w:rsid w:val="00C25471"/>
    <w:rsid w:val="00C30255"/>
    <w:rsid w:val="00C31F17"/>
    <w:rsid w:val="00C325BE"/>
    <w:rsid w:val="00C33992"/>
    <w:rsid w:val="00C34143"/>
    <w:rsid w:val="00C36B18"/>
    <w:rsid w:val="00C36BAF"/>
    <w:rsid w:val="00C37EF1"/>
    <w:rsid w:val="00C40166"/>
    <w:rsid w:val="00C4136B"/>
    <w:rsid w:val="00C41C05"/>
    <w:rsid w:val="00C41FB5"/>
    <w:rsid w:val="00C42C22"/>
    <w:rsid w:val="00C42DAE"/>
    <w:rsid w:val="00C42DF8"/>
    <w:rsid w:val="00C45BB7"/>
    <w:rsid w:val="00C46745"/>
    <w:rsid w:val="00C46957"/>
    <w:rsid w:val="00C513C2"/>
    <w:rsid w:val="00C51427"/>
    <w:rsid w:val="00C52E18"/>
    <w:rsid w:val="00C53438"/>
    <w:rsid w:val="00C5395C"/>
    <w:rsid w:val="00C5398D"/>
    <w:rsid w:val="00C53D07"/>
    <w:rsid w:val="00C541C9"/>
    <w:rsid w:val="00C546BE"/>
    <w:rsid w:val="00C546E2"/>
    <w:rsid w:val="00C5479E"/>
    <w:rsid w:val="00C54A97"/>
    <w:rsid w:val="00C567F4"/>
    <w:rsid w:val="00C57053"/>
    <w:rsid w:val="00C57438"/>
    <w:rsid w:val="00C574D2"/>
    <w:rsid w:val="00C605F2"/>
    <w:rsid w:val="00C6090E"/>
    <w:rsid w:val="00C6175D"/>
    <w:rsid w:val="00C619D7"/>
    <w:rsid w:val="00C635F0"/>
    <w:rsid w:val="00C63F74"/>
    <w:rsid w:val="00C65181"/>
    <w:rsid w:val="00C656C1"/>
    <w:rsid w:val="00C67600"/>
    <w:rsid w:val="00C73427"/>
    <w:rsid w:val="00C74A9A"/>
    <w:rsid w:val="00C75AC8"/>
    <w:rsid w:val="00C8031B"/>
    <w:rsid w:val="00C80E92"/>
    <w:rsid w:val="00C819C2"/>
    <w:rsid w:val="00C81F17"/>
    <w:rsid w:val="00C82601"/>
    <w:rsid w:val="00C82A72"/>
    <w:rsid w:val="00C82FE6"/>
    <w:rsid w:val="00C83A3F"/>
    <w:rsid w:val="00C851A2"/>
    <w:rsid w:val="00C85314"/>
    <w:rsid w:val="00C8613F"/>
    <w:rsid w:val="00C87066"/>
    <w:rsid w:val="00C87526"/>
    <w:rsid w:val="00C87C6F"/>
    <w:rsid w:val="00C87DEC"/>
    <w:rsid w:val="00C87EF4"/>
    <w:rsid w:val="00C90538"/>
    <w:rsid w:val="00C90856"/>
    <w:rsid w:val="00C91E9B"/>
    <w:rsid w:val="00C9243E"/>
    <w:rsid w:val="00C95288"/>
    <w:rsid w:val="00C95EEB"/>
    <w:rsid w:val="00C977D6"/>
    <w:rsid w:val="00C979D6"/>
    <w:rsid w:val="00C97EAB"/>
    <w:rsid w:val="00CA0B6B"/>
    <w:rsid w:val="00CA1B84"/>
    <w:rsid w:val="00CA1ED1"/>
    <w:rsid w:val="00CA1F14"/>
    <w:rsid w:val="00CA2AC9"/>
    <w:rsid w:val="00CA2B8A"/>
    <w:rsid w:val="00CA2DA3"/>
    <w:rsid w:val="00CA3827"/>
    <w:rsid w:val="00CA498E"/>
    <w:rsid w:val="00CA52D0"/>
    <w:rsid w:val="00CA58CC"/>
    <w:rsid w:val="00CA5C88"/>
    <w:rsid w:val="00CA61E6"/>
    <w:rsid w:val="00CA6CD8"/>
    <w:rsid w:val="00CA75B2"/>
    <w:rsid w:val="00CA7DBD"/>
    <w:rsid w:val="00CB14B0"/>
    <w:rsid w:val="00CB1882"/>
    <w:rsid w:val="00CB1B19"/>
    <w:rsid w:val="00CB24D8"/>
    <w:rsid w:val="00CB2CBC"/>
    <w:rsid w:val="00CB2FD3"/>
    <w:rsid w:val="00CB30D8"/>
    <w:rsid w:val="00CB4538"/>
    <w:rsid w:val="00CB4914"/>
    <w:rsid w:val="00CB4960"/>
    <w:rsid w:val="00CB520B"/>
    <w:rsid w:val="00CB5215"/>
    <w:rsid w:val="00CB5BF1"/>
    <w:rsid w:val="00CB6639"/>
    <w:rsid w:val="00CB6EFA"/>
    <w:rsid w:val="00CB72FC"/>
    <w:rsid w:val="00CB7562"/>
    <w:rsid w:val="00CC29F9"/>
    <w:rsid w:val="00CC2BFC"/>
    <w:rsid w:val="00CC2D08"/>
    <w:rsid w:val="00CC3099"/>
    <w:rsid w:val="00CC3C51"/>
    <w:rsid w:val="00CC3CD4"/>
    <w:rsid w:val="00CC5CF8"/>
    <w:rsid w:val="00CC6F18"/>
    <w:rsid w:val="00CD0650"/>
    <w:rsid w:val="00CD07F2"/>
    <w:rsid w:val="00CD0881"/>
    <w:rsid w:val="00CD212B"/>
    <w:rsid w:val="00CD44F1"/>
    <w:rsid w:val="00CD54F9"/>
    <w:rsid w:val="00CD5B70"/>
    <w:rsid w:val="00CD67DA"/>
    <w:rsid w:val="00CD7ABB"/>
    <w:rsid w:val="00CD7EAE"/>
    <w:rsid w:val="00CE0095"/>
    <w:rsid w:val="00CE126C"/>
    <w:rsid w:val="00CE2FF4"/>
    <w:rsid w:val="00CE31A5"/>
    <w:rsid w:val="00CE39E2"/>
    <w:rsid w:val="00CE4673"/>
    <w:rsid w:val="00CE495B"/>
    <w:rsid w:val="00CE5114"/>
    <w:rsid w:val="00CE581E"/>
    <w:rsid w:val="00CE5C33"/>
    <w:rsid w:val="00CE672C"/>
    <w:rsid w:val="00CE6B42"/>
    <w:rsid w:val="00CE725A"/>
    <w:rsid w:val="00CE72C0"/>
    <w:rsid w:val="00CE7464"/>
    <w:rsid w:val="00CE76B7"/>
    <w:rsid w:val="00CF1CA7"/>
    <w:rsid w:val="00CF1EAE"/>
    <w:rsid w:val="00CF1EFC"/>
    <w:rsid w:val="00CF2D3E"/>
    <w:rsid w:val="00CF3082"/>
    <w:rsid w:val="00CF3094"/>
    <w:rsid w:val="00CF4032"/>
    <w:rsid w:val="00CF49DC"/>
    <w:rsid w:val="00CF560B"/>
    <w:rsid w:val="00CF560D"/>
    <w:rsid w:val="00CF5CBC"/>
    <w:rsid w:val="00CF688D"/>
    <w:rsid w:val="00CF6984"/>
    <w:rsid w:val="00CF6DE9"/>
    <w:rsid w:val="00D008F2"/>
    <w:rsid w:val="00D02340"/>
    <w:rsid w:val="00D02355"/>
    <w:rsid w:val="00D02549"/>
    <w:rsid w:val="00D03703"/>
    <w:rsid w:val="00D03D10"/>
    <w:rsid w:val="00D05521"/>
    <w:rsid w:val="00D0574A"/>
    <w:rsid w:val="00D06A08"/>
    <w:rsid w:val="00D07FB6"/>
    <w:rsid w:val="00D106F0"/>
    <w:rsid w:val="00D10BAC"/>
    <w:rsid w:val="00D12004"/>
    <w:rsid w:val="00D13B9D"/>
    <w:rsid w:val="00D14180"/>
    <w:rsid w:val="00D14232"/>
    <w:rsid w:val="00D147E8"/>
    <w:rsid w:val="00D15AE5"/>
    <w:rsid w:val="00D166E0"/>
    <w:rsid w:val="00D16C35"/>
    <w:rsid w:val="00D202F7"/>
    <w:rsid w:val="00D20A9A"/>
    <w:rsid w:val="00D2129C"/>
    <w:rsid w:val="00D218B1"/>
    <w:rsid w:val="00D224ED"/>
    <w:rsid w:val="00D227DE"/>
    <w:rsid w:val="00D22BA6"/>
    <w:rsid w:val="00D23A9A"/>
    <w:rsid w:val="00D25897"/>
    <w:rsid w:val="00D2594D"/>
    <w:rsid w:val="00D25ECD"/>
    <w:rsid w:val="00D262B1"/>
    <w:rsid w:val="00D26454"/>
    <w:rsid w:val="00D2663E"/>
    <w:rsid w:val="00D26961"/>
    <w:rsid w:val="00D271DE"/>
    <w:rsid w:val="00D2765E"/>
    <w:rsid w:val="00D27AED"/>
    <w:rsid w:val="00D302B6"/>
    <w:rsid w:val="00D30955"/>
    <w:rsid w:val="00D30EF3"/>
    <w:rsid w:val="00D3504A"/>
    <w:rsid w:val="00D35134"/>
    <w:rsid w:val="00D35893"/>
    <w:rsid w:val="00D36ADB"/>
    <w:rsid w:val="00D4015A"/>
    <w:rsid w:val="00D412F3"/>
    <w:rsid w:val="00D41494"/>
    <w:rsid w:val="00D443CE"/>
    <w:rsid w:val="00D44A6A"/>
    <w:rsid w:val="00D46A4D"/>
    <w:rsid w:val="00D46BE4"/>
    <w:rsid w:val="00D501C1"/>
    <w:rsid w:val="00D5080E"/>
    <w:rsid w:val="00D515B7"/>
    <w:rsid w:val="00D5174F"/>
    <w:rsid w:val="00D51CBC"/>
    <w:rsid w:val="00D52BFC"/>
    <w:rsid w:val="00D53566"/>
    <w:rsid w:val="00D537AD"/>
    <w:rsid w:val="00D53827"/>
    <w:rsid w:val="00D545B2"/>
    <w:rsid w:val="00D550D3"/>
    <w:rsid w:val="00D55E4F"/>
    <w:rsid w:val="00D55F97"/>
    <w:rsid w:val="00D55FE9"/>
    <w:rsid w:val="00D5611B"/>
    <w:rsid w:val="00D5714C"/>
    <w:rsid w:val="00D602A8"/>
    <w:rsid w:val="00D61363"/>
    <w:rsid w:val="00D61721"/>
    <w:rsid w:val="00D6234A"/>
    <w:rsid w:val="00D623E5"/>
    <w:rsid w:val="00D633BF"/>
    <w:rsid w:val="00D64F0E"/>
    <w:rsid w:val="00D6505C"/>
    <w:rsid w:val="00D6595C"/>
    <w:rsid w:val="00D65D58"/>
    <w:rsid w:val="00D70C05"/>
    <w:rsid w:val="00D73562"/>
    <w:rsid w:val="00D76441"/>
    <w:rsid w:val="00D76599"/>
    <w:rsid w:val="00D80059"/>
    <w:rsid w:val="00D81CDE"/>
    <w:rsid w:val="00D834C3"/>
    <w:rsid w:val="00D83512"/>
    <w:rsid w:val="00D845EC"/>
    <w:rsid w:val="00D84C94"/>
    <w:rsid w:val="00D8598D"/>
    <w:rsid w:val="00D86069"/>
    <w:rsid w:val="00D87501"/>
    <w:rsid w:val="00D905A8"/>
    <w:rsid w:val="00D90692"/>
    <w:rsid w:val="00D90FF5"/>
    <w:rsid w:val="00D917DD"/>
    <w:rsid w:val="00D91D18"/>
    <w:rsid w:val="00D92A4D"/>
    <w:rsid w:val="00D93898"/>
    <w:rsid w:val="00D94023"/>
    <w:rsid w:val="00D941E7"/>
    <w:rsid w:val="00D94A8E"/>
    <w:rsid w:val="00D94B9D"/>
    <w:rsid w:val="00D95668"/>
    <w:rsid w:val="00D962B7"/>
    <w:rsid w:val="00D9672B"/>
    <w:rsid w:val="00D9736F"/>
    <w:rsid w:val="00DA1368"/>
    <w:rsid w:val="00DA1C14"/>
    <w:rsid w:val="00DA272B"/>
    <w:rsid w:val="00DA2D81"/>
    <w:rsid w:val="00DA3F0E"/>
    <w:rsid w:val="00DA43A9"/>
    <w:rsid w:val="00DA57CD"/>
    <w:rsid w:val="00DA5C19"/>
    <w:rsid w:val="00DA6051"/>
    <w:rsid w:val="00DA6F9A"/>
    <w:rsid w:val="00DA7FBF"/>
    <w:rsid w:val="00DB05F2"/>
    <w:rsid w:val="00DB1460"/>
    <w:rsid w:val="00DB1F37"/>
    <w:rsid w:val="00DB33B0"/>
    <w:rsid w:val="00DB404A"/>
    <w:rsid w:val="00DB4174"/>
    <w:rsid w:val="00DB42D0"/>
    <w:rsid w:val="00DB45A5"/>
    <w:rsid w:val="00DB4ACD"/>
    <w:rsid w:val="00DB51BD"/>
    <w:rsid w:val="00DB51C8"/>
    <w:rsid w:val="00DB5634"/>
    <w:rsid w:val="00DB72A8"/>
    <w:rsid w:val="00DB7BE3"/>
    <w:rsid w:val="00DC04A0"/>
    <w:rsid w:val="00DC0A91"/>
    <w:rsid w:val="00DC1116"/>
    <w:rsid w:val="00DC1637"/>
    <w:rsid w:val="00DC1AA3"/>
    <w:rsid w:val="00DC28B7"/>
    <w:rsid w:val="00DC3427"/>
    <w:rsid w:val="00DC3BF8"/>
    <w:rsid w:val="00DC40CB"/>
    <w:rsid w:val="00DC4275"/>
    <w:rsid w:val="00DC47E6"/>
    <w:rsid w:val="00DC5B3C"/>
    <w:rsid w:val="00DD0622"/>
    <w:rsid w:val="00DD0796"/>
    <w:rsid w:val="00DD1702"/>
    <w:rsid w:val="00DD2BC0"/>
    <w:rsid w:val="00DD4123"/>
    <w:rsid w:val="00DD4158"/>
    <w:rsid w:val="00DD48BB"/>
    <w:rsid w:val="00DD4C0B"/>
    <w:rsid w:val="00DD712C"/>
    <w:rsid w:val="00DD733F"/>
    <w:rsid w:val="00DE0FA4"/>
    <w:rsid w:val="00DE1D9B"/>
    <w:rsid w:val="00DE28E0"/>
    <w:rsid w:val="00DE3D29"/>
    <w:rsid w:val="00DE4593"/>
    <w:rsid w:val="00DE45CE"/>
    <w:rsid w:val="00DE50F1"/>
    <w:rsid w:val="00DE5B43"/>
    <w:rsid w:val="00DE6027"/>
    <w:rsid w:val="00DE6BD4"/>
    <w:rsid w:val="00DE6E5B"/>
    <w:rsid w:val="00DE6F23"/>
    <w:rsid w:val="00DE75D7"/>
    <w:rsid w:val="00DE7D27"/>
    <w:rsid w:val="00DE7E84"/>
    <w:rsid w:val="00DF0F0A"/>
    <w:rsid w:val="00DF100C"/>
    <w:rsid w:val="00DF2169"/>
    <w:rsid w:val="00DF2B06"/>
    <w:rsid w:val="00DF2B8E"/>
    <w:rsid w:val="00DF314A"/>
    <w:rsid w:val="00DF3804"/>
    <w:rsid w:val="00DF3C01"/>
    <w:rsid w:val="00DF3CEC"/>
    <w:rsid w:val="00DF3D0F"/>
    <w:rsid w:val="00DF4078"/>
    <w:rsid w:val="00DF44DB"/>
    <w:rsid w:val="00DF5474"/>
    <w:rsid w:val="00DF5B67"/>
    <w:rsid w:val="00DF5D16"/>
    <w:rsid w:val="00DF6093"/>
    <w:rsid w:val="00DF6652"/>
    <w:rsid w:val="00DF670F"/>
    <w:rsid w:val="00DF7927"/>
    <w:rsid w:val="00DF7B07"/>
    <w:rsid w:val="00DF7B5F"/>
    <w:rsid w:val="00DF7FF4"/>
    <w:rsid w:val="00E00688"/>
    <w:rsid w:val="00E01AD3"/>
    <w:rsid w:val="00E0332F"/>
    <w:rsid w:val="00E03841"/>
    <w:rsid w:val="00E0519F"/>
    <w:rsid w:val="00E05282"/>
    <w:rsid w:val="00E06A20"/>
    <w:rsid w:val="00E10580"/>
    <w:rsid w:val="00E108F2"/>
    <w:rsid w:val="00E10931"/>
    <w:rsid w:val="00E10CC6"/>
    <w:rsid w:val="00E11685"/>
    <w:rsid w:val="00E11B7D"/>
    <w:rsid w:val="00E133A9"/>
    <w:rsid w:val="00E14E0D"/>
    <w:rsid w:val="00E151B1"/>
    <w:rsid w:val="00E1606E"/>
    <w:rsid w:val="00E17192"/>
    <w:rsid w:val="00E2015C"/>
    <w:rsid w:val="00E20B09"/>
    <w:rsid w:val="00E20C0F"/>
    <w:rsid w:val="00E2267C"/>
    <w:rsid w:val="00E2317A"/>
    <w:rsid w:val="00E232E5"/>
    <w:rsid w:val="00E233ED"/>
    <w:rsid w:val="00E2448C"/>
    <w:rsid w:val="00E247FA"/>
    <w:rsid w:val="00E24F0E"/>
    <w:rsid w:val="00E25936"/>
    <w:rsid w:val="00E26572"/>
    <w:rsid w:val="00E26EFE"/>
    <w:rsid w:val="00E27E54"/>
    <w:rsid w:val="00E30732"/>
    <w:rsid w:val="00E308EC"/>
    <w:rsid w:val="00E30A41"/>
    <w:rsid w:val="00E30FEC"/>
    <w:rsid w:val="00E31C00"/>
    <w:rsid w:val="00E31DAC"/>
    <w:rsid w:val="00E31DED"/>
    <w:rsid w:val="00E31EDB"/>
    <w:rsid w:val="00E3256C"/>
    <w:rsid w:val="00E32FD8"/>
    <w:rsid w:val="00E357EC"/>
    <w:rsid w:val="00E359E9"/>
    <w:rsid w:val="00E36E96"/>
    <w:rsid w:val="00E37585"/>
    <w:rsid w:val="00E4072D"/>
    <w:rsid w:val="00E40A4A"/>
    <w:rsid w:val="00E40F4E"/>
    <w:rsid w:val="00E41C01"/>
    <w:rsid w:val="00E423E6"/>
    <w:rsid w:val="00E44538"/>
    <w:rsid w:val="00E44B30"/>
    <w:rsid w:val="00E44D92"/>
    <w:rsid w:val="00E4603C"/>
    <w:rsid w:val="00E47F3A"/>
    <w:rsid w:val="00E50537"/>
    <w:rsid w:val="00E5313E"/>
    <w:rsid w:val="00E53356"/>
    <w:rsid w:val="00E5458A"/>
    <w:rsid w:val="00E55527"/>
    <w:rsid w:val="00E55C27"/>
    <w:rsid w:val="00E5667E"/>
    <w:rsid w:val="00E566B6"/>
    <w:rsid w:val="00E56984"/>
    <w:rsid w:val="00E56CCE"/>
    <w:rsid w:val="00E57DCE"/>
    <w:rsid w:val="00E613C9"/>
    <w:rsid w:val="00E6190C"/>
    <w:rsid w:val="00E61DDF"/>
    <w:rsid w:val="00E62DB4"/>
    <w:rsid w:val="00E6364B"/>
    <w:rsid w:val="00E63725"/>
    <w:rsid w:val="00E649D8"/>
    <w:rsid w:val="00E701F8"/>
    <w:rsid w:val="00E718AD"/>
    <w:rsid w:val="00E71E67"/>
    <w:rsid w:val="00E728A0"/>
    <w:rsid w:val="00E72C5A"/>
    <w:rsid w:val="00E732DB"/>
    <w:rsid w:val="00E73437"/>
    <w:rsid w:val="00E74ACE"/>
    <w:rsid w:val="00E74D7E"/>
    <w:rsid w:val="00E76496"/>
    <w:rsid w:val="00E7759E"/>
    <w:rsid w:val="00E820B3"/>
    <w:rsid w:val="00E822A7"/>
    <w:rsid w:val="00E824E9"/>
    <w:rsid w:val="00E8272B"/>
    <w:rsid w:val="00E8288B"/>
    <w:rsid w:val="00E82E3E"/>
    <w:rsid w:val="00E833EF"/>
    <w:rsid w:val="00E834B2"/>
    <w:rsid w:val="00E8369D"/>
    <w:rsid w:val="00E836CD"/>
    <w:rsid w:val="00E83729"/>
    <w:rsid w:val="00E83B3C"/>
    <w:rsid w:val="00E841A8"/>
    <w:rsid w:val="00E849FC"/>
    <w:rsid w:val="00E85878"/>
    <w:rsid w:val="00E86B9D"/>
    <w:rsid w:val="00E87C86"/>
    <w:rsid w:val="00E901FE"/>
    <w:rsid w:val="00E92CAF"/>
    <w:rsid w:val="00E935DF"/>
    <w:rsid w:val="00E946AE"/>
    <w:rsid w:val="00E95F95"/>
    <w:rsid w:val="00E96343"/>
    <w:rsid w:val="00E96A6E"/>
    <w:rsid w:val="00E971DC"/>
    <w:rsid w:val="00E97DA6"/>
    <w:rsid w:val="00EA200C"/>
    <w:rsid w:val="00EA20AB"/>
    <w:rsid w:val="00EA2F22"/>
    <w:rsid w:val="00EA47CB"/>
    <w:rsid w:val="00EA4879"/>
    <w:rsid w:val="00EA66C5"/>
    <w:rsid w:val="00EA6E53"/>
    <w:rsid w:val="00EA78E3"/>
    <w:rsid w:val="00EA7935"/>
    <w:rsid w:val="00EA7E4D"/>
    <w:rsid w:val="00EB0519"/>
    <w:rsid w:val="00EB2F7A"/>
    <w:rsid w:val="00EB2FA9"/>
    <w:rsid w:val="00EB3739"/>
    <w:rsid w:val="00EB4052"/>
    <w:rsid w:val="00EB41E5"/>
    <w:rsid w:val="00EB4D9B"/>
    <w:rsid w:val="00EB4E78"/>
    <w:rsid w:val="00EB59EB"/>
    <w:rsid w:val="00EB7886"/>
    <w:rsid w:val="00EC15EA"/>
    <w:rsid w:val="00EC197F"/>
    <w:rsid w:val="00EC1F89"/>
    <w:rsid w:val="00EC2AB2"/>
    <w:rsid w:val="00EC3FD8"/>
    <w:rsid w:val="00EC51E6"/>
    <w:rsid w:val="00EC68C9"/>
    <w:rsid w:val="00ED0E13"/>
    <w:rsid w:val="00ED1A7E"/>
    <w:rsid w:val="00ED37DF"/>
    <w:rsid w:val="00ED543B"/>
    <w:rsid w:val="00ED5839"/>
    <w:rsid w:val="00ED6405"/>
    <w:rsid w:val="00ED6608"/>
    <w:rsid w:val="00ED69AA"/>
    <w:rsid w:val="00EE0D78"/>
    <w:rsid w:val="00EE1019"/>
    <w:rsid w:val="00EE28E2"/>
    <w:rsid w:val="00EE2FBA"/>
    <w:rsid w:val="00EE3C80"/>
    <w:rsid w:val="00EE4069"/>
    <w:rsid w:val="00EE4697"/>
    <w:rsid w:val="00EE57D5"/>
    <w:rsid w:val="00EE593C"/>
    <w:rsid w:val="00EE6624"/>
    <w:rsid w:val="00EE6FD3"/>
    <w:rsid w:val="00EE7C1E"/>
    <w:rsid w:val="00EF045C"/>
    <w:rsid w:val="00EF34C5"/>
    <w:rsid w:val="00EF4703"/>
    <w:rsid w:val="00EF508C"/>
    <w:rsid w:val="00EF52D8"/>
    <w:rsid w:val="00EF55B6"/>
    <w:rsid w:val="00EF58E5"/>
    <w:rsid w:val="00F0012F"/>
    <w:rsid w:val="00F002D1"/>
    <w:rsid w:val="00F00FBA"/>
    <w:rsid w:val="00F00FCE"/>
    <w:rsid w:val="00F01800"/>
    <w:rsid w:val="00F01CCD"/>
    <w:rsid w:val="00F0386E"/>
    <w:rsid w:val="00F04EEA"/>
    <w:rsid w:val="00F05283"/>
    <w:rsid w:val="00F05E38"/>
    <w:rsid w:val="00F10C95"/>
    <w:rsid w:val="00F10FF9"/>
    <w:rsid w:val="00F123A8"/>
    <w:rsid w:val="00F132A5"/>
    <w:rsid w:val="00F15927"/>
    <w:rsid w:val="00F15FAE"/>
    <w:rsid w:val="00F201EB"/>
    <w:rsid w:val="00F20D44"/>
    <w:rsid w:val="00F21B29"/>
    <w:rsid w:val="00F22042"/>
    <w:rsid w:val="00F24C12"/>
    <w:rsid w:val="00F25138"/>
    <w:rsid w:val="00F25160"/>
    <w:rsid w:val="00F25975"/>
    <w:rsid w:val="00F25E79"/>
    <w:rsid w:val="00F26392"/>
    <w:rsid w:val="00F26C03"/>
    <w:rsid w:val="00F26FF5"/>
    <w:rsid w:val="00F3013B"/>
    <w:rsid w:val="00F30476"/>
    <w:rsid w:val="00F308F3"/>
    <w:rsid w:val="00F31BC2"/>
    <w:rsid w:val="00F322FA"/>
    <w:rsid w:val="00F32688"/>
    <w:rsid w:val="00F327F9"/>
    <w:rsid w:val="00F32F2D"/>
    <w:rsid w:val="00F335A8"/>
    <w:rsid w:val="00F34106"/>
    <w:rsid w:val="00F34749"/>
    <w:rsid w:val="00F3509A"/>
    <w:rsid w:val="00F35795"/>
    <w:rsid w:val="00F357CB"/>
    <w:rsid w:val="00F35B85"/>
    <w:rsid w:val="00F4051A"/>
    <w:rsid w:val="00F40978"/>
    <w:rsid w:val="00F40EEF"/>
    <w:rsid w:val="00F426F9"/>
    <w:rsid w:val="00F44836"/>
    <w:rsid w:val="00F448EB"/>
    <w:rsid w:val="00F45223"/>
    <w:rsid w:val="00F45496"/>
    <w:rsid w:val="00F4671B"/>
    <w:rsid w:val="00F4715B"/>
    <w:rsid w:val="00F47976"/>
    <w:rsid w:val="00F51863"/>
    <w:rsid w:val="00F53049"/>
    <w:rsid w:val="00F54F2A"/>
    <w:rsid w:val="00F5559C"/>
    <w:rsid w:val="00F60B31"/>
    <w:rsid w:val="00F6113F"/>
    <w:rsid w:val="00F6120D"/>
    <w:rsid w:val="00F61A98"/>
    <w:rsid w:val="00F61D34"/>
    <w:rsid w:val="00F6207C"/>
    <w:rsid w:val="00F62870"/>
    <w:rsid w:val="00F644B2"/>
    <w:rsid w:val="00F660C2"/>
    <w:rsid w:val="00F6692B"/>
    <w:rsid w:val="00F669DD"/>
    <w:rsid w:val="00F67A32"/>
    <w:rsid w:val="00F67F81"/>
    <w:rsid w:val="00F71746"/>
    <w:rsid w:val="00F71BE8"/>
    <w:rsid w:val="00F728C1"/>
    <w:rsid w:val="00F72964"/>
    <w:rsid w:val="00F7311D"/>
    <w:rsid w:val="00F769D9"/>
    <w:rsid w:val="00F772DD"/>
    <w:rsid w:val="00F77D26"/>
    <w:rsid w:val="00F77EC7"/>
    <w:rsid w:val="00F80227"/>
    <w:rsid w:val="00F8211E"/>
    <w:rsid w:val="00F824D9"/>
    <w:rsid w:val="00F83ACA"/>
    <w:rsid w:val="00F83F77"/>
    <w:rsid w:val="00F84D8A"/>
    <w:rsid w:val="00F850C4"/>
    <w:rsid w:val="00F85340"/>
    <w:rsid w:val="00F85882"/>
    <w:rsid w:val="00F85C9F"/>
    <w:rsid w:val="00F85F28"/>
    <w:rsid w:val="00F86375"/>
    <w:rsid w:val="00F91B4B"/>
    <w:rsid w:val="00F925EC"/>
    <w:rsid w:val="00F9439A"/>
    <w:rsid w:val="00F95094"/>
    <w:rsid w:val="00F95DBF"/>
    <w:rsid w:val="00F96E28"/>
    <w:rsid w:val="00F97B42"/>
    <w:rsid w:val="00FA02B2"/>
    <w:rsid w:val="00FA0A95"/>
    <w:rsid w:val="00FA0B70"/>
    <w:rsid w:val="00FA10A4"/>
    <w:rsid w:val="00FA1B1B"/>
    <w:rsid w:val="00FA2448"/>
    <w:rsid w:val="00FA2B41"/>
    <w:rsid w:val="00FA4E44"/>
    <w:rsid w:val="00FA53B6"/>
    <w:rsid w:val="00FA5C69"/>
    <w:rsid w:val="00FA66C3"/>
    <w:rsid w:val="00FA7325"/>
    <w:rsid w:val="00FB01BD"/>
    <w:rsid w:val="00FB0B32"/>
    <w:rsid w:val="00FB0E45"/>
    <w:rsid w:val="00FB1469"/>
    <w:rsid w:val="00FB1764"/>
    <w:rsid w:val="00FB215A"/>
    <w:rsid w:val="00FB4F94"/>
    <w:rsid w:val="00FB54A8"/>
    <w:rsid w:val="00FB60DA"/>
    <w:rsid w:val="00FB6259"/>
    <w:rsid w:val="00FB695F"/>
    <w:rsid w:val="00FB696D"/>
    <w:rsid w:val="00FB69E7"/>
    <w:rsid w:val="00FB6F8E"/>
    <w:rsid w:val="00FC092A"/>
    <w:rsid w:val="00FC1016"/>
    <w:rsid w:val="00FC26EF"/>
    <w:rsid w:val="00FC29FF"/>
    <w:rsid w:val="00FC335A"/>
    <w:rsid w:val="00FC3AE1"/>
    <w:rsid w:val="00FC3D35"/>
    <w:rsid w:val="00FC4D9F"/>
    <w:rsid w:val="00FC6D47"/>
    <w:rsid w:val="00FD0E2B"/>
    <w:rsid w:val="00FD0E43"/>
    <w:rsid w:val="00FD157D"/>
    <w:rsid w:val="00FD251D"/>
    <w:rsid w:val="00FD2D85"/>
    <w:rsid w:val="00FD324E"/>
    <w:rsid w:val="00FD32BC"/>
    <w:rsid w:val="00FD46F5"/>
    <w:rsid w:val="00FD5C46"/>
    <w:rsid w:val="00FD7510"/>
    <w:rsid w:val="00FD7EEB"/>
    <w:rsid w:val="00FE473B"/>
    <w:rsid w:val="00FE5987"/>
    <w:rsid w:val="00FE634A"/>
    <w:rsid w:val="00FE65B4"/>
    <w:rsid w:val="00FE7598"/>
    <w:rsid w:val="00FF0ABE"/>
    <w:rsid w:val="00FF3AB1"/>
    <w:rsid w:val="00FF57B3"/>
    <w:rsid w:val="00FF5B82"/>
    <w:rsid w:val="00FF669E"/>
    <w:rsid w:val="00FF69EE"/>
    <w:rsid w:val="00FF6CED"/>
    <w:rsid w:val="00FF6D15"/>
    <w:rsid w:val="00FF71E5"/>
    <w:rsid w:val="00FF731C"/>
    <w:rsid w:val="01311F3D"/>
    <w:rsid w:val="013F735F"/>
    <w:rsid w:val="015679D0"/>
    <w:rsid w:val="017E5FA0"/>
    <w:rsid w:val="01A53419"/>
    <w:rsid w:val="01E52B01"/>
    <w:rsid w:val="01EB59D0"/>
    <w:rsid w:val="01F44F56"/>
    <w:rsid w:val="023F346F"/>
    <w:rsid w:val="02566538"/>
    <w:rsid w:val="02622B6B"/>
    <w:rsid w:val="02CF7A3A"/>
    <w:rsid w:val="030D40BE"/>
    <w:rsid w:val="034322D8"/>
    <w:rsid w:val="035E4919"/>
    <w:rsid w:val="037C45BD"/>
    <w:rsid w:val="039C62BB"/>
    <w:rsid w:val="03AB3E06"/>
    <w:rsid w:val="03D53940"/>
    <w:rsid w:val="03F714C0"/>
    <w:rsid w:val="03FE6BFB"/>
    <w:rsid w:val="040102A1"/>
    <w:rsid w:val="04321A8E"/>
    <w:rsid w:val="0456553E"/>
    <w:rsid w:val="04752428"/>
    <w:rsid w:val="04782A92"/>
    <w:rsid w:val="048209F9"/>
    <w:rsid w:val="04943C45"/>
    <w:rsid w:val="04CF161A"/>
    <w:rsid w:val="054D442D"/>
    <w:rsid w:val="055931ED"/>
    <w:rsid w:val="0589724D"/>
    <w:rsid w:val="059C63A2"/>
    <w:rsid w:val="05CE33D2"/>
    <w:rsid w:val="05D91442"/>
    <w:rsid w:val="05E13206"/>
    <w:rsid w:val="06201768"/>
    <w:rsid w:val="06473B37"/>
    <w:rsid w:val="066513C2"/>
    <w:rsid w:val="06EE7052"/>
    <w:rsid w:val="06FB5A44"/>
    <w:rsid w:val="07486F01"/>
    <w:rsid w:val="07717883"/>
    <w:rsid w:val="077C1812"/>
    <w:rsid w:val="077F3B83"/>
    <w:rsid w:val="07AF5D2D"/>
    <w:rsid w:val="07B47EF2"/>
    <w:rsid w:val="07D548EA"/>
    <w:rsid w:val="081128A2"/>
    <w:rsid w:val="081B617C"/>
    <w:rsid w:val="082C0402"/>
    <w:rsid w:val="085674CA"/>
    <w:rsid w:val="085A4030"/>
    <w:rsid w:val="087005A3"/>
    <w:rsid w:val="089A0C48"/>
    <w:rsid w:val="089C089C"/>
    <w:rsid w:val="08AA6ACE"/>
    <w:rsid w:val="090B4CE4"/>
    <w:rsid w:val="09163C38"/>
    <w:rsid w:val="0926142C"/>
    <w:rsid w:val="09387E3F"/>
    <w:rsid w:val="09744DC4"/>
    <w:rsid w:val="097924AD"/>
    <w:rsid w:val="09806A03"/>
    <w:rsid w:val="098D5F59"/>
    <w:rsid w:val="09910E2E"/>
    <w:rsid w:val="099C0E4D"/>
    <w:rsid w:val="0A2543E3"/>
    <w:rsid w:val="0A50389C"/>
    <w:rsid w:val="0A7F090E"/>
    <w:rsid w:val="0A8E371A"/>
    <w:rsid w:val="0AE0030A"/>
    <w:rsid w:val="0AE92500"/>
    <w:rsid w:val="0B307BB0"/>
    <w:rsid w:val="0B3C3D96"/>
    <w:rsid w:val="0B3F1281"/>
    <w:rsid w:val="0B41349E"/>
    <w:rsid w:val="0B5E79EE"/>
    <w:rsid w:val="0B64686E"/>
    <w:rsid w:val="0B7C019F"/>
    <w:rsid w:val="0B807782"/>
    <w:rsid w:val="0B840D53"/>
    <w:rsid w:val="0B84781F"/>
    <w:rsid w:val="0B8E5FB8"/>
    <w:rsid w:val="0BB2003B"/>
    <w:rsid w:val="0BE5308B"/>
    <w:rsid w:val="0C676801"/>
    <w:rsid w:val="0C9B6AD3"/>
    <w:rsid w:val="0CD43E9E"/>
    <w:rsid w:val="0D021573"/>
    <w:rsid w:val="0D3C2AE2"/>
    <w:rsid w:val="0D456A0C"/>
    <w:rsid w:val="0D6313CC"/>
    <w:rsid w:val="0D836996"/>
    <w:rsid w:val="0DA76B8C"/>
    <w:rsid w:val="0DC21C11"/>
    <w:rsid w:val="0DC5249D"/>
    <w:rsid w:val="0DF20A80"/>
    <w:rsid w:val="0E225C0E"/>
    <w:rsid w:val="0E824B4F"/>
    <w:rsid w:val="0EBE7A7C"/>
    <w:rsid w:val="0ECD6C54"/>
    <w:rsid w:val="0EE33BC8"/>
    <w:rsid w:val="0EE70B66"/>
    <w:rsid w:val="0F087E2F"/>
    <w:rsid w:val="0F1F1A94"/>
    <w:rsid w:val="0F42031C"/>
    <w:rsid w:val="0F4B5E65"/>
    <w:rsid w:val="0F7756E1"/>
    <w:rsid w:val="0F7E4124"/>
    <w:rsid w:val="0F9E459C"/>
    <w:rsid w:val="0FB655E2"/>
    <w:rsid w:val="0FD033A5"/>
    <w:rsid w:val="0FDE28B8"/>
    <w:rsid w:val="0FE433AE"/>
    <w:rsid w:val="10347DDA"/>
    <w:rsid w:val="103C0024"/>
    <w:rsid w:val="10493950"/>
    <w:rsid w:val="10A67D76"/>
    <w:rsid w:val="10BA5579"/>
    <w:rsid w:val="10BB3099"/>
    <w:rsid w:val="10C63350"/>
    <w:rsid w:val="10E56288"/>
    <w:rsid w:val="10E87F18"/>
    <w:rsid w:val="117005E1"/>
    <w:rsid w:val="118004CD"/>
    <w:rsid w:val="11873F88"/>
    <w:rsid w:val="11AE3538"/>
    <w:rsid w:val="11C313AA"/>
    <w:rsid w:val="11D3291E"/>
    <w:rsid w:val="11D630C1"/>
    <w:rsid w:val="11EE77B0"/>
    <w:rsid w:val="120F3D25"/>
    <w:rsid w:val="122B4561"/>
    <w:rsid w:val="123D5A3B"/>
    <w:rsid w:val="12443874"/>
    <w:rsid w:val="12676DB2"/>
    <w:rsid w:val="128B4DFC"/>
    <w:rsid w:val="129C545E"/>
    <w:rsid w:val="12C17203"/>
    <w:rsid w:val="12D917B3"/>
    <w:rsid w:val="12DA7079"/>
    <w:rsid w:val="132961DA"/>
    <w:rsid w:val="139A0790"/>
    <w:rsid w:val="13D40B3A"/>
    <w:rsid w:val="13FB46DC"/>
    <w:rsid w:val="142A14BF"/>
    <w:rsid w:val="1437543F"/>
    <w:rsid w:val="148D18C5"/>
    <w:rsid w:val="15063BF2"/>
    <w:rsid w:val="150E2930"/>
    <w:rsid w:val="15181B26"/>
    <w:rsid w:val="15211E6B"/>
    <w:rsid w:val="152A7DFB"/>
    <w:rsid w:val="15D44118"/>
    <w:rsid w:val="15E2587E"/>
    <w:rsid w:val="1613137D"/>
    <w:rsid w:val="164D33D3"/>
    <w:rsid w:val="166C2659"/>
    <w:rsid w:val="16E6024B"/>
    <w:rsid w:val="17092A3C"/>
    <w:rsid w:val="175207E1"/>
    <w:rsid w:val="17617FA6"/>
    <w:rsid w:val="17A734EA"/>
    <w:rsid w:val="17C47F3C"/>
    <w:rsid w:val="17CE00E6"/>
    <w:rsid w:val="17E01949"/>
    <w:rsid w:val="183B293C"/>
    <w:rsid w:val="188F43B6"/>
    <w:rsid w:val="18A62B93"/>
    <w:rsid w:val="18A7344F"/>
    <w:rsid w:val="18CD0FA6"/>
    <w:rsid w:val="18D442BF"/>
    <w:rsid w:val="18D53E88"/>
    <w:rsid w:val="18E510DE"/>
    <w:rsid w:val="19203540"/>
    <w:rsid w:val="194303E2"/>
    <w:rsid w:val="1951362A"/>
    <w:rsid w:val="19A35324"/>
    <w:rsid w:val="19BD21D6"/>
    <w:rsid w:val="19BF638E"/>
    <w:rsid w:val="19CD47C9"/>
    <w:rsid w:val="19DE1A34"/>
    <w:rsid w:val="1A1B05E2"/>
    <w:rsid w:val="1A2D39DC"/>
    <w:rsid w:val="1A4E7FF7"/>
    <w:rsid w:val="1A534E56"/>
    <w:rsid w:val="1A5F07D0"/>
    <w:rsid w:val="1A7356F7"/>
    <w:rsid w:val="1A756CC1"/>
    <w:rsid w:val="1A8707A2"/>
    <w:rsid w:val="1AD37D14"/>
    <w:rsid w:val="1AFF1CF0"/>
    <w:rsid w:val="1B1177A6"/>
    <w:rsid w:val="1B3F2D1E"/>
    <w:rsid w:val="1B575003"/>
    <w:rsid w:val="1B6A0EC5"/>
    <w:rsid w:val="1BD03211"/>
    <w:rsid w:val="1BF20A41"/>
    <w:rsid w:val="1C404A5D"/>
    <w:rsid w:val="1C4C3A51"/>
    <w:rsid w:val="1C5B538D"/>
    <w:rsid w:val="1C95124B"/>
    <w:rsid w:val="1C9A0C60"/>
    <w:rsid w:val="1CA66697"/>
    <w:rsid w:val="1CB24048"/>
    <w:rsid w:val="1CF2284B"/>
    <w:rsid w:val="1CF31A47"/>
    <w:rsid w:val="1CFA2F33"/>
    <w:rsid w:val="1D0147A1"/>
    <w:rsid w:val="1D8D1A83"/>
    <w:rsid w:val="1D963000"/>
    <w:rsid w:val="1DDE5273"/>
    <w:rsid w:val="1E0E02C8"/>
    <w:rsid w:val="1E154B46"/>
    <w:rsid w:val="1E543091"/>
    <w:rsid w:val="1E7A5FA4"/>
    <w:rsid w:val="1E935980"/>
    <w:rsid w:val="1E9A1899"/>
    <w:rsid w:val="1EAC4B51"/>
    <w:rsid w:val="1EF910A7"/>
    <w:rsid w:val="1F2C3CB4"/>
    <w:rsid w:val="1F3F5737"/>
    <w:rsid w:val="1F3F72E2"/>
    <w:rsid w:val="1F517F08"/>
    <w:rsid w:val="1F5741F4"/>
    <w:rsid w:val="1F5D3872"/>
    <w:rsid w:val="1F714CF4"/>
    <w:rsid w:val="1FA33522"/>
    <w:rsid w:val="1FC85BF8"/>
    <w:rsid w:val="1FD55385"/>
    <w:rsid w:val="1FE30229"/>
    <w:rsid w:val="20067F5F"/>
    <w:rsid w:val="20216FA3"/>
    <w:rsid w:val="20A82C0F"/>
    <w:rsid w:val="20B147CB"/>
    <w:rsid w:val="20C35293"/>
    <w:rsid w:val="20FD1F1D"/>
    <w:rsid w:val="211E1A56"/>
    <w:rsid w:val="211F6080"/>
    <w:rsid w:val="21362351"/>
    <w:rsid w:val="21AC377A"/>
    <w:rsid w:val="21CF1755"/>
    <w:rsid w:val="220B1CB9"/>
    <w:rsid w:val="22364F87"/>
    <w:rsid w:val="224022CC"/>
    <w:rsid w:val="22C26BEC"/>
    <w:rsid w:val="22D2747C"/>
    <w:rsid w:val="23005194"/>
    <w:rsid w:val="23197759"/>
    <w:rsid w:val="23272591"/>
    <w:rsid w:val="235E77C5"/>
    <w:rsid w:val="23951173"/>
    <w:rsid w:val="23AE6533"/>
    <w:rsid w:val="23B153DA"/>
    <w:rsid w:val="24594830"/>
    <w:rsid w:val="2489674A"/>
    <w:rsid w:val="248D5A9D"/>
    <w:rsid w:val="24A3267C"/>
    <w:rsid w:val="24A64FC5"/>
    <w:rsid w:val="24AC1531"/>
    <w:rsid w:val="24C026C5"/>
    <w:rsid w:val="24E86A98"/>
    <w:rsid w:val="24EB6602"/>
    <w:rsid w:val="24F14503"/>
    <w:rsid w:val="251B7EAD"/>
    <w:rsid w:val="251D3B37"/>
    <w:rsid w:val="25217E92"/>
    <w:rsid w:val="25237319"/>
    <w:rsid w:val="252A7720"/>
    <w:rsid w:val="25B60C44"/>
    <w:rsid w:val="25C654E9"/>
    <w:rsid w:val="25D16D75"/>
    <w:rsid w:val="25E3069C"/>
    <w:rsid w:val="261C34CA"/>
    <w:rsid w:val="26230762"/>
    <w:rsid w:val="26292284"/>
    <w:rsid w:val="263C0EA7"/>
    <w:rsid w:val="265A34A1"/>
    <w:rsid w:val="26604F22"/>
    <w:rsid w:val="26DB60FD"/>
    <w:rsid w:val="26E05096"/>
    <w:rsid w:val="27103991"/>
    <w:rsid w:val="27427F2B"/>
    <w:rsid w:val="27816EEA"/>
    <w:rsid w:val="27A1608A"/>
    <w:rsid w:val="27C37D05"/>
    <w:rsid w:val="27D46D00"/>
    <w:rsid w:val="27F82C14"/>
    <w:rsid w:val="28083BBE"/>
    <w:rsid w:val="281B1ED7"/>
    <w:rsid w:val="28380382"/>
    <w:rsid w:val="28733EF4"/>
    <w:rsid w:val="288B2316"/>
    <w:rsid w:val="28976F15"/>
    <w:rsid w:val="28F51BB6"/>
    <w:rsid w:val="29212C91"/>
    <w:rsid w:val="29EA4D09"/>
    <w:rsid w:val="2A1D6EBF"/>
    <w:rsid w:val="2A2303E8"/>
    <w:rsid w:val="2A3D0428"/>
    <w:rsid w:val="2A6F173E"/>
    <w:rsid w:val="2ADC4B73"/>
    <w:rsid w:val="2AE74044"/>
    <w:rsid w:val="2B172D9E"/>
    <w:rsid w:val="2B370709"/>
    <w:rsid w:val="2B457FE9"/>
    <w:rsid w:val="2BAB4143"/>
    <w:rsid w:val="2BDE10FA"/>
    <w:rsid w:val="2BF35EF6"/>
    <w:rsid w:val="2C036AF1"/>
    <w:rsid w:val="2C58770E"/>
    <w:rsid w:val="2C916931"/>
    <w:rsid w:val="2C931228"/>
    <w:rsid w:val="2C944EC5"/>
    <w:rsid w:val="2CB40CB5"/>
    <w:rsid w:val="2CE6500F"/>
    <w:rsid w:val="2D0D01B5"/>
    <w:rsid w:val="2D134AFD"/>
    <w:rsid w:val="2D1479B8"/>
    <w:rsid w:val="2D9F25F3"/>
    <w:rsid w:val="2DC0604D"/>
    <w:rsid w:val="2DD35392"/>
    <w:rsid w:val="2DE30E14"/>
    <w:rsid w:val="2DED3263"/>
    <w:rsid w:val="2DF36112"/>
    <w:rsid w:val="2E045F3A"/>
    <w:rsid w:val="2E0B07BF"/>
    <w:rsid w:val="2E220B90"/>
    <w:rsid w:val="2E60104E"/>
    <w:rsid w:val="2EB90EC5"/>
    <w:rsid w:val="2F2C7CAB"/>
    <w:rsid w:val="2F57227D"/>
    <w:rsid w:val="2F64265C"/>
    <w:rsid w:val="2F8A06C1"/>
    <w:rsid w:val="2FA14133"/>
    <w:rsid w:val="2FA21EAE"/>
    <w:rsid w:val="30507097"/>
    <w:rsid w:val="30694211"/>
    <w:rsid w:val="30993661"/>
    <w:rsid w:val="309D67EB"/>
    <w:rsid w:val="30A71FA3"/>
    <w:rsid w:val="30B005FB"/>
    <w:rsid w:val="30B043F1"/>
    <w:rsid w:val="31570A76"/>
    <w:rsid w:val="31697DA5"/>
    <w:rsid w:val="317725F7"/>
    <w:rsid w:val="31795546"/>
    <w:rsid w:val="317B3BF6"/>
    <w:rsid w:val="317F67C4"/>
    <w:rsid w:val="31A812D2"/>
    <w:rsid w:val="3231294E"/>
    <w:rsid w:val="32325BB0"/>
    <w:rsid w:val="324B1799"/>
    <w:rsid w:val="325A215D"/>
    <w:rsid w:val="325F1EA9"/>
    <w:rsid w:val="326F7902"/>
    <w:rsid w:val="327423D7"/>
    <w:rsid w:val="32803FFD"/>
    <w:rsid w:val="32853C6C"/>
    <w:rsid w:val="32AB328A"/>
    <w:rsid w:val="32BC0B07"/>
    <w:rsid w:val="32EB7412"/>
    <w:rsid w:val="330B3D90"/>
    <w:rsid w:val="336B12A9"/>
    <w:rsid w:val="337C6CAE"/>
    <w:rsid w:val="338007D6"/>
    <w:rsid w:val="3389765A"/>
    <w:rsid w:val="338B4A07"/>
    <w:rsid w:val="33922727"/>
    <w:rsid w:val="33AF226D"/>
    <w:rsid w:val="33C77EFA"/>
    <w:rsid w:val="33D657CF"/>
    <w:rsid w:val="33E535F9"/>
    <w:rsid w:val="33FB52D6"/>
    <w:rsid w:val="3429675C"/>
    <w:rsid w:val="342E06DA"/>
    <w:rsid w:val="342F7A89"/>
    <w:rsid w:val="34306DE0"/>
    <w:rsid w:val="346C2A8B"/>
    <w:rsid w:val="34834112"/>
    <w:rsid w:val="35415CC5"/>
    <w:rsid w:val="35A02B88"/>
    <w:rsid w:val="35D018FF"/>
    <w:rsid w:val="35D714F6"/>
    <w:rsid w:val="35E127D8"/>
    <w:rsid w:val="35F44EA1"/>
    <w:rsid w:val="35FB40C6"/>
    <w:rsid w:val="36B70756"/>
    <w:rsid w:val="36D93D4C"/>
    <w:rsid w:val="37182972"/>
    <w:rsid w:val="379B7E94"/>
    <w:rsid w:val="37B53B30"/>
    <w:rsid w:val="37B90BC3"/>
    <w:rsid w:val="37CF4674"/>
    <w:rsid w:val="38351B3D"/>
    <w:rsid w:val="383E294A"/>
    <w:rsid w:val="38490E34"/>
    <w:rsid w:val="385C69BF"/>
    <w:rsid w:val="38791A2C"/>
    <w:rsid w:val="387F453F"/>
    <w:rsid w:val="38816209"/>
    <w:rsid w:val="388F473E"/>
    <w:rsid w:val="388F672D"/>
    <w:rsid w:val="38E10E00"/>
    <w:rsid w:val="390315C3"/>
    <w:rsid w:val="391A2EF5"/>
    <w:rsid w:val="3949388F"/>
    <w:rsid w:val="395A6EB7"/>
    <w:rsid w:val="395B12C8"/>
    <w:rsid w:val="39D9551B"/>
    <w:rsid w:val="3A203E5E"/>
    <w:rsid w:val="3A3E72EA"/>
    <w:rsid w:val="3A4D0F04"/>
    <w:rsid w:val="3A536604"/>
    <w:rsid w:val="3A9E4827"/>
    <w:rsid w:val="3B301D08"/>
    <w:rsid w:val="3B450995"/>
    <w:rsid w:val="3BD36B3D"/>
    <w:rsid w:val="3BDF1D94"/>
    <w:rsid w:val="3BEA1414"/>
    <w:rsid w:val="3BED6453"/>
    <w:rsid w:val="3BFC64A2"/>
    <w:rsid w:val="3C12689F"/>
    <w:rsid w:val="3C217899"/>
    <w:rsid w:val="3C2974B3"/>
    <w:rsid w:val="3C37572C"/>
    <w:rsid w:val="3C437D23"/>
    <w:rsid w:val="3C4A11DB"/>
    <w:rsid w:val="3CA958D3"/>
    <w:rsid w:val="3CC456D9"/>
    <w:rsid w:val="3D0F2E1A"/>
    <w:rsid w:val="3D142D4A"/>
    <w:rsid w:val="3D1A4F5B"/>
    <w:rsid w:val="3D2202F9"/>
    <w:rsid w:val="3D3A2F2B"/>
    <w:rsid w:val="3D483E07"/>
    <w:rsid w:val="3D5432BF"/>
    <w:rsid w:val="3D621F8B"/>
    <w:rsid w:val="3D736488"/>
    <w:rsid w:val="3D9629E1"/>
    <w:rsid w:val="3DB90469"/>
    <w:rsid w:val="3DDD1EC8"/>
    <w:rsid w:val="3E2E59D9"/>
    <w:rsid w:val="3E7E26E2"/>
    <w:rsid w:val="3EA873A4"/>
    <w:rsid w:val="3EC7146C"/>
    <w:rsid w:val="3EDE6EF5"/>
    <w:rsid w:val="3EF21C8C"/>
    <w:rsid w:val="3EF30EDC"/>
    <w:rsid w:val="3F0C4B17"/>
    <w:rsid w:val="3F2D070E"/>
    <w:rsid w:val="3F3643C1"/>
    <w:rsid w:val="3F53152F"/>
    <w:rsid w:val="3F817BE4"/>
    <w:rsid w:val="3F9E6A49"/>
    <w:rsid w:val="3FA330D9"/>
    <w:rsid w:val="3FBD00D2"/>
    <w:rsid w:val="3FBF16B8"/>
    <w:rsid w:val="3FBF18DF"/>
    <w:rsid w:val="3FDD2A8F"/>
    <w:rsid w:val="3FF0291E"/>
    <w:rsid w:val="40112F7D"/>
    <w:rsid w:val="402276FD"/>
    <w:rsid w:val="40931445"/>
    <w:rsid w:val="40995CE3"/>
    <w:rsid w:val="40D93775"/>
    <w:rsid w:val="40F0234E"/>
    <w:rsid w:val="41575155"/>
    <w:rsid w:val="417B437E"/>
    <w:rsid w:val="41AA2048"/>
    <w:rsid w:val="41E60D17"/>
    <w:rsid w:val="4210269B"/>
    <w:rsid w:val="423F21F9"/>
    <w:rsid w:val="425F59DD"/>
    <w:rsid w:val="428C42F8"/>
    <w:rsid w:val="42A3717D"/>
    <w:rsid w:val="42AF75CC"/>
    <w:rsid w:val="42B93DF6"/>
    <w:rsid w:val="42F44377"/>
    <w:rsid w:val="4335163C"/>
    <w:rsid w:val="433A6AC3"/>
    <w:rsid w:val="43422D96"/>
    <w:rsid w:val="43631571"/>
    <w:rsid w:val="43B843A8"/>
    <w:rsid w:val="43C008B6"/>
    <w:rsid w:val="43C73455"/>
    <w:rsid w:val="43CE0B88"/>
    <w:rsid w:val="43F16B09"/>
    <w:rsid w:val="43F33B32"/>
    <w:rsid w:val="440E0077"/>
    <w:rsid w:val="442408ED"/>
    <w:rsid w:val="44336610"/>
    <w:rsid w:val="444F59C6"/>
    <w:rsid w:val="447509F7"/>
    <w:rsid w:val="448923E4"/>
    <w:rsid w:val="44AA0814"/>
    <w:rsid w:val="44ED51F3"/>
    <w:rsid w:val="44FC4DBF"/>
    <w:rsid w:val="45236371"/>
    <w:rsid w:val="452473A6"/>
    <w:rsid w:val="454A7DF9"/>
    <w:rsid w:val="45505AB1"/>
    <w:rsid w:val="457D7D99"/>
    <w:rsid w:val="45850A6B"/>
    <w:rsid w:val="45BE46BD"/>
    <w:rsid w:val="45E4086F"/>
    <w:rsid w:val="46737837"/>
    <w:rsid w:val="4678532D"/>
    <w:rsid w:val="46950804"/>
    <w:rsid w:val="46961745"/>
    <w:rsid w:val="46DF61BF"/>
    <w:rsid w:val="47036CC5"/>
    <w:rsid w:val="47040901"/>
    <w:rsid w:val="47046934"/>
    <w:rsid w:val="471026EE"/>
    <w:rsid w:val="471A27A5"/>
    <w:rsid w:val="47384FCA"/>
    <w:rsid w:val="473E2065"/>
    <w:rsid w:val="473F3341"/>
    <w:rsid w:val="475C4B4F"/>
    <w:rsid w:val="47601BAF"/>
    <w:rsid w:val="4785651B"/>
    <w:rsid w:val="478C1419"/>
    <w:rsid w:val="47A34535"/>
    <w:rsid w:val="47D92B36"/>
    <w:rsid w:val="47F64484"/>
    <w:rsid w:val="482527D2"/>
    <w:rsid w:val="48270D4B"/>
    <w:rsid w:val="486D33AE"/>
    <w:rsid w:val="488C1473"/>
    <w:rsid w:val="48AC2232"/>
    <w:rsid w:val="48B24DAB"/>
    <w:rsid w:val="48BE3A71"/>
    <w:rsid w:val="48FA2F74"/>
    <w:rsid w:val="4910358D"/>
    <w:rsid w:val="4911706F"/>
    <w:rsid w:val="4920754E"/>
    <w:rsid w:val="498C0B02"/>
    <w:rsid w:val="49CF5583"/>
    <w:rsid w:val="49D4280C"/>
    <w:rsid w:val="49D9230E"/>
    <w:rsid w:val="49E07403"/>
    <w:rsid w:val="49F72FAB"/>
    <w:rsid w:val="4A375616"/>
    <w:rsid w:val="4A694476"/>
    <w:rsid w:val="4AC46064"/>
    <w:rsid w:val="4AD05E05"/>
    <w:rsid w:val="4B036573"/>
    <w:rsid w:val="4B1A6945"/>
    <w:rsid w:val="4B373FDA"/>
    <w:rsid w:val="4B3B6AAB"/>
    <w:rsid w:val="4B6F670D"/>
    <w:rsid w:val="4B8E38B2"/>
    <w:rsid w:val="4BB24502"/>
    <w:rsid w:val="4BE3740F"/>
    <w:rsid w:val="4C40062D"/>
    <w:rsid w:val="4C413C47"/>
    <w:rsid w:val="4C540A56"/>
    <w:rsid w:val="4C63256E"/>
    <w:rsid w:val="4C892B3E"/>
    <w:rsid w:val="4C9372CB"/>
    <w:rsid w:val="4CA74208"/>
    <w:rsid w:val="4CC03A00"/>
    <w:rsid w:val="4CCA7773"/>
    <w:rsid w:val="4CCB3661"/>
    <w:rsid w:val="4CE4720A"/>
    <w:rsid w:val="4CE52581"/>
    <w:rsid w:val="4CEA1F1E"/>
    <w:rsid w:val="4CEE1E37"/>
    <w:rsid w:val="4D0D5428"/>
    <w:rsid w:val="4D20522B"/>
    <w:rsid w:val="4D215BE0"/>
    <w:rsid w:val="4D2E777B"/>
    <w:rsid w:val="4D3E480E"/>
    <w:rsid w:val="4D472B45"/>
    <w:rsid w:val="4D622974"/>
    <w:rsid w:val="4DA5597D"/>
    <w:rsid w:val="4E092CA1"/>
    <w:rsid w:val="4E631828"/>
    <w:rsid w:val="4EB3158A"/>
    <w:rsid w:val="4EC053AE"/>
    <w:rsid w:val="4EE54664"/>
    <w:rsid w:val="4F147B4F"/>
    <w:rsid w:val="4F461D0E"/>
    <w:rsid w:val="4F471CD3"/>
    <w:rsid w:val="4F494233"/>
    <w:rsid w:val="4F642892"/>
    <w:rsid w:val="4F7D4447"/>
    <w:rsid w:val="4FAA68F6"/>
    <w:rsid w:val="4FBA4D74"/>
    <w:rsid w:val="4FEC2016"/>
    <w:rsid w:val="4FFA6D45"/>
    <w:rsid w:val="50265D8C"/>
    <w:rsid w:val="50273BC0"/>
    <w:rsid w:val="5067643A"/>
    <w:rsid w:val="506A1680"/>
    <w:rsid w:val="506D4E7D"/>
    <w:rsid w:val="508C0A4E"/>
    <w:rsid w:val="508D5E0B"/>
    <w:rsid w:val="50A42DBC"/>
    <w:rsid w:val="51037E7B"/>
    <w:rsid w:val="510463CD"/>
    <w:rsid w:val="51203A6D"/>
    <w:rsid w:val="51805883"/>
    <w:rsid w:val="51D151D1"/>
    <w:rsid w:val="51E91626"/>
    <w:rsid w:val="522B29C8"/>
    <w:rsid w:val="52975A47"/>
    <w:rsid w:val="529A0A12"/>
    <w:rsid w:val="529E6B62"/>
    <w:rsid w:val="52AA0F16"/>
    <w:rsid w:val="52CB49C9"/>
    <w:rsid w:val="52DB33BD"/>
    <w:rsid w:val="530D6D8F"/>
    <w:rsid w:val="531D5224"/>
    <w:rsid w:val="53364F90"/>
    <w:rsid w:val="534B737E"/>
    <w:rsid w:val="53CB371C"/>
    <w:rsid w:val="53EA7A72"/>
    <w:rsid w:val="540548DE"/>
    <w:rsid w:val="543E4D75"/>
    <w:rsid w:val="54520621"/>
    <w:rsid w:val="54972DB4"/>
    <w:rsid w:val="549A0ADD"/>
    <w:rsid w:val="54A42F34"/>
    <w:rsid w:val="54F41932"/>
    <w:rsid w:val="551B3A53"/>
    <w:rsid w:val="555606BC"/>
    <w:rsid w:val="556720BE"/>
    <w:rsid w:val="556A55E8"/>
    <w:rsid w:val="55843CFE"/>
    <w:rsid w:val="559A7000"/>
    <w:rsid w:val="55A53327"/>
    <w:rsid w:val="55B808ED"/>
    <w:rsid w:val="55DF4CC1"/>
    <w:rsid w:val="55FF3307"/>
    <w:rsid w:val="565B68EC"/>
    <w:rsid w:val="56A51D9D"/>
    <w:rsid w:val="56B77BA4"/>
    <w:rsid w:val="56C137C7"/>
    <w:rsid w:val="570D55B0"/>
    <w:rsid w:val="57267DDF"/>
    <w:rsid w:val="57300EDB"/>
    <w:rsid w:val="57525346"/>
    <w:rsid w:val="57884411"/>
    <w:rsid w:val="57C74810"/>
    <w:rsid w:val="57EA58F1"/>
    <w:rsid w:val="57EC6131"/>
    <w:rsid w:val="57F5672A"/>
    <w:rsid w:val="581666E6"/>
    <w:rsid w:val="58325BD0"/>
    <w:rsid w:val="583B11B1"/>
    <w:rsid w:val="588F1C59"/>
    <w:rsid w:val="58CB66E9"/>
    <w:rsid w:val="58DA19CB"/>
    <w:rsid w:val="58FE2DF8"/>
    <w:rsid w:val="592B4FEB"/>
    <w:rsid w:val="59374DAB"/>
    <w:rsid w:val="595F309F"/>
    <w:rsid w:val="599331AC"/>
    <w:rsid w:val="59937648"/>
    <w:rsid w:val="59DE0FF4"/>
    <w:rsid w:val="5A0C7DA1"/>
    <w:rsid w:val="5A31766F"/>
    <w:rsid w:val="5A5B5E7F"/>
    <w:rsid w:val="5AA278C5"/>
    <w:rsid w:val="5AAF501B"/>
    <w:rsid w:val="5AE56852"/>
    <w:rsid w:val="5B0F65F0"/>
    <w:rsid w:val="5B975D90"/>
    <w:rsid w:val="5BAC551F"/>
    <w:rsid w:val="5BCE1950"/>
    <w:rsid w:val="5BEA4D19"/>
    <w:rsid w:val="5BF709E1"/>
    <w:rsid w:val="5C054DA6"/>
    <w:rsid w:val="5C0E6052"/>
    <w:rsid w:val="5C116D87"/>
    <w:rsid w:val="5C1232A4"/>
    <w:rsid w:val="5C1320B1"/>
    <w:rsid w:val="5C19188B"/>
    <w:rsid w:val="5C32616C"/>
    <w:rsid w:val="5C50666A"/>
    <w:rsid w:val="5C5229DF"/>
    <w:rsid w:val="5C566ED1"/>
    <w:rsid w:val="5C5B5C92"/>
    <w:rsid w:val="5C7B745F"/>
    <w:rsid w:val="5C960D39"/>
    <w:rsid w:val="5CC048ED"/>
    <w:rsid w:val="5CC36D1F"/>
    <w:rsid w:val="5CC76201"/>
    <w:rsid w:val="5CD43D57"/>
    <w:rsid w:val="5CDE6E14"/>
    <w:rsid w:val="5D08053B"/>
    <w:rsid w:val="5D756BA9"/>
    <w:rsid w:val="5DA71C29"/>
    <w:rsid w:val="5DB26EB1"/>
    <w:rsid w:val="5DB31F7B"/>
    <w:rsid w:val="5DBA5090"/>
    <w:rsid w:val="5DF70D68"/>
    <w:rsid w:val="5DFF1645"/>
    <w:rsid w:val="5DFF277C"/>
    <w:rsid w:val="5E37796A"/>
    <w:rsid w:val="5E7575D8"/>
    <w:rsid w:val="5EA7596C"/>
    <w:rsid w:val="5EB965FC"/>
    <w:rsid w:val="5F095A8C"/>
    <w:rsid w:val="5F0F464D"/>
    <w:rsid w:val="5F7563E8"/>
    <w:rsid w:val="5F802A1D"/>
    <w:rsid w:val="5F8048DC"/>
    <w:rsid w:val="5F8870A9"/>
    <w:rsid w:val="5F8D33C8"/>
    <w:rsid w:val="5F900730"/>
    <w:rsid w:val="5F9E14D2"/>
    <w:rsid w:val="5F9F297C"/>
    <w:rsid w:val="5FA34D03"/>
    <w:rsid w:val="5FAF15CD"/>
    <w:rsid w:val="5FB36AF0"/>
    <w:rsid w:val="5FFB2BC9"/>
    <w:rsid w:val="6017690C"/>
    <w:rsid w:val="601863B1"/>
    <w:rsid w:val="602835E1"/>
    <w:rsid w:val="6038623C"/>
    <w:rsid w:val="60735945"/>
    <w:rsid w:val="6074044E"/>
    <w:rsid w:val="60A46F85"/>
    <w:rsid w:val="60BD57D6"/>
    <w:rsid w:val="60BE556B"/>
    <w:rsid w:val="60D143AE"/>
    <w:rsid w:val="60F968E5"/>
    <w:rsid w:val="610712C2"/>
    <w:rsid w:val="614222FA"/>
    <w:rsid w:val="61490250"/>
    <w:rsid w:val="61667C30"/>
    <w:rsid w:val="61B34069"/>
    <w:rsid w:val="61DE6321"/>
    <w:rsid w:val="61EC3AC8"/>
    <w:rsid w:val="62284D7E"/>
    <w:rsid w:val="62390602"/>
    <w:rsid w:val="62510EDA"/>
    <w:rsid w:val="62886432"/>
    <w:rsid w:val="628F4B46"/>
    <w:rsid w:val="629711C1"/>
    <w:rsid w:val="62BD168D"/>
    <w:rsid w:val="62D6139D"/>
    <w:rsid w:val="63080098"/>
    <w:rsid w:val="63A518F5"/>
    <w:rsid w:val="63C4113C"/>
    <w:rsid w:val="63CF65DB"/>
    <w:rsid w:val="640D3BE6"/>
    <w:rsid w:val="644C517F"/>
    <w:rsid w:val="649317EA"/>
    <w:rsid w:val="64A41536"/>
    <w:rsid w:val="64C14C0A"/>
    <w:rsid w:val="64F102BF"/>
    <w:rsid w:val="6502427A"/>
    <w:rsid w:val="650A5824"/>
    <w:rsid w:val="653024A0"/>
    <w:rsid w:val="65813973"/>
    <w:rsid w:val="659F012F"/>
    <w:rsid w:val="65CB4B3E"/>
    <w:rsid w:val="65DA6667"/>
    <w:rsid w:val="65FE3344"/>
    <w:rsid w:val="66124DD4"/>
    <w:rsid w:val="662E109F"/>
    <w:rsid w:val="66394EEE"/>
    <w:rsid w:val="665C20B0"/>
    <w:rsid w:val="66F9345B"/>
    <w:rsid w:val="671D454A"/>
    <w:rsid w:val="672B557E"/>
    <w:rsid w:val="672E3606"/>
    <w:rsid w:val="67DD0D16"/>
    <w:rsid w:val="67DE404A"/>
    <w:rsid w:val="680D62D2"/>
    <w:rsid w:val="68356A51"/>
    <w:rsid w:val="6844237D"/>
    <w:rsid w:val="68570D81"/>
    <w:rsid w:val="686314D3"/>
    <w:rsid w:val="686B428C"/>
    <w:rsid w:val="68A94729"/>
    <w:rsid w:val="68CB1FA6"/>
    <w:rsid w:val="69253FC0"/>
    <w:rsid w:val="69423DB3"/>
    <w:rsid w:val="69453B13"/>
    <w:rsid w:val="694727E9"/>
    <w:rsid w:val="695A0B28"/>
    <w:rsid w:val="69804D19"/>
    <w:rsid w:val="699F478D"/>
    <w:rsid w:val="69C8152F"/>
    <w:rsid w:val="69D421CF"/>
    <w:rsid w:val="69FC4C00"/>
    <w:rsid w:val="6A0B4331"/>
    <w:rsid w:val="6A1F142A"/>
    <w:rsid w:val="6A325C8D"/>
    <w:rsid w:val="6A335EA2"/>
    <w:rsid w:val="6A460E8B"/>
    <w:rsid w:val="6A4B20C8"/>
    <w:rsid w:val="6A665694"/>
    <w:rsid w:val="6A8C2FD3"/>
    <w:rsid w:val="6AC7571A"/>
    <w:rsid w:val="6AD466B8"/>
    <w:rsid w:val="6AE96558"/>
    <w:rsid w:val="6AEB6973"/>
    <w:rsid w:val="6AED32D6"/>
    <w:rsid w:val="6B14172A"/>
    <w:rsid w:val="6B1747F7"/>
    <w:rsid w:val="6B607F4C"/>
    <w:rsid w:val="6B723001"/>
    <w:rsid w:val="6B9559A5"/>
    <w:rsid w:val="6B9F40FC"/>
    <w:rsid w:val="6BB26A4E"/>
    <w:rsid w:val="6C0515A8"/>
    <w:rsid w:val="6C186A79"/>
    <w:rsid w:val="6C3D6BC8"/>
    <w:rsid w:val="6C904861"/>
    <w:rsid w:val="6CB816E8"/>
    <w:rsid w:val="6CCA7D73"/>
    <w:rsid w:val="6D655433"/>
    <w:rsid w:val="6D6B4986"/>
    <w:rsid w:val="6DD41C1C"/>
    <w:rsid w:val="6DD9468A"/>
    <w:rsid w:val="6DF34C72"/>
    <w:rsid w:val="6E0A784E"/>
    <w:rsid w:val="6E3F4805"/>
    <w:rsid w:val="6E4B4EE4"/>
    <w:rsid w:val="6E8F3BDB"/>
    <w:rsid w:val="6E952AA5"/>
    <w:rsid w:val="6EAC7C79"/>
    <w:rsid w:val="6EC6094D"/>
    <w:rsid w:val="6ECF13B3"/>
    <w:rsid w:val="6EDB648F"/>
    <w:rsid w:val="6EF20892"/>
    <w:rsid w:val="6F0C3235"/>
    <w:rsid w:val="6F157C96"/>
    <w:rsid w:val="6F1A16D8"/>
    <w:rsid w:val="6F266981"/>
    <w:rsid w:val="6F2F6A79"/>
    <w:rsid w:val="6F3362C8"/>
    <w:rsid w:val="6F34087B"/>
    <w:rsid w:val="6F55769C"/>
    <w:rsid w:val="6F74304D"/>
    <w:rsid w:val="6FB669B3"/>
    <w:rsid w:val="6FF84DB8"/>
    <w:rsid w:val="700E6579"/>
    <w:rsid w:val="701F1758"/>
    <w:rsid w:val="70267AD5"/>
    <w:rsid w:val="703C2A93"/>
    <w:rsid w:val="7042745B"/>
    <w:rsid w:val="709014CD"/>
    <w:rsid w:val="7094143A"/>
    <w:rsid w:val="70AE175A"/>
    <w:rsid w:val="70AE3EB7"/>
    <w:rsid w:val="70CE5AF2"/>
    <w:rsid w:val="70EC56AC"/>
    <w:rsid w:val="70F7553D"/>
    <w:rsid w:val="710441D6"/>
    <w:rsid w:val="713A3D0F"/>
    <w:rsid w:val="71623097"/>
    <w:rsid w:val="71627A28"/>
    <w:rsid w:val="71681909"/>
    <w:rsid w:val="71CA218D"/>
    <w:rsid w:val="71F77B47"/>
    <w:rsid w:val="722577FA"/>
    <w:rsid w:val="72452668"/>
    <w:rsid w:val="72B35784"/>
    <w:rsid w:val="72C53BA6"/>
    <w:rsid w:val="72F06369"/>
    <w:rsid w:val="734A152F"/>
    <w:rsid w:val="738F7941"/>
    <w:rsid w:val="73A0598D"/>
    <w:rsid w:val="73C348B0"/>
    <w:rsid w:val="73CF6688"/>
    <w:rsid w:val="73ED3257"/>
    <w:rsid w:val="740145DD"/>
    <w:rsid w:val="745930B6"/>
    <w:rsid w:val="7474682B"/>
    <w:rsid w:val="74836A59"/>
    <w:rsid w:val="74A37324"/>
    <w:rsid w:val="74A44AED"/>
    <w:rsid w:val="74AF2A30"/>
    <w:rsid w:val="74B113B7"/>
    <w:rsid w:val="74B304B3"/>
    <w:rsid w:val="74CB28DA"/>
    <w:rsid w:val="74F968F6"/>
    <w:rsid w:val="751058DE"/>
    <w:rsid w:val="751B1C5D"/>
    <w:rsid w:val="752A43DA"/>
    <w:rsid w:val="752E28A4"/>
    <w:rsid w:val="753E026F"/>
    <w:rsid w:val="75474B87"/>
    <w:rsid w:val="7568255A"/>
    <w:rsid w:val="757E5B9F"/>
    <w:rsid w:val="758D4034"/>
    <w:rsid w:val="75A01E32"/>
    <w:rsid w:val="75A454EF"/>
    <w:rsid w:val="75CC40D7"/>
    <w:rsid w:val="75CF0160"/>
    <w:rsid w:val="76483C9B"/>
    <w:rsid w:val="764D37C3"/>
    <w:rsid w:val="76903B0F"/>
    <w:rsid w:val="76994D47"/>
    <w:rsid w:val="76B45863"/>
    <w:rsid w:val="76D91D75"/>
    <w:rsid w:val="77006F3A"/>
    <w:rsid w:val="77494234"/>
    <w:rsid w:val="776061F7"/>
    <w:rsid w:val="776C0B49"/>
    <w:rsid w:val="77901AD0"/>
    <w:rsid w:val="77A03442"/>
    <w:rsid w:val="77B9641C"/>
    <w:rsid w:val="77D31AA6"/>
    <w:rsid w:val="77D47CF8"/>
    <w:rsid w:val="77F13E57"/>
    <w:rsid w:val="781F28CB"/>
    <w:rsid w:val="78270C37"/>
    <w:rsid w:val="78541AB2"/>
    <w:rsid w:val="78582CF7"/>
    <w:rsid w:val="785E75E4"/>
    <w:rsid w:val="79165290"/>
    <w:rsid w:val="793A0DCB"/>
    <w:rsid w:val="7973165A"/>
    <w:rsid w:val="79D6006D"/>
    <w:rsid w:val="7A0B5264"/>
    <w:rsid w:val="7A1600BC"/>
    <w:rsid w:val="7A215F83"/>
    <w:rsid w:val="7A9E45ED"/>
    <w:rsid w:val="7AD064DE"/>
    <w:rsid w:val="7B0562E2"/>
    <w:rsid w:val="7B090D4A"/>
    <w:rsid w:val="7B176973"/>
    <w:rsid w:val="7B190316"/>
    <w:rsid w:val="7B4E7DC1"/>
    <w:rsid w:val="7B573625"/>
    <w:rsid w:val="7BA94FF8"/>
    <w:rsid w:val="7BFF2BAA"/>
    <w:rsid w:val="7C1D1542"/>
    <w:rsid w:val="7C644173"/>
    <w:rsid w:val="7C7A2C06"/>
    <w:rsid w:val="7C8F0756"/>
    <w:rsid w:val="7C924E6B"/>
    <w:rsid w:val="7CA615C0"/>
    <w:rsid w:val="7CF2687B"/>
    <w:rsid w:val="7CFA0179"/>
    <w:rsid w:val="7D0D3EDA"/>
    <w:rsid w:val="7D0D468E"/>
    <w:rsid w:val="7D23702C"/>
    <w:rsid w:val="7D295A13"/>
    <w:rsid w:val="7D340697"/>
    <w:rsid w:val="7D3844CE"/>
    <w:rsid w:val="7D951CD7"/>
    <w:rsid w:val="7DA41F1A"/>
    <w:rsid w:val="7DB16C93"/>
    <w:rsid w:val="7DEA37BD"/>
    <w:rsid w:val="7DFA5FDE"/>
    <w:rsid w:val="7E1D0A90"/>
    <w:rsid w:val="7E4C04F4"/>
    <w:rsid w:val="7E7029F4"/>
    <w:rsid w:val="7E947DE7"/>
    <w:rsid w:val="7EA12A4D"/>
    <w:rsid w:val="7EA71B92"/>
    <w:rsid w:val="7EE50D4F"/>
    <w:rsid w:val="7F01339C"/>
    <w:rsid w:val="7F2E2B2B"/>
    <w:rsid w:val="7F481CFF"/>
    <w:rsid w:val="7F715B26"/>
    <w:rsid w:val="7FA20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jc w:val="both"/>
    </w:pPr>
    <w:rPr>
      <w:rFonts w:ascii="Times New Roman" w:hAnsi="Times New Roman" w:eastAsia="宋体" w:cstheme="minorBidi"/>
      <w:sz w:val="22"/>
      <w:szCs w:val="22"/>
      <w:lang w:val="en-US" w:eastAsia="zh-CN" w:bidi="ar-SA"/>
    </w:rPr>
  </w:style>
  <w:style w:type="paragraph" w:styleId="2">
    <w:name w:val="heading 1"/>
    <w:basedOn w:val="1"/>
    <w:next w:val="1"/>
    <w:link w:val="44"/>
    <w:qFormat/>
    <w:uiPriority w:val="9"/>
    <w:pPr>
      <w:keepNext/>
      <w:keepLines/>
      <w:snapToGrid w:val="0"/>
      <w:spacing w:before="120" w:after="0" w:line="360" w:lineRule="auto"/>
      <w:jc w:val="center"/>
      <w:outlineLvl w:val="0"/>
    </w:pPr>
    <w:rPr>
      <w:rFonts w:ascii="宋体" w:hAnsi="宋体" w:cstheme="majorBidi"/>
      <w:b/>
      <w:sz w:val="30"/>
      <w:szCs w:val="32"/>
    </w:rPr>
  </w:style>
  <w:style w:type="paragraph" w:styleId="3">
    <w:name w:val="heading 2"/>
    <w:basedOn w:val="1"/>
    <w:next w:val="1"/>
    <w:link w:val="36"/>
    <w:unhideWhenUsed/>
    <w:qFormat/>
    <w:uiPriority w:val="9"/>
    <w:pPr>
      <w:keepNext/>
      <w:keepLines/>
      <w:snapToGrid w:val="0"/>
      <w:spacing w:after="0" w:line="360" w:lineRule="auto"/>
      <w:jc w:val="center"/>
      <w:outlineLvl w:val="1"/>
    </w:pPr>
    <w:rPr>
      <w:rFonts w:ascii="黑体" w:hAnsi="黑体" w:eastAsia="黑体" w:cs="Times New Roman"/>
      <w:color w:val="000000" w:themeColor="text1"/>
      <w:sz w:val="28"/>
      <w:szCs w:val="28"/>
      <w14:textFill>
        <w14:solidFill>
          <w14:schemeClr w14:val="tx1"/>
        </w14:solidFill>
      </w14:textFill>
    </w:rPr>
  </w:style>
  <w:style w:type="paragraph" w:styleId="4">
    <w:name w:val="heading 3"/>
    <w:basedOn w:val="1"/>
    <w:next w:val="1"/>
    <w:link w:val="40"/>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paragraph" w:styleId="5">
    <w:name w:val="heading 4"/>
    <w:basedOn w:val="1"/>
    <w:next w:val="1"/>
    <w:link w:val="41"/>
    <w:unhideWhenUsed/>
    <w:qFormat/>
    <w:uiPriority w:val="9"/>
    <w:pPr>
      <w:keepNext/>
      <w:keepLines/>
      <w:spacing w:before="40" w:after="0"/>
      <w:outlineLvl w:val="3"/>
    </w:pPr>
    <w:rPr>
      <w:rFonts w:asciiTheme="majorHAnsi" w:hAnsiTheme="majorHAnsi" w:eastAsiaTheme="majorEastAsia" w:cstheme="majorBidi"/>
      <w:i/>
      <w:iCs/>
      <w:color w:val="2F5597" w:themeColor="accent1" w:themeShade="BF"/>
    </w:rPr>
  </w:style>
  <w:style w:type="paragraph" w:styleId="6">
    <w:name w:val="heading 5"/>
    <w:basedOn w:val="1"/>
    <w:next w:val="1"/>
    <w:link w:val="48"/>
    <w:semiHidden/>
    <w:unhideWhenUsed/>
    <w:qFormat/>
    <w:uiPriority w:val="9"/>
    <w:pPr>
      <w:keepNext/>
      <w:keepLines/>
      <w:spacing w:before="40" w:after="0"/>
      <w:outlineLvl w:val="4"/>
    </w:pPr>
    <w:rPr>
      <w:rFonts w:asciiTheme="majorHAnsi" w:hAnsiTheme="majorHAnsi" w:eastAsiaTheme="majorEastAsia" w:cstheme="majorBidi"/>
      <w:color w:val="2F5597" w:themeColor="accent1" w:themeShade="BF"/>
    </w:rPr>
  </w:style>
  <w:style w:type="paragraph" w:styleId="7">
    <w:name w:val="heading 6"/>
    <w:basedOn w:val="1"/>
    <w:next w:val="1"/>
    <w:link w:val="49"/>
    <w:semiHidden/>
    <w:unhideWhenUsed/>
    <w:qFormat/>
    <w:uiPriority w:val="9"/>
    <w:pPr>
      <w:keepNext/>
      <w:keepLines/>
      <w:spacing w:before="40" w:after="0"/>
      <w:outlineLvl w:val="5"/>
    </w:pPr>
    <w:rPr>
      <w:rFonts w:asciiTheme="majorHAnsi" w:hAnsiTheme="majorHAnsi" w:eastAsiaTheme="majorEastAsia" w:cstheme="majorBidi"/>
      <w:color w:val="203864" w:themeColor="accent1" w:themeShade="80"/>
    </w:rPr>
  </w:style>
  <w:style w:type="paragraph" w:styleId="8">
    <w:name w:val="heading 7"/>
    <w:basedOn w:val="1"/>
    <w:next w:val="1"/>
    <w:link w:val="50"/>
    <w:semiHidden/>
    <w:unhideWhenUsed/>
    <w:qFormat/>
    <w:uiPriority w:val="9"/>
    <w:pPr>
      <w:keepNext/>
      <w:keepLines/>
      <w:spacing w:before="40" w:after="0"/>
      <w:outlineLvl w:val="6"/>
    </w:pPr>
    <w:rPr>
      <w:rFonts w:asciiTheme="majorHAnsi" w:hAnsiTheme="majorHAnsi" w:eastAsiaTheme="majorEastAsia" w:cstheme="majorBidi"/>
      <w:i/>
      <w:iCs/>
      <w:color w:val="203864" w:themeColor="accent1" w:themeShade="80"/>
    </w:rPr>
  </w:style>
  <w:style w:type="paragraph" w:styleId="9">
    <w:name w:val="heading 8"/>
    <w:basedOn w:val="1"/>
    <w:next w:val="1"/>
    <w:link w:val="51"/>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52"/>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12">
    <w:name w:val="annotation text"/>
    <w:basedOn w:val="1"/>
    <w:link w:val="35"/>
    <w:unhideWhenUsed/>
    <w:qFormat/>
    <w:uiPriority w:val="99"/>
  </w:style>
  <w:style w:type="paragraph" w:styleId="13">
    <w:name w:val="Body Text"/>
    <w:basedOn w:val="1"/>
    <w:qFormat/>
    <w:uiPriority w:val="1"/>
    <w:rPr>
      <w:rFonts w:ascii="宋体" w:hAnsi="宋体" w:eastAsia="宋体" w:cs="宋体"/>
      <w:sz w:val="21"/>
      <w:szCs w:val="21"/>
      <w:lang w:val="en-US" w:eastAsia="en-US" w:bidi="en-US"/>
    </w:rPr>
  </w:style>
  <w:style w:type="paragraph" w:styleId="14">
    <w:name w:val="toc 3"/>
    <w:basedOn w:val="1"/>
    <w:next w:val="1"/>
    <w:unhideWhenUsed/>
    <w:qFormat/>
    <w:uiPriority w:val="39"/>
    <w:pPr>
      <w:ind w:left="840" w:leftChars="400"/>
    </w:pPr>
  </w:style>
  <w:style w:type="paragraph" w:styleId="15">
    <w:name w:val="Plain Text"/>
    <w:basedOn w:val="1"/>
    <w:semiHidden/>
    <w:unhideWhenUsed/>
    <w:qFormat/>
    <w:uiPriority w:val="99"/>
    <w:rPr>
      <w:rFonts w:hAnsi="Courier New" w:cs="Courier New" w:asciiTheme="minorEastAsia"/>
    </w:rPr>
  </w:style>
  <w:style w:type="paragraph" w:styleId="16">
    <w:name w:val="Date"/>
    <w:basedOn w:val="1"/>
    <w:next w:val="1"/>
    <w:link w:val="42"/>
    <w:unhideWhenUsed/>
    <w:qFormat/>
    <w:uiPriority w:val="99"/>
    <w:pPr>
      <w:ind w:left="100" w:leftChars="2500"/>
    </w:pPr>
  </w:style>
  <w:style w:type="paragraph" w:styleId="17">
    <w:name w:val="Balloon Text"/>
    <w:basedOn w:val="1"/>
    <w:link w:val="38"/>
    <w:unhideWhenUsed/>
    <w:qFormat/>
    <w:uiPriority w:val="99"/>
    <w:rPr>
      <w:sz w:val="18"/>
      <w:szCs w:val="18"/>
    </w:rPr>
  </w:style>
  <w:style w:type="paragraph" w:styleId="18">
    <w:name w:val="footer"/>
    <w:basedOn w:val="1"/>
    <w:link w:val="34"/>
    <w:unhideWhenUsed/>
    <w:qFormat/>
    <w:uiPriority w:val="99"/>
    <w:pPr>
      <w:tabs>
        <w:tab w:val="center" w:pos="4153"/>
        <w:tab w:val="right" w:pos="8306"/>
      </w:tabs>
      <w:snapToGrid w:val="0"/>
    </w:pPr>
    <w:rPr>
      <w:sz w:val="18"/>
      <w:szCs w:val="18"/>
    </w:rPr>
  </w:style>
  <w:style w:type="paragraph" w:styleId="19">
    <w:name w:val="header"/>
    <w:basedOn w:val="1"/>
    <w:link w:val="43"/>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style>
  <w:style w:type="paragraph" w:styleId="21">
    <w:name w:val="Subtitle"/>
    <w:basedOn w:val="1"/>
    <w:next w:val="1"/>
    <w:link w:val="53"/>
    <w:qFormat/>
    <w:uiPriority w:val="0"/>
    <w:pPr>
      <w:snapToGrid w:val="0"/>
      <w:spacing w:before="312" w:beforeLines="100" w:after="0" w:line="360" w:lineRule="auto"/>
      <w:jc w:val="center"/>
    </w:pPr>
    <w:rPr>
      <w:rFonts w:cs="Times New Roman"/>
      <w:b/>
      <w:color w:val="000000" w:themeColor="text1"/>
      <w:sz w:val="21"/>
      <w14:textFill>
        <w14:solidFill>
          <w14:schemeClr w14:val="tx1"/>
        </w14:solidFill>
      </w14:textFill>
    </w:rPr>
  </w:style>
  <w:style w:type="paragraph" w:styleId="22">
    <w:name w:val="toc 2"/>
    <w:basedOn w:val="1"/>
    <w:next w:val="1"/>
    <w:unhideWhenUsed/>
    <w:qFormat/>
    <w:uiPriority w:val="39"/>
    <w:pPr>
      <w:tabs>
        <w:tab w:val="right" w:leader="dot" w:pos="8296"/>
      </w:tabs>
      <w:ind w:left="420" w:leftChars="200"/>
    </w:pPr>
  </w:style>
  <w:style w:type="paragraph" w:styleId="23">
    <w:name w:val="Normal (Web)"/>
    <w:basedOn w:val="1"/>
    <w:semiHidden/>
    <w:unhideWhenUsed/>
    <w:qFormat/>
    <w:uiPriority w:val="99"/>
    <w:pPr>
      <w:spacing w:before="100" w:beforeAutospacing="1" w:after="100" w:afterAutospacing="1" w:line="240" w:lineRule="auto"/>
      <w:jc w:val="left"/>
    </w:pPr>
    <w:rPr>
      <w:rFonts w:ascii="宋体" w:hAnsi="宋体" w:cs="宋体"/>
      <w:sz w:val="24"/>
      <w:szCs w:val="24"/>
    </w:rPr>
  </w:style>
  <w:style w:type="paragraph" w:styleId="24">
    <w:name w:val="Title"/>
    <w:basedOn w:val="1"/>
    <w:next w:val="1"/>
    <w:link w:val="37"/>
    <w:qFormat/>
    <w:uiPriority w:val="10"/>
    <w:pPr>
      <w:spacing w:after="0" w:line="240" w:lineRule="auto"/>
      <w:contextualSpacing/>
    </w:pPr>
    <w:rPr>
      <w:rFonts w:asciiTheme="majorHAnsi" w:hAnsiTheme="majorHAnsi" w:eastAsiaTheme="majorEastAsia" w:cstheme="majorBidi"/>
      <w:spacing w:val="-10"/>
      <w:sz w:val="56"/>
      <w:szCs w:val="56"/>
    </w:rPr>
  </w:style>
  <w:style w:type="paragraph" w:styleId="25">
    <w:name w:val="annotation subject"/>
    <w:basedOn w:val="12"/>
    <w:next w:val="12"/>
    <w:link w:val="39"/>
    <w:unhideWhenUsed/>
    <w:qFormat/>
    <w:uiPriority w:val="99"/>
    <w:rPr>
      <w:b/>
      <w:bCs/>
    </w:rPr>
  </w:style>
  <w:style w:type="table" w:styleId="27">
    <w:name w:val="Table Grid"/>
    <w:basedOn w:val="2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22"/>
    <w:rPr>
      <w:b/>
      <w:bCs/>
      <w:color w:val="auto"/>
    </w:rPr>
  </w:style>
  <w:style w:type="character" w:styleId="30">
    <w:name w:val="Emphasis"/>
    <w:basedOn w:val="28"/>
    <w:qFormat/>
    <w:uiPriority w:val="20"/>
    <w:rPr>
      <w:i/>
      <w:iCs/>
      <w:color w:val="auto"/>
    </w:rPr>
  </w:style>
  <w:style w:type="character" w:styleId="31">
    <w:name w:val="Hyperlink"/>
    <w:unhideWhenUsed/>
    <w:qFormat/>
    <w:uiPriority w:val="99"/>
    <w:rPr>
      <w:color w:val="0000FF"/>
      <w:u w:val="single"/>
    </w:rPr>
  </w:style>
  <w:style w:type="character" w:styleId="32">
    <w:name w:val="annotation reference"/>
    <w:unhideWhenUsed/>
    <w:qFormat/>
    <w:uiPriority w:val="99"/>
    <w:rPr>
      <w:sz w:val="21"/>
      <w:szCs w:val="21"/>
    </w:rPr>
  </w:style>
  <w:style w:type="paragraph" w:styleId="33">
    <w:name w:val="No Spacing"/>
    <w:qFormat/>
    <w:uiPriority w:val="1"/>
    <w:rPr>
      <w:rFonts w:asciiTheme="minorHAnsi" w:hAnsiTheme="minorHAnsi" w:eastAsiaTheme="minorEastAsia" w:cstheme="minorBidi"/>
      <w:sz w:val="22"/>
      <w:szCs w:val="22"/>
      <w:lang w:val="en-US" w:eastAsia="zh-CN" w:bidi="ar-SA"/>
    </w:rPr>
  </w:style>
  <w:style w:type="character" w:customStyle="1" w:styleId="34">
    <w:name w:val="页脚 Char"/>
    <w:link w:val="18"/>
    <w:qFormat/>
    <w:uiPriority w:val="99"/>
    <w:rPr>
      <w:sz w:val="18"/>
      <w:szCs w:val="18"/>
    </w:rPr>
  </w:style>
  <w:style w:type="character" w:customStyle="1" w:styleId="35">
    <w:name w:val="批注文字 Char"/>
    <w:link w:val="12"/>
    <w:semiHidden/>
    <w:qFormat/>
    <w:uiPriority w:val="99"/>
    <w:rPr>
      <w:rFonts w:ascii="Times New Roman" w:hAnsi="Times New Roman"/>
      <w:kern w:val="2"/>
      <w:sz w:val="24"/>
      <w:szCs w:val="22"/>
    </w:rPr>
  </w:style>
  <w:style w:type="character" w:customStyle="1" w:styleId="36">
    <w:name w:val="标题 2 Char"/>
    <w:basedOn w:val="28"/>
    <w:link w:val="3"/>
    <w:qFormat/>
    <w:uiPriority w:val="9"/>
    <w:rPr>
      <w:rFonts w:ascii="黑体" w:hAnsi="黑体" w:eastAsia="黑体" w:cs="Times New Roman"/>
      <w:color w:val="000000" w:themeColor="text1"/>
      <w:sz w:val="28"/>
      <w:szCs w:val="28"/>
      <w14:textFill>
        <w14:solidFill>
          <w14:schemeClr w14:val="tx1"/>
        </w14:solidFill>
      </w14:textFill>
    </w:rPr>
  </w:style>
  <w:style w:type="character" w:customStyle="1" w:styleId="37">
    <w:name w:val="标题 Char"/>
    <w:basedOn w:val="28"/>
    <w:link w:val="24"/>
    <w:qFormat/>
    <w:uiPriority w:val="10"/>
    <w:rPr>
      <w:rFonts w:asciiTheme="majorHAnsi" w:hAnsiTheme="majorHAnsi" w:eastAsiaTheme="majorEastAsia" w:cstheme="majorBidi"/>
      <w:spacing w:val="-10"/>
      <w:sz w:val="56"/>
      <w:szCs w:val="56"/>
    </w:rPr>
  </w:style>
  <w:style w:type="character" w:customStyle="1" w:styleId="38">
    <w:name w:val="批注框文本 Char"/>
    <w:link w:val="17"/>
    <w:semiHidden/>
    <w:qFormat/>
    <w:uiPriority w:val="99"/>
    <w:rPr>
      <w:sz w:val="18"/>
      <w:szCs w:val="18"/>
    </w:rPr>
  </w:style>
  <w:style w:type="character" w:customStyle="1" w:styleId="39">
    <w:name w:val="批注主题 Char"/>
    <w:link w:val="25"/>
    <w:semiHidden/>
    <w:qFormat/>
    <w:uiPriority w:val="99"/>
    <w:rPr>
      <w:rFonts w:ascii="Times New Roman" w:hAnsi="Times New Roman"/>
      <w:b/>
      <w:bCs/>
      <w:kern w:val="2"/>
      <w:sz w:val="24"/>
      <w:szCs w:val="22"/>
    </w:rPr>
  </w:style>
  <w:style w:type="character" w:customStyle="1" w:styleId="40">
    <w:name w:val="标题 3 Char"/>
    <w:basedOn w:val="28"/>
    <w:link w:val="4"/>
    <w:qFormat/>
    <w:uiPriority w:val="9"/>
    <w:rPr>
      <w:rFonts w:asciiTheme="majorHAnsi" w:hAnsiTheme="majorHAnsi" w:eastAsiaTheme="majorEastAsia" w:cstheme="majorBidi"/>
      <w:color w:val="203864" w:themeColor="accent1" w:themeShade="80"/>
      <w:sz w:val="24"/>
      <w:szCs w:val="24"/>
    </w:rPr>
  </w:style>
  <w:style w:type="character" w:customStyle="1" w:styleId="41">
    <w:name w:val="标题 4 Char"/>
    <w:basedOn w:val="28"/>
    <w:link w:val="5"/>
    <w:qFormat/>
    <w:uiPriority w:val="9"/>
    <w:rPr>
      <w:rFonts w:asciiTheme="majorHAnsi" w:hAnsiTheme="majorHAnsi" w:eastAsiaTheme="majorEastAsia" w:cstheme="majorBidi"/>
      <w:i/>
      <w:iCs/>
      <w:color w:val="2F5597" w:themeColor="accent1" w:themeShade="BF"/>
    </w:rPr>
  </w:style>
  <w:style w:type="character" w:customStyle="1" w:styleId="42">
    <w:name w:val="日期 Char"/>
    <w:link w:val="16"/>
    <w:semiHidden/>
    <w:qFormat/>
    <w:uiPriority w:val="99"/>
    <w:rPr>
      <w:rFonts w:ascii="Times New Roman" w:hAnsi="Times New Roman"/>
      <w:kern w:val="2"/>
      <w:sz w:val="24"/>
      <w:szCs w:val="22"/>
    </w:rPr>
  </w:style>
  <w:style w:type="character" w:customStyle="1" w:styleId="43">
    <w:name w:val="页眉 Char"/>
    <w:link w:val="19"/>
    <w:qFormat/>
    <w:uiPriority w:val="99"/>
    <w:rPr>
      <w:sz w:val="18"/>
      <w:szCs w:val="18"/>
    </w:rPr>
  </w:style>
  <w:style w:type="character" w:customStyle="1" w:styleId="44">
    <w:name w:val="标题 1 Char"/>
    <w:basedOn w:val="28"/>
    <w:link w:val="2"/>
    <w:qFormat/>
    <w:uiPriority w:val="9"/>
    <w:rPr>
      <w:rFonts w:ascii="宋体" w:hAnsi="宋体" w:eastAsia="宋体" w:cstheme="majorBidi"/>
      <w:b/>
      <w:sz w:val="30"/>
      <w:szCs w:val="32"/>
    </w:rPr>
  </w:style>
  <w:style w:type="paragraph" w:customStyle="1" w:styleId="45">
    <w:name w:val="TOC 标题1"/>
    <w:basedOn w:val="2"/>
    <w:next w:val="1"/>
    <w:unhideWhenUsed/>
    <w:qFormat/>
    <w:uiPriority w:val="39"/>
    <w:pPr>
      <w:spacing w:before="480" w:line="276" w:lineRule="auto"/>
      <w:outlineLvl w:val="9"/>
    </w:pPr>
    <w:rPr>
      <w:rFonts w:ascii="Cambria" w:hAnsi="Cambria" w:cs="Times New Roman"/>
      <w:color w:val="365F91"/>
    </w:rPr>
  </w:style>
  <w:style w:type="paragraph" w:customStyle="1" w:styleId="46">
    <w:name w:val="修订1"/>
    <w:hidden/>
    <w:unhideWhenUsed/>
    <w:qFormat/>
    <w:uiPriority w:val="99"/>
    <w:pPr>
      <w:spacing w:after="160" w:line="259" w:lineRule="auto"/>
    </w:pPr>
    <w:rPr>
      <w:rFonts w:ascii="Times New Roman" w:hAnsi="Times New Roman" w:eastAsia="宋体" w:cs="Times New Roman"/>
      <w:kern w:val="2"/>
      <w:sz w:val="24"/>
      <w:szCs w:val="22"/>
      <w:lang w:val="en-US" w:eastAsia="zh-CN" w:bidi="ar-SA"/>
    </w:rPr>
  </w:style>
  <w:style w:type="character" w:styleId="47">
    <w:name w:val="Placeholder Text"/>
    <w:basedOn w:val="28"/>
    <w:unhideWhenUsed/>
    <w:qFormat/>
    <w:uiPriority w:val="99"/>
    <w:rPr>
      <w:color w:val="808080"/>
    </w:rPr>
  </w:style>
  <w:style w:type="character" w:customStyle="1" w:styleId="48">
    <w:name w:val="标题 5 Char"/>
    <w:basedOn w:val="28"/>
    <w:link w:val="6"/>
    <w:semiHidden/>
    <w:qFormat/>
    <w:uiPriority w:val="9"/>
    <w:rPr>
      <w:rFonts w:asciiTheme="majorHAnsi" w:hAnsiTheme="majorHAnsi" w:eastAsiaTheme="majorEastAsia" w:cstheme="majorBidi"/>
      <w:color w:val="2F5597" w:themeColor="accent1" w:themeShade="BF"/>
    </w:rPr>
  </w:style>
  <w:style w:type="character" w:customStyle="1" w:styleId="49">
    <w:name w:val="标题 6 Char"/>
    <w:basedOn w:val="28"/>
    <w:link w:val="7"/>
    <w:semiHidden/>
    <w:qFormat/>
    <w:uiPriority w:val="9"/>
    <w:rPr>
      <w:rFonts w:asciiTheme="majorHAnsi" w:hAnsiTheme="majorHAnsi" w:eastAsiaTheme="majorEastAsia" w:cstheme="majorBidi"/>
      <w:color w:val="203864" w:themeColor="accent1" w:themeShade="80"/>
    </w:rPr>
  </w:style>
  <w:style w:type="character" w:customStyle="1" w:styleId="50">
    <w:name w:val="标题 7 Char"/>
    <w:basedOn w:val="28"/>
    <w:link w:val="8"/>
    <w:semiHidden/>
    <w:qFormat/>
    <w:uiPriority w:val="9"/>
    <w:rPr>
      <w:rFonts w:asciiTheme="majorHAnsi" w:hAnsiTheme="majorHAnsi" w:eastAsiaTheme="majorEastAsia" w:cstheme="majorBidi"/>
      <w:i/>
      <w:iCs/>
      <w:color w:val="203864" w:themeColor="accent1" w:themeShade="80"/>
    </w:rPr>
  </w:style>
  <w:style w:type="character" w:customStyle="1" w:styleId="51">
    <w:name w:val="标题 8 Char"/>
    <w:basedOn w:val="28"/>
    <w:link w:val="9"/>
    <w:semiHidden/>
    <w:qFormat/>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52">
    <w:name w:val="标题 9 Char"/>
    <w:basedOn w:val="28"/>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53">
    <w:name w:val="副标题 Char"/>
    <w:basedOn w:val="28"/>
    <w:link w:val="21"/>
    <w:qFormat/>
    <w:uiPriority w:val="0"/>
    <w:rPr>
      <w:rFonts w:ascii="Times New Roman" w:hAnsi="Times New Roman" w:eastAsia="宋体" w:cs="Times New Roman"/>
      <w:b/>
      <w:color w:val="000000" w:themeColor="text1"/>
      <w:sz w:val="21"/>
      <w14:textFill>
        <w14:solidFill>
          <w14:schemeClr w14:val="tx1"/>
        </w14:solidFill>
      </w14:textFill>
    </w:rPr>
  </w:style>
  <w:style w:type="paragraph" w:styleId="54">
    <w:name w:val="Quote"/>
    <w:basedOn w:val="1"/>
    <w:next w:val="1"/>
    <w:link w:val="55"/>
    <w:qFormat/>
    <w:uiPriority w:val="29"/>
    <w:pPr>
      <w:spacing w:before="200"/>
      <w:ind w:left="864" w:right="864"/>
    </w:pPr>
    <w:rPr>
      <w:i/>
      <w:iCs/>
      <w:color w:val="404040" w:themeColor="text1" w:themeTint="BF"/>
      <w14:textFill>
        <w14:solidFill>
          <w14:schemeClr w14:val="tx1">
            <w14:lumMod w14:val="75000"/>
            <w14:lumOff w14:val="25000"/>
          </w14:schemeClr>
        </w14:solidFill>
      </w14:textFill>
    </w:rPr>
  </w:style>
  <w:style w:type="character" w:customStyle="1" w:styleId="55">
    <w:name w:val="引用 Char"/>
    <w:basedOn w:val="28"/>
    <w:link w:val="54"/>
    <w:qFormat/>
    <w:uiPriority w:val="29"/>
    <w:rPr>
      <w:i/>
      <w:iCs/>
      <w:color w:val="404040" w:themeColor="text1" w:themeTint="BF"/>
      <w14:textFill>
        <w14:solidFill>
          <w14:schemeClr w14:val="tx1">
            <w14:lumMod w14:val="75000"/>
            <w14:lumOff w14:val="25000"/>
          </w14:schemeClr>
        </w14:solidFill>
      </w14:textFill>
    </w:rPr>
  </w:style>
  <w:style w:type="paragraph" w:styleId="56">
    <w:name w:val="Intense Quote"/>
    <w:basedOn w:val="1"/>
    <w:next w:val="1"/>
    <w:link w:val="57"/>
    <w:qFormat/>
    <w:uiPriority w:val="30"/>
    <w:pPr>
      <w:pBdr>
        <w:top w:val="single" w:color="4472C4" w:themeColor="accent1" w:sz="4" w:space="10"/>
        <w:bottom w:val="single" w:color="4472C4" w:themeColor="accent1" w:sz="4" w:space="10"/>
      </w:pBdr>
      <w:spacing w:before="360" w:after="360"/>
      <w:ind w:left="864" w:right="864"/>
      <w:jc w:val="center"/>
    </w:pPr>
    <w:rPr>
      <w:i/>
      <w:iCs/>
      <w:color w:val="4472C4" w:themeColor="accent1"/>
      <w14:textFill>
        <w14:solidFill>
          <w14:schemeClr w14:val="accent1"/>
        </w14:solidFill>
      </w14:textFill>
    </w:rPr>
  </w:style>
  <w:style w:type="character" w:customStyle="1" w:styleId="57">
    <w:name w:val="明显引用 Char"/>
    <w:basedOn w:val="28"/>
    <w:link w:val="56"/>
    <w:qFormat/>
    <w:uiPriority w:val="30"/>
    <w:rPr>
      <w:i/>
      <w:iCs/>
      <w:color w:val="4472C4" w:themeColor="accent1"/>
      <w14:textFill>
        <w14:solidFill>
          <w14:schemeClr w14:val="accent1"/>
        </w14:solidFill>
      </w14:textFill>
    </w:rPr>
  </w:style>
  <w:style w:type="character" w:customStyle="1" w:styleId="58">
    <w:name w:val="不明显强调1"/>
    <w:basedOn w:val="28"/>
    <w:qFormat/>
    <w:uiPriority w:val="19"/>
    <w:rPr>
      <w:i/>
      <w:iCs/>
      <w:color w:val="404040" w:themeColor="text1" w:themeTint="BF"/>
      <w14:textFill>
        <w14:solidFill>
          <w14:schemeClr w14:val="tx1">
            <w14:lumMod w14:val="75000"/>
            <w14:lumOff w14:val="25000"/>
          </w14:schemeClr>
        </w14:solidFill>
      </w14:textFill>
    </w:rPr>
  </w:style>
  <w:style w:type="character" w:customStyle="1" w:styleId="59">
    <w:name w:val="明显强调1"/>
    <w:basedOn w:val="28"/>
    <w:qFormat/>
    <w:uiPriority w:val="21"/>
    <w:rPr>
      <w:i/>
      <w:iCs/>
      <w:color w:val="4472C4" w:themeColor="accent1"/>
      <w14:textFill>
        <w14:solidFill>
          <w14:schemeClr w14:val="accent1"/>
        </w14:solidFill>
      </w14:textFill>
    </w:rPr>
  </w:style>
  <w:style w:type="character" w:customStyle="1" w:styleId="60">
    <w:name w:val="不明显参考1"/>
    <w:basedOn w:val="28"/>
    <w:qFormat/>
    <w:uiPriority w:val="31"/>
    <w:rPr>
      <w:smallCaps/>
      <w:color w:val="404040" w:themeColor="text1" w:themeTint="BF"/>
      <w14:textFill>
        <w14:solidFill>
          <w14:schemeClr w14:val="tx1">
            <w14:lumMod w14:val="75000"/>
            <w14:lumOff w14:val="25000"/>
          </w14:schemeClr>
        </w14:solidFill>
      </w14:textFill>
    </w:rPr>
  </w:style>
  <w:style w:type="character" w:customStyle="1" w:styleId="61">
    <w:name w:val="明显参考1"/>
    <w:basedOn w:val="28"/>
    <w:qFormat/>
    <w:uiPriority w:val="32"/>
    <w:rPr>
      <w:b/>
      <w:bCs/>
      <w:smallCaps/>
      <w:color w:val="4472C4" w:themeColor="accent1"/>
      <w:spacing w:val="5"/>
      <w14:textFill>
        <w14:solidFill>
          <w14:schemeClr w14:val="accent1"/>
        </w14:solidFill>
      </w14:textFill>
    </w:rPr>
  </w:style>
  <w:style w:type="character" w:customStyle="1" w:styleId="62">
    <w:name w:val="书籍标题1"/>
    <w:basedOn w:val="28"/>
    <w:qFormat/>
    <w:uiPriority w:val="33"/>
    <w:rPr>
      <w:b/>
      <w:bCs/>
      <w:i/>
      <w:iCs/>
      <w:spacing w:val="5"/>
    </w:rPr>
  </w:style>
  <w:style w:type="paragraph" w:customStyle="1" w:styleId="63">
    <w:name w:val="TOC 标题2"/>
    <w:basedOn w:val="2"/>
    <w:next w:val="1"/>
    <w:semiHidden/>
    <w:unhideWhenUsed/>
    <w:qFormat/>
    <w:uiPriority w:val="39"/>
    <w:pPr>
      <w:outlineLvl w:val="9"/>
    </w:pPr>
  </w:style>
  <w:style w:type="paragraph" w:customStyle="1" w:styleId="64">
    <w:name w:val="图"/>
    <w:basedOn w:val="1"/>
    <w:link w:val="65"/>
    <w:qFormat/>
    <w:uiPriority w:val="0"/>
    <w:pPr>
      <w:keepNext/>
      <w:widowControl w:val="0"/>
      <w:spacing w:after="0" w:line="240" w:lineRule="auto"/>
      <w:jc w:val="center"/>
    </w:pPr>
    <w:rPr>
      <w:rFonts w:asciiTheme="minorHAnsi" w:hAnsiTheme="minorHAnsi" w:eastAsiaTheme="minorEastAsia"/>
      <w:color w:val="000000" w:themeColor="text1"/>
      <w:kern w:val="2"/>
      <w14:textFill>
        <w14:solidFill>
          <w14:schemeClr w14:val="tx1"/>
        </w14:solidFill>
      </w14:textFill>
    </w:rPr>
  </w:style>
  <w:style w:type="character" w:customStyle="1" w:styleId="65">
    <w:name w:val="图 字符"/>
    <w:link w:val="64"/>
    <w:qFormat/>
    <w:uiPriority w:val="0"/>
    <w:rPr>
      <w:color w:val="000000" w:themeColor="text1"/>
      <w:kern w:val="2"/>
      <w14:textFill>
        <w14:solidFill>
          <w14:schemeClr w14:val="tx1"/>
        </w14:solidFill>
      </w14:textFill>
    </w:rPr>
  </w:style>
  <w:style w:type="paragraph" w:customStyle="1" w:styleId="66">
    <w:name w:val="三线表格文字"/>
    <w:basedOn w:val="1"/>
    <w:link w:val="67"/>
    <w:qFormat/>
    <w:uiPriority w:val="0"/>
    <w:pPr>
      <w:widowControl w:val="0"/>
      <w:spacing w:after="0" w:line="240" w:lineRule="auto"/>
      <w:jc w:val="center"/>
    </w:pPr>
    <w:rPr>
      <w:kern w:val="2"/>
      <w:sz w:val="20"/>
    </w:rPr>
  </w:style>
  <w:style w:type="character" w:customStyle="1" w:styleId="67">
    <w:name w:val="三线表格文字 Char"/>
    <w:link w:val="66"/>
    <w:qFormat/>
    <w:uiPriority w:val="0"/>
    <w:rPr>
      <w:rFonts w:ascii="Times New Roman" w:hAnsi="Times New Roman" w:eastAsia="宋体"/>
      <w:kern w:val="2"/>
      <w:sz w:val="20"/>
    </w:rPr>
  </w:style>
  <w:style w:type="paragraph" w:customStyle="1" w:styleId="68">
    <w:name w:val="图名"/>
    <w:basedOn w:val="1"/>
    <w:next w:val="64"/>
    <w:link w:val="69"/>
    <w:qFormat/>
    <w:uiPriority w:val="0"/>
    <w:pPr>
      <w:widowControl w:val="0"/>
      <w:spacing w:after="0" w:line="240" w:lineRule="auto"/>
      <w:jc w:val="center"/>
    </w:pPr>
    <w:rPr>
      <w:rFonts w:ascii="Times New Roman" w:hAnsi="Times New Roman"/>
      <w:b/>
      <w:kern w:val="2"/>
      <w:sz w:val="21"/>
    </w:rPr>
  </w:style>
  <w:style w:type="character" w:customStyle="1" w:styleId="69">
    <w:name w:val="图名 Char"/>
    <w:link w:val="68"/>
    <w:qFormat/>
    <w:locked/>
    <w:uiPriority w:val="0"/>
    <w:rPr>
      <w:rFonts w:ascii="Times New Roman" w:hAnsi="Times New Roman" w:eastAsia="宋体"/>
      <w:b/>
      <w:kern w:val="2"/>
      <w:sz w:val="21"/>
    </w:rPr>
  </w:style>
  <w:style w:type="paragraph" w:styleId="70">
    <w:name w:val="List Paragraph"/>
    <w:basedOn w:val="1"/>
    <w:qFormat/>
    <w:uiPriority w:val="34"/>
    <w:pPr>
      <w:widowControl w:val="0"/>
      <w:spacing w:after="0" w:line="360" w:lineRule="auto"/>
      <w:ind w:firstLine="420" w:firstLineChars="200"/>
    </w:pPr>
    <w:rPr>
      <w:kern w:val="2"/>
      <w:sz w:val="24"/>
    </w:rPr>
  </w:style>
  <w:style w:type="table" w:customStyle="1" w:styleId="71">
    <w:name w:val="无格式表格 21"/>
    <w:basedOn w:val="26"/>
    <w:qFormat/>
    <w:uiPriority w:val="42"/>
    <w:rPr>
      <w:kern w:val="2"/>
      <w:sz w:val="21"/>
    </w:r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customStyle="1" w:styleId="72">
    <w:name w:val="修订2"/>
    <w:hidden/>
    <w:semiHidden/>
    <w:qFormat/>
    <w:uiPriority w:val="99"/>
    <w:rPr>
      <w:rFonts w:ascii="Times New Roman" w:hAnsi="Times New Roman" w:eastAsia="宋体" w:cstheme="minorBidi"/>
      <w:sz w:val="22"/>
      <w:szCs w:val="22"/>
      <w:lang w:val="en-US" w:eastAsia="zh-CN" w:bidi="ar-SA"/>
    </w:rPr>
  </w:style>
  <w:style w:type="character" w:customStyle="1" w:styleId="73">
    <w:name w:val="未处理的提及1"/>
    <w:basedOn w:val="28"/>
    <w:semiHidden/>
    <w:unhideWhenUsed/>
    <w:qFormat/>
    <w:uiPriority w:val="99"/>
    <w:rPr>
      <w:color w:val="605E5C"/>
      <w:shd w:val="clear" w:color="auto" w:fill="E1DFDD"/>
    </w:rPr>
  </w:style>
  <w:style w:type="paragraph" w:customStyle="1" w:styleId="74">
    <w:name w:val="样式1"/>
    <w:basedOn w:val="1"/>
    <w:link w:val="75"/>
    <w:qFormat/>
    <w:uiPriority w:val="99"/>
    <w:pPr>
      <w:widowControl w:val="0"/>
      <w:autoSpaceDE w:val="0"/>
      <w:autoSpaceDN w:val="0"/>
      <w:adjustRightInd w:val="0"/>
      <w:spacing w:after="0" w:line="240" w:lineRule="auto"/>
      <w:ind w:firstLine="200" w:firstLineChars="200"/>
      <w:jc w:val="left"/>
    </w:pPr>
    <w:rPr>
      <w:rFonts w:ascii="宋体" w:hAnsi="宋体" w:cs="Times New Roman"/>
      <w:sz w:val="21"/>
      <w:szCs w:val="20"/>
      <w:lang w:val="zh-CN"/>
    </w:rPr>
  </w:style>
  <w:style w:type="character" w:customStyle="1" w:styleId="75">
    <w:name w:val="样式1 Char"/>
    <w:link w:val="74"/>
    <w:qFormat/>
    <w:locked/>
    <w:uiPriority w:val="99"/>
    <w:rPr>
      <w:rFonts w:ascii="宋体" w:hAnsi="宋体" w:eastAsia="宋体" w:cs="Times New Roman"/>
      <w:sz w:val="21"/>
      <w:szCs w:val="20"/>
      <w:lang w:val="zh-CN"/>
    </w:rPr>
  </w:style>
  <w:style w:type="table" w:customStyle="1" w:styleId="76">
    <w:name w:val="网格型1"/>
    <w:basedOn w:val="2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7">
    <w:name w:val="列出段落1"/>
    <w:basedOn w:val="1"/>
    <w:qFormat/>
    <w:uiPriority w:val="0"/>
    <w:pPr>
      <w:widowControl w:val="0"/>
      <w:spacing w:after="0" w:line="360" w:lineRule="auto"/>
      <w:ind w:firstLine="420" w:firstLineChars="200"/>
    </w:pPr>
    <w:rPr>
      <w:rFonts w:cs="Times New Roman"/>
      <w:kern w:val="2"/>
      <w:szCs w:val="24"/>
    </w:rPr>
  </w:style>
  <w:style w:type="paragraph" w:customStyle="1" w:styleId="78">
    <w:name w:val="ordinary-output"/>
    <w:basedOn w:val="1"/>
    <w:qFormat/>
    <w:uiPriority w:val="0"/>
    <w:pPr>
      <w:widowControl/>
      <w:spacing w:before="100" w:beforeAutospacing="1" w:after="63" w:line="275" w:lineRule="atLeast"/>
      <w:jc w:val="left"/>
    </w:pPr>
    <w:rPr>
      <w:rFonts w:ascii="宋体" w:hAnsi="宋体" w:eastAsia="宋体" w:cs="宋体"/>
      <w:color w:val="333333"/>
      <w:kern w:val="0"/>
      <w:sz w:val="18"/>
      <w:szCs w:val="18"/>
    </w:rPr>
  </w:style>
  <w:style w:type="paragraph" w:customStyle="1" w:styleId="79">
    <w:name w:val="规程英文名称（封面）"/>
    <w:basedOn w:val="15"/>
    <w:qFormat/>
    <w:uiPriority w:val="0"/>
    <w:pPr>
      <w:widowControl/>
      <w:snapToGrid w:val="0"/>
      <w:spacing w:line="360" w:lineRule="auto"/>
      <w:ind w:left="178" w:leftChars="85"/>
      <w:jc w:val="center"/>
    </w:pPr>
    <w:rPr>
      <w:rFonts w:ascii="Times New Roman" w:hAnsi="Times New Roman" w:eastAsia="黑体" w:cs="Times New Roman"/>
      <w:kern w:val="0"/>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jpe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EDC0AB-C0F1-499E-8E08-40BE23BB358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28</Pages>
  <Words>11103</Words>
  <Characters>15516</Characters>
  <Lines>151</Lines>
  <Paragraphs>42</Paragraphs>
  <TotalTime>46</TotalTime>
  <ScaleCrop>false</ScaleCrop>
  <LinksUpToDate>false</LinksUpToDate>
  <CharactersWithSpaces>16693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2019-07-12T02:28:00Z</dcterms:created>
  <dc:creator>赵珍仪</dc:creator>
  <cp:lastModifiedBy>ZZY</cp:lastModifiedBy>
  <cp:lastPrinted>2022-05-24T02:11:00Z</cp:lastPrinted>
  <dcterms:modified xsi:type="dcterms:W3CDTF">2022-11-16T07:01:46Z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A3ED385B45A54303AF28CFAFA242783E</vt:lpwstr>
  </property>
</Properties>
</file>