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A248D" w:rsidRPr="007A248D">
        <w:rPr>
          <w:rFonts w:ascii="宋体" w:hAnsi="宋体" w:hint="eastAsia"/>
          <w:b/>
          <w:sz w:val="28"/>
          <w:szCs w:val="32"/>
        </w:rPr>
        <w:t>建筑遮阳产品物理性能试验方法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289" w:rsidRDefault="00760289" w:rsidP="00892971">
      <w:r>
        <w:separator/>
      </w:r>
    </w:p>
  </w:endnote>
  <w:endnote w:type="continuationSeparator" w:id="0">
    <w:p w:rsidR="00760289" w:rsidRDefault="0076028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289" w:rsidRDefault="00760289" w:rsidP="00892971">
      <w:r>
        <w:separator/>
      </w:r>
    </w:p>
  </w:footnote>
  <w:footnote w:type="continuationSeparator" w:id="0">
    <w:p w:rsidR="00760289" w:rsidRDefault="0076028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1EF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67013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6555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B31E4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0289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248D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2EFD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卓坤</cp:lastModifiedBy>
  <cp:revision>3</cp:revision>
  <dcterms:created xsi:type="dcterms:W3CDTF">2022-07-21T07:40:00Z</dcterms:created>
  <dcterms:modified xsi:type="dcterms:W3CDTF">2022-07-21T07:45:00Z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