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ICS  13.020.10</w:t>
      </w:r>
    </w:p>
    <w:p>
      <w:pPr>
        <w:rPr>
          <w:rFonts w:ascii="黑体" w:hAnsi="黑体" w:eastAsia="黑体"/>
        </w:rPr>
      </w:pPr>
      <w:r>
        <w:rPr>
          <w:rFonts w:ascii="黑体" w:hAnsi="黑体" w:eastAsia="黑体"/>
        </w:rPr>
        <w:t xml:space="preserve">Z </w:t>
      </w:r>
      <w:r>
        <w:rPr>
          <w:rFonts w:hint="eastAsia" w:ascii="黑体" w:hAnsi="黑体" w:eastAsia="黑体"/>
        </w:rPr>
        <w:t xml:space="preserve"> </w:t>
      </w:r>
      <w:r>
        <w:rPr>
          <w:rFonts w:ascii="黑体" w:hAnsi="黑体" w:eastAsia="黑体"/>
        </w:rPr>
        <w:t>04</w:t>
      </w:r>
    </w:p>
    <w:p>
      <w:pPr>
        <w:rPr>
          <w:rFonts w:asciiTheme="minorEastAsia" w:hAnsiTheme="minorEastAsia"/>
        </w:rPr>
      </w:pPr>
    </w:p>
    <w:p>
      <w:pPr>
        <w:jc w:val="distribute"/>
        <w:rPr>
          <w:rFonts w:ascii="黑体" w:hAnsi="黑体" w:eastAsia="黑体"/>
          <w:b/>
          <w:bCs/>
          <w:sz w:val="52"/>
          <w:szCs w:val="52"/>
        </w:rPr>
      </w:pPr>
      <w:r>
        <w:rPr>
          <w:rFonts w:hint="eastAsia" w:ascii="黑体" w:hAnsi="黑体" w:eastAsia="黑体"/>
          <w:b/>
          <w:bCs/>
          <w:sz w:val="52"/>
          <w:szCs w:val="52"/>
        </w:rPr>
        <w:t>团 体 标 准</w:t>
      </w:r>
    </w:p>
    <w:p>
      <w:pPr>
        <w:jc w:val="right"/>
        <w:rPr>
          <w:rFonts w:ascii="黑体" w:hAnsi="黑体" w:eastAsia="黑体"/>
          <w:sz w:val="28"/>
          <w:szCs w:val="28"/>
        </w:rPr>
      </w:pPr>
      <w:r>
        <w:rPr>
          <w:rFonts w:hint="eastAsia" w:ascii="黑体" w:hAnsi="黑体" w:eastAsia="黑体"/>
          <w:sz w:val="28"/>
          <w:szCs w:val="28"/>
        </w:rPr>
        <w:t>T/CECS 10047—</w:t>
      </w:r>
      <w:r>
        <w:rPr>
          <w:rFonts w:ascii="黑体" w:hAnsi="黑体" w:eastAsia="黑体"/>
          <w:sz w:val="28"/>
          <w:szCs w:val="28"/>
        </w:rPr>
        <w:t>202</w:t>
      </w:r>
      <w:r>
        <w:rPr>
          <w:rFonts w:hint="eastAsia" w:ascii="黑体" w:hAnsi="黑体" w:eastAsia="黑体"/>
          <w:sz w:val="28"/>
          <w:szCs w:val="28"/>
        </w:rPr>
        <w:t>X</w:t>
      </w:r>
    </w:p>
    <w:p>
      <w:pPr>
        <w:jc w:val="right"/>
        <w:rPr>
          <w:rFonts w:ascii="黑体" w:hAnsi="黑体" w:eastAsia="黑体"/>
        </w:rPr>
      </w:pPr>
      <w:r>
        <w:rPr>
          <w:rFonts w:hint="eastAsia" w:ascii="黑体" w:hAnsi="黑体" w:eastAsia="黑体"/>
        </w:rPr>
        <w:t>代替T/CECS 10047—2019</w:t>
      </w:r>
    </w:p>
    <w:p>
      <w:pPr>
        <w:jc w:val="center"/>
        <w:rPr>
          <w:rFonts w:asciiTheme="minorEastAsia" w:hAnsiTheme="minorEastAsia"/>
          <w:sz w:val="32"/>
          <w:szCs w:val="32"/>
        </w:rPr>
      </w:pPr>
      <w:r>
        <w:rPr>
          <w:rFonts w:hint="eastAsia" w:asciiTheme="minorEastAsia" w:hAnsiTheme="minorEastAsia"/>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97155</wp:posOffset>
                </wp:positionV>
                <wp:extent cx="53149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5pt;margin-top:7.65pt;height:0pt;width:418.5pt;z-index:251659264;mso-width-relative:page;mso-height-relative:page;" filled="f" stroked="t" coordsize="21600,21600" o:gfxdata="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rRVq1QAAAAgBAAAPAAAAAAAAAAEAIAAAACIAAABkcnMvZG93bnJldi54bWxQSwECFAAUAAAACACH&#10;TuJAj9BM0u4BAADTAwAADgAAAAAAAAABACAAAAAkAQAAZHJzL2Uyb0RvYy54bWxQSwUGAAAAAAYA&#10;BgBZAQAAhAUAAAAA&#10;">
                <v:fill on="f" focussize="0,0"/>
                <v:stroke color="#000000 [3200]" joinstyle="round"/>
                <v:imagedata o:title=""/>
                <o:lock v:ext="edit" aspectratio="f"/>
              </v:line>
            </w:pict>
          </mc:Fallback>
        </mc:AlternateContent>
      </w: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黑体" w:hAnsi="黑体" w:eastAsia="黑体"/>
          <w:sz w:val="52"/>
          <w:szCs w:val="52"/>
        </w:rPr>
      </w:pPr>
      <w:r>
        <w:rPr>
          <w:rFonts w:hint="eastAsia" w:ascii="黑体" w:hAnsi="黑体" w:eastAsia="黑体"/>
          <w:sz w:val="52"/>
          <w:szCs w:val="52"/>
        </w:rPr>
        <w:t>绿色建材评价  预拌混凝土</w:t>
      </w:r>
    </w:p>
    <w:p>
      <w:pPr>
        <w:jc w:val="center"/>
        <w:rPr>
          <w:rFonts w:ascii="黑体" w:hAnsi="黑体" w:eastAsia="黑体" w:cs="Times New Roman"/>
          <w:sz w:val="28"/>
          <w:szCs w:val="28"/>
        </w:rPr>
      </w:pPr>
      <w:r>
        <w:rPr>
          <w:rFonts w:ascii="黑体" w:hAnsi="黑体" w:eastAsia="黑体" w:cs="Times New Roman"/>
          <w:sz w:val="28"/>
          <w:szCs w:val="28"/>
        </w:rPr>
        <w:t>Green building material assessment—Ready-mixed concrete</w:t>
      </w:r>
    </w:p>
    <w:p>
      <w:pPr>
        <w:jc w:val="center"/>
        <w:rPr>
          <w:rFonts w:ascii="黑体" w:hAnsi="黑体" w:eastAsia="黑体"/>
          <w:sz w:val="28"/>
          <w:szCs w:val="28"/>
        </w:rPr>
      </w:pPr>
      <w:r>
        <w:rPr>
          <w:rFonts w:hint="eastAsia" w:ascii="黑体" w:hAnsi="黑体" w:eastAsia="黑体"/>
          <w:sz w:val="28"/>
          <w:szCs w:val="28"/>
        </w:rPr>
        <w:t>（征求意见稿）</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left"/>
        <w:rPr>
          <w:rFonts w:ascii="黑体" w:hAnsi="黑体" w:eastAsia="黑体"/>
          <w:sz w:val="28"/>
          <w:szCs w:val="28"/>
        </w:rPr>
      </w:pPr>
      <w:r>
        <w:rPr>
          <w:rFonts w:hint="eastAsia"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384810</wp:posOffset>
                </wp:positionV>
                <wp:extent cx="53149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5pt;margin-top:30.3pt;height:0pt;width:418.5pt;z-index:251660288;mso-width-relative:page;mso-height-relative:page;" filled="f" stroked="t" coordsize="21600,21600" o:gfxdata="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1GKUPWAAAACAEAAA8AAAAAAAAAAQAgAAAAIgAAAGRycy9kb3ducmV2LnhtbFBLAQIUABQAAAAI&#10;AIdO4kC0NGKb7wEAANMDAAAOAAAAAAAAAAEAIAAAACUBAABkcnMvZTJvRG9jLnhtbFBLBQYAAAAA&#10;BgAGAFkBAACGBQAAAAA=&#10;">
                <v:fill on="f" focussize="0,0"/>
                <v:stroke color="#000000 [3200]" joinstyle="round"/>
                <v:imagedata o:title=""/>
                <o:lock v:ext="edit" aspectratio="f"/>
              </v:line>
            </w:pict>
          </mc:Fallback>
        </mc:AlternateContent>
      </w:r>
      <w:r>
        <w:rPr>
          <w:rFonts w:hint="eastAsia" w:ascii="黑体" w:hAnsi="黑体" w:eastAsia="黑体"/>
          <w:sz w:val="28"/>
          <w:szCs w:val="28"/>
        </w:rPr>
        <w:t xml:space="preserve">xxxx-xx-xx发布                  </w:t>
      </w:r>
      <w:r>
        <w:rPr>
          <w:rFonts w:ascii="黑体" w:hAnsi="黑体" w:eastAsia="黑体"/>
          <w:sz w:val="28"/>
          <w:szCs w:val="28"/>
        </w:rPr>
        <w:t xml:space="preserve">            </w:t>
      </w:r>
      <w:r>
        <w:rPr>
          <w:rFonts w:hint="eastAsia" w:ascii="黑体" w:hAnsi="黑体" w:eastAsia="黑体"/>
          <w:sz w:val="28"/>
          <w:szCs w:val="28"/>
        </w:rPr>
        <w:t>xxxx-xx-xx实施</w:t>
      </w:r>
    </w:p>
    <w:p>
      <w:pPr>
        <w:jc w:val="center"/>
        <w:rPr>
          <w:rFonts w:asciiTheme="minorEastAsia" w:hAnsiTheme="minorEastAsia"/>
        </w:rPr>
      </w:pPr>
    </w:p>
    <w:p>
      <w:pPr>
        <w:jc w:val="center"/>
        <w:rPr>
          <w:rFonts w:asciiTheme="minorEastAsia" w:hAnsiTheme="minorEastAsia"/>
        </w:rPr>
        <w:sectPr>
          <w:headerReference r:id="rId3" w:type="default"/>
          <w:headerReference r:id="rId4" w:type="even"/>
          <w:pgSz w:w="11906" w:h="16838"/>
          <w:pgMar w:top="1440" w:right="1800" w:bottom="1440" w:left="1800" w:header="851" w:footer="992" w:gutter="0"/>
          <w:cols w:space="425" w:num="1"/>
          <w:docGrid w:type="lines" w:linePitch="312" w:charSpace="0"/>
        </w:sectPr>
      </w:pPr>
      <w:r>
        <w:rPr>
          <w:rFonts w:hint="eastAsia" w:ascii="黑体" w:hAnsi="黑体" w:eastAsia="黑体"/>
          <w:sz w:val="28"/>
          <w:szCs w:val="28"/>
        </w:rPr>
        <w:t>中国工程建设标准化协会</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 xml:space="preserve"> </w:t>
      </w:r>
      <w:r>
        <w:rPr>
          <w:rFonts w:hint="eastAsia" w:ascii="黑体" w:hAnsi="黑体" w:eastAsia="黑体"/>
          <w:sz w:val="28"/>
          <w:szCs w:val="28"/>
        </w:rPr>
        <w:t>发 布</w:t>
      </w:r>
      <w:r>
        <w:rPr>
          <w:rFonts w:asciiTheme="minorEastAsia" w:hAnsiTheme="minorEastAsia"/>
        </w:rPr>
        <w:br w:type="page"/>
      </w:r>
    </w:p>
    <w:p>
      <w:pPr>
        <w:widowControl/>
        <w:jc w:val="left"/>
        <w:rPr>
          <w:rFonts w:asciiTheme="minorEastAsia" w:hAnsiTheme="minorEastAsia"/>
        </w:rPr>
      </w:pPr>
    </w:p>
    <w:p>
      <w:pPr>
        <w:rPr>
          <w:rFonts w:asciiTheme="minorEastAsia" w:hAnsiTheme="minorEastAsia"/>
        </w:rPr>
      </w:pPr>
    </w:p>
    <w:p>
      <w:pPr>
        <w:jc w:val="center"/>
        <w:rPr>
          <w:rFonts w:ascii="黑体" w:hAnsi="黑体" w:eastAsia="黑体"/>
          <w:sz w:val="32"/>
          <w:szCs w:val="32"/>
        </w:rPr>
      </w:pPr>
      <w:r>
        <w:rPr>
          <w:rFonts w:hint="eastAsia" w:ascii="黑体" w:hAnsi="黑体" w:eastAsia="黑体"/>
          <w:sz w:val="32"/>
          <w:szCs w:val="32"/>
        </w:rPr>
        <w:t>目  次</w:t>
      </w:r>
    </w:p>
    <w:p>
      <w:pPr>
        <w:jc w:val="left"/>
        <w:rPr>
          <w:rFonts w:asciiTheme="minorEastAsia" w:hAnsiTheme="minorEastAsia"/>
        </w:rPr>
      </w:pPr>
    </w:p>
    <w:p>
      <w:pPr>
        <w:jc w:val="distribute"/>
        <w:rPr>
          <w:rFonts w:asciiTheme="minorEastAsia" w:hAnsiTheme="minorEastAsia"/>
        </w:rPr>
      </w:pPr>
      <w:r>
        <w:rPr>
          <w:rFonts w:hint="eastAsia" w:asciiTheme="minorEastAsia" w:hAnsiTheme="minorEastAsia"/>
        </w:rPr>
        <w:t>前言………………………………………………………………………………………………</w:t>
      </w:r>
      <w:r>
        <w:rPr>
          <w:rFonts w:hint="default" w:ascii="Times New Roman" w:hAnsi="Times New Roman" w:cs="Times New Roman"/>
        </w:rPr>
        <w:fldChar w:fldCharType="begin"/>
      </w:r>
      <w:r>
        <w:rPr>
          <w:rFonts w:hint="default" w:ascii="Times New Roman" w:hAnsi="Times New Roman" w:cs="Times New Roman"/>
        </w:rPr>
        <w:instrText xml:space="preserve"> = 2 \* ROMAN \* MERGEFORMAT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p>
    <w:p>
      <w:pPr>
        <w:jc w:val="distribute"/>
        <w:rPr>
          <w:rFonts w:asciiTheme="minorEastAsia" w:hAnsiTheme="minorEastAsia"/>
        </w:rPr>
      </w:pPr>
      <w:r>
        <w:rPr>
          <w:rFonts w:hint="eastAsia" w:asciiTheme="minorEastAsia" w:hAnsiTheme="minorEastAsia"/>
        </w:rPr>
        <w:t>1  范围……………………………………………………………………………………………1</w:t>
      </w:r>
    </w:p>
    <w:p>
      <w:pPr>
        <w:jc w:val="distribute"/>
        <w:rPr>
          <w:rFonts w:asciiTheme="minorEastAsia" w:hAnsiTheme="minorEastAsia"/>
        </w:rPr>
      </w:pPr>
      <w:r>
        <w:rPr>
          <w:rFonts w:hint="eastAsia" w:asciiTheme="minorEastAsia" w:hAnsiTheme="minorEastAsia"/>
        </w:rPr>
        <w:t>2  规范性引用文件………………………………………………………………………………1</w:t>
      </w:r>
    </w:p>
    <w:p>
      <w:pPr>
        <w:jc w:val="distribute"/>
        <w:rPr>
          <w:rFonts w:asciiTheme="minorEastAsia" w:hAnsiTheme="minorEastAsia"/>
        </w:rPr>
      </w:pPr>
      <w:r>
        <w:rPr>
          <w:rFonts w:hint="eastAsia" w:asciiTheme="minorEastAsia" w:hAnsiTheme="minorEastAsia"/>
        </w:rPr>
        <w:t>3  术语和定义……………………………………………………………………………………1</w:t>
      </w:r>
    </w:p>
    <w:p>
      <w:pPr>
        <w:jc w:val="distribute"/>
        <w:rPr>
          <w:rFonts w:asciiTheme="minorEastAsia" w:hAnsiTheme="minorEastAsia"/>
        </w:rPr>
      </w:pPr>
      <w:r>
        <w:rPr>
          <w:rFonts w:hint="eastAsia" w:asciiTheme="minorEastAsia" w:hAnsiTheme="minorEastAsia"/>
        </w:rPr>
        <w:t>4  评价要求………………………………………………………………………………………2</w:t>
      </w:r>
    </w:p>
    <w:p>
      <w:pPr>
        <w:jc w:val="distribute"/>
        <w:rPr>
          <w:rFonts w:asciiTheme="minorEastAsia" w:hAnsiTheme="minorEastAsia"/>
        </w:rPr>
      </w:pPr>
      <w:r>
        <w:rPr>
          <w:rFonts w:hint="eastAsia" w:asciiTheme="minorEastAsia" w:hAnsiTheme="minorEastAsia"/>
        </w:rPr>
        <w:t>5  评价方法………………………………………………………………………………………3</w:t>
      </w:r>
    </w:p>
    <w:p>
      <w:pPr>
        <w:jc w:val="distribute"/>
        <w:rPr>
          <w:rFonts w:asciiTheme="minorEastAsia" w:hAnsiTheme="minorEastAsia"/>
        </w:rPr>
      </w:pPr>
      <w:r>
        <w:rPr>
          <w:rFonts w:hint="eastAsia" w:asciiTheme="minorEastAsia" w:hAnsiTheme="minorEastAsia"/>
        </w:rPr>
        <w:t>附录A（规范性附录）预拌混凝土评价指标计算方法…………………………………………5</w:t>
      </w:r>
    </w:p>
    <w:p>
      <w:pPr>
        <w:widowControl/>
        <w:jc w:val="left"/>
        <w:rPr>
          <w:rFonts w:asciiTheme="minorEastAsia" w:hAnsiTheme="minorEastAsia"/>
        </w:rPr>
      </w:pPr>
      <w:r>
        <w:rPr>
          <w:rFonts w:asciiTheme="minorEastAsia" w:hAnsiTheme="minorEastAsia"/>
        </w:rPr>
        <w:br w:type="page"/>
      </w:r>
    </w:p>
    <w:p>
      <w:pPr>
        <w:jc w:val="left"/>
        <w:rPr>
          <w:rFonts w:asciiTheme="minorEastAsia" w:hAnsiTheme="minorEastAsia"/>
        </w:rPr>
      </w:pPr>
    </w:p>
    <w:p>
      <w:pPr>
        <w:jc w:val="center"/>
        <w:rPr>
          <w:rFonts w:asciiTheme="minorEastAsia" w:hAnsiTheme="minorEastAsia"/>
        </w:rPr>
      </w:pPr>
    </w:p>
    <w:p>
      <w:pPr>
        <w:jc w:val="center"/>
        <w:rPr>
          <w:rFonts w:ascii="黑体" w:hAnsi="黑体" w:eastAsia="黑体"/>
          <w:sz w:val="32"/>
          <w:szCs w:val="32"/>
        </w:rPr>
      </w:pPr>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p>
    <w:p>
      <w:pPr>
        <w:jc w:val="left"/>
        <w:rPr>
          <w:rFonts w:asciiTheme="minorEastAsia" w:hAnsiTheme="minorEastAsia"/>
        </w:rPr>
      </w:pPr>
    </w:p>
    <w:p>
      <w:pPr>
        <w:ind w:firstLine="420" w:firstLineChars="200"/>
        <w:rPr>
          <w:rFonts w:hint="eastAsia" w:cs="宋体"/>
          <w:color w:val="000000"/>
          <w:lang w:val="en-US" w:eastAsia="zh-CN"/>
        </w:rPr>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lang w:val="en-US" w:eastAsia="zh-CN"/>
        </w:rPr>
        <w:t>本文件是按中国工程建设标准化协会《关于印发&lt;20</w:t>
      </w:r>
      <w:r>
        <w:rPr>
          <w:rFonts w:hint="eastAsia" w:cs="宋体"/>
          <w:color w:val="000000"/>
          <w:lang w:val="en-US" w:eastAsia="zh-CN"/>
        </w:rPr>
        <w:t>22年第</w:t>
      </w:r>
      <w:r>
        <w:rPr>
          <w:rFonts w:hint="eastAsia" w:cs="宋体"/>
          <w:color w:val="000000"/>
          <w:lang w:val="en-US" w:eastAsia="zh-CN"/>
        </w:rPr>
        <w:t>一批</w:t>
      </w:r>
      <w:r>
        <w:rPr>
          <w:rFonts w:hint="eastAsia" w:cs="宋体"/>
          <w:color w:val="000000"/>
          <w:lang w:val="en-US" w:eastAsia="zh-CN"/>
        </w:rPr>
        <w:t>协会标准</w:t>
      </w:r>
      <w:r>
        <w:rPr>
          <w:rFonts w:hint="eastAsia" w:cs="宋体"/>
          <w:color w:val="000000"/>
          <w:lang w:val="en-US" w:eastAsia="zh-CN"/>
        </w:rPr>
        <w:t>制定、修订计划&gt;的通</w:t>
      </w:r>
      <w:r>
        <w:rPr>
          <w:rFonts w:hint="eastAsia" w:cs="宋体"/>
          <w:color w:val="000000"/>
        </w:rPr>
        <w:t>知》（建标协字〔20</w:t>
      </w:r>
      <w:r>
        <w:rPr>
          <w:rFonts w:hint="eastAsia" w:cs="宋体"/>
          <w:color w:val="000000"/>
          <w:lang w:val="en-US" w:eastAsia="zh-CN"/>
        </w:rPr>
        <w:t>22</w:t>
      </w:r>
      <w:r>
        <w:rPr>
          <w:rFonts w:hint="eastAsia" w:cs="宋体"/>
          <w:color w:val="000000"/>
        </w:rPr>
        <w:t>〕</w:t>
      </w:r>
      <w:r>
        <w:rPr>
          <w:rFonts w:hint="eastAsia" w:cs="宋体"/>
          <w:color w:val="000000"/>
          <w:lang w:val="en-US" w:eastAsia="zh-CN"/>
        </w:rPr>
        <w:t>1</w:t>
      </w:r>
      <w:r>
        <w:rPr>
          <w:rFonts w:hint="eastAsia" w:cs="宋体"/>
          <w:color w:val="000000"/>
        </w:rPr>
        <w:t>3号）的要求制定。</w:t>
      </w:r>
    </w:p>
    <w:p>
      <w:pPr>
        <w:pStyle w:val="13"/>
      </w:pPr>
      <w:r>
        <w:t>本文件的某些内容可能涉及专利。本文件的发布机构不承担识别这些专利的责任。</w:t>
      </w:r>
    </w:p>
    <w:p>
      <w:pPr>
        <w:pStyle w:val="13"/>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13"/>
        <w:rPr>
          <w:rFonts w:ascii="Times New Roman"/>
        </w:rPr>
      </w:pPr>
      <w:r>
        <w:rPr>
          <w:rFonts w:hint="eastAsia"/>
          <w:color w:val="000000"/>
        </w:rPr>
        <w:t>本文件由中国工程建设标准化协会绿色建筑与生态城区分会归口管理</w:t>
      </w:r>
      <w:r>
        <w:rPr>
          <w:rFonts w:ascii="Times New Roman"/>
        </w:rPr>
        <w:t>。</w:t>
      </w:r>
    </w:p>
    <w:p>
      <w:pPr>
        <w:pStyle w:val="13"/>
      </w:pPr>
      <w:r>
        <w:rPr>
          <w:rFonts w:hint="eastAsia"/>
        </w:rPr>
        <w:t>本文件负责起草单位：住房和城乡建设部科技与产业化发展中心。</w:t>
      </w:r>
    </w:p>
    <w:p>
      <w:pPr>
        <w:ind w:firstLine="420" w:firstLineChars="200"/>
        <w:jc w:val="left"/>
        <w:rPr>
          <w:rFonts w:hint="eastAsia" w:asciiTheme="minorEastAsia" w:hAnsiTheme="minorEastAsia"/>
          <w:highlight w:val="none"/>
        </w:rPr>
      </w:pPr>
      <w:r>
        <w:rPr>
          <w:rFonts w:hint="eastAsia" w:asciiTheme="minorEastAsia" w:hAnsiTheme="minorEastAsia"/>
          <w:highlight w:val="none"/>
        </w:rPr>
        <w:t>本标准参加起草单位：北京国建联信认证中心有限公司</w:t>
      </w:r>
    </w:p>
    <w:p>
      <w:pPr>
        <w:ind w:firstLine="420" w:firstLineChars="200"/>
        <w:jc w:val="left"/>
        <w:rPr>
          <w:rFonts w:asciiTheme="minorEastAsia" w:hAnsiTheme="minorEastAsia"/>
          <w:highlight w:val="none"/>
        </w:rPr>
      </w:pPr>
      <w:r>
        <w:rPr>
          <w:rFonts w:hint="eastAsia" w:asciiTheme="minorEastAsia" w:hAnsiTheme="minorEastAsia"/>
          <w:highlight w:val="none"/>
        </w:rPr>
        <w:t>本标准主要起草人：</w:t>
      </w:r>
    </w:p>
    <w:p>
      <w:pPr>
        <w:ind w:firstLine="420" w:firstLineChars="200"/>
        <w:jc w:val="left"/>
        <w:rPr>
          <w:rFonts w:asciiTheme="minorEastAsia" w:hAnsiTheme="minorEastAsia"/>
          <w:highlight w:val="none"/>
        </w:rPr>
      </w:pPr>
      <w:r>
        <w:rPr>
          <w:rFonts w:hint="eastAsia" w:asciiTheme="minorEastAsia" w:hAnsiTheme="minorEastAsia"/>
          <w:highlight w:val="none"/>
        </w:rPr>
        <w:t>本标准主要审查人：</w:t>
      </w:r>
    </w:p>
    <w:p>
      <w:pPr>
        <w:widowControl/>
        <w:jc w:val="left"/>
        <w:rPr>
          <w:rFonts w:asciiTheme="minorEastAsia" w:hAnsiTheme="minorEastAsia"/>
        </w:rPr>
      </w:pPr>
      <w:r>
        <w:rPr>
          <w:rFonts w:asciiTheme="minorEastAsia" w:hAnsiTheme="minorEastAsia"/>
        </w:rPr>
        <w:br w:type="page"/>
      </w:r>
    </w:p>
    <w:p>
      <w:pPr>
        <w:pStyle w:val="14"/>
        <w:outlineLvl w:val="9"/>
        <w:rPr>
          <w:rFonts w:hint="eastAsia" w:hAnsi="Times New Roman" w:cs="黑体"/>
          <w:sz w:val="36"/>
          <w:szCs w:val="36"/>
        </w:rPr>
      </w:pPr>
      <w:r>
        <w:rPr>
          <w:rFonts w:hint="eastAsia" w:hAnsi="Times New Roman" w:cs="黑体"/>
          <w:sz w:val="36"/>
          <w:szCs w:val="36"/>
        </w:rPr>
        <w:t>绿色建材评价  预拌混凝土</w:t>
      </w:r>
    </w:p>
    <w:p>
      <w:pPr>
        <w:spacing w:line="480" w:lineRule="auto"/>
        <w:jc w:val="left"/>
        <w:rPr>
          <w:rFonts w:ascii="黑体" w:hAnsi="黑体" w:eastAsia="黑体"/>
        </w:rPr>
      </w:pPr>
      <w:r>
        <w:rPr>
          <w:rFonts w:ascii="黑体" w:hAnsi="黑体" w:eastAsia="黑体"/>
        </w:rPr>
        <w:t xml:space="preserve">1  </w:t>
      </w:r>
      <w:r>
        <w:rPr>
          <w:rFonts w:hint="eastAsia" w:ascii="黑体" w:hAnsi="黑体" w:eastAsia="黑体"/>
        </w:rPr>
        <w:t>范围</w:t>
      </w:r>
    </w:p>
    <w:p>
      <w:pPr>
        <w:ind w:firstLine="420" w:firstLineChars="200"/>
        <w:jc w:val="left"/>
        <w:rPr>
          <w:rFonts w:asciiTheme="minorEastAsia" w:hAnsiTheme="minorEastAsia"/>
        </w:rPr>
      </w:pPr>
      <w:r>
        <w:rPr>
          <w:rFonts w:hint="eastAsia" w:asciiTheme="minorEastAsia" w:hAnsiTheme="minorEastAsia"/>
        </w:rPr>
        <w:t>本</w:t>
      </w:r>
      <w:r>
        <w:rPr>
          <w:rFonts w:hint="eastAsia" w:asciiTheme="minorEastAsia" w:hAnsiTheme="minorEastAsia"/>
          <w:lang w:val="en-US" w:eastAsia="zh-CN"/>
        </w:rPr>
        <w:t>文件</w:t>
      </w:r>
      <w:r>
        <w:rPr>
          <w:rFonts w:hint="eastAsia" w:asciiTheme="minorEastAsia" w:hAnsiTheme="minorEastAsia"/>
        </w:rPr>
        <w:t>规定了预拌混凝土绿色建材评价的术语和定义、评价要求和评价方法。</w:t>
      </w:r>
    </w:p>
    <w:p>
      <w:pPr>
        <w:ind w:firstLine="420" w:firstLineChars="200"/>
        <w:jc w:val="left"/>
        <w:rPr>
          <w:rFonts w:asciiTheme="minorEastAsia" w:hAnsiTheme="minorEastAsia"/>
        </w:rPr>
      </w:pPr>
      <w:r>
        <w:rPr>
          <w:rFonts w:hint="eastAsia" w:asciiTheme="minorEastAsia" w:hAnsiTheme="minorEastAsia"/>
        </w:rPr>
        <w:t>本</w:t>
      </w:r>
      <w:r>
        <w:rPr>
          <w:rFonts w:hint="eastAsia" w:asciiTheme="minorEastAsia" w:hAnsiTheme="minorEastAsia"/>
          <w:lang w:val="en-US" w:eastAsia="zh-CN"/>
        </w:rPr>
        <w:t>文件</w:t>
      </w:r>
      <w:bookmarkStart w:id="4" w:name="_GoBack"/>
      <w:bookmarkEnd w:id="4"/>
      <w:r>
        <w:rPr>
          <w:rFonts w:hint="eastAsia" w:asciiTheme="minorEastAsia" w:hAnsiTheme="minorEastAsia"/>
        </w:rPr>
        <w:t>适用于C20及以上强度等级的预拌混凝土的绿色建材评价。</w:t>
      </w:r>
    </w:p>
    <w:p>
      <w:pPr>
        <w:jc w:val="left"/>
        <w:rPr>
          <w:rFonts w:asciiTheme="minorEastAsia" w:hAnsiTheme="minorEastAsia"/>
        </w:rPr>
      </w:pPr>
    </w:p>
    <w:p>
      <w:pPr>
        <w:spacing w:line="480" w:lineRule="auto"/>
        <w:jc w:val="left"/>
        <w:rPr>
          <w:rFonts w:ascii="黑体" w:hAnsi="黑体" w:eastAsia="黑体"/>
        </w:rPr>
      </w:pPr>
      <w:r>
        <w:rPr>
          <w:rFonts w:ascii="黑体" w:hAnsi="黑体" w:eastAsia="黑体"/>
        </w:rPr>
        <w:t xml:space="preserve">2  </w:t>
      </w:r>
      <w:r>
        <w:rPr>
          <w:rFonts w:hint="eastAsia" w:ascii="黑体" w:hAnsi="黑体" w:eastAsia="黑体"/>
        </w:rPr>
        <w:t>规范性引用文件</w:t>
      </w:r>
    </w:p>
    <w:p>
      <w:pPr>
        <w:ind w:firstLine="420" w:firstLineChars="200"/>
        <w:jc w:val="left"/>
        <w:rPr>
          <w:rFonts w:asciiTheme="minorEastAsia" w:hAnsiTheme="minorEastAsia"/>
        </w:rPr>
      </w:pPr>
      <w:r>
        <w:rPr>
          <w:rFonts w:hint="eastAsia" w:asciiTheme="minorEastAsia" w:hAnsiTheme="minorEastAsia"/>
        </w:rPr>
        <w:t>下列文件对于本文件的应用是必不可少的。凡是注日期的引用文件，仅注日期的版本适用于本文件。凡是不注日期的引用文件，其最新版本（包括所有的修改单）适用于本文件。</w:t>
      </w:r>
    </w:p>
    <w:p>
      <w:pPr>
        <w:ind w:firstLine="420" w:firstLineChars="200"/>
        <w:jc w:val="left"/>
        <w:rPr>
          <w:rFonts w:asciiTheme="minorEastAsia" w:hAnsiTheme="minorEastAsia"/>
        </w:rPr>
      </w:pPr>
      <w:r>
        <w:rPr>
          <w:rFonts w:hint="eastAsia" w:asciiTheme="minorEastAsia" w:hAnsiTheme="minorEastAsia"/>
        </w:rPr>
        <w:t>GB 6566建筑材料放射性核素限量</w:t>
      </w:r>
    </w:p>
    <w:p>
      <w:pPr>
        <w:ind w:firstLine="420" w:firstLineChars="200"/>
        <w:jc w:val="left"/>
        <w:rPr>
          <w:rFonts w:asciiTheme="minorEastAsia" w:hAnsiTheme="minorEastAsia"/>
        </w:rPr>
      </w:pPr>
      <w:r>
        <w:rPr>
          <w:rFonts w:hint="eastAsia" w:asciiTheme="minorEastAsia" w:hAnsiTheme="minorEastAsia"/>
        </w:rPr>
        <w:t>GB/T 14902预拌混凝土</w:t>
      </w:r>
    </w:p>
    <w:p>
      <w:pPr>
        <w:ind w:firstLine="420" w:firstLineChars="200"/>
        <w:jc w:val="left"/>
        <w:rPr>
          <w:rFonts w:asciiTheme="minorEastAsia" w:hAnsiTheme="minorEastAsia"/>
        </w:rPr>
      </w:pPr>
      <w:r>
        <w:rPr>
          <w:rFonts w:hint="eastAsia" w:asciiTheme="minorEastAsia" w:hAnsiTheme="minorEastAsia"/>
        </w:rPr>
        <w:t>GB 18597危险废物贮存污染控制标准</w:t>
      </w:r>
    </w:p>
    <w:p>
      <w:pPr>
        <w:ind w:firstLine="420" w:firstLineChars="200"/>
        <w:jc w:val="left"/>
        <w:rPr>
          <w:rFonts w:asciiTheme="minorEastAsia" w:hAnsiTheme="minorEastAsia"/>
        </w:rPr>
      </w:pPr>
      <w:r>
        <w:rPr>
          <w:rFonts w:hint="eastAsia" w:asciiTheme="minorEastAsia" w:hAnsiTheme="minorEastAsia"/>
        </w:rPr>
        <w:t>GB 18599一般工业固体废物贮存、处置场污染控制标准</w:t>
      </w:r>
    </w:p>
    <w:p>
      <w:pPr>
        <w:ind w:firstLine="420" w:firstLineChars="200"/>
        <w:jc w:val="left"/>
        <w:rPr>
          <w:rFonts w:asciiTheme="minorEastAsia" w:hAnsiTheme="minorEastAsia"/>
        </w:rPr>
      </w:pPr>
      <w:r>
        <w:rPr>
          <w:rFonts w:hint="eastAsia" w:asciiTheme="minorEastAsia" w:hAnsiTheme="minorEastAsia"/>
        </w:rPr>
        <w:t>GB/T 19001 质量管理体系要求</w:t>
      </w:r>
    </w:p>
    <w:p>
      <w:pPr>
        <w:ind w:firstLine="420" w:firstLineChars="200"/>
        <w:jc w:val="left"/>
        <w:rPr>
          <w:rFonts w:asciiTheme="minorEastAsia" w:hAnsiTheme="minorEastAsia"/>
        </w:rPr>
      </w:pPr>
      <w:r>
        <w:rPr>
          <w:rFonts w:hint="eastAsia" w:asciiTheme="minorEastAsia" w:hAnsiTheme="minorEastAsia"/>
        </w:rPr>
        <w:t>GB/T 23331 能源管理体系 要求</w:t>
      </w:r>
    </w:p>
    <w:p>
      <w:pPr>
        <w:ind w:firstLine="420" w:firstLineChars="200"/>
        <w:jc w:val="left"/>
        <w:rPr>
          <w:rFonts w:asciiTheme="minorEastAsia" w:hAnsiTheme="minorEastAsia"/>
        </w:rPr>
      </w:pPr>
      <w:r>
        <w:rPr>
          <w:rFonts w:hint="eastAsia" w:asciiTheme="minorEastAsia" w:hAnsiTheme="minorEastAsia"/>
        </w:rPr>
        <w:t>GB/T 24001 环境管理体系 要求及使用指南</w:t>
      </w:r>
    </w:p>
    <w:p>
      <w:pPr>
        <w:ind w:firstLine="420" w:firstLineChars="200"/>
        <w:jc w:val="left"/>
        <w:rPr>
          <w:rFonts w:asciiTheme="minorEastAsia" w:hAnsiTheme="minorEastAsia"/>
          <w:color w:val="FF0000"/>
        </w:rPr>
      </w:pPr>
      <w:r>
        <w:rPr>
          <w:rFonts w:hint="eastAsia" w:asciiTheme="minorEastAsia" w:hAnsiTheme="minorEastAsia"/>
          <w:color w:val="FF0000"/>
        </w:rPr>
        <w:t>GB/T 24025 环境标志和声明 III型环境声明 原则和程序</w:t>
      </w:r>
    </w:p>
    <w:p>
      <w:pPr>
        <w:ind w:firstLine="420" w:firstLineChars="200"/>
        <w:jc w:val="left"/>
        <w:rPr>
          <w:rFonts w:asciiTheme="minorEastAsia" w:hAnsiTheme="minorEastAsia"/>
          <w:color w:val="FF0000"/>
        </w:rPr>
      </w:pPr>
      <w:r>
        <w:rPr>
          <w:rFonts w:hint="eastAsia" w:asciiTheme="minorEastAsia" w:hAnsiTheme="minorEastAsia"/>
          <w:color w:val="FF0000"/>
        </w:rPr>
        <w:t>GB/T 24040 环境管理 生命周期评价 原则与框架</w:t>
      </w:r>
    </w:p>
    <w:p>
      <w:pPr>
        <w:ind w:firstLine="420" w:firstLineChars="200"/>
        <w:jc w:val="left"/>
        <w:rPr>
          <w:rFonts w:asciiTheme="minorEastAsia" w:hAnsiTheme="minorEastAsia"/>
          <w:color w:val="FF0000"/>
        </w:rPr>
      </w:pPr>
      <w:r>
        <w:rPr>
          <w:rFonts w:hint="eastAsia" w:asciiTheme="minorEastAsia" w:hAnsiTheme="minorEastAsia"/>
          <w:color w:val="FF0000"/>
        </w:rPr>
        <w:t>GB/T 24044 环境管理 生命周期评价 要求与指南</w:t>
      </w:r>
    </w:p>
    <w:p>
      <w:pPr>
        <w:ind w:firstLine="420" w:firstLineChars="200"/>
        <w:jc w:val="left"/>
        <w:rPr>
          <w:rFonts w:asciiTheme="minorEastAsia" w:hAnsiTheme="minorEastAsia"/>
        </w:rPr>
      </w:pPr>
      <w:r>
        <w:rPr>
          <w:rFonts w:hint="eastAsia" w:asciiTheme="minorEastAsia" w:hAnsiTheme="minorEastAsia"/>
        </w:rPr>
        <w:t>GB/T 33000 企业安全生产标准化基本规范</w:t>
      </w:r>
    </w:p>
    <w:p>
      <w:pPr>
        <w:ind w:firstLine="420" w:firstLineChars="200"/>
        <w:jc w:val="left"/>
        <w:rPr>
          <w:rFonts w:asciiTheme="minorEastAsia" w:hAnsiTheme="minorEastAsia"/>
          <w:color w:val="FF0000"/>
        </w:rPr>
      </w:pPr>
      <w:r>
        <w:rPr>
          <w:rFonts w:hint="eastAsia" w:asciiTheme="minorEastAsia" w:hAnsiTheme="minorEastAsia"/>
          <w:color w:val="FF0000"/>
        </w:rPr>
        <w:t>GB/T 33761 绿色产品评价通则</w:t>
      </w:r>
    </w:p>
    <w:p>
      <w:pPr>
        <w:ind w:firstLine="420" w:firstLineChars="200"/>
        <w:jc w:val="left"/>
        <w:rPr>
          <w:rFonts w:asciiTheme="minorEastAsia" w:hAnsiTheme="minorEastAsia"/>
          <w:color w:val="FF0000"/>
        </w:rPr>
      </w:pPr>
      <w:r>
        <w:rPr>
          <w:rFonts w:hint="eastAsia" w:asciiTheme="minorEastAsia" w:hAnsiTheme="minorEastAsia"/>
          <w:color w:val="FF0000"/>
        </w:rPr>
        <w:t>GB 34330 固体废物鉴别标准</w:t>
      </w:r>
      <w:r>
        <w:rPr>
          <w:rFonts w:asciiTheme="minorEastAsia" w:hAnsiTheme="minorEastAsia"/>
          <w:color w:val="FF0000"/>
        </w:rPr>
        <w:t xml:space="preserve"> </w:t>
      </w:r>
      <w:r>
        <w:rPr>
          <w:rFonts w:hint="eastAsia" w:asciiTheme="minorEastAsia" w:hAnsiTheme="minorEastAsia"/>
          <w:color w:val="FF0000"/>
        </w:rPr>
        <w:t>通则</w:t>
      </w:r>
    </w:p>
    <w:p>
      <w:pPr>
        <w:ind w:firstLine="420" w:firstLineChars="200"/>
        <w:jc w:val="left"/>
        <w:rPr>
          <w:rFonts w:asciiTheme="minorEastAsia" w:hAnsiTheme="minorEastAsia"/>
          <w:color w:val="FF0000"/>
        </w:rPr>
      </w:pPr>
      <w:r>
        <w:rPr>
          <w:rFonts w:hint="eastAsia" w:asciiTheme="minorEastAsia" w:hAnsiTheme="minorEastAsia"/>
          <w:color w:val="FF0000"/>
        </w:rPr>
        <w:t>GB 36888 预拌混凝土单位产品能源消耗限额</w:t>
      </w:r>
    </w:p>
    <w:p>
      <w:pPr>
        <w:ind w:firstLine="420" w:firstLineChars="200"/>
        <w:jc w:val="left"/>
        <w:rPr>
          <w:rFonts w:asciiTheme="minorEastAsia" w:hAnsiTheme="minorEastAsia"/>
          <w:color w:val="FF0000"/>
        </w:rPr>
      </w:pPr>
      <w:r>
        <w:rPr>
          <w:rFonts w:hint="eastAsia" w:asciiTheme="minorEastAsia" w:hAnsiTheme="minorEastAsia"/>
          <w:color w:val="FF0000"/>
        </w:rPr>
        <w:t xml:space="preserve">GB/T </w:t>
      </w:r>
      <w:r>
        <w:rPr>
          <w:rFonts w:asciiTheme="minorEastAsia" w:hAnsiTheme="minorEastAsia"/>
          <w:color w:val="FF0000"/>
        </w:rPr>
        <w:t>45</w:t>
      </w:r>
      <w:r>
        <w:rPr>
          <w:rFonts w:hint="eastAsia" w:asciiTheme="minorEastAsia" w:hAnsiTheme="minorEastAsia"/>
          <w:color w:val="FF0000"/>
        </w:rPr>
        <w:t>001 职业健康安全管理体系 要求及使用指南</w:t>
      </w:r>
    </w:p>
    <w:p>
      <w:pPr>
        <w:ind w:firstLine="420" w:firstLineChars="200"/>
        <w:jc w:val="left"/>
        <w:rPr>
          <w:rFonts w:asciiTheme="minorEastAsia" w:hAnsiTheme="minorEastAsia"/>
        </w:rPr>
      </w:pPr>
      <w:r>
        <w:rPr>
          <w:rFonts w:hint="eastAsia" w:asciiTheme="minorEastAsia" w:hAnsiTheme="minorEastAsia"/>
        </w:rPr>
        <w:t>GB/T 50081 混凝土力学性能试验方法标准</w:t>
      </w:r>
    </w:p>
    <w:p>
      <w:pPr>
        <w:ind w:firstLine="420" w:firstLineChars="200"/>
        <w:jc w:val="left"/>
        <w:rPr>
          <w:rFonts w:asciiTheme="minorEastAsia" w:hAnsiTheme="minorEastAsia"/>
        </w:rPr>
      </w:pPr>
      <w:r>
        <w:rPr>
          <w:rFonts w:hint="eastAsia" w:asciiTheme="minorEastAsia" w:hAnsiTheme="minorEastAsia"/>
        </w:rPr>
        <w:t>GB/T 50082 普通混凝土长期性能和耐久性能试验方法标准</w:t>
      </w:r>
    </w:p>
    <w:p>
      <w:pPr>
        <w:ind w:firstLine="420" w:firstLineChars="200"/>
        <w:jc w:val="left"/>
        <w:rPr>
          <w:rFonts w:asciiTheme="minorEastAsia" w:hAnsiTheme="minorEastAsia"/>
        </w:rPr>
      </w:pPr>
      <w:r>
        <w:rPr>
          <w:rFonts w:hint="eastAsia" w:asciiTheme="minorEastAsia" w:hAnsiTheme="minorEastAsia"/>
        </w:rPr>
        <w:t>GB 50164 混凝土质量控制标准</w:t>
      </w:r>
    </w:p>
    <w:p>
      <w:pPr>
        <w:ind w:firstLine="420" w:firstLineChars="200"/>
        <w:jc w:val="left"/>
        <w:rPr>
          <w:rFonts w:asciiTheme="minorEastAsia" w:hAnsiTheme="minorEastAsia"/>
        </w:rPr>
      </w:pPr>
      <w:r>
        <w:rPr>
          <w:rFonts w:hint="eastAsia" w:asciiTheme="minorEastAsia" w:hAnsiTheme="minorEastAsia"/>
        </w:rPr>
        <w:t>GB 50178 建筑气候区划标准</w:t>
      </w:r>
    </w:p>
    <w:p>
      <w:pPr>
        <w:ind w:firstLine="420" w:firstLineChars="200"/>
        <w:jc w:val="left"/>
        <w:rPr>
          <w:rFonts w:asciiTheme="minorEastAsia" w:hAnsiTheme="minorEastAsia"/>
        </w:rPr>
      </w:pPr>
      <w:r>
        <w:rPr>
          <w:rFonts w:hint="eastAsia" w:asciiTheme="minorEastAsia" w:hAnsiTheme="minorEastAsia"/>
        </w:rPr>
        <w:t>HJ/T 412 环境标志产品技术要求 预拌混凝土</w:t>
      </w:r>
    </w:p>
    <w:p>
      <w:pPr>
        <w:ind w:firstLine="420" w:firstLineChars="200"/>
        <w:jc w:val="left"/>
        <w:rPr>
          <w:rFonts w:asciiTheme="minorEastAsia" w:hAnsiTheme="minorEastAsia"/>
        </w:rPr>
      </w:pPr>
      <w:r>
        <w:rPr>
          <w:rFonts w:hint="eastAsia" w:asciiTheme="minorEastAsia" w:hAnsiTheme="minorEastAsia"/>
        </w:rPr>
        <w:t>JGJ/T 193 混凝土耐久性检验评定标准</w:t>
      </w:r>
    </w:p>
    <w:p>
      <w:pPr>
        <w:ind w:firstLine="420" w:firstLineChars="200"/>
        <w:jc w:val="left"/>
        <w:rPr>
          <w:rFonts w:asciiTheme="minorEastAsia" w:hAnsiTheme="minorEastAsia"/>
        </w:rPr>
      </w:pPr>
      <w:r>
        <w:rPr>
          <w:rFonts w:hint="eastAsia" w:asciiTheme="minorEastAsia" w:hAnsiTheme="minorEastAsia"/>
        </w:rPr>
        <w:t>JGJ/T 328 预拌混凝土绿色生产及管理技术规程</w:t>
      </w:r>
    </w:p>
    <w:p>
      <w:pPr>
        <w:ind w:firstLine="420" w:firstLineChars="200"/>
        <w:jc w:val="left"/>
        <w:rPr>
          <w:rFonts w:asciiTheme="minorEastAsia" w:hAnsiTheme="minorEastAsia"/>
        </w:rPr>
      </w:pPr>
      <w:r>
        <w:rPr>
          <w:rFonts w:hint="eastAsia" w:asciiTheme="minorEastAsia" w:hAnsiTheme="minorEastAsia"/>
        </w:rPr>
        <w:t>JTS/T 236 水运工程混凝土试验规程</w:t>
      </w:r>
    </w:p>
    <w:p>
      <w:pPr>
        <w:jc w:val="left"/>
        <w:rPr>
          <w:rFonts w:asciiTheme="minorEastAsia" w:hAnsiTheme="minorEastAsia"/>
        </w:rPr>
      </w:pPr>
    </w:p>
    <w:p>
      <w:pPr>
        <w:spacing w:line="480" w:lineRule="auto"/>
        <w:jc w:val="left"/>
        <w:rPr>
          <w:rFonts w:ascii="黑体" w:hAnsi="黑体" w:eastAsia="黑体"/>
        </w:rPr>
      </w:pPr>
      <w:r>
        <w:rPr>
          <w:rFonts w:ascii="黑体" w:hAnsi="黑体" w:eastAsia="黑体"/>
        </w:rPr>
        <w:t xml:space="preserve">3  </w:t>
      </w:r>
      <w:r>
        <w:rPr>
          <w:rFonts w:hint="eastAsia" w:ascii="黑体" w:hAnsi="黑体" w:eastAsia="黑体"/>
        </w:rPr>
        <w:t>术语和定义</w:t>
      </w:r>
    </w:p>
    <w:p>
      <w:pPr>
        <w:ind w:firstLine="420" w:firstLineChars="200"/>
        <w:jc w:val="left"/>
        <w:rPr>
          <w:rFonts w:asciiTheme="minorEastAsia" w:hAnsiTheme="minorEastAsia"/>
        </w:rPr>
      </w:pPr>
      <w:r>
        <w:rPr>
          <w:rFonts w:hint="eastAsia" w:asciiTheme="minorEastAsia" w:hAnsiTheme="minorEastAsia"/>
        </w:rPr>
        <w:t>GB/T 14902、</w:t>
      </w:r>
      <w:r>
        <w:rPr>
          <w:rFonts w:hint="eastAsia" w:asciiTheme="minorEastAsia" w:hAnsiTheme="minorEastAsia"/>
          <w:color w:val="FF0000"/>
        </w:rPr>
        <w:t>GB/T 33761</w:t>
      </w:r>
      <w:r>
        <w:rPr>
          <w:rFonts w:hint="eastAsia" w:asciiTheme="minorEastAsia" w:hAnsiTheme="minorEastAsia"/>
        </w:rPr>
        <w:t>界定的以及下列术语和定义适用于本文件。</w:t>
      </w:r>
    </w:p>
    <w:p>
      <w:pPr>
        <w:jc w:val="left"/>
        <w:rPr>
          <w:rFonts w:ascii="黑体" w:hAnsi="黑体" w:eastAsia="黑体"/>
        </w:rPr>
      </w:pPr>
      <w:r>
        <w:rPr>
          <w:rFonts w:hint="eastAsia" w:ascii="黑体" w:hAnsi="黑体" w:eastAsia="黑体"/>
        </w:rPr>
        <w:t>3.1</w:t>
      </w:r>
    </w:p>
    <w:p>
      <w:pPr>
        <w:ind w:firstLine="420" w:firstLineChars="200"/>
        <w:jc w:val="left"/>
        <w:rPr>
          <w:rFonts w:ascii="黑体" w:hAnsi="黑体" w:eastAsia="黑体"/>
        </w:rPr>
      </w:pPr>
      <w:r>
        <w:rPr>
          <w:rFonts w:hint="eastAsia" w:ascii="黑体" w:hAnsi="黑体" w:eastAsia="黑体"/>
        </w:rPr>
        <w:t>绿色建材  green building materials</w:t>
      </w:r>
    </w:p>
    <w:p>
      <w:pPr>
        <w:ind w:firstLine="420" w:firstLineChars="200"/>
        <w:jc w:val="left"/>
        <w:rPr>
          <w:rFonts w:asciiTheme="minorEastAsia" w:hAnsiTheme="minorEastAsia"/>
        </w:rPr>
      </w:pPr>
      <w:r>
        <w:rPr>
          <w:rFonts w:hint="eastAsia" w:asciiTheme="minorEastAsia" w:hAnsiTheme="minorEastAsia"/>
        </w:rPr>
        <w:t>在全生命周期内可减少对天然资源消耗和减轻对生态环境影响，具有“节能、减排、安全、便利和可循环”特征的建材产品。</w:t>
      </w:r>
    </w:p>
    <w:p>
      <w:pPr>
        <w:jc w:val="left"/>
        <w:rPr>
          <w:rFonts w:ascii="黑体" w:hAnsi="黑体" w:eastAsia="黑体"/>
        </w:rPr>
      </w:pPr>
      <w:r>
        <w:rPr>
          <w:rFonts w:hint="eastAsia" w:ascii="黑体" w:hAnsi="黑体" w:eastAsia="黑体"/>
        </w:rPr>
        <w:t>3.2</w:t>
      </w:r>
    </w:p>
    <w:p>
      <w:pPr>
        <w:ind w:firstLine="420" w:firstLineChars="200"/>
        <w:jc w:val="left"/>
        <w:rPr>
          <w:rFonts w:ascii="黑体" w:hAnsi="黑体" w:eastAsia="黑体"/>
        </w:rPr>
      </w:pPr>
      <w:r>
        <w:rPr>
          <w:rFonts w:hint="eastAsia" w:ascii="黑体" w:hAnsi="黑体" w:eastAsia="黑体"/>
        </w:rPr>
        <w:t>绿色建材评价  green building materials assessment</w:t>
      </w:r>
    </w:p>
    <w:p>
      <w:pPr>
        <w:ind w:firstLine="420" w:firstLineChars="200"/>
        <w:jc w:val="left"/>
        <w:rPr>
          <w:rFonts w:asciiTheme="minorEastAsia" w:hAnsiTheme="minorEastAsia"/>
        </w:rPr>
      </w:pPr>
      <w:r>
        <w:rPr>
          <w:rFonts w:hint="eastAsia" w:asciiTheme="minorEastAsia" w:hAnsiTheme="minorEastAsia"/>
        </w:rPr>
        <w:t>依据绿色建材评价技术标准，按照程序和要求对申请开展评价的建材产品进行评价，确认其等级的活动。</w:t>
      </w:r>
    </w:p>
    <w:p>
      <w:pPr>
        <w:jc w:val="left"/>
        <w:rPr>
          <w:rFonts w:ascii="黑体" w:hAnsi="黑体" w:eastAsia="黑体"/>
        </w:rPr>
      </w:pPr>
      <w:r>
        <w:rPr>
          <w:rFonts w:hint="eastAsia" w:ascii="黑体" w:hAnsi="黑体" w:eastAsia="黑体"/>
        </w:rPr>
        <w:t>3.3</w:t>
      </w:r>
    </w:p>
    <w:p>
      <w:pPr>
        <w:ind w:firstLine="420" w:firstLineChars="200"/>
        <w:jc w:val="left"/>
        <w:rPr>
          <w:rFonts w:ascii="黑体" w:hAnsi="黑体" w:eastAsia="黑体"/>
        </w:rPr>
      </w:pPr>
      <w:r>
        <w:rPr>
          <w:rFonts w:hint="eastAsia" w:ascii="黑体" w:hAnsi="黑体" w:eastAsia="黑体"/>
        </w:rPr>
        <w:t>评价等级  assessment level</w:t>
      </w:r>
    </w:p>
    <w:p>
      <w:pPr>
        <w:ind w:firstLine="420" w:firstLineChars="200"/>
        <w:jc w:val="left"/>
        <w:rPr>
          <w:rFonts w:asciiTheme="minorEastAsia" w:hAnsiTheme="minorEastAsia"/>
        </w:rPr>
      </w:pPr>
      <w:r>
        <w:rPr>
          <w:rFonts w:hint="eastAsia" w:asciiTheme="minorEastAsia" w:hAnsiTheme="minorEastAsia"/>
        </w:rPr>
        <w:t>产品评价结果所达到的绿色建材级别，由低到高分为一星级、二星级和三星级。</w:t>
      </w:r>
    </w:p>
    <w:p>
      <w:pPr>
        <w:jc w:val="left"/>
        <w:rPr>
          <w:rFonts w:ascii="黑体" w:hAnsi="黑体" w:eastAsia="黑体"/>
        </w:rPr>
      </w:pPr>
      <w:r>
        <w:rPr>
          <w:rFonts w:hint="eastAsia" w:ascii="黑体" w:hAnsi="黑体" w:eastAsia="黑体"/>
        </w:rPr>
        <w:t>3.4</w:t>
      </w:r>
    </w:p>
    <w:p>
      <w:pPr>
        <w:ind w:firstLine="420" w:firstLineChars="200"/>
        <w:jc w:val="left"/>
        <w:rPr>
          <w:rFonts w:ascii="黑体" w:hAnsi="黑体" w:eastAsia="黑体"/>
          <w:color w:val="FF0000"/>
        </w:rPr>
      </w:pPr>
      <w:r>
        <w:rPr>
          <w:rFonts w:hint="eastAsia" w:ascii="黑体" w:hAnsi="黑体" w:eastAsia="黑体"/>
          <w:color w:val="FF0000"/>
        </w:rPr>
        <w:t>Ⅲ型环境声明 type Ⅲ environmental declaration</w:t>
      </w:r>
    </w:p>
    <w:p>
      <w:pPr>
        <w:ind w:firstLine="420" w:firstLineChars="200"/>
        <w:jc w:val="left"/>
        <w:rPr>
          <w:rFonts w:asciiTheme="minorEastAsia" w:hAnsiTheme="minorEastAsia"/>
          <w:color w:val="FF0000"/>
        </w:rPr>
      </w:pPr>
      <w:r>
        <w:rPr>
          <w:rFonts w:hint="eastAsia" w:asciiTheme="minorEastAsia" w:hAnsiTheme="minorEastAsia"/>
          <w:color w:val="FF0000"/>
        </w:rPr>
        <w:t>提供基于预设参数的量化环境数据的环境声明，必要时包括附加环境信息。</w:t>
      </w:r>
    </w:p>
    <w:p>
      <w:pPr>
        <w:ind w:firstLine="420" w:firstLineChars="200"/>
        <w:jc w:val="left"/>
        <w:rPr>
          <w:rFonts w:asciiTheme="minorEastAsia" w:hAnsiTheme="minorEastAsia"/>
          <w:color w:val="FF0000"/>
        </w:rPr>
      </w:pPr>
      <w:r>
        <w:rPr>
          <w:rFonts w:hint="eastAsia" w:asciiTheme="minorEastAsia" w:hAnsiTheme="minorEastAsia"/>
          <w:color w:val="FF0000"/>
        </w:rPr>
        <w:t>注1：预设参数基于GB/T 24040系列标准，包括GB/T 24040和GB/T 24044。</w:t>
      </w:r>
    </w:p>
    <w:p>
      <w:pPr>
        <w:ind w:firstLine="420" w:firstLineChars="200"/>
        <w:jc w:val="left"/>
        <w:rPr>
          <w:rFonts w:asciiTheme="minorEastAsia" w:hAnsiTheme="minorEastAsia"/>
          <w:color w:val="FF0000"/>
        </w:rPr>
      </w:pPr>
      <w:r>
        <w:rPr>
          <w:rFonts w:hint="eastAsia" w:asciiTheme="minorEastAsia" w:hAnsiTheme="minorEastAsia"/>
          <w:color w:val="FF0000"/>
        </w:rPr>
        <w:t>注2：附加环境信息可以是定性的也可以是定量的。</w:t>
      </w:r>
    </w:p>
    <w:p>
      <w:pPr>
        <w:ind w:firstLine="420" w:firstLineChars="200"/>
        <w:jc w:val="left"/>
        <w:rPr>
          <w:rFonts w:asciiTheme="minorEastAsia" w:hAnsiTheme="minorEastAsia"/>
          <w:color w:val="FF0000"/>
        </w:rPr>
      </w:pPr>
      <w:r>
        <w:rPr>
          <w:rFonts w:hint="eastAsia" w:asciiTheme="minorEastAsia" w:hAnsiTheme="minorEastAsia"/>
          <w:color w:val="FF0000"/>
        </w:rPr>
        <w:t>[来源：GB/T 24025-2009, 3.2]</w:t>
      </w:r>
    </w:p>
    <w:p>
      <w:pPr>
        <w:jc w:val="left"/>
        <w:rPr>
          <w:rFonts w:ascii="黑体" w:hAnsi="黑体" w:eastAsia="黑体"/>
        </w:rPr>
      </w:pPr>
      <w:r>
        <w:rPr>
          <w:rFonts w:hint="eastAsia" w:ascii="黑体" w:hAnsi="黑体" w:eastAsia="黑体"/>
        </w:rPr>
        <w:t>3.5</w:t>
      </w:r>
    </w:p>
    <w:p>
      <w:pPr>
        <w:ind w:firstLine="420" w:firstLineChars="200"/>
        <w:jc w:val="left"/>
        <w:rPr>
          <w:rFonts w:ascii="黑体" w:hAnsi="黑体" w:eastAsia="黑体"/>
        </w:rPr>
      </w:pPr>
      <w:r>
        <w:rPr>
          <w:rFonts w:hint="eastAsia" w:ascii="黑体" w:hAnsi="黑体" w:eastAsia="黑体"/>
        </w:rPr>
        <w:t>碳足迹  carbon footprint</w:t>
      </w:r>
    </w:p>
    <w:p>
      <w:pPr>
        <w:ind w:firstLine="420" w:firstLineChars="200"/>
        <w:jc w:val="left"/>
        <w:rPr>
          <w:rFonts w:asciiTheme="minorEastAsia" w:hAnsiTheme="minorEastAsia"/>
        </w:rPr>
      </w:pPr>
      <w:r>
        <w:rPr>
          <w:rFonts w:hint="eastAsia" w:asciiTheme="minorEastAsia" w:hAnsiTheme="minorEastAsia"/>
        </w:rPr>
        <w:t>用以量化过程、过程系统或产品系统温室气体排放的参数，以表现它们对气候变化的贡献。</w:t>
      </w:r>
    </w:p>
    <w:p>
      <w:pPr>
        <w:jc w:val="left"/>
        <w:rPr>
          <w:rFonts w:ascii="黑体" w:hAnsi="黑体" w:eastAsia="黑体"/>
        </w:rPr>
      </w:pPr>
      <w:r>
        <w:rPr>
          <w:rFonts w:hint="eastAsia" w:ascii="黑体" w:hAnsi="黑体" w:eastAsia="黑体"/>
        </w:rPr>
        <w:t>3.6</w:t>
      </w:r>
    </w:p>
    <w:p>
      <w:pPr>
        <w:ind w:firstLine="420" w:firstLineChars="200"/>
        <w:jc w:val="left"/>
        <w:rPr>
          <w:rFonts w:ascii="黑体" w:hAnsi="黑体" w:eastAsia="黑体"/>
          <w:color w:val="FF0000"/>
        </w:rPr>
      </w:pPr>
      <w:r>
        <w:rPr>
          <w:rFonts w:hint="eastAsia" w:ascii="黑体" w:hAnsi="黑体" w:eastAsia="黑体"/>
          <w:color w:val="FF0000"/>
        </w:rPr>
        <w:t>固体废物  solid</w:t>
      </w:r>
      <w:r>
        <w:rPr>
          <w:rFonts w:ascii="黑体" w:hAnsi="黑体" w:eastAsia="黑体"/>
          <w:color w:val="FF0000"/>
        </w:rPr>
        <w:t xml:space="preserve"> </w:t>
      </w:r>
      <w:r>
        <w:rPr>
          <w:rFonts w:hint="eastAsia" w:ascii="黑体" w:hAnsi="黑体" w:eastAsia="黑体"/>
          <w:color w:val="FF0000"/>
        </w:rPr>
        <w:t>wastes</w:t>
      </w:r>
    </w:p>
    <w:p>
      <w:pPr>
        <w:ind w:firstLine="420" w:firstLineChars="200"/>
        <w:jc w:val="left"/>
        <w:rPr>
          <w:rFonts w:asciiTheme="minorEastAsia" w:hAnsiTheme="minorEastAsia"/>
          <w:color w:val="FF0000"/>
        </w:rPr>
      </w:pPr>
      <w:r>
        <w:rPr>
          <w:rFonts w:hint="eastAsia" w:asciiTheme="minorEastAsia" w:hAnsiTheme="minorEastAsia"/>
          <w:color w:val="FF0000"/>
        </w:rPr>
        <w:t>在生产、生活和其他活动中产生的丧失原有利用价值或者虽未丧失利用价值但被抛弃或者放弃的固态、半固态和置于容器中的气态的物品、物质以及法律、行政法规规定纳入固体废物管理的物品、物质。</w:t>
      </w:r>
    </w:p>
    <w:p>
      <w:pPr>
        <w:ind w:firstLine="420" w:firstLineChars="200"/>
        <w:jc w:val="left"/>
        <w:rPr>
          <w:rFonts w:asciiTheme="minorEastAsia" w:hAnsiTheme="minorEastAsia"/>
          <w:color w:val="FF0000"/>
        </w:rPr>
      </w:pPr>
      <w:r>
        <w:rPr>
          <w:rFonts w:hint="eastAsia" w:asciiTheme="minorEastAsia" w:hAnsiTheme="minorEastAsia"/>
          <w:color w:val="FF0000"/>
        </w:rPr>
        <w:t>[来源：GB 34330-2017，3.1]</w:t>
      </w:r>
    </w:p>
    <w:p>
      <w:pPr>
        <w:jc w:val="left"/>
        <w:rPr>
          <w:rFonts w:ascii="黑体" w:hAnsi="黑体" w:eastAsia="黑体"/>
        </w:rPr>
      </w:pPr>
      <w:r>
        <w:rPr>
          <w:rFonts w:hint="eastAsia" w:ascii="黑体" w:hAnsi="黑体" w:eastAsia="黑体"/>
        </w:rPr>
        <w:t>3</w:t>
      </w:r>
      <w:r>
        <w:rPr>
          <w:rFonts w:ascii="黑体" w:hAnsi="黑体" w:eastAsia="黑体"/>
        </w:rPr>
        <w:t>.7</w:t>
      </w:r>
    </w:p>
    <w:p>
      <w:pPr>
        <w:ind w:firstLine="420" w:firstLineChars="200"/>
        <w:jc w:val="left"/>
        <w:rPr>
          <w:rFonts w:ascii="黑体" w:hAnsi="黑体" w:eastAsia="黑体"/>
        </w:rPr>
      </w:pPr>
      <w:r>
        <w:rPr>
          <w:rFonts w:hint="eastAsia" w:ascii="黑体" w:hAnsi="黑体" w:eastAsia="黑体"/>
        </w:rPr>
        <w:t>预拌混凝土  ready-mixed concrete</w:t>
      </w:r>
    </w:p>
    <w:p>
      <w:pPr>
        <w:ind w:firstLine="420" w:firstLineChars="200"/>
        <w:jc w:val="left"/>
        <w:rPr>
          <w:rFonts w:asciiTheme="minorEastAsia" w:hAnsiTheme="minorEastAsia"/>
        </w:rPr>
      </w:pPr>
      <w:r>
        <w:rPr>
          <w:rFonts w:hint="eastAsia" w:asciiTheme="minorEastAsia" w:hAnsiTheme="minorEastAsia"/>
        </w:rPr>
        <w:t>由水泥、骨料、水以及根据需要掺入的外加剂、矿物掺合料等组分按一定比例，在搅拌站（楼）生产的，通过运输设备送至使用地点的，交货时为拌合物的混凝土建筑材料。</w:t>
      </w:r>
    </w:p>
    <w:p>
      <w:pPr>
        <w:jc w:val="left"/>
        <w:rPr>
          <w:rFonts w:asciiTheme="minorEastAsia" w:hAnsiTheme="minorEastAsia"/>
        </w:rPr>
      </w:pPr>
    </w:p>
    <w:p>
      <w:pPr>
        <w:spacing w:line="480" w:lineRule="auto"/>
        <w:jc w:val="left"/>
        <w:rPr>
          <w:rFonts w:ascii="黑体" w:hAnsi="黑体" w:eastAsia="黑体"/>
        </w:rPr>
      </w:pPr>
      <w:r>
        <w:rPr>
          <w:rFonts w:hint="eastAsia" w:ascii="黑体" w:hAnsi="黑体" w:eastAsia="黑体"/>
        </w:rPr>
        <w:t>4  评价要求</w:t>
      </w:r>
    </w:p>
    <w:p>
      <w:pPr>
        <w:spacing w:line="360" w:lineRule="auto"/>
        <w:jc w:val="left"/>
        <w:rPr>
          <w:rFonts w:ascii="黑体" w:hAnsi="黑体" w:eastAsia="黑体"/>
        </w:rPr>
      </w:pPr>
      <w:r>
        <w:rPr>
          <w:rFonts w:hint="eastAsia" w:ascii="黑体" w:hAnsi="黑体" w:eastAsia="黑体"/>
        </w:rPr>
        <w:t>4.1  一般要求</w:t>
      </w:r>
    </w:p>
    <w:p>
      <w:pPr>
        <w:jc w:val="left"/>
        <w:rPr>
          <w:rFonts w:asciiTheme="minorEastAsia" w:hAnsiTheme="minorEastAsia"/>
        </w:rPr>
      </w:pPr>
      <w:r>
        <w:rPr>
          <w:rFonts w:hint="eastAsia" w:asciiTheme="minorEastAsia" w:hAnsiTheme="minorEastAsia"/>
        </w:rPr>
        <w:t>4.1.1  生产企业近3年无重大环境污染事件和</w:t>
      </w:r>
      <w:r>
        <w:rPr>
          <w:rFonts w:hint="eastAsia" w:asciiTheme="minorEastAsia" w:hAnsiTheme="minorEastAsia"/>
          <w:color w:val="FF0000"/>
        </w:rPr>
        <w:t>重大安全事故</w:t>
      </w:r>
      <w:r>
        <w:rPr>
          <w:rFonts w:hint="eastAsia" w:asciiTheme="minorEastAsia" w:hAnsiTheme="minorEastAsia"/>
        </w:rPr>
        <w:t>。</w:t>
      </w:r>
    </w:p>
    <w:p>
      <w:pPr>
        <w:jc w:val="left"/>
        <w:rPr>
          <w:rFonts w:asciiTheme="minorEastAsia" w:hAnsiTheme="minorEastAsia"/>
        </w:rPr>
      </w:pPr>
      <w:r>
        <w:rPr>
          <w:rFonts w:hint="eastAsia" w:asciiTheme="minorEastAsia" w:hAnsiTheme="minorEastAsia"/>
        </w:rPr>
        <w:t>4.1.2  一般</w:t>
      </w:r>
      <w:r>
        <w:rPr>
          <w:rFonts w:hint="eastAsia" w:asciiTheme="minorEastAsia" w:hAnsiTheme="minorEastAsia"/>
          <w:color w:val="FF0000"/>
        </w:rPr>
        <w:t>工业固体废物</w:t>
      </w:r>
      <w:r>
        <w:rPr>
          <w:rFonts w:hint="eastAsia" w:asciiTheme="minorEastAsia" w:hAnsiTheme="minorEastAsia"/>
        </w:rPr>
        <w:t>的收集、贮存、处置应符合GB 18599的相关规定。危险废物的贮存应符合GB 18597的相关规定，后续应交付持有危险废物经营许可证的单位处置。</w:t>
      </w:r>
    </w:p>
    <w:p>
      <w:pPr>
        <w:jc w:val="left"/>
        <w:rPr>
          <w:rFonts w:asciiTheme="minorEastAsia" w:hAnsiTheme="minorEastAsia"/>
        </w:rPr>
      </w:pPr>
      <w:r>
        <w:rPr>
          <w:rFonts w:hint="eastAsia" w:asciiTheme="minorEastAsia" w:hAnsiTheme="minorEastAsia"/>
        </w:rPr>
        <w:t>4.1.3  生产企业应采用国家鼓励的先进技术工艺，不应使用国家或有关部门发布的淘汰或禁止的技术、工艺、装备及相关物质。</w:t>
      </w:r>
    </w:p>
    <w:p>
      <w:pPr>
        <w:jc w:val="left"/>
        <w:rPr>
          <w:rFonts w:asciiTheme="minorEastAsia" w:hAnsiTheme="minorEastAsia"/>
        </w:rPr>
      </w:pPr>
      <w:r>
        <w:rPr>
          <w:rFonts w:hint="eastAsia" w:asciiTheme="minorEastAsia" w:hAnsiTheme="minorEastAsia"/>
        </w:rPr>
        <w:t>4.1.4  生产企业应按照GB/T 19001、GB/T 24001和GB/28001建立并运行质量管理体系、环境管理体系和职业建康安全管理体系。</w:t>
      </w:r>
    </w:p>
    <w:p>
      <w:pPr>
        <w:jc w:val="left"/>
        <w:rPr>
          <w:rFonts w:asciiTheme="minorEastAsia" w:hAnsiTheme="minorEastAsia"/>
        </w:rPr>
      </w:pPr>
      <w:r>
        <w:rPr>
          <w:rFonts w:hint="eastAsia" w:asciiTheme="minorEastAsia" w:hAnsiTheme="minorEastAsia"/>
        </w:rPr>
        <w:t>4.1.5  预拌混凝土产品应满足GB/T 14902要求，且近3年无产品质量责任事故。</w:t>
      </w:r>
    </w:p>
    <w:p>
      <w:pPr>
        <w:jc w:val="left"/>
        <w:rPr>
          <w:rFonts w:asciiTheme="minorEastAsia" w:hAnsiTheme="minorEastAsia"/>
        </w:rPr>
      </w:pPr>
      <w:r>
        <w:rPr>
          <w:rFonts w:hint="eastAsia" w:asciiTheme="minorEastAsia" w:hAnsiTheme="minorEastAsia"/>
        </w:rPr>
        <w:t>4.1.6  申请不同等级的生产企业还应符合表1的规定。</w:t>
      </w:r>
    </w:p>
    <w:p>
      <w:pPr>
        <w:spacing w:line="480" w:lineRule="auto"/>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申请企业其他规定</w:t>
      </w:r>
    </w:p>
    <w:tbl>
      <w:tblPr>
        <w:tblStyle w:val="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7"/>
        <w:gridCol w:w="1446"/>
        <w:gridCol w:w="1447"/>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7"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具体规定</w:t>
            </w:r>
          </w:p>
        </w:tc>
        <w:tc>
          <w:tcPr>
            <w:tcW w:w="4340"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不同评价等级符合项数要求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7" w:type="dxa"/>
            <w:vMerge w:val="continue"/>
            <w:vAlign w:val="center"/>
          </w:tcPr>
          <w:p>
            <w:pPr>
              <w:jc w:val="center"/>
              <w:rPr>
                <w:rFonts w:asciiTheme="minorEastAsia" w:hAnsiTheme="minorEastAsia"/>
                <w:sz w:val="18"/>
                <w:szCs w:val="18"/>
              </w:rPr>
            </w:pPr>
          </w:p>
        </w:tc>
        <w:tc>
          <w:tcPr>
            <w:tcW w:w="1446" w:type="dxa"/>
            <w:vAlign w:val="center"/>
          </w:tcPr>
          <w:p>
            <w:pPr>
              <w:jc w:val="center"/>
              <w:rPr>
                <w:rFonts w:asciiTheme="minorEastAsia" w:hAnsiTheme="minorEastAsia"/>
                <w:sz w:val="18"/>
                <w:szCs w:val="18"/>
              </w:rPr>
            </w:pPr>
            <w:r>
              <w:rPr>
                <w:rFonts w:hint="eastAsia" w:asciiTheme="minorEastAsia" w:hAnsiTheme="minorEastAsia"/>
                <w:sz w:val="18"/>
                <w:szCs w:val="18"/>
              </w:rPr>
              <w:t>一星级</w:t>
            </w:r>
          </w:p>
        </w:tc>
        <w:tc>
          <w:tcPr>
            <w:tcW w:w="1447" w:type="dxa"/>
            <w:vAlign w:val="center"/>
          </w:tcPr>
          <w:p>
            <w:pPr>
              <w:jc w:val="center"/>
              <w:rPr>
                <w:rFonts w:asciiTheme="minorEastAsia" w:hAnsiTheme="minorEastAsia"/>
                <w:sz w:val="18"/>
                <w:szCs w:val="18"/>
              </w:rPr>
            </w:pPr>
            <w:r>
              <w:rPr>
                <w:rFonts w:hint="eastAsia" w:asciiTheme="minorEastAsia" w:hAnsiTheme="minorEastAsia"/>
                <w:sz w:val="18"/>
                <w:szCs w:val="18"/>
              </w:rPr>
              <w:t>二星级</w:t>
            </w:r>
          </w:p>
        </w:tc>
        <w:tc>
          <w:tcPr>
            <w:tcW w:w="1447" w:type="dxa"/>
            <w:vAlign w:val="center"/>
          </w:tcPr>
          <w:p>
            <w:pPr>
              <w:jc w:val="center"/>
              <w:rPr>
                <w:rFonts w:asciiTheme="minorEastAsia" w:hAnsiTheme="minorEastAsia"/>
                <w:sz w:val="18"/>
                <w:szCs w:val="18"/>
              </w:rPr>
            </w:pPr>
            <w:r>
              <w:rPr>
                <w:rFonts w:hint="eastAsia" w:asciiTheme="minorEastAsia" w:hAnsiTheme="minorEastAsia"/>
                <w:sz w:val="18"/>
                <w:szCs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vAlign w:val="center"/>
          </w:tcPr>
          <w:p>
            <w:pPr>
              <w:rPr>
                <w:rFonts w:asciiTheme="minorEastAsia" w:hAnsiTheme="minorEastAsia"/>
                <w:sz w:val="18"/>
                <w:szCs w:val="18"/>
              </w:rPr>
            </w:pPr>
            <w:r>
              <w:rPr>
                <w:rFonts w:hint="eastAsia" w:asciiTheme="minorEastAsia" w:hAnsiTheme="minorEastAsia"/>
                <w:sz w:val="18"/>
                <w:szCs w:val="18"/>
              </w:rPr>
              <w:t>安全生产标准化满足GB/T 33000要求。</w:t>
            </w:r>
          </w:p>
        </w:tc>
        <w:tc>
          <w:tcPr>
            <w:tcW w:w="1446"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1447"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至少符合1项</w:t>
            </w:r>
          </w:p>
        </w:tc>
        <w:tc>
          <w:tcPr>
            <w:tcW w:w="1447"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至少符合2项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vAlign w:val="center"/>
          </w:tcPr>
          <w:p>
            <w:pPr>
              <w:rPr>
                <w:rFonts w:asciiTheme="minorEastAsia" w:hAnsiTheme="minorEastAsia"/>
                <w:sz w:val="18"/>
                <w:szCs w:val="18"/>
              </w:rPr>
            </w:pPr>
            <w:r>
              <w:rPr>
                <w:rFonts w:hint="eastAsia" w:asciiTheme="minorEastAsia" w:hAnsiTheme="minorEastAsia"/>
                <w:sz w:val="18"/>
                <w:szCs w:val="18"/>
              </w:rPr>
              <w:t>按照GB/T 23331建立并运行能源管理体系。</w:t>
            </w:r>
          </w:p>
        </w:tc>
        <w:tc>
          <w:tcPr>
            <w:tcW w:w="1446"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vAlign w:val="center"/>
          </w:tcPr>
          <w:p>
            <w:pPr>
              <w:rPr>
                <w:rFonts w:asciiTheme="minorEastAsia" w:hAnsiTheme="minorEastAsia"/>
                <w:sz w:val="18"/>
                <w:szCs w:val="18"/>
              </w:rPr>
            </w:pPr>
            <w:r>
              <w:rPr>
                <w:rFonts w:hint="eastAsia" w:asciiTheme="minorEastAsia" w:hAnsiTheme="minorEastAsia"/>
                <w:color w:val="FF0000"/>
                <w:sz w:val="18"/>
                <w:szCs w:val="18"/>
              </w:rPr>
              <w:t>具有第三方机构出具的Ⅲ型环境声明和碳足迹报告。</w:t>
            </w:r>
          </w:p>
        </w:tc>
        <w:tc>
          <w:tcPr>
            <w:tcW w:w="1446"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vAlign w:val="center"/>
          </w:tcPr>
          <w:p>
            <w:pPr>
              <w:rPr>
                <w:rFonts w:asciiTheme="minorEastAsia" w:hAnsiTheme="minorEastAsia"/>
                <w:sz w:val="18"/>
                <w:szCs w:val="18"/>
              </w:rPr>
            </w:pPr>
            <w:r>
              <w:rPr>
                <w:rFonts w:hint="eastAsia" w:asciiTheme="minorEastAsia" w:hAnsiTheme="minorEastAsia"/>
                <w:sz w:val="18"/>
                <w:szCs w:val="18"/>
              </w:rPr>
              <w:t>申请一二星级绿色建材的企业生产和管理达到JGJ/T 328的一星级或更高要求；申请三星级绿色建材的企业生产和管理达到JGJ/T 328的二星级或更高要求。</w:t>
            </w:r>
          </w:p>
        </w:tc>
        <w:tc>
          <w:tcPr>
            <w:tcW w:w="1446"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vAlign w:val="center"/>
          </w:tcPr>
          <w:p>
            <w:pPr>
              <w:rPr>
                <w:rFonts w:asciiTheme="minorEastAsia" w:hAnsiTheme="minorEastAsia"/>
                <w:sz w:val="18"/>
                <w:szCs w:val="18"/>
              </w:rPr>
            </w:pPr>
            <w:r>
              <w:rPr>
                <w:rFonts w:hint="eastAsia" w:asciiTheme="minorEastAsia" w:hAnsiTheme="minorEastAsia"/>
                <w:sz w:val="18"/>
                <w:szCs w:val="18"/>
              </w:rPr>
              <w:t>通过清洁生产审核。</w:t>
            </w:r>
          </w:p>
        </w:tc>
        <w:tc>
          <w:tcPr>
            <w:tcW w:w="1446"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c>
          <w:tcPr>
            <w:tcW w:w="1447" w:type="dxa"/>
            <w:vMerge w:val="continue"/>
            <w:vAlign w:val="center"/>
          </w:tcPr>
          <w:p>
            <w:pPr>
              <w:jc w:val="center"/>
              <w:rPr>
                <w:rFonts w:asciiTheme="minorEastAsia" w:hAnsiTheme="minorEastAsia"/>
                <w:sz w:val="18"/>
                <w:szCs w:val="18"/>
              </w:rPr>
            </w:pPr>
          </w:p>
        </w:tc>
      </w:tr>
    </w:tbl>
    <w:p>
      <w:pPr>
        <w:jc w:val="left"/>
        <w:rPr>
          <w:rFonts w:asciiTheme="minorEastAsia" w:hAnsiTheme="minorEastAsia"/>
        </w:rPr>
      </w:pPr>
    </w:p>
    <w:p>
      <w:pPr>
        <w:spacing w:line="360" w:lineRule="auto"/>
        <w:jc w:val="left"/>
        <w:rPr>
          <w:rFonts w:ascii="黑体" w:hAnsi="黑体" w:eastAsia="黑体"/>
        </w:rPr>
      </w:pPr>
      <w:r>
        <w:rPr>
          <w:rFonts w:hint="eastAsia" w:ascii="黑体" w:hAnsi="黑体" w:eastAsia="黑体"/>
        </w:rPr>
        <w:t>4.2</w:t>
      </w:r>
      <w:r>
        <w:rPr>
          <w:rFonts w:ascii="黑体" w:hAnsi="黑体" w:eastAsia="黑体"/>
        </w:rPr>
        <w:t xml:space="preserve">  </w:t>
      </w:r>
      <w:r>
        <w:rPr>
          <w:rFonts w:hint="eastAsia" w:ascii="黑体" w:hAnsi="黑体" w:eastAsia="黑体"/>
        </w:rPr>
        <w:t>评价指标要求</w:t>
      </w:r>
    </w:p>
    <w:p>
      <w:pPr>
        <w:ind w:firstLine="420" w:firstLineChars="200"/>
        <w:jc w:val="left"/>
        <w:rPr>
          <w:rFonts w:asciiTheme="minorEastAsia" w:hAnsiTheme="minorEastAsia"/>
        </w:rPr>
      </w:pPr>
      <w:r>
        <w:rPr>
          <w:rFonts w:hint="eastAsia" w:asciiTheme="minorEastAsia" w:hAnsiTheme="minorEastAsia"/>
        </w:rPr>
        <w:t>预拌混凝土的评价指标由一级指标和二级指标组成，其中一级指标包括资源属性指标、能源属性指标、环境属性指标和品质属性指标，评价指标要求见表2。</w:t>
      </w:r>
    </w:p>
    <w:p>
      <w:pPr>
        <w:spacing w:line="480" w:lineRule="auto"/>
        <w:jc w:val="center"/>
        <w:rPr>
          <w:rFonts w:ascii="黑体" w:hAnsi="黑体" w:eastAsia="黑体"/>
        </w:rPr>
      </w:pPr>
      <w:r>
        <w:rPr>
          <w:rFonts w:hint="eastAsia" w:ascii="黑体" w:hAnsi="黑体" w:eastAsia="黑体"/>
        </w:rPr>
        <w:t>表2  预拌混凝土评价指标要求</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822"/>
        <w:gridCol w:w="1621"/>
        <w:gridCol w:w="846"/>
        <w:gridCol w:w="961"/>
        <w:gridCol w:w="962"/>
        <w:gridCol w:w="96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一级指标</w:t>
            </w:r>
          </w:p>
        </w:tc>
        <w:tc>
          <w:tcPr>
            <w:tcW w:w="2443" w:type="dxa"/>
            <w:gridSpan w:val="2"/>
            <w:vMerge w:val="restart"/>
            <w:vAlign w:val="center"/>
          </w:tcPr>
          <w:p>
            <w:pPr>
              <w:jc w:val="center"/>
              <w:rPr>
                <w:rFonts w:asciiTheme="minorEastAsia" w:hAnsiTheme="minorEastAsia"/>
                <w:sz w:val="18"/>
                <w:szCs w:val="18"/>
              </w:rPr>
            </w:pPr>
            <w:r>
              <w:rPr>
                <w:rFonts w:hint="eastAsia" w:asciiTheme="minorEastAsia" w:hAnsiTheme="minorEastAsia"/>
                <w:sz w:val="18"/>
                <w:szCs w:val="18"/>
              </w:rPr>
              <w:t>二级指标</w:t>
            </w:r>
          </w:p>
        </w:tc>
        <w:tc>
          <w:tcPr>
            <w:tcW w:w="846"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单位</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基准值</w:t>
            </w:r>
          </w:p>
        </w:tc>
        <w:tc>
          <w:tcPr>
            <w:tcW w:w="1658" w:type="dxa"/>
            <w:vMerge w:val="restart"/>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Merge w:val="continue"/>
            <w:vAlign w:val="center"/>
          </w:tcPr>
          <w:p>
            <w:pPr>
              <w:jc w:val="center"/>
              <w:rPr>
                <w:rFonts w:asciiTheme="minorEastAsia" w:hAnsiTheme="minorEastAsia"/>
                <w:sz w:val="18"/>
                <w:szCs w:val="18"/>
              </w:rPr>
            </w:pPr>
          </w:p>
        </w:tc>
        <w:tc>
          <w:tcPr>
            <w:tcW w:w="846" w:type="dxa"/>
            <w:vMerge w:val="continue"/>
            <w:vAlign w:val="center"/>
          </w:tcPr>
          <w:p>
            <w:pPr>
              <w:jc w:val="center"/>
              <w:rPr>
                <w:rFonts w:asciiTheme="minorEastAsia" w:hAnsiTheme="minorEastAsia"/>
                <w:sz w:val="18"/>
                <w:szCs w:val="18"/>
              </w:rPr>
            </w:pPr>
          </w:p>
        </w:tc>
        <w:tc>
          <w:tcPr>
            <w:tcW w:w="961" w:type="dxa"/>
            <w:vAlign w:val="center"/>
          </w:tcPr>
          <w:p>
            <w:pPr>
              <w:jc w:val="center"/>
              <w:rPr>
                <w:rFonts w:asciiTheme="minorEastAsia" w:hAnsiTheme="minorEastAsia"/>
                <w:sz w:val="18"/>
                <w:szCs w:val="18"/>
              </w:rPr>
            </w:pPr>
            <w:r>
              <w:rPr>
                <w:rFonts w:hint="eastAsia" w:asciiTheme="minorEastAsia" w:hAnsiTheme="minorEastAsia"/>
                <w:sz w:val="18"/>
                <w:szCs w:val="18"/>
              </w:rPr>
              <w:t>一星级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二星级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三星级</w:t>
            </w:r>
          </w:p>
        </w:tc>
        <w:tc>
          <w:tcPr>
            <w:tcW w:w="1658" w:type="dxa"/>
            <w:vMerge w:val="continue"/>
          </w:tcPr>
          <w:p>
            <w:pPr>
              <w:jc w:val="center"/>
              <w:rPr>
                <w:rFonts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资源属性</w:t>
            </w: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生产过程产生废弃物利用率</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100</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按附录A.1计算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color w:val="FF0000"/>
                <w:sz w:val="18"/>
                <w:szCs w:val="18"/>
              </w:rPr>
            </w:pPr>
            <w:r>
              <w:rPr>
                <w:rFonts w:hint="eastAsia" w:asciiTheme="minorEastAsia" w:hAnsiTheme="minorEastAsia"/>
                <w:color w:val="FF0000"/>
                <w:sz w:val="18"/>
                <w:szCs w:val="18"/>
              </w:rPr>
              <w:t>固体废物掺加量</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≥30</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按附录A.2计算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5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能源属性</w:t>
            </w:r>
          </w:p>
        </w:tc>
        <w:tc>
          <w:tcPr>
            <w:tcW w:w="2443" w:type="dxa"/>
            <w:gridSpan w:val="2"/>
            <w:vAlign w:val="center"/>
          </w:tcPr>
          <w:p>
            <w:pPr>
              <w:rPr>
                <w:rFonts w:asciiTheme="minorEastAsia" w:hAnsiTheme="minorEastAsia"/>
                <w:color w:val="FF0000"/>
                <w:sz w:val="18"/>
                <w:szCs w:val="18"/>
              </w:rPr>
            </w:pPr>
            <w:r>
              <w:rPr>
                <w:rFonts w:hint="eastAsia" w:asciiTheme="minorEastAsia" w:hAnsiTheme="minorEastAsia"/>
                <w:color w:val="FF0000"/>
                <w:sz w:val="18"/>
                <w:szCs w:val="18"/>
              </w:rPr>
              <w:t>单位产品生产能耗</w:t>
            </w:r>
          </w:p>
        </w:tc>
        <w:tc>
          <w:tcPr>
            <w:tcW w:w="846"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k</w:t>
            </w:r>
            <w:r>
              <w:rPr>
                <w:rFonts w:asciiTheme="minorEastAsia" w:hAnsiTheme="minorEastAsia"/>
                <w:color w:val="FF0000"/>
                <w:sz w:val="18"/>
                <w:szCs w:val="18"/>
              </w:rPr>
              <w:t>gce/m</w:t>
            </w:r>
            <w:r>
              <w:rPr>
                <w:rFonts w:asciiTheme="minorEastAsia" w:hAnsiTheme="minorEastAsia"/>
                <w:color w:val="FF0000"/>
                <w:sz w:val="18"/>
                <w:szCs w:val="18"/>
                <w:vertAlign w:val="superscript"/>
              </w:rPr>
              <w:t>3</w:t>
            </w:r>
          </w:p>
        </w:tc>
        <w:tc>
          <w:tcPr>
            <w:tcW w:w="1923" w:type="dxa"/>
            <w:gridSpan w:val="2"/>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≤0.</w:t>
            </w:r>
            <w:r>
              <w:rPr>
                <w:rFonts w:asciiTheme="minorEastAsia" w:hAnsiTheme="minorEastAsia"/>
                <w:color w:val="FF0000"/>
                <w:sz w:val="18"/>
                <w:szCs w:val="18"/>
              </w:rPr>
              <w:t>7</w:t>
            </w:r>
          </w:p>
        </w:tc>
        <w:tc>
          <w:tcPr>
            <w:tcW w:w="962" w:type="dxa"/>
            <w:vAlign w:val="center"/>
          </w:tcPr>
          <w:p>
            <w:pPr>
              <w:jc w:val="center"/>
              <w:rPr>
                <w:rFonts w:asciiTheme="minorEastAsia" w:hAnsiTheme="minorEastAsia"/>
                <w:color w:val="FF0000"/>
                <w:sz w:val="18"/>
                <w:szCs w:val="18"/>
              </w:rPr>
            </w:pPr>
            <w:r>
              <w:rPr>
                <w:rFonts w:hint="eastAsia" w:asciiTheme="minorEastAsia" w:hAnsiTheme="minorEastAsia"/>
                <w:color w:val="FF0000"/>
                <w:sz w:val="18"/>
                <w:szCs w:val="18"/>
              </w:rPr>
              <w:t>≤0.</w:t>
            </w:r>
            <w:r>
              <w:rPr>
                <w:rFonts w:asciiTheme="minorEastAsia" w:hAnsiTheme="minorEastAsia"/>
                <w:color w:val="FF0000"/>
                <w:sz w:val="18"/>
                <w:szCs w:val="18"/>
              </w:rPr>
              <w:t>5</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按GB 36888统计、计算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原材料本地化程度</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≥95</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按附录A.3计算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环境属性</w:t>
            </w: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水溶性六价铬含量</w:t>
            </w:r>
          </w:p>
        </w:tc>
        <w:tc>
          <w:tcPr>
            <w:tcW w:w="846" w:type="dxa"/>
            <w:vAlign w:val="center"/>
          </w:tcPr>
          <w:p>
            <w:pPr>
              <w:ind w:left="1260" w:hanging="1260"/>
              <w:jc w:val="center"/>
              <w:rPr>
                <w:rFonts w:asciiTheme="minorEastAsia" w:hAnsiTheme="minorEastAsia"/>
                <w:sz w:val="18"/>
                <w:szCs w:val="18"/>
              </w:rPr>
            </w:pPr>
            <w:r>
              <w:rPr>
                <w:rFonts w:asciiTheme="minorEastAsia" w:hAnsiTheme="minorEastAsia"/>
                <w:sz w:val="18"/>
                <w:szCs w:val="18"/>
              </w:rPr>
              <w:t>m</w:t>
            </w:r>
            <w:r>
              <w:rPr>
                <w:rFonts w:hint="eastAsia" w:asciiTheme="minorEastAsia" w:hAnsiTheme="minorEastAsia"/>
                <w:sz w:val="18"/>
                <w:szCs w:val="18"/>
              </w:rPr>
              <w:t>g/t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≤200</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按HJ/T 412检验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氨释放量</w:t>
            </w:r>
          </w:p>
        </w:tc>
        <w:tc>
          <w:tcPr>
            <w:tcW w:w="846" w:type="dxa"/>
            <w:vAlign w:val="center"/>
          </w:tcPr>
          <w:p>
            <w:pPr>
              <w:jc w:val="center"/>
              <w:rPr>
                <w:rFonts w:asciiTheme="minorEastAsia" w:hAnsiTheme="minorEastAsia"/>
                <w:sz w:val="18"/>
                <w:szCs w:val="18"/>
              </w:rPr>
            </w:pPr>
            <w:r>
              <w:rPr>
                <w:rFonts w:asciiTheme="minorEastAsia" w:hAnsiTheme="minorEastAsia"/>
                <w:sz w:val="18"/>
                <w:szCs w:val="18"/>
              </w:rPr>
              <w:t>m</w:t>
            </w:r>
            <w:r>
              <w:rPr>
                <w:rFonts w:hint="eastAsia" w:asciiTheme="minorEastAsia" w:hAnsiTheme="minorEastAsia"/>
                <w:sz w:val="18"/>
                <w:szCs w:val="18"/>
              </w:rPr>
              <w:t>g/m</w:t>
            </w:r>
            <w:r>
              <w:rPr>
                <w:rFonts w:hint="eastAsia" w:asciiTheme="minorEastAsia" w:hAnsiTheme="minorEastAsia"/>
                <w:sz w:val="18"/>
                <w:szCs w:val="18"/>
                <w:vertAlign w:val="superscript"/>
              </w:rPr>
              <w:t>3</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≤0.2</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按HJ/T 412检验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单位产品工业废水排放量</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kg/m</w:t>
            </w:r>
            <w:r>
              <w:rPr>
                <w:rFonts w:hint="eastAsia" w:asciiTheme="minorEastAsia" w:hAnsiTheme="minorEastAsia"/>
                <w:sz w:val="18"/>
                <w:szCs w:val="18"/>
                <w:vertAlign w:val="superscript"/>
              </w:rPr>
              <w:t>3</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0</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按附录A.4计算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restart"/>
            <w:vAlign w:val="center"/>
          </w:tcPr>
          <w:p>
            <w:pPr>
              <w:rPr>
                <w:rFonts w:asciiTheme="minorEastAsia" w:hAnsiTheme="minorEastAsia"/>
                <w:sz w:val="18"/>
                <w:szCs w:val="18"/>
              </w:rPr>
            </w:pPr>
            <w:r>
              <w:rPr>
                <w:rFonts w:hint="eastAsia" w:asciiTheme="minorEastAsia" w:hAnsiTheme="minorEastAsia"/>
                <w:sz w:val="18"/>
                <w:szCs w:val="18"/>
              </w:rPr>
              <w:t>放射性比活度</w:t>
            </w:r>
          </w:p>
        </w:tc>
        <w:tc>
          <w:tcPr>
            <w:tcW w:w="1621" w:type="dxa"/>
            <w:vAlign w:val="center"/>
          </w:tcPr>
          <w:p>
            <w:pPr>
              <w:jc w:val="center"/>
              <w:rPr>
                <w:rFonts w:asciiTheme="minorEastAsia" w:hAnsiTheme="minorEastAsia"/>
                <w:sz w:val="18"/>
                <w:szCs w:val="18"/>
              </w:rPr>
            </w:pPr>
            <w:r>
              <w:rPr>
                <w:rFonts w:hint="eastAsia" w:asciiTheme="minorEastAsia" w:hAnsiTheme="minorEastAsia"/>
                <w:i/>
                <w:sz w:val="18"/>
                <w:szCs w:val="18"/>
              </w:rPr>
              <w:t>I</w:t>
            </w:r>
            <w:r>
              <w:rPr>
                <w:rFonts w:hint="eastAsia" w:asciiTheme="minorEastAsia" w:hAnsiTheme="minorEastAsia"/>
                <w:sz w:val="18"/>
                <w:szCs w:val="18"/>
                <w:vertAlign w:val="subscript"/>
              </w:rPr>
              <w:t>Ra</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≤0.6</w:t>
            </w:r>
          </w:p>
        </w:tc>
        <w:tc>
          <w:tcPr>
            <w:tcW w:w="1658" w:type="dxa"/>
            <w:vMerge w:val="restart"/>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按GB 6566检验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continue"/>
            <w:vAlign w:val="center"/>
          </w:tcPr>
          <w:p>
            <w:pPr>
              <w:jc w:val="center"/>
              <w:rPr>
                <w:rFonts w:asciiTheme="minorEastAsia" w:hAnsiTheme="minorEastAsia"/>
                <w:sz w:val="18"/>
                <w:szCs w:val="18"/>
              </w:rPr>
            </w:pPr>
          </w:p>
        </w:tc>
        <w:tc>
          <w:tcPr>
            <w:tcW w:w="1621" w:type="dxa"/>
            <w:vAlign w:val="center"/>
          </w:tcPr>
          <w:p>
            <w:pPr>
              <w:jc w:val="center"/>
              <w:rPr>
                <w:rFonts w:asciiTheme="minorEastAsia" w:hAnsiTheme="minorEastAsia"/>
                <w:sz w:val="18"/>
                <w:szCs w:val="18"/>
              </w:rPr>
            </w:pPr>
            <w:r>
              <w:rPr>
                <w:rFonts w:hint="eastAsia" w:asciiTheme="minorEastAsia" w:hAnsiTheme="minorEastAsia"/>
                <w:i/>
                <w:sz w:val="18"/>
                <w:szCs w:val="18"/>
              </w:rPr>
              <w:t>I</w:t>
            </w:r>
            <w:r>
              <w:rPr>
                <w:rFonts w:hint="eastAsia" w:asciiTheme="minorEastAsia" w:hAnsiTheme="minorEastAsia"/>
                <w:sz w:val="18"/>
                <w:szCs w:val="18"/>
                <w:vertAlign w:val="subscript"/>
              </w:rPr>
              <w:t>r</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sz w:val="18"/>
                <w:szCs w:val="18"/>
              </w:rPr>
              <w:t>≤0.6</w:t>
            </w:r>
          </w:p>
        </w:tc>
        <w:tc>
          <w:tcPr>
            <w:tcW w:w="1658" w:type="dxa"/>
            <w:vMerge w:val="continue"/>
            <w:vAlign w:val="center"/>
          </w:tcPr>
          <w:p>
            <w:pPr>
              <w:jc w:val="left"/>
              <w:rPr>
                <w:rFonts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品质属性</w:t>
            </w: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实测标准偏差与该强度等级标准偏差上限的比值</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61" w:type="dxa"/>
            <w:vAlign w:val="center"/>
          </w:tcPr>
          <w:p>
            <w:pPr>
              <w:jc w:val="center"/>
              <w:rPr>
                <w:rFonts w:asciiTheme="minorEastAsia" w:hAnsiTheme="minorEastAsia"/>
                <w:sz w:val="18"/>
                <w:szCs w:val="18"/>
              </w:rPr>
            </w:pPr>
            <w:r>
              <w:rPr>
                <w:rFonts w:hint="eastAsia" w:asciiTheme="minorEastAsia" w:hAnsiTheme="minorEastAsia"/>
                <w:sz w:val="18"/>
                <w:szCs w:val="18"/>
              </w:rPr>
              <w:t>≤1.0</w:t>
            </w:r>
          </w:p>
        </w:tc>
        <w:tc>
          <w:tcPr>
            <w:tcW w:w="1924"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≤0.8</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按GB 50164统计、计算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实测强度与设计强度的比值</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1923"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0</w:t>
            </w:r>
            <w:r>
              <w:rPr>
                <w:rFonts w:hint="eastAsia" w:asciiTheme="minorEastAsia" w:hAnsiTheme="minorEastAsia"/>
                <w:sz w:val="18"/>
                <w:szCs w:val="18"/>
              </w:rPr>
              <w:t>0且≤1.3</w:t>
            </w:r>
            <w:r>
              <w:rPr>
                <w:rFonts w:asciiTheme="minorEastAsia" w:hAnsiTheme="minorEastAsia"/>
                <w:sz w:val="18"/>
                <w:szCs w:val="18"/>
              </w:rPr>
              <w:t>0</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15</w:t>
            </w:r>
            <w:r>
              <w:rPr>
                <w:rFonts w:hint="eastAsia" w:asciiTheme="minorEastAsia" w:hAnsiTheme="minorEastAsia"/>
                <w:sz w:val="18"/>
                <w:szCs w:val="18"/>
              </w:rPr>
              <w:t>且≤1.</w:t>
            </w:r>
            <w:r>
              <w:rPr>
                <w:rFonts w:asciiTheme="minorEastAsia" w:hAnsiTheme="minorEastAsia"/>
                <w:sz w:val="18"/>
                <w:szCs w:val="18"/>
              </w:rPr>
              <w:t>25</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按GB/T 50081检验并计算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2443" w:type="dxa"/>
            <w:gridSpan w:val="2"/>
            <w:vAlign w:val="center"/>
          </w:tcPr>
          <w:p>
            <w:pPr>
              <w:rPr>
                <w:rFonts w:asciiTheme="minorEastAsia" w:hAnsiTheme="minorEastAsia"/>
                <w:sz w:val="18"/>
                <w:szCs w:val="18"/>
              </w:rPr>
            </w:pPr>
            <w:r>
              <w:rPr>
                <w:rFonts w:hint="eastAsia" w:asciiTheme="minorEastAsia" w:hAnsiTheme="minorEastAsia"/>
                <w:sz w:val="18"/>
                <w:szCs w:val="18"/>
              </w:rPr>
              <w:t>水溶性氯离子含量</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2885" w:type="dxa"/>
            <w:gridSpan w:val="3"/>
            <w:vAlign w:val="center"/>
          </w:tcPr>
          <w:p>
            <w:pPr>
              <w:jc w:val="center"/>
              <w:rPr>
                <w:rFonts w:asciiTheme="minorEastAsia" w:hAnsiTheme="minorEastAsia"/>
                <w:sz w:val="18"/>
                <w:szCs w:val="18"/>
              </w:rPr>
            </w:pPr>
            <w:r>
              <w:rPr>
                <w:rFonts w:hint="eastAsia" w:asciiTheme="minorEastAsia" w:hAnsiTheme="minorEastAsia"/>
                <w:color w:val="FF0000"/>
                <w:sz w:val="18"/>
                <w:szCs w:val="18"/>
              </w:rPr>
              <w:t>≤</w:t>
            </w:r>
            <w:r>
              <w:rPr>
                <w:rFonts w:hint="eastAsia" w:asciiTheme="minorEastAsia" w:hAnsiTheme="minorEastAsia"/>
                <w:sz w:val="18"/>
                <w:szCs w:val="18"/>
              </w:rPr>
              <w:t>0.06</w:t>
            </w:r>
          </w:p>
        </w:tc>
        <w:tc>
          <w:tcPr>
            <w:tcW w:w="1658" w:type="dxa"/>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按JGJ/T 236检验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耐久性</w:t>
            </w:r>
            <w:r>
              <w:rPr>
                <w:rFonts w:asciiTheme="minorEastAsia" w:hAnsiTheme="minorEastAsia"/>
                <w:sz w:val="18"/>
                <w:szCs w:val="18"/>
                <w:vertAlign w:val="superscript"/>
              </w:rPr>
              <w:t>a</w:t>
            </w:r>
          </w:p>
        </w:tc>
        <w:tc>
          <w:tcPr>
            <w:tcW w:w="1621" w:type="dxa"/>
            <w:vAlign w:val="center"/>
          </w:tcPr>
          <w:p>
            <w:pPr>
              <w:rPr>
                <w:rFonts w:asciiTheme="minorEastAsia" w:hAnsiTheme="minorEastAsia"/>
                <w:sz w:val="18"/>
                <w:szCs w:val="18"/>
              </w:rPr>
            </w:pPr>
            <w:r>
              <w:rPr>
                <w:rFonts w:hint="eastAsia" w:asciiTheme="minorEastAsia" w:hAnsiTheme="minorEastAsia"/>
                <w:sz w:val="18"/>
                <w:szCs w:val="18"/>
              </w:rPr>
              <w:t>抗渗等级</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61" w:type="dxa"/>
            <w:vAlign w:val="center"/>
          </w:tcPr>
          <w:p>
            <w:pPr>
              <w:jc w:val="center"/>
              <w:rPr>
                <w:rFonts w:asciiTheme="minorEastAsia" w:hAnsiTheme="minorEastAsia"/>
                <w:sz w:val="18"/>
                <w:szCs w:val="18"/>
              </w:rPr>
            </w:pPr>
            <w:r>
              <w:rPr>
                <w:rFonts w:hint="eastAsia" w:asciiTheme="minorEastAsia" w:hAnsiTheme="minorEastAsia"/>
                <w:sz w:val="18"/>
                <w:szCs w:val="18"/>
              </w:rPr>
              <w:t>P8级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P10级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P12级</w:t>
            </w:r>
          </w:p>
        </w:tc>
        <w:tc>
          <w:tcPr>
            <w:tcW w:w="1658" w:type="dxa"/>
            <w:vMerge w:val="restart"/>
            <w:vAlign w:val="center"/>
          </w:tcPr>
          <w:p>
            <w:pPr>
              <w:jc w:val="left"/>
              <w:rPr>
                <w:rFonts w:asciiTheme="minorEastAsia" w:hAnsiTheme="minorEastAsia"/>
                <w:color w:val="FF0000"/>
                <w:sz w:val="18"/>
                <w:szCs w:val="18"/>
              </w:rPr>
            </w:pPr>
            <w:r>
              <w:rPr>
                <w:rFonts w:hint="eastAsia" w:asciiTheme="minorEastAsia" w:hAnsiTheme="minorEastAsia"/>
                <w:color w:val="FF0000"/>
                <w:sz w:val="18"/>
                <w:szCs w:val="18"/>
              </w:rPr>
              <w:t>按GB/T 50082、JGJ/T 193检验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continue"/>
            <w:vAlign w:val="center"/>
          </w:tcPr>
          <w:p>
            <w:pPr>
              <w:jc w:val="center"/>
              <w:rPr>
                <w:rFonts w:asciiTheme="minorEastAsia" w:hAnsiTheme="minorEastAsia"/>
                <w:sz w:val="18"/>
                <w:szCs w:val="18"/>
              </w:rPr>
            </w:pPr>
          </w:p>
        </w:tc>
        <w:tc>
          <w:tcPr>
            <w:tcW w:w="1621" w:type="dxa"/>
            <w:vAlign w:val="center"/>
          </w:tcPr>
          <w:p>
            <w:pPr>
              <w:rPr>
                <w:rFonts w:asciiTheme="minorEastAsia" w:hAnsiTheme="minorEastAsia"/>
                <w:sz w:val="18"/>
                <w:szCs w:val="18"/>
              </w:rPr>
            </w:pPr>
            <w:r>
              <w:rPr>
                <w:rFonts w:hint="eastAsia" w:asciiTheme="minorEastAsia" w:hAnsiTheme="minorEastAsia"/>
                <w:sz w:val="18"/>
                <w:szCs w:val="18"/>
              </w:rPr>
              <w:t>抗氯离子渗透等级</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961" w:type="dxa"/>
            <w:vAlign w:val="center"/>
          </w:tcPr>
          <w:p>
            <w:pPr>
              <w:jc w:val="center"/>
              <w:rPr>
                <w:rFonts w:asciiTheme="minorEastAsia" w:hAnsiTheme="minorEastAsia"/>
                <w:sz w:val="18"/>
                <w:szCs w:val="18"/>
              </w:rPr>
            </w:pPr>
            <w:r>
              <w:rPr>
                <w:rFonts w:hint="eastAsia" w:asciiTheme="minorEastAsia" w:hAnsiTheme="minorEastAsia"/>
                <w:sz w:val="18"/>
                <w:szCs w:val="18"/>
              </w:rPr>
              <w:t>Ⅱ级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Ⅲ级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Ⅳ</w:t>
            </w:r>
            <w:r>
              <w:rPr>
                <w:rFonts w:hint="eastAsia" w:asciiTheme="minorEastAsia" w:hAnsiTheme="minorEastAsia"/>
                <w:color w:val="FF0000"/>
                <w:sz w:val="18"/>
                <w:szCs w:val="18"/>
              </w:rPr>
              <w:t>级</w:t>
            </w:r>
          </w:p>
        </w:tc>
        <w:tc>
          <w:tcPr>
            <w:tcW w:w="1658"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continue"/>
            <w:vAlign w:val="center"/>
          </w:tcPr>
          <w:p>
            <w:pPr>
              <w:jc w:val="center"/>
              <w:rPr>
                <w:rFonts w:asciiTheme="minorEastAsia" w:hAnsiTheme="minorEastAsia"/>
                <w:sz w:val="18"/>
                <w:szCs w:val="18"/>
              </w:rPr>
            </w:pPr>
          </w:p>
        </w:tc>
        <w:tc>
          <w:tcPr>
            <w:tcW w:w="1621" w:type="dxa"/>
            <w:vAlign w:val="center"/>
          </w:tcPr>
          <w:p>
            <w:pPr>
              <w:rPr>
                <w:rFonts w:asciiTheme="minorEastAsia" w:hAnsiTheme="minorEastAsia"/>
                <w:sz w:val="18"/>
                <w:szCs w:val="18"/>
              </w:rPr>
            </w:pPr>
            <w:r>
              <w:rPr>
                <w:rFonts w:hint="eastAsia" w:asciiTheme="minorEastAsia" w:hAnsiTheme="minorEastAsia"/>
                <w:sz w:val="18"/>
                <w:szCs w:val="18"/>
              </w:rPr>
              <w:t>抗碳化等级</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1923"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Ⅲ级</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Ⅳ级</w:t>
            </w:r>
          </w:p>
        </w:tc>
        <w:tc>
          <w:tcPr>
            <w:tcW w:w="1658"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vMerge w:val="continue"/>
            <w:vAlign w:val="center"/>
          </w:tcPr>
          <w:p>
            <w:pPr>
              <w:jc w:val="center"/>
              <w:rPr>
                <w:rFonts w:asciiTheme="minorEastAsia" w:hAnsiTheme="minorEastAsia"/>
                <w:sz w:val="18"/>
                <w:szCs w:val="18"/>
              </w:rPr>
            </w:pPr>
          </w:p>
        </w:tc>
        <w:tc>
          <w:tcPr>
            <w:tcW w:w="822" w:type="dxa"/>
            <w:vMerge w:val="continue"/>
            <w:vAlign w:val="center"/>
          </w:tcPr>
          <w:p>
            <w:pPr>
              <w:jc w:val="center"/>
              <w:rPr>
                <w:rFonts w:asciiTheme="minorEastAsia" w:hAnsiTheme="minorEastAsia"/>
                <w:sz w:val="18"/>
                <w:szCs w:val="18"/>
              </w:rPr>
            </w:pPr>
          </w:p>
        </w:tc>
        <w:tc>
          <w:tcPr>
            <w:tcW w:w="1621" w:type="dxa"/>
            <w:vAlign w:val="center"/>
          </w:tcPr>
          <w:p>
            <w:pPr>
              <w:rPr>
                <w:rFonts w:asciiTheme="minorEastAsia" w:hAnsiTheme="minorEastAsia"/>
                <w:sz w:val="18"/>
                <w:szCs w:val="18"/>
              </w:rPr>
            </w:pPr>
            <w:r>
              <w:rPr>
                <w:rFonts w:hint="eastAsia" w:asciiTheme="minorEastAsia" w:hAnsiTheme="minorEastAsia"/>
                <w:sz w:val="18"/>
                <w:szCs w:val="18"/>
              </w:rPr>
              <w:t>抗冻等级</w:t>
            </w:r>
            <w:r>
              <w:rPr>
                <w:rFonts w:asciiTheme="minorEastAsia" w:hAnsiTheme="minorEastAsia"/>
                <w:sz w:val="18"/>
                <w:szCs w:val="18"/>
                <w:vertAlign w:val="superscript"/>
              </w:rPr>
              <w:t>b</w:t>
            </w:r>
          </w:p>
        </w:tc>
        <w:tc>
          <w:tcPr>
            <w:tcW w:w="846" w:type="dxa"/>
            <w:vAlign w:val="center"/>
          </w:tcPr>
          <w:p>
            <w:pPr>
              <w:jc w:val="center"/>
              <w:rPr>
                <w:rFonts w:asciiTheme="minorEastAsia" w:hAnsiTheme="minorEastAsia"/>
                <w:sz w:val="18"/>
                <w:szCs w:val="18"/>
              </w:rPr>
            </w:pPr>
            <w:r>
              <w:rPr>
                <w:rFonts w:hint="eastAsia" w:asciiTheme="minorEastAsia" w:hAnsiTheme="minorEastAsia"/>
                <w:sz w:val="18"/>
                <w:szCs w:val="18"/>
              </w:rPr>
              <w:t>—</w:t>
            </w:r>
          </w:p>
        </w:tc>
        <w:tc>
          <w:tcPr>
            <w:tcW w:w="1923"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F300</w:t>
            </w:r>
          </w:p>
        </w:tc>
        <w:tc>
          <w:tcPr>
            <w:tcW w:w="962" w:type="dxa"/>
            <w:vAlign w:val="center"/>
          </w:tcPr>
          <w:p>
            <w:pPr>
              <w:jc w:val="center"/>
              <w:rPr>
                <w:rFonts w:asciiTheme="minorEastAsia" w:hAnsiTheme="minorEastAsia"/>
                <w:sz w:val="18"/>
                <w:szCs w:val="18"/>
              </w:rPr>
            </w:pPr>
            <w:r>
              <w:rPr>
                <w:rFonts w:hint="eastAsia" w:asciiTheme="minorEastAsia" w:hAnsiTheme="minorEastAsia"/>
                <w:sz w:val="18"/>
                <w:szCs w:val="18"/>
              </w:rPr>
              <w:t>F400</w:t>
            </w:r>
          </w:p>
        </w:tc>
        <w:tc>
          <w:tcPr>
            <w:tcW w:w="1658" w:type="dxa"/>
            <w:vMerge w:val="continue"/>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8"/>
            <w:vAlign w:val="center"/>
          </w:tcPr>
          <w:p>
            <w:pPr>
              <w:ind w:left="600" w:leftChars="200" w:hanging="180" w:hangingChars="100"/>
              <w:rPr>
                <w:rFonts w:asciiTheme="minorEastAsia" w:hAnsiTheme="minorEastAsia"/>
                <w:sz w:val="18"/>
                <w:szCs w:val="18"/>
              </w:rPr>
            </w:pPr>
            <w:r>
              <w:rPr>
                <w:rFonts w:hint="eastAsia" w:asciiTheme="minorEastAsia" w:hAnsiTheme="minorEastAsia"/>
                <w:sz w:val="18"/>
                <w:szCs w:val="18"/>
                <w:vertAlign w:val="superscript"/>
              </w:rPr>
              <w:t>a</w:t>
            </w:r>
            <w:r>
              <w:rPr>
                <w:rFonts w:hint="eastAsia" w:asciiTheme="minorEastAsia" w:hAnsiTheme="minorEastAsia"/>
                <w:sz w:val="18"/>
                <w:szCs w:val="18"/>
              </w:rPr>
              <w:t>本条款评价企业按照工程需要试配、生产相应耐久性能产品的能力，不要求所有</w:t>
            </w:r>
            <w:r>
              <w:rPr>
                <w:rFonts w:hint="eastAsia" w:asciiTheme="minorEastAsia" w:hAnsiTheme="minorEastAsia"/>
                <w:color w:val="FF0000"/>
                <w:sz w:val="18"/>
                <w:szCs w:val="18"/>
              </w:rPr>
              <w:t>种类及强度等级的产品</w:t>
            </w:r>
            <w:r>
              <w:rPr>
                <w:rFonts w:hint="eastAsia" w:asciiTheme="minorEastAsia" w:hAnsiTheme="minorEastAsia"/>
                <w:sz w:val="18"/>
                <w:szCs w:val="18"/>
              </w:rPr>
              <w:t>均符合本条款规定的耐久性要求。</w:t>
            </w:r>
          </w:p>
          <w:p>
            <w:pPr>
              <w:ind w:left="600" w:leftChars="200" w:hanging="180" w:hangingChars="100"/>
              <w:rPr>
                <w:rFonts w:asciiTheme="minorEastAsia" w:hAnsiTheme="minorEastAsia"/>
                <w:sz w:val="18"/>
                <w:szCs w:val="18"/>
                <w:vertAlign w:val="superscript"/>
              </w:rPr>
            </w:pPr>
            <w:r>
              <w:rPr>
                <w:rFonts w:asciiTheme="minorEastAsia" w:hAnsiTheme="minorEastAsia"/>
                <w:sz w:val="18"/>
                <w:szCs w:val="18"/>
                <w:vertAlign w:val="superscript"/>
              </w:rPr>
              <w:t>b</w:t>
            </w:r>
            <w:r>
              <w:rPr>
                <w:rFonts w:hint="eastAsia" w:asciiTheme="minorEastAsia" w:hAnsiTheme="minorEastAsia"/>
                <w:sz w:val="18"/>
                <w:szCs w:val="18"/>
              </w:rPr>
              <w:t>本条款适用于主要应用范围在第I、II、VI、VII建筑气候区内的产品，应用于其他建筑气候区的产品不参评。建筑气候区的划分按照GB 50178进行。</w:t>
            </w:r>
          </w:p>
        </w:tc>
      </w:tr>
    </w:tbl>
    <w:p>
      <w:pPr>
        <w:jc w:val="left"/>
        <w:rPr>
          <w:rFonts w:asciiTheme="minorEastAsia" w:hAnsiTheme="minorEastAsia"/>
        </w:rPr>
      </w:pPr>
    </w:p>
    <w:p>
      <w:pPr>
        <w:spacing w:line="480" w:lineRule="auto"/>
        <w:jc w:val="left"/>
        <w:rPr>
          <w:rFonts w:ascii="黑体" w:hAnsi="黑体" w:eastAsia="黑体"/>
        </w:rPr>
      </w:pPr>
      <w:r>
        <w:rPr>
          <w:rFonts w:hint="eastAsia" w:ascii="黑体" w:hAnsi="黑体" w:eastAsia="黑体"/>
        </w:rPr>
        <w:t>5  评价方法</w:t>
      </w:r>
    </w:p>
    <w:p>
      <w:pPr>
        <w:jc w:val="left"/>
        <w:rPr>
          <w:rFonts w:asciiTheme="minorEastAsia" w:hAnsiTheme="minorEastAsia"/>
          <w:color w:val="FF0000"/>
        </w:rPr>
      </w:pPr>
      <w:r>
        <w:rPr>
          <w:rFonts w:hint="eastAsia" w:asciiTheme="minorEastAsia" w:hAnsiTheme="minorEastAsia"/>
          <w:color w:val="FF0000"/>
        </w:rPr>
        <w:t>5.1  生产企业应按第4章的规定提供相关证明文件。</w:t>
      </w:r>
    </w:p>
    <w:p>
      <w:pPr>
        <w:jc w:val="left"/>
        <w:rPr>
          <w:rFonts w:asciiTheme="minorEastAsia" w:hAnsiTheme="minorEastAsia"/>
          <w:color w:val="FF0000"/>
        </w:rPr>
      </w:pPr>
      <w:r>
        <w:rPr>
          <w:rFonts w:hint="eastAsia" w:asciiTheme="minorEastAsia" w:hAnsiTheme="minorEastAsia"/>
          <w:color w:val="FF0000"/>
        </w:rPr>
        <w:t>5.</w:t>
      </w:r>
      <w:r>
        <w:rPr>
          <w:rFonts w:asciiTheme="minorEastAsia" w:hAnsiTheme="minorEastAsia"/>
          <w:color w:val="FF0000"/>
        </w:rPr>
        <w:t>2</w:t>
      </w:r>
      <w:r>
        <w:rPr>
          <w:rFonts w:hint="eastAsia" w:asciiTheme="minorEastAsia" w:hAnsiTheme="minorEastAsia"/>
          <w:color w:val="FF0000"/>
        </w:rPr>
        <w:t xml:space="preserve">  环境属性中水溶性六价铬含量、氨释放量、放射性比活度应由企业提供近1年内的产品检验报告。</w:t>
      </w:r>
    </w:p>
    <w:p>
      <w:pPr>
        <w:jc w:val="left"/>
        <w:rPr>
          <w:rFonts w:asciiTheme="minorEastAsia" w:hAnsiTheme="minorEastAsia"/>
          <w:color w:val="FF0000"/>
        </w:rPr>
      </w:pPr>
      <w:r>
        <w:rPr>
          <w:rFonts w:hint="eastAsia" w:asciiTheme="minorEastAsia" w:hAnsiTheme="minorEastAsia"/>
          <w:color w:val="FF0000"/>
        </w:rPr>
        <w:t>5.</w:t>
      </w:r>
      <w:r>
        <w:rPr>
          <w:rFonts w:asciiTheme="minorEastAsia" w:hAnsiTheme="minorEastAsia"/>
          <w:color w:val="FF0000"/>
        </w:rPr>
        <w:t>3</w:t>
      </w:r>
      <w:r>
        <w:rPr>
          <w:rFonts w:hint="eastAsia" w:asciiTheme="minorEastAsia" w:hAnsiTheme="minorEastAsia"/>
          <w:color w:val="FF0000"/>
        </w:rPr>
        <w:t xml:space="preserve">  品质属性中实测标准偏差与该强度等级标准偏差上限的比值应抽查企业近1年内的强度评定记录，每个强度等级的预拌混凝土产品取至少连续10个批次的产品抗压强度值，按照GB 50164的规定进行标准偏差计算。实测强度与设计强度的比值应抽查企业近1年内每个强度等级的预拌混凝土产品至少10组强度检测结果，计算强度平均值进行判定。水溶性氯离子含量应由企业提供近1年内的产品检验报告。耐久性应由企业提供近</w:t>
      </w:r>
      <w:r>
        <w:rPr>
          <w:rFonts w:asciiTheme="minorEastAsia" w:hAnsiTheme="minorEastAsia"/>
          <w:color w:val="FF0000"/>
        </w:rPr>
        <w:t>3</w:t>
      </w:r>
      <w:r>
        <w:rPr>
          <w:rFonts w:hint="eastAsia" w:asciiTheme="minorEastAsia" w:hAnsiTheme="minorEastAsia"/>
          <w:color w:val="FF0000"/>
        </w:rPr>
        <w:t>年内的产品检验报告。</w:t>
      </w:r>
    </w:p>
    <w:p>
      <w:pPr>
        <w:jc w:val="left"/>
        <w:rPr>
          <w:rFonts w:asciiTheme="minorEastAsia" w:hAnsiTheme="minorEastAsia"/>
          <w:color w:val="FF0000"/>
        </w:rPr>
      </w:pPr>
      <w:r>
        <w:rPr>
          <w:rFonts w:hint="eastAsia" w:asciiTheme="minorEastAsia" w:hAnsiTheme="minorEastAsia"/>
          <w:color w:val="FF0000"/>
        </w:rPr>
        <w:t>5.</w:t>
      </w:r>
      <w:r>
        <w:rPr>
          <w:rFonts w:asciiTheme="minorEastAsia" w:hAnsiTheme="minorEastAsia"/>
          <w:color w:val="FF0000"/>
        </w:rPr>
        <w:t>4</w:t>
      </w:r>
      <w:r>
        <w:rPr>
          <w:rFonts w:hint="eastAsia" w:asciiTheme="minorEastAsia" w:hAnsiTheme="minorEastAsia"/>
          <w:color w:val="FF0000"/>
        </w:rPr>
        <w:t xml:space="preserve">  生产企业满足第4章对应评价等级的全部要求时，判定评价结果符合该评价等级规定。</w:t>
      </w:r>
    </w:p>
    <w:p>
      <w:pPr>
        <w:widowControl/>
        <w:jc w:val="left"/>
        <w:rPr>
          <w:rFonts w:asciiTheme="minorEastAsia" w:hAnsiTheme="minorEastAsia"/>
        </w:rPr>
      </w:pPr>
      <w:r>
        <w:rPr>
          <w:rFonts w:asciiTheme="minorEastAsia" w:hAnsiTheme="minorEastAsia"/>
        </w:rPr>
        <w:br w:type="page"/>
      </w:r>
    </w:p>
    <w:p>
      <w:pPr>
        <w:jc w:val="left"/>
        <w:rPr>
          <w:rFonts w:asciiTheme="minorEastAsia" w:hAnsiTheme="minorEastAsia"/>
        </w:rPr>
      </w:pPr>
    </w:p>
    <w:p>
      <w:pPr>
        <w:jc w:val="center"/>
        <w:rPr>
          <w:rFonts w:ascii="黑体" w:hAnsi="黑体" w:eastAsia="黑体"/>
        </w:rPr>
      </w:pPr>
      <w:r>
        <w:rPr>
          <w:rFonts w:hint="eastAsia" w:ascii="黑体" w:hAnsi="黑体" w:eastAsia="黑体"/>
        </w:rPr>
        <w:t>附录  A</w:t>
      </w:r>
    </w:p>
    <w:p>
      <w:pPr>
        <w:jc w:val="center"/>
        <w:rPr>
          <w:rFonts w:ascii="黑体" w:hAnsi="黑体" w:eastAsia="黑体"/>
        </w:rPr>
      </w:pPr>
      <w:r>
        <w:rPr>
          <w:rFonts w:hint="eastAsia" w:ascii="黑体" w:hAnsi="黑体" w:eastAsia="黑体"/>
        </w:rPr>
        <w:t>（规范性附录）</w:t>
      </w:r>
    </w:p>
    <w:p>
      <w:pPr>
        <w:jc w:val="center"/>
        <w:rPr>
          <w:rFonts w:ascii="黑体" w:hAnsi="黑体" w:eastAsia="黑体"/>
        </w:rPr>
      </w:pPr>
      <w:r>
        <w:rPr>
          <w:rFonts w:hint="eastAsia" w:ascii="黑体" w:hAnsi="黑体" w:eastAsia="黑体"/>
        </w:rPr>
        <w:t>预拌混凝土评价指标计算方法</w:t>
      </w:r>
    </w:p>
    <w:p>
      <w:pPr>
        <w:jc w:val="left"/>
        <w:rPr>
          <w:rFonts w:asciiTheme="minorEastAsia" w:hAnsiTheme="minorEastAsia"/>
        </w:rPr>
      </w:pPr>
    </w:p>
    <w:p>
      <w:pPr>
        <w:spacing w:line="480" w:lineRule="auto"/>
        <w:rPr>
          <w:rFonts w:ascii="黑体" w:hAnsi="黑体" w:eastAsia="黑体"/>
        </w:rPr>
      </w:pPr>
      <w:r>
        <w:rPr>
          <w:rFonts w:hint="eastAsia" w:ascii="黑体" w:hAnsi="黑体" w:eastAsia="黑体"/>
        </w:rPr>
        <w:t xml:space="preserve">A.1  </w:t>
      </w:r>
      <w:bookmarkStart w:id="0" w:name="_Hlk135904151"/>
      <w:r>
        <w:rPr>
          <w:rFonts w:hint="eastAsia" w:ascii="黑体" w:hAnsi="黑体" w:eastAsia="黑体"/>
        </w:rPr>
        <w:t>生产过程产生废弃物利用率</w:t>
      </w:r>
      <w:bookmarkEnd w:id="0"/>
    </w:p>
    <w:p>
      <w:pPr>
        <w:ind w:firstLine="420" w:firstLineChars="200"/>
        <w:rPr>
          <w:rFonts w:asciiTheme="minorEastAsia" w:hAnsiTheme="minorEastAsia"/>
        </w:rPr>
      </w:pPr>
      <w:bookmarkStart w:id="1" w:name="_Hlk135915546"/>
      <w:r>
        <w:rPr>
          <w:rFonts w:hint="eastAsia" w:asciiTheme="minorEastAsia" w:hAnsiTheme="minorEastAsia"/>
        </w:rPr>
        <w:t>宜以近12个月作为统计期计算生产过程产生废弃物利用率的平均值。企业正式投产不足12个月时，统计期可适当缩短，但应不少于6个月。按式（A.1）计算</w:t>
      </w:r>
      <w:bookmarkEnd w:id="1"/>
      <w:r>
        <w:rPr>
          <w:rFonts w:hint="eastAsia" w:asciiTheme="minorEastAsia" w:hAnsiTheme="minorEastAsia"/>
        </w:rPr>
        <w:t>：</w:t>
      </w:r>
    </w:p>
    <w:p>
      <w:pPr>
        <w:ind w:firstLine="3570" w:firstLineChars="1700"/>
        <w:rPr>
          <w:rFonts w:asciiTheme="minorEastAsia" w:hAnsiTheme="minorEastAsia"/>
        </w:rPr>
      </w:pPr>
      <w:r>
        <w:rPr>
          <w:rFonts w:hint="eastAsia" w:asciiTheme="minorEastAsia" w:hAnsiTheme="minorEastAsia"/>
          <w:iCs/>
        </w:rPr>
        <w:t>R</w:t>
      </w:r>
      <w:r>
        <w:rPr>
          <w:rFonts w:hint="eastAsia" w:asciiTheme="minorEastAsia" w:hAnsiTheme="minorEastAsia"/>
        </w:rPr>
        <w:t>=</w:t>
      </w:r>
      <m:oMath>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p</m:t>
                </m:r>
                <m:ctrlPr>
                  <w:rPr>
                    <w:rFonts w:ascii="Cambria Math" w:hAnsi="Cambria Math"/>
                    <w:i/>
                  </w:rPr>
                </m:ctrlPr>
              </m:sub>
            </m:sSub>
            <m:ctrlPr>
              <w:rPr>
                <w:rFonts w:ascii="Cambria Math" w:hAnsi="Cambria Math"/>
              </w:rPr>
            </m:ctrlPr>
          </m:den>
        </m:f>
      </m:oMath>
      <w:r>
        <w:rPr>
          <w:rFonts w:hint="eastAsia" w:asciiTheme="minorEastAsia" w:hAnsiTheme="minorEastAsia"/>
        </w:rPr>
        <w:t>×100％……………………………………（A.1）</w:t>
      </w:r>
    </w:p>
    <w:p>
      <w:pPr>
        <w:ind w:firstLine="420" w:firstLineChars="200"/>
        <w:rPr>
          <w:rFonts w:asciiTheme="minorEastAsia" w:hAnsiTheme="minorEastAsia"/>
        </w:rPr>
      </w:pPr>
      <w:r>
        <w:rPr>
          <w:rFonts w:hint="eastAsia" w:asciiTheme="minorEastAsia" w:hAnsiTheme="minorEastAsia"/>
        </w:rPr>
        <w:t>式中：</w:t>
      </w:r>
    </w:p>
    <w:p>
      <w:pPr>
        <w:ind w:firstLine="420" w:firstLineChars="200"/>
        <w:rPr>
          <w:rFonts w:asciiTheme="minorEastAsia" w:hAnsiTheme="minorEastAsia"/>
        </w:rPr>
      </w:pPr>
      <w:r>
        <w:rPr>
          <w:rFonts w:hint="eastAsia" w:asciiTheme="minorEastAsia" w:hAnsiTheme="minorEastAsia"/>
          <w:iCs/>
        </w:rPr>
        <w:t>R</w:t>
      </w:r>
      <w:r>
        <w:rPr>
          <w:rFonts w:hint="eastAsia" w:asciiTheme="minorEastAsia" w:hAnsiTheme="minorEastAsia"/>
          <w:i/>
        </w:rPr>
        <w:t xml:space="preserve"> </w:t>
      </w:r>
      <w:r>
        <w:rPr>
          <w:rFonts w:hint="eastAsia" w:asciiTheme="minorEastAsia" w:hAnsiTheme="minorEastAsia"/>
        </w:rPr>
        <w:t>——生产过程产生固体废弃物利用率；</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r</m:t>
            </m:r>
            <m:ctrlPr>
              <w:rPr>
                <w:rFonts w:ascii="Cambria Math" w:hAnsi="Cambria Math"/>
              </w:rPr>
            </m:ctrlPr>
          </m:sub>
        </m:sSub>
      </m:oMath>
      <w:r>
        <w:rPr>
          <w:rFonts w:hint="eastAsia" w:asciiTheme="minorEastAsia" w:hAnsiTheme="minorEastAsia"/>
        </w:rPr>
        <w:t>——统计期内回收再利用的废弃物量，不含废水，单位为千克（kg）；</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p</m:t>
            </m:r>
            <m:ctrlPr>
              <w:rPr>
                <w:rFonts w:ascii="Cambria Math" w:hAnsi="Cambria Math"/>
              </w:rPr>
            </m:ctrlPr>
          </m:sub>
        </m:sSub>
      </m:oMath>
      <w:r>
        <w:rPr>
          <w:rFonts w:hint="eastAsia" w:asciiTheme="minorEastAsia" w:hAnsiTheme="minorEastAsia"/>
        </w:rPr>
        <w:t>——统计期内生产产生的废弃物总量，不含废水，单位为千克（kg）。</w:t>
      </w:r>
    </w:p>
    <w:p>
      <w:pPr>
        <w:ind w:firstLine="420" w:firstLineChars="200"/>
        <w:rPr>
          <w:rFonts w:asciiTheme="minorEastAsia" w:hAnsiTheme="minorEastAsia"/>
        </w:rPr>
      </w:pPr>
      <w:r>
        <w:rPr>
          <w:rFonts w:hint="eastAsia" w:asciiTheme="minorEastAsia" w:hAnsiTheme="minorEastAsia"/>
          <w:color w:val="FF0000"/>
        </w:rPr>
        <w:t>注：生产过程产生废弃物利用率以企业为单位进行统计、计算。</w:t>
      </w:r>
    </w:p>
    <w:p>
      <w:pPr>
        <w:rPr>
          <w:rFonts w:asciiTheme="minorEastAsia" w:hAnsiTheme="minorEastAsia"/>
        </w:rPr>
      </w:pPr>
    </w:p>
    <w:p>
      <w:pPr>
        <w:spacing w:line="480" w:lineRule="auto"/>
        <w:rPr>
          <w:rFonts w:ascii="黑体" w:hAnsi="黑体" w:eastAsia="黑体"/>
        </w:rPr>
      </w:pPr>
      <w:r>
        <w:rPr>
          <w:rFonts w:hint="eastAsia" w:ascii="黑体" w:hAnsi="黑体" w:eastAsia="黑体"/>
        </w:rPr>
        <w:t xml:space="preserve">A.2  </w:t>
      </w:r>
      <w:r>
        <w:rPr>
          <w:rFonts w:hint="eastAsia" w:ascii="黑体" w:hAnsi="黑体" w:eastAsia="黑体"/>
          <w:color w:val="FF0000"/>
        </w:rPr>
        <w:t>固体废物</w:t>
      </w:r>
      <w:r>
        <w:rPr>
          <w:rFonts w:hint="eastAsia" w:ascii="黑体" w:hAnsi="黑体" w:eastAsia="黑体"/>
        </w:rPr>
        <w:t>掺加量</w:t>
      </w:r>
    </w:p>
    <w:p>
      <w:pPr>
        <w:ind w:firstLine="420" w:firstLineChars="200"/>
        <w:rPr>
          <w:rFonts w:asciiTheme="minorEastAsia" w:hAnsiTheme="minorEastAsia"/>
        </w:rPr>
      </w:pPr>
      <w:bookmarkStart w:id="2" w:name="_Hlk135915534"/>
      <w:r>
        <w:rPr>
          <w:rFonts w:hint="eastAsia" w:asciiTheme="minorEastAsia" w:hAnsiTheme="minorEastAsia"/>
        </w:rPr>
        <w:t>宜以近12个月作为统计期计算</w:t>
      </w:r>
      <w:r>
        <w:rPr>
          <w:rFonts w:hint="eastAsia" w:asciiTheme="minorEastAsia" w:hAnsiTheme="minorEastAsia"/>
          <w:color w:val="FF0000"/>
        </w:rPr>
        <w:t>固体废物</w:t>
      </w:r>
      <w:r>
        <w:rPr>
          <w:rFonts w:hint="eastAsia" w:asciiTheme="minorEastAsia" w:hAnsiTheme="minorEastAsia"/>
        </w:rPr>
        <w:t>掺加量的平均值。企业正式投产不足12个月时，统计期可适当缩短，但应不少于6个月。按式（A.2）计算：</w:t>
      </w:r>
    </w:p>
    <w:p>
      <w:pPr>
        <w:ind w:firstLine="3465" w:firstLineChars="1650"/>
        <w:rPr>
          <w:rFonts w:asciiTheme="minorEastAsia" w:hAnsiTheme="minorEastAsia"/>
        </w:rPr>
      </w:pPr>
      <w:r>
        <w:rPr>
          <w:rFonts w:hint="eastAsia" w:asciiTheme="minorEastAsia" w:hAnsiTheme="minorEastAsia"/>
          <w:iCs/>
        </w:rPr>
        <w:t>U</w:t>
      </w:r>
      <w:r>
        <w:rPr>
          <w:rFonts w:hint="eastAsia" w:asciiTheme="minorEastAsia" w:hAnsiTheme="minorEastAsia"/>
        </w:rPr>
        <w:t>=</w:t>
      </w:r>
      <m:oMath>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w</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t</m:t>
                </m:r>
                <m:ctrlPr>
                  <w:rPr>
                    <w:rFonts w:ascii="Cambria Math" w:hAnsi="Cambria Math"/>
                    <w:i/>
                  </w:rPr>
                </m:ctrlPr>
              </m:sub>
            </m:sSub>
            <m:ctrlPr>
              <w:rPr>
                <w:rFonts w:ascii="Cambria Math" w:hAnsi="Cambria Math"/>
              </w:rPr>
            </m:ctrlPr>
          </m:den>
        </m:f>
      </m:oMath>
      <w:r>
        <w:rPr>
          <w:rFonts w:hint="eastAsia" w:asciiTheme="minorEastAsia" w:hAnsiTheme="minorEastAsia"/>
        </w:rPr>
        <w:t>×100％……………………………………（A.2）</w:t>
      </w:r>
    </w:p>
    <w:p>
      <w:pPr>
        <w:ind w:firstLine="420" w:firstLineChars="200"/>
        <w:rPr>
          <w:rFonts w:asciiTheme="minorEastAsia" w:hAnsiTheme="minorEastAsia"/>
        </w:rPr>
      </w:pPr>
      <w:r>
        <w:rPr>
          <w:rFonts w:hint="eastAsia" w:asciiTheme="minorEastAsia" w:hAnsiTheme="minorEastAsia"/>
        </w:rPr>
        <w:t>式中：</w:t>
      </w:r>
    </w:p>
    <w:p>
      <w:pPr>
        <w:ind w:firstLine="420" w:firstLineChars="200"/>
        <w:rPr>
          <w:rFonts w:asciiTheme="minorEastAsia" w:hAnsiTheme="minorEastAsia"/>
        </w:rPr>
      </w:pPr>
      <w:r>
        <w:rPr>
          <w:rFonts w:hint="eastAsia" w:asciiTheme="minorEastAsia" w:hAnsiTheme="minorEastAsia"/>
        </w:rPr>
        <w:t>U  ——固体废弃物掺加量；</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w</m:t>
            </m:r>
            <m:ctrlPr>
              <w:rPr>
                <w:rFonts w:ascii="Cambria Math" w:hAnsi="Cambria Math"/>
              </w:rPr>
            </m:ctrlPr>
          </m:sub>
        </m:sSub>
      </m:oMath>
      <w:r>
        <w:rPr>
          <w:rFonts w:hint="eastAsia" w:asciiTheme="minorEastAsia" w:hAnsiTheme="minorEastAsia"/>
        </w:rPr>
        <w:t>——统计期内使用的外购</w:t>
      </w:r>
      <w:r>
        <w:rPr>
          <w:rFonts w:hint="eastAsia" w:asciiTheme="minorEastAsia" w:hAnsiTheme="minorEastAsia"/>
          <w:color w:val="FF0000"/>
        </w:rPr>
        <w:t>固体废物</w:t>
      </w:r>
      <w:r>
        <w:rPr>
          <w:rFonts w:hint="eastAsia" w:asciiTheme="minorEastAsia" w:hAnsiTheme="minorEastAsia"/>
        </w:rPr>
        <w:t>总量，不含水，单位为吨（t）；</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t</m:t>
            </m:r>
            <m:ctrlPr>
              <w:rPr>
                <w:rFonts w:ascii="Cambria Math" w:hAnsi="Cambria Math"/>
              </w:rPr>
            </m:ctrlPr>
          </m:sub>
        </m:sSub>
      </m:oMath>
      <w:r>
        <w:rPr>
          <w:rFonts w:hint="eastAsia" w:asciiTheme="minorEastAsia" w:hAnsiTheme="minorEastAsia"/>
        </w:rPr>
        <w:t xml:space="preserve"> ——统计期内使用的原材料总量，不含水，单位为吨（t）。</w:t>
      </w:r>
      <w:bookmarkEnd w:id="2"/>
    </w:p>
    <w:p>
      <w:pPr>
        <w:ind w:firstLine="420" w:firstLineChars="200"/>
        <w:rPr>
          <w:rFonts w:asciiTheme="minorEastAsia" w:hAnsiTheme="minorEastAsia"/>
          <w:color w:val="FF0000"/>
        </w:rPr>
      </w:pPr>
      <w:r>
        <w:rPr>
          <w:rFonts w:hint="eastAsia" w:asciiTheme="minorEastAsia" w:hAnsiTheme="minorEastAsia"/>
          <w:color w:val="FF0000"/>
        </w:rPr>
        <w:t>注1：固体废物掺加量以企业为单位进行统计、计算；</w:t>
      </w:r>
    </w:p>
    <w:p>
      <w:pPr>
        <w:ind w:firstLine="420" w:firstLineChars="200"/>
        <w:rPr>
          <w:rFonts w:asciiTheme="minorEastAsia" w:hAnsiTheme="minorEastAsia"/>
        </w:rPr>
      </w:pPr>
      <w:r>
        <w:rPr>
          <w:rFonts w:hint="eastAsia" w:asciiTheme="minorEastAsia" w:hAnsiTheme="minorEastAsia"/>
          <w:color w:val="FF0000"/>
        </w:rPr>
        <w:t>注2：固体废物包含废渣等。废渣是指采矿选矿废渣、冶炼废渣、化工废渣和其他废渣。其中，采矿选矿废渣，是指在矿产资源开采加工过程中产生的煤矸石、粉末、粉尘和污泥；冶炼废渣，是指高炉渣、转炉渣、电炉渣、铁合金炉渣、氧化铝赤泥和有色金属灰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废玻璃、污水处理厂处理污水产生的污泥。</w:t>
      </w:r>
    </w:p>
    <w:p>
      <w:pPr>
        <w:rPr>
          <w:rFonts w:ascii="黑体" w:hAnsi="黑体" w:eastAsia="黑体"/>
        </w:rPr>
      </w:pPr>
    </w:p>
    <w:p>
      <w:pPr>
        <w:spacing w:line="480" w:lineRule="auto"/>
        <w:rPr>
          <w:rFonts w:ascii="黑体" w:hAnsi="黑体" w:eastAsia="黑体"/>
        </w:rPr>
      </w:pPr>
      <w:r>
        <w:rPr>
          <w:rFonts w:hint="eastAsia" w:ascii="黑体" w:hAnsi="黑体" w:eastAsia="黑体"/>
        </w:rPr>
        <w:t>A.3  原材料本地化程度</w:t>
      </w:r>
    </w:p>
    <w:p>
      <w:pPr>
        <w:ind w:firstLine="420" w:firstLineChars="200"/>
        <w:rPr>
          <w:rFonts w:asciiTheme="minorEastAsia" w:hAnsiTheme="minorEastAsia"/>
        </w:rPr>
      </w:pPr>
      <w:r>
        <w:rPr>
          <w:rFonts w:hint="eastAsia" w:asciiTheme="minorEastAsia" w:hAnsiTheme="minorEastAsia"/>
        </w:rPr>
        <w:t>以运输距离不大于350 km或采用铁路、船舶运输的原材料使用率为计算标准，材料选取主要原材料进行计算。宜以近12个月作为统计期，企业正式投产不足12个月时，统计期可适当缩短，但应不少于6个月。按式（A.3）计算：</w:t>
      </w:r>
    </w:p>
    <w:p>
      <w:pPr>
        <w:ind w:firstLine="3360" w:firstLineChars="1600"/>
        <w:rPr>
          <w:rFonts w:asciiTheme="minorEastAsia" w:hAnsiTheme="minorEastAsia"/>
        </w:rPr>
      </w:pPr>
      <w:r>
        <w:rPr>
          <w:rFonts w:hint="eastAsia" w:asciiTheme="minorEastAsia" w:hAnsiTheme="minorEastAsia"/>
          <w:i/>
        </w:rPr>
        <w:t xml:space="preserve">T </w:t>
      </w:r>
      <w:r>
        <w:rPr>
          <w:rFonts w:hint="eastAsia" w:asciiTheme="minorEastAsia" w:hAnsiTheme="minorEastAsia"/>
        </w:rPr>
        <w:t>=</w:t>
      </w:r>
      <m:oMath>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eastAsia" w:ascii="Cambria Math" w:hAnsi="Cambria Math"/>
                  </w:rPr>
                  <m:t>gt</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ascii="Cambria Math" w:hAnsi="Cambria Math"/>
                  </w:rPr>
                  <m:t>t</m:t>
                </m:r>
                <m:ctrlPr>
                  <w:rPr>
                    <w:rFonts w:ascii="Cambria Math" w:hAnsi="Cambria Math"/>
                    <w:i/>
                  </w:rPr>
                </m:ctrlPr>
              </m:sub>
            </m:sSub>
            <m:ctrlPr>
              <w:rPr>
                <w:rFonts w:ascii="Cambria Math" w:hAnsi="Cambria Math"/>
              </w:rPr>
            </m:ctrlPr>
          </m:den>
        </m:f>
      </m:oMath>
      <w:r>
        <w:rPr>
          <w:rFonts w:hint="eastAsia" w:asciiTheme="minorEastAsia" w:hAnsiTheme="minorEastAsia"/>
        </w:rPr>
        <w:t>×100％………………………………………（A.3）</w:t>
      </w:r>
    </w:p>
    <w:p>
      <w:pPr>
        <w:ind w:firstLine="420" w:firstLineChars="200"/>
        <w:rPr>
          <w:rFonts w:asciiTheme="minorEastAsia" w:hAnsiTheme="minorEastAsia"/>
        </w:rPr>
      </w:pPr>
      <w:r>
        <w:rPr>
          <w:rFonts w:hint="eastAsia" w:asciiTheme="minorEastAsia" w:hAnsiTheme="minorEastAsia"/>
        </w:rPr>
        <w:t>式中：</w:t>
      </w:r>
    </w:p>
    <w:p>
      <w:pPr>
        <w:ind w:firstLine="420" w:firstLineChars="200"/>
        <w:rPr>
          <w:rFonts w:asciiTheme="minorEastAsia" w:hAnsiTheme="minorEastAsia"/>
        </w:rPr>
      </w:pPr>
      <w:r>
        <w:rPr>
          <w:rFonts w:hint="eastAsia" w:asciiTheme="minorEastAsia" w:hAnsiTheme="minorEastAsia"/>
          <w:i/>
        </w:rPr>
        <w:t xml:space="preserve">T  </w:t>
      </w:r>
      <w:r>
        <w:rPr>
          <w:rFonts w:hint="eastAsia" w:asciiTheme="minorEastAsia" w:hAnsiTheme="minorEastAsia"/>
        </w:rPr>
        <w:t>——统计期内使用的运输距离不大于350 km或采用铁路、船舶运输的原材料使用率；</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hint="eastAsia" w:ascii="Cambria Math" w:hAnsi="Cambria Math"/>
              </w:rPr>
              <m:t>gt</m:t>
            </m:r>
            <m:ctrlPr>
              <w:rPr>
                <w:rFonts w:ascii="Cambria Math" w:hAnsi="Cambria Math"/>
              </w:rPr>
            </m:ctrlPr>
          </m:sub>
        </m:sSub>
      </m:oMath>
      <w:r>
        <w:rPr>
          <w:rFonts w:hint="eastAsia" w:asciiTheme="minorEastAsia" w:hAnsiTheme="minorEastAsia"/>
        </w:rPr>
        <w:t>——统计期内使用的运输距离不大于350 km或采用铁路、船舶运输的主要原材料总量，不含水，单位为吨（t）；</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t</m:t>
            </m:r>
            <m:ctrlPr>
              <w:rPr>
                <w:rFonts w:ascii="Cambria Math" w:hAnsi="Cambria Math"/>
              </w:rPr>
            </m:ctrlPr>
          </m:sub>
        </m:sSub>
      </m:oMath>
      <w:r>
        <w:rPr>
          <w:rFonts w:hint="eastAsia" w:asciiTheme="minorEastAsia" w:hAnsiTheme="minorEastAsia"/>
        </w:rPr>
        <w:t>——统计期内使用的原材料总量，不含水，单位为吨（t）。</w:t>
      </w:r>
    </w:p>
    <w:p>
      <w:pPr>
        <w:ind w:firstLine="420" w:firstLineChars="200"/>
        <w:rPr>
          <w:rFonts w:asciiTheme="minorEastAsia" w:hAnsiTheme="minorEastAsia"/>
        </w:rPr>
      </w:pPr>
      <w:r>
        <w:rPr>
          <w:rFonts w:hint="eastAsia" w:asciiTheme="minorEastAsia" w:hAnsiTheme="minorEastAsia"/>
          <w:color w:val="FF0000"/>
        </w:rPr>
        <w:t>注：原材料本地化程度以企业为单位进行统计、计算。</w:t>
      </w:r>
    </w:p>
    <w:p>
      <w:pPr>
        <w:rPr>
          <w:rFonts w:asciiTheme="minorEastAsia" w:hAnsiTheme="minorEastAsia"/>
        </w:rPr>
      </w:pPr>
    </w:p>
    <w:p>
      <w:pPr>
        <w:spacing w:line="480" w:lineRule="auto"/>
        <w:rPr>
          <w:rFonts w:ascii="黑体" w:hAnsi="黑体" w:eastAsia="黑体"/>
        </w:rPr>
      </w:pPr>
      <w:r>
        <w:rPr>
          <w:rFonts w:hint="eastAsia" w:ascii="黑体" w:hAnsi="黑体" w:eastAsia="黑体"/>
        </w:rPr>
        <w:t>A.4  单位产品废水排放量</w:t>
      </w:r>
    </w:p>
    <w:p>
      <w:pPr>
        <w:ind w:firstLine="420" w:firstLineChars="200"/>
        <w:rPr>
          <w:rFonts w:asciiTheme="minorEastAsia" w:hAnsiTheme="minorEastAsia"/>
        </w:rPr>
      </w:pPr>
      <w:bookmarkStart w:id="3" w:name="_Hlk135919175"/>
      <w:r>
        <w:rPr>
          <w:rFonts w:hint="eastAsia" w:asciiTheme="minorEastAsia" w:hAnsiTheme="minorEastAsia"/>
        </w:rPr>
        <w:t>宜以近12个月作为统计期计算单位产品废水排放量的平均值。企业正式投产不足12个月时，统计期可适当缩短，但应不少于6个月。每生产1 m</w:t>
      </w:r>
      <w:r>
        <w:rPr>
          <w:rFonts w:hint="eastAsia" w:asciiTheme="minorEastAsia" w:hAnsiTheme="minorEastAsia"/>
          <w:vertAlign w:val="superscript"/>
        </w:rPr>
        <w:t>3</w:t>
      </w:r>
      <w:r>
        <w:rPr>
          <w:rFonts w:hint="eastAsia" w:asciiTheme="minorEastAsia" w:hAnsiTheme="minorEastAsia"/>
        </w:rPr>
        <w:t>预拌混凝土产品排放的废水量，按式（A.4）计算：</w:t>
      </w:r>
    </w:p>
    <w:bookmarkEnd w:id="3"/>
    <w:p>
      <w:pPr>
        <w:ind w:firstLine="3465" w:firstLineChars="1650"/>
        <w:rPr>
          <w:rFonts w:asciiTheme="minorEastAsia" w:hAnsiTheme="minorEastAsia"/>
        </w:rPr>
      </w:pPr>
      <w:r>
        <w:rPr>
          <w:rFonts w:hint="eastAsia" w:asciiTheme="minorEastAsia" w:hAnsiTheme="minorEastAsia"/>
          <w:i/>
        </w:rPr>
        <w:t>F</w:t>
      </w:r>
      <w:r>
        <w:rPr>
          <w:rFonts w:hint="eastAsia" w:asciiTheme="minorEastAsia" w:hAnsiTheme="minorEastAsia"/>
        </w:rPr>
        <w:t>=</w:t>
      </w:r>
      <m:oMath>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m:sty m:val="p"/>
                  </m:rPr>
                  <w:rPr>
                    <w:rFonts w:hint="eastAsia" w:ascii="Cambria Math" w:hAnsi="Cambria Math"/>
                  </w:rPr>
                  <m:t>water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m:sty m:val="p"/>
                  </m:rPr>
                  <w:rPr>
                    <w:rFonts w:ascii="Cambria Math" w:hAnsi="Cambria Math"/>
                  </w:rPr>
                  <m:t>t</m:t>
                </m:r>
                <m:ctrlPr>
                  <w:rPr>
                    <w:rFonts w:ascii="Cambria Math" w:hAnsi="Cambria Math"/>
                    <w:i/>
                  </w:rPr>
                </m:ctrlPr>
              </m:sub>
            </m:sSub>
            <m:ctrlPr>
              <w:rPr>
                <w:rFonts w:ascii="Cambria Math" w:hAnsi="Cambria Math"/>
              </w:rPr>
            </m:ctrlPr>
          </m:den>
        </m:f>
      </m:oMath>
      <w:r>
        <w:rPr>
          <w:rFonts w:asciiTheme="minorEastAsia" w:hAnsiTheme="minorEastAsia"/>
        </w:rPr>
        <w:t>……</w:t>
      </w:r>
      <w:r>
        <w:rPr>
          <w:rFonts w:hint="eastAsia" w:asciiTheme="minorEastAsia" w:hAnsiTheme="minorEastAsia"/>
        </w:rPr>
        <w:t>……………………………………（A.4）</w:t>
      </w:r>
    </w:p>
    <w:p>
      <w:pPr>
        <w:ind w:firstLine="420" w:firstLineChars="200"/>
        <w:rPr>
          <w:rFonts w:asciiTheme="minorEastAsia" w:hAnsiTheme="minorEastAsia"/>
        </w:rPr>
      </w:pPr>
      <w:r>
        <w:rPr>
          <w:rFonts w:hint="eastAsia" w:asciiTheme="minorEastAsia" w:hAnsiTheme="minorEastAsia"/>
        </w:rPr>
        <w:t>式中：</w:t>
      </w:r>
    </w:p>
    <w:p>
      <w:pPr>
        <w:ind w:firstLine="420" w:firstLineChars="200"/>
        <w:rPr>
          <w:rFonts w:asciiTheme="minorEastAsia" w:hAnsiTheme="minorEastAsia"/>
        </w:rPr>
      </w:pPr>
      <w:r>
        <w:rPr>
          <w:rFonts w:hint="eastAsia" w:asciiTheme="minorEastAsia" w:hAnsiTheme="minorEastAsia"/>
          <w:i/>
        </w:rPr>
        <w:t>F</w:t>
      </w:r>
      <w:r>
        <w:rPr>
          <w:rFonts w:hint="eastAsia" w:asciiTheme="minorEastAsia" w:hAnsiTheme="minorEastAsia"/>
        </w:rPr>
        <w:t xml:space="preserve">     ——每生产1 m</w:t>
      </w:r>
      <w:r>
        <w:rPr>
          <w:rFonts w:hint="eastAsia" w:asciiTheme="minorEastAsia" w:hAnsiTheme="minorEastAsia"/>
          <w:vertAlign w:val="superscript"/>
        </w:rPr>
        <w:t>3</w:t>
      </w:r>
      <w:r>
        <w:rPr>
          <w:rFonts w:hint="eastAsia" w:asciiTheme="minorEastAsia" w:hAnsiTheme="minorEastAsia"/>
        </w:rPr>
        <w:t>预拌混凝土产品产生的废水量，单位为千克每立方米（kg/m</w:t>
      </w:r>
      <w:r>
        <w:rPr>
          <w:rFonts w:hint="eastAsia" w:asciiTheme="minorEastAsia" w:hAnsiTheme="minorEastAsia"/>
          <w:vertAlign w:val="superscript"/>
        </w:rPr>
        <w:t>3</w:t>
      </w:r>
      <w:r>
        <w:rPr>
          <w:rFonts w:hint="eastAsia" w:asciiTheme="minorEastAsia" w:hAnsiTheme="minorEastAsia"/>
        </w:rPr>
        <w:t>）；</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hint="eastAsia" w:ascii="Cambria Math" w:hAnsi="Cambria Math"/>
              </w:rPr>
              <m:t>water</m:t>
            </m:r>
            <m:ctrlPr>
              <w:rPr>
                <w:rFonts w:ascii="Cambria Math" w:hAnsi="Cambria Math"/>
              </w:rPr>
            </m:ctrlPr>
          </m:sub>
        </m:sSub>
      </m:oMath>
      <w:r>
        <w:rPr>
          <w:rFonts w:hint="eastAsia" w:asciiTheme="minorEastAsia" w:hAnsiTheme="minorEastAsia"/>
        </w:rPr>
        <w:t>——</w:t>
      </w:r>
      <w:r>
        <w:rPr>
          <w:rFonts w:asciiTheme="minorEastAsia" w:hAnsiTheme="minorEastAsia"/>
        </w:rPr>
        <w:t>统计期内产品生产废水排放量，单位为千克（kg）；</w:t>
      </w:r>
    </w:p>
    <w:p>
      <w:pPr>
        <w:ind w:firstLine="420" w:firstLineChars="200"/>
        <w:rPr>
          <w:rFonts w:asciiTheme="minorEastAsia" w:hAnsiTheme="minorEastAsia"/>
        </w:rPr>
      </w:pP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ascii="Cambria Math" w:hAnsi="Cambria Math"/>
              </w:rPr>
              <m:t>t</m:t>
            </m:r>
            <m:ctrlPr>
              <w:rPr>
                <w:rFonts w:ascii="Cambria Math" w:hAnsi="Cambria Math"/>
              </w:rPr>
            </m:ctrlPr>
          </m:sub>
        </m:sSub>
      </m:oMath>
      <w:r>
        <w:rPr>
          <w:rFonts w:hint="eastAsia" w:asciiTheme="minorEastAsia" w:hAnsiTheme="minorEastAsia"/>
        </w:rPr>
        <w:t xml:space="preserve">    ——</w:t>
      </w:r>
      <w:r>
        <w:rPr>
          <w:rFonts w:asciiTheme="minorEastAsia" w:hAnsiTheme="minorEastAsia"/>
        </w:rPr>
        <w:t>统计期内符合相关标准的合格产品产量，单位为立方米（m</w:t>
      </w:r>
      <w:r>
        <w:rPr>
          <w:rFonts w:hint="eastAsia" w:asciiTheme="minorEastAsia" w:hAnsiTheme="minorEastAsia"/>
          <w:vertAlign w:val="superscript"/>
        </w:rPr>
        <w:t>3</w:t>
      </w:r>
      <w:r>
        <w:rPr>
          <w:rFonts w:asciiTheme="minorEastAsia" w:hAnsiTheme="minorEastAsia"/>
        </w:rPr>
        <w:t>）</w:t>
      </w:r>
    </w:p>
    <w:p>
      <w:pPr>
        <w:ind w:firstLine="420" w:firstLineChars="200"/>
        <w:rPr>
          <w:rFonts w:asciiTheme="minorEastAsia" w:hAnsiTheme="minorEastAsia"/>
        </w:rPr>
      </w:pPr>
      <w:r>
        <w:rPr>
          <w:rFonts w:hint="eastAsia" w:asciiTheme="minorEastAsia" w:hAnsiTheme="minorEastAsia"/>
          <w:color w:val="FF0000"/>
        </w:rPr>
        <w:t>注：原材料本地化程度以企业为单位进行统计、计算。</w:t>
      </w:r>
    </w:p>
    <w:p>
      <w:pPr>
        <w:ind w:firstLine="420" w:firstLineChars="200"/>
        <w:rPr>
          <w:rFonts w:asciiTheme="minorEastAsia" w:hAnsiTheme="minorEastAsia"/>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ascii="黑体" w:hAnsi="黑体" w:eastAsia="黑体"/>
        <w:sz w:val="21"/>
        <w:szCs w:val="21"/>
      </w:rPr>
    </w:pPr>
    <w:r>
      <w:rPr>
        <w:rFonts w:hint="eastAsia" w:ascii="黑体" w:hAnsi="黑体" w:eastAsia="黑体"/>
        <w:sz w:val="21"/>
        <w:szCs w:val="21"/>
      </w:rPr>
      <w:t>T/CECS</w:t>
    </w:r>
    <w:r>
      <w:rPr>
        <w:rFonts w:ascii="黑体" w:hAnsi="黑体" w:eastAsia="黑体"/>
        <w:sz w:val="21"/>
        <w:szCs w:val="21"/>
      </w:rPr>
      <w:t xml:space="preserve"> 10047</w:t>
    </w:r>
    <w:r>
      <w:rPr>
        <w:rFonts w:hint="eastAsia" w:ascii="黑体" w:hAnsi="黑体" w:eastAsia="黑体"/>
        <w:sz w:val="21"/>
        <w:szCs w:val="21"/>
      </w:rPr>
      <w:t>—</w:t>
    </w:r>
    <w:r>
      <w:rPr>
        <w:rFonts w:ascii="黑体" w:hAnsi="黑体" w:eastAsia="黑体"/>
        <w:sz w:val="21"/>
        <w:szCs w:val="21"/>
      </w:rPr>
      <w:t>202</w:t>
    </w:r>
    <w:r>
      <w:rPr>
        <w:rFonts w:hint="eastAsia" w:ascii="黑体" w:hAnsi="黑体" w:eastAsia="黑体"/>
        <w:sz w:val="21"/>
        <w:szCs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wordWrap w:val="0"/>
      <w:jc w:val="right"/>
      <w:rPr>
        <w:rFonts w:ascii="黑体" w:hAnsi="黑体" w:eastAsia="黑体"/>
        <w:sz w:val="21"/>
        <w:szCs w:val="21"/>
      </w:rPr>
    </w:pPr>
    <w:r>
      <w:rPr>
        <w:rFonts w:hint="eastAsia" w:ascii="黑体" w:hAnsi="黑体" w:eastAsia="黑体"/>
        <w:sz w:val="21"/>
        <w:szCs w:val="21"/>
      </w:rPr>
      <w:t>T</w:t>
    </w:r>
    <w:r>
      <w:rPr>
        <w:rFonts w:ascii="黑体" w:hAnsi="黑体" w:eastAsia="黑体"/>
        <w:sz w:val="21"/>
        <w:szCs w:val="21"/>
      </w:rPr>
      <w:t>/CECS 10047</w:t>
    </w:r>
    <w:r>
      <w:rPr>
        <w:rFonts w:hint="eastAsia" w:ascii="黑体" w:hAnsi="黑体" w:eastAsia="黑体"/>
        <w:sz w:val="21"/>
        <w:szCs w:val="21"/>
      </w:rPr>
      <w:t>—</w:t>
    </w:r>
    <w:r>
      <w:rPr>
        <w:rFonts w:ascii="黑体" w:hAnsi="黑体" w:eastAsia="黑体"/>
        <w:sz w:val="21"/>
        <w:szCs w:val="21"/>
      </w:rPr>
      <w:t>202</w:t>
    </w:r>
    <w:r>
      <w:rPr>
        <w:rFonts w:hint="eastAsia" w:ascii="黑体" w:hAnsi="黑体" w:eastAsia="黑体"/>
        <w:sz w:val="21"/>
        <w:szCs w:val="21"/>
      </w:rPr>
      <w:t>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A72F4"/>
    <w:rsid w:val="00003F14"/>
    <w:rsid w:val="00005B7F"/>
    <w:rsid w:val="00031A17"/>
    <w:rsid w:val="00031D59"/>
    <w:rsid w:val="000A72F4"/>
    <w:rsid w:val="000F1054"/>
    <w:rsid w:val="000F6FA6"/>
    <w:rsid w:val="00162C5F"/>
    <w:rsid w:val="00184A23"/>
    <w:rsid w:val="001B0025"/>
    <w:rsid w:val="001B7C8E"/>
    <w:rsid w:val="00222550"/>
    <w:rsid w:val="0022407B"/>
    <w:rsid w:val="00236124"/>
    <w:rsid w:val="00241EE1"/>
    <w:rsid w:val="002C17D9"/>
    <w:rsid w:val="002C4657"/>
    <w:rsid w:val="00314B53"/>
    <w:rsid w:val="00322CA5"/>
    <w:rsid w:val="0033073D"/>
    <w:rsid w:val="003412FC"/>
    <w:rsid w:val="003D0B42"/>
    <w:rsid w:val="003F2EF5"/>
    <w:rsid w:val="0040237C"/>
    <w:rsid w:val="004248C3"/>
    <w:rsid w:val="004606A0"/>
    <w:rsid w:val="004843E3"/>
    <w:rsid w:val="004970B8"/>
    <w:rsid w:val="004A1657"/>
    <w:rsid w:val="004D43E7"/>
    <w:rsid w:val="00514631"/>
    <w:rsid w:val="0051739D"/>
    <w:rsid w:val="006005D8"/>
    <w:rsid w:val="006069E2"/>
    <w:rsid w:val="006667F6"/>
    <w:rsid w:val="006832D3"/>
    <w:rsid w:val="006859BD"/>
    <w:rsid w:val="00692107"/>
    <w:rsid w:val="006B42D0"/>
    <w:rsid w:val="006E7B9D"/>
    <w:rsid w:val="006F0568"/>
    <w:rsid w:val="007008E3"/>
    <w:rsid w:val="00703D78"/>
    <w:rsid w:val="007A0739"/>
    <w:rsid w:val="008142AF"/>
    <w:rsid w:val="0082193B"/>
    <w:rsid w:val="00827B9D"/>
    <w:rsid w:val="008A0B27"/>
    <w:rsid w:val="008B4558"/>
    <w:rsid w:val="008C0DD4"/>
    <w:rsid w:val="008C6BDA"/>
    <w:rsid w:val="008D0412"/>
    <w:rsid w:val="008E21CB"/>
    <w:rsid w:val="00912C69"/>
    <w:rsid w:val="00947B8C"/>
    <w:rsid w:val="00950179"/>
    <w:rsid w:val="009913A7"/>
    <w:rsid w:val="009D1773"/>
    <w:rsid w:val="009D73E1"/>
    <w:rsid w:val="00A25689"/>
    <w:rsid w:val="00A30278"/>
    <w:rsid w:val="00A321EE"/>
    <w:rsid w:val="00A82A0E"/>
    <w:rsid w:val="00AF545E"/>
    <w:rsid w:val="00B065E6"/>
    <w:rsid w:val="00B3797F"/>
    <w:rsid w:val="00B768D8"/>
    <w:rsid w:val="00B90F00"/>
    <w:rsid w:val="00B97251"/>
    <w:rsid w:val="00BB2CDD"/>
    <w:rsid w:val="00BD44EE"/>
    <w:rsid w:val="00BE5F03"/>
    <w:rsid w:val="00C0401E"/>
    <w:rsid w:val="00C21517"/>
    <w:rsid w:val="00C54044"/>
    <w:rsid w:val="00C82117"/>
    <w:rsid w:val="00CA11BC"/>
    <w:rsid w:val="00CA6C63"/>
    <w:rsid w:val="00CB6147"/>
    <w:rsid w:val="00CD0DC3"/>
    <w:rsid w:val="00D13E0D"/>
    <w:rsid w:val="00D22442"/>
    <w:rsid w:val="00D2257D"/>
    <w:rsid w:val="00D3119D"/>
    <w:rsid w:val="00D32ED5"/>
    <w:rsid w:val="00D3638D"/>
    <w:rsid w:val="00D67406"/>
    <w:rsid w:val="00D74984"/>
    <w:rsid w:val="00D76D4C"/>
    <w:rsid w:val="00D85C2F"/>
    <w:rsid w:val="00DF23CC"/>
    <w:rsid w:val="00E04906"/>
    <w:rsid w:val="00E24BDB"/>
    <w:rsid w:val="00E3245B"/>
    <w:rsid w:val="00E52D8A"/>
    <w:rsid w:val="00E56D7B"/>
    <w:rsid w:val="00E67701"/>
    <w:rsid w:val="00E70ACE"/>
    <w:rsid w:val="00E76BDF"/>
    <w:rsid w:val="00EB0197"/>
    <w:rsid w:val="00EB4490"/>
    <w:rsid w:val="00EB6989"/>
    <w:rsid w:val="00ED2415"/>
    <w:rsid w:val="00EF3E9C"/>
    <w:rsid w:val="00EF4A4E"/>
    <w:rsid w:val="00EF622F"/>
    <w:rsid w:val="00F17A64"/>
    <w:rsid w:val="00F269C2"/>
    <w:rsid w:val="00F44C26"/>
    <w:rsid w:val="00FD718F"/>
    <w:rsid w:val="00FE1729"/>
    <w:rsid w:val="13D80718"/>
    <w:rsid w:val="177249E0"/>
    <w:rsid w:val="377C2FE5"/>
    <w:rsid w:val="37D36BB4"/>
    <w:rsid w:val="68B6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styleId="9">
    <w:name w:val="Placeholder Text"/>
    <w:basedOn w:val="7"/>
    <w:semiHidden/>
    <w:uiPriority w:val="99"/>
    <w:rPr>
      <w:color w:val="808080"/>
    </w:r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目次、标准名称标题"/>
    <w:basedOn w:val="1"/>
    <w:next w:val="1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949</Words>
  <Characters>5415</Characters>
  <Lines>45</Lines>
  <Paragraphs>12</Paragraphs>
  <TotalTime>12</TotalTime>
  <ScaleCrop>false</ScaleCrop>
  <LinksUpToDate>false</LinksUpToDate>
  <CharactersWithSpaces>6352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2023-08-29T02:14:00Z</dcterms:created>
  <dc:creator>NO-010</dc:creator>
  <cp:lastModifiedBy>Linna</cp:lastModifiedBy>
  <dcterms:modified xsi:type="dcterms:W3CDTF">2023-12-04T06:37:12Z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0FC01B96B9024BFCB808837B028FC77D_12</vt:lpwstr>
  </property>
</Properties>
</file>