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b/>
          <w:bCs/>
          <w:sz w:val="52"/>
          <w:szCs w:val="84"/>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38100</wp:posOffset>
            </wp:positionV>
            <wp:extent cx="1737995" cy="1149350"/>
            <wp:effectExtent l="0" t="0" r="14605" b="1270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pPr>
        <w:ind w:firstLine="1044"/>
        <w:rPr>
          <w:b/>
          <w:bCs/>
          <w:sz w:val="52"/>
          <w:szCs w:val="84"/>
        </w:rPr>
      </w:pPr>
    </w:p>
    <w:p>
      <w:pPr>
        <w:ind w:firstLine="723"/>
        <w:jc w:val="right"/>
        <w:rPr>
          <w:sz w:val="32"/>
          <w:szCs w:val="32"/>
        </w:rPr>
      </w:pPr>
      <w:r>
        <w:rPr>
          <w:bCs/>
          <w:sz w:val="36"/>
          <w:szCs w:val="36"/>
        </w:rPr>
        <w:t xml:space="preserve">T/CECS </w:t>
      </w:r>
      <w:r>
        <w:rPr>
          <w:sz w:val="36"/>
          <w:szCs w:val="36"/>
        </w:rPr>
        <w:t>XXX- 202X</w:t>
      </w:r>
    </w:p>
    <w:p>
      <w:pPr>
        <w:ind w:firstLine="480"/>
        <w:jc w:val="center"/>
        <w:rPr>
          <w:szCs w:val="32"/>
        </w:rPr>
      </w:pPr>
      <w:r>
        <mc:AlternateContent>
          <mc:Choice Requires="wps">
            <w:drawing>
              <wp:anchor distT="0" distB="0" distL="114300" distR="114300" simplePos="0" relativeHeight="251664384" behindDoc="0" locked="0" layoutInCell="1" allowOverlap="1">
                <wp:simplePos x="0" y="0"/>
                <wp:positionH relativeFrom="column">
                  <wp:posOffset>2540</wp:posOffset>
                </wp:positionH>
                <wp:positionV relativeFrom="paragraph">
                  <wp:posOffset>120650</wp:posOffset>
                </wp:positionV>
                <wp:extent cx="5422265" cy="0"/>
                <wp:effectExtent l="0" t="9525" r="6985" b="9525"/>
                <wp:wrapNone/>
                <wp:docPr id="7" name="直接连接符 7"/>
                <wp:cNvGraphicFramePr/>
                <a:graphic xmlns:a="http://schemas.openxmlformats.org/drawingml/2006/main">
                  <a:graphicData uri="http://schemas.microsoft.com/office/word/2010/wordprocessingShape">
                    <wps:wsp>
                      <wps:cNvCnPr/>
                      <wps:spPr>
                        <a:xfrm>
                          <a:off x="0" y="0"/>
                          <a:ext cx="542226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id="_x0000_s1026" o:spid="_x0000_s1026" o:spt="20" style="position:absolute;left:0pt;margin-left:0.2pt;margin-top:9.5pt;height:0pt;width:426.95pt;z-index:251664384;mso-width-relative:page;mso-height-relative:page;" filled="f" stroked="t" coordsize="21600,21600" o:gfxdata="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lNpFbVAAAABgEAAA8AAAAAAAAAAQAgAAAAIgAAAGRycy9kb3ducmV2LnhtbFBLAQIU&#10;ABQAAAAIAIdO4kBU6BM09gEAANQDAAAOAAAAAAAAAAEAIAAAACQBAABkcnMvZTJvRG9jLnhtbFBL&#10;BQYAAAAABgAGAFkBAACMBQAAAAA=&#10;">
                <v:fill on="f" focussize="0,0"/>
                <v:stroke weight="1.5pt" color="#000000" miterlimit="8" joinstyle="miter"/>
                <v:imagedata o:title=""/>
                <o:lock v:ext="edit" aspectratio="f"/>
              </v:line>
            </w:pict>
          </mc:Fallback>
        </mc:AlternateContent>
      </w:r>
    </w:p>
    <w:p>
      <w:pPr>
        <w:widowControl/>
        <w:tabs>
          <w:tab w:val="left" w:pos="3510"/>
        </w:tabs>
        <w:ind w:firstLine="480"/>
        <w:jc w:val="left"/>
        <w:rPr>
          <w:rFonts w:ascii="宋体" w:hAnsi="宋体"/>
        </w:rPr>
      </w:pPr>
    </w:p>
    <w:p>
      <w:pPr>
        <w:spacing w:line="360" w:lineRule="auto"/>
        <w:ind w:firstLine="560"/>
        <w:jc w:val="center"/>
        <w:outlineLvl w:val="9"/>
        <w:rPr>
          <w:rFonts w:ascii="宋体" w:hAnsi="宋体"/>
          <w:b/>
          <w:bCs/>
          <w:sz w:val="36"/>
          <w:szCs w:val="36"/>
        </w:rPr>
      </w:pPr>
      <w:r>
        <w:rPr>
          <w:rFonts w:ascii="宋体" w:hAnsi="宋体"/>
          <w:sz w:val="36"/>
          <w:szCs w:val="36"/>
        </w:rPr>
        <w:t>中</w:t>
      </w:r>
      <w:bookmarkStart w:id="93" w:name="_GoBack"/>
      <w:bookmarkEnd w:id="93"/>
      <w:r>
        <w:rPr>
          <w:rFonts w:ascii="宋体" w:hAnsi="宋体"/>
          <w:sz w:val="36"/>
          <w:szCs w:val="36"/>
        </w:rPr>
        <w:t>国工程建设标准化协会标准</w:t>
      </w:r>
    </w:p>
    <w:p>
      <w:pPr>
        <w:pStyle w:val="32"/>
        <w:spacing w:line="360" w:lineRule="auto"/>
        <w:ind w:firstLine="480"/>
        <w:rPr>
          <w:rFonts w:eastAsia="宋体"/>
        </w:rPr>
      </w:pPr>
    </w:p>
    <w:p>
      <w:pPr>
        <w:widowControl/>
        <w:kinsoku w:val="0"/>
        <w:overflowPunct w:val="0"/>
        <w:snapToGrid w:val="0"/>
        <w:spacing w:line="360" w:lineRule="auto"/>
        <w:ind w:firstLine="640"/>
        <w:jc w:val="center"/>
        <w:outlineLvl w:val="9"/>
        <w:rPr>
          <w:rFonts w:hint="eastAsia" w:eastAsia="黑体"/>
          <w:sz w:val="44"/>
          <w:szCs w:val="44"/>
          <w:lang w:eastAsia="zh-CN"/>
        </w:rPr>
      </w:pPr>
      <w:r>
        <w:rPr>
          <w:rFonts w:hint="eastAsia" w:eastAsia="黑体"/>
          <w:sz w:val="44"/>
          <w:szCs w:val="44"/>
          <w:lang w:eastAsia="zh-CN"/>
        </w:rPr>
        <w:t>双向密肋整体式拼缝空心叠合楼盖技术规程</w:t>
      </w:r>
    </w:p>
    <w:p>
      <w:pPr>
        <w:pStyle w:val="20"/>
        <w:jc w:val="center"/>
        <w:rPr>
          <w:rFonts w:hint="eastAsia" w:ascii="Times New Roman" w:hAnsi="Times New Roman" w:eastAsia="黑体" w:cstheme="minorBidi"/>
          <w:color w:val="auto"/>
          <w:kern w:val="2"/>
          <w:sz w:val="28"/>
          <w:szCs w:val="28"/>
          <w:lang w:val="en-US" w:eastAsia="zh-CN" w:bidi="ar-SA"/>
        </w:rPr>
      </w:pPr>
      <w:bookmarkStart w:id="0" w:name="OLE_LINK6"/>
      <w:r>
        <w:rPr>
          <w:rFonts w:hint="default" w:ascii="Times New Roman" w:hAnsi="Times New Roman" w:eastAsia="黑体" w:cstheme="minorBidi"/>
          <w:color w:val="auto"/>
          <w:kern w:val="2"/>
          <w:sz w:val="28"/>
          <w:szCs w:val="28"/>
          <w:lang w:val="en-US" w:eastAsia="zh-CN" w:bidi="ar-SA"/>
        </w:rPr>
        <w:t xml:space="preserve">Technical </w:t>
      </w:r>
      <w:r>
        <w:rPr>
          <w:rFonts w:hint="eastAsia" w:ascii="Times New Roman" w:hAnsi="Times New Roman" w:eastAsia="黑体" w:cstheme="minorBidi"/>
          <w:color w:val="auto"/>
          <w:kern w:val="2"/>
          <w:sz w:val="28"/>
          <w:szCs w:val="28"/>
          <w:lang w:val="en-US" w:eastAsia="zh-CN" w:bidi="ar-SA"/>
        </w:rPr>
        <w:t>standard</w:t>
      </w:r>
      <w:r>
        <w:rPr>
          <w:rFonts w:hint="default" w:ascii="Times New Roman" w:hAnsi="Times New Roman" w:eastAsia="黑体" w:cstheme="minorBidi"/>
          <w:color w:val="auto"/>
          <w:kern w:val="2"/>
          <w:sz w:val="28"/>
          <w:szCs w:val="28"/>
          <w:lang w:val="en-US" w:eastAsia="zh-CN" w:bidi="ar-SA"/>
        </w:rPr>
        <w:t xml:space="preserve"> for </w:t>
      </w:r>
      <w:r>
        <w:rPr>
          <w:rFonts w:hint="eastAsia" w:ascii="Times New Roman" w:hAnsi="Times New Roman" w:eastAsia="黑体" w:cstheme="minorBidi"/>
          <w:color w:val="auto"/>
          <w:kern w:val="2"/>
          <w:sz w:val="28"/>
          <w:szCs w:val="28"/>
          <w:lang w:val="en-US" w:eastAsia="zh-CN" w:bidi="ar-SA"/>
        </w:rPr>
        <w:t xml:space="preserve">two-way ribbed integral jointed </w:t>
      </w:r>
      <w:bookmarkStart w:id="1" w:name="OLE_LINK8"/>
      <w:r>
        <w:rPr>
          <w:rFonts w:hint="eastAsia" w:ascii="Times New Roman" w:hAnsi="Times New Roman" w:eastAsia="黑体" w:cstheme="minorBidi"/>
          <w:color w:val="auto"/>
          <w:kern w:val="2"/>
          <w:sz w:val="28"/>
          <w:szCs w:val="28"/>
          <w:lang w:val="en-US" w:eastAsia="zh-CN" w:bidi="ar-SA"/>
        </w:rPr>
        <w:t>hollow composite floor</w:t>
      </w:r>
      <w:bookmarkEnd w:id="1"/>
      <w:r>
        <w:rPr>
          <w:rFonts w:hint="eastAsia" w:ascii="Times New Roman" w:hAnsi="Times New Roman" w:eastAsia="黑体" w:cstheme="minorBidi"/>
          <w:color w:val="auto"/>
          <w:kern w:val="2"/>
          <w:sz w:val="28"/>
          <w:szCs w:val="28"/>
          <w:lang w:val="en-US" w:eastAsia="zh-CN" w:bidi="ar-SA"/>
        </w:rPr>
        <w:t>s</w:t>
      </w:r>
    </w:p>
    <w:bookmarkEnd w:id="0"/>
    <w:p>
      <w:pPr>
        <w:pStyle w:val="20"/>
        <w:jc w:val="center"/>
        <w:rPr>
          <w:rFonts w:hint="eastAsia" w:ascii="Times New Roman" w:hAnsi="Times New Roman" w:eastAsia="黑体" w:cstheme="minorBidi"/>
          <w:color w:val="auto"/>
          <w:kern w:val="2"/>
          <w:sz w:val="28"/>
          <w:szCs w:val="28"/>
          <w:highlight w:val="cyan"/>
          <w:lang w:val="en-US" w:eastAsia="zh-CN" w:bidi="ar-SA"/>
        </w:rPr>
      </w:pPr>
      <w:bookmarkStart w:id="2" w:name="OLE_LINK4"/>
    </w:p>
    <w:p>
      <w:pPr>
        <w:pStyle w:val="20"/>
        <w:jc w:val="center"/>
        <w:rPr>
          <w:rFonts w:hint="eastAsia" w:ascii="Times New Roman" w:hAnsi="Times New Roman" w:eastAsia="黑体" w:cstheme="minorBidi"/>
          <w:color w:val="auto"/>
          <w:kern w:val="2"/>
          <w:sz w:val="28"/>
          <w:szCs w:val="28"/>
          <w:highlight w:val="cyan"/>
          <w:lang w:val="en-US" w:eastAsia="zh-CN" w:bidi="ar-SA"/>
        </w:rPr>
      </w:pPr>
    </w:p>
    <w:p>
      <w:pPr>
        <w:pStyle w:val="20"/>
        <w:jc w:val="center"/>
        <w:rPr>
          <w:rFonts w:hint="eastAsia" w:ascii="Times New Roman" w:hAnsi="Times New Roman" w:eastAsia="黑体" w:cstheme="minorBidi"/>
          <w:color w:val="auto"/>
          <w:kern w:val="2"/>
          <w:sz w:val="28"/>
          <w:szCs w:val="28"/>
          <w:highlight w:val="cyan"/>
          <w:lang w:val="en-US" w:eastAsia="zh-CN" w:bidi="ar-SA"/>
        </w:rPr>
      </w:pPr>
      <w:r>
        <w:rPr>
          <w:rFonts w:ascii="宋体" w:hAnsi="宋体"/>
          <w:sz w:val="32"/>
          <w:szCs w:val="32"/>
        </w:rPr>
        <w:t>（</w:t>
      </w:r>
      <w:r>
        <w:rPr>
          <w:rFonts w:hint="eastAsia" w:ascii="宋体" w:hAnsi="宋体"/>
          <w:sz w:val="32"/>
          <w:szCs w:val="32"/>
          <w:lang w:val="en-US" w:eastAsia="zh-CN"/>
        </w:rPr>
        <w:t>征求意见稿</w:t>
      </w:r>
      <w:r>
        <w:rPr>
          <w:rFonts w:ascii="宋体" w:hAnsi="宋体"/>
          <w:sz w:val="32"/>
          <w:szCs w:val="32"/>
        </w:rPr>
        <w:t>）</w:t>
      </w:r>
    </w:p>
    <w:bookmarkEnd w:id="2"/>
    <w:p>
      <w:pPr>
        <w:pStyle w:val="20"/>
      </w:pPr>
    </w:p>
    <w:p>
      <w:pPr>
        <w:pStyle w:val="20"/>
      </w:pPr>
    </w:p>
    <w:p>
      <w:pPr>
        <w:widowControl/>
        <w:kinsoku w:val="0"/>
        <w:overflowPunct w:val="0"/>
        <w:snapToGrid w:val="0"/>
        <w:spacing w:line="360" w:lineRule="auto"/>
        <w:ind w:left="204" w:leftChars="85" w:firstLine="640"/>
        <w:jc w:val="center"/>
        <w:rPr>
          <w:rFonts w:hint="default" w:eastAsia="宋体"/>
          <w:lang w:val="en-US" w:eastAsia="zh-CN"/>
        </w:rPr>
      </w:pPr>
    </w:p>
    <w:p>
      <w:pPr>
        <w:widowControl/>
        <w:kinsoku w:val="0"/>
        <w:overflowPunct w:val="0"/>
        <w:snapToGrid w:val="0"/>
        <w:spacing w:line="360" w:lineRule="auto"/>
        <w:ind w:left="204" w:leftChars="85" w:firstLine="640"/>
        <w:jc w:val="center"/>
        <w:rPr>
          <w:rFonts w:hint="default" w:eastAsia="宋体"/>
          <w:lang w:val="en-US" w:eastAsia="zh-CN"/>
        </w:rPr>
      </w:pPr>
    </w:p>
    <w:p>
      <w:pPr>
        <w:pStyle w:val="34"/>
        <w:ind w:firstLine="480"/>
        <w:jc w:val="center"/>
        <w:rPr>
          <w:rFonts w:ascii="仿宋" w:hAnsi="仿宋" w:eastAsia="仿宋" w:cs="Times New Roman"/>
          <w:sz w:val="32"/>
          <w:szCs w:val="32"/>
        </w:rPr>
      </w:pPr>
      <w:r>
        <w:rPr>
          <w:rFonts w:hint="eastAsia" w:ascii="仿宋" w:hAnsi="仿宋" w:eastAsia="仿宋" w:cs="Times New Roman"/>
          <w:b/>
          <w:sz w:val="32"/>
          <w:szCs w:val="32"/>
        </w:rPr>
        <w:t>×××</w:t>
      </w:r>
      <w:r>
        <w:rPr>
          <w:rFonts w:hint="eastAsia" w:ascii="仿宋" w:hAnsi="仿宋" w:eastAsia="仿宋" w:cs="Times New Roman"/>
          <w:sz w:val="32"/>
          <w:szCs w:val="32"/>
        </w:rPr>
        <w:t>出版社</w:t>
      </w:r>
    </w:p>
    <w:p>
      <w:pPr>
        <w:spacing w:line="360" w:lineRule="auto"/>
        <w:ind w:firstLine="562"/>
        <w:jc w:val="center"/>
        <w:rPr>
          <w:sz w:val="28"/>
        </w:rPr>
      </w:pPr>
      <w:r>
        <w:rPr>
          <w:b/>
          <w:bCs/>
          <w:sz w:val="28"/>
          <w:szCs w:val="28"/>
        </w:rPr>
        <w:br w:type="page"/>
      </w:r>
    </w:p>
    <w:p>
      <w:pPr>
        <w:spacing w:line="360" w:lineRule="auto"/>
        <w:ind w:firstLine="560"/>
        <w:jc w:val="center"/>
        <w:rPr>
          <w:rFonts w:ascii="宋体" w:hAnsi="宋体"/>
          <w:sz w:val="28"/>
        </w:rPr>
      </w:pPr>
    </w:p>
    <w:p>
      <w:pPr>
        <w:spacing w:line="360" w:lineRule="auto"/>
        <w:ind w:firstLine="560"/>
        <w:jc w:val="center"/>
        <w:outlineLvl w:val="9"/>
        <w:rPr>
          <w:rFonts w:ascii="宋体" w:hAnsi="宋体"/>
          <w:b/>
          <w:sz w:val="32"/>
          <w:szCs w:val="32"/>
        </w:rPr>
      </w:pPr>
      <w:r>
        <w:rPr>
          <w:rFonts w:ascii="宋体" w:hAnsi="宋体"/>
          <w:b/>
          <w:sz w:val="32"/>
          <w:szCs w:val="32"/>
        </w:rPr>
        <w:t>中国工程建设标准化协会标准</w:t>
      </w:r>
    </w:p>
    <w:p>
      <w:pPr>
        <w:spacing w:line="360" w:lineRule="auto"/>
        <w:ind w:firstLine="560"/>
        <w:jc w:val="center"/>
        <w:rPr>
          <w:sz w:val="28"/>
          <w:szCs w:val="28"/>
        </w:rPr>
      </w:pPr>
    </w:p>
    <w:p>
      <w:pPr>
        <w:widowControl/>
        <w:kinsoku w:val="0"/>
        <w:overflowPunct w:val="0"/>
        <w:snapToGrid w:val="0"/>
        <w:spacing w:line="360" w:lineRule="auto"/>
        <w:ind w:firstLine="640"/>
        <w:jc w:val="center"/>
        <w:outlineLvl w:val="9"/>
        <w:rPr>
          <w:rFonts w:hint="eastAsia" w:eastAsia="黑体"/>
          <w:sz w:val="44"/>
          <w:szCs w:val="44"/>
        </w:rPr>
      </w:pPr>
      <w:r>
        <w:rPr>
          <w:rFonts w:hint="eastAsia" w:eastAsia="黑体"/>
          <w:sz w:val="44"/>
          <w:szCs w:val="44"/>
        </w:rPr>
        <w:t>双向密肋整体式</w:t>
      </w:r>
      <w:r>
        <w:rPr>
          <w:rFonts w:hint="eastAsia" w:eastAsia="黑体"/>
          <w:sz w:val="44"/>
          <w:szCs w:val="44"/>
          <w:lang w:val="en-US" w:eastAsia="zh-CN"/>
        </w:rPr>
        <w:t>拼</w:t>
      </w:r>
      <w:r>
        <w:rPr>
          <w:rFonts w:hint="eastAsia" w:eastAsia="黑体"/>
          <w:sz w:val="44"/>
          <w:szCs w:val="44"/>
          <w:lang w:eastAsia="zh-CN"/>
        </w:rPr>
        <w:t>缝</w:t>
      </w:r>
      <w:r>
        <w:rPr>
          <w:rFonts w:hint="eastAsia" w:eastAsia="黑体"/>
          <w:sz w:val="44"/>
          <w:szCs w:val="44"/>
        </w:rPr>
        <w:t>空心叠合楼盖</w:t>
      </w:r>
    </w:p>
    <w:p>
      <w:pPr>
        <w:pStyle w:val="35"/>
        <w:ind w:left="0" w:leftChars="0" w:firstLine="560"/>
      </w:pPr>
      <w:r>
        <w:rPr>
          <w:rFonts w:hint="eastAsia" w:eastAsia="黑体"/>
          <w:sz w:val="44"/>
          <w:szCs w:val="44"/>
        </w:rPr>
        <w:t>技术</w:t>
      </w:r>
      <w:r>
        <w:rPr>
          <w:rFonts w:hint="eastAsia"/>
          <w:sz w:val="44"/>
          <w:szCs w:val="44"/>
          <w:lang w:val="en-US" w:eastAsia="zh-CN"/>
        </w:rPr>
        <w:t>规程</w:t>
      </w:r>
    </w:p>
    <w:p>
      <w:pPr>
        <w:pStyle w:val="20"/>
        <w:jc w:val="center"/>
        <w:rPr>
          <w:rFonts w:hint="eastAsia" w:ascii="Times New Roman" w:hAnsi="Times New Roman" w:eastAsia="黑体" w:cstheme="minorBidi"/>
          <w:color w:val="auto"/>
          <w:kern w:val="2"/>
          <w:sz w:val="28"/>
          <w:szCs w:val="28"/>
          <w:lang w:val="en-US" w:eastAsia="zh-CN" w:bidi="ar-SA"/>
        </w:rPr>
      </w:pPr>
      <w:r>
        <w:rPr>
          <w:rFonts w:hint="default" w:ascii="Times New Roman" w:hAnsi="Times New Roman" w:eastAsia="黑体" w:cstheme="minorBidi"/>
          <w:color w:val="auto"/>
          <w:kern w:val="2"/>
          <w:sz w:val="28"/>
          <w:szCs w:val="28"/>
          <w:lang w:val="en-US" w:eastAsia="zh-CN" w:bidi="ar-SA"/>
        </w:rPr>
        <w:t xml:space="preserve">Technical </w:t>
      </w:r>
      <w:r>
        <w:rPr>
          <w:rFonts w:hint="eastAsia" w:ascii="Times New Roman" w:hAnsi="Times New Roman" w:eastAsia="黑体" w:cstheme="minorBidi"/>
          <w:color w:val="auto"/>
          <w:kern w:val="2"/>
          <w:sz w:val="28"/>
          <w:szCs w:val="28"/>
          <w:lang w:val="en-US" w:eastAsia="zh-CN" w:bidi="ar-SA"/>
        </w:rPr>
        <w:t>standard</w:t>
      </w:r>
      <w:r>
        <w:rPr>
          <w:rFonts w:hint="default" w:ascii="Times New Roman" w:hAnsi="Times New Roman" w:eastAsia="黑体" w:cstheme="minorBidi"/>
          <w:color w:val="auto"/>
          <w:kern w:val="2"/>
          <w:sz w:val="28"/>
          <w:szCs w:val="28"/>
          <w:lang w:val="en-US" w:eastAsia="zh-CN" w:bidi="ar-SA"/>
        </w:rPr>
        <w:t xml:space="preserve"> for </w:t>
      </w:r>
      <w:r>
        <w:rPr>
          <w:rFonts w:hint="eastAsia" w:ascii="Times New Roman" w:hAnsi="Times New Roman" w:eastAsia="黑体" w:cstheme="minorBidi"/>
          <w:color w:val="auto"/>
          <w:kern w:val="2"/>
          <w:sz w:val="28"/>
          <w:szCs w:val="28"/>
          <w:lang w:val="en-US" w:eastAsia="zh-CN" w:bidi="ar-SA"/>
        </w:rPr>
        <w:t>two-way ribbed integral jointed hollow composite floors</w:t>
      </w:r>
    </w:p>
    <w:p>
      <w:pPr>
        <w:widowControl/>
        <w:kinsoku w:val="0"/>
        <w:overflowPunct w:val="0"/>
        <w:snapToGrid w:val="0"/>
        <w:spacing w:line="360" w:lineRule="auto"/>
        <w:ind w:left="204" w:leftChars="85" w:firstLine="640"/>
        <w:jc w:val="center"/>
        <w:rPr>
          <w:rFonts w:eastAsia="黑体"/>
          <w:sz w:val="28"/>
          <w:szCs w:val="28"/>
        </w:rPr>
      </w:pPr>
    </w:p>
    <w:p>
      <w:pPr>
        <w:spacing w:line="360" w:lineRule="auto"/>
        <w:ind w:firstLine="482"/>
        <w:jc w:val="center"/>
        <w:rPr>
          <w:rFonts w:eastAsia="黑体"/>
          <w:sz w:val="28"/>
          <w:szCs w:val="28"/>
        </w:rPr>
      </w:pPr>
    </w:p>
    <w:p>
      <w:pPr>
        <w:spacing w:line="360" w:lineRule="auto"/>
        <w:ind w:firstLine="482"/>
        <w:jc w:val="center"/>
        <w:rPr>
          <w:sz w:val="32"/>
          <w:szCs w:val="32"/>
        </w:rPr>
      </w:pPr>
      <w:r>
        <w:rPr>
          <w:sz w:val="32"/>
          <w:szCs w:val="32"/>
        </w:rPr>
        <w:t>T/CECS</w:t>
      </w:r>
      <w:r>
        <w:rPr>
          <w:rFonts w:ascii="宋体" w:hAnsi="宋体"/>
          <w:sz w:val="32"/>
          <w:szCs w:val="32"/>
        </w:rPr>
        <w:t>×××-</w:t>
      </w:r>
      <w:r>
        <w:rPr>
          <w:sz w:val="32"/>
          <w:szCs w:val="32"/>
        </w:rPr>
        <w:t>20</w:t>
      </w:r>
      <w:r>
        <w:rPr>
          <w:rFonts w:hint="eastAsia"/>
          <w:sz w:val="32"/>
          <w:szCs w:val="32"/>
          <w:lang w:val="en-US" w:eastAsia="zh-CN"/>
        </w:rPr>
        <w:t>2</w:t>
      </w:r>
      <w:r>
        <w:rPr>
          <w:rFonts w:ascii="宋体" w:hAnsi="宋体"/>
          <w:sz w:val="32"/>
          <w:szCs w:val="32"/>
        </w:rPr>
        <w:t>×</w:t>
      </w:r>
    </w:p>
    <w:p>
      <w:pPr>
        <w:spacing w:line="360" w:lineRule="auto"/>
        <w:ind w:firstLine="482"/>
        <w:jc w:val="center"/>
        <w:rPr>
          <w:b/>
        </w:rPr>
      </w:pPr>
    </w:p>
    <w:p>
      <w:pPr>
        <w:spacing w:line="360" w:lineRule="auto"/>
        <w:ind w:firstLine="480"/>
        <w:jc w:val="center"/>
      </w:pPr>
      <w:r>
        <w:rPr>
          <w:rFonts w:ascii="宋体" w:hAnsi="宋体"/>
          <w:sz w:val="32"/>
          <w:szCs w:val="32"/>
        </w:rPr>
        <w:t>（</w:t>
      </w:r>
      <w:r>
        <w:rPr>
          <w:rFonts w:hint="eastAsia" w:ascii="宋体" w:hAnsi="宋体"/>
          <w:sz w:val="32"/>
          <w:szCs w:val="32"/>
          <w:lang w:val="en-US" w:eastAsia="zh-CN"/>
        </w:rPr>
        <w:t>征求意见稿</w:t>
      </w:r>
      <w:r>
        <w:rPr>
          <w:rFonts w:ascii="宋体" w:hAnsi="宋体"/>
          <w:sz w:val="32"/>
          <w:szCs w:val="32"/>
        </w:rPr>
        <w:t>）</w:t>
      </w:r>
    </w:p>
    <w:p>
      <w:pPr>
        <w:spacing w:line="360" w:lineRule="auto"/>
        <w:ind w:firstLine="480"/>
        <w:jc w:val="center"/>
      </w:pPr>
    </w:p>
    <w:p>
      <w:pPr>
        <w:spacing w:line="360" w:lineRule="auto"/>
        <w:ind w:firstLine="480"/>
        <w:jc w:val="center"/>
      </w:pPr>
    </w:p>
    <w:p>
      <w:pPr>
        <w:spacing w:line="360" w:lineRule="auto"/>
        <w:ind w:firstLine="2240" w:firstLineChars="800"/>
        <w:rPr>
          <w:rFonts w:hint="eastAsia" w:ascii="宋体" w:hAnsi="宋体"/>
          <w:sz w:val="28"/>
          <w:szCs w:val="28"/>
        </w:rPr>
      </w:pPr>
      <w:r>
        <w:rPr>
          <w:rFonts w:ascii="宋体" w:hAnsi="宋体"/>
          <w:sz w:val="28"/>
          <w:szCs w:val="28"/>
        </w:rPr>
        <w:t>主编单位：</w:t>
      </w:r>
      <w:r>
        <w:rPr>
          <w:rFonts w:hint="eastAsia" w:ascii="宋体" w:hAnsi="宋体"/>
          <w:sz w:val="28"/>
          <w:szCs w:val="28"/>
          <w:lang w:val="en-US" w:eastAsia="zh-CN"/>
        </w:rPr>
        <w:t>山东省建筑设计研究院</w:t>
      </w:r>
      <w:r>
        <w:rPr>
          <w:rFonts w:hint="eastAsia" w:ascii="宋体" w:hAnsi="宋体"/>
          <w:sz w:val="28"/>
          <w:szCs w:val="28"/>
        </w:rPr>
        <w:t>有限公司</w:t>
      </w:r>
    </w:p>
    <w:p>
      <w:pPr>
        <w:pStyle w:val="20"/>
        <w:ind w:firstLine="3640" w:firstLineChars="1300"/>
        <w:rPr>
          <w:rFonts w:hint="eastAsia" w:ascii="宋体" w:hAnsi="宋体" w:eastAsia="宋体" w:cstheme="minorBidi"/>
          <w:color w:val="auto"/>
          <w:kern w:val="2"/>
          <w:sz w:val="28"/>
          <w:szCs w:val="28"/>
          <w:lang w:val="en-US" w:eastAsia="zh-CN" w:bidi="ar-SA"/>
        </w:rPr>
      </w:pPr>
      <w:r>
        <w:rPr>
          <w:rFonts w:hint="default" w:ascii="宋体" w:hAnsi="宋体" w:eastAsia="宋体" w:cstheme="minorBidi"/>
          <w:color w:val="auto"/>
          <w:kern w:val="2"/>
          <w:sz w:val="28"/>
          <w:szCs w:val="28"/>
          <w:lang w:val="zh-CN" w:eastAsia="zh-CN" w:bidi="ar-SA"/>
        </w:rPr>
        <w:t>山东世家远大科技发展有限公司</w:t>
      </w:r>
    </w:p>
    <w:p>
      <w:pPr>
        <w:spacing w:line="360" w:lineRule="auto"/>
        <w:ind w:firstLine="2240" w:firstLineChars="800"/>
        <w:rPr>
          <w:rFonts w:ascii="宋体" w:hAnsi="宋体"/>
          <w:sz w:val="28"/>
          <w:szCs w:val="28"/>
        </w:rPr>
      </w:pPr>
      <w:r>
        <w:rPr>
          <w:rFonts w:ascii="宋体" w:hAnsi="宋体"/>
          <w:sz w:val="28"/>
          <w:szCs w:val="28"/>
        </w:rPr>
        <w:t>批准单位：中国工程建设标准化协会</w:t>
      </w:r>
    </w:p>
    <w:p>
      <w:pPr>
        <w:spacing w:line="360" w:lineRule="auto"/>
        <w:ind w:firstLine="2240" w:firstLineChars="800"/>
        <w:rPr>
          <w:rFonts w:ascii="宋体" w:hAnsi="宋体"/>
          <w:sz w:val="28"/>
          <w:szCs w:val="28"/>
        </w:rPr>
      </w:pPr>
      <w:r>
        <w:rPr>
          <w:rFonts w:ascii="宋体" w:hAnsi="宋体"/>
          <w:sz w:val="28"/>
          <w:szCs w:val="28"/>
        </w:rPr>
        <w:t>施行日期：20</w:t>
      </w:r>
      <w:r>
        <w:rPr>
          <w:rFonts w:hint="eastAsia" w:ascii="宋体" w:hAnsi="宋体"/>
          <w:sz w:val="28"/>
          <w:szCs w:val="28"/>
          <w:lang w:val="en-US" w:eastAsia="zh-CN"/>
        </w:rPr>
        <w:t>2</w:t>
      </w:r>
      <w:r>
        <w:rPr>
          <w:rFonts w:ascii="宋体" w:hAnsi="宋体"/>
          <w:sz w:val="28"/>
          <w:szCs w:val="28"/>
        </w:rPr>
        <w:t>×年×月×日</w:t>
      </w:r>
    </w:p>
    <w:p>
      <w:pPr>
        <w:spacing w:line="360" w:lineRule="auto"/>
        <w:ind w:firstLine="480"/>
        <w:jc w:val="center"/>
      </w:pPr>
    </w:p>
    <w:p>
      <w:pPr>
        <w:pStyle w:val="20"/>
      </w:pPr>
    </w:p>
    <w:p>
      <w:pPr>
        <w:pStyle w:val="20"/>
      </w:pPr>
    </w:p>
    <w:p>
      <w:pPr>
        <w:spacing w:line="360" w:lineRule="auto"/>
        <w:ind w:firstLine="480"/>
        <w:jc w:val="center"/>
      </w:pPr>
    </w:p>
    <w:p>
      <w:pPr>
        <w:spacing w:line="360" w:lineRule="auto"/>
        <w:ind w:firstLine="480"/>
        <w:jc w:val="center"/>
        <w:rPr>
          <w:rFonts w:ascii="宋体" w:hAnsi="宋体"/>
          <w:sz w:val="28"/>
          <w:szCs w:val="28"/>
        </w:rPr>
      </w:pPr>
      <w:r>
        <w:rPr>
          <w:rFonts w:hint="eastAsia" w:ascii="宋体" w:hAnsi="宋体"/>
          <w:sz w:val="28"/>
          <w:szCs w:val="28"/>
        </w:rPr>
        <w:t>×××</w:t>
      </w:r>
      <w:r>
        <w:rPr>
          <w:rFonts w:ascii="宋体" w:hAnsi="宋体"/>
          <w:sz w:val="28"/>
          <w:szCs w:val="28"/>
        </w:rPr>
        <w:t>出版社</w:t>
      </w:r>
    </w:p>
    <w:p>
      <w:pPr>
        <w:widowControl/>
        <w:snapToGrid w:val="0"/>
        <w:spacing w:line="360" w:lineRule="auto"/>
        <w:ind w:firstLine="480"/>
        <w:jc w:val="center"/>
        <w:rPr>
          <w:rFonts w:ascii="宋体" w:hAnsi="宋体"/>
          <w:b/>
          <w:kern w:val="44"/>
          <w:sz w:val="28"/>
          <w:szCs w:val="28"/>
        </w:rPr>
      </w:pPr>
      <w:r>
        <w:rPr>
          <w:rFonts w:ascii="宋体" w:hAnsi="宋体"/>
          <w:b/>
          <w:sz w:val="28"/>
          <w:szCs w:val="28"/>
        </w:rPr>
        <w:t>20</w:t>
      </w:r>
      <w:r>
        <w:rPr>
          <w:rFonts w:hint="eastAsia" w:ascii="宋体" w:hAnsi="宋体"/>
          <w:b/>
          <w:sz w:val="28"/>
          <w:szCs w:val="28"/>
          <w:lang w:val="en-US" w:eastAsia="zh-CN"/>
        </w:rPr>
        <w:t xml:space="preserve">23 </w:t>
      </w:r>
      <w:r>
        <w:rPr>
          <w:rFonts w:ascii="宋体" w:hAnsi="宋体"/>
          <w:b/>
          <w:sz w:val="28"/>
          <w:szCs w:val="28"/>
        </w:rPr>
        <w:t>北京</w:t>
      </w:r>
    </w:p>
    <w:p>
      <w:pPr>
        <w:spacing w:before="468" w:beforeLines="150" w:after="240" w:line="360" w:lineRule="auto"/>
        <w:jc w:val="center"/>
        <w:outlineLvl w:val="9"/>
        <w:rPr>
          <w:rFonts w:eastAsia="黑体"/>
          <w:b/>
          <w:sz w:val="32"/>
          <w:szCs w:val="32"/>
        </w:rPr>
      </w:pPr>
      <w:bookmarkStart w:id="3" w:name="_Toc34607722"/>
      <w:bookmarkStart w:id="4" w:name="_Toc195950770"/>
      <w:bookmarkStart w:id="5" w:name="_Toc194086796"/>
      <w:bookmarkStart w:id="6" w:name="_Toc3837335"/>
      <w:bookmarkStart w:id="7" w:name="_Toc194086668"/>
      <w:bookmarkStart w:id="8" w:name="_Toc194086538"/>
      <w:r>
        <w:rPr>
          <w:rFonts w:eastAsia="黑体"/>
          <w:b/>
          <w:sz w:val="32"/>
          <w:szCs w:val="32"/>
        </w:rPr>
        <w:t>前    言</w:t>
      </w:r>
      <w:bookmarkEnd w:id="3"/>
      <w:bookmarkEnd w:id="4"/>
      <w:bookmarkEnd w:id="5"/>
      <w:bookmarkEnd w:id="6"/>
      <w:bookmarkEnd w:id="7"/>
      <w:bookmarkEnd w:id="8"/>
    </w:p>
    <w:p>
      <w:pPr>
        <w:pStyle w:val="36"/>
        <w:adjustRightInd w:val="0"/>
        <w:snapToGrid w:val="0"/>
        <w:spacing w:after="0" w:line="360" w:lineRule="auto"/>
        <w:ind w:firstLine="480"/>
        <w:rPr>
          <w:rFonts w:ascii="Times New Roman"/>
          <w:sz w:val="24"/>
          <w:szCs w:val="24"/>
        </w:rPr>
      </w:pPr>
      <w:r>
        <w:rPr>
          <w:rFonts w:ascii="Times New Roman"/>
          <w:sz w:val="24"/>
          <w:szCs w:val="24"/>
        </w:rPr>
        <w:t>根据</w:t>
      </w:r>
      <w:bookmarkStart w:id="9" w:name="OLE_LINK3"/>
      <w:r>
        <w:rPr>
          <w:rFonts w:ascii="Times New Roman"/>
          <w:sz w:val="24"/>
          <w:szCs w:val="24"/>
        </w:rPr>
        <w:t>中国工程建设标准化协会</w:t>
      </w:r>
      <w:bookmarkEnd w:id="9"/>
      <w:r>
        <w:rPr>
          <w:rFonts w:ascii="Times New Roman"/>
          <w:sz w:val="24"/>
          <w:szCs w:val="24"/>
        </w:rPr>
        <w:t>《关于印发&lt;202</w:t>
      </w:r>
      <w:r>
        <w:rPr>
          <w:rFonts w:hint="eastAsia" w:ascii="Times New Roman"/>
          <w:sz w:val="24"/>
          <w:szCs w:val="24"/>
          <w:lang w:val="en-US" w:eastAsia="zh-CN"/>
        </w:rPr>
        <w:t>3</w:t>
      </w:r>
      <w:r>
        <w:rPr>
          <w:rFonts w:ascii="Times New Roman"/>
          <w:sz w:val="24"/>
          <w:szCs w:val="24"/>
        </w:rPr>
        <w:t>年第</w:t>
      </w:r>
      <w:r>
        <w:rPr>
          <w:rFonts w:hint="eastAsia" w:ascii="Times New Roman"/>
          <w:sz w:val="24"/>
          <w:szCs w:val="24"/>
          <w:lang w:val="en-US" w:eastAsia="zh-CN"/>
        </w:rPr>
        <w:t>一</w:t>
      </w:r>
      <w:r>
        <w:rPr>
          <w:rFonts w:ascii="Times New Roman"/>
          <w:sz w:val="24"/>
          <w:szCs w:val="24"/>
        </w:rPr>
        <w:t>批协会标准制订、修订计划&gt;的通知》（建标协字〔202</w:t>
      </w:r>
      <w:r>
        <w:rPr>
          <w:rFonts w:hint="eastAsia" w:ascii="Times New Roman"/>
          <w:sz w:val="24"/>
          <w:szCs w:val="24"/>
          <w:lang w:val="en-US" w:eastAsia="zh-CN"/>
        </w:rPr>
        <w:t>3</w:t>
      </w:r>
      <w:r>
        <w:rPr>
          <w:rFonts w:ascii="Times New Roman"/>
          <w:sz w:val="24"/>
          <w:szCs w:val="24"/>
        </w:rPr>
        <w:t>〕</w:t>
      </w:r>
      <w:r>
        <w:rPr>
          <w:rFonts w:hint="eastAsia" w:ascii="Times New Roman"/>
          <w:sz w:val="24"/>
          <w:szCs w:val="24"/>
          <w:lang w:val="en-US" w:eastAsia="zh-CN"/>
        </w:rPr>
        <w:t>1</w:t>
      </w:r>
      <w:r>
        <w:rPr>
          <w:rFonts w:ascii="Times New Roman"/>
          <w:sz w:val="24"/>
          <w:szCs w:val="24"/>
        </w:rPr>
        <w:t>0号）的要求，编制组经深入调查研究，认真总结实践经验，参考国内外先进标准，并在广泛征求意见的基础上，制定本</w:t>
      </w:r>
      <w:r>
        <w:rPr>
          <w:rFonts w:hint="eastAsia" w:ascii="Times New Roman"/>
          <w:sz w:val="24"/>
          <w:szCs w:val="24"/>
          <w:lang w:val="en-US" w:eastAsia="zh-CN"/>
        </w:rPr>
        <w:t>规程</w:t>
      </w:r>
      <w:r>
        <w:rPr>
          <w:rFonts w:ascii="Times New Roman"/>
          <w:sz w:val="24"/>
          <w:szCs w:val="24"/>
        </w:rPr>
        <w:t>。</w:t>
      </w:r>
    </w:p>
    <w:p>
      <w:pPr>
        <w:pStyle w:val="36"/>
        <w:adjustRightInd w:val="0"/>
        <w:snapToGrid w:val="0"/>
        <w:spacing w:after="0" w:line="360" w:lineRule="auto"/>
        <w:ind w:firstLine="480"/>
        <w:rPr>
          <w:rFonts w:ascii="Times New Roman" w:hAnsi="Times New Roman" w:eastAsia="宋体" w:cs="Times New Roman"/>
          <w:sz w:val="24"/>
          <w:szCs w:val="24"/>
        </w:rPr>
      </w:pPr>
      <w:r>
        <w:rPr>
          <w:rFonts w:ascii="Times New Roman"/>
          <w:sz w:val="24"/>
          <w:szCs w:val="24"/>
        </w:rPr>
        <w:t>本</w:t>
      </w:r>
      <w:r>
        <w:rPr>
          <w:rFonts w:hint="eastAsia" w:ascii="Times New Roman"/>
          <w:sz w:val="24"/>
          <w:szCs w:val="24"/>
          <w:lang w:val="en-US" w:eastAsia="zh-CN"/>
        </w:rPr>
        <w:t>规程</w:t>
      </w:r>
      <w:r>
        <w:rPr>
          <w:rFonts w:ascii="Times New Roman"/>
          <w:sz w:val="24"/>
          <w:szCs w:val="24"/>
        </w:rPr>
        <w:t>共分</w:t>
      </w:r>
      <w:r>
        <w:rPr>
          <w:rFonts w:hint="eastAsia" w:ascii="Times New Roman"/>
          <w:sz w:val="24"/>
          <w:szCs w:val="24"/>
          <w:lang w:val="en-US" w:eastAsia="zh-CN"/>
        </w:rPr>
        <w:t>8</w:t>
      </w:r>
      <w:r>
        <w:rPr>
          <w:rFonts w:ascii="Times New Roman"/>
          <w:sz w:val="24"/>
          <w:szCs w:val="24"/>
        </w:rPr>
        <w:t>章和</w:t>
      </w:r>
      <w:r>
        <w:rPr>
          <w:rFonts w:hint="eastAsia" w:ascii="Times New Roman"/>
          <w:sz w:val="24"/>
          <w:szCs w:val="24"/>
          <w:lang w:val="en-US" w:eastAsia="zh-CN"/>
        </w:rPr>
        <w:t>2</w:t>
      </w:r>
      <w:r>
        <w:rPr>
          <w:rFonts w:ascii="Times New Roman"/>
          <w:sz w:val="24"/>
          <w:szCs w:val="24"/>
        </w:rPr>
        <w:t>个</w:t>
      </w:r>
      <w:r>
        <w:rPr>
          <w:rFonts w:ascii="Times New Roman" w:hAnsi="Times New Roman" w:eastAsia="宋体" w:cs="Times New Roman"/>
          <w:sz w:val="24"/>
          <w:szCs w:val="24"/>
        </w:rPr>
        <w:t>附录，主要内容包括：总则，术语和符号，</w:t>
      </w:r>
      <w:r>
        <w:rPr>
          <w:rFonts w:hint="eastAsia" w:ascii="Times New Roman" w:hAnsi="Times New Roman" w:eastAsia="宋体" w:cs="Times New Roman"/>
          <w:sz w:val="24"/>
          <w:szCs w:val="24"/>
          <w:lang w:val="en-US" w:eastAsia="zh-CN"/>
        </w:rPr>
        <w:t>基本规定</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材料</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结构分析与</w:t>
      </w:r>
      <w:r>
        <w:rPr>
          <w:rFonts w:ascii="Times New Roman" w:hAnsi="Times New Roman" w:eastAsia="宋体" w:cs="Times New Roman"/>
          <w:sz w:val="24"/>
          <w:szCs w:val="24"/>
        </w:rPr>
        <w:t>设计，</w:t>
      </w:r>
      <w:r>
        <w:rPr>
          <w:rFonts w:hint="eastAsia" w:ascii="Times New Roman" w:hAnsi="Times New Roman" w:eastAsia="宋体" w:cs="Times New Roman"/>
          <w:sz w:val="24"/>
          <w:szCs w:val="24"/>
          <w:lang w:val="en-US" w:eastAsia="zh-CN"/>
        </w:rPr>
        <w:t>预制</w:t>
      </w:r>
      <w:r>
        <w:rPr>
          <w:rFonts w:hint="default" w:ascii="Times New Roman" w:hAnsi="Times New Roman" w:eastAsia="宋体" w:cs="Times New Roman"/>
          <w:sz w:val="24"/>
          <w:szCs w:val="24"/>
          <w:lang w:val="en-US" w:eastAsia="zh-CN"/>
        </w:rPr>
        <w:t>底板生产与运输</w:t>
      </w:r>
      <w:r>
        <w:rPr>
          <w:rFonts w:ascii="Times New Roman" w:hAnsi="Times New Roman" w:eastAsia="宋体" w:cs="Times New Roman"/>
          <w:sz w:val="24"/>
          <w:szCs w:val="24"/>
        </w:rPr>
        <w:t>，施工</w:t>
      </w:r>
      <w:r>
        <w:rPr>
          <w:rFonts w:hint="eastAsia" w:ascii="Times New Roman" w:hAnsi="Times New Roman" w:eastAsia="宋体" w:cs="Times New Roman"/>
          <w:sz w:val="24"/>
          <w:szCs w:val="24"/>
          <w:lang w:val="en-US" w:eastAsia="zh-CN"/>
        </w:rPr>
        <w:t>安装</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质量</w:t>
      </w:r>
      <w:r>
        <w:rPr>
          <w:rFonts w:ascii="Times New Roman" w:hAnsi="Times New Roman" w:eastAsia="宋体" w:cs="Times New Roman"/>
          <w:sz w:val="24"/>
          <w:szCs w:val="24"/>
        </w:rPr>
        <w:t>验收等。</w:t>
      </w:r>
    </w:p>
    <w:p>
      <w:pPr>
        <w:pStyle w:val="36"/>
        <w:adjustRightInd w:val="0"/>
        <w:snapToGrid w:val="0"/>
        <w:spacing w:after="0"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本</w:t>
      </w:r>
      <w:r>
        <w:rPr>
          <w:rFonts w:hint="eastAsia" w:ascii="Times New Roman" w:cs="Times New Roman"/>
          <w:sz w:val="24"/>
          <w:szCs w:val="24"/>
          <w:lang w:val="en-US" w:eastAsia="zh-CN"/>
        </w:rPr>
        <w:t>规程</w:t>
      </w:r>
      <w:r>
        <w:rPr>
          <w:rFonts w:ascii="Times New Roman" w:hAnsi="Times New Roman" w:eastAsia="宋体" w:cs="Times New Roman"/>
          <w:sz w:val="24"/>
          <w:szCs w:val="24"/>
        </w:rPr>
        <w:t>的某些内容可能直接或间接涉及专利，本</w:t>
      </w:r>
      <w:r>
        <w:rPr>
          <w:rFonts w:hint="eastAsia" w:ascii="Times New Roman" w:cs="Times New Roman"/>
          <w:sz w:val="24"/>
          <w:szCs w:val="24"/>
          <w:lang w:val="en-US" w:eastAsia="zh-CN"/>
        </w:rPr>
        <w:t>规程</w:t>
      </w:r>
      <w:r>
        <w:rPr>
          <w:rFonts w:ascii="Times New Roman" w:hAnsi="Times New Roman" w:eastAsia="宋体" w:cs="Times New Roman"/>
          <w:sz w:val="24"/>
          <w:szCs w:val="24"/>
        </w:rPr>
        <w:t>的发布机构不承担识别这些专利的责任。</w:t>
      </w:r>
    </w:p>
    <w:p>
      <w:pPr>
        <w:pStyle w:val="36"/>
        <w:adjustRightInd w:val="0"/>
        <w:snapToGrid w:val="0"/>
        <w:spacing w:after="0" w:line="360" w:lineRule="auto"/>
        <w:ind w:firstLine="480"/>
        <w:rPr>
          <w:rFonts w:ascii="Times New Roman"/>
          <w:sz w:val="24"/>
          <w:szCs w:val="24"/>
        </w:rPr>
      </w:pPr>
      <w:r>
        <w:rPr>
          <w:rFonts w:ascii="Times New Roman"/>
          <w:sz w:val="24"/>
          <w:szCs w:val="24"/>
        </w:rPr>
        <w:t>本</w:t>
      </w:r>
      <w:r>
        <w:rPr>
          <w:rFonts w:hint="eastAsia" w:ascii="Times New Roman"/>
          <w:sz w:val="24"/>
          <w:szCs w:val="24"/>
          <w:lang w:val="en-US" w:eastAsia="zh-CN"/>
        </w:rPr>
        <w:t>规程</w:t>
      </w:r>
      <w:r>
        <w:rPr>
          <w:rFonts w:ascii="Times New Roman"/>
          <w:sz w:val="24"/>
          <w:szCs w:val="24"/>
        </w:rPr>
        <w:t>由中国工程建设标准化协会</w:t>
      </w:r>
      <w:r>
        <w:rPr>
          <w:rFonts w:hint="eastAsia" w:ascii="Times New Roman"/>
          <w:sz w:val="24"/>
          <w:szCs w:val="24"/>
          <w:lang w:val="en-US" w:eastAsia="zh-CN"/>
        </w:rPr>
        <w:t>建筑产业化分会</w:t>
      </w:r>
      <w:r>
        <w:rPr>
          <w:rFonts w:ascii="Times New Roman"/>
          <w:sz w:val="24"/>
          <w:szCs w:val="24"/>
        </w:rPr>
        <w:t>负责归口管理，由</w:t>
      </w:r>
      <w:r>
        <w:rPr>
          <w:rFonts w:hint="eastAsia" w:ascii="Times New Roman"/>
          <w:sz w:val="24"/>
          <w:szCs w:val="24"/>
          <w:lang w:val="en-US" w:eastAsia="zh-CN"/>
        </w:rPr>
        <w:t>山东省建筑设计研究院</w:t>
      </w:r>
      <w:r>
        <w:rPr>
          <w:rFonts w:ascii="Times New Roman"/>
          <w:sz w:val="24"/>
          <w:szCs w:val="24"/>
        </w:rPr>
        <w:t>有限公司</w:t>
      </w:r>
      <w:r>
        <w:rPr>
          <w:rFonts w:hint="eastAsia" w:ascii="Times New Roman"/>
          <w:sz w:val="24"/>
          <w:szCs w:val="24"/>
          <w:lang w:eastAsia="zh-CN"/>
        </w:rPr>
        <w:t>、</w:t>
      </w:r>
      <w:r>
        <w:rPr>
          <w:rFonts w:hint="default" w:ascii="Times New Roman" w:hAnsi="Times New Roman" w:eastAsia="宋体" w:cs="Times New Roman"/>
          <w:sz w:val="24"/>
          <w:szCs w:val="24"/>
          <w:lang w:val="zh-CN" w:eastAsia="zh-CN"/>
        </w:rPr>
        <w:t>山东世家远大科技发展有限公司</w:t>
      </w:r>
      <w:r>
        <w:rPr>
          <w:rFonts w:ascii="Times New Roman"/>
          <w:sz w:val="24"/>
          <w:szCs w:val="24"/>
        </w:rPr>
        <w:t>负责具体技术内容的解释。执行过程中，如有意见或建议，请反馈给</w:t>
      </w:r>
      <w:r>
        <w:rPr>
          <w:rFonts w:hint="eastAsia" w:ascii="Times New Roman"/>
          <w:sz w:val="24"/>
          <w:szCs w:val="24"/>
          <w:lang w:val="en-US" w:eastAsia="zh-CN"/>
        </w:rPr>
        <w:t>山东省建筑设计研究院</w:t>
      </w:r>
      <w:r>
        <w:rPr>
          <w:rFonts w:ascii="Times New Roman"/>
          <w:sz w:val="24"/>
          <w:szCs w:val="24"/>
        </w:rPr>
        <w:t>有限公司（地址：</w:t>
      </w:r>
      <w:r>
        <w:rPr>
          <w:rFonts w:hint="eastAsia" w:ascii="Times New Roman"/>
          <w:sz w:val="24"/>
          <w:szCs w:val="24"/>
          <w:lang w:val="en-US" w:eastAsia="zh-CN"/>
        </w:rPr>
        <w:t>济南市市中区兴隆街道二环南路国家大学科技园1号楼西塔，</w:t>
      </w:r>
      <w:r>
        <w:rPr>
          <w:rFonts w:ascii="Times New Roman"/>
          <w:sz w:val="24"/>
          <w:szCs w:val="24"/>
        </w:rPr>
        <w:t>邮政编码：</w:t>
      </w:r>
      <w:r>
        <w:rPr>
          <w:rFonts w:hint="eastAsia" w:ascii="Times New Roman"/>
          <w:sz w:val="24"/>
          <w:szCs w:val="24"/>
          <w:lang w:val="en-US" w:eastAsia="zh-CN"/>
        </w:rPr>
        <w:t>250003</w:t>
      </w:r>
      <w:r>
        <w:rPr>
          <w:rFonts w:ascii="Times New Roman"/>
          <w:sz w:val="24"/>
          <w:szCs w:val="24"/>
        </w:rPr>
        <w:t>，邮箱：</w:t>
      </w:r>
      <w:r>
        <w:rPr>
          <w:rFonts w:hint="eastAsia" w:ascii="Times New Roman"/>
          <w:sz w:val="24"/>
          <w:szCs w:val="24"/>
          <w:lang w:val="en-US" w:eastAsia="zh-CN"/>
        </w:rPr>
        <w:t>ldssdsy</w:t>
      </w:r>
      <w:r>
        <w:rPr>
          <w:rFonts w:ascii="Times New Roman"/>
          <w:sz w:val="24"/>
          <w:szCs w:val="24"/>
        </w:rPr>
        <w:t>@163.com）。</w:t>
      </w:r>
    </w:p>
    <w:p>
      <w:pPr>
        <w:pStyle w:val="36"/>
        <w:adjustRightInd w:val="0"/>
        <w:snapToGrid w:val="0"/>
        <w:spacing w:after="0" w:line="360" w:lineRule="auto"/>
        <w:ind w:firstLine="480"/>
        <w:rPr>
          <w:rFonts w:ascii="Times New Roman"/>
          <w:sz w:val="24"/>
          <w:szCs w:val="24"/>
        </w:rPr>
      </w:pPr>
    </w:p>
    <w:p>
      <w:pPr>
        <w:pStyle w:val="36"/>
        <w:adjustRightInd w:val="0"/>
        <w:snapToGrid w:val="0"/>
        <w:spacing w:after="0" w:line="360" w:lineRule="auto"/>
        <w:ind w:firstLine="480"/>
        <w:rPr>
          <w:rFonts w:ascii="Times New Roman"/>
          <w:sz w:val="24"/>
          <w:szCs w:val="24"/>
        </w:rPr>
      </w:pPr>
      <w:r>
        <w:rPr>
          <w:rFonts w:ascii="Times New Roman"/>
          <w:sz w:val="24"/>
          <w:szCs w:val="24"/>
        </w:rPr>
        <w:t>主编单位：</w:t>
      </w:r>
      <w:r>
        <w:rPr>
          <w:rFonts w:hint="eastAsia" w:ascii="Times New Roman"/>
          <w:sz w:val="24"/>
          <w:szCs w:val="24"/>
          <w:lang w:val="en-US" w:eastAsia="zh-CN"/>
        </w:rPr>
        <w:t>山东省建筑设计研究院</w:t>
      </w:r>
      <w:r>
        <w:rPr>
          <w:rFonts w:ascii="Times New Roman"/>
          <w:sz w:val="24"/>
          <w:szCs w:val="24"/>
        </w:rPr>
        <w:t>有限公司</w:t>
      </w:r>
    </w:p>
    <w:p>
      <w:pPr>
        <w:pStyle w:val="36"/>
        <w:adjustRightInd w:val="0"/>
        <w:snapToGrid w:val="0"/>
        <w:spacing w:after="0" w:line="360" w:lineRule="auto"/>
        <w:ind w:firstLine="480"/>
        <w:jc w:val="left"/>
        <w:rPr>
          <w:rFonts w:hint="eastAsia" w:ascii="Times New Roman" w:hAnsi="Times New Roman" w:eastAsia="宋体" w:cs="Times New Roman"/>
          <w:sz w:val="24"/>
          <w:szCs w:val="24"/>
          <w:lang w:val="en-US" w:eastAsia="zh-CN"/>
        </w:rPr>
      </w:pPr>
      <w:r>
        <w:rPr>
          <w:rFonts w:ascii="Times New Roman"/>
          <w:sz w:val="24"/>
          <w:szCs w:val="24"/>
        </w:rPr>
        <w:t xml:space="preserve">          </w:t>
      </w:r>
      <w:r>
        <w:rPr>
          <w:rFonts w:hint="default" w:ascii="Times New Roman" w:hAnsi="Times New Roman" w:eastAsia="宋体" w:cs="Times New Roman"/>
          <w:sz w:val="24"/>
          <w:szCs w:val="24"/>
          <w:lang w:val="zh-CN" w:eastAsia="zh-CN"/>
        </w:rPr>
        <w:t>山东世家远大科技发展有限公司</w:t>
      </w:r>
    </w:p>
    <w:p>
      <w:pPr>
        <w:pStyle w:val="36"/>
        <w:adjustRightInd w:val="0"/>
        <w:snapToGrid w:val="0"/>
        <w:spacing w:after="0" w:line="360" w:lineRule="auto"/>
        <w:ind w:firstLine="480"/>
        <w:jc w:val="left"/>
        <w:rPr>
          <w:rFonts w:ascii="Times New Roman"/>
          <w:sz w:val="24"/>
          <w:szCs w:val="24"/>
        </w:rPr>
      </w:pPr>
      <w:r>
        <w:rPr>
          <w:rFonts w:ascii="Times New Roman"/>
          <w:sz w:val="24"/>
          <w:szCs w:val="24"/>
        </w:rPr>
        <w:t>参编单位：</w:t>
      </w:r>
    </w:p>
    <w:p>
      <w:pPr>
        <w:pStyle w:val="36"/>
        <w:adjustRightInd w:val="0"/>
        <w:snapToGrid w:val="0"/>
        <w:spacing w:after="0" w:line="360" w:lineRule="auto"/>
        <w:ind w:firstLine="480"/>
        <w:jc w:val="left"/>
        <w:rPr>
          <w:sz w:val="24"/>
        </w:rPr>
      </w:pPr>
    </w:p>
    <w:p>
      <w:pPr>
        <w:pStyle w:val="36"/>
        <w:adjustRightInd w:val="0"/>
        <w:snapToGrid w:val="0"/>
        <w:spacing w:after="0" w:line="360" w:lineRule="auto"/>
        <w:ind w:firstLine="480"/>
        <w:jc w:val="left"/>
        <w:rPr>
          <w:rFonts w:ascii="Times New Roman"/>
          <w:sz w:val="24"/>
          <w:szCs w:val="24"/>
        </w:rPr>
      </w:pPr>
      <w:r>
        <w:rPr>
          <w:sz w:val="24"/>
        </w:rPr>
        <w:t>主要起草人：</w:t>
      </w:r>
    </w:p>
    <w:p>
      <w:pPr>
        <w:spacing w:line="360" w:lineRule="auto"/>
        <w:ind w:firstLine="480" w:firstLineChars="200"/>
        <w:jc w:val="left"/>
        <w:rPr>
          <w:sz w:val="24"/>
        </w:rPr>
      </w:pPr>
    </w:p>
    <w:p>
      <w:pPr>
        <w:spacing w:line="360" w:lineRule="auto"/>
        <w:ind w:firstLine="480" w:firstLineChars="200"/>
        <w:jc w:val="left"/>
        <w:rPr>
          <w:sz w:val="24"/>
        </w:rPr>
      </w:pPr>
      <w:r>
        <w:rPr>
          <w:sz w:val="24"/>
        </w:rPr>
        <w:t>主要审查人：</w:t>
      </w:r>
    </w:p>
    <w:p>
      <w:pPr>
        <w:spacing w:line="360" w:lineRule="auto"/>
        <w:ind w:firstLine="1680" w:firstLineChars="700"/>
        <w:rPr>
          <w:rFonts w:hint="eastAsia" w:eastAsia="宋体"/>
          <w:sz w:val="24"/>
          <w:lang w:eastAsia="zh-CN"/>
        </w:rPr>
      </w:pPr>
      <w:r>
        <w:rPr>
          <w:rFonts w:hint="eastAsia" w:eastAsia="宋体"/>
          <w:position w:val="-10"/>
          <w:sz w:val="24"/>
          <w:lang w:eastAsia="zh-CN"/>
        </w:rPr>
        <w:object>
          <v:shape id="_x0000_i1025" o:spt="75" type="#_x0000_t75" style="height:17pt;width:72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p>
    <w:p>
      <w:pPr>
        <w:spacing w:line="360" w:lineRule="auto"/>
        <w:ind w:firstLine="1680" w:firstLineChars="700"/>
        <w:rPr>
          <w:sz w:val="24"/>
        </w:rPr>
      </w:pPr>
    </w:p>
    <w:p>
      <w:pPr>
        <w:rPr>
          <w:rFonts w:hint="eastAsia"/>
          <w:lang w:val="en-US" w:eastAsia="zh-CN"/>
        </w:rPr>
      </w:pPr>
      <w:r>
        <w:rPr>
          <w:rFonts w:hint="eastAsia"/>
          <w:lang w:val="en-US" w:eastAsia="zh-CN"/>
        </w:rPr>
        <w:br w:type="page"/>
      </w:r>
    </w:p>
    <w:sdt>
      <w:sdtPr>
        <w:rPr>
          <w:rFonts w:ascii="宋体" w:hAnsi="宋体" w:eastAsia="宋体" w:cstheme="minorBidi"/>
          <w:kern w:val="2"/>
          <w:sz w:val="21"/>
          <w:szCs w:val="24"/>
          <w:lang w:val="en-US" w:eastAsia="zh-CN" w:bidi="ar-SA"/>
        </w:rPr>
        <w:id w:val="147466675"/>
        <w15:color w:val="DBDBDB"/>
        <w:docPartObj>
          <w:docPartGallery w:val="Table of Contents"/>
          <w:docPartUnique/>
        </w:docPartObj>
      </w:sdtPr>
      <w:sdtEndPr>
        <w:rPr>
          <w:rFonts w:hint="eastAsia" w:ascii="宋体" w:hAnsi="宋体" w:eastAsia="宋体" w:cs="Times New Roman"/>
          <w:b/>
          <w:color w:val="000000"/>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eastAsia="宋体"/>
              <w:lang w:eastAsia="zh-CN"/>
            </w:rPr>
          </w:pPr>
          <w:r>
            <w:rPr>
              <w:rFonts w:hint="eastAsia" w:ascii="宋体" w:hAnsi="宋体"/>
              <w:sz w:val="24"/>
              <w:szCs w:val="24"/>
              <w:lang w:val="en-US" w:eastAsia="zh-CN"/>
            </w:rPr>
            <w:t>目     次</w:t>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_Toc16157 </w:instrText>
          </w:r>
          <w:r>
            <w:rPr>
              <w:rFonts w:hint="eastAsia"/>
              <w:lang w:val="en-US" w:eastAsia="zh-CN"/>
            </w:rPr>
            <w:fldChar w:fldCharType="separate"/>
          </w:r>
          <w:r>
            <w:rPr>
              <w:rFonts w:hint="default" w:ascii="Times New Roman" w:hAnsi="Times New Roman" w:eastAsia="宋体" w:cs="宋体"/>
              <w:bCs/>
              <w:szCs w:val="32"/>
            </w:rPr>
            <w:t xml:space="preserve">1 </w:t>
          </w:r>
          <w:r>
            <w:rPr>
              <w:rFonts w:hint="eastAsia"/>
            </w:rPr>
            <w:t>总则</w:t>
          </w:r>
          <w:r>
            <w:tab/>
          </w:r>
          <w:r>
            <w:fldChar w:fldCharType="begin"/>
          </w:r>
          <w:r>
            <w:instrText xml:space="preserve"> PAGEREF _Toc16157 \h </w:instrText>
          </w:r>
          <w:r>
            <w:fldChar w:fldCharType="separate"/>
          </w:r>
          <w:r>
            <w:t>1</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_Toc17442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2 </w:t>
          </w:r>
          <w:r>
            <w:rPr>
              <w:rFonts w:hint="default"/>
              <w:lang w:val="en-US" w:eastAsia="zh-CN"/>
            </w:rPr>
            <w:t>术语和符号</w:t>
          </w:r>
          <w:r>
            <w:tab/>
          </w:r>
          <w:r>
            <w:fldChar w:fldCharType="begin"/>
          </w:r>
          <w:r>
            <w:instrText xml:space="preserve"> PAGEREF _Toc17442 \h </w:instrText>
          </w:r>
          <w:r>
            <w:fldChar w:fldCharType="separate"/>
          </w:r>
          <w:r>
            <w:t>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_Toc7079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2.1 </w:t>
          </w:r>
          <w:r>
            <w:rPr>
              <w:rFonts w:hint="default"/>
              <w:lang w:val="en-US" w:eastAsia="zh-CN"/>
            </w:rPr>
            <w:t>术</w:t>
          </w:r>
          <w:r>
            <w:rPr>
              <w:rFonts w:hint="eastAsia"/>
              <w:lang w:val="en-US" w:eastAsia="zh-CN"/>
            </w:rPr>
            <w:t xml:space="preserve"> </w:t>
          </w:r>
          <w:r>
            <w:rPr>
              <w:rFonts w:hint="default"/>
              <w:lang w:val="en-US" w:eastAsia="zh-CN"/>
            </w:rPr>
            <w:t>语</w:t>
          </w:r>
          <w:r>
            <w:tab/>
          </w:r>
          <w:r>
            <w:fldChar w:fldCharType="begin"/>
          </w:r>
          <w:r>
            <w:instrText xml:space="preserve"> PAGEREF _Toc7079 \h </w:instrText>
          </w:r>
          <w:r>
            <w:fldChar w:fldCharType="separate"/>
          </w:r>
          <w:r>
            <w:t>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_Toc21968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2.2 </w:t>
          </w:r>
          <w:r>
            <w:rPr>
              <w:rFonts w:hint="default"/>
              <w:lang w:val="en-US" w:eastAsia="zh-CN"/>
            </w:rPr>
            <w:t>符</w:t>
          </w:r>
          <w:r>
            <w:rPr>
              <w:rFonts w:hint="eastAsia"/>
              <w:lang w:val="en-US" w:eastAsia="zh-CN"/>
            </w:rPr>
            <w:t xml:space="preserve"> </w:t>
          </w:r>
          <w:r>
            <w:rPr>
              <w:rFonts w:hint="default"/>
              <w:lang w:val="en-US" w:eastAsia="zh-CN"/>
            </w:rPr>
            <w:t>号</w:t>
          </w:r>
          <w:r>
            <w:tab/>
          </w:r>
          <w:r>
            <w:fldChar w:fldCharType="begin"/>
          </w:r>
          <w:r>
            <w:instrText xml:space="preserve"> PAGEREF _Toc21968 \h </w:instrText>
          </w:r>
          <w:r>
            <w:fldChar w:fldCharType="separate"/>
          </w:r>
          <w:r>
            <w:t>8</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_Toc18393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3 </w:t>
          </w:r>
          <w:r>
            <w:rPr>
              <w:rFonts w:hint="default"/>
              <w:lang w:val="en-US" w:eastAsia="zh-CN"/>
            </w:rPr>
            <w:t>基本规定</w:t>
          </w:r>
          <w:r>
            <w:tab/>
          </w:r>
          <w:r>
            <w:fldChar w:fldCharType="begin"/>
          </w:r>
          <w:r>
            <w:instrText xml:space="preserve"> PAGEREF _Toc18393 \h </w:instrText>
          </w:r>
          <w:r>
            <w:fldChar w:fldCharType="separate"/>
          </w:r>
          <w:r>
            <w:t>11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_Toc10271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3.1 </w:t>
          </w:r>
          <w:r>
            <w:rPr>
              <w:rFonts w:hint="default"/>
              <w:lang w:val="en-US" w:eastAsia="zh-CN"/>
            </w:rPr>
            <w:t>空心叠合楼盖</w:t>
          </w:r>
          <w:r>
            <w:tab/>
          </w:r>
          <w:r>
            <w:fldChar w:fldCharType="begin"/>
          </w:r>
          <w:r>
            <w:instrText xml:space="preserve"> PAGEREF _Toc10271 \h </w:instrText>
          </w:r>
          <w:r>
            <w:fldChar w:fldCharType="separate"/>
          </w:r>
          <w:r>
            <w:t>11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_Toc23643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3.2 </w:t>
          </w:r>
          <w:r>
            <w:rPr>
              <w:rFonts w:hint="default"/>
              <w:lang w:val="en-US" w:eastAsia="zh-CN"/>
            </w:rPr>
            <w:t>空心叠合板</w:t>
          </w:r>
          <w:r>
            <w:tab/>
          </w:r>
          <w:r>
            <w:fldChar w:fldCharType="begin"/>
          </w:r>
          <w:r>
            <w:instrText xml:space="preserve"> PAGEREF _Toc23643 \h </w:instrText>
          </w:r>
          <w:r>
            <w:fldChar w:fldCharType="separate"/>
          </w:r>
          <w:r>
            <w:t>13</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_Toc6122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3.3 </w:t>
          </w:r>
          <w:r>
            <w:rPr>
              <w:rFonts w:hint="default"/>
              <w:highlight w:val="none"/>
              <w:lang w:val="en-US" w:eastAsia="zh-CN"/>
            </w:rPr>
            <w:t>房屋适用高度和抗震等级</w:t>
          </w:r>
          <w:r>
            <w:tab/>
          </w:r>
          <w:r>
            <w:fldChar w:fldCharType="begin"/>
          </w:r>
          <w:r>
            <w:instrText xml:space="preserve"> PAGEREF _Toc6122 \h </w:instrText>
          </w:r>
          <w:r>
            <w:fldChar w:fldCharType="separate"/>
          </w:r>
          <w:r>
            <w:t>14</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_Toc5670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4 </w:t>
          </w:r>
          <w:r>
            <w:rPr>
              <w:rFonts w:hint="default"/>
              <w:lang w:val="en-US" w:eastAsia="zh-CN"/>
            </w:rPr>
            <w:t>材</w:t>
          </w:r>
          <w:r>
            <w:rPr>
              <w:rFonts w:hint="eastAsia"/>
              <w:lang w:val="en-US" w:eastAsia="zh-CN"/>
            </w:rPr>
            <w:t xml:space="preserve"> </w:t>
          </w:r>
          <w:r>
            <w:rPr>
              <w:rFonts w:hint="default"/>
              <w:lang w:val="en-US" w:eastAsia="zh-CN"/>
            </w:rPr>
            <w:t>料</w:t>
          </w:r>
          <w:r>
            <w:tab/>
          </w:r>
          <w:r>
            <w:fldChar w:fldCharType="begin"/>
          </w:r>
          <w:r>
            <w:instrText xml:space="preserve"> PAGEREF _Toc5670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_Toc7083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4.1 </w:t>
          </w:r>
          <w:r>
            <w:rPr>
              <w:rFonts w:hint="default"/>
              <w:lang w:val="en-US" w:eastAsia="zh-CN"/>
            </w:rPr>
            <w:t>混凝土</w:t>
          </w:r>
          <w:r>
            <w:tab/>
          </w:r>
          <w:r>
            <w:fldChar w:fldCharType="begin"/>
          </w:r>
          <w:r>
            <w:instrText xml:space="preserve"> PAGEREF _Toc7083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_Toc4516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4.2 </w:t>
          </w:r>
          <w:r>
            <w:rPr>
              <w:rFonts w:hint="default"/>
              <w:lang w:val="en-US" w:eastAsia="zh-CN"/>
            </w:rPr>
            <w:t>钢筋</w:t>
          </w:r>
          <w:r>
            <w:rPr>
              <w:rFonts w:hint="default"/>
              <w:strike w:val="0"/>
              <w:dstrike w:val="0"/>
              <w:highlight w:val="none"/>
              <w:lang w:val="en-US" w:eastAsia="zh-CN"/>
            </w:rPr>
            <w:t>和钢材</w:t>
          </w:r>
          <w:r>
            <w:tab/>
          </w:r>
          <w:r>
            <w:fldChar w:fldCharType="begin"/>
          </w:r>
          <w:r>
            <w:instrText xml:space="preserve"> PAGEREF _Toc4516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_Toc18065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4.3 </w:t>
          </w:r>
          <w:r>
            <w:rPr>
              <w:rFonts w:hint="default"/>
              <w:lang w:val="en-US" w:eastAsia="zh-CN"/>
            </w:rPr>
            <w:t>箱型填充体</w:t>
          </w:r>
          <w:r>
            <w:tab/>
          </w:r>
          <w:r>
            <w:fldChar w:fldCharType="begin"/>
          </w:r>
          <w:r>
            <w:instrText xml:space="preserve"> PAGEREF _Toc18065 \h </w:instrText>
          </w:r>
          <w:r>
            <w:fldChar w:fldCharType="separate"/>
          </w:r>
          <w:r>
            <w:t>19</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_Toc9200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4.4 </w:t>
          </w:r>
          <w:r>
            <w:rPr>
              <w:rFonts w:hint="eastAsia"/>
              <w:lang w:val="en-US" w:eastAsia="zh-CN"/>
            </w:rPr>
            <w:t>其他材料</w:t>
          </w:r>
          <w:r>
            <w:tab/>
          </w:r>
          <w:r>
            <w:fldChar w:fldCharType="begin"/>
          </w:r>
          <w:r>
            <w:instrText xml:space="preserve"> PAGEREF _Toc9200 \h </w:instrText>
          </w:r>
          <w:r>
            <w:fldChar w:fldCharType="separate"/>
          </w:r>
          <w:r>
            <w:t>21</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_Toc5453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5 </w:t>
          </w:r>
          <w:r>
            <w:rPr>
              <w:rFonts w:hint="default"/>
              <w:lang w:val="en-US" w:eastAsia="zh-CN"/>
            </w:rPr>
            <w:t>结构分析与设计</w:t>
          </w:r>
          <w:r>
            <w:tab/>
          </w:r>
          <w:r>
            <w:fldChar w:fldCharType="begin"/>
          </w:r>
          <w:r>
            <w:instrText xml:space="preserve"> PAGEREF _Toc5453 \h </w:instrText>
          </w:r>
          <w:r>
            <w:fldChar w:fldCharType="separate"/>
          </w:r>
          <w:r>
            <w:t>22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_Toc27380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5.1 </w:t>
          </w:r>
          <w:r>
            <w:rPr>
              <w:rFonts w:hint="default"/>
              <w:lang w:val="en-US" w:eastAsia="zh-CN"/>
            </w:rPr>
            <w:t>一般规定</w:t>
          </w:r>
          <w:r>
            <w:tab/>
          </w:r>
          <w:r>
            <w:fldChar w:fldCharType="begin"/>
          </w:r>
          <w:r>
            <w:instrText xml:space="preserve"> PAGEREF _Toc27380 \h </w:instrText>
          </w:r>
          <w:r>
            <w:fldChar w:fldCharType="separate"/>
          </w:r>
          <w:r>
            <w:t>22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_Toc23098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5.2 </w:t>
          </w:r>
          <w:r>
            <w:rPr>
              <w:rFonts w:hint="eastAsia"/>
              <w:lang w:val="en-US" w:eastAsia="zh-CN"/>
            </w:rPr>
            <w:t>结构布置要求</w:t>
          </w:r>
          <w:r>
            <w:tab/>
          </w:r>
          <w:r>
            <w:fldChar w:fldCharType="begin"/>
          </w:r>
          <w:r>
            <w:instrText xml:space="preserve"> PAGEREF _Toc23098 \h </w:instrText>
          </w:r>
          <w:r>
            <w:fldChar w:fldCharType="separate"/>
          </w:r>
          <w:r>
            <w:t>24</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_Toc13160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5.3 </w:t>
          </w:r>
          <w:r>
            <w:rPr>
              <w:rFonts w:hint="eastAsia"/>
              <w:lang w:val="en-US" w:eastAsia="zh-CN"/>
            </w:rPr>
            <w:t>空心叠合板计算与验算</w:t>
          </w:r>
          <w:r>
            <w:tab/>
          </w:r>
          <w:r>
            <w:fldChar w:fldCharType="begin"/>
          </w:r>
          <w:r>
            <w:instrText xml:space="preserve"> PAGEREF _Toc13160 \h </w:instrText>
          </w:r>
          <w:r>
            <w:fldChar w:fldCharType="separate"/>
          </w:r>
          <w:r>
            <w:t>26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_Toc3018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5.4 </w:t>
          </w:r>
          <w:r>
            <w:rPr>
              <w:rFonts w:hint="default"/>
              <w:lang w:val="en-US" w:eastAsia="zh-CN"/>
            </w:rPr>
            <w:t>预制底板短暂设计状况计算</w:t>
          </w:r>
          <w:r>
            <w:rPr>
              <w:rFonts w:hint="eastAsia"/>
              <w:lang w:val="en-US" w:eastAsia="zh-CN"/>
            </w:rPr>
            <w:t>和验算</w:t>
          </w:r>
          <w:r>
            <w:tab/>
          </w:r>
          <w:r>
            <w:fldChar w:fldCharType="begin"/>
          </w:r>
          <w:r>
            <w:instrText xml:space="preserve"> PAGEREF _Toc3018 \h </w:instrText>
          </w:r>
          <w:r>
            <w:fldChar w:fldCharType="separate"/>
          </w:r>
          <w:r>
            <w:t>31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_Toc3091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5.5 </w:t>
          </w:r>
          <w:r>
            <w:rPr>
              <w:rFonts w:hint="default"/>
              <w:lang w:val="en-US" w:eastAsia="zh-CN"/>
            </w:rPr>
            <w:t>空心叠合板</w:t>
          </w:r>
          <w:r>
            <w:rPr>
              <w:rFonts w:hint="eastAsia"/>
              <w:lang w:val="en-US" w:eastAsia="zh-CN"/>
            </w:rPr>
            <w:t>构造要求</w:t>
          </w:r>
          <w:r>
            <w:tab/>
          </w:r>
          <w:r>
            <w:fldChar w:fldCharType="begin"/>
          </w:r>
          <w:r>
            <w:instrText xml:space="preserve"> PAGEREF _Toc3091 \h </w:instrText>
          </w:r>
          <w:r>
            <w:fldChar w:fldCharType="separate"/>
          </w:r>
          <w:r>
            <w:t>35</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_Toc3935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5.6 </w:t>
          </w:r>
          <w:r>
            <w:rPr>
              <w:rFonts w:hint="eastAsia"/>
              <w:lang w:val="en-US" w:eastAsia="zh-CN"/>
            </w:rPr>
            <w:t>预制底板</w:t>
          </w:r>
          <w:r>
            <w:rPr>
              <w:rFonts w:hint="default"/>
              <w:lang w:val="en-US" w:eastAsia="zh-CN"/>
            </w:rPr>
            <w:t>构造</w:t>
          </w:r>
          <w:r>
            <w:rPr>
              <w:rFonts w:hint="eastAsia"/>
              <w:lang w:val="en-US" w:eastAsia="zh-CN"/>
            </w:rPr>
            <w:t>要求</w:t>
          </w:r>
          <w:r>
            <w:tab/>
          </w:r>
          <w:r>
            <w:fldChar w:fldCharType="begin"/>
          </w:r>
          <w:r>
            <w:instrText xml:space="preserve"> PAGEREF _Toc3935 \h </w:instrText>
          </w:r>
          <w:r>
            <w:fldChar w:fldCharType="separate"/>
          </w:r>
          <w:r>
            <w:t>38</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_Toc22450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5.7 </w:t>
          </w:r>
          <w:r>
            <w:rPr>
              <w:rFonts w:hint="eastAsia" w:cs="宋体"/>
              <w:bCs/>
              <w:szCs w:val="28"/>
              <w:lang w:val="en-US" w:eastAsia="zh-CN"/>
            </w:rPr>
            <w:t>接</w:t>
          </w:r>
          <w:r>
            <w:rPr>
              <w:rFonts w:hint="default"/>
              <w:lang w:val="en-US" w:eastAsia="zh-CN"/>
            </w:rPr>
            <w:t>缝</w:t>
          </w:r>
          <w:r>
            <w:rPr>
              <w:rFonts w:hint="eastAsia"/>
              <w:lang w:val="en-US" w:eastAsia="zh-CN"/>
            </w:rPr>
            <w:t>及支座</w:t>
          </w:r>
          <w:r>
            <w:rPr>
              <w:rFonts w:hint="default"/>
              <w:lang w:val="en-US" w:eastAsia="zh-CN"/>
            </w:rPr>
            <w:t>构造</w:t>
          </w:r>
          <w:r>
            <w:tab/>
          </w:r>
          <w:r>
            <w:fldChar w:fldCharType="begin"/>
          </w:r>
          <w:r>
            <w:instrText xml:space="preserve"> PAGEREF _Toc22450 \h </w:instrText>
          </w:r>
          <w:r>
            <w:fldChar w:fldCharType="separate"/>
          </w:r>
          <w:r>
            <w:t>45</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_Toc11264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6 </w:t>
          </w:r>
          <w:r>
            <w:rPr>
              <w:rFonts w:hint="eastAsia"/>
              <w:lang w:val="en-US" w:eastAsia="zh-CN"/>
            </w:rPr>
            <w:t>预制</w:t>
          </w:r>
          <w:r>
            <w:rPr>
              <w:rFonts w:hint="default"/>
              <w:lang w:val="en-US" w:eastAsia="zh-CN"/>
            </w:rPr>
            <w:t>底板生产与运输</w:t>
          </w:r>
          <w:r>
            <w:tab/>
          </w:r>
          <w:r>
            <w:fldChar w:fldCharType="begin"/>
          </w:r>
          <w:r>
            <w:instrText xml:space="preserve"> PAGEREF _Toc11264 \h </w:instrText>
          </w:r>
          <w:r>
            <w:fldChar w:fldCharType="separate"/>
          </w:r>
          <w:r>
            <w:t>50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_Toc31601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6.1 </w:t>
          </w:r>
          <w:r>
            <w:rPr>
              <w:rFonts w:hint="default"/>
              <w:lang w:val="en-US" w:eastAsia="zh-CN"/>
            </w:rPr>
            <w:t>一般规定</w:t>
          </w:r>
          <w:r>
            <w:tab/>
          </w:r>
          <w:r>
            <w:fldChar w:fldCharType="begin"/>
          </w:r>
          <w:r>
            <w:instrText xml:space="preserve"> PAGEREF _Toc31601 \h </w:instrText>
          </w:r>
          <w:r>
            <w:fldChar w:fldCharType="separate"/>
          </w:r>
          <w:r>
            <w:t>50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_Toc27520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6.2 </w:t>
          </w:r>
          <w:r>
            <w:rPr>
              <w:rFonts w:hint="default"/>
              <w:lang w:val="en-US" w:eastAsia="zh-CN"/>
            </w:rPr>
            <w:t>原材料及配件</w:t>
          </w:r>
          <w:r>
            <w:tab/>
          </w:r>
          <w:r>
            <w:fldChar w:fldCharType="begin"/>
          </w:r>
          <w:r>
            <w:instrText xml:space="preserve"> PAGEREF _Toc27520 \h </w:instrText>
          </w:r>
          <w:r>
            <w:fldChar w:fldCharType="separate"/>
          </w:r>
          <w:r>
            <w:t>52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_Toc30174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6.3 </w:t>
          </w:r>
          <w:r>
            <w:rPr>
              <w:rFonts w:hint="default"/>
              <w:lang w:val="en-US" w:eastAsia="zh-CN"/>
            </w:rPr>
            <w:t>模具</w:t>
          </w:r>
          <w:r>
            <w:tab/>
          </w:r>
          <w:r>
            <w:fldChar w:fldCharType="begin"/>
          </w:r>
          <w:r>
            <w:instrText xml:space="preserve"> PAGEREF _Toc30174 \h </w:instrText>
          </w:r>
          <w:r>
            <w:fldChar w:fldCharType="separate"/>
          </w:r>
          <w:r>
            <w:t>54</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_Toc9746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6.4 </w:t>
          </w:r>
          <w:r>
            <w:rPr>
              <w:rFonts w:hint="default"/>
              <w:lang w:val="en-US" w:eastAsia="zh-CN"/>
            </w:rPr>
            <w:t>钢筋</w:t>
          </w:r>
          <w:r>
            <w:tab/>
          </w:r>
          <w:r>
            <w:fldChar w:fldCharType="begin"/>
          </w:r>
          <w:r>
            <w:instrText xml:space="preserve"> PAGEREF _Toc9746 \h </w:instrText>
          </w:r>
          <w:r>
            <w:fldChar w:fldCharType="separate"/>
          </w:r>
          <w:r>
            <w:t>57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_Toc19131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6.5 </w:t>
          </w:r>
          <w:r>
            <w:rPr>
              <w:rFonts w:hint="default"/>
              <w:lang w:val="en-US" w:eastAsia="zh-CN"/>
            </w:rPr>
            <w:t>混凝土</w:t>
          </w:r>
          <w:r>
            <w:tab/>
          </w:r>
          <w:r>
            <w:fldChar w:fldCharType="begin"/>
          </w:r>
          <w:r>
            <w:instrText xml:space="preserve"> PAGEREF _Toc19131 \h </w:instrText>
          </w:r>
          <w:r>
            <w:fldChar w:fldCharType="separate"/>
          </w:r>
          <w:r>
            <w:t>58</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_Toc4968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6.6 </w:t>
          </w:r>
          <w:r>
            <w:rPr>
              <w:rFonts w:hint="default"/>
              <w:lang w:val="en-US" w:eastAsia="zh-CN"/>
            </w:rPr>
            <w:t>脱模</w:t>
          </w:r>
          <w:r>
            <w:rPr>
              <w:rFonts w:hint="eastAsia"/>
              <w:lang w:val="en-US" w:eastAsia="zh-CN"/>
            </w:rPr>
            <w:t>、翻转、吊运</w:t>
          </w:r>
          <w:r>
            <w:rPr>
              <w:rFonts w:hint="default"/>
              <w:lang w:val="en-US" w:eastAsia="zh-CN"/>
            </w:rPr>
            <w:t>与标识</w:t>
          </w:r>
          <w:r>
            <w:tab/>
          </w:r>
          <w:r>
            <w:fldChar w:fldCharType="begin"/>
          </w:r>
          <w:r>
            <w:instrText xml:space="preserve"> PAGEREF _Toc4968 \h </w:instrText>
          </w:r>
          <w:r>
            <w:fldChar w:fldCharType="separate"/>
          </w:r>
          <w:r>
            <w:t>60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_Toc21018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6.7 </w:t>
          </w:r>
          <w:r>
            <w:rPr>
              <w:rFonts w:hint="default"/>
              <w:lang w:val="en-US" w:eastAsia="zh-CN"/>
            </w:rPr>
            <w:t>运输与堆放</w:t>
          </w:r>
          <w:r>
            <w:tab/>
          </w:r>
          <w:r>
            <w:fldChar w:fldCharType="begin"/>
          </w:r>
          <w:r>
            <w:instrText xml:space="preserve"> PAGEREF _Toc21018 \h </w:instrText>
          </w:r>
          <w:r>
            <w:fldChar w:fldCharType="separate"/>
          </w:r>
          <w:r>
            <w:t>62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_Toc21957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6.8 </w:t>
          </w:r>
          <w:r>
            <w:rPr>
              <w:rFonts w:hint="default"/>
              <w:lang w:val="en-US" w:eastAsia="zh-CN"/>
            </w:rPr>
            <w:t>构件检验</w:t>
          </w:r>
          <w:r>
            <w:tab/>
          </w:r>
          <w:r>
            <w:fldChar w:fldCharType="begin"/>
          </w:r>
          <w:r>
            <w:instrText xml:space="preserve"> PAGEREF _Toc21957 \h </w:instrText>
          </w:r>
          <w:r>
            <w:fldChar w:fldCharType="separate"/>
          </w:r>
          <w:r>
            <w:t>63</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_Toc11692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7 </w:t>
          </w:r>
          <w:r>
            <w:rPr>
              <w:rFonts w:hint="default"/>
              <w:lang w:val="en-US" w:eastAsia="zh-CN"/>
            </w:rPr>
            <w:t>施工安装</w:t>
          </w:r>
          <w:r>
            <w:tab/>
          </w:r>
          <w:r>
            <w:fldChar w:fldCharType="begin"/>
          </w:r>
          <w:r>
            <w:instrText xml:space="preserve"> PAGEREF _Toc11692 \h </w:instrText>
          </w:r>
          <w:r>
            <w:fldChar w:fldCharType="separate"/>
          </w:r>
          <w:r>
            <w:t>66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_Toc22193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7.1 </w:t>
          </w:r>
          <w:r>
            <w:rPr>
              <w:rFonts w:hint="default"/>
              <w:lang w:val="en-US" w:eastAsia="zh-CN"/>
            </w:rPr>
            <w:t>一般规定</w:t>
          </w:r>
          <w:r>
            <w:tab/>
          </w:r>
          <w:r>
            <w:fldChar w:fldCharType="begin"/>
          </w:r>
          <w:r>
            <w:instrText xml:space="preserve"> PAGEREF _Toc22193 \h </w:instrText>
          </w:r>
          <w:r>
            <w:fldChar w:fldCharType="separate"/>
          </w:r>
          <w:r>
            <w:t>66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_Toc32038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7.2 </w:t>
          </w:r>
          <w:r>
            <w:rPr>
              <w:rFonts w:hint="default"/>
              <w:lang w:val="en-US" w:eastAsia="zh-CN"/>
            </w:rPr>
            <w:t>安装准备</w:t>
          </w:r>
          <w:r>
            <w:tab/>
          </w:r>
          <w:r>
            <w:fldChar w:fldCharType="begin"/>
          </w:r>
          <w:r>
            <w:instrText xml:space="preserve"> PAGEREF _Toc32038 \h </w:instrText>
          </w:r>
          <w:r>
            <w:fldChar w:fldCharType="separate"/>
          </w:r>
          <w:r>
            <w:t>67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_Toc18986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7.3 </w:t>
          </w:r>
          <w:r>
            <w:rPr>
              <w:rFonts w:hint="default"/>
              <w:lang w:val="en-US" w:eastAsia="zh-CN"/>
            </w:rPr>
            <w:t>底板安装与连接</w:t>
          </w:r>
          <w:r>
            <w:tab/>
          </w:r>
          <w:r>
            <w:fldChar w:fldCharType="begin"/>
          </w:r>
          <w:r>
            <w:instrText xml:space="preserve"> PAGEREF _Toc18986 \h </w:instrText>
          </w:r>
          <w:r>
            <w:fldChar w:fldCharType="separate"/>
          </w:r>
          <w:r>
            <w:t>67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_Toc29478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7.4 </w:t>
          </w:r>
          <w:r>
            <w:rPr>
              <w:rFonts w:hint="default"/>
              <w:lang w:val="en-US" w:eastAsia="zh-CN"/>
            </w:rPr>
            <w:t>现场施工</w:t>
          </w:r>
          <w:r>
            <w:tab/>
          </w:r>
          <w:r>
            <w:fldChar w:fldCharType="begin"/>
          </w:r>
          <w:r>
            <w:instrText xml:space="preserve"> PAGEREF _Toc29478 \h </w:instrText>
          </w:r>
          <w:r>
            <w:fldChar w:fldCharType="separate"/>
          </w:r>
          <w:r>
            <w:t>69</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_Toc5258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8 </w:t>
          </w:r>
          <w:r>
            <w:rPr>
              <w:rFonts w:hint="default"/>
              <w:lang w:val="en-US" w:eastAsia="zh-CN"/>
            </w:rPr>
            <w:t>质量验收</w:t>
          </w:r>
          <w:r>
            <w:tab/>
          </w:r>
          <w:r>
            <w:fldChar w:fldCharType="begin"/>
          </w:r>
          <w:r>
            <w:instrText xml:space="preserve"> PAGEREF _Toc5258 \h </w:instrText>
          </w:r>
          <w:r>
            <w:fldChar w:fldCharType="separate"/>
          </w:r>
          <w:r>
            <w:t>72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_Toc13832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8.1 </w:t>
          </w:r>
          <w:r>
            <w:rPr>
              <w:rFonts w:hint="default"/>
              <w:lang w:val="en-US" w:eastAsia="zh-CN"/>
            </w:rPr>
            <w:t>一般规定</w:t>
          </w:r>
          <w:r>
            <w:tab/>
          </w:r>
          <w:r>
            <w:fldChar w:fldCharType="begin"/>
          </w:r>
          <w:r>
            <w:instrText xml:space="preserve"> PAGEREF _Toc13832 \h </w:instrText>
          </w:r>
          <w:r>
            <w:fldChar w:fldCharType="separate"/>
          </w:r>
          <w:r>
            <w:t>72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_Toc28798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8.2 </w:t>
          </w:r>
          <w:r>
            <w:rPr>
              <w:rFonts w:hint="default"/>
              <w:lang w:val="en-US" w:eastAsia="zh-CN"/>
            </w:rPr>
            <w:t>预制底板进场检验</w:t>
          </w:r>
          <w:r>
            <w:tab/>
          </w:r>
          <w:r>
            <w:fldChar w:fldCharType="begin"/>
          </w:r>
          <w:r>
            <w:instrText xml:space="preserve"> PAGEREF _Toc28798 \h </w:instrText>
          </w:r>
          <w:r>
            <w:fldChar w:fldCharType="separate"/>
          </w:r>
          <w:r>
            <w:t>73</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_Toc5249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8.3 </w:t>
          </w:r>
          <w:r>
            <w:rPr>
              <w:rFonts w:hint="eastAsia"/>
              <w:lang w:val="en-US" w:eastAsia="zh-CN"/>
            </w:rPr>
            <w:t>空心</w:t>
          </w:r>
          <w:r>
            <w:rPr>
              <w:rFonts w:hint="default"/>
              <w:lang w:val="en-US" w:eastAsia="zh-CN"/>
            </w:rPr>
            <w:t>叠合板质量验收</w:t>
          </w:r>
          <w:r>
            <w:tab/>
          </w:r>
          <w:r>
            <w:fldChar w:fldCharType="begin"/>
          </w:r>
          <w:r>
            <w:instrText xml:space="preserve"> PAGEREF _Toc5249 \h </w:instrText>
          </w:r>
          <w:r>
            <w:fldChar w:fldCharType="separate"/>
          </w:r>
          <w:r>
            <w:t>75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_Toc23992 </w:instrText>
          </w:r>
          <w:r>
            <w:rPr>
              <w:rFonts w:hint="eastAsia"/>
              <w:lang w:val="en-US" w:eastAsia="zh-CN"/>
            </w:rPr>
            <w:fldChar w:fldCharType="separate"/>
          </w:r>
          <w:r>
            <w:rPr>
              <w:rFonts w:hint="eastAsia"/>
              <w:szCs w:val="32"/>
            </w:rPr>
            <w:t>附录A</w:t>
          </w:r>
          <w:r>
            <w:rPr>
              <w:rFonts w:hint="eastAsia"/>
              <w:szCs w:val="32"/>
              <w:lang w:val="en-US" w:eastAsia="zh-CN"/>
            </w:rPr>
            <w:t xml:space="preserve"> 箱型填充体</w:t>
          </w:r>
          <w:r>
            <w:rPr>
              <w:rFonts w:hint="eastAsia"/>
              <w:szCs w:val="32"/>
            </w:rPr>
            <w:t>检验方法</w:t>
          </w:r>
          <w:r>
            <w:tab/>
          </w:r>
          <w:r>
            <w:fldChar w:fldCharType="begin"/>
          </w:r>
          <w:r>
            <w:instrText xml:space="preserve"> PAGEREF _Toc23992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_Toc5120 </w:instrText>
          </w:r>
          <w:r>
            <w:rPr>
              <w:rFonts w:hint="eastAsia"/>
              <w:lang w:val="en-US" w:eastAsia="zh-CN"/>
            </w:rPr>
            <w:fldChar w:fldCharType="separate"/>
          </w:r>
          <w:r>
            <w:rPr>
              <w:rFonts w:hint="eastAsia"/>
              <w:szCs w:val="28"/>
            </w:rPr>
            <w:t>A.1</w:t>
          </w:r>
          <w:r>
            <w:rPr>
              <w:rFonts w:hint="eastAsia"/>
              <w:szCs w:val="28"/>
              <w:lang w:val="en-US" w:eastAsia="zh-CN"/>
            </w:rPr>
            <w:t xml:space="preserve"> </w:t>
          </w:r>
          <w:r>
            <w:rPr>
              <w:rFonts w:hint="eastAsia"/>
              <w:szCs w:val="28"/>
            </w:rPr>
            <w:t>外观检查</w:t>
          </w:r>
          <w:r>
            <w:tab/>
          </w:r>
          <w:r>
            <w:fldChar w:fldCharType="begin"/>
          </w:r>
          <w:r>
            <w:instrText xml:space="preserve"> PAGEREF _Toc5120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_Toc26190 </w:instrText>
          </w:r>
          <w:r>
            <w:rPr>
              <w:rFonts w:hint="eastAsia"/>
              <w:lang w:val="en-US" w:eastAsia="zh-CN"/>
            </w:rPr>
            <w:fldChar w:fldCharType="separate"/>
          </w:r>
          <w:r>
            <w:rPr>
              <w:rFonts w:hint="eastAsia"/>
              <w:szCs w:val="28"/>
            </w:rPr>
            <w:t>A.2 尺寸偏差检查</w:t>
          </w:r>
          <w:r>
            <w:tab/>
          </w:r>
          <w:r>
            <w:fldChar w:fldCharType="begin"/>
          </w:r>
          <w:r>
            <w:instrText xml:space="preserve"> PAGEREF _Toc26190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_Toc20259 </w:instrText>
          </w:r>
          <w:r>
            <w:rPr>
              <w:rFonts w:hint="eastAsia"/>
              <w:lang w:val="en-US" w:eastAsia="zh-CN"/>
            </w:rPr>
            <w:fldChar w:fldCharType="separate"/>
          </w:r>
          <w:r>
            <w:rPr>
              <w:rFonts w:hint="eastAsia"/>
              <w:szCs w:val="28"/>
            </w:rPr>
            <w:t>A.3</w:t>
          </w:r>
          <w:r>
            <w:rPr>
              <w:rFonts w:hint="eastAsia"/>
              <w:szCs w:val="28"/>
              <w:lang w:val="en-US" w:eastAsia="zh-CN"/>
            </w:rPr>
            <w:t xml:space="preserve"> </w:t>
          </w:r>
          <w:r>
            <w:rPr>
              <w:rFonts w:hint="eastAsia"/>
              <w:szCs w:val="28"/>
            </w:rPr>
            <w:t>物理力学性能检查</w:t>
          </w:r>
          <w:r>
            <w:tab/>
          </w:r>
          <w:r>
            <w:fldChar w:fldCharType="begin"/>
          </w:r>
          <w:r>
            <w:instrText xml:space="preserve"> PAGEREF _Toc20259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_Toc30683 </w:instrText>
          </w:r>
          <w:r>
            <w:rPr>
              <w:rFonts w:hint="eastAsia"/>
              <w:lang w:val="en-US" w:eastAsia="zh-CN"/>
            </w:rPr>
            <w:fldChar w:fldCharType="separate"/>
          </w:r>
          <w:r>
            <w:rPr>
              <w:rFonts w:hint="eastAsia"/>
              <w:szCs w:val="28"/>
            </w:rPr>
            <w:t xml:space="preserve">表A.4 </w:t>
          </w:r>
          <w:r>
            <w:rPr>
              <w:rFonts w:hint="eastAsia"/>
              <w:szCs w:val="28"/>
              <w:lang w:val="en-US" w:eastAsia="zh-CN"/>
            </w:rPr>
            <w:t>箱型填充体</w:t>
          </w:r>
          <w:r>
            <w:rPr>
              <w:rFonts w:hint="eastAsia"/>
              <w:szCs w:val="28"/>
            </w:rPr>
            <w:t>进场</w:t>
          </w:r>
          <w:r>
            <w:rPr>
              <w:rFonts w:hint="eastAsia"/>
              <w:szCs w:val="28"/>
              <w:lang w:val="en-US" w:eastAsia="zh-CN"/>
            </w:rPr>
            <w:t>验收</w:t>
          </w:r>
          <w:r>
            <w:rPr>
              <w:rFonts w:hint="eastAsia"/>
              <w:szCs w:val="28"/>
            </w:rPr>
            <w:t>记录</w:t>
          </w:r>
          <w:r>
            <w:tab/>
          </w:r>
          <w:r>
            <w:fldChar w:fldCharType="begin"/>
          </w:r>
          <w:r>
            <w:instrText xml:space="preserve"> PAGEREF _Toc30683 \h </w:instrText>
          </w:r>
          <w:r>
            <w:fldChar w:fldCharType="separate"/>
          </w:r>
          <w:r>
            <w:t>80</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_Toc3262 </w:instrText>
          </w:r>
          <w:r>
            <w:rPr>
              <w:rFonts w:hint="eastAsia"/>
              <w:lang w:val="en-US" w:eastAsia="zh-CN"/>
            </w:rPr>
            <w:fldChar w:fldCharType="separate"/>
          </w:r>
          <w:r>
            <w:rPr>
              <w:rFonts w:hint="eastAsia"/>
              <w:szCs w:val="32"/>
            </w:rPr>
            <w:t>附录B</w:t>
          </w:r>
          <w:r>
            <w:rPr>
              <w:rFonts w:hint="eastAsia"/>
              <w:szCs w:val="32"/>
              <w:lang w:val="en-US" w:eastAsia="zh-CN"/>
            </w:rPr>
            <w:t xml:space="preserve"> 空心叠合板</w:t>
          </w:r>
          <w:r>
            <w:rPr>
              <w:rFonts w:hint="eastAsia"/>
              <w:szCs w:val="32"/>
            </w:rPr>
            <w:t>自重、折实厚度、体积空心率计算</w:t>
          </w:r>
          <w:r>
            <w:tab/>
          </w:r>
          <w:r>
            <w:fldChar w:fldCharType="begin"/>
          </w:r>
          <w:r>
            <w:instrText xml:space="preserve"> PAGEREF _Toc3262 \h </w:instrText>
          </w:r>
          <w:r>
            <w:fldChar w:fldCharType="separate"/>
          </w:r>
          <w:r>
            <w:t>81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_Toc14046 </w:instrText>
          </w:r>
          <w:r>
            <w:rPr>
              <w:rFonts w:hint="eastAsia"/>
              <w:lang w:val="en-US" w:eastAsia="zh-CN"/>
            </w:rPr>
            <w:fldChar w:fldCharType="separate"/>
          </w:r>
          <w:r>
            <w:rPr>
              <w:rFonts w:hint="default"/>
              <w:lang w:val="en-US" w:eastAsia="zh-CN"/>
            </w:rPr>
            <w:t>本</w:t>
          </w:r>
          <w:r>
            <w:rPr>
              <w:rFonts w:hint="eastAsia"/>
              <w:lang w:val="en-US" w:eastAsia="zh-CN"/>
            </w:rPr>
            <w:t>规程</w:t>
          </w:r>
          <w:r>
            <w:rPr>
              <w:rFonts w:hint="default"/>
              <w:lang w:val="en-US" w:eastAsia="zh-CN"/>
            </w:rPr>
            <w:t>用词说明</w:t>
          </w:r>
          <w:r>
            <w:tab/>
          </w:r>
          <w:r>
            <w:fldChar w:fldCharType="begin"/>
          </w:r>
          <w:r>
            <w:instrText xml:space="preserve"> PAGEREF _Toc14046 \h </w:instrText>
          </w:r>
          <w:r>
            <w:fldChar w:fldCharType="separate"/>
          </w:r>
          <w:r>
            <w:t>82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_Toc31824 </w:instrText>
          </w:r>
          <w:r>
            <w:rPr>
              <w:rFonts w:hint="eastAsia"/>
              <w:lang w:val="en-US" w:eastAsia="zh-CN"/>
            </w:rPr>
            <w:fldChar w:fldCharType="separate"/>
          </w:r>
          <w:r>
            <w:rPr>
              <w:rFonts w:hint="eastAsia"/>
              <w:lang w:val="en-US" w:eastAsia="zh-CN"/>
            </w:rPr>
            <w:t>引用标准名录</w:t>
          </w:r>
          <w:r>
            <w:tab/>
          </w:r>
          <w:r>
            <w:fldChar w:fldCharType="begin"/>
          </w:r>
          <w:r>
            <w:instrText xml:space="preserve"> PAGEREF _Toc31824 \h </w:instrText>
          </w:r>
          <w:r>
            <w:fldChar w:fldCharType="separate"/>
          </w:r>
          <w:r>
            <w:t>83</w:t>
          </w:r>
          <w:r>
            <w:fldChar w:fldCharType="end"/>
          </w:r>
          <w:r>
            <w:rPr>
              <w:rFonts w:hint="eastAsia"/>
              <w:lang w:val="en-US" w:eastAsia="zh-CN"/>
            </w:rPr>
            <w:fldChar w:fldCharType="end"/>
          </w:r>
        </w:p>
        <w:p>
          <w:pPr>
            <w:pStyle w:val="20"/>
            <w:rPr>
              <w:rFonts w:hint="eastAsia"/>
              <w:lang w:val="en-US" w:eastAsia="zh-CN"/>
            </w:rPr>
          </w:pPr>
          <w:r>
            <w:rPr>
              <w:rFonts w:hint="eastAsia"/>
              <w:lang w:val="en-US" w:eastAsia="zh-CN"/>
            </w:rPr>
            <w:fldChar w:fldCharType="end"/>
          </w:r>
        </w:p>
      </w:sdtContent>
    </w:sdt>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sectPr>
          <w:footerReference r:id="rId5" w:type="default"/>
          <w:pgSz w:w="11906" w:h="16838"/>
          <w:pgMar w:top="1440" w:right="1800" w:bottom="1440" w:left="1800" w:header="851" w:footer="992" w:gutter="0"/>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66675"/>
        <w15:color w:val="DBDBDB"/>
        <w:docPartObj>
          <w:docPartGallery w:val="Table of Contents"/>
          <w:docPartUnique/>
        </w:docPartObj>
      </w:sdtPr>
      <w:sdtEndPr>
        <w:rPr>
          <w:rFonts w:hint="eastAsia" w:ascii="宋体" w:hAnsi="宋体" w:eastAsia="宋体" w:cs="Times New Roman"/>
          <w:b/>
          <w:color w:val="000000"/>
          <w:kern w:val="2"/>
          <w:sz w:val="24"/>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eastAsia="宋体"/>
              <w:lang w:eastAsia="zh-CN"/>
            </w:rPr>
          </w:pPr>
          <w:r>
            <w:rPr>
              <w:bCs/>
              <w:sz w:val="30"/>
              <w:szCs w:val="30"/>
            </w:rPr>
            <w:t>Contents</w:t>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_Toc16157 </w:instrText>
          </w:r>
          <w:r>
            <w:rPr>
              <w:rFonts w:hint="eastAsia"/>
              <w:lang w:val="en-US" w:eastAsia="zh-CN"/>
            </w:rPr>
            <w:fldChar w:fldCharType="separate"/>
          </w:r>
          <w:r>
            <w:rPr>
              <w:rFonts w:hint="default" w:ascii="Times New Roman" w:hAnsi="Times New Roman" w:eastAsia="宋体" w:cs="宋体"/>
              <w:bCs/>
              <w:szCs w:val="32"/>
            </w:rPr>
            <w:t xml:space="preserve">1 </w:t>
          </w:r>
          <w:r>
            <w:rPr>
              <w:rStyle w:val="18"/>
              <w:rFonts w:eastAsiaTheme="majorEastAsia"/>
              <w:caps w:val="0"/>
              <w:color w:val="auto"/>
            </w:rPr>
            <w:t>General Provisions</w:t>
          </w:r>
          <w:r>
            <w:tab/>
          </w:r>
          <w:r>
            <w:fldChar w:fldCharType="begin"/>
          </w:r>
          <w:r>
            <w:instrText xml:space="preserve"> PAGEREF _Toc16157 \h </w:instrText>
          </w:r>
          <w:r>
            <w:fldChar w:fldCharType="separate"/>
          </w:r>
          <w:r>
            <w:t>1</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_Toc17442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2 </w:t>
          </w:r>
          <w:r>
            <w:rPr>
              <w:rStyle w:val="18"/>
              <w:rFonts w:eastAsiaTheme="majorEastAsia"/>
              <w:caps w:val="0"/>
              <w:color w:val="auto"/>
            </w:rPr>
            <w:t>Terms and Symbols</w:t>
          </w:r>
          <w:r>
            <w:tab/>
          </w:r>
          <w:r>
            <w:fldChar w:fldCharType="begin"/>
          </w:r>
          <w:r>
            <w:instrText xml:space="preserve"> PAGEREF _Toc17442 \h </w:instrText>
          </w:r>
          <w:r>
            <w:fldChar w:fldCharType="separate"/>
          </w:r>
          <w:r>
            <w:t>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_Toc7079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2.1 </w:t>
          </w:r>
          <w:r>
            <w:rPr>
              <w:rStyle w:val="18"/>
              <w:smallCaps w:val="0"/>
              <w:color w:val="auto"/>
              <w:sz w:val="24"/>
              <w:szCs w:val="24"/>
            </w:rPr>
            <w:t>Terms</w:t>
          </w:r>
          <w:r>
            <w:tab/>
          </w:r>
          <w:r>
            <w:fldChar w:fldCharType="begin"/>
          </w:r>
          <w:r>
            <w:instrText xml:space="preserve"> PAGEREF _Toc7079 \h </w:instrText>
          </w:r>
          <w:r>
            <w:fldChar w:fldCharType="separate"/>
          </w:r>
          <w:r>
            <w:t>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_Toc21968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2.2 </w:t>
          </w:r>
          <w:r>
            <w:rPr>
              <w:rStyle w:val="18"/>
              <w:smallCaps w:val="0"/>
              <w:color w:val="auto"/>
              <w:sz w:val="24"/>
              <w:szCs w:val="24"/>
            </w:rPr>
            <w:t>Symbols</w:t>
          </w:r>
          <w:r>
            <w:tab/>
          </w:r>
          <w:r>
            <w:fldChar w:fldCharType="begin"/>
          </w:r>
          <w:r>
            <w:instrText xml:space="preserve"> PAGEREF _Toc21968 \h </w:instrText>
          </w:r>
          <w:r>
            <w:fldChar w:fldCharType="separate"/>
          </w:r>
          <w:r>
            <w:t>8</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_Toc18393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3 </w:t>
          </w:r>
          <w:r>
            <w:rPr>
              <w:rFonts w:hint="eastAsia"/>
              <w:lang w:val="en-US" w:eastAsia="zh-CN"/>
            </w:rPr>
            <w:t>Basic Requirements</w:t>
          </w:r>
          <w:r>
            <w:tab/>
          </w:r>
          <w:r>
            <w:fldChar w:fldCharType="begin"/>
          </w:r>
          <w:r>
            <w:instrText xml:space="preserve"> PAGEREF _Toc18393 \h </w:instrText>
          </w:r>
          <w:r>
            <w:fldChar w:fldCharType="separate"/>
          </w:r>
          <w:r>
            <w:t>11</w:t>
          </w:r>
          <w:r>
            <w:fldChar w:fldCharType="end"/>
          </w:r>
          <w:r>
            <w:rPr>
              <w:rFonts w:hint="eastAsia"/>
              <w:lang w:val="en-US" w:eastAsia="zh-CN"/>
            </w:rPr>
            <w:fldChar w:fldCharType="end"/>
          </w:r>
        </w:p>
        <w:p>
          <w:pPr>
            <w:pStyle w:val="13"/>
            <w:tabs>
              <w:tab w:val="right" w:leader="dot" w:pos="8306"/>
            </w:tabs>
            <w:rPr>
              <w:sz w:val="24"/>
              <w:szCs w:val="24"/>
            </w:rPr>
          </w:pPr>
          <w:r>
            <w:rPr>
              <w:rFonts w:hint="eastAsia"/>
              <w:sz w:val="24"/>
              <w:szCs w:val="24"/>
              <w:lang w:val="en-US" w:eastAsia="zh-CN"/>
            </w:rPr>
            <w:fldChar w:fldCharType="begin"/>
          </w:r>
          <w:r>
            <w:rPr>
              <w:rFonts w:hint="eastAsia"/>
              <w:sz w:val="24"/>
              <w:szCs w:val="24"/>
              <w:lang w:val="en-US" w:eastAsia="zh-CN"/>
            </w:rPr>
            <w:instrText xml:space="preserve"> HYPERLINK \l _Toc10271 </w:instrText>
          </w:r>
          <w:r>
            <w:rPr>
              <w:rFonts w:hint="eastAsia"/>
              <w:sz w:val="24"/>
              <w:szCs w:val="24"/>
              <w:lang w:val="en-US" w:eastAsia="zh-CN"/>
            </w:rPr>
            <w:fldChar w:fldCharType="separate"/>
          </w:r>
          <w:r>
            <w:rPr>
              <w:rFonts w:hint="default" w:ascii="Times New Roman" w:hAnsi="Times New Roman" w:eastAsia="宋体" w:cs="宋体"/>
              <w:bCs/>
              <w:sz w:val="24"/>
              <w:szCs w:val="24"/>
              <w:lang w:val="en-US" w:eastAsia="zh-CN"/>
            </w:rPr>
            <w:t xml:space="preserve">3.1 </w:t>
          </w:r>
          <w:r>
            <w:rPr>
              <w:rFonts w:hint="eastAsia" w:eastAsia="黑体" w:cstheme="minorBidi"/>
              <w:color w:val="auto"/>
              <w:kern w:val="2"/>
              <w:sz w:val="24"/>
              <w:szCs w:val="24"/>
              <w:lang w:val="en-US" w:eastAsia="zh-CN" w:bidi="ar-SA"/>
            </w:rPr>
            <w:t>H</w:t>
          </w:r>
          <w:r>
            <w:rPr>
              <w:rFonts w:hint="eastAsia" w:ascii="Times New Roman" w:hAnsi="Times New Roman" w:eastAsia="黑体" w:cstheme="minorBidi"/>
              <w:color w:val="auto"/>
              <w:kern w:val="2"/>
              <w:sz w:val="24"/>
              <w:szCs w:val="24"/>
              <w:lang w:val="en-US" w:eastAsia="zh-CN" w:bidi="ar-SA"/>
            </w:rPr>
            <w:t xml:space="preserve">ollow </w:t>
          </w:r>
          <w:r>
            <w:rPr>
              <w:rFonts w:hint="eastAsia" w:eastAsia="黑体" w:cstheme="minorBidi"/>
              <w:color w:val="auto"/>
              <w:kern w:val="2"/>
              <w:sz w:val="24"/>
              <w:szCs w:val="24"/>
              <w:lang w:val="en-US" w:eastAsia="zh-CN" w:bidi="ar-SA"/>
            </w:rPr>
            <w:t>C</w:t>
          </w:r>
          <w:r>
            <w:rPr>
              <w:rFonts w:hint="eastAsia" w:ascii="Times New Roman" w:hAnsi="Times New Roman" w:eastAsia="黑体" w:cstheme="minorBidi"/>
              <w:color w:val="auto"/>
              <w:kern w:val="2"/>
              <w:sz w:val="24"/>
              <w:szCs w:val="24"/>
              <w:lang w:val="en-US" w:eastAsia="zh-CN" w:bidi="ar-SA"/>
            </w:rPr>
            <w:t xml:space="preserve">omposite </w:t>
          </w:r>
          <w:r>
            <w:rPr>
              <w:rFonts w:hint="eastAsia" w:eastAsia="黑体" w:cstheme="minorBidi"/>
              <w:color w:val="auto"/>
              <w:kern w:val="2"/>
              <w:sz w:val="24"/>
              <w:szCs w:val="24"/>
              <w:lang w:val="en-US" w:eastAsia="zh-CN" w:bidi="ar-SA"/>
            </w:rPr>
            <w:t>F</w:t>
          </w:r>
          <w:r>
            <w:rPr>
              <w:rFonts w:hint="eastAsia" w:ascii="Times New Roman" w:hAnsi="Times New Roman" w:eastAsia="黑体" w:cstheme="minorBidi"/>
              <w:color w:val="auto"/>
              <w:kern w:val="2"/>
              <w:sz w:val="24"/>
              <w:szCs w:val="24"/>
              <w:lang w:val="en-US" w:eastAsia="zh-CN" w:bidi="ar-SA"/>
            </w:rPr>
            <w:t>loor</w:t>
          </w:r>
          <w:r>
            <w:rPr>
              <w:rFonts w:hint="eastAsia" w:eastAsia="黑体" w:cstheme="minorBidi"/>
              <w:color w:val="auto"/>
              <w:kern w:val="2"/>
              <w:sz w:val="24"/>
              <w:szCs w:val="24"/>
              <w:lang w:val="en-US" w:eastAsia="zh-CN" w:bidi="ar-SA"/>
            </w:rPr>
            <w:t>s</w:t>
          </w:r>
          <w:r>
            <w:rPr>
              <w:sz w:val="24"/>
              <w:szCs w:val="24"/>
            </w:rPr>
            <w:tab/>
          </w:r>
          <w:r>
            <w:rPr>
              <w:sz w:val="24"/>
              <w:szCs w:val="24"/>
            </w:rPr>
            <w:fldChar w:fldCharType="begin"/>
          </w:r>
          <w:r>
            <w:rPr>
              <w:sz w:val="24"/>
              <w:szCs w:val="24"/>
            </w:rPr>
            <w:instrText xml:space="preserve"> PAGEREF _Toc10271 \h </w:instrText>
          </w:r>
          <w:r>
            <w:rPr>
              <w:sz w:val="24"/>
              <w:szCs w:val="24"/>
            </w:rPr>
            <w:fldChar w:fldCharType="separate"/>
          </w:r>
          <w:r>
            <w:rPr>
              <w:sz w:val="24"/>
              <w:szCs w:val="24"/>
            </w:rPr>
            <w:t>11</w:t>
          </w:r>
          <w:r>
            <w:rPr>
              <w:sz w:val="24"/>
              <w:szCs w:val="24"/>
            </w:rPr>
            <w:fldChar w:fldCharType="end"/>
          </w:r>
          <w:r>
            <w:rPr>
              <w:rFonts w:hint="eastAsia"/>
              <w:sz w:val="24"/>
              <w:szCs w:val="24"/>
              <w:lang w:val="en-US" w:eastAsia="zh-CN"/>
            </w:rPr>
            <w:fldChar w:fldCharType="end"/>
          </w:r>
        </w:p>
        <w:p>
          <w:pPr>
            <w:pStyle w:val="13"/>
            <w:tabs>
              <w:tab w:val="right" w:leader="dot" w:pos="8306"/>
            </w:tabs>
          </w:pPr>
          <w:r>
            <w:rPr>
              <w:rFonts w:hint="eastAsia"/>
              <w:sz w:val="24"/>
              <w:szCs w:val="24"/>
              <w:lang w:val="en-US" w:eastAsia="zh-CN"/>
            </w:rPr>
            <w:fldChar w:fldCharType="begin"/>
          </w:r>
          <w:r>
            <w:rPr>
              <w:rFonts w:hint="eastAsia"/>
              <w:sz w:val="24"/>
              <w:szCs w:val="24"/>
              <w:lang w:val="en-US" w:eastAsia="zh-CN"/>
            </w:rPr>
            <w:instrText xml:space="preserve"> HYPERLINK \l _Toc23643 </w:instrText>
          </w:r>
          <w:r>
            <w:rPr>
              <w:rFonts w:hint="eastAsia"/>
              <w:sz w:val="24"/>
              <w:szCs w:val="24"/>
              <w:lang w:val="en-US" w:eastAsia="zh-CN"/>
            </w:rPr>
            <w:fldChar w:fldCharType="separate"/>
          </w:r>
          <w:r>
            <w:rPr>
              <w:rFonts w:hint="default" w:ascii="Times New Roman" w:hAnsi="Times New Roman" w:eastAsia="宋体" w:cs="宋体"/>
              <w:bCs/>
              <w:sz w:val="24"/>
              <w:szCs w:val="24"/>
              <w:lang w:val="en-US" w:eastAsia="zh-CN"/>
            </w:rPr>
            <w:t xml:space="preserve">3.2 </w:t>
          </w:r>
          <w:r>
            <w:rPr>
              <w:rFonts w:hint="eastAsia" w:eastAsia="黑体" w:cstheme="minorBidi"/>
              <w:color w:val="auto"/>
              <w:kern w:val="2"/>
              <w:sz w:val="24"/>
              <w:szCs w:val="24"/>
              <w:lang w:val="en-US" w:eastAsia="zh-CN" w:bidi="ar-SA"/>
            </w:rPr>
            <w:t>H</w:t>
          </w:r>
          <w:r>
            <w:rPr>
              <w:rFonts w:hint="eastAsia" w:ascii="Times New Roman" w:hAnsi="Times New Roman" w:eastAsia="黑体" w:cstheme="minorBidi"/>
              <w:color w:val="auto"/>
              <w:kern w:val="2"/>
              <w:sz w:val="24"/>
              <w:szCs w:val="24"/>
              <w:lang w:val="en-US" w:eastAsia="zh-CN" w:bidi="ar-SA"/>
            </w:rPr>
            <w:t xml:space="preserve">ollow </w:t>
          </w:r>
          <w:r>
            <w:rPr>
              <w:rFonts w:hint="eastAsia" w:eastAsia="黑体" w:cstheme="minorBidi"/>
              <w:color w:val="auto"/>
              <w:kern w:val="2"/>
              <w:sz w:val="24"/>
              <w:szCs w:val="24"/>
              <w:lang w:val="en-US" w:eastAsia="zh-CN" w:bidi="ar-SA"/>
            </w:rPr>
            <w:t>C</w:t>
          </w:r>
          <w:r>
            <w:rPr>
              <w:rFonts w:hint="eastAsia" w:ascii="Times New Roman" w:hAnsi="Times New Roman" w:eastAsia="黑体" w:cstheme="minorBidi"/>
              <w:color w:val="auto"/>
              <w:kern w:val="2"/>
              <w:sz w:val="24"/>
              <w:szCs w:val="24"/>
              <w:lang w:val="en-US" w:eastAsia="zh-CN" w:bidi="ar-SA"/>
            </w:rPr>
            <w:t xml:space="preserve">omposite </w:t>
          </w:r>
          <w:r>
            <w:rPr>
              <w:rFonts w:hint="eastAsia" w:eastAsia="黑体" w:cstheme="minorBidi"/>
              <w:color w:val="auto"/>
              <w:kern w:val="2"/>
              <w:sz w:val="24"/>
              <w:szCs w:val="24"/>
              <w:lang w:val="en-US" w:eastAsia="zh-CN" w:bidi="ar-SA"/>
            </w:rPr>
            <w:t>Slabs</w:t>
          </w:r>
          <w:r>
            <w:rPr>
              <w:sz w:val="24"/>
              <w:szCs w:val="24"/>
            </w:rPr>
            <w:tab/>
          </w:r>
          <w:r>
            <w:rPr>
              <w:sz w:val="24"/>
              <w:szCs w:val="24"/>
            </w:rPr>
            <w:fldChar w:fldCharType="begin"/>
          </w:r>
          <w:r>
            <w:rPr>
              <w:sz w:val="24"/>
              <w:szCs w:val="24"/>
            </w:rPr>
            <w:instrText xml:space="preserve"> PAGEREF _Toc23643 \h </w:instrText>
          </w:r>
          <w:r>
            <w:rPr>
              <w:sz w:val="24"/>
              <w:szCs w:val="24"/>
            </w:rPr>
            <w:fldChar w:fldCharType="separate"/>
          </w:r>
          <w:r>
            <w:rPr>
              <w:sz w:val="24"/>
              <w:szCs w:val="24"/>
            </w:rPr>
            <w:t>13</w:t>
          </w:r>
          <w:r>
            <w:rPr>
              <w:sz w:val="24"/>
              <w:szCs w:val="24"/>
            </w:rPr>
            <w:fldChar w:fldCharType="end"/>
          </w:r>
          <w:r>
            <w:rPr>
              <w:rFonts w:hint="eastAsia"/>
              <w:sz w:val="24"/>
              <w:szCs w:val="24"/>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_Toc6122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3.3 </w:t>
          </w:r>
          <w:r>
            <w:rPr>
              <w:rFonts w:hint="default"/>
              <w:highlight w:val="none"/>
              <w:lang w:val="en-US" w:eastAsia="zh-CN"/>
            </w:rPr>
            <w:t xml:space="preserve">Applicable </w:t>
          </w:r>
          <w:r>
            <w:rPr>
              <w:rFonts w:hint="eastAsia"/>
              <w:highlight w:val="none"/>
              <w:lang w:val="en-US" w:eastAsia="zh-CN"/>
            </w:rPr>
            <w:t>H</w:t>
          </w:r>
          <w:r>
            <w:rPr>
              <w:rFonts w:hint="default"/>
              <w:highlight w:val="none"/>
              <w:lang w:val="en-US" w:eastAsia="zh-CN"/>
            </w:rPr>
            <w:t xml:space="preserve">eight and </w:t>
          </w:r>
          <w:r>
            <w:rPr>
              <w:rFonts w:hint="eastAsia"/>
              <w:highlight w:val="none"/>
              <w:lang w:val="en-US" w:eastAsia="zh-CN"/>
            </w:rPr>
            <w:t>S</w:t>
          </w:r>
          <w:r>
            <w:rPr>
              <w:rFonts w:hint="default"/>
              <w:highlight w:val="none"/>
              <w:lang w:val="en-US" w:eastAsia="zh-CN"/>
            </w:rPr>
            <w:t xml:space="preserve">eismic </w:t>
          </w:r>
          <w:r>
            <w:rPr>
              <w:rFonts w:hint="eastAsia"/>
              <w:highlight w:val="none"/>
              <w:lang w:val="en-US" w:eastAsia="zh-CN"/>
            </w:rPr>
            <w:t>R</w:t>
          </w:r>
          <w:r>
            <w:rPr>
              <w:rFonts w:hint="default"/>
              <w:highlight w:val="none"/>
              <w:lang w:val="en-US" w:eastAsia="zh-CN"/>
            </w:rPr>
            <w:t xml:space="preserve">ating of the </w:t>
          </w:r>
          <w:r>
            <w:rPr>
              <w:rFonts w:hint="eastAsia"/>
              <w:highlight w:val="none"/>
              <w:lang w:val="en-US" w:eastAsia="zh-CN"/>
            </w:rPr>
            <w:t>H</w:t>
          </w:r>
          <w:r>
            <w:rPr>
              <w:rFonts w:hint="default"/>
              <w:highlight w:val="none"/>
              <w:lang w:val="en-US" w:eastAsia="zh-CN"/>
            </w:rPr>
            <w:t>ouse</w:t>
          </w:r>
          <w:r>
            <w:tab/>
          </w:r>
          <w:r>
            <w:fldChar w:fldCharType="begin"/>
          </w:r>
          <w:r>
            <w:instrText xml:space="preserve"> PAGEREF _Toc6122 \h </w:instrText>
          </w:r>
          <w:r>
            <w:fldChar w:fldCharType="separate"/>
          </w:r>
          <w:r>
            <w:t>14</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_Toc5670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4 </w:t>
          </w:r>
          <w:r>
            <w:rPr>
              <w:rFonts w:hint="eastAsia"/>
              <w:lang w:val="en-US" w:eastAsia="zh-CN"/>
            </w:rPr>
            <w:t>Materials</w:t>
          </w:r>
          <w:r>
            <w:tab/>
          </w:r>
          <w:r>
            <w:fldChar w:fldCharType="begin"/>
          </w:r>
          <w:r>
            <w:instrText xml:space="preserve"> PAGEREF _Toc5670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_Toc7083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4.1 </w:t>
          </w:r>
          <w:r>
            <w:rPr>
              <w:rFonts w:hint="eastAsia"/>
              <w:lang w:val="en-US" w:eastAsia="zh-CN"/>
            </w:rPr>
            <w:t>Concrete</w:t>
          </w:r>
          <w:r>
            <w:tab/>
          </w:r>
          <w:r>
            <w:fldChar w:fldCharType="begin"/>
          </w:r>
          <w:r>
            <w:instrText xml:space="preserve"> PAGEREF _Toc7083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_Toc4516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4.2 </w:t>
          </w:r>
          <w:r>
            <w:rPr>
              <w:rFonts w:hint="eastAsia" w:cs="宋体"/>
              <w:bCs/>
              <w:szCs w:val="28"/>
              <w:lang w:val="en-US" w:eastAsia="zh-CN"/>
            </w:rPr>
            <w:t>Reinforcement and Steel</w:t>
          </w:r>
          <w:r>
            <w:tab/>
          </w:r>
          <w:r>
            <w:fldChar w:fldCharType="begin"/>
          </w:r>
          <w:r>
            <w:instrText xml:space="preserve"> PAGEREF _Toc4516 \h </w:instrText>
          </w:r>
          <w:r>
            <w:fldChar w:fldCharType="separate"/>
          </w:r>
          <w:r>
            <w:t>16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_Toc18065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4.3 </w:t>
          </w:r>
          <w:r>
            <w:rPr>
              <w:rFonts w:hint="eastAsia"/>
              <w:lang w:val="en-US" w:eastAsia="zh-CN"/>
            </w:rPr>
            <w:t>F</w:t>
          </w:r>
          <w:r>
            <w:rPr>
              <w:rFonts w:hint="default"/>
              <w:lang w:val="en-US" w:eastAsia="zh-CN"/>
            </w:rPr>
            <w:t xml:space="preserve">iller of </w:t>
          </w:r>
          <w:r>
            <w:rPr>
              <w:rFonts w:hint="eastAsia"/>
              <w:lang w:val="en-US" w:eastAsia="zh-CN"/>
            </w:rPr>
            <w:t>B</w:t>
          </w:r>
          <w:r>
            <w:rPr>
              <w:rFonts w:hint="default"/>
              <w:lang w:val="en-US" w:eastAsia="zh-CN"/>
            </w:rPr>
            <w:t xml:space="preserve">ox </w:t>
          </w:r>
          <w:r>
            <w:rPr>
              <w:rFonts w:hint="eastAsia"/>
              <w:lang w:val="en-US" w:eastAsia="zh-CN"/>
            </w:rPr>
            <w:t>S</w:t>
          </w:r>
          <w:r>
            <w:rPr>
              <w:rFonts w:hint="default"/>
              <w:lang w:val="en-US" w:eastAsia="zh-CN"/>
            </w:rPr>
            <w:t>hape</w:t>
          </w:r>
          <w:r>
            <w:tab/>
          </w:r>
          <w:r>
            <w:fldChar w:fldCharType="begin"/>
          </w:r>
          <w:r>
            <w:instrText xml:space="preserve"> PAGEREF _Toc18065 \h </w:instrText>
          </w:r>
          <w:r>
            <w:fldChar w:fldCharType="separate"/>
          </w:r>
          <w:r>
            <w:t>19</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_Toc9200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4.4 </w:t>
          </w:r>
          <w:r>
            <w:rPr>
              <w:rStyle w:val="18"/>
              <w:smallCaps w:val="0"/>
              <w:color w:val="auto"/>
              <w:sz w:val="24"/>
              <w:szCs w:val="24"/>
            </w:rPr>
            <w:t>Other Materrials</w:t>
          </w:r>
          <w:r>
            <w:tab/>
          </w:r>
          <w:r>
            <w:fldChar w:fldCharType="begin"/>
          </w:r>
          <w:r>
            <w:instrText xml:space="preserve"> PAGEREF _Toc9200 \h </w:instrText>
          </w:r>
          <w:r>
            <w:fldChar w:fldCharType="separate"/>
          </w:r>
          <w:r>
            <w:t>21</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_Toc5453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5 </w:t>
          </w:r>
          <w:r>
            <w:rPr>
              <w:rFonts w:hint="default"/>
              <w:lang w:val="en-US" w:eastAsia="zh-CN"/>
            </w:rPr>
            <w:t>Structural Analysis and Design</w:t>
          </w:r>
          <w:r>
            <w:tab/>
          </w:r>
          <w:r>
            <w:fldChar w:fldCharType="begin"/>
          </w:r>
          <w:r>
            <w:instrText xml:space="preserve"> PAGEREF _Toc5453 \h </w:instrText>
          </w:r>
          <w:r>
            <w:fldChar w:fldCharType="separate"/>
          </w:r>
          <w:r>
            <w:t>22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_Toc27380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5.1 </w:t>
          </w:r>
          <w:bookmarkStart w:id="10" w:name="OLE_LINK10"/>
          <w:r>
            <w:rPr>
              <w:rFonts w:hint="eastAsia"/>
              <w:lang w:val="en-US" w:eastAsia="zh-CN"/>
            </w:rPr>
            <w:t>G</w:t>
          </w:r>
          <w:r>
            <w:rPr>
              <w:rFonts w:hint="default"/>
              <w:lang w:val="en-US" w:eastAsia="zh-CN"/>
            </w:rPr>
            <w:t xml:space="preserve">eneral </w:t>
          </w:r>
          <w:r>
            <w:rPr>
              <w:rFonts w:hint="eastAsia"/>
              <w:lang w:val="en-US" w:eastAsia="zh-CN"/>
            </w:rPr>
            <w:t>Requirements</w:t>
          </w:r>
          <w:bookmarkEnd w:id="10"/>
          <w:r>
            <w:tab/>
          </w:r>
          <w:r>
            <w:fldChar w:fldCharType="begin"/>
          </w:r>
          <w:r>
            <w:instrText xml:space="preserve"> PAGEREF _Toc27380 \h </w:instrText>
          </w:r>
          <w:r>
            <w:fldChar w:fldCharType="separate"/>
          </w:r>
          <w:r>
            <w:t>22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_Toc23098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5.2 </w:t>
          </w:r>
          <w:r>
            <w:rPr>
              <w:rFonts w:hint="eastAsia"/>
              <w:lang w:val="en-US" w:eastAsia="zh-CN"/>
            </w:rPr>
            <w:t>Structural Layout Requirements</w:t>
          </w:r>
          <w:r>
            <w:tab/>
          </w:r>
          <w:r>
            <w:fldChar w:fldCharType="begin"/>
          </w:r>
          <w:r>
            <w:instrText xml:space="preserve"> PAGEREF _Toc23098 \h </w:instrText>
          </w:r>
          <w:r>
            <w:fldChar w:fldCharType="separate"/>
          </w:r>
          <w:r>
            <w:t>24</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_Toc13160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5.3 </w:t>
          </w:r>
          <w:r>
            <w:rPr>
              <w:rFonts w:hint="eastAsia"/>
              <w:lang w:val="en-US" w:eastAsia="zh-CN"/>
            </w:rPr>
            <w:t>Calculation and Verification of Hollow Composite Slabs</w:t>
          </w:r>
          <w:r>
            <w:tab/>
          </w:r>
          <w:r>
            <w:fldChar w:fldCharType="begin"/>
          </w:r>
          <w:r>
            <w:instrText xml:space="preserve"> PAGEREF _Toc13160 \h </w:instrText>
          </w:r>
          <w:r>
            <w:fldChar w:fldCharType="separate"/>
          </w:r>
          <w:r>
            <w:t>26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_Toc3018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5.4 </w:t>
          </w:r>
          <w:r>
            <w:rPr>
              <w:rFonts w:hint="default"/>
              <w:lang w:val="en-US" w:eastAsia="zh-CN"/>
            </w:rPr>
            <w:t xml:space="preserve">Calculation and </w:t>
          </w:r>
          <w:r>
            <w:rPr>
              <w:rFonts w:hint="eastAsia"/>
              <w:lang w:val="en-US" w:eastAsia="zh-CN"/>
            </w:rPr>
            <w:t>V</w:t>
          </w:r>
          <w:r>
            <w:rPr>
              <w:rFonts w:hint="default"/>
              <w:lang w:val="en-US" w:eastAsia="zh-CN"/>
            </w:rPr>
            <w:t xml:space="preserve">erification of </w:t>
          </w:r>
          <w:r>
            <w:rPr>
              <w:rFonts w:hint="eastAsia"/>
              <w:lang w:val="en-US" w:eastAsia="zh-CN"/>
            </w:rPr>
            <w:t>T</w:t>
          </w:r>
          <w:r>
            <w:rPr>
              <w:rFonts w:hint="default"/>
              <w:lang w:val="en-US" w:eastAsia="zh-CN"/>
            </w:rPr>
            <w:t xml:space="preserve">emporary </w:t>
          </w:r>
          <w:r>
            <w:rPr>
              <w:rFonts w:hint="eastAsia"/>
              <w:lang w:val="en-US" w:eastAsia="zh-CN"/>
            </w:rPr>
            <w:t>D</w:t>
          </w:r>
          <w:r>
            <w:rPr>
              <w:rFonts w:hint="default"/>
              <w:lang w:val="en-US" w:eastAsia="zh-CN"/>
            </w:rPr>
            <w:t xml:space="preserve">esign </w:t>
          </w:r>
          <w:r>
            <w:rPr>
              <w:rFonts w:hint="eastAsia"/>
              <w:lang w:val="en-US" w:eastAsia="zh-CN"/>
            </w:rPr>
            <w:t>C</w:t>
          </w:r>
          <w:r>
            <w:rPr>
              <w:rFonts w:hint="default"/>
              <w:lang w:val="en-US" w:eastAsia="zh-CN"/>
            </w:rPr>
            <w:t xml:space="preserve">onditions for </w:t>
          </w:r>
          <w:r>
            <w:rPr>
              <w:rFonts w:hint="eastAsia"/>
              <w:lang w:val="en-US" w:eastAsia="zh-CN"/>
            </w:rPr>
            <w:t>P</w:t>
          </w:r>
          <w:r>
            <w:rPr>
              <w:rFonts w:hint="default"/>
              <w:lang w:val="en-US" w:eastAsia="zh-CN"/>
            </w:rPr>
            <w:t>re</w:t>
          </w:r>
          <w:r>
            <w:rPr>
              <w:rFonts w:hint="eastAsia"/>
              <w:lang w:val="en-US" w:eastAsia="zh-CN"/>
            </w:rPr>
            <w:t>cast P</w:t>
          </w:r>
          <w:r>
            <w:rPr>
              <w:rFonts w:hint="default"/>
              <w:lang w:val="en-US" w:eastAsia="zh-CN"/>
            </w:rPr>
            <w:t>lates</w:t>
          </w:r>
          <w:r>
            <w:tab/>
          </w:r>
          <w:r>
            <w:fldChar w:fldCharType="begin"/>
          </w:r>
          <w:r>
            <w:instrText xml:space="preserve"> PAGEREF _Toc3018 \h </w:instrText>
          </w:r>
          <w:r>
            <w:fldChar w:fldCharType="separate"/>
          </w:r>
          <w:r>
            <w:t>31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_Toc3091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5.5 </w:t>
          </w:r>
          <w:r>
            <w:rPr>
              <w:rFonts w:hint="default"/>
              <w:lang w:val="en-US" w:eastAsia="zh-CN"/>
            </w:rPr>
            <w:t xml:space="preserve">Construction </w:t>
          </w:r>
          <w:r>
            <w:rPr>
              <w:rFonts w:hint="eastAsia"/>
              <w:lang w:val="en-US" w:eastAsia="zh-CN"/>
            </w:rPr>
            <w:t>R</w:t>
          </w:r>
          <w:r>
            <w:rPr>
              <w:rFonts w:hint="default"/>
              <w:lang w:val="en-US" w:eastAsia="zh-CN"/>
            </w:rPr>
            <w:t>equirements</w:t>
          </w:r>
          <w:r>
            <w:rPr>
              <w:rFonts w:hint="eastAsia"/>
              <w:lang w:val="en-US" w:eastAsia="zh-CN"/>
            </w:rPr>
            <w:t xml:space="preserve"> of </w:t>
          </w:r>
          <w:r>
            <w:rPr>
              <w:rFonts w:hint="eastAsia" w:eastAsia="黑体" w:cstheme="minorBidi"/>
              <w:color w:val="auto"/>
              <w:kern w:val="2"/>
              <w:sz w:val="24"/>
              <w:szCs w:val="24"/>
              <w:lang w:val="en-US" w:eastAsia="zh-CN" w:bidi="ar-SA"/>
            </w:rPr>
            <w:t>H</w:t>
          </w:r>
          <w:r>
            <w:rPr>
              <w:rFonts w:hint="eastAsia" w:ascii="Times New Roman" w:hAnsi="Times New Roman" w:eastAsia="黑体" w:cstheme="minorBidi"/>
              <w:color w:val="auto"/>
              <w:kern w:val="2"/>
              <w:sz w:val="24"/>
              <w:szCs w:val="24"/>
              <w:lang w:val="en-US" w:eastAsia="zh-CN" w:bidi="ar-SA"/>
            </w:rPr>
            <w:t xml:space="preserve">ollow </w:t>
          </w:r>
          <w:r>
            <w:rPr>
              <w:rFonts w:hint="eastAsia" w:eastAsia="黑体" w:cstheme="minorBidi"/>
              <w:color w:val="auto"/>
              <w:kern w:val="2"/>
              <w:sz w:val="24"/>
              <w:szCs w:val="24"/>
              <w:lang w:val="en-US" w:eastAsia="zh-CN" w:bidi="ar-SA"/>
            </w:rPr>
            <w:t>C</w:t>
          </w:r>
          <w:r>
            <w:rPr>
              <w:rFonts w:hint="eastAsia" w:ascii="Times New Roman" w:hAnsi="Times New Roman" w:eastAsia="黑体" w:cstheme="minorBidi"/>
              <w:color w:val="auto"/>
              <w:kern w:val="2"/>
              <w:sz w:val="24"/>
              <w:szCs w:val="24"/>
              <w:lang w:val="en-US" w:eastAsia="zh-CN" w:bidi="ar-SA"/>
            </w:rPr>
            <w:t xml:space="preserve">omposite </w:t>
          </w:r>
          <w:r>
            <w:rPr>
              <w:rFonts w:hint="eastAsia" w:eastAsia="黑体" w:cstheme="minorBidi"/>
              <w:color w:val="auto"/>
              <w:kern w:val="2"/>
              <w:sz w:val="24"/>
              <w:szCs w:val="24"/>
              <w:lang w:val="en-US" w:eastAsia="zh-CN" w:bidi="ar-SA"/>
            </w:rPr>
            <w:t>Slabs</w:t>
          </w:r>
          <w:r>
            <w:tab/>
          </w:r>
          <w:r>
            <w:fldChar w:fldCharType="begin"/>
          </w:r>
          <w:r>
            <w:instrText xml:space="preserve"> PAGEREF _Toc3091 \h </w:instrText>
          </w:r>
          <w:r>
            <w:fldChar w:fldCharType="separate"/>
          </w:r>
          <w:r>
            <w:t>35</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_Toc3935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5.6 </w:t>
          </w:r>
          <w:r>
            <w:rPr>
              <w:rFonts w:hint="default"/>
              <w:lang w:val="en-US" w:eastAsia="zh-CN"/>
            </w:rPr>
            <w:t xml:space="preserve">Construction </w:t>
          </w:r>
          <w:r>
            <w:rPr>
              <w:rFonts w:hint="eastAsia"/>
              <w:lang w:val="en-US" w:eastAsia="zh-CN"/>
            </w:rPr>
            <w:t>R</w:t>
          </w:r>
          <w:r>
            <w:rPr>
              <w:rFonts w:hint="default"/>
              <w:lang w:val="en-US" w:eastAsia="zh-CN"/>
            </w:rPr>
            <w:t>equirements</w:t>
          </w:r>
          <w:r>
            <w:rPr>
              <w:rFonts w:hint="eastAsia"/>
              <w:lang w:val="en-US" w:eastAsia="zh-CN"/>
            </w:rPr>
            <w:t xml:space="preserve"> of P</w:t>
          </w:r>
          <w:r>
            <w:rPr>
              <w:rFonts w:hint="default"/>
              <w:lang w:val="en-US" w:eastAsia="zh-CN"/>
            </w:rPr>
            <w:t>re</w:t>
          </w:r>
          <w:r>
            <w:rPr>
              <w:rFonts w:hint="eastAsia"/>
              <w:lang w:val="en-US" w:eastAsia="zh-CN"/>
            </w:rPr>
            <w:t>cast P</w:t>
          </w:r>
          <w:r>
            <w:rPr>
              <w:rFonts w:hint="default"/>
              <w:lang w:val="en-US" w:eastAsia="zh-CN"/>
            </w:rPr>
            <w:t>lates</w:t>
          </w:r>
          <w:r>
            <w:tab/>
          </w:r>
          <w:r>
            <w:fldChar w:fldCharType="begin"/>
          </w:r>
          <w:r>
            <w:instrText xml:space="preserve"> PAGEREF _Toc3935 \h </w:instrText>
          </w:r>
          <w:r>
            <w:fldChar w:fldCharType="separate"/>
          </w:r>
          <w:r>
            <w:t>38</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_Toc22450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5.7 </w:t>
          </w:r>
          <w:r>
            <w:rPr>
              <w:rFonts w:hint="default"/>
              <w:lang w:val="en-US" w:eastAsia="zh-CN"/>
            </w:rPr>
            <w:t xml:space="preserve">Construction </w:t>
          </w:r>
          <w:r>
            <w:rPr>
              <w:rFonts w:hint="eastAsia"/>
              <w:lang w:val="en-US" w:eastAsia="zh-CN"/>
            </w:rPr>
            <w:t>R</w:t>
          </w:r>
          <w:r>
            <w:rPr>
              <w:rFonts w:hint="default"/>
              <w:lang w:val="en-US" w:eastAsia="zh-CN"/>
            </w:rPr>
            <w:t>equirements</w:t>
          </w:r>
          <w:r>
            <w:rPr>
              <w:rFonts w:hint="eastAsia"/>
              <w:lang w:val="en-US" w:eastAsia="zh-CN"/>
            </w:rPr>
            <w:t xml:space="preserve"> of Joint and Support</w:t>
          </w:r>
          <w:r>
            <w:tab/>
          </w:r>
          <w:r>
            <w:fldChar w:fldCharType="begin"/>
          </w:r>
          <w:r>
            <w:instrText xml:space="preserve"> PAGEREF _Toc22450 \h </w:instrText>
          </w:r>
          <w:r>
            <w:fldChar w:fldCharType="separate"/>
          </w:r>
          <w:r>
            <w:t>45</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_Toc11264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6 </w:t>
          </w:r>
          <w:r>
            <w:rPr>
              <w:rFonts w:ascii="Times New Roman"/>
              <w:sz w:val="24"/>
            </w:rPr>
            <w:t>Manufacting</w:t>
          </w:r>
          <w:r>
            <w:rPr>
              <w:rFonts w:ascii="Times New Roman"/>
              <w:spacing w:val="-1"/>
              <w:sz w:val="24"/>
            </w:rPr>
            <w:t xml:space="preserve"> </w:t>
          </w:r>
          <w:r>
            <w:rPr>
              <w:rFonts w:ascii="Times New Roman"/>
              <w:sz w:val="24"/>
            </w:rPr>
            <w:t>and</w:t>
          </w:r>
          <w:r>
            <w:rPr>
              <w:rFonts w:ascii="Times New Roman"/>
              <w:spacing w:val="-5"/>
              <w:sz w:val="24"/>
            </w:rPr>
            <w:t xml:space="preserve"> </w:t>
          </w:r>
          <w:r>
            <w:rPr>
              <w:rFonts w:ascii="Times New Roman"/>
              <w:sz w:val="24"/>
            </w:rPr>
            <w:t>Transportation</w:t>
          </w:r>
          <w:r>
            <w:rPr>
              <w:rFonts w:hint="eastAsia" w:ascii="Times New Roman"/>
              <w:sz w:val="24"/>
              <w:lang w:val="en-US" w:eastAsia="zh-CN"/>
            </w:rPr>
            <w:t xml:space="preserve"> of </w:t>
          </w:r>
          <w:r>
            <w:rPr>
              <w:rFonts w:hint="eastAsia"/>
              <w:lang w:val="en-US" w:eastAsia="zh-CN"/>
            </w:rPr>
            <w:t>P</w:t>
          </w:r>
          <w:r>
            <w:rPr>
              <w:rFonts w:hint="default"/>
              <w:lang w:val="en-US" w:eastAsia="zh-CN"/>
            </w:rPr>
            <w:t>re</w:t>
          </w:r>
          <w:r>
            <w:rPr>
              <w:rFonts w:hint="eastAsia"/>
              <w:lang w:val="en-US" w:eastAsia="zh-CN"/>
            </w:rPr>
            <w:t>cast P</w:t>
          </w:r>
          <w:r>
            <w:rPr>
              <w:rFonts w:hint="default"/>
              <w:lang w:val="en-US" w:eastAsia="zh-CN"/>
            </w:rPr>
            <w:t>lates</w:t>
          </w:r>
          <w:r>
            <w:tab/>
          </w:r>
          <w:r>
            <w:fldChar w:fldCharType="begin"/>
          </w:r>
          <w:r>
            <w:instrText xml:space="preserve"> PAGEREF _Toc11264 \h </w:instrText>
          </w:r>
          <w:r>
            <w:fldChar w:fldCharType="separate"/>
          </w:r>
          <w:r>
            <w:t>50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_Toc31601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6.1 </w:t>
          </w:r>
          <w:r>
            <w:rPr>
              <w:rFonts w:hint="eastAsia"/>
              <w:lang w:val="en-US" w:eastAsia="zh-CN"/>
            </w:rPr>
            <w:t>G</w:t>
          </w:r>
          <w:r>
            <w:rPr>
              <w:rFonts w:hint="default"/>
              <w:lang w:val="en-US" w:eastAsia="zh-CN"/>
            </w:rPr>
            <w:t xml:space="preserve">eneral </w:t>
          </w:r>
          <w:r>
            <w:rPr>
              <w:rFonts w:hint="eastAsia"/>
              <w:lang w:val="en-US" w:eastAsia="zh-CN"/>
            </w:rPr>
            <w:t>Requirements</w:t>
          </w:r>
          <w:r>
            <w:tab/>
          </w:r>
          <w:r>
            <w:fldChar w:fldCharType="begin"/>
          </w:r>
          <w:r>
            <w:instrText xml:space="preserve"> PAGEREF _Toc31601 \h </w:instrText>
          </w:r>
          <w:r>
            <w:fldChar w:fldCharType="separate"/>
          </w:r>
          <w:r>
            <w:t>50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_Toc27520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6.2 </w:t>
          </w:r>
          <w:r>
            <w:rPr>
              <w:rFonts w:ascii="Times New Roman"/>
              <w:sz w:val="24"/>
            </w:rPr>
            <w:t>Raw Materials and Fitting</w:t>
          </w:r>
          <w:r>
            <w:tab/>
          </w:r>
          <w:r>
            <w:fldChar w:fldCharType="begin"/>
          </w:r>
          <w:r>
            <w:instrText xml:space="preserve"> PAGEREF _Toc27520 \h </w:instrText>
          </w:r>
          <w:r>
            <w:fldChar w:fldCharType="separate"/>
          </w:r>
          <w:r>
            <w:t>52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_Toc30174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6.3 </w:t>
          </w:r>
          <w:r>
            <w:rPr>
              <w:rFonts w:ascii="Times New Roman"/>
              <w:sz w:val="24"/>
            </w:rPr>
            <w:t>Moulds</w:t>
          </w:r>
          <w:r>
            <w:tab/>
          </w:r>
          <w:r>
            <w:fldChar w:fldCharType="begin"/>
          </w:r>
          <w:r>
            <w:instrText xml:space="preserve"> PAGEREF _Toc30174 \h </w:instrText>
          </w:r>
          <w:r>
            <w:fldChar w:fldCharType="separate"/>
          </w:r>
          <w:r>
            <w:t>54</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_Toc9746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6.4 </w:t>
          </w:r>
          <w:r>
            <w:rPr>
              <w:rFonts w:ascii="Times New Roman"/>
              <w:sz w:val="24"/>
            </w:rPr>
            <w:t>Reinforcement</w:t>
          </w:r>
          <w:r>
            <w:tab/>
          </w:r>
          <w:r>
            <w:fldChar w:fldCharType="begin"/>
          </w:r>
          <w:r>
            <w:instrText xml:space="preserve"> PAGEREF _Toc9746 \h </w:instrText>
          </w:r>
          <w:r>
            <w:fldChar w:fldCharType="separate"/>
          </w:r>
          <w:r>
            <w:t>57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_Toc19131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6.5 </w:t>
          </w:r>
          <w:r>
            <w:rPr>
              <w:rFonts w:hint="eastAsia"/>
              <w:lang w:val="en-US" w:eastAsia="zh-CN"/>
            </w:rPr>
            <w:t>Concrete</w:t>
          </w:r>
          <w:r>
            <w:tab/>
          </w:r>
          <w:r>
            <w:fldChar w:fldCharType="begin"/>
          </w:r>
          <w:r>
            <w:instrText xml:space="preserve"> PAGEREF _Toc19131 \h </w:instrText>
          </w:r>
          <w:r>
            <w:fldChar w:fldCharType="separate"/>
          </w:r>
          <w:r>
            <w:t>58</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_Toc4968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6.6 </w:t>
          </w:r>
          <w:bookmarkStart w:id="11" w:name="OLE_LINK11"/>
          <w:r>
            <w:rPr>
              <w:rFonts w:ascii="Times New Roman"/>
              <w:sz w:val="24"/>
            </w:rPr>
            <w:t>Demoulding</w:t>
          </w:r>
          <w:r>
            <w:rPr>
              <w:rFonts w:hint="eastAsia" w:ascii="Times New Roman"/>
              <w:sz w:val="24"/>
              <w:lang w:val="en-US" w:eastAsia="zh-CN"/>
            </w:rPr>
            <w:t>,</w:t>
          </w:r>
          <w:r>
            <w:rPr>
              <w:rFonts w:hint="eastAsia" w:ascii="Times New Roman"/>
              <w:spacing w:val="-1"/>
              <w:sz w:val="24"/>
              <w:lang w:val="en-US" w:eastAsia="zh-CN"/>
            </w:rPr>
            <w:t>F</w:t>
          </w:r>
          <w:r>
            <w:rPr>
              <w:rFonts w:hint="eastAsia" w:ascii="Times New Roman"/>
              <w:spacing w:val="-1"/>
              <w:sz w:val="24"/>
              <w:lang w:eastAsia="zh-CN"/>
            </w:rPr>
            <w:t>lipping</w:t>
          </w:r>
          <w:r>
            <w:rPr>
              <w:rFonts w:hint="eastAsia" w:ascii="Times New Roman"/>
              <w:spacing w:val="-1"/>
              <w:sz w:val="24"/>
              <w:lang w:val="en-US" w:eastAsia="zh-CN"/>
            </w:rPr>
            <w:t>,L</w:t>
          </w:r>
          <w:r>
            <w:rPr>
              <w:rFonts w:hint="eastAsia" w:ascii="Times New Roman"/>
              <w:spacing w:val="-1"/>
              <w:sz w:val="24"/>
              <w:lang w:eastAsia="zh-CN"/>
            </w:rPr>
            <w:t xml:space="preserve">ifting </w:t>
          </w:r>
          <w:r>
            <w:rPr>
              <w:rFonts w:ascii="Times New Roman"/>
              <w:sz w:val="24"/>
            </w:rPr>
            <w:t>and Identification</w:t>
          </w:r>
          <w:bookmarkEnd w:id="11"/>
          <w:r>
            <w:tab/>
          </w:r>
          <w:r>
            <w:fldChar w:fldCharType="begin"/>
          </w:r>
          <w:r>
            <w:instrText xml:space="preserve"> PAGEREF _Toc4968 \h </w:instrText>
          </w:r>
          <w:r>
            <w:fldChar w:fldCharType="separate"/>
          </w:r>
          <w:r>
            <w:t>60</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_Toc21018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6.7 </w:t>
          </w:r>
          <w:r>
            <w:rPr>
              <w:rFonts w:ascii="Times New Roman"/>
              <w:sz w:val="24"/>
            </w:rPr>
            <w:t>Transportation</w:t>
          </w:r>
          <w:r>
            <w:rPr>
              <w:rFonts w:hint="eastAsia" w:ascii="Times New Roman"/>
              <w:sz w:val="24"/>
              <w:lang w:val="en-US" w:eastAsia="zh-CN"/>
            </w:rPr>
            <w:t xml:space="preserve"> and </w:t>
          </w:r>
          <w:r>
            <w:rPr>
              <w:rFonts w:ascii="Times New Roman"/>
              <w:sz w:val="24"/>
            </w:rPr>
            <w:t>Storage</w:t>
          </w:r>
          <w:r>
            <w:tab/>
          </w:r>
          <w:r>
            <w:fldChar w:fldCharType="begin"/>
          </w:r>
          <w:r>
            <w:instrText xml:space="preserve"> PAGEREF _Toc21018 \h </w:instrText>
          </w:r>
          <w:r>
            <w:fldChar w:fldCharType="separate"/>
          </w:r>
          <w:r>
            <w:t>62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_Toc21957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6.8 </w:t>
          </w:r>
          <w:r>
            <w:rPr>
              <w:rFonts w:ascii="Times New Roman"/>
              <w:spacing w:val="-3"/>
              <w:sz w:val="24"/>
            </w:rPr>
            <w:t>Testing</w:t>
          </w:r>
          <w:r>
            <w:rPr>
              <w:rFonts w:hint="eastAsia"/>
              <w:spacing w:val="-3"/>
              <w:sz w:val="24"/>
              <w:lang w:val="en-US" w:eastAsia="zh-CN"/>
            </w:rPr>
            <w:t xml:space="preserve"> of </w:t>
          </w:r>
          <w:r>
            <w:rPr>
              <w:rFonts w:ascii="Times New Roman"/>
              <w:sz w:val="24"/>
            </w:rPr>
            <w:t>Precast</w:t>
          </w:r>
          <w:r>
            <w:rPr>
              <w:rFonts w:ascii="Times New Roman"/>
              <w:spacing w:val="-1"/>
              <w:sz w:val="24"/>
            </w:rPr>
            <w:t xml:space="preserve"> </w:t>
          </w:r>
          <w:r>
            <w:rPr>
              <w:rFonts w:hint="eastAsia" w:ascii="Times New Roman"/>
              <w:sz w:val="24"/>
              <w:lang w:val="en-US" w:eastAsia="zh-CN"/>
            </w:rPr>
            <w:t>Plates</w:t>
          </w:r>
          <w:r>
            <w:tab/>
          </w:r>
          <w:r>
            <w:fldChar w:fldCharType="begin"/>
          </w:r>
          <w:r>
            <w:instrText xml:space="preserve"> PAGEREF _Toc21957 \h </w:instrText>
          </w:r>
          <w:r>
            <w:fldChar w:fldCharType="separate"/>
          </w:r>
          <w:r>
            <w:t>63</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_Toc11692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7 </w:t>
          </w:r>
          <w:r>
            <w:rPr>
              <w:rFonts w:ascii="Times New Roman"/>
              <w:sz w:val="24"/>
            </w:rPr>
            <w:t>Construction</w:t>
          </w:r>
          <w:r>
            <w:rPr>
              <w:rFonts w:ascii="Times New Roman"/>
              <w:spacing w:val="-1"/>
              <w:sz w:val="24"/>
            </w:rPr>
            <w:t xml:space="preserve"> </w:t>
          </w:r>
          <w:r>
            <w:rPr>
              <w:rFonts w:ascii="Times New Roman"/>
              <w:sz w:val="24"/>
            </w:rPr>
            <w:t>and Erection</w:t>
          </w:r>
          <w:r>
            <w:tab/>
          </w:r>
          <w:r>
            <w:fldChar w:fldCharType="begin"/>
          </w:r>
          <w:r>
            <w:instrText xml:space="preserve"> PAGEREF _Toc11692 \h </w:instrText>
          </w:r>
          <w:r>
            <w:fldChar w:fldCharType="separate"/>
          </w:r>
          <w:r>
            <w:t>66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_Toc22193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7.1 </w:t>
          </w:r>
          <w:r>
            <w:rPr>
              <w:rFonts w:hint="eastAsia"/>
              <w:lang w:val="en-US" w:eastAsia="zh-CN"/>
            </w:rPr>
            <w:t>G</w:t>
          </w:r>
          <w:r>
            <w:rPr>
              <w:rFonts w:hint="default"/>
              <w:lang w:val="en-US" w:eastAsia="zh-CN"/>
            </w:rPr>
            <w:t xml:space="preserve">eneral </w:t>
          </w:r>
          <w:r>
            <w:rPr>
              <w:rFonts w:hint="eastAsia"/>
              <w:lang w:val="en-US" w:eastAsia="zh-CN"/>
            </w:rPr>
            <w:t>Requirements</w:t>
          </w:r>
          <w:r>
            <w:tab/>
          </w:r>
          <w:r>
            <w:fldChar w:fldCharType="begin"/>
          </w:r>
          <w:r>
            <w:instrText xml:space="preserve"> PAGEREF _Toc22193 \h </w:instrText>
          </w:r>
          <w:r>
            <w:fldChar w:fldCharType="separate"/>
          </w:r>
          <w:r>
            <w:t>66</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_Toc32038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7.2 </w:t>
          </w:r>
          <w:r>
            <w:rPr>
              <w:rFonts w:ascii="Times New Roman"/>
              <w:sz w:val="24"/>
            </w:rPr>
            <w:t>Construction</w:t>
          </w:r>
          <w:r>
            <w:rPr>
              <w:rFonts w:ascii="Times New Roman"/>
              <w:spacing w:val="-1"/>
              <w:sz w:val="24"/>
            </w:rPr>
            <w:t xml:space="preserve"> </w:t>
          </w:r>
          <w:r>
            <w:rPr>
              <w:rFonts w:ascii="Times New Roman"/>
              <w:sz w:val="24"/>
            </w:rPr>
            <w:t>Preparation</w:t>
          </w:r>
          <w:r>
            <w:tab/>
          </w:r>
          <w:r>
            <w:fldChar w:fldCharType="begin"/>
          </w:r>
          <w:r>
            <w:instrText xml:space="preserve"> PAGEREF _Toc32038 \h </w:instrText>
          </w:r>
          <w:r>
            <w:fldChar w:fldCharType="separate"/>
          </w:r>
          <w:r>
            <w:t>67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_Toc18986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7.3 </w:t>
          </w:r>
          <w:r>
            <w:rPr>
              <w:rFonts w:ascii="Times New Roman"/>
              <w:sz w:val="24"/>
            </w:rPr>
            <w:t>Erection</w:t>
          </w:r>
          <w:r>
            <w:rPr>
              <w:rFonts w:hint="eastAsia"/>
              <w:sz w:val="24"/>
              <w:lang w:val="en-US" w:eastAsia="zh-CN"/>
            </w:rPr>
            <w:t xml:space="preserve"> </w:t>
          </w:r>
          <w:r>
            <w:rPr>
              <w:rFonts w:hint="default"/>
              <w:lang w:val="en-US" w:eastAsia="zh-CN"/>
            </w:rPr>
            <w:t xml:space="preserve">and </w:t>
          </w:r>
          <w:r>
            <w:rPr>
              <w:rFonts w:hint="eastAsia"/>
              <w:lang w:val="en-US" w:eastAsia="zh-CN"/>
            </w:rPr>
            <w:t>C</w:t>
          </w:r>
          <w:r>
            <w:rPr>
              <w:rFonts w:hint="default"/>
              <w:lang w:val="en-US" w:eastAsia="zh-CN"/>
            </w:rPr>
            <w:t>onnection</w:t>
          </w:r>
          <w:r>
            <w:rPr>
              <w:rFonts w:hint="eastAsia"/>
              <w:lang w:val="en-US" w:eastAsia="zh-CN"/>
            </w:rPr>
            <w:t xml:space="preserve"> of Precast Plates</w:t>
          </w:r>
          <w:r>
            <w:tab/>
          </w:r>
          <w:r>
            <w:fldChar w:fldCharType="begin"/>
          </w:r>
          <w:r>
            <w:instrText xml:space="preserve"> PAGEREF _Toc18986 \h </w:instrText>
          </w:r>
          <w:r>
            <w:fldChar w:fldCharType="separate"/>
          </w:r>
          <w:r>
            <w:t>67</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_Toc29478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7.4 </w:t>
          </w:r>
          <w:r>
            <w:rPr>
              <w:rFonts w:hint="default"/>
              <w:lang w:val="en-US" w:eastAsia="zh-CN"/>
            </w:rPr>
            <w:t xml:space="preserve">Site </w:t>
          </w:r>
          <w:r>
            <w:rPr>
              <w:rFonts w:hint="eastAsia"/>
              <w:lang w:val="en-US" w:eastAsia="zh-CN"/>
            </w:rPr>
            <w:t>C</w:t>
          </w:r>
          <w:r>
            <w:rPr>
              <w:rFonts w:hint="default"/>
              <w:lang w:val="en-US" w:eastAsia="zh-CN"/>
            </w:rPr>
            <w:t>onstruction</w:t>
          </w:r>
          <w:r>
            <w:tab/>
          </w:r>
          <w:r>
            <w:fldChar w:fldCharType="begin"/>
          </w:r>
          <w:r>
            <w:instrText xml:space="preserve"> PAGEREF _Toc29478 \h </w:instrText>
          </w:r>
          <w:r>
            <w:fldChar w:fldCharType="separate"/>
          </w:r>
          <w:r>
            <w:t>69</w:t>
          </w:r>
          <w:r>
            <w:fldChar w:fldCharType="end"/>
          </w:r>
          <w:r>
            <w:rPr>
              <w:rFonts w:hint="eastAsia"/>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ind w:left="0" w:leftChars="0"/>
            <w:textAlignment w:val="auto"/>
          </w:pPr>
          <w:r>
            <w:rPr>
              <w:rFonts w:hint="eastAsia"/>
              <w:lang w:val="en-US" w:eastAsia="zh-CN"/>
            </w:rPr>
            <w:fldChar w:fldCharType="begin"/>
          </w:r>
          <w:r>
            <w:rPr>
              <w:rFonts w:hint="eastAsia"/>
              <w:lang w:val="en-US" w:eastAsia="zh-CN"/>
            </w:rPr>
            <w:instrText xml:space="preserve"> HYPERLINK \l _Toc5258 </w:instrText>
          </w:r>
          <w:r>
            <w:rPr>
              <w:rFonts w:hint="eastAsia"/>
              <w:lang w:val="en-US" w:eastAsia="zh-CN"/>
            </w:rPr>
            <w:fldChar w:fldCharType="separate"/>
          </w:r>
          <w:r>
            <w:rPr>
              <w:rFonts w:hint="default" w:ascii="Times New Roman" w:hAnsi="Times New Roman" w:eastAsia="宋体" w:cs="宋体"/>
              <w:bCs/>
              <w:szCs w:val="32"/>
              <w:lang w:val="en-US" w:eastAsia="zh-CN"/>
            </w:rPr>
            <w:t xml:space="preserve">8 </w:t>
          </w:r>
          <w:r>
            <w:rPr>
              <w:rFonts w:ascii="Times New Roman"/>
              <w:sz w:val="24"/>
            </w:rPr>
            <w:t>Quality</w:t>
          </w:r>
          <w:r>
            <w:rPr>
              <w:rFonts w:ascii="Times New Roman"/>
              <w:spacing w:val="-16"/>
              <w:sz w:val="24"/>
            </w:rPr>
            <w:t xml:space="preserve"> </w:t>
          </w:r>
          <w:r>
            <w:rPr>
              <w:rFonts w:ascii="Times New Roman"/>
              <w:sz w:val="24"/>
            </w:rPr>
            <w:t>Acceptance</w:t>
          </w:r>
          <w:r>
            <w:tab/>
          </w:r>
          <w:r>
            <w:fldChar w:fldCharType="begin"/>
          </w:r>
          <w:r>
            <w:instrText xml:space="preserve"> PAGEREF _Toc5258 \h </w:instrText>
          </w:r>
          <w:r>
            <w:fldChar w:fldCharType="separate"/>
          </w:r>
          <w:r>
            <w:t>72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_Toc13832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8.1 </w:t>
          </w:r>
          <w:r>
            <w:rPr>
              <w:rFonts w:hint="eastAsia"/>
              <w:lang w:val="en-US" w:eastAsia="zh-CN"/>
            </w:rPr>
            <w:t>G</w:t>
          </w:r>
          <w:r>
            <w:rPr>
              <w:rFonts w:hint="default"/>
              <w:lang w:val="en-US" w:eastAsia="zh-CN"/>
            </w:rPr>
            <w:t xml:space="preserve">eneral </w:t>
          </w:r>
          <w:r>
            <w:rPr>
              <w:rFonts w:hint="eastAsia"/>
              <w:lang w:val="en-US" w:eastAsia="zh-CN"/>
            </w:rPr>
            <w:t>Requirements</w:t>
          </w:r>
          <w:r>
            <w:tab/>
          </w:r>
          <w:r>
            <w:fldChar w:fldCharType="begin"/>
          </w:r>
          <w:r>
            <w:instrText xml:space="preserve"> PAGEREF _Toc13832 \h </w:instrText>
          </w:r>
          <w:r>
            <w:fldChar w:fldCharType="separate"/>
          </w:r>
          <w:r>
            <w:t>72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_Toc28798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8.2 </w:t>
          </w:r>
          <w:r>
            <w:rPr>
              <w:rFonts w:hint="default"/>
              <w:lang w:val="en-US" w:eastAsia="zh-CN"/>
            </w:rPr>
            <w:t xml:space="preserve">Entry </w:t>
          </w:r>
          <w:bookmarkStart w:id="12" w:name="OLE_LINK12"/>
          <w:r>
            <w:rPr>
              <w:rFonts w:hint="eastAsia"/>
              <w:lang w:val="en-US" w:eastAsia="zh-CN"/>
            </w:rPr>
            <w:t>I</w:t>
          </w:r>
          <w:r>
            <w:rPr>
              <w:rFonts w:hint="default"/>
              <w:lang w:val="en-US" w:eastAsia="zh-CN"/>
            </w:rPr>
            <w:t>nspection</w:t>
          </w:r>
          <w:bookmarkEnd w:id="12"/>
          <w:r>
            <w:rPr>
              <w:rFonts w:hint="eastAsia"/>
              <w:lang w:val="en-US" w:eastAsia="zh-CN"/>
            </w:rPr>
            <w:t xml:space="preserve"> of Precast Plates</w:t>
          </w:r>
          <w:r>
            <w:tab/>
          </w:r>
          <w:r>
            <w:fldChar w:fldCharType="begin"/>
          </w:r>
          <w:r>
            <w:instrText xml:space="preserve"> PAGEREF _Toc28798 \h </w:instrText>
          </w:r>
          <w:r>
            <w:fldChar w:fldCharType="separate"/>
          </w:r>
          <w:r>
            <w:t>73</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_Toc5249 </w:instrText>
          </w:r>
          <w:r>
            <w:rPr>
              <w:rFonts w:hint="eastAsia"/>
              <w:lang w:val="en-US" w:eastAsia="zh-CN"/>
            </w:rPr>
            <w:fldChar w:fldCharType="separate"/>
          </w:r>
          <w:r>
            <w:rPr>
              <w:rFonts w:hint="default" w:ascii="Times New Roman" w:hAnsi="Times New Roman" w:eastAsia="宋体" w:cs="宋体"/>
              <w:bCs/>
              <w:szCs w:val="28"/>
              <w:lang w:val="en-US" w:eastAsia="zh-CN"/>
            </w:rPr>
            <w:t xml:space="preserve">8.3 </w:t>
          </w:r>
          <w:r>
            <w:rPr>
              <w:rFonts w:ascii="Times New Roman"/>
              <w:sz w:val="24"/>
            </w:rPr>
            <w:t>Quality Acceptance of</w:t>
          </w:r>
          <w:r>
            <w:rPr>
              <w:rFonts w:ascii="Times New Roman"/>
              <w:spacing w:val="-14"/>
              <w:sz w:val="24"/>
            </w:rPr>
            <w:t xml:space="preserve"> </w:t>
          </w:r>
          <w:r>
            <w:rPr>
              <w:rFonts w:hint="eastAsia" w:ascii="Times New Roman"/>
              <w:spacing w:val="-14"/>
              <w:sz w:val="24"/>
              <w:lang w:val="en-US" w:eastAsia="zh-CN"/>
            </w:rPr>
            <w:t xml:space="preserve">Hollow </w:t>
          </w:r>
          <w:r>
            <w:rPr>
              <w:rFonts w:ascii="Times New Roman"/>
              <w:sz w:val="24"/>
            </w:rPr>
            <w:t>Composite</w:t>
          </w:r>
          <w:r>
            <w:rPr>
              <w:rFonts w:ascii="Times New Roman"/>
              <w:spacing w:val="-1"/>
              <w:sz w:val="24"/>
            </w:rPr>
            <w:t xml:space="preserve"> </w:t>
          </w:r>
          <w:r>
            <w:rPr>
              <w:rFonts w:ascii="Times New Roman"/>
              <w:sz w:val="24"/>
            </w:rPr>
            <w:t>Slab</w:t>
          </w:r>
          <w:r>
            <w:rPr>
              <w:rFonts w:hint="eastAsia" w:ascii="Times New Roman"/>
              <w:sz w:val="24"/>
              <w:lang w:val="en-US" w:eastAsia="zh-CN"/>
            </w:rPr>
            <w:t>s</w:t>
          </w:r>
          <w:r>
            <w:tab/>
          </w:r>
          <w:r>
            <w:fldChar w:fldCharType="begin"/>
          </w:r>
          <w:r>
            <w:instrText xml:space="preserve"> PAGEREF _Toc5249 \h </w:instrText>
          </w:r>
          <w:r>
            <w:fldChar w:fldCharType="separate"/>
          </w:r>
          <w:r>
            <w:t>75</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_Toc23992 </w:instrText>
          </w:r>
          <w:r>
            <w:rPr>
              <w:rFonts w:hint="eastAsia"/>
              <w:lang w:val="en-US" w:eastAsia="zh-CN"/>
            </w:rPr>
            <w:fldChar w:fldCharType="separate"/>
          </w:r>
          <w:r>
            <w:rPr>
              <w:rFonts w:ascii="Times New Roman"/>
            </w:rPr>
            <w:t>Appendix</w:t>
          </w:r>
          <w:r>
            <w:rPr>
              <w:rFonts w:ascii="Times New Roman"/>
              <w:spacing w:val="-13"/>
            </w:rPr>
            <w:t xml:space="preserve"> </w:t>
          </w:r>
          <w:r>
            <w:rPr>
              <w:rFonts w:ascii="Times New Roman"/>
            </w:rPr>
            <w:t>A</w:t>
          </w:r>
          <w:r>
            <w:rPr>
              <w:rFonts w:hint="eastAsia"/>
              <w:szCs w:val="32"/>
              <w:lang w:val="en-US" w:eastAsia="zh-CN"/>
            </w:rPr>
            <w:t xml:space="preserve"> Inspection Method of </w:t>
          </w:r>
          <w:r>
            <w:rPr>
              <w:rFonts w:hint="eastAsia"/>
              <w:lang w:val="en-US" w:eastAsia="zh-CN"/>
            </w:rPr>
            <w:t>F</w:t>
          </w:r>
          <w:r>
            <w:rPr>
              <w:rFonts w:hint="default"/>
              <w:lang w:val="en-US" w:eastAsia="zh-CN"/>
            </w:rPr>
            <w:t xml:space="preserve">iller of </w:t>
          </w:r>
          <w:r>
            <w:rPr>
              <w:rFonts w:hint="eastAsia"/>
              <w:lang w:val="en-US" w:eastAsia="zh-CN"/>
            </w:rPr>
            <w:t>B</w:t>
          </w:r>
          <w:r>
            <w:rPr>
              <w:rFonts w:hint="default"/>
              <w:lang w:val="en-US" w:eastAsia="zh-CN"/>
            </w:rPr>
            <w:t xml:space="preserve">ox </w:t>
          </w:r>
          <w:r>
            <w:rPr>
              <w:rFonts w:hint="eastAsia"/>
              <w:lang w:val="en-US" w:eastAsia="zh-CN"/>
            </w:rPr>
            <w:t>S</w:t>
          </w:r>
          <w:r>
            <w:rPr>
              <w:rFonts w:hint="default"/>
              <w:lang w:val="en-US" w:eastAsia="zh-CN"/>
            </w:rPr>
            <w:t>hape</w:t>
          </w:r>
          <w:r>
            <w:tab/>
          </w:r>
          <w:r>
            <w:fldChar w:fldCharType="begin"/>
          </w:r>
          <w:r>
            <w:instrText xml:space="preserve"> PAGEREF _Toc23992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_Toc5120 </w:instrText>
          </w:r>
          <w:r>
            <w:rPr>
              <w:rFonts w:hint="eastAsia"/>
              <w:lang w:val="en-US" w:eastAsia="zh-CN"/>
            </w:rPr>
            <w:fldChar w:fldCharType="separate"/>
          </w:r>
          <w:r>
            <w:rPr>
              <w:rFonts w:hint="eastAsia"/>
              <w:szCs w:val="28"/>
            </w:rPr>
            <w:t>A.1</w:t>
          </w:r>
          <w:r>
            <w:rPr>
              <w:rFonts w:hint="eastAsia"/>
              <w:szCs w:val="28"/>
              <w:lang w:val="en-US" w:eastAsia="zh-CN"/>
            </w:rPr>
            <w:t xml:space="preserve"> </w:t>
          </w:r>
          <w:r>
            <w:rPr>
              <w:rFonts w:hint="default"/>
              <w:lang w:val="en-US" w:eastAsia="zh-CN"/>
            </w:rPr>
            <w:t>Visual</w:t>
          </w:r>
          <w:r>
            <w:rPr>
              <w:rFonts w:hint="eastAsia"/>
              <w:lang w:val="en-US" w:eastAsia="zh-CN"/>
            </w:rPr>
            <w:t xml:space="preserve"> I</w:t>
          </w:r>
          <w:r>
            <w:rPr>
              <w:rFonts w:hint="default"/>
              <w:lang w:val="en-US" w:eastAsia="zh-CN"/>
            </w:rPr>
            <w:t>nspection</w:t>
          </w:r>
          <w:r>
            <w:tab/>
          </w:r>
          <w:r>
            <w:fldChar w:fldCharType="begin"/>
          </w:r>
          <w:r>
            <w:instrText xml:space="preserve"> PAGEREF _Toc5120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_Toc26190 </w:instrText>
          </w:r>
          <w:r>
            <w:rPr>
              <w:rFonts w:hint="eastAsia"/>
              <w:lang w:val="en-US" w:eastAsia="zh-CN"/>
            </w:rPr>
            <w:fldChar w:fldCharType="separate"/>
          </w:r>
          <w:r>
            <w:rPr>
              <w:rFonts w:hint="eastAsia"/>
              <w:szCs w:val="28"/>
            </w:rPr>
            <w:t xml:space="preserve">A.2 Dimensional </w:t>
          </w:r>
          <w:r>
            <w:rPr>
              <w:rFonts w:hint="eastAsia"/>
              <w:szCs w:val="28"/>
              <w:lang w:val="en-US" w:eastAsia="zh-CN"/>
            </w:rPr>
            <w:t>D</w:t>
          </w:r>
          <w:r>
            <w:rPr>
              <w:rFonts w:hint="eastAsia"/>
              <w:szCs w:val="28"/>
            </w:rPr>
            <w:t xml:space="preserve">eviation </w:t>
          </w:r>
          <w:r>
            <w:rPr>
              <w:rFonts w:hint="eastAsia"/>
              <w:szCs w:val="28"/>
              <w:lang w:val="en-US" w:eastAsia="zh-CN"/>
            </w:rPr>
            <w:t>I</w:t>
          </w:r>
          <w:r>
            <w:rPr>
              <w:rFonts w:hint="eastAsia"/>
              <w:szCs w:val="28"/>
            </w:rPr>
            <w:t>nspection</w:t>
          </w:r>
          <w:r>
            <w:tab/>
          </w:r>
          <w:r>
            <w:fldChar w:fldCharType="begin"/>
          </w:r>
          <w:r>
            <w:instrText xml:space="preserve"> PAGEREF _Toc26190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_Toc20259 </w:instrText>
          </w:r>
          <w:r>
            <w:rPr>
              <w:rFonts w:hint="eastAsia"/>
              <w:lang w:val="en-US" w:eastAsia="zh-CN"/>
            </w:rPr>
            <w:fldChar w:fldCharType="separate"/>
          </w:r>
          <w:r>
            <w:rPr>
              <w:rFonts w:hint="eastAsia"/>
              <w:szCs w:val="28"/>
            </w:rPr>
            <w:t>A.3</w:t>
          </w:r>
          <w:r>
            <w:rPr>
              <w:rFonts w:hint="eastAsia"/>
              <w:szCs w:val="28"/>
              <w:lang w:val="en-US" w:eastAsia="zh-CN"/>
            </w:rPr>
            <w:t xml:space="preserve"> </w:t>
          </w:r>
          <w:r>
            <w:rPr>
              <w:rFonts w:hint="eastAsia"/>
              <w:szCs w:val="28"/>
            </w:rPr>
            <w:t xml:space="preserve">Physical and </w:t>
          </w:r>
          <w:r>
            <w:rPr>
              <w:rFonts w:hint="eastAsia"/>
              <w:szCs w:val="28"/>
              <w:lang w:val="en-US" w:eastAsia="zh-CN"/>
            </w:rPr>
            <w:t>M</w:t>
          </w:r>
          <w:r>
            <w:rPr>
              <w:rFonts w:hint="eastAsia"/>
              <w:szCs w:val="28"/>
            </w:rPr>
            <w:t xml:space="preserve">echanical </w:t>
          </w:r>
          <w:r>
            <w:rPr>
              <w:rFonts w:hint="eastAsia"/>
              <w:szCs w:val="28"/>
              <w:lang w:val="en-US" w:eastAsia="zh-CN"/>
            </w:rPr>
            <w:t>P</w:t>
          </w:r>
          <w:r>
            <w:rPr>
              <w:rFonts w:hint="eastAsia"/>
              <w:szCs w:val="28"/>
            </w:rPr>
            <w:t xml:space="preserve">erformance </w:t>
          </w:r>
          <w:r>
            <w:rPr>
              <w:rFonts w:hint="eastAsia"/>
              <w:szCs w:val="28"/>
              <w:lang w:val="en-US" w:eastAsia="zh-CN"/>
            </w:rPr>
            <w:t>I</w:t>
          </w:r>
          <w:r>
            <w:rPr>
              <w:rFonts w:hint="eastAsia"/>
              <w:szCs w:val="28"/>
            </w:rPr>
            <w:t>nspection</w:t>
          </w:r>
          <w:r>
            <w:tab/>
          </w:r>
          <w:r>
            <w:fldChar w:fldCharType="begin"/>
          </w:r>
          <w:r>
            <w:instrText xml:space="preserve"> PAGEREF _Toc20259 \h </w:instrText>
          </w:r>
          <w:r>
            <w:fldChar w:fldCharType="separate"/>
          </w:r>
          <w:r>
            <w:t>78</w:t>
          </w:r>
          <w:r>
            <w:fldChar w:fldCharType="end"/>
          </w:r>
          <w:r>
            <w:rPr>
              <w:rFonts w:hint="eastAsia"/>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80" w:firstLineChars="200"/>
            <w:textAlignment w:val="auto"/>
          </w:pPr>
          <w:r>
            <w:rPr>
              <w:rFonts w:hint="eastAsia"/>
              <w:lang w:val="en-US" w:eastAsia="zh-CN"/>
            </w:rPr>
            <w:fldChar w:fldCharType="begin"/>
          </w:r>
          <w:r>
            <w:rPr>
              <w:rFonts w:hint="eastAsia"/>
              <w:lang w:val="en-US" w:eastAsia="zh-CN"/>
            </w:rPr>
            <w:instrText xml:space="preserve"> HYPERLINK \l _Toc30683 </w:instrText>
          </w:r>
          <w:r>
            <w:rPr>
              <w:rFonts w:hint="eastAsia"/>
              <w:lang w:val="en-US" w:eastAsia="zh-CN"/>
            </w:rPr>
            <w:fldChar w:fldCharType="separate"/>
          </w:r>
          <w:r>
            <w:rPr>
              <w:rFonts w:hint="eastAsia"/>
              <w:szCs w:val="28"/>
              <w:lang w:val="en-US" w:eastAsia="zh-CN"/>
            </w:rPr>
            <w:t xml:space="preserve">Table </w:t>
          </w:r>
          <w:r>
            <w:rPr>
              <w:rFonts w:hint="eastAsia"/>
              <w:szCs w:val="28"/>
            </w:rPr>
            <w:t xml:space="preserve">A.4 </w:t>
          </w:r>
          <w:r>
            <w:rPr>
              <w:rFonts w:hint="eastAsia"/>
              <w:szCs w:val="28"/>
              <w:lang w:val="en-US" w:eastAsia="zh-CN"/>
            </w:rPr>
            <w:t>Entry Acceptance Record</w:t>
          </w:r>
          <w:r>
            <w:rPr>
              <w:rFonts w:hint="eastAsia"/>
              <w:szCs w:val="32"/>
              <w:lang w:val="en-US" w:eastAsia="zh-CN"/>
            </w:rPr>
            <w:t xml:space="preserve"> of </w:t>
          </w:r>
          <w:r>
            <w:rPr>
              <w:rFonts w:hint="eastAsia"/>
              <w:lang w:val="en-US" w:eastAsia="zh-CN"/>
            </w:rPr>
            <w:t>F</w:t>
          </w:r>
          <w:r>
            <w:rPr>
              <w:rFonts w:hint="default"/>
              <w:lang w:val="en-US" w:eastAsia="zh-CN"/>
            </w:rPr>
            <w:t xml:space="preserve">iller of </w:t>
          </w:r>
          <w:r>
            <w:rPr>
              <w:rFonts w:hint="eastAsia"/>
              <w:lang w:val="en-US" w:eastAsia="zh-CN"/>
            </w:rPr>
            <w:t>B</w:t>
          </w:r>
          <w:r>
            <w:rPr>
              <w:rFonts w:hint="default"/>
              <w:lang w:val="en-US" w:eastAsia="zh-CN"/>
            </w:rPr>
            <w:t xml:space="preserve">ox </w:t>
          </w:r>
          <w:r>
            <w:rPr>
              <w:rFonts w:hint="eastAsia"/>
              <w:lang w:val="en-US" w:eastAsia="zh-CN"/>
            </w:rPr>
            <w:t>S</w:t>
          </w:r>
          <w:r>
            <w:rPr>
              <w:rFonts w:hint="default"/>
              <w:lang w:val="en-US" w:eastAsia="zh-CN"/>
            </w:rPr>
            <w:t>hape</w:t>
          </w:r>
          <w:r>
            <w:tab/>
          </w:r>
          <w:r>
            <w:fldChar w:fldCharType="begin"/>
          </w:r>
          <w:r>
            <w:instrText xml:space="preserve"> PAGEREF _Toc30683 \h </w:instrText>
          </w:r>
          <w:r>
            <w:fldChar w:fldCharType="separate"/>
          </w:r>
          <w:r>
            <w:t>80</w:t>
          </w:r>
          <w:r>
            <w:fldChar w:fldCharType="end"/>
          </w:r>
          <w:r>
            <w:rPr>
              <w:rFonts w:hint="eastAsia"/>
              <w:lang w:val="en-US" w:eastAsia="zh-CN"/>
            </w:rPr>
            <w:fldChar w:fldCharType="end"/>
          </w:r>
        </w:p>
        <w:p>
          <w:pPr>
            <w:pStyle w:val="12"/>
            <w:tabs>
              <w:tab w:val="right" w:leader="dot" w:pos="8306"/>
            </w:tabs>
          </w:pPr>
          <w:r>
            <w:rPr>
              <w:rFonts w:hint="eastAsia"/>
              <w:lang w:val="en-US" w:eastAsia="zh-CN"/>
            </w:rPr>
            <w:fldChar w:fldCharType="begin"/>
          </w:r>
          <w:r>
            <w:rPr>
              <w:rFonts w:hint="eastAsia"/>
              <w:lang w:val="en-US" w:eastAsia="zh-CN"/>
            </w:rPr>
            <w:instrText xml:space="preserve"> HYPERLINK \l _Toc3262 </w:instrText>
          </w:r>
          <w:r>
            <w:rPr>
              <w:rFonts w:hint="eastAsia"/>
              <w:lang w:val="en-US" w:eastAsia="zh-CN"/>
            </w:rPr>
            <w:fldChar w:fldCharType="separate"/>
          </w:r>
          <w:r>
            <w:rPr>
              <w:rFonts w:ascii="Times New Roman"/>
            </w:rPr>
            <w:t>Appendix</w:t>
          </w:r>
          <w:r>
            <w:rPr>
              <w:rFonts w:ascii="Times New Roman"/>
              <w:spacing w:val="-13"/>
            </w:rPr>
            <w:t xml:space="preserve"> </w:t>
          </w:r>
          <w:r>
            <w:rPr>
              <w:rFonts w:hint="eastAsia"/>
              <w:spacing w:val="-13"/>
              <w:lang w:val="en-US" w:eastAsia="zh-CN"/>
            </w:rPr>
            <w:t>B</w:t>
          </w:r>
          <w:r>
            <w:rPr>
              <w:rFonts w:hint="eastAsia"/>
              <w:szCs w:val="32"/>
              <w:lang w:val="en-US" w:eastAsia="zh-CN"/>
            </w:rPr>
            <w:t xml:space="preserve"> Calculations of Weight,Converted Thickness and Volumetric Void Ratio of Hollow Composite Slabs</w:t>
          </w:r>
          <w:r>
            <w:tab/>
          </w:r>
          <w:r>
            <w:fldChar w:fldCharType="begin"/>
          </w:r>
          <w:r>
            <w:instrText xml:space="preserve"> PAGEREF _Toc3262 \h </w:instrText>
          </w:r>
          <w:r>
            <w:fldChar w:fldCharType="separate"/>
          </w:r>
          <w:r>
            <w:t>81</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_Toc14046 </w:instrText>
          </w:r>
          <w:r>
            <w:rPr>
              <w:rFonts w:hint="eastAsia"/>
              <w:lang w:val="en-US" w:eastAsia="zh-CN"/>
            </w:rPr>
            <w:fldChar w:fldCharType="separate"/>
          </w:r>
          <w:r>
            <w:rPr>
              <w:rFonts w:ascii="Times New Roman"/>
            </w:rPr>
            <w:t xml:space="preserve">Explanation of </w:t>
          </w:r>
          <w:r>
            <w:rPr>
              <w:rFonts w:ascii="Times New Roman"/>
              <w:spacing w:val="-4"/>
            </w:rPr>
            <w:t xml:space="preserve">Wording </w:t>
          </w:r>
          <w:r>
            <w:rPr>
              <w:rFonts w:ascii="Times New Roman"/>
            </w:rPr>
            <w:t>in</w:t>
          </w:r>
          <w:r>
            <w:rPr>
              <w:rFonts w:ascii="Times New Roman"/>
              <w:spacing w:val="-6"/>
            </w:rPr>
            <w:t xml:space="preserve"> </w:t>
          </w:r>
          <w:r>
            <w:rPr>
              <w:rFonts w:ascii="Times New Roman"/>
            </w:rPr>
            <w:t>This Standard</w:t>
          </w:r>
          <w:r>
            <w:tab/>
          </w:r>
          <w:r>
            <w:fldChar w:fldCharType="begin"/>
          </w:r>
          <w:r>
            <w:instrText xml:space="preserve"> PAGEREF _Toc14046 \h </w:instrText>
          </w:r>
          <w:r>
            <w:fldChar w:fldCharType="separate"/>
          </w:r>
          <w:r>
            <w:t>82</w:t>
          </w:r>
          <w:r>
            <w:fldChar w:fldCharType="end"/>
          </w:r>
          <w:r>
            <w:rPr>
              <w:rFonts w:hint="eastAsia"/>
              <w:lang w:val="en-US" w:eastAsia="zh-CN"/>
            </w:rPr>
            <w:fldChar w:fldCharType="end"/>
          </w:r>
        </w:p>
        <w:p>
          <w:pPr>
            <w:pStyle w:val="13"/>
            <w:tabs>
              <w:tab w:val="right" w:leader="dot" w:pos="8306"/>
            </w:tabs>
          </w:pPr>
          <w:r>
            <w:rPr>
              <w:rFonts w:hint="eastAsia"/>
              <w:lang w:val="en-US" w:eastAsia="zh-CN"/>
            </w:rPr>
            <w:fldChar w:fldCharType="begin"/>
          </w:r>
          <w:r>
            <w:rPr>
              <w:rFonts w:hint="eastAsia"/>
              <w:lang w:val="en-US" w:eastAsia="zh-CN"/>
            </w:rPr>
            <w:instrText xml:space="preserve"> HYPERLINK \l _Toc31824 </w:instrText>
          </w:r>
          <w:r>
            <w:rPr>
              <w:rFonts w:hint="eastAsia"/>
              <w:lang w:val="en-US" w:eastAsia="zh-CN"/>
            </w:rPr>
            <w:fldChar w:fldCharType="separate"/>
          </w:r>
          <w:r>
            <w:rPr>
              <w:rFonts w:ascii="Times New Roman"/>
            </w:rPr>
            <w:t>List of Quoted Standards</w:t>
          </w:r>
          <w:r>
            <w:tab/>
          </w:r>
          <w:r>
            <w:fldChar w:fldCharType="begin"/>
          </w:r>
          <w:r>
            <w:instrText xml:space="preserve"> PAGEREF _Toc31824 \h </w:instrText>
          </w:r>
          <w:r>
            <w:fldChar w:fldCharType="separate"/>
          </w:r>
          <w:r>
            <w:t>83</w:t>
          </w:r>
          <w:r>
            <w:fldChar w:fldCharType="end"/>
          </w:r>
          <w:r>
            <w:rPr>
              <w:rFonts w:hint="eastAsia"/>
              <w:lang w:val="en-US" w:eastAsia="zh-CN"/>
            </w:rPr>
            <w:fldChar w:fldCharType="end"/>
          </w:r>
        </w:p>
        <w:p>
          <w:pPr>
            <w:pStyle w:val="20"/>
            <w:rPr>
              <w:rFonts w:hint="eastAsia" w:ascii="宋体" w:hAnsi="宋体" w:eastAsia="宋体" w:cs="Times New Roman"/>
              <w:b/>
              <w:color w:val="000000"/>
              <w:kern w:val="2"/>
              <w:sz w:val="24"/>
              <w:szCs w:val="22"/>
              <w:lang w:val="en-US" w:eastAsia="zh-CN" w:bidi="ar-SA"/>
            </w:rPr>
          </w:pPr>
          <w:r>
            <w:rPr>
              <w:rFonts w:hint="eastAsia"/>
              <w:lang w:val="en-US" w:eastAsia="zh-CN"/>
            </w:rPr>
            <w:fldChar w:fldCharType="end"/>
          </w:r>
          <w:r>
            <w:rPr>
              <w:rFonts w:hint="eastAsia" w:ascii="Times New Roman" w:hAnsi="Times New Roman" w:eastAsia="宋体" w:cstheme="minorBidi"/>
              <w:color w:val="auto"/>
              <w:kern w:val="2"/>
              <w:sz w:val="24"/>
              <w:szCs w:val="24"/>
              <w:lang w:val="en-US" w:eastAsia="zh-CN" w:bidi="ar-SA"/>
            </w:rPr>
            <w:t>Addition</w:t>
          </w:r>
          <w:r>
            <w:rPr>
              <w:rFonts w:hint="eastAsia" w:ascii="Times New Roman" w:hAnsi="Times New Roman" w:cstheme="minorBidi"/>
              <w:color w:val="auto"/>
              <w:kern w:val="2"/>
              <w:sz w:val="24"/>
              <w:szCs w:val="24"/>
              <w:lang w:val="en-US" w:eastAsia="zh-CN" w:bidi="ar-SA"/>
            </w:rPr>
            <w:t>：</w:t>
          </w:r>
          <w:r>
            <w:rPr>
              <w:rFonts w:hint="eastAsia" w:ascii="Times New Roman" w:hAnsi="Times New Roman" w:eastAsia="宋体" w:cstheme="minorBidi"/>
              <w:color w:val="auto"/>
              <w:kern w:val="2"/>
              <w:sz w:val="24"/>
              <w:szCs w:val="24"/>
              <w:lang w:val="en-US" w:eastAsia="zh-CN" w:bidi="ar-SA"/>
            </w:rPr>
            <w:t>Explanation of Provisions</w:t>
          </w:r>
        </w:p>
      </w:sdtContent>
    </w:sdt>
    <w:p>
      <w:pPr>
        <w:pStyle w:val="20"/>
        <w:rPr>
          <w:rFonts w:hint="eastAsia" w:ascii="宋体" w:hAnsi="宋体" w:eastAsia="宋体" w:cs="Times New Roman"/>
          <w:b/>
          <w:color w:val="000000"/>
          <w:kern w:val="2"/>
          <w:sz w:val="24"/>
          <w:szCs w:val="22"/>
          <w:lang w:val="en-US" w:eastAsia="zh-CN" w:bidi="ar-SA"/>
        </w:rPr>
      </w:pPr>
    </w:p>
    <w:p>
      <w:pPr>
        <w:pStyle w:val="20"/>
        <w:rPr>
          <w:rFonts w:hint="eastAsia"/>
          <w:lang w:val="en-US" w:eastAsia="zh-CN"/>
        </w:rPr>
      </w:pPr>
    </w:p>
    <w:p>
      <w:pPr>
        <w:pStyle w:val="20"/>
        <w:rPr>
          <w:rFonts w:hint="eastAsia"/>
          <w:lang w:val="en-US" w:eastAsia="zh-CN"/>
        </w:rPr>
      </w:pPr>
    </w:p>
    <w:p>
      <w:pPr>
        <w:pStyle w:val="20"/>
        <w:rPr>
          <w:rFonts w:hint="eastAsia"/>
          <w:lang w:val="en-US" w:eastAsia="zh-CN"/>
        </w:rPr>
        <w:sectPr>
          <w:footerReference r:id="rId6" w:type="default"/>
          <w:pgSz w:w="11906" w:h="16838"/>
          <w:pgMar w:top="1440" w:right="1800" w:bottom="1440" w:left="1800" w:header="851" w:footer="992" w:gutter="0"/>
          <w:pgNumType w:fmt="decimal"/>
          <w:cols w:space="425" w:num="1"/>
          <w:docGrid w:type="lines" w:linePitch="312" w:charSpace="0"/>
        </w:sectPr>
      </w:pPr>
    </w:p>
    <w:p>
      <w:pPr>
        <w:pStyle w:val="3"/>
        <w:bidi w:val="0"/>
        <w:ind w:left="0" w:leftChars="0" w:firstLine="0" w:firstLineChars="0"/>
        <w:outlineLvl w:val="0"/>
        <w:rPr>
          <w:rFonts w:hint="eastAsia"/>
        </w:rPr>
      </w:pPr>
      <w:bookmarkStart w:id="13" w:name="_Toc16157"/>
      <w:r>
        <w:rPr>
          <w:rFonts w:hint="eastAsia"/>
        </w:rPr>
        <w:t>总则</w:t>
      </w:r>
      <w:bookmarkEnd w:id="13"/>
    </w:p>
    <w:p>
      <w:pPr>
        <w:numPr>
          <w:ilvl w:val="2"/>
          <w:numId w:val="2"/>
        </w:numPr>
        <w:bidi w:val="0"/>
        <w:ind w:left="0" w:leftChars="0" w:firstLine="0" w:firstLineChars="0"/>
        <w:rPr>
          <w:rFonts w:hint="default"/>
        </w:rPr>
      </w:pPr>
      <w:r>
        <w:rPr>
          <w:rFonts w:hint="default"/>
        </w:rPr>
        <w:t>为规范双向密肋整体式</w:t>
      </w:r>
      <w:r>
        <w:rPr>
          <w:rFonts w:hint="eastAsia"/>
          <w:lang w:eastAsia="zh-CN"/>
        </w:rPr>
        <w:t>接缝</w:t>
      </w:r>
      <w:r>
        <w:rPr>
          <w:rFonts w:hint="default"/>
        </w:rPr>
        <w:t>空心叠合楼盖的合理应用，做到安全适用、技术先进、经济合理、确保质量，制定本</w:t>
      </w:r>
      <w:r>
        <w:rPr>
          <w:rFonts w:hint="eastAsia"/>
          <w:lang w:val="en-US" w:eastAsia="zh-CN"/>
        </w:rPr>
        <w:t>规程</w:t>
      </w:r>
      <w:r>
        <w:rPr>
          <w:rFonts w:hint="default"/>
        </w:rPr>
        <w:t>。</w:t>
      </w:r>
    </w:p>
    <w:p>
      <w:pPr>
        <w:pStyle w:val="21"/>
        <w:bidi w:val="0"/>
        <w:ind w:left="0" w:leftChars="0" w:firstLine="0" w:firstLineChars="0"/>
        <w:rPr>
          <w:rFonts w:hint="eastAsia"/>
          <w:u w:val="single"/>
          <w:lang w:val="en-US" w:eastAsia="zh-CN"/>
        </w:rPr>
      </w:pPr>
      <w:r>
        <w:rPr>
          <w:rFonts w:hint="eastAsia"/>
          <w:u w:val="single"/>
          <w:lang w:val="en-US" w:eastAsia="zh-CN"/>
        </w:rPr>
        <w:t>【条文说明】1.0.1 与传统的实心大板楼盖相比，现浇混凝土空心楼盖结构在减轻楼盖自重、降低地震作用、隔声、有效降低建筑层高等方面有较明显的优势；在不增加、甚至节省造价的情况下，获得良好的建筑使用空间；适用于大跨、大开间的商业建筑、学校建筑、办公建筑、医院建筑、厂房建筑、停车楼建筑、地下车库和大开间民用住宅等建筑。</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u w:val="single"/>
          <w:lang w:val="en-US" w:eastAsia="zh-CN"/>
        </w:rPr>
      </w:pPr>
      <w:r>
        <w:rPr>
          <w:rFonts w:hint="eastAsia"/>
          <w:u w:val="single"/>
          <w:lang w:val="en-US" w:eastAsia="zh-CN"/>
        </w:rPr>
        <w:t>另外，随着装配式建筑的发展，楼板采用叠合板也得到了越来越广泛的应用，与现浇混凝土空心楼盖结构对应的就是空心叠合楼盖。而本规程的</w:t>
      </w:r>
      <w:r>
        <w:rPr>
          <w:rFonts w:hint="default"/>
          <w:u w:val="single"/>
        </w:rPr>
        <w:t>双向密肋整体式</w:t>
      </w:r>
      <w:r>
        <w:rPr>
          <w:rFonts w:hint="eastAsia"/>
          <w:u w:val="single"/>
          <w:lang w:eastAsia="zh-CN"/>
        </w:rPr>
        <w:t>接缝</w:t>
      </w:r>
      <w:r>
        <w:rPr>
          <w:rFonts w:hint="default"/>
          <w:u w:val="single"/>
        </w:rPr>
        <w:t>空心叠合楼盖</w:t>
      </w:r>
      <w:r>
        <w:rPr>
          <w:rFonts w:hint="eastAsia"/>
          <w:u w:val="single"/>
          <w:lang w:val="en-US" w:eastAsia="zh-CN"/>
        </w:rPr>
        <w:t>就是空心叠合楼盖的一种典型实现方式。</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u w:val="single"/>
          <w:lang w:val="en-US" w:eastAsia="zh-CN"/>
        </w:rPr>
      </w:pPr>
      <w:r>
        <w:rPr>
          <w:rFonts w:hint="eastAsia"/>
          <w:u w:val="single"/>
          <w:lang w:val="en-US" w:eastAsia="zh-CN"/>
        </w:rPr>
        <w:t>制定本规程是为了规范使用箱型填充体的</w:t>
      </w:r>
      <w:r>
        <w:rPr>
          <w:rFonts w:hint="default"/>
          <w:u w:val="single"/>
        </w:rPr>
        <w:t>双向密肋整体式</w:t>
      </w:r>
      <w:r>
        <w:rPr>
          <w:rFonts w:hint="eastAsia"/>
          <w:u w:val="single"/>
          <w:lang w:eastAsia="zh-CN"/>
        </w:rPr>
        <w:t>接缝</w:t>
      </w:r>
      <w:r>
        <w:rPr>
          <w:rFonts w:hint="default"/>
          <w:u w:val="single"/>
        </w:rPr>
        <w:t>空心叠合楼盖</w:t>
      </w:r>
      <w:r>
        <w:rPr>
          <w:rFonts w:hint="eastAsia"/>
          <w:u w:val="single"/>
          <w:lang w:val="en-US" w:eastAsia="zh-CN"/>
        </w:rPr>
        <w:t>的技术参数，规范设计计算方法，提出抗震设计要求，明确预制底板和接缝要求，确保工程设计安全和施工质量，使该项技术得到更好的应用和发展。</w:t>
      </w:r>
    </w:p>
    <w:p>
      <w:pPr>
        <w:numPr>
          <w:ilvl w:val="2"/>
          <w:numId w:val="2"/>
        </w:numPr>
        <w:bidi w:val="0"/>
        <w:ind w:left="0" w:leftChars="0" w:firstLine="0" w:firstLineChars="0"/>
        <w:rPr>
          <w:rFonts w:hint="default"/>
        </w:rPr>
      </w:pPr>
      <w:r>
        <w:rPr>
          <w:rFonts w:hint="default"/>
        </w:rPr>
        <w:t>本</w:t>
      </w:r>
      <w:r>
        <w:rPr>
          <w:rFonts w:hint="eastAsia"/>
          <w:lang w:val="en-US" w:eastAsia="zh-CN"/>
        </w:rPr>
        <w:t>规程</w:t>
      </w:r>
      <w:r>
        <w:rPr>
          <w:rFonts w:hint="default"/>
        </w:rPr>
        <w:t>适用于</w:t>
      </w:r>
      <w:r>
        <w:rPr>
          <w:rFonts w:hint="eastAsia"/>
          <w:lang w:val="en-US" w:eastAsia="zh-CN"/>
        </w:rPr>
        <w:t>抗震设防烈度为8度及8度以下的</w:t>
      </w:r>
      <w:r>
        <w:rPr>
          <w:rFonts w:hint="default"/>
        </w:rPr>
        <w:t>工业与民用建筑中</w:t>
      </w:r>
      <w:r>
        <w:rPr>
          <w:rFonts w:hint="eastAsia"/>
          <w:lang w:val="en-US" w:eastAsia="zh-CN"/>
        </w:rPr>
        <w:t>普通钢筋混凝土</w:t>
      </w:r>
      <w:r>
        <w:rPr>
          <w:rFonts w:hint="default"/>
          <w:lang w:val="en-US" w:eastAsia="zh-CN"/>
        </w:rPr>
        <w:t>双</w:t>
      </w:r>
      <w:r>
        <w:rPr>
          <w:rFonts w:hint="default"/>
        </w:rPr>
        <w:t>向密肋整体式</w:t>
      </w:r>
      <w:r>
        <w:rPr>
          <w:rFonts w:hint="eastAsia"/>
          <w:lang w:eastAsia="zh-CN"/>
        </w:rPr>
        <w:t>接缝</w:t>
      </w:r>
      <w:r>
        <w:rPr>
          <w:rFonts w:hint="default"/>
        </w:rPr>
        <w:t>空心叠合楼盖的设计、生产、施工与验收。</w:t>
      </w:r>
    </w:p>
    <w:p>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eastAsia="宋体"/>
          <w:u w:val="single"/>
          <w:lang w:val="en-US" w:eastAsia="zh-CN"/>
        </w:rPr>
      </w:pPr>
      <w:r>
        <w:rPr>
          <w:rFonts w:hint="eastAsia"/>
          <w:u w:val="single"/>
          <w:lang w:eastAsia="zh-CN"/>
        </w:rPr>
        <w:t>【</w:t>
      </w:r>
      <w:r>
        <w:rPr>
          <w:rFonts w:hint="eastAsia"/>
          <w:u w:val="single"/>
          <w:lang w:val="en-US" w:eastAsia="zh-CN"/>
        </w:rPr>
        <w:t>条文说明</w:t>
      </w:r>
      <w:r>
        <w:rPr>
          <w:rFonts w:hint="eastAsia"/>
          <w:u w:val="single"/>
          <w:lang w:eastAsia="zh-CN"/>
        </w:rPr>
        <w:t>】</w:t>
      </w:r>
      <w:r>
        <w:rPr>
          <w:rFonts w:hint="eastAsia" w:ascii="Times New Roman" w:hAnsi="Times New Roman" w:eastAsia="宋体" w:cstheme="minorBidi"/>
          <w:color w:val="auto"/>
          <w:kern w:val="2"/>
          <w:sz w:val="24"/>
          <w:szCs w:val="24"/>
          <w:u w:val="single"/>
          <w:lang w:val="en-US" w:eastAsia="zh-CN" w:bidi="ar-SA"/>
        </w:rPr>
        <w:t>1.0.2</w:t>
      </w:r>
      <w:r>
        <w:rPr>
          <w:rFonts w:hint="eastAsia"/>
          <w:u w:val="single"/>
          <w:lang w:val="en-US" w:eastAsia="zh-CN"/>
        </w:rPr>
        <w:t xml:space="preserve"> 本规程仅适用于采用双向密肋整体式接缝的普通钢筋混凝土空心叠合楼盖，预应力空心叠合楼盖不适用。</w:t>
      </w:r>
    </w:p>
    <w:p>
      <w:pPr>
        <w:numPr>
          <w:ilvl w:val="2"/>
          <w:numId w:val="2"/>
        </w:numPr>
        <w:bidi w:val="0"/>
        <w:ind w:left="0" w:leftChars="0" w:firstLine="0" w:firstLineChars="0"/>
        <w:rPr>
          <w:rFonts w:hint="default"/>
        </w:rPr>
      </w:pPr>
      <w:r>
        <w:rPr>
          <w:rFonts w:hint="default"/>
        </w:rPr>
        <w:t>双向密肋整体式</w:t>
      </w:r>
      <w:r>
        <w:rPr>
          <w:rFonts w:hint="eastAsia"/>
          <w:lang w:eastAsia="zh-CN"/>
        </w:rPr>
        <w:t>接缝</w:t>
      </w:r>
      <w:r>
        <w:rPr>
          <w:rFonts w:hint="default"/>
        </w:rPr>
        <w:t>空心叠合楼盖的设计、生产、施工与验收除应符合本</w:t>
      </w:r>
      <w:r>
        <w:rPr>
          <w:rFonts w:hint="eastAsia"/>
          <w:lang w:val="en-US" w:eastAsia="zh-CN"/>
        </w:rPr>
        <w:t>规程</w:t>
      </w:r>
      <w:r>
        <w:rPr>
          <w:rFonts w:hint="default"/>
        </w:rPr>
        <w:t>的规定外，尚应符合国家现行有关标准的规定。</w:t>
      </w:r>
    </w:p>
    <w:p>
      <w:pPr>
        <w:numPr>
          <w:ilvl w:val="0"/>
          <w:numId w:val="0"/>
        </w:numPr>
        <w:bidi w:val="0"/>
        <w:rPr>
          <w:rFonts w:hint="default"/>
        </w:rPr>
      </w:pPr>
    </w:p>
    <w:p>
      <w:pPr>
        <w:numPr>
          <w:ilvl w:val="0"/>
          <w:numId w:val="0"/>
        </w:numPr>
        <w:bidi w:val="0"/>
        <w:rPr>
          <w:rFonts w:hint="default"/>
        </w:rPr>
      </w:pPr>
    </w:p>
    <w:p>
      <w:pPr>
        <w:numPr>
          <w:ilvl w:val="0"/>
          <w:numId w:val="0"/>
        </w:numPr>
        <w:bidi w:val="0"/>
        <w:rPr>
          <w:rFonts w:hint="default"/>
        </w:rPr>
      </w:pPr>
    </w:p>
    <w:p>
      <w:pPr>
        <w:numPr>
          <w:ilvl w:val="0"/>
          <w:numId w:val="0"/>
        </w:numPr>
        <w:bidi w:val="0"/>
        <w:rPr>
          <w:rFonts w:hint="default"/>
        </w:rPr>
      </w:pPr>
    </w:p>
    <w:p>
      <w:pPr>
        <w:numPr>
          <w:ilvl w:val="0"/>
          <w:numId w:val="0"/>
        </w:numPr>
        <w:bidi w:val="0"/>
        <w:rPr>
          <w:rFonts w:hint="default"/>
        </w:rPr>
      </w:pPr>
    </w:p>
    <w:p>
      <w:pPr>
        <w:rPr>
          <w:rFonts w:hint="eastAsia"/>
          <w:lang w:val="en-US" w:eastAsia="zh-CN"/>
        </w:rPr>
      </w:pPr>
      <w:r>
        <w:rPr>
          <w:rFonts w:hint="eastAsia"/>
          <w:lang w:val="en-US" w:eastAsia="zh-CN"/>
        </w:rPr>
        <w:br w:type="page"/>
      </w:r>
    </w:p>
    <w:p>
      <w:pPr>
        <w:pStyle w:val="3"/>
        <w:bidi w:val="0"/>
        <w:ind w:left="0" w:leftChars="0" w:firstLine="0" w:firstLineChars="0"/>
        <w:outlineLvl w:val="0"/>
        <w:rPr>
          <w:rFonts w:hint="default"/>
          <w:lang w:val="en-US" w:eastAsia="zh-CN"/>
        </w:rPr>
      </w:pPr>
      <w:bookmarkStart w:id="14" w:name="_Toc17442"/>
      <w:r>
        <w:rPr>
          <w:rFonts w:hint="default"/>
          <w:lang w:val="en-US" w:eastAsia="zh-CN"/>
        </w:rPr>
        <w:t>术语和符号</w:t>
      </w:r>
      <w:bookmarkEnd w:id="14"/>
    </w:p>
    <w:p>
      <w:pPr>
        <w:pStyle w:val="4"/>
        <w:bidi w:val="0"/>
        <w:ind w:left="0" w:leftChars="0" w:firstLine="0" w:firstLineChars="0"/>
        <w:outlineLvl w:val="1"/>
        <w:rPr>
          <w:rFonts w:hint="default"/>
          <w:lang w:val="en-US" w:eastAsia="zh-CN"/>
        </w:rPr>
      </w:pPr>
      <w:bookmarkStart w:id="15" w:name="_Toc7079"/>
      <w:r>
        <w:rPr>
          <w:rFonts w:hint="default"/>
          <w:lang w:val="en-US" w:eastAsia="zh-CN"/>
        </w:rPr>
        <w:t>术</w:t>
      </w:r>
      <w:r>
        <w:rPr>
          <w:rFonts w:hint="eastAsia"/>
          <w:lang w:val="en-US" w:eastAsia="zh-CN"/>
        </w:rPr>
        <w:t xml:space="preserve"> </w:t>
      </w:r>
      <w:r>
        <w:rPr>
          <w:rFonts w:hint="default"/>
          <w:lang w:val="en-US" w:eastAsia="zh-CN"/>
        </w:rPr>
        <w:t>语</w:t>
      </w:r>
      <w:bookmarkEnd w:id="15"/>
    </w:p>
    <w:p>
      <w:pPr>
        <w:numPr>
          <w:ilvl w:val="2"/>
          <w:numId w:val="1"/>
        </w:numPr>
        <w:bidi w:val="0"/>
        <w:rPr>
          <w:rFonts w:hint="default"/>
          <w:lang w:val="en-US" w:eastAsia="zh-CN"/>
        </w:rPr>
      </w:pPr>
      <w:r>
        <w:rPr>
          <w:rFonts w:hint="default"/>
          <w:lang w:val="en-US" w:eastAsia="zh-CN"/>
        </w:rPr>
        <w:t>双向密肋整体式</w:t>
      </w:r>
      <w:r>
        <w:rPr>
          <w:rFonts w:hint="eastAsia"/>
          <w:lang w:val="en-US" w:eastAsia="zh-CN"/>
        </w:rPr>
        <w:t>接缝</w:t>
      </w:r>
      <w:r>
        <w:rPr>
          <w:rFonts w:hint="default"/>
          <w:lang w:val="en-US" w:eastAsia="zh-CN"/>
        </w:rPr>
        <w:t xml:space="preserve">空心叠合板 </w:t>
      </w:r>
      <w:r>
        <w:rPr>
          <w:rFonts w:hint="eastAsia"/>
          <w:lang w:val="en-US" w:eastAsia="zh-CN"/>
        </w:rPr>
        <w:t>t</w:t>
      </w:r>
      <w:r>
        <w:rPr>
          <w:rFonts w:hint="default"/>
          <w:lang w:val="en-US" w:eastAsia="zh-CN"/>
        </w:rPr>
        <w:t xml:space="preserve">wo-way ribbed </w:t>
      </w:r>
      <w:r>
        <w:rPr>
          <w:rFonts w:hint="eastAsia"/>
          <w:lang w:val="en-US" w:eastAsia="zh-CN"/>
        </w:rPr>
        <w:t>integral jointed hollow composite slab</w:t>
      </w:r>
    </w:p>
    <w:p>
      <w:pPr>
        <w:pStyle w:val="21"/>
        <w:bidi w:val="0"/>
        <w:rPr>
          <w:rFonts w:hint="default"/>
          <w:lang w:val="en-US" w:eastAsia="zh-CN"/>
        </w:rPr>
      </w:pPr>
      <w:r>
        <w:rPr>
          <w:rFonts w:hint="eastAsia"/>
          <w:lang w:val="en-US" w:eastAsia="zh-CN"/>
        </w:rPr>
        <w:t>标准化的</w:t>
      </w:r>
      <w:r>
        <w:rPr>
          <w:rFonts w:hint="default"/>
          <w:lang w:val="en-US" w:eastAsia="zh-CN"/>
        </w:rPr>
        <w:t>双向带肋预制底板在工厂</w:t>
      </w:r>
      <w:r>
        <w:rPr>
          <w:rFonts w:hint="eastAsia"/>
          <w:lang w:val="en-US" w:eastAsia="zh-CN"/>
        </w:rPr>
        <w:t>制作完成</w:t>
      </w:r>
      <w:r>
        <w:rPr>
          <w:rFonts w:hint="default"/>
          <w:lang w:val="en-US" w:eastAsia="zh-CN"/>
        </w:rPr>
        <w:t>运输到施工现场安装就位后，将</w:t>
      </w:r>
      <w:r>
        <w:rPr>
          <w:rFonts w:hint="eastAsia"/>
          <w:lang w:val="en-US" w:eastAsia="zh-CN"/>
        </w:rPr>
        <w:t>双向</w:t>
      </w:r>
      <w:r>
        <w:rPr>
          <w:rFonts w:hint="default"/>
          <w:lang w:val="en-US" w:eastAsia="zh-CN"/>
        </w:rPr>
        <w:t>叠合肋梁的底部纵筋采用套筒挤压接头进行</w:t>
      </w:r>
      <w:r>
        <w:rPr>
          <w:rFonts w:hint="eastAsia"/>
          <w:lang w:val="en-US" w:eastAsia="zh-CN"/>
        </w:rPr>
        <w:t>机械</w:t>
      </w:r>
      <w:r>
        <w:rPr>
          <w:rFonts w:hint="default"/>
          <w:lang w:val="en-US" w:eastAsia="zh-CN"/>
        </w:rPr>
        <w:t>连接、配置叠合肋梁的上皮纵筋及</w:t>
      </w:r>
      <w:r>
        <w:rPr>
          <w:rFonts w:hint="eastAsia"/>
          <w:lang w:val="en-US" w:eastAsia="zh-CN"/>
        </w:rPr>
        <w:t>双向</w:t>
      </w:r>
      <w:r>
        <w:rPr>
          <w:rFonts w:hint="default"/>
          <w:lang w:val="en-US" w:eastAsia="zh-CN"/>
        </w:rPr>
        <w:t>后浇肋梁的所有钢筋、固定箱型填充体、配置顶板钢筋网</w:t>
      </w:r>
      <w:r>
        <w:rPr>
          <w:rFonts w:hint="eastAsia"/>
          <w:lang w:val="en-US" w:eastAsia="zh-CN"/>
        </w:rPr>
        <w:t>，</w:t>
      </w:r>
      <w:r>
        <w:rPr>
          <w:rFonts w:hint="default"/>
          <w:lang w:val="en-US" w:eastAsia="zh-CN"/>
        </w:rPr>
        <w:t>并浇筑</w:t>
      </w:r>
      <w:r>
        <w:rPr>
          <w:rFonts w:hint="eastAsia"/>
          <w:lang w:val="en-US" w:eastAsia="zh-CN"/>
        </w:rPr>
        <w:t>后浇</w:t>
      </w:r>
      <w:r>
        <w:rPr>
          <w:rFonts w:hint="default"/>
          <w:lang w:val="en-US" w:eastAsia="zh-CN"/>
        </w:rPr>
        <w:t>混凝土后形成</w:t>
      </w:r>
      <w:r>
        <w:rPr>
          <w:rFonts w:hint="eastAsia"/>
          <w:lang w:val="en-US" w:eastAsia="zh-CN"/>
        </w:rPr>
        <w:t>的</w:t>
      </w:r>
      <w:r>
        <w:rPr>
          <w:rFonts w:hint="default"/>
          <w:lang w:val="en-US" w:eastAsia="zh-CN"/>
        </w:rPr>
        <w:t>正交双向整体受力，共同承受外部荷载或作用的</w:t>
      </w:r>
      <w:r>
        <w:rPr>
          <w:rFonts w:hint="eastAsia"/>
          <w:highlight w:val="none"/>
          <w:lang w:val="en-US" w:eastAsia="zh-CN"/>
        </w:rPr>
        <w:t>普通钢筋混凝土</w:t>
      </w:r>
      <w:r>
        <w:rPr>
          <w:rFonts w:hint="eastAsia"/>
          <w:lang w:val="en-US" w:eastAsia="zh-CN"/>
        </w:rPr>
        <w:t>空心</w:t>
      </w:r>
      <w:r>
        <w:rPr>
          <w:rFonts w:hint="default"/>
          <w:lang w:val="en-US" w:eastAsia="zh-CN"/>
        </w:rPr>
        <w:t>叠合板。其一般由双向带肋预制底板、叠合肋梁、后浇肋梁、箱型填充体及</w:t>
      </w:r>
      <w:r>
        <w:rPr>
          <w:rFonts w:hint="eastAsia"/>
          <w:lang w:val="en-US" w:eastAsia="zh-CN"/>
        </w:rPr>
        <w:t>后浇上翼缘板</w:t>
      </w:r>
      <w:r>
        <w:rPr>
          <w:rFonts w:hint="default"/>
          <w:lang w:val="en-US" w:eastAsia="zh-CN"/>
        </w:rPr>
        <w:t>组成，并在后浇肋梁部位进行双向整体式</w:t>
      </w:r>
      <w:r>
        <w:rPr>
          <w:rFonts w:hint="eastAsia"/>
          <w:lang w:val="en-US" w:eastAsia="zh-CN"/>
        </w:rPr>
        <w:t>接缝</w:t>
      </w:r>
      <w:r>
        <w:rPr>
          <w:rFonts w:hint="default"/>
          <w:lang w:val="en-US" w:eastAsia="zh-CN"/>
        </w:rPr>
        <w:t>连接成一体。简称空心叠合板。</w:t>
      </w:r>
    </w:p>
    <w:p>
      <w:pPr>
        <w:pStyle w:val="21"/>
        <w:bidi w:val="0"/>
        <w:ind w:left="0" w:leftChars="0" w:firstLine="0" w:firstLineChars="0"/>
        <w:rPr>
          <w:rFonts w:hint="eastAsia"/>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2.1.1</w:t>
      </w:r>
      <w:r>
        <w:rPr>
          <w:rFonts w:hint="eastAsia"/>
          <w:u w:val="single"/>
          <w:lang w:val="en-US" w:eastAsia="zh-CN"/>
        </w:rPr>
        <w:t xml:space="preserve"> 采用箱型填充体的双向密肋现浇钢筋混凝土空心楼板在实际工程中得到了广泛的应用，最终成型的空心楼板一般由上翼缘板、下翼缘板和双向密肋的肋梁组成。本规程规定的</w:t>
      </w:r>
      <w:r>
        <w:rPr>
          <w:rFonts w:hint="default"/>
          <w:u w:val="single"/>
          <w:lang w:val="en-US" w:eastAsia="zh-CN"/>
        </w:rPr>
        <w:t>双向密肋整体式</w:t>
      </w:r>
      <w:r>
        <w:rPr>
          <w:rFonts w:hint="eastAsia"/>
          <w:u w:val="single"/>
          <w:lang w:val="en-US" w:eastAsia="zh-CN"/>
        </w:rPr>
        <w:t>接缝</w:t>
      </w:r>
      <w:r>
        <w:rPr>
          <w:rFonts w:hint="default"/>
          <w:u w:val="single"/>
          <w:lang w:val="en-US" w:eastAsia="zh-CN"/>
        </w:rPr>
        <w:t>空心叠合板</w:t>
      </w:r>
      <w:r>
        <w:rPr>
          <w:rFonts w:hint="eastAsia"/>
          <w:u w:val="single"/>
          <w:lang w:val="en-US" w:eastAsia="zh-CN"/>
        </w:rPr>
        <w:t>，如图1所示，先将采用箱型填充体的双向密肋空心楼板在平面上进行合理拆分，拆分成标准化的双向带肋预制底板，并将整体式双向密肋空心楼板的双向密肋梁分为叠合肋梁和后浇肋梁。预制底板包括空心叠合板的部分下翼缘板以及作为</w:t>
      </w:r>
      <w:r>
        <w:rPr>
          <w:rFonts w:hint="default"/>
          <w:u w:val="single"/>
          <w:lang w:val="en-US" w:eastAsia="zh-CN"/>
        </w:rPr>
        <w:t>叠合肋梁预制部分</w:t>
      </w:r>
      <w:r>
        <w:rPr>
          <w:rFonts w:hint="eastAsia"/>
          <w:u w:val="single"/>
          <w:lang w:val="en-US" w:eastAsia="zh-CN"/>
        </w:rPr>
        <w:t>的双向</w:t>
      </w:r>
      <w:r>
        <w:rPr>
          <w:rFonts w:hint="default"/>
          <w:u w:val="single"/>
          <w:lang w:val="en-US" w:eastAsia="zh-CN"/>
        </w:rPr>
        <w:t>上凸的肋部。</w:t>
      </w:r>
      <w:r>
        <w:rPr>
          <w:rFonts w:hint="eastAsia"/>
          <w:u w:val="single"/>
          <w:lang w:val="en-US" w:eastAsia="zh-CN"/>
        </w:rPr>
        <w:t>预制底板</w:t>
      </w:r>
      <w:r>
        <w:rPr>
          <w:rFonts w:hint="default"/>
          <w:u w:val="single"/>
          <w:lang w:val="en-US" w:eastAsia="zh-CN"/>
        </w:rPr>
        <w:t>在工厂</w:t>
      </w:r>
      <w:r>
        <w:rPr>
          <w:rFonts w:hint="eastAsia"/>
          <w:u w:val="single"/>
          <w:lang w:val="en-US" w:eastAsia="zh-CN"/>
        </w:rPr>
        <w:t>制作完成</w:t>
      </w:r>
      <w:r>
        <w:rPr>
          <w:rFonts w:hint="default"/>
          <w:u w:val="single"/>
          <w:lang w:val="en-US" w:eastAsia="zh-CN"/>
        </w:rPr>
        <w:t>运输到施工现场安装就位后，</w:t>
      </w:r>
      <w:r>
        <w:rPr>
          <w:rFonts w:hint="eastAsia"/>
          <w:u w:val="single"/>
          <w:lang w:val="en-US" w:eastAsia="zh-CN"/>
        </w:rPr>
        <w:t>叠合肋梁的下皮纵筋在后浇肋梁处采用套筒挤压接头进行机械连接，然后</w:t>
      </w:r>
      <w:r>
        <w:rPr>
          <w:rFonts w:hint="default"/>
          <w:u w:val="single"/>
          <w:lang w:val="en-US" w:eastAsia="zh-CN"/>
        </w:rPr>
        <w:t>配置叠合肋梁的上皮纵筋及</w:t>
      </w:r>
      <w:r>
        <w:rPr>
          <w:rFonts w:hint="eastAsia"/>
          <w:u w:val="single"/>
          <w:lang w:val="en-US" w:eastAsia="zh-CN"/>
        </w:rPr>
        <w:t>双向</w:t>
      </w:r>
      <w:r>
        <w:rPr>
          <w:rFonts w:hint="default"/>
          <w:u w:val="single"/>
          <w:lang w:val="en-US" w:eastAsia="zh-CN"/>
        </w:rPr>
        <w:t>后浇肋梁的所有钢筋、固定箱型填充体、配置顶板钢筋网</w:t>
      </w:r>
      <w:r>
        <w:rPr>
          <w:rFonts w:hint="eastAsia"/>
          <w:u w:val="single"/>
          <w:lang w:val="en-US" w:eastAsia="zh-CN"/>
        </w:rPr>
        <w:t>，然后再浇筑所有后浇混凝土，双向带肋预制底板在双向后浇肋梁处进行整体式接缝连接，最终形成整体受力的空心楼板。空心叠合板的叠合面位于叠合肋梁预制部分的上表面，拼接部位位于后浇肋梁处。东南大学进行的《装配整体式双向密肋叠合楼盖试验及有限元分析》表明，这种在后浇肋梁处采用双向整体式接缝进行连接的空心叠合板受力性能良好，可以采用与现浇空心楼板相同的方法进行设计。</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highlight w:val="none"/>
          <w:u w:val="single"/>
          <w:lang w:val="en-US" w:eastAsia="zh-CN"/>
        </w:rPr>
      </w:pPr>
      <w:r>
        <w:rPr>
          <w:rFonts w:hint="eastAsia"/>
          <w:highlight w:val="none"/>
          <w:u w:val="single"/>
          <w:lang w:val="en-US" w:eastAsia="zh-CN"/>
        </w:rPr>
        <w:t>当前阶段，叠合肋梁的下皮纵筋在后浇肋梁处采用套筒挤压接头进行机械连接比较可行，随着预制底板工厂加工精度的提高以及钢筋连接技术的进步，叠合肋梁下皮纵筋的连接也可以采用其他形式的机械连接方式。其他形式钢筋机械接头的检验、验收与套筒挤压接头相同。</w:t>
      </w:r>
    </w:p>
    <w:p>
      <w:pPr>
        <w:pStyle w:val="21"/>
        <w:bidi w:val="0"/>
        <w:ind w:left="0" w:leftChars="0" w:firstLine="0" w:firstLineChars="0"/>
      </w:pPr>
      <w:r>
        <w:drawing>
          <wp:inline distT="0" distB="0" distL="114300" distR="114300">
            <wp:extent cx="5264150" cy="2670175"/>
            <wp:effectExtent l="0" t="0" r="12700" b="1587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2"/>
                    <a:stretch>
                      <a:fillRect/>
                    </a:stretch>
                  </pic:blipFill>
                  <pic:spPr>
                    <a:xfrm>
                      <a:off x="0" y="0"/>
                      <a:ext cx="5264150" cy="2670175"/>
                    </a:xfrm>
                    <a:prstGeom prst="rect">
                      <a:avLst/>
                    </a:prstGeom>
                    <a:noFill/>
                    <a:ln>
                      <a:noFill/>
                    </a:ln>
                  </pic:spPr>
                </pic:pic>
              </a:graphicData>
            </a:graphic>
          </wp:inline>
        </w:drawing>
      </w:r>
    </w:p>
    <w:p>
      <w:pPr>
        <w:pStyle w:val="21"/>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textAlignment w:val="auto"/>
      </w:pPr>
      <w:r>
        <w:drawing>
          <wp:inline distT="0" distB="0" distL="114300" distR="114300">
            <wp:extent cx="5269865" cy="992505"/>
            <wp:effectExtent l="0" t="0" r="6985" b="1714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13"/>
                    <a:stretch>
                      <a:fillRect/>
                    </a:stretch>
                  </pic:blipFill>
                  <pic:spPr>
                    <a:xfrm>
                      <a:off x="0" y="0"/>
                      <a:ext cx="5269865" cy="992505"/>
                    </a:xfrm>
                    <a:prstGeom prst="rect">
                      <a:avLst/>
                    </a:prstGeom>
                    <a:noFill/>
                    <a:ln>
                      <a:noFill/>
                    </a:ln>
                  </pic:spPr>
                </pic:pic>
              </a:graphicData>
            </a:graphic>
          </wp:inline>
        </w:drawing>
      </w:r>
    </w:p>
    <w:p>
      <w:pPr>
        <w:pStyle w:val="21"/>
        <w:bidi w:val="0"/>
        <w:ind w:left="0" w:leftChars="0" w:firstLine="0" w:firstLineChars="0"/>
        <w:jc w:val="center"/>
      </w:pPr>
      <w:r>
        <w:rPr>
          <w:rFonts w:hint="eastAsia" w:ascii="仿宋_GB2312" w:hAnsi="仿宋_GB2312" w:eastAsia="仿宋_GB2312" w:cs="仿宋_GB2312"/>
          <w:lang w:val="en-US" w:eastAsia="zh-CN"/>
        </w:rPr>
        <w:t>图1 双向密肋空心叠合楼盖平面、剖面</w:t>
      </w:r>
      <w:r>
        <w:rPr>
          <w:rFonts w:hint="eastAsia" w:ascii="仿宋_GB2312" w:hAnsi="仿宋_GB2312" w:eastAsia="仿宋_GB2312" w:cs="仿宋_GB2312"/>
        </w:rPr>
        <w:t>示意图</w:t>
      </w:r>
    </w:p>
    <w:p>
      <w:pPr>
        <w:pStyle w:val="21"/>
        <w:bidi w:val="0"/>
        <w:ind w:left="0" w:leftChars="0" w:firstLine="0" w:firstLineChars="0"/>
        <w:jc w:val="center"/>
        <w:rPr>
          <w:rFonts w:hint="default"/>
          <w:lang w:val="en-US" w:eastAsia="zh-CN"/>
        </w:rPr>
      </w:pPr>
      <w:r>
        <w:rPr>
          <w:rFonts w:hint="default" w:ascii="Times New Roman" w:hAnsi="Times New Roman" w:eastAsia="宋体" w:cstheme="minorBidi"/>
          <w:kern w:val="2"/>
          <w:sz w:val="21"/>
          <w:szCs w:val="21"/>
          <w:lang w:val="en-US" w:eastAsia="zh-CN" w:bidi="ar-SA"/>
        </w:rPr>
        <w:t>1—</w:t>
      </w:r>
      <w:r>
        <w:rPr>
          <w:rFonts w:hint="eastAsia" w:cstheme="minorBidi"/>
          <w:kern w:val="2"/>
          <w:sz w:val="21"/>
          <w:szCs w:val="21"/>
          <w:lang w:val="en-US" w:eastAsia="zh-CN" w:bidi="ar-SA"/>
        </w:rPr>
        <w:t>支承构件</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标准化双向带肋预制底板；3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边肋；</w:t>
      </w:r>
      <w:r>
        <w:rPr>
          <w:rFonts w:hint="eastAsia" w:ascii="Times New Roman" w:hAnsi="Times New Roman" w:cstheme="minorBidi"/>
          <w:kern w:val="2"/>
          <w:sz w:val="21"/>
          <w:szCs w:val="21"/>
          <w:lang w:val="en-US" w:eastAsia="zh-CN" w:bidi="ar-SA"/>
        </w:rPr>
        <w:t>4</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箱型填充体；</w:t>
      </w:r>
      <w:r>
        <w:rPr>
          <w:rFonts w:hint="eastAsia" w:ascii="Times New Roman" w:hAnsi="Times New Roman" w:cstheme="minorBidi"/>
          <w:kern w:val="2"/>
          <w:sz w:val="21"/>
          <w:szCs w:val="21"/>
          <w:lang w:val="en-US" w:eastAsia="zh-CN" w:bidi="ar-SA"/>
        </w:rPr>
        <w:t>5</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后浇</w:t>
      </w:r>
      <w:r>
        <w:rPr>
          <w:rFonts w:hint="eastAsia" w:cstheme="minorBidi"/>
          <w:kern w:val="2"/>
          <w:sz w:val="21"/>
          <w:szCs w:val="21"/>
          <w:lang w:val="en-US" w:eastAsia="zh-CN" w:bidi="ar-SA"/>
        </w:rPr>
        <w:t>肋梁</w:t>
      </w:r>
      <w:r>
        <w:rPr>
          <w:rFonts w:hint="eastAsia" w:ascii="Times New Roman" w:hAnsi="Times New Roman" w:cstheme="minorBidi"/>
          <w:kern w:val="2"/>
          <w:sz w:val="21"/>
          <w:szCs w:val="21"/>
          <w:lang w:val="en-US" w:eastAsia="zh-CN" w:bidi="ar-SA"/>
        </w:rPr>
        <w:t>；6</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叠合肋梁</w:t>
      </w:r>
      <w:r>
        <w:rPr>
          <w:rFonts w:hint="eastAsia" w:cstheme="minorBidi"/>
          <w:kern w:val="2"/>
          <w:sz w:val="21"/>
          <w:szCs w:val="21"/>
          <w:lang w:val="en-US" w:eastAsia="zh-CN" w:bidi="ar-SA"/>
        </w:rPr>
        <w:t>；7</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后浇上翼缘；</w:t>
      </w:r>
    </w:p>
    <w:p>
      <w:pPr>
        <w:numPr>
          <w:ilvl w:val="2"/>
          <w:numId w:val="1"/>
        </w:numPr>
        <w:bidi w:val="0"/>
        <w:rPr>
          <w:rFonts w:hint="default"/>
          <w:lang w:val="en-US" w:eastAsia="zh-CN"/>
        </w:rPr>
      </w:pPr>
      <w:r>
        <w:rPr>
          <w:rFonts w:hint="default"/>
          <w:lang w:val="en-US" w:eastAsia="zh-CN"/>
        </w:rPr>
        <w:t>双向密肋整体式</w:t>
      </w:r>
      <w:r>
        <w:rPr>
          <w:rFonts w:hint="eastAsia"/>
          <w:lang w:val="en-US" w:eastAsia="zh-CN"/>
        </w:rPr>
        <w:t>接缝</w:t>
      </w:r>
      <w:r>
        <w:rPr>
          <w:rFonts w:hint="default"/>
          <w:lang w:val="en-US" w:eastAsia="zh-CN"/>
        </w:rPr>
        <w:t>空心叠合楼盖</w:t>
      </w:r>
      <w:r>
        <w:rPr>
          <w:rFonts w:hint="eastAsia"/>
          <w:lang w:val="en-US" w:eastAsia="zh-CN"/>
        </w:rPr>
        <w:t xml:space="preserve"> t</w:t>
      </w:r>
      <w:r>
        <w:rPr>
          <w:rFonts w:hint="default"/>
          <w:lang w:val="en-US" w:eastAsia="zh-CN"/>
        </w:rPr>
        <w:t xml:space="preserve">wo-way ribbed </w:t>
      </w:r>
      <w:r>
        <w:rPr>
          <w:rFonts w:hint="eastAsia"/>
          <w:lang w:val="en-US" w:eastAsia="zh-CN"/>
        </w:rPr>
        <w:t>integral jointed hollow composite</w:t>
      </w:r>
      <w:r>
        <w:rPr>
          <w:rFonts w:hint="default"/>
          <w:lang w:val="en-US" w:eastAsia="zh-CN"/>
        </w:rPr>
        <w:t xml:space="preserve"> </w:t>
      </w:r>
      <w:r>
        <w:rPr>
          <w:rFonts w:hint="eastAsia"/>
          <w:lang w:val="en-US" w:eastAsia="zh-CN"/>
        </w:rPr>
        <w:t>floor</w:t>
      </w:r>
    </w:p>
    <w:p>
      <w:pPr>
        <w:pStyle w:val="21"/>
        <w:bidi w:val="0"/>
        <w:rPr>
          <w:rFonts w:hint="default"/>
          <w:lang w:val="en-US" w:eastAsia="zh-CN"/>
        </w:rPr>
      </w:pPr>
      <w:r>
        <w:rPr>
          <w:rFonts w:hint="default"/>
          <w:lang w:val="en-US" w:eastAsia="zh-CN"/>
        </w:rPr>
        <w:t>由双向密肋整体式</w:t>
      </w:r>
      <w:r>
        <w:rPr>
          <w:rFonts w:hint="eastAsia"/>
          <w:lang w:val="en-US" w:eastAsia="zh-CN"/>
        </w:rPr>
        <w:t>接缝</w:t>
      </w:r>
      <w:r>
        <w:rPr>
          <w:rFonts w:hint="default"/>
          <w:lang w:val="en-US" w:eastAsia="zh-CN"/>
        </w:rPr>
        <w:t>空心叠合板与支承构件组成的楼盖结构。简称空心叠合楼盖。</w:t>
      </w:r>
    </w:p>
    <w:p>
      <w:pPr>
        <w:pStyle w:val="21"/>
        <w:bidi w:val="0"/>
        <w:ind w:left="0" w:leftChars="0" w:firstLine="0" w:firstLineChars="0"/>
        <w:rPr>
          <w:rFonts w:hint="default"/>
          <w:u w:val="single"/>
          <w:lang w:val="en-US" w:eastAsia="zh-CN"/>
        </w:rPr>
      </w:pPr>
      <w:r>
        <w:rPr>
          <w:rFonts w:hint="eastAsia"/>
          <w:u w:val="single"/>
          <w:lang w:val="en-US" w:eastAsia="zh-CN"/>
        </w:rPr>
        <w:t>【条文说明】2.1.2 由</w:t>
      </w:r>
      <w:r>
        <w:rPr>
          <w:rFonts w:hint="default"/>
          <w:u w:val="single"/>
          <w:lang w:val="en-US" w:eastAsia="zh-CN"/>
        </w:rPr>
        <w:t>双向密肋整体式</w:t>
      </w:r>
      <w:r>
        <w:rPr>
          <w:rFonts w:hint="eastAsia"/>
          <w:u w:val="single"/>
          <w:lang w:val="en-US" w:eastAsia="zh-CN"/>
        </w:rPr>
        <w:t>接缝</w:t>
      </w:r>
      <w:r>
        <w:rPr>
          <w:rFonts w:hint="default"/>
          <w:u w:val="single"/>
          <w:lang w:val="en-US" w:eastAsia="zh-CN"/>
        </w:rPr>
        <w:t>空心叠合板</w:t>
      </w:r>
      <w:r>
        <w:rPr>
          <w:rFonts w:hint="eastAsia"/>
          <w:u w:val="single"/>
          <w:lang w:val="en-US" w:eastAsia="zh-CN"/>
        </w:rPr>
        <w:t>与其支承构件共同组成的楼盖结构称为</w:t>
      </w:r>
      <w:r>
        <w:rPr>
          <w:rFonts w:hint="default"/>
          <w:u w:val="single"/>
          <w:lang w:val="en-US" w:eastAsia="zh-CN"/>
        </w:rPr>
        <w:t>双向密肋整体式</w:t>
      </w:r>
      <w:r>
        <w:rPr>
          <w:rFonts w:hint="eastAsia"/>
          <w:u w:val="single"/>
          <w:lang w:val="en-US" w:eastAsia="zh-CN"/>
        </w:rPr>
        <w:t>接缝</w:t>
      </w:r>
      <w:r>
        <w:rPr>
          <w:rFonts w:hint="default"/>
          <w:u w:val="single"/>
          <w:lang w:val="en-US" w:eastAsia="zh-CN"/>
        </w:rPr>
        <w:t>空心叠合楼盖</w:t>
      </w:r>
      <w:r>
        <w:rPr>
          <w:rFonts w:hint="eastAsia"/>
          <w:u w:val="single"/>
          <w:lang w:val="en-US" w:eastAsia="zh-CN"/>
        </w:rPr>
        <w:t>。支承构件可以为刚性支承梁（剪力墙）、柔性支承梁（或扁梁）以及框架柱，分别对应的是刚性支承楼盖、柔性支承楼盖以及柱支承楼盖。</w:t>
      </w:r>
    </w:p>
    <w:p>
      <w:pPr>
        <w:numPr>
          <w:ilvl w:val="2"/>
          <w:numId w:val="1"/>
        </w:numPr>
        <w:bidi w:val="0"/>
        <w:rPr>
          <w:rFonts w:hint="default"/>
          <w:lang w:val="en-US" w:eastAsia="zh-CN"/>
        </w:rPr>
      </w:pPr>
      <w:r>
        <w:rPr>
          <w:rFonts w:hint="default"/>
          <w:lang w:val="en-US" w:eastAsia="zh-CN"/>
        </w:rPr>
        <w:t>双向带肋预制底板</w:t>
      </w:r>
      <w:r>
        <w:rPr>
          <w:rFonts w:hint="eastAsia"/>
          <w:lang w:val="en-US" w:eastAsia="zh-CN"/>
        </w:rPr>
        <w:t xml:space="preserve"> two-way</w:t>
      </w:r>
      <w:r>
        <w:rPr>
          <w:rFonts w:hint="default"/>
          <w:lang w:val="en-US" w:eastAsia="zh-CN"/>
        </w:rPr>
        <w:t xml:space="preserve"> ribbed </w:t>
      </w:r>
      <w:r>
        <w:rPr>
          <w:rFonts w:hint="eastAsia"/>
          <w:lang w:val="en-US" w:eastAsia="zh-CN"/>
        </w:rPr>
        <w:t>precast</w:t>
      </w:r>
      <w:r>
        <w:rPr>
          <w:rFonts w:hint="default"/>
          <w:lang w:val="en-US" w:eastAsia="zh-CN"/>
        </w:rPr>
        <w:t xml:space="preserve"> plate</w:t>
      </w:r>
    </w:p>
    <w:p>
      <w:pPr>
        <w:pStyle w:val="21"/>
        <w:bidi w:val="0"/>
        <w:rPr>
          <w:rFonts w:hint="default"/>
          <w:lang w:val="en-US" w:eastAsia="zh-CN"/>
        </w:rPr>
      </w:pPr>
      <w:r>
        <w:rPr>
          <w:rFonts w:hint="default"/>
          <w:lang w:val="en-US" w:eastAsia="zh-CN"/>
        </w:rPr>
        <w:t>由工厂预先制作完成用于双向密肋整体式</w:t>
      </w:r>
      <w:r>
        <w:rPr>
          <w:rFonts w:hint="eastAsia"/>
          <w:lang w:val="en-US" w:eastAsia="zh-CN"/>
        </w:rPr>
        <w:t>接缝</w:t>
      </w:r>
      <w:r>
        <w:rPr>
          <w:rFonts w:hint="default"/>
          <w:lang w:val="en-US" w:eastAsia="zh-CN"/>
        </w:rPr>
        <w:t>空心叠合板的</w:t>
      </w:r>
      <w:r>
        <w:rPr>
          <w:rFonts w:hint="eastAsia"/>
          <w:lang w:val="en-US" w:eastAsia="zh-CN"/>
        </w:rPr>
        <w:t>预制</w:t>
      </w:r>
      <w:r>
        <w:rPr>
          <w:rFonts w:hint="default"/>
          <w:lang w:val="en-US" w:eastAsia="zh-CN"/>
        </w:rPr>
        <w:t>底板，</w:t>
      </w:r>
      <w:r>
        <w:rPr>
          <w:rFonts w:hint="eastAsia"/>
          <w:lang w:val="en-US" w:eastAsia="zh-CN"/>
        </w:rPr>
        <w:t>包括空心叠合板的部分下翼缘板以及作为</w:t>
      </w:r>
      <w:r>
        <w:rPr>
          <w:rFonts w:hint="default"/>
          <w:lang w:val="en-US" w:eastAsia="zh-CN"/>
        </w:rPr>
        <w:t>叠合肋梁预制部分</w:t>
      </w:r>
      <w:r>
        <w:rPr>
          <w:rFonts w:hint="eastAsia"/>
          <w:lang w:val="en-US" w:eastAsia="zh-CN"/>
        </w:rPr>
        <w:t>的双向</w:t>
      </w:r>
      <w:r>
        <w:rPr>
          <w:rFonts w:hint="default"/>
          <w:lang w:val="en-US" w:eastAsia="zh-CN"/>
        </w:rPr>
        <w:t>上凸的肋部。简称预制底板。</w:t>
      </w:r>
    </w:p>
    <w:p>
      <w:pPr>
        <w:pStyle w:val="21"/>
        <w:bidi w:val="0"/>
        <w:ind w:left="0" w:leftChars="0" w:firstLine="0" w:firstLineChars="0"/>
        <w:rPr>
          <w:rFonts w:hint="eastAsia"/>
          <w:u w:val="single"/>
          <w:lang w:val="en-US" w:eastAsia="zh-CN"/>
        </w:rPr>
      </w:pPr>
      <w:r>
        <w:rPr>
          <w:rFonts w:hint="eastAsia"/>
          <w:u w:val="single"/>
          <w:lang w:val="en-US" w:eastAsia="zh-CN"/>
        </w:rPr>
        <w:t xml:space="preserve">【条文说明】2.1.3 </w:t>
      </w:r>
      <w:r>
        <w:rPr>
          <w:rFonts w:hint="default"/>
          <w:u w:val="single"/>
          <w:lang w:val="en-US" w:eastAsia="zh-CN"/>
        </w:rPr>
        <w:t>双向带肋预制底板</w:t>
      </w:r>
      <w:r>
        <w:rPr>
          <w:rFonts w:hint="eastAsia"/>
          <w:u w:val="single"/>
          <w:lang w:val="en-US" w:eastAsia="zh-CN"/>
        </w:rPr>
        <w:t>是空心叠合板的基础和基本组成部分。由空心叠合板的部分下翼缘板以及双向上凸的肋部组成。其中，双向上凸的肋部也是叠合肋梁的预制部分，也能起到提高</w:t>
      </w:r>
      <w:r>
        <w:rPr>
          <w:rFonts w:hint="default"/>
          <w:u w:val="single"/>
          <w:lang w:val="en-US" w:eastAsia="zh-CN"/>
        </w:rPr>
        <w:t>预制底板</w:t>
      </w:r>
      <w:r>
        <w:rPr>
          <w:rFonts w:hint="eastAsia"/>
          <w:u w:val="single"/>
          <w:lang w:val="en-US" w:eastAsia="zh-CN"/>
        </w:rPr>
        <w:t>刚度的作用，从而保证预制底板在脱模、翻转、</w:t>
      </w:r>
      <w:r>
        <w:rPr>
          <w:rFonts w:hint="default"/>
          <w:u w:val="single"/>
          <w:lang w:val="en-US" w:eastAsia="zh-CN"/>
        </w:rPr>
        <w:t>吊运、堆放、运输、安装</w:t>
      </w:r>
      <w:r>
        <w:rPr>
          <w:rFonts w:hint="eastAsia"/>
          <w:u w:val="single"/>
          <w:lang w:val="en-US" w:eastAsia="zh-CN"/>
        </w:rPr>
        <w:t>及</w:t>
      </w:r>
      <w:r>
        <w:rPr>
          <w:rFonts w:hint="default"/>
          <w:u w:val="single"/>
          <w:lang w:val="en-US" w:eastAsia="zh-CN"/>
        </w:rPr>
        <w:t>混凝土浇筑</w:t>
      </w:r>
      <w:r>
        <w:rPr>
          <w:rFonts w:hint="eastAsia"/>
          <w:u w:val="single"/>
          <w:lang w:val="en-US" w:eastAsia="zh-CN"/>
        </w:rPr>
        <w:t>时的受力和变形满足要求。</w:t>
      </w:r>
    </w:p>
    <w:p>
      <w:pPr>
        <w:pStyle w:val="21"/>
        <w:bidi w:val="0"/>
        <w:ind w:left="0" w:leftChars="0" w:firstLine="0" w:firstLineChars="0"/>
        <w:rPr>
          <w:rFonts w:hint="eastAsia"/>
          <w:lang w:val="en-US" w:eastAsia="zh-CN"/>
        </w:rPr>
      </w:pPr>
      <w:r>
        <w:rPr>
          <w:rFonts w:hint="eastAsia"/>
          <w:lang w:val="en-US" w:eastAsia="zh-CN"/>
        </w:rPr>
        <w:drawing>
          <wp:inline distT="0" distB="0" distL="114300" distR="114300">
            <wp:extent cx="5268595" cy="3444240"/>
            <wp:effectExtent l="0" t="0" r="8255" b="3810"/>
            <wp:docPr id="28" name="图片 28" descr="a3e1c326a2c7024dc0d18c3e98ca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3e1c326a2c7024dc0d18c3e98cabe2"/>
                    <pic:cNvPicPr>
                      <a:picLocks noChangeAspect="1"/>
                    </pic:cNvPicPr>
                  </pic:nvPicPr>
                  <pic:blipFill>
                    <a:blip r:embed="rId14"/>
                    <a:stretch>
                      <a:fillRect/>
                    </a:stretch>
                  </pic:blipFill>
                  <pic:spPr>
                    <a:xfrm>
                      <a:off x="0" y="0"/>
                      <a:ext cx="5268595" cy="3444240"/>
                    </a:xfrm>
                    <a:prstGeom prst="rect">
                      <a:avLst/>
                    </a:prstGeom>
                  </pic:spPr>
                </pic:pic>
              </a:graphicData>
            </a:graphic>
          </wp:inline>
        </w:drawing>
      </w:r>
    </w:p>
    <w:p>
      <w:pPr>
        <w:pStyle w:val="21"/>
        <w:bidi w:val="0"/>
        <w:ind w:left="0" w:leftChars="0" w:firstLine="0" w:firstLineChars="0"/>
        <w:jc w:val="center"/>
        <w:rPr>
          <w:rFonts w:hint="eastAsia" w:ascii="仿宋_GB2312" w:hAnsi="仿宋_GB2312" w:eastAsia="仿宋_GB2312" w:cs="仿宋_GB2312"/>
        </w:rPr>
      </w:pPr>
      <w:r>
        <w:rPr>
          <w:rFonts w:hint="eastAsia" w:ascii="仿宋_GB2312" w:hAnsi="仿宋_GB2312" w:eastAsia="仿宋_GB2312" w:cs="仿宋_GB2312"/>
          <w:lang w:val="en-US" w:eastAsia="zh-CN"/>
        </w:rPr>
        <w:t>图2 典型双向带肋预制底板</w:t>
      </w:r>
      <w:r>
        <w:rPr>
          <w:rFonts w:hint="eastAsia" w:ascii="仿宋_GB2312" w:hAnsi="仿宋_GB2312" w:eastAsia="仿宋_GB2312" w:cs="仿宋_GB2312"/>
        </w:rPr>
        <w:t>示意图</w:t>
      </w:r>
    </w:p>
    <w:p>
      <w:pPr>
        <w:pStyle w:val="21"/>
        <w:bidi w:val="0"/>
        <w:ind w:left="0" w:leftChars="0" w:firstLine="0" w:firstLineChars="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261610" cy="2790190"/>
            <wp:effectExtent l="0" t="0" r="15240" b="10160"/>
            <wp:docPr id="32" name="图片 32" descr="576ee2268abd20093b2b03f90ed33ff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76ee2268abd20093b2b03f90ed33ff5_"/>
                    <pic:cNvPicPr>
                      <a:picLocks noChangeAspect="1"/>
                    </pic:cNvPicPr>
                  </pic:nvPicPr>
                  <pic:blipFill>
                    <a:blip r:embed="rId15"/>
                    <a:stretch>
                      <a:fillRect/>
                    </a:stretch>
                  </pic:blipFill>
                  <pic:spPr>
                    <a:xfrm>
                      <a:off x="0" y="0"/>
                      <a:ext cx="5261610" cy="2790190"/>
                    </a:xfrm>
                    <a:prstGeom prst="rect">
                      <a:avLst/>
                    </a:prstGeom>
                  </pic:spPr>
                </pic:pic>
              </a:graphicData>
            </a:graphic>
          </wp:inline>
        </w:drawing>
      </w:r>
    </w:p>
    <w:p>
      <w:pPr>
        <w:numPr>
          <w:ilvl w:val="2"/>
          <w:numId w:val="1"/>
        </w:numPr>
        <w:bidi w:val="0"/>
        <w:rPr>
          <w:rFonts w:hint="default"/>
          <w:lang w:val="en-US" w:eastAsia="zh-CN"/>
        </w:rPr>
      </w:pPr>
      <w:r>
        <w:rPr>
          <w:rFonts w:hint="default"/>
          <w:lang w:val="en-US" w:eastAsia="zh-CN"/>
        </w:rPr>
        <w:t>上翼缘</w:t>
      </w:r>
      <w:r>
        <w:rPr>
          <w:rFonts w:hint="eastAsia"/>
          <w:lang w:val="en-US" w:eastAsia="zh-CN"/>
        </w:rPr>
        <w:t>板</w:t>
      </w:r>
      <w:r>
        <w:rPr>
          <w:rFonts w:hint="default"/>
          <w:lang w:val="en-US" w:eastAsia="zh-CN"/>
        </w:rPr>
        <w:t xml:space="preserve"> upper flange</w:t>
      </w:r>
    </w:p>
    <w:p>
      <w:pPr>
        <w:pStyle w:val="21"/>
        <w:bidi w:val="0"/>
        <w:rPr>
          <w:rFonts w:hint="default"/>
          <w:lang w:val="en-US" w:eastAsia="zh-CN"/>
        </w:rPr>
      </w:pPr>
      <w:r>
        <w:rPr>
          <w:rFonts w:hint="default"/>
          <w:lang w:val="en-US" w:eastAsia="zh-CN"/>
        </w:rPr>
        <w:t>位于箱型填充体上表面至空心叠合板顶面的后浇混凝土板。</w:t>
      </w:r>
    </w:p>
    <w:p>
      <w:pPr>
        <w:numPr>
          <w:ilvl w:val="2"/>
          <w:numId w:val="1"/>
        </w:numPr>
        <w:bidi w:val="0"/>
        <w:rPr>
          <w:rFonts w:hint="default"/>
          <w:lang w:val="en-US" w:eastAsia="zh-CN"/>
        </w:rPr>
      </w:pPr>
      <w:r>
        <w:rPr>
          <w:rFonts w:hint="default"/>
          <w:lang w:val="en-US" w:eastAsia="zh-CN"/>
        </w:rPr>
        <w:t>下翼缘</w:t>
      </w:r>
      <w:r>
        <w:rPr>
          <w:rFonts w:hint="eastAsia"/>
          <w:lang w:val="en-US" w:eastAsia="zh-CN"/>
        </w:rPr>
        <w:t>板</w:t>
      </w:r>
      <w:r>
        <w:rPr>
          <w:rFonts w:hint="default"/>
          <w:lang w:val="en-US" w:eastAsia="zh-CN"/>
        </w:rPr>
        <w:t xml:space="preserve"> bottom flange</w:t>
      </w:r>
    </w:p>
    <w:p>
      <w:pPr>
        <w:pStyle w:val="21"/>
        <w:bidi w:val="0"/>
        <w:rPr>
          <w:rFonts w:hint="default"/>
          <w:lang w:val="en-US" w:eastAsia="zh-CN"/>
        </w:rPr>
      </w:pPr>
      <w:r>
        <w:rPr>
          <w:rFonts w:hint="default"/>
          <w:lang w:val="en-US" w:eastAsia="zh-CN"/>
        </w:rPr>
        <w:t>位于箱型填充体下部空心叠合板底面的混凝土板，一般随预制底板在工厂预制。</w:t>
      </w:r>
    </w:p>
    <w:p>
      <w:pPr>
        <w:numPr>
          <w:ilvl w:val="2"/>
          <w:numId w:val="1"/>
        </w:numPr>
        <w:bidi w:val="0"/>
        <w:rPr>
          <w:rFonts w:hint="default"/>
          <w:lang w:val="en-US" w:eastAsia="zh-CN"/>
        </w:rPr>
      </w:pPr>
      <w:r>
        <w:rPr>
          <w:rFonts w:hint="default"/>
          <w:lang w:val="en-US" w:eastAsia="zh-CN"/>
        </w:rPr>
        <w:t>肋梁 rib</w:t>
      </w:r>
    </w:p>
    <w:p>
      <w:pPr>
        <w:pStyle w:val="21"/>
        <w:bidi w:val="0"/>
        <w:rPr>
          <w:rFonts w:hint="default"/>
          <w:lang w:val="en-US" w:eastAsia="zh-CN"/>
        </w:rPr>
      </w:pPr>
      <w:r>
        <w:rPr>
          <w:rFonts w:hint="eastAsia"/>
          <w:lang w:val="en-US" w:eastAsia="zh-CN"/>
        </w:rPr>
        <w:t>属于</w:t>
      </w:r>
      <w:r>
        <w:rPr>
          <w:rFonts w:hint="default"/>
          <w:lang w:val="en-US" w:eastAsia="zh-CN"/>
        </w:rPr>
        <w:t>空心叠合板</w:t>
      </w:r>
      <w:r>
        <w:rPr>
          <w:rFonts w:hint="eastAsia"/>
          <w:lang w:val="en-US" w:eastAsia="zh-CN"/>
        </w:rPr>
        <w:t>的一部分，</w:t>
      </w:r>
      <w:r>
        <w:rPr>
          <w:rFonts w:hint="default"/>
          <w:lang w:val="en-US" w:eastAsia="zh-CN"/>
        </w:rPr>
        <w:t>同一柱网内相邻箱型填充体之间形成的</w:t>
      </w:r>
      <w:r>
        <w:rPr>
          <w:rFonts w:hint="eastAsia"/>
          <w:lang w:val="en-US" w:eastAsia="zh-CN"/>
        </w:rPr>
        <w:t>梁式配筋的</w:t>
      </w:r>
      <w:r>
        <w:rPr>
          <w:rFonts w:hint="default"/>
          <w:lang w:val="en-US" w:eastAsia="zh-CN"/>
        </w:rPr>
        <w:t>混凝土小梁。</w:t>
      </w:r>
      <w:r>
        <w:rPr>
          <w:rFonts w:hint="eastAsia"/>
          <w:lang w:val="en-US" w:eastAsia="zh-CN"/>
        </w:rPr>
        <w:t>空心叠合板的肋梁</w:t>
      </w:r>
      <w:r>
        <w:rPr>
          <w:rFonts w:hint="default"/>
          <w:lang w:val="en-US" w:eastAsia="zh-CN"/>
        </w:rPr>
        <w:t>包括叠合肋梁和</w:t>
      </w:r>
      <w:r>
        <w:rPr>
          <w:rFonts w:hint="eastAsia"/>
          <w:lang w:val="en-US" w:eastAsia="zh-CN"/>
        </w:rPr>
        <w:t>后浇</w:t>
      </w:r>
      <w:r>
        <w:rPr>
          <w:rFonts w:hint="default"/>
          <w:lang w:val="en-US" w:eastAsia="zh-CN"/>
        </w:rPr>
        <w:t>肋梁。</w:t>
      </w:r>
    </w:p>
    <w:p>
      <w:pPr>
        <w:pStyle w:val="21"/>
        <w:bidi w:val="0"/>
        <w:ind w:left="0" w:leftChars="0" w:firstLine="0" w:firstLineChars="0"/>
        <w:rPr>
          <w:rFonts w:hint="default"/>
          <w:u w:val="single"/>
          <w:lang w:val="en-US" w:eastAsia="zh-CN"/>
        </w:rPr>
      </w:pPr>
      <w:r>
        <w:rPr>
          <w:rFonts w:hint="eastAsia"/>
          <w:u w:val="single"/>
          <w:lang w:val="en-US" w:eastAsia="zh-CN"/>
        </w:rPr>
        <w:t>【条文说明】2.1.6 最终成型的空心叠合板一般由上翼缘板、下翼缘板和双向密肋的肋梁组成。肋梁属于</w:t>
      </w:r>
      <w:r>
        <w:rPr>
          <w:rFonts w:hint="default"/>
          <w:u w:val="single"/>
          <w:lang w:val="en-US" w:eastAsia="zh-CN"/>
        </w:rPr>
        <w:t>空心叠合板</w:t>
      </w:r>
      <w:r>
        <w:rPr>
          <w:rFonts w:hint="eastAsia"/>
          <w:u w:val="single"/>
          <w:lang w:val="en-US" w:eastAsia="zh-CN"/>
        </w:rPr>
        <w:t>的一部分，</w:t>
      </w:r>
      <w:r>
        <w:rPr>
          <w:rFonts w:hint="default"/>
          <w:u w:val="single"/>
          <w:lang w:val="en-US" w:eastAsia="zh-CN"/>
        </w:rPr>
        <w:t>同一柱网内相邻箱型填充体之间形成的混凝土小梁</w:t>
      </w:r>
      <w:r>
        <w:rPr>
          <w:rFonts w:hint="eastAsia"/>
          <w:u w:val="single"/>
          <w:lang w:val="en-US" w:eastAsia="zh-CN"/>
        </w:rPr>
        <w:t>，一般情况下按梁进行配筋</w:t>
      </w:r>
      <w:r>
        <w:rPr>
          <w:rFonts w:hint="default"/>
          <w:u w:val="single"/>
          <w:lang w:val="en-US" w:eastAsia="zh-CN"/>
        </w:rPr>
        <w:t>。</w:t>
      </w:r>
      <w:r>
        <w:rPr>
          <w:rFonts w:hint="eastAsia"/>
          <w:u w:val="single"/>
          <w:lang w:val="en-US" w:eastAsia="zh-CN"/>
        </w:rPr>
        <w:t>空心叠合板的肋梁</w:t>
      </w:r>
      <w:r>
        <w:rPr>
          <w:rFonts w:hint="default"/>
          <w:u w:val="single"/>
          <w:lang w:val="en-US" w:eastAsia="zh-CN"/>
        </w:rPr>
        <w:t>包括叠合肋梁和</w:t>
      </w:r>
      <w:r>
        <w:rPr>
          <w:rFonts w:hint="eastAsia"/>
          <w:u w:val="single"/>
          <w:lang w:val="en-US" w:eastAsia="zh-CN"/>
        </w:rPr>
        <w:t>后浇</w:t>
      </w:r>
      <w:r>
        <w:rPr>
          <w:rFonts w:hint="default"/>
          <w:u w:val="single"/>
          <w:lang w:val="en-US" w:eastAsia="zh-CN"/>
        </w:rPr>
        <w:t>肋梁。</w:t>
      </w:r>
    </w:p>
    <w:p>
      <w:pPr>
        <w:numPr>
          <w:ilvl w:val="2"/>
          <w:numId w:val="1"/>
        </w:numPr>
        <w:bidi w:val="0"/>
        <w:rPr>
          <w:rFonts w:hint="default"/>
          <w:lang w:val="en-US" w:eastAsia="zh-CN"/>
        </w:rPr>
      </w:pPr>
      <w:r>
        <w:rPr>
          <w:rFonts w:hint="default"/>
          <w:lang w:val="en-US" w:eastAsia="zh-CN"/>
        </w:rPr>
        <w:t>叠合肋梁</w:t>
      </w:r>
      <w:r>
        <w:rPr>
          <w:rFonts w:hint="eastAsia"/>
          <w:lang w:val="en-US" w:eastAsia="zh-CN"/>
        </w:rPr>
        <w:t xml:space="preserve"> </w:t>
      </w:r>
      <w:r>
        <w:rPr>
          <w:rFonts w:hint="default"/>
          <w:lang w:val="en-US" w:eastAsia="zh-CN"/>
        </w:rPr>
        <w:t xml:space="preserve">composite </w:t>
      </w:r>
      <w:r>
        <w:rPr>
          <w:rFonts w:hint="eastAsia"/>
          <w:lang w:val="en-US" w:eastAsia="zh-CN"/>
        </w:rPr>
        <w:t>rib</w:t>
      </w:r>
    </w:p>
    <w:p>
      <w:pPr>
        <w:pStyle w:val="21"/>
        <w:bidi w:val="0"/>
        <w:rPr>
          <w:rFonts w:hint="default"/>
          <w:lang w:val="en-US" w:eastAsia="zh-CN"/>
        </w:rPr>
      </w:pPr>
      <w:r>
        <w:rPr>
          <w:rFonts w:hint="default"/>
          <w:lang w:val="en-US" w:eastAsia="zh-CN"/>
        </w:rPr>
        <w:t>下半部分为预制底板的肋部，底部纵筋采用套筒挤压接头进行</w:t>
      </w:r>
      <w:r>
        <w:rPr>
          <w:rFonts w:hint="eastAsia"/>
          <w:lang w:val="en-US" w:eastAsia="zh-CN"/>
        </w:rPr>
        <w:t>机械</w:t>
      </w:r>
      <w:r>
        <w:rPr>
          <w:rFonts w:hint="default"/>
          <w:lang w:val="en-US" w:eastAsia="zh-CN"/>
        </w:rPr>
        <w:t>连接、配置上皮纵筋、浇筑上部后浇混凝土后形成的整体受力的肋梁。</w:t>
      </w:r>
    </w:p>
    <w:p>
      <w:pPr>
        <w:pStyle w:val="21"/>
        <w:bidi w:val="0"/>
        <w:ind w:left="0" w:leftChars="0" w:firstLine="0" w:firstLineChars="0"/>
        <w:rPr>
          <w:rFonts w:hint="default"/>
          <w:u w:val="single"/>
          <w:lang w:val="en-US" w:eastAsia="zh-CN"/>
        </w:rPr>
      </w:pPr>
      <w:r>
        <w:rPr>
          <w:rFonts w:hint="eastAsia"/>
          <w:u w:val="single"/>
          <w:lang w:val="en-US" w:eastAsia="zh-CN"/>
        </w:rPr>
        <w:t>【条文说明】2.1.7 叠合肋梁的下半部分为</w:t>
      </w:r>
      <w:r>
        <w:rPr>
          <w:rFonts w:hint="default"/>
          <w:u w:val="single"/>
          <w:lang w:val="en-US" w:eastAsia="zh-CN"/>
        </w:rPr>
        <w:t>双向带肋预制底板</w:t>
      </w:r>
      <w:r>
        <w:rPr>
          <w:rFonts w:hint="eastAsia"/>
          <w:u w:val="single"/>
          <w:lang w:val="en-US" w:eastAsia="zh-CN"/>
        </w:rPr>
        <w:t>的上凸的肋部，上半部分通过浇筑后浇混凝土后形成的整体受力的肋梁。其</w:t>
      </w:r>
      <w:r>
        <w:rPr>
          <w:rFonts w:hint="default"/>
          <w:u w:val="single"/>
          <w:lang w:val="en-US" w:eastAsia="zh-CN"/>
        </w:rPr>
        <w:t>底部纵筋</w:t>
      </w:r>
      <w:r>
        <w:rPr>
          <w:rFonts w:hint="eastAsia"/>
          <w:u w:val="single"/>
          <w:lang w:val="en-US" w:eastAsia="zh-CN"/>
        </w:rPr>
        <w:t>需要现场</w:t>
      </w:r>
      <w:r>
        <w:rPr>
          <w:rFonts w:hint="default"/>
          <w:u w:val="single"/>
          <w:lang w:val="en-US" w:eastAsia="zh-CN"/>
        </w:rPr>
        <w:t>采用套筒挤压接头进行</w:t>
      </w:r>
      <w:r>
        <w:rPr>
          <w:rFonts w:hint="eastAsia"/>
          <w:u w:val="single"/>
          <w:lang w:val="en-US" w:eastAsia="zh-CN"/>
        </w:rPr>
        <w:t>机械</w:t>
      </w:r>
      <w:r>
        <w:rPr>
          <w:rFonts w:hint="default"/>
          <w:u w:val="single"/>
          <w:lang w:val="en-US" w:eastAsia="zh-CN"/>
        </w:rPr>
        <w:t>连接</w:t>
      </w:r>
      <w:r>
        <w:rPr>
          <w:rFonts w:hint="eastAsia"/>
          <w:u w:val="single"/>
          <w:lang w:val="en-US" w:eastAsia="zh-CN"/>
        </w:rPr>
        <w:t>，</w:t>
      </w:r>
      <w:r>
        <w:rPr>
          <w:rFonts w:hint="default"/>
          <w:u w:val="single"/>
          <w:lang w:val="en-US" w:eastAsia="zh-CN"/>
        </w:rPr>
        <w:t>上皮纵筋</w:t>
      </w:r>
      <w:r>
        <w:rPr>
          <w:rFonts w:hint="eastAsia"/>
          <w:u w:val="single"/>
          <w:lang w:val="en-US" w:eastAsia="zh-CN"/>
        </w:rPr>
        <w:t>需要现场配置。</w:t>
      </w:r>
    </w:p>
    <w:p>
      <w:pPr>
        <w:numPr>
          <w:ilvl w:val="2"/>
          <w:numId w:val="1"/>
        </w:numPr>
        <w:bidi w:val="0"/>
        <w:rPr>
          <w:rFonts w:hint="default"/>
          <w:lang w:val="en-US" w:eastAsia="zh-CN"/>
        </w:rPr>
      </w:pPr>
      <w:r>
        <w:rPr>
          <w:rFonts w:hint="eastAsia"/>
          <w:lang w:val="en-US" w:eastAsia="zh-CN"/>
        </w:rPr>
        <w:t>后浇</w:t>
      </w:r>
      <w:r>
        <w:rPr>
          <w:rFonts w:hint="default"/>
          <w:lang w:val="en-US" w:eastAsia="zh-CN"/>
        </w:rPr>
        <w:t>肋梁</w:t>
      </w:r>
      <w:r>
        <w:rPr>
          <w:rFonts w:hint="eastAsia"/>
          <w:lang w:val="en-US" w:eastAsia="zh-CN"/>
        </w:rPr>
        <w:t xml:space="preserve"> post-cast rib</w:t>
      </w:r>
    </w:p>
    <w:p>
      <w:pPr>
        <w:pStyle w:val="21"/>
        <w:bidi w:val="0"/>
        <w:rPr>
          <w:rFonts w:hint="default"/>
          <w:lang w:val="en-US" w:eastAsia="zh-CN"/>
        </w:rPr>
      </w:pPr>
      <w:r>
        <w:rPr>
          <w:rFonts w:hint="default"/>
          <w:lang w:val="en-US" w:eastAsia="zh-CN"/>
        </w:rPr>
        <w:t>用于</w:t>
      </w:r>
      <w:r>
        <w:rPr>
          <w:rFonts w:hint="eastAsia"/>
          <w:lang w:val="en-US" w:eastAsia="zh-CN"/>
        </w:rPr>
        <w:t>采用双向</w:t>
      </w:r>
      <w:r>
        <w:rPr>
          <w:rFonts w:hint="default"/>
          <w:lang w:val="en-US" w:eastAsia="zh-CN"/>
        </w:rPr>
        <w:t>整体式</w:t>
      </w:r>
      <w:r>
        <w:rPr>
          <w:rFonts w:hint="eastAsia"/>
          <w:lang w:val="en-US" w:eastAsia="zh-CN"/>
        </w:rPr>
        <w:t>接缝</w:t>
      </w:r>
      <w:r>
        <w:rPr>
          <w:rFonts w:hint="default"/>
          <w:lang w:val="en-US" w:eastAsia="zh-CN"/>
        </w:rPr>
        <w:t>方式连接预制底板的肋梁，其钢筋均需要现场绑扎</w:t>
      </w:r>
      <w:r>
        <w:rPr>
          <w:rFonts w:hint="eastAsia"/>
          <w:lang w:val="en-US" w:eastAsia="zh-CN"/>
        </w:rPr>
        <w:t>、混凝土现场浇筑</w:t>
      </w:r>
      <w:r>
        <w:rPr>
          <w:rFonts w:hint="default"/>
          <w:lang w:val="en-US" w:eastAsia="zh-CN"/>
        </w:rPr>
        <w:t>。</w:t>
      </w:r>
    </w:p>
    <w:p>
      <w:pPr>
        <w:pStyle w:val="21"/>
        <w:bidi w:val="0"/>
        <w:rPr>
          <w:rFonts w:hint="default"/>
          <w:u w:val="single"/>
          <w:lang w:val="en-US" w:eastAsia="zh-CN"/>
        </w:rPr>
      </w:pPr>
      <w:r>
        <w:rPr>
          <w:rFonts w:hint="eastAsia"/>
          <w:u w:val="single"/>
          <w:lang w:val="en-US" w:eastAsia="zh-CN"/>
        </w:rPr>
        <w:t>【条文说明】2.1.8 后浇肋梁在空心叠合板中起到了非常重要的作用，预制底板需要在双向后浇肋梁处进行双向整体式接缝连接成为一个整体。</w:t>
      </w:r>
      <w:r>
        <w:rPr>
          <w:rFonts w:hint="default"/>
          <w:u w:val="single"/>
          <w:lang w:val="en-US" w:eastAsia="zh-CN"/>
        </w:rPr>
        <w:t>其钢筋均需要现场绑扎</w:t>
      </w:r>
      <w:r>
        <w:rPr>
          <w:rFonts w:hint="eastAsia"/>
          <w:u w:val="single"/>
          <w:lang w:val="en-US" w:eastAsia="zh-CN"/>
        </w:rPr>
        <w:t>、混凝土现场浇筑</w:t>
      </w:r>
      <w:r>
        <w:rPr>
          <w:rFonts w:hint="default"/>
          <w:u w:val="single"/>
          <w:lang w:val="en-US" w:eastAsia="zh-CN"/>
        </w:rPr>
        <w:t>。</w:t>
      </w:r>
    </w:p>
    <w:p>
      <w:pPr>
        <w:numPr>
          <w:ilvl w:val="2"/>
          <w:numId w:val="1"/>
        </w:numPr>
        <w:bidi w:val="0"/>
        <w:rPr>
          <w:rFonts w:hint="default"/>
          <w:lang w:val="en-US" w:eastAsia="zh-CN"/>
        </w:rPr>
      </w:pPr>
      <w:r>
        <w:rPr>
          <w:rFonts w:hint="default" w:ascii="Times New Roman" w:hAnsi="Times New Roman" w:eastAsia="宋体" w:cstheme="minorBidi"/>
          <w:kern w:val="2"/>
          <w:sz w:val="24"/>
          <w:szCs w:val="24"/>
          <w:lang w:val="en-US" w:eastAsia="zh-CN" w:bidi="ar-SA"/>
        </w:rPr>
        <w:t>箱型填充体</w:t>
      </w:r>
      <w:r>
        <w:rPr>
          <w:rFonts w:hint="eastAsia"/>
          <w:lang w:val="en-US" w:eastAsia="zh-CN"/>
        </w:rPr>
        <w:t xml:space="preserve"> </w:t>
      </w:r>
      <w:bookmarkStart w:id="16" w:name="OLE_LINK9"/>
      <w:r>
        <w:rPr>
          <w:rFonts w:hint="default"/>
          <w:lang w:val="en-US" w:eastAsia="zh-CN"/>
        </w:rPr>
        <w:t>filler of box shape</w:t>
      </w:r>
      <w:bookmarkEnd w:id="16"/>
    </w:p>
    <w:p>
      <w:pPr>
        <w:pStyle w:val="21"/>
        <w:bidi w:val="0"/>
        <w:rPr>
          <w:rFonts w:hint="default"/>
          <w:lang w:val="en-US" w:eastAsia="zh-CN"/>
        </w:rPr>
      </w:pPr>
      <w:r>
        <w:rPr>
          <w:rFonts w:hint="default"/>
          <w:lang w:val="en-US" w:eastAsia="zh-CN"/>
        </w:rPr>
        <w:t>永久埋置于空心叠合板内部，</w:t>
      </w:r>
      <w:r>
        <w:rPr>
          <w:rFonts w:hint="eastAsia"/>
          <w:lang w:val="en-US" w:eastAsia="zh-CN"/>
        </w:rPr>
        <w:t>正投影宜为正方形，</w:t>
      </w:r>
      <w:r>
        <w:rPr>
          <w:rFonts w:hint="default"/>
          <w:lang w:val="en-US" w:eastAsia="zh-CN"/>
        </w:rPr>
        <w:t>形状为箱型</w:t>
      </w:r>
      <w:r>
        <w:rPr>
          <w:rFonts w:hint="eastAsia"/>
          <w:lang w:val="en-US" w:eastAsia="zh-CN"/>
        </w:rPr>
        <w:t>下部</w:t>
      </w:r>
      <w:r>
        <w:rPr>
          <w:rFonts w:hint="default"/>
          <w:lang w:val="en-US" w:eastAsia="zh-CN"/>
        </w:rPr>
        <w:t>无底，用以置换部分混凝土以达到减轻楼板自重，同时也作为后浇混凝土侧模和底模用的填充体。</w:t>
      </w:r>
    </w:p>
    <w:p>
      <w:pPr>
        <w:pStyle w:val="21"/>
        <w:bidi w:val="0"/>
        <w:ind w:left="0" w:leftChars="0" w:firstLine="0" w:firstLineChars="0"/>
        <w:rPr>
          <w:rFonts w:hint="default"/>
          <w:u w:val="single"/>
          <w:lang w:val="en-US" w:eastAsia="zh-CN"/>
        </w:rPr>
      </w:pPr>
      <w:r>
        <w:rPr>
          <w:rFonts w:hint="eastAsia"/>
          <w:u w:val="single"/>
          <w:lang w:val="en-US" w:eastAsia="zh-CN"/>
        </w:rPr>
        <w:t>【</w:t>
      </w:r>
      <w:r>
        <w:rPr>
          <w:rFonts w:hint="default"/>
          <w:u w:val="single"/>
          <w:lang w:val="en-US" w:eastAsia="zh-CN"/>
        </w:rPr>
        <w:t>条文说明</w:t>
      </w:r>
      <w:r>
        <w:rPr>
          <w:rFonts w:hint="eastAsia"/>
          <w:u w:val="single"/>
          <w:lang w:val="en-US" w:eastAsia="zh-CN"/>
        </w:rPr>
        <w:t xml:space="preserve">】2.1.9 </w:t>
      </w:r>
      <w:r>
        <w:rPr>
          <w:rFonts w:hint="default"/>
          <w:u w:val="single"/>
          <w:lang w:val="en-US" w:eastAsia="zh-CN"/>
        </w:rPr>
        <w:t>为了提高空心叠合板的体积空心率，减轻预制底板的重量，宜采用箱型填充体。</w:t>
      </w:r>
      <w:r>
        <w:rPr>
          <w:rFonts w:hint="eastAsia"/>
          <w:u w:val="single"/>
          <w:lang w:val="en-US" w:eastAsia="zh-CN"/>
        </w:rPr>
        <w:t>箱型填充体的正投影要求宜为正方形，再加上双向肋梁同宽度，目的是为了保证空心叠合板的双向同性，当然在空心叠合板的一些边角部位局部也可以搭配使用正投影为长方形的箱型填充体。箱型填充体的下部无底板，是因为箱型填充体的下部为预制底板的下翼缘板，已经预制成型。除了减轻楼板的重量之外，箱型填充体的侧面和顶面同时也可以起到后浇混凝土的模板作用。</w:t>
      </w:r>
    </w:p>
    <w:p>
      <w:pPr>
        <w:numPr>
          <w:ilvl w:val="2"/>
          <w:numId w:val="1"/>
        </w:numPr>
        <w:bidi w:val="0"/>
        <w:rPr>
          <w:rFonts w:hint="eastAsia"/>
          <w:lang w:val="en-US" w:eastAsia="zh-CN"/>
        </w:rPr>
      </w:pPr>
      <w:r>
        <w:rPr>
          <w:rFonts w:hint="eastAsia"/>
          <w:lang w:val="en-US" w:eastAsia="zh-CN"/>
        </w:rPr>
        <w:t>体积空心率 v</w:t>
      </w:r>
      <w:r>
        <w:rPr>
          <w:rFonts w:hint="default"/>
          <w:lang w:val="en-US" w:eastAsia="zh-CN"/>
        </w:rPr>
        <w:t xml:space="preserve">olumetric </w:t>
      </w:r>
      <w:r>
        <w:rPr>
          <w:rFonts w:hint="eastAsia"/>
          <w:lang w:val="en-US" w:eastAsia="zh-CN"/>
        </w:rPr>
        <w:t>v</w:t>
      </w:r>
      <w:r>
        <w:rPr>
          <w:rFonts w:hint="default"/>
          <w:lang w:val="en-US" w:eastAsia="zh-CN"/>
        </w:rPr>
        <w:t xml:space="preserve">oid </w:t>
      </w:r>
      <w:r>
        <w:rPr>
          <w:rFonts w:hint="eastAsia"/>
          <w:lang w:val="en-US" w:eastAsia="zh-CN"/>
        </w:rPr>
        <w:t>r</w:t>
      </w:r>
      <w:r>
        <w:rPr>
          <w:rFonts w:hint="default"/>
          <w:lang w:val="en-US" w:eastAsia="zh-CN"/>
        </w:rPr>
        <w:t>atio</w:t>
      </w:r>
    </w:p>
    <w:p>
      <w:pPr>
        <w:pStyle w:val="21"/>
        <w:bidi w:val="0"/>
        <w:rPr>
          <w:rFonts w:hint="eastAsia"/>
          <w:lang w:val="en-US" w:eastAsia="zh-CN"/>
        </w:rPr>
      </w:pPr>
      <w:r>
        <w:rPr>
          <w:rFonts w:hint="eastAsia"/>
          <w:lang w:val="en-US" w:eastAsia="zh-CN"/>
        </w:rPr>
        <w:t>空心叠合楼盖区格内所有内置填充箱形成的空间体的体积之和与楼板体积的比值。</w:t>
      </w:r>
    </w:p>
    <w:p>
      <w:pPr>
        <w:pStyle w:val="21"/>
        <w:bidi w:val="0"/>
        <w:ind w:left="0" w:leftChars="0" w:firstLine="0" w:firstLineChars="0"/>
        <w:rPr>
          <w:rFonts w:hint="eastAsia" w:ascii="Times New Roman" w:hAnsi="Times New Roman" w:eastAsia="宋体"/>
          <w:u w:val="single"/>
          <w:lang w:val="en-US" w:eastAsia="zh-CN"/>
        </w:rPr>
      </w:pPr>
      <w:r>
        <w:rPr>
          <w:rFonts w:hint="eastAsia" w:ascii="Times New Roman" w:hAnsi="Times New Roman" w:eastAsia="宋体"/>
          <w:u w:val="single"/>
          <w:lang w:val="en-US" w:eastAsia="zh-CN"/>
        </w:rPr>
        <w:t>【条文说明】</w:t>
      </w:r>
      <w:r>
        <w:rPr>
          <w:rFonts w:hint="eastAsia"/>
          <w:u w:val="single"/>
          <w:lang w:val="en-US" w:eastAsia="zh-CN"/>
        </w:rPr>
        <w:t xml:space="preserve">2.1.10 </w:t>
      </w:r>
      <w:r>
        <w:rPr>
          <w:rFonts w:hint="eastAsia" w:ascii="Times New Roman" w:hAnsi="Times New Roman" w:eastAsia="宋体"/>
          <w:u w:val="single"/>
          <w:lang w:val="en-US" w:eastAsia="zh-CN"/>
        </w:rPr>
        <w:t>体积空心率只是表明了填充体占的体积，由于填充体有一定的重量，因此不能完全表达减轻自重的比率。</w:t>
      </w:r>
    </w:p>
    <w:p>
      <w:pPr>
        <w:numPr>
          <w:ilvl w:val="2"/>
          <w:numId w:val="1"/>
        </w:numPr>
        <w:bidi w:val="0"/>
        <w:rPr>
          <w:rFonts w:hint="eastAsia"/>
          <w:lang w:val="en-US" w:eastAsia="zh-CN"/>
        </w:rPr>
      </w:pPr>
      <w:r>
        <w:rPr>
          <w:rFonts w:hint="eastAsia"/>
          <w:lang w:val="en-US" w:eastAsia="zh-CN"/>
        </w:rPr>
        <w:t xml:space="preserve">表观密度 </w:t>
      </w:r>
      <w:r>
        <w:rPr>
          <w:rFonts w:hint="default"/>
          <w:lang w:val="en-US" w:eastAsia="zh-CN"/>
        </w:rPr>
        <w:t>apparent</w:t>
      </w:r>
      <w:r>
        <w:rPr>
          <w:rFonts w:hint="eastAsia"/>
          <w:lang w:val="en-US" w:eastAsia="zh-CN"/>
        </w:rPr>
        <w:t xml:space="preserve"> </w:t>
      </w:r>
      <w:r>
        <w:rPr>
          <w:rFonts w:hint="default"/>
          <w:lang w:val="en-US" w:eastAsia="zh-CN"/>
        </w:rPr>
        <w:t>density</w:t>
      </w:r>
    </w:p>
    <w:p>
      <w:pPr>
        <w:pStyle w:val="21"/>
        <w:bidi w:val="0"/>
        <w:rPr>
          <w:rFonts w:hint="default"/>
          <w:lang w:val="en-US" w:eastAsia="zh-CN"/>
        </w:rPr>
      </w:pPr>
      <w:r>
        <w:rPr>
          <w:rFonts w:hint="eastAsia"/>
          <w:highlight w:val="none"/>
          <w:lang w:val="en-US" w:eastAsia="zh-CN"/>
        </w:rPr>
        <w:t>本规程特指</w:t>
      </w:r>
      <w:r>
        <w:rPr>
          <w:rFonts w:hint="default"/>
          <w:lang w:val="en-US" w:eastAsia="zh-CN"/>
        </w:rPr>
        <w:t>自然状态下</w:t>
      </w:r>
      <w:r>
        <w:rPr>
          <w:rFonts w:hint="eastAsia"/>
          <w:lang w:val="en-US" w:eastAsia="zh-CN"/>
        </w:rPr>
        <w:t>箱型</w:t>
      </w:r>
      <w:r>
        <w:rPr>
          <w:rFonts w:hint="default"/>
          <w:lang w:val="en-US" w:eastAsia="zh-CN"/>
        </w:rPr>
        <w:t>填充体的质量与体积的比值。</w:t>
      </w:r>
    </w:p>
    <w:p>
      <w:pPr>
        <w:pStyle w:val="21"/>
        <w:bidi w:val="0"/>
        <w:ind w:left="0" w:leftChars="0" w:firstLine="0" w:firstLineChars="0"/>
        <w:rPr>
          <w:rFonts w:hint="eastAsia"/>
          <w:u w:val="single"/>
          <w:lang w:val="en-US" w:eastAsia="zh-CN"/>
        </w:rPr>
      </w:pPr>
      <w:r>
        <w:rPr>
          <w:rFonts w:hint="eastAsia"/>
          <w:u w:val="single"/>
          <w:lang w:val="en-US" w:eastAsia="zh-CN"/>
        </w:rPr>
        <w:t>【条文说明】2.1.11 表观密度是衡量填充体自重和占有空心板内体积的一个宏观量度，休积空心率相同时，填充体表观密度越小越能减轻自重。</w:t>
      </w:r>
    </w:p>
    <w:p>
      <w:pPr>
        <w:numPr>
          <w:ilvl w:val="2"/>
          <w:numId w:val="1"/>
        </w:numPr>
        <w:bidi w:val="0"/>
        <w:rPr>
          <w:rFonts w:hint="default"/>
          <w:lang w:val="en-US" w:eastAsia="zh-CN"/>
        </w:rPr>
      </w:pPr>
      <w:bookmarkStart w:id="17" w:name="OLE_LINK7"/>
      <w:r>
        <w:rPr>
          <w:rFonts w:hint="eastAsia"/>
          <w:lang w:val="en-US" w:eastAsia="zh-CN"/>
        </w:rPr>
        <w:t>双向</w:t>
      </w:r>
      <w:r>
        <w:rPr>
          <w:rFonts w:hint="default"/>
          <w:lang w:val="en-US" w:eastAsia="zh-CN"/>
        </w:rPr>
        <w:t>整体式</w:t>
      </w:r>
      <w:bookmarkEnd w:id="17"/>
      <w:r>
        <w:rPr>
          <w:rFonts w:hint="eastAsia"/>
          <w:lang w:val="en-US" w:eastAsia="zh-CN"/>
        </w:rPr>
        <w:t xml:space="preserve">接缝 two-way </w:t>
      </w:r>
      <w:r>
        <w:rPr>
          <w:rFonts w:hint="default"/>
          <w:lang w:val="en-US" w:eastAsia="zh-CN"/>
        </w:rPr>
        <w:t>integrated joint</w:t>
      </w:r>
    </w:p>
    <w:p>
      <w:pPr>
        <w:pStyle w:val="21"/>
        <w:bidi w:val="0"/>
        <w:rPr>
          <w:rFonts w:hint="default"/>
          <w:lang w:val="en-US" w:eastAsia="zh-CN"/>
        </w:rPr>
      </w:pPr>
      <w:r>
        <w:rPr>
          <w:rFonts w:hint="default"/>
          <w:lang w:val="en-US" w:eastAsia="zh-CN"/>
        </w:rPr>
        <w:t>相邻预制底板之间</w:t>
      </w:r>
      <w:r>
        <w:rPr>
          <w:rFonts w:hint="eastAsia"/>
          <w:lang w:val="en-US" w:eastAsia="zh-CN"/>
        </w:rPr>
        <w:t>在双向后浇肋梁处</w:t>
      </w:r>
      <w:r>
        <w:rPr>
          <w:rFonts w:hint="default"/>
          <w:lang w:val="en-US" w:eastAsia="zh-CN"/>
        </w:rPr>
        <w:t>采用</w:t>
      </w:r>
      <w:r>
        <w:rPr>
          <w:rFonts w:hint="eastAsia"/>
          <w:lang w:val="en-US" w:eastAsia="zh-CN"/>
        </w:rPr>
        <w:t>后浇混凝土进行</w:t>
      </w:r>
      <w:r>
        <w:rPr>
          <w:rFonts w:hint="default"/>
          <w:lang w:val="en-US" w:eastAsia="zh-CN"/>
        </w:rPr>
        <w:t>连接，能可靠</w:t>
      </w:r>
      <w:r>
        <w:rPr>
          <w:rFonts w:hint="eastAsia"/>
          <w:lang w:val="en-US" w:eastAsia="zh-CN"/>
        </w:rPr>
        <w:t>双向</w:t>
      </w:r>
      <w:r>
        <w:rPr>
          <w:rFonts w:hint="default"/>
          <w:lang w:val="en-US" w:eastAsia="zh-CN"/>
        </w:rPr>
        <w:t>连续传递内力的一种接缝形式。</w:t>
      </w:r>
    </w:p>
    <w:p>
      <w:pPr>
        <w:pStyle w:val="21"/>
        <w:bidi w:val="0"/>
        <w:ind w:left="0" w:leftChars="0" w:firstLine="0" w:firstLineChars="0"/>
        <w:rPr>
          <w:rFonts w:hint="default"/>
          <w:u w:val="single"/>
          <w:lang w:val="en-US" w:eastAsia="zh-CN"/>
        </w:rPr>
      </w:pPr>
      <w:r>
        <w:rPr>
          <w:rFonts w:hint="eastAsia"/>
          <w:u w:val="single"/>
          <w:lang w:val="en-US" w:eastAsia="zh-CN"/>
        </w:rPr>
        <w:t>【条文说明】2.1.12 预制底板在后浇肋梁处通过后浇混凝土进行双向整体式接缝连接，类似普通钢筋桁架叠合板采用后浇带式整体接缝的效果，空心叠合板的整体性受力、传力与同跨度的现浇空心楼板接近。</w:t>
      </w:r>
    </w:p>
    <w:p>
      <w:pPr>
        <w:numPr>
          <w:ilvl w:val="2"/>
          <w:numId w:val="1"/>
        </w:numPr>
        <w:bidi w:val="0"/>
        <w:rPr>
          <w:rFonts w:hint="default"/>
          <w:highlight w:val="none"/>
          <w:lang w:val="en-US" w:eastAsia="zh-CN"/>
        </w:rPr>
      </w:pPr>
      <w:r>
        <w:rPr>
          <w:rFonts w:hint="default"/>
          <w:highlight w:val="none"/>
          <w:lang w:val="en-US" w:eastAsia="zh-CN"/>
        </w:rPr>
        <w:t>边肋</w:t>
      </w:r>
      <w:r>
        <w:rPr>
          <w:rFonts w:hint="eastAsia"/>
          <w:highlight w:val="none"/>
          <w:lang w:val="en-US" w:eastAsia="zh-CN"/>
        </w:rPr>
        <w:t xml:space="preserve"> edge rib</w:t>
      </w:r>
    </w:p>
    <w:p>
      <w:pPr>
        <w:pStyle w:val="21"/>
        <w:bidi w:val="0"/>
        <w:rPr>
          <w:rFonts w:hint="eastAsia"/>
          <w:highlight w:val="none"/>
          <w:lang w:val="en-US" w:eastAsia="zh-CN"/>
        </w:rPr>
      </w:pPr>
      <w:r>
        <w:rPr>
          <w:rFonts w:hint="default"/>
          <w:highlight w:val="none"/>
          <w:lang w:val="en-US" w:eastAsia="zh-CN"/>
        </w:rPr>
        <w:t>预制底板</w:t>
      </w:r>
      <w:r>
        <w:rPr>
          <w:rFonts w:hint="eastAsia"/>
          <w:highlight w:val="none"/>
          <w:lang w:val="en-US" w:eastAsia="zh-CN"/>
        </w:rPr>
        <w:t>下翼缘板以及沿下翼缘板周边侧面的向上加腋部分共同构成，用以增强预制底板刚度、固定箱型填充体。</w:t>
      </w:r>
    </w:p>
    <w:p>
      <w:pPr>
        <w:pStyle w:val="21"/>
        <w:bidi w:val="0"/>
        <w:ind w:left="0" w:leftChars="0" w:firstLine="0" w:firstLineChars="0"/>
        <w:rPr>
          <w:rFonts w:hint="default"/>
          <w:highlight w:val="yellow"/>
          <w:u w:val="single"/>
          <w:lang w:val="en-US" w:eastAsia="zh-CN"/>
        </w:rPr>
      </w:pPr>
      <w:r>
        <w:rPr>
          <w:rFonts w:hint="eastAsia"/>
          <w:highlight w:val="none"/>
          <w:u w:val="single"/>
          <w:lang w:val="en-US" w:eastAsia="zh-CN"/>
        </w:rPr>
        <w:t>【条文说明】2.1.13 空心叠合板的下翼缘板一般厚度较薄，最薄可以达到50mm；预制底板的双向上凸的肋部又在预制底板的中部，在脱模、翻转、</w:t>
      </w:r>
      <w:r>
        <w:rPr>
          <w:rFonts w:hint="default"/>
          <w:highlight w:val="none"/>
          <w:u w:val="single"/>
          <w:lang w:val="en-US" w:eastAsia="zh-CN"/>
        </w:rPr>
        <w:t>吊运、堆放、运输、安装</w:t>
      </w:r>
      <w:r>
        <w:rPr>
          <w:rFonts w:hint="eastAsia"/>
          <w:highlight w:val="none"/>
          <w:u w:val="single"/>
          <w:lang w:val="en-US" w:eastAsia="zh-CN"/>
        </w:rPr>
        <w:t>时四个角部受力、变形较大，为保证安全，下翼缘板采用向上加腋增加预制底板刚度的办法进行处理。下翼缘板及下翼缘板的向上加腋共同称为边肋。边肋的另一个目的是为了方便的固定箱型填充体。</w:t>
      </w:r>
    </w:p>
    <w:p>
      <w:pPr>
        <w:numPr>
          <w:ilvl w:val="2"/>
          <w:numId w:val="1"/>
        </w:numPr>
        <w:bidi w:val="0"/>
        <w:rPr>
          <w:rFonts w:hint="default"/>
          <w:lang w:val="en-US" w:eastAsia="zh-CN"/>
        </w:rPr>
      </w:pPr>
      <w:r>
        <w:rPr>
          <w:rFonts w:hint="eastAsia"/>
          <w:lang w:val="en-US" w:eastAsia="zh-CN"/>
        </w:rPr>
        <w:t>肋梁键槽 keyway of rib</w:t>
      </w:r>
    </w:p>
    <w:p>
      <w:pPr>
        <w:pStyle w:val="21"/>
        <w:bidi w:val="0"/>
        <w:rPr>
          <w:rFonts w:hint="eastAsia"/>
          <w:lang w:val="en-US" w:eastAsia="zh-CN"/>
        </w:rPr>
      </w:pPr>
      <w:r>
        <w:rPr>
          <w:rFonts w:hint="eastAsia"/>
          <w:lang w:val="en-US" w:eastAsia="zh-CN"/>
        </w:rPr>
        <w:t>在</w:t>
      </w:r>
      <w:r>
        <w:rPr>
          <w:rFonts w:hint="default"/>
          <w:lang w:val="en-US" w:eastAsia="zh-CN"/>
        </w:rPr>
        <w:t>预制底板</w:t>
      </w:r>
      <w:r>
        <w:rPr>
          <w:rFonts w:hint="eastAsia"/>
          <w:lang w:val="en-US" w:eastAsia="zh-CN"/>
        </w:rPr>
        <w:t>叠合肋梁的端部侧面提前留设的，用以增强叠合肋梁与相邻后浇混凝土之间咬合力的凹槽。</w:t>
      </w:r>
    </w:p>
    <w:p>
      <w:pPr>
        <w:numPr>
          <w:ilvl w:val="2"/>
          <w:numId w:val="1"/>
        </w:numPr>
        <w:bidi w:val="0"/>
        <w:rPr>
          <w:rFonts w:hint="default"/>
          <w:lang w:val="en-US" w:eastAsia="zh-CN"/>
        </w:rPr>
      </w:pPr>
      <w:r>
        <w:rPr>
          <w:rFonts w:hint="default"/>
          <w:lang w:val="en-US" w:eastAsia="zh-CN"/>
        </w:rPr>
        <w:t>边肋</w:t>
      </w:r>
      <w:r>
        <w:rPr>
          <w:rFonts w:hint="eastAsia"/>
          <w:lang w:val="en-US" w:eastAsia="zh-CN"/>
        </w:rPr>
        <w:t>键槽 keyway of edge rib</w:t>
      </w:r>
    </w:p>
    <w:p>
      <w:pPr>
        <w:pStyle w:val="21"/>
        <w:bidi w:val="0"/>
        <w:rPr>
          <w:rFonts w:hint="eastAsia"/>
          <w:lang w:val="en-US" w:eastAsia="zh-CN"/>
        </w:rPr>
      </w:pPr>
      <w:r>
        <w:rPr>
          <w:rFonts w:hint="eastAsia"/>
          <w:lang w:val="en-US" w:eastAsia="zh-CN"/>
        </w:rPr>
        <w:t>在</w:t>
      </w:r>
      <w:r>
        <w:rPr>
          <w:rFonts w:hint="default"/>
          <w:lang w:val="en-US" w:eastAsia="zh-CN"/>
        </w:rPr>
        <w:t>预制底板</w:t>
      </w:r>
      <w:r>
        <w:rPr>
          <w:rFonts w:hint="eastAsia"/>
          <w:lang w:val="en-US" w:eastAsia="zh-CN"/>
        </w:rPr>
        <w:t>周边下翼缘板的侧面提前留设的，用以增强预制底板与相邻后浇混凝土之间咬合力的凹槽。</w:t>
      </w:r>
    </w:p>
    <w:p>
      <w:pPr>
        <w:numPr>
          <w:ilvl w:val="2"/>
          <w:numId w:val="1"/>
        </w:numPr>
        <w:bidi w:val="0"/>
        <w:rPr>
          <w:rFonts w:hint="default"/>
          <w:lang w:val="en-US" w:eastAsia="zh-CN"/>
        </w:rPr>
      </w:pPr>
      <w:r>
        <w:rPr>
          <w:rFonts w:hint="default"/>
          <w:lang w:val="en-US" w:eastAsia="zh-CN"/>
        </w:rPr>
        <w:t>肋顶</w:t>
      </w:r>
      <w:r>
        <w:rPr>
          <w:rFonts w:hint="eastAsia"/>
          <w:lang w:val="en-US" w:eastAsia="zh-CN"/>
        </w:rPr>
        <w:t>凹</w:t>
      </w:r>
      <w:r>
        <w:rPr>
          <w:rFonts w:hint="default"/>
          <w:lang w:val="en-US" w:eastAsia="zh-CN"/>
        </w:rPr>
        <w:t>槽</w:t>
      </w:r>
      <w:r>
        <w:rPr>
          <w:rFonts w:hint="eastAsia"/>
          <w:lang w:val="en-US" w:eastAsia="zh-CN"/>
        </w:rPr>
        <w:t xml:space="preserve"> </w:t>
      </w:r>
      <w:r>
        <w:rPr>
          <w:rFonts w:hint="default"/>
          <w:lang w:val="en-US" w:eastAsia="zh-CN"/>
        </w:rPr>
        <w:t>groove</w:t>
      </w:r>
      <w:r>
        <w:rPr>
          <w:rFonts w:hint="eastAsia"/>
          <w:lang w:val="en-US" w:eastAsia="zh-CN"/>
        </w:rPr>
        <w:t xml:space="preserve"> on the top of rib</w:t>
      </w:r>
    </w:p>
    <w:p>
      <w:pPr>
        <w:pStyle w:val="21"/>
        <w:bidi w:val="0"/>
        <w:rPr>
          <w:rFonts w:hint="default"/>
          <w:lang w:val="en-US" w:eastAsia="zh-CN"/>
        </w:rPr>
      </w:pPr>
      <w:r>
        <w:rPr>
          <w:rFonts w:hint="eastAsia"/>
          <w:lang w:val="en-US" w:eastAsia="zh-CN"/>
        </w:rPr>
        <w:t>在预制底板肋顶端部提前留设的用于叠合肋梁支座处下部纵筋搭接连接用的凹槽</w:t>
      </w:r>
      <w:r>
        <w:rPr>
          <w:rFonts w:hint="default"/>
          <w:lang w:val="en-US" w:eastAsia="zh-CN"/>
        </w:rPr>
        <w:t>。</w:t>
      </w:r>
    </w:p>
    <w:p>
      <w:pPr>
        <w:numPr>
          <w:ilvl w:val="2"/>
          <w:numId w:val="1"/>
        </w:numPr>
        <w:bidi w:val="0"/>
        <w:rPr>
          <w:rFonts w:hint="default"/>
          <w:strike w:val="0"/>
          <w:dstrike w:val="0"/>
          <w:lang w:val="en-US" w:eastAsia="zh-CN"/>
        </w:rPr>
      </w:pPr>
      <w:r>
        <w:rPr>
          <w:rFonts w:hint="default"/>
          <w:strike w:val="0"/>
          <w:dstrike w:val="0"/>
          <w:lang w:val="en-US" w:eastAsia="zh-CN"/>
        </w:rPr>
        <w:t>叠合面</w:t>
      </w:r>
      <w:r>
        <w:rPr>
          <w:rFonts w:hint="eastAsia"/>
          <w:strike w:val="0"/>
          <w:dstrike w:val="0"/>
          <w:lang w:val="en-US" w:eastAsia="zh-CN"/>
        </w:rPr>
        <w:t xml:space="preserve"> composite</w:t>
      </w:r>
      <w:r>
        <w:rPr>
          <w:rFonts w:hint="default"/>
          <w:strike w:val="0"/>
          <w:dstrike w:val="0"/>
          <w:lang w:val="en-US" w:eastAsia="zh-CN"/>
        </w:rPr>
        <w:t xml:space="preserve"> surface</w:t>
      </w:r>
    </w:p>
    <w:p>
      <w:pPr>
        <w:pStyle w:val="21"/>
        <w:bidi w:val="0"/>
        <w:rPr>
          <w:rFonts w:hint="default"/>
          <w:strike w:val="0"/>
          <w:dstrike w:val="0"/>
          <w:lang w:val="en-US" w:eastAsia="zh-CN"/>
        </w:rPr>
      </w:pPr>
      <w:r>
        <w:rPr>
          <w:rFonts w:hint="default"/>
          <w:strike w:val="0"/>
          <w:dstrike w:val="0"/>
          <w:lang w:val="en-US" w:eastAsia="zh-CN"/>
        </w:rPr>
        <w:t>空心叠合板中预制底板与</w:t>
      </w:r>
      <w:r>
        <w:rPr>
          <w:rFonts w:hint="eastAsia"/>
          <w:strike w:val="0"/>
          <w:dstrike w:val="0"/>
          <w:lang w:val="en-US" w:eastAsia="zh-CN"/>
        </w:rPr>
        <w:t>上部后浇混凝土</w:t>
      </w:r>
      <w:r>
        <w:rPr>
          <w:rFonts w:hint="default"/>
          <w:strike w:val="0"/>
          <w:dstrike w:val="0"/>
          <w:lang w:val="en-US" w:eastAsia="zh-CN"/>
        </w:rPr>
        <w:t>之间的结合面</w:t>
      </w:r>
      <w:r>
        <w:rPr>
          <w:rFonts w:hint="eastAsia"/>
          <w:strike w:val="0"/>
          <w:dstrike w:val="0"/>
          <w:lang w:val="en-US" w:eastAsia="zh-CN"/>
        </w:rPr>
        <w:t>，一般位于预制底板上凸肋部的上表面</w:t>
      </w:r>
      <w:r>
        <w:rPr>
          <w:rFonts w:hint="default"/>
          <w:strike w:val="0"/>
          <w:dstrike w:val="0"/>
          <w:lang w:val="en-US" w:eastAsia="zh-CN"/>
        </w:rPr>
        <w:t>。</w:t>
      </w:r>
    </w:p>
    <w:p>
      <w:pPr>
        <w:numPr>
          <w:ilvl w:val="2"/>
          <w:numId w:val="1"/>
        </w:numPr>
        <w:bidi w:val="0"/>
        <w:rPr>
          <w:rFonts w:hint="default"/>
          <w:lang w:val="en-US" w:eastAsia="zh-CN"/>
        </w:rPr>
      </w:pPr>
      <w:r>
        <w:rPr>
          <w:rFonts w:hint="eastAsia"/>
          <w:lang w:val="en-US" w:eastAsia="zh-CN"/>
        </w:rPr>
        <w:t>刚性支承楼盖 r</w:t>
      </w:r>
      <w:r>
        <w:rPr>
          <w:rFonts w:hint="default"/>
          <w:lang w:val="en-US" w:eastAsia="zh-CN"/>
        </w:rPr>
        <w:t xml:space="preserve">igid </w:t>
      </w:r>
      <w:r>
        <w:rPr>
          <w:rFonts w:hint="eastAsia"/>
          <w:lang w:val="en-US" w:eastAsia="zh-CN"/>
        </w:rPr>
        <w:t>e</w:t>
      </w:r>
      <w:r>
        <w:rPr>
          <w:rFonts w:hint="default"/>
          <w:lang w:val="en-US" w:eastAsia="zh-CN"/>
        </w:rPr>
        <w:t xml:space="preserve">dge </w:t>
      </w:r>
      <w:r>
        <w:rPr>
          <w:rFonts w:hint="eastAsia"/>
          <w:lang w:val="en-US" w:eastAsia="zh-CN"/>
        </w:rPr>
        <w:t>s</w:t>
      </w:r>
      <w:r>
        <w:rPr>
          <w:rFonts w:hint="default"/>
          <w:lang w:val="en-US" w:eastAsia="zh-CN"/>
        </w:rPr>
        <w:t xml:space="preserve">upported </w:t>
      </w:r>
      <w:r>
        <w:rPr>
          <w:rFonts w:hint="eastAsia"/>
          <w:lang w:val="en-US" w:eastAsia="zh-CN"/>
        </w:rPr>
        <w:t>f</w:t>
      </w:r>
      <w:r>
        <w:rPr>
          <w:rFonts w:hint="default"/>
          <w:lang w:val="en-US" w:eastAsia="zh-CN"/>
        </w:rPr>
        <w:t>loor</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由墙或竖向刚度较大的梁作为</w:t>
      </w:r>
      <w:r>
        <w:rPr>
          <w:rFonts w:hint="eastAsia" w:cstheme="minorBidi"/>
          <w:kern w:val="2"/>
          <w:sz w:val="24"/>
          <w:szCs w:val="24"/>
          <w:lang w:val="en-US" w:eastAsia="zh-CN" w:bidi="ar-SA"/>
        </w:rPr>
        <w:t>空心叠合板</w:t>
      </w:r>
      <w:r>
        <w:rPr>
          <w:rFonts w:hint="eastAsia" w:ascii="Times New Roman" w:hAnsi="Times New Roman" w:eastAsia="宋体" w:cstheme="minorBidi"/>
          <w:kern w:val="2"/>
          <w:sz w:val="24"/>
          <w:szCs w:val="24"/>
          <w:lang w:val="en-US" w:eastAsia="zh-CN" w:bidi="ar-SA"/>
        </w:rPr>
        <w:t>竖向支承的楼盖。</w:t>
      </w:r>
    </w:p>
    <w:p>
      <w:pPr>
        <w:keepNext w:val="0"/>
        <w:keepLines w:val="0"/>
        <w:widowControl/>
        <w:suppressLineNumbers w:val="0"/>
        <w:jc w:val="left"/>
        <w:rPr>
          <w:rFonts w:hint="eastAsia"/>
          <w:highlight w:val="none"/>
          <w:u w:val="single"/>
          <w:lang w:val="en-US" w:eastAsia="zh-CN"/>
        </w:rPr>
      </w:pPr>
      <w:r>
        <w:rPr>
          <w:rFonts w:hint="eastAsia"/>
          <w:highlight w:val="none"/>
          <w:u w:val="single"/>
          <w:lang w:val="en-US" w:eastAsia="zh-CN"/>
        </w:rPr>
        <mc:AlternateContent>
          <mc:Choice Requires="wps">
            <w:drawing>
              <wp:anchor distT="0" distB="0" distL="114300" distR="114300" simplePos="0" relativeHeight="251662336" behindDoc="1" locked="0" layoutInCell="1" allowOverlap="1">
                <wp:simplePos x="0" y="0"/>
                <wp:positionH relativeFrom="page">
                  <wp:posOffset>3303270</wp:posOffset>
                </wp:positionH>
                <wp:positionV relativeFrom="paragraph">
                  <wp:posOffset>780415</wp:posOffset>
                </wp:positionV>
                <wp:extent cx="248920" cy="0"/>
                <wp:effectExtent l="0" t="0" r="0" b="0"/>
                <wp:wrapNone/>
                <wp:docPr id="895" name="直接连接符 895"/>
                <wp:cNvGraphicFramePr/>
                <a:graphic xmlns:a="http://schemas.openxmlformats.org/drawingml/2006/main">
                  <a:graphicData uri="http://schemas.microsoft.com/office/word/2010/wordprocessingShape">
                    <wps:wsp>
                      <wps:cNvCnPr/>
                      <wps:spPr>
                        <a:xfrm>
                          <a:off x="0" y="0"/>
                          <a:ext cx="248920"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60.1pt;margin-top:61.45pt;height:0pt;width:19.6pt;mso-position-horizontal-relative:page;z-index:-251654144;mso-width-relative:page;mso-height-relative:page;" filled="f" stroked="t" coordsize="21600,21600" o:gfxdata="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iyywnVAAAACwEAAA8AAAAAAAAAAQAgAAAAIgAAAGRycy9kb3ducmV2LnhtbFBLAQIU&#10;ABQAAAAIAIdO4kBsI7jq9gEAAOcDAAAOAAAAAAAAAAEAIAAAACQBAABkcnMvZTJvRG9jLnhtbFBL&#10;BQYAAAAABgAGAFkBAACMBQAAAAA=&#10;">
                <v:fill on="f" focussize="0,0"/>
                <v:stroke weight="0.5pt" color="#000000" joinstyle="round"/>
                <v:imagedata o:title=""/>
                <o:lock v:ext="edit" aspectratio="f"/>
              </v:line>
            </w:pict>
          </mc:Fallback>
        </mc:AlternateContent>
      </w:r>
      <w:r>
        <w:rPr>
          <w:rFonts w:hint="eastAsia"/>
          <w:highlight w:val="none"/>
          <w:u w:val="single"/>
          <w:lang w:val="en-US" w:eastAsia="zh-CN"/>
        </w:rPr>
        <w:t xml:space="preserve">【条文说明】2.1.18 竖向刚度较大的梁指梁的刚度足够大，可以作为楼板的竖向刚性支承，一般认为梁的相对抗弯刚度因子 </w:t>
      </w:r>
      <m:oMath>
        <m:f>
          <m:fPr>
            <m:type m:val="lin"/>
            <m:ctrlPr>
              <w:rPr>
                <w:rFonts w:ascii="Cambria Math" w:hAnsi="Cambria Math"/>
                <w:i/>
                <w:highlight w:val="none"/>
                <w:u w:val="single"/>
                <w:lang w:val="en-US"/>
              </w:rPr>
            </m:ctrlPr>
          </m:fPr>
          <m:num>
            <m:sSub>
              <m:sSubPr>
                <m:ctrlPr>
                  <w:rPr>
                    <w:rFonts w:ascii="Cambria Math" w:hAnsi="Cambria Math"/>
                    <w:i/>
                    <w:highlight w:val="none"/>
                    <w:u w:val="single"/>
                    <w:lang w:val="en-US"/>
                  </w:rPr>
                </m:ctrlPr>
              </m:sSubPr>
              <m:e>
                <m:r>
                  <m:rPr/>
                  <w:rPr>
                    <w:rFonts w:ascii="Cambria Math" w:hAnsi="Cambria Math"/>
                    <w:highlight w:val="none"/>
                    <w:u w:val="single"/>
                    <w:lang w:val="en-US"/>
                  </w:rPr>
                  <m:t>α</m:t>
                </m:r>
                <m:ctrlPr>
                  <w:rPr>
                    <w:rFonts w:ascii="Cambria Math" w:hAnsi="Cambria Math"/>
                    <w:i/>
                    <w:highlight w:val="none"/>
                    <w:u w:val="single"/>
                    <w:lang w:val="en-US"/>
                  </w:rPr>
                </m:ctrlPr>
              </m:e>
              <m:sub>
                <m:r>
                  <m:rPr/>
                  <w:rPr>
                    <w:rFonts w:hint="default" w:ascii="Cambria Math" w:hAnsi="Cambria Math"/>
                    <w:highlight w:val="none"/>
                    <w:u w:val="single"/>
                    <w:lang w:val="en-US" w:eastAsia="zh-CN"/>
                  </w:rPr>
                  <m:t>1</m:t>
                </m:r>
                <m:ctrlPr>
                  <w:rPr>
                    <w:rFonts w:ascii="Cambria Math" w:hAnsi="Cambria Math"/>
                    <w:i/>
                    <w:highlight w:val="none"/>
                    <w:u w:val="single"/>
                    <w:lang w:val="en-US"/>
                  </w:rPr>
                </m:ctrlPr>
              </m:sub>
            </m:sSub>
            <m:sSub>
              <m:sSubPr>
                <m:ctrlPr>
                  <w:rPr>
                    <w:rFonts w:ascii="Cambria Math" w:hAnsi="Cambria Math"/>
                    <w:i/>
                    <w:highlight w:val="none"/>
                    <w:u w:val="single"/>
                    <w:lang w:val="en-US"/>
                  </w:rPr>
                </m:ctrlPr>
              </m:sSubPr>
              <m:e>
                <m:r>
                  <m:rPr/>
                  <w:rPr>
                    <w:rFonts w:hint="default" w:ascii="Cambria Math" w:hAnsi="Cambria Math"/>
                    <w:highlight w:val="none"/>
                    <w:u w:val="single"/>
                    <w:lang w:val="en-US" w:eastAsia="zh-CN"/>
                  </w:rPr>
                  <m:t>l</m:t>
                </m:r>
                <m:ctrlPr>
                  <w:rPr>
                    <w:rFonts w:ascii="Cambria Math" w:hAnsi="Cambria Math"/>
                    <w:i/>
                    <w:highlight w:val="none"/>
                    <w:u w:val="single"/>
                    <w:lang w:val="en-US"/>
                  </w:rPr>
                </m:ctrlPr>
              </m:e>
              <m:sub>
                <m:r>
                  <m:rPr/>
                  <w:rPr>
                    <w:rFonts w:hint="default" w:ascii="Cambria Math" w:hAnsi="Cambria Math"/>
                    <w:highlight w:val="none"/>
                    <w:u w:val="single"/>
                    <w:lang w:val="en-US" w:eastAsia="zh-CN"/>
                  </w:rPr>
                  <m:t>2</m:t>
                </m:r>
                <m:ctrlPr>
                  <w:rPr>
                    <w:rFonts w:ascii="Cambria Math" w:hAnsi="Cambria Math"/>
                    <w:i/>
                    <w:highlight w:val="none"/>
                    <w:u w:val="single"/>
                    <w:lang w:val="en-US"/>
                  </w:rPr>
                </m:ctrlPr>
              </m:sub>
            </m:sSub>
            <m:ctrlPr>
              <w:rPr>
                <w:rFonts w:ascii="Cambria Math" w:hAnsi="Cambria Math"/>
                <w:i/>
                <w:highlight w:val="none"/>
                <w:u w:val="single"/>
                <w:lang w:val="en-US"/>
              </w:rPr>
            </m:ctrlPr>
          </m:num>
          <m:den>
            <m:sSub>
              <m:sSubPr>
                <m:ctrlPr>
                  <w:rPr>
                    <w:rFonts w:ascii="Cambria Math" w:hAnsi="Cambria Math"/>
                    <w:i/>
                    <w:highlight w:val="none"/>
                    <w:u w:val="single"/>
                    <w:lang w:val="en-US"/>
                  </w:rPr>
                </m:ctrlPr>
              </m:sSubPr>
              <m:e>
                <m:r>
                  <m:rPr/>
                  <w:rPr>
                    <w:rFonts w:hint="default" w:ascii="Cambria Math" w:hAnsi="Cambria Math"/>
                    <w:highlight w:val="none"/>
                    <w:u w:val="single"/>
                    <w:lang w:val="en-US" w:eastAsia="zh-CN"/>
                  </w:rPr>
                  <m:t>l</m:t>
                </m:r>
                <m:ctrlPr>
                  <w:rPr>
                    <w:rFonts w:ascii="Cambria Math" w:hAnsi="Cambria Math"/>
                    <w:i/>
                    <w:highlight w:val="none"/>
                    <w:u w:val="single"/>
                    <w:lang w:val="en-US"/>
                  </w:rPr>
                </m:ctrlPr>
              </m:e>
              <m:sub>
                <m:r>
                  <m:rPr/>
                  <w:rPr>
                    <w:rFonts w:hint="default" w:ascii="Cambria Math" w:hAnsi="Cambria Math"/>
                    <w:highlight w:val="none"/>
                    <w:u w:val="single"/>
                    <w:lang w:val="en-US" w:eastAsia="zh-CN"/>
                  </w:rPr>
                  <m:t>1</m:t>
                </m:r>
                <m:ctrlPr>
                  <w:rPr>
                    <w:rFonts w:ascii="Cambria Math" w:hAnsi="Cambria Math"/>
                    <w:i/>
                    <w:highlight w:val="none"/>
                    <w:u w:val="single"/>
                    <w:lang w:val="en-US"/>
                  </w:rPr>
                </m:ctrlPr>
              </m:sub>
            </m:sSub>
            <m:ctrlPr>
              <w:rPr>
                <w:rFonts w:ascii="Cambria Math" w:hAnsi="Cambria Math"/>
                <w:i/>
                <w:highlight w:val="none"/>
                <w:u w:val="single"/>
                <w:lang w:val="en-US"/>
              </w:rPr>
            </m:ctrlPr>
          </m:den>
        </m:f>
      </m:oMath>
      <w:r>
        <w:rPr>
          <w:rFonts w:hint="eastAsia" w:hAnsi="Cambria Math"/>
          <w:i w:val="0"/>
          <w:highlight w:val="none"/>
          <w:u w:val="single"/>
          <w:lang w:val="en-US" w:eastAsia="zh-CN"/>
        </w:rPr>
        <w:t xml:space="preserve"> </w:t>
      </w:r>
      <w:r>
        <w:rPr>
          <w:rFonts w:hint="eastAsia"/>
          <w:highlight w:val="none"/>
          <w:u w:val="single"/>
          <w:lang w:val="en-US" w:eastAsia="zh-CN"/>
        </w:rPr>
        <w:t>大于4就可以。</w:t>
      </w:r>
    </w:p>
    <w:p>
      <w:pPr>
        <w:keepNext w:val="0"/>
        <w:keepLines w:val="0"/>
        <w:widowControl/>
        <w:suppressLineNumbers w:val="0"/>
        <w:jc w:val="left"/>
        <w:rPr>
          <w:rFonts w:hint="eastAsia" w:ascii="宋体" w:hAnsi="宋体" w:eastAsia="宋体" w:cs="宋体"/>
          <w:color w:val="000000"/>
          <w:kern w:val="0"/>
          <w:sz w:val="24"/>
          <w:szCs w:val="24"/>
          <w:highlight w:val="none"/>
          <w:u w:val="single"/>
          <w:lang w:val="en-US" w:eastAsia="zh-CN" w:bidi="ar"/>
        </w:rPr>
      </w:pPr>
      <w:r>
        <w:rPr>
          <w:rFonts w:ascii="Symbol" w:hAnsi="Symbol" w:eastAsia="宋体" w:cs="Symbol"/>
          <w:i/>
          <w:iCs/>
          <w:color w:val="000000"/>
          <w:kern w:val="0"/>
          <w:sz w:val="24"/>
          <w:szCs w:val="24"/>
          <w:highlight w:val="none"/>
          <w:u w:val="single"/>
          <w:lang w:val="en-US" w:eastAsia="zh-CN" w:bidi="ar"/>
        </w:rPr>
        <w:t></w:t>
      </w:r>
      <w:r>
        <w:rPr>
          <w:rFonts w:hint="eastAsia"/>
          <w:highlight w:val="none"/>
          <w:u w:val="single"/>
          <w:lang w:val="en-US" w:eastAsia="zh-CN"/>
        </w:rPr>
        <w:t>为计算方向支承梁与空心叠合板的截面抗弯刚度之比，详公式一</w:t>
      </w:r>
      <w:r>
        <w:rPr>
          <w:rFonts w:hint="eastAsia" w:ascii="宋体" w:hAnsi="宋体" w:cs="宋体"/>
          <w:color w:val="000000"/>
          <w:kern w:val="0"/>
          <w:sz w:val="24"/>
          <w:szCs w:val="24"/>
          <w:highlight w:val="none"/>
          <w:u w:val="single"/>
          <w:lang w:val="en-US" w:eastAsia="zh-CN" w:bidi="ar"/>
        </w:rPr>
        <w:t>。对应楼板的</w:t>
      </w:r>
      <w:r>
        <w:rPr>
          <w:rFonts w:hint="default" w:ascii="Times New Roman" w:hAnsi="Times New Roman" w:eastAsia="宋体" w:cs="Times New Roman"/>
          <w:i/>
          <w:iCs/>
          <w:color w:val="000000"/>
          <w:kern w:val="0"/>
          <w:sz w:val="24"/>
          <w:szCs w:val="24"/>
          <w:highlight w:val="none"/>
          <w:u w:val="single"/>
          <w:lang w:val="en-US" w:eastAsia="zh-CN" w:bidi="ar"/>
        </w:rPr>
        <w:t>l</w:t>
      </w:r>
      <w:r>
        <w:rPr>
          <w:rFonts w:hint="default" w:ascii="Times New Roman" w:hAnsi="Times New Roman" w:eastAsia="宋体" w:cs="Times New Roman"/>
          <w:color w:val="000000"/>
          <w:kern w:val="0"/>
          <w:sz w:val="24"/>
          <w:szCs w:val="24"/>
          <w:highlight w:val="none"/>
          <w:u w:val="single"/>
          <w:vertAlign w:val="subscript"/>
          <w:lang w:val="en-US" w:eastAsia="zh-CN" w:bidi="ar"/>
        </w:rPr>
        <w:t>1</w:t>
      </w:r>
      <w:r>
        <w:rPr>
          <w:rFonts w:hint="eastAsia" w:ascii="宋体" w:hAnsi="宋体" w:eastAsia="宋体" w:cs="宋体"/>
          <w:color w:val="000000"/>
          <w:kern w:val="0"/>
          <w:sz w:val="24"/>
          <w:szCs w:val="24"/>
          <w:highlight w:val="none"/>
          <w:u w:val="single"/>
          <w:lang w:val="en-US" w:eastAsia="zh-CN" w:bidi="ar"/>
        </w:rPr>
        <w:t>与</w:t>
      </w:r>
      <w:r>
        <w:rPr>
          <w:rFonts w:hint="default" w:ascii="Times New Roman" w:hAnsi="Times New Roman" w:eastAsia="宋体" w:cs="Times New Roman"/>
          <w:i/>
          <w:iCs/>
          <w:color w:val="000000"/>
          <w:kern w:val="0"/>
          <w:sz w:val="24"/>
          <w:szCs w:val="24"/>
          <w:highlight w:val="none"/>
          <w:u w:val="single"/>
          <w:lang w:val="en-US" w:eastAsia="zh-CN" w:bidi="ar"/>
        </w:rPr>
        <w:t>l</w:t>
      </w:r>
      <w:r>
        <w:rPr>
          <w:rFonts w:hint="default" w:ascii="Times New Roman" w:hAnsi="Times New Roman" w:eastAsia="宋体" w:cs="Times New Roman"/>
          <w:color w:val="000000"/>
          <w:kern w:val="0"/>
          <w:sz w:val="24"/>
          <w:szCs w:val="24"/>
          <w:highlight w:val="none"/>
          <w:u w:val="single"/>
          <w:vertAlign w:val="subscript"/>
          <w:lang w:val="en-US" w:eastAsia="zh-CN" w:bidi="ar"/>
        </w:rPr>
        <w:t>2</w:t>
      </w:r>
      <w:r>
        <w:rPr>
          <w:rFonts w:hint="eastAsia" w:ascii="宋体" w:hAnsi="宋体" w:eastAsia="宋体" w:cs="宋体"/>
          <w:color w:val="000000"/>
          <w:kern w:val="0"/>
          <w:sz w:val="24"/>
          <w:szCs w:val="24"/>
          <w:highlight w:val="none"/>
          <w:u w:val="single"/>
          <w:lang w:val="en-US" w:eastAsia="zh-CN" w:bidi="ar"/>
        </w:rPr>
        <w:t>方向，</w:t>
      </w:r>
      <w:r>
        <w:rPr>
          <w:rFonts w:ascii="Symbol" w:hAnsi="Symbol" w:eastAsia="宋体" w:cs="Symbol"/>
          <w:i/>
          <w:iCs/>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u w:val="single"/>
          <w:lang w:val="en-US" w:eastAsia="zh-CN" w:bidi="ar"/>
        </w:rPr>
        <w:t>可分为</w:t>
      </w:r>
      <w:r>
        <w:rPr>
          <w:rFonts w:hint="default" w:ascii="Symbol" w:hAnsi="Symbol" w:eastAsia="宋体" w:cs="Symbol"/>
          <w:i/>
          <w:iCs/>
          <w:color w:val="000000"/>
          <w:kern w:val="0"/>
          <w:sz w:val="24"/>
          <w:szCs w:val="24"/>
          <w:highlight w:val="none"/>
          <w:u w:val="single"/>
          <w:lang w:val="en-US" w:eastAsia="zh-CN" w:bidi="ar"/>
        </w:rPr>
        <w:t></w:t>
      </w:r>
      <w:r>
        <w:rPr>
          <w:rFonts w:hint="default" w:ascii="Times New Roman" w:hAnsi="Times New Roman" w:eastAsia="宋体" w:cs="Times New Roman"/>
          <w:color w:val="000000"/>
          <w:kern w:val="0"/>
          <w:sz w:val="24"/>
          <w:szCs w:val="24"/>
          <w:highlight w:val="none"/>
          <w:u w:val="single"/>
          <w:vertAlign w:val="subscript"/>
          <w:lang w:val="en-US" w:eastAsia="zh-CN" w:bidi="ar"/>
        </w:rPr>
        <w:t>1</w:t>
      </w:r>
      <w:r>
        <w:rPr>
          <w:rFonts w:hint="eastAsia" w:ascii="宋体" w:hAnsi="宋体" w:eastAsia="宋体" w:cs="宋体"/>
          <w:color w:val="000000"/>
          <w:kern w:val="0"/>
          <w:sz w:val="24"/>
          <w:szCs w:val="24"/>
          <w:highlight w:val="none"/>
          <w:u w:val="single"/>
          <w:lang w:val="en-US" w:eastAsia="zh-CN" w:bidi="ar"/>
        </w:rPr>
        <w:t>与</w:t>
      </w:r>
      <w:r>
        <w:rPr>
          <w:rFonts w:hint="default" w:ascii="Symbol" w:hAnsi="Symbol" w:eastAsia="宋体" w:cs="Symbol"/>
          <w:i/>
          <w:iCs/>
          <w:color w:val="000000"/>
          <w:kern w:val="0"/>
          <w:sz w:val="24"/>
          <w:szCs w:val="24"/>
          <w:highlight w:val="none"/>
          <w:u w:val="single"/>
          <w:lang w:val="en-US" w:eastAsia="zh-CN" w:bidi="ar"/>
        </w:rPr>
        <w:t xml:space="preserve"> </w:t>
      </w:r>
      <w:r>
        <w:rPr>
          <w:rFonts w:hint="default" w:ascii="Times New Roman" w:hAnsi="Times New Roman" w:eastAsia="宋体" w:cs="Times New Roman"/>
          <w:color w:val="000000"/>
          <w:kern w:val="0"/>
          <w:sz w:val="24"/>
          <w:szCs w:val="24"/>
          <w:highlight w:val="none"/>
          <w:u w:val="single"/>
          <w:vertAlign w:val="subscript"/>
          <w:lang w:val="en-US" w:eastAsia="zh-CN" w:bidi="ar"/>
        </w:rPr>
        <w:t>2</w:t>
      </w:r>
      <w:r>
        <w:rPr>
          <w:rFonts w:hint="eastAsia" w:ascii="宋体" w:hAnsi="宋体" w:eastAsia="宋体" w:cs="宋体"/>
          <w:color w:val="000000"/>
          <w:kern w:val="0"/>
          <w:sz w:val="24"/>
          <w:szCs w:val="24"/>
          <w:highlight w:val="none"/>
          <w:u w:val="single"/>
          <w:lang w:val="en-US" w:eastAsia="zh-CN" w:bidi="ar"/>
        </w:rPr>
        <w:t>，</w:t>
      </w:r>
      <w:r>
        <w:rPr>
          <w:rFonts w:hint="default" w:ascii="Symbol" w:hAnsi="Symbol" w:eastAsia="宋体" w:cs="Symbol"/>
          <w:i/>
          <w:iCs/>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u w:val="single"/>
          <w:lang w:val="en-US" w:eastAsia="zh-CN" w:bidi="ar"/>
        </w:rPr>
        <w:t>=0时相当于板下无梁，作为楼板的竖向刚性支承梁，其</w:t>
      </w:r>
      <w:r>
        <w:rPr>
          <w:rFonts w:hint="default" w:ascii="Symbol" w:hAnsi="Symbol" w:eastAsia="宋体" w:cs="Symbol"/>
          <w:i/>
          <w:iCs/>
          <w:color w:val="000000"/>
          <w:kern w:val="0"/>
          <w:sz w:val="24"/>
          <w:szCs w:val="24"/>
          <w:highlight w:val="none"/>
          <w:u w:val="single"/>
          <w:lang w:val="en-US" w:eastAsia="zh-CN" w:bidi="ar"/>
        </w:rPr>
        <w:t xml:space="preserve"> </w:t>
      </w:r>
      <w:r>
        <w:rPr>
          <w:rFonts w:hint="eastAsia" w:ascii="宋体" w:hAnsi="宋体" w:eastAsia="宋体" w:cs="宋体"/>
          <w:color w:val="000000"/>
          <w:kern w:val="0"/>
          <w:sz w:val="24"/>
          <w:szCs w:val="24"/>
          <w:highlight w:val="none"/>
          <w:u w:val="single"/>
          <w:lang w:val="en-US" w:eastAsia="zh-CN" w:bidi="ar"/>
        </w:rPr>
        <w:t>不应小于</w:t>
      </w:r>
      <w:r>
        <w:rPr>
          <w:rFonts w:hint="default" w:ascii="Times New Roman" w:hAnsi="Times New Roman" w:eastAsia="宋体" w:cs="Times New Roman"/>
          <w:color w:val="000000"/>
          <w:kern w:val="0"/>
          <w:sz w:val="24"/>
          <w:szCs w:val="24"/>
          <w:highlight w:val="none"/>
          <w:u w:val="single"/>
          <w:lang w:val="en-US" w:eastAsia="zh-CN" w:bidi="ar"/>
        </w:rPr>
        <w:t>0.8</w:t>
      </w:r>
      <w:r>
        <w:rPr>
          <w:rFonts w:hint="eastAsia" w:ascii="宋体" w:hAnsi="宋体" w:eastAsia="宋体" w:cs="宋体"/>
          <w:color w:val="000000"/>
          <w:kern w:val="0"/>
          <w:sz w:val="24"/>
          <w:szCs w:val="24"/>
          <w:highlight w:val="none"/>
          <w:u w:val="single"/>
          <w:lang w:val="en-US" w:eastAsia="zh-CN" w:bidi="ar"/>
        </w:rPr>
        <w:t>。</w:t>
      </w:r>
    </w:p>
    <w:p>
      <w:pPr>
        <w:pStyle w:val="20"/>
        <w:ind w:firstLine="960" w:firstLineChars="400"/>
        <w:rPr>
          <w:rFonts w:hint="eastAsia"/>
          <w:u w:val="single"/>
          <w:lang w:val="en-US" w:eastAsia="zh-CN"/>
        </w:rPr>
      </w:pPr>
      <m:oMath>
        <m:r>
          <m:rPr>
            <m:sty m:val="p"/>
          </m:rPr>
          <w:rPr>
            <w:rFonts w:ascii="Cambria Math" w:hAnsi="Cambria Math"/>
            <w:sz w:val="24"/>
            <w:szCs w:val="20"/>
            <w:u w:val="single"/>
          </w:rPr>
          <m:t>α</m:t>
        </m:r>
        <m:r>
          <m:rPr>
            <m:sty m:val="p"/>
          </m:rPr>
          <w:rPr>
            <w:rFonts w:hint="default" w:ascii="Cambria Math" w:hAnsi="Cambria Math"/>
            <w:sz w:val="24"/>
            <w:szCs w:val="20"/>
            <w:u w:val="single"/>
            <w:lang w:val="en-US" w:eastAsia="zh-CN"/>
          </w:rPr>
          <m:t>=</m:t>
        </m:r>
        <m:f>
          <m:fPr>
            <m:ctrlPr>
              <w:rPr>
                <w:rFonts w:hint="default" w:ascii="Cambria Math" w:hAnsi="Cambria Math"/>
                <w:sz w:val="24"/>
                <w:szCs w:val="20"/>
                <w:u w:val="single"/>
                <w:lang w:val="en-US" w:eastAsia="zh-CN"/>
              </w:rPr>
            </m:ctrlPr>
          </m:fPr>
          <m:num>
            <m:sSub>
              <m:sSubPr>
                <m:ctrlPr>
                  <w:rPr>
                    <w:rFonts w:hint="default" w:ascii="Cambria Math" w:hAnsi="Cambria Math"/>
                    <w:sz w:val="24"/>
                    <w:szCs w:val="20"/>
                    <w:u w:val="single"/>
                    <w:lang w:val="en-US" w:eastAsia="zh-CN"/>
                  </w:rPr>
                </m:ctrlPr>
              </m:sSubPr>
              <m:e>
                <m:r>
                  <m:rPr>
                    <m:sty m:val="p"/>
                  </m:rPr>
                  <w:rPr>
                    <w:rFonts w:hint="default" w:ascii="Cambria Math" w:hAnsi="Cambria Math"/>
                    <w:sz w:val="24"/>
                    <w:szCs w:val="20"/>
                    <w:u w:val="single"/>
                    <w:lang w:val="en-US" w:eastAsia="zh-CN"/>
                  </w:rPr>
                  <m:t>E</m:t>
                </m:r>
                <m:ctrlPr>
                  <w:rPr>
                    <w:rFonts w:hint="default" w:ascii="Cambria Math" w:hAnsi="Cambria Math"/>
                    <w:sz w:val="24"/>
                    <w:szCs w:val="20"/>
                    <w:u w:val="single"/>
                    <w:lang w:val="en-US" w:eastAsia="zh-CN"/>
                  </w:rPr>
                </m:ctrlPr>
              </m:e>
              <m:sub>
                <m:r>
                  <m:rPr>
                    <m:sty m:val="p"/>
                  </m:rPr>
                  <w:rPr>
                    <w:rFonts w:hint="default" w:ascii="Cambria Math" w:hAnsi="Cambria Math"/>
                    <w:sz w:val="24"/>
                    <w:szCs w:val="20"/>
                    <w:u w:val="single"/>
                    <w:lang w:val="en-US" w:eastAsia="zh-CN"/>
                  </w:rPr>
                  <m:t>cb</m:t>
                </m:r>
                <m:ctrlPr>
                  <w:rPr>
                    <w:rFonts w:hint="default" w:ascii="Cambria Math" w:hAnsi="Cambria Math"/>
                    <w:sz w:val="24"/>
                    <w:szCs w:val="20"/>
                    <w:u w:val="single"/>
                    <w:lang w:val="en-US" w:eastAsia="zh-CN"/>
                  </w:rPr>
                </m:ctrlPr>
              </m:sub>
            </m:sSub>
            <m:sSub>
              <m:sSubPr>
                <m:ctrlPr>
                  <w:rPr>
                    <w:rFonts w:hint="default" w:ascii="Cambria Math" w:hAnsi="Cambria Math"/>
                    <w:sz w:val="24"/>
                    <w:szCs w:val="20"/>
                    <w:u w:val="single"/>
                    <w:lang w:val="en-US" w:eastAsia="zh-CN"/>
                  </w:rPr>
                </m:ctrlPr>
              </m:sSubPr>
              <m:e>
                <m:r>
                  <m:rPr>
                    <m:sty m:val="p"/>
                  </m:rPr>
                  <w:rPr>
                    <w:rFonts w:hint="default" w:ascii="Cambria Math" w:hAnsi="Cambria Math"/>
                    <w:sz w:val="24"/>
                    <w:szCs w:val="20"/>
                    <w:u w:val="single"/>
                    <w:lang w:val="en-US" w:eastAsia="zh-CN"/>
                  </w:rPr>
                  <m:t>I</m:t>
                </m:r>
                <m:ctrlPr>
                  <w:rPr>
                    <w:rFonts w:hint="default" w:ascii="Cambria Math" w:hAnsi="Cambria Math"/>
                    <w:sz w:val="24"/>
                    <w:szCs w:val="20"/>
                    <w:u w:val="single"/>
                    <w:lang w:val="en-US" w:eastAsia="zh-CN"/>
                  </w:rPr>
                </m:ctrlPr>
              </m:e>
              <m:sub>
                <m:r>
                  <m:rPr>
                    <m:sty m:val="p"/>
                  </m:rPr>
                  <w:rPr>
                    <w:rFonts w:hint="default" w:ascii="Cambria Math" w:hAnsi="Cambria Math"/>
                    <w:sz w:val="24"/>
                    <w:szCs w:val="20"/>
                    <w:u w:val="single"/>
                    <w:lang w:val="en-US" w:eastAsia="zh-CN"/>
                  </w:rPr>
                  <m:t>b</m:t>
                </m:r>
                <m:ctrlPr>
                  <w:rPr>
                    <w:rFonts w:hint="default" w:ascii="Cambria Math" w:hAnsi="Cambria Math"/>
                    <w:sz w:val="24"/>
                    <w:szCs w:val="20"/>
                    <w:u w:val="single"/>
                    <w:lang w:val="en-US" w:eastAsia="zh-CN"/>
                  </w:rPr>
                </m:ctrlPr>
              </m:sub>
            </m:sSub>
            <m:ctrlPr>
              <w:rPr>
                <w:rFonts w:hint="default" w:ascii="Cambria Math" w:hAnsi="Cambria Math"/>
                <w:sz w:val="24"/>
                <w:szCs w:val="20"/>
                <w:u w:val="single"/>
                <w:lang w:val="en-US" w:eastAsia="zh-CN"/>
              </w:rPr>
            </m:ctrlPr>
          </m:num>
          <m:den>
            <m:sSub>
              <m:sSubPr>
                <m:ctrlPr>
                  <w:rPr>
                    <w:rFonts w:hint="default" w:ascii="Cambria Math" w:hAnsi="Cambria Math"/>
                    <w:sz w:val="24"/>
                    <w:szCs w:val="20"/>
                    <w:u w:val="single"/>
                    <w:lang w:val="en-US" w:eastAsia="zh-CN"/>
                  </w:rPr>
                </m:ctrlPr>
              </m:sSubPr>
              <m:e>
                <m:r>
                  <m:rPr>
                    <m:sty m:val="p"/>
                  </m:rPr>
                  <w:rPr>
                    <w:rFonts w:hint="default" w:ascii="Cambria Math" w:hAnsi="Cambria Math"/>
                    <w:sz w:val="24"/>
                    <w:szCs w:val="20"/>
                    <w:u w:val="single"/>
                    <w:lang w:val="en-US" w:eastAsia="zh-CN"/>
                  </w:rPr>
                  <m:t>E</m:t>
                </m:r>
                <m:ctrlPr>
                  <w:rPr>
                    <w:rFonts w:hint="default" w:ascii="Cambria Math" w:hAnsi="Cambria Math"/>
                    <w:sz w:val="24"/>
                    <w:szCs w:val="20"/>
                    <w:u w:val="single"/>
                    <w:lang w:val="en-US" w:eastAsia="zh-CN"/>
                  </w:rPr>
                </m:ctrlPr>
              </m:e>
              <m:sub>
                <m:r>
                  <m:rPr>
                    <m:sty m:val="p"/>
                  </m:rPr>
                  <w:rPr>
                    <w:rFonts w:hint="default" w:ascii="Cambria Math" w:hAnsi="Cambria Math"/>
                    <w:sz w:val="24"/>
                    <w:szCs w:val="20"/>
                    <w:u w:val="single"/>
                    <w:lang w:val="en-US" w:eastAsia="zh-CN"/>
                  </w:rPr>
                  <m:t>cs</m:t>
                </m:r>
                <m:ctrlPr>
                  <w:rPr>
                    <w:rFonts w:hint="default" w:ascii="Cambria Math" w:hAnsi="Cambria Math"/>
                    <w:sz w:val="24"/>
                    <w:szCs w:val="20"/>
                    <w:u w:val="single"/>
                    <w:lang w:val="en-US" w:eastAsia="zh-CN"/>
                  </w:rPr>
                </m:ctrlPr>
              </m:sub>
            </m:sSub>
            <m:sSub>
              <m:sSubPr>
                <m:ctrlPr>
                  <w:rPr>
                    <w:rFonts w:hint="default" w:ascii="Cambria Math" w:hAnsi="Cambria Math"/>
                    <w:sz w:val="24"/>
                    <w:szCs w:val="20"/>
                    <w:u w:val="single"/>
                    <w:lang w:val="en-US" w:eastAsia="zh-CN"/>
                  </w:rPr>
                </m:ctrlPr>
              </m:sSubPr>
              <m:e>
                <m:r>
                  <m:rPr>
                    <m:sty m:val="p"/>
                  </m:rPr>
                  <w:rPr>
                    <w:rFonts w:hint="default" w:ascii="Cambria Math" w:hAnsi="Cambria Math"/>
                    <w:sz w:val="24"/>
                    <w:szCs w:val="20"/>
                    <w:u w:val="single"/>
                    <w:lang w:val="en-US" w:eastAsia="zh-CN"/>
                  </w:rPr>
                  <m:t>I</m:t>
                </m:r>
                <m:ctrlPr>
                  <w:rPr>
                    <w:rFonts w:hint="default" w:ascii="Cambria Math" w:hAnsi="Cambria Math"/>
                    <w:sz w:val="24"/>
                    <w:szCs w:val="20"/>
                    <w:u w:val="single"/>
                    <w:lang w:val="en-US" w:eastAsia="zh-CN"/>
                  </w:rPr>
                </m:ctrlPr>
              </m:e>
              <m:sub>
                <m:r>
                  <m:rPr>
                    <m:sty m:val="p"/>
                  </m:rPr>
                  <w:rPr>
                    <w:rFonts w:hint="default" w:ascii="Cambria Math" w:hAnsi="Cambria Math"/>
                    <w:sz w:val="24"/>
                    <w:szCs w:val="20"/>
                    <w:u w:val="single"/>
                    <w:lang w:val="en-US" w:eastAsia="zh-CN"/>
                  </w:rPr>
                  <m:t>s</m:t>
                </m:r>
                <m:ctrlPr>
                  <w:rPr>
                    <w:rFonts w:hint="default" w:ascii="Cambria Math" w:hAnsi="Cambria Math"/>
                    <w:sz w:val="24"/>
                    <w:szCs w:val="20"/>
                    <w:u w:val="single"/>
                    <w:lang w:val="en-US" w:eastAsia="zh-CN"/>
                  </w:rPr>
                </m:ctrlPr>
              </m:sub>
            </m:sSub>
            <m:ctrlPr>
              <w:rPr>
                <w:rFonts w:hint="default" w:ascii="Cambria Math" w:hAnsi="Cambria Math"/>
                <w:sz w:val="24"/>
                <w:szCs w:val="20"/>
                <w:u w:val="single"/>
                <w:lang w:val="en-US" w:eastAsia="zh-CN"/>
              </w:rPr>
            </m:ctrlPr>
          </m:den>
        </m:f>
      </m:oMath>
      <w:r>
        <w:rPr>
          <w:rFonts w:hint="eastAsia"/>
          <w:u w:val="single"/>
          <w:lang w:val="en-US" w:eastAsia="zh-CN"/>
        </w:rPr>
        <w:t xml:space="preserve">                   （公式一）</w:t>
      </w:r>
    </w:p>
    <w:p>
      <w:pPr>
        <w:pStyle w:val="20"/>
        <w:spacing w:line="360" w:lineRule="auto"/>
        <w:rPr>
          <w:rFonts w:hint="eastAsia"/>
          <w:u w:val="single"/>
          <w:lang w:val="en-US" w:eastAsia="zh-CN"/>
        </w:rPr>
      </w:pPr>
      <w:r>
        <w:rPr>
          <w:rFonts w:hint="eastAsia"/>
          <w:u w:val="single"/>
          <w:lang w:val="en-US" w:eastAsia="zh-CN"/>
        </w:rPr>
        <w:t>式中：E</w:t>
      </w:r>
      <w:r>
        <w:rPr>
          <w:rFonts w:hint="eastAsia"/>
          <w:u w:val="single"/>
          <w:vertAlign w:val="subscript"/>
          <w:lang w:val="en-US" w:eastAsia="zh-CN"/>
        </w:rPr>
        <w:t>cb</w:t>
      </w:r>
      <w:r>
        <w:rPr>
          <w:rFonts w:hint="eastAsia"/>
          <w:u w:val="single"/>
          <w:lang w:val="en-US" w:eastAsia="zh-CN"/>
        </w:rPr>
        <w:t>、E</w:t>
      </w:r>
      <w:r>
        <w:rPr>
          <w:rFonts w:hint="eastAsia"/>
          <w:u w:val="single"/>
          <w:vertAlign w:val="subscript"/>
          <w:lang w:val="en-US" w:eastAsia="zh-CN"/>
        </w:rPr>
        <w:t>cs</w:t>
      </w:r>
      <w:r>
        <w:rPr>
          <w:rFonts w:hint="eastAsia"/>
          <w:u w:val="single"/>
          <w:lang w:val="en-US" w:eastAsia="zh-CN"/>
        </w:rPr>
        <w:t>——分别为梁、板的混凝土弹性模量；</w:t>
      </w:r>
    </w:p>
    <w:p>
      <w:pPr>
        <w:pStyle w:val="20"/>
        <w:spacing w:line="360" w:lineRule="auto"/>
        <w:ind w:firstLine="720" w:firstLineChars="300"/>
        <w:rPr>
          <w:rFonts w:hint="default"/>
          <w:u w:val="single"/>
          <w:lang w:val="en-US" w:eastAsia="zh-CN"/>
        </w:rPr>
      </w:pPr>
      <w:r>
        <w:rPr>
          <w:rFonts w:hint="eastAsia"/>
          <w:u w:val="single"/>
          <w:lang w:val="en-US" w:eastAsia="zh-CN"/>
        </w:rPr>
        <w:t>I</w:t>
      </w:r>
      <w:r>
        <w:rPr>
          <w:rFonts w:hint="eastAsia"/>
          <w:u w:val="single"/>
          <w:vertAlign w:val="subscript"/>
          <w:lang w:val="en-US" w:eastAsia="zh-CN"/>
        </w:rPr>
        <w:t>b</w:t>
      </w:r>
      <w:r>
        <w:rPr>
          <w:rFonts w:hint="eastAsia"/>
          <w:u w:val="single"/>
          <w:lang w:val="en-US" w:eastAsia="zh-CN"/>
        </w:rPr>
        <w:t>——梁的截面惯性矩，需考虑翼缘的影响，每侧翼缘计算宽度宜取梁高与板厚之差，且不应超过板厚的4倍；</w:t>
      </w:r>
    </w:p>
    <w:p>
      <w:pPr>
        <w:pStyle w:val="20"/>
        <w:spacing w:line="360" w:lineRule="auto"/>
        <w:ind w:firstLine="720" w:firstLineChars="300"/>
        <w:rPr>
          <w:rFonts w:hint="default"/>
          <w:lang w:val="en-US" w:eastAsia="zh-CN"/>
        </w:rPr>
      </w:pPr>
      <w:r>
        <w:rPr>
          <w:rFonts w:hint="eastAsia"/>
          <w:u w:val="single"/>
          <w:lang w:val="en-US" w:eastAsia="zh-CN"/>
        </w:rPr>
        <w:t>I</w:t>
      </w:r>
      <w:r>
        <w:rPr>
          <w:rFonts w:hint="eastAsia"/>
          <w:u w:val="single"/>
          <w:vertAlign w:val="subscript"/>
          <w:lang w:val="en-US" w:eastAsia="zh-CN"/>
        </w:rPr>
        <w:t>s</w:t>
      </w:r>
      <w:r>
        <w:rPr>
          <w:rFonts w:hint="eastAsia"/>
          <w:u w:val="single"/>
          <w:lang w:val="en-US" w:eastAsia="zh-CN"/>
        </w:rPr>
        <w:t>——板的截面惯性矩</w:t>
      </w:r>
    </w:p>
    <w:p>
      <w:pPr>
        <w:numPr>
          <w:ilvl w:val="2"/>
          <w:numId w:val="1"/>
        </w:numPr>
        <w:bidi w:val="0"/>
        <w:rPr>
          <w:rFonts w:hint="default"/>
          <w:lang w:val="en-US" w:eastAsia="zh-CN"/>
        </w:rPr>
      </w:pPr>
      <w:r>
        <w:rPr>
          <w:rFonts w:hint="eastAsia"/>
          <w:lang w:val="en-US" w:eastAsia="zh-CN"/>
        </w:rPr>
        <w:t>柔性支承楼盖 f</w:t>
      </w:r>
      <w:r>
        <w:rPr>
          <w:rFonts w:hint="default"/>
          <w:lang w:val="en-US" w:eastAsia="zh-CN"/>
        </w:rPr>
        <w:t xml:space="preserve">lexible </w:t>
      </w:r>
      <w:r>
        <w:rPr>
          <w:rFonts w:hint="eastAsia"/>
          <w:lang w:val="en-US" w:eastAsia="zh-CN"/>
        </w:rPr>
        <w:t>e</w:t>
      </w:r>
      <w:r>
        <w:rPr>
          <w:rFonts w:hint="default"/>
          <w:lang w:val="en-US" w:eastAsia="zh-CN"/>
        </w:rPr>
        <w:t xml:space="preserve">dge </w:t>
      </w:r>
      <w:r>
        <w:rPr>
          <w:rFonts w:hint="eastAsia"/>
          <w:lang w:val="en-US" w:eastAsia="zh-CN"/>
        </w:rPr>
        <w:t>s</w:t>
      </w:r>
      <w:r>
        <w:rPr>
          <w:rFonts w:hint="default"/>
          <w:lang w:val="en-US" w:eastAsia="zh-CN"/>
        </w:rPr>
        <w:t xml:space="preserve">upported </w:t>
      </w:r>
      <w:r>
        <w:rPr>
          <w:rFonts w:hint="eastAsia"/>
          <w:lang w:val="en-US" w:eastAsia="zh-CN"/>
        </w:rPr>
        <w:t>f</w:t>
      </w:r>
      <w:r>
        <w:rPr>
          <w:rFonts w:hint="default"/>
          <w:lang w:val="en-US" w:eastAsia="zh-CN"/>
        </w:rPr>
        <w:t>loor</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由竖向刚度较小的梁作为</w:t>
      </w:r>
      <w:r>
        <w:rPr>
          <w:rFonts w:hint="eastAsia" w:cstheme="minorBidi"/>
          <w:kern w:val="2"/>
          <w:sz w:val="24"/>
          <w:szCs w:val="24"/>
          <w:lang w:val="en-US" w:eastAsia="zh-CN" w:bidi="ar-SA"/>
        </w:rPr>
        <w:t>空心叠合板</w:t>
      </w:r>
      <w:r>
        <w:rPr>
          <w:rFonts w:hint="eastAsia" w:ascii="Times New Roman" w:hAnsi="Times New Roman" w:eastAsia="宋体" w:cstheme="minorBidi"/>
          <w:kern w:val="2"/>
          <w:sz w:val="24"/>
          <w:szCs w:val="24"/>
          <w:lang w:val="en-US" w:eastAsia="zh-CN" w:bidi="ar-SA"/>
        </w:rPr>
        <w:t>竖向支承的楼盖。</w:t>
      </w:r>
    </w:p>
    <w:p>
      <w:pPr>
        <w:keepNext w:val="0"/>
        <w:keepLines w:val="0"/>
        <w:widowControl/>
        <w:suppressLineNumbers w:val="0"/>
        <w:jc w:val="left"/>
        <w:rPr>
          <w:rFonts w:hint="default"/>
          <w:u w:val="single"/>
          <w:lang w:val="en-US" w:eastAsia="zh-CN"/>
        </w:rPr>
      </w:pPr>
      <w:r>
        <w:rPr>
          <w:rFonts w:hint="eastAsia"/>
          <w:u w:val="single"/>
          <w:lang w:val="en-US" w:eastAsia="zh-CN"/>
        </w:rPr>
        <w:t>【条文说明】2.1.19 “柔性支承梁”相对于“刚性支承梁”而言，指相对抗弯刚度因子小于</w:t>
      </w:r>
      <w:r>
        <w:rPr>
          <w:rFonts w:hint="default"/>
          <w:u w:val="single"/>
          <w:lang w:val="en-US" w:eastAsia="zh-CN"/>
        </w:rPr>
        <w:t>4</w:t>
      </w:r>
      <w:r>
        <w:rPr>
          <w:rFonts w:hint="eastAsia"/>
          <w:u w:val="single"/>
          <w:lang w:val="en-US" w:eastAsia="zh-CN"/>
        </w:rPr>
        <w:t>的梁。</w:t>
      </w:r>
    </w:p>
    <w:p>
      <w:pPr>
        <w:numPr>
          <w:ilvl w:val="2"/>
          <w:numId w:val="1"/>
        </w:numPr>
        <w:bidi w:val="0"/>
        <w:rPr>
          <w:rFonts w:hint="default"/>
          <w:lang w:val="en-US" w:eastAsia="zh-CN"/>
        </w:rPr>
      </w:pPr>
      <w:r>
        <w:rPr>
          <w:rFonts w:hint="eastAsia"/>
          <w:lang w:val="en-US" w:eastAsia="zh-CN"/>
        </w:rPr>
        <w:t>柱支承楼盖 c</w:t>
      </w:r>
      <w:r>
        <w:rPr>
          <w:rFonts w:hint="default"/>
          <w:lang w:val="en-US" w:eastAsia="zh-CN"/>
        </w:rPr>
        <w:t xml:space="preserve">olumn </w:t>
      </w:r>
      <w:r>
        <w:rPr>
          <w:rFonts w:hint="eastAsia"/>
          <w:lang w:val="en-US" w:eastAsia="zh-CN"/>
        </w:rPr>
        <w:t>s</w:t>
      </w:r>
      <w:r>
        <w:rPr>
          <w:rFonts w:hint="default"/>
          <w:lang w:val="en-US" w:eastAsia="zh-CN"/>
        </w:rPr>
        <w:t xml:space="preserve">upported </w:t>
      </w:r>
      <w:r>
        <w:rPr>
          <w:rFonts w:hint="eastAsia"/>
          <w:lang w:val="en-US" w:eastAsia="zh-CN"/>
        </w:rPr>
        <w:t>f</w:t>
      </w:r>
      <w:r>
        <w:rPr>
          <w:rFonts w:hint="default"/>
          <w:lang w:val="en-US" w:eastAsia="zh-CN"/>
        </w:rPr>
        <w:t>loor</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heme="minorBidi"/>
          <w:kern w:val="2"/>
          <w:sz w:val="24"/>
          <w:szCs w:val="24"/>
          <w:lang w:val="en-US" w:eastAsia="zh-CN" w:bidi="ar-SA"/>
        </w:rPr>
      </w:pPr>
      <w:r>
        <w:rPr>
          <w:rFonts w:hint="eastAsia" w:ascii="Times New Roman" w:hAnsi="Times New Roman" w:eastAsia="宋体" w:cstheme="minorBidi"/>
          <w:kern w:val="2"/>
          <w:sz w:val="24"/>
          <w:szCs w:val="24"/>
          <w:lang w:val="en-US" w:eastAsia="zh-CN" w:bidi="ar-SA"/>
        </w:rPr>
        <w:t>由柱作为</w:t>
      </w:r>
      <w:r>
        <w:rPr>
          <w:rFonts w:hint="eastAsia" w:cstheme="minorBidi"/>
          <w:kern w:val="2"/>
          <w:sz w:val="24"/>
          <w:szCs w:val="24"/>
          <w:lang w:val="en-US" w:eastAsia="zh-CN" w:bidi="ar-SA"/>
        </w:rPr>
        <w:t>空心叠合板的</w:t>
      </w:r>
      <w:r>
        <w:rPr>
          <w:rFonts w:hint="eastAsia" w:ascii="Times New Roman" w:hAnsi="Times New Roman" w:eastAsia="宋体" w:cstheme="minorBidi"/>
          <w:kern w:val="2"/>
          <w:sz w:val="24"/>
          <w:szCs w:val="24"/>
          <w:lang w:val="en-US" w:eastAsia="zh-CN" w:bidi="ar-SA"/>
        </w:rPr>
        <w:t>竖向支承，且支承间没有刚性梁和柔性梁的楼盖。</w:t>
      </w:r>
    </w:p>
    <w:p>
      <w:pPr>
        <w:keepNext w:val="0"/>
        <w:keepLines w:val="0"/>
        <w:widowControl/>
        <w:suppressLineNumbers w:val="0"/>
        <w:jc w:val="left"/>
        <w:rPr>
          <w:rFonts w:hint="eastAsia"/>
          <w:lang w:val="en-US" w:eastAsia="zh-CN"/>
        </w:rPr>
      </w:pPr>
      <w:r>
        <w:rPr>
          <w:rFonts w:hint="eastAsia" w:cstheme="minorBidi"/>
          <w:kern w:val="2"/>
          <w:sz w:val="24"/>
          <w:szCs w:val="24"/>
          <w:u w:val="single"/>
          <w:lang w:val="en-US" w:eastAsia="zh-CN" w:bidi="ar-SA"/>
        </w:rPr>
        <w:t xml:space="preserve">【条文说明】2.1.20 </w:t>
      </w:r>
      <w:r>
        <w:rPr>
          <w:rFonts w:hint="default" w:ascii="Times New Roman" w:hAnsi="Times New Roman" w:eastAsia="宋体" w:cstheme="minorBidi"/>
          <w:kern w:val="2"/>
          <w:sz w:val="24"/>
          <w:szCs w:val="24"/>
          <w:u w:val="single"/>
          <w:lang w:val="en-US" w:eastAsia="zh-CN" w:bidi="ar-SA"/>
        </w:rPr>
        <w:t>柱支承楼盖也就是无梁楼盖</w:t>
      </w:r>
      <w:r>
        <w:rPr>
          <w:rFonts w:hint="eastAsia" w:cstheme="minorBidi"/>
          <w:kern w:val="2"/>
          <w:sz w:val="24"/>
          <w:szCs w:val="24"/>
          <w:u w:val="single"/>
          <w:lang w:val="en-US" w:eastAsia="zh-CN" w:bidi="ar-SA"/>
        </w:rPr>
        <w:t>。</w:t>
      </w:r>
    </w:p>
    <w:p>
      <w:pPr>
        <w:pStyle w:val="4"/>
        <w:bidi w:val="0"/>
        <w:ind w:left="0" w:leftChars="0" w:firstLine="0" w:firstLineChars="0"/>
        <w:outlineLvl w:val="1"/>
        <w:rPr>
          <w:rFonts w:hint="default"/>
          <w:lang w:val="en-US" w:eastAsia="zh-CN"/>
        </w:rPr>
      </w:pPr>
      <w:bookmarkStart w:id="18" w:name="_Toc21968"/>
      <w:r>
        <w:rPr>
          <w:rFonts w:hint="default"/>
          <w:lang w:val="en-US" w:eastAsia="zh-CN"/>
        </w:rPr>
        <w:t>符</w:t>
      </w:r>
      <w:r>
        <w:rPr>
          <w:rFonts w:hint="eastAsia"/>
          <w:lang w:val="en-US" w:eastAsia="zh-CN"/>
        </w:rPr>
        <w:t xml:space="preserve"> </w:t>
      </w:r>
      <w:r>
        <w:rPr>
          <w:rFonts w:hint="default"/>
          <w:lang w:val="en-US" w:eastAsia="zh-CN"/>
        </w:rPr>
        <w:t>号</w:t>
      </w:r>
      <w:bookmarkEnd w:id="18"/>
    </w:p>
    <w:p>
      <w:pPr>
        <w:numPr>
          <w:ilvl w:val="2"/>
          <w:numId w:val="1"/>
        </w:numPr>
        <w:bidi w:val="0"/>
        <w:rPr>
          <w:rFonts w:hint="default"/>
          <w:highlight w:val="none"/>
          <w:lang w:val="en-US" w:eastAsia="zh-CN"/>
        </w:rPr>
      </w:pPr>
      <w:r>
        <w:rPr>
          <w:rFonts w:hint="default"/>
          <w:highlight w:val="none"/>
          <w:lang w:val="en-US" w:eastAsia="zh-CN"/>
        </w:rPr>
        <w:t>材料性能</w:t>
      </w:r>
    </w:p>
    <w:p>
      <w:pPr>
        <w:pStyle w:val="21"/>
        <w:bidi w:val="0"/>
        <w:rPr>
          <w:rFonts w:hint="default"/>
          <w:highlight w:val="none"/>
          <w:lang w:val="en-US" w:eastAsia="zh-CN"/>
        </w:rPr>
      </w:pPr>
      <w:r>
        <w:rPr>
          <w:rFonts w:hint="default"/>
          <w:i/>
          <w:iCs/>
          <w:highlight w:val="none"/>
          <w:lang w:val="en-US" w:eastAsia="zh-CN"/>
        </w:rPr>
        <w:t>f</w:t>
      </w:r>
      <w:r>
        <w:rPr>
          <w:rFonts w:hint="default"/>
          <w:highlight w:val="none"/>
          <w:vertAlign w:val="subscript"/>
          <w:lang w:val="en-US" w:eastAsia="zh-CN"/>
        </w:rPr>
        <w:t>ck</w:t>
      </w:r>
      <w:r>
        <w:rPr>
          <w:rFonts w:hint="default"/>
          <w:highlight w:val="none"/>
          <w:lang w:val="en-US" w:eastAsia="zh-CN"/>
        </w:rPr>
        <w:t>——混凝土轴心抗压强度标准值。</w:t>
      </w:r>
    </w:p>
    <w:p>
      <w:pPr>
        <w:pStyle w:val="21"/>
        <w:bidi w:val="0"/>
        <w:rPr>
          <w:rFonts w:hint="default"/>
          <w:highlight w:val="none"/>
          <w:lang w:val="en-US" w:eastAsia="zh-CN"/>
        </w:rPr>
      </w:pPr>
      <w:r>
        <w:rPr>
          <w:rFonts w:hint="default"/>
          <w:i/>
          <w:iCs/>
          <w:highlight w:val="none"/>
          <w:lang w:val="en-US" w:eastAsia="zh-CN"/>
        </w:rPr>
        <w:t>f</w:t>
      </w:r>
      <w:r>
        <w:rPr>
          <w:rFonts w:hint="default"/>
          <w:highlight w:val="none"/>
          <w:vertAlign w:val="subscript"/>
          <w:lang w:val="en-US" w:eastAsia="zh-CN"/>
        </w:rPr>
        <w:t>c</w:t>
      </w:r>
      <w:r>
        <w:rPr>
          <w:rFonts w:hint="default"/>
          <w:highlight w:val="none"/>
          <w:lang w:val="en-US" w:eastAsia="zh-CN"/>
        </w:rPr>
        <w:t>——混凝土轴心抗压强度设计值。</w:t>
      </w:r>
    </w:p>
    <w:p>
      <w:pPr>
        <w:pStyle w:val="21"/>
        <w:bidi w:val="0"/>
        <w:rPr>
          <w:rFonts w:hint="default"/>
          <w:highlight w:val="none"/>
          <w:lang w:val="en-US" w:eastAsia="zh-CN"/>
        </w:rPr>
      </w:pPr>
      <w:r>
        <w:rPr>
          <w:rFonts w:hint="default"/>
          <w:i/>
          <w:iCs/>
          <w:highlight w:val="none"/>
          <w:lang w:val="en-US" w:eastAsia="zh-CN"/>
        </w:rPr>
        <w:t>f</w:t>
      </w:r>
      <w:r>
        <w:rPr>
          <w:rFonts w:hint="default"/>
          <w:highlight w:val="none"/>
          <w:vertAlign w:val="subscript"/>
          <w:lang w:val="en-US" w:eastAsia="zh-CN"/>
        </w:rPr>
        <w:t>tk</w:t>
      </w:r>
      <w:r>
        <w:rPr>
          <w:rFonts w:hint="default"/>
          <w:highlight w:val="none"/>
          <w:lang w:val="en-US" w:eastAsia="zh-CN"/>
        </w:rPr>
        <w:t xml:space="preserve">——混凝土轴心抗拉强度标准值； </w:t>
      </w:r>
    </w:p>
    <w:p>
      <w:pPr>
        <w:pStyle w:val="21"/>
        <w:bidi w:val="0"/>
        <w:rPr>
          <w:rFonts w:hint="default"/>
          <w:highlight w:val="none"/>
          <w:lang w:val="en-US" w:eastAsia="zh-CN"/>
        </w:rPr>
      </w:pPr>
      <w:r>
        <w:rPr>
          <w:rFonts w:hint="default"/>
          <w:i/>
          <w:iCs/>
          <w:highlight w:val="none"/>
          <w:lang w:val="en-US" w:eastAsia="zh-CN"/>
        </w:rPr>
        <w:t>f</w:t>
      </w:r>
      <w:r>
        <w:rPr>
          <w:rFonts w:hint="default"/>
          <w:highlight w:val="none"/>
          <w:vertAlign w:val="subscript"/>
          <w:lang w:val="en-US" w:eastAsia="zh-CN"/>
        </w:rPr>
        <w:t>t</w:t>
      </w:r>
      <w:r>
        <w:rPr>
          <w:rFonts w:hint="default"/>
          <w:highlight w:val="none"/>
          <w:lang w:val="en-US" w:eastAsia="zh-CN"/>
        </w:rPr>
        <w:t>——混凝土轴心抗拉强度设计值；</w:t>
      </w:r>
    </w:p>
    <w:p>
      <w:pPr>
        <w:pStyle w:val="21"/>
        <w:bidi w:val="0"/>
        <w:rPr>
          <w:rFonts w:hint="default"/>
          <w:highlight w:val="none"/>
          <w:lang w:val="en-US" w:eastAsia="zh-CN"/>
        </w:rPr>
      </w:pPr>
      <w:r>
        <w:rPr>
          <w:rFonts w:hint="default"/>
          <w:i/>
          <w:iCs/>
          <w:highlight w:val="none"/>
          <w:lang w:val="en-US" w:eastAsia="zh-CN"/>
        </w:rPr>
        <w:t>f</w:t>
      </w:r>
      <w:r>
        <w:rPr>
          <w:rFonts w:hint="default"/>
          <w:highlight w:val="none"/>
          <w:lang w:val="en-US" w:eastAsia="zh-CN"/>
        </w:rPr>
        <w:t>'</w:t>
      </w:r>
      <w:r>
        <w:rPr>
          <w:rFonts w:hint="default"/>
          <w:highlight w:val="none"/>
          <w:vertAlign w:val="subscript"/>
          <w:lang w:val="en-US" w:eastAsia="zh-CN"/>
        </w:rPr>
        <w:t>tk</w:t>
      </w:r>
      <w:r>
        <w:rPr>
          <w:rFonts w:hint="default"/>
          <w:highlight w:val="none"/>
          <w:lang w:val="en-US" w:eastAsia="zh-CN"/>
        </w:rPr>
        <w:t>、</w:t>
      </w:r>
      <w:r>
        <w:rPr>
          <w:rFonts w:hint="default"/>
          <w:i/>
          <w:iCs/>
          <w:highlight w:val="none"/>
          <w:lang w:val="en-US" w:eastAsia="zh-CN"/>
        </w:rPr>
        <w:t>f</w:t>
      </w:r>
      <w:r>
        <w:rPr>
          <w:rFonts w:hint="default"/>
          <w:highlight w:val="none"/>
          <w:lang w:val="en-US" w:eastAsia="zh-CN"/>
        </w:rPr>
        <w:t>'</w:t>
      </w:r>
      <w:r>
        <w:rPr>
          <w:rFonts w:hint="default"/>
          <w:highlight w:val="none"/>
          <w:vertAlign w:val="subscript"/>
          <w:lang w:val="en-US" w:eastAsia="zh-CN"/>
        </w:rPr>
        <w:t>ck</w:t>
      </w:r>
      <w:r>
        <w:rPr>
          <w:rFonts w:hint="default"/>
          <w:highlight w:val="none"/>
          <w:lang w:val="en-US" w:eastAsia="zh-CN"/>
        </w:rPr>
        <w:t>——与各环节的混凝土立方体抗压强度相应的抗拉强度标准值、抗压强度标准值；</w:t>
      </w:r>
    </w:p>
    <w:p>
      <w:pPr>
        <w:pStyle w:val="21"/>
        <w:bidi w:val="0"/>
        <w:rPr>
          <w:rFonts w:hint="default"/>
          <w:highlight w:val="none"/>
          <w:lang w:val="en-US" w:eastAsia="zh-CN"/>
        </w:rPr>
      </w:pPr>
      <w:r>
        <w:rPr>
          <w:rFonts w:hint="default"/>
          <w:i/>
          <w:iCs/>
          <w:highlight w:val="none"/>
          <w:lang w:val="en-US" w:eastAsia="zh-CN"/>
        </w:rPr>
        <w:t>f</w:t>
      </w:r>
      <w:r>
        <w:rPr>
          <w:rFonts w:hint="default"/>
          <w:highlight w:val="none"/>
          <w:vertAlign w:val="subscript"/>
          <w:lang w:val="en-US" w:eastAsia="zh-CN"/>
        </w:rPr>
        <w:t>y</w:t>
      </w:r>
      <w:r>
        <w:rPr>
          <w:rFonts w:hint="default"/>
          <w:highlight w:val="none"/>
          <w:lang w:val="en-US" w:eastAsia="zh-CN"/>
        </w:rPr>
        <w:t>——钢筋</w:t>
      </w:r>
      <w:r>
        <w:rPr>
          <w:rFonts w:hint="eastAsia"/>
          <w:highlight w:val="none"/>
          <w:lang w:val="en-US" w:eastAsia="zh-CN"/>
        </w:rPr>
        <w:t>抗拉</w:t>
      </w:r>
      <w:r>
        <w:rPr>
          <w:rFonts w:hint="default"/>
          <w:highlight w:val="none"/>
          <w:lang w:val="en-US" w:eastAsia="zh-CN"/>
        </w:rPr>
        <w:t>强度设计值</w:t>
      </w:r>
      <w:r>
        <w:rPr>
          <w:rFonts w:hint="eastAsia"/>
          <w:highlight w:val="none"/>
          <w:lang w:val="en-US" w:eastAsia="zh-CN"/>
        </w:rPr>
        <w:t>。</w:t>
      </w:r>
    </w:p>
    <w:p>
      <w:pPr>
        <w:numPr>
          <w:ilvl w:val="2"/>
          <w:numId w:val="1"/>
        </w:numPr>
        <w:bidi w:val="0"/>
        <w:rPr>
          <w:rFonts w:hint="default"/>
          <w:highlight w:val="none"/>
          <w:lang w:val="en-US" w:eastAsia="zh-CN"/>
        </w:rPr>
      </w:pPr>
      <w:r>
        <w:rPr>
          <w:rFonts w:hint="eastAsia"/>
          <w:highlight w:val="none"/>
          <w:lang w:val="en-US" w:eastAsia="zh-CN"/>
        </w:rPr>
        <w:t>作用和作用效应</w:t>
      </w:r>
    </w:p>
    <w:p>
      <w:pPr>
        <w:pStyle w:val="21"/>
        <w:keepNext w:val="0"/>
        <w:keepLines w:val="0"/>
        <w:pageBreakBefore w:val="0"/>
        <w:widowControl w:val="0"/>
        <w:kinsoku/>
        <w:wordWrap/>
        <w:overflowPunct/>
        <w:topLinePunct w:val="0"/>
        <w:autoSpaceDE/>
        <w:autoSpaceDN/>
        <w:bidi w:val="0"/>
        <w:adjustRightInd/>
        <w:snapToGrid/>
        <w:ind w:left="1920" w:leftChars="200" w:hanging="1440" w:hangingChars="600"/>
        <w:textAlignment w:val="auto"/>
        <w:rPr>
          <w:rFonts w:hint="default"/>
          <w:highlight w:val="none"/>
          <w:lang w:val="en-US" w:eastAsia="zh-CN"/>
        </w:rPr>
      </w:pPr>
      <w:r>
        <w:rPr>
          <w:rFonts w:hint="default"/>
          <w:i/>
          <w:iCs/>
          <w:highlight w:val="none"/>
          <w:lang w:val="en-US" w:eastAsia="zh-CN"/>
        </w:rPr>
        <w:t>V</w:t>
      </w:r>
      <w:r>
        <w:rPr>
          <w:rFonts w:hint="default"/>
          <w:highlight w:val="none"/>
          <w:vertAlign w:val="subscript"/>
          <w:lang w:val="en-US" w:eastAsia="zh-CN"/>
        </w:rPr>
        <w:t>S</w:t>
      </w:r>
      <w:r>
        <w:rPr>
          <w:rFonts w:hint="default"/>
          <w:i w:val="0"/>
          <w:iCs w:val="0"/>
          <w:highlight w:val="none"/>
          <w:lang w:val="en-US" w:eastAsia="zh-CN"/>
        </w:rPr>
        <w:t>——</w:t>
      </w:r>
      <w:r>
        <w:rPr>
          <w:rFonts w:hint="eastAsia"/>
          <w:i w:val="0"/>
          <w:iCs w:val="0"/>
          <w:highlight w:val="none"/>
          <w:lang w:val="en-US" w:eastAsia="zh-CN"/>
        </w:rPr>
        <w:t>叠合肋梁端部</w:t>
      </w:r>
      <w:r>
        <w:rPr>
          <w:rFonts w:hint="default"/>
          <w:highlight w:val="none"/>
          <w:lang w:val="en-US" w:eastAsia="zh-CN"/>
        </w:rPr>
        <w:t>剪力设计值；</w:t>
      </w:r>
    </w:p>
    <w:p>
      <w:pPr>
        <w:pStyle w:val="21"/>
        <w:keepNext w:val="0"/>
        <w:keepLines w:val="0"/>
        <w:pageBreakBefore w:val="0"/>
        <w:widowControl w:val="0"/>
        <w:kinsoku/>
        <w:wordWrap/>
        <w:overflowPunct/>
        <w:topLinePunct w:val="0"/>
        <w:autoSpaceDE/>
        <w:autoSpaceDN/>
        <w:bidi w:val="0"/>
        <w:adjustRightInd/>
        <w:snapToGrid/>
        <w:textAlignment w:val="auto"/>
        <w:rPr>
          <w:rFonts w:hint="default"/>
          <w:i w:val="0"/>
          <w:iCs w:val="0"/>
          <w:highlight w:val="none"/>
          <w:lang w:val="en-US" w:eastAsia="zh-CN"/>
        </w:rPr>
      </w:pPr>
      <w:r>
        <w:rPr>
          <w:rFonts w:hint="default"/>
          <w:i/>
          <w:iCs/>
          <w:highlight w:val="none"/>
          <w:lang w:val="en-US" w:eastAsia="zh-CN"/>
        </w:rPr>
        <w:t>V</w:t>
      </w:r>
      <w:r>
        <w:rPr>
          <w:rFonts w:hint="default"/>
          <w:i w:val="0"/>
          <w:iCs w:val="0"/>
          <w:highlight w:val="none"/>
          <w:vertAlign w:val="subscript"/>
          <w:lang w:val="en-US" w:eastAsia="zh-CN"/>
        </w:rPr>
        <w:t>R</w:t>
      </w:r>
      <w:r>
        <w:rPr>
          <w:rFonts w:hint="default"/>
          <w:i w:val="0"/>
          <w:iCs w:val="0"/>
          <w:highlight w:val="none"/>
          <w:lang w:val="en-US" w:eastAsia="zh-CN"/>
        </w:rPr>
        <w:t>——</w:t>
      </w:r>
      <w:r>
        <w:rPr>
          <w:rFonts w:hint="eastAsia"/>
          <w:i w:val="0"/>
          <w:iCs w:val="0"/>
          <w:highlight w:val="none"/>
          <w:lang w:val="en-US" w:eastAsia="zh-CN"/>
        </w:rPr>
        <w:t>叠合肋梁端部</w:t>
      </w:r>
      <w:r>
        <w:rPr>
          <w:rFonts w:hint="default"/>
          <w:i w:val="0"/>
          <w:iCs w:val="0"/>
          <w:highlight w:val="none"/>
          <w:lang w:val="en-US" w:eastAsia="zh-CN"/>
        </w:rPr>
        <w:t>受剪承载力设计值；</w:t>
      </w:r>
    </w:p>
    <w:p>
      <w:pPr>
        <w:pStyle w:val="21"/>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i/>
          <w:iCs/>
          <w:highlight w:val="none"/>
          <w:lang w:val="en-US" w:eastAsia="zh-CN"/>
        </w:rPr>
        <w:t>M</w:t>
      </w:r>
      <w:r>
        <w:rPr>
          <w:rFonts w:hint="default"/>
          <w:highlight w:val="none"/>
          <w:vertAlign w:val="subscript"/>
          <w:lang w:val="en-US" w:eastAsia="zh-CN"/>
        </w:rPr>
        <w:t>k</w:t>
      </w:r>
      <w:r>
        <w:rPr>
          <w:rFonts w:hint="default"/>
          <w:highlight w:val="none"/>
          <w:lang w:val="en-US" w:eastAsia="zh-CN"/>
        </w:rPr>
        <w:t>——荷载标准组合作用下弯矩标准值；</w:t>
      </w:r>
    </w:p>
    <w:p>
      <w:pPr>
        <w:pStyle w:val="21"/>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i/>
          <w:iCs/>
          <w:highlight w:val="none"/>
          <w:lang w:val="en-US" w:eastAsia="zh-CN"/>
        </w:rPr>
        <w:t>σ</w:t>
      </w:r>
      <w:r>
        <w:rPr>
          <w:rFonts w:hint="default"/>
          <w:highlight w:val="none"/>
          <w:vertAlign w:val="subscript"/>
          <w:lang w:val="en-US" w:eastAsia="zh-CN"/>
        </w:rPr>
        <w:t>cc</w:t>
      </w:r>
      <w:r>
        <w:rPr>
          <w:rFonts w:hint="default"/>
          <w:highlight w:val="none"/>
          <w:lang w:val="en-US" w:eastAsia="zh-CN"/>
        </w:rPr>
        <w:t>——荷载标准组合作用下预制底板正截面边缘混凝土法向压应力；</w:t>
      </w:r>
    </w:p>
    <w:p>
      <w:pPr>
        <w:pStyle w:val="21"/>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i/>
          <w:iCs/>
          <w:highlight w:val="none"/>
          <w:lang w:val="en-US" w:eastAsia="zh-CN"/>
        </w:rPr>
        <w:t>σ</w:t>
      </w:r>
      <w:r>
        <w:rPr>
          <w:rFonts w:hint="default"/>
          <w:highlight w:val="none"/>
          <w:vertAlign w:val="subscript"/>
          <w:lang w:val="en-US" w:eastAsia="zh-CN"/>
        </w:rPr>
        <w:t>ct</w:t>
      </w:r>
      <w:r>
        <w:rPr>
          <w:rFonts w:hint="default"/>
          <w:highlight w:val="none"/>
          <w:lang w:val="en-US" w:eastAsia="zh-CN"/>
        </w:rPr>
        <w:t>——荷载标准组合作用下预制底板正截面边缘混凝土法向拉应力</w:t>
      </w:r>
      <w:r>
        <w:rPr>
          <w:rFonts w:hint="eastAsia"/>
          <w:highlight w:val="none"/>
          <w:lang w:val="en-US" w:eastAsia="zh-CN"/>
        </w:rPr>
        <w:t>。</w:t>
      </w:r>
    </w:p>
    <w:p>
      <w:pPr>
        <w:numPr>
          <w:ilvl w:val="2"/>
          <w:numId w:val="1"/>
        </w:numPr>
        <w:bidi w:val="0"/>
        <w:rPr>
          <w:rFonts w:hint="default"/>
          <w:highlight w:val="none"/>
          <w:lang w:val="en-US" w:eastAsia="zh-CN"/>
        </w:rPr>
      </w:pPr>
      <w:r>
        <w:rPr>
          <w:rFonts w:hint="eastAsia"/>
          <w:highlight w:val="none"/>
          <w:lang w:val="en-US" w:eastAsia="zh-CN"/>
        </w:rPr>
        <w:t>几何参数</w:t>
      </w:r>
    </w:p>
    <w:p>
      <w:pPr>
        <w:pStyle w:val="21"/>
        <w:bidi w:val="0"/>
        <w:rPr>
          <w:rFonts w:hint="default"/>
          <w:highlight w:val="none"/>
          <w:lang w:val="en-US" w:eastAsia="zh-CN"/>
        </w:rPr>
      </w:pPr>
      <w:r>
        <w:rPr>
          <w:rFonts w:hint="default"/>
          <w:i/>
          <w:iCs/>
          <w:highlight w:val="none"/>
          <w:lang w:val="en-US" w:eastAsia="zh-CN"/>
        </w:rPr>
        <w:t>B</w:t>
      </w:r>
      <w:r>
        <w:rPr>
          <w:rFonts w:hint="default"/>
          <w:highlight w:val="none"/>
          <w:lang w:val="en-US" w:eastAsia="zh-CN"/>
        </w:rPr>
        <w:t>——预制底板宽度；</w:t>
      </w:r>
    </w:p>
    <w:p>
      <w:pPr>
        <w:pStyle w:val="21"/>
        <w:bidi w:val="0"/>
        <w:rPr>
          <w:rFonts w:hint="default"/>
          <w:highlight w:val="none"/>
          <w:lang w:val="en-US" w:eastAsia="zh-CN"/>
        </w:rPr>
      </w:pPr>
      <w:r>
        <w:rPr>
          <w:rFonts w:hint="eastAsia"/>
          <w:highlight w:val="none"/>
          <w:lang w:val="en-US" w:eastAsia="zh-CN"/>
        </w:rPr>
        <w:t>L</w:t>
      </w:r>
      <w:r>
        <w:rPr>
          <w:rFonts w:hint="default"/>
          <w:highlight w:val="none"/>
          <w:lang w:val="en-US" w:eastAsia="zh-CN"/>
        </w:rPr>
        <w:t>——预制底板</w:t>
      </w:r>
      <w:r>
        <w:rPr>
          <w:rFonts w:hint="eastAsia"/>
          <w:highlight w:val="none"/>
          <w:lang w:val="en-US" w:eastAsia="zh-CN"/>
        </w:rPr>
        <w:t>长度</w:t>
      </w:r>
      <w:r>
        <w:rPr>
          <w:rFonts w:hint="default"/>
          <w:highlight w:val="none"/>
          <w:lang w:val="en-US" w:eastAsia="zh-CN"/>
        </w:rPr>
        <w:t>；</w:t>
      </w:r>
    </w:p>
    <w:p>
      <w:pPr>
        <w:pStyle w:val="21"/>
        <w:bidi w:val="0"/>
        <w:rPr>
          <w:rFonts w:hint="default"/>
          <w:highlight w:val="none"/>
          <w:lang w:val="en-US" w:eastAsia="zh-CN"/>
        </w:rPr>
      </w:pPr>
      <w:r>
        <w:rPr>
          <w:rFonts w:hint="default"/>
          <w:i/>
          <w:iCs/>
          <w:highlight w:val="none"/>
          <w:lang w:val="en-US" w:eastAsia="zh-CN"/>
        </w:rPr>
        <w:t>h</w:t>
      </w:r>
      <w:r>
        <w:rPr>
          <w:rFonts w:hint="default"/>
          <w:highlight w:val="none"/>
          <w:lang w:val="en-US" w:eastAsia="zh-CN"/>
        </w:rPr>
        <w:t>——</w:t>
      </w:r>
      <w:r>
        <w:rPr>
          <w:rFonts w:hint="eastAsia"/>
          <w:highlight w:val="none"/>
          <w:lang w:val="en-US" w:eastAsia="zh-CN"/>
        </w:rPr>
        <w:t>空心</w:t>
      </w:r>
      <w:r>
        <w:rPr>
          <w:rFonts w:hint="default"/>
          <w:highlight w:val="none"/>
          <w:lang w:val="en-US" w:eastAsia="zh-CN"/>
        </w:rPr>
        <w:t>叠合板厚度；</w:t>
      </w:r>
    </w:p>
    <w:p>
      <w:pPr>
        <w:pStyle w:val="21"/>
        <w:bidi w:val="0"/>
        <w:rPr>
          <w:rFonts w:hint="default"/>
          <w:highlight w:val="none"/>
          <w:lang w:val="en-US" w:eastAsia="zh-CN"/>
        </w:rPr>
      </w:pPr>
      <w:r>
        <w:rPr>
          <w:rFonts w:hint="default"/>
          <w:i/>
          <w:iCs/>
          <w:highlight w:val="none"/>
          <w:lang w:val="en-US" w:eastAsia="zh-CN"/>
        </w:rPr>
        <w:t>h</w:t>
      </w:r>
      <w:r>
        <w:rPr>
          <w:rFonts w:hint="default"/>
          <w:highlight w:val="none"/>
          <w:vertAlign w:val="subscript"/>
          <w:lang w:val="en-US" w:eastAsia="zh-CN"/>
        </w:rPr>
        <w:t>1</w:t>
      </w:r>
      <w:r>
        <w:rPr>
          <w:rFonts w:hint="default"/>
          <w:highlight w:val="none"/>
          <w:lang w:val="en-US" w:eastAsia="zh-CN"/>
        </w:rPr>
        <w:t>——预制底板</w:t>
      </w:r>
      <w:r>
        <w:rPr>
          <w:rFonts w:hint="eastAsia"/>
          <w:highlight w:val="none"/>
          <w:lang w:val="en-US" w:eastAsia="zh-CN"/>
        </w:rPr>
        <w:t>最大</w:t>
      </w:r>
      <w:r>
        <w:rPr>
          <w:rFonts w:hint="default"/>
          <w:highlight w:val="none"/>
          <w:lang w:val="en-US" w:eastAsia="zh-CN"/>
        </w:rPr>
        <w:t>厚度</w:t>
      </w:r>
      <w:r>
        <w:rPr>
          <w:rFonts w:hint="eastAsia"/>
          <w:highlight w:val="none"/>
          <w:lang w:val="en-US" w:eastAsia="zh-CN"/>
        </w:rPr>
        <w:t>，一般指叠合肋梁下部预制部分的厚度</w:t>
      </w:r>
      <w:r>
        <w:rPr>
          <w:rFonts w:hint="default"/>
          <w:highlight w:val="none"/>
          <w:lang w:val="en-US" w:eastAsia="zh-CN"/>
        </w:rPr>
        <w:t>；</w:t>
      </w:r>
    </w:p>
    <w:p>
      <w:pPr>
        <w:pStyle w:val="21"/>
        <w:bidi w:val="0"/>
        <w:rPr>
          <w:rFonts w:hint="default"/>
          <w:highlight w:val="none"/>
          <w:lang w:val="en-US" w:eastAsia="zh-CN"/>
        </w:rPr>
      </w:pPr>
      <w:r>
        <w:rPr>
          <w:rFonts w:hint="default"/>
          <w:i/>
          <w:iCs/>
          <w:highlight w:val="none"/>
          <w:lang w:val="en-US" w:eastAsia="zh-CN"/>
        </w:rPr>
        <w:t>h</w:t>
      </w:r>
      <w:r>
        <w:rPr>
          <w:rFonts w:hint="default"/>
          <w:highlight w:val="none"/>
          <w:vertAlign w:val="subscript"/>
          <w:lang w:val="en-US" w:eastAsia="zh-CN"/>
        </w:rPr>
        <w:t>2</w:t>
      </w:r>
      <w:r>
        <w:rPr>
          <w:rFonts w:hint="default"/>
          <w:highlight w:val="none"/>
          <w:lang w:val="en-US" w:eastAsia="zh-CN"/>
        </w:rPr>
        <w:t>——后浇叠合层</w:t>
      </w:r>
      <w:r>
        <w:rPr>
          <w:rFonts w:hint="eastAsia"/>
          <w:highlight w:val="none"/>
          <w:lang w:val="en-US" w:eastAsia="zh-CN"/>
        </w:rPr>
        <w:t>最大</w:t>
      </w:r>
      <w:r>
        <w:rPr>
          <w:rFonts w:hint="default"/>
          <w:highlight w:val="none"/>
          <w:lang w:val="en-US" w:eastAsia="zh-CN"/>
        </w:rPr>
        <w:t>厚度</w:t>
      </w:r>
      <w:r>
        <w:rPr>
          <w:rFonts w:hint="eastAsia"/>
          <w:highlight w:val="none"/>
          <w:lang w:val="en-US" w:eastAsia="zh-CN"/>
        </w:rPr>
        <w:t>，一般指叠合肋梁上部后浇混凝土的厚度</w:t>
      </w:r>
      <w:r>
        <w:rPr>
          <w:rFonts w:hint="default"/>
          <w:highlight w:val="none"/>
          <w:lang w:val="en-US" w:eastAsia="zh-CN"/>
        </w:rPr>
        <w:t>；</w:t>
      </w:r>
    </w:p>
    <w:p>
      <w:pPr>
        <w:pStyle w:val="21"/>
        <w:bidi w:val="0"/>
        <w:rPr>
          <w:rFonts w:hint="default"/>
          <w:highlight w:val="none"/>
          <w:lang w:val="en-US" w:eastAsia="zh-CN"/>
        </w:rPr>
      </w:pPr>
      <w:r>
        <w:rPr>
          <w:rFonts w:hint="eastAsia"/>
          <w:i/>
          <w:iCs/>
          <w:highlight w:val="none"/>
          <w:lang w:val="en-US" w:eastAsia="zh-CN"/>
        </w:rPr>
        <w:t>h</w:t>
      </w:r>
      <w:r>
        <w:rPr>
          <w:rFonts w:hint="eastAsia"/>
          <w:highlight w:val="none"/>
          <w:vertAlign w:val="subscript"/>
          <w:lang w:val="en-US" w:eastAsia="zh-CN"/>
        </w:rPr>
        <w:t>3</w:t>
      </w:r>
      <w:r>
        <w:rPr>
          <w:rFonts w:hint="default"/>
          <w:highlight w:val="none"/>
          <w:lang w:val="en-US" w:eastAsia="zh-CN"/>
        </w:rPr>
        <w:t>——预制底板</w:t>
      </w:r>
      <w:r>
        <w:rPr>
          <w:rFonts w:hint="eastAsia"/>
          <w:highlight w:val="none"/>
          <w:lang w:val="en-US" w:eastAsia="zh-CN"/>
        </w:rPr>
        <w:t>边肋的高度</w:t>
      </w:r>
      <w:r>
        <w:rPr>
          <w:rFonts w:hint="default"/>
          <w:highlight w:val="none"/>
          <w:lang w:val="en-US" w:eastAsia="zh-CN"/>
        </w:rPr>
        <w:t>；</w:t>
      </w:r>
    </w:p>
    <w:p>
      <w:pPr>
        <w:pStyle w:val="21"/>
        <w:bidi w:val="0"/>
        <w:rPr>
          <w:rFonts w:hint="eastAsia"/>
          <w:highlight w:val="none"/>
          <w:lang w:val="en-US" w:eastAsia="zh-CN"/>
        </w:rPr>
      </w:pPr>
      <w:r>
        <w:rPr>
          <w:rFonts w:hint="eastAsia"/>
          <w:i/>
          <w:iCs/>
          <w:highlight w:val="none"/>
          <w:lang w:val="en-US" w:eastAsia="zh-CN"/>
        </w:rPr>
        <w:t>b</w:t>
      </w:r>
      <w:r>
        <w:rPr>
          <w:rFonts w:hint="default"/>
          <w:highlight w:val="none"/>
          <w:lang w:val="en-US" w:eastAsia="zh-CN"/>
        </w:rPr>
        <w:t>——I</w:t>
      </w:r>
      <w:r>
        <w:rPr>
          <w:rFonts w:hint="eastAsia"/>
          <w:highlight w:val="none"/>
          <w:lang w:val="en-US" w:eastAsia="zh-CN"/>
        </w:rPr>
        <w:t>形截面计算宽度（取相邻箱型填充体之间的中心距）；</w:t>
      </w:r>
    </w:p>
    <w:p>
      <w:pPr>
        <w:pStyle w:val="21"/>
        <w:bidi w:val="0"/>
        <w:rPr>
          <w:rFonts w:hint="eastAsia"/>
          <w:highlight w:val="none"/>
          <w:lang w:val="en-US" w:eastAsia="zh-CN"/>
        </w:rPr>
      </w:pPr>
      <w:r>
        <w:rPr>
          <w:rFonts w:hint="eastAsia"/>
          <w:i/>
          <w:iCs/>
          <w:highlight w:val="none"/>
          <w:lang w:val="en-US" w:eastAsia="zh-CN"/>
        </w:rPr>
        <w:t>b</w:t>
      </w:r>
      <w:r>
        <w:rPr>
          <w:rFonts w:hint="eastAsia"/>
          <w:i/>
          <w:iCs/>
          <w:highlight w:val="none"/>
          <w:vertAlign w:val="subscript"/>
          <w:lang w:val="en-US" w:eastAsia="zh-CN"/>
        </w:rPr>
        <w:t>w</w:t>
      </w:r>
      <w:r>
        <w:rPr>
          <w:rFonts w:hint="default"/>
          <w:highlight w:val="none"/>
          <w:lang w:val="en-US" w:eastAsia="zh-CN"/>
        </w:rPr>
        <w:t>——</w:t>
      </w:r>
      <w:r>
        <w:rPr>
          <w:rFonts w:hint="eastAsia"/>
          <w:highlight w:val="none"/>
          <w:lang w:val="en-US" w:eastAsia="zh-CN"/>
        </w:rPr>
        <w:t>肋梁宽度；</w:t>
      </w:r>
    </w:p>
    <w:p>
      <w:pPr>
        <w:pStyle w:val="21"/>
        <w:bidi w:val="0"/>
        <w:rPr>
          <w:rFonts w:hint="default"/>
          <w:highlight w:val="none"/>
          <w:lang w:val="en-US" w:eastAsia="zh-CN"/>
        </w:rPr>
      </w:pPr>
      <w:r>
        <w:rPr>
          <w:rFonts w:hint="eastAsia"/>
          <w:i/>
          <w:iCs/>
          <w:highlight w:val="none"/>
          <w:lang w:val="en-US" w:eastAsia="zh-CN"/>
        </w:rPr>
        <w:t>h‘f</w:t>
      </w:r>
      <w:r>
        <w:rPr>
          <w:rFonts w:hint="default"/>
          <w:highlight w:val="none"/>
          <w:lang w:val="en-US" w:eastAsia="zh-CN"/>
        </w:rPr>
        <w:t>——</w:t>
      </w:r>
      <w:r>
        <w:rPr>
          <w:rFonts w:hint="eastAsia"/>
          <w:highlight w:val="none"/>
          <w:lang w:val="en-US" w:eastAsia="zh-CN"/>
        </w:rPr>
        <w:t>上翼缘板的厚度</w:t>
      </w:r>
      <w:r>
        <w:rPr>
          <w:rFonts w:hint="default"/>
          <w:highlight w:val="none"/>
          <w:lang w:val="en-US" w:eastAsia="zh-CN"/>
        </w:rPr>
        <w:t>；</w:t>
      </w:r>
    </w:p>
    <w:p>
      <w:pPr>
        <w:pStyle w:val="21"/>
        <w:bidi w:val="0"/>
        <w:rPr>
          <w:rFonts w:hint="default"/>
          <w:highlight w:val="none"/>
          <w:lang w:val="en-US" w:eastAsia="zh-CN"/>
        </w:rPr>
      </w:pPr>
      <w:r>
        <w:rPr>
          <w:rFonts w:hint="eastAsia"/>
          <w:i/>
          <w:iCs/>
          <w:highlight w:val="none"/>
          <w:lang w:val="en-US" w:eastAsia="zh-CN"/>
        </w:rPr>
        <w:t>hf</w:t>
      </w:r>
      <w:r>
        <w:rPr>
          <w:rFonts w:hint="default"/>
          <w:highlight w:val="none"/>
          <w:lang w:val="en-US" w:eastAsia="zh-CN"/>
        </w:rPr>
        <w:t>——</w:t>
      </w:r>
      <w:r>
        <w:rPr>
          <w:rFonts w:hint="eastAsia"/>
          <w:highlight w:val="none"/>
          <w:lang w:val="en-US" w:eastAsia="zh-CN"/>
        </w:rPr>
        <w:t>下翼缘板的厚度，非边肋处的下翼缘板厚度</w:t>
      </w:r>
      <w:r>
        <w:rPr>
          <w:rFonts w:hint="default"/>
          <w:highlight w:val="none"/>
          <w:lang w:val="en-US" w:eastAsia="zh-CN"/>
        </w:rPr>
        <w:t>；</w:t>
      </w:r>
    </w:p>
    <w:p>
      <w:pPr>
        <w:pStyle w:val="21"/>
        <w:bidi w:val="0"/>
        <w:rPr>
          <w:rFonts w:hint="default"/>
          <w:highlight w:val="none"/>
          <w:lang w:val="en-US" w:eastAsia="zh-CN"/>
        </w:rPr>
      </w:pPr>
      <w:r>
        <w:rPr>
          <w:rFonts w:hint="default"/>
          <w:i/>
          <w:iCs/>
          <w:highlight w:val="none"/>
          <w:lang w:val="en-US" w:eastAsia="zh-CN"/>
        </w:rPr>
        <w:t>h</w:t>
      </w:r>
      <w:r>
        <w:rPr>
          <w:rFonts w:hint="default"/>
          <w:highlight w:val="none"/>
          <w:vertAlign w:val="subscript"/>
          <w:lang w:val="en-US" w:eastAsia="zh-CN"/>
        </w:rPr>
        <w:t>0</w:t>
      </w:r>
      <w:r>
        <w:rPr>
          <w:rFonts w:hint="default"/>
          <w:highlight w:val="none"/>
          <w:lang w:val="en-US" w:eastAsia="zh-CN"/>
        </w:rPr>
        <w:t>——</w:t>
      </w:r>
      <w:r>
        <w:rPr>
          <w:rFonts w:hint="eastAsia"/>
          <w:highlight w:val="none"/>
          <w:lang w:val="en-US" w:eastAsia="zh-CN"/>
        </w:rPr>
        <w:t>空心</w:t>
      </w:r>
      <w:r>
        <w:rPr>
          <w:rFonts w:hint="default"/>
          <w:highlight w:val="none"/>
          <w:lang w:val="en-US" w:eastAsia="zh-CN"/>
        </w:rPr>
        <w:t>叠合板有效高度；</w:t>
      </w:r>
    </w:p>
    <w:p>
      <w:pPr>
        <w:pStyle w:val="21"/>
        <w:bidi w:val="0"/>
        <w:rPr>
          <w:rFonts w:hint="eastAsia"/>
          <w:sz w:val="21"/>
          <w:szCs w:val="21"/>
          <w:highlight w:val="none"/>
          <w:lang w:val="en-US" w:eastAsia="zh-CN"/>
        </w:rPr>
      </w:pPr>
      <w:r>
        <w:rPr>
          <w:rFonts w:hint="eastAsia"/>
          <w:i/>
          <w:iCs/>
          <w:sz w:val="21"/>
          <w:szCs w:val="21"/>
          <w:highlight w:val="none"/>
          <w:lang w:val="en-US" w:eastAsia="zh-CN"/>
        </w:rPr>
        <w:t>l</w:t>
      </w:r>
      <w:r>
        <w:rPr>
          <w:rFonts w:hint="default"/>
          <w:i/>
          <w:iCs/>
          <w:sz w:val="21"/>
          <w:szCs w:val="21"/>
          <w:highlight w:val="none"/>
          <w:vertAlign w:val="subscript"/>
          <w:lang w:val="en-US" w:eastAsia="zh-CN"/>
        </w:rPr>
        <w:t>o</w:t>
      </w:r>
      <w:r>
        <w:rPr>
          <w:rFonts w:hint="default"/>
          <w:highlight w:val="none"/>
          <w:lang w:val="en-US" w:eastAsia="zh-CN"/>
        </w:rPr>
        <w:t>——</w:t>
      </w:r>
      <w:r>
        <w:rPr>
          <w:rFonts w:hint="default"/>
          <w:sz w:val="21"/>
          <w:szCs w:val="21"/>
          <w:highlight w:val="none"/>
          <w:lang w:val="en-US" w:eastAsia="zh-CN"/>
        </w:rPr>
        <w:t>楼盖的计算跨度</w:t>
      </w:r>
      <w:r>
        <w:rPr>
          <w:rFonts w:hint="eastAsia"/>
          <w:sz w:val="21"/>
          <w:szCs w:val="21"/>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textAlignment w:val="auto"/>
        <w:rPr>
          <w:rFonts w:hint="default"/>
          <w:i w:val="0"/>
          <w:iCs w:val="0"/>
          <w:highlight w:val="none"/>
          <w:lang w:val="en-US" w:eastAsia="zh-CN"/>
        </w:rPr>
      </w:pPr>
      <w:r>
        <w:rPr>
          <w:rFonts w:hint="default"/>
          <w:i/>
          <w:iCs/>
          <w:highlight w:val="none"/>
          <w:lang w:val="en-US" w:eastAsia="zh-CN"/>
        </w:rPr>
        <w:t>A</w:t>
      </w:r>
      <w:r>
        <w:rPr>
          <w:rFonts w:hint="default"/>
          <w:i w:val="0"/>
          <w:iCs w:val="0"/>
          <w:highlight w:val="none"/>
          <w:vertAlign w:val="subscript"/>
          <w:lang w:val="en-US" w:eastAsia="zh-CN"/>
        </w:rPr>
        <w:t>c</w:t>
      </w:r>
      <w:r>
        <w:rPr>
          <w:rFonts w:hint="eastAsia"/>
          <w:i w:val="0"/>
          <w:iCs w:val="0"/>
          <w:highlight w:val="none"/>
          <w:vertAlign w:val="subscript"/>
          <w:lang w:val="en-US" w:eastAsia="zh-CN"/>
        </w:rPr>
        <w:t>1</w:t>
      </w:r>
      <w:r>
        <w:rPr>
          <w:rFonts w:hint="default"/>
          <w:i w:val="0"/>
          <w:iCs w:val="0"/>
          <w:highlight w:val="none"/>
          <w:lang w:val="en-US" w:eastAsia="zh-CN"/>
        </w:rPr>
        <w:t>——</w:t>
      </w:r>
      <w:r>
        <w:rPr>
          <w:rFonts w:hint="eastAsia"/>
          <w:i w:val="0"/>
          <w:iCs w:val="0"/>
          <w:highlight w:val="none"/>
          <w:lang w:val="en-US" w:eastAsia="zh-CN"/>
        </w:rPr>
        <w:t>叠合肋梁叠合层</w:t>
      </w:r>
      <w:r>
        <w:rPr>
          <w:rFonts w:hint="default"/>
          <w:i w:val="0"/>
          <w:iCs w:val="0"/>
          <w:highlight w:val="none"/>
          <w:lang w:val="en-US" w:eastAsia="zh-CN"/>
        </w:rPr>
        <w:t>后浇混凝土截面面积；</w:t>
      </w:r>
    </w:p>
    <w:p>
      <w:pPr>
        <w:pStyle w:val="21"/>
        <w:keepNext w:val="0"/>
        <w:keepLines w:val="0"/>
        <w:pageBreakBefore w:val="0"/>
        <w:widowControl w:val="0"/>
        <w:kinsoku/>
        <w:wordWrap/>
        <w:overflowPunct/>
        <w:topLinePunct w:val="0"/>
        <w:autoSpaceDE/>
        <w:autoSpaceDN/>
        <w:bidi w:val="0"/>
        <w:adjustRightInd/>
        <w:snapToGrid/>
        <w:textAlignment w:val="auto"/>
        <w:rPr>
          <w:rFonts w:hint="default"/>
          <w:i w:val="0"/>
          <w:iCs w:val="0"/>
          <w:highlight w:val="none"/>
          <w:lang w:val="en-US" w:eastAsia="zh-CN"/>
        </w:rPr>
      </w:pPr>
      <w:r>
        <w:rPr>
          <w:rFonts w:hint="default"/>
          <w:i/>
          <w:iCs/>
          <w:highlight w:val="none"/>
          <w:lang w:val="en-US" w:eastAsia="zh-CN"/>
        </w:rPr>
        <w:t>A</w:t>
      </w:r>
      <w:r>
        <w:rPr>
          <w:rFonts w:hint="eastAsia"/>
          <w:i/>
          <w:iCs/>
          <w:highlight w:val="none"/>
          <w:vertAlign w:val="subscript"/>
          <w:lang w:val="en-US" w:eastAsia="zh-CN"/>
        </w:rPr>
        <w:t>k</w:t>
      </w:r>
      <w:r>
        <w:rPr>
          <w:rFonts w:hint="default"/>
          <w:i w:val="0"/>
          <w:iCs w:val="0"/>
          <w:highlight w:val="none"/>
          <w:lang w:val="en-US" w:eastAsia="zh-CN"/>
        </w:rPr>
        <w:t>——</w:t>
      </w:r>
      <w:r>
        <w:rPr>
          <w:rFonts w:hint="eastAsia"/>
          <w:i w:val="0"/>
          <w:iCs w:val="0"/>
          <w:highlight w:val="none"/>
          <w:lang w:val="en-US" w:eastAsia="zh-CN"/>
        </w:rPr>
        <w:t>叠合肋梁</w:t>
      </w:r>
      <w:r>
        <w:rPr>
          <w:rFonts w:hint="default"/>
          <w:i w:val="0"/>
          <w:iCs w:val="0"/>
          <w:highlight w:val="none"/>
          <w:lang w:val="en-US" w:eastAsia="zh-CN"/>
        </w:rPr>
        <w:t>键槽根部截面面积之和；</w:t>
      </w:r>
    </w:p>
    <w:p>
      <w:pPr>
        <w:pStyle w:val="21"/>
        <w:bidi w:val="0"/>
        <w:rPr>
          <w:rFonts w:hint="eastAsia"/>
          <w:sz w:val="21"/>
          <w:szCs w:val="21"/>
          <w:highlight w:val="none"/>
          <w:lang w:val="en-US" w:eastAsia="zh-CN"/>
        </w:rPr>
      </w:pPr>
      <w:r>
        <w:rPr>
          <w:rFonts w:hint="default"/>
          <w:i/>
          <w:iCs/>
          <w:highlight w:val="none"/>
          <w:lang w:val="en-US" w:eastAsia="zh-CN"/>
        </w:rPr>
        <w:t>A</w:t>
      </w:r>
      <w:r>
        <w:rPr>
          <w:rFonts w:hint="default"/>
          <w:i w:val="0"/>
          <w:iCs w:val="0"/>
          <w:highlight w:val="none"/>
          <w:vertAlign w:val="subscript"/>
          <w:lang w:val="en-US" w:eastAsia="zh-CN"/>
        </w:rPr>
        <w:t>sd</w:t>
      </w:r>
      <w:r>
        <w:rPr>
          <w:rFonts w:hint="default"/>
          <w:i w:val="0"/>
          <w:iCs w:val="0"/>
          <w:highlight w:val="none"/>
          <w:lang w:val="en-US" w:eastAsia="zh-CN"/>
        </w:rPr>
        <w:t>——垂直穿过</w:t>
      </w:r>
      <w:r>
        <w:rPr>
          <w:rFonts w:hint="eastAsia"/>
          <w:i w:val="0"/>
          <w:iCs w:val="0"/>
          <w:highlight w:val="none"/>
          <w:lang w:val="en-US" w:eastAsia="zh-CN"/>
        </w:rPr>
        <w:t>叠合肋梁端部竖向结合面</w:t>
      </w:r>
      <w:r>
        <w:rPr>
          <w:rFonts w:hint="default"/>
          <w:i w:val="0"/>
          <w:iCs w:val="0"/>
          <w:highlight w:val="none"/>
          <w:lang w:val="en-US" w:eastAsia="zh-CN"/>
        </w:rPr>
        <w:t>的所有钢筋面积</w:t>
      </w:r>
      <w:r>
        <w:rPr>
          <w:rFonts w:hint="eastAsia"/>
          <w:i w:val="0"/>
          <w:iCs w:val="0"/>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default"/>
          <w:i/>
          <w:iCs/>
          <w:highlight w:val="none"/>
          <w:lang w:val="en-US" w:eastAsia="zh-CN"/>
        </w:rPr>
        <w:t>W</w:t>
      </w:r>
      <w:r>
        <w:rPr>
          <w:rFonts w:hint="default"/>
          <w:highlight w:val="none"/>
          <w:vertAlign w:val="subscript"/>
          <w:lang w:val="en-US" w:eastAsia="zh-CN"/>
        </w:rPr>
        <w:t>cc</w:t>
      </w:r>
      <w:r>
        <w:rPr>
          <w:rFonts w:hint="default"/>
          <w:highlight w:val="none"/>
          <w:lang w:val="en-US" w:eastAsia="zh-CN"/>
        </w:rPr>
        <w:t>——截面混凝土受压边缘弹性抵抗矩；</w:t>
      </w:r>
    </w:p>
    <w:p>
      <w:pPr>
        <w:pStyle w:val="21"/>
        <w:keepNext w:val="0"/>
        <w:keepLines w:val="0"/>
        <w:pageBreakBefore w:val="0"/>
        <w:widowControl w:val="0"/>
        <w:kinsoku/>
        <w:wordWrap/>
        <w:overflowPunct/>
        <w:topLinePunct w:val="0"/>
        <w:autoSpaceDE/>
        <w:autoSpaceDN/>
        <w:bidi w:val="0"/>
        <w:adjustRightInd/>
        <w:snapToGrid/>
        <w:textAlignment w:val="auto"/>
        <w:rPr>
          <w:rFonts w:hint="default"/>
          <w:i w:val="0"/>
          <w:iCs w:val="0"/>
          <w:highlight w:val="none"/>
          <w:lang w:val="en-US" w:eastAsia="zh-CN"/>
        </w:rPr>
      </w:pPr>
      <w:r>
        <w:rPr>
          <w:rFonts w:hint="default"/>
          <w:i/>
          <w:iCs/>
          <w:highlight w:val="none"/>
          <w:lang w:val="en-US" w:eastAsia="zh-CN"/>
        </w:rPr>
        <w:t>W</w:t>
      </w:r>
      <w:r>
        <w:rPr>
          <w:rFonts w:hint="default"/>
          <w:i w:val="0"/>
          <w:iCs w:val="0"/>
          <w:highlight w:val="none"/>
          <w:vertAlign w:val="subscript"/>
          <w:lang w:val="en-US" w:eastAsia="zh-CN"/>
        </w:rPr>
        <w:t>ct</w:t>
      </w:r>
      <w:r>
        <w:rPr>
          <w:rFonts w:hint="default"/>
          <w:i w:val="0"/>
          <w:iCs w:val="0"/>
          <w:highlight w:val="none"/>
          <w:lang w:val="en-US" w:eastAsia="zh-CN"/>
        </w:rPr>
        <w:t>——截面混凝土受拉边缘弹性抵抗矩；</w:t>
      </w:r>
    </w:p>
    <w:p>
      <w:pPr>
        <w:pStyle w:val="20"/>
        <w:spacing w:line="360" w:lineRule="auto"/>
        <w:ind w:firstLine="480" w:firstLineChars="200"/>
        <w:rPr>
          <w:rFonts w:hint="eastAsia"/>
          <w:highlight w:val="none"/>
          <w:lang w:val="en-US" w:eastAsia="zh-CN"/>
        </w:rPr>
      </w:pPr>
      <w:r>
        <w:rPr>
          <w:rFonts w:hint="eastAsia"/>
          <w:highlight w:val="none"/>
          <w:lang w:val="en-US" w:eastAsia="zh-CN"/>
        </w:rPr>
        <w:t>I——空心叠合板截面惯性矩；</w:t>
      </w:r>
    </w:p>
    <w:p>
      <w:pPr>
        <w:pStyle w:val="21"/>
        <w:bidi w:val="0"/>
        <w:rPr>
          <w:rFonts w:hint="eastAsia"/>
          <w:sz w:val="21"/>
          <w:szCs w:val="21"/>
          <w:highlight w:val="none"/>
          <w:lang w:val="en-US" w:eastAsia="zh-CN"/>
        </w:rPr>
      </w:pPr>
      <w:r>
        <w:rPr>
          <w:rFonts w:hint="eastAsia"/>
          <w:highlight w:val="none"/>
          <w:lang w:val="en-US" w:eastAsia="zh-CN"/>
        </w:rPr>
        <w:t>I</w:t>
      </w:r>
      <w:r>
        <w:rPr>
          <w:rFonts w:hint="eastAsia"/>
          <w:highlight w:val="none"/>
          <w:vertAlign w:val="subscript"/>
          <w:lang w:val="en-US" w:eastAsia="zh-CN"/>
        </w:rPr>
        <w:t>0</w:t>
      </w:r>
      <w:r>
        <w:rPr>
          <w:rFonts w:hint="eastAsia"/>
          <w:highlight w:val="none"/>
          <w:lang w:val="en-US" w:eastAsia="zh-CN"/>
        </w:rPr>
        <w:t>——相同厚度实心楼板的截面惯性矩；</w:t>
      </w:r>
    </w:p>
    <w:p>
      <w:pPr>
        <w:pStyle w:val="20"/>
        <w:spacing w:line="360" w:lineRule="auto"/>
        <w:ind w:firstLine="480" w:firstLineChars="200"/>
        <w:rPr>
          <w:rFonts w:hint="eastAsia"/>
          <w:highlight w:val="none"/>
          <w:lang w:val="en-US" w:eastAsia="zh-CN"/>
        </w:rPr>
      </w:pPr>
      <w:r>
        <w:rPr>
          <w:rFonts w:hint="eastAsia"/>
          <w:highlight w:val="none"/>
          <w:lang w:val="en-US" w:eastAsia="zh-CN"/>
        </w:rPr>
        <w:t>As</w:t>
      </w:r>
      <w:r>
        <w:rPr>
          <w:rFonts w:hint="default"/>
          <w:i w:val="0"/>
          <w:iCs w:val="0"/>
          <w:highlight w:val="none"/>
          <w:lang w:val="en-US" w:eastAsia="zh-CN"/>
        </w:rPr>
        <w:t>——</w:t>
      </w:r>
      <w:r>
        <w:rPr>
          <w:rFonts w:hint="eastAsia"/>
          <w:highlight w:val="none"/>
          <w:lang w:val="en-US" w:eastAsia="zh-CN"/>
        </w:rPr>
        <w:t>空心叠合板底部纵筋面积之和或者顶部纵筋面积之和；</w:t>
      </w:r>
    </w:p>
    <w:p>
      <w:pPr>
        <w:pStyle w:val="20"/>
        <w:spacing w:line="360" w:lineRule="auto"/>
        <w:ind w:firstLine="480" w:firstLineChars="200"/>
        <w:rPr>
          <w:rFonts w:hint="eastAsia"/>
          <w:highlight w:val="none"/>
          <w:lang w:val="en-US" w:eastAsia="zh-CN"/>
        </w:rPr>
      </w:pPr>
      <w:r>
        <w:rPr>
          <w:rFonts w:hint="eastAsia"/>
          <w:highlight w:val="none"/>
          <w:lang w:val="en-US" w:eastAsia="zh-CN"/>
        </w:rPr>
        <w:t>A</w:t>
      </w:r>
      <w:r>
        <w:rPr>
          <w:rFonts w:hint="eastAsia"/>
          <w:highlight w:val="none"/>
          <w:vertAlign w:val="subscript"/>
          <w:lang w:val="en-US" w:eastAsia="zh-CN"/>
        </w:rPr>
        <w:t>0</w:t>
      </w:r>
      <w:r>
        <w:rPr>
          <w:rFonts w:hint="default"/>
          <w:i w:val="0"/>
          <w:iCs w:val="0"/>
          <w:highlight w:val="none"/>
          <w:lang w:val="en-US" w:eastAsia="zh-CN"/>
        </w:rPr>
        <w:t>——</w:t>
      </w:r>
      <w:r>
        <w:rPr>
          <w:rFonts w:hint="eastAsia"/>
          <w:highlight w:val="none"/>
          <w:lang w:val="en-US" w:eastAsia="zh-CN"/>
        </w:rPr>
        <w:t>相同厚度实心楼板的截面面积；</w:t>
      </w:r>
    </w:p>
    <w:p>
      <w:pPr>
        <w:pStyle w:val="21"/>
        <w:bidi w:val="0"/>
        <w:rPr>
          <w:rFonts w:hint="default"/>
          <w:highlight w:val="none"/>
          <w:lang w:val="en-US" w:eastAsia="zh-CN"/>
        </w:rPr>
      </w:pPr>
      <w:r>
        <w:rPr>
          <w:rFonts w:hint="default"/>
          <w:i/>
          <w:iCs/>
          <w:highlight w:val="none"/>
          <w:lang w:val="en-US" w:eastAsia="zh-CN"/>
        </w:rPr>
        <w:t>l</w:t>
      </w:r>
      <w:r>
        <w:rPr>
          <w:rFonts w:hint="default"/>
          <w:highlight w:val="none"/>
          <w:vertAlign w:val="subscript"/>
          <w:lang w:val="en-US" w:eastAsia="zh-CN"/>
        </w:rPr>
        <w:t>a</w:t>
      </w:r>
      <w:r>
        <w:rPr>
          <w:rFonts w:hint="default"/>
          <w:highlight w:val="none"/>
          <w:lang w:val="en-US" w:eastAsia="zh-CN"/>
        </w:rPr>
        <w:t>——纵向受拉钢筋的锚固长度；</w:t>
      </w:r>
    </w:p>
    <w:p>
      <w:pPr>
        <w:pStyle w:val="21"/>
        <w:bidi w:val="0"/>
        <w:rPr>
          <w:rFonts w:hint="default"/>
          <w:highlight w:val="none"/>
          <w:lang w:val="en-US" w:eastAsia="zh-CN"/>
        </w:rPr>
      </w:pPr>
      <w:r>
        <w:rPr>
          <w:rFonts w:hint="default"/>
          <w:i/>
          <w:iCs/>
          <w:highlight w:val="none"/>
          <w:lang w:val="en-US" w:eastAsia="zh-CN"/>
        </w:rPr>
        <w:t>l</w:t>
      </w:r>
      <w:r>
        <w:rPr>
          <w:rFonts w:hint="default"/>
          <w:highlight w:val="none"/>
          <w:vertAlign w:val="subscript"/>
          <w:lang w:val="en-US" w:eastAsia="zh-CN"/>
        </w:rPr>
        <w:t>ab</w:t>
      </w:r>
      <w:r>
        <w:rPr>
          <w:rFonts w:hint="default"/>
          <w:highlight w:val="none"/>
          <w:lang w:val="en-US" w:eastAsia="zh-CN"/>
        </w:rPr>
        <w:t>——纵向受拉钢筋的基本锚固长度</w:t>
      </w:r>
      <w:r>
        <w:rPr>
          <w:rFonts w:hint="eastAsia"/>
          <w:highlight w:val="none"/>
          <w:lang w:val="en-US" w:eastAsia="zh-CN"/>
        </w:rPr>
        <w:t>。</w:t>
      </w:r>
    </w:p>
    <w:p>
      <w:pPr>
        <w:numPr>
          <w:ilvl w:val="2"/>
          <w:numId w:val="1"/>
        </w:numPr>
        <w:bidi w:val="0"/>
        <w:rPr>
          <w:rFonts w:hint="default"/>
          <w:highlight w:val="none"/>
          <w:lang w:val="en-US" w:eastAsia="zh-CN"/>
        </w:rPr>
      </w:pPr>
      <w:r>
        <w:rPr>
          <w:rFonts w:hint="eastAsia"/>
          <w:highlight w:val="none"/>
          <w:lang w:val="en-US" w:eastAsia="zh-CN"/>
        </w:rPr>
        <w:t>计算系数及其他</w:t>
      </w:r>
    </w:p>
    <w:p>
      <w:pPr>
        <w:keepNext w:val="0"/>
        <w:keepLines w:val="0"/>
        <w:widowControl/>
        <w:suppressLineNumbers w:val="0"/>
        <w:spacing w:line="360" w:lineRule="auto"/>
        <w:ind w:left="1680" w:leftChars="200" w:hanging="1200" w:hangingChars="500"/>
        <w:jc w:val="left"/>
        <w:rPr>
          <w:rFonts w:hint="eastAsia"/>
          <w:lang w:val="en-US" w:eastAsia="zh-CN"/>
        </w:rPr>
      </w:pPr>
      <w:r>
        <w:rPr>
          <w:rFonts w:hint="eastAsia" w:ascii="微软雅黑" w:hAnsi="微软雅黑" w:eastAsia="微软雅黑" w:cs="微软雅黑"/>
          <w:highlight w:val="none"/>
          <w:lang w:val="en-US" w:eastAsia="zh-CN"/>
        </w:rPr>
        <w:t>ρ</w:t>
      </w:r>
      <w:r>
        <w:rPr>
          <w:rFonts w:hint="eastAsia"/>
          <w:highlight w:val="none"/>
          <w:vertAlign w:val="subscript"/>
          <w:lang w:val="en-US" w:eastAsia="zh-CN"/>
        </w:rPr>
        <w:t>min</w:t>
      </w:r>
      <w:r>
        <w:rPr>
          <w:rFonts w:hint="eastAsia"/>
          <w:lang w:val="en-US" w:eastAsia="zh-CN"/>
        </w:rPr>
        <w:t>——空心叠合板最小配筋率。</w:t>
      </w:r>
    </w:p>
    <w:p>
      <w:pPr>
        <w:pStyle w:val="21"/>
        <w:bidi w:val="0"/>
        <w:rPr>
          <w:rFonts w:hint="default"/>
          <w:highlight w:val="yellow"/>
          <w:lang w:val="en-US" w:eastAsia="zh-CN"/>
        </w:rPr>
      </w:pPr>
    </w:p>
    <w:p>
      <w:pPr>
        <w:pStyle w:val="21"/>
        <w:bidi w:val="0"/>
        <w:rPr>
          <w:rFonts w:hint="default"/>
          <w:highlight w:val="yellow"/>
          <w:lang w:val="en-US" w:eastAsia="zh-CN"/>
        </w:rPr>
      </w:pPr>
    </w:p>
    <w:p>
      <w:pPr>
        <w:rPr>
          <w:rFonts w:hint="default"/>
          <w:lang w:val="en-US" w:eastAsia="zh-CN"/>
        </w:rPr>
      </w:pPr>
      <w:r>
        <w:rPr>
          <w:rFonts w:hint="default"/>
          <w:lang w:val="en-US" w:eastAsia="zh-CN"/>
        </w:rPr>
        <w:br w:type="page"/>
      </w:r>
    </w:p>
    <w:p>
      <w:pPr>
        <w:pStyle w:val="3"/>
        <w:bidi w:val="0"/>
        <w:ind w:left="0" w:leftChars="0" w:firstLine="0" w:firstLineChars="0"/>
        <w:outlineLvl w:val="0"/>
        <w:rPr>
          <w:rFonts w:hint="default"/>
          <w:lang w:val="en-US" w:eastAsia="zh-CN"/>
        </w:rPr>
      </w:pPr>
      <w:bookmarkStart w:id="19" w:name="_Toc18393"/>
      <w:r>
        <w:rPr>
          <w:rFonts w:hint="default"/>
          <w:lang w:val="en-US" w:eastAsia="zh-CN"/>
        </w:rPr>
        <w:t>基本规定</w:t>
      </w:r>
      <w:bookmarkEnd w:id="19"/>
    </w:p>
    <w:p>
      <w:pPr>
        <w:pStyle w:val="4"/>
        <w:bidi w:val="0"/>
        <w:ind w:left="0" w:leftChars="0" w:firstLine="0" w:firstLineChars="0"/>
        <w:outlineLvl w:val="1"/>
        <w:rPr>
          <w:rFonts w:hint="default"/>
          <w:lang w:val="en-US" w:eastAsia="zh-CN"/>
        </w:rPr>
      </w:pPr>
      <w:bookmarkStart w:id="20" w:name="_Toc10271"/>
      <w:r>
        <w:rPr>
          <w:rFonts w:hint="default"/>
          <w:lang w:val="en-US" w:eastAsia="zh-CN"/>
        </w:rPr>
        <w:t>空心叠合楼盖</w:t>
      </w:r>
      <w:bookmarkEnd w:id="20"/>
    </w:p>
    <w:p>
      <w:pPr>
        <w:numPr>
          <w:ilvl w:val="2"/>
          <w:numId w:val="1"/>
        </w:numPr>
        <w:bidi w:val="0"/>
        <w:rPr>
          <w:rFonts w:hint="default"/>
          <w:lang w:val="en-US" w:eastAsia="zh-CN"/>
        </w:rPr>
      </w:pPr>
      <w:r>
        <w:rPr>
          <w:rFonts w:hint="default"/>
          <w:lang w:val="en-US" w:eastAsia="zh-CN"/>
        </w:rPr>
        <w:t>空心叠合楼盖的结构布置应受力明确、传力合理。</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3.1.1</w:t>
      </w:r>
      <w:r>
        <w:rPr>
          <w:rFonts w:hint="eastAsia"/>
          <w:u w:val="single"/>
          <w:lang w:val="en-US" w:eastAsia="zh-CN"/>
        </w:rPr>
        <w:t xml:space="preserve"> 采用正交两个方向布置箱型填充体的空心叠合楼盖，双向正交同性，结合必要的整体性接缝和支座构造措施，再加上可行的结构体系，应做到受力明确、传力合理。</w:t>
      </w:r>
    </w:p>
    <w:p>
      <w:pPr>
        <w:numPr>
          <w:ilvl w:val="2"/>
          <w:numId w:val="1"/>
        </w:numPr>
        <w:bidi w:val="0"/>
        <w:rPr>
          <w:rFonts w:hint="default"/>
          <w:highlight w:val="none"/>
          <w:lang w:val="en-US" w:eastAsia="zh-CN"/>
        </w:rPr>
      </w:pPr>
      <w:r>
        <w:rPr>
          <w:rFonts w:hint="default"/>
          <w:highlight w:val="none"/>
          <w:lang w:val="en-US" w:eastAsia="zh-CN"/>
        </w:rPr>
        <w:t>直接承受较大集中静力荷载的楼板区域，不宜布置</w:t>
      </w:r>
      <w:r>
        <w:rPr>
          <w:rFonts w:hint="eastAsia"/>
          <w:highlight w:val="none"/>
          <w:lang w:val="en-US" w:eastAsia="zh-CN"/>
        </w:rPr>
        <w:t>箱型</w:t>
      </w:r>
      <w:r>
        <w:rPr>
          <w:rFonts w:hint="default"/>
          <w:highlight w:val="none"/>
          <w:lang w:val="en-US" w:eastAsia="zh-CN"/>
        </w:rPr>
        <w:t>填充体；直接承受较大集中动力荷载的楼板区格，不应采用空心</w:t>
      </w:r>
      <w:r>
        <w:rPr>
          <w:rFonts w:hint="eastAsia"/>
          <w:highlight w:val="none"/>
          <w:lang w:val="en-US" w:eastAsia="zh-CN"/>
        </w:rPr>
        <w:t>叠合</w:t>
      </w:r>
      <w:r>
        <w:rPr>
          <w:rFonts w:hint="default"/>
          <w:highlight w:val="none"/>
          <w:lang w:val="en-US" w:eastAsia="zh-CN"/>
        </w:rPr>
        <w:t>楼板。</w:t>
      </w:r>
    </w:p>
    <w:p>
      <w:pPr>
        <w:pStyle w:val="20"/>
        <w:spacing w:line="360" w:lineRule="auto"/>
        <w:rPr>
          <w:rFonts w:hint="eastAsia"/>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3.1.2</w:t>
      </w:r>
      <w:r>
        <w:rPr>
          <w:rFonts w:hint="eastAsia"/>
          <w:highlight w:val="none"/>
          <w:u w:val="single"/>
          <w:lang w:val="en-US" w:eastAsia="zh-CN"/>
        </w:rPr>
        <w:t xml:space="preserve"> 楼板的空心截面不利于承受较大的集中荷载。承受较大的集中静力荷载的部位，宜取消箱型填充体而局部采用实心楼板或采取有效的局部加强措施</w:t>
      </w:r>
      <w:r>
        <w:rPr>
          <w:rFonts w:hint="eastAsia"/>
          <w:u w:val="single"/>
          <w:lang w:val="en-US" w:eastAsia="zh-CN"/>
        </w:rPr>
        <w:t>。对于承受较大的集中动力荷载的部位(如较大机械设备等)的区格板，应采用实心楼板。</w:t>
      </w:r>
    </w:p>
    <w:p>
      <w:pPr>
        <w:numPr>
          <w:ilvl w:val="2"/>
          <w:numId w:val="1"/>
        </w:numPr>
        <w:bidi w:val="0"/>
        <w:rPr>
          <w:rFonts w:hint="default"/>
          <w:lang w:val="en-US" w:eastAsia="zh-CN"/>
        </w:rPr>
      </w:pPr>
      <w:r>
        <w:rPr>
          <w:rFonts w:hint="default"/>
          <w:lang w:val="en-US" w:eastAsia="zh-CN"/>
        </w:rPr>
        <w:t>空心叠合楼盖的</w:t>
      </w:r>
      <w:r>
        <w:rPr>
          <w:rFonts w:hint="eastAsia"/>
          <w:lang w:val="en-US" w:eastAsia="zh-CN"/>
        </w:rPr>
        <w:t>箱型</w:t>
      </w:r>
      <w:r>
        <w:rPr>
          <w:rFonts w:hint="default"/>
          <w:lang w:val="en-US" w:eastAsia="zh-CN"/>
        </w:rPr>
        <w:t>填充体宜按正交两个方向布置</w:t>
      </w:r>
      <w:r>
        <w:rPr>
          <w:rFonts w:hint="eastAsia"/>
          <w:lang w:val="en-US" w:eastAsia="zh-CN"/>
        </w:rPr>
        <w:t>，相邻区格的箱型填充体布置宜对齐。</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3.1.3</w:t>
      </w:r>
      <w:r>
        <w:rPr>
          <w:rFonts w:hint="eastAsia"/>
          <w:u w:val="single"/>
          <w:lang w:val="en-US" w:eastAsia="zh-CN"/>
        </w:rPr>
        <w:t xml:space="preserve"> 箱型填充体</w:t>
      </w:r>
      <w:r>
        <w:rPr>
          <w:rFonts w:hint="default"/>
          <w:u w:val="single"/>
          <w:lang w:val="en-US" w:eastAsia="zh-CN"/>
        </w:rPr>
        <w:t>按正交两个方向布置</w:t>
      </w:r>
      <w:r>
        <w:rPr>
          <w:rFonts w:hint="eastAsia"/>
          <w:u w:val="single"/>
          <w:lang w:val="en-US" w:eastAsia="zh-CN"/>
        </w:rPr>
        <w:t>，可以做到楼板双向正交同性，受力合理；相邻区格的箱型填充体对齐布置，形成的肋梁也自然对齐，便于在支座处传递、平衡负弯矩。</w:t>
      </w:r>
    </w:p>
    <w:p>
      <w:pPr>
        <w:numPr>
          <w:ilvl w:val="2"/>
          <w:numId w:val="1"/>
        </w:numPr>
        <w:bidi w:val="0"/>
        <w:rPr>
          <w:rFonts w:hint="default"/>
          <w:lang w:val="en-US" w:eastAsia="zh-CN"/>
        </w:rPr>
      </w:pPr>
      <w:r>
        <w:rPr>
          <w:rFonts w:hint="default"/>
          <w:lang w:val="en-US" w:eastAsia="zh-CN"/>
        </w:rPr>
        <w:t>结构转换层、</w:t>
      </w:r>
      <w:r>
        <w:rPr>
          <w:rFonts w:hint="eastAsia" w:ascii="宋体" w:hAnsi="宋体" w:eastAsia="宋体" w:cs="Times New Roman"/>
          <w:color w:val="000000"/>
          <w:kern w:val="0"/>
          <w:sz w:val="24"/>
          <w:szCs w:val="22"/>
          <w:lang w:val="en-US" w:eastAsia="zh-CN" w:bidi="ar-SA"/>
        </w:rPr>
        <w:t>竖向体型收进部位、</w:t>
      </w:r>
      <w:r>
        <w:rPr>
          <w:rFonts w:hint="default" w:ascii="宋体" w:hAnsi="宋体" w:eastAsia="宋体" w:cs="Times New Roman"/>
          <w:color w:val="000000"/>
          <w:kern w:val="0"/>
          <w:sz w:val="24"/>
          <w:szCs w:val="22"/>
          <w:lang w:val="en-US" w:eastAsia="zh-CN" w:bidi="ar-SA"/>
        </w:rPr>
        <w:t>平面凹凸不规则、楼板局部不连续、斜柱上下端周围局部楼盖等薄弱部位，以及作为上部结构嵌固部位的楼板采用空心叠合板时，应适当增加</w:t>
      </w:r>
      <w:r>
        <w:rPr>
          <w:rFonts w:hint="eastAsia" w:ascii="宋体" w:hAnsi="宋体" w:eastAsia="宋体" w:cs="Times New Roman"/>
          <w:color w:val="000000"/>
          <w:kern w:val="0"/>
          <w:sz w:val="24"/>
          <w:szCs w:val="22"/>
          <w:lang w:val="en-US" w:eastAsia="zh-CN" w:bidi="ar-SA"/>
        </w:rPr>
        <w:t>上</w:t>
      </w:r>
      <w:r>
        <w:rPr>
          <w:rFonts w:hint="eastAsia" w:ascii="宋体" w:hAnsi="宋体" w:cs="Times New Roman"/>
          <w:color w:val="000000"/>
          <w:kern w:val="0"/>
          <w:sz w:val="24"/>
          <w:szCs w:val="22"/>
          <w:lang w:val="en-US" w:eastAsia="zh-CN" w:bidi="ar-SA"/>
        </w:rPr>
        <w:t>、下</w:t>
      </w:r>
      <w:r>
        <w:rPr>
          <w:rFonts w:hint="eastAsia" w:ascii="宋体" w:hAnsi="宋体" w:eastAsia="宋体" w:cs="Times New Roman"/>
          <w:color w:val="000000"/>
          <w:kern w:val="0"/>
          <w:sz w:val="24"/>
          <w:szCs w:val="22"/>
          <w:lang w:val="en-US" w:eastAsia="zh-CN" w:bidi="ar-SA"/>
        </w:rPr>
        <w:t>翼缘板</w:t>
      </w:r>
      <w:r>
        <w:rPr>
          <w:rFonts w:hint="default" w:ascii="宋体" w:hAnsi="宋体" w:eastAsia="宋体" w:cs="Times New Roman"/>
          <w:color w:val="000000"/>
          <w:kern w:val="0"/>
          <w:sz w:val="24"/>
          <w:szCs w:val="22"/>
          <w:lang w:val="en-US" w:eastAsia="zh-CN" w:bidi="ar-SA"/>
        </w:rPr>
        <w:t>厚度</w:t>
      </w:r>
      <w:r>
        <w:rPr>
          <w:rFonts w:hint="eastAsia" w:ascii="宋体" w:hAnsi="宋体" w:eastAsia="宋体" w:cs="Times New Roman"/>
          <w:color w:val="000000"/>
          <w:kern w:val="0"/>
          <w:sz w:val="24"/>
          <w:szCs w:val="22"/>
          <w:lang w:val="en-US" w:eastAsia="zh-CN" w:bidi="ar-SA"/>
        </w:rPr>
        <w:t>、配筋</w:t>
      </w:r>
      <w:r>
        <w:rPr>
          <w:rFonts w:hint="default" w:ascii="宋体" w:hAnsi="宋体" w:eastAsia="宋体" w:cs="Times New Roman"/>
          <w:color w:val="000000"/>
          <w:kern w:val="0"/>
          <w:sz w:val="24"/>
          <w:szCs w:val="22"/>
          <w:lang w:val="en-US" w:eastAsia="zh-CN" w:bidi="ar-SA"/>
        </w:rPr>
        <w:t>并加强</w:t>
      </w:r>
      <w:r>
        <w:rPr>
          <w:rFonts w:hint="eastAsia" w:ascii="宋体" w:hAnsi="宋体" w:eastAsia="宋体" w:cs="Times New Roman"/>
          <w:color w:val="000000"/>
          <w:kern w:val="0"/>
          <w:sz w:val="24"/>
          <w:szCs w:val="22"/>
          <w:lang w:val="en-US" w:eastAsia="zh-CN" w:bidi="ar-SA"/>
        </w:rPr>
        <w:t>空心</w:t>
      </w:r>
      <w:r>
        <w:rPr>
          <w:rFonts w:hint="default" w:ascii="宋体" w:hAnsi="宋体" w:eastAsia="宋体" w:cs="Times New Roman"/>
          <w:color w:val="000000"/>
          <w:kern w:val="0"/>
          <w:sz w:val="24"/>
          <w:szCs w:val="22"/>
          <w:lang w:val="en-US" w:eastAsia="zh-CN" w:bidi="ar-SA"/>
        </w:rPr>
        <w:t>叠合板与支承</w:t>
      </w:r>
      <w:r>
        <w:rPr>
          <w:rFonts w:hint="eastAsia" w:ascii="宋体" w:hAnsi="宋体" w:eastAsia="宋体" w:cs="Times New Roman"/>
          <w:color w:val="000000"/>
          <w:kern w:val="0"/>
          <w:sz w:val="24"/>
          <w:szCs w:val="22"/>
          <w:lang w:val="en-US" w:eastAsia="zh-CN" w:bidi="ar-SA"/>
        </w:rPr>
        <w:t>构件</w:t>
      </w:r>
      <w:r>
        <w:rPr>
          <w:rFonts w:hint="default" w:ascii="宋体" w:hAnsi="宋体" w:eastAsia="宋体" w:cs="Times New Roman"/>
          <w:color w:val="000000"/>
          <w:kern w:val="0"/>
          <w:sz w:val="24"/>
          <w:szCs w:val="22"/>
          <w:lang w:val="en-US" w:eastAsia="zh-CN" w:bidi="ar-SA"/>
        </w:rPr>
        <w:t>的连接。</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3.1.4</w:t>
      </w:r>
      <w:r>
        <w:rPr>
          <w:rFonts w:hint="eastAsia"/>
          <w:u w:val="single"/>
          <w:lang w:val="en-US" w:eastAsia="zh-CN"/>
        </w:rPr>
        <w:t xml:space="preserve"> </w:t>
      </w:r>
      <w:r>
        <w:rPr>
          <w:rFonts w:hint="default"/>
          <w:u w:val="single"/>
          <w:lang w:val="en-US" w:eastAsia="zh-CN"/>
        </w:rPr>
        <w:t>结构转换层、</w:t>
      </w:r>
      <w:r>
        <w:rPr>
          <w:rFonts w:hint="eastAsia"/>
          <w:highlight w:val="none"/>
          <w:u w:val="single"/>
          <w:lang w:val="en-US" w:eastAsia="zh-CN"/>
        </w:rPr>
        <w:t>竖向体型收进部位、</w:t>
      </w:r>
      <w:r>
        <w:rPr>
          <w:rFonts w:hint="default"/>
          <w:highlight w:val="none"/>
          <w:u w:val="single"/>
          <w:lang w:val="en-US" w:eastAsia="zh-CN"/>
        </w:rPr>
        <w:t>平面凹凸不规则、楼板局部不连续、斜柱上下端周围局部楼盖</w:t>
      </w:r>
      <w:r>
        <w:rPr>
          <w:rFonts w:hint="eastAsia"/>
          <w:highlight w:val="none"/>
          <w:u w:val="single"/>
          <w:lang w:val="en-US" w:eastAsia="zh-CN"/>
        </w:rPr>
        <w:t>、</w:t>
      </w:r>
      <w:r>
        <w:rPr>
          <w:rFonts w:hint="default"/>
          <w:highlight w:val="none"/>
          <w:u w:val="single"/>
          <w:lang w:val="en-US" w:eastAsia="zh-CN"/>
        </w:rPr>
        <w:t>作</w:t>
      </w:r>
      <w:r>
        <w:rPr>
          <w:rFonts w:hint="default"/>
          <w:u w:val="single"/>
          <w:lang w:val="en-US" w:eastAsia="zh-CN"/>
        </w:rPr>
        <w:t>为上部结构嵌固部位的楼板</w:t>
      </w:r>
      <w:r>
        <w:rPr>
          <w:rFonts w:hint="eastAsia"/>
          <w:u w:val="single"/>
          <w:lang w:val="en-US" w:eastAsia="zh-CN"/>
        </w:rPr>
        <w:t>等，受力复杂，宜采用现浇楼板。当这些部位的楼板采用空心叠合板时，必须采取一定的加强措施，比如上翼缘板厚度</w:t>
      </w:r>
      <w:r>
        <w:rPr>
          <w:rFonts w:hint="default" w:ascii="Times New Roman" w:hAnsi="Times New Roman" w:cs="Times New Roman"/>
          <w:u w:val="single"/>
          <w:lang w:val="en-US" w:eastAsia="zh-CN"/>
        </w:rPr>
        <w:t>采用80mm</w:t>
      </w:r>
      <w:r>
        <w:rPr>
          <w:rFonts w:hint="eastAsia"/>
          <w:u w:val="single"/>
          <w:lang w:val="en-US" w:eastAsia="zh-CN"/>
        </w:rPr>
        <w:t>并</w:t>
      </w:r>
      <w:r>
        <w:rPr>
          <w:rFonts w:hint="eastAsia"/>
          <w:highlight w:val="none"/>
          <w:u w:val="single"/>
          <w:lang w:val="en-US" w:eastAsia="zh-CN"/>
        </w:rPr>
        <w:t>提高上、下翼缘板及肋梁配筋</w:t>
      </w:r>
      <w:r>
        <w:rPr>
          <w:rFonts w:hint="eastAsia"/>
          <w:u w:val="single"/>
          <w:lang w:val="en-US" w:eastAsia="zh-CN"/>
        </w:rPr>
        <w:t>，同时</w:t>
      </w:r>
      <w:r>
        <w:rPr>
          <w:rFonts w:hint="default"/>
          <w:u w:val="single"/>
          <w:lang w:val="en-US" w:eastAsia="zh-CN"/>
        </w:rPr>
        <w:t>加强</w:t>
      </w:r>
      <w:r>
        <w:rPr>
          <w:rFonts w:hint="eastAsia"/>
          <w:u w:val="single"/>
          <w:lang w:val="en-US" w:eastAsia="zh-CN"/>
        </w:rPr>
        <w:t>空心</w:t>
      </w:r>
      <w:r>
        <w:rPr>
          <w:rFonts w:hint="default"/>
          <w:u w:val="single"/>
          <w:lang w:val="en-US" w:eastAsia="zh-CN"/>
        </w:rPr>
        <w:t>叠合板与支承</w:t>
      </w:r>
      <w:r>
        <w:rPr>
          <w:rFonts w:hint="eastAsia"/>
          <w:u w:val="single"/>
          <w:lang w:val="en-US" w:eastAsia="zh-CN"/>
        </w:rPr>
        <w:t>构件</w:t>
      </w:r>
      <w:r>
        <w:rPr>
          <w:rFonts w:hint="default"/>
          <w:u w:val="single"/>
          <w:lang w:val="en-US" w:eastAsia="zh-CN"/>
        </w:rPr>
        <w:t>的连接</w:t>
      </w:r>
      <w:r>
        <w:rPr>
          <w:rFonts w:hint="eastAsia"/>
          <w:u w:val="single"/>
          <w:lang w:val="en-US" w:eastAsia="zh-CN"/>
        </w:rPr>
        <w:t>，</w:t>
      </w:r>
      <w:r>
        <w:rPr>
          <w:rFonts w:hint="eastAsia"/>
          <w:u w:val="single"/>
        </w:rPr>
        <w:t>确保楼板面内刚度及面内承载能力</w:t>
      </w:r>
      <w:r>
        <w:rPr>
          <w:rFonts w:hint="default"/>
          <w:u w:val="single"/>
          <w:lang w:val="en-US" w:eastAsia="zh-CN"/>
        </w:rPr>
        <w:t>。</w:t>
      </w:r>
    </w:p>
    <w:p>
      <w:pPr>
        <w:numPr>
          <w:ilvl w:val="2"/>
          <w:numId w:val="1"/>
        </w:numPr>
        <w:bidi w:val="0"/>
        <w:rPr>
          <w:rFonts w:hint="default"/>
          <w:lang w:val="en-US" w:eastAsia="zh-CN"/>
        </w:rPr>
      </w:pPr>
      <w:r>
        <w:rPr>
          <w:rFonts w:hint="default"/>
          <w:lang w:val="en-US" w:eastAsia="zh-CN"/>
        </w:rPr>
        <w:t>空心叠合楼盖当满足本</w:t>
      </w:r>
      <w:r>
        <w:rPr>
          <w:rFonts w:hint="eastAsia"/>
          <w:lang w:val="en-US" w:eastAsia="zh-CN"/>
        </w:rPr>
        <w:t>规程</w:t>
      </w:r>
      <w:r>
        <w:rPr>
          <w:rFonts w:hint="default"/>
          <w:lang w:val="en-US" w:eastAsia="zh-CN"/>
        </w:rPr>
        <w:t>规定的各种要求</w:t>
      </w:r>
      <w:r>
        <w:rPr>
          <w:rFonts w:hint="eastAsia"/>
          <w:lang w:val="en-US" w:eastAsia="zh-CN"/>
        </w:rPr>
        <w:t>时</w:t>
      </w:r>
      <w:r>
        <w:rPr>
          <w:rFonts w:hint="default"/>
          <w:lang w:val="en-US" w:eastAsia="zh-CN"/>
        </w:rPr>
        <w:t>，可按照等同于现浇空心</w:t>
      </w:r>
      <w:r>
        <w:rPr>
          <w:rFonts w:hint="eastAsia"/>
          <w:lang w:val="en-US" w:eastAsia="zh-CN"/>
        </w:rPr>
        <w:t>楼盖</w:t>
      </w:r>
      <w:r>
        <w:rPr>
          <w:rFonts w:hint="default"/>
          <w:lang w:val="en-US" w:eastAsia="zh-CN"/>
        </w:rPr>
        <w:t>的方法进行结构分析和计算。</w:t>
      </w:r>
    </w:p>
    <w:p>
      <w:pPr>
        <w:pStyle w:val="21"/>
        <w:bidi w:val="0"/>
        <w:ind w:left="0" w:leftChars="0" w:firstLine="0" w:firstLineChars="0"/>
        <w:rPr>
          <w:rFonts w:hint="default"/>
          <w:u w:val="single"/>
          <w:lang w:val="en-US" w:eastAsia="zh-CN"/>
        </w:rPr>
      </w:pPr>
      <w:r>
        <w:rPr>
          <w:rFonts w:hint="eastAsia"/>
          <w:u w:val="single"/>
          <w:lang w:val="en-US" w:eastAsia="zh-CN"/>
        </w:rPr>
        <w:t>【</w:t>
      </w:r>
      <w:r>
        <w:rPr>
          <w:rFonts w:hint="default"/>
          <w:u w:val="single"/>
          <w:lang w:val="en-US" w:eastAsia="zh-CN"/>
        </w:rPr>
        <w:t>条文说明</w:t>
      </w:r>
      <w:r>
        <w:rPr>
          <w:rFonts w:hint="eastAsia"/>
          <w:u w:val="single"/>
          <w:lang w:val="en-US" w:eastAsia="zh-CN"/>
        </w:rPr>
        <w:t>】</w:t>
      </w:r>
      <w:r>
        <w:rPr>
          <w:rFonts w:hint="eastAsia" w:ascii="Times New Roman" w:hAnsi="Times New Roman" w:eastAsia="宋体" w:cstheme="minorBidi"/>
          <w:color w:val="auto"/>
          <w:kern w:val="2"/>
          <w:sz w:val="24"/>
          <w:szCs w:val="24"/>
          <w:u w:val="single"/>
          <w:lang w:val="en-US" w:eastAsia="zh-CN" w:bidi="ar-SA"/>
        </w:rPr>
        <w:t>3.1.5</w:t>
      </w:r>
      <w:r>
        <w:rPr>
          <w:rFonts w:hint="eastAsia"/>
          <w:u w:val="single"/>
          <w:lang w:val="en-US" w:eastAsia="zh-CN"/>
        </w:rPr>
        <w:t xml:space="preserve"> 满足本规程的有关构造要求，并且在后浇肋梁处采用双向整体式接缝进行连接的</w:t>
      </w:r>
      <w:r>
        <w:rPr>
          <w:rFonts w:hint="default"/>
          <w:u w:val="single"/>
          <w:lang w:val="en-US" w:eastAsia="zh-CN"/>
        </w:rPr>
        <w:t>空心叠合</w:t>
      </w:r>
      <w:r>
        <w:rPr>
          <w:rFonts w:hint="eastAsia"/>
          <w:u w:val="single"/>
          <w:lang w:val="en-US" w:eastAsia="zh-CN"/>
        </w:rPr>
        <w:t>楼盖，其受力性能接近于现浇空心楼盖，其分析方法可按照现浇空心楼盖的有关方法进行</w:t>
      </w:r>
      <w:r>
        <w:rPr>
          <w:rFonts w:hint="default"/>
          <w:u w:val="single"/>
          <w:lang w:val="en-US" w:eastAsia="zh-CN"/>
        </w:rPr>
        <w:t>。</w:t>
      </w:r>
    </w:p>
    <w:p>
      <w:pPr>
        <w:numPr>
          <w:ilvl w:val="2"/>
          <w:numId w:val="1"/>
        </w:numPr>
        <w:bidi w:val="0"/>
        <w:rPr>
          <w:rFonts w:hint="default" w:ascii="Times New Roman" w:hAnsi="Times New Roman" w:eastAsia="宋体"/>
          <w:strike w:val="0"/>
          <w:dstrike w:val="0"/>
          <w:lang w:val="en-US" w:eastAsia="zh-CN"/>
        </w:rPr>
      </w:pPr>
      <w:r>
        <w:rPr>
          <w:rFonts w:hint="eastAsia"/>
          <w:lang w:val="en-US" w:eastAsia="zh-CN"/>
        </w:rPr>
        <w:t>采用空心叠合楼盖的多、高层建筑，</w:t>
      </w:r>
      <w:r>
        <w:rPr>
          <w:rFonts w:hint="eastAsia" w:ascii="Times New Roman" w:hAnsi="Times New Roman" w:eastAsia="宋体"/>
          <w:strike w:val="0"/>
          <w:dstrike w:val="0"/>
          <w:lang w:val="en-US" w:eastAsia="zh-CN"/>
        </w:rPr>
        <w:t>结构</w:t>
      </w:r>
      <w:r>
        <w:rPr>
          <w:rFonts w:hint="eastAsia"/>
          <w:strike w:val="0"/>
          <w:dstrike w:val="0"/>
          <w:lang w:val="en-US" w:eastAsia="zh-CN"/>
        </w:rPr>
        <w:t>设计</w:t>
      </w:r>
      <w:r>
        <w:rPr>
          <w:rFonts w:hint="eastAsia" w:ascii="Times New Roman" w:hAnsi="Times New Roman" w:eastAsia="宋体"/>
          <w:strike w:val="0"/>
          <w:dstrike w:val="0"/>
          <w:lang w:val="en-US" w:eastAsia="zh-CN"/>
        </w:rPr>
        <w:t>工作年限、安全等级和结构重要性系数等应按现行有关规范的规定采用。</w:t>
      </w:r>
    </w:p>
    <w:p>
      <w:pPr>
        <w:pStyle w:val="4"/>
        <w:bidi w:val="0"/>
        <w:ind w:left="0" w:leftChars="0" w:firstLine="0" w:firstLineChars="0"/>
        <w:outlineLvl w:val="1"/>
        <w:rPr>
          <w:rFonts w:hint="default"/>
          <w:lang w:val="en-US" w:eastAsia="zh-CN"/>
        </w:rPr>
      </w:pPr>
      <w:bookmarkStart w:id="21" w:name="_Toc23643"/>
      <w:r>
        <w:rPr>
          <w:rFonts w:hint="default"/>
          <w:lang w:val="en-US" w:eastAsia="zh-CN"/>
        </w:rPr>
        <w:t>空心叠合板</w:t>
      </w:r>
      <w:bookmarkEnd w:id="21"/>
    </w:p>
    <w:p>
      <w:pPr>
        <w:numPr>
          <w:ilvl w:val="2"/>
          <w:numId w:val="1"/>
        </w:numPr>
        <w:bidi w:val="0"/>
        <w:rPr>
          <w:rFonts w:hint="default"/>
          <w:lang w:val="en-US" w:eastAsia="zh-CN"/>
        </w:rPr>
      </w:pPr>
      <w:r>
        <w:rPr>
          <w:rFonts w:hint="eastAsia"/>
          <w:lang w:val="en-US" w:eastAsia="zh-CN"/>
        </w:rPr>
        <w:t>预制底</w:t>
      </w:r>
      <w:r>
        <w:rPr>
          <w:rFonts w:hint="default"/>
          <w:lang w:val="en-US" w:eastAsia="zh-CN"/>
        </w:rPr>
        <w:t>板应根据建筑结构平面及</w:t>
      </w:r>
      <w:r>
        <w:rPr>
          <w:rFonts w:hint="eastAsia"/>
          <w:lang w:val="en-US" w:eastAsia="zh-CN"/>
        </w:rPr>
        <w:t>其制作</w:t>
      </w:r>
      <w:r>
        <w:rPr>
          <w:rFonts w:hint="default"/>
          <w:lang w:val="en-US" w:eastAsia="zh-CN"/>
        </w:rPr>
        <w:t>、运输、吊装能力进行优化布置，并宜满足模数化、标准化的要求。</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3.2.1</w:t>
      </w:r>
      <w:r>
        <w:rPr>
          <w:rFonts w:hint="eastAsia"/>
          <w:u w:val="single"/>
          <w:lang w:val="en-US" w:eastAsia="zh-CN"/>
        </w:rPr>
        <w:t xml:space="preserve"> 预制底板做到</w:t>
      </w:r>
      <w:r>
        <w:rPr>
          <w:rFonts w:hint="default"/>
          <w:u w:val="single"/>
          <w:lang w:val="en-US" w:eastAsia="zh-CN"/>
        </w:rPr>
        <w:t>模数化、标准化</w:t>
      </w:r>
      <w:r>
        <w:rPr>
          <w:rFonts w:hint="eastAsia"/>
          <w:u w:val="single"/>
          <w:lang w:val="en-US" w:eastAsia="zh-CN"/>
        </w:rPr>
        <w:t>，可以减少模具费用，也可以做到连接节点的标准化。</w:t>
      </w:r>
    </w:p>
    <w:p>
      <w:pPr>
        <w:numPr>
          <w:ilvl w:val="2"/>
          <w:numId w:val="1"/>
        </w:numPr>
        <w:bidi w:val="0"/>
        <w:rPr>
          <w:rFonts w:hint="default"/>
          <w:lang w:val="en-US" w:eastAsia="zh-CN"/>
        </w:rPr>
      </w:pPr>
      <w:r>
        <w:rPr>
          <w:rFonts w:hint="default"/>
          <w:lang w:val="en-US" w:eastAsia="zh-CN"/>
        </w:rPr>
        <w:t>空心叠合板与主体结构应有可靠连接，保证楼盖的整体牢固性。</w:t>
      </w:r>
    </w:p>
    <w:p>
      <w:pPr>
        <w:numPr>
          <w:ilvl w:val="2"/>
          <w:numId w:val="1"/>
        </w:numPr>
        <w:bidi w:val="0"/>
        <w:rPr>
          <w:rFonts w:hint="default"/>
          <w:lang w:val="en-US" w:eastAsia="zh-CN"/>
        </w:rPr>
      </w:pPr>
      <w:r>
        <w:rPr>
          <w:rFonts w:hint="default"/>
          <w:lang w:val="en-US" w:eastAsia="zh-CN"/>
        </w:rPr>
        <w:t>空心叠合板</w:t>
      </w:r>
      <w:r>
        <w:rPr>
          <w:rFonts w:hint="eastAsia"/>
          <w:lang w:val="en-US" w:eastAsia="zh-CN"/>
        </w:rPr>
        <w:t>应进行承载力极限状态计算和正常使用状态验算。</w:t>
      </w:r>
    </w:p>
    <w:p>
      <w:pPr>
        <w:numPr>
          <w:ilvl w:val="2"/>
          <w:numId w:val="1"/>
        </w:numPr>
        <w:bidi w:val="0"/>
        <w:rPr>
          <w:rFonts w:hint="default"/>
          <w:lang w:val="en-US" w:eastAsia="zh-CN"/>
        </w:rPr>
      </w:pPr>
      <w:r>
        <w:rPr>
          <w:rFonts w:hint="default"/>
          <w:lang w:val="en-US" w:eastAsia="zh-CN"/>
        </w:rPr>
        <w:t>预制</w:t>
      </w:r>
      <w:r>
        <w:rPr>
          <w:rFonts w:hint="eastAsia"/>
          <w:lang w:val="en-US" w:eastAsia="zh-CN"/>
        </w:rPr>
        <w:t>底板</w:t>
      </w:r>
      <w:r>
        <w:rPr>
          <w:rFonts w:hint="default"/>
          <w:lang w:val="en-US" w:eastAsia="zh-CN"/>
        </w:rPr>
        <w:t>应进行短暂设计状况下的承载力、挠度及</w:t>
      </w:r>
      <w:r>
        <w:rPr>
          <w:rFonts w:hint="eastAsia"/>
          <w:lang w:val="en-US" w:eastAsia="zh-CN"/>
        </w:rPr>
        <w:t>裂缝控制</w:t>
      </w:r>
      <w:r>
        <w:rPr>
          <w:rFonts w:hint="default"/>
          <w:lang w:val="en-US" w:eastAsia="zh-CN"/>
        </w:rPr>
        <w:t>验算</w:t>
      </w:r>
      <w:r>
        <w:rPr>
          <w:rFonts w:hint="eastAsia"/>
          <w:lang w:val="en-US" w:eastAsia="zh-CN"/>
        </w:rPr>
        <w:t>，并应</w:t>
      </w:r>
      <w:r>
        <w:rPr>
          <w:rFonts w:hint="default"/>
          <w:lang w:val="en-US" w:eastAsia="zh-CN"/>
        </w:rPr>
        <w:t>符合现行国家标准《混凝土结构工程施工规范》GB 50666的</w:t>
      </w:r>
      <w:r>
        <w:rPr>
          <w:rFonts w:hint="eastAsia"/>
          <w:lang w:val="en-US" w:eastAsia="zh-CN"/>
        </w:rPr>
        <w:t>有关</w:t>
      </w:r>
      <w:r>
        <w:rPr>
          <w:rFonts w:hint="default"/>
          <w:lang w:val="en-US" w:eastAsia="zh-CN"/>
        </w:rPr>
        <w:t>规定。</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3.2.4</w:t>
      </w:r>
      <w:r>
        <w:rPr>
          <w:rFonts w:hint="eastAsia"/>
          <w:u w:val="single"/>
          <w:lang w:val="en-US" w:eastAsia="zh-CN"/>
        </w:rPr>
        <w:t xml:space="preserve"> 预制底板在</w:t>
      </w:r>
      <w:r>
        <w:rPr>
          <w:rFonts w:hint="default"/>
          <w:u w:val="single"/>
          <w:lang w:val="en-US" w:eastAsia="zh-CN"/>
        </w:rPr>
        <w:t>脱模、</w:t>
      </w:r>
      <w:r>
        <w:rPr>
          <w:rFonts w:hint="eastAsia"/>
          <w:u w:val="single"/>
          <w:lang w:val="en-US" w:eastAsia="zh-CN"/>
        </w:rPr>
        <w:t>翻转、</w:t>
      </w:r>
      <w:r>
        <w:rPr>
          <w:rFonts w:hint="default"/>
          <w:u w:val="single"/>
          <w:lang w:val="en-US" w:eastAsia="zh-CN"/>
        </w:rPr>
        <w:t>吊运、堆放、运输、安装</w:t>
      </w:r>
      <w:r>
        <w:rPr>
          <w:rFonts w:hint="eastAsia"/>
          <w:u w:val="single"/>
          <w:lang w:val="en-US" w:eastAsia="zh-CN"/>
        </w:rPr>
        <w:t>及</w:t>
      </w:r>
      <w:r>
        <w:rPr>
          <w:rFonts w:hint="default"/>
          <w:u w:val="single"/>
          <w:lang w:val="en-US" w:eastAsia="zh-CN"/>
        </w:rPr>
        <w:t>混凝土浇筑</w:t>
      </w:r>
      <w:r>
        <w:rPr>
          <w:rFonts w:hint="eastAsia"/>
          <w:u w:val="single"/>
          <w:lang w:val="en-US" w:eastAsia="zh-CN"/>
        </w:rPr>
        <w:t>时，应分别进行</w:t>
      </w:r>
      <w:r>
        <w:rPr>
          <w:rFonts w:hint="default"/>
          <w:u w:val="single"/>
          <w:lang w:val="en-US" w:eastAsia="zh-CN"/>
        </w:rPr>
        <w:t>承载力、挠度及</w:t>
      </w:r>
      <w:r>
        <w:rPr>
          <w:rFonts w:hint="eastAsia"/>
          <w:u w:val="single"/>
          <w:lang w:val="en-US" w:eastAsia="zh-CN"/>
        </w:rPr>
        <w:t>裂缝控制</w:t>
      </w:r>
      <w:r>
        <w:rPr>
          <w:rFonts w:hint="default"/>
          <w:u w:val="single"/>
          <w:lang w:val="en-US" w:eastAsia="zh-CN"/>
        </w:rPr>
        <w:t>验算</w:t>
      </w:r>
      <w:r>
        <w:rPr>
          <w:rFonts w:hint="eastAsia"/>
          <w:u w:val="single"/>
          <w:lang w:val="en-US" w:eastAsia="zh-CN"/>
        </w:rPr>
        <w:t>。</w:t>
      </w:r>
    </w:p>
    <w:p>
      <w:pPr>
        <w:numPr>
          <w:ilvl w:val="2"/>
          <w:numId w:val="1"/>
        </w:numPr>
        <w:bidi w:val="0"/>
        <w:rPr>
          <w:rFonts w:hint="default"/>
          <w:highlight w:val="none"/>
          <w:lang w:val="en-US" w:eastAsia="zh-CN"/>
        </w:rPr>
      </w:pPr>
      <w:r>
        <w:rPr>
          <w:rFonts w:hint="default"/>
          <w:highlight w:val="none"/>
          <w:lang w:val="en-US" w:eastAsia="zh-CN"/>
        </w:rPr>
        <w:t>施工阶段预制底</w:t>
      </w:r>
      <w:r>
        <w:rPr>
          <w:rFonts w:hint="default" w:ascii="Times New Roman" w:hAnsi="Times New Roman" w:eastAsia="宋体"/>
          <w:highlight w:val="none"/>
          <w:lang w:val="en-US" w:eastAsia="zh-CN"/>
        </w:rPr>
        <w:t>板</w:t>
      </w:r>
      <w:r>
        <w:rPr>
          <w:rFonts w:hint="eastAsia"/>
          <w:highlight w:val="none"/>
          <w:lang w:val="en-US" w:eastAsia="zh-CN"/>
        </w:rPr>
        <w:t>应采取可靠的</w:t>
      </w:r>
      <w:r>
        <w:rPr>
          <w:rFonts w:hint="default"/>
          <w:highlight w:val="none"/>
          <w:lang w:val="en-US" w:eastAsia="zh-CN"/>
        </w:rPr>
        <w:t>临时支撑</w:t>
      </w:r>
      <w:r>
        <w:rPr>
          <w:rFonts w:hint="eastAsia"/>
          <w:highlight w:val="none"/>
          <w:lang w:val="en-US" w:eastAsia="zh-CN"/>
        </w:rPr>
        <w:t>措施</w:t>
      </w:r>
      <w:r>
        <w:rPr>
          <w:rFonts w:hint="default"/>
          <w:highlight w:val="none"/>
          <w:lang w:val="en-US" w:eastAsia="zh-CN"/>
        </w:rPr>
        <w:t>，临时支撑的位置及间距应满足预制底板承载力、挠度及抗裂</w:t>
      </w:r>
      <w:r>
        <w:rPr>
          <w:rFonts w:hint="eastAsia"/>
          <w:highlight w:val="none"/>
          <w:lang w:val="en-US" w:eastAsia="zh-CN"/>
        </w:rPr>
        <w:t>要求，以及临时支撑的</w:t>
      </w:r>
      <w:r>
        <w:rPr>
          <w:rFonts w:hint="default"/>
          <w:highlight w:val="none"/>
          <w:lang w:val="en-US" w:eastAsia="zh-CN"/>
        </w:rPr>
        <w:t>承载力</w:t>
      </w:r>
      <w:r>
        <w:rPr>
          <w:rFonts w:hint="eastAsia"/>
          <w:highlight w:val="none"/>
          <w:lang w:val="en-US" w:eastAsia="zh-CN"/>
        </w:rPr>
        <w:t>和稳定性</w:t>
      </w:r>
      <w:r>
        <w:rPr>
          <w:rFonts w:hint="default"/>
          <w:highlight w:val="none"/>
          <w:lang w:val="en-US" w:eastAsia="zh-CN"/>
        </w:rPr>
        <w:t>要求。相邻支撑之间预制底板的挠度不宜大于临时支撑间距的1/400。</w:t>
      </w:r>
    </w:p>
    <w:p>
      <w:pPr>
        <w:pStyle w:val="20"/>
        <w:spacing w:line="360" w:lineRule="auto"/>
        <w:rPr>
          <w:rFonts w:hint="default"/>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3.2.5</w:t>
      </w:r>
      <w:r>
        <w:rPr>
          <w:rFonts w:hint="eastAsia"/>
          <w:highlight w:val="none"/>
          <w:u w:val="single"/>
          <w:lang w:val="en-US" w:eastAsia="zh-CN"/>
        </w:rPr>
        <w:t xml:space="preserve"> 由于空心叠合板被拆分成了标准化的多块预制底板，并且预制底板需要在双向后浇肋梁处进行整体式接缝连接成为一个整体。施工安装时，每块预制底板必须均应进行可靠支撑，以确保施工阶段的安全。</w:t>
      </w:r>
    </w:p>
    <w:p>
      <w:pPr>
        <w:numPr>
          <w:ilvl w:val="2"/>
          <w:numId w:val="1"/>
        </w:numPr>
        <w:bidi w:val="0"/>
        <w:rPr>
          <w:rFonts w:hint="default"/>
          <w:lang w:val="en-US" w:eastAsia="zh-CN"/>
        </w:rPr>
      </w:pPr>
      <w:r>
        <w:rPr>
          <w:rFonts w:hint="default"/>
          <w:lang w:val="en-US" w:eastAsia="zh-CN"/>
        </w:rPr>
        <w:t>空心叠合板的燃烧性能和耐火极限应符合现行国家标准《建筑设计防火规范》GB 50016的有关规定。</w:t>
      </w:r>
    </w:p>
    <w:p>
      <w:pPr>
        <w:numPr>
          <w:ilvl w:val="2"/>
          <w:numId w:val="1"/>
        </w:numPr>
        <w:bidi w:val="0"/>
        <w:rPr>
          <w:rFonts w:hint="default"/>
          <w:lang w:val="en-US" w:eastAsia="zh-CN"/>
        </w:rPr>
      </w:pPr>
      <w:r>
        <w:rPr>
          <w:rFonts w:hint="default"/>
          <w:lang w:val="en-US" w:eastAsia="zh-CN"/>
        </w:rPr>
        <w:t>空心叠合板的隔声性能应符合现行国家标准《民用建筑隔声设计规范》GB</w:t>
      </w:r>
      <w:r>
        <w:rPr>
          <w:rFonts w:hint="eastAsia"/>
          <w:lang w:val="en-US" w:eastAsia="zh-CN"/>
        </w:rPr>
        <w:t xml:space="preserve"> </w:t>
      </w:r>
      <w:r>
        <w:rPr>
          <w:rFonts w:hint="default"/>
          <w:lang w:val="en-US" w:eastAsia="zh-CN"/>
        </w:rPr>
        <w:t>50118的有关规定。</w:t>
      </w:r>
    </w:p>
    <w:p>
      <w:pPr>
        <w:numPr>
          <w:ilvl w:val="2"/>
          <w:numId w:val="1"/>
        </w:numPr>
        <w:bidi w:val="0"/>
        <w:rPr>
          <w:rFonts w:hint="default"/>
          <w:lang w:val="en-US" w:eastAsia="zh-CN"/>
        </w:rPr>
      </w:pPr>
      <w:r>
        <w:rPr>
          <w:rFonts w:hint="eastAsia"/>
          <w:lang w:val="en-US" w:eastAsia="zh-CN"/>
        </w:rPr>
        <w:t>空心叠合板两正交方向的截面特性应按下列规定计算：选取两相邻箱型填充体中心线之间的范围作为一个计算单元（图3.2.8-1），并可将该计算单元简化为</w:t>
      </w:r>
      <w:r>
        <w:rPr>
          <w:rFonts w:hint="default"/>
          <w:lang w:val="en-US" w:eastAsia="zh-CN"/>
        </w:rPr>
        <w:t>I</w:t>
      </w:r>
      <w:r>
        <w:rPr>
          <w:rFonts w:hint="eastAsia"/>
          <w:lang w:val="en-US" w:eastAsia="zh-CN"/>
        </w:rPr>
        <w:t>形截面（图3.2.8-2）。</w:t>
      </w:r>
    </w:p>
    <w:p>
      <w:pPr>
        <w:bidi w:val="0"/>
      </w:pPr>
      <w:r>
        <w:drawing>
          <wp:inline distT="0" distB="0" distL="114300" distR="114300">
            <wp:extent cx="2628900" cy="1028700"/>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6"/>
                    <a:stretch>
                      <a:fillRect/>
                    </a:stretch>
                  </pic:blipFill>
                  <pic:spPr>
                    <a:xfrm>
                      <a:off x="0" y="0"/>
                      <a:ext cx="2628900" cy="10287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93545" cy="843915"/>
            <wp:effectExtent l="0" t="0" r="1905" b="1333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7"/>
                    <a:stretch>
                      <a:fillRect/>
                    </a:stretch>
                  </pic:blipFill>
                  <pic:spPr>
                    <a:xfrm>
                      <a:off x="0" y="0"/>
                      <a:ext cx="1693545" cy="843915"/>
                    </a:xfrm>
                    <a:prstGeom prst="rect">
                      <a:avLst/>
                    </a:prstGeom>
                    <a:noFill/>
                    <a:ln>
                      <a:noFill/>
                    </a:ln>
                  </pic:spPr>
                </pic:pic>
              </a:graphicData>
            </a:graphic>
          </wp:inline>
        </w:drawing>
      </w:r>
    </w:p>
    <w:p>
      <w:pPr>
        <w:bidi w:val="0"/>
        <w:ind w:firstLine="630" w:firstLineChars="300"/>
        <w:rPr>
          <w:rFonts w:hint="default"/>
          <w:lang w:val="en-US" w:eastAsia="zh-CN"/>
        </w:rPr>
      </w:pPr>
      <w:r>
        <w:rPr>
          <w:rFonts w:hint="eastAsia" w:ascii="Times New Roman" w:hAnsi="Times New Roman" w:eastAsia="宋体" w:cstheme="minorBidi"/>
          <w:kern w:val="2"/>
          <w:sz w:val="21"/>
          <w:szCs w:val="21"/>
          <w:lang w:val="en-US" w:eastAsia="zh-CN" w:bidi="ar-SA"/>
        </w:rPr>
        <w:t xml:space="preserve">图3.2.8-1 计算单元示意      </w:t>
      </w:r>
      <w:r>
        <w:rPr>
          <w:rFonts w:hint="eastAsia" w:cstheme="minorBidi"/>
          <w:kern w:val="2"/>
          <w:sz w:val="21"/>
          <w:szCs w:val="21"/>
          <w:lang w:val="en-US" w:eastAsia="zh-CN" w:bidi="ar-SA"/>
        </w:rPr>
        <w:t xml:space="preserve">          </w:t>
      </w:r>
      <w:r>
        <w:rPr>
          <w:rFonts w:hint="eastAsia" w:ascii="Times New Roman" w:hAnsi="Times New Roman" w:eastAsia="宋体" w:cstheme="minorBidi"/>
          <w:kern w:val="2"/>
          <w:sz w:val="21"/>
          <w:szCs w:val="21"/>
          <w:lang w:val="en-US" w:eastAsia="zh-CN" w:bidi="ar-SA"/>
        </w:rPr>
        <w:t xml:space="preserve">       图3.2.8-2 </w:t>
      </w:r>
      <w:r>
        <w:rPr>
          <w:rFonts w:hint="default" w:ascii="Times New Roman" w:hAnsi="Times New Roman" w:eastAsia="宋体" w:cstheme="minorBidi"/>
          <w:kern w:val="2"/>
          <w:sz w:val="21"/>
          <w:szCs w:val="21"/>
          <w:lang w:val="en-US" w:eastAsia="zh-CN" w:bidi="ar-SA"/>
        </w:rPr>
        <w:t>I</w:t>
      </w:r>
      <w:r>
        <w:rPr>
          <w:rFonts w:hint="eastAsia" w:ascii="Times New Roman" w:hAnsi="Times New Roman" w:eastAsia="宋体" w:cstheme="minorBidi"/>
          <w:kern w:val="2"/>
          <w:sz w:val="21"/>
          <w:szCs w:val="21"/>
          <w:lang w:val="en-US" w:eastAsia="zh-CN" w:bidi="ar-SA"/>
        </w:rPr>
        <w:t>形截面示意</w:t>
      </w:r>
    </w:p>
    <w:p>
      <w:pPr>
        <w:pStyle w:val="21"/>
        <w:bidi w:val="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b，</w:t>
      </w:r>
      <w:r>
        <w:rPr>
          <w:rFonts w:hint="default" w:ascii="Times New Roman" w:hAnsi="Times New Roman" w:eastAsia="宋体" w:cstheme="minorBidi"/>
          <w:kern w:val="2"/>
          <w:sz w:val="21"/>
          <w:szCs w:val="21"/>
          <w:lang w:val="en-US" w:eastAsia="zh-CN" w:bidi="ar-SA"/>
        </w:rPr>
        <w:t>I</w:t>
      </w:r>
      <w:r>
        <w:rPr>
          <w:rFonts w:hint="eastAsia" w:ascii="Times New Roman" w:hAnsi="Times New Roman" w:eastAsia="宋体" w:cstheme="minorBidi"/>
          <w:kern w:val="2"/>
          <w:sz w:val="21"/>
          <w:szCs w:val="21"/>
          <w:lang w:val="en-US" w:eastAsia="zh-CN" w:bidi="ar-SA"/>
        </w:rPr>
        <w:t>形截面计算宽度（取相邻箱型填充体之间的中心距）；</w:t>
      </w:r>
    </w:p>
    <w:p>
      <w:pPr>
        <w:pStyle w:val="21"/>
        <w:bidi w:val="0"/>
        <w:jc w:val="center"/>
        <w:rPr>
          <w:rFonts w:hint="default"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bw，肋梁宽度；h‘f、hf，上、下翼缘板厚度；h，空心叠合板厚度</w:t>
      </w:r>
    </w:p>
    <w:p>
      <w:pPr>
        <w:pStyle w:val="21"/>
        <w:bidi w:val="0"/>
        <w:jc w:val="center"/>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heme="minorBidi"/>
          <w:kern w:val="2"/>
          <w:sz w:val="21"/>
          <w:szCs w:val="21"/>
          <w:lang w:val="en-US" w:eastAsia="zh-CN" w:bidi="ar-SA"/>
        </w:rPr>
        <w:t>1—</w:t>
      </w:r>
      <w:r>
        <w:rPr>
          <w:rFonts w:hint="eastAsia" w:ascii="Times New Roman" w:hAnsi="Times New Roman" w:eastAsia="宋体" w:cstheme="minorBidi"/>
          <w:kern w:val="2"/>
          <w:sz w:val="21"/>
          <w:szCs w:val="21"/>
          <w:lang w:val="en-US" w:eastAsia="zh-CN" w:bidi="ar-SA"/>
        </w:rPr>
        <w:t>上翼缘板</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下翼缘板；3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肋梁；4</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箱型填充体</w:t>
      </w:r>
    </w:p>
    <w:p>
      <w:pPr>
        <w:pStyle w:val="4"/>
        <w:bidi w:val="0"/>
        <w:ind w:left="0" w:leftChars="0" w:firstLine="0" w:firstLineChars="0"/>
        <w:outlineLvl w:val="1"/>
        <w:rPr>
          <w:rFonts w:hint="default"/>
          <w:highlight w:val="none"/>
          <w:lang w:val="en-US" w:eastAsia="zh-CN"/>
        </w:rPr>
      </w:pPr>
      <w:bookmarkStart w:id="22" w:name="_Toc6122"/>
      <w:r>
        <w:rPr>
          <w:rFonts w:hint="default"/>
          <w:highlight w:val="none"/>
          <w:lang w:val="en-US" w:eastAsia="zh-CN"/>
        </w:rPr>
        <w:t>房屋适用高度和抗震等级</w:t>
      </w:r>
      <w:bookmarkEnd w:id="22"/>
    </w:p>
    <w:p>
      <w:pPr>
        <w:numPr>
          <w:ilvl w:val="2"/>
          <w:numId w:val="1"/>
        </w:numPr>
        <w:bidi w:val="0"/>
        <w:rPr>
          <w:rFonts w:hint="eastAsia"/>
          <w:lang w:val="en-US" w:eastAsia="zh-CN"/>
        </w:rPr>
      </w:pPr>
      <w:r>
        <w:rPr>
          <w:rFonts w:hint="eastAsia" w:ascii="Times New Roman" w:hAnsi="Times New Roman" w:eastAsia="宋体" w:cstheme="minorBidi"/>
          <w:color w:val="auto"/>
          <w:kern w:val="2"/>
          <w:sz w:val="24"/>
          <w:szCs w:val="24"/>
          <w:lang w:val="en-US" w:eastAsia="zh-CN" w:bidi="ar-SA"/>
        </w:rPr>
        <w:t>采用空心叠合板的多、高层建筑，当竖向结构构件全部为现浇时，其最大适用高度、抗震等级以及主体结构的抗震措施等应按现行国家标准《建筑与市政工程抗震通用规范》GB 55002、《建筑抗震设计规范》</w:t>
      </w:r>
      <w:r>
        <w:rPr>
          <w:rFonts w:hint="default" w:ascii="Times New Roman" w:hAnsi="Times New Roman" w:eastAsia="宋体" w:cstheme="minorBidi"/>
          <w:color w:val="auto"/>
          <w:kern w:val="2"/>
          <w:sz w:val="24"/>
          <w:szCs w:val="24"/>
          <w:lang w:val="en-US" w:eastAsia="zh-CN" w:bidi="ar-SA"/>
        </w:rPr>
        <w:t>GB 50011</w:t>
      </w:r>
      <w:r>
        <w:rPr>
          <w:rFonts w:hint="eastAsia" w:ascii="Times New Roman" w:hAnsi="Times New Roman" w:eastAsia="宋体" w:cstheme="minorBidi"/>
          <w:color w:val="auto"/>
          <w:kern w:val="2"/>
          <w:sz w:val="24"/>
          <w:szCs w:val="24"/>
          <w:lang w:val="en-US" w:eastAsia="zh-CN" w:bidi="ar-SA"/>
        </w:rPr>
        <w:t>、《高层建筑混凝土结构技术规程》</w:t>
      </w:r>
      <w:r>
        <w:rPr>
          <w:rFonts w:hint="default" w:ascii="Times New Roman" w:hAnsi="Times New Roman" w:eastAsia="宋体" w:cstheme="minorBidi"/>
          <w:color w:val="auto"/>
          <w:kern w:val="2"/>
          <w:sz w:val="24"/>
          <w:szCs w:val="24"/>
          <w:lang w:val="en-US" w:eastAsia="zh-CN" w:bidi="ar-SA"/>
        </w:rPr>
        <w:t>JGJ 3</w:t>
      </w:r>
      <w:r>
        <w:rPr>
          <w:rFonts w:hint="eastAsia" w:ascii="Times New Roman" w:hAnsi="Times New Roman" w:eastAsia="宋体" w:cstheme="minorBidi"/>
          <w:color w:val="auto"/>
          <w:kern w:val="2"/>
          <w:sz w:val="24"/>
          <w:szCs w:val="24"/>
          <w:lang w:val="en-US" w:eastAsia="zh-CN" w:bidi="ar-SA"/>
        </w:rPr>
        <w:t>等关于现浇钢筋混凝土结构的规定执行。</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3.3.1</w:t>
      </w:r>
      <w:r>
        <w:rPr>
          <w:rFonts w:hint="eastAsia"/>
          <w:u w:val="single"/>
          <w:lang w:val="en-US" w:eastAsia="zh-CN"/>
        </w:rPr>
        <w:t xml:space="preserve"> 现行行业标准</w:t>
      </w:r>
      <w:r>
        <w:rPr>
          <w:rFonts w:hint="default"/>
          <w:u w:val="single"/>
          <w:lang w:val="en-US" w:eastAsia="zh-CN"/>
        </w:rPr>
        <w:t>《现浇混凝土空心楼盖技术规程》</w:t>
      </w:r>
      <w:r>
        <w:rPr>
          <w:rFonts w:hint="default" w:ascii="Times New Roman" w:hAnsi="Times New Roman" w:cs="Times New Roman"/>
          <w:u w:val="single"/>
          <w:lang w:val="en-US" w:eastAsia="zh-CN"/>
        </w:rPr>
        <w:t>JGJ/T 268</w:t>
      </w:r>
      <w:r>
        <w:rPr>
          <w:rFonts w:hint="eastAsia"/>
          <w:u w:val="single"/>
          <w:lang w:val="en-US" w:eastAsia="zh-CN"/>
        </w:rPr>
        <w:t>没有采用空心楼盖的房屋结构适用高度和抗震等级方面的规定。本规程结合其他现行规范在本节提出了相应结构形式的一些规定。采用空心叠合板的多、高层建筑，无论框架梁是现浇还是采用叠合梁，只要框架柱、剪力墙等竖向结构构件全部为现浇，对整体结构的抗震性能影响较小，主体结构的最大适用高度、抗震等级以及主体结构的抗震措施等与现浇混凝土结构相同。</w:t>
      </w:r>
    </w:p>
    <w:p>
      <w:pPr>
        <w:numPr>
          <w:ilvl w:val="2"/>
          <w:numId w:val="1"/>
        </w:numPr>
        <w:bidi w:val="0"/>
        <w:rPr>
          <w:rFonts w:hint="eastAsia"/>
          <w:lang w:val="en-US" w:eastAsia="zh-CN"/>
        </w:rPr>
      </w:pPr>
      <w:r>
        <w:rPr>
          <w:rFonts w:hint="eastAsia"/>
          <w:lang w:val="en-US" w:eastAsia="zh-CN"/>
        </w:rPr>
        <w:t>采用空心叠合楼盖的多、高层建筑，当竖向结构构件全部或部分采用预制装配式构件时，其最大适用高度、抗震等级以及主体结构的抗震措施等应按现行国家标准《建筑与市政工程抗震通用规范》GB 55002、《装配式混凝土建筑技术标准》GB/T 51231、《装配式混凝土结构技术规程》JGJ 1等关于装配式混凝土结构的规定执行。</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3.3.2</w:t>
      </w:r>
      <w:r>
        <w:rPr>
          <w:rFonts w:hint="eastAsia"/>
          <w:u w:val="single"/>
          <w:lang w:val="en-US" w:eastAsia="zh-CN"/>
        </w:rPr>
        <w:t xml:space="preserve"> 采用空心叠合楼盖的多、高层建筑，当竖向结构构件框架柱、剪力墙等全部或部分采用预制装配式构件时，其最大适用高度、抗震等级以及主体结构的抗震措施等与装配式混凝土结构相同。</w:t>
      </w:r>
      <w:r>
        <w:rPr>
          <w:rFonts w:hint="default"/>
          <w:lang w:val="en-US" w:eastAsia="zh-CN"/>
        </w:rPr>
        <w:br w:type="page"/>
      </w:r>
    </w:p>
    <w:p>
      <w:pPr>
        <w:pStyle w:val="3"/>
        <w:bidi w:val="0"/>
        <w:ind w:left="0" w:leftChars="0" w:firstLine="0" w:firstLineChars="0"/>
        <w:outlineLvl w:val="0"/>
        <w:rPr>
          <w:rFonts w:hint="default"/>
          <w:lang w:val="en-US" w:eastAsia="zh-CN"/>
        </w:rPr>
      </w:pPr>
      <w:bookmarkStart w:id="23" w:name="_Toc5670"/>
      <w:r>
        <w:rPr>
          <w:rFonts w:hint="default"/>
          <w:lang w:val="en-US" w:eastAsia="zh-CN"/>
        </w:rPr>
        <w:t>材</w:t>
      </w:r>
      <w:r>
        <w:rPr>
          <w:rFonts w:hint="eastAsia"/>
          <w:lang w:val="en-US" w:eastAsia="zh-CN"/>
        </w:rPr>
        <w:t xml:space="preserve"> </w:t>
      </w:r>
      <w:r>
        <w:rPr>
          <w:rFonts w:hint="default"/>
          <w:lang w:val="en-US" w:eastAsia="zh-CN"/>
        </w:rPr>
        <w:t>料</w:t>
      </w:r>
      <w:bookmarkEnd w:id="23"/>
    </w:p>
    <w:p>
      <w:pPr>
        <w:pStyle w:val="4"/>
        <w:bidi w:val="0"/>
        <w:ind w:left="0" w:leftChars="0" w:firstLine="0" w:firstLineChars="0"/>
        <w:outlineLvl w:val="1"/>
        <w:rPr>
          <w:rFonts w:hint="default"/>
          <w:lang w:val="en-US" w:eastAsia="zh-CN"/>
        </w:rPr>
      </w:pPr>
      <w:bookmarkStart w:id="24" w:name="_Toc7083"/>
      <w:r>
        <w:rPr>
          <w:rFonts w:hint="default"/>
          <w:lang w:val="en-US" w:eastAsia="zh-CN"/>
        </w:rPr>
        <w:t>混凝土</w:t>
      </w:r>
      <w:bookmarkEnd w:id="24"/>
    </w:p>
    <w:p>
      <w:pPr>
        <w:numPr>
          <w:ilvl w:val="2"/>
          <w:numId w:val="1"/>
        </w:numPr>
        <w:bidi w:val="0"/>
        <w:rPr>
          <w:rFonts w:hint="default"/>
          <w:lang w:val="en-US" w:eastAsia="zh-CN"/>
        </w:rPr>
      </w:pPr>
      <w:r>
        <w:rPr>
          <w:rFonts w:hint="default"/>
          <w:lang w:val="en-US" w:eastAsia="zh-CN"/>
        </w:rPr>
        <w:t>预制底板的混凝土强度等级不宜低于C30</w:t>
      </w:r>
      <w:r>
        <w:rPr>
          <w:rFonts w:hint="eastAsia"/>
          <w:lang w:val="en-US" w:eastAsia="zh-CN"/>
        </w:rPr>
        <w:t>；后浇</w:t>
      </w:r>
      <w:r>
        <w:rPr>
          <w:rFonts w:hint="default"/>
          <w:lang w:val="en-US" w:eastAsia="zh-CN"/>
        </w:rPr>
        <w:t>混凝土强度等级不宜低于C30</w:t>
      </w:r>
      <w:r>
        <w:rPr>
          <w:spacing w:val="-9"/>
          <w:sz w:val="24"/>
        </w:rPr>
        <w:t xml:space="preserve">，且不应低于 </w:t>
      </w:r>
      <w:r>
        <w:rPr>
          <w:rFonts w:ascii="Times New Roman" w:eastAsia="Times New Roman"/>
          <w:sz w:val="24"/>
        </w:rPr>
        <w:t>C25</w:t>
      </w:r>
      <w:r>
        <w:rPr>
          <w:sz w:val="24"/>
        </w:rPr>
        <w:t>。</w:t>
      </w:r>
    </w:p>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4.1.1</w:t>
      </w:r>
      <w:r>
        <w:rPr>
          <w:rFonts w:hint="eastAsia"/>
          <w:u w:val="single"/>
          <w:lang w:val="en-US" w:eastAsia="zh-CN"/>
        </w:rPr>
        <w:t xml:space="preserve"> 空心叠合板在后浇肋梁部位采用双向整体式接缝</w:t>
      </w:r>
      <w:r>
        <w:rPr>
          <w:rFonts w:hint="default"/>
          <w:u w:val="single"/>
          <w:lang w:val="en-US" w:eastAsia="zh-CN"/>
        </w:rPr>
        <w:t>连接成一体</w:t>
      </w:r>
      <w:r>
        <w:rPr>
          <w:rFonts w:hint="eastAsia"/>
          <w:u w:val="single"/>
          <w:lang w:val="en-US" w:eastAsia="zh-CN"/>
        </w:rPr>
        <w:t>，接缝处的混凝土强度等级一般不低于预制底板的混凝土强度等级。因此，实际工程中，为了后浇混凝土的整体浇筑方便，整个后浇混凝土强度等级宜与预制底板的混凝土强度相同。</w:t>
      </w:r>
    </w:p>
    <w:p>
      <w:pPr>
        <w:numPr>
          <w:ilvl w:val="2"/>
          <w:numId w:val="1"/>
        </w:numPr>
        <w:bidi w:val="0"/>
        <w:rPr>
          <w:rFonts w:hint="default"/>
          <w:lang w:val="en-US" w:eastAsia="zh-CN"/>
        </w:rPr>
      </w:pPr>
      <w:r>
        <w:rPr>
          <w:rFonts w:hint="default"/>
          <w:lang w:val="en-US" w:eastAsia="zh-CN"/>
        </w:rPr>
        <w:t>预制底板及</w:t>
      </w:r>
      <w:r>
        <w:rPr>
          <w:rFonts w:hint="eastAsia"/>
          <w:lang w:val="en-US" w:eastAsia="zh-CN"/>
        </w:rPr>
        <w:t>后浇混凝土</w:t>
      </w:r>
      <w:r>
        <w:rPr>
          <w:rFonts w:hint="default"/>
          <w:lang w:val="en-US" w:eastAsia="zh-CN"/>
        </w:rPr>
        <w:t>所用混凝土材料的力学性能指标和耐久性要求等应符合现行国家标准《混凝土结构通用规范》GB 55008、《混凝土结构设计规范》GB 50010的有关规定。</w:t>
      </w:r>
    </w:p>
    <w:p>
      <w:pPr>
        <w:numPr>
          <w:ilvl w:val="2"/>
          <w:numId w:val="1"/>
        </w:numPr>
        <w:bidi w:val="0"/>
        <w:rPr>
          <w:rFonts w:hint="default"/>
          <w:highlight w:val="none"/>
          <w:lang w:val="en-US" w:eastAsia="zh-CN"/>
        </w:rPr>
      </w:pPr>
      <w:r>
        <w:rPr>
          <w:rFonts w:hint="default"/>
          <w:highlight w:val="none"/>
          <w:lang w:val="en-US" w:eastAsia="zh-CN"/>
        </w:rPr>
        <w:t>预制底板混凝土的粗骨料</w:t>
      </w:r>
      <w:r>
        <w:rPr>
          <w:rFonts w:hint="eastAsia"/>
          <w:highlight w:val="none"/>
          <w:lang w:val="en-US" w:eastAsia="zh-CN"/>
        </w:rPr>
        <w:t>宜</w:t>
      </w:r>
      <w:r>
        <w:rPr>
          <w:rFonts w:hint="default"/>
          <w:highlight w:val="none"/>
          <w:lang w:val="en-US" w:eastAsia="zh-CN"/>
        </w:rPr>
        <w:t>采用连续级配</w:t>
      </w:r>
      <w:r>
        <w:rPr>
          <w:rFonts w:hint="eastAsia"/>
          <w:highlight w:val="none"/>
          <w:lang w:val="en-US" w:eastAsia="zh-CN"/>
        </w:rPr>
        <w:t>，且粗骨料的</w:t>
      </w:r>
      <w:r>
        <w:rPr>
          <w:rFonts w:hint="default"/>
          <w:highlight w:val="none"/>
          <w:lang w:val="en-US" w:eastAsia="zh-CN"/>
        </w:rPr>
        <w:t>最大</w:t>
      </w:r>
      <w:r>
        <w:rPr>
          <w:rFonts w:hint="eastAsia"/>
          <w:highlight w:val="none"/>
          <w:lang w:val="en-US" w:eastAsia="zh-CN"/>
        </w:rPr>
        <w:t>公称</w:t>
      </w:r>
      <w:r>
        <w:rPr>
          <w:rFonts w:hint="default"/>
          <w:highlight w:val="none"/>
          <w:lang w:val="en-US" w:eastAsia="zh-CN"/>
        </w:rPr>
        <w:t>粒径不宜大于</w:t>
      </w:r>
      <w:r>
        <w:rPr>
          <w:rFonts w:hint="eastAsia"/>
          <w:strike w:val="0"/>
          <w:dstrike w:val="0"/>
          <w:highlight w:val="none"/>
          <w:lang w:val="en-US" w:eastAsia="zh-CN"/>
        </w:rPr>
        <w:t>下翼缘板厚度的1/4</w:t>
      </w:r>
      <w:r>
        <w:rPr>
          <w:rFonts w:hint="default"/>
          <w:highlight w:val="none"/>
          <w:lang w:val="en-US" w:eastAsia="zh-CN"/>
        </w:rPr>
        <w:t>。</w:t>
      </w:r>
    </w:p>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4.1.3</w:t>
      </w:r>
      <w:r>
        <w:rPr>
          <w:rFonts w:hint="eastAsia"/>
          <w:u w:val="single"/>
          <w:lang w:val="en-US" w:eastAsia="zh-CN"/>
        </w:rPr>
        <w:t xml:space="preserve"> </w:t>
      </w:r>
      <w:r>
        <w:rPr>
          <w:rFonts w:hint="default"/>
          <w:u w:val="single"/>
          <w:lang w:val="en-US" w:eastAsia="zh-CN"/>
        </w:rPr>
        <w:t>现行国家标准《混凝土结构工程施工质量验收规范》GB 50204</w:t>
      </w:r>
      <w:r>
        <w:rPr>
          <w:rFonts w:hint="eastAsia"/>
          <w:u w:val="single"/>
          <w:lang w:val="en-US" w:eastAsia="zh-CN"/>
        </w:rPr>
        <w:t>、《混凝土质量控制标准》GB 50164规定：混凝土</w:t>
      </w:r>
      <w:r>
        <w:rPr>
          <w:rFonts w:hint="default"/>
          <w:u w:val="single"/>
          <w:lang w:val="en-US" w:eastAsia="zh-CN"/>
        </w:rPr>
        <w:t>粗骨料</w:t>
      </w:r>
      <w:r>
        <w:rPr>
          <w:rFonts w:hint="eastAsia"/>
          <w:u w:val="single"/>
          <w:lang w:val="en-US" w:eastAsia="zh-CN"/>
        </w:rPr>
        <w:t>宜</w:t>
      </w:r>
      <w:r>
        <w:rPr>
          <w:rFonts w:hint="default"/>
          <w:u w:val="single"/>
          <w:lang w:val="en-US" w:eastAsia="zh-CN"/>
        </w:rPr>
        <w:t>采用连续级配</w:t>
      </w:r>
      <w:r>
        <w:rPr>
          <w:rFonts w:hint="eastAsia"/>
          <w:u w:val="single"/>
          <w:lang w:val="en-US" w:eastAsia="zh-CN"/>
        </w:rPr>
        <w:t>；粗骨料的最大公称粒径不得大于构件截面最小尺寸的1/4，且不得大于钢筋最小净间距的3/4；对混凝土实心板，骨料的最大公称粒径不宜大于板厚的1/3，且不得大于40mm。本规程偏严考虑采用：</w:t>
      </w:r>
      <w:r>
        <w:rPr>
          <w:rFonts w:hint="eastAsia"/>
          <w:highlight w:val="none"/>
          <w:u w:val="single"/>
          <w:lang w:val="en-US" w:eastAsia="zh-CN"/>
        </w:rPr>
        <w:t>粗骨料的</w:t>
      </w:r>
      <w:r>
        <w:rPr>
          <w:rFonts w:hint="default"/>
          <w:highlight w:val="none"/>
          <w:u w:val="single"/>
          <w:lang w:val="en-US" w:eastAsia="zh-CN"/>
        </w:rPr>
        <w:t>最大</w:t>
      </w:r>
      <w:r>
        <w:rPr>
          <w:rFonts w:hint="eastAsia"/>
          <w:highlight w:val="none"/>
          <w:u w:val="single"/>
          <w:lang w:val="en-US" w:eastAsia="zh-CN"/>
        </w:rPr>
        <w:t>公称</w:t>
      </w:r>
      <w:r>
        <w:rPr>
          <w:rFonts w:hint="default"/>
          <w:highlight w:val="none"/>
          <w:u w:val="single"/>
          <w:lang w:val="en-US" w:eastAsia="zh-CN"/>
        </w:rPr>
        <w:t>粒径不宜大于</w:t>
      </w:r>
      <w:r>
        <w:rPr>
          <w:rFonts w:hint="eastAsia"/>
          <w:highlight w:val="none"/>
          <w:u w:val="single"/>
          <w:lang w:val="en-US" w:eastAsia="zh-CN"/>
        </w:rPr>
        <w:t>下翼缘板厚度的1/4。</w:t>
      </w:r>
    </w:p>
    <w:p>
      <w:pPr>
        <w:pStyle w:val="4"/>
        <w:bidi w:val="0"/>
        <w:ind w:left="0" w:leftChars="0" w:firstLine="0" w:firstLineChars="0"/>
        <w:outlineLvl w:val="1"/>
        <w:rPr>
          <w:rFonts w:hint="default"/>
          <w:lang w:val="en-US" w:eastAsia="zh-CN"/>
        </w:rPr>
      </w:pPr>
      <w:bookmarkStart w:id="25" w:name="_Toc4516"/>
      <w:r>
        <w:rPr>
          <w:rFonts w:hint="default"/>
          <w:lang w:val="en-US" w:eastAsia="zh-CN"/>
        </w:rPr>
        <w:t>钢筋</w:t>
      </w:r>
      <w:bookmarkEnd w:id="25"/>
    </w:p>
    <w:p>
      <w:pPr>
        <w:numPr>
          <w:ilvl w:val="2"/>
          <w:numId w:val="1"/>
        </w:numPr>
        <w:bidi w:val="0"/>
        <w:rPr>
          <w:rFonts w:hint="default"/>
          <w:lang w:val="en-US" w:eastAsia="zh-CN"/>
        </w:rPr>
      </w:pPr>
      <w:r>
        <w:rPr>
          <w:rFonts w:hint="default"/>
          <w:lang w:val="en-US" w:eastAsia="zh-CN"/>
        </w:rPr>
        <w:t>钢筋的力学性能和工艺性能应符合现行国家标准《混凝土结构通用规范》GB 55008、《混凝土结构设计规范》GB 50010、《冷轧带肋钢筋混凝土结构技术规程》JGJ 95、《钢筋焊接网混凝土结构技术规程》JGJ 114等的有关规定。</w:t>
      </w:r>
    </w:p>
    <w:p>
      <w:pPr>
        <w:numPr>
          <w:ilvl w:val="2"/>
          <w:numId w:val="1"/>
        </w:numPr>
        <w:bidi w:val="0"/>
        <w:rPr>
          <w:rFonts w:hint="default"/>
          <w:lang w:val="en-US" w:eastAsia="zh-CN"/>
        </w:rPr>
      </w:pPr>
      <w:r>
        <w:rPr>
          <w:rFonts w:hint="default"/>
          <w:lang w:val="en-US" w:eastAsia="zh-CN"/>
        </w:rPr>
        <w:t>肋梁</w:t>
      </w:r>
      <w:r>
        <w:rPr>
          <w:rFonts w:hint="eastAsia"/>
          <w:lang w:val="en-US" w:eastAsia="zh-CN"/>
        </w:rPr>
        <w:t>纵筋</w:t>
      </w:r>
      <w:r>
        <w:rPr>
          <w:rFonts w:hint="default"/>
          <w:lang w:val="en-US" w:eastAsia="zh-CN"/>
        </w:rPr>
        <w:t>宜采用HRB400、HRB500钢筋；肋梁</w:t>
      </w:r>
      <w:r>
        <w:rPr>
          <w:rFonts w:hint="eastAsia"/>
          <w:lang w:val="en-US" w:eastAsia="zh-CN"/>
        </w:rPr>
        <w:t>箍筋</w:t>
      </w:r>
      <w:r>
        <w:rPr>
          <w:rFonts w:hint="default"/>
          <w:lang w:val="en-US" w:eastAsia="zh-CN"/>
        </w:rPr>
        <w:t>宜采用HRB400钢筋</w:t>
      </w:r>
      <w:r>
        <w:rPr>
          <w:rFonts w:hint="eastAsia"/>
          <w:lang w:val="en-US" w:eastAsia="zh-CN"/>
        </w:rPr>
        <w:t>；上翼缘板、下翼缘板宜</w:t>
      </w:r>
      <w:r>
        <w:rPr>
          <w:rFonts w:hint="default"/>
          <w:lang w:val="en-US" w:eastAsia="zh-CN"/>
        </w:rPr>
        <w:t>采用HRB400、HRB500</w:t>
      </w:r>
      <w:r>
        <w:rPr>
          <w:rFonts w:hint="eastAsia"/>
          <w:lang w:val="en-US" w:eastAsia="zh-CN"/>
        </w:rPr>
        <w:t>、</w:t>
      </w:r>
      <w:r>
        <w:rPr>
          <w:rFonts w:hint="default"/>
          <w:lang w:val="en-US" w:eastAsia="zh-CN"/>
        </w:rPr>
        <w:t>CRB550、CRB600H钢筋，直径不宜小于6mm。</w:t>
      </w:r>
    </w:p>
    <w:p>
      <w:pPr>
        <w:numPr>
          <w:ilvl w:val="2"/>
          <w:numId w:val="1"/>
        </w:numPr>
        <w:bidi w:val="0"/>
        <w:rPr>
          <w:rFonts w:hint="default"/>
          <w:lang w:val="en-US" w:eastAsia="zh-CN"/>
        </w:rPr>
      </w:pPr>
      <w:r>
        <w:rPr>
          <w:rFonts w:hint="default"/>
          <w:highlight w:val="none"/>
          <w:lang w:val="en-US" w:eastAsia="zh-CN"/>
        </w:rPr>
        <w:t>叠合肋梁底部纵筋宜采用符合现行国家标准《钢筋机械连接技术规程》JGJ 107规定的</w:t>
      </w:r>
      <w:r>
        <w:rPr>
          <w:rFonts w:hint="eastAsia"/>
          <w:highlight w:val="none"/>
          <w:lang w:val="en-US" w:eastAsia="zh-CN"/>
        </w:rPr>
        <w:t>钢筋挤压套筒及不低于Ⅱ</w:t>
      </w:r>
      <w:r>
        <w:rPr>
          <w:rFonts w:hint="default"/>
          <w:highlight w:val="none"/>
          <w:lang w:val="en-US" w:eastAsia="zh-CN"/>
        </w:rPr>
        <w:t>级接头标准的套筒挤压接头</w:t>
      </w:r>
      <w:r>
        <w:rPr>
          <w:rFonts w:hint="eastAsia"/>
          <w:highlight w:val="none"/>
          <w:lang w:val="en-US" w:eastAsia="zh-CN"/>
        </w:rPr>
        <w:t>进行机械</w:t>
      </w:r>
      <w:r>
        <w:rPr>
          <w:rFonts w:hint="default"/>
          <w:highlight w:val="none"/>
          <w:lang w:val="en-US" w:eastAsia="zh-CN"/>
        </w:rPr>
        <w:t>连接</w:t>
      </w:r>
      <w:r>
        <w:rPr>
          <w:rFonts w:hint="eastAsia"/>
          <w:highlight w:val="none"/>
          <w:lang w:val="en-US" w:eastAsia="zh-CN"/>
        </w:rPr>
        <w:t>。</w:t>
      </w:r>
    </w:p>
    <w:p>
      <w:pPr>
        <w:numPr>
          <w:ilvl w:val="0"/>
          <w:numId w:val="0"/>
        </w:numPr>
        <w:tabs>
          <w:tab w:val="left" w:pos="0"/>
        </w:tabs>
        <w:bidi w:val="0"/>
        <w:ind w:leftChars="0"/>
        <w:rPr>
          <w:rFonts w:hint="eastAsia"/>
          <w:u w:val="single"/>
          <w:lang w:val="en-US" w:eastAsia="zh-CN"/>
        </w:rPr>
      </w:pPr>
      <w:r>
        <w:rPr>
          <w:rFonts w:hint="eastAsia"/>
          <w:u w:val="single"/>
          <w:lang w:val="en-US" w:eastAsia="zh-CN"/>
        </w:rPr>
        <w:t>【条文说明】4.2.3 首先，叠合肋梁虽然名字上习惯叫肋梁，但是其实它是空心叠合板的一部分，钢筋的延性要求不高；其次，同方向叠合肋梁底部纵筋同部位的接头率为100%，但加上同方向后浇肋梁的底部纵筋没有任何接头，空心叠合板同方向肋梁底部纵筋的接头率大概在50%~80%之间；再者，为了做到预制底板的标准化，叠合肋梁不管其具体位置如何其配筋均按照跨中叠合肋梁的最大配筋进行配置，只有跨中肋梁的底部纵筋可以充分发挥其抗拉能力，大部分叠合肋梁底部纵筋是不可能充分发挥其抗拉能力的。另外，按照现行国家标准《装配式混凝土建筑技术标准》GB/T 51231、现行协会标准《</w:t>
      </w:r>
      <w:r>
        <w:rPr>
          <w:rFonts w:hint="default"/>
          <w:u w:val="single"/>
          <w:lang w:val="en-US" w:eastAsia="zh-CN"/>
        </w:rPr>
        <w:t>钢筋机械连接装配式混凝土结构技术规程</w:t>
      </w:r>
      <w:r>
        <w:rPr>
          <w:rFonts w:hint="eastAsia"/>
          <w:u w:val="single"/>
          <w:lang w:val="en-US" w:eastAsia="zh-CN"/>
        </w:rPr>
        <w:t>》</w:t>
      </w:r>
      <w:r>
        <w:rPr>
          <w:rFonts w:hint="default"/>
          <w:u w:val="single"/>
          <w:lang w:val="en-US" w:eastAsia="zh-CN"/>
        </w:rPr>
        <w:t>CECS 444</w:t>
      </w:r>
      <w:r>
        <w:rPr>
          <w:rFonts w:hint="eastAsia"/>
          <w:u w:val="single"/>
          <w:lang w:val="en-US" w:eastAsia="zh-CN"/>
        </w:rPr>
        <w:t>的有关规定，处于箍筋加密区的纵筋，在接头率100%的情况下，也可以采用机械连接接头进行钢筋机械连接；现行国家标准《混凝土结构设计规范》GB 50010（2015年版）8.4.7条规定，预制构件的拼接处，钢筋机械接头的面积百分率，可根据实际情况放宽。因此，综合以上各个方面，本规程规定钢筋机械接头的性能可采用Ⅱ级。</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leftChars="0" w:firstLine="480" w:firstLineChars="200"/>
        <w:textAlignment w:val="auto"/>
        <w:rPr>
          <w:rFonts w:hint="eastAsia"/>
          <w:u w:val="single"/>
          <w:lang w:val="en-US" w:eastAsia="zh-CN"/>
        </w:rPr>
      </w:pPr>
      <w:r>
        <w:rPr>
          <w:rFonts w:hint="eastAsia"/>
          <w:u w:val="single"/>
          <w:lang w:val="en-US" w:eastAsia="zh-CN"/>
        </w:rPr>
        <w:t>另外，由于操作空间有限，以及考虑到预制底板加工精度的影响，叠合肋梁底部纵筋宜采用套筒挤压接头，并使用专用机械挤压设备进行机械连接。</w:t>
      </w:r>
    </w:p>
    <w:p>
      <w:pPr>
        <w:numPr>
          <w:ilvl w:val="2"/>
          <w:numId w:val="1"/>
        </w:numPr>
        <w:bidi w:val="0"/>
        <w:rPr>
          <w:rFonts w:hint="default"/>
          <w:lang w:val="en-US" w:eastAsia="zh-CN"/>
        </w:rPr>
      </w:pPr>
      <w:r>
        <w:rPr>
          <w:rFonts w:hint="default"/>
          <w:lang w:val="en-US" w:eastAsia="zh-CN"/>
        </w:rPr>
        <w:t>连接用焊接材料应符合国家现行标准《钢筋焊接及验收规程》JGJ 18、《钢结构焊接规范》GB 50661、《钢结构设计标准》GB 50017等的有关规定。</w:t>
      </w:r>
    </w:p>
    <w:p>
      <w:pPr>
        <w:numPr>
          <w:ilvl w:val="2"/>
          <w:numId w:val="1"/>
        </w:numPr>
        <w:bidi w:val="0"/>
        <w:rPr>
          <w:rFonts w:hint="default" w:ascii="Times New Roman" w:hAnsi="Times New Roman" w:eastAsia="宋体"/>
          <w:lang w:val="en-US" w:eastAsia="zh-CN"/>
        </w:rPr>
      </w:pPr>
      <w:r>
        <w:rPr>
          <w:rFonts w:hint="default" w:ascii="Times New Roman" w:hAnsi="Times New Roman" w:eastAsia="宋体"/>
          <w:lang w:val="en-US" w:eastAsia="zh-CN"/>
        </w:rPr>
        <w:t>当吊环直径</w:t>
      </w:r>
      <w:r>
        <w:rPr>
          <w:rFonts w:hint="eastAsia" w:ascii="Times New Roman" w:hAnsi="Times New Roman" w:eastAsia="宋体"/>
          <w:lang w:val="en-US" w:eastAsia="zh-CN"/>
        </w:rPr>
        <w:t>不大于</w:t>
      </w:r>
      <w:r>
        <w:rPr>
          <w:rFonts w:hint="default" w:ascii="Times New Roman" w:hAnsi="Times New Roman" w:eastAsia="宋体"/>
          <w:lang w:val="en-US" w:eastAsia="zh-CN"/>
        </w:rPr>
        <w:t>14mm时，</w:t>
      </w:r>
      <w:r>
        <w:rPr>
          <w:rFonts w:hint="eastAsia" w:ascii="Times New Roman" w:hAnsi="Times New Roman" w:eastAsia="宋体"/>
          <w:lang w:val="en-US" w:eastAsia="zh-CN"/>
        </w:rPr>
        <w:t>应</w:t>
      </w:r>
      <w:r>
        <w:rPr>
          <w:rFonts w:hint="default" w:ascii="Times New Roman" w:hAnsi="Times New Roman" w:eastAsia="宋体"/>
          <w:lang w:val="en-US" w:eastAsia="zh-CN"/>
        </w:rPr>
        <w:t>采用HPB300钢筋</w:t>
      </w:r>
      <w:r>
        <w:rPr>
          <w:rFonts w:hint="eastAsia" w:ascii="Times New Roman" w:hAnsi="Times New Roman" w:eastAsia="宋体"/>
          <w:lang w:val="en-US" w:eastAsia="zh-CN"/>
        </w:rPr>
        <w:t>制作，</w:t>
      </w:r>
      <w:r>
        <w:rPr>
          <w:rFonts w:hint="default" w:ascii="Times New Roman" w:hAnsi="Times New Roman" w:eastAsia="宋体"/>
          <w:lang w:val="en-US" w:eastAsia="zh-CN"/>
        </w:rPr>
        <w:t>当吊环直径大于14mm时，</w:t>
      </w:r>
      <w:r>
        <w:rPr>
          <w:rFonts w:hint="eastAsia" w:ascii="Times New Roman" w:hAnsi="Times New Roman" w:eastAsia="宋体"/>
          <w:lang w:val="en-US" w:eastAsia="zh-CN"/>
        </w:rPr>
        <w:t>应</w:t>
      </w:r>
      <w:r>
        <w:rPr>
          <w:rFonts w:hint="default" w:ascii="Times New Roman" w:hAnsi="Times New Roman" w:eastAsia="宋体"/>
          <w:lang w:val="en-US" w:eastAsia="zh-CN"/>
        </w:rPr>
        <w:t>采用Q235B圆钢</w:t>
      </w:r>
      <w:r>
        <w:rPr>
          <w:rFonts w:hint="eastAsia" w:ascii="Times New Roman" w:hAnsi="Times New Roman" w:eastAsia="宋体"/>
          <w:lang w:val="en-US" w:eastAsia="zh-CN"/>
        </w:rPr>
        <w:t>制作</w:t>
      </w:r>
      <w:r>
        <w:rPr>
          <w:rFonts w:hint="default" w:ascii="Times New Roman" w:hAnsi="Times New Roman" w:eastAsia="宋体"/>
          <w:lang w:val="en-US" w:eastAsia="zh-CN"/>
        </w:rPr>
        <w:t>；严禁使用冷加工钢筋。</w:t>
      </w:r>
    </w:p>
    <w:p>
      <w:pPr>
        <w:pStyle w:val="20"/>
        <w:spacing w:line="360" w:lineRule="auto"/>
        <w:rPr>
          <w:rFonts w:hint="default"/>
          <w:strike w:val="0"/>
          <w:dstrike w:val="0"/>
          <w:u w:val="single"/>
          <w:lang w:val="en-US" w:eastAsia="zh-CN"/>
        </w:rPr>
      </w:pPr>
      <w:r>
        <w:rPr>
          <w:rFonts w:hint="eastAsia" w:ascii="Times New Roman" w:hAnsi="Times New Roman"/>
          <w:u w:val="single"/>
          <w:lang w:val="en-US" w:eastAsia="zh-CN"/>
        </w:rPr>
        <w:t xml:space="preserve">【条文说明】4.2.5 </w:t>
      </w:r>
      <w:r>
        <w:rPr>
          <w:rFonts w:hint="eastAsia" w:ascii="Times New Roman" w:hAnsi="Times New Roman"/>
          <w:strike w:val="0"/>
          <w:dstrike w:val="0"/>
          <w:u w:val="single"/>
          <w:lang w:val="en-US" w:eastAsia="zh-CN"/>
        </w:rPr>
        <w:t>本</w:t>
      </w:r>
      <w:r>
        <w:rPr>
          <w:rFonts w:hint="default" w:ascii="Times New Roman" w:hAnsi="Times New Roman" w:cs="Times New Roman"/>
          <w:strike w:val="0"/>
          <w:dstrike w:val="0"/>
          <w:u w:val="single"/>
          <w:lang w:val="en-US" w:eastAsia="zh-CN"/>
        </w:rPr>
        <w:t>条根据现行国家标准《混凝土结构设计规范》GB 50010</w:t>
      </w:r>
      <w:r>
        <w:rPr>
          <w:rFonts w:hint="eastAsia"/>
          <w:strike w:val="0"/>
          <w:dstrike w:val="0"/>
          <w:u w:val="single"/>
          <w:lang w:val="en-US" w:eastAsia="zh-CN"/>
        </w:rPr>
        <w:t>的有关规定提出。</w:t>
      </w:r>
    </w:p>
    <w:p>
      <w:pPr>
        <w:pStyle w:val="4"/>
        <w:bidi w:val="0"/>
        <w:ind w:left="0" w:leftChars="0" w:firstLine="0" w:firstLineChars="0"/>
        <w:outlineLvl w:val="1"/>
        <w:rPr>
          <w:rFonts w:hint="default"/>
          <w:lang w:val="en-US" w:eastAsia="zh-CN"/>
        </w:rPr>
      </w:pPr>
      <w:bookmarkStart w:id="26" w:name="_Toc18065"/>
      <w:r>
        <w:rPr>
          <w:rFonts w:hint="default"/>
          <w:lang w:val="en-US" w:eastAsia="zh-CN"/>
        </w:rPr>
        <w:t>箱型填充体</w:t>
      </w:r>
      <w:bookmarkEnd w:id="26"/>
    </w:p>
    <w:p>
      <w:pPr>
        <w:numPr>
          <w:ilvl w:val="2"/>
          <w:numId w:val="1"/>
        </w:numPr>
        <w:bidi w:val="0"/>
        <w:rPr>
          <w:rFonts w:hint="default" w:ascii="Times New Roman" w:hAnsi="Times New Roman" w:eastAsia="宋体"/>
          <w:lang w:val="en-US" w:eastAsia="zh-CN"/>
        </w:rPr>
      </w:pPr>
      <w:r>
        <w:rPr>
          <w:rFonts w:hint="default"/>
          <w:lang w:val="en-US" w:eastAsia="zh-CN"/>
        </w:rPr>
        <w:t>箱型填充体宜采用塑料材质，</w:t>
      </w:r>
      <w:r>
        <w:rPr>
          <w:rFonts w:hint="eastAsia"/>
          <w:lang w:val="en-US" w:eastAsia="zh-CN"/>
        </w:rPr>
        <w:t>也可采用其他材质。氯离子含量</w:t>
      </w:r>
      <w:r>
        <w:rPr>
          <w:rFonts w:hint="default"/>
          <w:lang w:val="en-US" w:eastAsia="zh-CN"/>
        </w:rPr>
        <w:t>和碱含量应符合现行国家标准《混凝土结构设计规范》GB 50010中对混凝土材料的要求；放射性核素的限量应符合现行国家标准《建筑材料放射性核素限量》GB 6566的要求；</w:t>
      </w:r>
      <w:r>
        <w:rPr>
          <w:rFonts w:hint="eastAsia" w:ascii="Times New Roman" w:hAnsi="Times New Roman" w:eastAsia="宋体"/>
          <w:lang w:val="en-US" w:eastAsia="zh-CN"/>
        </w:rPr>
        <w:t>正常使用环境下应符合现行国家标准《民用建筑工程室内环境污染控制规范》</w:t>
      </w:r>
      <w:r>
        <w:rPr>
          <w:rFonts w:hint="default" w:ascii="Times New Roman" w:hAnsi="Times New Roman" w:eastAsia="宋体"/>
          <w:lang w:val="en-US" w:eastAsia="zh-CN"/>
        </w:rPr>
        <w:t xml:space="preserve">GB5 0325 </w:t>
      </w:r>
      <w:r>
        <w:rPr>
          <w:rFonts w:hint="eastAsia" w:ascii="Times New Roman" w:hAnsi="Times New Roman" w:eastAsia="宋体"/>
          <w:lang w:val="en-US" w:eastAsia="zh-CN"/>
        </w:rPr>
        <w:t>的要求。</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4.3.1</w:t>
      </w:r>
      <w:r>
        <w:rPr>
          <w:rFonts w:hint="eastAsia"/>
          <w:u w:val="single"/>
          <w:lang w:val="en-US" w:eastAsia="zh-CN"/>
        </w:rPr>
        <w:t xml:space="preserve"> </w:t>
      </w:r>
      <w:r>
        <w:rPr>
          <w:rFonts w:hint="default"/>
          <w:u w:val="single"/>
          <w:lang w:val="en-US" w:eastAsia="zh-CN"/>
        </w:rPr>
        <w:t>本条</w:t>
      </w:r>
      <w:r>
        <w:rPr>
          <w:rFonts w:hint="eastAsia"/>
          <w:u w:val="single"/>
          <w:lang w:val="en-US" w:eastAsia="zh-CN"/>
        </w:rPr>
        <w:t>对箱型填充体</w:t>
      </w:r>
      <w:r>
        <w:rPr>
          <w:rFonts w:hint="default"/>
          <w:u w:val="single"/>
          <w:lang w:val="en-US" w:eastAsia="zh-CN"/>
        </w:rPr>
        <w:t>有害物质含量作了规定，考虑填充体可能含有对</w:t>
      </w:r>
      <w:r>
        <w:rPr>
          <w:rFonts w:hint="eastAsia"/>
          <w:u w:val="single"/>
          <w:lang w:val="en-US" w:eastAsia="zh-CN"/>
        </w:rPr>
        <w:t>混凝土</w:t>
      </w:r>
      <w:r>
        <w:rPr>
          <w:rFonts w:hint="default"/>
          <w:u w:val="single"/>
          <w:lang w:val="en-US" w:eastAsia="zh-CN"/>
        </w:rPr>
        <w:t>结构有害成分，尤其是氯离子</w:t>
      </w:r>
      <w:r>
        <w:rPr>
          <w:rFonts w:hint="eastAsia"/>
          <w:u w:val="single"/>
          <w:lang w:val="en-US" w:eastAsia="zh-CN"/>
        </w:rPr>
        <w:t>含量、碱含量</w:t>
      </w:r>
      <w:r>
        <w:rPr>
          <w:rFonts w:hint="default"/>
          <w:u w:val="single"/>
          <w:lang w:val="en-US" w:eastAsia="zh-CN"/>
        </w:rPr>
        <w:t>应符合</w:t>
      </w:r>
      <w:r>
        <w:rPr>
          <w:rFonts w:hint="eastAsia"/>
          <w:u w:val="single"/>
          <w:lang w:val="en-US" w:eastAsia="zh-CN"/>
        </w:rPr>
        <w:t>现行国家标准</w:t>
      </w:r>
      <w:r>
        <w:rPr>
          <w:rFonts w:hint="default"/>
          <w:u w:val="single"/>
          <w:lang w:val="en-US" w:eastAsia="zh-CN"/>
        </w:rPr>
        <w:t>《混凝土结构设计规范》</w:t>
      </w:r>
      <w:r>
        <w:rPr>
          <w:rFonts w:hint="default" w:ascii="Times New Roman" w:hAnsi="Times New Roman" w:cs="Times New Roman"/>
          <w:u w:val="single"/>
          <w:lang w:val="en-US" w:eastAsia="zh-CN"/>
        </w:rPr>
        <w:t>GB 50010</w:t>
      </w:r>
      <w:r>
        <w:rPr>
          <w:rFonts w:hint="default"/>
          <w:u w:val="single"/>
          <w:lang w:val="en-US" w:eastAsia="zh-CN"/>
        </w:rPr>
        <w:t>的要求</w:t>
      </w:r>
      <w:r>
        <w:rPr>
          <w:rFonts w:hint="eastAsia"/>
          <w:u w:val="single"/>
          <w:lang w:val="en-US" w:eastAsia="zh-CN"/>
        </w:rPr>
        <w:t>。</w:t>
      </w:r>
    </w:p>
    <w:p>
      <w:pPr>
        <w:numPr>
          <w:ilvl w:val="2"/>
          <w:numId w:val="1"/>
        </w:numPr>
        <w:bidi w:val="0"/>
        <w:rPr>
          <w:rFonts w:hint="default"/>
          <w:lang w:val="en-US" w:eastAsia="zh-CN"/>
        </w:rPr>
      </w:pPr>
      <w:r>
        <w:rPr>
          <w:rFonts w:hint="eastAsia"/>
          <w:strike w:val="0"/>
          <w:dstrike w:val="0"/>
          <w:highlight w:val="none"/>
          <w:lang w:val="en-US" w:eastAsia="zh-CN"/>
        </w:rPr>
        <w:t>箱型填充体的</w:t>
      </w:r>
      <w:r>
        <w:rPr>
          <w:rFonts w:hint="eastAsia"/>
          <w:lang w:val="en-US" w:eastAsia="zh-CN"/>
        </w:rPr>
        <w:t>产烟毒性应满足《材料产烟毒性危险分级》</w:t>
      </w:r>
      <w:r>
        <w:rPr>
          <w:rFonts w:hint="default"/>
          <w:lang w:val="en-US" w:eastAsia="zh-CN"/>
        </w:rPr>
        <w:t>GB/T</w:t>
      </w:r>
      <w:r>
        <w:rPr>
          <w:rFonts w:hint="eastAsia"/>
          <w:lang w:val="en-US" w:eastAsia="zh-CN"/>
        </w:rPr>
        <w:t xml:space="preserve"> </w:t>
      </w:r>
      <w:r>
        <w:rPr>
          <w:rFonts w:hint="default"/>
          <w:lang w:val="en-US" w:eastAsia="zh-CN"/>
        </w:rPr>
        <w:t>20285</w:t>
      </w:r>
      <w:r>
        <w:rPr>
          <w:rFonts w:hint="eastAsia"/>
          <w:lang w:val="en-US" w:eastAsia="zh-CN"/>
        </w:rPr>
        <w:t>准安全级的要求。填充体不应采用聚苯乙烯泡沫制品及聚氨酯泡沫制品。</w:t>
      </w:r>
    </w:p>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4.3.2</w:t>
      </w:r>
      <w:r>
        <w:rPr>
          <w:rFonts w:hint="eastAsia"/>
          <w:u w:val="single"/>
          <w:lang w:val="en-US" w:eastAsia="zh-CN"/>
        </w:rPr>
        <w:t xml:space="preserve"> 本条对箱型填充体面对火灾时的产烟毒性提出了要求。填充体不应采用聚苯乙烯泡沫制品及聚氨酯泡沫制品，也是从这个角度出发提出的。</w:t>
      </w:r>
      <w:r>
        <w:rPr>
          <w:rFonts w:hint="eastAsia"/>
          <w:highlight w:val="none"/>
          <w:u w:val="single"/>
          <w:lang w:val="en-US" w:eastAsia="zh-CN"/>
        </w:rPr>
        <w:t>由于填充体本身在施工阶段仅用于减少楼板重量、作为混凝土浇筑时的模板使用，到后期空心叠合板的使用阶段，填充体则没有实质性作用，故对填充体自身的燃烧性能没有提出要求。</w:t>
      </w:r>
    </w:p>
    <w:p>
      <w:pPr>
        <w:numPr>
          <w:ilvl w:val="2"/>
          <w:numId w:val="1"/>
        </w:numPr>
        <w:bidi w:val="0"/>
        <w:rPr>
          <w:rFonts w:hint="default"/>
          <w:lang w:val="en-US" w:eastAsia="zh-CN"/>
        </w:rPr>
      </w:pPr>
      <w:r>
        <w:rPr>
          <w:rFonts w:hint="default"/>
          <w:lang w:val="en-US" w:eastAsia="zh-CN"/>
        </w:rPr>
        <w:t>箱型填充体的规格尺寸应根据具体工程需要确定，边长</w:t>
      </w:r>
      <w:r>
        <w:rPr>
          <w:rFonts w:hint="eastAsia"/>
          <w:lang w:val="en-US" w:eastAsia="zh-CN"/>
        </w:rPr>
        <w:t>宜</w:t>
      </w:r>
      <w:r>
        <w:rPr>
          <w:rFonts w:hint="default"/>
          <w:lang w:val="en-US" w:eastAsia="zh-CN"/>
        </w:rPr>
        <w:t>取800～1</w:t>
      </w:r>
      <w:r>
        <w:rPr>
          <w:rFonts w:hint="eastAsia"/>
          <w:lang w:val="en-US" w:eastAsia="zh-CN"/>
        </w:rPr>
        <w:t>0</w:t>
      </w:r>
      <w:r>
        <w:rPr>
          <w:rFonts w:hint="default"/>
          <w:lang w:val="en-US" w:eastAsia="zh-CN"/>
        </w:rPr>
        <w:t>00mm，</w:t>
      </w:r>
      <w:r>
        <w:rPr>
          <w:rFonts w:hint="eastAsia"/>
          <w:lang w:val="en-US" w:eastAsia="zh-CN"/>
        </w:rPr>
        <w:t>高度宜取100~500mm，</w:t>
      </w:r>
      <w:r>
        <w:rPr>
          <w:rFonts w:hint="default"/>
          <w:lang w:val="en-US" w:eastAsia="zh-CN"/>
        </w:rPr>
        <w:t>尺寸允许偏差</w:t>
      </w:r>
      <w:r>
        <w:rPr>
          <w:rFonts w:hint="eastAsia" w:ascii="Times New Roman" w:hAnsi="Times New Roman" w:eastAsia="宋体"/>
          <w:lang w:val="en-US" w:eastAsia="zh-CN"/>
        </w:rPr>
        <w:t>及</w:t>
      </w:r>
      <w:r>
        <w:rPr>
          <w:rFonts w:hint="default" w:ascii="Times New Roman" w:hAnsi="Times New Roman" w:eastAsia="宋体"/>
          <w:lang w:val="en-US" w:eastAsia="zh-CN"/>
        </w:rPr>
        <w:t>检验方法</w:t>
      </w:r>
      <w:r>
        <w:rPr>
          <w:rFonts w:hint="default"/>
          <w:lang w:val="en-US" w:eastAsia="zh-CN"/>
        </w:rPr>
        <w:t>应符合</w:t>
      </w:r>
      <w:r>
        <w:rPr>
          <w:rFonts w:hint="default"/>
          <w:lang w:val="en-US" w:eastAsia="zh-CN"/>
        </w:rPr>
        <w:fldChar w:fldCharType="begin"/>
      </w:r>
      <w:r>
        <w:rPr>
          <w:rFonts w:hint="default"/>
          <w:lang w:val="en-US" w:eastAsia="zh-CN"/>
        </w:rPr>
        <w:instrText xml:space="preserve"> REF _Ref31774 \h </w:instrText>
      </w:r>
      <w:r>
        <w:rPr>
          <w:rFonts w:hint="default"/>
          <w:lang w:val="en-US" w:eastAsia="zh-CN"/>
        </w:rPr>
        <w:fldChar w:fldCharType="separate"/>
      </w:r>
      <w:r>
        <w:rPr>
          <w:rFonts w:hint="default"/>
          <w:lang w:val="en-US" w:eastAsia="zh-CN"/>
        </w:rPr>
        <w:t>表4.3.</w:t>
      </w:r>
      <w:r>
        <w:rPr>
          <w:rFonts w:hint="eastAsia"/>
          <w:lang w:val="en-US" w:eastAsia="zh-CN"/>
        </w:rPr>
        <w:t>3</w:t>
      </w:r>
      <w:r>
        <w:rPr>
          <w:rFonts w:hint="default"/>
          <w:lang w:val="en-US" w:eastAsia="zh-CN"/>
        </w:rPr>
        <w:fldChar w:fldCharType="end"/>
      </w:r>
      <w:r>
        <w:rPr>
          <w:rFonts w:hint="default"/>
          <w:lang w:val="en-US" w:eastAsia="zh-CN"/>
        </w:rPr>
        <w:t>的规定。</w:t>
      </w:r>
      <w:r>
        <w:rPr>
          <w:rFonts w:hint="eastAsia"/>
          <w:lang w:val="en-US" w:eastAsia="zh-CN"/>
        </w:rPr>
        <w:t>填充体</w:t>
      </w:r>
      <w:r>
        <w:rPr>
          <w:rFonts w:hint="default"/>
          <w:lang w:val="en-US" w:eastAsia="zh-CN"/>
        </w:rPr>
        <w:t>的外观质量应符合下列规定：</w:t>
      </w:r>
    </w:p>
    <w:p>
      <w:pPr>
        <w:keepNext w:val="0"/>
        <w:keepLines w:val="0"/>
        <w:pageBreakBefore w:val="0"/>
        <w:widowControl w:val="0"/>
        <w:numPr>
          <w:ilvl w:val="0"/>
          <w:numId w:val="3"/>
        </w:numPr>
        <w:tabs>
          <w:tab w:val="left" w:pos="420"/>
          <w:tab w:val="clear" w:pos="0"/>
        </w:tabs>
        <w:kinsoku/>
        <w:wordWrap/>
        <w:overflowPunct/>
        <w:topLinePunct w:val="0"/>
        <w:autoSpaceDE/>
        <w:autoSpaceDN/>
        <w:bidi w:val="0"/>
        <w:adjustRightInd/>
        <w:snapToGrid/>
        <w:ind w:left="247" w:leftChars="0" w:hanging="247" w:firstLineChars="0"/>
        <w:textAlignment w:val="auto"/>
        <w:rPr>
          <w:rFonts w:hint="default"/>
          <w:lang w:val="en-US" w:eastAsia="zh-CN"/>
        </w:rPr>
      </w:pPr>
      <w:r>
        <w:rPr>
          <w:rFonts w:hint="default"/>
          <w:lang w:val="en-US" w:eastAsia="zh-CN"/>
        </w:rPr>
        <w:t>表面应平整，无明显</w:t>
      </w:r>
      <w:r>
        <w:rPr>
          <w:rFonts w:hint="eastAsia"/>
          <w:lang w:val="en-US" w:eastAsia="zh-CN"/>
        </w:rPr>
        <w:t>破损、</w:t>
      </w:r>
      <w:r>
        <w:rPr>
          <w:rFonts w:hint="default"/>
          <w:lang w:val="en-US" w:eastAsia="zh-CN"/>
        </w:rPr>
        <w:t>贯通性裂纹、孔洞；</w:t>
      </w:r>
    </w:p>
    <w:p>
      <w:pPr>
        <w:keepNext w:val="0"/>
        <w:keepLines w:val="0"/>
        <w:pageBreakBefore w:val="0"/>
        <w:widowControl w:val="0"/>
        <w:numPr>
          <w:ilvl w:val="0"/>
          <w:numId w:val="3"/>
        </w:numPr>
        <w:tabs>
          <w:tab w:val="left" w:pos="420"/>
          <w:tab w:val="clear" w:pos="0"/>
        </w:tabs>
        <w:kinsoku/>
        <w:wordWrap/>
        <w:overflowPunct/>
        <w:topLinePunct w:val="0"/>
        <w:autoSpaceDE/>
        <w:autoSpaceDN/>
        <w:bidi w:val="0"/>
        <w:adjustRightInd/>
        <w:snapToGrid/>
        <w:ind w:left="247" w:leftChars="0" w:hanging="247" w:firstLineChars="0"/>
        <w:textAlignment w:val="auto"/>
        <w:rPr>
          <w:rFonts w:hint="default"/>
          <w:lang w:val="en-US" w:eastAsia="zh-CN"/>
        </w:rPr>
      </w:pPr>
      <w:r>
        <w:rPr>
          <w:rFonts w:hint="default"/>
          <w:lang w:val="en-US" w:eastAsia="zh-CN"/>
        </w:rPr>
        <w:t>应具有可靠的密封性。</w:t>
      </w:r>
    </w:p>
    <w:p>
      <w:pPr>
        <w:pStyle w:val="7"/>
        <w:bidi w:val="0"/>
        <w:jc w:val="center"/>
        <w:rPr>
          <w:rStyle w:val="25"/>
          <w:rFonts w:hint="default"/>
          <w:lang w:val="en-US" w:eastAsia="zh-CN"/>
        </w:rPr>
      </w:pPr>
      <w:bookmarkStart w:id="27" w:name="_Ref31774"/>
      <w:r>
        <w:rPr>
          <w:rStyle w:val="25"/>
        </w:rPr>
        <w:t>表4.3.</w:t>
      </w:r>
      <w:bookmarkEnd w:id="27"/>
      <w:r>
        <w:rPr>
          <w:rStyle w:val="25"/>
          <w:rFonts w:hint="eastAsia"/>
          <w:lang w:val="en-US" w:eastAsia="zh-CN"/>
        </w:rPr>
        <w:t>3 箱型填充体的尺寸允许偏差及检验方法</w:t>
      </w:r>
    </w:p>
    <w:tbl>
      <w:tblPr>
        <w:tblStyle w:val="16"/>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704"/>
        <w:gridCol w:w="4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项目</w:t>
            </w:r>
          </w:p>
        </w:tc>
        <w:tc>
          <w:tcPr>
            <w:tcW w:w="170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允许偏差(mm)</w:t>
            </w:r>
          </w:p>
        </w:tc>
        <w:tc>
          <w:tcPr>
            <w:tcW w:w="4730"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边长</w:t>
            </w:r>
          </w:p>
        </w:tc>
        <w:tc>
          <w:tcPr>
            <w:tcW w:w="170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+5，-8</w:t>
            </w:r>
          </w:p>
        </w:tc>
        <w:tc>
          <w:tcPr>
            <w:tcW w:w="473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沿试样边长各尺量一次，取最大偏差值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高度</w:t>
            </w:r>
          </w:p>
        </w:tc>
        <w:tc>
          <w:tcPr>
            <w:tcW w:w="170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+5，-8</w:t>
            </w:r>
          </w:p>
        </w:tc>
        <w:tc>
          <w:tcPr>
            <w:tcW w:w="473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沿试样4个侧面各尺量一次，取最大偏差值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表面平整度</w:t>
            </w:r>
          </w:p>
        </w:tc>
        <w:tc>
          <w:tcPr>
            <w:tcW w:w="170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5</w:t>
            </w:r>
          </w:p>
        </w:tc>
        <w:tc>
          <w:tcPr>
            <w:tcW w:w="473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用靠尺和塞尺在试样各表面分别量测一次</w:t>
            </w:r>
          </w:p>
          <w:p>
            <w:pPr>
              <w:jc w:val="center"/>
              <w:rPr>
                <w:rFonts w:hint="eastAsia"/>
                <w:sz w:val="21"/>
                <w:szCs w:val="21"/>
                <w:vertAlign w:val="baseline"/>
                <w:lang w:val="en-US" w:eastAsia="zh-CN"/>
              </w:rPr>
            </w:pPr>
            <w:r>
              <w:rPr>
                <w:rFonts w:hint="eastAsia"/>
                <w:sz w:val="21"/>
                <w:szCs w:val="21"/>
                <w:vertAlign w:val="baseline"/>
                <w:lang w:val="en-US" w:eastAsia="zh-CN"/>
              </w:rPr>
              <w:t>取最大偏差值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6"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两对角线长度差</w:t>
            </w:r>
          </w:p>
        </w:tc>
        <w:tc>
          <w:tcPr>
            <w:tcW w:w="1704"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10</w:t>
            </w:r>
          </w:p>
        </w:tc>
        <w:tc>
          <w:tcPr>
            <w:tcW w:w="473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沿试样顶面和底面的对角线分别尺量，</w:t>
            </w:r>
          </w:p>
          <w:p>
            <w:pPr>
              <w:jc w:val="center"/>
              <w:rPr>
                <w:rFonts w:hint="eastAsia"/>
                <w:sz w:val="21"/>
                <w:szCs w:val="21"/>
                <w:vertAlign w:val="baseline"/>
                <w:lang w:val="en-US" w:eastAsia="zh-CN"/>
              </w:rPr>
            </w:pPr>
            <w:r>
              <w:rPr>
                <w:rFonts w:hint="eastAsia"/>
                <w:sz w:val="21"/>
                <w:szCs w:val="21"/>
                <w:vertAlign w:val="baseline"/>
                <w:lang w:val="en-US" w:eastAsia="zh-CN"/>
              </w:rPr>
              <w:t>取较大差值</w:t>
            </w:r>
          </w:p>
        </w:tc>
      </w:tr>
    </w:tbl>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【条文说明】4.3.3 本条提出了箱型填充体的常用尺寸，包括边长和高度。尺寸允许偏差及检验方法均参考现行行业标准</w:t>
      </w:r>
      <w:r>
        <w:rPr>
          <w:rFonts w:hint="default"/>
          <w:u w:val="single"/>
          <w:lang w:val="en-US" w:eastAsia="zh-CN"/>
        </w:rPr>
        <w:t>《现浇混凝土空心楼盖技术规程》JGJ/T 268</w:t>
      </w:r>
      <w:r>
        <w:rPr>
          <w:rFonts w:hint="eastAsia"/>
          <w:u w:val="single"/>
          <w:lang w:val="en-US" w:eastAsia="zh-CN"/>
        </w:rPr>
        <w:t>提出。</w:t>
      </w:r>
    </w:p>
    <w:p>
      <w:pPr>
        <w:numPr>
          <w:ilvl w:val="2"/>
          <w:numId w:val="1"/>
        </w:numPr>
        <w:bidi w:val="0"/>
        <w:rPr>
          <w:rFonts w:hint="default"/>
          <w:lang w:val="en-US" w:eastAsia="zh-CN"/>
        </w:rPr>
      </w:pPr>
      <w:r>
        <w:rPr>
          <w:rFonts w:hint="default"/>
          <w:lang w:val="en-US" w:eastAsia="zh-CN"/>
        </w:rPr>
        <w:t>箱型填充体的物理</w:t>
      </w:r>
      <w:r>
        <w:rPr>
          <w:rFonts w:hint="eastAsia"/>
          <w:lang w:val="en-US" w:eastAsia="zh-CN"/>
        </w:rPr>
        <w:t>、化学及</w:t>
      </w:r>
      <w:r>
        <w:rPr>
          <w:rFonts w:hint="default"/>
          <w:lang w:val="en-US" w:eastAsia="zh-CN"/>
        </w:rPr>
        <w:t>力学性能应符合</w:t>
      </w:r>
      <w:r>
        <w:rPr>
          <w:rFonts w:hint="default"/>
          <w:lang w:val="en-US" w:eastAsia="zh-CN"/>
        </w:rPr>
        <w:fldChar w:fldCharType="begin"/>
      </w:r>
      <w:r>
        <w:rPr>
          <w:rFonts w:hint="default"/>
          <w:lang w:val="en-US" w:eastAsia="zh-CN"/>
        </w:rPr>
        <w:instrText xml:space="preserve"> REF _Ref32303 \h </w:instrText>
      </w:r>
      <w:r>
        <w:rPr>
          <w:rFonts w:hint="default"/>
          <w:lang w:val="en-US" w:eastAsia="zh-CN"/>
        </w:rPr>
        <w:fldChar w:fldCharType="separate"/>
      </w:r>
      <w:r>
        <w:rPr>
          <w:rFonts w:hint="default"/>
          <w:lang w:val="en-US" w:eastAsia="zh-CN"/>
        </w:rPr>
        <w:t>表4.3.</w:t>
      </w:r>
      <w:r>
        <w:rPr>
          <w:rFonts w:hint="eastAsia"/>
          <w:lang w:val="en-US" w:eastAsia="zh-CN"/>
        </w:rPr>
        <w:t>4</w:t>
      </w:r>
      <w:r>
        <w:rPr>
          <w:rFonts w:hint="default"/>
          <w:lang w:val="en-US" w:eastAsia="zh-CN"/>
        </w:rPr>
        <w:fldChar w:fldCharType="end"/>
      </w:r>
      <w:r>
        <w:rPr>
          <w:rFonts w:hint="default"/>
          <w:lang w:val="en-US" w:eastAsia="zh-CN"/>
        </w:rPr>
        <w:t>的规定</w:t>
      </w:r>
      <w:r>
        <w:rPr>
          <w:rFonts w:hint="eastAsia"/>
          <w:lang w:val="en-US" w:eastAsia="zh-CN"/>
        </w:rPr>
        <w:t>，</w:t>
      </w:r>
      <w:r>
        <w:rPr>
          <w:rFonts w:hint="default"/>
          <w:lang w:val="en-US" w:eastAsia="zh-CN"/>
        </w:rPr>
        <w:t>检验方法应按</w:t>
      </w:r>
      <w:r>
        <w:rPr>
          <w:rFonts w:hint="eastAsia"/>
          <w:lang w:val="en-US" w:eastAsia="zh-CN"/>
        </w:rPr>
        <w:t>本规程</w:t>
      </w:r>
      <w:r>
        <w:rPr>
          <w:rFonts w:hint="default"/>
          <w:lang w:val="en-US" w:eastAsia="zh-CN"/>
        </w:rPr>
        <w:t>附录A的规定执行。</w:t>
      </w:r>
    </w:p>
    <w:p>
      <w:pPr>
        <w:pStyle w:val="23"/>
        <w:bidi w:val="0"/>
        <w:rPr>
          <w:rFonts w:hint="default"/>
          <w:lang w:val="en-US" w:eastAsia="zh-CN"/>
        </w:rPr>
      </w:pPr>
      <w:r>
        <w:t>表4.3.</w:t>
      </w:r>
      <w:r>
        <w:rPr>
          <w:rFonts w:hint="eastAsia"/>
          <w:lang w:val="en-US" w:eastAsia="zh-CN"/>
        </w:rPr>
        <w:t xml:space="preserve">4 </w:t>
      </w:r>
      <w:r>
        <w:rPr>
          <w:rFonts w:hint="default"/>
          <w:lang w:val="en-US" w:eastAsia="zh-CN"/>
        </w:rPr>
        <w:t>箱型填充体的物理</w:t>
      </w:r>
      <w:r>
        <w:rPr>
          <w:rFonts w:hint="eastAsia"/>
          <w:lang w:val="en-US" w:eastAsia="zh-CN"/>
        </w:rPr>
        <w:t>、化学及</w:t>
      </w:r>
      <w:r>
        <w:rPr>
          <w:rFonts w:hint="default"/>
          <w:lang w:val="en-US" w:eastAsia="zh-CN"/>
        </w:rPr>
        <w:t>力学性能要求</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项目</w:t>
            </w:r>
          </w:p>
        </w:tc>
        <w:tc>
          <w:tcPr>
            <w:tcW w:w="3208"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表观密度(kg/m</w:t>
            </w:r>
            <w:r>
              <w:rPr>
                <w:rFonts w:hint="eastAsia"/>
                <w:sz w:val="21"/>
                <w:szCs w:val="21"/>
                <w:vertAlign w:val="superscript"/>
                <w:lang w:val="en-US" w:eastAsia="zh-CN"/>
              </w:rPr>
              <w:t>3</w:t>
            </w:r>
            <w:r>
              <w:rPr>
                <w:rFonts w:hint="eastAsia"/>
                <w:sz w:val="21"/>
                <w:szCs w:val="21"/>
                <w:vertAlign w:val="baseline"/>
                <w:lang w:val="en-US" w:eastAsia="zh-CN"/>
              </w:rPr>
              <w:t>)</w:t>
            </w:r>
          </w:p>
        </w:tc>
        <w:tc>
          <w:tcPr>
            <w:tcW w:w="3208"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15.0~500.0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自然吸水率(%)</w:t>
            </w:r>
          </w:p>
        </w:tc>
        <w:tc>
          <w:tcPr>
            <w:tcW w:w="3208" w:type="dxa"/>
            <w:vAlign w:val="center"/>
          </w:tcPr>
          <w:p>
            <w:pPr>
              <w:jc w:val="center"/>
              <w:rPr>
                <w:rFonts w:hint="eastAsia" w:ascii="Times New Roman" w:hAnsi="Times New Roman" w:eastAsia="宋体" w:cstheme="minorBidi"/>
                <w:kern w:val="2"/>
                <w:sz w:val="21"/>
                <w:szCs w:val="21"/>
                <w:vertAlign w:val="baseline"/>
                <w:lang w:val="en-US" w:eastAsia="zh-CN" w:bidi="ar-SA"/>
              </w:rPr>
            </w:pPr>
            <w:r>
              <w:rPr>
                <w:rFonts w:hint="eastAsia"/>
                <w:sz w:val="21"/>
                <w:szCs w:val="21"/>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氯化物含量</w:t>
            </w:r>
          </w:p>
        </w:tc>
        <w:tc>
          <w:tcPr>
            <w:tcW w:w="3208" w:type="dxa"/>
            <w:vAlign w:val="center"/>
          </w:tcPr>
          <w:p>
            <w:pPr>
              <w:jc w:val="center"/>
              <w:rPr>
                <w:rFonts w:hint="eastAsia"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碱含量</w:t>
            </w:r>
          </w:p>
        </w:tc>
        <w:tc>
          <w:tcPr>
            <w:tcW w:w="3208" w:type="dxa"/>
            <w:vAlign w:val="center"/>
          </w:tcPr>
          <w:p>
            <w:pPr>
              <w:jc w:val="center"/>
              <w:rPr>
                <w:rFonts w:hint="default" w:ascii="Times New Roman" w:hAnsi="Times New Roman" w:eastAsia="宋体"/>
                <w:sz w:val="21"/>
                <w:szCs w:val="21"/>
                <w:vertAlign w:val="baseline"/>
                <w:lang w:val="en-US" w:eastAsia="zh-CN"/>
              </w:rPr>
            </w:pPr>
            <w:r>
              <w:rPr>
                <w:rFonts w:hint="eastAsia" w:ascii="Times New Roman" w:hAnsi="Times New Roman" w:eastAsia="宋体"/>
                <w:sz w:val="21"/>
                <w:szCs w:val="21"/>
                <w:vertAlign w:val="baseline"/>
                <w:lang w:val="en-US" w:eastAsia="zh-CN"/>
              </w:rPr>
              <w:t>≤3kg/m</w:t>
            </w:r>
            <w:r>
              <w:rPr>
                <w:rFonts w:hint="eastAsia" w:ascii="Times New Roman" w:hAnsi="Times New Roman" w:eastAsia="宋体"/>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eastAsia"/>
                <w:sz w:val="21"/>
                <w:szCs w:val="21"/>
                <w:vertAlign w:val="baseline"/>
                <w:lang w:val="en-US" w:eastAsia="zh-CN"/>
              </w:rPr>
            </w:pPr>
            <w:r>
              <w:rPr>
                <w:rFonts w:hint="default"/>
                <w:sz w:val="21"/>
                <w:szCs w:val="21"/>
                <w:lang w:val="en-US" w:eastAsia="zh-CN"/>
              </w:rPr>
              <w:t>放射性核素的限量</w:t>
            </w:r>
          </w:p>
        </w:tc>
        <w:tc>
          <w:tcPr>
            <w:tcW w:w="3208"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IRa≤1.0，Ir≤1.0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48h浸泡</w:t>
            </w:r>
            <w:r>
              <w:rPr>
                <w:rFonts w:hint="eastAsia"/>
                <w:sz w:val="21"/>
                <w:szCs w:val="21"/>
                <w:highlight w:val="none"/>
                <w:vertAlign w:val="baseline"/>
                <w:lang w:val="en-US" w:eastAsia="zh-CN"/>
              </w:rPr>
              <w:t>后顶面、侧面局</w:t>
            </w:r>
            <w:r>
              <w:rPr>
                <w:rFonts w:hint="eastAsia"/>
                <w:sz w:val="21"/>
                <w:szCs w:val="21"/>
                <w:vertAlign w:val="baseline"/>
                <w:lang w:val="en-US" w:eastAsia="zh-CN"/>
              </w:rPr>
              <w:t>部抗压荷载(kN)</w:t>
            </w:r>
          </w:p>
        </w:tc>
        <w:tc>
          <w:tcPr>
            <w:tcW w:w="3208" w:type="dxa"/>
            <w:vAlign w:val="center"/>
          </w:tcPr>
          <w:p>
            <w:pPr>
              <w:jc w:val="center"/>
              <w:rPr>
                <w:rFonts w:hint="default"/>
                <w:sz w:val="21"/>
                <w:szCs w:val="21"/>
                <w:vertAlign w:val="baseline"/>
                <w:lang w:val="en-US" w:eastAsia="zh-CN"/>
              </w:rPr>
            </w:pPr>
            <w:r>
              <w:rPr>
                <w:rFonts w:hint="eastAsia"/>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vAlign w:val="center"/>
          </w:tcPr>
          <w:p>
            <w:pPr>
              <w:jc w:val="center"/>
              <w:rPr>
                <w:rFonts w:hint="eastAsia"/>
                <w:sz w:val="21"/>
                <w:szCs w:val="21"/>
                <w:vertAlign w:val="baseline"/>
                <w:lang w:val="en-US" w:eastAsia="zh-CN"/>
              </w:rPr>
            </w:pPr>
            <w:r>
              <w:rPr>
                <w:rFonts w:hint="eastAsia"/>
                <w:sz w:val="21"/>
                <w:szCs w:val="21"/>
                <w:vertAlign w:val="baseline"/>
                <w:lang w:val="en-US" w:eastAsia="zh-CN"/>
              </w:rPr>
              <w:t>抗振动冲击</w:t>
            </w:r>
          </w:p>
        </w:tc>
        <w:tc>
          <w:tcPr>
            <w:tcW w:w="3208" w:type="dxa"/>
            <w:vAlign w:val="center"/>
          </w:tcPr>
          <w:p>
            <w:pPr>
              <w:jc w:val="center"/>
              <w:rPr>
                <w:rFonts w:hint="eastAsia"/>
                <w:sz w:val="21"/>
                <w:szCs w:val="21"/>
                <w:vertAlign w:val="baseline"/>
                <w:lang w:val="en-US" w:eastAsia="zh-CN"/>
              </w:rPr>
            </w:pPr>
            <w:r>
              <w:rPr>
                <w:rFonts w:hint="eastAsia"/>
                <w:sz w:val="21"/>
                <w:szCs w:val="21"/>
                <w:highlight w:val="none"/>
                <w:vertAlign w:val="baseline"/>
                <w:lang w:val="en-US" w:eastAsia="zh-CN"/>
              </w:rPr>
              <w:t>φ50振动棒</w:t>
            </w:r>
            <w:r>
              <w:rPr>
                <w:rFonts w:hint="eastAsia"/>
                <w:sz w:val="21"/>
                <w:szCs w:val="21"/>
                <w:vertAlign w:val="baseline"/>
                <w:lang w:val="en-US" w:eastAsia="zh-CN"/>
              </w:rPr>
              <w:t>紧贴内置表面振动1min，不出现贯通性裂纹及破损</w:t>
            </w:r>
          </w:p>
        </w:tc>
      </w:tr>
    </w:tbl>
    <w:p>
      <w:pPr>
        <w:numPr>
          <w:ilvl w:val="0"/>
          <w:numId w:val="0"/>
        </w:numPr>
        <w:tabs>
          <w:tab w:val="left" w:pos="0"/>
        </w:tabs>
        <w:bidi w:val="0"/>
        <w:spacing w:line="360" w:lineRule="auto"/>
        <w:ind w:leftChars="0"/>
        <w:rPr>
          <w:rFonts w:hint="default" w:cstheme="minorBidi"/>
          <w:kern w:val="2"/>
          <w:sz w:val="24"/>
          <w:szCs w:val="24"/>
          <w:u w:val="single"/>
          <w:lang w:val="en-US" w:eastAsia="zh-CN" w:bidi="ar-SA"/>
        </w:rPr>
      </w:pPr>
      <w:r>
        <w:rPr>
          <w:rFonts w:hint="eastAsia" w:cstheme="minorBidi"/>
          <w:kern w:val="2"/>
          <w:sz w:val="24"/>
          <w:szCs w:val="24"/>
          <w:u w:val="single"/>
          <w:lang w:val="en-US" w:eastAsia="zh-CN" w:bidi="ar-SA"/>
        </w:rPr>
        <w:t>【条文说明】4.3.4 目前工地常用的振捣棒为φ50型。φ50指的是振捣棒棒头的直径，并以毫米计量。本规程以φ50振捣棒为依据来确定箱型填充体的抗振动冲击性能。</w:t>
      </w:r>
    </w:p>
    <w:p>
      <w:pPr>
        <w:numPr>
          <w:ilvl w:val="2"/>
          <w:numId w:val="1"/>
        </w:numPr>
        <w:bidi w:val="0"/>
        <w:rPr>
          <w:rFonts w:hint="default" w:cstheme="minorBidi"/>
          <w:kern w:val="2"/>
          <w:sz w:val="24"/>
          <w:szCs w:val="24"/>
          <w:lang w:val="en-US" w:eastAsia="zh-CN" w:bidi="ar-SA"/>
        </w:rPr>
      </w:pPr>
      <w:r>
        <w:rPr>
          <w:rFonts w:hint="eastAsia" w:cstheme="minorBidi"/>
          <w:kern w:val="2"/>
          <w:sz w:val="24"/>
          <w:szCs w:val="24"/>
          <w:lang w:val="en-US" w:eastAsia="zh-CN" w:bidi="ar-SA"/>
        </w:rPr>
        <w:t>箱型填充体应具备足够的承载力、刚度和稳定性。必要时，填充体的顶面、侧面宜设置一定规则的凹型槽、内部宜设置竖向贯通体等加强措施。</w:t>
      </w:r>
    </w:p>
    <w:p>
      <w:pPr>
        <w:numPr>
          <w:ilvl w:val="0"/>
          <w:numId w:val="0"/>
        </w:numPr>
        <w:tabs>
          <w:tab w:val="left" w:pos="0"/>
        </w:tabs>
        <w:bidi w:val="0"/>
        <w:ind w:leftChars="0"/>
        <w:rPr>
          <w:rFonts w:hint="eastAsia"/>
          <w:u w:val="single"/>
          <w:lang w:val="en-US" w:eastAsia="zh-CN"/>
        </w:rPr>
      </w:pPr>
      <w:r>
        <w:rPr>
          <w:rFonts w:hint="eastAsia"/>
          <w:u w:val="single"/>
          <w:lang w:val="en-US" w:eastAsia="zh-CN"/>
        </w:rPr>
        <w:t>【条文说明】4.3.5 施工期间，人在</w:t>
      </w:r>
      <w:r>
        <w:rPr>
          <w:rFonts w:hint="eastAsia" w:cstheme="minorBidi"/>
          <w:kern w:val="2"/>
          <w:sz w:val="24"/>
          <w:szCs w:val="24"/>
          <w:u w:val="single"/>
          <w:lang w:val="en-US" w:eastAsia="zh-CN" w:bidi="ar-SA"/>
        </w:rPr>
        <w:t>箱型填充体</w:t>
      </w:r>
      <w:r>
        <w:rPr>
          <w:rFonts w:hint="eastAsia"/>
          <w:u w:val="single"/>
          <w:lang w:val="en-US" w:eastAsia="zh-CN"/>
        </w:rPr>
        <w:t>顶面上踩踏，侧面承担后浇混凝土的侧压力，还有振捣棒的冲击等荷载。所以要求其具有足够的承载力、刚度和稳定性。为了提高箱型填充体的承载力、刚度和稳定性，可以采取在填充体的</w:t>
      </w:r>
      <w:r>
        <w:rPr>
          <w:rFonts w:hint="eastAsia" w:cstheme="minorBidi"/>
          <w:kern w:val="2"/>
          <w:sz w:val="24"/>
          <w:szCs w:val="24"/>
          <w:u w:val="single"/>
          <w:lang w:val="en-US" w:eastAsia="zh-CN" w:bidi="ar-SA"/>
        </w:rPr>
        <w:t>顶面、侧面设置一定规则的凹型槽、内部</w:t>
      </w:r>
      <w:r>
        <w:rPr>
          <w:rFonts w:hint="eastAsia"/>
          <w:u w:val="single"/>
          <w:lang w:val="en-US" w:eastAsia="zh-CN"/>
        </w:rPr>
        <w:t>设置竖向贯通体等加强措施。</w:t>
      </w:r>
    </w:p>
    <w:p>
      <w:pPr>
        <w:numPr>
          <w:ilvl w:val="0"/>
          <w:numId w:val="0"/>
        </w:numPr>
        <w:tabs>
          <w:tab w:val="left" w:pos="0"/>
        </w:tabs>
        <w:bidi w:val="0"/>
        <w:ind w:leftChars="0"/>
        <w:rPr>
          <w:rFonts w:hint="default"/>
          <w:lang w:val="en-US" w:eastAsia="zh-CN"/>
        </w:rPr>
      </w:pPr>
      <w:r>
        <w:rPr>
          <w:rFonts w:hint="default"/>
          <w:lang w:val="en-US" w:eastAsia="zh-CN"/>
        </w:rPr>
        <w:drawing>
          <wp:inline distT="0" distB="0" distL="114300" distR="114300">
            <wp:extent cx="2237740" cy="1568450"/>
            <wp:effectExtent l="0" t="0" r="10160" b="12700"/>
            <wp:docPr id="1" name="图片 1" descr="6b0df518296e86913d4ba5582df4d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b0df518296e86913d4ba5582df4ddc"/>
                    <pic:cNvPicPr>
                      <a:picLocks noChangeAspect="1"/>
                    </pic:cNvPicPr>
                  </pic:nvPicPr>
                  <pic:blipFill>
                    <a:blip r:embed="rId18"/>
                    <a:stretch>
                      <a:fillRect/>
                    </a:stretch>
                  </pic:blipFill>
                  <pic:spPr>
                    <a:xfrm>
                      <a:off x="0" y="0"/>
                      <a:ext cx="2237740" cy="1568450"/>
                    </a:xfrm>
                    <a:prstGeom prst="rect">
                      <a:avLst/>
                    </a:prstGeom>
                  </pic:spPr>
                </pic:pic>
              </a:graphicData>
            </a:graphic>
          </wp:inline>
        </w:drawing>
      </w:r>
      <w:r>
        <w:rPr>
          <w:rFonts w:hint="default"/>
          <w:lang w:val="en-US" w:eastAsia="zh-CN"/>
        </w:rPr>
        <w:drawing>
          <wp:inline distT="0" distB="0" distL="114300" distR="114300">
            <wp:extent cx="2766060" cy="1572260"/>
            <wp:effectExtent l="0" t="0" r="15240" b="8890"/>
            <wp:docPr id="2" name="图片 2" descr="578bc7a2a671056f9d506dcec17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8bc7a2a671056f9d506dcec175147"/>
                    <pic:cNvPicPr>
                      <a:picLocks noChangeAspect="1"/>
                    </pic:cNvPicPr>
                  </pic:nvPicPr>
                  <pic:blipFill>
                    <a:blip r:embed="rId19"/>
                    <a:srcRect l="9694" t="6470" r="8899" b="1510"/>
                    <a:stretch>
                      <a:fillRect/>
                    </a:stretch>
                  </pic:blipFill>
                  <pic:spPr>
                    <a:xfrm>
                      <a:off x="0" y="0"/>
                      <a:ext cx="2766060" cy="1572260"/>
                    </a:xfrm>
                    <a:prstGeom prst="rect">
                      <a:avLst/>
                    </a:prstGeom>
                  </pic:spPr>
                </pic:pic>
              </a:graphicData>
            </a:graphic>
          </wp:inline>
        </w:drawing>
      </w:r>
    </w:p>
    <w:p>
      <w:pPr>
        <w:pStyle w:val="4"/>
        <w:bidi w:val="0"/>
        <w:ind w:left="0" w:leftChars="0" w:firstLine="0" w:firstLineChars="0"/>
        <w:outlineLvl w:val="1"/>
        <w:rPr>
          <w:rFonts w:hint="eastAsia"/>
          <w:lang w:val="en-US" w:eastAsia="zh-CN"/>
        </w:rPr>
      </w:pPr>
      <w:bookmarkStart w:id="28" w:name="_Toc9200"/>
      <w:r>
        <w:rPr>
          <w:rFonts w:hint="eastAsia"/>
          <w:lang w:val="en-US" w:eastAsia="zh-CN"/>
        </w:rPr>
        <w:t>其他材料</w:t>
      </w:r>
      <w:bookmarkEnd w:id="28"/>
    </w:p>
    <w:p>
      <w:pPr>
        <w:numPr>
          <w:ilvl w:val="2"/>
          <w:numId w:val="1"/>
        </w:numPr>
        <w:bidi w:val="0"/>
        <w:rPr>
          <w:rFonts w:hint="default"/>
          <w:highlight w:val="none"/>
          <w:lang w:val="en-US" w:eastAsia="zh-CN"/>
        </w:rPr>
      </w:pPr>
      <w:r>
        <w:rPr>
          <w:rFonts w:hint="default"/>
          <w:highlight w:val="none"/>
          <w:lang w:val="en-US" w:eastAsia="zh-CN"/>
        </w:rPr>
        <w:t>箱型填充体</w:t>
      </w:r>
      <w:r>
        <w:rPr>
          <w:rFonts w:hint="eastAsia"/>
          <w:highlight w:val="none"/>
          <w:lang w:val="en-US" w:eastAsia="zh-CN"/>
        </w:rPr>
        <w:t>与</w:t>
      </w:r>
      <w:r>
        <w:rPr>
          <w:rFonts w:hint="default"/>
          <w:highlight w:val="none"/>
          <w:lang w:val="en-US" w:eastAsia="zh-CN"/>
        </w:rPr>
        <w:t>预制底板</w:t>
      </w:r>
      <w:r>
        <w:rPr>
          <w:rFonts w:hint="eastAsia"/>
          <w:highlight w:val="none"/>
          <w:lang w:val="en-US" w:eastAsia="zh-CN"/>
        </w:rPr>
        <w:t>边肋顶部固定用的射钉或自攻钉应满足《射钉》GB T 18981及《紧固件机械性能自攻螺钉》GB T 3098.5的有关要求。</w:t>
      </w:r>
    </w:p>
    <w:p>
      <w:pPr>
        <w:numPr>
          <w:ilvl w:val="2"/>
          <w:numId w:val="1"/>
        </w:numPr>
        <w:bidi w:val="0"/>
        <w:rPr>
          <w:rFonts w:hint="default"/>
          <w:lang w:val="en-US" w:eastAsia="zh-CN"/>
        </w:rPr>
      </w:pPr>
      <w:r>
        <w:rPr>
          <w:rFonts w:hint="default"/>
          <w:highlight w:val="none"/>
          <w:lang w:val="en-US" w:eastAsia="zh-CN"/>
        </w:rPr>
        <w:t>预制底板</w:t>
      </w:r>
      <w:r>
        <w:rPr>
          <w:rFonts w:hint="eastAsia"/>
          <w:highlight w:val="none"/>
          <w:lang w:val="en-US" w:eastAsia="zh-CN"/>
        </w:rPr>
        <w:t>边肋顶部与箱型填充体固定位置宜提前埋设塑料连接件。</w:t>
      </w:r>
      <w:r>
        <w:rPr>
          <w:rFonts w:hint="default"/>
          <w:lang w:val="en-US" w:eastAsia="zh-CN"/>
        </w:rPr>
        <w:br w:type="page"/>
      </w:r>
    </w:p>
    <w:p>
      <w:pPr>
        <w:pStyle w:val="3"/>
        <w:bidi w:val="0"/>
        <w:ind w:left="0" w:leftChars="0" w:firstLine="0" w:firstLineChars="0"/>
        <w:outlineLvl w:val="0"/>
        <w:rPr>
          <w:rFonts w:hint="default"/>
          <w:lang w:val="en-US" w:eastAsia="zh-CN"/>
        </w:rPr>
      </w:pPr>
      <w:bookmarkStart w:id="29" w:name="_Toc5453"/>
      <w:r>
        <w:rPr>
          <w:rFonts w:hint="default"/>
          <w:lang w:val="en-US" w:eastAsia="zh-CN"/>
        </w:rPr>
        <w:t>结构分析与设计</w:t>
      </w:r>
      <w:bookmarkEnd w:id="29"/>
    </w:p>
    <w:p>
      <w:pPr>
        <w:pStyle w:val="4"/>
        <w:bidi w:val="0"/>
        <w:ind w:left="0" w:leftChars="0" w:firstLine="0" w:firstLineChars="0"/>
        <w:outlineLvl w:val="1"/>
        <w:rPr>
          <w:rFonts w:hint="default"/>
          <w:lang w:val="en-US" w:eastAsia="zh-CN"/>
        </w:rPr>
      </w:pPr>
      <w:bookmarkStart w:id="30" w:name="_Toc27380"/>
      <w:r>
        <w:rPr>
          <w:rFonts w:hint="default"/>
          <w:lang w:val="en-US" w:eastAsia="zh-CN"/>
        </w:rPr>
        <w:t>一般规定</w:t>
      </w:r>
      <w:bookmarkEnd w:id="30"/>
    </w:p>
    <w:p>
      <w:pPr>
        <w:numPr>
          <w:ilvl w:val="2"/>
          <w:numId w:val="1"/>
        </w:numPr>
        <w:bidi w:val="0"/>
        <w:rPr>
          <w:rFonts w:hint="default" w:ascii="Times New Roman" w:hAnsi="Times New Roman" w:eastAsia="宋体"/>
          <w:strike w:val="0"/>
          <w:dstrike w:val="0"/>
          <w:lang w:val="en-US" w:eastAsia="zh-CN"/>
        </w:rPr>
      </w:pPr>
      <w:r>
        <w:rPr>
          <w:rFonts w:hint="default" w:ascii="Times New Roman" w:hAnsi="Times New Roman" w:eastAsia="宋体"/>
          <w:strike w:val="0"/>
          <w:dstrike w:val="0"/>
          <w:lang w:val="en-US" w:eastAsia="zh-CN"/>
        </w:rPr>
        <w:t>空</w:t>
      </w:r>
      <w:r>
        <w:rPr>
          <w:rFonts w:hint="default"/>
          <w:lang w:val="en-US" w:eastAsia="zh-CN"/>
        </w:rPr>
        <w:t>心叠合楼盖结构分析和计算时应采用满足力学平衡条件和变形协调条件的计算方法。结构分析宜采用弹性分析方法；</w:t>
      </w:r>
      <w:r>
        <w:rPr>
          <w:rFonts w:hint="default"/>
          <w:strike w:val="0"/>
          <w:dstrike w:val="0"/>
          <w:lang w:val="en-US" w:eastAsia="zh-CN"/>
        </w:rPr>
        <w:t>在有可靠依据时可考虑</w:t>
      </w:r>
      <w:r>
        <w:rPr>
          <w:rFonts w:hint="eastAsia"/>
          <w:strike w:val="0"/>
          <w:dstrike w:val="0"/>
          <w:lang w:val="en-US" w:eastAsia="zh-CN"/>
        </w:rPr>
        <w:t>塑性</w:t>
      </w:r>
      <w:r>
        <w:rPr>
          <w:rFonts w:hint="default"/>
          <w:strike w:val="0"/>
          <w:dstrike w:val="0"/>
          <w:lang w:val="en-US" w:eastAsia="zh-CN"/>
        </w:rPr>
        <w:t>内力重分布，</w:t>
      </w:r>
      <w:r>
        <w:rPr>
          <w:rFonts w:hint="default" w:ascii="Times New Roman" w:hAnsi="Times New Roman" w:eastAsia="宋体"/>
          <w:strike w:val="0"/>
          <w:dstrike w:val="0"/>
          <w:lang w:val="en-US" w:eastAsia="zh-CN"/>
        </w:rPr>
        <w:t>当</w:t>
      </w:r>
      <w:r>
        <w:rPr>
          <w:rFonts w:hint="eastAsia" w:ascii="Times New Roman" w:hAnsi="Times New Roman" w:eastAsia="宋体"/>
          <w:strike w:val="0"/>
          <w:dstrike w:val="0"/>
          <w:lang w:val="en-US" w:eastAsia="zh-CN"/>
        </w:rPr>
        <w:t>考虑塑性</w:t>
      </w:r>
      <w:r>
        <w:rPr>
          <w:rFonts w:hint="default" w:ascii="Times New Roman" w:hAnsi="Times New Roman" w:eastAsia="宋体"/>
          <w:strike w:val="0"/>
          <w:dstrike w:val="0"/>
          <w:lang w:val="en-US" w:eastAsia="zh-CN"/>
        </w:rPr>
        <w:t>内力重分布时应考虑正常使用要求。</w:t>
      </w:r>
    </w:p>
    <w:p>
      <w:pPr>
        <w:numPr>
          <w:ilvl w:val="2"/>
          <w:numId w:val="1"/>
        </w:numPr>
        <w:bidi w:val="0"/>
        <w:rPr>
          <w:rFonts w:hint="default"/>
          <w:lang w:val="en-US" w:eastAsia="zh-CN"/>
        </w:rPr>
      </w:pPr>
      <w:r>
        <w:rPr>
          <w:rFonts w:hint="default"/>
          <w:lang w:val="en-US" w:eastAsia="zh-CN"/>
        </w:rPr>
        <w:t>当楼盖平面布置不规则、作用有局部集中荷载、局部开洞等特殊情况时，宜进行专门的计算分析。</w:t>
      </w:r>
      <w:r>
        <w:rPr>
          <w:rFonts w:hint="eastAsia"/>
          <w:lang w:val="en-US" w:eastAsia="zh-CN"/>
        </w:rPr>
        <w:t>结构分析所采用的计算软件应经考核验证，其技术条件应符合本规程和国家现行标准的有关规定。对计算结果，应经判断和校核；在确认其合理有效后，方可用于工程设计。</w:t>
      </w:r>
    </w:p>
    <w:p>
      <w:pPr>
        <w:numPr>
          <w:ilvl w:val="2"/>
          <w:numId w:val="1"/>
        </w:numPr>
        <w:bidi w:val="0"/>
        <w:rPr>
          <w:rFonts w:hint="default"/>
          <w:lang w:val="en-US" w:eastAsia="zh-CN"/>
        </w:rPr>
      </w:pPr>
      <w:r>
        <w:rPr>
          <w:rFonts w:hint="default"/>
          <w:lang w:val="en-US" w:eastAsia="zh-CN"/>
        </w:rPr>
        <w:t>空心叠合板的自重应考虑空心的影响、</w:t>
      </w:r>
      <w:r>
        <w:rPr>
          <w:rFonts w:hint="eastAsia"/>
          <w:lang w:val="en-US" w:eastAsia="zh-CN"/>
        </w:rPr>
        <w:t>箱型填充体的自重、箱型填充体设置的加强体而导致增加的混凝土重量、</w:t>
      </w:r>
      <w:r>
        <w:rPr>
          <w:rFonts w:hint="default"/>
          <w:lang w:val="en-US" w:eastAsia="zh-CN"/>
        </w:rPr>
        <w:t>与周边支承构件间局部实心混凝土</w:t>
      </w:r>
      <w:r>
        <w:rPr>
          <w:rFonts w:hint="eastAsia"/>
          <w:lang w:val="en-US" w:eastAsia="zh-CN"/>
        </w:rPr>
        <w:t>重量</w:t>
      </w:r>
      <w:r>
        <w:rPr>
          <w:rFonts w:hint="default"/>
          <w:lang w:val="en-US" w:eastAsia="zh-CN"/>
        </w:rPr>
        <w:t>的影响。整体分析时，也可通过折算厚度考虑</w:t>
      </w:r>
      <w:r>
        <w:rPr>
          <w:rFonts w:hint="eastAsia"/>
          <w:lang w:val="en-US" w:eastAsia="zh-CN"/>
        </w:rPr>
        <w:t>楼板</w:t>
      </w:r>
      <w:r>
        <w:rPr>
          <w:rFonts w:hint="default"/>
          <w:lang w:val="en-US" w:eastAsia="zh-CN"/>
        </w:rPr>
        <w:t>自重，可按</w:t>
      </w:r>
      <w:r>
        <w:rPr>
          <w:rFonts w:hint="eastAsia"/>
          <w:lang w:val="en-US" w:eastAsia="zh-CN"/>
        </w:rPr>
        <w:t>本规程</w:t>
      </w:r>
      <w:r>
        <w:rPr>
          <w:rFonts w:hint="default"/>
          <w:lang w:val="en-US" w:eastAsia="zh-CN"/>
        </w:rPr>
        <w:t>附录B计算。</w:t>
      </w:r>
    </w:p>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【条文说明】5.1.3 箱型填充体为了保证刚度、承载力和稳定而设置的各种加强措施，包括</w:t>
      </w:r>
      <w:r>
        <w:rPr>
          <w:rFonts w:hint="eastAsia" w:cstheme="minorBidi"/>
          <w:kern w:val="2"/>
          <w:sz w:val="24"/>
          <w:szCs w:val="24"/>
          <w:u w:val="single"/>
          <w:lang w:val="en-US" w:eastAsia="zh-CN" w:bidi="ar-SA"/>
        </w:rPr>
        <w:t>顶面、侧面设置的凹型槽、内部设置的竖向贯通体等，在后浇混凝土浇筑时都会增加混凝土的用量；箱型填充体与周边支承构件之间也会设置局部的实心混凝土区；这些因素都会导致楼板自重的增加。结构计算时，这些增加的自重以及箱型填充体本身的自重都需要考虑。具体方法可以按照附录B采用折算厚度的方法进行考虑。</w:t>
      </w:r>
    </w:p>
    <w:p>
      <w:pPr>
        <w:numPr>
          <w:ilvl w:val="2"/>
          <w:numId w:val="1"/>
        </w:numPr>
        <w:bidi w:val="0"/>
        <w:rPr>
          <w:rFonts w:hint="default"/>
          <w:lang w:val="en-US" w:eastAsia="zh-CN"/>
        </w:rPr>
      </w:pPr>
      <w:r>
        <w:rPr>
          <w:rFonts w:hint="eastAsia"/>
          <w:highlight w:val="none"/>
          <w:lang w:val="en-US" w:eastAsia="zh-CN"/>
        </w:rPr>
        <w:t>采用空心叠合楼盖的多、高层建筑，其结构分析宜采用有限元法。采用有限元法计算分析时，宜建立符合实际情况的空间模型，并宜考虑托板或柱帽等的影响。</w:t>
      </w:r>
    </w:p>
    <w:p>
      <w:pPr>
        <w:numPr>
          <w:ilvl w:val="0"/>
          <w:numId w:val="0"/>
        </w:numPr>
        <w:tabs>
          <w:tab w:val="left" w:pos="0"/>
        </w:tabs>
        <w:bidi w:val="0"/>
        <w:ind w:leftChars="0"/>
        <w:rPr>
          <w:rFonts w:hint="eastAsia"/>
          <w:u w:val="single"/>
          <w:lang w:val="en-US" w:eastAsia="zh-CN"/>
        </w:rPr>
      </w:pPr>
      <w:r>
        <w:rPr>
          <w:rFonts w:hint="eastAsia"/>
          <w:u w:val="single"/>
          <w:lang w:val="en-US" w:eastAsia="zh-CN"/>
        </w:rPr>
        <w:t>【条文说明】5.1.4 现行行业标准</w:t>
      </w:r>
      <w:r>
        <w:rPr>
          <w:rFonts w:hint="default"/>
          <w:u w:val="single"/>
          <w:lang w:val="en-US" w:eastAsia="zh-CN"/>
        </w:rPr>
        <w:t>《现浇混凝土空心楼盖技术规程》JGJ/T 268</w:t>
      </w:r>
      <w:r>
        <w:rPr>
          <w:rFonts w:hint="eastAsia"/>
          <w:u w:val="single"/>
          <w:lang w:val="en-US" w:eastAsia="zh-CN"/>
        </w:rPr>
        <w:t>相关条文关于空心楼盖计算方法的相关规定：</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ind w:leftChars="0" w:firstLine="480" w:firstLineChars="200"/>
        <w:textAlignment w:val="auto"/>
        <w:rPr>
          <w:rFonts w:hint="eastAsia"/>
          <w:u w:val="single"/>
          <w:lang w:val="en-US" w:eastAsia="zh-CN"/>
        </w:rPr>
      </w:pPr>
      <w:r>
        <w:rPr>
          <w:rFonts w:hint="default"/>
          <w:u w:val="single"/>
          <w:lang w:val="en-US" w:eastAsia="zh-CN"/>
        </w:rPr>
        <w:t>周边刚性支承的空心叠合板，可采用拟板法进行计算，也可采用拟梁法进行计算</w:t>
      </w:r>
      <w:r>
        <w:rPr>
          <w:rFonts w:hint="eastAsia"/>
          <w:u w:val="single"/>
          <w:lang w:val="en-US" w:eastAsia="zh-CN"/>
        </w:rPr>
        <w:t>。规程规定的采用</w:t>
      </w:r>
      <w:r>
        <w:rPr>
          <w:rFonts w:hint="default"/>
          <w:u w:val="single"/>
          <w:lang w:val="en-US" w:eastAsia="zh-CN"/>
        </w:rPr>
        <w:t>拟板法</w:t>
      </w:r>
      <w:r>
        <w:rPr>
          <w:rFonts w:hint="eastAsia"/>
          <w:u w:val="single"/>
          <w:lang w:val="en-US" w:eastAsia="zh-CN"/>
        </w:rPr>
        <w:t>的条件：空心楼板的肋间距宜小于2倍板厚；而我们空心叠合板采用最多的是平面尺寸900*900左右的箱型填充体，肋梁之间的间距一般情况下肯定大于2倍板厚。规程规定的采用拟梁法的条件：所取拟梁宜在相邻区格边间连续，每个区格板内拟梁的数量在各方向上均不宜少于5根；在实际工程中某各方向的肋梁数量少于5根比较常见。另外，周边刚性支承的条件，对常用的8400柱网300厚空心叠合板，经测算，框架梁需要至少做到400*800才能到达刚性支承，一般项目会受到较大限制。所以综合而言，周边刚性支承的拟板法、拟梁法，针对我们的具体技术要求，基本无法使用。</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ind w:leftChars="0" w:firstLine="480" w:firstLineChars="200"/>
        <w:textAlignment w:val="auto"/>
        <w:rPr>
          <w:rFonts w:hint="eastAsia"/>
          <w:u w:val="single"/>
          <w:lang w:val="en-US" w:eastAsia="zh-CN"/>
        </w:rPr>
      </w:pPr>
      <w:r>
        <w:rPr>
          <w:rFonts w:hint="default"/>
          <w:u w:val="single"/>
          <w:lang w:val="en-US" w:eastAsia="zh-CN"/>
        </w:rPr>
        <w:t>柱支承、柔性支承及混合支承空心叠合楼盖在竖向均布荷载下的内力</w:t>
      </w:r>
      <w:r>
        <w:rPr>
          <w:rFonts w:hint="eastAsia"/>
          <w:u w:val="single"/>
          <w:lang w:val="en-US" w:eastAsia="zh-CN"/>
        </w:rPr>
        <w:t>分析</w:t>
      </w:r>
      <w:r>
        <w:rPr>
          <w:rFonts w:hint="default"/>
          <w:u w:val="single"/>
          <w:lang w:val="en-US" w:eastAsia="zh-CN"/>
        </w:rPr>
        <w:t>宜采用经验系数法进行计算；当不符合经验系数法的规定时，可采用等代框架法进行计算</w:t>
      </w:r>
      <w:r>
        <w:rPr>
          <w:rFonts w:hint="eastAsia"/>
          <w:u w:val="single"/>
          <w:lang w:val="en-US" w:eastAsia="zh-CN"/>
        </w:rPr>
        <w:t>。同时，</w:t>
      </w:r>
      <w:r>
        <w:rPr>
          <w:rFonts w:hint="default"/>
          <w:u w:val="single"/>
          <w:lang w:val="en-US" w:eastAsia="zh-CN"/>
        </w:rPr>
        <w:t>柱支承、柔性支承及混合支承空心叠合楼盖</w:t>
      </w:r>
      <w:r>
        <w:rPr>
          <w:rFonts w:hint="eastAsia"/>
          <w:u w:val="single"/>
          <w:lang w:val="en-US" w:eastAsia="zh-CN"/>
        </w:rPr>
        <w:t>在</w:t>
      </w:r>
      <w:r>
        <w:rPr>
          <w:rFonts w:hint="default"/>
          <w:u w:val="single"/>
          <w:lang w:val="en-US" w:eastAsia="zh-CN"/>
        </w:rPr>
        <w:t>地震及风荷载作用的</w:t>
      </w:r>
      <w:r>
        <w:rPr>
          <w:rFonts w:hint="eastAsia"/>
          <w:u w:val="single"/>
          <w:lang w:val="en-US" w:eastAsia="zh-CN"/>
        </w:rPr>
        <w:t>内力分析</w:t>
      </w:r>
      <w:r>
        <w:rPr>
          <w:rFonts w:hint="default"/>
          <w:u w:val="single"/>
          <w:lang w:val="en-US" w:eastAsia="zh-CN"/>
        </w:rPr>
        <w:t>，宜采用等代框架法</w:t>
      </w:r>
      <w:r>
        <w:rPr>
          <w:rFonts w:hint="eastAsia"/>
          <w:u w:val="single"/>
          <w:lang w:val="en-US" w:eastAsia="zh-CN"/>
        </w:rPr>
        <w:t>进行计算。</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ind w:leftChars="0" w:firstLine="480" w:firstLineChars="200"/>
        <w:textAlignment w:val="auto"/>
        <w:rPr>
          <w:rFonts w:hint="eastAsia"/>
          <w:u w:val="single"/>
          <w:lang w:val="en-US" w:eastAsia="zh-CN"/>
        </w:rPr>
      </w:pPr>
      <w:r>
        <w:rPr>
          <w:rFonts w:hint="eastAsia"/>
          <w:u w:val="single"/>
          <w:lang w:val="en-US" w:eastAsia="zh-CN"/>
        </w:rPr>
        <w:t>规程规定的采用经验系数法的条件：</w:t>
      </w:r>
      <w:r>
        <w:rPr>
          <w:rFonts w:hint="default"/>
          <w:u w:val="single"/>
          <w:lang w:val="en-US" w:eastAsia="zh-CN"/>
        </w:rPr>
        <w:t>楼盖为矩形区格，任一区格的长边与短边之比不应大于2</w:t>
      </w:r>
      <w:r>
        <w:rPr>
          <w:rFonts w:hint="eastAsia"/>
          <w:u w:val="single"/>
          <w:lang w:val="en-US" w:eastAsia="zh-CN"/>
        </w:rPr>
        <w:t>；</w:t>
      </w:r>
      <w:r>
        <w:rPr>
          <w:rFonts w:hint="default"/>
          <w:u w:val="single"/>
          <w:lang w:val="en-US" w:eastAsia="zh-CN"/>
        </w:rPr>
        <w:t>楼盖结构的每个方向至少应有三个连续跨</w:t>
      </w:r>
      <w:r>
        <w:rPr>
          <w:rFonts w:hint="eastAsia"/>
          <w:u w:val="single"/>
          <w:lang w:val="en-US" w:eastAsia="zh-CN"/>
        </w:rPr>
        <w:t>；</w:t>
      </w:r>
      <w:r>
        <w:rPr>
          <w:rFonts w:hint="default"/>
          <w:u w:val="single"/>
          <w:lang w:val="en-US" w:eastAsia="zh-CN"/>
        </w:rPr>
        <w:t>同一方向相邻跨的跨度差不应超过较长跨的1/3</w:t>
      </w:r>
      <w:r>
        <w:rPr>
          <w:rFonts w:hint="eastAsia"/>
          <w:u w:val="single"/>
          <w:lang w:val="en-US" w:eastAsia="zh-CN"/>
        </w:rPr>
        <w:t>；</w:t>
      </w:r>
      <w:r>
        <w:rPr>
          <w:rFonts w:hint="default"/>
          <w:u w:val="single"/>
          <w:lang w:val="en-US" w:eastAsia="zh-CN"/>
        </w:rPr>
        <w:t>任一方向柱离相邻柱中心线的偏移距离不应超过该方向跨度的1/10</w:t>
      </w:r>
      <w:r>
        <w:rPr>
          <w:rFonts w:hint="eastAsia"/>
          <w:u w:val="single"/>
          <w:lang w:val="en-US" w:eastAsia="zh-CN"/>
        </w:rPr>
        <w:t>；</w:t>
      </w:r>
      <w:r>
        <w:rPr>
          <w:rFonts w:hint="default"/>
          <w:u w:val="single"/>
          <w:lang w:val="en-US" w:eastAsia="zh-CN"/>
        </w:rPr>
        <w:t>可变荷载标准值与永久荷载标准值之比不应大于2</w:t>
      </w:r>
      <w:r>
        <w:rPr>
          <w:rFonts w:hint="eastAsia"/>
          <w:u w:val="single"/>
          <w:lang w:val="en-US" w:eastAsia="zh-CN"/>
        </w:rPr>
        <w:t>；</w:t>
      </w:r>
      <w:r>
        <w:rPr>
          <w:rFonts w:hint="default"/>
          <w:u w:val="single"/>
          <w:lang w:val="en-US" w:eastAsia="zh-CN"/>
        </w:rPr>
        <w:t>楼盖应按纵、横两个方向分别计算，且均应考虑全部坚向荷载的作用</w:t>
      </w:r>
      <w:r>
        <w:rPr>
          <w:rFonts w:hint="eastAsia"/>
          <w:u w:val="single"/>
          <w:lang w:val="en-US" w:eastAsia="zh-CN"/>
        </w:rPr>
        <w:t>。这些条件可以说比较苛刻，实际工程项目复杂多变，基本上不可能满足这些条件，即便能满足这些条件，但水平荷载下的计算分析又需要采用等代框架法，两种方法计算出的内力又存在内力如何组合的问题；因此，经验系数法基本上无法使用。</w:t>
      </w:r>
    </w:p>
    <w:p>
      <w:pPr>
        <w:keepNext w:val="0"/>
        <w:keepLines w:val="0"/>
        <w:pageBreakBefore w:val="0"/>
        <w:widowControl w:val="0"/>
        <w:numPr>
          <w:ilvl w:val="0"/>
          <w:numId w:val="4"/>
        </w:numPr>
        <w:tabs>
          <w:tab w:val="left" w:pos="0"/>
        </w:tabs>
        <w:kinsoku/>
        <w:wordWrap/>
        <w:overflowPunct/>
        <w:topLinePunct w:val="0"/>
        <w:autoSpaceDE/>
        <w:autoSpaceDN/>
        <w:bidi w:val="0"/>
        <w:adjustRightInd/>
        <w:snapToGrid/>
        <w:ind w:leftChars="0" w:firstLine="480" w:firstLineChars="200"/>
        <w:textAlignment w:val="auto"/>
        <w:rPr>
          <w:rFonts w:hint="eastAsia"/>
          <w:u w:val="single"/>
          <w:lang w:val="en-US" w:eastAsia="zh-CN"/>
        </w:rPr>
      </w:pPr>
      <w:r>
        <w:rPr>
          <w:rFonts w:hint="eastAsia"/>
          <w:u w:val="single"/>
          <w:lang w:val="en-US" w:eastAsia="zh-CN"/>
        </w:rPr>
        <w:t>规程关于等代框架法的要求：</w:t>
      </w:r>
      <w:r>
        <w:rPr>
          <w:rFonts w:hint="default"/>
          <w:u w:val="single"/>
          <w:lang w:val="en-US" w:eastAsia="zh-CN"/>
        </w:rPr>
        <w:t>柱支承或柔性支承空心楼盖采用等代框架法计算内力时，应按楼盖的纵、横两个方向分别进行，每个方向的计算均应取全部坚向作用荷载。</w:t>
      </w:r>
      <w:r>
        <w:rPr>
          <w:rFonts w:hint="eastAsia"/>
          <w:u w:val="single"/>
          <w:lang w:val="en-US" w:eastAsia="zh-CN"/>
        </w:rPr>
        <w:t>可以说，这种计算方法只是一种粗略的计算方法，相对比较保守，设计成果经济性也比较差。</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ind w:firstLine="480" w:firstLineChars="200"/>
        <w:textAlignment w:val="auto"/>
        <w:rPr>
          <w:rFonts w:hint="eastAsia"/>
          <w:u w:val="single"/>
          <w:lang w:val="en-US" w:eastAsia="zh-CN"/>
        </w:rPr>
      </w:pPr>
      <w:r>
        <w:rPr>
          <w:rFonts w:hint="eastAsia"/>
          <w:u w:val="single"/>
          <w:lang w:val="en-US" w:eastAsia="zh-CN"/>
        </w:rPr>
        <w:t>综合考虑以上情况，在当前计算手段非常先进的情况下，宜采用更为精确的计算分析方法，这就是有限元法。有限元法基本没有限制条件，可以按照实际情况考虑空心叠合板的各种约束情况，无论是刚性支承、柔性支承、柱支承还是混合支承的空心叠合楼盖，有限元法都可以快速地进行计算分析，并进行各种荷载或作用下的内力组合，从而进行构件的配筋设计。因此，我们主要推荐采用有限元法进行空心叠合楼盖的计算分析。</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heme="minorBidi"/>
          <w:color w:val="auto"/>
          <w:kern w:val="2"/>
          <w:sz w:val="24"/>
          <w:szCs w:val="24"/>
          <w:highlight w:val="none"/>
          <w:u w:val="single"/>
          <w:lang w:val="en-US" w:eastAsia="zh-CN" w:bidi="ar-SA"/>
        </w:rPr>
      </w:pPr>
      <w:r>
        <w:rPr>
          <w:rFonts w:hint="eastAsia" w:ascii="Times New Roman" w:hAnsi="Times New Roman" w:eastAsia="宋体" w:cstheme="minorBidi"/>
          <w:color w:val="auto"/>
          <w:kern w:val="2"/>
          <w:sz w:val="24"/>
          <w:szCs w:val="24"/>
          <w:highlight w:val="none"/>
          <w:u w:val="single"/>
          <w:lang w:val="en-US" w:eastAsia="zh-CN" w:bidi="ar-SA"/>
        </w:rPr>
        <w:t>对于刚性支承及未设柱帽及实心区域的柔性支承空心叠合楼盖的周边支承框架梁，为保证其与常规情况下框架梁相同的设计安全度，框架梁设计时</w:t>
      </w:r>
      <w:r>
        <w:rPr>
          <w:rFonts w:hint="eastAsia" w:ascii="Times New Roman" w:hAnsi="Times New Roman" w:cstheme="minorBidi"/>
          <w:color w:val="auto"/>
          <w:kern w:val="2"/>
          <w:sz w:val="24"/>
          <w:szCs w:val="24"/>
          <w:highlight w:val="none"/>
          <w:u w:val="single"/>
          <w:lang w:val="en-US" w:eastAsia="zh-CN" w:bidi="ar-SA"/>
        </w:rPr>
        <w:t>可</w:t>
      </w:r>
      <w:r>
        <w:rPr>
          <w:rFonts w:hint="eastAsia" w:ascii="Times New Roman" w:hAnsi="Times New Roman" w:eastAsia="宋体" w:cstheme="minorBidi"/>
          <w:color w:val="auto"/>
          <w:kern w:val="2"/>
          <w:sz w:val="24"/>
          <w:szCs w:val="24"/>
          <w:highlight w:val="none"/>
          <w:u w:val="single"/>
          <w:lang w:val="en-US" w:eastAsia="zh-CN" w:bidi="ar-SA"/>
        </w:rPr>
        <w:t>不考虑楼板平面外刚度作用。</w:t>
      </w:r>
    </w:p>
    <w:p>
      <w:pPr>
        <w:numPr>
          <w:ilvl w:val="2"/>
          <w:numId w:val="1"/>
        </w:numPr>
        <w:bidi w:val="0"/>
        <w:rPr>
          <w:rFonts w:hint="default"/>
          <w:lang w:val="en-US" w:eastAsia="zh-CN"/>
        </w:rPr>
      </w:pPr>
      <w:r>
        <w:rPr>
          <w:rFonts w:hint="default"/>
          <w:lang w:val="en-US" w:eastAsia="zh-CN"/>
        </w:rPr>
        <w:t>空心叠合板应在后浇肋梁处进行双向整体式</w:t>
      </w:r>
      <w:r>
        <w:rPr>
          <w:rFonts w:hint="eastAsia"/>
          <w:lang w:val="en-US" w:eastAsia="zh-CN"/>
        </w:rPr>
        <w:t>接缝</w:t>
      </w:r>
      <w:r>
        <w:rPr>
          <w:rFonts w:hint="default"/>
          <w:lang w:val="en-US" w:eastAsia="zh-CN"/>
        </w:rPr>
        <w:t>连接。</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5.1.5</w:t>
      </w:r>
      <w:r>
        <w:rPr>
          <w:rFonts w:hint="eastAsia"/>
          <w:u w:val="single"/>
          <w:lang w:val="en-US" w:eastAsia="zh-CN"/>
        </w:rPr>
        <w:t xml:space="preserve"> 标准化拆分的预制底板只有在双向后浇肋梁处进行整体性接缝连接，才能保证空心叠合板的受力性能与现浇空心楼板接近，也是本规程技术体系的核心。</w:t>
      </w:r>
    </w:p>
    <w:p>
      <w:pPr>
        <w:pStyle w:val="4"/>
        <w:bidi w:val="0"/>
        <w:ind w:left="0" w:leftChars="0" w:firstLine="0" w:firstLineChars="0"/>
        <w:outlineLvl w:val="1"/>
        <w:rPr>
          <w:rFonts w:hint="eastAsia"/>
          <w:lang w:val="en-US" w:eastAsia="zh-CN"/>
        </w:rPr>
      </w:pPr>
      <w:bookmarkStart w:id="31" w:name="_Toc23098"/>
      <w:r>
        <w:rPr>
          <w:rFonts w:hint="eastAsia"/>
          <w:lang w:val="en-US" w:eastAsia="zh-CN"/>
        </w:rPr>
        <w:t>结构布置要求</w:t>
      </w:r>
      <w:bookmarkEnd w:id="31"/>
    </w:p>
    <w:p>
      <w:pPr>
        <w:numPr>
          <w:ilvl w:val="2"/>
          <w:numId w:val="1"/>
        </w:numPr>
        <w:bidi w:val="0"/>
        <w:rPr>
          <w:rFonts w:hint="default"/>
          <w:lang w:val="en-US" w:eastAsia="zh-CN"/>
        </w:rPr>
      </w:pPr>
      <w:r>
        <w:rPr>
          <w:rFonts w:hint="eastAsia"/>
          <w:lang w:val="en-US" w:eastAsia="zh-CN"/>
        </w:rPr>
        <w:t>采用刚性支承、柔性支承</w:t>
      </w:r>
      <w:r>
        <w:rPr>
          <w:rFonts w:hint="default"/>
          <w:lang w:val="en-US" w:eastAsia="zh-CN"/>
        </w:rPr>
        <w:t>空心叠合楼盖</w:t>
      </w:r>
      <w:r>
        <w:rPr>
          <w:rFonts w:hint="eastAsia"/>
          <w:lang w:val="en-US" w:eastAsia="zh-CN"/>
        </w:rPr>
        <w:t>结构的具体要求，应按现行国家标准《建筑与市政工程抗震通用规范》GB 55002、《建筑抗震设计规范》</w:t>
      </w:r>
      <w:r>
        <w:rPr>
          <w:rFonts w:hint="default"/>
          <w:lang w:val="en-US" w:eastAsia="zh-CN"/>
        </w:rPr>
        <w:t>GB 50011</w:t>
      </w:r>
      <w:r>
        <w:rPr>
          <w:rFonts w:hint="eastAsia"/>
          <w:lang w:val="en-US" w:eastAsia="zh-CN"/>
        </w:rPr>
        <w:t>、《高层建筑混凝土结构技术规程》</w:t>
      </w:r>
      <w:r>
        <w:rPr>
          <w:rFonts w:hint="default"/>
          <w:lang w:val="en-US" w:eastAsia="zh-CN"/>
        </w:rPr>
        <w:t>JGJ 3</w:t>
      </w:r>
      <w:r>
        <w:rPr>
          <w:rFonts w:hint="eastAsia"/>
          <w:lang w:val="en-US" w:eastAsia="zh-CN"/>
        </w:rPr>
        <w:t>等的规定进行。当柔性支承</w:t>
      </w:r>
      <w:r>
        <w:rPr>
          <w:rFonts w:hint="default"/>
          <w:lang w:val="en-US" w:eastAsia="zh-CN"/>
        </w:rPr>
        <w:t>空心叠合楼盖</w:t>
      </w:r>
      <w:r>
        <w:rPr>
          <w:rFonts w:hint="eastAsia"/>
          <w:lang w:val="en-US" w:eastAsia="zh-CN"/>
        </w:rPr>
        <w:t>结构采用框架扁梁时，扁梁的具体要求应按现行国家标准《建筑抗震设计规范》</w:t>
      </w:r>
      <w:r>
        <w:rPr>
          <w:rFonts w:hint="default"/>
          <w:lang w:val="en-US" w:eastAsia="zh-CN"/>
        </w:rPr>
        <w:t>GB 50011</w:t>
      </w:r>
      <w:r>
        <w:rPr>
          <w:rFonts w:hint="eastAsia"/>
          <w:lang w:val="en-US" w:eastAsia="zh-CN"/>
        </w:rPr>
        <w:t>、《高层建筑混凝土结构技术规程》</w:t>
      </w:r>
      <w:r>
        <w:rPr>
          <w:rFonts w:hint="default"/>
          <w:lang w:val="en-US" w:eastAsia="zh-CN"/>
        </w:rPr>
        <w:t>JGJ 3</w:t>
      </w:r>
      <w:r>
        <w:rPr>
          <w:rFonts w:hint="eastAsia"/>
          <w:lang w:val="en-US" w:eastAsia="zh-CN"/>
        </w:rPr>
        <w:t>等的规定进行。</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5.2.1</w:t>
      </w:r>
      <w:r>
        <w:rPr>
          <w:rFonts w:hint="eastAsia"/>
          <w:u w:val="single"/>
          <w:lang w:val="en-US" w:eastAsia="zh-CN"/>
        </w:rPr>
        <w:t xml:space="preserve"> </w:t>
      </w:r>
      <w:r>
        <w:rPr>
          <w:rFonts w:hint="default" w:ascii="Times New Roman" w:hAnsi="Times New Roman" w:cs="Times New Roman"/>
          <w:u w:val="single"/>
          <w:lang w:val="en-US" w:eastAsia="zh-CN"/>
        </w:rPr>
        <w:t>采用刚性支承、柔性支承空心叠合楼盖的结构，只是楼板采用了空心叠合板，其主体结构与实心楼板结构的要求一致。按照现行国家标准《建筑与市政工程抗震通用规范》GB 55002、《建筑抗震设计规范》GB 50011、《高层建筑混凝土结构技术规程》JGJ 3等的规定执行即可。</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u w:val="single"/>
          <w:lang w:val="en-US" w:eastAsia="zh-CN"/>
        </w:rPr>
      </w:pPr>
      <w:r>
        <w:rPr>
          <w:rFonts w:hint="default" w:ascii="Times New Roman" w:hAnsi="Times New Roman" w:cs="Times New Roman"/>
          <w:u w:val="single"/>
          <w:lang w:val="en-US" w:eastAsia="zh-CN"/>
        </w:rPr>
        <w:t>当柔性支承空心叠合楼盖结构采用框架扁梁时，扁梁的具体要求在现行国家标准《建筑抗震设计规范》GB 50011、《高层建筑混凝土结构技术规程》JGJ 3</w:t>
      </w:r>
      <w:r>
        <w:rPr>
          <w:rFonts w:hint="eastAsia"/>
          <w:u w:val="single"/>
          <w:lang w:val="en-US" w:eastAsia="zh-CN"/>
        </w:rPr>
        <w:t>等均有具体的规定，应按照执行。但抗震等级为一级的框架结构，不宜采用框架扁梁。</w:t>
      </w:r>
    </w:p>
    <w:p>
      <w:pPr>
        <w:numPr>
          <w:ilvl w:val="2"/>
          <w:numId w:val="1"/>
        </w:numPr>
        <w:bidi w:val="0"/>
        <w:rPr>
          <w:rFonts w:hint="default"/>
          <w:lang w:val="en-US" w:eastAsia="zh-CN"/>
        </w:rPr>
      </w:pPr>
      <w:r>
        <w:rPr>
          <w:rFonts w:hint="default"/>
          <w:lang w:val="en-US" w:eastAsia="zh-CN"/>
        </w:rPr>
        <w:t>柔性支承空心叠合楼盖，</w:t>
      </w:r>
      <w:r>
        <w:rPr>
          <w:rFonts w:hint="eastAsia"/>
          <w:lang w:val="en-US" w:eastAsia="zh-CN"/>
        </w:rPr>
        <w:t>当支承框架梁竖向刚度较弱不足以承担相应柱周围全部竖向荷载时，应</w:t>
      </w:r>
      <w:r>
        <w:rPr>
          <w:rFonts w:hint="default"/>
          <w:lang w:val="en-US" w:eastAsia="zh-CN"/>
        </w:rPr>
        <w:t>在柱周围设置实心区域楼板，并宜由支承</w:t>
      </w:r>
      <w:r>
        <w:rPr>
          <w:rFonts w:hint="eastAsia"/>
          <w:lang w:val="en-US" w:eastAsia="zh-CN"/>
        </w:rPr>
        <w:t>框架梁抗剪</w:t>
      </w:r>
      <w:r>
        <w:rPr>
          <w:rFonts w:hint="default"/>
          <w:lang w:val="en-US" w:eastAsia="zh-CN"/>
        </w:rPr>
        <w:t>承载力和实心区域</w:t>
      </w:r>
      <w:r>
        <w:rPr>
          <w:rFonts w:hint="eastAsia"/>
          <w:lang w:val="en-US" w:eastAsia="zh-CN"/>
        </w:rPr>
        <w:t>楼板</w:t>
      </w:r>
      <w:r>
        <w:rPr>
          <w:rFonts w:hint="default"/>
          <w:lang w:val="en-US" w:eastAsia="zh-CN"/>
        </w:rPr>
        <w:t>受冲切承载力</w:t>
      </w:r>
      <w:r>
        <w:rPr>
          <w:rFonts w:hint="eastAsia"/>
          <w:lang w:val="en-US" w:eastAsia="zh-CN"/>
        </w:rPr>
        <w:t>共同</w:t>
      </w:r>
      <w:r>
        <w:rPr>
          <w:rFonts w:hint="default"/>
          <w:lang w:val="en-US" w:eastAsia="zh-CN"/>
        </w:rPr>
        <w:t>承受全部竖向荷载。</w:t>
      </w:r>
      <w:r>
        <w:rPr>
          <w:rFonts w:hint="eastAsia"/>
          <w:lang w:val="en-US" w:eastAsia="zh-CN"/>
        </w:rPr>
        <w:t>框架梁抗剪</w:t>
      </w:r>
      <w:r>
        <w:rPr>
          <w:rFonts w:hint="default"/>
          <w:lang w:val="en-US" w:eastAsia="zh-CN"/>
        </w:rPr>
        <w:t>承载力和实心区域</w:t>
      </w:r>
      <w:r>
        <w:rPr>
          <w:rFonts w:hint="eastAsia"/>
          <w:lang w:val="en-US" w:eastAsia="zh-CN"/>
        </w:rPr>
        <w:t>楼板受冲切承载力应按现行国家标准《混凝土结构设计规范》</w:t>
      </w:r>
      <w:r>
        <w:rPr>
          <w:rFonts w:hint="default"/>
          <w:lang w:val="en-US" w:eastAsia="zh-CN"/>
        </w:rPr>
        <w:t>GB 50010</w:t>
      </w:r>
      <w:r>
        <w:rPr>
          <w:rFonts w:hint="eastAsia"/>
          <w:lang w:val="en-US" w:eastAsia="zh-CN"/>
        </w:rPr>
        <w:t>的有关规定计算。支承框架梁的箍筋设置应满足现行国家标准《建筑抗震设计规范》GB 50011中框架梁的要求，且箍筋加密区范围不应小于1000mm。</w:t>
      </w:r>
    </w:p>
    <w:p>
      <w:pPr>
        <w:numPr>
          <w:ilvl w:val="0"/>
          <w:numId w:val="0"/>
        </w:numPr>
        <w:tabs>
          <w:tab w:val="left" w:pos="0"/>
        </w:tabs>
        <w:bidi w:val="0"/>
        <w:spacing w:line="360" w:lineRule="auto"/>
        <w:ind w:leftChars="0"/>
        <w:rPr>
          <w:rFonts w:hint="eastAsia"/>
          <w:u w:val="single"/>
          <w:lang w:val="en-US" w:eastAsia="zh-CN"/>
        </w:rPr>
      </w:pPr>
      <w:r>
        <w:rPr>
          <w:rFonts w:hint="eastAsia"/>
          <w:u w:val="single"/>
          <w:lang w:val="en-US" w:eastAsia="zh-CN"/>
        </w:rPr>
        <w:t>【条文说明】5.2.2 本条根据</w:t>
      </w:r>
      <w:r>
        <w:rPr>
          <w:rFonts w:hint="default"/>
          <w:u w:val="single"/>
          <w:lang w:val="en-US" w:eastAsia="zh-CN"/>
        </w:rPr>
        <w:t>现行国家标准《现浇混凝土空心楼盖技术规程》JGJ/T 268</w:t>
      </w:r>
      <w:r>
        <w:rPr>
          <w:rFonts w:hint="eastAsia"/>
          <w:u w:val="single"/>
          <w:lang w:val="en-US" w:eastAsia="zh-CN"/>
        </w:rPr>
        <w:t>-2012第6.3.7条、7.2.2条的有关规定，进行整合后提出相应要求。</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u w:val="single"/>
          <w:lang w:val="en-US" w:eastAsia="zh-CN"/>
        </w:rPr>
      </w:pPr>
      <w:r>
        <w:rPr>
          <w:rFonts w:hint="eastAsia"/>
          <w:u w:val="single"/>
          <w:lang w:val="en-US" w:eastAsia="zh-CN"/>
        </w:rPr>
        <w:t>当支承框架梁能够独立承担柱周围全部竖向荷载时，柱周围可以不必设置实心区域楼板；当支承框架梁竖向刚度较弱不足以承担柱周围全部竖向荷载时，柱周围应设置实心区域楼板，相应柱周围全部竖向荷载宜由</w:t>
      </w:r>
      <w:r>
        <w:rPr>
          <w:rFonts w:hint="default"/>
          <w:u w:val="single"/>
          <w:lang w:val="en-US" w:eastAsia="zh-CN"/>
        </w:rPr>
        <w:t>支承</w:t>
      </w:r>
      <w:r>
        <w:rPr>
          <w:rFonts w:hint="eastAsia"/>
          <w:u w:val="single"/>
          <w:lang w:val="en-US" w:eastAsia="zh-CN"/>
        </w:rPr>
        <w:t>框架梁抗剪</w:t>
      </w:r>
      <w:r>
        <w:rPr>
          <w:rFonts w:hint="default"/>
          <w:u w:val="single"/>
          <w:lang w:val="en-US" w:eastAsia="zh-CN"/>
        </w:rPr>
        <w:t>承载力</w:t>
      </w:r>
      <w:r>
        <w:rPr>
          <w:rFonts w:hint="eastAsia"/>
          <w:u w:val="single"/>
          <w:lang w:val="en-US" w:eastAsia="zh-CN"/>
        </w:rPr>
        <w:t>和</w:t>
      </w:r>
      <w:r>
        <w:rPr>
          <w:rFonts w:hint="default"/>
          <w:u w:val="single"/>
          <w:lang w:val="en-US" w:eastAsia="zh-CN"/>
        </w:rPr>
        <w:t>实心区域</w:t>
      </w:r>
      <w:r>
        <w:rPr>
          <w:rFonts w:hint="eastAsia"/>
          <w:u w:val="single"/>
          <w:lang w:val="en-US" w:eastAsia="zh-CN"/>
        </w:rPr>
        <w:t>楼板</w:t>
      </w:r>
      <w:r>
        <w:rPr>
          <w:rFonts w:hint="default"/>
          <w:u w:val="single"/>
          <w:lang w:val="en-US" w:eastAsia="zh-CN"/>
        </w:rPr>
        <w:t>受冲切承载力</w:t>
      </w:r>
      <w:r>
        <w:rPr>
          <w:rFonts w:hint="eastAsia"/>
          <w:u w:val="single"/>
          <w:lang w:val="en-US" w:eastAsia="zh-CN"/>
        </w:rPr>
        <w:t>共同来</w:t>
      </w:r>
      <w:r>
        <w:rPr>
          <w:rFonts w:hint="default"/>
          <w:u w:val="single"/>
          <w:lang w:val="en-US" w:eastAsia="zh-CN"/>
        </w:rPr>
        <w:t>承受全部竖向荷载。</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lang w:val="en-US" w:eastAsia="zh-CN"/>
        </w:rPr>
      </w:pPr>
      <w:r>
        <w:rPr>
          <w:rFonts w:hint="default"/>
          <w:u w:val="single"/>
          <w:lang w:val="en-US" w:eastAsia="zh-CN"/>
        </w:rPr>
        <w:t>实心区域</w:t>
      </w:r>
      <w:r>
        <w:rPr>
          <w:rFonts w:hint="eastAsia"/>
          <w:u w:val="single"/>
          <w:lang w:val="en-US" w:eastAsia="zh-CN"/>
        </w:rPr>
        <w:t>楼板受冲切承载力计算时，应按现行国家标准《混凝土结构设计规范》</w:t>
      </w:r>
      <w:r>
        <w:rPr>
          <w:rFonts w:hint="default"/>
          <w:u w:val="single"/>
          <w:lang w:val="en-US" w:eastAsia="zh-CN"/>
        </w:rPr>
        <w:t>GB 50010</w:t>
      </w:r>
      <w:r>
        <w:rPr>
          <w:rFonts w:hint="eastAsia"/>
          <w:u w:val="single"/>
          <w:lang w:val="en-US" w:eastAsia="zh-CN"/>
        </w:rPr>
        <w:t>的有关规定考虑不平衡弯矩对等效集中反力设计值的影响。</w:t>
      </w:r>
    </w:p>
    <w:p>
      <w:pPr>
        <w:numPr>
          <w:ilvl w:val="2"/>
          <w:numId w:val="1"/>
        </w:numPr>
        <w:bidi w:val="0"/>
        <w:rPr>
          <w:rFonts w:hint="default"/>
          <w:lang w:val="en-US" w:eastAsia="zh-CN"/>
        </w:rPr>
      </w:pPr>
      <w:r>
        <w:rPr>
          <w:rFonts w:hint="eastAsia"/>
          <w:lang w:val="en-US" w:eastAsia="zh-CN"/>
        </w:rPr>
        <w:t>采用</w:t>
      </w:r>
      <w:r>
        <w:rPr>
          <w:rFonts w:hint="default"/>
          <w:lang w:val="en-US" w:eastAsia="zh-CN"/>
        </w:rPr>
        <w:t>柱支承空心叠合楼盖</w:t>
      </w:r>
      <w:r>
        <w:rPr>
          <w:rFonts w:hint="eastAsia"/>
          <w:lang w:val="en-US" w:eastAsia="zh-CN"/>
        </w:rPr>
        <w:t>的结构应满足板柱-抗震墙的有关要求，其结构布置尚应符合下列要求：</w:t>
      </w:r>
    </w:p>
    <w:p>
      <w:pPr>
        <w:pStyle w:val="21"/>
        <w:bidi w:val="0"/>
        <w:rPr>
          <w:rFonts w:hint="eastAsia"/>
          <w:lang w:val="en-US" w:eastAsia="zh-CN"/>
        </w:rPr>
      </w:pPr>
      <w:r>
        <w:rPr>
          <w:rFonts w:hint="eastAsia"/>
          <w:lang w:val="en-US" w:eastAsia="zh-CN"/>
        </w:rPr>
        <w:t>1 抗震墙厚度不应小于180mm，且不宜小于层高或无支长度的1/20；房屋高度大于12m时，墙厚不应小于200mm；</w:t>
      </w:r>
    </w:p>
    <w:p>
      <w:pPr>
        <w:pStyle w:val="21"/>
        <w:bidi w:val="0"/>
        <w:rPr>
          <w:rFonts w:hint="eastAsia"/>
          <w:lang w:val="en-US" w:eastAsia="zh-CN"/>
        </w:rPr>
      </w:pPr>
      <w:r>
        <w:rPr>
          <w:rFonts w:hint="eastAsia"/>
          <w:lang w:val="en-US" w:eastAsia="zh-CN"/>
        </w:rPr>
        <w:t>2 房屋的周边应采用有梁框架，楼电梯及洞口周边宜设置边框梁；</w:t>
      </w:r>
    </w:p>
    <w:p>
      <w:pPr>
        <w:pStyle w:val="21"/>
        <w:bidi w:val="0"/>
        <w:rPr>
          <w:rFonts w:hint="eastAsia"/>
          <w:highlight w:val="yellow"/>
          <w:lang w:val="en-US" w:eastAsia="zh-CN"/>
        </w:rPr>
      </w:pPr>
      <w:r>
        <w:rPr>
          <w:rFonts w:hint="eastAsia"/>
          <w:lang w:val="en-US" w:eastAsia="zh-CN"/>
        </w:rPr>
        <w:t xml:space="preserve">3 </w:t>
      </w:r>
      <w:r>
        <w:rPr>
          <w:rFonts w:hint="default"/>
          <w:highlight w:val="none"/>
          <w:lang w:val="en-US" w:eastAsia="zh-CN"/>
        </w:rPr>
        <w:t>应在</w:t>
      </w:r>
      <w:r>
        <w:rPr>
          <w:rFonts w:hint="eastAsia"/>
          <w:highlight w:val="none"/>
          <w:lang w:val="en-US" w:eastAsia="zh-CN"/>
        </w:rPr>
        <w:t>框架</w:t>
      </w:r>
      <w:r>
        <w:rPr>
          <w:rFonts w:hint="default"/>
          <w:highlight w:val="none"/>
          <w:lang w:val="en-US" w:eastAsia="zh-CN"/>
        </w:rPr>
        <w:t>柱间设置框架实心暗梁</w:t>
      </w:r>
      <w:r>
        <w:rPr>
          <w:rFonts w:hint="eastAsia"/>
          <w:highlight w:val="none"/>
          <w:lang w:val="en-US" w:eastAsia="zh-CN"/>
        </w:rPr>
        <w:t>，暗梁高度宜比空心叠合板高出不大于50mm。</w:t>
      </w:r>
    </w:p>
    <w:p>
      <w:pPr>
        <w:pStyle w:val="21"/>
        <w:bidi w:val="0"/>
        <w:ind w:left="0" w:leftChars="0" w:firstLine="0" w:firstLineChars="0"/>
        <w:rPr>
          <w:rFonts w:hint="default"/>
          <w:u w:val="single"/>
          <w:lang w:val="en-US" w:eastAsia="zh-CN"/>
        </w:rPr>
      </w:pPr>
      <w:r>
        <w:rPr>
          <w:rFonts w:hint="eastAsia"/>
          <w:u w:val="single"/>
          <w:lang w:val="en-US" w:eastAsia="zh-CN"/>
        </w:rPr>
        <w:t>【条文说明】5.2.3 本条根据</w:t>
      </w:r>
      <w:r>
        <w:rPr>
          <w:rFonts w:hint="default"/>
          <w:u w:val="single"/>
          <w:lang w:val="en-US" w:eastAsia="zh-CN"/>
        </w:rPr>
        <w:t>现行国家标准</w:t>
      </w:r>
      <w:r>
        <w:rPr>
          <w:rFonts w:hint="eastAsia"/>
          <w:u w:val="single"/>
          <w:lang w:val="en-US" w:eastAsia="zh-CN"/>
        </w:rPr>
        <w:t>《建筑抗震设计规范》</w:t>
      </w:r>
      <w:r>
        <w:rPr>
          <w:rFonts w:hint="default"/>
          <w:u w:val="single"/>
          <w:lang w:val="en-US" w:eastAsia="zh-CN"/>
        </w:rPr>
        <w:t>GB 50011</w:t>
      </w:r>
      <w:r>
        <w:rPr>
          <w:rFonts w:hint="eastAsia"/>
          <w:u w:val="single"/>
          <w:lang w:val="en-US" w:eastAsia="zh-CN"/>
        </w:rPr>
        <w:t>-2010（2016年版）第6.6.2条板柱-抗震墙的有关规定提出，并增加了柱间设置框架实心暗梁的有关要求。暗梁高度高出空心叠合板一定尺寸，是为了预制底板下翼缘板的钢筋以及叠合肋梁的下皮纵筋方便地伸入支座内进行锚固。即便是采用了高出空心叠合板50mm的框架梁，由于梁的刚度比较弱，结构的整体要求仍应满足板柱-抗震墙结构的有关规定，保证结构安全。</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u w:val="single"/>
          <w:lang w:val="en-US" w:eastAsia="zh-CN"/>
        </w:rPr>
        <w:t>在</w:t>
      </w:r>
      <w:r>
        <w:rPr>
          <w:rFonts w:hint="default"/>
          <w:u w:val="single"/>
          <w:lang w:val="en-US" w:eastAsia="zh-CN"/>
        </w:rPr>
        <w:t>柱支承空心叠合楼盖</w:t>
      </w:r>
      <w:r>
        <w:rPr>
          <w:rFonts w:hint="eastAsia"/>
          <w:u w:val="single"/>
          <w:lang w:val="en-US" w:eastAsia="zh-CN"/>
        </w:rPr>
        <w:t>的外周边布置高出楼盖厚度的框架梁有两个目的：一是提高边梁的抗扭刚度；二是加强对楼盖边缘的约束作用。在楼电梯及洞口处，由于开洞易消弱楼盖的整体性和连续性，宜在洞口周边设置边梁以提高该处的承载力。</w:t>
      </w:r>
    </w:p>
    <w:p>
      <w:pPr>
        <w:numPr>
          <w:ilvl w:val="2"/>
          <w:numId w:val="1"/>
        </w:numPr>
        <w:bidi w:val="0"/>
        <w:rPr>
          <w:rFonts w:hint="default"/>
          <w:lang w:val="en-US" w:eastAsia="zh-CN"/>
        </w:rPr>
      </w:pPr>
      <w:r>
        <w:rPr>
          <w:rFonts w:hint="default"/>
          <w:lang w:val="en-US" w:eastAsia="zh-CN"/>
        </w:rPr>
        <w:t>柱支承空心叠合楼盖，应在柱周围设置实心区域楼板</w:t>
      </w:r>
      <w:r>
        <w:rPr>
          <w:rFonts w:hint="eastAsia"/>
          <w:lang w:val="en-US" w:eastAsia="zh-CN"/>
        </w:rPr>
        <w:t>，并可根据需要设置托板或柱帽；8度时宜设置托板或柱帽；其</w:t>
      </w:r>
      <w:r>
        <w:rPr>
          <w:rFonts w:hint="default"/>
          <w:lang w:val="en-US" w:eastAsia="zh-CN"/>
        </w:rPr>
        <w:t>尺寸和配筋应根据受冲切承载力计算确定。</w:t>
      </w:r>
      <w:r>
        <w:rPr>
          <w:rFonts w:hint="eastAsia"/>
          <w:lang w:val="en-US" w:eastAsia="zh-CN"/>
        </w:rPr>
        <w:t>受冲切承载力按现行国家标准《混凝土结构设计规范》</w:t>
      </w:r>
      <w:r>
        <w:rPr>
          <w:rFonts w:hint="default"/>
          <w:lang w:val="en-US" w:eastAsia="zh-CN"/>
        </w:rPr>
        <w:t>GB 50010</w:t>
      </w:r>
      <w:r>
        <w:rPr>
          <w:rFonts w:hint="eastAsia"/>
          <w:lang w:val="en-US" w:eastAsia="zh-CN"/>
        </w:rPr>
        <w:t>的有关规定计算。</w:t>
      </w:r>
      <w:r>
        <w:rPr>
          <w:rFonts w:hint="default"/>
          <w:lang w:val="en-US" w:eastAsia="zh-CN"/>
        </w:rPr>
        <w:t>托板或柱帽根部的厚度(包括板厚)不宜小于柱纵筋直径的16倍，托板或柱帽的边长不宜小于4倍板厚和柱截面对应边长之和。</w:t>
      </w:r>
    </w:p>
    <w:p>
      <w:pPr>
        <w:pStyle w:val="21"/>
        <w:bidi w:val="0"/>
        <w:ind w:left="0" w:leftChars="0" w:firstLine="0" w:firstLineChars="0"/>
        <w:rPr>
          <w:rFonts w:hint="eastAsia"/>
          <w:u w:val="single"/>
          <w:lang w:val="en-US" w:eastAsia="zh-CN"/>
        </w:rPr>
      </w:pPr>
      <w:r>
        <w:rPr>
          <w:rFonts w:hint="eastAsia"/>
          <w:u w:val="single"/>
          <w:lang w:val="en-US" w:eastAsia="zh-CN"/>
        </w:rPr>
        <w:t>【条文说明】5.2.4 本条结合了</w:t>
      </w:r>
      <w:r>
        <w:rPr>
          <w:rFonts w:hint="default"/>
          <w:u w:val="single"/>
          <w:lang w:val="en-US" w:eastAsia="zh-CN"/>
        </w:rPr>
        <w:t>现行国家标准</w:t>
      </w:r>
      <w:r>
        <w:rPr>
          <w:rFonts w:hint="eastAsia"/>
          <w:u w:val="single"/>
          <w:lang w:val="en-US" w:eastAsia="zh-CN"/>
        </w:rPr>
        <w:t>《建筑抗震设计规范》</w:t>
      </w:r>
      <w:r>
        <w:rPr>
          <w:rFonts w:hint="default"/>
          <w:u w:val="single"/>
          <w:lang w:val="en-US" w:eastAsia="zh-CN"/>
        </w:rPr>
        <w:t>GB 50011</w:t>
      </w:r>
      <w:r>
        <w:rPr>
          <w:rFonts w:hint="eastAsia"/>
          <w:u w:val="single"/>
          <w:lang w:val="en-US" w:eastAsia="zh-CN"/>
        </w:rPr>
        <w:t>-2010（2016年版）第6.6.2条板柱-抗震墙的有关规定，以及</w:t>
      </w:r>
      <w:r>
        <w:rPr>
          <w:rFonts w:hint="default"/>
          <w:u w:val="single"/>
          <w:lang w:val="en-US" w:eastAsia="zh-CN"/>
        </w:rPr>
        <w:t>现行国家标准《现浇混凝土空心楼盖技术规程》JGJ/T 268</w:t>
      </w:r>
      <w:r>
        <w:rPr>
          <w:rFonts w:hint="eastAsia"/>
          <w:u w:val="single"/>
          <w:lang w:val="en-US" w:eastAsia="zh-CN"/>
        </w:rPr>
        <w:t>-2012第6.3.6条的有关规定，提出相应要求。</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u w:val="single"/>
          <w:lang w:val="en-US" w:eastAsia="zh-CN"/>
        </w:rPr>
      </w:pPr>
      <w:r>
        <w:rPr>
          <w:rFonts w:hint="eastAsia"/>
          <w:u w:val="single"/>
          <w:lang w:val="en-US" w:eastAsia="zh-CN"/>
        </w:rPr>
        <w:t>实心区域楼板、托板或柱帽可提高空心叠合板支承构件的刚度和受剪（受冲切）承载力，确保竖向荷载可靠地传递到支承构件上。</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default"/>
          <w:u w:val="single"/>
          <w:lang w:val="en-US" w:eastAsia="zh-CN"/>
        </w:rPr>
        <w:t>实心区域</w:t>
      </w:r>
      <w:r>
        <w:rPr>
          <w:rFonts w:hint="eastAsia"/>
          <w:u w:val="single"/>
          <w:lang w:val="en-US" w:eastAsia="zh-CN"/>
        </w:rPr>
        <w:t>楼板、托板或柱帽受冲切承载力计算时，应按现行国家标准《混凝土结构设计规范》</w:t>
      </w:r>
      <w:r>
        <w:rPr>
          <w:rFonts w:hint="default"/>
          <w:u w:val="single"/>
          <w:lang w:val="en-US" w:eastAsia="zh-CN"/>
        </w:rPr>
        <w:t>GB 50010</w:t>
      </w:r>
      <w:r>
        <w:rPr>
          <w:rFonts w:hint="eastAsia"/>
          <w:u w:val="single"/>
          <w:lang w:val="en-US" w:eastAsia="zh-CN"/>
        </w:rPr>
        <w:t>的有关规定考虑不平衡弯矩对等效集中反力设计值的影响。</w:t>
      </w:r>
    </w:p>
    <w:p>
      <w:pPr>
        <w:pStyle w:val="4"/>
        <w:bidi w:val="0"/>
        <w:ind w:left="0" w:leftChars="0" w:firstLine="0" w:firstLineChars="0"/>
        <w:outlineLvl w:val="1"/>
        <w:rPr>
          <w:rFonts w:hint="default"/>
          <w:lang w:val="en-US" w:eastAsia="zh-CN"/>
        </w:rPr>
      </w:pPr>
      <w:bookmarkStart w:id="32" w:name="_Toc13160"/>
      <w:r>
        <w:rPr>
          <w:rFonts w:hint="eastAsia"/>
          <w:lang w:val="en-US" w:eastAsia="zh-CN"/>
        </w:rPr>
        <w:t>空心叠合楼盖计算与验算</w:t>
      </w:r>
      <w:bookmarkEnd w:id="32"/>
    </w:p>
    <w:p>
      <w:pPr>
        <w:numPr>
          <w:ilvl w:val="2"/>
          <w:numId w:val="1"/>
        </w:numPr>
        <w:bidi w:val="0"/>
        <w:rPr>
          <w:rFonts w:hint="default" w:ascii="宋体" w:hAnsi="宋体" w:eastAsia="宋体" w:cs="Times New Roman"/>
          <w:color w:val="000000"/>
          <w:kern w:val="0"/>
          <w:sz w:val="24"/>
          <w:szCs w:val="22"/>
          <w:lang w:val="en-US" w:eastAsia="zh-CN" w:bidi="ar-SA"/>
        </w:rPr>
      </w:pPr>
      <w:r>
        <w:rPr>
          <w:rFonts w:hint="default"/>
          <w:lang w:val="en-US" w:eastAsia="zh-CN"/>
        </w:rPr>
        <w:t>空心叠合板进行</w:t>
      </w:r>
      <w:r>
        <w:rPr>
          <w:rFonts w:hint="eastAsia"/>
          <w:lang w:val="en-US" w:eastAsia="zh-CN"/>
        </w:rPr>
        <w:t>承载力极限状态计算和正常使用状态验算时，</w:t>
      </w:r>
      <w:r>
        <w:rPr>
          <w:rFonts w:hint="default"/>
          <w:lang w:val="en-US" w:eastAsia="zh-CN"/>
        </w:rPr>
        <w:t>应按照</w:t>
      </w:r>
      <w:r>
        <w:rPr>
          <w:rFonts w:hint="eastAsia"/>
          <w:lang w:val="en-US" w:eastAsia="zh-CN"/>
        </w:rPr>
        <w:t>3.2.8</w:t>
      </w:r>
      <w:r>
        <w:rPr>
          <w:rFonts w:hint="default"/>
          <w:lang w:val="en-US" w:eastAsia="zh-CN"/>
        </w:rPr>
        <w:t>节规定的I型截面进行</w:t>
      </w:r>
      <w:r>
        <w:rPr>
          <w:rFonts w:hint="eastAsia"/>
          <w:lang w:val="en-US" w:eastAsia="zh-CN"/>
        </w:rPr>
        <w:t>。</w:t>
      </w:r>
      <w:r>
        <w:rPr>
          <w:rFonts w:hint="default"/>
          <w:lang w:val="en-US" w:eastAsia="zh-CN"/>
        </w:rPr>
        <w:t>正截面承载力计算时，受压区翼缘计算宽度应</w:t>
      </w:r>
      <w:r>
        <w:rPr>
          <w:rFonts w:hint="eastAsia"/>
          <w:lang w:val="en-US" w:eastAsia="zh-CN"/>
        </w:rPr>
        <w:t>满足</w:t>
      </w:r>
      <w:r>
        <w:rPr>
          <w:rFonts w:hint="default"/>
          <w:lang w:val="en-US" w:eastAsia="zh-CN"/>
        </w:rPr>
        <w:t>现行国家标准《混凝土结构设计规范》GB 50010有关规定，受压区高度</w:t>
      </w:r>
      <w:r>
        <w:rPr>
          <w:rFonts w:hint="eastAsia" w:ascii="宋体" w:hAnsi="宋体" w:eastAsia="宋体" w:cs="Times New Roman"/>
          <w:color w:val="000000"/>
          <w:kern w:val="0"/>
          <w:sz w:val="24"/>
          <w:szCs w:val="22"/>
          <w:lang w:val="en-US" w:eastAsia="zh-CN" w:bidi="ar-SA"/>
        </w:rPr>
        <w:t>不宜大于</w:t>
      </w:r>
      <w:r>
        <w:rPr>
          <w:rFonts w:hint="default" w:ascii="宋体" w:hAnsi="宋体" w:eastAsia="宋体" w:cs="Times New Roman"/>
          <w:color w:val="000000"/>
          <w:kern w:val="0"/>
          <w:sz w:val="24"/>
          <w:szCs w:val="22"/>
          <w:lang w:val="en-US" w:eastAsia="zh-CN" w:bidi="ar-SA"/>
        </w:rPr>
        <w:t>上翼缘厚度；</w:t>
      </w:r>
      <w:r>
        <w:rPr>
          <w:rFonts w:hint="eastAsia" w:ascii="宋体" w:hAnsi="宋体" w:eastAsia="宋体" w:cs="Times New Roman"/>
          <w:color w:val="000000"/>
          <w:kern w:val="0"/>
          <w:sz w:val="24"/>
          <w:szCs w:val="22"/>
          <w:lang w:val="en-US" w:eastAsia="zh-CN" w:bidi="ar-SA"/>
        </w:rPr>
        <w:t>肋梁的斜截面受剪承载力计算不应考虑翼缘的作用，全部剪力由肋梁的腹板及箍筋共同承担；</w:t>
      </w:r>
      <w:r>
        <w:rPr>
          <w:rFonts w:hint="eastAsia" w:ascii="宋体" w:hAnsi="宋体" w:cs="Times New Roman"/>
          <w:color w:val="000000"/>
          <w:kern w:val="0"/>
          <w:sz w:val="24"/>
          <w:szCs w:val="22"/>
          <w:lang w:val="en-US" w:eastAsia="zh-CN" w:bidi="ar-SA"/>
        </w:rPr>
        <w:t>裂缝宽度</w:t>
      </w:r>
      <w:r>
        <w:rPr>
          <w:rFonts w:hint="default" w:ascii="宋体" w:hAnsi="宋体" w:eastAsia="宋体" w:cs="Times New Roman"/>
          <w:color w:val="000000"/>
          <w:kern w:val="0"/>
          <w:sz w:val="24"/>
          <w:szCs w:val="22"/>
          <w:lang w:val="en-US" w:eastAsia="zh-CN" w:bidi="ar-SA"/>
        </w:rPr>
        <w:t>验算时，应考虑受拉区翼缘的影响。具体计算应按现行国家标准《混凝土结构设计规范》</w:t>
      </w:r>
      <w:r>
        <w:rPr>
          <w:rFonts w:hint="default"/>
          <w:lang w:val="en-US" w:eastAsia="zh-CN"/>
        </w:rPr>
        <w:t>GB 50010</w:t>
      </w:r>
      <w:r>
        <w:rPr>
          <w:rFonts w:hint="default" w:ascii="宋体" w:hAnsi="宋体" w:eastAsia="宋体" w:cs="Times New Roman"/>
          <w:color w:val="000000"/>
          <w:kern w:val="0"/>
          <w:sz w:val="24"/>
          <w:szCs w:val="22"/>
          <w:lang w:val="en-US" w:eastAsia="zh-CN" w:bidi="ar-SA"/>
        </w:rPr>
        <w:t>中有关规定进行</w:t>
      </w:r>
      <w:r>
        <w:rPr>
          <w:rFonts w:hint="eastAsia" w:ascii="宋体" w:hAnsi="宋体" w:eastAsia="宋体" w:cs="Times New Roman"/>
          <w:color w:val="000000"/>
          <w:kern w:val="0"/>
          <w:sz w:val="24"/>
          <w:szCs w:val="22"/>
          <w:lang w:val="en-US" w:eastAsia="zh-CN" w:bidi="ar-SA"/>
        </w:rPr>
        <w:t>。</w:t>
      </w:r>
    </w:p>
    <w:p>
      <w:pPr>
        <w:pStyle w:val="20"/>
        <w:spacing w:line="360" w:lineRule="auto"/>
        <w:rPr>
          <w:rFonts w:hint="default" w:ascii="宋体" w:hAnsi="宋体" w:eastAsia="宋体" w:cs="Times New Roman"/>
          <w:color w:val="000000"/>
          <w:kern w:val="0"/>
          <w:sz w:val="24"/>
          <w:szCs w:val="22"/>
          <w:u w:val="single"/>
          <w:lang w:val="en-US" w:eastAsia="zh-CN" w:bidi="ar-SA"/>
        </w:rPr>
      </w:pPr>
      <w:r>
        <w:rPr>
          <w:rFonts w:hint="eastAsia" w:ascii="宋体" w:hAnsi="宋体" w:eastAsia="宋体" w:cs="Times New Roman"/>
          <w:color w:val="000000"/>
          <w:kern w:val="0"/>
          <w:sz w:val="24"/>
          <w:szCs w:val="22"/>
          <w:u w:val="single"/>
          <w:lang w:val="en-US" w:eastAsia="zh-CN" w:bidi="ar-SA"/>
        </w:rPr>
        <w:t>【条文说明】</w:t>
      </w:r>
      <w:r>
        <w:rPr>
          <w:rFonts w:hint="eastAsia" w:ascii="Times New Roman" w:hAnsi="Times New Roman" w:eastAsia="宋体" w:cstheme="minorBidi"/>
          <w:color w:val="auto"/>
          <w:kern w:val="2"/>
          <w:sz w:val="24"/>
          <w:szCs w:val="24"/>
          <w:u w:val="single"/>
          <w:lang w:val="en-US" w:eastAsia="zh-CN" w:bidi="ar-SA"/>
        </w:rPr>
        <w:t>5.3.1</w:t>
      </w:r>
      <w:r>
        <w:rPr>
          <w:rFonts w:hint="eastAsia" w:cs="Times New Roman"/>
          <w:color w:val="000000"/>
          <w:kern w:val="0"/>
          <w:sz w:val="24"/>
          <w:szCs w:val="22"/>
          <w:u w:val="single"/>
          <w:lang w:val="en-US" w:eastAsia="zh-CN" w:bidi="ar-SA"/>
        </w:rPr>
        <w:t xml:space="preserve"> </w:t>
      </w:r>
      <w:r>
        <w:rPr>
          <w:rFonts w:hint="eastAsia" w:ascii="宋体" w:hAnsi="宋体" w:eastAsia="宋体" w:cs="Times New Roman"/>
          <w:color w:val="000000"/>
          <w:kern w:val="0"/>
          <w:sz w:val="24"/>
          <w:szCs w:val="22"/>
          <w:u w:val="single"/>
          <w:lang w:val="en-US" w:eastAsia="zh-CN" w:bidi="ar-SA"/>
        </w:rPr>
        <w:t>空心叠合板的承载力极限状态计算和正常使用状态验算，可以按照简化的</w:t>
      </w:r>
      <w:r>
        <w:rPr>
          <w:rFonts w:hint="default" w:ascii="宋体" w:hAnsi="宋体" w:eastAsia="宋体" w:cs="Times New Roman"/>
          <w:color w:val="000000"/>
          <w:kern w:val="0"/>
          <w:sz w:val="24"/>
          <w:szCs w:val="22"/>
          <w:u w:val="single"/>
          <w:lang w:val="en-US" w:eastAsia="zh-CN" w:bidi="ar-SA"/>
        </w:rPr>
        <w:t>I型截面进行</w:t>
      </w:r>
      <w:r>
        <w:rPr>
          <w:rFonts w:hint="eastAsia" w:ascii="宋体" w:hAnsi="宋体" w:eastAsia="宋体" w:cs="Times New Roman"/>
          <w:color w:val="000000"/>
          <w:kern w:val="0"/>
          <w:sz w:val="24"/>
          <w:szCs w:val="22"/>
          <w:u w:val="single"/>
          <w:lang w:val="en-US" w:eastAsia="zh-CN" w:bidi="ar-SA"/>
        </w:rPr>
        <w:t>。</w:t>
      </w:r>
      <w:r>
        <w:rPr>
          <w:rFonts w:hint="default" w:ascii="宋体" w:hAnsi="宋体" w:eastAsia="宋体" w:cs="Times New Roman"/>
          <w:color w:val="000000"/>
          <w:kern w:val="0"/>
          <w:sz w:val="24"/>
          <w:szCs w:val="22"/>
          <w:u w:val="single"/>
          <w:lang w:val="en-US" w:eastAsia="zh-CN" w:bidi="ar-SA"/>
        </w:rPr>
        <w:t>正截面承载</w:t>
      </w:r>
      <w:r>
        <w:rPr>
          <w:rFonts w:hint="default" w:ascii="Times New Roman" w:hAnsi="Times New Roman" w:eastAsia="宋体" w:cs="Times New Roman"/>
          <w:color w:val="000000"/>
          <w:kern w:val="0"/>
          <w:sz w:val="24"/>
          <w:szCs w:val="22"/>
          <w:u w:val="single"/>
          <w:lang w:val="en-US" w:eastAsia="zh-CN" w:bidi="ar-SA"/>
        </w:rPr>
        <w:t>力计算时，受压区翼缘计算宽度有限制，其宽度应按照现行国家标准《混凝土结构设计规范》GB 50010有关规定</w:t>
      </w:r>
      <w:r>
        <w:rPr>
          <w:rFonts w:hint="eastAsia" w:ascii="宋体" w:hAnsi="宋体" w:eastAsia="宋体" w:cs="Times New Roman"/>
          <w:color w:val="000000"/>
          <w:kern w:val="0"/>
          <w:sz w:val="24"/>
          <w:szCs w:val="22"/>
          <w:u w:val="single"/>
          <w:lang w:val="en-US" w:eastAsia="zh-CN" w:bidi="ar-SA"/>
        </w:rPr>
        <w:t>进行，并且受压区高度限制在上翼缘厚度范围内；受拉翼缘不考虑，由钢筋承担全部拉应力。肋梁的斜截面承载力计算不应考虑翼缘的作用，全部剪力由肋梁的腹板及箍筋共同承担。</w:t>
      </w:r>
      <w:r>
        <w:rPr>
          <w:rFonts w:hint="eastAsia" w:ascii="宋体" w:hAnsi="宋体" w:cs="Times New Roman"/>
          <w:color w:val="000000"/>
          <w:kern w:val="0"/>
          <w:sz w:val="24"/>
          <w:szCs w:val="22"/>
          <w:u w:val="single"/>
          <w:lang w:val="en-US" w:eastAsia="zh-CN" w:bidi="ar-SA"/>
        </w:rPr>
        <w:t>裂缝宽度</w:t>
      </w:r>
      <w:r>
        <w:rPr>
          <w:rFonts w:hint="default" w:ascii="宋体" w:hAnsi="宋体" w:eastAsia="宋体" w:cs="Times New Roman"/>
          <w:color w:val="000000"/>
          <w:kern w:val="0"/>
          <w:sz w:val="24"/>
          <w:szCs w:val="22"/>
          <w:u w:val="single"/>
          <w:lang w:val="en-US" w:eastAsia="zh-CN" w:bidi="ar-SA"/>
        </w:rPr>
        <w:t>验算时，应考虑受拉区翼缘的影响</w:t>
      </w:r>
      <w:r>
        <w:rPr>
          <w:rFonts w:hint="eastAsia" w:ascii="宋体" w:hAnsi="宋体" w:eastAsia="宋体" w:cs="Times New Roman"/>
          <w:color w:val="000000"/>
          <w:kern w:val="0"/>
          <w:sz w:val="24"/>
          <w:szCs w:val="22"/>
          <w:u w:val="single"/>
          <w:lang w:val="en-US" w:eastAsia="zh-CN" w:bidi="ar-SA"/>
        </w:rPr>
        <w:t>。</w:t>
      </w:r>
    </w:p>
    <w:p>
      <w:pPr>
        <w:numPr>
          <w:ilvl w:val="2"/>
          <w:numId w:val="1"/>
        </w:numPr>
        <w:bidi w:val="0"/>
        <w:rPr>
          <w:rFonts w:hint="default"/>
          <w:lang w:val="en-US" w:eastAsia="zh-CN"/>
        </w:rPr>
      </w:pPr>
      <w:r>
        <w:rPr>
          <w:rFonts w:hint="default"/>
          <w:highlight w:val="none"/>
          <w:lang w:val="en-US" w:eastAsia="zh-CN"/>
        </w:rPr>
        <w:t>当预制底板与后浇</w:t>
      </w:r>
      <w:r>
        <w:rPr>
          <w:rFonts w:hint="eastAsia"/>
          <w:highlight w:val="none"/>
          <w:lang w:val="en-US" w:eastAsia="zh-CN"/>
        </w:rPr>
        <w:t>混凝土</w:t>
      </w:r>
      <w:r>
        <w:rPr>
          <w:rFonts w:hint="default"/>
          <w:highlight w:val="none"/>
          <w:lang w:val="en-US" w:eastAsia="zh-CN"/>
        </w:rPr>
        <w:t>的强度等级不同时，应按受压区位置处混凝土的强度等级计算正截面承载力</w:t>
      </w:r>
      <w:r>
        <w:rPr>
          <w:rFonts w:hint="eastAsia"/>
          <w:highlight w:val="none"/>
          <w:lang w:val="en-US" w:eastAsia="zh-CN"/>
        </w:rPr>
        <w:t>，按较低的混凝土强度等级计算斜截面承载力、挠度验算、</w:t>
      </w:r>
      <w:r>
        <w:rPr>
          <w:rFonts w:hint="default"/>
          <w:highlight w:val="none"/>
          <w:lang w:val="en-US" w:eastAsia="zh-CN"/>
        </w:rPr>
        <w:t>竖向自振频率验算</w:t>
      </w:r>
      <w:r>
        <w:rPr>
          <w:rFonts w:hint="eastAsia"/>
          <w:highlight w:val="none"/>
          <w:lang w:val="en-US" w:eastAsia="zh-CN"/>
        </w:rPr>
        <w:t>，按所在部位的混凝土强度等级进行裂缝宽度验算。</w:t>
      </w:r>
    </w:p>
    <w:p>
      <w:pPr>
        <w:pStyle w:val="20"/>
        <w:spacing w:line="360" w:lineRule="auto"/>
        <w:rPr>
          <w:rFonts w:hint="default"/>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5.3.2 </w:t>
      </w:r>
      <w:r>
        <w:rPr>
          <w:rFonts w:hint="eastAsia"/>
          <w:highlight w:val="none"/>
          <w:u w:val="single"/>
          <w:lang w:val="en-US" w:eastAsia="zh-CN"/>
        </w:rPr>
        <w:t>预制底板</w:t>
      </w:r>
      <w:r>
        <w:rPr>
          <w:rFonts w:hint="default"/>
          <w:highlight w:val="none"/>
          <w:u w:val="single"/>
          <w:lang w:val="en-US" w:eastAsia="zh-CN"/>
        </w:rPr>
        <w:t>与后浇</w:t>
      </w:r>
      <w:r>
        <w:rPr>
          <w:rFonts w:hint="eastAsia"/>
          <w:highlight w:val="none"/>
          <w:u w:val="single"/>
          <w:lang w:val="en-US" w:eastAsia="zh-CN"/>
        </w:rPr>
        <w:t>混凝土</w:t>
      </w:r>
      <w:r>
        <w:rPr>
          <w:rFonts w:hint="default"/>
          <w:highlight w:val="none"/>
          <w:u w:val="single"/>
          <w:lang w:val="en-US" w:eastAsia="zh-CN"/>
        </w:rPr>
        <w:t>的强度等级相同时，</w:t>
      </w:r>
      <w:r>
        <w:rPr>
          <w:rFonts w:hint="eastAsia"/>
          <w:highlight w:val="none"/>
          <w:u w:val="single"/>
          <w:lang w:val="en-US" w:eastAsia="zh-CN"/>
        </w:rPr>
        <w:t>无论是</w:t>
      </w:r>
      <w:r>
        <w:rPr>
          <w:rFonts w:hint="default"/>
          <w:highlight w:val="none"/>
          <w:u w:val="single"/>
          <w:lang w:val="en-US" w:eastAsia="zh-CN"/>
        </w:rPr>
        <w:t>正截面承载力</w:t>
      </w:r>
      <w:r>
        <w:rPr>
          <w:rFonts w:hint="eastAsia"/>
          <w:highlight w:val="none"/>
          <w:u w:val="single"/>
          <w:lang w:val="en-US" w:eastAsia="zh-CN"/>
        </w:rPr>
        <w:t>计算、斜截面承载力计算、挠度验算、</w:t>
      </w:r>
      <w:r>
        <w:rPr>
          <w:rFonts w:hint="default"/>
          <w:highlight w:val="none"/>
          <w:u w:val="single"/>
          <w:lang w:val="en-US" w:eastAsia="zh-CN"/>
        </w:rPr>
        <w:t>竖向自振频率验算</w:t>
      </w:r>
      <w:r>
        <w:rPr>
          <w:rFonts w:hint="eastAsia"/>
          <w:highlight w:val="none"/>
          <w:u w:val="single"/>
          <w:lang w:val="en-US" w:eastAsia="zh-CN"/>
        </w:rPr>
        <w:t>、裂缝宽度验算等都没有问题。当</w:t>
      </w:r>
      <w:r>
        <w:rPr>
          <w:rFonts w:hint="default"/>
          <w:highlight w:val="none"/>
          <w:u w:val="single"/>
          <w:lang w:val="en-US" w:eastAsia="zh-CN"/>
        </w:rPr>
        <w:t>预制底板与后浇</w:t>
      </w:r>
      <w:r>
        <w:rPr>
          <w:rFonts w:hint="eastAsia"/>
          <w:highlight w:val="none"/>
          <w:u w:val="single"/>
          <w:lang w:val="en-US" w:eastAsia="zh-CN"/>
        </w:rPr>
        <w:t>混凝土</w:t>
      </w:r>
      <w:r>
        <w:rPr>
          <w:rFonts w:hint="default"/>
          <w:highlight w:val="none"/>
          <w:u w:val="single"/>
          <w:lang w:val="en-US" w:eastAsia="zh-CN"/>
        </w:rPr>
        <w:t>的强度等级不相同时，</w:t>
      </w:r>
      <w:r>
        <w:rPr>
          <w:rFonts w:hint="eastAsia"/>
          <w:highlight w:val="none"/>
          <w:u w:val="single"/>
          <w:lang w:val="en-US" w:eastAsia="zh-CN"/>
        </w:rPr>
        <w:t>需要分别进行考虑：</w:t>
      </w:r>
      <w:r>
        <w:rPr>
          <w:rFonts w:hint="default"/>
          <w:highlight w:val="none"/>
          <w:u w:val="single"/>
          <w:lang w:val="en-US" w:eastAsia="zh-CN"/>
        </w:rPr>
        <w:t>正截面承载力</w:t>
      </w:r>
      <w:r>
        <w:rPr>
          <w:rFonts w:hint="eastAsia"/>
          <w:highlight w:val="none"/>
          <w:u w:val="single"/>
          <w:lang w:val="en-US" w:eastAsia="zh-CN"/>
        </w:rPr>
        <w:t>计算时，</w:t>
      </w:r>
      <w:r>
        <w:rPr>
          <w:rFonts w:hint="default"/>
          <w:highlight w:val="none"/>
          <w:u w:val="single"/>
          <w:lang w:val="en-US" w:eastAsia="zh-CN"/>
        </w:rPr>
        <w:t>应按受压区位置处混凝土的强度等级</w:t>
      </w:r>
      <w:r>
        <w:rPr>
          <w:rFonts w:hint="eastAsia"/>
          <w:highlight w:val="none"/>
          <w:u w:val="single"/>
          <w:lang w:val="en-US" w:eastAsia="zh-CN"/>
        </w:rPr>
        <w:t>进行；斜截面承载力计算、挠度验算、</w:t>
      </w:r>
      <w:r>
        <w:rPr>
          <w:rFonts w:hint="default"/>
          <w:highlight w:val="none"/>
          <w:u w:val="single"/>
          <w:lang w:val="en-US" w:eastAsia="zh-CN"/>
        </w:rPr>
        <w:t>竖向自振频率验算</w:t>
      </w:r>
      <w:r>
        <w:rPr>
          <w:rFonts w:hint="eastAsia"/>
          <w:highlight w:val="none"/>
          <w:u w:val="single"/>
          <w:lang w:val="en-US" w:eastAsia="zh-CN"/>
        </w:rPr>
        <w:t>时，可以偏保守的按照较低的混凝土强度等级进行；裂缝宽度验算时，应按照</w:t>
      </w:r>
      <w:r>
        <w:rPr>
          <w:rFonts w:hint="eastAsia" w:ascii="宋体" w:hAnsi="宋体" w:cs="Times New Roman"/>
          <w:color w:val="000000"/>
          <w:kern w:val="0"/>
          <w:sz w:val="24"/>
          <w:szCs w:val="22"/>
          <w:u w:val="single"/>
          <w:lang w:val="en-US" w:eastAsia="zh-CN" w:bidi="ar-SA"/>
        </w:rPr>
        <w:t>裂缝宽度</w:t>
      </w:r>
      <w:r>
        <w:rPr>
          <w:rFonts w:hint="eastAsia"/>
          <w:highlight w:val="none"/>
          <w:u w:val="single"/>
          <w:lang w:val="en-US" w:eastAsia="zh-CN"/>
        </w:rPr>
        <w:t>验算所在部位的混凝土强度等级进行。</w:t>
      </w:r>
    </w:p>
    <w:p>
      <w:pPr>
        <w:numPr>
          <w:ilvl w:val="2"/>
          <w:numId w:val="1"/>
        </w:numPr>
        <w:bidi w:val="0"/>
        <w:rPr>
          <w:rFonts w:hint="default"/>
          <w:lang w:val="en-US" w:eastAsia="zh-CN"/>
        </w:rPr>
      </w:pPr>
      <w:r>
        <w:rPr>
          <w:rFonts w:hint="eastAsia"/>
          <w:lang w:val="en-US" w:eastAsia="zh-CN"/>
        </w:rPr>
        <w:t>空心叠合楼盖可按区格板进行挠度验算。在楼面竖向荷载作用下区格板的最大挠度应按荷载准永久组合效应并考虑荷载长期作用影响的刚度计算，所求得的最大挠度计算值不应超过表5.3.3规定的挠度限值。当构件制作或支模时预先起拱，且使用上允许，最大挠度计算值可减去起拱值。</w:t>
      </w:r>
    </w:p>
    <w:p>
      <w:pPr>
        <w:pStyle w:val="20"/>
        <w:jc w:val="center"/>
        <w:rPr>
          <w:rFonts w:hint="default"/>
          <w:lang w:val="en-US" w:eastAsia="zh-CN"/>
        </w:rPr>
      </w:pPr>
      <w:r>
        <w:rPr>
          <w:rFonts w:hint="eastAsia"/>
          <w:lang w:val="en-US" w:eastAsia="zh-CN"/>
        </w:rPr>
        <w:t>表</w:t>
      </w:r>
      <w:r>
        <w:rPr>
          <w:rFonts w:hint="default" w:ascii="Times New Roman" w:hAnsi="Times New Roman" w:cs="Times New Roman"/>
          <w:lang w:val="en-US" w:eastAsia="zh-CN"/>
        </w:rPr>
        <w:t xml:space="preserve">5.3.3 </w:t>
      </w:r>
      <w:r>
        <w:rPr>
          <w:rFonts w:hint="eastAsia"/>
          <w:lang w:val="en-US" w:eastAsia="zh-CN"/>
        </w:rPr>
        <w:t>楼盖挠度限值</w:t>
      </w:r>
    </w:p>
    <w:tbl>
      <w:tblPr>
        <w:tblStyle w:val="16"/>
        <w:tblW w:w="0" w:type="auto"/>
        <w:tblInd w:w="1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2"/>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跨度（m）</w:t>
            </w:r>
          </w:p>
        </w:tc>
        <w:tc>
          <w:tcPr>
            <w:tcW w:w="2958"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挠度限值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&lt;7</w:t>
            </w:r>
          </w:p>
        </w:tc>
        <w:tc>
          <w:tcPr>
            <w:tcW w:w="2958"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/200（L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≤9</w:t>
            </w:r>
          </w:p>
        </w:tc>
        <w:tc>
          <w:tcPr>
            <w:tcW w:w="2958"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/250（L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2"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&gt;9</w:t>
            </w:r>
          </w:p>
        </w:tc>
        <w:tc>
          <w:tcPr>
            <w:tcW w:w="2958" w:type="dxa"/>
          </w:tcPr>
          <w:p>
            <w:pPr>
              <w:pStyle w:val="20"/>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/300（L</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vertAlign w:val="baseline"/>
                <w:lang w:val="en-US" w:eastAsia="zh-CN"/>
              </w:rPr>
              <w:t>/400）</w:t>
            </w:r>
          </w:p>
        </w:tc>
      </w:tr>
    </w:tbl>
    <w:p>
      <w:pPr>
        <w:pStyle w:val="21"/>
        <w:bidi w:val="0"/>
        <w:rPr>
          <w:rFonts w:hint="default"/>
          <w:sz w:val="21"/>
          <w:szCs w:val="21"/>
          <w:lang w:val="en-US" w:eastAsia="zh-CN"/>
        </w:rPr>
      </w:pPr>
      <w:r>
        <w:rPr>
          <w:rFonts w:hint="default"/>
          <w:sz w:val="21"/>
          <w:szCs w:val="21"/>
          <w:lang w:val="en-US" w:eastAsia="zh-CN"/>
        </w:rPr>
        <w:t>注</w:t>
      </w:r>
      <w:r>
        <w:rPr>
          <w:rFonts w:hint="eastAsia"/>
          <w:sz w:val="21"/>
          <w:szCs w:val="21"/>
          <w:lang w:val="en-US" w:eastAsia="zh-CN"/>
        </w:rPr>
        <w:t>：</w:t>
      </w:r>
      <w:r>
        <w:rPr>
          <w:rFonts w:hint="default"/>
          <w:sz w:val="21"/>
          <w:szCs w:val="21"/>
          <w:lang w:val="en-US" w:eastAsia="zh-CN"/>
        </w:rPr>
        <w:t xml:space="preserve"> 1 表中</w:t>
      </w:r>
      <w:r>
        <w:rPr>
          <w:rFonts w:hint="eastAsia"/>
          <w:sz w:val="21"/>
          <w:szCs w:val="21"/>
          <w:lang w:val="en-US" w:eastAsia="zh-CN"/>
        </w:rPr>
        <w:t>l</w:t>
      </w:r>
      <w:r>
        <w:rPr>
          <w:rFonts w:hint="default"/>
          <w:sz w:val="21"/>
          <w:szCs w:val="21"/>
          <w:vertAlign w:val="subscript"/>
          <w:lang w:val="en-US" w:eastAsia="zh-CN"/>
        </w:rPr>
        <w:t>o</w:t>
      </w:r>
      <w:r>
        <w:rPr>
          <w:rFonts w:hint="default"/>
          <w:sz w:val="21"/>
          <w:szCs w:val="21"/>
          <w:lang w:val="en-US" w:eastAsia="zh-CN"/>
        </w:rPr>
        <w:t>为楼盖的计算跨度</w:t>
      </w:r>
      <w:r>
        <w:rPr>
          <w:rFonts w:hint="eastAsia"/>
          <w:sz w:val="21"/>
          <w:szCs w:val="21"/>
          <w:lang w:val="en-US" w:eastAsia="zh-CN"/>
        </w:rPr>
        <w:t>；</w:t>
      </w:r>
    </w:p>
    <w:p>
      <w:pPr>
        <w:pStyle w:val="21"/>
        <w:bidi w:val="0"/>
        <w:rPr>
          <w:rFonts w:hint="eastAsia"/>
          <w:sz w:val="21"/>
          <w:szCs w:val="21"/>
          <w:lang w:val="en-US" w:eastAsia="zh-CN"/>
        </w:rPr>
      </w:pPr>
      <w:r>
        <w:rPr>
          <w:rFonts w:hint="default"/>
          <w:sz w:val="21"/>
          <w:szCs w:val="21"/>
          <w:lang w:val="en-US" w:eastAsia="zh-CN"/>
        </w:rPr>
        <w:t>2 表中括号内数值用于使用上对挠度有较高要求的楼盖</w:t>
      </w:r>
      <w:r>
        <w:rPr>
          <w:rFonts w:hint="eastAsia"/>
          <w:sz w:val="21"/>
          <w:szCs w:val="21"/>
          <w:lang w:val="en-US" w:eastAsia="zh-CN"/>
        </w:rPr>
        <w:t>。</w:t>
      </w:r>
    </w:p>
    <w:p>
      <w:pPr>
        <w:numPr>
          <w:ilvl w:val="2"/>
          <w:numId w:val="1"/>
        </w:numPr>
        <w:bidi w:val="0"/>
        <w:rPr>
          <w:rFonts w:hint="default"/>
          <w:lang w:val="en-US" w:eastAsia="zh-CN"/>
        </w:rPr>
      </w:pPr>
      <w:r>
        <w:rPr>
          <w:rFonts w:hint="default"/>
          <w:lang w:val="en-US" w:eastAsia="zh-CN"/>
        </w:rPr>
        <w:t>空心</w:t>
      </w:r>
      <w:r>
        <w:rPr>
          <w:rFonts w:hint="eastAsia"/>
          <w:lang w:val="en-US" w:eastAsia="zh-CN"/>
        </w:rPr>
        <w:t>叠合</w:t>
      </w:r>
      <w:r>
        <w:rPr>
          <w:rFonts w:hint="default"/>
          <w:lang w:val="en-US" w:eastAsia="zh-CN"/>
        </w:rPr>
        <w:t>楼盖挠度计算所采用的楼板刚度可按下列规定确定</w:t>
      </w:r>
      <w:r>
        <w:rPr>
          <w:rFonts w:hint="eastAsia"/>
          <w:lang w:val="en-US" w:eastAsia="zh-CN"/>
        </w:rPr>
        <w:t>：</w:t>
      </w:r>
    </w:p>
    <w:p>
      <w:pPr>
        <w:pStyle w:val="21"/>
        <w:bidi w:val="0"/>
        <w:rPr>
          <w:rFonts w:hint="default"/>
          <w:lang w:val="en-US" w:eastAsia="zh-CN"/>
        </w:rPr>
      </w:pPr>
      <w:r>
        <w:rPr>
          <w:rFonts w:hint="default"/>
          <w:lang w:val="en-US" w:eastAsia="zh-CN"/>
        </w:rPr>
        <w:t>1 空心</w:t>
      </w:r>
      <w:r>
        <w:rPr>
          <w:rFonts w:hint="eastAsia"/>
          <w:lang w:val="en-US" w:eastAsia="zh-CN"/>
        </w:rPr>
        <w:t>叠合</w:t>
      </w:r>
      <w:r>
        <w:rPr>
          <w:rFonts w:hint="default"/>
          <w:lang w:val="en-US" w:eastAsia="zh-CN"/>
        </w:rPr>
        <w:t>板的刚度应按现行国家标准《混凝土结构设计规范》GB 50010的有关规定计算</w:t>
      </w:r>
      <w:r>
        <w:rPr>
          <w:rFonts w:hint="eastAsia"/>
          <w:lang w:val="en-US" w:eastAsia="zh-CN"/>
        </w:rPr>
        <w:t>；</w:t>
      </w:r>
    </w:p>
    <w:p>
      <w:pPr>
        <w:pStyle w:val="21"/>
        <w:bidi w:val="0"/>
        <w:rPr>
          <w:rFonts w:hint="default"/>
          <w:lang w:val="en-US" w:eastAsia="zh-CN"/>
        </w:rPr>
      </w:pPr>
      <w:r>
        <w:rPr>
          <w:rFonts w:hint="default"/>
          <w:lang w:val="en-US" w:eastAsia="zh-CN"/>
        </w:rPr>
        <w:t>2</w:t>
      </w:r>
      <w:r>
        <w:rPr>
          <w:rFonts w:hint="eastAsia"/>
          <w:lang w:val="en-US" w:eastAsia="zh-CN"/>
        </w:rPr>
        <w:t xml:space="preserve"> </w:t>
      </w:r>
      <w:r>
        <w:rPr>
          <w:rFonts w:hint="default"/>
          <w:lang w:val="en-US" w:eastAsia="zh-CN"/>
        </w:rPr>
        <w:t>刚性支承空心</w:t>
      </w:r>
      <w:r>
        <w:rPr>
          <w:rFonts w:hint="eastAsia"/>
          <w:lang w:val="en-US" w:eastAsia="zh-CN"/>
        </w:rPr>
        <w:t>叠合楼盖的</w:t>
      </w:r>
      <w:r>
        <w:rPr>
          <w:rFonts w:hint="default"/>
          <w:lang w:val="en-US" w:eastAsia="zh-CN"/>
        </w:rPr>
        <w:t>刚度可取短跨方向跨中最大弯矩处的刚度</w:t>
      </w:r>
      <w:r>
        <w:rPr>
          <w:rFonts w:hint="eastAsia"/>
          <w:lang w:val="en-US" w:eastAsia="zh-CN"/>
        </w:rPr>
        <w:t>；</w:t>
      </w:r>
    </w:p>
    <w:p>
      <w:pPr>
        <w:pStyle w:val="21"/>
        <w:bidi w:val="0"/>
        <w:rPr>
          <w:rFonts w:hint="default"/>
          <w:lang w:val="en-US" w:eastAsia="zh-CN"/>
        </w:rPr>
      </w:pPr>
      <w:r>
        <w:rPr>
          <w:rFonts w:hint="default"/>
          <w:lang w:val="en-US" w:eastAsia="zh-CN"/>
        </w:rPr>
        <w:t>3 柱支承及柔性支承空心</w:t>
      </w:r>
      <w:r>
        <w:rPr>
          <w:rFonts w:hint="eastAsia"/>
          <w:lang w:val="en-US" w:eastAsia="zh-CN"/>
        </w:rPr>
        <w:t>叠合楼盖的</w:t>
      </w:r>
      <w:r>
        <w:rPr>
          <w:rFonts w:hint="default"/>
          <w:lang w:val="en-US" w:eastAsia="zh-CN"/>
        </w:rPr>
        <w:t>刚度可取两个方向中间板带跨中最大弯矩处的刚度平均值。</w:t>
      </w:r>
    </w:p>
    <w:p>
      <w:pPr>
        <w:numPr>
          <w:ilvl w:val="2"/>
          <w:numId w:val="1"/>
        </w:numPr>
        <w:bidi w:val="0"/>
        <w:rPr>
          <w:rFonts w:hint="default"/>
          <w:lang w:val="en-US" w:eastAsia="zh-CN"/>
        </w:rPr>
      </w:pPr>
      <w:r>
        <w:rPr>
          <w:rFonts w:hint="default"/>
          <w:lang w:val="en-US" w:eastAsia="zh-CN"/>
        </w:rPr>
        <w:t>空心</w:t>
      </w:r>
      <w:r>
        <w:rPr>
          <w:rFonts w:hint="eastAsia"/>
          <w:lang w:val="en-US" w:eastAsia="zh-CN"/>
        </w:rPr>
        <w:t>叠合</w:t>
      </w:r>
      <w:r>
        <w:rPr>
          <w:rFonts w:hint="default"/>
          <w:lang w:val="en-US" w:eastAsia="zh-CN"/>
        </w:rPr>
        <w:t>板的裂缝控制应符合现行国家标准《混凝土结构设计规范》GB</w:t>
      </w:r>
      <w:r>
        <w:rPr>
          <w:rFonts w:hint="eastAsia"/>
          <w:lang w:val="en-US" w:eastAsia="zh-CN"/>
        </w:rPr>
        <w:t xml:space="preserve"> </w:t>
      </w:r>
      <w:r>
        <w:rPr>
          <w:rFonts w:hint="default"/>
          <w:lang w:val="en-US" w:eastAsia="zh-CN"/>
        </w:rPr>
        <w:t>50010的有关规定。</w:t>
      </w:r>
    </w:p>
    <w:p>
      <w:pPr>
        <w:numPr>
          <w:ilvl w:val="2"/>
          <w:numId w:val="1"/>
        </w:numPr>
        <w:bidi w:val="0"/>
        <w:rPr>
          <w:rFonts w:hint="default"/>
          <w:highlight w:val="none"/>
          <w:lang w:val="en-US" w:eastAsia="zh-CN"/>
        </w:rPr>
      </w:pPr>
      <w:r>
        <w:rPr>
          <w:rFonts w:hint="default"/>
          <w:highlight w:val="none"/>
          <w:lang w:val="en-US" w:eastAsia="zh-CN"/>
        </w:rPr>
        <w:t>空心</w:t>
      </w:r>
      <w:r>
        <w:rPr>
          <w:rFonts w:hint="eastAsia"/>
          <w:highlight w:val="none"/>
          <w:lang w:val="en-US" w:eastAsia="zh-CN"/>
        </w:rPr>
        <w:t>叠合</w:t>
      </w:r>
      <w:r>
        <w:rPr>
          <w:rFonts w:hint="default"/>
          <w:highlight w:val="none"/>
          <w:lang w:val="en-US" w:eastAsia="zh-CN"/>
        </w:rPr>
        <w:t>楼盖</w:t>
      </w:r>
      <w:r>
        <w:rPr>
          <w:rFonts w:hint="eastAsia"/>
          <w:highlight w:val="none"/>
          <w:lang w:val="en-US" w:eastAsia="zh-CN"/>
        </w:rPr>
        <w:t>应满足楼盖竖向振动舒适度要求；楼盖的</w:t>
      </w:r>
      <w:r>
        <w:rPr>
          <w:rFonts w:hint="default"/>
          <w:highlight w:val="none"/>
          <w:lang w:val="en-US" w:eastAsia="zh-CN"/>
        </w:rPr>
        <w:t>竖向自振频率</w:t>
      </w:r>
      <w:r>
        <w:rPr>
          <w:rFonts w:hint="eastAsia"/>
          <w:highlight w:val="none"/>
          <w:lang w:val="en-US" w:eastAsia="zh-CN"/>
        </w:rPr>
        <w:t>和</w:t>
      </w:r>
      <w:r>
        <w:rPr>
          <w:rFonts w:hint="default"/>
          <w:highlight w:val="none"/>
          <w:lang w:val="en-US" w:eastAsia="zh-CN"/>
        </w:rPr>
        <w:t>竖向振动峰值加速度</w:t>
      </w:r>
      <w:r>
        <w:rPr>
          <w:rFonts w:hint="eastAsia"/>
          <w:highlight w:val="none"/>
          <w:lang w:val="en-US" w:eastAsia="zh-CN"/>
        </w:rPr>
        <w:t>限值应满足</w:t>
      </w:r>
      <w:r>
        <w:rPr>
          <w:rFonts w:hint="default"/>
          <w:highlight w:val="none"/>
          <w:lang w:val="en-US" w:eastAsia="zh-CN"/>
        </w:rPr>
        <w:t>现行国家标准《</w:t>
      </w:r>
      <w:r>
        <w:rPr>
          <w:rFonts w:hint="eastAsia"/>
          <w:highlight w:val="none"/>
          <w:lang w:val="en-US" w:eastAsia="zh-CN"/>
        </w:rPr>
        <w:t>建筑楼盖结构振动舒适度技术标准</w:t>
      </w:r>
      <w:r>
        <w:rPr>
          <w:rFonts w:hint="default"/>
          <w:highlight w:val="none"/>
          <w:lang w:val="en-US" w:eastAsia="zh-CN"/>
        </w:rPr>
        <w:t>》JGJ</w:t>
      </w:r>
      <w:r>
        <w:rPr>
          <w:rFonts w:hint="eastAsia"/>
          <w:highlight w:val="none"/>
          <w:lang w:val="en-US" w:eastAsia="zh-CN"/>
        </w:rPr>
        <w:t>/</w:t>
      </w:r>
      <w:r>
        <w:rPr>
          <w:rFonts w:hint="default"/>
          <w:highlight w:val="none"/>
          <w:lang w:val="en-US" w:eastAsia="zh-CN"/>
        </w:rPr>
        <w:t>T 441</w:t>
      </w:r>
      <w:r>
        <w:rPr>
          <w:rFonts w:hint="eastAsia"/>
          <w:highlight w:val="none"/>
          <w:lang w:val="en-US" w:eastAsia="zh-CN"/>
        </w:rPr>
        <w:t>的</w:t>
      </w:r>
      <w:r>
        <w:rPr>
          <w:rFonts w:hint="default"/>
          <w:highlight w:val="none"/>
          <w:lang w:val="en-US" w:eastAsia="zh-CN"/>
        </w:rPr>
        <w:t>有关规定</w:t>
      </w:r>
      <w:r>
        <w:rPr>
          <w:rFonts w:hint="eastAsia"/>
          <w:highlight w:val="none"/>
          <w:lang w:val="en-US" w:eastAsia="zh-CN"/>
        </w:rPr>
        <w:t>。</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5.3.6</w:t>
      </w:r>
      <w:r>
        <w:rPr>
          <w:rFonts w:hint="eastAsia"/>
          <w:u w:val="single"/>
          <w:lang w:val="en-US" w:eastAsia="zh-CN"/>
        </w:rPr>
        <w:t xml:space="preserve"> </w:t>
      </w:r>
      <w:r>
        <w:rPr>
          <w:rFonts w:hint="default" w:ascii="Times New Roman" w:hAnsi="Times New Roman" w:cs="Times New Roman"/>
          <w:u w:val="single"/>
          <w:lang w:val="en-US" w:eastAsia="zh-CN"/>
        </w:rPr>
        <w:t>空心叠合楼盖跨度大，可能存在竖向振动舒适度问题，应进行验算。现行国家标准</w:t>
      </w:r>
      <w:r>
        <w:rPr>
          <w:rFonts w:hint="default" w:ascii="Times New Roman" w:hAnsi="Times New Roman" w:cs="Times New Roman"/>
          <w:u w:val="single"/>
          <w:lang w:eastAsia="zh-CN"/>
        </w:rPr>
        <w:t>《</w:t>
      </w:r>
      <w:r>
        <w:rPr>
          <w:rFonts w:hint="default" w:ascii="Times New Roman" w:hAnsi="Times New Roman" w:cs="Times New Roman"/>
          <w:u w:val="single"/>
          <w:lang w:val="en-US" w:eastAsia="zh-CN"/>
        </w:rPr>
        <w:t>混凝土结构通用规范</w:t>
      </w:r>
      <w:r>
        <w:rPr>
          <w:rFonts w:hint="default" w:ascii="Times New Roman" w:hAnsi="Times New Roman" w:cs="Times New Roman"/>
          <w:u w:val="single"/>
          <w:lang w:eastAsia="zh-CN"/>
        </w:rPr>
        <w:t>》</w:t>
      </w:r>
      <w:r>
        <w:rPr>
          <w:rFonts w:hint="default" w:ascii="Times New Roman" w:hAnsi="Times New Roman" w:cs="Times New Roman"/>
          <w:u w:val="single"/>
          <w:lang w:val="en-US" w:eastAsia="zh-CN"/>
        </w:rPr>
        <w:t>GB 55008规定，房屋建筑的混凝土楼盖应满足楼盖竖向振动舒适度要求；现行国家标准《混凝土结构设计规范》GB 50010、《高层建筑混凝土结构技术规程》JGJ 3以及</w:t>
      </w:r>
      <w:r>
        <w:rPr>
          <w:rFonts w:hint="default" w:ascii="Times New Roman" w:hAnsi="Times New Roman" w:cs="Times New Roman"/>
          <w:highlight w:val="none"/>
          <w:u w:val="single"/>
          <w:lang w:val="en-US" w:eastAsia="zh-CN"/>
        </w:rPr>
        <w:t>《建筑楼盖结构振动舒适度技术标准》JGJ/T 441都有相关的规定。综合来看，现行行业标准《建筑楼盖结构振动舒适度技术标准》JGJ/T 441关于楼盖竖向自振频率和竖向振动峰值加速度限值的规定更加实用，可操作性强，因此，本</w:t>
      </w:r>
      <w:r>
        <w:rPr>
          <w:rFonts w:hint="eastAsia" w:ascii="Times New Roman" w:hAnsi="Times New Roman" w:cs="Times New Roman"/>
          <w:highlight w:val="none"/>
          <w:u w:val="single"/>
          <w:lang w:val="en-US" w:eastAsia="zh-CN"/>
        </w:rPr>
        <w:t>规程</w:t>
      </w:r>
      <w:r>
        <w:rPr>
          <w:rFonts w:hint="default" w:ascii="Times New Roman" w:hAnsi="Times New Roman" w:cs="Times New Roman"/>
          <w:highlight w:val="none"/>
          <w:u w:val="single"/>
          <w:lang w:val="en-US" w:eastAsia="zh-CN"/>
        </w:rPr>
        <w:t>直接规定楼盖竖向自振频率和竖向振动峰值加速度限值应满足现行国家标准《建筑楼盖结构振动舒适度技术标准》JGJ/T 441的有关规定。</w:t>
      </w:r>
    </w:p>
    <w:p>
      <w:pPr>
        <w:numPr>
          <w:ilvl w:val="2"/>
          <w:numId w:val="1"/>
        </w:numPr>
        <w:bidi w:val="0"/>
        <w:rPr>
          <w:rFonts w:hint="default"/>
          <w:highlight w:val="none"/>
          <w:lang w:val="en-US" w:eastAsia="zh-CN"/>
        </w:rPr>
      </w:pPr>
      <w:r>
        <w:rPr>
          <w:rFonts w:hint="eastAsia"/>
          <w:highlight w:val="none"/>
          <w:lang w:val="en-US" w:eastAsia="zh-CN"/>
        </w:rPr>
        <w:t>空心</w:t>
      </w:r>
      <w:r>
        <w:rPr>
          <w:rFonts w:hint="default"/>
          <w:highlight w:val="none"/>
          <w:lang w:val="en-US" w:eastAsia="zh-CN"/>
        </w:rPr>
        <w:t>叠合板板端</w:t>
      </w:r>
      <w:r>
        <w:rPr>
          <w:rFonts w:hint="eastAsia"/>
          <w:highlight w:val="none"/>
          <w:lang w:val="en-US" w:eastAsia="zh-CN"/>
        </w:rPr>
        <w:t>的</w:t>
      </w:r>
      <w:r>
        <w:rPr>
          <w:rFonts w:hint="default"/>
          <w:highlight w:val="none"/>
          <w:lang w:val="en-US" w:eastAsia="zh-CN"/>
        </w:rPr>
        <w:t>受剪承载力</w:t>
      </w:r>
      <w:r>
        <w:rPr>
          <w:rFonts w:hint="eastAsia"/>
          <w:highlight w:val="none"/>
          <w:lang w:val="en-US" w:eastAsia="zh-CN"/>
        </w:rPr>
        <w:t>由叠合肋梁起控制作用。叠合肋梁端部的受剪承载力</w:t>
      </w:r>
      <w:r>
        <w:rPr>
          <w:rFonts w:hint="default"/>
          <w:highlight w:val="none"/>
          <w:lang w:val="en-US" w:eastAsia="zh-CN"/>
        </w:rPr>
        <w:t>应符合下列规定：</w:t>
      </w:r>
    </w:p>
    <w:p>
      <w:pPr>
        <w:numPr>
          <w:ilvl w:val="0"/>
          <w:numId w:val="0"/>
        </w:numPr>
        <w:tabs>
          <w:tab w:val="left" w:pos="420"/>
        </w:tabs>
        <w:bidi w:val="0"/>
        <w:ind w:leftChars="0"/>
        <w:jc w:val="center"/>
        <w:rPr>
          <w:rFonts w:hint="eastAsia" w:hAnsi="Cambria Math" w:cs="Times New Roman"/>
          <w:i w:val="0"/>
          <w:highlight w:val="none"/>
          <w:lang w:val="en-US" w:eastAsia="zh-CN"/>
        </w:rPr>
      </w:pPr>
      <m:oMath>
        <m:sSub>
          <m:sSubPr>
            <m:ctrlPr>
              <w:rPr>
                <w:rFonts w:ascii="Cambria Math" w:hAnsi="Cambria Math"/>
                <w:i/>
                <w:highlight w:val="none"/>
                <w:lang w:val="en-US"/>
              </w:rPr>
            </m:ctrlPr>
          </m:sSubPr>
          <m:e>
            <m:r>
              <m:rPr/>
              <w:rPr>
                <w:rFonts w:hint="default" w:ascii="Cambria Math" w:hAnsi="Cambria Math"/>
                <w:highlight w:val="none"/>
                <w:lang w:val="en-US" w:eastAsia="zh-CN"/>
              </w:rPr>
              <m:t>V</m:t>
            </m:r>
            <m:ctrlPr>
              <w:rPr>
                <w:rFonts w:ascii="Cambria Math" w:hAnsi="Cambria Math"/>
                <w:i/>
                <w:highlight w:val="none"/>
                <w:lang w:val="en-US"/>
              </w:rPr>
            </m:ctrlPr>
          </m:e>
          <m:sub>
            <m:r>
              <m:rPr/>
              <w:rPr>
                <w:rFonts w:hint="default" w:ascii="Cambria Math" w:hAnsi="Cambria Math"/>
                <w:highlight w:val="none"/>
                <w:lang w:val="en-US" w:eastAsia="zh-CN"/>
              </w:rPr>
              <m:t>S</m:t>
            </m:r>
            <m:ctrlPr>
              <w:rPr>
                <w:rFonts w:ascii="Cambria Math" w:hAnsi="Cambria Math"/>
                <w:i/>
                <w:highlight w:val="none"/>
                <w:lang w:val="en-US"/>
              </w:rPr>
            </m:ctrlPr>
          </m:sub>
        </m:sSub>
        <m:r>
          <m:rPr/>
          <w:rPr>
            <w:rFonts w:ascii="Cambria Math" w:hAnsi="Cambria Math"/>
            <w:highlight w:val="none"/>
            <w:lang w:val="en-US"/>
          </w:rPr>
          <m:t>≤</m:t>
        </m:r>
        <m:sSub>
          <m:sSubPr>
            <m:ctrlPr>
              <w:rPr>
                <w:rFonts w:ascii="Cambria Math" w:hAnsi="Cambria Math"/>
                <w:i/>
                <w:highlight w:val="none"/>
                <w:lang w:val="en-US"/>
              </w:rPr>
            </m:ctrlPr>
          </m:sSubPr>
          <m:e>
            <m:r>
              <m:rPr/>
              <w:rPr>
                <w:rFonts w:hint="default" w:ascii="Cambria Math" w:hAnsi="Cambria Math"/>
                <w:highlight w:val="none"/>
                <w:lang w:val="en-US" w:eastAsia="zh-CN"/>
              </w:rPr>
              <m:t>V</m:t>
            </m:r>
            <m:ctrlPr>
              <w:rPr>
                <w:rFonts w:ascii="Cambria Math" w:hAnsi="Cambria Math"/>
                <w:i/>
                <w:highlight w:val="none"/>
                <w:lang w:val="en-US"/>
              </w:rPr>
            </m:ctrlPr>
          </m:e>
          <m:sub>
            <m:r>
              <m:rPr/>
              <w:rPr>
                <w:rFonts w:hint="default" w:ascii="Cambria Math" w:hAnsi="Cambria Math"/>
                <w:highlight w:val="none"/>
                <w:lang w:val="en-US" w:eastAsia="zh-CN"/>
              </w:rPr>
              <m:t>R</m:t>
            </m:r>
            <m:ctrlPr>
              <w:rPr>
                <w:rFonts w:ascii="Cambria Math" w:hAnsi="Cambria Math"/>
                <w:i/>
                <w:highlight w:val="none"/>
                <w:lang w:val="en-US"/>
              </w:rPr>
            </m:ctrlPr>
          </m:sub>
        </m:sSub>
      </m:oMath>
      <w:r>
        <w:rPr>
          <w:rFonts w:hint="eastAsia" w:hAnsi="Cambria Math" w:cs="Times New Roman"/>
          <w:i w:val="0"/>
          <w:highlight w:val="none"/>
          <w:lang w:val="en-US" w:eastAsia="zh-CN"/>
        </w:rPr>
        <w:t xml:space="preserve">                   （5.3.7-1）</w:t>
      </w:r>
    </w:p>
    <w:p>
      <w:pPr>
        <w:bidi w:val="0"/>
        <w:jc w:val="center"/>
        <w:rPr>
          <w:rFonts w:hint="eastAsia" w:hAnsi="Cambria Math" w:cs="Times New Roman"/>
          <w:i w:val="0"/>
          <w:highlight w:val="none"/>
          <w:lang w:val="en-US" w:eastAsia="zh-CN"/>
        </w:rPr>
      </w:pPr>
      <m:oMath>
        <m:sSub>
          <m:sSubPr>
            <m:ctrlPr>
              <w:rPr>
                <w:rFonts w:ascii="Cambria Math" w:hAnsi="Cambria Math"/>
                <w:i/>
                <w:highlight w:val="none"/>
                <w:lang w:val="en-US"/>
              </w:rPr>
            </m:ctrlPr>
          </m:sSubPr>
          <m:e>
            <m:r>
              <m:rPr/>
              <w:rPr>
                <w:rFonts w:hint="default" w:ascii="Cambria Math" w:hAnsi="Cambria Math"/>
                <w:highlight w:val="none"/>
                <w:lang w:val="en-US" w:eastAsia="zh-CN"/>
              </w:rPr>
              <m:t>V</m:t>
            </m:r>
            <m:ctrlPr>
              <w:rPr>
                <w:rFonts w:ascii="Cambria Math" w:hAnsi="Cambria Math"/>
                <w:i/>
                <w:highlight w:val="none"/>
                <w:lang w:val="en-US"/>
              </w:rPr>
            </m:ctrlPr>
          </m:e>
          <m:sub>
            <m:r>
              <m:rPr/>
              <w:rPr>
                <w:rFonts w:hint="default" w:ascii="Cambria Math" w:hAnsi="Cambria Math"/>
                <w:highlight w:val="none"/>
                <w:lang w:val="en-US" w:eastAsia="zh-CN"/>
              </w:rPr>
              <m:t>R</m:t>
            </m:r>
            <m:ctrlPr>
              <w:rPr>
                <w:rFonts w:ascii="Cambria Math" w:hAnsi="Cambria Math"/>
                <w:i/>
                <w:highlight w:val="none"/>
                <w:lang w:val="en-US"/>
              </w:rPr>
            </m:ctrlPr>
          </m:sub>
        </m:sSub>
        <m:r>
          <m:rPr/>
          <w:rPr>
            <w:rFonts w:ascii="Cambria Math" w:hAnsi="Cambria Math"/>
            <w:highlight w:val="none"/>
            <w:lang w:val="en-US"/>
          </w:rPr>
          <m:t>=</m:t>
        </m:r>
        <m:r>
          <m:rPr/>
          <w:rPr>
            <w:rFonts w:hint="default" w:ascii="Cambria Math" w:hAnsi="Cambria Math"/>
            <w:highlight w:val="none"/>
            <w:lang w:val="en-US" w:eastAsia="zh-CN"/>
          </w:rPr>
          <m:t>0.07</m:t>
        </m:r>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f</m:t>
            </m:r>
            <m:ctrlPr>
              <w:rPr>
                <w:rFonts w:hint="default" w:ascii="Cambria Math" w:hAnsi="Cambria Math"/>
                <w:i/>
                <w:highlight w:val="none"/>
                <w:lang w:val="en-US" w:eastAsia="zh-CN"/>
              </w:rPr>
            </m:ctrlPr>
          </m:e>
          <m:sub>
            <m:r>
              <m:rPr/>
              <w:rPr>
                <w:rFonts w:hint="default" w:ascii="Cambria Math" w:hAnsi="Cambria Math"/>
                <w:highlight w:val="none"/>
                <w:lang w:val="en-US" w:eastAsia="zh-CN"/>
              </w:rPr>
              <m:t>c</m:t>
            </m:r>
            <m:ctrlPr>
              <w:rPr>
                <w:rFonts w:hint="default" w:ascii="Cambria Math" w:hAnsi="Cambria Math"/>
                <w:i/>
                <w:highlight w:val="none"/>
                <w:lang w:val="en-US" w:eastAsia="zh-CN"/>
              </w:rPr>
            </m:ctrlPr>
          </m:sub>
        </m:sSub>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A</m:t>
            </m:r>
            <m:ctrlPr>
              <w:rPr>
                <w:rFonts w:hint="default" w:ascii="Cambria Math" w:hAnsi="Cambria Math"/>
                <w:i/>
                <w:highlight w:val="none"/>
                <w:lang w:val="en-US" w:eastAsia="zh-CN"/>
              </w:rPr>
            </m:ctrlPr>
          </m:e>
          <m:sub>
            <m:r>
              <m:rPr/>
              <w:rPr>
                <w:rFonts w:hint="default" w:ascii="Cambria Math" w:hAnsi="Cambria Math"/>
                <w:highlight w:val="none"/>
                <w:lang w:val="en-US" w:eastAsia="zh-CN"/>
              </w:rPr>
              <m:t>c1</m:t>
            </m:r>
            <m:ctrlPr>
              <w:rPr>
                <w:rFonts w:hint="default" w:ascii="Cambria Math" w:hAnsi="Cambria Math"/>
                <w:i/>
                <w:highlight w:val="none"/>
                <w:lang w:val="en-US" w:eastAsia="zh-CN"/>
              </w:rPr>
            </m:ctrlPr>
          </m:sub>
        </m:sSub>
        <m:r>
          <m:rPr/>
          <w:rPr>
            <w:rFonts w:hint="default" w:ascii="Cambria Math" w:hAnsi="Cambria Math"/>
            <w:highlight w:val="none"/>
            <w:lang w:val="en-US" w:eastAsia="zh-CN"/>
          </w:rPr>
          <m:t>+0.10</m:t>
        </m:r>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f</m:t>
            </m:r>
            <m:ctrlPr>
              <w:rPr>
                <w:rFonts w:hint="default" w:ascii="Cambria Math" w:hAnsi="Cambria Math"/>
                <w:i/>
                <w:highlight w:val="none"/>
                <w:lang w:val="en-US" w:eastAsia="zh-CN"/>
              </w:rPr>
            </m:ctrlPr>
          </m:e>
          <m:sub>
            <m:r>
              <m:rPr/>
              <w:rPr>
                <w:rFonts w:hint="default" w:ascii="Cambria Math" w:hAnsi="Cambria Math"/>
                <w:highlight w:val="none"/>
                <w:lang w:val="en-US" w:eastAsia="zh-CN"/>
              </w:rPr>
              <m:t>c</m:t>
            </m:r>
            <m:ctrlPr>
              <w:rPr>
                <w:rFonts w:hint="default" w:ascii="Cambria Math" w:hAnsi="Cambria Math"/>
                <w:i/>
                <w:highlight w:val="none"/>
                <w:lang w:val="en-US" w:eastAsia="zh-CN"/>
              </w:rPr>
            </m:ctrlPr>
          </m:sub>
        </m:sSub>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A</m:t>
            </m:r>
            <m:ctrlPr>
              <w:rPr>
                <w:rFonts w:hint="default" w:ascii="Cambria Math" w:hAnsi="Cambria Math"/>
                <w:i/>
                <w:highlight w:val="none"/>
                <w:lang w:val="en-US" w:eastAsia="zh-CN"/>
              </w:rPr>
            </m:ctrlPr>
          </m:e>
          <m:sub>
            <m:r>
              <m:rPr/>
              <w:rPr>
                <w:rFonts w:hint="default" w:ascii="Cambria Math" w:hAnsi="Cambria Math"/>
                <w:highlight w:val="none"/>
                <w:lang w:val="en-US" w:eastAsia="zh-CN"/>
              </w:rPr>
              <m:t>k</m:t>
            </m:r>
            <m:ctrlPr>
              <w:rPr>
                <w:rFonts w:hint="default" w:ascii="Cambria Math" w:hAnsi="Cambria Math"/>
                <w:i/>
                <w:highlight w:val="none"/>
                <w:lang w:val="en-US" w:eastAsia="zh-CN"/>
              </w:rPr>
            </m:ctrlPr>
          </m:sub>
        </m:sSub>
        <m:r>
          <m:rPr/>
          <w:rPr>
            <w:rFonts w:hint="default" w:ascii="Cambria Math" w:hAnsi="Cambria Math"/>
            <w:highlight w:val="none"/>
            <w:lang w:val="en-US" w:eastAsia="zh-CN"/>
          </w:rPr>
          <m:t>+1.65</m:t>
        </m:r>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A</m:t>
            </m:r>
            <m:ctrlPr>
              <w:rPr>
                <w:rFonts w:hint="default" w:ascii="Cambria Math" w:hAnsi="Cambria Math"/>
                <w:i/>
                <w:highlight w:val="none"/>
                <w:lang w:val="en-US" w:eastAsia="zh-CN"/>
              </w:rPr>
            </m:ctrlPr>
          </m:e>
          <m:sub>
            <m:r>
              <m:rPr/>
              <w:rPr>
                <w:rFonts w:hint="default" w:ascii="Cambria Math" w:hAnsi="Cambria Math"/>
                <w:highlight w:val="none"/>
                <w:lang w:val="en-US" w:eastAsia="zh-CN"/>
              </w:rPr>
              <m:t>sd</m:t>
            </m:r>
            <m:ctrlPr>
              <w:rPr>
                <w:rFonts w:hint="default" w:ascii="Cambria Math" w:hAnsi="Cambria Math"/>
                <w:i/>
                <w:highlight w:val="none"/>
                <w:lang w:val="en-US" w:eastAsia="zh-CN"/>
              </w:rPr>
            </m:ctrlPr>
          </m:sub>
        </m:sSub>
        <m:rad>
          <m:radPr>
            <m:degHide m:val="1"/>
            <m:ctrlPr>
              <w:rPr>
                <w:rFonts w:hint="default" w:ascii="Cambria Math" w:hAnsi="Cambria Math"/>
                <w:i/>
                <w:highlight w:val="none"/>
                <w:lang w:val="en-US" w:eastAsia="zh-CN"/>
              </w:rPr>
            </m:ctrlPr>
          </m:radPr>
          <m:deg>
            <m:ctrlPr>
              <w:rPr>
                <w:rFonts w:hint="default" w:ascii="Cambria Math" w:hAnsi="Cambria Math"/>
                <w:i/>
                <w:highlight w:val="none"/>
                <w:lang w:val="en-US" w:eastAsia="zh-CN"/>
              </w:rPr>
            </m:ctrlPr>
          </m:deg>
          <m:e>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f</m:t>
                </m:r>
                <m:ctrlPr>
                  <w:rPr>
                    <w:rFonts w:hint="default" w:ascii="Cambria Math" w:hAnsi="Cambria Math"/>
                    <w:i/>
                    <w:highlight w:val="none"/>
                    <w:lang w:val="en-US" w:eastAsia="zh-CN"/>
                  </w:rPr>
                </m:ctrlPr>
              </m:e>
              <m:sub>
                <m:r>
                  <m:rPr/>
                  <w:rPr>
                    <w:rFonts w:hint="default" w:ascii="Cambria Math" w:hAnsi="Cambria Math"/>
                    <w:highlight w:val="none"/>
                    <w:lang w:val="en-US" w:eastAsia="zh-CN"/>
                  </w:rPr>
                  <m:t>c</m:t>
                </m:r>
                <m:ctrlPr>
                  <w:rPr>
                    <w:rFonts w:hint="default" w:ascii="Cambria Math" w:hAnsi="Cambria Math"/>
                    <w:i/>
                    <w:highlight w:val="none"/>
                    <w:lang w:val="en-US" w:eastAsia="zh-CN"/>
                  </w:rPr>
                </m:ctrlPr>
              </m:sub>
            </m:sSub>
            <m:sSub>
              <m:sSubPr>
                <m:ctrlPr>
                  <w:rPr>
                    <w:rFonts w:hint="default" w:ascii="Cambria Math" w:hAnsi="Cambria Math"/>
                    <w:i/>
                    <w:highlight w:val="none"/>
                    <w:lang w:val="en-US" w:eastAsia="zh-CN"/>
                  </w:rPr>
                </m:ctrlPr>
              </m:sSubPr>
              <m:e>
                <m:r>
                  <m:rPr/>
                  <w:rPr>
                    <w:rFonts w:hint="default" w:ascii="Cambria Math" w:hAnsi="Cambria Math"/>
                    <w:highlight w:val="none"/>
                    <w:lang w:val="en-US" w:eastAsia="zh-CN"/>
                  </w:rPr>
                  <m:t>f</m:t>
                </m:r>
                <m:ctrlPr>
                  <w:rPr>
                    <w:rFonts w:hint="default" w:ascii="Cambria Math" w:hAnsi="Cambria Math"/>
                    <w:i/>
                    <w:highlight w:val="none"/>
                    <w:lang w:val="en-US" w:eastAsia="zh-CN"/>
                  </w:rPr>
                </m:ctrlPr>
              </m:e>
              <m:sub>
                <m:r>
                  <m:rPr/>
                  <w:rPr>
                    <w:rFonts w:hint="default" w:ascii="Cambria Math" w:hAnsi="Cambria Math"/>
                    <w:highlight w:val="none"/>
                    <w:lang w:val="en-US" w:eastAsia="zh-CN"/>
                  </w:rPr>
                  <m:t>y</m:t>
                </m:r>
                <m:ctrlPr>
                  <w:rPr>
                    <w:rFonts w:hint="default" w:ascii="Cambria Math" w:hAnsi="Cambria Math"/>
                    <w:i/>
                    <w:highlight w:val="none"/>
                    <w:lang w:val="en-US" w:eastAsia="zh-CN"/>
                  </w:rPr>
                </m:ctrlPr>
              </m:sub>
            </m:sSub>
            <m:ctrlPr>
              <w:rPr>
                <w:rFonts w:hint="default" w:ascii="Cambria Math" w:hAnsi="Cambria Math"/>
                <w:i/>
                <w:highlight w:val="none"/>
                <w:lang w:val="en-US" w:eastAsia="zh-CN"/>
              </w:rPr>
            </m:ctrlPr>
          </m:e>
        </m:rad>
      </m:oMath>
      <w:r>
        <w:rPr>
          <w:rFonts w:hint="eastAsia" w:hAnsi="Cambria Math" w:cs="Times New Roman"/>
          <w:i w:val="0"/>
          <w:highlight w:val="none"/>
          <w:lang w:val="en-US" w:eastAsia="zh-CN"/>
        </w:rPr>
        <w:t xml:space="preserve">   （5.3.7-2）</w:t>
      </w:r>
    </w:p>
    <w:p>
      <w:pPr>
        <w:pStyle w:val="21"/>
        <w:keepNext w:val="0"/>
        <w:keepLines w:val="0"/>
        <w:pageBreakBefore w:val="0"/>
        <w:widowControl w:val="0"/>
        <w:kinsoku/>
        <w:wordWrap/>
        <w:overflowPunct/>
        <w:topLinePunct w:val="0"/>
        <w:autoSpaceDE/>
        <w:autoSpaceDN/>
        <w:bidi w:val="0"/>
        <w:adjustRightInd/>
        <w:snapToGrid/>
        <w:ind w:left="1920" w:leftChars="200" w:hanging="1440" w:hangingChars="600"/>
        <w:textAlignment w:val="auto"/>
        <w:rPr>
          <w:rFonts w:hint="default"/>
          <w:highlight w:val="none"/>
          <w:lang w:val="en-US" w:eastAsia="zh-CN"/>
        </w:rPr>
      </w:pPr>
      <w:r>
        <w:rPr>
          <w:rFonts w:hint="default"/>
          <w:highlight w:val="none"/>
          <w:lang w:val="en-US" w:eastAsia="zh-CN"/>
        </w:rPr>
        <w:t>式中：</w:t>
      </w:r>
      <w:r>
        <w:rPr>
          <w:rFonts w:hint="default"/>
          <w:i/>
          <w:iCs/>
          <w:highlight w:val="none"/>
          <w:lang w:val="en-US" w:eastAsia="zh-CN"/>
        </w:rPr>
        <w:t>V</w:t>
      </w:r>
      <w:r>
        <w:rPr>
          <w:rFonts w:hint="default"/>
          <w:highlight w:val="none"/>
          <w:vertAlign w:val="subscript"/>
          <w:lang w:val="en-US" w:eastAsia="zh-CN"/>
        </w:rPr>
        <w:t>S</w:t>
      </w:r>
      <w:r>
        <w:rPr>
          <w:rFonts w:hint="default"/>
          <w:i w:val="0"/>
          <w:iCs w:val="0"/>
          <w:highlight w:val="none"/>
          <w:lang w:val="en-US" w:eastAsia="zh-CN"/>
        </w:rPr>
        <w:t>——</w:t>
      </w:r>
      <w:r>
        <w:rPr>
          <w:rFonts w:hint="eastAsia"/>
          <w:i w:val="0"/>
          <w:iCs w:val="0"/>
          <w:highlight w:val="none"/>
          <w:lang w:val="en-US" w:eastAsia="zh-CN"/>
        </w:rPr>
        <w:t>叠合肋梁端部</w:t>
      </w:r>
      <w:r>
        <w:rPr>
          <w:rFonts w:hint="default"/>
          <w:highlight w:val="none"/>
          <w:lang w:val="en-US" w:eastAsia="zh-CN"/>
        </w:rPr>
        <w:t>剪力设计值（N）；</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none"/>
          <w:lang w:val="en-US" w:eastAsia="zh-CN"/>
        </w:rPr>
      </w:pPr>
      <w:r>
        <w:rPr>
          <w:rFonts w:hint="default"/>
          <w:i/>
          <w:iCs/>
          <w:highlight w:val="none"/>
          <w:lang w:val="en-US" w:eastAsia="zh-CN"/>
        </w:rPr>
        <w:t>V</w:t>
      </w:r>
      <w:r>
        <w:rPr>
          <w:rFonts w:hint="default"/>
          <w:i w:val="0"/>
          <w:iCs w:val="0"/>
          <w:highlight w:val="none"/>
          <w:vertAlign w:val="subscript"/>
          <w:lang w:val="en-US" w:eastAsia="zh-CN"/>
        </w:rPr>
        <w:t>R</w:t>
      </w:r>
      <w:r>
        <w:rPr>
          <w:rFonts w:hint="default"/>
          <w:i w:val="0"/>
          <w:iCs w:val="0"/>
          <w:highlight w:val="none"/>
          <w:lang w:val="en-US" w:eastAsia="zh-CN"/>
        </w:rPr>
        <w:t>——</w:t>
      </w:r>
      <w:r>
        <w:rPr>
          <w:rFonts w:hint="eastAsia"/>
          <w:i w:val="0"/>
          <w:iCs w:val="0"/>
          <w:highlight w:val="none"/>
          <w:lang w:val="en-US" w:eastAsia="zh-CN"/>
        </w:rPr>
        <w:t>叠合肋梁端部</w:t>
      </w:r>
      <w:r>
        <w:rPr>
          <w:rFonts w:hint="default"/>
          <w:i w:val="0"/>
          <w:iCs w:val="0"/>
          <w:highlight w:val="none"/>
          <w:lang w:val="en-US" w:eastAsia="zh-CN"/>
        </w:rPr>
        <w:t>受剪承载力设计值（N）；</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none"/>
          <w:lang w:val="en-US" w:eastAsia="zh-CN"/>
        </w:rPr>
      </w:pPr>
      <w:r>
        <w:rPr>
          <w:rFonts w:hint="eastAsia"/>
          <w:i/>
          <w:iCs/>
          <w:highlight w:val="none"/>
          <w:lang w:val="en-US" w:eastAsia="zh-CN"/>
        </w:rPr>
        <w:t>fc</w:t>
      </w:r>
      <w:r>
        <w:rPr>
          <w:rFonts w:hint="default"/>
          <w:i w:val="0"/>
          <w:iCs w:val="0"/>
          <w:highlight w:val="none"/>
          <w:lang w:val="en-US" w:eastAsia="zh-CN"/>
        </w:rPr>
        <w:t>——混凝土轴心抗压强度设计值（N</w:t>
      </w:r>
      <w:r>
        <w:rPr>
          <w:rFonts w:hint="eastAsia"/>
          <w:i w:val="0"/>
          <w:iCs w:val="0"/>
          <w:highlight w:val="none"/>
          <w:lang w:val="en-US" w:eastAsia="zh-CN"/>
        </w:rPr>
        <w:t>/</w:t>
      </w:r>
      <w:r>
        <w:rPr>
          <w:rFonts w:hint="default"/>
          <w:i w:val="0"/>
          <w:iCs w:val="0"/>
          <w:highlight w:val="none"/>
          <w:lang w:val="en-US" w:eastAsia="zh-CN"/>
        </w:rPr>
        <w:t>mm</w:t>
      </w:r>
      <w:r>
        <w:rPr>
          <w:rFonts w:hint="default"/>
          <w:i w:val="0"/>
          <w:iCs w:val="0"/>
          <w:highlight w:val="none"/>
          <w:vertAlign w:val="superscript"/>
          <w:lang w:val="en-US" w:eastAsia="zh-CN"/>
        </w:rPr>
        <w:t>2</w:t>
      </w:r>
      <w:r>
        <w:rPr>
          <w:rFonts w:hint="default"/>
          <w:i w:val="0"/>
          <w:iCs w:val="0"/>
          <w:highlight w:val="none"/>
          <w:lang w:val="en-US" w:eastAsia="zh-CN"/>
        </w:rPr>
        <w:t>）</w:t>
      </w:r>
      <w:r>
        <w:rPr>
          <w:rFonts w:hint="eastAsia"/>
          <w:i w:val="0"/>
          <w:iCs w:val="0"/>
          <w:highlight w:val="none"/>
          <w:lang w:val="en-US" w:eastAsia="zh-CN"/>
        </w:rPr>
        <w:t>，可取预制底板混凝土和后浇混凝土的较低值</w:t>
      </w:r>
      <w:r>
        <w:rPr>
          <w:rFonts w:hint="default"/>
          <w:i w:val="0"/>
          <w:iCs w:val="0"/>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none"/>
          <w:lang w:val="en-US" w:eastAsia="zh-CN"/>
        </w:rPr>
      </w:pPr>
      <w:r>
        <w:rPr>
          <w:rFonts w:hint="default"/>
          <w:i/>
          <w:iCs/>
          <w:highlight w:val="none"/>
          <w:lang w:val="en-US" w:eastAsia="zh-CN"/>
        </w:rPr>
        <w:t>A</w:t>
      </w:r>
      <w:r>
        <w:rPr>
          <w:rFonts w:hint="default"/>
          <w:i w:val="0"/>
          <w:iCs w:val="0"/>
          <w:highlight w:val="none"/>
          <w:vertAlign w:val="subscript"/>
          <w:lang w:val="en-US" w:eastAsia="zh-CN"/>
        </w:rPr>
        <w:t>c</w:t>
      </w:r>
      <w:r>
        <w:rPr>
          <w:rFonts w:hint="eastAsia"/>
          <w:i w:val="0"/>
          <w:iCs w:val="0"/>
          <w:highlight w:val="none"/>
          <w:vertAlign w:val="subscript"/>
          <w:lang w:val="en-US" w:eastAsia="zh-CN"/>
        </w:rPr>
        <w:t>1</w:t>
      </w:r>
      <w:r>
        <w:rPr>
          <w:rFonts w:hint="default"/>
          <w:i w:val="0"/>
          <w:iCs w:val="0"/>
          <w:highlight w:val="none"/>
          <w:lang w:val="en-US" w:eastAsia="zh-CN"/>
        </w:rPr>
        <w:t>——</w:t>
      </w:r>
      <w:r>
        <w:rPr>
          <w:rFonts w:hint="eastAsia"/>
          <w:i w:val="0"/>
          <w:iCs w:val="0"/>
          <w:highlight w:val="none"/>
          <w:lang w:val="en-US" w:eastAsia="zh-CN"/>
        </w:rPr>
        <w:t>叠合肋梁叠合层</w:t>
      </w:r>
      <w:r>
        <w:rPr>
          <w:rFonts w:hint="default"/>
          <w:i w:val="0"/>
          <w:iCs w:val="0"/>
          <w:highlight w:val="none"/>
          <w:lang w:val="en-US" w:eastAsia="zh-CN"/>
        </w:rPr>
        <w:t>后浇混凝土截面面积（mm</w:t>
      </w:r>
      <w:r>
        <w:rPr>
          <w:rFonts w:hint="default"/>
          <w:i w:val="0"/>
          <w:iCs w:val="0"/>
          <w:highlight w:val="none"/>
          <w:vertAlign w:val="superscript"/>
          <w:lang w:val="en-US" w:eastAsia="zh-CN"/>
        </w:rPr>
        <w:t>2</w:t>
      </w:r>
      <w:r>
        <w:rPr>
          <w:rFonts w:hint="default"/>
          <w:i w:val="0"/>
          <w:iCs w:val="0"/>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none"/>
          <w:lang w:val="en-US" w:eastAsia="zh-CN"/>
        </w:rPr>
      </w:pPr>
      <w:r>
        <w:rPr>
          <w:rFonts w:hint="default"/>
          <w:i/>
          <w:iCs/>
          <w:highlight w:val="none"/>
          <w:lang w:val="en-US" w:eastAsia="zh-CN"/>
        </w:rPr>
        <w:t>A</w:t>
      </w:r>
      <w:r>
        <w:rPr>
          <w:rFonts w:hint="eastAsia"/>
          <w:i/>
          <w:iCs/>
          <w:highlight w:val="none"/>
          <w:vertAlign w:val="subscript"/>
          <w:lang w:val="en-US" w:eastAsia="zh-CN"/>
        </w:rPr>
        <w:t>k</w:t>
      </w:r>
      <w:r>
        <w:rPr>
          <w:rFonts w:hint="default"/>
          <w:i w:val="0"/>
          <w:iCs w:val="0"/>
          <w:highlight w:val="none"/>
          <w:lang w:val="en-US" w:eastAsia="zh-CN"/>
        </w:rPr>
        <w:t>——</w:t>
      </w:r>
      <w:r>
        <w:rPr>
          <w:rFonts w:hint="eastAsia"/>
          <w:i w:val="0"/>
          <w:iCs w:val="0"/>
          <w:highlight w:val="none"/>
          <w:lang w:val="en-US" w:eastAsia="zh-CN"/>
        </w:rPr>
        <w:t>叠合肋梁</w:t>
      </w:r>
      <w:r>
        <w:rPr>
          <w:rFonts w:hint="default"/>
          <w:i w:val="0"/>
          <w:iCs w:val="0"/>
          <w:highlight w:val="none"/>
          <w:lang w:val="en-US" w:eastAsia="zh-CN"/>
        </w:rPr>
        <w:t>键槽根部截面面积之和（mm</w:t>
      </w:r>
      <w:r>
        <w:rPr>
          <w:rFonts w:hint="default"/>
          <w:i w:val="0"/>
          <w:iCs w:val="0"/>
          <w:highlight w:val="none"/>
          <w:vertAlign w:val="superscript"/>
          <w:lang w:val="en-US" w:eastAsia="zh-CN"/>
        </w:rPr>
        <w:t>2</w:t>
      </w:r>
      <w:r>
        <w:rPr>
          <w:rFonts w:hint="default"/>
          <w:i w:val="0"/>
          <w:iCs w:val="0"/>
          <w:highlight w:val="none"/>
          <w:lang w:val="en-US" w:eastAsia="zh-CN"/>
        </w:rPr>
        <w:t>），按后浇键槽根部截面和预制键槽根部截面分别计算并取二者的较小值；</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none"/>
          <w:lang w:val="en-US" w:eastAsia="zh-CN"/>
        </w:rPr>
      </w:pPr>
      <w:r>
        <w:rPr>
          <w:rFonts w:hint="eastAsia"/>
          <w:i/>
          <w:iCs/>
          <w:highlight w:val="none"/>
          <w:lang w:val="en-US" w:eastAsia="zh-CN"/>
        </w:rPr>
        <w:t>fy</w:t>
      </w:r>
      <w:r>
        <w:rPr>
          <w:rFonts w:hint="default"/>
          <w:i w:val="0"/>
          <w:iCs w:val="0"/>
          <w:highlight w:val="none"/>
          <w:lang w:val="en-US" w:eastAsia="zh-CN"/>
        </w:rPr>
        <w:t>——垂直穿过</w:t>
      </w:r>
      <w:r>
        <w:rPr>
          <w:rFonts w:hint="eastAsia"/>
          <w:i w:val="0"/>
          <w:iCs w:val="0"/>
          <w:highlight w:val="none"/>
          <w:lang w:val="en-US" w:eastAsia="zh-CN"/>
        </w:rPr>
        <w:t>叠合肋梁端部竖向结合面</w:t>
      </w:r>
      <w:r>
        <w:rPr>
          <w:rFonts w:hint="default"/>
          <w:i w:val="0"/>
          <w:iCs w:val="0"/>
          <w:highlight w:val="none"/>
          <w:lang w:val="en-US" w:eastAsia="zh-CN"/>
        </w:rPr>
        <w:t>的钢筋</w:t>
      </w:r>
      <w:r>
        <w:rPr>
          <w:rFonts w:hint="eastAsia"/>
          <w:i w:val="0"/>
          <w:iCs w:val="0"/>
          <w:highlight w:val="none"/>
          <w:lang w:val="en-US" w:eastAsia="zh-CN"/>
        </w:rPr>
        <w:t>抗拉强度设计值</w:t>
      </w:r>
      <w:r>
        <w:rPr>
          <w:rFonts w:hint="default"/>
          <w:i w:val="0"/>
          <w:iCs w:val="0"/>
          <w:highlight w:val="none"/>
          <w:lang w:val="en-US" w:eastAsia="zh-CN"/>
        </w:rPr>
        <w:t>（N</w:t>
      </w:r>
      <w:r>
        <w:rPr>
          <w:rFonts w:hint="eastAsia"/>
          <w:i w:val="0"/>
          <w:iCs w:val="0"/>
          <w:highlight w:val="none"/>
          <w:lang w:val="en-US" w:eastAsia="zh-CN"/>
        </w:rPr>
        <w:t>/</w:t>
      </w:r>
      <w:r>
        <w:rPr>
          <w:rFonts w:hint="default"/>
          <w:i w:val="0"/>
          <w:iCs w:val="0"/>
          <w:highlight w:val="none"/>
          <w:lang w:val="en-US" w:eastAsia="zh-CN"/>
        </w:rPr>
        <w:t>mm</w:t>
      </w:r>
      <w:r>
        <w:rPr>
          <w:rFonts w:hint="default"/>
          <w:i w:val="0"/>
          <w:iCs w:val="0"/>
          <w:highlight w:val="none"/>
          <w:vertAlign w:val="superscript"/>
          <w:lang w:val="en-US" w:eastAsia="zh-CN"/>
        </w:rPr>
        <w:t>2</w:t>
      </w:r>
      <w:r>
        <w:rPr>
          <w:rFonts w:hint="default"/>
          <w:i w:val="0"/>
          <w:iCs w:val="0"/>
          <w:highlight w:val="none"/>
          <w:lang w:val="en-US" w:eastAsia="zh-CN"/>
        </w:rPr>
        <w:t>）</w:t>
      </w:r>
      <w:r>
        <w:rPr>
          <w:rFonts w:hint="eastAsia"/>
          <w:i w:val="0"/>
          <w:iCs w:val="0"/>
          <w:highlight w:val="none"/>
          <w:lang w:val="en-US" w:eastAsia="zh-CN"/>
        </w:rPr>
        <w:t>；</w:t>
      </w:r>
    </w:p>
    <w:p>
      <w:pPr>
        <w:pStyle w:val="21"/>
        <w:keepNext w:val="0"/>
        <w:keepLines w:val="0"/>
        <w:pageBreakBefore w:val="0"/>
        <w:widowControl w:val="0"/>
        <w:kinsoku/>
        <w:wordWrap/>
        <w:overflowPunct/>
        <w:topLinePunct w:val="0"/>
        <w:autoSpaceDE/>
        <w:autoSpaceDN/>
        <w:bidi w:val="0"/>
        <w:adjustRightInd/>
        <w:snapToGrid/>
        <w:ind w:left="1920" w:leftChars="500" w:hanging="720" w:hangingChars="300"/>
        <w:textAlignment w:val="auto"/>
        <w:rPr>
          <w:rFonts w:hint="default"/>
          <w:i w:val="0"/>
          <w:iCs w:val="0"/>
          <w:highlight w:val="yellow"/>
          <w:lang w:val="en-US" w:eastAsia="zh-CN"/>
        </w:rPr>
      </w:pPr>
      <w:r>
        <w:rPr>
          <w:rFonts w:hint="default"/>
          <w:i/>
          <w:iCs/>
          <w:highlight w:val="none"/>
          <w:lang w:val="en-US" w:eastAsia="zh-CN"/>
        </w:rPr>
        <w:t>A</w:t>
      </w:r>
      <w:r>
        <w:rPr>
          <w:rFonts w:hint="default"/>
          <w:i w:val="0"/>
          <w:iCs w:val="0"/>
          <w:highlight w:val="none"/>
          <w:vertAlign w:val="subscript"/>
          <w:lang w:val="en-US" w:eastAsia="zh-CN"/>
        </w:rPr>
        <w:t>sd</w:t>
      </w:r>
      <w:r>
        <w:rPr>
          <w:rFonts w:hint="default"/>
          <w:i w:val="0"/>
          <w:iCs w:val="0"/>
          <w:highlight w:val="none"/>
          <w:lang w:val="en-US" w:eastAsia="zh-CN"/>
        </w:rPr>
        <w:t>——垂直穿过</w:t>
      </w:r>
      <w:r>
        <w:rPr>
          <w:rFonts w:hint="eastAsia"/>
          <w:i w:val="0"/>
          <w:iCs w:val="0"/>
          <w:highlight w:val="none"/>
          <w:lang w:val="en-US" w:eastAsia="zh-CN"/>
        </w:rPr>
        <w:t>叠合肋梁端部竖向结合面</w:t>
      </w:r>
      <w:r>
        <w:rPr>
          <w:rFonts w:hint="default"/>
          <w:i w:val="0"/>
          <w:iCs w:val="0"/>
          <w:highlight w:val="none"/>
          <w:lang w:val="en-US" w:eastAsia="zh-CN"/>
        </w:rPr>
        <w:t>的所有钢筋面积（mm</w:t>
      </w:r>
      <w:r>
        <w:rPr>
          <w:rFonts w:hint="default"/>
          <w:i w:val="0"/>
          <w:iCs w:val="0"/>
          <w:highlight w:val="none"/>
          <w:vertAlign w:val="superscript"/>
          <w:lang w:val="en-US" w:eastAsia="zh-CN"/>
        </w:rPr>
        <w:t>2</w:t>
      </w:r>
      <w:r>
        <w:rPr>
          <w:rFonts w:hint="default"/>
          <w:i w:val="0"/>
          <w:iCs w:val="0"/>
          <w:highlight w:val="none"/>
          <w:lang w:val="en-US" w:eastAsia="zh-CN"/>
        </w:rPr>
        <w:t>），包括</w:t>
      </w:r>
      <w:r>
        <w:rPr>
          <w:rFonts w:hint="eastAsia"/>
          <w:i w:val="0"/>
          <w:iCs w:val="0"/>
          <w:highlight w:val="none"/>
          <w:lang w:val="en-US" w:eastAsia="zh-CN"/>
        </w:rPr>
        <w:t>后浇混凝土</w:t>
      </w:r>
      <w:r>
        <w:rPr>
          <w:rFonts w:hint="default"/>
          <w:i w:val="0"/>
          <w:iCs w:val="0"/>
          <w:highlight w:val="none"/>
          <w:lang w:val="en-US" w:eastAsia="zh-CN"/>
        </w:rPr>
        <w:t>内的纵向钢筋、支座处的搭接钢筋。</w:t>
      </w:r>
    </w:p>
    <w:p>
      <w:pPr>
        <w:numPr>
          <w:ilvl w:val="0"/>
          <w:numId w:val="0"/>
        </w:numPr>
        <w:tabs>
          <w:tab w:val="left" w:pos="0"/>
        </w:tabs>
        <w:bidi w:val="0"/>
        <w:ind w:leftChars="0"/>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5.3.7</w:t>
      </w:r>
      <w:r>
        <w:rPr>
          <w:rFonts w:hint="eastAsia"/>
          <w:u w:val="single"/>
          <w:lang w:val="en-US" w:eastAsia="zh-CN"/>
        </w:rPr>
        <w:t xml:space="preserve"> 为了加强预制底板与后浇混凝土的连接，方便传递竖向剪力，预制底板的周边均设置了键槽，并有粗糙面方面的要求，键槽包括叠合肋梁的端部键槽和边肋键槽。空心叠合板的后浇肋梁整体采用后浇混凝土，其对空心叠合板支座处的受剪承载力没有影响；空心叠合板支座处的受剪承载力主要由叠合肋梁端部竖向接缝处的受剪承载力起控制作用。叠合肋梁端部竖向接缝处的受剪承载力满足要求了，空心叠合板支座处的受剪承载力也就没有问题了。键槽的设置对叠合肋梁端部竖向接缝处抗剪强度的提高影响较大，本条参考现行国家标准</w:t>
      </w:r>
      <w:r>
        <w:rPr>
          <w:rFonts w:hint="default"/>
          <w:u w:val="single"/>
          <w:lang w:val="en-US" w:eastAsia="zh-CN"/>
        </w:rPr>
        <w:t>《装配式混凝土结构技术规程》JGJ 1</w:t>
      </w:r>
      <w:r>
        <w:rPr>
          <w:rFonts w:hint="eastAsia"/>
          <w:u w:val="single"/>
          <w:lang w:val="en-US" w:eastAsia="zh-CN"/>
        </w:rPr>
        <w:t>-2014第7.2.2条关于设置了键槽的叠合梁端部抗剪强度的规定从而提出要求。</w:t>
      </w:r>
    </w:p>
    <w:p>
      <w:pPr>
        <w:pStyle w:val="4"/>
        <w:bidi w:val="0"/>
        <w:ind w:left="0" w:leftChars="0" w:firstLine="0" w:firstLineChars="0"/>
        <w:outlineLvl w:val="1"/>
        <w:rPr>
          <w:rFonts w:hint="default"/>
          <w:lang w:val="en-US" w:eastAsia="zh-CN"/>
        </w:rPr>
      </w:pPr>
      <w:bookmarkStart w:id="33" w:name="_Toc3018"/>
      <w:r>
        <w:rPr>
          <w:rFonts w:hint="default"/>
          <w:lang w:val="en-US" w:eastAsia="zh-CN"/>
        </w:rPr>
        <w:t>预制底板短暂设计状况计算</w:t>
      </w:r>
      <w:r>
        <w:rPr>
          <w:rFonts w:hint="eastAsia"/>
          <w:lang w:val="en-US" w:eastAsia="zh-CN"/>
        </w:rPr>
        <w:t>和验算</w:t>
      </w:r>
      <w:bookmarkEnd w:id="33"/>
    </w:p>
    <w:p>
      <w:pPr>
        <w:numPr>
          <w:ilvl w:val="2"/>
          <w:numId w:val="1"/>
        </w:numPr>
        <w:bidi w:val="0"/>
        <w:rPr>
          <w:rFonts w:hint="default"/>
          <w:lang w:val="en-US" w:eastAsia="zh-CN"/>
        </w:rPr>
      </w:pPr>
      <w:r>
        <w:rPr>
          <w:rFonts w:hint="default"/>
          <w:lang w:val="en-US" w:eastAsia="zh-CN"/>
        </w:rPr>
        <w:t>预制</w:t>
      </w:r>
      <w:r>
        <w:rPr>
          <w:rFonts w:hint="eastAsia"/>
          <w:lang w:val="en-US" w:eastAsia="zh-CN"/>
        </w:rPr>
        <w:t>底板</w:t>
      </w:r>
      <w:r>
        <w:rPr>
          <w:rFonts w:hint="default"/>
          <w:lang w:val="en-US" w:eastAsia="zh-CN"/>
        </w:rPr>
        <w:t>短暂设计状况包括脱模、</w:t>
      </w:r>
      <w:r>
        <w:rPr>
          <w:rFonts w:hint="eastAsia"/>
          <w:lang w:val="en-US" w:eastAsia="zh-CN"/>
        </w:rPr>
        <w:t>翻转、</w:t>
      </w:r>
      <w:r>
        <w:rPr>
          <w:rFonts w:hint="default"/>
          <w:lang w:val="en-US" w:eastAsia="zh-CN"/>
        </w:rPr>
        <w:t>吊运、堆放、运输、安装</w:t>
      </w:r>
      <w:r>
        <w:rPr>
          <w:rFonts w:hint="eastAsia"/>
          <w:lang w:val="en-US" w:eastAsia="zh-CN"/>
        </w:rPr>
        <w:t>及</w:t>
      </w:r>
      <w:r>
        <w:rPr>
          <w:rFonts w:hint="default"/>
          <w:lang w:val="en-US" w:eastAsia="zh-CN"/>
        </w:rPr>
        <w:t>混凝土浇筑。</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5.4.1</w:t>
      </w:r>
      <w:r>
        <w:rPr>
          <w:rFonts w:hint="eastAsia"/>
          <w:u w:val="single"/>
          <w:lang w:val="en-US" w:eastAsia="zh-CN"/>
        </w:rPr>
        <w:t xml:space="preserve"> 由于预制底板带有双向上凸的肋部，加工时一般需要采用反打工艺。采用反打工艺，就存在构件脱模后翻转的问题。预制底板从脱模到最后的混凝土浇筑的每一个阶段都需要进行计算和验算。</w:t>
      </w:r>
    </w:p>
    <w:p>
      <w:pPr>
        <w:numPr>
          <w:ilvl w:val="2"/>
          <w:numId w:val="1"/>
        </w:numPr>
        <w:bidi w:val="0"/>
        <w:rPr>
          <w:rFonts w:hint="default"/>
          <w:lang w:val="en-US" w:eastAsia="zh-CN"/>
        </w:rPr>
      </w:pPr>
      <w:r>
        <w:rPr>
          <w:rFonts w:hint="default"/>
          <w:lang w:val="en-US" w:eastAsia="zh-CN"/>
        </w:rPr>
        <w:t>预制</w:t>
      </w:r>
      <w:r>
        <w:rPr>
          <w:rFonts w:hint="eastAsia"/>
          <w:lang w:val="en-US" w:eastAsia="zh-CN"/>
        </w:rPr>
        <w:t>底板</w:t>
      </w:r>
      <w:r>
        <w:rPr>
          <w:rFonts w:hint="default"/>
          <w:lang w:val="en-US" w:eastAsia="zh-CN"/>
        </w:rPr>
        <w:t>的短暂设计状况验算应采用荷载标准组合，其中施工阶段尚应计</w:t>
      </w:r>
      <w:r>
        <w:rPr>
          <w:rFonts w:hint="eastAsia"/>
          <w:lang w:val="en-US" w:eastAsia="zh-CN"/>
        </w:rPr>
        <w:t>入</w:t>
      </w:r>
      <w:r>
        <w:rPr>
          <w:rFonts w:hint="default"/>
          <w:lang w:val="en-US" w:eastAsia="zh-CN"/>
        </w:rPr>
        <w:t>荷载效应的最不利组合。</w:t>
      </w:r>
    </w:p>
    <w:p>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lang w:val="en-US" w:eastAsia="zh-CN"/>
        </w:rPr>
      </w:pPr>
      <w:r>
        <w:rPr>
          <w:rFonts w:hint="eastAsia"/>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5.4.2 </w:t>
      </w:r>
      <w:r>
        <w:rPr>
          <w:rFonts w:hint="eastAsia"/>
          <w:u w:val="single"/>
          <w:lang w:val="en-US" w:eastAsia="zh-CN"/>
        </w:rPr>
        <w:t>现行国家标</w:t>
      </w:r>
      <w:r>
        <w:rPr>
          <w:rFonts w:hint="default" w:ascii="Times New Roman" w:hAnsi="Times New Roman" w:cs="Times New Roman"/>
          <w:u w:val="single"/>
          <w:lang w:val="en-US" w:eastAsia="zh-CN"/>
        </w:rPr>
        <w:t>准《装配式混凝土结构技术规程》JGJ 1关于预制</w:t>
      </w:r>
      <w:r>
        <w:rPr>
          <w:rFonts w:hint="eastAsia"/>
          <w:u w:val="single"/>
          <w:lang w:val="en-US" w:eastAsia="zh-CN"/>
        </w:rPr>
        <w:t>构件设计规定：对</w:t>
      </w:r>
      <w:r>
        <w:rPr>
          <w:rFonts w:hint="default" w:ascii="Times New Roman" w:hAnsi="Times New Roman" w:cs="Times New Roman"/>
          <w:u w:val="single"/>
          <w:lang w:val="en-US" w:eastAsia="zh-CN"/>
        </w:rPr>
        <w:t>制作运输、安设下的预制件验算，应符合现行国家标准《混凝结构工程施工规范》GB 50666 的有关规定。而现行国家标准《混凝结构工程施工规范》GB 50666相关相</w:t>
      </w:r>
      <w:r>
        <w:rPr>
          <w:rFonts w:hint="eastAsia"/>
          <w:u w:val="single"/>
          <w:lang w:val="en-US" w:eastAsia="zh-CN"/>
        </w:rPr>
        <w:t>关规定均是预制构件各个环节在荷载标准组合下的有关要求。</w:t>
      </w:r>
    </w:p>
    <w:p>
      <w:pPr>
        <w:numPr>
          <w:ilvl w:val="2"/>
          <w:numId w:val="1"/>
        </w:numPr>
        <w:bidi w:val="0"/>
        <w:rPr>
          <w:rFonts w:hint="default"/>
          <w:lang w:val="en-US" w:eastAsia="zh-CN"/>
        </w:rPr>
      </w:pPr>
      <w:r>
        <w:rPr>
          <w:rFonts w:hint="default"/>
          <w:lang w:val="en-US" w:eastAsia="zh-CN"/>
        </w:rPr>
        <w:t>预制</w:t>
      </w:r>
      <w:r>
        <w:rPr>
          <w:rFonts w:hint="eastAsia"/>
          <w:lang w:val="en-US" w:eastAsia="zh-CN"/>
        </w:rPr>
        <w:t>底板</w:t>
      </w:r>
      <w:r>
        <w:rPr>
          <w:rFonts w:hint="default"/>
          <w:lang w:val="en-US" w:eastAsia="zh-CN"/>
        </w:rPr>
        <w:t>的短暂设计状况验算采用的等效荷载标准值，应符合下列规定</w:t>
      </w:r>
      <w:r>
        <w:rPr>
          <w:rFonts w:hint="eastAsia"/>
          <w:lang w:val="en-US" w:eastAsia="zh-CN"/>
        </w:rPr>
        <w:t>：</w:t>
      </w:r>
    </w:p>
    <w:p>
      <w:pPr>
        <w:pStyle w:val="21"/>
        <w:bidi w:val="0"/>
        <w:rPr>
          <w:rFonts w:hint="default"/>
          <w:lang w:val="en-US" w:eastAsia="zh-CN"/>
        </w:rPr>
      </w:pPr>
      <w:r>
        <w:rPr>
          <w:rFonts w:hint="default"/>
          <w:lang w:val="en-US" w:eastAsia="zh-CN"/>
        </w:rPr>
        <w:t>1 脱模验算时，等效静力荷载标准值应取构件自重标准值乘以动力系数后与脱模吸附力之和，且不宜小于构件自重标准值的1.5倍</w:t>
      </w:r>
      <w:r>
        <w:rPr>
          <w:rFonts w:hint="eastAsia"/>
          <w:lang w:val="en-US" w:eastAsia="zh-CN"/>
        </w:rPr>
        <w:t>；</w:t>
      </w:r>
      <w:r>
        <w:rPr>
          <w:rFonts w:hint="default"/>
          <w:lang w:val="en-US" w:eastAsia="zh-CN"/>
        </w:rPr>
        <w:t>其中，动力系数不宜小于1.2</w:t>
      </w:r>
      <w:r>
        <w:rPr>
          <w:rFonts w:hint="eastAsia"/>
          <w:lang w:val="en-US" w:eastAsia="zh-CN"/>
        </w:rPr>
        <w:t>；</w:t>
      </w:r>
      <w:r>
        <w:rPr>
          <w:rFonts w:hint="default"/>
          <w:lang w:val="en-US" w:eastAsia="zh-CN"/>
        </w:rPr>
        <w:t>脱模吸附力应根据实际状况取用，且不宜小于1.</w:t>
      </w:r>
      <w:r>
        <w:rPr>
          <w:rFonts w:hint="eastAsia"/>
          <w:lang w:val="en-US" w:eastAsia="zh-CN"/>
        </w:rPr>
        <w:t>5</w:t>
      </w:r>
      <w:r>
        <w:rPr>
          <w:rFonts w:hint="default"/>
          <w:lang w:val="en-US" w:eastAsia="zh-CN"/>
        </w:rPr>
        <w:t>kN/m</w:t>
      </w:r>
      <w:r>
        <w:rPr>
          <w:rFonts w:hint="eastAsia"/>
          <w:vertAlign w:val="superscript"/>
          <w:lang w:val="en-US" w:eastAsia="zh-CN"/>
        </w:rPr>
        <w:t>2</w:t>
      </w:r>
      <w:r>
        <w:rPr>
          <w:rFonts w:hint="eastAsia"/>
          <w:lang w:val="en-US" w:eastAsia="zh-CN"/>
        </w:rPr>
        <w:t>；</w:t>
      </w:r>
    </w:p>
    <w:p>
      <w:pPr>
        <w:pStyle w:val="21"/>
        <w:bidi w:val="0"/>
        <w:rPr>
          <w:rFonts w:hint="default"/>
          <w:highlight w:val="yellow"/>
          <w:lang w:val="en-US" w:eastAsia="zh-CN"/>
        </w:rPr>
      </w:pPr>
      <w:r>
        <w:rPr>
          <w:rFonts w:hint="default"/>
          <w:lang w:val="en-US" w:eastAsia="zh-CN"/>
        </w:rPr>
        <w:t>2</w:t>
      </w:r>
      <w:r>
        <w:rPr>
          <w:rFonts w:hint="default"/>
          <w:highlight w:val="none"/>
          <w:lang w:val="en-US" w:eastAsia="zh-CN"/>
        </w:rPr>
        <w:t xml:space="preserve"> 吊运和运输验算时，等效静力荷载标准值应取构件自重标准值乘以动力系数，动力系数宜取1.5</w:t>
      </w:r>
      <w:r>
        <w:rPr>
          <w:rFonts w:hint="eastAsia"/>
          <w:highlight w:val="none"/>
          <w:lang w:val="en-US" w:eastAsia="zh-CN"/>
        </w:rPr>
        <w:t>；</w:t>
      </w:r>
    </w:p>
    <w:p>
      <w:pPr>
        <w:pStyle w:val="21"/>
        <w:bidi w:val="0"/>
        <w:rPr>
          <w:rFonts w:hint="default"/>
          <w:highlight w:val="yellow"/>
          <w:lang w:val="en-US" w:eastAsia="zh-CN"/>
        </w:rPr>
      </w:pPr>
      <w:r>
        <w:rPr>
          <w:rFonts w:hint="default"/>
          <w:highlight w:val="none"/>
          <w:lang w:val="en-US" w:eastAsia="zh-CN"/>
        </w:rPr>
        <w:t xml:space="preserve">3 </w:t>
      </w:r>
      <w:r>
        <w:rPr>
          <w:rFonts w:hint="eastAsia"/>
          <w:highlight w:val="none"/>
          <w:lang w:val="en-US" w:eastAsia="zh-CN"/>
        </w:rPr>
        <w:t>翻转、</w:t>
      </w:r>
      <w:r>
        <w:rPr>
          <w:rFonts w:hint="default"/>
          <w:highlight w:val="none"/>
          <w:lang w:val="en-US" w:eastAsia="zh-CN"/>
        </w:rPr>
        <w:t>堆放和安装验算时，</w:t>
      </w:r>
      <w:r>
        <w:rPr>
          <w:rFonts w:hint="eastAsia" w:ascii="Times New Roman" w:hAnsi="Times New Roman" w:eastAsia="宋体"/>
          <w:kern w:val="2"/>
          <w:szCs w:val="24"/>
          <w:highlight w:val="none"/>
        </w:rPr>
        <w:t>翻转</w:t>
      </w:r>
      <w:r>
        <w:rPr>
          <w:rFonts w:hint="eastAsia" w:ascii="Times New Roman" w:hAnsi="Times New Roman" w:eastAsia="宋体"/>
          <w:kern w:val="2"/>
          <w:szCs w:val="24"/>
          <w:highlight w:val="none"/>
          <w:lang w:eastAsia="zh-CN"/>
        </w:rPr>
        <w:t>、</w:t>
      </w:r>
      <w:r>
        <w:rPr>
          <w:rFonts w:hint="eastAsia" w:ascii="Times New Roman" w:hAnsi="Times New Roman" w:eastAsia="宋体"/>
          <w:kern w:val="2"/>
          <w:szCs w:val="24"/>
          <w:highlight w:val="none"/>
        </w:rPr>
        <w:t>安装过程中就位、临时固定</w:t>
      </w:r>
      <w:r>
        <w:rPr>
          <w:rFonts w:hint="default"/>
          <w:highlight w:val="none"/>
          <w:lang w:val="en-US" w:eastAsia="zh-CN"/>
        </w:rPr>
        <w:t>验算时</w:t>
      </w:r>
      <w:r>
        <w:rPr>
          <w:rFonts w:hint="eastAsia"/>
          <w:highlight w:val="none"/>
          <w:lang w:val="en-US" w:eastAsia="zh-CN"/>
        </w:rPr>
        <w:t>，</w:t>
      </w:r>
      <w:r>
        <w:rPr>
          <w:rFonts w:hint="default"/>
          <w:highlight w:val="none"/>
          <w:lang w:val="en-US" w:eastAsia="zh-CN"/>
        </w:rPr>
        <w:t>等效静力荷载标准值应取构件自重标准值乘以动力系数，动力系数可取1.2</w:t>
      </w:r>
      <w:r>
        <w:rPr>
          <w:rFonts w:hint="eastAsia"/>
          <w:highlight w:val="none"/>
          <w:lang w:val="en-US" w:eastAsia="zh-CN"/>
        </w:rPr>
        <w:t>。</w:t>
      </w:r>
    </w:p>
    <w:p>
      <w:pPr>
        <w:numPr>
          <w:ilvl w:val="2"/>
          <w:numId w:val="1"/>
        </w:numPr>
        <w:bidi w:val="0"/>
        <w:rPr>
          <w:rFonts w:hint="default"/>
          <w:lang w:val="en-US" w:eastAsia="zh-CN"/>
        </w:rPr>
      </w:pPr>
      <w:r>
        <w:rPr>
          <w:rFonts w:hint="default"/>
          <w:lang w:val="en-US" w:eastAsia="zh-CN"/>
        </w:rPr>
        <w:t>混凝土浇筑验算时，作用在预制</w:t>
      </w:r>
      <w:r>
        <w:rPr>
          <w:rFonts w:hint="eastAsia"/>
          <w:lang w:val="en-US" w:eastAsia="zh-CN"/>
        </w:rPr>
        <w:t>底板</w:t>
      </w:r>
      <w:r>
        <w:rPr>
          <w:rFonts w:hint="default"/>
          <w:lang w:val="en-US" w:eastAsia="zh-CN"/>
        </w:rPr>
        <w:t>上的施工活荷载标准值可按实际情况计算，且取值不宜小于1.</w:t>
      </w:r>
      <w:r>
        <w:rPr>
          <w:rFonts w:hint="eastAsia"/>
          <w:lang w:val="en-US" w:eastAsia="zh-CN"/>
        </w:rPr>
        <w:t>5</w:t>
      </w:r>
      <w:r>
        <w:rPr>
          <w:rFonts w:hint="default"/>
          <w:lang w:val="en-US" w:eastAsia="zh-CN"/>
        </w:rPr>
        <w:t>kN/m</w:t>
      </w:r>
      <w:r>
        <w:rPr>
          <w:rFonts w:hint="eastAsia"/>
          <w:vertAlign w:val="superscript"/>
          <w:lang w:val="en-US" w:eastAsia="zh-CN"/>
        </w:rPr>
        <w:t>2</w:t>
      </w:r>
      <w:r>
        <w:rPr>
          <w:rFonts w:hint="eastAsia"/>
          <w:lang w:val="en-US" w:eastAsia="zh-CN"/>
        </w:rPr>
        <w:t>。</w:t>
      </w:r>
    </w:p>
    <w:p>
      <w:pPr>
        <w:keepNext w:val="0"/>
        <w:keepLines w:val="0"/>
        <w:widowControl/>
        <w:suppressLineNumbers w:val="0"/>
        <w:jc w:val="left"/>
        <w:rPr>
          <w:rFonts w:hint="default"/>
          <w:highlight w:val="non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5.4.4 </w:t>
      </w:r>
      <w:r>
        <w:rPr>
          <w:rFonts w:hint="eastAsia"/>
          <w:highlight w:val="none"/>
          <w:u w:val="single"/>
          <w:lang w:val="en-US" w:eastAsia="zh-CN"/>
        </w:rPr>
        <w:t>现行国家标准《混凝结构工程施工规范》GB 50666-2011第9.2.4条明确规定，</w:t>
      </w:r>
      <w:r>
        <w:rPr>
          <w:rFonts w:hint="eastAsia" w:ascii="宋体" w:hAnsi="宋体" w:eastAsia="宋体" w:cs="宋体"/>
          <w:color w:val="000000"/>
          <w:kern w:val="0"/>
          <w:sz w:val="24"/>
          <w:szCs w:val="24"/>
          <w:highlight w:val="none"/>
          <w:u w:val="single"/>
          <w:lang w:val="en-US" w:eastAsia="zh-CN" w:bidi="ar"/>
        </w:rPr>
        <w:t>进行叠合板后浇叠合层施工阶段验算时，叠合板的施工活荷载可取</w:t>
      </w:r>
      <w:r>
        <w:rPr>
          <w:rFonts w:hint="default" w:ascii="Times New Roman" w:hAnsi="Times New Roman" w:eastAsia="宋体" w:cs="Times New Roman"/>
          <w:color w:val="000000"/>
          <w:kern w:val="0"/>
          <w:sz w:val="24"/>
          <w:szCs w:val="24"/>
          <w:highlight w:val="none"/>
          <w:u w:val="single"/>
          <w:lang w:val="en-US" w:eastAsia="zh-CN" w:bidi="ar"/>
        </w:rPr>
        <w:t>1.5kN/m</w:t>
      </w:r>
      <w:r>
        <w:rPr>
          <w:rFonts w:hint="default"/>
          <w:highlight w:val="none"/>
          <w:u w:val="single"/>
          <w:vertAlign w:val="superscript"/>
          <w:lang w:val="en-US" w:eastAsia="zh-CN"/>
        </w:rPr>
        <w:t>2</w:t>
      </w:r>
      <w:r>
        <w:rPr>
          <w:rFonts w:hint="eastAsia" w:ascii="宋体" w:hAnsi="宋体" w:eastAsia="宋体" w:cs="宋体"/>
          <w:color w:val="000000"/>
          <w:kern w:val="0"/>
          <w:sz w:val="24"/>
          <w:szCs w:val="24"/>
          <w:highlight w:val="none"/>
          <w:u w:val="single"/>
          <w:lang w:val="en-US" w:eastAsia="zh-CN" w:bidi="ar"/>
        </w:rPr>
        <w:t>。</w:t>
      </w:r>
    </w:p>
    <w:p>
      <w:pPr>
        <w:numPr>
          <w:ilvl w:val="2"/>
          <w:numId w:val="1"/>
        </w:numPr>
        <w:bidi w:val="0"/>
        <w:rPr>
          <w:rFonts w:hint="default"/>
          <w:lang w:val="en-US" w:eastAsia="zh-CN"/>
        </w:rPr>
      </w:pPr>
      <w:r>
        <w:rPr>
          <w:rFonts w:hint="default"/>
          <w:lang w:val="en-US" w:eastAsia="zh-CN"/>
        </w:rPr>
        <w:t>短暂设计状况下，预制底板可采用弹性方法计算内力和变形</w:t>
      </w:r>
      <w:r>
        <w:rPr>
          <w:rFonts w:hint="eastAsia"/>
          <w:lang w:val="en-US" w:eastAsia="zh-CN"/>
        </w:rPr>
        <w:t>。宜采用整体有限元的方法进行计算，</w:t>
      </w:r>
      <w:r>
        <w:rPr>
          <w:rFonts w:hint="default"/>
          <w:lang w:val="en-US" w:eastAsia="zh-CN"/>
        </w:rPr>
        <w:t>并应符合下列规定：</w:t>
      </w:r>
    </w:p>
    <w:p>
      <w:pPr>
        <w:keepNext w:val="0"/>
        <w:keepLines w:val="0"/>
        <w:pageBreakBefore w:val="0"/>
        <w:widowControl w:val="0"/>
        <w:numPr>
          <w:ilvl w:val="0"/>
          <w:numId w:val="5"/>
        </w:numPr>
        <w:tabs>
          <w:tab w:val="left" w:pos="397"/>
          <w:tab w:val="clear" w:pos="0"/>
        </w:tabs>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default"/>
          <w:lang w:val="en-US" w:eastAsia="zh-CN"/>
        </w:rPr>
        <w:t>可简化为以吊点或者临时支撑作为简支支座的</w:t>
      </w:r>
      <w:r>
        <w:rPr>
          <w:rFonts w:hint="eastAsia"/>
          <w:lang w:val="en-US" w:eastAsia="zh-CN"/>
        </w:rPr>
        <w:t>倒置楼盖；</w:t>
      </w:r>
    </w:p>
    <w:p>
      <w:pPr>
        <w:keepNext w:val="0"/>
        <w:keepLines w:val="0"/>
        <w:pageBreakBefore w:val="0"/>
        <w:widowControl w:val="0"/>
        <w:numPr>
          <w:ilvl w:val="0"/>
          <w:numId w:val="5"/>
        </w:numPr>
        <w:tabs>
          <w:tab w:val="left" w:pos="397"/>
          <w:tab w:val="clear" w:pos="0"/>
        </w:tabs>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倒置楼盖应考虑双向凸肋以及下翼缘板边肋的影响；</w:t>
      </w:r>
    </w:p>
    <w:p>
      <w:pPr>
        <w:keepNext w:val="0"/>
        <w:keepLines w:val="0"/>
        <w:pageBreakBefore w:val="0"/>
        <w:widowControl w:val="0"/>
        <w:numPr>
          <w:ilvl w:val="0"/>
          <w:numId w:val="5"/>
        </w:numPr>
        <w:tabs>
          <w:tab w:val="left" w:pos="397"/>
          <w:tab w:val="clear" w:pos="0"/>
        </w:tabs>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default"/>
          <w:lang w:val="en-US" w:eastAsia="zh-CN"/>
        </w:rPr>
        <w:t>脱膜、</w:t>
      </w:r>
      <w:r>
        <w:rPr>
          <w:rFonts w:hint="eastAsia"/>
          <w:lang w:val="en-US" w:eastAsia="zh-CN"/>
        </w:rPr>
        <w:t>翻转、</w:t>
      </w:r>
      <w:r>
        <w:rPr>
          <w:rFonts w:hint="default"/>
          <w:lang w:val="en-US" w:eastAsia="zh-CN"/>
        </w:rPr>
        <w:t>吊运、堆放、运输、安装及混凝土浇筑阶段应分别</w:t>
      </w:r>
      <w:r>
        <w:rPr>
          <w:rFonts w:hint="eastAsia"/>
          <w:lang w:val="en-US" w:eastAsia="zh-CN"/>
        </w:rPr>
        <w:t>进行计算。</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5.4.5</w:t>
      </w:r>
      <w:r>
        <w:rPr>
          <w:rFonts w:hint="eastAsia"/>
          <w:u w:val="single"/>
          <w:lang w:val="en-US" w:eastAsia="zh-CN"/>
        </w:rPr>
        <w:t xml:space="preserve"> 预制底板带有双向向上的凸肋，下翼缘板周边为了加强其刚度进行了向上的加腋处理，这些都对预制底板的刚度有影响。但由于整个预制底板形状不规则，无法进行简化计算，故要求宜采用整体有限元的方法进行计算。计算时可将吊点作为支座，按倒置楼盖进行计算，并且预制底板</w:t>
      </w:r>
      <w:r>
        <w:rPr>
          <w:rFonts w:hint="default"/>
          <w:u w:val="single"/>
          <w:lang w:val="en-US" w:eastAsia="zh-CN"/>
        </w:rPr>
        <w:t>脱膜、</w:t>
      </w:r>
      <w:r>
        <w:rPr>
          <w:rFonts w:hint="eastAsia"/>
          <w:u w:val="single"/>
          <w:lang w:val="en-US" w:eastAsia="zh-CN"/>
        </w:rPr>
        <w:t>翻转、</w:t>
      </w:r>
      <w:r>
        <w:rPr>
          <w:rFonts w:hint="default"/>
          <w:u w:val="single"/>
          <w:lang w:val="en-US" w:eastAsia="zh-CN"/>
        </w:rPr>
        <w:t>吊运、堆放、运输、安装及混凝土浇筑</w:t>
      </w:r>
      <w:r>
        <w:rPr>
          <w:rFonts w:hint="eastAsia"/>
          <w:u w:val="single"/>
          <w:lang w:val="en-US" w:eastAsia="zh-CN"/>
        </w:rPr>
        <w:t>等各个</w:t>
      </w:r>
      <w:r>
        <w:rPr>
          <w:rFonts w:hint="default"/>
          <w:u w:val="single"/>
          <w:lang w:val="en-US" w:eastAsia="zh-CN"/>
        </w:rPr>
        <w:t>阶段</w:t>
      </w:r>
      <w:r>
        <w:rPr>
          <w:rFonts w:hint="eastAsia"/>
          <w:u w:val="single"/>
          <w:lang w:val="en-US" w:eastAsia="zh-CN"/>
        </w:rPr>
        <w:t>均</w:t>
      </w:r>
      <w:r>
        <w:rPr>
          <w:rFonts w:hint="default"/>
          <w:u w:val="single"/>
          <w:lang w:val="en-US" w:eastAsia="zh-CN"/>
        </w:rPr>
        <w:t>应分别</w:t>
      </w:r>
      <w:r>
        <w:rPr>
          <w:rFonts w:hint="eastAsia"/>
          <w:u w:val="single"/>
          <w:lang w:val="en-US" w:eastAsia="zh-CN"/>
        </w:rPr>
        <w:t>进行计算。若预制底板的翻转采用专用翻转机时，可以不进行预制底板翻转验算。</w:t>
      </w:r>
    </w:p>
    <w:p>
      <w:pPr>
        <w:numPr>
          <w:ilvl w:val="2"/>
          <w:numId w:val="1"/>
        </w:numPr>
        <w:bidi w:val="0"/>
        <w:rPr>
          <w:rFonts w:hint="default"/>
          <w:lang w:val="en-US" w:eastAsia="zh-CN"/>
        </w:rPr>
      </w:pPr>
      <w:r>
        <w:rPr>
          <w:rFonts w:hint="default"/>
          <w:lang w:val="en-US" w:eastAsia="zh-CN"/>
        </w:rPr>
        <w:t>短暂设计状况下，</w:t>
      </w:r>
      <w:r>
        <w:rPr>
          <w:rFonts w:hint="eastAsia"/>
          <w:lang w:val="en-US" w:eastAsia="zh-CN"/>
        </w:rPr>
        <w:t>预制底板承载能力极限状态计算</w:t>
      </w:r>
      <w:r>
        <w:rPr>
          <w:rFonts w:hint="default"/>
          <w:lang w:val="en-US" w:eastAsia="zh-CN"/>
        </w:rPr>
        <w:t>时，</w:t>
      </w:r>
      <w:r>
        <w:rPr>
          <w:rFonts w:hint="eastAsia"/>
          <w:lang w:val="en-US" w:eastAsia="zh-CN"/>
        </w:rPr>
        <w:t>应按该处实际截面形状和尺寸进行</w:t>
      </w:r>
      <w:r>
        <w:rPr>
          <w:rFonts w:hint="default"/>
          <w:lang w:val="en-US" w:eastAsia="zh-CN"/>
        </w:rPr>
        <w:t>。</w:t>
      </w:r>
    </w:p>
    <w:p>
      <w:pPr>
        <w:numPr>
          <w:ilvl w:val="2"/>
          <w:numId w:val="1"/>
        </w:numPr>
        <w:bidi w:val="0"/>
        <w:rPr>
          <w:rFonts w:hint="default"/>
          <w:lang w:val="en-US" w:eastAsia="zh-CN"/>
        </w:rPr>
      </w:pPr>
      <w:r>
        <w:rPr>
          <w:rFonts w:hint="default"/>
          <w:lang w:val="en-US" w:eastAsia="zh-CN"/>
        </w:rPr>
        <w:t>各种短暂设计状况下，预制底板正截面边缘的混凝土法向压应力应符合下列规定：</w:t>
      </w:r>
    </w:p>
    <w:p>
      <w:pPr>
        <w:numPr>
          <w:ilvl w:val="0"/>
          <w:numId w:val="0"/>
        </w:numPr>
        <w:tabs>
          <w:tab w:val="left" w:pos="420"/>
        </w:tabs>
        <w:bidi w:val="0"/>
        <w:ind w:leftChars="0"/>
        <w:jc w:val="center"/>
        <w:rPr>
          <w:rFonts w:hint="default" w:eastAsia="宋体"/>
          <w:lang w:val="en-US" w:eastAsia="zh-CN"/>
        </w:rPr>
      </w:pPr>
      <m:oMath>
        <m:sSub>
          <m:sSubPr>
            <m:ctrlPr>
              <w:rPr>
                <w:rFonts w:hint="default" w:ascii="Cambria Math" w:hAnsi="Cambria Math" w:cs="Times New Roman"/>
                <w:i/>
                <w:lang w:val="en-US"/>
              </w:rPr>
            </m:ctrlPr>
          </m:sSubPr>
          <m:e>
            <m:r>
              <m:rPr/>
              <w:rPr>
                <w:rFonts w:hint="default" w:ascii="Cambria Math" w:hAnsi="Cambria Math" w:cs="Times New Roman"/>
                <w:lang w:val="en-US"/>
              </w:rPr>
              <m:t>σ</m:t>
            </m:r>
            <m:ctrlPr>
              <w:rPr>
                <w:rFonts w:hint="default" w:ascii="Cambria Math" w:hAnsi="Cambria Math" w:cs="Times New Roman"/>
                <w:i/>
                <w:lang w:val="en-US"/>
              </w:rPr>
            </m:ctrlPr>
          </m:e>
          <m:sub>
            <m:r>
              <m:rPr/>
              <w:rPr>
                <w:rFonts w:hint="default" w:ascii="Cambria Math" w:hAnsi="Cambria Math" w:cs="Times New Roman"/>
                <w:lang w:val="en-US" w:eastAsia="zh-CN"/>
              </w:rPr>
              <m:t>cc</m:t>
            </m:r>
            <m:ctrlPr>
              <w:rPr>
                <w:rFonts w:hint="default" w:ascii="Cambria Math" w:hAnsi="Cambria Math" w:cs="Times New Roman"/>
                <w:i/>
                <w:lang w:val="en-US"/>
              </w:rPr>
            </m:ctrlPr>
          </m:sub>
        </m:sSub>
        <m:r>
          <m:rPr/>
          <w:rPr>
            <w:rFonts w:hint="default" w:ascii="Cambria Math" w:hAnsi="Cambria Math" w:cs="Times New Roman"/>
            <w:lang w:val="en-US"/>
          </w:rPr>
          <m:t>=</m:t>
        </m:r>
        <m:f>
          <m:fPr>
            <m:ctrlPr>
              <w:rPr>
                <w:rFonts w:hint="default" w:ascii="Cambria Math" w:hAnsi="Cambria Math" w:cs="Times New Roman"/>
                <w:i/>
                <w:lang w:val="en-US"/>
              </w:rPr>
            </m:ctrlPr>
          </m:fPr>
          <m:num>
            <m:sSub>
              <m:sSubPr>
                <m:ctrlPr>
                  <w:rPr>
                    <w:rFonts w:hint="default" w:ascii="Cambria Math" w:hAnsi="Cambria Math" w:cs="Times New Roman"/>
                    <w:i/>
                    <w:lang w:val="en-US"/>
                  </w:rPr>
                </m:ctrlPr>
              </m:sSubPr>
              <m:e>
                <m:r>
                  <m:rPr/>
                  <w:rPr>
                    <w:rFonts w:hint="default" w:ascii="Cambria Math" w:hAnsi="Cambria Math" w:cs="Times New Roman"/>
                    <w:lang w:val="en-US" w:eastAsia="zh-CN"/>
                  </w:rPr>
                  <m:t>M</m:t>
                </m:r>
                <m:ctrlPr>
                  <w:rPr>
                    <w:rFonts w:hint="default" w:ascii="Cambria Math" w:hAnsi="Cambria Math" w:cs="Times New Roman"/>
                    <w:i/>
                    <w:lang w:val="en-US"/>
                  </w:rPr>
                </m:ctrlPr>
              </m:e>
              <m:sub>
                <m:r>
                  <m:rPr/>
                  <w:rPr>
                    <w:rFonts w:hint="default" w:ascii="Cambria Math" w:hAnsi="Cambria Math" w:cs="Times New Roman"/>
                    <w:lang w:val="en-US" w:eastAsia="zh-CN"/>
                  </w:rPr>
                  <m:t>k</m:t>
                </m:r>
                <m:ctrlPr>
                  <w:rPr>
                    <w:rFonts w:hint="default" w:ascii="Cambria Math" w:hAnsi="Cambria Math" w:cs="Times New Roman"/>
                    <w:i/>
                    <w:lang w:val="en-US"/>
                  </w:rPr>
                </m:ctrlPr>
              </m:sub>
            </m:sSub>
            <m:ctrlPr>
              <w:rPr>
                <w:rFonts w:hint="default" w:ascii="Cambria Math" w:hAnsi="Cambria Math" w:cs="Times New Roman"/>
                <w:i/>
                <w:lang w:val="en-US"/>
              </w:rPr>
            </m:ctrlPr>
          </m:num>
          <m:den>
            <m:sSub>
              <m:sSubPr>
                <m:ctrlPr>
                  <w:rPr>
                    <w:rFonts w:hint="default" w:ascii="Cambria Math" w:hAnsi="Cambria Math" w:cs="Times New Roman"/>
                    <w:i/>
                    <w:lang w:val="en-US"/>
                  </w:rPr>
                </m:ctrlPr>
              </m:sSubPr>
              <m:e>
                <m:r>
                  <m:rPr/>
                  <w:rPr>
                    <w:rFonts w:hint="default" w:ascii="Cambria Math" w:hAnsi="Cambria Math" w:cs="Times New Roman"/>
                    <w:lang w:val="en-US" w:eastAsia="zh-CN"/>
                  </w:rPr>
                  <m:t>W</m:t>
                </m:r>
                <m:ctrlPr>
                  <w:rPr>
                    <w:rFonts w:hint="default" w:ascii="Cambria Math" w:hAnsi="Cambria Math" w:cs="Times New Roman"/>
                    <w:i/>
                    <w:lang w:val="en-US"/>
                  </w:rPr>
                </m:ctrlPr>
              </m:e>
              <m:sub>
                <m:r>
                  <m:rPr/>
                  <w:rPr>
                    <w:rFonts w:hint="default" w:ascii="Cambria Math" w:hAnsi="Cambria Math" w:cs="Times New Roman"/>
                    <w:lang w:val="en-US" w:eastAsia="zh-CN"/>
                  </w:rPr>
                  <m:t>cc</m:t>
                </m:r>
                <m:ctrlPr>
                  <w:rPr>
                    <w:rFonts w:hint="default" w:ascii="Cambria Math" w:hAnsi="Cambria Math" w:cs="Times New Roman"/>
                    <w:i/>
                    <w:lang w:val="en-US"/>
                  </w:rPr>
                </m:ctrlPr>
              </m:sub>
            </m:sSub>
            <m:ctrlPr>
              <w:rPr>
                <w:rFonts w:hint="default" w:ascii="Cambria Math" w:hAnsi="Cambria Math" w:cs="Times New Roman"/>
                <w:i/>
                <w:lang w:val="en-US"/>
              </w:rPr>
            </m:ctrlPr>
          </m:den>
        </m:f>
        <m:r>
          <m:rPr/>
          <w:rPr>
            <w:rFonts w:hint="default" w:ascii="Cambria Math" w:hAnsi="Cambria Math" w:cs="Times New Roman"/>
            <w:lang w:val="en-US"/>
          </w:rPr>
          <m:t>≤</m:t>
        </m:r>
        <m:r>
          <m:rPr/>
          <w:rPr>
            <w:rFonts w:hint="default" w:ascii="Cambria Math" w:hAnsi="Cambria Math" w:cs="Times New Roman"/>
            <w:lang w:val="en-US" w:eastAsia="zh-CN"/>
          </w:rPr>
          <m:t>0.8</m:t>
        </m:r>
        <m:sSubSup>
          <m:sSubSupPr>
            <m:ctrlPr>
              <w:rPr>
                <w:rFonts w:hint="default" w:ascii="Cambria Math" w:hAnsi="Cambria Math" w:cs="Times New Roman"/>
                <w:i/>
                <w:lang w:val="en-US" w:eastAsia="zh-CN"/>
              </w:rPr>
            </m:ctrlPr>
          </m:sSubSupPr>
          <m:e>
            <m:r>
              <m:rPr/>
              <w:rPr>
                <w:rFonts w:hint="default" w:ascii="Cambria Math" w:hAnsi="Cambria Math" w:cs="Times New Roman"/>
                <w:lang w:val="en-US" w:eastAsia="zh-CN"/>
              </w:rPr>
              <m:t>f</m:t>
            </m:r>
            <m:ctrlPr>
              <w:rPr>
                <w:rFonts w:hint="default" w:ascii="Cambria Math" w:hAnsi="Cambria Math" w:cs="Times New Roman"/>
                <w:i/>
                <w:lang w:val="en-US" w:eastAsia="zh-CN"/>
              </w:rPr>
            </m:ctrlPr>
          </m:e>
          <m:sub>
            <m:r>
              <m:rPr/>
              <w:rPr>
                <w:rFonts w:hint="default" w:ascii="Cambria Math" w:hAnsi="Cambria Math" w:cs="Times New Roman"/>
                <w:lang w:val="en-US" w:eastAsia="zh-CN"/>
              </w:rPr>
              <m:t>ck</m:t>
            </m:r>
            <m:ctrlPr>
              <w:rPr>
                <w:rFonts w:hint="default" w:ascii="Cambria Math" w:hAnsi="Cambria Math" w:cs="Times New Roman"/>
                <w:i/>
                <w:lang w:val="en-US" w:eastAsia="zh-CN"/>
              </w:rPr>
            </m:ctrlPr>
          </m:sub>
          <m:sup>
            <m:r>
              <m:rPr/>
              <w:rPr>
                <w:rFonts w:hint="default" w:ascii="Cambria Math" w:hAnsi="Cambria Math" w:cs="Times New Roman"/>
                <w:lang w:val="en-US" w:eastAsia="zh-CN"/>
              </w:rPr>
              <m:t>'</m:t>
            </m:r>
            <m:ctrlPr>
              <w:rPr>
                <w:rFonts w:hint="default" w:ascii="Cambria Math" w:hAnsi="Cambria Math" w:cs="Times New Roman"/>
                <w:i/>
                <w:lang w:val="en-US" w:eastAsia="zh-CN"/>
              </w:rPr>
            </m:ctrlPr>
          </m:sup>
        </m:sSubSup>
      </m:oMath>
      <w:r>
        <w:rPr>
          <w:rFonts w:hint="eastAsia" w:hAnsi="Cambria Math" w:cs="Times New Roman"/>
          <w:i w:val="0"/>
          <w:lang w:val="en-US" w:eastAsia="zh-CN"/>
        </w:rPr>
        <w:t xml:space="preserve">  （5.4.7）</w:t>
      </w:r>
    </w:p>
    <w:p>
      <w:pPr>
        <w:pStyle w:val="21"/>
        <w:keepNext w:val="0"/>
        <w:keepLines w:val="0"/>
        <w:pageBreakBefore w:val="0"/>
        <w:widowControl w:val="0"/>
        <w:kinsoku/>
        <w:wordWrap/>
        <w:overflowPunct/>
        <w:topLinePunct w:val="0"/>
        <w:autoSpaceDE/>
        <w:autoSpaceDN/>
        <w:bidi w:val="0"/>
        <w:adjustRightInd/>
        <w:snapToGrid/>
        <w:ind w:left="1920" w:leftChars="200" w:hanging="1440" w:hangingChars="600"/>
        <w:textAlignment w:val="auto"/>
        <w:rPr>
          <w:rFonts w:hint="default"/>
          <w:lang w:val="en-US" w:eastAsia="zh-CN"/>
        </w:rPr>
      </w:pPr>
      <w:r>
        <w:rPr>
          <w:rFonts w:hint="default"/>
          <w:lang w:val="en-US" w:eastAsia="zh-CN"/>
        </w:rPr>
        <w:t>式中：</w:t>
      </w:r>
      <w:r>
        <w:rPr>
          <w:rFonts w:hint="default"/>
          <w:i/>
          <w:iCs/>
          <w:lang w:val="en-US" w:eastAsia="zh-CN"/>
        </w:rPr>
        <w:t>σ</w:t>
      </w:r>
      <w:r>
        <w:rPr>
          <w:rFonts w:hint="default"/>
          <w:vertAlign w:val="subscript"/>
          <w:lang w:val="en-US" w:eastAsia="zh-CN"/>
        </w:rPr>
        <w:t>cc</w:t>
      </w:r>
      <w:r>
        <w:rPr>
          <w:rFonts w:hint="default"/>
          <w:lang w:val="en-US" w:eastAsia="zh-CN"/>
        </w:rPr>
        <w:t>——各种短暂设计状况下，在荷载标准组合作用下产生的预制底板正截面边缘混凝土法向压应力（N/mm</w:t>
      </w:r>
      <w:r>
        <w:rPr>
          <w:rFonts w:hint="default"/>
          <w:vertAlign w:val="superscript"/>
          <w:lang w:val="en-US" w:eastAsia="zh-CN"/>
        </w:rPr>
        <w:t>2</w:t>
      </w:r>
      <w:r>
        <w:rPr>
          <w:rFonts w:hint="default"/>
          <w:lang w:val="en-US" w:eastAsia="zh-CN"/>
        </w:rPr>
        <w:t>）；</w:t>
      </w:r>
    </w:p>
    <w:p>
      <w:pPr>
        <w:pStyle w:val="21"/>
        <w:keepNext w:val="0"/>
        <w:keepLines w:val="0"/>
        <w:pageBreakBefore w:val="0"/>
        <w:widowControl w:val="0"/>
        <w:kinsoku/>
        <w:wordWrap/>
        <w:overflowPunct/>
        <w:topLinePunct w:val="0"/>
        <w:autoSpaceDE/>
        <w:autoSpaceDN/>
        <w:bidi w:val="0"/>
        <w:adjustRightInd/>
        <w:snapToGrid/>
        <w:ind w:left="1800" w:leftChars="450" w:hanging="720" w:hangingChars="300"/>
        <w:textAlignment w:val="auto"/>
        <w:rPr>
          <w:rFonts w:hint="default"/>
          <w:lang w:val="en-US" w:eastAsia="zh-CN"/>
        </w:rPr>
      </w:pPr>
      <w:r>
        <w:rPr>
          <w:rFonts w:hint="default"/>
          <w:i/>
          <w:iCs/>
          <w:lang w:val="en-US" w:eastAsia="zh-CN"/>
        </w:rPr>
        <w:t>W</w:t>
      </w:r>
      <w:r>
        <w:rPr>
          <w:rFonts w:hint="default"/>
          <w:vertAlign w:val="subscript"/>
          <w:lang w:val="en-US" w:eastAsia="zh-CN"/>
        </w:rPr>
        <w:t>cc</w:t>
      </w:r>
      <w:r>
        <w:rPr>
          <w:rFonts w:hint="default"/>
          <w:lang w:val="en-US" w:eastAsia="zh-CN"/>
        </w:rPr>
        <w:t>——截面混凝土受压边缘弹性抵抗矩（mm</w:t>
      </w:r>
      <w:r>
        <w:rPr>
          <w:rFonts w:hint="default"/>
          <w:vertAlign w:val="superscript"/>
          <w:lang w:val="en-US" w:eastAsia="zh-CN"/>
        </w:rPr>
        <w:t>3</w:t>
      </w:r>
      <w:r>
        <w:rPr>
          <w:rFonts w:hint="default"/>
          <w:lang w:val="en-US" w:eastAsia="zh-CN"/>
        </w:rPr>
        <w:t>）；</w:t>
      </w:r>
    </w:p>
    <w:p>
      <w:pPr>
        <w:pStyle w:val="21"/>
        <w:keepNext w:val="0"/>
        <w:keepLines w:val="0"/>
        <w:pageBreakBefore w:val="0"/>
        <w:widowControl w:val="0"/>
        <w:kinsoku/>
        <w:wordWrap/>
        <w:overflowPunct/>
        <w:topLinePunct w:val="0"/>
        <w:autoSpaceDE/>
        <w:autoSpaceDN/>
        <w:bidi w:val="0"/>
        <w:adjustRightInd/>
        <w:snapToGrid/>
        <w:ind w:left="1800" w:leftChars="450" w:hanging="720" w:hangingChars="300"/>
        <w:textAlignment w:val="auto"/>
        <w:rPr>
          <w:rFonts w:hint="default"/>
          <w:lang w:val="en-US" w:eastAsia="zh-CN"/>
        </w:rPr>
      </w:pPr>
      <w:r>
        <w:rPr>
          <w:rFonts w:hint="default"/>
          <w:i/>
          <w:iCs/>
          <w:lang w:val="en-US" w:eastAsia="zh-CN"/>
        </w:rPr>
        <w:t>M</w:t>
      </w:r>
      <w:r>
        <w:rPr>
          <w:rFonts w:hint="default"/>
          <w:vertAlign w:val="subscript"/>
          <w:lang w:val="en-US" w:eastAsia="zh-CN"/>
        </w:rPr>
        <w:t>k</w:t>
      </w:r>
      <w:r>
        <w:rPr>
          <w:rFonts w:hint="default"/>
          <w:lang w:val="en-US" w:eastAsia="zh-CN"/>
        </w:rPr>
        <w:t>——各种短暂设计状况下，在荷载标准组合作用下截面弯矩标准值（N·mm）；</w:t>
      </w:r>
    </w:p>
    <w:p>
      <w:pPr>
        <w:pStyle w:val="21"/>
        <w:keepNext w:val="0"/>
        <w:keepLines w:val="0"/>
        <w:pageBreakBefore w:val="0"/>
        <w:widowControl w:val="0"/>
        <w:kinsoku/>
        <w:wordWrap/>
        <w:overflowPunct/>
        <w:topLinePunct w:val="0"/>
        <w:autoSpaceDE/>
        <w:autoSpaceDN/>
        <w:bidi w:val="0"/>
        <w:adjustRightInd/>
        <w:snapToGrid/>
        <w:ind w:left="1800" w:leftChars="450" w:hanging="720" w:hangingChars="300"/>
        <w:textAlignment w:val="auto"/>
        <w:rPr>
          <w:rFonts w:hint="default"/>
          <w:lang w:val="en-US" w:eastAsia="zh-CN"/>
        </w:rPr>
      </w:pPr>
      <w:r>
        <w:rPr>
          <w:rFonts w:hint="default"/>
          <w:i/>
          <w:iCs/>
          <w:lang w:val="en-US" w:eastAsia="zh-CN"/>
        </w:rPr>
        <w:t>f</w:t>
      </w:r>
      <w:r>
        <w:rPr>
          <w:rFonts w:hint="default"/>
          <w:vertAlign w:val="subscript"/>
          <w:lang w:val="en-US" w:eastAsia="zh-CN"/>
        </w:rPr>
        <w:t>ck</w:t>
      </w:r>
      <w:r>
        <w:rPr>
          <w:rFonts w:hint="default"/>
          <w:lang w:val="en-US" w:eastAsia="zh-CN"/>
        </w:rPr>
        <w:t>'——与各种短暂设计状况下的混凝土立方体抗压强度相应的轴心抗压强度标准值（N/mm</w:t>
      </w:r>
      <w:r>
        <w:rPr>
          <w:rFonts w:hint="default"/>
          <w:vertAlign w:val="superscript"/>
          <w:lang w:val="en-US" w:eastAsia="zh-CN"/>
        </w:rPr>
        <w:t>2</w:t>
      </w:r>
      <w:r>
        <w:rPr>
          <w:rFonts w:hint="default"/>
          <w:lang w:val="en-US" w:eastAsia="zh-CN"/>
        </w:rPr>
        <w:t>），按现行国家标准《混凝土结构设计规范》GB 50010-2010表4.1.3以线性内插法确定。</w:t>
      </w:r>
    </w:p>
    <w:p>
      <w:pPr>
        <w:numPr>
          <w:ilvl w:val="2"/>
          <w:numId w:val="1"/>
        </w:numPr>
        <w:bidi w:val="0"/>
        <w:rPr>
          <w:rFonts w:hint="default"/>
          <w:lang w:val="en-US" w:eastAsia="zh-CN"/>
        </w:rPr>
      </w:pPr>
      <w:r>
        <w:rPr>
          <w:rFonts w:hint="default"/>
          <w:lang w:val="en-US" w:eastAsia="zh-CN"/>
        </w:rPr>
        <w:t>各种短暂设计状况下，预制底板表面不应出现裂缝，其正截面边缘混凝土法向拉应力应符合下列规定：</w:t>
      </w:r>
    </w:p>
    <w:p>
      <w:pPr>
        <w:numPr>
          <w:ilvl w:val="0"/>
          <w:numId w:val="0"/>
        </w:numPr>
        <w:tabs>
          <w:tab w:val="left" w:pos="420"/>
        </w:tabs>
        <w:bidi w:val="0"/>
        <w:ind w:leftChars="0"/>
        <w:jc w:val="center"/>
        <w:rPr>
          <w:rFonts w:hint="default" w:hAnsi="Cambria Math" w:cs="Times New Roman"/>
          <w:i w:val="0"/>
          <w:lang w:val="en-US" w:eastAsia="zh-CN"/>
        </w:rPr>
      </w:pPr>
      <m:oMath>
        <m:sSub>
          <m:sSubPr>
            <m:ctrlPr>
              <w:rPr>
                <w:rFonts w:hint="default" w:ascii="Cambria Math" w:hAnsi="Cambria Math" w:cs="Times New Roman"/>
                <w:i/>
                <w:lang w:val="en-US"/>
              </w:rPr>
            </m:ctrlPr>
          </m:sSubPr>
          <m:e>
            <m:r>
              <m:rPr/>
              <w:rPr>
                <w:rFonts w:hint="default" w:ascii="Cambria Math" w:hAnsi="Cambria Math" w:cs="Times New Roman"/>
                <w:lang w:val="en-US"/>
              </w:rPr>
              <m:t>σ</m:t>
            </m:r>
            <m:ctrlPr>
              <w:rPr>
                <w:rFonts w:hint="default" w:ascii="Cambria Math" w:hAnsi="Cambria Math" w:cs="Times New Roman"/>
                <w:i/>
                <w:lang w:val="en-US"/>
              </w:rPr>
            </m:ctrlPr>
          </m:e>
          <m:sub>
            <m:r>
              <m:rPr/>
              <w:rPr>
                <w:rFonts w:hint="default" w:ascii="Cambria Math" w:hAnsi="Cambria Math" w:cs="Times New Roman"/>
                <w:lang w:val="en-US" w:eastAsia="zh-CN"/>
              </w:rPr>
              <m:t>ct</m:t>
            </m:r>
            <m:ctrlPr>
              <w:rPr>
                <w:rFonts w:hint="default" w:ascii="Cambria Math" w:hAnsi="Cambria Math" w:cs="Times New Roman"/>
                <w:i/>
                <w:lang w:val="en-US"/>
              </w:rPr>
            </m:ctrlPr>
          </m:sub>
        </m:sSub>
        <m:r>
          <m:rPr/>
          <w:rPr>
            <w:rFonts w:hint="default" w:ascii="Cambria Math" w:hAnsi="Cambria Math" w:cs="Times New Roman"/>
            <w:lang w:val="en-US"/>
          </w:rPr>
          <m:t>=</m:t>
        </m:r>
        <m:f>
          <m:fPr>
            <m:ctrlPr>
              <w:rPr>
                <w:rFonts w:hint="default" w:ascii="Cambria Math" w:hAnsi="Cambria Math" w:cs="Times New Roman"/>
                <w:i/>
                <w:lang w:val="en-US"/>
              </w:rPr>
            </m:ctrlPr>
          </m:fPr>
          <m:num>
            <m:sSub>
              <m:sSubPr>
                <m:ctrlPr>
                  <w:rPr>
                    <w:rFonts w:hint="default" w:ascii="Cambria Math" w:hAnsi="Cambria Math" w:cs="Times New Roman"/>
                    <w:i/>
                    <w:lang w:val="en-US"/>
                  </w:rPr>
                </m:ctrlPr>
              </m:sSubPr>
              <m:e>
                <m:r>
                  <m:rPr/>
                  <w:rPr>
                    <w:rFonts w:hint="default" w:ascii="Cambria Math" w:hAnsi="Cambria Math" w:cs="Times New Roman"/>
                    <w:lang w:val="en-US" w:eastAsia="zh-CN"/>
                  </w:rPr>
                  <m:t>M</m:t>
                </m:r>
                <m:ctrlPr>
                  <w:rPr>
                    <w:rFonts w:hint="default" w:ascii="Cambria Math" w:hAnsi="Cambria Math" w:cs="Times New Roman"/>
                    <w:i/>
                    <w:lang w:val="en-US"/>
                  </w:rPr>
                </m:ctrlPr>
              </m:e>
              <m:sub>
                <m:r>
                  <m:rPr/>
                  <w:rPr>
                    <w:rFonts w:hint="default" w:ascii="Cambria Math" w:hAnsi="Cambria Math" w:cs="Times New Roman"/>
                    <w:lang w:val="en-US" w:eastAsia="zh-CN"/>
                  </w:rPr>
                  <m:t>k</m:t>
                </m:r>
                <m:ctrlPr>
                  <w:rPr>
                    <w:rFonts w:hint="default" w:ascii="Cambria Math" w:hAnsi="Cambria Math" w:cs="Times New Roman"/>
                    <w:i/>
                    <w:lang w:val="en-US"/>
                  </w:rPr>
                </m:ctrlPr>
              </m:sub>
            </m:sSub>
            <m:ctrlPr>
              <w:rPr>
                <w:rFonts w:hint="default" w:ascii="Cambria Math" w:hAnsi="Cambria Math" w:cs="Times New Roman"/>
                <w:i/>
                <w:lang w:val="en-US"/>
              </w:rPr>
            </m:ctrlPr>
          </m:num>
          <m:den>
            <m:sSub>
              <m:sSubPr>
                <m:ctrlPr>
                  <w:rPr>
                    <w:rFonts w:hint="default" w:ascii="Cambria Math" w:hAnsi="Cambria Math" w:cs="Times New Roman"/>
                    <w:i/>
                    <w:lang w:val="en-US"/>
                  </w:rPr>
                </m:ctrlPr>
              </m:sSubPr>
              <m:e>
                <m:r>
                  <m:rPr/>
                  <w:rPr>
                    <w:rFonts w:hint="default" w:ascii="Cambria Math" w:hAnsi="Cambria Math" w:cs="Times New Roman"/>
                    <w:lang w:val="en-US" w:eastAsia="zh-CN"/>
                  </w:rPr>
                  <m:t>W</m:t>
                </m:r>
                <m:ctrlPr>
                  <w:rPr>
                    <w:rFonts w:hint="default" w:ascii="Cambria Math" w:hAnsi="Cambria Math" w:cs="Times New Roman"/>
                    <w:i/>
                    <w:lang w:val="en-US"/>
                  </w:rPr>
                </m:ctrlPr>
              </m:e>
              <m:sub>
                <m:r>
                  <m:rPr/>
                  <w:rPr>
                    <w:rFonts w:hint="default" w:ascii="Cambria Math" w:hAnsi="Cambria Math" w:cs="Times New Roman"/>
                    <w:lang w:val="en-US" w:eastAsia="zh-CN"/>
                  </w:rPr>
                  <m:t>ct</m:t>
                </m:r>
                <m:ctrlPr>
                  <w:rPr>
                    <w:rFonts w:hint="default" w:ascii="Cambria Math" w:hAnsi="Cambria Math" w:cs="Times New Roman"/>
                    <w:i/>
                    <w:lang w:val="en-US"/>
                  </w:rPr>
                </m:ctrlPr>
              </m:sub>
            </m:sSub>
            <m:ctrlPr>
              <w:rPr>
                <w:rFonts w:hint="default" w:ascii="Cambria Math" w:hAnsi="Cambria Math" w:cs="Times New Roman"/>
                <w:i/>
                <w:lang w:val="en-US"/>
              </w:rPr>
            </m:ctrlPr>
          </m:den>
        </m:f>
        <m:r>
          <m:rPr/>
          <w:rPr>
            <w:rFonts w:hint="default" w:ascii="Cambria Math" w:hAnsi="Cambria Math" w:cs="Times New Roman"/>
            <w:lang w:val="en-US"/>
          </w:rPr>
          <m:t>≤</m:t>
        </m:r>
        <m:r>
          <m:rPr/>
          <w:rPr>
            <w:rFonts w:hint="default" w:ascii="Cambria Math" w:hAnsi="Cambria Math" w:cs="Times New Roman"/>
            <w:lang w:val="en-US" w:eastAsia="zh-CN"/>
          </w:rPr>
          <m:t>1.0</m:t>
        </m:r>
        <m:sSubSup>
          <m:sSubSupPr>
            <m:ctrlPr>
              <w:rPr>
                <w:rFonts w:hint="default" w:ascii="Cambria Math" w:hAnsi="Cambria Math" w:cs="Times New Roman"/>
                <w:i/>
                <w:lang w:val="en-US" w:eastAsia="zh-CN"/>
              </w:rPr>
            </m:ctrlPr>
          </m:sSubSupPr>
          <m:e>
            <m:r>
              <m:rPr/>
              <w:rPr>
                <w:rFonts w:hint="default" w:ascii="Cambria Math" w:hAnsi="Cambria Math" w:cs="Times New Roman"/>
                <w:lang w:val="en-US" w:eastAsia="zh-CN"/>
              </w:rPr>
              <m:t>f</m:t>
            </m:r>
            <m:ctrlPr>
              <w:rPr>
                <w:rFonts w:hint="default" w:ascii="Cambria Math" w:hAnsi="Cambria Math" w:cs="Times New Roman"/>
                <w:i/>
                <w:lang w:val="en-US" w:eastAsia="zh-CN"/>
              </w:rPr>
            </m:ctrlPr>
          </m:e>
          <m:sub>
            <m:r>
              <m:rPr/>
              <w:rPr>
                <w:rFonts w:hint="default" w:ascii="Cambria Math" w:hAnsi="Cambria Math" w:cs="Times New Roman"/>
                <w:lang w:val="en-US" w:eastAsia="zh-CN"/>
              </w:rPr>
              <m:t>tk</m:t>
            </m:r>
            <m:ctrlPr>
              <w:rPr>
                <w:rFonts w:hint="default" w:ascii="Cambria Math" w:hAnsi="Cambria Math" w:cs="Times New Roman"/>
                <w:i/>
                <w:lang w:val="en-US" w:eastAsia="zh-CN"/>
              </w:rPr>
            </m:ctrlPr>
          </m:sub>
          <m:sup>
            <m:r>
              <m:rPr/>
              <w:rPr>
                <w:rFonts w:hint="default" w:ascii="Cambria Math" w:hAnsi="Cambria Math" w:cs="Times New Roman"/>
                <w:lang w:val="en-US" w:eastAsia="zh-CN"/>
              </w:rPr>
              <m:t>'</m:t>
            </m:r>
            <m:ctrlPr>
              <w:rPr>
                <w:rFonts w:hint="default" w:ascii="Cambria Math" w:hAnsi="Cambria Math" w:cs="Times New Roman"/>
                <w:i/>
                <w:lang w:val="en-US" w:eastAsia="zh-CN"/>
              </w:rPr>
            </m:ctrlPr>
          </m:sup>
        </m:sSubSup>
      </m:oMath>
      <w:r>
        <w:rPr>
          <w:rFonts w:hint="eastAsia" w:hAnsi="Cambria Math" w:cs="Times New Roman"/>
          <w:i w:val="0"/>
          <w:lang w:val="en-US" w:eastAsia="zh-CN"/>
        </w:rPr>
        <w:t xml:space="preserve">  （5.4.8）</w:t>
      </w:r>
    </w:p>
    <w:p>
      <w:pPr>
        <w:pStyle w:val="21"/>
        <w:keepNext w:val="0"/>
        <w:keepLines w:val="0"/>
        <w:pageBreakBefore w:val="0"/>
        <w:widowControl w:val="0"/>
        <w:kinsoku/>
        <w:wordWrap/>
        <w:overflowPunct/>
        <w:topLinePunct w:val="0"/>
        <w:autoSpaceDE/>
        <w:autoSpaceDN/>
        <w:bidi w:val="0"/>
        <w:adjustRightInd/>
        <w:snapToGrid/>
        <w:ind w:left="1920" w:leftChars="200" w:hanging="1440" w:hangingChars="600"/>
        <w:textAlignment w:val="auto"/>
        <w:rPr>
          <w:rFonts w:hint="default"/>
          <w:lang w:val="en-US" w:eastAsia="zh-CN"/>
        </w:rPr>
      </w:pPr>
      <w:r>
        <w:rPr>
          <w:rFonts w:hint="default"/>
          <w:lang w:val="en-US" w:eastAsia="zh-CN"/>
        </w:rPr>
        <w:t>式中：</w:t>
      </w:r>
      <w:r>
        <w:rPr>
          <w:rFonts w:hint="default"/>
          <w:i/>
          <w:iCs/>
          <w:lang w:val="en-US" w:eastAsia="zh-CN"/>
        </w:rPr>
        <w:t>σ</w:t>
      </w:r>
      <w:r>
        <w:rPr>
          <w:rFonts w:hint="default"/>
          <w:vertAlign w:val="subscript"/>
          <w:lang w:val="en-US" w:eastAsia="zh-CN"/>
        </w:rPr>
        <w:t>ct</w:t>
      </w:r>
      <w:r>
        <w:rPr>
          <w:rFonts w:hint="default"/>
          <w:lang w:val="en-US" w:eastAsia="zh-CN"/>
        </w:rPr>
        <w:t>——各种短暂设计状况下，在荷载标准组合作用下产生的预制底板正截面边缘混凝土法向拉应力（N/mm</w:t>
      </w:r>
      <w:r>
        <w:rPr>
          <w:rFonts w:hint="default"/>
          <w:vertAlign w:val="superscript"/>
          <w:lang w:val="en-US" w:eastAsia="zh-CN"/>
        </w:rPr>
        <w:t>2</w:t>
      </w:r>
      <w:r>
        <w:rPr>
          <w:rFonts w:hint="default"/>
          <w:lang w:val="en-US" w:eastAsia="zh-CN"/>
        </w:rPr>
        <w:t>）</w:t>
      </w:r>
      <w:r>
        <w:rPr>
          <w:rFonts w:hint="eastAsia"/>
          <w:lang w:val="en-US" w:eastAsia="zh-CN"/>
        </w:rPr>
        <w:t>；</w:t>
      </w:r>
    </w:p>
    <w:p>
      <w:pPr>
        <w:pStyle w:val="21"/>
        <w:keepNext w:val="0"/>
        <w:keepLines w:val="0"/>
        <w:pageBreakBefore w:val="0"/>
        <w:widowControl w:val="0"/>
        <w:kinsoku/>
        <w:wordWrap/>
        <w:overflowPunct/>
        <w:topLinePunct w:val="0"/>
        <w:autoSpaceDE/>
        <w:autoSpaceDN/>
        <w:bidi w:val="0"/>
        <w:adjustRightInd/>
        <w:snapToGrid/>
        <w:ind w:left="1800" w:leftChars="450" w:hanging="720" w:hangingChars="300"/>
        <w:textAlignment w:val="auto"/>
        <w:rPr>
          <w:rFonts w:hint="default"/>
          <w:i w:val="0"/>
          <w:iCs w:val="0"/>
          <w:lang w:val="en-US" w:eastAsia="zh-CN"/>
        </w:rPr>
      </w:pPr>
      <w:r>
        <w:rPr>
          <w:rFonts w:hint="default"/>
          <w:i/>
          <w:iCs/>
          <w:lang w:val="en-US" w:eastAsia="zh-CN"/>
        </w:rPr>
        <w:t>W</w:t>
      </w:r>
      <w:r>
        <w:rPr>
          <w:rFonts w:hint="default"/>
          <w:i w:val="0"/>
          <w:iCs w:val="0"/>
          <w:vertAlign w:val="subscript"/>
          <w:lang w:val="en-US" w:eastAsia="zh-CN"/>
        </w:rPr>
        <w:t>ct</w:t>
      </w:r>
      <w:r>
        <w:rPr>
          <w:rFonts w:hint="default"/>
          <w:i w:val="0"/>
          <w:iCs w:val="0"/>
          <w:lang w:val="en-US" w:eastAsia="zh-CN"/>
        </w:rPr>
        <w:t>——截面混凝土受拉边缘弹性抵抗矩（mm</w:t>
      </w:r>
      <w:r>
        <w:rPr>
          <w:rFonts w:hint="default"/>
          <w:i w:val="0"/>
          <w:iCs w:val="0"/>
          <w:vertAlign w:val="superscript"/>
          <w:lang w:val="en-US" w:eastAsia="zh-CN"/>
        </w:rPr>
        <w:t>3</w:t>
      </w:r>
      <w:r>
        <w:rPr>
          <w:rFonts w:hint="default"/>
          <w:i w:val="0"/>
          <w:iCs w:val="0"/>
          <w:lang w:val="en-US" w:eastAsia="zh-CN"/>
        </w:rPr>
        <w:t>）；</w:t>
      </w:r>
    </w:p>
    <w:p>
      <w:pPr>
        <w:pStyle w:val="21"/>
        <w:keepNext w:val="0"/>
        <w:keepLines w:val="0"/>
        <w:pageBreakBefore w:val="0"/>
        <w:widowControl w:val="0"/>
        <w:kinsoku/>
        <w:wordWrap/>
        <w:overflowPunct/>
        <w:topLinePunct w:val="0"/>
        <w:autoSpaceDE/>
        <w:autoSpaceDN/>
        <w:bidi w:val="0"/>
        <w:adjustRightInd/>
        <w:snapToGrid/>
        <w:ind w:left="1800" w:leftChars="450" w:hanging="720" w:hangingChars="300"/>
        <w:textAlignment w:val="auto"/>
        <w:rPr>
          <w:rFonts w:hint="default"/>
          <w:i w:val="0"/>
          <w:iCs w:val="0"/>
          <w:lang w:val="en-US" w:eastAsia="zh-CN"/>
        </w:rPr>
      </w:pPr>
      <w:r>
        <w:rPr>
          <w:rFonts w:hint="default"/>
          <w:i/>
          <w:iCs/>
          <w:lang w:val="en-US" w:eastAsia="zh-CN"/>
        </w:rPr>
        <w:t>f</w:t>
      </w:r>
      <w:r>
        <w:rPr>
          <w:rFonts w:hint="default"/>
          <w:i w:val="0"/>
          <w:iCs w:val="0"/>
          <w:vertAlign w:val="subscript"/>
          <w:lang w:val="en-US" w:eastAsia="zh-CN"/>
        </w:rPr>
        <w:t>tk</w:t>
      </w:r>
      <w:r>
        <w:rPr>
          <w:rFonts w:hint="default"/>
          <w:i w:val="0"/>
          <w:iCs w:val="0"/>
          <w:lang w:val="en-US" w:eastAsia="zh-CN"/>
        </w:rPr>
        <w:t>'——与各种短暂设计状况下的混凝土立方体抗压强度相应的轴心抗拉强度标准值（N/mm</w:t>
      </w:r>
      <w:r>
        <w:rPr>
          <w:rFonts w:hint="default"/>
          <w:i w:val="0"/>
          <w:iCs w:val="0"/>
          <w:vertAlign w:val="superscript"/>
          <w:lang w:val="en-US" w:eastAsia="zh-CN"/>
        </w:rPr>
        <w:t>2</w:t>
      </w:r>
      <w:r>
        <w:rPr>
          <w:rFonts w:hint="default"/>
          <w:i w:val="0"/>
          <w:iCs w:val="0"/>
          <w:lang w:val="en-US" w:eastAsia="zh-CN"/>
        </w:rPr>
        <w:t>），按现行国家标准《混凝土结构设计规范》GB 50010-2010表4.1.3以线性内插法确定。</w:t>
      </w:r>
    </w:p>
    <w:p>
      <w:pPr>
        <w:pStyle w:val="21"/>
        <w:bidi w:val="0"/>
        <w:ind w:left="0" w:leftChars="0" w:firstLine="0" w:firstLineChars="0"/>
        <w:rPr>
          <w:rFonts w:hint="default"/>
          <w:i w:val="0"/>
          <w:iCs w:val="0"/>
          <w:highlight w:val="none"/>
          <w:lang w:val="en-US" w:eastAsia="zh-CN"/>
        </w:rPr>
      </w:pPr>
      <w:r>
        <w:rPr>
          <w:rFonts w:hint="eastAsia"/>
          <w:i w:val="0"/>
          <w:iCs w:val="0"/>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5.4.1~5.4.4、5.4.6~5.4.8 </w:t>
      </w:r>
      <w:r>
        <w:rPr>
          <w:rFonts w:hint="eastAsia"/>
          <w:i w:val="0"/>
          <w:iCs w:val="0"/>
          <w:highlight w:val="none"/>
          <w:u w:val="single"/>
          <w:lang w:val="en-US" w:eastAsia="zh-CN"/>
        </w:rPr>
        <w:t>本节的规定均按照现行国家标准《</w:t>
      </w:r>
      <w:r>
        <w:rPr>
          <w:rFonts w:hint="default"/>
          <w:highlight w:val="none"/>
          <w:u w:val="single"/>
          <w:lang w:val="en-US" w:eastAsia="zh-CN"/>
        </w:rPr>
        <w:t>混凝土结构工程施工规范》GB 50666</w:t>
      </w:r>
      <w:r>
        <w:rPr>
          <w:rFonts w:hint="eastAsia"/>
          <w:highlight w:val="none"/>
          <w:u w:val="single"/>
          <w:lang w:val="en-US" w:eastAsia="zh-CN"/>
        </w:rPr>
        <w:t>的要求提出。预制底板由下翼缘板以及作为叠合肋梁预制部分的双向上凸的肋部组成，并且下翼缘板的周边还设有向上翻起的边肋，这些构造均能起到提高</w:t>
      </w:r>
      <w:r>
        <w:rPr>
          <w:rFonts w:hint="default"/>
          <w:highlight w:val="none"/>
          <w:u w:val="single"/>
          <w:lang w:val="en-US" w:eastAsia="zh-CN"/>
        </w:rPr>
        <w:t>预制底板</w:t>
      </w:r>
      <w:r>
        <w:rPr>
          <w:rFonts w:hint="eastAsia"/>
          <w:highlight w:val="none"/>
          <w:u w:val="single"/>
          <w:lang w:val="en-US" w:eastAsia="zh-CN"/>
        </w:rPr>
        <w:t>整体刚度的作用，从而保证预制底板在脱模、翻转、</w:t>
      </w:r>
      <w:r>
        <w:rPr>
          <w:rFonts w:hint="default"/>
          <w:highlight w:val="none"/>
          <w:u w:val="single"/>
          <w:lang w:val="en-US" w:eastAsia="zh-CN"/>
        </w:rPr>
        <w:t>吊运、堆放、运输、安装</w:t>
      </w:r>
      <w:r>
        <w:rPr>
          <w:rFonts w:hint="eastAsia"/>
          <w:highlight w:val="none"/>
          <w:u w:val="single"/>
          <w:lang w:val="en-US" w:eastAsia="zh-CN"/>
        </w:rPr>
        <w:t>及</w:t>
      </w:r>
      <w:r>
        <w:rPr>
          <w:rFonts w:hint="default"/>
          <w:highlight w:val="none"/>
          <w:u w:val="single"/>
          <w:lang w:val="en-US" w:eastAsia="zh-CN"/>
        </w:rPr>
        <w:t>混凝土浇筑</w:t>
      </w:r>
      <w:r>
        <w:rPr>
          <w:rFonts w:hint="eastAsia"/>
          <w:highlight w:val="none"/>
          <w:u w:val="single"/>
          <w:lang w:val="en-US" w:eastAsia="zh-CN"/>
        </w:rPr>
        <w:t>时的受力和变形满足要求。但由于整体截面比较复杂，难以直接采用公式将</w:t>
      </w:r>
      <w:r>
        <w:rPr>
          <w:rFonts w:hint="default"/>
          <w:highlight w:val="none"/>
          <w:u w:val="single"/>
          <w:lang w:val="en-US" w:eastAsia="zh-CN"/>
        </w:rPr>
        <w:t>截面混凝土受压边缘弹性抵抗矩</w:t>
      </w:r>
      <w:r>
        <w:rPr>
          <w:rFonts w:hint="default"/>
          <w:i/>
          <w:iCs/>
          <w:highlight w:val="none"/>
          <w:u w:val="single"/>
          <w:lang w:val="en-US" w:eastAsia="zh-CN"/>
        </w:rPr>
        <w:t>W</w:t>
      </w:r>
      <w:r>
        <w:rPr>
          <w:rFonts w:hint="default"/>
          <w:highlight w:val="none"/>
          <w:u w:val="single"/>
          <w:vertAlign w:val="subscript"/>
          <w:lang w:val="en-US" w:eastAsia="zh-CN"/>
        </w:rPr>
        <w:t>cc</w:t>
      </w:r>
      <w:r>
        <w:rPr>
          <w:rFonts w:hint="eastAsia"/>
          <w:highlight w:val="none"/>
          <w:u w:val="single"/>
          <w:vertAlign w:val="baseline"/>
          <w:lang w:val="en-US" w:eastAsia="zh-CN"/>
        </w:rPr>
        <w:t>、</w:t>
      </w:r>
      <w:r>
        <w:rPr>
          <w:rFonts w:hint="default"/>
          <w:i w:val="0"/>
          <w:iCs w:val="0"/>
          <w:highlight w:val="none"/>
          <w:u w:val="single"/>
          <w:lang w:val="en-US" w:eastAsia="zh-CN"/>
        </w:rPr>
        <w:t>截面混凝土受拉边缘弹性抵抗矩</w:t>
      </w:r>
      <w:r>
        <w:rPr>
          <w:rFonts w:hint="default"/>
          <w:i/>
          <w:iCs/>
          <w:highlight w:val="none"/>
          <w:u w:val="single"/>
          <w:lang w:val="en-US" w:eastAsia="zh-CN"/>
        </w:rPr>
        <w:t>W</w:t>
      </w:r>
      <w:r>
        <w:rPr>
          <w:rFonts w:hint="default"/>
          <w:i w:val="0"/>
          <w:iCs w:val="0"/>
          <w:highlight w:val="none"/>
          <w:u w:val="single"/>
          <w:vertAlign w:val="subscript"/>
          <w:lang w:val="en-US" w:eastAsia="zh-CN"/>
        </w:rPr>
        <w:t>ct</w:t>
      </w:r>
      <w:r>
        <w:rPr>
          <w:rFonts w:hint="eastAsia"/>
          <w:i w:val="0"/>
          <w:iCs w:val="0"/>
          <w:highlight w:val="none"/>
          <w:u w:val="single"/>
          <w:vertAlign w:val="baseline"/>
          <w:lang w:val="en-US" w:eastAsia="zh-CN"/>
        </w:rPr>
        <w:t>表达出来，</w:t>
      </w:r>
      <w:r>
        <w:rPr>
          <w:rFonts w:hint="eastAsia"/>
          <w:highlight w:val="none"/>
          <w:u w:val="single"/>
          <w:lang w:val="en-US" w:eastAsia="zh-CN"/>
        </w:rPr>
        <w:t>宜采用整体有限元方法进行计算。</w:t>
      </w:r>
    </w:p>
    <w:p>
      <w:pPr>
        <w:pStyle w:val="4"/>
        <w:bidi w:val="0"/>
        <w:ind w:left="0" w:leftChars="0" w:firstLine="0" w:firstLineChars="0"/>
        <w:outlineLvl w:val="1"/>
        <w:rPr>
          <w:rFonts w:hint="default"/>
          <w:lang w:val="en-US" w:eastAsia="zh-CN"/>
        </w:rPr>
      </w:pPr>
      <w:bookmarkStart w:id="34" w:name="_Toc3091"/>
      <w:r>
        <w:rPr>
          <w:rFonts w:hint="default"/>
          <w:lang w:val="en-US" w:eastAsia="zh-CN"/>
        </w:rPr>
        <w:t>空心叠合板</w:t>
      </w:r>
      <w:r>
        <w:rPr>
          <w:rFonts w:hint="eastAsia"/>
          <w:lang w:val="en-US" w:eastAsia="zh-CN"/>
        </w:rPr>
        <w:t>构造要求</w:t>
      </w:r>
      <w:bookmarkEnd w:id="34"/>
    </w:p>
    <w:p>
      <w:pPr>
        <w:numPr>
          <w:ilvl w:val="2"/>
          <w:numId w:val="1"/>
        </w:numPr>
        <w:bidi w:val="0"/>
        <w:rPr>
          <w:rFonts w:hint="default"/>
          <w:lang w:val="en-US" w:eastAsia="zh-CN"/>
        </w:rPr>
      </w:pPr>
      <w:r>
        <w:rPr>
          <w:rFonts w:hint="default"/>
          <w:lang w:val="en-US" w:eastAsia="zh-CN"/>
        </w:rPr>
        <w:t>空心叠合板的体积空心率宜为</w:t>
      </w:r>
      <w:r>
        <w:rPr>
          <w:rFonts w:hint="eastAsia"/>
          <w:lang w:val="en-US" w:eastAsia="zh-CN"/>
        </w:rPr>
        <w:t>3</w:t>
      </w:r>
      <w:r>
        <w:rPr>
          <w:rFonts w:hint="default"/>
          <w:lang w:val="en-US" w:eastAsia="zh-CN"/>
        </w:rPr>
        <w:t>0%~</w:t>
      </w:r>
      <w:r>
        <w:rPr>
          <w:rFonts w:hint="eastAsia"/>
          <w:lang w:val="en-US" w:eastAsia="zh-CN"/>
        </w:rPr>
        <w:t>7</w:t>
      </w:r>
      <w:r>
        <w:rPr>
          <w:rFonts w:hint="default"/>
          <w:lang w:val="en-US" w:eastAsia="zh-CN"/>
        </w:rPr>
        <w:t>0%。</w:t>
      </w:r>
    </w:p>
    <w:p>
      <w:pPr>
        <w:pStyle w:val="21"/>
        <w:bidi w:val="0"/>
        <w:ind w:left="0" w:leftChars="0" w:firstLine="0" w:firstLineChars="0"/>
        <w:rPr>
          <w:rFonts w:hint="default"/>
          <w:u w:val="single"/>
          <w:lang w:val="en-US" w:eastAsia="zh-CN"/>
        </w:rPr>
      </w:pPr>
      <w:r>
        <w:rPr>
          <w:rFonts w:hint="eastAsia"/>
          <w:u w:val="single"/>
          <w:lang w:val="en-US" w:eastAsia="zh-CN"/>
        </w:rPr>
        <w:t>【</w:t>
      </w:r>
      <w:r>
        <w:rPr>
          <w:rFonts w:hint="default"/>
          <w:u w:val="single"/>
          <w:lang w:val="en-US" w:eastAsia="zh-CN"/>
        </w:rPr>
        <w:t>条文说明</w:t>
      </w:r>
      <w:r>
        <w:rPr>
          <w:rFonts w:hint="eastAsia"/>
          <w:u w:val="single"/>
          <w:lang w:val="en-US" w:eastAsia="zh-CN"/>
        </w:rPr>
        <w:t>】5.5.1 体积空心率参考</w:t>
      </w:r>
      <w:r>
        <w:rPr>
          <w:rFonts w:hint="default"/>
          <w:u w:val="single"/>
          <w:lang w:val="en-US" w:eastAsia="zh-CN"/>
        </w:rPr>
        <w:t>现行国家标准</w:t>
      </w:r>
      <w:r>
        <w:rPr>
          <w:rFonts w:hint="eastAsia"/>
          <w:u w:val="single"/>
          <w:lang w:val="en-US" w:eastAsia="zh-CN"/>
        </w:rPr>
        <w:t>《装配箱混凝土空心楼盖结构技术规程》JGJ/T 207、</w:t>
      </w:r>
      <w:r>
        <w:rPr>
          <w:rFonts w:hint="default"/>
          <w:u w:val="single"/>
          <w:lang w:val="en-US" w:eastAsia="zh-CN"/>
        </w:rPr>
        <w:t>《现浇混凝土空心楼盖技术规程》JGJ/T 268</w:t>
      </w:r>
      <w:r>
        <w:rPr>
          <w:rFonts w:hint="eastAsia"/>
          <w:u w:val="single"/>
          <w:lang w:val="en-US" w:eastAsia="zh-CN"/>
        </w:rPr>
        <w:t>的要求提出。</w:t>
      </w:r>
    </w:p>
    <w:p>
      <w:pPr>
        <w:numPr>
          <w:ilvl w:val="2"/>
          <w:numId w:val="1"/>
        </w:numPr>
        <w:bidi w:val="0"/>
        <w:rPr>
          <w:rFonts w:hint="default"/>
          <w:lang w:val="en-US" w:eastAsia="zh-CN"/>
        </w:rPr>
      </w:pPr>
      <w:r>
        <w:rPr>
          <w:rFonts w:hint="eastAsia"/>
          <w:lang w:val="en-US" w:eastAsia="zh-CN"/>
        </w:rPr>
        <w:t>空心叠合板的厚度</w:t>
      </w:r>
      <w:r>
        <w:rPr>
          <w:rFonts w:hint="default"/>
          <w:lang w:val="en-US" w:eastAsia="zh-CN"/>
        </w:rPr>
        <w:t>h不宜小于2</w:t>
      </w:r>
      <w:r>
        <w:rPr>
          <w:rFonts w:hint="eastAsia"/>
          <w:lang w:val="en-US" w:eastAsia="zh-CN"/>
        </w:rPr>
        <w:t>5</w:t>
      </w:r>
      <w:r>
        <w:rPr>
          <w:rFonts w:hint="default"/>
          <w:lang w:val="en-US" w:eastAsia="zh-CN"/>
        </w:rPr>
        <w:t>0 mm</w:t>
      </w:r>
      <w:r>
        <w:rPr>
          <w:rFonts w:hint="eastAsia"/>
          <w:lang w:val="en-US" w:eastAsia="zh-CN"/>
        </w:rPr>
        <w:t>；</w:t>
      </w:r>
      <w:r>
        <w:rPr>
          <w:rFonts w:hint="default"/>
          <w:lang w:val="en-US" w:eastAsia="zh-CN"/>
        </w:rPr>
        <w:t>双向正交肋梁</w:t>
      </w:r>
      <w:r>
        <w:rPr>
          <w:rFonts w:hint="eastAsia"/>
          <w:lang w:val="en-US" w:eastAsia="zh-CN"/>
        </w:rPr>
        <w:t>的</w:t>
      </w:r>
      <w:r>
        <w:rPr>
          <w:rFonts w:hint="default"/>
          <w:lang w:val="en-US" w:eastAsia="zh-CN"/>
        </w:rPr>
        <w:t>宽度宜为</w:t>
      </w:r>
      <w:r>
        <w:rPr>
          <w:rFonts w:hint="eastAsia"/>
          <w:lang w:val="en-US" w:eastAsia="zh-CN"/>
        </w:rPr>
        <w:t>宜</w:t>
      </w:r>
      <w:r>
        <w:rPr>
          <w:rFonts w:hint="default"/>
          <w:lang w:val="en-US" w:eastAsia="zh-CN"/>
        </w:rPr>
        <w:t>为1</w:t>
      </w:r>
      <w:r>
        <w:rPr>
          <w:rFonts w:hint="eastAsia"/>
          <w:lang w:val="en-US" w:eastAsia="zh-CN"/>
        </w:rPr>
        <w:t>8</w:t>
      </w:r>
      <w:r>
        <w:rPr>
          <w:rFonts w:hint="default"/>
          <w:lang w:val="en-US" w:eastAsia="zh-CN"/>
        </w:rPr>
        <w:t>0~2</w:t>
      </w:r>
      <w:r>
        <w:rPr>
          <w:rFonts w:hint="eastAsia"/>
          <w:lang w:val="en-US" w:eastAsia="zh-CN"/>
        </w:rPr>
        <w:t>2</w:t>
      </w:r>
      <w:r>
        <w:rPr>
          <w:rFonts w:hint="default"/>
          <w:lang w:val="en-US" w:eastAsia="zh-CN"/>
        </w:rPr>
        <w:t>0mm；上、下翼缘</w:t>
      </w:r>
      <w:r>
        <w:rPr>
          <w:rFonts w:hint="eastAsia"/>
          <w:lang w:val="en-US" w:eastAsia="zh-CN"/>
        </w:rPr>
        <w:t>板</w:t>
      </w:r>
      <w:r>
        <w:rPr>
          <w:rFonts w:hint="default"/>
          <w:lang w:val="en-US" w:eastAsia="zh-CN"/>
        </w:rPr>
        <w:t>厚宜为空心叠合板板厚的1/</w:t>
      </w:r>
      <w:r>
        <w:rPr>
          <w:rFonts w:hint="eastAsia"/>
          <w:lang w:val="en-US" w:eastAsia="zh-CN"/>
        </w:rPr>
        <w:t>10</w:t>
      </w:r>
      <w:r>
        <w:rPr>
          <w:rFonts w:hint="default"/>
          <w:lang w:val="en-US" w:eastAsia="zh-CN"/>
        </w:rPr>
        <w:t>~1/4，且上翼缘</w:t>
      </w:r>
      <w:r>
        <w:rPr>
          <w:rFonts w:hint="eastAsia"/>
          <w:lang w:val="en-US" w:eastAsia="zh-CN"/>
        </w:rPr>
        <w:t>板</w:t>
      </w:r>
      <w:r>
        <w:rPr>
          <w:rFonts w:hint="default"/>
          <w:lang w:val="en-US" w:eastAsia="zh-CN"/>
        </w:rPr>
        <w:t>厚不</w:t>
      </w:r>
      <w:r>
        <w:rPr>
          <w:rFonts w:hint="eastAsia"/>
          <w:lang w:val="en-US" w:eastAsia="zh-CN"/>
        </w:rPr>
        <w:t>宜</w:t>
      </w:r>
      <w:r>
        <w:rPr>
          <w:rFonts w:hint="default"/>
          <w:lang w:val="en-US" w:eastAsia="zh-CN"/>
        </w:rPr>
        <w:t>小于</w:t>
      </w:r>
      <w:r>
        <w:rPr>
          <w:rFonts w:hint="eastAsia"/>
          <w:lang w:val="en-US" w:eastAsia="zh-CN"/>
        </w:rPr>
        <w:t>6</w:t>
      </w:r>
      <w:r>
        <w:rPr>
          <w:rFonts w:hint="default"/>
          <w:lang w:val="en-US" w:eastAsia="zh-CN"/>
        </w:rPr>
        <w:t>0mm</w:t>
      </w:r>
      <w:r>
        <w:rPr>
          <w:rFonts w:hint="eastAsia"/>
          <w:lang w:val="en-US" w:eastAsia="zh-CN"/>
        </w:rPr>
        <w:t>，</w:t>
      </w:r>
      <w:r>
        <w:rPr>
          <w:rFonts w:hint="default"/>
          <w:lang w:val="en-US" w:eastAsia="zh-CN"/>
        </w:rPr>
        <w:t>下翼缘</w:t>
      </w:r>
      <w:r>
        <w:rPr>
          <w:rFonts w:hint="eastAsia"/>
          <w:lang w:val="en-US" w:eastAsia="zh-CN"/>
        </w:rPr>
        <w:t>板</w:t>
      </w:r>
      <w:r>
        <w:rPr>
          <w:rFonts w:hint="default"/>
          <w:lang w:val="en-US" w:eastAsia="zh-CN"/>
        </w:rPr>
        <w:t>厚不</w:t>
      </w:r>
      <w:r>
        <w:rPr>
          <w:rFonts w:hint="eastAsia"/>
          <w:lang w:val="en-US" w:eastAsia="zh-CN"/>
        </w:rPr>
        <w:t>宜</w:t>
      </w:r>
      <w:r>
        <w:rPr>
          <w:rFonts w:hint="default"/>
          <w:lang w:val="en-US" w:eastAsia="zh-CN"/>
        </w:rPr>
        <w:t>小于</w:t>
      </w:r>
      <w:r>
        <w:rPr>
          <w:rFonts w:hint="eastAsia"/>
          <w:lang w:val="en-US" w:eastAsia="zh-CN"/>
        </w:rPr>
        <w:t>5</w:t>
      </w:r>
      <w:r>
        <w:rPr>
          <w:rFonts w:hint="default"/>
          <w:lang w:val="en-US" w:eastAsia="zh-CN"/>
        </w:rPr>
        <w:t>0mm。</w:t>
      </w:r>
    </w:p>
    <w:p>
      <w:pPr>
        <w:pStyle w:val="21"/>
        <w:bidi w:val="0"/>
        <w:ind w:left="0" w:leftChars="0" w:firstLine="0" w:firstLineChars="0"/>
        <w:rPr>
          <w:rFonts w:hint="default"/>
          <w:u w:val="single"/>
          <w:lang w:val="en-US" w:eastAsia="zh-CN"/>
        </w:rPr>
      </w:pPr>
      <w:r>
        <w:rPr>
          <w:rFonts w:hint="eastAsia"/>
          <w:u w:val="single"/>
          <w:lang w:val="en-US" w:eastAsia="zh-CN"/>
        </w:rPr>
        <w:t>【</w:t>
      </w:r>
      <w:r>
        <w:rPr>
          <w:rFonts w:hint="default"/>
          <w:u w:val="single"/>
          <w:lang w:val="en-US" w:eastAsia="zh-CN"/>
        </w:rPr>
        <w:t>条文说明</w:t>
      </w:r>
      <w:r>
        <w:rPr>
          <w:rFonts w:hint="eastAsia"/>
          <w:u w:val="single"/>
          <w:lang w:val="en-US" w:eastAsia="zh-CN"/>
        </w:rPr>
        <w:t xml:space="preserve">】5.5.2 </w:t>
      </w:r>
      <w:r>
        <w:rPr>
          <w:rFonts w:hint="default"/>
          <w:u w:val="single"/>
          <w:lang w:val="en-US" w:eastAsia="zh-CN"/>
        </w:rPr>
        <w:t>肋梁宽度的取值综合考虑体积空心率、混凝土浇筑质量、工厂加工</w:t>
      </w:r>
      <w:r>
        <w:rPr>
          <w:rFonts w:hint="eastAsia"/>
          <w:u w:val="single"/>
          <w:lang w:val="en-US" w:eastAsia="zh-CN"/>
        </w:rPr>
        <w:t>运输吊装以及现场施工</w:t>
      </w:r>
      <w:r>
        <w:rPr>
          <w:rFonts w:hint="default"/>
          <w:u w:val="single"/>
          <w:lang w:val="en-US" w:eastAsia="zh-CN"/>
        </w:rPr>
        <w:t>等因素</w:t>
      </w:r>
      <w:r>
        <w:rPr>
          <w:rFonts w:hint="eastAsia"/>
          <w:u w:val="single"/>
          <w:lang w:val="en-US" w:eastAsia="zh-CN"/>
        </w:rPr>
        <w:t>的影响</w:t>
      </w:r>
      <w:r>
        <w:rPr>
          <w:rFonts w:hint="default"/>
          <w:u w:val="single"/>
          <w:lang w:val="en-US" w:eastAsia="zh-CN"/>
        </w:rPr>
        <w:t>综合确定。</w:t>
      </w:r>
    </w:p>
    <w:p>
      <w:pPr>
        <w:numPr>
          <w:ilvl w:val="2"/>
          <w:numId w:val="1"/>
        </w:numPr>
        <w:bidi w:val="0"/>
        <w:rPr>
          <w:rFonts w:hint="default"/>
          <w:lang w:val="en-US" w:eastAsia="zh-CN"/>
        </w:rPr>
      </w:pPr>
      <w:r>
        <w:rPr>
          <w:rFonts w:hint="eastAsia"/>
          <w:lang w:val="en-US" w:eastAsia="zh-CN"/>
        </w:rPr>
        <w:t>空心叠合楼盖适用的跨度、跨高比宜符合表5</w:t>
      </w:r>
      <w:r>
        <w:rPr>
          <w:rFonts w:hint="default"/>
          <w:lang w:val="en-US" w:eastAsia="zh-CN"/>
        </w:rPr>
        <w:t>.</w:t>
      </w:r>
      <w:r>
        <w:rPr>
          <w:rFonts w:hint="eastAsia"/>
          <w:lang w:val="en-US" w:eastAsia="zh-CN"/>
        </w:rPr>
        <w:t>5</w:t>
      </w:r>
      <w:r>
        <w:rPr>
          <w:rFonts w:hint="default"/>
          <w:lang w:val="en-US" w:eastAsia="zh-CN"/>
        </w:rPr>
        <w:t>.</w:t>
      </w:r>
      <w:r>
        <w:rPr>
          <w:rFonts w:hint="eastAsia"/>
          <w:lang w:val="en-US" w:eastAsia="zh-CN"/>
        </w:rPr>
        <w:t>3的规定。</w:t>
      </w:r>
    </w:p>
    <w:p>
      <w:pPr>
        <w:pStyle w:val="21"/>
        <w:bidi w:val="0"/>
        <w:ind w:left="0" w:leftChars="0" w:firstLine="0" w:firstLineChars="0"/>
        <w:jc w:val="center"/>
        <w:rPr>
          <w:rFonts w:hint="default" w:eastAsia="宋体"/>
          <w:lang w:val="en-US" w:eastAsia="zh-CN"/>
        </w:rPr>
      </w:pPr>
      <w:r>
        <w:rPr>
          <w:rFonts w:hint="eastAsia"/>
          <w:lang w:val="en-US" w:eastAsia="zh-CN"/>
        </w:rPr>
        <w:t>表5.5.3 楼盖的适用跨度、跨高比</w:t>
      </w:r>
    </w:p>
    <w:tbl>
      <w:tblPr>
        <w:tblStyle w:val="16"/>
        <w:tblW w:w="0" w:type="auto"/>
        <w:tblInd w:w="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900"/>
        <w:gridCol w:w="1815"/>
        <w:gridCol w:w="1398"/>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5" w:type="dxa"/>
            <w:gridSpan w:val="2"/>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结构类别</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适用跨度（m）</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跨高比</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Merge w:val="restart"/>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刚性支承楼盖</w:t>
            </w:r>
          </w:p>
        </w:tc>
        <w:tc>
          <w:tcPr>
            <w:tcW w:w="1900"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单向板</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6~20</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30~40</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取短向跨度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Merge w:val="continue"/>
            <w:vAlign w:val="center"/>
          </w:tcPr>
          <w:p>
            <w:pPr>
              <w:pStyle w:val="21"/>
              <w:bidi w:val="0"/>
              <w:jc w:val="center"/>
              <w:rPr>
                <w:rFonts w:hint="default"/>
                <w:sz w:val="21"/>
                <w:szCs w:val="21"/>
                <w:vertAlign w:val="baseline"/>
                <w:lang w:val="en-US" w:eastAsia="zh-CN"/>
              </w:rPr>
            </w:pPr>
          </w:p>
        </w:tc>
        <w:tc>
          <w:tcPr>
            <w:tcW w:w="1900"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双向板</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6~25</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35~45</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取短向跨度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柔性支承楼盖</w:t>
            </w:r>
          </w:p>
        </w:tc>
        <w:tc>
          <w:tcPr>
            <w:tcW w:w="1900"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区格板</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6~20</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30~40</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取长向跨度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Merge w:val="restart"/>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柱支承楼盖</w:t>
            </w:r>
          </w:p>
        </w:tc>
        <w:tc>
          <w:tcPr>
            <w:tcW w:w="1900"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有托板或柱帽</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6~15</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35~45</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取长向跨度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5" w:type="dxa"/>
            <w:vMerge w:val="continue"/>
            <w:vAlign w:val="center"/>
          </w:tcPr>
          <w:p>
            <w:pPr>
              <w:pStyle w:val="21"/>
              <w:bidi w:val="0"/>
              <w:jc w:val="center"/>
              <w:rPr>
                <w:rFonts w:hint="default"/>
                <w:sz w:val="21"/>
                <w:szCs w:val="21"/>
                <w:vertAlign w:val="baseline"/>
                <w:lang w:val="en-US" w:eastAsia="zh-CN"/>
              </w:rPr>
            </w:pPr>
          </w:p>
        </w:tc>
        <w:tc>
          <w:tcPr>
            <w:tcW w:w="1900"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无托板或柱帽</w:t>
            </w:r>
          </w:p>
        </w:tc>
        <w:tc>
          <w:tcPr>
            <w:tcW w:w="181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6~10</w:t>
            </w:r>
          </w:p>
        </w:tc>
        <w:tc>
          <w:tcPr>
            <w:tcW w:w="1398"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30~40</w:t>
            </w:r>
          </w:p>
        </w:tc>
        <w:tc>
          <w:tcPr>
            <w:tcW w:w="1705" w:type="dxa"/>
            <w:vAlign w:val="center"/>
          </w:tcPr>
          <w:p>
            <w:pPr>
              <w:pStyle w:val="21"/>
              <w:bidi w:val="0"/>
              <w:ind w:left="0" w:leftChars="0" w:firstLine="0" w:firstLineChars="0"/>
              <w:jc w:val="center"/>
              <w:rPr>
                <w:rFonts w:hint="default"/>
                <w:sz w:val="21"/>
                <w:szCs w:val="21"/>
                <w:vertAlign w:val="baseline"/>
                <w:lang w:val="en-US" w:eastAsia="zh-CN"/>
              </w:rPr>
            </w:pPr>
            <w:r>
              <w:rPr>
                <w:rFonts w:hint="eastAsia"/>
                <w:sz w:val="21"/>
                <w:szCs w:val="21"/>
                <w:vertAlign w:val="baseline"/>
                <w:lang w:val="en-US" w:eastAsia="zh-CN"/>
              </w:rPr>
              <w:t>取长向跨度</w:t>
            </w:r>
          </w:p>
        </w:tc>
      </w:tr>
    </w:tbl>
    <w:p>
      <w:pPr>
        <w:pStyle w:val="21"/>
        <w:bidi w:val="0"/>
        <w:rPr>
          <w:rFonts w:hint="eastAsia"/>
          <w:sz w:val="21"/>
          <w:szCs w:val="21"/>
          <w:lang w:val="en-US" w:eastAsia="zh-CN"/>
        </w:rPr>
      </w:pPr>
      <w:r>
        <w:rPr>
          <w:rFonts w:hint="default"/>
          <w:sz w:val="21"/>
          <w:szCs w:val="21"/>
          <w:lang w:val="en-US" w:eastAsia="zh-CN"/>
        </w:rPr>
        <w:t>注</w:t>
      </w:r>
      <w:r>
        <w:rPr>
          <w:rFonts w:hint="eastAsia"/>
          <w:sz w:val="21"/>
          <w:szCs w:val="21"/>
          <w:lang w:val="en-US" w:eastAsia="zh-CN"/>
        </w:rPr>
        <w:t>：</w:t>
      </w:r>
      <w:r>
        <w:rPr>
          <w:rFonts w:hint="default"/>
          <w:sz w:val="21"/>
          <w:szCs w:val="21"/>
          <w:lang w:val="en-US" w:eastAsia="zh-CN"/>
        </w:rPr>
        <w:t>1 无开洞、</w:t>
      </w:r>
      <w:r>
        <w:rPr>
          <w:rFonts w:hint="eastAsia"/>
          <w:sz w:val="21"/>
          <w:szCs w:val="21"/>
          <w:lang w:val="en-US" w:eastAsia="zh-CN"/>
        </w:rPr>
        <w:t>竖向荷载中永久荷载占比大于</w:t>
      </w:r>
      <w:r>
        <w:rPr>
          <w:rFonts w:hint="default"/>
          <w:sz w:val="21"/>
          <w:szCs w:val="21"/>
          <w:lang w:val="en-US" w:eastAsia="zh-CN"/>
        </w:rPr>
        <w:t>70%时跨高比宜取上限</w:t>
      </w:r>
      <w:r>
        <w:rPr>
          <w:rFonts w:hint="eastAsia"/>
          <w:sz w:val="21"/>
          <w:szCs w:val="21"/>
          <w:lang w:val="en-US" w:eastAsia="zh-CN"/>
        </w:rPr>
        <w:t>；</w:t>
      </w:r>
    </w:p>
    <w:p>
      <w:pPr>
        <w:pStyle w:val="21"/>
        <w:bidi w:val="0"/>
        <w:ind w:firstLine="840" w:firstLineChars="400"/>
        <w:rPr>
          <w:rFonts w:hint="default"/>
          <w:sz w:val="21"/>
          <w:szCs w:val="21"/>
          <w:lang w:val="en-US" w:eastAsia="zh-CN"/>
        </w:rPr>
      </w:pPr>
      <w:r>
        <w:rPr>
          <w:rFonts w:hint="eastAsia"/>
          <w:sz w:val="21"/>
          <w:szCs w:val="21"/>
          <w:lang w:val="en-US" w:eastAsia="zh-CN"/>
        </w:rPr>
        <w:t>2 存在</w:t>
      </w:r>
      <w:r>
        <w:rPr>
          <w:rFonts w:hint="default"/>
          <w:sz w:val="21"/>
          <w:szCs w:val="21"/>
          <w:lang w:val="en-US" w:eastAsia="zh-CN"/>
        </w:rPr>
        <w:t>集中荷载</w:t>
      </w:r>
      <w:r>
        <w:rPr>
          <w:rFonts w:hint="eastAsia"/>
          <w:sz w:val="21"/>
          <w:szCs w:val="21"/>
          <w:lang w:val="en-US" w:eastAsia="zh-CN"/>
        </w:rPr>
        <w:t>（</w:t>
      </w:r>
      <w:r>
        <w:rPr>
          <w:rFonts w:hint="default"/>
          <w:sz w:val="21"/>
          <w:szCs w:val="21"/>
          <w:lang w:val="en-US" w:eastAsia="zh-CN"/>
        </w:rPr>
        <w:t>单</w:t>
      </w:r>
      <w:r>
        <w:rPr>
          <w:rFonts w:hint="eastAsia"/>
          <w:sz w:val="21"/>
          <w:szCs w:val="21"/>
          <w:lang w:val="en-US" w:eastAsia="zh-CN"/>
        </w:rPr>
        <w:t>点</w:t>
      </w:r>
      <w:r>
        <w:rPr>
          <w:rFonts w:hint="default"/>
          <w:sz w:val="21"/>
          <w:szCs w:val="21"/>
          <w:lang w:val="en-US" w:eastAsia="zh-CN"/>
        </w:rPr>
        <w:t>大于5kN</w:t>
      </w:r>
      <w:r>
        <w:rPr>
          <w:rFonts w:hint="eastAsia"/>
          <w:sz w:val="21"/>
          <w:szCs w:val="21"/>
          <w:lang w:val="en-US" w:eastAsia="zh-CN"/>
        </w:rPr>
        <w:t>）</w:t>
      </w:r>
      <w:r>
        <w:rPr>
          <w:rFonts w:hint="default"/>
          <w:sz w:val="21"/>
          <w:szCs w:val="21"/>
          <w:lang w:val="en-US" w:eastAsia="zh-CN"/>
        </w:rPr>
        <w:t>或开洞</w:t>
      </w:r>
      <w:r>
        <w:rPr>
          <w:rFonts w:hint="eastAsia"/>
          <w:sz w:val="21"/>
          <w:szCs w:val="21"/>
          <w:lang w:val="en-US" w:eastAsia="zh-CN"/>
        </w:rPr>
        <w:t>尺寸</w:t>
      </w:r>
      <w:r>
        <w:rPr>
          <w:rFonts w:hint="default"/>
          <w:sz w:val="21"/>
          <w:szCs w:val="21"/>
          <w:lang w:val="en-US" w:eastAsia="zh-CN"/>
        </w:rPr>
        <w:t>大于1.5倍板厚时，跨高比宜取下限</w:t>
      </w:r>
      <w:r>
        <w:rPr>
          <w:rFonts w:hint="eastAsia"/>
          <w:sz w:val="21"/>
          <w:szCs w:val="21"/>
          <w:lang w:val="en-US" w:eastAsia="zh-CN"/>
        </w:rPr>
        <w:t>；</w:t>
      </w:r>
    </w:p>
    <w:p>
      <w:pPr>
        <w:pStyle w:val="21"/>
        <w:bidi w:val="0"/>
        <w:ind w:firstLine="840" w:firstLineChars="400"/>
        <w:rPr>
          <w:rFonts w:hint="eastAsia"/>
          <w:sz w:val="21"/>
          <w:szCs w:val="21"/>
          <w:lang w:val="en-US" w:eastAsia="zh-CN"/>
        </w:rPr>
      </w:pPr>
      <w:r>
        <w:rPr>
          <w:rFonts w:hint="eastAsia"/>
          <w:sz w:val="21"/>
          <w:szCs w:val="21"/>
          <w:lang w:val="en-US" w:eastAsia="zh-CN"/>
        </w:rPr>
        <w:t xml:space="preserve">3 </w:t>
      </w:r>
      <w:r>
        <w:rPr>
          <w:rFonts w:hint="default"/>
          <w:sz w:val="21"/>
          <w:szCs w:val="21"/>
          <w:lang w:val="en-US" w:eastAsia="zh-CN"/>
        </w:rPr>
        <w:t>如有可靠经验且满足设计要求时，可适当放宽跨度限值</w:t>
      </w:r>
      <w:r>
        <w:rPr>
          <w:rFonts w:hint="eastAsia"/>
          <w:sz w:val="21"/>
          <w:szCs w:val="21"/>
          <w:lang w:val="en-US" w:eastAsia="zh-CN"/>
        </w:rPr>
        <w:t>。</w:t>
      </w:r>
    </w:p>
    <w:p>
      <w:pPr>
        <w:pStyle w:val="21"/>
        <w:bidi w:val="0"/>
        <w:ind w:left="0" w:leftChars="0" w:firstLine="0" w:firstLineChars="0"/>
        <w:rPr>
          <w:rFonts w:hint="default"/>
          <w:sz w:val="21"/>
          <w:szCs w:val="21"/>
          <w:u w:val="single"/>
          <w:lang w:val="en-US" w:eastAsia="zh-CN"/>
        </w:rPr>
      </w:pPr>
      <w:r>
        <w:rPr>
          <w:rFonts w:hint="eastAsia"/>
          <w:u w:val="single"/>
          <w:lang w:val="en-US" w:eastAsia="zh-CN"/>
        </w:rPr>
        <w:t>【</w:t>
      </w:r>
      <w:r>
        <w:rPr>
          <w:rFonts w:hint="default"/>
          <w:u w:val="single"/>
          <w:lang w:val="en-US" w:eastAsia="zh-CN"/>
        </w:rPr>
        <w:t>条文说明</w:t>
      </w:r>
      <w:r>
        <w:rPr>
          <w:rFonts w:hint="eastAsia"/>
          <w:u w:val="single"/>
          <w:lang w:val="en-US" w:eastAsia="zh-CN"/>
        </w:rPr>
        <w:t>】5.5.3 空心叠合楼盖的适用跨度和跨高比是根据工程经验得到，并参考</w:t>
      </w:r>
      <w:r>
        <w:rPr>
          <w:rFonts w:hint="default"/>
          <w:u w:val="single"/>
          <w:lang w:val="en-US" w:eastAsia="zh-CN"/>
        </w:rPr>
        <w:t>现行国家标准</w:t>
      </w:r>
      <w:r>
        <w:rPr>
          <w:rFonts w:hint="eastAsia"/>
          <w:u w:val="single"/>
          <w:lang w:val="en-US" w:eastAsia="zh-CN"/>
        </w:rPr>
        <w:t>《装配箱混凝土空心楼盖结构技术规程》JGJ/T 207、</w:t>
      </w:r>
      <w:r>
        <w:rPr>
          <w:rFonts w:hint="default"/>
          <w:u w:val="single"/>
          <w:lang w:val="en-US" w:eastAsia="zh-CN"/>
        </w:rPr>
        <w:t>《现浇混凝土空心楼盖技术规程》JGJ/T 268</w:t>
      </w:r>
      <w:r>
        <w:rPr>
          <w:rFonts w:hint="eastAsia"/>
          <w:u w:val="single"/>
          <w:lang w:val="en-US" w:eastAsia="zh-CN"/>
        </w:rPr>
        <w:t>的要求提出。实际工程应用时，会受到荷载大小、叠合板厚度、周边梁的约束条件等等的影响。另外，实际工程应用时，局部小跨度楼板也可统一采用空心叠合板技术</w:t>
      </w:r>
      <w:r>
        <w:rPr>
          <w:rFonts w:hint="default"/>
          <w:u w:val="single"/>
          <w:lang w:val="en-US" w:eastAsia="zh-CN"/>
        </w:rPr>
        <w:t>。</w:t>
      </w:r>
    </w:p>
    <w:p>
      <w:pPr>
        <w:numPr>
          <w:ilvl w:val="2"/>
          <w:numId w:val="1"/>
        </w:numPr>
        <w:bidi w:val="0"/>
        <w:rPr>
          <w:rFonts w:hint="default"/>
          <w:lang w:val="en-US" w:eastAsia="zh-CN"/>
        </w:rPr>
      </w:pPr>
      <w:r>
        <w:rPr>
          <w:rFonts w:hint="eastAsia"/>
          <w:lang w:val="en-US" w:eastAsia="zh-CN"/>
        </w:rPr>
        <w:t>空心叠合板支座处，箱型</w:t>
      </w:r>
      <w:r>
        <w:rPr>
          <w:rFonts w:hint="default"/>
          <w:lang w:val="en-US" w:eastAsia="zh-CN"/>
        </w:rPr>
        <w:t>填充体与</w:t>
      </w:r>
      <w:r>
        <w:rPr>
          <w:rFonts w:hint="eastAsia"/>
          <w:lang w:val="en-US" w:eastAsia="zh-CN"/>
        </w:rPr>
        <w:t>水平</w:t>
      </w:r>
      <w:r>
        <w:rPr>
          <w:rFonts w:hint="default"/>
          <w:lang w:val="en-US" w:eastAsia="zh-CN"/>
        </w:rPr>
        <w:t>支承构件</w:t>
      </w:r>
      <w:r>
        <w:rPr>
          <w:rFonts w:hint="eastAsia"/>
          <w:lang w:val="en-US" w:eastAsia="zh-CN"/>
        </w:rPr>
        <w:t>框架梁、暗梁、剪力墙</w:t>
      </w:r>
      <w:r>
        <w:rPr>
          <w:rFonts w:hint="default"/>
          <w:lang w:val="en-US" w:eastAsia="zh-CN"/>
        </w:rPr>
        <w:t>间</w:t>
      </w:r>
      <w:r>
        <w:rPr>
          <w:rFonts w:hint="eastAsia"/>
          <w:lang w:val="en-US" w:eastAsia="zh-CN"/>
        </w:rPr>
        <w:t>宜</w:t>
      </w:r>
      <w:r>
        <w:rPr>
          <w:rFonts w:hint="default"/>
          <w:lang w:val="en-US" w:eastAsia="zh-CN"/>
        </w:rPr>
        <w:t>设置实心</w:t>
      </w:r>
      <w:r>
        <w:rPr>
          <w:rFonts w:hint="eastAsia"/>
          <w:lang w:val="en-US" w:eastAsia="zh-CN"/>
        </w:rPr>
        <w:t>区域</w:t>
      </w:r>
      <w:r>
        <w:rPr>
          <w:rFonts w:hint="default"/>
          <w:lang w:val="en-US" w:eastAsia="zh-CN"/>
        </w:rPr>
        <w:t>，实心</w:t>
      </w:r>
      <w:r>
        <w:rPr>
          <w:rFonts w:hint="eastAsia"/>
          <w:lang w:val="en-US" w:eastAsia="zh-CN"/>
        </w:rPr>
        <w:t>区域的</w:t>
      </w:r>
      <w:r>
        <w:rPr>
          <w:rFonts w:hint="default"/>
          <w:lang w:val="en-US" w:eastAsia="zh-CN"/>
        </w:rPr>
        <w:t>宽度应满足板的受剪承载力要求，</w:t>
      </w:r>
      <w:r>
        <w:rPr>
          <w:rFonts w:hint="eastAsia"/>
          <w:lang w:val="en-US" w:eastAsia="zh-CN"/>
        </w:rPr>
        <w:t>并且</w:t>
      </w:r>
      <w:r>
        <w:rPr>
          <w:rFonts w:hint="default"/>
          <w:lang w:val="en-US" w:eastAsia="zh-CN"/>
        </w:rPr>
        <w:t>从支承边起不宜小于0.20倍板</w:t>
      </w:r>
      <w:r>
        <w:rPr>
          <w:rFonts w:hint="eastAsia"/>
          <w:lang w:val="en-US" w:eastAsia="zh-CN"/>
        </w:rPr>
        <w:t>厚</w:t>
      </w:r>
      <w:r>
        <w:rPr>
          <w:rFonts w:hint="default"/>
          <w:lang w:val="en-US" w:eastAsia="zh-CN"/>
        </w:rPr>
        <w:t>，且不应小于50</w:t>
      </w:r>
      <w:r>
        <w:rPr>
          <w:rFonts w:hint="eastAsia"/>
          <w:lang w:val="en-US" w:eastAsia="zh-CN"/>
        </w:rPr>
        <w:t>m</w:t>
      </w:r>
      <w:r>
        <w:rPr>
          <w:rFonts w:hint="default"/>
          <w:lang w:val="en-US" w:eastAsia="zh-CN"/>
        </w:rPr>
        <w:t>m</w:t>
      </w:r>
      <w:r>
        <w:rPr>
          <w:rFonts w:hint="eastAsia"/>
          <w:lang w:val="en-US" w:eastAsia="zh-CN"/>
        </w:rPr>
        <w:t>（</w:t>
      </w:r>
      <w:r>
        <w:rPr>
          <w:rFonts w:hint="default"/>
          <w:lang w:val="en-US" w:eastAsia="zh-CN"/>
        </w:rPr>
        <w:t>图</w:t>
      </w:r>
      <w:r>
        <w:rPr>
          <w:rFonts w:hint="eastAsia"/>
          <w:lang w:val="en-US" w:eastAsia="zh-CN"/>
        </w:rPr>
        <w:t>5.5.4）。</w:t>
      </w:r>
    </w:p>
    <w:p>
      <w:pPr>
        <w:pStyle w:val="21"/>
        <w:bidi w:val="0"/>
        <w:jc w:val="center"/>
      </w:pPr>
      <w:r>
        <mc:AlternateContent>
          <mc:Choice Requires="wpg">
            <w:drawing>
              <wp:inline distT="0" distB="0" distL="114300" distR="114300">
                <wp:extent cx="1662430" cy="1038225"/>
                <wp:effectExtent l="1905" t="635" r="12065" b="8890"/>
                <wp:docPr id="893" name="组合 893"/>
                <wp:cNvGraphicFramePr/>
                <a:graphic xmlns:a="http://schemas.openxmlformats.org/drawingml/2006/main">
                  <a:graphicData uri="http://schemas.microsoft.com/office/word/2010/wordprocessingGroup">
                    <wpg:wgp>
                      <wpg:cNvGrpSpPr/>
                      <wpg:grpSpPr>
                        <a:xfrm>
                          <a:off x="0" y="0"/>
                          <a:ext cx="1662430" cy="1038225"/>
                          <a:chOff x="2738" y="398"/>
                          <a:chExt cx="2378" cy="1351"/>
                        </a:xfrm>
                      </wpg:grpSpPr>
                      <wps:wsp>
                        <wps:cNvPr id="610" name="矩形 610"/>
                        <wps:cNvSpPr/>
                        <wps:spPr>
                          <a:xfrm>
                            <a:off x="3354" y="705"/>
                            <a:ext cx="2" cy="2"/>
                          </a:xfrm>
                          <a:prstGeom prst="rect">
                            <a:avLst/>
                          </a:prstGeom>
                          <a:solidFill>
                            <a:srgbClr val="000000"/>
                          </a:solidFill>
                          <a:ln>
                            <a:noFill/>
                          </a:ln>
                        </wps:spPr>
                        <wps:bodyPr upright="1"/>
                      </wps:wsp>
                      <wps:wsp>
                        <wps:cNvPr id="611" name="矩形 611"/>
                        <wps:cNvSpPr/>
                        <wps:spPr>
                          <a:xfrm>
                            <a:off x="3403" y="680"/>
                            <a:ext cx="2" cy="2"/>
                          </a:xfrm>
                          <a:prstGeom prst="rect">
                            <a:avLst/>
                          </a:prstGeom>
                          <a:solidFill>
                            <a:srgbClr val="000000"/>
                          </a:solidFill>
                          <a:ln>
                            <a:noFill/>
                          </a:ln>
                        </wps:spPr>
                        <wps:bodyPr upright="1"/>
                      </wps:wsp>
                      <wps:wsp>
                        <wps:cNvPr id="612" name="矩形 612"/>
                        <wps:cNvSpPr/>
                        <wps:spPr>
                          <a:xfrm>
                            <a:off x="3379" y="661"/>
                            <a:ext cx="2" cy="2"/>
                          </a:xfrm>
                          <a:prstGeom prst="rect">
                            <a:avLst/>
                          </a:prstGeom>
                          <a:solidFill>
                            <a:srgbClr val="000000"/>
                          </a:solidFill>
                          <a:ln>
                            <a:noFill/>
                          </a:ln>
                        </wps:spPr>
                        <wps:bodyPr upright="1"/>
                      </wps:wsp>
                      <wps:wsp>
                        <wps:cNvPr id="613" name="矩形 613"/>
                        <wps:cNvSpPr/>
                        <wps:spPr>
                          <a:xfrm>
                            <a:off x="3462" y="714"/>
                            <a:ext cx="2" cy="2"/>
                          </a:xfrm>
                          <a:prstGeom prst="rect">
                            <a:avLst/>
                          </a:prstGeom>
                          <a:solidFill>
                            <a:srgbClr val="000000"/>
                          </a:solidFill>
                          <a:ln>
                            <a:noFill/>
                          </a:ln>
                        </wps:spPr>
                        <wps:bodyPr upright="1"/>
                      </wps:wsp>
                      <wps:wsp>
                        <wps:cNvPr id="614" name="矩形 614"/>
                        <wps:cNvSpPr/>
                        <wps:spPr>
                          <a:xfrm>
                            <a:off x="3356" y="615"/>
                            <a:ext cx="2" cy="2"/>
                          </a:xfrm>
                          <a:prstGeom prst="rect">
                            <a:avLst/>
                          </a:prstGeom>
                          <a:solidFill>
                            <a:srgbClr val="000000"/>
                          </a:solidFill>
                          <a:ln>
                            <a:noFill/>
                          </a:ln>
                        </wps:spPr>
                        <wps:bodyPr upright="1"/>
                      </wps:wsp>
                      <wps:wsp>
                        <wps:cNvPr id="615" name="矩形 615"/>
                        <wps:cNvSpPr/>
                        <wps:spPr>
                          <a:xfrm>
                            <a:off x="3450" y="701"/>
                            <a:ext cx="2" cy="2"/>
                          </a:xfrm>
                          <a:prstGeom prst="rect">
                            <a:avLst/>
                          </a:prstGeom>
                          <a:solidFill>
                            <a:srgbClr val="000000"/>
                          </a:solidFill>
                          <a:ln>
                            <a:noFill/>
                          </a:ln>
                        </wps:spPr>
                        <wps:bodyPr upright="1"/>
                      </wps:wsp>
                      <wps:wsp>
                        <wps:cNvPr id="616" name="矩形 616"/>
                        <wps:cNvSpPr/>
                        <wps:spPr>
                          <a:xfrm>
                            <a:off x="3254" y="700"/>
                            <a:ext cx="2" cy="2"/>
                          </a:xfrm>
                          <a:prstGeom prst="rect">
                            <a:avLst/>
                          </a:prstGeom>
                          <a:solidFill>
                            <a:srgbClr val="000000"/>
                          </a:solidFill>
                          <a:ln>
                            <a:noFill/>
                          </a:ln>
                        </wps:spPr>
                        <wps:bodyPr upright="1"/>
                      </wps:wsp>
                      <wps:wsp>
                        <wps:cNvPr id="617" name="矩形 617"/>
                        <wps:cNvSpPr/>
                        <wps:spPr>
                          <a:xfrm>
                            <a:off x="3253" y="705"/>
                            <a:ext cx="2" cy="2"/>
                          </a:xfrm>
                          <a:prstGeom prst="rect">
                            <a:avLst/>
                          </a:prstGeom>
                          <a:solidFill>
                            <a:srgbClr val="000000"/>
                          </a:solidFill>
                          <a:ln>
                            <a:noFill/>
                          </a:ln>
                        </wps:spPr>
                        <wps:bodyPr upright="1"/>
                      </wps:wsp>
                      <wps:wsp>
                        <wps:cNvPr id="618" name="矩形 618"/>
                        <wps:cNvSpPr/>
                        <wps:spPr>
                          <a:xfrm>
                            <a:off x="3221" y="741"/>
                            <a:ext cx="2" cy="2"/>
                          </a:xfrm>
                          <a:prstGeom prst="rect">
                            <a:avLst/>
                          </a:prstGeom>
                          <a:solidFill>
                            <a:srgbClr val="000000"/>
                          </a:solidFill>
                          <a:ln>
                            <a:noFill/>
                          </a:ln>
                        </wps:spPr>
                        <wps:bodyPr upright="1"/>
                      </wps:wsp>
                      <wps:wsp>
                        <wps:cNvPr id="619" name="直接连接符 619"/>
                        <wps:cNvCnPr/>
                        <wps:spPr>
                          <a:xfrm flipV="1">
                            <a:off x="3206" y="616"/>
                            <a:ext cx="71" cy="71"/>
                          </a:xfrm>
                          <a:prstGeom prst="line">
                            <a:avLst/>
                          </a:prstGeom>
                          <a:ln w="0" cap="flat" cmpd="sng">
                            <a:solidFill>
                              <a:srgbClr val="000000"/>
                            </a:solidFill>
                            <a:prstDash val="solid"/>
                            <a:headEnd type="none" w="med" len="med"/>
                            <a:tailEnd type="none" w="med" len="med"/>
                          </a:ln>
                        </wps:spPr>
                        <wps:bodyPr upright="1"/>
                      </wps:wsp>
                      <wps:wsp>
                        <wps:cNvPr id="620" name="直接连接符 620"/>
                        <wps:cNvCnPr/>
                        <wps:spPr>
                          <a:xfrm flipV="1">
                            <a:off x="3209" y="616"/>
                            <a:ext cx="207" cy="207"/>
                          </a:xfrm>
                          <a:prstGeom prst="line">
                            <a:avLst/>
                          </a:prstGeom>
                          <a:ln w="0" cap="flat" cmpd="sng">
                            <a:solidFill>
                              <a:srgbClr val="000000"/>
                            </a:solidFill>
                            <a:prstDash val="solid"/>
                            <a:headEnd type="none" w="med" len="med"/>
                            <a:tailEnd type="none" w="med" len="med"/>
                          </a:ln>
                        </wps:spPr>
                        <wps:bodyPr upright="1"/>
                      </wps:wsp>
                      <wps:wsp>
                        <wps:cNvPr id="621" name="矩形 621"/>
                        <wps:cNvSpPr/>
                        <wps:spPr>
                          <a:xfrm>
                            <a:off x="3557" y="676"/>
                            <a:ext cx="2" cy="2"/>
                          </a:xfrm>
                          <a:prstGeom prst="rect">
                            <a:avLst/>
                          </a:prstGeom>
                          <a:solidFill>
                            <a:srgbClr val="000000"/>
                          </a:solidFill>
                          <a:ln>
                            <a:noFill/>
                          </a:ln>
                        </wps:spPr>
                        <wps:bodyPr upright="1"/>
                      </wps:wsp>
                      <wps:wsp>
                        <wps:cNvPr id="622" name="矩形 622"/>
                        <wps:cNvSpPr/>
                        <wps:spPr>
                          <a:xfrm>
                            <a:off x="3651" y="647"/>
                            <a:ext cx="2" cy="2"/>
                          </a:xfrm>
                          <a:prstGeom prst="rect">
                            <a:avLst/>
                          </a:prstGeom>
                          <a:solidFill>
                            <a:srgbClr val="000000"/>
                          </a:solidFill>
                          <a:ln>
                            <a:noFill/>
                          </a:ln>
                        </wps:spPr>
                        <wps:bodyPr upright="1"/>
                      </wps:wsp>
                      <wps:wsp>
                        <wps:cNvPr id="623" name="矩形 623"/>
                        <wps:cNvSpPr/>
                        <wps:spPr>
                          <a:xfrm>
                            <a:off x="3589" y="670"/>
                            <a:ext cx="2" cy="2"/>
                          </a:xfrm>
                          <a:prstGeom prst="rect">
                            <a:avLst/>
                          </a:prstGeom>
                          <a:solidFill>
                            <a:srgbClr val="000000"/>
                          </a:solidFill>
                          <a:ln>
                            <a:noFill/>
                          </a:ln>
                        </wps:spPr>
                        <wps:bodyPr upright="1"/>
                      </wps:wsp>
                      <wps:wsp>
                        <wps:cNvPr id="624" name="矩形 624"/>
                        <wps:cNvSpPr/>
                        <wps:spPr>
                          <a:xfrm>
                            <a:off x="3646" y="790"/>
                            <a:ext cx="2" cy="2"/>
                          </a:xfrm>
                          <a:prstGeom prst="rect">
                            <a:avLst/>
                          </a:prstGeom>
                          <a:solidFill>
                            <a:srgbClr val="000000"/>
                          </a:solidFill>
                          <a:ln>
                            <a:noFill/>
                          </a:ln>
                        </wps:spPr>
                        <wps:bodyPr upright="1"/>
                      </wps:wsp>
                      <wps:wsp>
                        <wps:cNvPr id="625" name="矩形 625"/>
                        <wps:cNvSpPr/>
                        <wps:spPr>
                          <a:xfrm>
                            <a:off x="3671" y="723"/>
                            <a:ext cx="2" cy="2"/>
                          </a:xfrm>
                          <a:prstGeom prst="rect">
                            <a:avLst/>
                          </a:prstGeom>
                          <a:solidFill>
                            <a:srgbClr val="000000"/>
                          </a:solidFill>
                          <a:ln>
                            <a:noFill/>
                          </a:ln>
                        </wps:spPr>
                        <wps:bodyPr upright="1"/>
                      </wps:wsp>
                      <wps:wsp>
                        <wps:cNvPr id="626" name="矩形 626"/>
                        <wps:cNvSpPr/>
                        <wps:spPr>
                          <a:xfrm>
                            <a:off x="3759" y="648"/>
                            <a:ext cx="2" cy="2"/>
                          </a:xfrm>
                          <a:prstGeom prst="rect">
                            <a:avLst/>
                          </a:prstGeom>
                          <a:solidFill>
                            <a:srgbClr val="000000"/>
                          </a:solidFill>
                          <a:ln>
                            <a:noFill/>
                          </a:ln>
                        </wps:spPr>
                        <wps:bodyPr upright="1"/>
                      </wps:wsp>
                      <wps:wsp>
                        <wps:cNvPr id="627" name="矩形 627"/>
                        <wps:cNvSpPr/>
                        <wps:spPr>
                          <a:xfrm>
                            <a:off x="3749" y="634"/>
                            <a:ext cx="2" cy="2"/>
                          </a:xfrm>
                          <a:prstGeom prst="rect">
                            <a:avLst/>
                          </a:prstGeom>
                          <a:solidFill>
                            <a:srgbClr val="000000"/>
                          </a:solidFill>
                          <a:ln>
                            <a:noFill/>
                          </a:ln>
                        </wps:spPr>
                        <wps:bodyPr upright="1"/>
                      </wps:wsp>
                      <wps:wsp>
                        <wps:cNvPr id="628" name="矩形 628"/>
                        <wps:cNvSpPr/>
                        <wps:spPr>
                          <a:xfrm>
                            <a:off x="3798" y="679"/>
                            <a:ext cx="2" cy="2"/>
                          </a:xfrm>
                          <a:prstGeom prst="rect">
                            <a:avLst/>
                          </a:prstGeom>
                          <a:solidFill>
                            <a:srgbClr val="000000"/>
                          </a:solidFill>
                          <a:ln>
                            <a:noFill/>
                          </a:ln>
                        </wps:spPr>
                        <wps:bodyPr upright="1"/>
                      </wps:wsp>
                      <wps:wsp>
                        <wps:cNvPr id="629" name="矩形 629"/>
                        <wps:cNvSpPr/>
                        <wps:spPr>
                          <a:xfrm>
                            <a:off x="3679" y="662"/>
                            <a:ext cx="2" cy="2"/>
                          </a:xfrm>
                          <a:prstGeom prst="rect">
                            <a:avLst/>
                          </a:prstGeom>
                          <a:solidFill>
                            <a:srgbClr val="000000"/>
                          </a:solidFill>
                          <a:ln>
                            <a:noFill/>
                          </a:ln>
                        </wps:spPr>
                        <wps:bodyPr upright="1"/>
                      </wps:wsp>
                      <wps:wsp>
                        <wps:cNvPr id="630" name="矩形 630"/>
                        <wps:cNvSpPr/>
                        <wps:spPr>
                          <a:xfrm>
                            <a:off x="3754" y="780"/>
                            <a:ext cx="2" cy="2"/>
                          </a:xfrm>
                          <a:prstGeom prst="rect">
                            <a:avLst/>
                          </a:prstGeom>
                          <a:solidFill>
                            <a:srgbClr val="000000"/>
                          </a:solidFill>
                          <a:ln>
                            <a:noFill/>
                          </a:ln>
                        </wps:spPr>
                        <wps:bodyPr upright="1"/>
                      </wps:wsp>
                      <wps:wsp>
                        <wps:cNvPr id="631" name="矩形 631"/>
                        <wps:cNvSpPr/>
                        <wps:spPr>
                          <a:xfrm>
                            <a:off x="3794" y="770"/>
                            <a:ext cx="2" cy="2"/>
                          </a:xfrm>
                          <a:prstGeom prst="rect">
                            <a:avLst/>
                          </a:prstGeom>
                          <a:solidFill>
                            <a:srgbClr val="000000"/>
                          </a:solidFill>
                          <a:ln>
                            <a:noFill/>
                          </a:ln>
                        </wps:spPr>
                        <wps:bodyPr upright="1"/>
                      </wps:wsp>
                      <wps:wsp>
                        <wps:cNvPr id="632" name="矩形 632"/>
                        <wps:cNvSpPr/>
                        <wps:spPr>
                          <a:xfrm>
                            <a:off x="3881" y="732"/>
                            <a:ext cx="2" cy="2"/>
                          </a:xfrm>
                          <a:prstGeom prst="rect">
                            <a:avLst/>
                          </a:prstGeom>
                          <a:solidFill>
                            <a:srgbClr val="000000"/>
                          </a:solidFill>
                          <a:ln>
                            <a:noFill/>
                          </a:ln>
                        </wps:spPr>
                        <wps:bodyPr upright="1"/>
                      </wps:wsp>
                      <wps:wsp>
                        <wps:cNvPr id="633" name="矩形 633"/>
                        <wps:cNvSpPr/>
                        <wps:spPr>
                          <a:xfrm>
                            <a:off x="3829" y="800"/>
                            <a:ext cx="2" cy="2"/>
                          </a:xfrm>
                          <a:prstGeom prst="rect">
                            <a:avLst/>
                          </a:prstGeom>
                          <a:solidFill>
                            <a:srgbClr val="000000"/>
                          </a:solidFill>
                          <a:ln>
                            <a:noFill/>
                          </a:ln>
                        </wps:spPr>
                        <wps:bodyPr upright="1"/>
                      </wps:wsp>
                      <wps:wsp>
                        <wps:cNvPr id="634" name="矩形 634"/>
                        <wps:cNvSpPr/>
                        <wps:spPr>
                          <a:xfrm>
                            <a:off x="3553" y="807"/>
                            <a:ext cx="2" cy="2"/>
                          </a:xfrm>
                          <a:prstGeom prst="rect">
                            <a:avLst/>
                          </a:prstGeom>
                          <a:solidFill>
                            <a:srgbClr val="000000"/>
                          </a:solidFill>
                          <a:ln>
                            <a:noFill/>
                          </a:ln>
                        </wps:spPr>
                        <wps:bodyPr upright="1"/>
                      </wps:wsp>
                      <wps:wsp>
                        <wps:cNvPr id="635" name="矩形 635"/>
                        <wps:cNvSpPr/>
                        <wps:spPr>
                          <a:xfrm>
                            <a:off x="3548" y="803"/>
                            <a:ext cx="2" cy="2"/>
                          </a:xfrm>
                          <a:prstGeom prst="rect">
                            <a:avLst/>
                          </a:prstGeom>
                          <a:solidFill>
                            <a:srgbClr val="000000"/>
                          </a:solidFill>
                          <a:ln>
                            <a:noFill/>
                          </a:ln>
                        </wps:spPr>
                        <wps:bodyPr upright="1"/>
                      </wps:wsp>
                      <wps:wsp>
                        <wps:cNvPr id="636" name="矩形 636"/>
                        <wps:cNvSpPr/>
                        <wps:spPr>
                          <a:xfrm>
                            <a:off x="3600" y="839"/>
                            <a:ext cx="2" cy="2"/>
                          </a:xfrm>
                          <a:prstGeom prst="rect">
                            <a:avLst/>
                          </a:prstGeom>
                          <a:solidFill>
                            <a:srgbClr val="000000"/>
                          </a:solidFill>
                          <a:ln>
                            <a:noFill/>
                          </a:ln>
                        </wps:spPr>
                        <wps:bodyPr upright="1"/>
                      </wps:wsp>
                      <wps:wsp>
                        <wps:cNvPr id="637" name="直接连接符 637"/>
                        <wps:cNvCnPr/>
                        <wps:spPr>
                          <a:xfrm flipV="1">
                            <a:off x="3348" y="616"/>
                            <a:ext cx="206" cy="207"/>
                          </a:xfrm>
                          <a:prstGeom prst="line">
                            <a:avLst/>
                          </a:prstGeom>
                          <a:ln w="0" cap="flat" cmpd="sng">
                            <a:solidFill>
                              <a:srgbClr val="000000"/>
                            </a:solidFill>
                            <a:prstDash val="solid"/>
                            <a:headEnd type="none" w="med" len="med"/>
                            <a:tailEnd type="none" w="med" len="med"/>
                          </a:ln>
                        </wps:spPr>
                        <wps:bodyPr upright="1"/>
                      </wps:wsp>
                      <wps:wsp>
                        <wps:cNvPr id="638" name="矩形 638"/>
                        <wps:cNvSpPr/>
                        <wps:spPr>
                          <a:xfrm>
                            <a:off x="3749" y="911"/>
                            <a:ext cx="2" cy="2"/>
                          </a:xfrm>
                          <a:prstGeom prst="rect">
                            <a:avLst/>
                          </a:prstGeom>
                          <a:solidFill>
                            <a:srgbClr val="000000"/>
                          </a:solidFill>
                          <a:ln>
                            <a:noFill/>
                          </a:ln>
                        </wps:spPr>
                        <wps:bodyPr upright="1"/>
                      </wps:wsp>
                      <wps:wsp>
                        <wps:cNvPr id="639" name="矩形 639"/>
                        <wps:cNvSpPr/>
                        <wps:spPr>
                          <a:xfrm>
                            <a:off x="3691" y="925"/>
                            <a:ext cx="2" cy="2"/>
                          </a:xfrm>
                          <a:prstGeom prst="rect">
                            <a:avLst/>
                          </a:prstGeom>
                          <a:solidFill>
                            <a:srgbClr val="000000"/>
                          </a:solidFill>
                          <a:ln>
                            <a:noFill/>
                          </a:ln>
                        </wps:spPr>
                        <wps:bodyPr upright="1"/>
                      </wps:wsp>
                      <wps:wsp>
                        <wps:cNvPr id="640" name="矩形 640"/>
                        <wps:cNvSpPr/>
                        <wps:spPr>
                          <a:xfrm>
                            <a:off x="3720" y="879"/>
                            <a:ext cx="2" cy="2"/>
                          </a:xfrm>
                          <a:prstGeom prst="rect">
                            <a:avLst/>
                          </a:prstGeom>
                          <a:solidFill>
                            <a:srgbClr val="000000"/>
                          </a:solidFill>
                          <a:ln>
                            <a:noFill/>
                          </a:ln>
                        </wps:spPr>
                        <wps:bodyPr upright="1"/>
                      </wps:wsp>
                      <wps:wsp>
                        <wps:cNvPr id="641" name="直接连接符 641"/>
                        <wps:cNvCnPr/>
                        <wps:spPr>
                          <a:xfrm flipV="1">
                            <a:off x="3486" y="616"/>
                            <a:ext cx="207" cy="207"/>
                          </a:xfrm>
                          <a:prstGeom prst="line">
                            <a:avLst/>
                          </a:prstGeom>
                          <a:ln w="0" cap="flat" cmpd="sng">
                            <a:solidFill>
                              <a:srgbClr val="000000"/>
                            </a:solidFill>
                            <a:prstDash val="solid"/>
                            <a:headEnd type="none" w="med" len="med"/>
                            <a:tailEnd type="none" w="med" len="med"/>
                          </a:ln>
                        </wps:spPr>
                        <wps:bodyPr upright="1"/>
                      </wps:wsp>
                      <wps:wsp>
                        <wps:cNvPr id="642" name="矩形 642"/>
                        <wps:cNvSpPr/>
                        <wps:spPr>
                          <a:xfrm>
                            <a:off x="3548" y="938"/>
                            <a:ext cx="2" cy="2"/>
                          </a:xfrm>
                          <a:prstGeom prst="rect">
                            <a:avLst/>
                          </a:prstGeom>
                          <a:solidFill>
                            <a:srgbClr val="000000"/>
                          </a:solidFill>
                          <a:ln>
                            <a:noFill/>
                          </a:ln>
                        </wps:spPr>
                        <wps:bodyPr upright="1"/>
                      </wps:wsp>
                      <wps:wsp>
                        <wps:cNvPr id="643" name="矩形 643"/>
                        <wps:cNvSpPr/>
                        <wps:spPr>
                          <a:xfrm>
                            <a:off x="3542" y="945"/>
                            <a:ext cx="2" cy="2"/>
                          </a:xfrm>
                          <a:prstGeom prst="rect">
                            <a:avLst/>
                          </a:prstGeom>
                          <a:solidFill>
                            <a:srgbClr val="000000"/>
                          </a:solidFill>
                          <a:ln>
                            <a:noFill/>
                          </a:ln>
                        </wps:spPr>
                        <wps:bodyPr upright="1"/>
                      </wps:wsp>
                      <wps:wsp>
                        <wps:cNvPr id="644" name="直接连接符 644"/>
                        <wps:cNvCnPr/>
                        <wps:spPr>
                          <a:xfrm flipV="1">
                            <a:off x="3526" y="616"/>
                            <a:ext cx="306" cy="307"/>
                          </a:xfrm>
                          <a:prstGeom prst="line">
                            <a:avLst/>
                          </a:prstGeom>
                          <a:ln w="0" cap="flat" cmpd="sng">
                            <a:solidFill>
                              <a:srgbClr val="000000"/>
                            </a:solidFill>
                            <a:prstDash val="solid"/>
                            <a:headEnd type="none" w="med" len="med"/>
                            <a:tailEnd type="none" w="med" len="med"/>
                          </a:ln>
                        </wps:spPr>
                        <wps:bodyPr upright="1"/>
                      </wps:wsp>
                      <wps:wsp>
                        <wps:cNvPr id="645" name="矩形 645"/>
                        <wps:cNvSpPr/>
                        <wps:spPr>
                          <a:xfrm>
                            <a:off x="3957" y="623"/>
                            <a:ext cx="2" cy="2"/>
                          </a:xfrm>
                          <a:prstGeom prst="rect">
                            <a:avLst/>
                          </a:prstGeom>
                          <a:solidFill>
                            <a:srgbClr val="000000"/>
                          </a:solidFill>
                          <a:ln>
                            <a:noFill/>
                          </a:ln>
                        </wps:spPr>
                        <wps:bodyPr upright="1"/>
                      </wps:wsp>
                      <wps:wsp>
                        <wps:cNvPr id="646" name="矩形 646"/>
                        <wps:cNvSpPr/>
                        <wps:spPr>
                          <a:xfrm>
                            <a:off x="3952" y="754"/>
                            <a:ext cx="2" cy="2"/>
                          </a:xfrm>
                          <a:prstGeom prst="rect">
                            <a:avLst/>
                          </a:prstGeom>
                          <a:solidFill>
                            <a:srgbClr val="000000"/>
                          </a:solidFill>
                          <a:ln>
                            <a:noFill/>
                          </a:ln>
                        </wps:spPr>
                        <wps:bodyPr upright="1"/>
                      </wps:wsp>
                      <wps:wsp>
                        <wps:cNvPr id="647" name="矩形 647"/>
                        <wps:cNvSpPr/>
                        <wps:spPr>
                          <a:xfrm>
                            <a:off x="4042" y="737"/>
                            <a:ext cx="2" cy="2"/>
                          </a:xfrm>
                          <a:prstGeom prst="rect">
                            <a:avLst/>
                          </a:prstGeom>
                          <a:solidFill>
                            <a:srgbClr val="000000"/>
                          </a:solidFill>
                          <a:ln>
                            <a:noFill/>
                          </a:ln>
                        </wps:spPr>
                        <wps:bodyPr upright="1"/>
                      </wps:wsp>
                      <wps:wsp>
                        <wps:cNvPr id="648" name="矩形 648"/>
                        <wps:cNvSpPr/>
                        <wps:spPr>
                          <a:xfrm>
                            <a:off x="4008" y="688"/>
                            <a:ext cx="2" cy="2"/>
                          </a:xfrm>
                          <a:prstGeom prst="rect">
                            <a:avLst/>
                          </a:prstGeom>
                          <a:solidFill>
                            <a:srgbClr val="000000"/>
                          </a:solidFill>
                          <a:ln>
                            <a:noFill/>
                          </a:ln>
                        </wps:spPr>
                        <wps:bodyPr upright="1"/>
                      </wps:wsp>
                      <wps:wsp>
                        <wps:cNvPr id="649" name="矩形 649"/>
                        <wps:cNvSpPr/>
                        <wps:spPr>
                          <a:xfrm>
                            <a:off x="4156" y="725"/>
                            <a:ext cx="2" cy="2"/>
                          </a:xfrm>
                          <a:prstGeom prst="rect">
                            <a:avLst/>
                          </a:prstGeom>
                          <a:solidFill>
                            <a:srgbClr val="000000"/>
                          </a:solidFill>
                          <a:ln>
                            <a:noFill/>
                          </a:ln>
                        </wps:spPr>
                        <wps:bodyPr upright="1"/>
                      </wps:wsp>
                      <wps:wsp>
                        <wps:cNvPr id="650" name="矩形 650"/>
                        <wps:cNvSpPr/>
                        <wps:spPr>
                          <a:xfrm>
                            <a:off x="4140" y="724"/>
                            <a:ext cx="2" cy="2"/>
                          </a:xfrm>
                          <a:prstGeom prst="rect">
                            <a:avLst/>
                          </a:prstGeom>
                          <a:solidFill>
                            <a:srgbClr val="000000"/>
                          </a:solidFill>
                          <a:ln>
                            <a:noFill/>
                          </a:ln>
                        </wps:spPr>
                        <wps:bodyPr upright="1"/>
                      </wps:wsp>
                      <wps:wsp>
                        <wps:cNvPr id="651" name="矩形 651"/>
                        <wps:cNvSpPr/>
                        <wps:spPr>
                          <a:xfrm>
                            <a:off x="4217" y="696"/>
                            <a:ext cx="2" cy="2"/>
                          </a:xfrm>
                          <a:prstGeom prst="rect">
                            <a:avLst/>
                          </a:prstGeom>
                          <a:solidFill>
                            <a:srgbClr val="000000"/>
                          </a:solidFill>
                          <a:ln>
                            <a:noFill/>
                          </a:ln>
                        </wps:spPr>
                        <wps:bodyPr upright="1"/>
                      </wps:wsp>
                      <wps:wsp>
                        <wps:cNvPr id="652" name="矩形 652"/>
                        <wps:cNvSpPr/>
                        <wps:spPr>
                          <a:xfrm>
                            <a:off x="4090" y="740"/>
                            <a:ext cx="2" cy="2"/>
                          </a:xfrm>
                          <a:prstGeom prst="rect">
                            <a:avLst/>
                          </a:prstGeom>
                          <a:solidFill>
                            <a:srgbClr val="000000"/>
                          </a:solidFill>
                          <a:ln>
                            <a:noFill/>
                          </a:ln>
                        </wps:spPr>
                        <wps:bodyPr upright="1"/>
                      </wps:wsp>
                      <wps:wsp>
                        <wps:cNvPr id="653" name="矩形 653"/>
                        <wps:cNvSpPr/>
                        <wps:spPr>
                          <a:xfrm>
                            <a:off x="4357" y="697"/>
                            <a:ext cx="2" cy="2"/>
                          </a:xfrm>
                          <a:prstGeom prst="rect">
                            <a:avLst/>
                          </a:prstGeom>
                          <a:solidFill>
                            <a:srgbClr val="000000"/>
                          </a:solidFill>
                          <a:ln>
                            <a:noFill/>
                          </a:ln>
                        </wps:spPr>
                        <wps:bodyPr upright="1"/>
                      </wps:wsp>
                      <wps:wsp>
                        <wps:cNvPr id="654" name="矩形 654"/>
                        <wps:cNvSpPr/>
                        <wps:spPr>
                          <a:xfrm>
                            <a:off x="4289" y="705"/>
                            <a:ext cx="2" cy="2"/>
                          </a:xfrm>
                          <a:prstGeom prst="rect">
                            <a:avLst/>
                          </a:prstGeom>
                          <a:solidFill>
                            <a:srgbClr val="000000"/>
                          </a:solidFill>
                          <a:ln>
                            <a:noFill/>
                          </a:ln>
                        </wps:spPr>
                        <wps:bodyPr upright="1"/>
                      </wps:wsp>
                      <wps:wsp>
                        <wps:cNvPr id="655" name="矩形 655"/>
                        <wps:cNvSpPr/>
                        <wps:spPr>
                          <a:xfrm>
                            <a:off x="4426" y="705"/>
                            <a:ext cx="2" cy="2"/>
                          </a:xfrm>
                          <a:prstGeom prst="rect">
                            <a:avLst/>
                          </a:prstGeom>
                          <a:solidFill>
                            <a:srgbClr val="000000"/>
                          </a:solidFill>
                          <a:ln>
                            <a:noFill/>
                          </a:ln>
                        </wps:spPr>
                        <wps:bodyPr upright="1"/>
                      </wps:wsp>
                      <wps:wsp>
                        <wps:cNvPr id="656" name="矩形 656"/>
                        <wps:cNvSpPr/>
                        <wps:spPr>
                          <a:xfrm>
                            <a:off x="4300" y="750"/>
                            <a:ext cx="2" cy="2"/>
                          </a:xfrm>
                          <a:prstGeom prst="rect">
                            <a:avLst/>
                          </a:prstGeom>
                          <a:solidFill>
                            <a:srgbClr val="000000"/>
                          </a:solidFill>
                          <a:ln>
                            <a:noFill/>
                          </a:ln>
                        </wps:spPr>
                        <wps:bodyPr upright="1"/>
                      </wps:wsp>
                      <wps:wsp>
                        <wps:cNvPr id="657" name="矩形 657"/>
                        <wps:cNvSpPr/>
                        <wps:spPr>
                          <a:xfrm>
                            <a:off x="4286" y="721"/>
                            <a:ext cx="2" cy="2"/>
                          </a:xfrm>
                          <a:prstGeom prst="rect">
                            <a:avLst/>
                          </a:prstGeom>
                          <a:solidFill>
                            <a:srgbClr val="000000"/>
                          </a:solidFill>
                          <a:ln>
                            <a:noFill/>
                          </a:ln>
                        </wps:spPr>
                        <wps:bodyPr upright="1"/>
                      </wps:wsp>
                      <wps:wsp>
                        <wps:cNvPr id="658" name="矩形 658"/>
                        <wps:cNvSpPr/>
                        <wps:spPr>
                          <a:xfrm>
                            <a:off x="3908" y="623"/>
                            <a:ext cx="2" cy="2"/>
                          </a:xfrm>
                          <a:prstGeom prst="rect">
                            <a:avLst/>
                          </a:prstGeom>
                          <a:solidFill>
                            <a:srgbClr val="000000"/>
                          </a:solidFill>
                          <a:ln>
                            <a:noFill/>
                          </a:ln>
                        </wps:spPr>
                        <wps:bodyPr upright="1"/>
                      </wps:wsp>
                      <wps:wsp>
                        <wps:cNvPr id="659" name="矩形 659"/>
                        <wps:cNvSpPr/>
                        <wps:spPr>
                          <a:xfrm>
                            <a:off x="4057" y="760"/>
                            <a:ext cx="2" cy="2"/>
                          </a:xfrm>
                          <a:prstGeom prst="rect">
                            <a:avLst/>
                          </a:prstGeom>
                          <a:solidFill>
                            <a:srgbClr val="000000"/>
                          </a:solidFill>
                          <a:ln>
                            <a:noFill/>
                          </a:ln>
                        </wps:spPr>
                        <wps:bodyPr upright="1"/>
                      </wps:wsp>
                      <wps:wsp>
                        <wps:cNvPr id="660" name="矩形 660"/>
                        <wps:cNvSpPr/>
                        <wps:spPr>
                          <a:xfrm>
                            <a:off x="3543" y="1069"/>
                            <a:ext cx="2" cy="2"/>
                          </a:xfrm>
                          <a:prstGeom prst="rect">
                            <a:avLst/>
                          </a:prstGeom>
                          <a:solidFill>
                            <a:srgbClr val="000000"/>
                          </a:solidFill>
                          <a:ln>
                            <a:noFill/>
                          </a:ln>
                        </wps:spPr>
                        <wps:bodyPr upright="1"/>
                      </wps:wsp>
                      <wps:wsp>
                        <wps:cNvPr id="661" name="矩形 661"/>
                        <wps:cNvSpPr/>
                        <wps:spPr>
                          <a:xfrm>
                            <a:off x="3588" y="1081"/>
                            <a:ext cx="2" cy="2"/>
                          </a:xfrm>
                          <a:prstGeom prst="rect">
                            <a:avLst/>
                          </a:prstGeom>
                          <a:solidFill>
                            <a:srgbClr val="000000"/>
                          </a:solidFill>
                          <a:ln>
                            <a:noFill/>
                          </a:ln>
                        </wps:spPr>
                        <wps:bodyPr upright="1"/>
                      </wps:wsp>
                      <wps:wsp>
                        <wps:cNvPr id="662" name="矩形 662"/>
                        <wps:cNvSpPr/>
                        <wps:spPr>
                          <a:xfrm>
                            <a:off x="3644" y="1080"/>
                            <a:ext cx="2" cy="2"/>
                          </a:xfrm>
                          <a:prstGeom prst="rect">
                            <a:avLst/>
                          </a:prstGeom>
                          <a:solidFill>
                            <a:srgbClr val="000000"/>
                          </a:solidFill>
                          <a:ln>
                            <a:noFill/>
                          </a:ln>
                        </wps:spPr>
                        <wps:bodyPr upright="1"/>
                      </wps:wsp>
                      <wps:wsp>
                        <wps:cNvPr id="663" name="矩形 663"/>
                        <wps:cNvSpPr/>
                        <wps:spPr>
                          <a:xfrm>
                            <a:off x="3584" y="1074"/>
                            <a:ext cx="2" cy="2"/>
                          </a:xfrm>
                          <a:prstGeom prst="rect">
                            <a:avLst/>
                          </a:prstGeom>
                          <a:solidFill>
                            <a:srgbClr val="000000"/>
                          </a:solidFill>
                          <a:ln>
                            <a:noFill/>
                          </a:ln>
                        </wps:spPr>
                        <wps:bodyPr upright="1"/>
                      </wps:wsp>
                      <wps:wsp>
                        <wps:cNvPr id="664" name="矩形 664"/>
                        <wps:cNvSpPr/>
                        <wps:spPr>
                          <a:xfrm>
                            <a:off x="3745" y="1041"/>
                            <a:ext cx="2" cy="2"/>
                          </a:xfrm>
                          <a:prstGeom prst="rect">
                            <a:avLst/>
                          </a:prstGeom>
                          <a:solidFill>
                            <a:srgbClr val="000000"/>
                          </a:solidFill>
                          <a:ln>
                            <a:noFill/>
                          </a:ln>
                        </wps:spPr>
                        <wps:bodyPr upright="1"/>
                      </wps:wsp>
                      <wps:wsp>
                        <wps:cNvPr id="665" name="矩形 665"/>
                        <wps:cNvSpPr/>
                        <wps:spPr>
                          <a:xfrm>
                            <a:off x="3836" y="1048"/>
                            <a:ext cx="2" cy="2"/>
                          </a:xfrm>
                          <a:prstGeom prst="rect">
                            <a:avLst/>
                          </a:prstGeom>
                          <a:solidFill>
                            <a:srgbClr val="000000"/>
                          </a:solidFill>
                          <a:ln>
                            <a:noFill/>
                          </a:ln>
                        </wps:spPr>
                        <wps:bodyPr upright="1"/>
                      </wps:wsp>
                      <wps:wsp>
                        <wps:cNvPr id="666" name="矩形 666"/>
                        <wps:cNvSpPr/>
                        <wps:spPr>
                          <a:xfrm>
                            <a:off x="3853" y="1089"/>
                            <a:ext cx="2" cy="2"/>
                          </a:xfrm>
                          <a:prstGeom prst="rect">
                            <a:avLst/>
                          </a:prstGeom>
                          <a:solidFill>
                            <a:srgbClr val="000000"/>
                          </a:solidFill>
                          <a:ln>
                            <a:noFill/>
                          </a:ln>
                        </wps:spPr>
                        <wps:bodyPr upright="1"/>
                      </wps:wsp>
                      <wps:wsp>
                        <wps:cNvPr id="667" name="矩形 667"/>
                        <wps:cNvSpPr/>
                        <wps:spPr>
                          <a:xfrm>
                            <a:off x="3812" y="1035"/>
                            <a:ext cx="2" cy="2"/>
                          </a:xfrm>
                          <a:prstGeom prst="rect">
                            <a:avLst/>
                          </a:prstGeom>
                          <a:solidFill>
                            <a:srgbClr val="000000"/>
                          </a:solidFill>
                          <a:ln>
                            <a:noFill/>
                          </a:ln>
                        </wps:spPr>
                        <wps:bodyPr upright="1"/>
                      </wps:wsp>
                      <wps:wsp>
                        <wps:cNvPr id="668" name="矩形 668"/>
                        <wps:cNvSpPr/>
                        <wps:spPr>
                          <a:xfrm>
                            <a:off x="3938" y="1147"/>
                            <a:ext cx="2" cy="2"/>
                          </a:xfrm>
                          <a:prstGeom prst="rect">
                            <a:avLst/>
                          </a:prstGeom>
                          <a:solidFill>
                            <a:srgbClr val="000000"/>
                          </a:solidFill>
                          <a:ln>
                            <a:noFill/>
                          </a:ln>
                        </wps:spPr>
                        <wps:bodyPr upright="1"/>
                      </wps:wsp>
                      <wps:wsp>
                        <wps:cNvPr id="669" name="矩形 669"/>
                        <wps:cNvSpPr/>
                        <wps:spPr>
                          <a:xfrm>
                            <a:off x="3979" y="1171"/>
                            <a:ext cx="2" cy="2"/>
                          </a:xfrm>
                          <a:prstGeom prst="rect">
                            <a:avLst/>
                          </a:prstGeom>
                          <a:solidFill>
                            <a:srgbClr val="000000"/>
                          </a:solidFill>
                          <a:ln>
                            <a:noFill/>
                          </a:ln>
                        </wps:spPr>
                        <wps:bodyPr upright="1"/>
                      </wps:wsp>
                      <wps:wsp>
                        <wps:cNvPr id="670" name="矩形 670"/>
                        <wps:cNvSpPr/>
                        <wps:spPr>
                          <a:xfrm>
                            <a:off x="3936" y="1142"/>
                            <a:ext cx="2" cy="2"/>
                          </a:xfrm>
                          <a:prstGeom prst="rect">
                            <a:avLst/>
                          </a:prstGeom>
                          <a:solidFill>
                            <a:srgbClr val="000000"/>
                          </a:solidFill>
                          <a:ln>
                            <a:noFill/>
                          </a:ln>
                        </wps:spPr>
                        <wps:bodyPr upright="1"/>
                      </wps:wsp>
                      <wps:wsp>
                        <wps:cNvPr id="671" name="矩形 671"/>
                        <wps:cNvSpPr/>
                        <wps:spPr>
                          <a:xfrm>
                            <a:off x="3906" y="1121"/>
                            <a:ext cx="2" cy="2"/>
                          </a:xfrm>
                          <a:prstGeom prst="rect">
                            <a:avLst/>
                          </a:prstGeom>
                          <a:solidFill>
                            <a:srgbClr val="000000"/>
                          </a:solidFill>
                          <a:ln>
                            <a:noFill/>
                          </a:ln>
                        </wps:spPr>
                        <wps:bodyPr upright="1"/>
                      </wps:wsp>
                      <wps:wsp>
                        <wps:cNvPr id="672" name="矩形 672"/>
                        <wps:cNvSpPr/>
                        <wps:spPr>
                          <a:xfrm>
                            <a:off x="3740" y="1173"/>
                            <a:ext cx="2" cy="2"/>
                          </a:xfrm>
                          <a:prstGeom prst="rect">
                            <a:avLst/>
                          </a:prstGeom>
                          <a:solidFill>
                            <a:srgbClr val="000000"/>
                          </a:solidFill>
                          <a:ln>
                            <a:noFill/>
                          </a:ln>
                        </wps:spPr>
                        <wps:bodyPr upright="1"/>
                      </wps:wsp>
                      <wps:wsp>
                        <wps:cNvPr id="673" name="矩形 673"/>
                        <wps:cNvSpPr/>
                        <wps:spPr>
                          <a:xfrm>
                            <a:off x="3732" y="1203"/>
                            <a:ext cx="2" cy="2"/>
                          </a:xfrm>
                          <a:prstGeom prst="rect">
                            <a:avLst/>
                          </a:prstGeom>
                          <a:solidFill>
                            <a:srgbClr val="000000"/>
                          </a:solidFill>
                          <a:ln>
                            <a:noFill/>
                          </a:ln>
                        </wps:spPr>
                        <wps:bodyPr upright="1"/>
                      </wps:wsp>
                      <wps:wsp>
                        <wps:cNvPr id="674" name="矩形 674"/>
                        <wps:cNvSpPr/>
                        <wps:spPr>
                          <a:xfrm>
                            <a:off x="3726" y="1133"/>
                            <a:ext cx="2" cy="2"/>
                          </a:xfrm>
                          <a:prstGeom prst="rect">
                            <a:avLst/>
                          </a:prstGeom>
                          <a:solidFill>
                            <a:srgbClr val="000000"/>
                          </a:solidFill>
                          <a:ln>
                            <a:noFill/>
                          </a:ln>
                        </wps:spPr>
                        <wps:bodyPr upright="1"/>
                      </wps:wsp>
                      <wps:wsp>
                        <wps:cNvPr id="675" name="矩形 675"/>
                        <wps:cNvSpPr/>
                        <wps:spPr>
                          <a:xfrm>
                            <a:off x="3678" y="1161"/>
                            <a:ext cx="2" cy="2"/>
                          </a:xfrm>
                          <a:prstGeom prst="rect">
                            <a:avLst/>
                          </a:prstGeom>
                          <a:solidFill>
                            <a:srgbClr val="000000"/>
                          </a:solidFill>
                          <a:ln>
                            <a:noFill/>
                          </a:ln>
                        </wps:spPr>
                        <wps:bodyPr upright="1"/>
                      </wps:wsp>
                      <wps:wsp>
                        <wps:cNvPr id="676" name="矩形 676"/>
                        <wps:cNvSpPr/>
                        <wps:spPr>
                          <a:xfrm>
                            <a:off x="3947" y="885"/>
                            <a:ext cx="2" cy="2"/>
                          </a:xfrm>
                          <a:prstGeom prst="rect">
                            <a:avLst/>
                          </a:prstGeom>
                          <a:solidFill>
                            <a:srgbClr val="000000"/>
                          </a:solidFill>
                          <a:ln>
                            <a:noFill/>
                          </a:ln>
                        </wps:spPr>
                        <wps:bodyPr upright="1"/>
                      </wps:wsp>
                      <wps:wsp>
                        <wps:cNvPr id="677" name="矩形 677"/>
                        <wps:cNvSpPr/>
                        <wps:spPr>
                          <a:xfrm>
                            <a:off x="3939" y="892"/>
                            <a:ext cx="2" cy="2"/>
                          </a:xfrm>
                          <a:prstGeom prst="rect">
                            <a:avLst/>
                          </a:prstGeom>
                          <a:solidFill>
                            <a:srgbClr val="000000"/>
                          </a:solidFill>
                          <a:ln>
                            <a:noFill/>
                          </a:ln>
                        </wps:spPr>
                        <wps:bodyPr upright="1"/>
                      </wps:wsp>
                      <wps:wsp>
                        <wps:cNvPr id="678" name="矩形 678"/>
                        <wps:cNvSpPr/>
                        <wps:spPr>
                          <a:xfrm>
                            <a:off x="3929" y="888"/>
                            <a:ext cx="2" cy="2"/>
                          </a:xfrm>
                          <a:prstGeom prst="rect">
                            <a:avLst/>
                          </a:prstGeom>
                          <a:solidFill>
                            <a:srgbClr val="000000"/>
                          </a:solidFill>
                          <a:ln>
                            <a:noFill/>
                          </a:ln>
                        </wps:spPr>
                        <wps:bodyPr upright="1"/>
                      </wps:wsp>
                      <wps:wsp>
                        <wps:cNvPr id="679" name="矩形 679"/>
                        <wps:cNvSpPr/>
                        <wps:spPr>
                          <a:xfrm>
                            <a:off x="3943" y="1016"/>
                            <a:ext cx="2" cy="2"/>
                          </a:xfrm>
                          <a:prstGeom prst="rect">
                            <a:avLst/>
                          </a:prstGeom>
                          <a:solidFill>
                            <a:srgbClr val="000000"/>
                          </a:solidFill>
                          <a:ln>
                            <a:noFill/>
                          </a:ln>
                        </wps:spPr>
                        <wps:bodyPr upright="1"/>
                      </wps:wsp>
                      <wps:wsp>
                        <wps:cNvPr id="680" name="矩形 680"/>
                        <wps:cNvSpPr/>
                        <wps:spPr>
                          <a:xfrm>
                            <a:off x="3934" y="1035"/>
                            <a:ext cx="2" cy="2"/>
                          </a:xfrm>
                          <a:prstGeom prst="rect">
                            <a:avLst/>
                          </a:prstGeom>
                          <a:solidFill>
                            <a:srgbClr val="000000"/>
                          </a:solidFill>
                          <a:ln>
                            <a:noFill/>
                          </a:ln>
                        </wps:spPr>
                        <wps:bodyPr upright="1"/>
                      </wps:wsp>
                      <wps:wsp>
                        <wps:cNvPr id="681" name="矩形 681"/>
                        <wps:cNvSpPr/>
                        <wps:spPr>
                          <a:xfrm>
                            <a:off x="4037" y="880"/>
                            <a:ext cx="2" cy="2"/>
                          </a:xfrm>
                          <a:prstGeom prst="rect">
                            <a:avLst/>
                          </a:prstGeom>
                          <a:solidFill>
                            <a:srgbClr val="000000"/>
                          </a:solidFill>
                          <a:ln>
                            <a:noFill/>
                          </a:ln>
                        </wps:spPr>
                        <wps:bodyPr upright="1"/>
                      </wps:wsp>
                      <wps:wsp>
                        <wps:cNvPr id="682" name="直接连接符 682"/>
                        <wps:cNvCnPr/>
                        <wps:spPr>
                          <a:xfrm flipV="1">
                            <a:off x="3526" y="616"/>
                            <a:ext cx="444" cy="446"/>
                          </a:xfrm>
                          <a:prstGeom prst="line">
                            <a:avLst/>
                          </a:prstGeom>
                          <a:ln w="0" cap="flat" cmpd="sng">
                            <a:solidFill>
                              <a:srgbClr val="000000"/>
                            </a:solidFill>
                            <a:prstDash val="solid"/>
                            <a:headEnd type="none" w="med" len="med"/>
                            <a:tailEnd type="none" w="med" len="med"/>
                          </a:ln>
                        </wps:spPr>
                        <wps:bodyPr upright="1"/>
                      </wps:wsp>
                      <wps:wsp>
                        <wps:cNvPr id="683" name="矩形 683"/>
                        <wps:cNvSpPr/>
                        <wps:spPr>
                          <a:xfrm>
                            <a:off x="3538" y="1200"/>
                            <a:ext cx="2" cy="2"/>
                          </a:xfrm>
                          <a:prstGeom prst="rect">
                            <a:avLst/>
                          </a:prstGeom>
                          <a:solidFill>
                            <a:srgbClr val="000000"/>
                          </a:solidFill>
                          <a:ln>
                            <a:noFill/>
                          </a:ln>
                        </wps:spPr>
                        <wps:bodyPr upright="1"/>
                      </wps:wsp>
                      <wps:wsp>
                        <wps:cNvPr id="684" name="矩形 684"/>
                        <wps:cNvSpPr/>
                        <wps:spPr>
                          <a:xfrm>
                            <a:off x="4151" y="856"/>
                            <a:ext cx="2" cy="2"/>
                          </a:xfrm>
                          <a:prstGeom prst="rect">
                            <a:avLst/>
                          </a:prstGeom>
                          <a:solidFill>
                            <a:srgbClr val="000000"/>
                          </a:solidFill>
                          <a:ln>
                            <a:noFill/>
                          </a:ln>
                        </wps:spPr>
                        <wps:bodyPr upright="1"/>
                      </wps:wsp>
                      <wps:wsp>
                        <wps:cNvPr id="685" name="矩形 685"/>
                        <wps:cNvSpPr/>
                        <wps:spPr>
                          <a:xfrm>
                            <a:off x="4185" y="860"/>
                            <a:ext cx="2" cy="2"/>
                          </a:xfrm>
                          <a:prstGeom prst="rect">
                            <a:avLst/>
                          </a:prstGeom>
                          <a:solidFill>
                            <a:srgbClr val="000000"/>
                          </a:solidFill>
                          <a:ln>
                            <a:noFill/>
                          </a:ln>
                        </wps:spPr>
                        <wps:bodyPr upright="1"/>
                      </wps:wsp>
                      <wps:wsp>
                        <wps:cNvPr id="686" name="矩形 686"/>
                        <wps:cNvSpPr/>
                        <wps:spPr>
                          <a:xfrm>
                            <a:off x="4139" y="897"/>
                            <a:ext cx="2" cy="2"/>
                          </a:xfrm>
                          <a:prstGeom prst="rect">
                            <a:avLst/>
                          </a:prstGeom>
                          <a:solidFill>
                            <a:srgbClr val="000000"/>
                          </a:solidFill>
                          <a:ln>
                            <a:noFill/>
                          </a:ln>
                        </wps:spPr>
                        <wps:bodyPr upright="1"/>
                      </wps:wsp>
                      <wps:wsp>
                        <wps:cNvPr id="687" name="矩形 687"/>
                        <wps:cNvSpPr/>
                        <wps:spPr>
                          <a:xfrm>
                            <a:off x="4146" y="987"/>
                            <a:ext cx="2" cy="2"/>
                          </a:xfrm>
                          <a:prstGeom prst="rect">
                            <a:avLst/>
                          </a:prstGeom>
                          <a:solidFill>
                            <a:srgbClr val="000000"/>
                          </a:solidFill>
                          <a:ln>
                            <a:noFill/>
                          </a:ln>
                        </wps:spPr>
                        <wps:bodyPr upright="1"/>
                      </wps:wsp>
                      <wps:wsp>
                        <wps:cNvPr id="688" name="矩形 688"/>
                        <wps:cNvSpPr/>
                        <wps:spPr>
                          <a:xfrm>
                            <a:off x="4082" y="1015"/>
                            <a:ext cx="2" cy="2"/>
                          </a:xfrm>
                          <a:prstGeom prst="rect">
                            <a:avLst/>
                          </a:prstGeom>
                          <a:solidFill>
                            <a:srgbClr val="000000"/>
                          </a:solidFill>
                          <a:ln>
                            <a:noFill/>
                          </a:ln>
                        </wps:spPr>
                        <wps:bodyPr upright="1"/>
                      </wps:wsp>
                      <wps:wsp>
                        <wps:cNvPr id="689" name="矩形 689"/>
                        <wps:cNvSpPr/>
                        <wps:spPr>
                          <a:xfrm>
                            <a:off x="4041" y="995"/>
                            <a:ext cx="2" cy="2"/>
                          </a:xfrm>
                          <a:prstGeom prst="rect">
                            <a:avLst/>
                          </a:prstGeom>
                          <a:solidFill>
                            <a:srgbClr val="000000"/>
                          </a:solidFill>
                          <a:ln>
                            <a:noFill/>
                          </a:ln>
                        </wps:spPr>
                        <wps:bodyPr upright="1"/>
                      </wps:wsp>
                      <wps:wsp>
                        <wps:cNvPr id="690" name="矩形 690"/>
                        <wps:cNvSpPr/>
                        <wps:spPr>
                          <a:xfrm>
                            <a:off x="4142" y="1118"/>
                            <a:ext cx="2" cy="2"/>
                          </a:xfrm>
                          <a:prstGeom prst="rect">
                            <a:avLst/>
                          </a:prstGeom>
                          <a:solidFill>
                            <a:srgbClr val="000000"/>
                          </a:solidFill>
                          <a:ln>
                            <a:noFill/>
                          </a:ln>
                        </wps:spPr>
                        <wps:bodyPr upright="1"/>
                      </wps:wsp>
                      <wps:wsp>
                        <wps:cNvPr id="691" name="矩形 691"/>
                        <wps:cNvSpPr/>
                        <wps:spPr>
                          <a:xfrm>
                            <a:off x="4145" y="1151"/>
                            <a:ext cx="2" cy="2"/>
                          </a:xfrm>
                          <a:prstGeom prst="rect">
                            <a:avLst/>
                          </a:prstGeom>
                          <a:solidFill>
                            <a:srgbClr val="000000"/>
                          </a:solidFill>
                          <a:ln>
                            <a:noFill/>
                          </a:ln>
                        </wps:spPr>
                        <wps:bodyPr upright="1"/>
                      </wps:wsp>
                      <wps:wsp>
                        <wps:cNvPr id="692" name="矩形 692"/>
                        <wps:cNvSpPr/>
                        <wps:spPr>
                          <a:xfrm>
                            <a:off x="4135" y="1082"/>
                            <a:ext cx="2" cy="2"/>
                          </a:xfrm>
                          <a:prstGeom prst="rect">
                            <a:avLst/>
                          </a:prstGeom>
                          <a:solidFill>
                            <a:srgbClr val="000000"/>
                          </a:solidFill>
                          <a:ln>
                            <a:noFill/>
                          </a:ln>
                        </wps:spPr>
                        <wps:bodyPr upright="1"/>
                      </wps:wsp>
                      <wps:wsp>
                        <wps:cNvPr id="693" name="矩形 693"/>
                        <wps:cNvSpPr/>
                        <wps:spPr>
                          <a:xfrm>
                            <a:off x="4137" y="1249"/>
                            <a:ext cx="2" cy="2"/>
                          </a:xfrm>
                          <a:prstGeom prst="rect">
                            <a:avLst/>
                          </a:prstGeom>
                          <a:solidFill>
                            <a:srgbClr val="000000"/>
                          </a:solidFill>
                          <a:ln>
                            <a:noFill/>
                          </a:ln>
                        </wps:spPr>
                        <wps:bodyPr upright="1"/>
                      </wps:wsp>
                      <wps:wsp>
                        <wps:cNvPr id="694" name="矩形 694"/>
                        <wps:cNvSpPr/>
                        <wps:spPr>
                          <a:xfrm>
                            <a:off x="4124" y="1293"/>
                            <a:ext cx="2" cy="2"/>
                          </a:xfrm>
                          <a:prstGeom prst="rect">
                            <a:avLst/>
                          </a:prstGeom>
                          <a:solidFill>
                            <a:srgbClr val="000000"/>
                          </a:solidFill>
                          <a:ln>
                            <a:noFill/>
                          </a:ln>
                        </wps:spPr>
                        <wps:bodyPr upright="1"/>
                      </wps:wsp>
                      <wps:wsp>
                        <wps:cNvPr id="695" name="矩形 695"/>
                        <wps:cNvSpPr/>
                        <wps:spPr>
                          <a:xfrm>
                            <a:off x="4222" y="1280"/>
                            <a:ext cx="2" cy="2"/>
                          </a:xfrm>
                          <a:prstGeom prst="rect">
                            <a:avLst/>
                          </a:prstGeom>
                          <a:solidFill>
                            <a:srgbClr val="000000"/>
                          </a:solidFill>
                          <a:ln>
                            <a:noFill/>
                          </a:ln>
                        </wps:spPr>
                        <wps:bodyPr upright="1"/>
                      </wps:wsp>
                      <wps:wsp>
                        <wps:cNvPr id="696" name="矩形 696"/>
                        <wps:cNvSpPr/>
                        <wps:spPr>
                          <a:xfrm>
                            <a:off x="4194" y="1307"/>
                            <a:ext cx="2" cy="2"/>
                          </a:xfrm>
                          <a:prstGeom prst="rect">
                            <a:avLst/>
                          </a:prstGeom>
                          <a:solidFill>
                            <a:srgbClr val="000000"/>
                          </a:solidFill>
                          <a:ln>
                            <a:noFill/>
                          </a:ln>
                        </wps:spPr>
                        <wps:bodyPr upright="1"/>
                      </wps:wsp>
                      <wps:wsp>
                        <wps:cNvPr id="697" name="矩形 697"/>
                        <wps:cNvSpPr/>
                        <wps:spPr>
                          <a:xfrm>
                            <a:off x="4285" y="1220"/>
                            <a:ext cx="2" cy="2"/>
                          </a:xfrm>
                          <a:prstGeom prst="rect">
                            <a:avLst/>
                          </a:prstGeom>
                          <a:solidFill>
                            <a:srgbClr val="000000"/>
                          </a:solidFill>
                          <a:ln>
                            <a:noFill/>
                          </a:ln>
                        </wps:spPr>
                        <wps:bodyPr upright="1"/>
                      </wps:wsp>
                      <wps:wsp>
                        <wps:cNvPr id="698" name="矩形 698"/>
                        <wps:cNvSpPr/>
                        <wps:spPr>
                          <a:xfrm>
                            <a:off x="4056" y="1259"/>
                            <a:ext cx="2" cy="2"/>
                          </a:xfrm>
                          <a:prstGeom prst="rect">
                            <a:avLst/>
                          </a:prstGeom>
                          <a:solidFill>
                            <a:srgbClr val="000000"/>
                          </a:solidFill>
                          <a:ln>
                            <a:noFill/>
                          </a:ln>
                        </wps:spPr>
                        <wps:bodyPr upright="1"/>
                      </wps:wsp>
                      <wps:wsp>
                        <wps:cNvPr id="699" name="矩形 699"/>
                        <wps:cNvSpPr/>
                        <wps:spPr>
                          <a:xfrm>
                            <a:off x="3831" y="1190"/>
                            <a:ext cx="2" cy="2"/>
                          </a:xfrm>
                          <a:prstGeom prst="rect">
                            <a:avLst/>
                          </a:prstGeom>
                          <a:solidFill>
                            <a:srgbClr val="000000"/>
                          </a:solidFill>
                          <a:ln>
                            <a:noFill/>
                          </a:ln>
                        </wps:spPr>
                        <wps:bodyPr upright="1"/>
                      </wps:wsp>
                      <wps:wsp>
                        <wps:cNvPr id="700" name="矩形 700"/>
                        <wps:cNvSpPr/>
                        <wps:spPr>
                          <a:xfrm>
                            <a:off x="4062" y="1098"/>
                            <a:ext cx="2" cy="2"/>
                          </a:xfrm>
                          <a:prstGeom prst="rect">
                            <a:avLst/>
                          </a:prstGeom>
                          <a:solidFill>
                            <a:srgbClr val="000000"/>
                          </a:solidFill>
                          <a:ln>
                            <a:noFill/>
                          </a:ln>
                        </wps:spPr>
                        <wps:bodyPr upright="1"/>
                      </wps:wsp>
                      <wps:wsp>
                        <wps:cNvPr id="701" name="直接连接符 701"/>
                        <wps:cNvCnPr/>
                        <wps:spPr>
                          <a:xfrm flipV="1">
                            <a:off x="3526" y="616"/>
                            <a:ext cx="583" cy="586"/>
                          </a:xfrm>
                          <a:prstGeom prst="line">
                            <a:avLst/>
                          </a:prstGeom>
                          <a:ln w="0" cap="flat" cmpd="sng">
                            <a:solidFill>
                              <a:srgbClr val="000000"/>
                            </a:solidFill>
                            <a:prstDash val="solid"/>
                            <a:headEnd type="none" w="med" len="med"/>
                            <a:tailEnd type="none" w="med" len="med"/>
                          </a:ln>
                        </wps:spPr>
                        <wps:bodyPr upright="1"/>
                      </wps:wsp>
                      <wps:wsp>
                        <wps:cNvPr id="702" name="矩形 702"/>
                        <wps:cNvSpPr/>
                        <wps:spPr>
                          <a:xfrm>
                            <a:off x="3735" y="1304"/>
                            <a:ext cx="2" cy="2"/>
                          </a:xfrm>
                          <a:prstGeom prst="rect">
                            <a:avLst/>
                          </a:prstGeom>
                          <a:solidFill>
                            <a:srgbClr val="000000"/>
                          </a:solidFill>
                          <a:ln>
                            <a:noFill/>
                          </a:ln>
                        </wps:spPr>
                        <wps:bodyPr upright="1"/>
                      </wps:wsp>
                      <wps:wsp>
                        <wps:cNvPr id="703" name="矩形 703"/>
                        <wps:cNvSpPr/>
                        <wps:spPr>
                          <a:xfrm>
                            <a:off x="3775" y="1289"/>
                            <a:ext cx="2" cy="2"/>
                          </a:xfrm>
                          <a:prstGeom prst="rect">
                            <a:avLst/>
                          </a:prstGeom>
                          <a:solidFill>
                            <a:srgbClr val="000000"/>
                          </a:solidFill>
                          <a:ln>
                            <a:noFill/>
                          </a:ln>
                        </wps:spPr>
                        <wps:bodyPr upright="1"/>
                      </wps:wsp>
                      <wps:wsp>
                        <wps:cNvPr id="704" name="矩形 704"/>
                        <wps:cNvSpPr/>
                        <wps:spPr>
                          <a:xfrm>
                            <a:off x="3827" y="1298"/>
                            <a:ext cx="2" cy="2"/>
                          </a:xfrm>
                          <a:prstGeom prst="rect">
                            <a:avLst/>
                          </a:prstGeom>
                          <a:solidFill>
                            <a:srgbClr val="000000"/>
                          </a:solidFill>
                          <a:ln>
                            <a:noFill/>
                          </a:ln>
                        </wps:spPr>
                        <wps:bodyPr upright="1"/>
                      </wps:wsp>
                      <wps:wsp>
                        <wps:cNvPr id="705" name="矩形 705"/>
                        <wps:cNvSpPr/>
                        <wps:spPr>
                          <a:xfrm>
                            <a:off x="3933" y="1278"/>
                            <a:ext cx="2" cy="2"/>
                          </a:xfrm>
                          <a:prstGeom prst="rect">
                            <a:avLst/>
                          </a:prstGeom>
                          <a:solidFill>
                            <a:srgbClr val="000000"/>
                          </a:solidFill>
                          <a:ln>
                            <a:noFill/>
                          </a:ln>
                        </wps:spPr>
                        <wps:bodyPr upright="1"/>
                      </wps:wsp>
                      <wps:wsp>
                        <wps:cNvPr id="706" name="矩形 706"/>
                        <wps:cNvSpPr/>
                        <wps:spPr>
                          <a:xfrm>
                            <a:off x="3984" y="1298"/>
                            <a:ext cx="2" cy="2"/>
                          </a:xfrm>
                          <a:prstGeom prst="rect">
                            <a:avLst/>
                          </a:prstGeom>
                          <a:solidFill>
                            <a:srgbClr val="000000"/>
                          </a:solidFill>
                          <a:ln>
                            <a:noFill/>
                          </a:ln>
                        </wps:spPr>
                        <wps:bodyPr upright="1"/>
                      </wps:wsp>
                      <wps:wsp>
                        <wps:cNvPr id="707" name="矩形 707"/>
                        <wps:cNvSpPr/>
                        <wps:spPr>
                          <a:xfrm>
                            <a:off x="4227" y="1138"/>
                            <a:ext cx="2" cy="2"/>
                          </a:xfrm>
                          <a:prstGeom prst="rect">
                            <a:avLst/>
                          </a:prstGeom>
                          <a:solidFill>
                            <a:srgbClr val="000000"/>
                          </a:solidFill>
                          <a:ln>
                            <a:noFill/>
                          </a:ln>
                        </wps:spPr>
                        <wps:bodyPr upright="1"/>
                      </wps:wsp>
                      <wps:wsp>
                        <wps:cNvPr id="708" name="矩形 708"/>
                        <wps:cNvSpPr/>
                        <wps:spPr>
                          <a:xfrm>
                            <a:off x="4272" y="1107"/>
                            <a:ext cx="2" cy="2"/>
                          </a:xfrm>
                          <a:prstGeom prst="rect">
                            <a:avLst/>
                          </a:prstGeom>
                          <a:solidFill>
                            <a:srgbClr val="000000"/>
                          </a:solidFill>
                          <a:ln>
                            <a:noFill/>
                          </a:ln>
                        </wps:spPr>
                        <wps:bodyPr upright="1"/>
                      </wps:wsp>
                      <wps:wsp>
                        <wps:cNvPr id="709" name="矩形 709"/>
                        <wps:cNvSpPr/>
                        <wps:spPr>
                          <a:xfrm>
                            <a:off x="3566" y="1280"/>
                            <a:ext cx="2" cy="2"/>
                          </a:xfrm>
                          <a:prstGeom prst="rect">
                            <a:avLst/>
                          </a:prstGeom>
                          <a:solidFill>
                            <a:srgbClr val="000000"/>
                          </a:solidFill>
                          <a:ln>
                            <a:noFill/>
                          </a:ln>
                        </wps:spPr>
                        <wps:bodyPr upright="1"/>
                      </wps:wsp>
                      <wps:wsp>
                        <wps:cNvPr id="710" name="矩形 710"/>
                        <wps:cNvSpPr/>
                        <wps:spPr>
                          <a:xfrm>
                            <a:off x="4270" y="956"/>
                            <a:ext cx="2" cy="2"/>
                          </a:xfrm>
                          <a:prstGeom prst="rect">
                            <a:avLst/>
                          </a:prstGeom>
                          <a:solidFill>
                            <a:srgbClr val="000000"/>
                          </a:solidFill>
                          <a:ln>
                            <a:noFill/>
                          </a:ln>
                        </wps:spPr>
                        <wps:bodyPr upright="1"/>
                      </wps:wsp>
                      <wps:wsp>
                        <wps:cNvPr id="711" name="直接连接符 711"/>
                        <wps:cNvCnPr/>
                        <wps:spPr>
                          <a:xfrm flipV="1">
                            <a:off x="3554" y="616"/>
                            <a:ext cx="694" cy="696"/>
                          </a:xfrm>
                          <a:prstGeom prst="line">
                            <a:avLst/>
                          </a:prstGeom>
                          <a:ln w="0" cap="flat" cmpd="sng">
                            <a:solidFill>
                              <a:srgbClr val="000000"/>
                            </a:solidFill>
                            <a:prstDash val="solid"/>
                            <a:headEnd type="none" w="med" len="med"/>
                            <a:tailEnd type="none" w="med" len="med"/>
                          </a:ln>
                        </wps:spPr>
                        <wps:bodyPr upright="1"/>
                      </wps:wsp>
                      <wps:wsp>
                        <wps:cNvPr id="712" name="直接连接符 712"/>
                        <wps:cNvCnPr/>
                        <wps:spPr>
                          <a:xfrm flipV="1">
                            <a:off x="3693" y="616"/>
                            <a:ext cx="693" cy="696"/>
                          </a:xfrm>
                          <a:prstGeom prst="line">
                            <a:avLst/>
                          </a:prstGeom>
                          <a:ln w="0" cap="flat" cmpd="sng">
                            <a:solidFill>
                              <a:srgbClr val="000000"/>
                            </a:solidFill>
                            <a:prstDash val="solid"/>
                            <a:headEnd type="none" w="med" len="med"/>
                            <a:tailEnd type="none" w="med" len="med"/>
                          </a:ln>
                        </wps:spPr>
                        <wps:bodyPr upright="1"/>
                      </wps:wsp>
                      <wps:wsp>
                        <wps:cNvPr id="713" name="矩形 713"/>
                        <wps:cNvSpPr/>
                        <wps:spPr>
                          <a:xfrm>
                            <a:off x="4555" y="672"/>
                            <a:ext cx="2" cy="2"/>
                          </a:xfrm>
                          <a:prstGeom prst="rect">
                            <a:avLst/>
                          </a:prstGeom>
                          <a:solidFill>
                            <a:srgbClr val="000000"/>
                          </a:solidFill>
                          <a:ln>
                            <a:noFill/>
                          </a:ln>
                        </wps:spPr>
                        <wps:bodyPr upright="1"/>
                      </wps:wsp>
                      <wps:wsp>
                        <wps:cNvPr id="714" name="矩形 714"/>
                        <wps:cNvSpPr/>
                        <wps:spPr>
                          <a:xfrm>
                            <a:off x="4536" y="672"/>
                            <a:ext cx="2" cy="2"/>
                          </a:xfrm>
                          <a:prstGeom prst="rect">
                            <a:avLst/>
                          </a:prstGeom>
                          <a:solidFill>
                            <a:srgbClr val="000000"/>
                          </a:solidFill>
                          <a:ln>
                            <a:noFill/>
                          </a:ln>
                        </wps:spPr>
                        <wps:bodyPr upright="1"/>
                      </wps:wsp>
                      <wps:wsp>
                        <wps:cNvPr id="715" name="矩形 715"/>
                        <wps:cNvSpPr/>
                        <wps:spPr>
                          <a:xfrm>
                            <a:off x="4515" y="681"/>
                            <a:ext cx="2" cy="2"/>
                          </a:xfrm>
                          <a:prstGeom prst="rect">
                            <a:avLst/>
                          </a:prstGeom>
                          <a:solidFill>
                            <a:srgbClr val="000000"/>
                          </a:solidFill>
                          <a:ln>
                            <a:noFill/>
                          </a:ln>
                        </wps:spPr>
                        <wps:bodyPr upright="1"/>
                      </wps:wsp>
                      <wps:wsp>
                        <wps:cNvPr id="716" name="矩形 716"/>
                        <wps:cNvSpPr/>
                        <wps:spPr>
                          <a:xfrm>
                            <a:off x="4551" y="803"/>
                            <a:ext cx="2" cy="2"/>
                          </a:xfrm>
                          <a:prstGeom prst="rect">
                            <a:avLst/>
                          </a:prstGeom>
                          <a:solidFill>
                            <a:srgbClr val="000000"/>
                          </a:solidFill>
                          <a:ln>
                            <a:noFill/>
                          </a:ln>
                        </wps:spPr>
                        <wps:bodyPr upright="1"/>
                      </wps:wsp>
                      <wps:wsp>
                        <wps:cNvPr id="717" name="矩形 717"/>
                        <wps:cNvSpPr/>
                        <wps:spPr>
                          <a:xfrm>
                            <a:off x="4531" y="814"/>
                            <a:ext cx="2" cy="2"/>
                          </a:xfrm>
                          <a:prstGeom prst="rect">
                            <a:avLst/>
                          </a:prstGeom>
                          <a:solidFill>
                            <a:srgbClr val="000000"/>
                          </a:solidFill>
                          <a:ln>
                            <a:noFill/>
                          </a:ln>
                        </wps:spPr>
                        <wps:bodyPr upright="1"/>
                      </wps:wsp>
                      <wps:wsp>
                        <wps:cNvPr id="718" name="矩形 718"/>
                        <wps:cNvSpPr/>
                        <wps:spPr>
                          <a:xfrm>
                            <a:off x="4509" y="758"/>
                            <a:ext cx="2" cy="2"/>
                          </a:xfrm>
                          <a:prstGeom prst="rect">
                            <a:avLst/>
                          </a:prstGeom>
                          <a:solidFill>
                            <a:srgbClr val="000000"/>
                          </a:solidFill>
                          <a:ln>
                            <a:noFill/>
                          </a:ln>
                        </wps:spPr>
                        <wps:bodyPr upright="1"/>
                      </wps:wsp>
                      <wps:wsp>
                        <wps:cNvPr id="719" name="直接连接符 719"/>
                        <wps:cNvCnPr/>
                        <wps:spPr>
                          <a:xfrm flipV="1">
                            <a:off x="3832" y="616"/>
                            <a:ext cx="693" cy="696"/>
                          </a:xfrm>
                          <a:prstGeom prst="line">
                            <a:avLst/>
                          </a:prstGeom>
                          <a:ln w="0" cap="flat" cmpd="sng">
                            <a:solidFill>
                              <a:srgbClr val="000000"/>
                            </a:solidFill>
                            <a:prstDash val="solid"/>
                            <a:headEnd type="none" w="med" len="med"/>
                            <a:tailEnd type="none" w="med" len="med"/>
                          </a:ln>
                        </wps:spPr>
                        <wps:bodyPr upright="1"/>
                      </wps:wsp>
                      <wps:wsp>
                        <wps:cNvPr id="720" name="直接连接符 720"/>
                        <wps:cNvCnPr/>
                        <wps:spPr>
                          <a:xfrm flipV="1">
                            <a:off x="3970" y="953"/>
                            <a:ext cx="358" cy="359"/>
                          </a:xfrm>
                          <a:prstGeom prst="line">
                            <a:avLst/>
                          </a:prstGeom>
                          <a:ln w="0" cap="flat" cmpd="sng">
                            <a:solidFill>
                              <a:srgbClr val="000000"/>
                            </a:solidFill>
                            <a:prstDash val="solid"/>
                            <a:headEnd type="none" w="med" len="med"/>
                            <a:tailEnd type="none" w="med" len="med"/>
                          </a:ln>
                        </wps:spPr>
                        <wps:bodyPr upright="1"/>
                      </wps:wsp>
                      <wps:wsp>
                        <wps:cNvPr id="721" name="矩形 721"/>
                        <wps:cNvSpPr/>
                        <wps:spPr>
                          <a:xfrm>
                            <a:off x="4635" y="659"/>
                            <a:ext cx="2" cy="2"/>
                          </a:xfrm>
                          <a:prstGeom prst="rect">
                            <a:avLst/>
                          </a:prstGeom>
                          <a:solidFill>
                            <a:srgbClr val="000000"/>
                          </a:solidFill>
                          <a:ln>
                            <a:noFill/>
                          </a:ln>
                        </wps:spPr>
                        <wps:bodyPr upright="1"/>
                      </wps:wsp>
                      <wps:wsp>
                        <wps:cNvPr id="722" name="矩形 722"/>
                        <wps:cNvSpPr/>
                        <wps:spPr>
                          <a:xfrm>
                            <a:off x="4636" y="714"/>
                            <a:ext cx="2" cy="2"/>
                          </a:xfrm>
                          <a:prstGeom prst="rect">
                            <a:avLst/>
                          </a:prstGeom>
                          <a:solidFill>
                            <a:srgbClr val="000000"/>
                          </a:solidFill>
                          <a:ln>
                            <a:noFill/>
                          </a:ln>
                        </wps:spPr>
                        <wps:bodyPr upright="1"/>
                      </wps:wsp>
                      <wps:wsp>
                        <wps:cNvPr id="723" name="直接连接符 723"/>
                        <wps:cNvCnPr/>
                        <wps:spPr>
                          <a:xfrm flipV="1">
                            <a:off x="4457" y="633"/>
                            <a:ext cx="190" cy="190"/>
                          </a:xfrm>
                          <a:prstGeom prst="line">
                            <a:avLst/>
                          </a:prstGeom>
                          <a:ln w="0" cap="flat" cmpd="sng">
                            <a:solidFill>
                              <a:srgbClr val="000000"/>
                            </a:solidFill>
                            <a:prstDash val="solid"/>
                            <a:headEnd type="none" w="med" len="med"/>
                            <a:tailEnd type="none" w="med" len="med"/>
                          </a:ln>
                        </wps:spPr>
                        <wps:bodyPr upright="1"/>
                      </wps:wsp>
                      <wps:wsp>
                        <wps:cNvPr id="724" name="直接连接符 724"/>
                        <wps:cNvCnPr/>
                        <wps:spPr>
                          <a:xfrm flipV="1">
                            <a:off x="4109" y="1092"/>
                            <a:ext cx="219" cy="220"/>
                          </a:xfrm>
                          <a:prstGeom prst="line">
                            <a:avLst/>
                          </a:prstGeom>
                          <a:ln w="0" cap="flat" cmpd="sng">
                            <a:solidFill>
                              <a:srgbClr val="000000"/>
                            </a:solidFill>
                            <a:prstDash val="solid"/>
                            <a:headEnd type="none" w="med" len="med"/>
                            <a:tailEnd type="none" w="med" len="med"/>
                          </a:ln>
                        </wps:spPr>
                        <wps:bodyPr upright="1"/>
                      </wps:wsp>
                      <wps:wsp>
                        <wps:cNvPr id="725" name="直接连接符 725"/>
                        <wps:cNvCnPr/>
                        <wps:spPr>
                          <a:xfrm flipV="1">
                            <a:off x="4596" y="772"/>
                            <a:ext cx="51" cy="51"/>
                          </a:xfrm>
                          <a:prstGeom prst="line">
                            <a:avLst/>
                          </a:prstGeom>
                          <a:ln w="0" cap="flat" cmpd="sng">
                            <a:solidFill>
                              <a:srgbClr val="000000"/>
                            </a:solidFill>
                            <a:prstDash val="solid"/>
                            <a:headEnd type="none" w="med" len="med"/>
                            <a:tailEnd type="none" w="med" len="med"/>
                          </a:ln>
                        </wps:spPr>
                        <wps:bodyPr upright="1"/>
                      </wps:wsp>
                      <wps:wsp>
                        <wps:cNvPr id="726" name="直接连接符 726"/>
                        <wps:cNvCnPr/>
                        <wps:spPr>
                          <a:xfrm flipV="1">
                            <a:off x="4248" y="1232"/>
                            <a:ext cx="80" cy="80"/>
                          </a:xfrm>
                          <a:prstGeom prst="line">
                            <a:avLst/>
                          </a:prstGeom>
                          <a:ln w="0" cap="flat" cmpd="sng">
                            <a:solidFill>
                              <a:srgbClr val="000000"/>
                            </a:solidFill>
                            <a:prstDash val="solid"/>
                            <a:headEnd type="none" w="med" len="med"/>
                            <a:tailEnd type="none" w="med" len="med"/>
                          </a:ln>
                        </wps:spPr>
                        <wps:bodyPr upright="1"/>
                      </wps:wsp>
                      <wps:wsp>
                        <wps:cNvPr id="727" name="直接连接符 727"/>
                        <wps:cNvCnPr/>
                        <wps:spPr>
                          <a:xfrm flipV="1">
                            <a:off x="3206" y="616"/>
                            <a:ext cx="71" cy="71"/>
                          </a:xfrm>
                          <a:prstGeom prst="line">
                            <a:avLst/>
                          </a:prstGeom>
                          <a:ln w="0" cap="flat" cmpd="sng">
                            <a:solidFill>
                              <a:srgbClr val="000000"/>
                            </a:solidFill>
                            <a:prstDash val="solid"/>
                            <a:headEnd type="none" w="med" len="med"/>
                            <a:tailEnd type="none" w="med" len="med"/>
                          </a:ln>
                        </wps:spPr>
                        <wps:bodyPr upright="1"/>
                      </wps:wsp>
                      <wps:wsp>
                        <wps:cNvPr id="728" name="直接连接符 728"/>
                        <wps:cNvCnPr/>
                        <wps:spPr>
                          <a:xfrm flipV="1">
                            <a:off x="3209" y="616"/>
                            <a:ext cx="207" cy="207"/>
                          </a:xfrm>
                          <a:prstGeom prst="line">
                            <a:avLst/>
                          </a:prstGeom>
                          <a:ln w="0" cap="flat" cmpd="sng">
                            <a:solidFill>
                              <a:srgbClr val="000000"/>
                            </a:solidFill>
                            <a:prstDash val="solid"/>
                            <a:headEnd type="none" w="med" len="med"/>
                            <a:tailEnd type="none" w="med" len="med"/>
                          </a:ln>
                        </wps:spPr>
                        <wps:bodyPr upright="1"/>
                      </wps:wsp>
                      <wps:wsp>
                        <wps:cNvPr id="729" name="直接连接符 729"/>
                        <wps:cNvCnPr/>
                        <wps:spPr>
                          <a:xfrm flipV="1">
                            <a:off x="3348" y="616"/>
                            <a:ext cx="206" cy="207"/>
                          </a:xfrm>
                          <a:prstGeom prst="line">
                            <a:avLst/>
                          </a:prstGeom>
                          <a:ln w="0" cap="flat" cmpd="sng">
                            <a:solidFill>
                              <a:srgbClr val="000000"/>
                            </a:solidFill>
                            <a:prstDash val="solid"/>
                            <a:headEnd type="none" w="med" len="med"/>
                            <a:tailEnd type="none" w="med" len="med"/>
                          </a:ln>
                        </wps:spPr>
                        <wps:bodyPr upright="1"/>
                      </wps:wsp>
                      <wps:wsp>
                        <wps:cNvPr id="730" name="直接连接符 730"/>
                        <wps:cNvCnPr/>
                        <wps:spPr>
                          <a:xfrm flipV="1">
                            <a:off x="3486" y="616"/>
                            <a:ext cx="207" cy="207"/>
                          </a:xfrm>
                          <a:prstGeom prst="line">
                            <a:avLst/>
                          </a:prstGeom>
                          <a:ln w="0" cap="flat" cmpd="sng">
                            <a:solidFill>
                              <a:srgbClr val="000000"/>
                            </a:solidFill>
                            <a:prstDash val="solid"/>
                            <a:headEnd type="none" w="med" len="med"/>
                            <a:tailEnd type="none" w="med" len="med"/>
                          </a:ln>
                        </wps:spPr>
                        <wps:bodyPr upright="1"/>
                      </wps:wsp>
                      <wps:wsp>
                        <wps:cNvPr id="731" name="直接连接符 731"/>
                        <wps:cNvCnPr/>
                        <wps:spPr>
                          <a:xfrm flipV="1">
                            <a:off x="3526" y="616"/>
                            <a:ext cx="306" cy="307"/>
                          </a:xfrm>
                          <a:prstGeom prst="line">
                            <a:avLst/>
                          </a:prstGeom>
                          <a:ln w="0" cap="flat" cmpd="sng">
                            <a:solidFill>
                              <a:srgbClr val="000000"/>
                            </a:solidFill>
                            <a:prstDash val="solid"/>
                            <a:headEnd type="none" w="med" len="med"/>
                            <a:tailEnd type="none" w="med" len="med"/>
                          </a:ln>
                        </wps:spPr>
                        <wps:bodyPr upright="1"/>
                      </wps:wsp>
                      <wps:wsp>
                        <wps:cNvPr id="732" name="直接连接符 732"/>
                        <wps:cNvCnPr/>
                        <wps:spPr>
                          <a:xfrm flipV="1">
                            <a:off x="3526" y="616"/>
                            <a:ext cx="444" cy="446"/>
                          </a:xfrm>
                          <a:prstGeom prst="line">
                            <a:avLst/>
                          </a:prstGeom>
                          <a:ln w="0" cap="flat" cmpd="sng">
                            <a:solidFill>
                              <a:srgbClr val="000000"/>
                            </a:solidFill>
                            <a:prstDash val="solid"/>
                            <a:headEnd type="none" w="med" len="med"/>
                            <a:tailEnd type="none" w="med" len="med"/>
                          </a:ln>
                        </wps:spPr>
                        <wps:bodyPr upright="1"/>
                      </wps:wsp>
                      <wps:wsp>
                        <wps:cNvPr id="733" name="直接连接符 733"/>
                        <wps:cNvCnPr/>
                        <wps:spPr>
                          <a:xfrm flipV="1">
                            <a:off x="3526" y="616"/>
                            <a:ext cx="583" cy="586"/>
                          </a:xfrm>
                          <a:prstGeom prst="line">
                            <a:avLst/>
                          </a:prstGeom>
                          <a:ln w="0" cap="flat" cmpd="sng">
                            <a:solidFill>
                              <a:srgbClr val="000000"/>
                            </a:solidFill>
                            <a:prstDash val="solid"/>
                            <a:headEnd type="none" w="med" len="med"/>
                            <a:tailEnd type="none" w="med" len="med"/>
                          </a:ln>
                        </wps:spPr>
                        <wps:bodyPr upright="1"/>
                      </wps:wsp>
                      <wps:wsp>
                        <wps:cNvPr id="734" name="直接连接符 734"/>
                        <wps:cNvCnPr/>
                        <wps:spPr>
                          <a:xfrm flipV="1">
                            <a:off x="3554" y="616"/>
                            <a:ext cx="694" cy="696"/>
                          </a:xfrm>
                          <a:prstGeom prst="line">
                            <a:avLst/>
                          </a:prstGeom>
                          <a:ln w="0" cap="flat" cmpd="sng">
                            <a:solidFill>
                              <a:srgbClr val="000000"/>
                            </a:solidFill>
                            <a:prstDash val="solid"/>
                            <a:headEnd type="none" w="med" len="med"/>
                            <a:tailEnd type="none" w="med" len="med"/>
                          </a:ln>
                        </wps:spPr>
                        <wps:bodyPr upright="1"/>
                      </wps:wsp>
                      <wps:wsp>
                        <wps:cNvPr id="735" name="直接连接符 735"/>
                        <wps:cNvCnPr/>
                        <wps:spPr>
                          <a:xfrm flipV="1">
                            <a:off x="3693" y="616"/>
                            <a:ext cx="693" cy="696"/>
                          </a:xfrm>
                          <a:prstGeom prst="line">
                            <a:avLst/>
                          </a:prstGeom>
                          <a:ln w="0" cap="flat" cmpd="sng">
                            <a:solidFill>
                              <a:srgbClr val="000000"/>
                            </a:solidFill>
                            <a:prstDash val="solid"/>
                            <a:headEnd type="none" w="med" len="med"/>
                            <a:tailEnd type="none" w="med" len="med"/>
                          </a:ln>
                        </wps:spPr>
                        <wps:bodyPr upright="1"/>
                      </wps:wsp>
                      <wps:wsp>
                        <wps:cNvPr id="736" name="直接连接符 736"/>
                        <wps:cNvCnPr/>
                        <wps:spPr>
                          <a:xfrm flipV="1">
                            <a:off x="3832" y="616"/>
                            <a:ext cx="693" cy="696"/>
                          </a:xfrm>
                          <a:prstGeom prst="line">
                            <a:avLst/>
                          </a:prstGeom>
                          <a:ln w="0" cap="flat" cmpd="sng">
                            <a:solidFill>
                              <a:srgbClr val="000000"/>
                            </a:solidFill>
                            <a:prstDash val="solid"/>
                            <a:headEnd type="none" w="med" len="med"/>
                            <a:tailEnd type="none" w="med" len="med"/>
                          </a:ln>
                        </wps:spPr>
                        <wps:bodyPr upright="1"/>
                      </wps:wsp>
                      <wps:wsp>
                        <wps:cNvPr id="737" name="直接连接符 737"/>
                        <wps:cNvCnPr/>
                        <wps:spPr>
                          <a:xfrm flipV="1">
                            <a:off x="3970" y="953"/>
                            <a:ext cx="358" cy="359"/>
                          </a:xfrm>
                          <a:prstGeom prst="line">
                            <a:avLst/>
                          </a:prstGeom>
                          <a:ln w="0" cap="flat" cmpd="sng">
                            <a:solidFill>
                              <a:srgbClr val="000000"/>
                            </a:solidFill>
                            <a:prstDash val="solid"/>
                            <a:headEnd type="none" w="med" len="med"/>
                            <a:tailEnd type="none" w="med" len="med"/>
                          </a:ln>
                        </wps:spPr>
                        <wps:bodyPr upright="1"/>
                      </wps:wsp>
                      <wps:wsp>
                        <wps:cNvPr id="738" name="直接连接符 738"/>
                        <wps:cNvCnPr/>
                        <wps:spPr>
                          <a:xfrm flipV="1">
                            <a:off x="4457" y="633"/>
                            <a:ext cx="190" cy="190"/>
                          </a:xfrm>
                          <a:prstGeom prst="line">
                            <a:avLst/>
                          </a:prstGeom>
                          <a:ln w="0" cap="flat" cmpd="sng">
                            <a:solidFill>
                              <a:srgbClr val="000000"/>
                            </a:solidFill>
                            <a:prstDash val="solid"/>
                            <a:headEnd type="none" w="med" len="med"/>
                            <a:tailEnd type="none" w="med" len="med"/>
                          </a:ln>
                        </wps:spPr>
                        <wps:bodyPr upright="1"/>
                      </wps:wsp>
                      <wps:wsp>
                        <wps:cNvPr id="739" name="直接连接符 739"/>
                        <wps:cNvCnPr/>
                        <wps:spPr>
                          <a:xfrm flipV="1">
                            <a:off x="4109" y="1092"/>
                            <a:ext cx="219" cy="220"/>
                          </a:xfrm>
                          <a:prstGeom prst="line">
                            <a:avLst/>
                          </a:prstGeom>
                          <a:ln w="0" cap="flat" cmpd="sng">
                            <a:solidFill>
                              <a:srgbClr val="000000"/>
                            </a:solidFill>
                            <a:prstDash val="solid"/>
                            <a:headEnd type="none" w="med" len="med"/>
                            <a:tailEnd type="none" w="med" len="med"/>
                          </a:ln>
                        </wps:spPr>
                        <wps:bodyPr upright="1"/>
                      </wps:wsp>
                      <wps:wsp>
                        <wps:cNvPr id="740" name="直接连接符 740"/>
                        <wps:cNvCnPr/>
                        <wps:spPr>
                          <a:xfrm flipV="1">
                            <a:off x="4596" y="772"/>
                            <a:ext cx="51" cy="51"/>
                          </a:xfrm>
                          <a:prstGeom prst="line">
                            <a:avLst/>
                          </a:prstGeom>
                          <a:ln w="0" cap="flat" cmpd="sng">
                            <a:solidFill>
                              <a:srgbClr val="000000"/>
                            </a:solidFill>
                            <a:prstDash val="solid"/>
                            <a:headEnd type="none" w="med" len="med"/>
                            <a:tailEnd type="none" w="med" len="med"/>
                          </a:ln>
                        </wps:spPr>
                        <wps:bodyPr upright="1"/>
                      </wps:wsp>
                      <wps:wsp>
                        <wps:cNvPr id="741" name="直接连接符 741"/>
                        <wps:cNvCnPr/>
                        <wps:spPr>
                          <a:xfrm flipV="1">
                            <a:off x="4248" y="1232"/>
                            <a:ext cx="80" cy="80"/>
                          </a:xfrm>
                          <a:prstGeom prst="line">
                            <a:avLst/>
                          </a:prstGeom>
                          <a:ln w="0" cap="flat" cmpd="sng">
                            <a:solidFill>
                              <a:srgbClr val="000000"/>
                            </a:solidFill>
                            <a:prstDash val="solid"/>
                            <a:headEnd type="none" w="med" len="med"/>
                            <a:tailEnd type="none" w="med" len="med"/>
                          </a:ln>
                        </wps:spPr>
                        <wps:bodyPr upright="1"/>
                      </wps:wsp>
                      <wps:wsp>
                        <wps:cNvPr id="742" name="直接连接符 742"/>
                        <wps:cNvCnPr/>
                        <wps:spPr>
                          <a:xfrm flipV="1">
                            <a:off x="3526" y="885"/>
                            <a:ext cx="4" cy="5"/>
                          </a:xfrm>
                          <a:prstGeom prst="line">
                            <a:avLst/>
                          </a:prstGeom>
                          <a:ln w="0" cap="flat" cmpd="sng">
                            <a:solidFill>
                              <a:srgbClr val="000000"/>
                            </a:solidFill>
                            <a:prstDash val="solid"/>
                            <a:headEnd type="none" w="med" len="med"/>
                            <a:tailEnd type="none" w="med" len="med"/>
                          </a:ln>
                        </wps:spPr>
                        <wps:bodyPr upright="1"/>
                      </wps:wsp>
                      <wps:wsp>
                        <wps:cNvPr id="743" name="直接连接符 743"/>
                        <wps:cNvCnPr/>
                        <wps:spPr>
                          <a:xfrm flipV="1">
                            <a:off x="3738" y="616"/>
                            <a:ext cx="17" cy="20"/>
                          </a:xfrm>
                          <a:prstGeom prst="line">
                            <a:avLst/>
                          </a:prstGeom>
                          <a:ln w="0" cap="flat" cmpd="sng">
                            <a:solidFill>
                              <a:srgbClr val="000000"/>
                            </a:solidFill>
                            <a:prstDash val="solid"/>
                            <a:headEnd type="none" w="med" len="med"/>
                            <a:tailEnd type="none" w="med" len="med"/>
                          </a:ln>
                        </wps:spPr>
                        <wps:bodyPr upright="1"/>
                      </wps:wsp>
                      <wps:wsp>
                        <wps:cNvPr id="744" name="直接连接符 744"/>
                        <wps:cNvCnPr/>
                        <wps:spPr>
                          <a:xfrm flipV="1">
                            <a:off x="3565" y="1181"/>
                            <a:ext cx="19" cy="22"/>
                          </a:xfrm>
                          <a:prstGeom prst="line">
                            <a:avLst/>
                          </a:prstGeom>
                          <a:ln w="0" cap="flat" cmpd="sng">
                            <a:solidFill>
                              <a:srgbClr val="000000"/>
                            </a:solidFill>
                            <a:prstDash val="solid"/>
                            <a:headEnd type="none" w="med" len="med"/>
                            <a:tailEnd type="none" w="med" len="med"/>
                          </a:ln>
                        </wps:spPr>
                        <wps:bodyPr upright="1"/>
                      </wps:wsp>
                      <wps:wsp>
                        <wps:cNvPr id="745" name="直接连接符 745"/>
                        <wps:cNvCnPr/>
                        <wps:spPr>
                          <a:xfrm flipV="1">
                            <a:off x="3792" y="910"/>
                            <a:ext cx="19" cy="22"/>
                          </a:xfrm>
                          <a:prstGeom prst="line">
                            <a:avLst/>
                          </a:prstGeom>
                          <a:ln w="0" cap="flat" cmpd="sng">
                            <a:solidFill>
                              <a:srgbClr val="000000"/>
                            </a:solidFill>
                            <a:prstDash val="solid"/>
                            <a:headEnd type="none" w="med" len="med"/>
                            <a:tailEnd type="none" w="med" len="med"/>
                          </a:ln>
                        </wps:spPr>
                        <wps:bodyPr upright="1"/>
                      </wps:wsp>
                      <wps:wsp>
                        <wps:cNvPr id="746" name="直接连接符 746"/>
                        <wps:cNvCnPr/>
                        <wps:spPr>
                          <a:xfrm flipV="1">
                            <a:off x="4019" y="638"/>
                            <a:ext cx="19" cy="23"/>
                          </a:xfrm>
                          <a:prstGeom prst="line">
                            <a:avLst/>
                          </a:prstGeom>
                          <a:ln w="0" cap="flat" cmpd="sng">
                            <a:solidFill>
                              <a:srgbClr val="000000"/>
                            </a:solidFill>
                            <a:prstDash val="solid"/>
                            <a:headEnd type="none" w="med" len="med"/>
                            <a:tailEnd type="none" w="med" len="med"/>
                          </a:ln>
                        </wps:spPr>
                        <wps:bodyPr upright="1"/>
                      </wps:wsp>
                      <wps:wsp>
                        <wps:cNvPr id="747" name="直接连接符 747"/>
                        <wps:cNvCnPr/>
                        <wps:spPr>
                          <a:xfrm flipV="1">
                            <a:off x="3847" y="1206"/>
                            <a:ext cx="19" cy="22"/>
                          </a:xfrm>
                          <a:prstGeom prst="line">
                            <a:avLst/>
                          </a:prstGeom>
                          <a:ln w="0" cap="flat" cmpd="sng">
                            <a:solidFill>
                              <a:srgbClr val="000000"/>
                            </a:solidFill>
                            <a:prstDash val="solid"/>
                            <a:headEnd type="none" w="med" len="med"/>
                            <a:tailEnd type="none" w="med" len="med"/>
                          </a:ln>
                        </wps:spPr>
                        <wps:bodyPr upright="1"/>
                      </wps:wsp>
                      <wps:wsp>
                        <wps:cNvPr id="748" name="直接连接符 748"/>
                        <wps:cNvCnPr/>
                        <wps:spPr>
                          <a:xfrm flipV="1">
                            <a:off x="4074" y="934"/>
                            <a:ext cx="18" cy="23"/>
                          </a:xfrm>
                          <a:prstGeom prst="line">
                            <a:avLst/>
                          </a:prstGeom>
                          <a:ln w="0" cap="flat" cmpd="sng">
                            <a:solidFill>
                              <a:srgbClr val="000000"/>
                            </a:solidFill>
                            <a:prstDash val="solid"/>
                            <a:headEnd type="none" w="med" len="med"/>
                            <a:tailEnd type="none" w="med" len="med"/>
                          </a:ln>
                        </wps:spPr>
                        <wps:bodyPr upright="1"/>
                      </wps:wsp>
                      <wps:wsp>
                        <wps:cNvPr id="749" name="直接连接符 749"/>
                        <wps:cNvCnPr/>
                        <wps:spPr>
                          <a:xfrm flipV="1">
                            <a:off x="4301" y="663"/>
                            <a:ext cx="18" cy="22"/>
                          </a:xfrm>
                          <a:prstGeom prst="line">
                            <a:avLst/>
                          </a:prstGeom>
                          <a:ln w="0" cap="flat" cmpd="sng">
                            <a:solidFill>
                              <a:srgbClr val="000000"/>
                            </a:solidFill>
                            <a:prstDash val="solid"/>
                            <a:headEnd type="none" w="med" len="med"/>
                            <a:tailEnd type="none" w="med" len="med"/>
                          </a:ln>
                        </wps:spPr>
                        <wps:bodyPr upright="1"/>
                      </wps:wsp>
                      <wps:wsp>
                        <wps:cNvPr id="750" name="直接连接符 750"/>
                        <wps:cNvCnPr/>
                        <wps:spPr>
                          <a:xfrm flipV="1">
                            <a:off x="4128" y="1230"/>
                            <a:ext cx="19" cy="23"/>
                          </a:xfrm>
                          <a:prstGeom prst="line">
                            <a:avLst/>
                          </a:prstGeom>
                          <a:ln w="0" cap="flat" cmpd="sng">
                            <a:solidFill>
                              <a:srgbClr val="000000"/>
                            </a:solidFill>
                            <a:prstDash val="solid"/>
                            <a:headEnd type="none" w="med" len="med"/>
                            <a:tailEnd type="none" w="med" len="med"/>
                          </a:ln>
                        </wps:spPr>
                        <wps:bodyPr upright="1"/>
                      </wps:wsp>
                      <wps:wsp>
                        <wps:cNvPr id="751" name="直接连接符 751"/>
                        <wps:cNvCnPr/>
                        <wps:spPr>
                          <a:xfrm flipV="1">
                            <a:off x="4582" y="687"/>
                            <a:ext cx="19" cy="23"/>
                          </a:xfrm>
                          <a:prstGeom prst="line">
                            <a:avLst/>
                          </a:prstGeom>
                          <a:ln w="0" cap="flat" cmpd="sng">
                            <a:solidFill>
                              <a:srgbClr val="000000"/>
                            </a:solidFill>
                            <a:prstDash val="solid"/>
                            <a:headEnd type="none" w="med" len="med"/>
                            <a:tailEnd type="none" w="med" len="med"/>
                          </a:ln>
                        </wps:spPr>
                        <wps:bodyPr upright="1"/>
                      </wps:wsp>
                      <wps:wsp>
                        <wps:cNvPr id="752" name="直接连接符 752"/>
                        <wps:cNvCnPr/>
                        <wps:spPr>
                          <a:xfrm>
                            <a:off x="3738" y="636"/>
                            <a:ext cx="23" cy="2"/>
                          </a:xfrm>
                          <a:prstGeom prst="line">
                            <a:avLst/>
                          </a:prstGeom>
                          <a:ln w="0" cap="flat" cmpd="sng">
                            <a:solidFill>
                              <a:srgbClr val="000000"/>
                            </a:solidFill>
                            <a:prstDash val="solid"/>
                            <a:headEnd type="none" w="med" len="med"/>
                            <a:tailEnd type="none" w="med" len="med"/>
                          </a:ln>
                        </wps:spPr>
                        <wps:bodyPr upright="1"/>
                      </wps:wsp>
                      <wps:wsp>
                        <wps:cNvPr id="753" name="直接连接符 753"/>
                        <wps:cNvCnPr/>
                        <wps:spPr>
                          <a:xfrm>
                            <a:off x="4019" y="661"/>
                            <a:ext cx="24" cy="2"/>
                          </a:xfrm>
                          <a:prstGeom prst="line">
                            <a:avLst/>
                          </a:prstGeom>
                          <a:ln w="0" cap="flat" cmpd="sng">
                            <a:solidFill>
                              <a:srgbClr val="000000"/>
                            </a:solidFill>
                            <a:prstDash val="solid"/>
                            <a:headEnd type="none" w="med" len="med"/>
                            <a:tailEnd type="none" w="med" len="med"/>
                          </a:ln>
                        </wps:spPr>
                        <wps:bodyPr upright="1"/>
                      </wps:wsp>
                      <wps:wsp>
                        <wps:cNvPr id="754" name="直接连接符 754"/>
                        <wps:cNvCnPr/>
                        <wps:spPr>
                          <a:xfrm>
                            <a:off x="4301" y="685"/>
                            <a:ext cx="23" cy="2"/>
                          </a:xfrm>
                          <a:prstGeom prst="line">
                            <a:avLst/>
                          </a:prstGeom>
                          <a:ln w="0" cap="flat" cmpd="sng">
                            <a:solidFill>
                              <a:srgbClr val="000000"/>
                            </a:solidFill>
                            <a:prstDash val="solid"/>
                            <a:headEnd type="none" w="med" len="med"/>
                            <a:tailEnd type="none" w="med" len="med"/>
                          </a:ln>
                        </wps:spPr>
                        <wps:bodyPr upright="1"/>
                      </wps:wsp>
                      <wps:wsp>
                        <wps:cNvPr id="755" name="直接连接符 755"/>
                        <wps:cNvCnPr/>
                        <wps:spPr>
                          <a:xfrm>
                            <a:off x="4582" y="710"/>
                            <a:ext cx="23" cy="2"/>
                          </a:xfrm>
                          <a:prstGeom prst="line">
                            <a:avLst/>
                          </a:prstGeom>
                          <a:ln w="0" cap="flat" cmpd="sng">
                            <a:solidFill>
                              <a:srgbClr val="000000"/>
                            </a:solidFill>
                            <a:prstDash val="solid"/>
                            <a:headEnd type="none" w="med" len="med"/>
                            <a:tailEnd type="none" w="med" len="med"/>
                          </a:ln>
                        </wps:spPr>
                        <wps:bodyPr upright="1"/>
                      </wps:wsp>
                      <wps:wsp>
                        <wps:cNvPr id="756" name="直接连接符 756"/>
                        <wps:cNvCnPr/>
                        <wps:spPr>
                          <a:xfrm>
                            <a:off x="3526" y="909"/>
                            <a:ext cx="8" cy="0"/>
                          </a:xfrm>
                          <a:prstGeom prst="line">
                            <a:avLst/>
                          </a:prstGeom>
                          <a:ln w="0" cap="flat" cmpd="sng">
                            <a:solidFill>
                              <a:srgbClr val="000000"/>
                            </a:solidFill>
                            <a:prstDash val="solid"/>
                            <a:headEnd type="none" w="med" len="med"/>
                            <a:tailEnd type="none" w="med" len="med"/>
                          </a:ln>
                        </wps:spPr>
                        <wps:bodyPr upright="1"/>
                      </wps:wsp>
                      <wps:wsp>
                        <wps:cNvPr id="757" name="直接连接符 757"/>
                        <wps:cNvCnPr/>
                        <wps:spPr>
                          <a:xfrm>
                            <a:off x="3792" y="932"/>
                            <a:ext cx="24" cy="2"/>
                          </a:xfrm>
                          <a:prstGeom prst="line">
                            <a:avLst/>
                          </a:prstGeom>
                          <a:ln w="0" cap="flat" cmpd="sng">
                            <a:solidFill>
                              <a:srgbClr val="000000"/>
                            </a:solidFill>
                            <a:prstDash val="solid"/>
                            <a:headEnd type="none" w="med" len="med"/>
                            <a:tailEnd type="none" w="med" len="med"/>
                          </a:ln>
                        </wps:spPr>
                        <wps:bodyPr upright="1"/>
                      </wps:wsp>
                      <wps:wsp>
                        <wps:cNvPr id="758" name="直接连接符 758"/>
                        <wps:cNvCnPr/>
                        <wps:spPr>
                          <a:xfrm>
                            <a:off x="4074" y="957"/>
                            <a:ext cx="23" cy="2"/>
                          </a:xfrm>
                          <a:prstGeom prst="line">
                            <a:avLst/>
                          </a:prstGeom>
                          <a:ln w="0" cap="flat" cmpd="sng">
                            <a:solidFill>
                              <a:srgbClr val="000000"/>
                            </a:solidFill>
                            <a:prstDash val="solid"/>
                            <a:headEnd type="none" w="med" len="med"/>
                            <a:tailEnd type="none" w="med" len="med"/>
                          </a:ln>
                        </wps:spPr>
                        <wps:bodyPr upright="1"/>
                      </wps:wsp>
                      <wps:wsp>
                        <wps:cNvPr id="759" name="直接连接符 759"/>
                        <wps:cNvCnPr/>
                        <wps:spPr>
                          <a:xfrm>
                            <a:off x="3565" y="1203"/>
                            <a:ext cx="24" cy="3"/>
                          </a:xfrm>
                          <a:prstGeom prst="line">
                            <a:avLst/>
                          </a:prstGeom>
                          <a:ln w="0" cap="flat" cmpd="sng">
                            <a:solidFill>
                              <a:srgbClr val="000000"/>
                            </a:solidFill>
                            <a:prstDash val="solid"/>
                            <a:headEnd type="none" w="med" len="med"/>
                            <a:tailEnd type="none" w="med" len="med"/>
                          </a:ln>
                        </wps:spPr>
                        <wps:bodyPr upright="1"/>
                      </wps:wsp>
                      <wps:wsp>
                        <wps:cNvPr id="760" name="直接连接符 760"/>
                        <wps:cNvCnPr/>
                        <wps:spPr>
                          <a:xfrm>
                            <a:off x="3847" y="1228"/>
                            <a:ext cx="23" cy="2"/>
                          </a:xfrm>
                          <a:prstGeom prst="line">
                            <a:avLst/>
                          </a:prstGeom>
                          <a:ln w="0" cap="flat" cmpd="sng">
                            <a:solidFill>
                              <a:srgbClr val="000000"/>
                            </a:solidFill>
                            <a:prstDash val="solid"/>
                            <a:headEnd type="none" w="med" len="med"/>
                            <a:tailEnd type="none" w="med" len="med"/>
                          </a:ln>
                        </wps:spPr>
                        <wps:bodyPr upright="1"/>
                      </wps:wsp>
                      <wps:wsp>
                        <wps:cNvPr id="761" name="直接连接符 761"/>
                        <wps:cNvCnPr/>
                        <wps:spPr>
                          <a:xfrm>
                            <a:off x="4128" y="1253"/>
                            <a:ext cx="23" cy="2"/>
                          </a:xfrm>
                          <a:prstGeom prst="line">
                            <a:avLst/>
                          </a:prstGeom>
                          <a:ln w="0" cap="flat" cmpd="sng">
                            <a:solidFill>
                              <a:srgbClr val="000000"/>
                            </a:solidFill>
                            <a:prstDash val="solid"/>
                            <a:headEnd type="none" w="med" len="med"/>
                            <a:tailEnd type="none" w="med" len="med"/>
                          </a:ln>
                        </wps:spPr>
                        <wps:bodyPr upright="1"/>
                      </wps:wsp>
                      <wps:wsp>
                        <wps:cNvPr id="762" name="直接连接符 762"/>
                        <wps:cNvCnPr/>
                        <wps:spPr>
                          <a:xfrm flipH="1" flipV="1">
                            <a:off x="3584" y="1181"/>
                            <a:ext cx="5" cy="25"/>
                          </a:xfrm>
                          <a:prstGeom prst="line">
                            <a:avLst/>
                          </a:prstGeom>
                          <a:ln w="0" cap="flat" cmpd="sng">
                            <a:solidFill>
                              <a:srgbClr val="000000"/>
                            </a:solidFill>
                            <a:prstDash val="solid"/>
                            <a:headEnd type="none" w="med" len="med"/>
                            <a:tailEnd type="none" w="med" len="med"/>
                          </a:ln>
                        </wps:spPr>
                        <wps:bodyPr upright="1"/>
                      </wps:wsp>
                      <wps:wsp>
                        <wps:cNvPr id="763" name="直接连接符 763"/>
                        <wps:cNvCnPr/>
                        <wps:spPr>
                          <a:xfrm flipH="1" flipV="1">
                            <a:off x="3530" y="885"/>
                            <a:ext cx="4" cy="24"/>
                          </a:xfrm>
                          <a:prstGeom prst="line">
                            <a:avLst/>
                          </a:prstGeom>
                          <a:ln w="0" cap="flat" cmpd="sng">
                            <a:solidFill>
                              <a:srgbClr val="000000"/>
                            </a:solidFill>
                            <a:prstDash val="solid"/>
                            <a:headEnd type="none" w="med" len="med"/>
                            <a:tailEnd type="none" w="med" len="med"/>
                          </a:ln>
                        </wps:spPr>
                        <wps:bodyPr upright="1"/>
                      </wps:wsp>
                      <wps:wsp>
                        <wps:cNvPr id="764" name="直接连接符 764"/>
                        <wps:cNvCnPr/>
                        <wps:spPr>
                          <a:xfrm flipH="1" flipV="1">
                            <a:off x="3866" y="1206"/>
                            <a:ext cx="4" cy="24"/>
                          </a:xfrm>
                          <a:prstGeom prst="line">
                            <a:avLst/>
                          </a:prstGeom>
                          <a:ln w="0" cap="flat" cmpd="sng">
                            <a:solidFill>
                              <a:srgbClr val="000000"/>
                            </a:solidFill>
                            <a:prstDash val="solid"/>
                            <a:headEnd type="none" w="med" len="med"/>
                            <a:tailEnd type="none" w="med" len="med"/>
                          </a:ln>
                        </wps:spPr>
                        <wps:bodyPr upright="1"/>
                      </wps:wsp>
                      <wps:wsp>
                        <wps:cNvPr id="765" name="直接连接符 765"/>
                        <wps:cNvCnPr/>
                        <wps:spPr>
                          <a:xfrm flipH="1" flipV="1">
                            <a:off x="3811" y="910"/>
                            <a:ext cx="5" cy="24"/>
                          </a:xfrm>
                          <a:prstGeom prst="line">
                            <a:avLst/>
                          </a:prstGeom>
                          <a:ln w="0" cap="flat" cmpd="sng">
                            <a:solidFill>
                              <a:srgbClr val="000000"/>
                            </a:solidFill>
                            <a:prstDash val="solid"/>
                            <a:headEnd type="none" w="med" len="med"/>
                            <a:tailEnd type="none" w="med" len="med"/>
                          </a:ln>
                        </wps:spPr>
                        <wps:bodyPr upright="1"/>
                      </wps:wsp>
                      <wps:wsp>
                        <wps:cNvPr id="766" name="直接连接符 766"/>
                        <wps:cNvCnPr/>
                        <wps:spPr>
                          <a:xfrm flipH="1" flipV="1">
                            <a:off x="3757" y="616"/>
                            <a:ext cx="4" cy="22"/>
                          </a:xfrm>
                          <a:prstGeom prst="line">
                            <a:avLst/>
                          </a:prstGeom>
                          <a:ln w="0" cap="flat" cmpd="sng">
                            <a:solidFill>
                              <a:srgbClr val="000000"/>
                            </a:solidFill>
                            <a:prstDash val="solid"/>
                            <a:headEnd type="none" w="med" len="med"/>
                            <a:tailEnd type="none" w="med" len="med"/>
                          </a:ln>
                        </wps:spPr>
                        <wps:bodyPr upright="1"/>
                      </wps:wsp>
                      <wps:wsp>
                        <wps:cNvPr id="767" name="直接连接符 767"/>
                        <wps:cNvCnPr/>
                        <wps:spPr>
                          <a:xfrm flipH="1" flipV="1">
                            <a:off x="4147" y="1230"/>
                            <a:ext cx="4" cy="25"/>
                          </a:xfrm>
                          <a:prstGeom prst="line">
                            <a:avLst/>
                          </a:prstGeom>
                          <a:ln w="0" cap="flat" cmpd="sng">
                            <a:solidFill>
                              <a:srgbClr val="000000"/>
                            </a:solidFill>
                            <a:prstDash val="solid"/>
                            <a:headEnd type="none" w="med" len="med"/>
                            <a:tailEnd type="none" w="med" len="med"/>
                          </a:ln>
                        </wps:spPr>
                        <wps:bodyPr upright="1"/>
                      </wps:wsp>
                      <wps:wsp>
                        <wps:cNvPr id="768" name="直接连接符 768"/>
                        <wps:cNvCnPr/>
                        <wps:spPr>
                          <a:xfrm flipH="1" flipV="1">
                            <a:off x="4092" y="934"/>
                            <a:ext cx="5" cy="25"/>
                          </a:xfrm>
                          <a:prstGeom prst="line">
                            <a:avLst/>
                          </a:prstGeom>
                          <a:ln w="0" cap="flat" cmpd="sng">
                            <a:solidFill>
                              <a:srgbClr val="000000"/>
                            </a:solidFill>
                            <a:prstDash val="solid"/>
                            <a:headEnd type="none" w="med" len="med"/>
                            <a:tailEnd type="none" w="med" len="med"/>
                          </a:ln>
                        </wps:spPr>
                        <wps:bodyPr upright="1"/>
                      </wps:wsp>
                      <wps:wsp>
                        <wps:cNvPr id="769" name="直接连接符 769"/>
                        <wps:cNvCnPr/>
                        <wps:spPr>
                          <a:xfrm flipH="1" flipV="1">
                            <a:off x="4038" y="638"/>
                            <a:ext cx="5" cy="25"/>
                          </a:xfrm>
                          <a:prstGeom prst="line">
                            <a:avLst/>
                          </a:prstGeom>
                          <a:ln w="0" cap="flat" cmpd="sng">
                            <a:solidFill>
                              <a:srgbClr val="000000"/>
                            </a:solidFill>
                            <a:prstDash val="solid"/>
                            <a:headEnd type="none" w="med" len="med"/>
                            <a:tailEnd type="none" w="med" len="med"/>
                          </a:ln>
                        </wps:spPr>
                        <wps:bodyPr upright="1"/>
                      </wps:wsp>
                      <wps:wsp>
                        <wps:cNvPr id="770" name="直接连接符 770"/>
                        <wps:cNvCnPr/>
                        <wps:spPr>
                          <a:xfrm flipH="1" flipV="1">
                            <a:off x="4319" y="663"/>
                            <a:ext cx="5" cy="24"/>
                          </a:xfrm>
                          <a:prstGeom prst="line">
                            <a:avLst/>
                          </a:prstGeom>
                          <a:ln w="0" cap="flat" cmpd="sng">
                            <a:solidFill>
                              <a:srgbClr val="000000"/>
                            </a:solidFill>
                            <a:prstDash val="solid"/>
                            <a:headEnd type="none" w="med" len="med"/>
                            <a:tailEnd type="none" w="med" len="med"/>
                          </a:ln>
                        </wps:spPr>
                        <wps:bodyPr upright="1"/>
                      </wps:wsp>
                      <wps:wsp>
                        <wps:cNvPr id="771" name="直接连接符 771"/>
                        <wps:cNvCnPr/>
                        <wps:spPr>
                          <a:xfrm flipH="1" flipV="1">
                            <a:off x="4601" y="687"/>
                            <a:ext cx="4" cy="25"/>
                          </a:xfrm>
                          <a:prstGeom prst="line">
                            <a:avLst/>
                          </a:prstGeom>
                          <a:ln w="0" cap="flat" cmpd="sng">
                            <a:solidFill>
                              <a:srgbClr val="000000"/>
                            </a:solidFill>
                            <a:prstDash val="solid"/>
                            <a:headEnd type="none" w="med" len="med"/>
                            <a:tailEnd type="none" w="med" len="med"/>
                          </a:ln>
                        </wps:spPr>
                        <wps:bodyPr upright="1"/>
                      </wps:wsp>
                      <wps:wsp>
                        <wps:cNvPr id="772" name="直接连接符 772"/>
                        <wps:cNvCnPr/>
                        <wps:spPr>
                          <a:xfrm flipV="1">
                            <a:off x="3568" y="1025"/>
                            <a:ext cx="30" cy="32"/>
                          </a:xfrm>
                          <a:prstGeom prst="line">
                            <a:avLst/>
                          </a:prstGeom>
                          <a:ln w="0" cap="flat" cmpd="sng">
                            <a:solidFill>
                              <a:srgbClr val="000000"/>
                            </a:solidFill>
                            <a:prstDash val="solid"/>
                            <a:headEnd type="none" w="med" len="med"/>
                            <a:tailEnd type="none" w="med" len="med"/>
                          </a:ln>
                        </wps:spPr>
                        <wps:bodyPr upright="1"/>
                      </wps:wsp>
                      <wps:wsp>
                        <wps:cNvPr id="773" name="直接连接符 773"/>
                        <wps:cNvCnPr/>
                        <wps:spPr>
                          <a:xfrm flipV="1">
                            <a:off x="3934" y="641"/>
                            <a:ext cx="31" cy="32"/>
                          </a:xfrm>
                          <a:prstGeom prst="line">
                            <a:avLst/>
                          </a:prstGeom>
                          <a:ln w="0" cap="flat" cmpd="sng">
                            <a:solidFill>
                              <a:srgbClr val="000000"/>
                            </a:solidFill>
                            <a:prstDash val="solid"/>
                            <a:headEnd type="none" w="med" len="med"/>
                            <a:tailEnd type="none" w="med" len="med"/>
                          </a:ln>
                        </wps:spPr>
                        <wps:bodyPr upright="1"/>
                      </wps:wsp>
                      <wps:wsp>
                        <wps:cNvPr id="774" name="直接连接符 774"/>
                        <wps:cNvCnPr/>
                        <wps:spPr>
                          <a:xfrm flipV="1">
                            <a:off x="3986" y="1090"/>
                            <a:ext cx="31" cy="32"/>
                          </a:xfrm>
                          <a:prstGeom prst="line">
                            <a:avLst/>
                          </a:prstGeom>
                          <a:ln w="0" cap="flat" cmpd="sng">
                            <a:solidFill>
                              <a:srgbClr val="000000"/>
                            </a:solidFill>
                            <a:prstDash val="solid"/>
                            <a:headEnd type="none" w="med" len="med"/>
                            <a:tailEnd type="none" w="med" len="med"/>
                          </a:ln>
                        </wps:spPr>
                        <wps:bodyPr upright="1"/>
                      </wps:wsp>
                      <wps:wsp>
                        <wps:cNvPr id="775" name="直接连接符 775"/>
                        <wps:cNvCnPr/>
                        <wps:spPr>
                          <a:xfrm flipV="1">
                            <a:off x="4353" y="706"/>
                            <a:ext cx="30" cy="32"/>
                          </a:xfrm>
                          <a:prstGeom prst="line">
                            <a:avLst/>
                          </a:prstGeom>
                          <a:ln w="0" cap="flat" cmpd="sng">
                            <a:solidFill>
                              <a:srgbClr val="000000"/>
                            </a:solidFill>
                            <a:prstDash val="solid"/>
                            <a:headEnd type="none" w="med" len="med"/>
                            <a:tailEnd type="none" w="med" len="med"/>
                          </a:ln>
                        </wps:spPr>
                        <wps:bodyPr upright="1"/>
                      </wps:wsp>
                      <wps:wsp>
                        <wps:cNvPr id="776" name="直接连接符 776"/>
                        <wps:cNvCnPr/>
                        <wps:spPr>
                          <a:xfrm flipH="1" flipV="1">
                            <a:off x="3598" y="1025"/>
                            <a:ext cx="5" cy="37"/>
                          </a:xfrm>
                          <a:prstGeom prst="line">
                            <a:avLst/>
                          </a:prstGeom>
                          <a:ln w="0" cap="flat" cmpd="sng">
                            <a:solidFill>
                              <a:srgbClr val="000000"/>
                            </a:solidFill>
                            <a:prstDash val="solid"/>
                            <a:headEnd type="none" w="med" len="med"/>
                            <a:tailEnd type="none" w="med" len="med"/>
                          </a:ln>
                        </wps:spPr>
                        <wps:bodyPr upright="1"/>
                      </wps:wsp>
                      <wps:wsp>
                        <wps:cNvPr id="777" name="直接连接符 777"/>
                        <wps:cNvCnPr/>
                        <wps:spPr>
                          <a:xfrm flipH="1" flipV="1">
                            <a:off x="4017" y="1090"/>
                            <a:ext cx="4" cy="37"/>
                          </a:xfrm>
                          <a:prstGeom prst="line">
                            <a:avLst/>
                          </a:prstGeom>
                          <a:ln w="0" cap="flat" cmpd="sng">
                            <a:solidFill>
                              <a:srgbClr val="000000"/>
                            </a:solidFill>
                            <a:prstDash val="solid"/>
                            <a:headEnd type="none" w="med" len="med"/>
                            <a:tailEnd type="none" w="med" len="med"/>
                          </a:ln>
                        </wps:spPr>
                        <wps:bodyPr upright="1"/>
                      </wps:wsp>
                      <wps:wsp>
                        <wps:cNvPr id="778" name="直接连接符 778"/>
                        <wps:cNvCnPr/>
                        <wps:spPr>
                          <a:xfrm flipH="1" flipV="1">
                            <a:off x="3965" y="641"/>
                            <a:ext cx="4" cy="38"/>
                          </a:xfrm>
                          <a:prstGeom prst="line">
                            <a:avLst/>
                          </a:prstGeom>
                          <a:ln w="0" cap="flat" cmpd="sng">
                            <a:solidFill>
                              <a:srgbClr val="000000"/>
                            </a:solidFill>
                            <a:prstDash val="solid"/>
                            <a:headEnd type="none" w="med" len="med"/>
                            <a:tailEnd type="none" w="med" len="med"/>
                          </a:ln>
                        </wps:spPr>
                        <wps:bodyPr upright="1"/>
                      </wps:wsp>
                      <wps:wsp>
                        <wps:cNvPr id="779" name="直接连接符 779"/>
                        <wps:cNvCnPr/>
                        <wps:spPr>
                          <a:xfrm flipH="1" flipV="1">
                            <a:off x="4383" y="706"/>
                            <a:ext cx="5" cy="38"/>
                          </a:xfrm>
                          <a:prstGeom prst="line">
                            <a:avLst/>
                          </a:prstGeom>
                          <a:ln w="0" cap="flat" cmpd="sng">
                            <a:solidFill>
                              <a:srgbClr val="000000"/>
                            </a:solidFill>
                            <a:prstDash val="solid"/>
                            <a:headEnd type="none" w="med" len="med"/>
                            <a:tailEnd type="none" w="med" len="med"/>
                          </a:ln>
                        </wps:spPr>
                        <wps:bodyPr upright="1"/>
                      </wps:wsp>
                      <wps:wsp>
                        <wps:cNvPr id="780" name="直接连接符 780"/>
                        <wps:cNvCnPr/>
                        <wps:spPr>
                          <a:xfrm>
                            <a:off x="3934" y="673"/>
                            <a:ext cx="35" cy="6"/>
                          </a:xfrm>
                          <a:prstGeom prst="line">
                            <a:avLst/>
                          </a:prstGeom>
                          <a:ln w="0" cap="flat" cmpd="sng">
                            <a:solidFill>
                              <a:srgbClr val="000000"/>
                            </a:solidFill>
                            <a:prstDash val="solid"/>
                            <a:headEnd type="none" w="med" len="med"/>
                            <a:tailEnd type="none" w="med" len="med"/>
                          </a:ln>
                        </wps:spPr>
                        <wps:bodyPr upright="1"/>
                      </wps:wsp>
                      <wps:wsp>
                        <wps:cNvPr id="781" name="直接连接符 781"/>
                        <wps:cNvCnPr/>
                        <wps:spPr>
                          <a:xfrm>
                            <a:off x="4353" y="738"/>
                            <a:ext cx="35" cy="6"/>
                          </a:xfrm>
                          <a:prstGeom prst="line">
                            <a:avLst/>
                          </a:prstGeom>
                          <a:ln w="0" cap="flat" cmpd="sng">
                            <a:solidFill>
                              <a:srgbClr val="000000"/>
                            </a:solidFill>
                            <a:prstDash val="solid"/>
                            <a:headEnd type="none" w="med" len="med"/>
                            <a:tailEnd type="none" w="med" len="med"/>
                          </a:ln>
                        </wps:spPr>
                        <wps:bodyPr upright="1"/>
                      </wps:wsp>
                      <wps:wsp>
                        <wps:cNvPr id="782" name="直接连接符 782"/>
                        <wps:cNvCnPr/>
                        <wps:spPr>
                          <a:xfrm>
                            <a:off x="3568" y="1057"/>
                            <a:ext cx="35" cy="5"/>
                          </a:xfrm>
                          <a:prstGeom prst="line">
                            <a:avLst/>
                          </a:prstGeom>
                          <a:ln w="0" cap="flat" cmpd="sng">
                            <a:solidFill>
                              <a:srgbClr val="000000"/>
                            </a:solidFill>
                            <a:prstDash val="solid"/>
                            <a:headEnd type="none" w="med" len="med"/>
                            <a:tailEnd type="none" w="med" len="med"/>
                          </a:ln>
                        </wps:spPr>
                        <wps:bodyPr upright="1"/>
                      </wps:wsp>
                      <wps:wsp>
                        <wps:cNvPr id="783" name="直接连接符 783"/>
                        <wps:cNvCnPr/>
                        <wps:spPr>
                          <a:xfrm>
                            <a:off x="3986" y="1122"/>
                            <a:ext cx="35" cy="5"/>
                          </a:xfrm>
                          <a:prstGeom prst="line">
                            <a:avLst/>
                          </a:prstGeom>
                          <a:ln w="0" cap="flat" cmpd="sng">
                            <a:solidFill>
                              <a:srgbClr val="000000"/>
                            </a:solidFill>
                            <a:prstDash val="solid"/>
                            <a:headEnd type="none" w="med" len="med"/>
                            <a:tailEnd type="none" w="med" len="med"/>
                          </a:ln>
                        </wps:spPr>
                        <wps:bodyPr upright="1"/>
                      </wps:wsp>
                      <wps:wsp>
                        <wps:cNvPr id="784" name="直接连接符 784"/>
                        <wps:cNvCnPr/>
                        <wps:spPr>
                          <a:xfrm flipV="1">
                            <a:off x="3334" y="685"/>
                            <a:ext cx="27" cy="11"/>
                          </a:xfrm>
                          <a:prstGeom prst="line">
                            <a:avLst/>
                          </a:prstGeom>
                          <a:ln w="0" cap="flat" cmpd="sng">
                            <a:solidFill>
                              <a:srgbClr val="000000"/>
                            </a:solidFill>
                            <a:prstDash val="solid"/>
                            <a:headEnd type="none" w="med" len="med"/>
                            <a:tailEnd type="none" w="med" len="med"/>
                          </a:ln>
                        </wps:spPr>
                        <wps:bodyPr upright="1"/>
                      </wps:wsp>
                      <wps:wsp>
                        <wps:cNvPr id="785" name="直接连接符 785"/>
                        <wps:cNvCnPr/>
                        <wps:spPr>
                          <a:xfrm flipV="1">
                            <a:off x="3568" y="843"/>
                            <a:ext cx="27" cy="11"/>
                          </a:xfrm>
                          <a:prstGeom prst="line">
                            <a:avLst/>
                          </a:prstGeom>
                          <a:ln w="0" cap="flat" cmpd="sng">
                            <a:solidFill>
                              <a:srgbClr val="000000"/>
                            </a:solidFill>
                            <a:prstDash val="solid"/>
                            <a:headEnd type="none" w="med" len="med"/>
                            <a:tailEnd type="none" w="med" len="med"/>
                          </a:ln>
                        </wps:spPr>
                        <wps:bodyPr upright="1"/>
                      </wps:wsp>
                      <wps:wsp>
                        <wps:cNvPr id="786" name="直接连接符 786"/>
                        <wps:cNvCnPr/>
                        <wps:spPr>
                          <a:xfrm flipV="1">
                            <a:off x="3897" y="716"/>
                            <a:ext cx="28" cy="11"/>
                          </a:xfrm>
                          <a:prstGeom prst="line">
                            <a:avLst/>
                          </a:prstGeom>
                          <a:ln w="0" cap="flat" cmpd="sng">
                            <a:solidFill>
                              <a:srgbClr val="000000"/>
                            </a:solidFill>
                            <a:prstDash val="solid"/>
                            <a:headEnd type="none" w="med" len="med"/>
                            <a:tailEnd type="none" w="med" len="med"/>
                          </a:ln>
                        </wps:spPr>
                        <wps:bodyPr upright="1"/>
                      </wps:wsp>
                      <wps:wsp>
                        <wps:cNvPr id="787" name="直接连接符 787"/>
                        <wps:cNvCnPr/>
                        <wps:spPr>
                          <a:xfrm flipV="1">
                            <a:off x="3802" y="1002"/>
                            <a:ext cx="27" cy="11"/>
                          </a:xfrm>
                          <a:prstGeom prst="line">
                            <a:avLst/>
                          </a:prstGeom>
                          <a:ln w="0" cap="flat" cmpd="sng">
                            <a:solidFill>
                              <a:srgbClr val="000000"/>
                            </a:solidFill>
                            <a:prstDash val="solid"/>
                            <a:headEnd type="none" w="med" len="med"/>
                            <a:tailEnd type="none" w="med" len="med"/>
                          </a:ln>
                        </wps:spPr>
                        <wps:bodyPr upright="1"/>
                      </wps:wsp>
                      <wps:wsp>
                        <wps:cNvPr id="788" name="直接连接符 788"/>
                        <wps:cNvCnPr/>
                        <wps:spPr>
                          <a:xfrm flipV="1">
                            <a:off x="4131" y="875"/>
                            <a:ext cx="28" cy="11"/>
                          </a:xfrm>
                          <a:prstGeom prst="line">
                            <a:avLst/>
                          </a:prstGeom>
                          <a:ln w="0" cap="flat" cmpd="sng">
                            <a:solidFill>
                              <a:srgbClr val="000000"/>
                            </a:solidFill>
                            <a:prstDash val="solid"/>
                            <a:headEnd type="none" w="med" len="med"/>
                            <a:tailEnd type="none" w="med" len="med"/>
                          </a:ln>
                        </wps:spPr>
                        <wps:bodyPr upright="1"/>
                      </wps:wsp>
                      <wps:wsp>
                        <wps:cNvPr id="789" name="直接连接符 789"/>
                        <wps:cNvCnPr/>
                        <wps:spPr>
                          <a:xfrm flipV="1">
                            <a:off x="4461" y="748"/>
                            <a:ext cx="27" cy="11"/>
                          </a:xfrm>
                          <a:prstGeom prst="line">
                            <a:avLst/>
                          </a:prstGeom>
                          <a:ln w="0" cap="flat" cmpd="sng">
                            <a:solidFill>
                              <a:srgbClr val="000000"/>
                            </a:solidFill>
                            <a:prstDash val="solid"/>
                            <a:headEnd type="none" w="med" len="med"/>
                            <a:tailEnd type="none" w="med" len="med"/>
                          </a:ln>
                        </wps:spPr>
                        <wps:bodyPr upright="1"/>
                      </wps:wsp>
                      <wps:wsp>
                        <wps:cNvPr id="790" name="直接连接符 790"/>
                        <wps:cNvCnPr/>
                        <wps:spPr>
                          <a:xfrm flipV="1">
                            <a:off x="3706" y="1287"/>
                            <a:ext cx="28" cy="11"/>
                          </a:xfrm>
                          <a:prstGeom prst="line">
                            <a:avLst/>
                          </a:prstGeom>
                          <a:ln w="0" cap="flat" cmpd="sng">
                            <a:solidFill>
                              <a:srgbClr val="000000"/>
                            </a:solidFill>
                            <a:prstDash val="solid"/>
                            <a:headEnd type="none" w="med" len="med"/>
                            <a:tailEnd type="none" w="med" len="med"/>
                          </a:ln>
                        </wps:spPr>
                        <wps:bodyPr upright="1"/>
                      </wps:wsp>
                      <wps:wsp>
                        <wps:cNvPr id="791" name="直接连接符 791"/>
                        <wps:cNvCnPr/>
                        <wps:spPr>
                          <a:xfrm flipV="1">
                            <a:off x="4036" y="1161"/>
                            <a:ext cx="27" cy="10"/>
                          </a:xfrm>
                          <a:prstGeom prst="line">
                            <a:avLst/>
                          </a:prstGeom>
                          <a:ln w="0" cap="flat" cmpd="sng">
                            <a:solidFill>
                              <a:srgbClr val="000000"/>
                            </a:solidFill>
                            <a:prstDash val="solid"/>
                            <a:headEnd type="none" w="med" len="med"/>
                            <a:tailEnd type="none" w="med" len="med"/>
                          </a:ln>
                        </wps:spPr>
                        <wps:bodyPr upright="1"/>
                      </wps:wsp>
                      <wps:wsp>
                        <wps:cNvPr id="792" name="直接连接符 792"/>
                        <wps:cNvCnPr/>
                        <wps:spPr>
                          <a:xfrm>
                            <a:off x="4461" y="759"/>
                            <a:ext cx="19" cy="13"/>
                          </a:xfrm>
                          <a:prstGeom prst="line">
                            <a:avLst/>
                          </a:prstGeom>
                          <a:ln w="0" cap="flat" cmpd="sng">
                            <a:solidFill>
                              <a:srgbClr val="000000"/>
                            </a:solidFill>
                            <a:prstDash val="solid"/>
                            <a:headEnd type="none" w="med" len="med"/>
                            <a:tailEnd type="none" w="med" len="med"/>
                          </a:ln>
                        </wps:spPr>
                        <wps:bodyPr upright="1"/>
                      </wps:wsp>
                      <wps:wsp>
                        <wps:cNvPr id="793" name="直接连接符 793"/>
                        <wps:cNvCnPr/>
                        <wps:spPr>
                          <a:xfrm>
                            <a:off x="3897" y="727"/>
                            <a:ext cx="20" cy="13"/>
                          </a:xfrm>
                          <a:prstGeom prst="line">
                            <a:avLst/>
                          </a:prstGeom>
                          <a:ln w="0" cap="flat" cmpd="sng">
                            <a:solidFill>
                              <a:srgbClr val="000000"/>
                            </a:solidFill>
                            <a:prstDash val="solid"/>
                            <a:headEnd type="none" w="med" len="med"/>
                            <a:tailEnd type="none" w="med" len="med"/>
                          </a:ln>
                        </wps:spPr>
                        <wps:bodyPr upright="1"/>
                      </wps:wsp>
                      <wps:wsp>
                        <wps:cNvPr id="794" name="直接连接符 794"/>
                        <wps:cNvCnPr/>
                        <wps:spPr>
                          <a:xfrm>
                            <a:off x="4131" y="886"/>
                            <a:ext cx="20" cy="13"/>
                          </a:xfrm>
                          <a:prstGeom prst="line">
                            <a:avLst/>
                          </a:prstGeom>
                          <a:ln w="0" cap="flat" cmpd="sng">
                            <a:solidFill>
                              <a:srgbClr val="000000"/>
                            </a:solidFill>
                            <a:prstDash val="solid"/>
                            <a:headEnd type="none" w="med" len="med"/>
                            <a:tailEnd type="none" w="med" len="med"/>
                          </a:ln>
                        </wps:spPr>
                        <wps:bodyPr upright="1"/>
                      </wps:wsp>
                      <wps:wsp>
                        <wps:cNvPr id="795" name="直接连接符 795"/>
                        <wps:cNvCnPr/>
                        <wps:spPr>
                          <a:xfrm>
                            <a:off x="3334" y="696"/>
                            <a:ext cx="19" cy="13"/>
                          </a:xfrm>
                          <a:prstGeom prst="line">
                            <a:avLst/>
                          </a:prstGeom>
                          <a:ln w="0" cap="flat" cmpd="sng">
                            <a:solidFill>
                              <a:srgbClr val="000000"/>
                            </a:solidFill>
                            <a:prstDash val="solid"/>
                            <a:headEnd type="none" w="med" len="med"/>
                            <a:tailEnd type="none" w="med" len="med"/>
                          </a:ln>
                        </wps:spPr>
                        <wps:bodyPr upright="1"/>
                      </wps:wsp>
                      <wps:wsp>
                        <wps:cNvPr id="796" name="直接连接符 796"/>
                        <wps:cNvCnPr/>
                        <wps:spPr>
                          <a:xfrm>
                            <a:off x="3568" y="854"/>
                            <a:ext cx="19" cy="13"/>
                          </a:xfrm>
                          <a:prstGeom prst="line">
                            <a:avLst/>
                          </a:prstGeom>
                          <a:ln w="0" cap="flat" cmpd="sng">
                            <a:solidFill>
                              <a:srgbClr val="000000"/>
                            </a:solidFill>
                            <a:prstDash val="solid"/>
                            <a:headEnd type="none" w="med" len="med"/>
                            <a:tailEnd type="none" w="med" len="med"/>
                          </a:ln>
                        </wps:spPr>
                        <wps:bodyPr upright="1"/>
                      </wps:wsp>
                      <wps:wsp>
                        <wps:cNvPr id="797" name="直接连接符 797"/>
                        <wps:cNvCnPr/>
                        <wps:spPr>
                          <a:xfrm>
                            <a:off x="3802" y="1013"/>
                            <a:ext cx="19" cy="13"/>
                          </a:xfrm>
                          <a:prstGeom prst="line">
                            <a:avLst/>
                          </a:prstGeom>
                          <a:ln w="0" cap="flat" cmpd="sng">
                            <a:solidFill>
                              <a:srgbClr val="000000"/>
                            </a:solidFill>
                            <a:prstDash val="solid"/>
                            <a:headEnd type="none" w="med" len="med"/>
                            <a:tailEnd type="none" w="med" len="med"/>
                          </a:ln>
                        </wps:spPr>
                        <wps:bodyPr upright="1"/>
                      </wps:wsp>
                      <wps:wsp>
                        <wps:cNvPr id="798" name="直接连接符 798"/>
                        <wps:cNvCnPr/>
                        <wps:spPr>
                          <a:xfrm>
                            <a:off x="4036" y="1171"/>
                            <a:ext cx="20" cy="13"/>
                          </a:xfrm>
                          <a:prstGeom prst="line">
                            <a:avLst/>
                          </a:prstGeom>
                          <a:ln w="0" cap="flat" cmpd="sng">
                            <a:solidFill>
                              <a:srgbClr val="000000"/>
                            </a:solidFill>
                            <a:prstDash val="solid"/>
                            <a:headEnd type="none" w="med" len="med"/>
                            <a:tailEnd type="none" w="med" len="med"/>
                          </a:ln>
                        </wps:spPr>
                        <wps:bodyPr upright="1"/>
                      </wps:wsp>
                      <wps:wsp>
                        <wps:cNvPr id="799" name="直接连接符 799"/>
                        <wps:cNvCnPr/>
                        <wps:spPr>
                          <a:xfrm>
                            <a:off x="3706" y="1298"/>
                            <a:ext cx="20" cy="13"/>
                          </a:xfrm>
                          <a:prstGeom prst="line">
                            <a:avLst/>
                          </a:prstGeom>
                          <a:ln w="0" cap="flat" cmpd="sng">
                            <a:solidFill>
                              <a:srgbClr val="000000"/>
                            </a:solidFill>
                            <a:prstDash val="solid"/>
                            <a:headEnd type="none" w="med" len="med"/>
                            <a:tailEnd type="none" w="med" len="med"/>
                          </a:ln>
                        </wps:spPr>
                        <wps:bodyPr upright="1"/>
                      </wps:wsp>
                      <wps:wsp>
                        <wps:cNvPr id="800" name="直接连接符 800"/>
                        <wps:cNvCnPr/>
                        <wps:spPr>
                          <a:xfrm flipV="1">
                            <a:off x="3353" y="685"/>
                            <a:ext cx="8" cy="24"/>
                          </a:xfrm>
                          <a:prstGeom prst="line">
                            <a:avLst/>
                          </a:prstGeom>
                          <a:ln w="0" cap="flat" cmpd="sng">
                            <a:solidFill>
                              <a:srgbClr val="000000"/>
                            </a:solidFill>
                            <a:prstDash val="solid"/>
                            <a:headEnd type="none" w="med" len="med"/>
                            <a:tailEnd type="none" w="med" len="med"/>
                          </a:ln>
                        </wps:spPr>
                        <wps:bodyPr upright="1"/>
                      </wps:wsp>
                      <wps:wsp>
                        <wps:cNvPr id="801" name="直接连接符 801"/>
                        <wps:cNvCnPr/>
                        <wps:spPr>
                          <a:xfrm flipV="1">
                            <a:off x="3587" y="843"/>
                            <a:ext cx="8" cy="24"/>
                          </a:xfrm>
                          <a:prstGeom prst="line">
                            <a:avLst/>
                          </a:prstGeom>
                          <a:ln w="0" cap="flat" cmpd="sng">
                            <a:solidFill>
                              <a:srgbClr val="000000"/>
                            </a:solidFill>
                            <a:prstDash val="solid"/>
                            <a:headEnd type="none" w="med" len="med"/>
                            <a:tailEnd type="none" w="med" len="med"/>
                          </a:ln>
                        </wps:spPr>
                        <wps:bodyPr upright="1"/>
                      </wps:wsp>
                      <wps:wsp>
                        <wps:cNvPr id="802" name="直接连接符 802"/>
                        <wps:cNvCnPr/>
                        <wps:spPr>
                          <a:xfrm flipV="1">
                            <a:off x="3726" y="1287"/>
                            <a:ext cx="8" cy="24"/>
                          </a:xfrm>
                          <a:prstGeom prst="line">
                            <a:avLst/>
                          </a:prstGeom>
                          <a:ln w="0" cap="flat" cmpd="sng">
                            <a:solidFill>
                              <a:srgbClr val="000000"/>
                            </a:solidFill>
                            <a:prstDash val="solid"/>
                            <a:headEnd type="none" w="med" len="med"/>
                            <a:tailEnd type="none" w="med" len="med"/>
                          </a:ln>
                        </wps:spPr>
                        <wps:bodyPr upright="1"/>
                      </wps:wsp>
                      <wps:wsp>
                        <wps:cNvPr id="803" name="直接连接符 803"/>
                        <wps:cNvCnPr/>
                        <wps:spPr>
                          <a:xfrm flipV="1">
                            <a:off x="3821" y="1002"/>
                            <a:ext cx="8" cy="24"/>
                          </a:xfrm>
                          <a:prstGeom prst="line">
                            <a:avLst/>
                          </a:prstGeom>
                          <a:ln w="0" cap="flat" cmpd="sng">
                            <a:solidFill>
                              <a:srgbClr val="000000"/>
                            </a:solidFill>
                            <a:prstDash val="solid"/>
                            <a:headEnd type="none" w="med" len="med"/>
                            <a:tailEnd type="none" w="med" len="med"/>
                          </a:ln>
                        </wps:spPr>
                        <wps:bodyPr upright="1"/>
                      </wps:wsp>
                      <wps:wsp>
                        <wps:cNvPr id="804" name="直接连接符 804"/>
                        <wps:cNvCnPr/>
                        <wps:spPr>
                          <a:xfrm flipV="1">
                            <a:off x="3917" y="716"/>
                            <a:ext cx="8" cy="24"/>
                          </a:xfrm>
                          <a:prstGeom prst="line">
                            <a:avLst/>
                          </a:prstGeom>
                          <a:ln w="0" cap="flat" cmpd="sng">
                            <a:solidFill>
                              <a:srgbClr val="000000"/>
                            </a:solidFill>
                            <a:prstDash val="solid"/>
                            <a:headEnd type="none" w="med" len="med"/>
                            <a:tailEnd type="none" w="med" len="med"/>
                          </a:ln>
                        </wps:spPr>
                        <wps:bodyPr upright="1"/>
                      </wps:wsp>
                      <wps:wsp>
                        <wps:cNvPr id="805" name="直接连接符 805"/>
                        <wps:cNvCnPr/>
                        <wps:spPr>
                          <a:xfrm flipV="1">
                            <a:off x="4056" y="1161"/>
                            <a:ext cx="7" cy="23"/>
                          </a:xfrm>
                          <a:prstGeom prst="line">
                            <a:avLst/>
                          </a:prstGeom>
                          <a:ln w="0" cap="flat" cmpd="sng">
                            <a:solidFill>
                              <a:srgbClr val="000000"/>
                            </a:solidFill>
                            <a:prstDash val="solid"/>
                            <a:headEnd type="none" w="med" len="med"/>
                            <a:tailEnd type="none" w="med" len="med"/>
                          </a:ln>
                        </wps:spPr>
                        <wps:bodyPr upright="1"/>
                      </wps:wsp>
                      <wps:wsp>
                        <wps:cNvPr id="806" name="直接连接符 806"/>
                        <wps:cNvCnPr/>
                        <wps:spPr>
                          <a:xfrm flipV="1">
                            <a:off x="4151" y="875"/>
                            <a:ext cx="8" cy="24"/>
                          </a:xfrm>
                          <a:prstGeom prst="line">
                            <a:avLst/>
                          </a:prstGeom>
                          <a:ln w="0" cap="flat" cmpd="sng">
                            <a:solidFill>
                              <a:srgbClr val="000000"/>
                            </a:solidFill>
                            <a:prstDash val="solid"/>
                            <a:headEnd type="none" w="med" len="med"/>
                            <a:tailEnd type="none" w="med" len="med"/>
                          </a:ln>
                        </wps:spPr>
                        <wps:bodyPr upright="1"/>
                      </wps:wsp>
                      <wps:wsp>
                        <wps:cNvPr id="807" name="直接连接符 807"/>
                        <wps:cNvCnPr/>
                        <wps:spPr>
                          <a:xfrm flipV="1">
                            <a:off x="4480" y="748"/>
                            <a:ext cx="8" cy="24"/>
                          </a:xfrm>
                          <a:prstGeom prst="line">
                            <a:avLst/>
                          </a:prstGeom>
                          <a:ln w="0" cap="flat" cmpd="sng">
                            <a:solidFill>
                              <a:srgbClr val="000000"/>
                            </a:solidFill>
                            <a:prstDash val="solid"/>
                            <a:headEnd type="none" w="med" len="med"/>
                            <a:tailEnd type="none" w="med" len="med"/>
                          </a:ln>
                        </wps:spPr>
                        <wps:bodyPr upright="1"/>
                      </wps:wsp>
                      <wps:wsp>
                        <wps:cNvPr id="808" name="直接连接符 808"/>
                        <wps:cNvCnPr/>
                        <wps:spPr>
                          <a:xfrm flipV="1">
                            <a:off x="4327" y="823"/>
                            <a:ext cx="0" cy="490"/>
                          </a:xfrm>
                          <a:prstGeom prst="line">
                            <a:avLst/>
                          </a:prstGeom>
                          <a:ln w="1626" cap="flat" cmpd="sng">
                            <a:solidFill>
                              <a:srgbClr val="000000"/>
                            </a:solidFill>
                            <a:prstDash val="solid"/>
                            <a:headEnd type="none" w="med" len="med"/>
                            <a:tailEnd type="none" w="med" len="med"/>
                          </a:ln>
                        </wps:spPr>
                        <wps:bodyPr upright="1"/>
                      </wps:wsp>
                      <wps:wsp>
                        <wps:cNvPr id="809" name="直接连接符 809"/>
                        <wps:cNvCnPr/>
                        <wps:spPr>
                          <a:xfrm>
                            <a:off x="2770" y="616"/>
                            <a:ext cx="2314" cy="0"/>
                          </a:xfrm>
                          <a:prstGeom prst="line">
                            <a:avLst/>
                          </a:prstGeom>
                          <a:ln w="0" cap="flat" cmpd="sng">
                            <a:solidFill>
                              <a:srgbClr val="000000"/>
                            </a:solidFill>
                            <a:prstDash val="solid"/>
                            <a:headEnd type="none" w="med" len="med"/>
                            <a:tailEnd type="none" w="med" len="med"/>
                          </a:ln>
                        </wps:spPr>
                        <wps:bodyPr upright="1"/>
                      </wps:wsp>
                      <wps:wsp>
                        <wps:cNvPr id="810" name="直接连接符 810"/>
                        <wps:cNvCnPr/>
                        <wps:spPr>
                          <a:xfrm>
                            <a:off x="5084" y="529"/>
                            <a:ext cx="0" cy="177"/>
                          </a:xfrm>
                          <a:prstGeom prst="line">
                            <a:avLst/>
                          </a:prstGeom>
                          <a:ln w="0" cap="flat" cmpd="sng">
                            <a:solidFill>
                              <a:srgbClr val="000000"/>
                            </a:solidFill>
                            <a:prstDash val="solid"/>
                            <a:headEnd type="none" w="med" len="med"/>
                            <a:tailEnd type="none" w="med" len="med"/>
                          </a:ln>
                        </wps:spPr>
                        <wps:bodyPr upright="1"/>
                      </wps:wsp>
                      <wps:wsp>
                        <wps:cNvPr id="811" name="直接连接符 811"/>
                        <wps:cNvCnPr/>
                        <wps:spPr>
                          <a:xfrm>
                            <a:off x="5084" y="706"/>
                            <a:ext cx="32" cy="0"/>
                          </a:xfrm>
                          <a:prstGeom prst="line">
                            <a:avLst/>
                          </a:prstGeom>
                          <a:ln w="0" cap="flat" cmpd="sng">
                            <a:solidFill>
                              <a:srgbClr val="000000"/>
                            </a:solidFill>
                            <a:prstDash val="solid"/>
                            <a:headEnd type="none" w="med" len="med"/>
                            <a:tailEnd type="none" w="med" len="med"/>
                          </a:ln>
                        </wps:spPr>
                        <wps:bodyPr upright="1"/>
                      </wps:wsp>
                      <wps:wsp>
                        <wps:cNvPr id="812" name="直接连接符 812"/>
                        <wps:cNvCnPr/>
                        <wps:spPr>
                          <a:xfrm>
                            <a:off x="5084" y="733"/>
                            <a:ext cx="0" cy="178"/>
                          </a:xfrm>
                          <a:prstGeom prst="line">
                            <a:avLst/>
                          </a:prstGeom>
                          <a:ln w="0" cap="flat" cmpd="sng">
                            <a:solidFill>
                              <a:srgbClr val="000000"/>
                            </a:solidFill>
                            <a:prstDash val="solid"/>
                            <a:headEnd type="none" w="med" len="med"/>
                            <a:tailEnd type="none" w="med" len="med"/>
                          </a:ln>
                        </wps:spPr>
                        <wps:bodyPr upright="1"/>
                      </wps:wsp>
                      <wps:wsp>
                        <wps:cNvPr id="813" name="直接连接符 813"/>
                        <wps:cNvCnPr/>
                        <wps:spPr>
                          <a:xfrm>
                            <a:off x="2770" y="529"/>
                            <a:ext cx="0" cy="177"/>
                          </a:xfrm>
                          <a:prstGeom prst="line">
                            <a:avLst/>
                          </a:prstGeom>
                          <a:ln w="0" cap="flat" cmpd="sng">
                            <a:solidFill>
                              <a:srgbClr val="000000"/>
                            </a:solidFill>
                            <a:prstDash val="solid"/>
                            <a:headEnd type="none" w="med" len="med"/>
                            <a:tailEnd type="none" w="med" len="med"/>
                          </a:ln>
                        </wps:spPr>
                        <wps:bodyPr upright="1"/>
                      </wps:wsp>
                      <wps:wsp>
                        <wps:cNvPr id="814" name="直接连接符 814"/>
                        <wps:cNvCnPr/>
                        <wps:spPr>
                          <a:xfrm>
                            <a:off x="2770" y="733"/>
                            <a:ext cx="0" cy="178"/>
                          </a:xfrm>
                          <a:prstGeom prst="line">
                            <a:avLst/>
                          </a:prstGeom>
                          <a:ln w="0" cap="flat" cmpd="sng">
                            <a:solidFill>
                              <a:srgbClr val="000000"/>
                            </a:solidFill>
                            <a:prstDash val="solid"/>
                            <a:headEnd type="none" w="med" len="med"/>
                            <a:tailEnd type="none" w="med" len="med"/>
                          </a:ln>
                        </wps:spPr>
                        <wps:bodyPr upright="1"/>
                      </wps:wsp>
                      <wps:wsp>
                        <wps:cNvPr id="815" name="直接连接符 815"/>
                        <wps:cNvCnPr/>
                        <wps:spPr>
                          <a:xfrm>
                            <a:off x="2770" y="823"/>
                            <a:ext cx="756" cy="0"/>
                          </a:xfrm>
                          <a:prstGeom prst="line">
                            <a:avLst/>
                          </a:prstGeom>
                          <a:ln w="0" cap="flat" cmpd="sng">
                            <a:solidFill>
                              <a:srgbClr val="000000"/>
                            </a:solidFill>
                            <a:prstDash val="solid"/>
                            <a:headEnd type="none" w="med" len="med"/>
                            <a:tailEnd type="none" w="med" len="med"/>
                          </a:ln>
                        </wps:spPr>
                        <wps:bodyPr upright="1"/>
                      </wps:wsp>
                      <wps:wsp>
                        <wps:cNvPr id="816" name="直接连接符 816"/>
                        <wps:cNvCnPr/>
                        <wps:spPr>
                          <a:xfrm flipV="1">
                            <a:off x="3526" y="823"/>
                            <a:ext cx="0" cy="490"/>
                          </a:xfrm>
                          <a:prstGeom prst="line">
                            <a:avLst/>
                          </a:prstGeom>
                          <a:ln w="635" cap="flat" cmpd="sng">
                            <a:solidFill>
                              <a:srgbClr val="000000"/>
                            </a:solidFill>
                            <a:prstDash val="solid"/>
                            <a:headEnd type="none" w="med" len="med"/>
                            <a:tailEnd type="none" w="med" len="med"/>
                          </a:ln>
                        </wps:spPr>
                        <wps:bodyPr upright="1"/>
                      </wps:wsp>
                      <wps:wsp>
                        <wps:cNvPr id="817" name="直接连接符 817"/>
                        <wps:cNvCnPr/>
                        <wps:spPr>
                          <a:xfrm>
                            <a:off x="3526" y="1312"/>
                            <a:ext cx="802" cy="0"/>
                          </a:xfrm>
                          <a:prstGeom prst="line">
                            <a:avLst/>
                          </a:prstGeom>
                          <a:ln w="0" cap="flat" cmpd="sng">
                            <a:solidFill>
                              <a:srgbClr val="000000"/>
                            </a:solidFill>
                            <a:prstDash val="solid"/>
                            <a:headEnd type="none" w="med" len="med"/>
                            <a:tailEnd type="none" w="med" len="med"/>
                          </a:ln>
                        </wps:spPr>
                        <wps:bodyPr upright="1"/>
                      </wps:wsp>
                      <wps:wsp>
                        <wps:cNvPr id="818" name="直接连接符 818"/>
                        <wps:cNvCnPr/>
                        <wps:spPr>
                          <a:xfrm>
                            <a:off x="4328" y="823"/>
                            <a:ext cx="756" cy="0"/>
                          </a:xfrm>
                          <a:prstGeom prst="line">
                            <a:avLst/>
                          </a:prstGeom>
                          <a:ln w="0" cap="flat" cmpd="sng">
                            <a:solidFill>
                              <a:srgbClr val="000000"/>
                            </a:solidFill>
                            <a:prstDash val="solid"/>
                            <a:headEnd type="none" w="med" len="med"/>
                            <a:tailEnd type="none" w="med" len="med"/>
                          </a:ln>
                        </wps:spPr>
                        <wps:bodyPr upright="1"/>
                      </wps:wsp>
                      <wps:wsp>
                        <wps:cNvPr id="819" name="直接连接符 819"/>
                        <wps:cNvCnPr/>
                        <wps:spPr>
                          <a:xfrm>
                            <a:off x="4813" y="462"/>
                            <a:ext cx="162" cy="0"/>
                          </a:xfrm>
                          <a:prstGeom prst="line">
                            <a:avLst/>
                          </a:prstGeom>
                          <a:ln w="0" cap="flat" cmpd="sng">
                            <a:solidFill>
                              <a:srgbClr val="000000"/>
                            </a:solidFill>
                            <a:prstDash val="solid"/>
                            <a:headEnd type="none" w="med" len="med"/>
                            <a:tailEnd type="none" w="med" len="med"/>
                          </a:ln>
                        </wps:spPr>
                        <wps:bodyPr upright="1"/>
                      </wps:wsp>
                      <wps:wsp>
                        <wps:cNvPr id="820" name="直接连接符 820"/>
                        <wps:cNvCnPr/>
                        <wps:spPr>
                          <a:xfrm flipV="1">
                            <a:off x="4647" y="462"/>
                            <a:ext cx="166" cy="280"/>
                          </a:xfrm>
                          <a:prstGeom prst="line">
                            <a:avLst/>
                          </a:prstGeom>
                          <a:ln w="0" cap="flat" cmpd="sng">
                            <a:solidFill>
                              <a:srgbClr val="000000"/>
                            </a:solidFill>
                            <a:prstDash val="solid"/>
                            <a:headEnd type="none" w="med" len="med"/>
                            <a:tailEnd type="none" w="med" len="med"/>
                          </a:ln>
                        </wps:spPr>
                        <wps:bodyPr upright="1"/>
                      </wps:wsp>
                      <wps:wsp>
                        <wps:cNvPr id="821" name="直接连接符 821"/>
                        <wps:cNvCnPr/>
                        <wps:spPr>
                          <a:xfrm>
                            <a:off x="3206" y="616"/>
                            <a:ext cx="0" cy="207"/>
                          </a:xfrm>
                          <a:prstGeom prst="line">
                            <a:avLst/>
                          </a:prstGeom>
                          <a:ln w="0" cap="flat" cmpd="sng">
                            <a:solidFill>
                              <a:srgbClr val="000000"/>
                            </a:solidFill>
                            <a:prstDash val="solid"/>
                            <a:headEnd type="none" w="med" len="med"/>
                            <a:tailEnd type="none" w="med" len="med"/>
                          </a:ln>
                        </wps:spPr>
                        <wps:bodyPr upright="1"/>
                      </wps:wsp>
                      <wps:wsp>
                        <wps:cNvPr id="822" name="直接连接符 822"/>
                        <wps:cNvCnPr/>
                        <wps:spPr>
                          <a:xfrm flipV="1">
                            <a:off x="4647" y="616"/>
                            <a:ext cx="0" cy="207"/>
                          </a:xfrm>
                          <a:prstGeom prst="line">
                            <a:avLst/>
                          </a:prstGeom>
                          <a:ln w="0" cap="flat" cmpd="sng">
                            <a:solidFill>
                              <a:srgbClr val="000000"/>
                            </a:solidFill>
                            <a:prstDash val="solid"/>
                            <a:headEnd type="none" w="med" len="med"/>
                            <a:tailEnd type="none" w="med" len="med"/>
                          </a:ln>
                        </wps:spPr>
                        <wps:bodyPr upright="1"/>
                      </wps:wsp>
                      <wps:wsp>
                        <wps:cNvPr id="823" name="直接连接符 823"/>
                        <wps:cNvCnPr/>
                        <wps:spPr>
                          <a:xfrm flipV="1">
                            <a:off x="5051" y="706"/>
                            <a:ext cx="65" cy="27"/>
                          </a:xfrm>
                          <a:prstGeom prst="line">
                            <a:avLst/>
                          </a:prstGeom>
                          <a:ln w="0" cap="flat" cmpd="sng">
                            <a:solidFill>
                              <a:srgbClr val="000000"/>
                            </a:solidFill>
                            <a:prstDash val="solid"/>
                            <a:headEnd type="none" w="med" len="med"/>
                            <a:tailEnd type="none" w="med" len="med"/>
                          </a:ln>
                        </wps:spPr>
                        <wps:bodyPr upright="1"/>
                      </wps:wsp>
                      <wps:wsp>
                        <wps:cNvPr id="824" name="直接连接符 824"/>
                        <wps:cNvCnPr/>
                        <wps:spPr>
                          <a:xfrm flipH="1">
                            <a:off x="5051" y="733"/>
                            <a:ext cx="33" cy="0"/>
                          </a:xfrm>
                          <a:prstGeom prst="line">
                            <a:avLst/>
                          </a:prstGeom>
                          <a:ln w="0" cap="flat" cmpd="sng">
                            <a:solidFill>
                              <a:srgbClr val="000000"/>
                            </a:solidFill>
                            <a:prstDash val="solid"/>
                            <a:headEnd type="none" w="med" len="med"/>
                            <a:tailEnd type="none" w="med" len="med"/>
                          </a:ln>
                        </wps:spPr>
                        <wps:bodyPr upright="1"/>
                      </wps:wsp>
                      <wps:wsp>
                        <wps:cNvPr id="825" name="直接连接符 825"/>
                        <wps:cNvCnPr/>
                        <wps:spPr>
                          <a:xfrm>
                            <a:off x="2770" y="706"/>
                            <a:ext cx="32" cy="0"/>
                          </a:xfrm>
                          <a:prstGeom prst="line">
                            <a:avLst/>
                          </a:prstGeom>
                          <a:ln w="0" cap="flat" cmpd="sng">
                            <a:solidFill>
                              <a:srgbClr val="000000"/>
                            </a:solidFill>
                            <a:prstDash val="solid"/>
                            <a:headEnd type="none" w="med" len="med"/>
                            <a:tailEnd type="none" w="med" len="med"/>
                          </a:ln>
                        </wps:spPr>
                        <wps:bodyPr upright="1"/>
                      </wps:wsp>
                      <wps:wsp>
                        <wps:cNvPr id="826" name="直接连接符 826"/>
                        <wps:cNvCnPr/>
                        <wps:spPr>
                          <a:xfrm flipV="1">
                            <a:off x="2738" y="706"/>
                            <a:ext cx="64" cy="27"/>
                          </a:xfrm>
                          <a:prstGeom prst="line">
                            <a:avLst/>
                          </a:prstGeom>
                          <a:ln w="0" cap="flat" cmpd="sng">
                            <a:solidFill>
                              <a:srgbClr val="000000"/>
                            </a:solidFill>
                            <a:prstDash val="solid"/>
                            <a:headEnd type="none" w="med" len="med"/>
                            <a:tailEnd type="none" w="med" len="med"/>
                          </a:ln>
                        </wps:spPr>
                        <wps:bodyPr upright="1"/>
                      </wps:wsp>
                      <wps:wsp>
                        <wps:cNvPr id="827" name="直接连接符 827"/>
                        <wps:cNvCnPr/>
                        <wps:spPr>
                          <a:xfrm flipH="1">
                            <a:off x="2738" y="733"/>
                            <a:ext cx="32" cy="0"/>
                          </a:xfrm>
                          <a:prstGeom prst="line">
                            <a:avLst/>
                          </a:prstGeom>
                          <a:ln w="0" cap="flat" cmpd="sng">
                            <a:solidFill>
                              <a:srgbClr val="000000"/>
                            </a:solidFill>
                            <a:prstDash val="solid"/>
                            <a:headEnd type="none" w="med" len="med"/>
                            <a:tailEnd type="none" w="med" len="med"/>
                          </a:ln>
                        </wps:spPr>
                        <wps:bodyPr upright="1"/>
                      </wps:wsp>
                      <wps:wsp>
                        <wps:cNvPr id="828" name="直接连接符 828"/>
                        <wps:cNvCnPr/>
                        <wps:spPr>
                          <a:xfrm flipH="1">
                            <a:off x="3445" y="462"/>
                            <a:ext cx="161" cy="0"/>
                          </a:xfrm>
                          <a:prstGeom prst="line">
                            <a:avLst/>
                          </a:prstGeom>
                          <a:ln w="0" cap="flat" cmpd="sng">
                            <a:solidFill>
                              <a:srgbClr val="000000"/>
                            </a:solidFill>
                            <a:prstDash val="solid"/>
                            <a:headEnd type="none" w="med" len="med"/>
                            <a:tailEnd type="none" w="med" len="med"/>
                          </a:ln>
                        </wps:spPr>
                        <wps:bodyPr upright="1"/>
                      </wps:wsp>
                      <wps:wsp>
                        <wps:cNvPr id="829" name="直接连接符 829"/>
                        <wps:cNvCnPr/>
                        <wps:spPr>
                          <a:xfrm flipH="1" flipV="1">
                            <a:off x="3606" y="462"/>
                            <a:ext cx="166" cy="280"/>
                          </a:xfrm>
                          <a:prstGeom prst="line">
                            <a:avLst/>
                          </a:prstGeom>
                          <a:ln w="0" cap="flat" cmpd="sng">
                            <a:solidFill>
                              <a:srgbClr val="000000"/>
                            </a:solidFill>
                            <a:prstDash val="solid"/>
                            <a:headEnd type="none" w="med" len="med"/>
                            <a:tailEnd type="none" w="med" len="med"/>
                          </a:ln>
                        </wps:spPr>
                        <wps:bodyPr upright="1"/>
                      </wps:wsp>
                      <pic:pic xmlns:pic="http://schemas.openxmlformats.org/drawingml/2006/picture">
                        <pic:nvPicPr>
                          <pic:cNvPr id="830" name="图片 793"/>
                          <pic:cNvPicPr>
                            <a:picLocks noChangeAspect="1"/>
                          </pic:cNvPicPr>
                        </pic:nvPicPr>
                        <pic:blipFill>
                          <a:blip r:embed="rId20"/>
                          <a:stretch>
                            <a:fillRect/>
                          </a:stretch>
                        </pic:blipFill>
                        <pic:spPr>
                          <a:xfrm>
                            <a:off x="4813" y="1132"/>
                            <a:ext cx="249" cy="118"/>
                          </a:xfrm>
                          <a:prstGeom prst="rect">
                            <a:avLst/>
                          </a:prstGeom>
                          <a:noFill/>
                          <a:ln>
                            <a:noFill/>
                          </a:ln>
                        </pic:spPr>
                      </pic:pic>
                      <wps:wsp>
                        <wps:cNvPr id="831" name="直接连接符 831"/>
                        <wps:cNvCnPr/>
                        <wps:spPr>
                          <a:xfrm flipH="1" flipV="1">
                            <a:off x="4190" y="952"/>
                            <a:ext cx="623" cy="254"/>
                          </a:xfrm>
                          <a:prstGeom prst="line">
                            <a:avLst/>
                          </a:prstGeom>
                          <a:ln w="0" cap="flat" cmpd="sng">
                            <a:solidFill>
                              <a:srgbClr val="000000"/>
                            </a:solidFill>
                            <a:prstDash val="solid"/>
                            <a:headEnd type="none" w="med" len="med"/>
                            <a:tailEnd type="none" w="med" len="med"/>
                          </a:ln>
                        </wps:spPr>
                        <wps:bodyPr upright="1"/>
                      </wps:wsp>
                      <wps:wsp>
                        <wps:cNvPr id="832" name="直接连接符 832"/>
                        <wps:cNvCnPr/>
                        <wps:spPr>
                          <a:xfrm>
                            <a:off x="3206" y="1352"/>
                            <a:ext cx="0" cy="271"/>
                          </a:xfrm>
                          <a:prstGeom prst="line">
                            <a:avLst/>
                          </a:prstGeom>
                          <a:ln w="0" cap="flat" cmpd="sng">
                            <a:solidFill>
                              <a:srgbClr val="000000"/>
                            </a:solidFill>
                            <a:prstDash val="solid"/>
                            <a:headEnd type="none" w="med" len="med"/>
                            <a:tailEnd type="none" w="med" len="med"/>
                          </a:ln>
                        </wps:spPr>
                        <wps:bodyPr upright="1"/>
                      </wps:wsp>
                      <wps:wsp>
                        <wps:cNvPr id="833" name="直接连接符 833"/>
                        <wps:cNvCnPr/>
                        <wps:spPr>
                          <a:xfrm flipV="1">
                            <a:off x="3526" y="1352"/>
                            <a:ext cx="0" cy="271"/>
                          </a:xfrm>
                          <a:prstGeom prst="line">
                            <a:avLst/>
                          </a:prstGeom>
                          <a:ln w="635" cap="flat" cmpd="sng">
                            <a:solidFill>
                              <a:srgbClr val="000000"/>
                            </a:solidFill>
                            <a:prstDash val="solid"/>
                            <a:headEnd type="none" w="med" len="med"/>
                            <a:tailEnd type="none" w="med" len="med"/>
                          </a:ln>
                        </wps:spPr>
                        <wps:bodyPr upright="1"/>
                      </wps:wsp>
                      <wps:wsp>
                        <wps:cNvPr id="834" name="直接连接符 834"/>
                        <wps:cNvCnPr/>
                        <wps:spPr>
                          <a:xfrm>
                            <a:off x="3206" y="1583"/>
                            <a:ext cx="320" cy="0"/>
                          </a:xfrm>
                          <a:prstGeom prst="line">
                            <a:avLst/>
                          </a:prstGeom>
                          <a:ln w="0" cap="flat" cmpd="sng">
                            <a:solidFill>
                              <a:srgbClr val="000000"/>
                            </a:solidFill>
                            <a:prstDash val="solid"/>
                            <a:headEnd type="none" w="med" len="med"/>
                            <a:tailEnd type="none" w="med" len="med"/>
                          </a:ln>
                        </wps:spPr>
                        <wps:bodyPr upright="1"/>
                      </wps:wsp>
                      <wps:wsp>
                        <wps:cNvPr id="835" name="任意多边形 835"/>
                        <wps:cNvSpPr/>
                        <wps:spPr>
                          <a:xfrm>
                            <a:off x="3082" y="1686"/>
                            <a:ext cx="110" cy="43"/>
                          </a:xfrm>
                          <a:custGeom>
                            <a:avLst/>
                            <a:gdLst/>
                            <a:ahLst/>
                            <a:cxnLst/>
                            <a:pathLst>
                              <a:path w="110" h="43">
                                <a:moveTo>
                                  <a:pt x="2" y="42"/>
                                </a:moveTo>
                                <a:lnTo>
                                  <a:pt x="0" y="37"/>
                                </a:lnTo>
                                <a:lnTo>
                                  <a:pt x="109" y="0"/>
                                </a:lnTo>
                                <a:lnTo>
                                  <a:pt x="110" y="5"/>
                                </a:lnTo>
                                <a:lnTo>
                                  <a:pt x="2" y="42"/>
                                </a:lnTo>
                                <a:close/>
                              </a:path>
                            </a:pathLst>
                          </a:custGeom>
                          <a:solidFill>
                            <a:srgbClr val="000000"/>
                          </a:solidFill>
                          <a:ln>
                            <a:noFill/>
                          </a:ln>
                        </wps:spPr>
                        <wps:bodyPr upright="1"/>
                      </wps:wsp>
                      <wps:wsp>
                        <wps:cNvPr id="836" name="任意多边形 836"/>
                        <wps:cNvSpPr/>
                        <wps:spPr>
                          <a:xfrm>
                            <a:off x="3079" y="1618"/>
                            <a:ext cx="112" cy="78"/>
                          </a:xfrm>
                          <a:custGeom>
                            <a:avLst/>
                            <a:gdLst/>
                            <a:ahLst/>
                            <a:cxnLst/>
                            <a:pathLst>
                              <a:path w="112" h="78">
                                <a:moveTo>
                                  <a:pt x="2" y="77"/>
                                </a:moveTo>
                                <a:lnTo>
                                  <a:pt x="0" y="71"/>
                                </a:lnTo>
                                <a:lnTo>
                                  <a:pt x="99" y="39"/>
                                </a:lnTo>
                                <a:lnTo>
                                  <a:pt x="1" y="5"/>
                                </a:lnTo>
                                <a:lnTo>
                                  <a:pt x="4" y="0"/>
                                </a:lnTo>
                                <a:lnTo>
                                  <a:pt x="111" y="38"/>
                                </a:lnTo>
                                <a:lnTo>
                                  <a:pt x="111" y="41"/>
                                </a:lnTo>
                                <a:lnTo>
                                  <a:pt x="2" y="77"/>
                                </a:lnTo>
                                <a:close/>
                              </a:path>
                            </a:pathLst>
                          </a:custGeom>
                          <a:solidFill>
                            <a:srgbClr val="000000"/>
                          </a:solidFill>
                          <a:ln>
                            <a:noFill/>
                          </a:ln>
                        </wps:spPr>
                        <wps:bodyPr upright="1"/>
                      </wps:wsp>
                      <wps:wsp>
                        <wps:cNvPr id="837" name="任意多边形 837"/>
                        <wps:cNvSpPr/>
                        <wps:spPr>
                          <a:xfrm>
                            <a:off x="3216" y="1720"/>
                            <a:ext cx="43" cy="18"/>
                          </a:xfrm>
                          <a:custGeom>
                            <a:avLst/>
                            <a:gdLst/>
                            <a:ahLst/>
                            <a:cxnLst/>
                            <a:pathLst>
                              <a:path w="43" h="18">
                                <a:moveTo>
                                  <a:pt x="20" y="18"/>
                                </a:moveTo>
                                <a:lnTo>
                                  <a:pt x="7" y="15"/>
                                </a:lnTo>
                                <a:lnTo>
                                  <a:pt x="4" y="14"/>
                                </a:lnTo>
                                <a:lnTo>
                                  <a:pt x="0" y="6"/>
                                </a:lnTo>
                                <a:lnTo>
                                  <a:pt x="2" y="2"/>
                                </a:lnTo>
                                <a:lnTo>
                                  <a:pt x="7" y="0"/>
                                </a:lnTo>
                                <a:lnTo>
                                  <a:pt x="11" y="1"/>
                                </a:lnTo>
                                <a:lnTo>
                                  <a:pt x="16" y="4"/>
                                </a:lnTo>
                                <a:lnTo>
                                  <a:pt x="28" y="9"/>
                                </a:lnTo>
                                <a:lnTo>
                                  <a:pt x="29" y="9"/>
                                </a:lnTo>
                                <a:lnTo>
                                  <a:pt x="42" y="12"/>
                                </a:lnTo>
                                <a:lnTo>
                                  <a:pt x="40" y="13"/>
                                </a:lnTo>
                                <a:lnTo>
                                  <a:pt x="27" y="17"/>
                                </a:lnTo>
                                <a:lnTo>
                                  <a:pt x="20" y="18"/>
                                </a:lnTo>
                                <a:close/>
                              </a:path>
                            </a:pathLst>
                          </a:custGeom>
                          <a:solidFill>
                            <a:srgbClr val="000000"/>
                          </a:solidFill>
                          <a:ln>
                            <a:noFill/>
                          </a:ln>
                        </wps:spPr>
                        <wps:bodyPr upright="1"/>
                      </wps:wsp>
                      <wps:wsp>
                        <wps:cNvPr id="838" name="任意多边形 838"/>
                        <wps:cNvSpPr/>
                        <wps:spPr>
                          <a:xfrm>
                            <a:off x="3220" y="1620"/>
                            <a:ext cx="64" cy="112"/>
                          </a:xfrm>
                          <a:custGeom>
                            <a:avLst/>
                            <a:gdLst/>
                            <a:ahLst/>
                            <a:cxnLst/>
                            <a:pathLst>
                              <a:path w="64" h="112">
                                <a:moveTo>
                                  <a:pt x="39" y="112"/>
                                </a:moveTo>
                                <a:lnTo>
                                  <a:pt x="26" y="109"/>
                                </a:lnTo>
                                <a:lnTo>
                                  <a:pt x="38" y="106"/>
                                </a:lnTo>
                                <a:lnTo>
                                  <a:pt x="43" y="101"/>
                                </a:lnTo>
                                <a:lnTo>
                                  <a:pt x="50" y="91"/>
                                </a:lnTo>
                                <a:lnTo>
                                  <a:pt x="51" y="83"/>
                                </a:lnTo>
                                <a:lnTo>
                                  <a:pt x="48" y="71"/>
                                </a:lnTo>
                                <a:lnTo>
                                  <a:pt x="1" y="45"/>
                                </a:lnTo>
                                <a:lnTo>
                                  <a:pt x="0" y="45"/>
                                </a:lnTo>
                                <a:lnTo>
                                  <a:pt x="23" y="0"/>
                                </a:lnTo>
                                <a:lnTo>
                                  <a:pt x="64" y="0"/>
                                </a:lnTo>
                                <a:lnTo>
                                  <a:pt x="57" y="14"/>
                                </a:lnTo>
                                <a:lnTo>
                                  <a:pt x="23" y="14"/>
                                </a:lnTo>
                                <a:lnTo>
                                  <a:pt x="15" y="30"/>
                                </a:lnTo>
                                <a:lnTo>
                                  <a:pt x="62" y="69"/>
                                </a:lnTo>
                                <a:lnTo>
                                  <a:pt x="62" y="74"/>
                                </a:lnTo>
                                <a:lnTo>
                                  <a:pt x="60" y="87"/>
                                </a:lnTo>
                                <a:lnTo>
                                  <a:pt x="58" y="91"/>
                                </a:lnTo>
                                <a:lnTo>
                                  <a:pt x="51" y="102"/>
                                </a:lnTo>
                                <a:lnTo>
                                  <a:pt x="49" y="104"/>
                                </a:lnTo>
                                <a:lnTo>
                                  <a:pt x="39" y="112"/>
                                </a:lnTo>
                                <a:close/>
                              </a:path>
                            </a:pathLst>
                          </a:custGeom>
                          <a:solidFill>
                            <a:srgbClr val="000000"/>
                          </a:solidFill>
                          <a:ln>
                            <a:noFill/>
                          </a:ln>
                        </wps:spPr>
                        <wps:bodyPr upright="1"/>
                      </wps:wsp>
                      <wps:wsp>
                        <wps:cNvPr id="839" name="任意多边形 839"/>
                        <wps:cNvSpPr/>
                        <wps:spPr>
                          <a:xfrm>
                            <a:off x="3301" y="1623"/>
                            <a:ext cx="38" cy="112"/>
                          </a:xfrm>
                          <a:custGeom>
                            <a:avLst/>
                            <a:gdLst/>
                            <a:ahLst/>
                            <a:cxnLst/>
                            <a:pathLst>
                              <a:path w="38" h="112">
                                <a:moveTo>
                                  <a:pt x="26" y="112"/>
                                </a:moveTo>
                                <a:lnTo>
                                  <a:pt x="0" y="59"/>
                                </a:lnTo>
                                <a:lnTo>
                                  <a:pt x="1" y="53"/>
                                </a:lnTo>
                                <a:lnTo>
                                  <a:pt x="22" y="0"/>
                                </a:lnTo>
                                <a:lnTo>
                                  <a:pt x="38" y="0"/>
                                </a:lnTo>
                                <a:lnTo>
                                  <a:pt x="28" y="5"/>
                                </a:lnTo>
                                <a:lnTo>
                                  <a:pt x="22" y="15"/>
                                </a:lnTo>
                                <a:lnTo>
                                  <a:pt x="20" y="28"/>
                                </a:lnTo>
                                <a:lnTo>
                                  <a:pt x="18" y="40"/>
                                </a:lnTo>
                                <a:lnTo>
                                  <a:pt x="17" y="53"/>
                                </a:lnTo>
                                <a:lnTo>
                                  <a:pt x="17" y="59"/>
                                </a:lnTo>
                                <a:lnTo>
                                  <a:pt x="38" y="109"/>
                                </a:lnTo>
                                <a:lnTo>
                                  <a:pt x="26" y="112"/>
                                </a:lnTo>
                                <a:close/>
                              </a:path>
                            </a:pathLst>
                          </a:custGeom>
                          <a:solidFill>
                            <a:srgbClr val="000000"/>
                          </a:solidFill>
                          <a:ln>
                            <a:noFill/>
                          </a:ln>
                        </wps:spPr>
                        <wps:bodyPr upright="1"/>
                      </wps:wsp>
                      <wps:wsp>
                        <wps:cNvPr id="840" name="任意多边形 840"/>
                        <wps:cNvSpPr/>
                        <wps:spPr>
                          <a:xfrm>
                            <a:off x="3323" y="1617"/>
                            <a:ext cx="53" cy="121"/>
                          </a:xfrm>
                          <a:custGeom>
                            <a:avLst/>
                            <a:gdLst/>
                            <a:ahLst/>
                            <a:cxnLst/>
                            <a:pathLst>
                              <a:path w="53" h="121">
                                <a:moveTo>
                                  <a:pt x="15" y="120"/>
                                </a:moveTo>
                                <a:lnTo>
                                  <a:pt x="4" y="117"/>
                                </a:lnTo>
                                <a:lnTo>
                                  <a:pt x="16" y="114"/>
                                </a:lnTo>
                                <a:lnTo>
                                  <a:pt x="25" y="110"/>
                                </a:lnTo>
                                <a:lnTo>
                                  <a:pt x="36" y="59"/>
                                </a:lnTo>
                                <a:lnTo>
                                  <a:pt x="36" y="55"/>
                                </a:lnTo>
                                <a:lnTo>
                                  <a:pt x="16" y="5"/>
                                </a:lnTo>
                                <a:lnTo>
                                  <a:pt x="0" y="5"/>
                                </a:lnTo>
                                <a:lnTo>
                                  <a:pt x="12" y="0"/>
                                </a:lnTo>
                                <a:lnTo>
                                  <a:pt x="52" y="47"/>
                                </a:lnTo>
                                <a:lnTo>
                                  <a:pt x="53" y="59"/>
                                </a:lnTo>
                                <a:lnTo>
                                  <a:pt x="52" y="73"/>
                                </a:lnTo>
                                <a:lnTo>
                                  <a:pt x="21" y="119"/>
                                </a:lnTo>
                                <a:lnTo>
                                  <a:pt x="15" y="120"/>
                                </a:lnTo>
                                <a:close/>
                              </a:path>
                            </a:pathLst>
                          </a:custGeom>
                          <a:solidFill>
                            <a:srgbClr val="000000"/>
                          </a:solidFill>
                          <a:ln>
                            <a:noFill/>
                          </a:ln>
                        </wps:spPr>
                        <wps:bodyPr upright="1"/>
                      </wps:wsp>
                      <wps:wsp>
                        <wps:cNvPr id="841" name="任意多边形 841"/>
                        <wps:cNvSpPr/>
                        <wps:spPr>
                          <a:xfrm>
                            <a:off x="3383" y="1664"/>
                            <a:ext cx="7" cy="4"/>
                          </a:xfrm>
                          <a:custGeom>
                            <a:avLst/>
                            <a:gdLst/>
                            <a:ahLst/>
                            <a:cxnLst/>
                            <a:pathLst>
                              <a:path w="7" h="4">
                                <a:moveTo>
                                  <a:pt x="1" y="3"/>
                                </a:moveTo>
                                <a:lnTo>
                                  <a:pt x="0" y="0"/>
                                </a:lnTo>
                                <a:lnTo>
                                  <a:pt x="7" y="2"/>
                                </a:lnTo>
                                <a:lnTo>
                                  <a:pt x="1" y="3"/>
                                </a:lnTo>
                                <a:close/>
                              </a:path>
                            </a:pathLst>
                          </a:custGeom>
                          <a:solidFill>
                            <a:srgbClr val="000000"/>
                          </a:solidFill>
                          <a:ln>
                            <a:noFill/>
                          </a:ln>
                        </wps:spPr>
                        <wps:bodyPr upright="1"/>
                      </wps:wsp>
                      <wps:wsp>
                        <wps:cNvPr id="842" name="任意多边形 842"/>
                        <wps:cNvSpPr/>
                        <wps:spPr>
                          <a:xfrm>
                            <a:off x="3385" y="1662"/>
                            <a:ext cx="46" cy="74"/>
                          </a:xfrm>
                          <a:custGeom>
                            <a:avLst/>
                            <a:gdLst/>
                            <a:ahLst/>
                            <a:cxnLst/>
                            <a:pathLst>
                              <a:path w="46" h="74">
                                <a:moveTo>
                                  <a:pt x="38" y="73"/>
                                </a:moveTo>
                                <a:lnTo>
                                  <a:pt x="0" y="73"/>
                                </a:lnTo>
                                <a:lnTo>
                                  <a:pt x="0" y="71"/>
                                </a:lnTo>
                                <a:lnTo>
                                  <a:pt x="7" y="69"/>
                                </a:lnTo>
                                <a:lnTo>
                                  <a:pt x="11" y="66"/>
                                </a:lnTo>
                                <a:lnTo>
                                  <a:pt x="12" y="56"/>
                                </a:lnTo>
                                <a:lnTo>
                                  <a:pt x="12" y="26"/>
                                </a:lnTo>
                                <a:lnTo>
                                  <a:pt x="11" y="11"/>
                                </a:lnTo>
                                <a:lnTo>
                                  <a:pt x="26" y="10"/>
                                </a:lnTo>
                                <a:lnTo>
                                  <a:pt x="35" y="0"/>
                                </a:lnTo>
                                <a:lnTo>
                                  <a:pt x="46" y="3"/>
                                </a:lnTo>
                                <a:lnTo>
                                  <a:pt x="36" y="6"/>
                                </a:lnTo>
                                <a:lnTo>
                                  <a:pt x="26" y="13"/>
                                </a:lnTo>
                                <a:lnTo>
                                  <a:pt x="26" y="14"/>
                                </a:lnTo>
                                <a:lnTo>
                                  <a:pt x="26" y="56"/>
                                </a:lnTo>
                                <a:lnTo>
                                  <a:pt x="27" y="66"/>
                                </a:lnTo>
                                <a:lnTo>
                                  <a:pt x="30" y="69"/>
                                </a:lnTo>
                                <a:lnTo>
                                  <a:pt x="38" y="71"/>
                                </a:lnTo>
                                <a:lnTo>
                                  <a:pt x="38" y="73"/>
                                </a:lnTo>
                                <a:close/>
                              </a:path>
                            </a:pathLst>
                          </a:custGeom>
                          <a:solidFill>
                            <a:srgbClr val="000000"/>
                          </a:solidFill>
                          <a:ln>
                            <a:noFill/>
                          </a:ln>
                        </wps:spPr>
                        <wps:bodyPr upright="1"/>
                      </wps:wsp>
                      <wps:wsp>
                        <wps:cNvPr id="843" name="任意多边形 843"/>
                        <wps:cNvSpPr/>
                        <wps:spPr>
                          <a:xfrm>
                            <a:off x="3457" y="1661"/>
                            <a:ext cx="21" cy="14"/>
                          </a:xfrm>
                          <a:custGeom>
                            <a:avLst/>
                            <a:gdLst/>
                            <a:ahLst/>
                            <a:cxnLst/>
                            <a:pathLst>
                              <a:path w="21" h="14">
                                <a:moveTo>
                                  <a:pt x="2" y="13"/>
                                </a:moveTo>
                                <a:lnTo>
                                  <a:pt x="0" y="10"/>
                                </a:lnTo>
                                <a:lnTo>
                                  <a:pt x="10" y="0"/>
                                </a:lnTo>
                                <a:lnTo>
                                  <a:pt x="21" y="3"/>
                                </a:lnTo>
                                <a:lnTo>
                                  <a:pt x="12" y="6"/>
                                </a:lnTo>
                                <a:lnTo>
                                  <a:pt x="2" y="13"/>
                                </a:lnTo>
                                <a:close/>
                              </a:path>
                            </a:pathLst>
                          </a:custGeom>
                          <a:solidFill>
                            <a:srgbClr val="000000"/>
                          </a:solidFill>
                          <a:ln>
                            <a:noFill/>
                          </a:ln>
                        </wps:spPr>
                        <wps:bodyPr upright="1"/>
                      </wps:wsp>
                      <wps:wsp>
                        <wps:cNvPr id="844" name="任意多边形 844"/>
                        <wps:cNvSpPr/>
                        <wps:spPr>
                          <a:xfrm>
                            <a:off x="3467" y="1655"/>
                            <a:ext cx="50" cy="81"/>
                          </a:xfrm>
                          <a:custGeom>
                            <a:avLst/>
                            <a:gdLst/>
                            <a:ahLst/>
                            <a:cxnLst/>
                            <a:pathLst>
                              <a:path w="50" h="81">
                                <a:moveTo>
                                  <a:pt x="50" y="80"/>
                                </a:moveTo>
                                <a:lnTo>
                                  <a:pt x="11" y="80"/>
                                </a:lnTo>
                                <a:lnTo>
                                  <a:pt x="11" y="78"/>
                                </a:lnTo>
                                <a:lnTo>
                                  <a:pt x="13" y="78"/>
                                </a:lnTo>
                                <a:lnTo>
                                  <a:pt x="21" y="75"/>
                                </a:lnTo>
                                <a:lnTo>
                                  <a:pt x="23" y="71"/>
                                </a:lnTo>
                                <a:lnTo>
                                  <a:pt x="24" y="63"/>
                                </a:lnTo>
                                <a:lnTo>
                                  <a:pt x="24" y="29"/>
                                </a:lnTo>
                                <a:lnTo>
                                  <a:pt x="22" y="17"/>
                                </a:lnTo>
                                <a:lnTo>
                                  <a:pt x="21" y="16"/>
                                </a:lnTo>
                                <a:lnTo>
                                  <a:pt x="11" y="10"/>
                                </a:lnTo>
                                <a:lnTo>
                                  <a:pt x="11" y="10"/>
                                </a:lnTo>
                                <a:lnTo>
                                  <a:pt x="0" y="7"/>
                                </a:lnTo>
                                <a:lnTo>
                                  <a:pt x="5" y="3"/>
                                </a:lnTo>
                                <a:lnTo>
                                  <a:pt x="17" y="0"/>
                                </a:lnTo>
                                <a:lnTo>
                                  <a:pt x="17" y="0"/>
                                </a:lnTo>
                                <a:lnTo>
                                  <a:pt x="28" y="3"/>
                                </a:lnTo>
                                <a:lnTo>
                                  <a:pt x="36" y="13"/>
                                </a:lnTo>
                                <a:lnTo>
                                  <a:pt x="36" y="14"/>
                                </a:lnTo>
                                <a:lnTo>
                                  <a:pt x="38" y="26"/>
                                </a:lnTo>
                                <a:lnTo>
                                  <a:pt x="38" y="63"/>
                                </a:lnTo>
                                <a:lnTo>
                                  <a:pt x="39" y="73"/>
                                </a:lnTo>
                                <a:lnTo>
                                  <a:pt x="42" y="76"/>
                                </a:lnTo>
                                <a:lnTo>
                                  <a:pt x="50" y="78"/>
                                </a:lnTo>
                                <a:lnTo>
                                  <a:pt x="50" y="80"/>
                                </a:lnTo>
                                <a:close/>
                              </a:path>
                            </a:pathLst>
                          </a:custGeom>
                          <a:solidFill>
                            <a:srgbClr val="000000"/>
                          </a:solidFill>
                          <a:ln>
                            <a:noFill/>
                          </a:ln>
                        </wps:spPr>
                        <wps:bodyPr upright="1"/>
                      </wps:wsp>
                      <wps:wsp>
                        <wps:cNvPr id="845" name="任意多边形 845"/>
                        <wps:cNvSpPr/>
                        <wps:spPr>
                          <a:xfrm>
                            <a:off x="3420" y="1655"/>
                            <a:ext cx="51" cy="81"/>
                          </a:xfrm>
                          <a:custGeom>
                            <a:avLst/>
                            <a:gdLst/>
                            <a:ahLst/>
                            <a:cxnLst/>
                            <a:pathLst>
                              <a:path w="51" h="81">
                                <a:moveTo>
                                  <a:pt x="50" y="80"/>
                                </a:moveTo>
                                <a:lnTo>
                                  <a:pt x="11" y="80"/>
                                </a:lnTo>
                                <a:lnTo>
                                  <a:pt x="11" y="78"/>
                                </a:lnTo>
                                <a:lnTo>
                                  <a:pt x="20" y="76"/>
                                </a:lnTo>
                                <a:lnTo>
                                  <a:pt x="23" y="71"/>
                                </a:lnTo>
                                <a:lnTo>
                                  <a:pt x="24" y="63"/>
                                </a:lnTo>
                                <a:lnTo>
                                  <a:pt x="24" y="29"/>
                                </a:lnTo>
                                <a:lnTo>
                                  <a:pt x="22" y="17"/>
                                </a:lnTo>
                                <a:lnTo>
                                  <a:pt x="21" y="16"/>
                                </a:lnTo>
                                <a:lnTo>
                                  <a:pt x="11" y="10"/>
                                </a:lnTo>
                                <a:lnTo>
                                  <a:pt x="0" y="7"/>
                                </a:lnTo>
                                <a:lnTo>
                                  <a:pt x="1" y="7"/>
                                </a:lnTo>
                                <a:lnTo>
                                  <a:pt x="9" y="2"/>
                                </a:lnTo>
                                <a:lnTo>
                                  <a:pt x="18" y="0"/>
                                </a:lnTo>
                                <a:lnTo>
                                  <a:pt x="30" y="4"/>
                                </a:lnTo>
                                <a:lnTo>
                                  <a:pt x="30" y="4"/>
                                </a:lnTo>
                                <a:lnTo>
                                  <a:pt x="37" y="15"/>
                                </a:lnTo>
                                <a:lnTo>
                                  <a:pt x="37" y="17"/>
                                </a:lnTo>
                                <a:lnTo>
                                  <a:pt x="39" y="20"/>
                                </a:lnTo>
                                <a:lnTo>
                                  <a:pt x="38" y="21"/>
                                </a:lnTo>
                                <a:lnTo>
                                  <a:pt x="38" y="22"/>
                                </a:lnTo>
                                <a:lnTo>
                                  <a:pt x="38" y="26"/>
                                </a:lnTo>
                                <a:lnTo>
                                  <a:pt x="38" y="63"/>
                                </a:lnTo>
                                <a:lnTo>
                                  <a:pt x="39" y="73"/>
                                </a:lnTo>
                                <a:lnTo>
                                  <a:pt x="42" y="76"/>
                                </a:lnTo>
                                <a:lnTo>
                                  <a:pt x="50" y="78"/>
                                </a:lnTo>
                                <a:lnTo>
                                  <a:pt x="50" y="80"/>
                                </a:lnTo>
                                <a:close/>
                              </a:path>
                            </a:pathLst>
                          </a:custGeom>
                          <a:solidFill>
                            <a:srgbClr val="000000"/>
                          </a:solidFill>
                          <a:ln>
                            <a:noFill/>
                          </a:ln>
                        </wps:spPr>
                        <wps:bodyPr upright="1"/>
                      </wps:wsp>
                      <wps:wsp>
                        <wps:cNvPr id="846" name="任意多边形 846"/>
                        <wps:cNvSpPr/>
                        <wps:spPr>
                          <a:xfrm>
                            <a:off x="3383" y="1655"/>
                            <a:ext cx="27" cy="19"/>
                          </a:xfrm>
                          <a:custGeom>
                            <a:avLst/>
                            <a:gdLst/>
                            <a:ahLst/>
                            <a:cxnLst/>
                            <a:pathLst>
                              <a:path w="27" h="19">
                                <a:moveTo>
                                  <a:pt x="12" y="18"/>
                                </a:moveTo>
                                <a:lnTo>
                                  <a:pt x="12" y="17"/>
                                </a:lnTo>
                                <a:lnTo>
                                  <a:pt x="10" y="13"/>
                                </a:lnTo>
                                <a:lnTo>
                                  <a:pt x="0" y="10"/>
                                </a:lnTo>
                                <a:lnTo>
                                  <a:pt x="23" y="0"/>
                                </a:lnTo>
                                <a:lnTo>
                                  <a:pt x="27" y="0"/>
                                </a:lnTo>
                                <a:lnTo>
                                  <a:pt x="27" y="17"/>
                                </a:lnTo>
                                <a:lnTo>
                                  <a:pt x="12" y="18"/>
                                </a:lnTo>
                                <a:close/>
                              </a:path>
                            </a:pathLst>
                          </a:custGeom>
                          <a:solidFill>
                            <a:srgbClr val="000000"/>
                          </a:solidFill>
                          <a:ln>
                            <a:noFill/>
                          </a:ln>
                        </wps:spPr>
                        <wps:bodyPr upright="1"/>
                      </wps:wsp>
                      <wps:wsp>
                        <wps:cNvPr id="847" name="任意多边形 847"/>
                        <wps:cNvSpPr/>
                        <wps:spPr>
                          <a:xfrm>
                            <a:off x="3518" y="1664"/>
                            <a:ext cx="7" cy="4"/>
                          </a:xfrm>
                          <a:custGeom>
                            <a:avLst/>
                            <a:gdLst/>
                            <a:ahLst/>
                            <a:cxnLst/>
                            <a:pathLst>
                              <a:path w="7" h="4">
                                <a:moveTo>
                                  <a:pt x="1" y="3"/>
                                </a:moveTo>
                                <a:lnTo>
                                  <a:pt x="0" y="0"/>
                                </a:lnTo>
                                <a:lnTo>
                                  <a:pt x="7" y="2"/>
                                </a:lnTo>
                                <a:lnTo>
                                  <a:pt x="1" y="3"/>
                                </a:lnTo>
                                <a:close/>
                              </a:path>
                            </a:pathLst>
                          </a:custGeom>
                          <a:solidFill>
                            <a:srgbClr val="000000"/>
                          </a:solidFill>
                          <a:ln>
                            <a:noFill/>
                          </a:ln>
                        </wps:spPr>
                        <wps:bodyPr upright="1"/>
                      </wps:wsp>
                      <wps:wsp>
                        <wps:cNvPr id="848" name="任意多边形 848"/>
                        <wps:cNvSpPr/>
                        <wps:spPr>
                          <a:xfrm>
                            <a:off x="3519" y="1662"/>
                            <a:ext cx="46" cy="74"/>
                          </a:xfrm>
                          <a:custGeom>
                            <a:avLst/>
                            <a:gdLst/>
                            <a:ahLst/>
                            <a:cxnLst/>
                            <a:pathLst>
                              <a:path w="46" h="74">
                                <a:moveTo>
                                  <a:pt x="38" y="73"/>
                                </a:moveTo>
                                <a:lnTo>
                                  <a:pt x="0" y="73"/>
                                </a:lnTo>
                                <a:lnTo>
                                  <a:pt x="0" y="71"/>
                                </a:lnTo>
                                <a:lnTo>
                                  <a:pt x="7" y="69"/>
                                </a:lnTo>
                                <a:lnTo>
                                  <a:pt x="11" y="66"/>
                                </a:lnTo>
                                <a:lnTo>
                                  <a:pt x="12" y="56"/>
                                </a:lnTo>
                                <a:lnTo>
                                  <a:pt x="12" y="26"/>
                                </a:lnTo>
                                <a:lnTo>
                                  <a:pt x="11" y="11"/>
                                </a:lnTo>
                                <a:lnTo>
                                  <a:pt x="26" y="10"/>
                                </a:lnTo>
                                <a:lnTo>
                                  <a:pt x="35" y="0"/>
                                </a:lnTo>
                                <a:lnTo>
                                  <a:pt x="46" y="3"/>
                                </a:lnTo>
                                <a:lnTo>
                                  <a:pt x="37" y="6"/>
                                </a:lnTo>
                                <a:lnTo>
                                  <a:pt x="26" y="13"/>
                                </a:lnTo>
                                <a:lnTo>
                                  <a:pt x="26" y="14"/>
                                </a:lnTo>
                                <a:lnTo>
                                  <a:pt x="26" y="56"/>
                                </a:lnTo>
                                <a:lnTo>
                                  <a:pt x="27" y="66"/>
                                </a:lnTo>
                                <a:lnTo>
                                  <a:pt x="30" y="69"/>
                                </a:lnTo>
                                <a:lnTo>
                                  <a:pt x="38" y="71"/>
                                </a:lnTo>
                                <a:lnTo>
                                  <a:pt x="38" y="73"/>
                                </a:lnTo>
                                <a:close/>
                              </a:path>
                            </a:pathLst>
                          </a:custGeom>
                          <a:solidFill>
                            <a:srgbClr val="000000"/>
                          </a:solidFill>
                          <a:ln>
                            <a:noFill/>
                          </a:ln>
                        </wps:spPr>
                        <wps:bodyPr upright="1"/>
                      </wps:wsp>
                      <wps:wsp>
                        <wps:cNvPr id="849" name="任意多边形 849"/>
                        <wps:cNvSpPr/>
                        <wps:spPr>
                          <a:xfrm>
                            <a:off x="3592" y="1661"/>
                            <a:ext cx="21" cy="14"/>
                          </a:xfrm>
                          <a:custGeom>
                            <a:avLst/>
                            <a:gdLst/>
                            <a:ahLst/>
                            <a:cxnLst/>
                            <a:pathLst>
                              <a:path w="21" h="14">
                                <a:moveTo>
                                  <a:pt x="2" y="13"/>
                                </a:moveTo>
                                <a:lnTo>
                                  <a:pt x="0" y="10"/>
                                </a:lnTo>
                                <a:lnTo>
                                  <a:pt x="11" y="0"/>
                                </a:lnTo>
                                <a:lnTo>
                                  <a:pt x="21" y="3"/>
                                </a:lnTo>
                                <a:lnTo>
                                  <a:pt x="12" y="6"/>
                                </a:lnTo>
                                <a:lnTo>
                                  <a:pt x="2" y="13"/>
                                </a:lnTo>
                                <a:close/>
                              </a:path>
                            </a:pathLst>
                          </a:custGeom>
                          <a:solidFill>
                            <a:srgbClr val="000000"/>
                          </a:solidFill>
                          <a:ln>
                            <a:noFill/>
                          </a:ln>
                        </wps:spPr>
                        <wps:bodyPr upright="1"/>
                      </wps:wsp>
                      <wps:wsp>
                        <wps:cNvPr id="850" name="任意多边形 850"/>
                        <wps:cNvSpPr/>
                        <wps:spPr>
                          <a:xfrm>
                            <a:off x="3602" y="1655"/>
                            <a:ext cx="50" cy="81"/>
                          </a:xfrm>
                          <a:custGeom>
                            <a:avLst/>
                            <a:gdLst/>
                            <a:ahLst/>
                            <a:cxnLst/>
                            <a:pathLst>
                              <a:path w="50" h="81">
                                <a:moveTo>
                                  <a:pt x="49" y="80"/>
                                </a:moveTo>
                                <a:lnTo>
                                  <a:pt x="10" y="80"/>
                                </a:lnTo>
                                <a:lnTo>
                                  <a:pt x="10" y="78"/>
                                </a:lnTo>
                                <a:lnTo>
                                  <a:pt x="12" y="78"/>
                                </a:lnTo>
                                <a:lnTo>
                                  <a:pt x="20" y="75"/>
                                </a:lnTo>
                                <a:lnTo>
                                  <a:pt x="23" y="71"/>
                                </a:lnTo>
                                <a:lnTo>
                                  <a:pt x="23" y="63"/>
                                </a:lnTo>
                                <a:lnTo>
                                  <a:pt x="23" y="29"/>
                                </a:lnTo>
                                <a:lnTo>
                                  <a:pt x="21" y="17"/>
                                </a:lnTo>
                                <a:lnTo>
                                  <a:pt x="21" y="16"/>
                                </a:lnTo>
                                <a:lnTo>
                                  <a:pt x="10" y="10"/>
                                </a:lnTo>
                                <a:lnTo>
                                  <a:pt x="10" y="10"/>
                                </a:lnTo>
                                <a:lnTo>
                                  <a:pt x="0" y="7"/>
                                </a:lnTo>
                                <a:lnTo>
                                  <a:pt x="4" y="3"/>
                                </a:lnTo>
                                <a:lnTo>
                                  <a:pt x="16" y="0"/>
                                </a:lnTo>
                                <a:lnTo>
                                  <a:pt x="28" y="3"/>
                                </a:lnTo>
                                <a:lnTo>
                                  <a:pt x="35" y="13"/>
                                </a:lnTo>
                                <a:lnTo>
                                  <a:pt x="35" y="14"/>
                                </a:lnTo>
                                <a:lnTo>
                                  <a:pt x="37" y="26"/>
                                </a:lnTo>
                                <a:lnTo>
                                  <a:pt x="37" y="63"/>
                                </a:lnTo>
                                <a:lnTo>
                                  <a:pt x="38" y="73"/>
                                </a:lnTo>
                                <a:lnTo>
                                  <a:pt x="41" y="76"/>
                                </a:lnTo>
                                <a:lnTo>
                                  <a:pt x="49" y="78"/>
                                </a:lnTo>
                                <a:lnTo>
                                  <a:pt x="49" y="80"/>
                                </a:lnTo>
                                <a:close/>
                              </a:path>
                            </a:pathLst>
                          </a:custGeom>
                          <a:solidFill>
                            <a:srgbClr val="000000"/>
                          </a:solidFill>
                          <a:ln>
                            <a:noFill/>
                          </a:ln>
                        </wps:spPr>
                        <wps:bodyPr upright="1"/>
                      </wps:wsp>
                      <wps:wsp>
                        <wps:cNvPr id="851" name="任意多边形 851"/>
                        <wps:cNvSpPr/>
                        <wps:spPr>
                          <a:xfrm>
                            <a:off x="3555" y="1655"/>
                            <a:ext cx="51" cy="81"/>
                          </a:xfrm>
                          <a:custGeom>
                            <a:avLst/>
                            <a:gdLst/>
                            <a:ahLst/>
                            <a:cxnLst/>
                            <a:pathLst>
                              <a:path w="51" h="81">
                                <a:moveTo>
                                  <a:pt x="51" y="80"/>
                                </a:moveTo>
                                <a:lnTo>
                                  <a:pt x="11" y="80"/>
                                </a:lnTo>
                                <a:lnTo>
                                  <a:pt x="11" y="78"/>
                                </a:lnTo>
                                <a:lnTo>
                                  <a:pt x="20" y="76"/>
                                </a:lnTo>
                                <a:lnTo>
                                  <a:pt x="24" y="71"/>
                                </a:lnTo>
                                <a:lnTo>
                                  <a:pt x="24" y="63"/>
                                </a:lnTo>
                                <a:lnTo>
                                  <a:pt x="24" y="29"/>
                                </a:lnTo>
                                <a:lnTo>
                                  <a:pt x="22" y="17"/>
                                </a:lnTo>
                                <a:lnTo>
                                  <a:pt x="21" y="16"/>
                                </a:lnTo>
                                <a:lnTo>
                                  <a:pt x="11" y="10"/>
                                </a:lnTo>
                                <a:lnTo>
                                  <a:pt x="0" y="7"/>
                                </a:lnTo>
                                <a:lnTo>
                                  <a:pt x="1" y="7"/>
                                </a:lnTo>
                                <a:lnTo>
                                  <a:pt x="9" y="2"/>
                                </a:lnTo>
                                <a:lnTo>
                                  <a:pt x="18" y="0"/>
                                </a:lnTo>
                                <a:lnTo>
                                  <a:pt x="29" y="4"/>
                                </a:lnTo>
                                <a:lnTo>
                                  <a:pt x="30" y="4"/>
                                </a:lnTo>
                                <a:lnTo>
                                  <a:pt x="37" y="15"/>
                                </a:lnTo>
                                <a:lnTo>
                                  <a:pt x="37" y="17"/>
                                </a:lnTo>
                                <a:lnTo>
                                  <a:pt x="39" y="20"/>
                                </a:lnTo>
                                <a:lnTo>
                                  <a:pt x="38" y="21"/>
                                </a:lnTo>
                                <a:lnTo>
                                  <a:pt x="38" y="63"/>
                                </a:lnTo>
                                <a:lnTo>
                                  <a:pt x="39" y="73"/>
                                </a:lnTo>
                                <a:lnTo>
                                  <a:pt x="42" y="76"/>
                                </a:lnTo>
                                <a:lnTo>
                                  <a:pt x="51" y="78"/>
                                </a:lnTo>
                                <a:lnTo>
                                  <a:pt x="51" y="80"/>
                                </a:lnTo>
                                <a:close/>
                              </a:path>
                            </a:pathLst>
                          </a:custGeom>
                          <a:solidFill>
                            <a:srgbClr val="000000"/>
                          </a:solidFill>
                          <a:ln>
                            <a:noFill/>
                          </a:ln>
                        </wps:spPr>
                        <wps:bodyPr upright="1"/>
                      </wps:wsp>
                      <wps:wsp>
                        <wps:cNvPr id="852" name="任意多边形 852"/>
                        <wps:cNvSpPr/>
                        <wps:spPr>
                          <a:xfrm>
                            <a:off x="3518" y="1655"/>
                            <a:ext cx="28" cy="19"/>
                          </a:xfrm>
                          <a:custGeom>
                            <a:avLst/>
                            <a:gdLst/>
                            <a:ahLst/>
                            <a:cxnLst/>
                            <a:pathLst>
                              <a:path w="28" h="19">
                                <a:moveTo>
                                  <a:pt x="12" y="18"/>
                                </a:moveTo>
                                <a:lnTo>
                                  <a:pt x="12" y="17"/>
                                </a:lnTo>
                                <a:lnTo>
                                  <a:pt x="10" y="13"/>
                                </a:lnTo>
                                <a:lnTo>
                                  <a:pt x="7" y="12"/>
                                </a:lnTo>
                                <a:lnTo>
                                  <a:pt x="0" y="10"/>
                                </a:lnTo>
                                <a:lnTo>
                                  <a:pt x="23" y="0"/>
                                </a:lnTo>
                                <a:lnTo>
                                  <a:pt x="27" y="0"/>
                                </a:lnTo>
                                <a:lnTo>
                                  <a:pt x="27" y="17"/>
                                </a:lnTo>
                                <a:lnTo>
                                  <a:pt x="12" y="18"/>
                                </a:lnTo>
                                <a:close/>
                              </a:path>
                            </a:pathLst>
                          </a:custGeom>
                          <a:solidFill>
                            <a:srgbClr val="000000"/>
                          </a:solidFill>
                          <a:ln>
                            <a:noFill/>
                          </a:ln>
                        </wps:spPr>
                        <wps:bodyPr upright="1"/>
                      </wps:wsp>
                      <wps:wsp>
                        <wps:cNvPr id="853" name="任意多边形 853"/>
                        <wps:cNvSpPr/>
                        <wps:spPr>
                          <a:xfrm>
                            <a:off x="3196" y="1566"/>
                            <a:ext cx="27" cy="34"/>
                          </a:xfrm>
                          <a:custGeom>
                            <a:avLst/>
                            <a:gdLst/>
                            <a:ahLst/>
                            <a:cxnLst/>
                            <a:pathLst>
                              <a:path w="27" h="34">
                                <a:moveTo>
                                  <a:pt x="0" y="34"/>
                                </a:moveTo>
                                <a:lnTo>
                                  <a:pt x="18" y="0"/>
                                </a:lnTo>
                                <a:lnTo>
                                  <a:pt x="26" y="7"/>
                                </a:lnTo>
                                <a:lnTo>
                                  <a:pt x="0" y="34"/>
                                </a:lnTo>
                                <a:close/>
                              </a:path>
                            </a:pathLst>
                          </a:custGeom>
                          <a:solidFill>
                            <a:srgbClr val="000000"/>
                          </a:solidFill>
                          <a:ln>
                            <a:noFill/>
                          </a:ln>
                        </wps:spPr>
                        <wps:bodyPr upright="1"/>
                      </wps:wsp>
                      <wps:wsp>
                        <wps:cNvPr id="854" name="任意多边形 854"/>
                        <wps:cNvSpPr/>
                        <wps:spPr>
                          <a:xfrm>
                            <a:off x="3189" y="1566"/>
                            <a:ext cx="27" cy="34"/>
                          </a:xfrm>
                          <a:custGeom>
                            <a:avLst/>
                            <a:gdLst/>
                            <a:ahLst/>
                            <a:cxnLst/>
                            <a:pathLst>
                              <a:path w="27" h="34">
                                <a:moveTo>
                                  <a:pt x="8" y="34"/>
                                </a:moveTo>
                                <a:lnTo>
                                  <a:pt x="0" y="27"/>
                                </a:lnTo>
                                <a:lnTo>
                                  <a:pt x="26" y="0"/>
                                </a:lnTo>
                                <a:lnTo>
                                  <a:pt x="8" y="34"/>
                                </a:lnTo>
                                <a:close/>
                              </a:path>
                            </a:pathLst>
                          </a:custGeom>
                          <a:solidFill>
                            <a:srgbClr val="000000"/>
                          </a:solidFill>
                          <a:ln>
                            <a:noFill/>
                          </a:ln>
                        </wps:spPr>
                        <wps:bodyPr upright="1"/>
                      </wps:wsp>
                      <wps:wsp>
                        <wps:cNvPr id="855" name="任意多边形 855"/>
                        <wps:cNvSpPr/>
                        <wps:spPr>
                          <a:xfrm>
                            <a:off x="3189" y="1566"/>
                            <a:ext cx="34" cy="34"/>
                          </a:xfrm>
                          <a:custGeom>
                            <a:avLst/>
                            <a:gdLst/>
                            <a:ahLst/>
                            <a:cxnLst/>
                            <a:pathLst>
                              <a:path w="34" h="34">
                                <a:moveTo>
                                  <a:pt x="34" y="7"/>
                                </a:moveTo>
                                <a:lnTo>
                                  <a:pt x="26" y="0"/>
                                </a:lnTo>
                                <a:lnTo>
                                  <a:pt x="0" y="27"/>
                                </a:lnTo>
                                <a:lnTo>
                                  <a:pt x="8" y="34"/>
                                </a:lnTo>
                                <a:lnTo>
                                  <a:pt x="34" y="7"/>
                                </a:lnTo>
                              </a:path>
                            </a:pathLst>
                          </a:custGeom>
                          <a:noFill/>
                          <a:ln w="1524" cap="flat" cmpd="sng">
                            <a:solidFill>
                              <a:srgbClr val="000000"/>
                            </a:solidFill>
                            <a:prstDash val="solid"/>
                            <a:headEnd type="none" w="med" len="med"/>
                            <a:tailEnd type="none" w="med" len="med"/>
                          </a:ln>
                        </wps:spPr>
                        <wps:bodyPr upright="1"/>
                      </wps:wsp>
                      <wps:wsp>
                        <wps:cNvPr id="856" name="任意多边形 856"/>
                        <wps:cNvSpPr/>
                        <wps:spPr>
                          <a:xfrm>
                            <a:off x="3508" y="1566"/>
                            <a:ext cx="27" cy="34"/>
                          </a:xfrm>
                          <a:custGeom>
                            <a:avLst/>
                            <a:gdLst/>
                            <a:ahLst/>
                            <a:cxnLst/>
                            <a:pathLst>
                              <a:path w="27" h="34">
                                <a:moveTo>
                                  <a:pt x="7" y="34"/>
                                </a:moveTo>
                                <a:lnTo>
                                  <a:pt x="0" y="27"/>
                                </a:lnTo>
                                <a:lnTo>
                                  <a:pt x="26" y="0"/>
                                </a:lnTo>
                                <a:lnTo>
                                  <a:pt x="7" y="34"/>
                                </a:lnTo>
                                <a:close/>
                              </a:path>
                            </a:pathLst>
                          </a:custGeom>
                          <a:solidFill>
                            <a:srgbClr val="000000"/>
                          </a:solidFill>
                          <a:ln>
                            <a:noFill/>
                          </a:ln>
                        </wps:spPr>
                        <wps:bodyPr upright="1"/>
                      </wps:wsp>
                      <wps:wsp>
                        <wps:cNvPr id="857" name="任意多边形 857"/>
                        <wps:cNvSpPr/>
                        <wps:spPr>
                          <a:xfrm>
                            <a:off x="3516" y="1566"/>
                            <a:ext cx="27" cy="34"/>
                          </a:xfrm>
                          <a:custGeom>
                            <a:avLst/>
                            <a:gdLst/>
                            <a:ahLst/>
                            <a:cxnLst/>
                            <a:pathLst>
                              <a:path w="27" h="34">
                                <a:moveTo>
                                  <a:pt x="0" y="34"/>
                                </a:moveTo>
                                <a:lnTo>
                                  <a:pt x="19" y="0"/>
                                </a:lnTo>
                                <a:lnTo>
                                  <a:pt x="26" y="7"/>
                                </a:lnTo>
                                <a:lnTo>
                                  <a:pt x="0" y="34"/>
                                </a:lnTo>
                                <a:close/>
                              </a:path>
                            </a:pathLst>
                          </a:custGeom>
                          <a:solidFill>
                            <a:srgbClr val="000000"/>
                          </a:solidFill>
                          <a:ln>
                            <a:noFill/>
                          </a:ln>
                        </wps:spPr>
                        <wps:bodyPr upright="1"/>
                      </wps:wsp>
                      <wps:wsp>
                        <wps:cNvPr id="858" name="矩形 858"/>
                        <wps:cNvSpPr/>
                        <wps:spPr>
                          <a:xfrm>
                            <a:off x="3205" y="1311"/>
                            <a:ext cx="2" cy="2"/>
                          </a:xfrm>
                          <a:prstGeom prst="rect">
                            <a:avLst/>
                          </a:prstGeom>
                          <a:solidFill>
                            <a:srgbClr val="000000"/>
                          </a:solidFill>
                          <a:ln>
                            <a:noFill/>
                          </a:ln>
                        </wps:spPr>
                        <wps:bodyPr upright="1"/>
                      </wps:wsp>
                      <wps:wsp>
                        <wps:cNvPr id="859" name="任意多边形 859"/>
                        <wps:cNvSpPr/>
                        <wps:spPr>
                          <a:xfrm>
                            <a:off x="3508" y="1566"/>
                            <a:ext cx="34" cy="34"/>
                          </a:xfrm>
                          <a:custGeom>
                            <a:avLst/>
                            <a:gdLst/>
                            <a:ahLst/>
                            <a:cxnLst/>
                            <a:pathLst>
                              <a:path w="34" h="34">
                                <a:moveTo>
                                  <a:pt x="0" y="27"/>
                                </a:moveTo>
                                <a:lnTo>
                                  <a:pt x="7" y="34"/>
                                </a:lnTo>
                                <a:lnTo>
                                  <a:pt x="33" y="7"/>
                                </a:lnTo>
                                <a:lnTo>
                                  <a:pt x="26" y="0"/>
                                </a:lnTo>
                                <a:lnTo>
                                  <a:pt x="0" y="27"/>
                                </a:lnTo>
                              </a:path>
                            </a:pathLst>
                          </a:custGeom>
                          <a:noFill/>
                          <a:ln w="1524" cap="flat" cmpd="sng">
                            <a:solidFill>
                              <a:srgbClr val="000000"/>
                            </a:solidFill>
                            <a:prstDash val="solid"/>
                            <a:headEnd type="none" w="med" len="med"/>
                            <a:tailEnd type="none" w="med" len="med"/>
                          </a:ln>
                        </wps:spPr>
                        <wps:bodyPr upright="1"/>
                      </wps:wsp>
                      <wps:wsp>
                        <wps:cNvPr id="860" name="直接连接符 860"/>
                        <wps:cNvCnPr/>
                        <wps:spPr>
                          <a:xfrm>
                            <a:off x="4328" y="1352"/>
                            <a:ext cx="0" cy="271"/>
                          </a:xfrm>
                          <a:prstGeom prst="line">
                            <a:avLst/>
                          </a:prstGeom>
                          <a:ln w="0" cap="flat" cmpd="sng">
                            <a:solidFill>
                              <a:srgbClr val="000000"/>
                            </a:solidFill>
                            <a:prstDash val="solid"/>
                            <a:headEnd type="none" w="med" len="med"/>
                            <a:tailEnd type="none" w="med" len="med"/>
                          </a:ln>
                        </wps:spPr>
                        <wps:bodyPr upright="1"/>
                      </wps:wsp>
                      <wps:wsp>
                        <wps:cNvPr id="861" name="直接连接符 861"/>
                        <wps:cNvCnPr/>
                        <wps:spPr>
                          <a:xfrm flipV="1">
                            <a:off x="4647" y="1352"/>
                            <a:ext cx="0" cy="271"/>
                          </a:xfrm>
                          <a:prstGeom prst="line">
                            <a:avLst/>
                          </a:prstGeom>
                          <a:ln w="635" cap="flat" cmpd="sng">
                            <a:solidFill>
                              <a:srgbClr val="000000"/>
                            </a:solidFill>
                            <a:prstDash val="solid"/>
                            <a:headEnd type="none" w="med" len="med"/>
                            <a:tailEnd type="none" w="med" len="med"/>
                          </a:ln>
                        </wps:spPr>
                        <wps:bodyPr upright="1"/>
                      </wps:wsp>
                      <wps:wsp>
                        <wps:cNvPr id="862" name="直接连接符 862"/>
                        <wps:cNvCnPr/>
                        <wps:spPr>
                          <a:xfrm>
                            <a:off x="4328" y="1583"/>
                            <a:ext cx="319" cy="0"/>
                          </a:xfrm>
                          <a:prstGeom prst="line">
                            <a:avLst/>
                          </a:prstGeom>
                          <a:ln w="0" cap="flat" cmpd="sng">
                            <a:solidFill>
                              <a:srgbClr val="000000"/>
                            </a:solidFill>
                            <a:prstDash val="solid"/>
                            <a:headEnd type="none" w="med" len="med"/>
                            <a:tailEnd type="none" w="med" len="med"/>
                          </a:ln>
                        </wps:spPr>
                        <wps:bodyPr upright="1"/>
                      </wps:wsp>
                      <wps:wsp>
                        <wps:cNvPr id="863" name="任意多边形 863"/>
                        <wps:cNvSpPr/>
                        <wps:spPr>
                          <a:xfrm>
                            <a:off x="4203" y="1697"/>
                            <a:ext cx="110" cy="43"/>
                          </a:xfrm>
                          <a:custGeom>
                            <a:avLst/>
                            <a:gdLst/>
                            <a:ahLst/>
                            <a:cxnLst/>
                            <a:pathLst>
                              <a:path w="110" h="43">
                                <a:moveTo>
                                  <a:pt x="1" y="43"/>
                                </a:moveTo>
                                <a:lnTo>
                                  <a:pt x="0" y="37"/>
                                </a:lnTo>
                                <a:lnTo>
                                  <a:pt x="108" y="0"/>
                                </a:lnTo>
                                <a:lnTo>
                                  <a:pt x="110" y="5"/>
                                </a:lnTo>
                                <a:lnTo>
                                  <a:pt x="1" y="43"/>
                                </a:lnTo>
                                <a:close/>
                              </a:path>
                            </a:pathLst>
                          </a:custGeom>
                          <a:solidFill>
                            <a:srgbClr val="000000"/>
                          </a:solidFill>
                          <a:ln>
                            <a:noFill/>
                          </a:ln>
                        </wps:spPr>
                        <wps:bodyPr upright="1"/>
                      </wps:wsp>
                      <wps:wsp>
                        <wps:cNvPr id="864" name="任意多边形 864"/>
                        <wps:cNvSpPr/>
                        <wps:spPr>
                          <a:xfrm>
                            <a:off x="4201" y="1629"/>
                            <a:ext cx="112" cy="78"/>
                          </a:xfrm>
                          <a:custGeom>
                            <a:avLst/>
                            <a:gdLst/>
                            <a:ahLst/>
                            <a:cxnLst/>
                            <a:pathLst>
                              <a:path w="112" h="78">
                                <a:moveTo>
                                  <a:pt x="3" y="77"/>
                                </a:moveTo>
                                <a:lnTo>
                                  <a:pt x="0" y="72"/>
                                </a:lnTo>
                                <a:lnTo>
                                  <a:pt x="99" y="39"/>
                                </a:lnTo>
                                <a:lnTo>
                                  <a:pt x="2" y="5"/>
                                </a:lnTo>
                                <a:lnTo>
                                  <a:pt x="4" y="0"/>
                                </a:lnTo>
                                <a:lnTo>
                                  <a:pt x="112" y="38"/>
                                </a:lnTo>
                                <a:lnTo>
                                  <a:pt x="112" y="41"/>
                                </a:lnTo>
                                <a:lnTo>
                                  <a:pt x="3" y="77"/>
                                </a:lnTo>
                                <a:close/>
                              </a:path>
                            </a:pathLst>
                          </a:custGeom>
                          <a:solidFill>
                            <a:srgbClr val="000000"/>
                          </a:solidFill>
                          <a:ln>
                            <a:noFill/>
                          </a:ln>
                        </wps:spPr>
                        <wps:bodyPr upright="1"/>
                      </wps:wsp>
                      <wps:wsp>
                        <wps:cNvPr id="865" name="任意多边形 865"/>
                        <wps:cNvSpPr/>
                        <wps:spPr>
                          <a:xfrm>
                            <a:off x="4338" y="1731"/>
                            <a:ext cx="43" cy="18"/>
                          </a:xfrm>
                          <a:custGeom>
                            <a:avLst/>
                            <a:gdLst/>
                            <a:ahLst/>
                            <a:cxnLst/>
                            <a:pathLst>
                              <a:path w="43" h="18">
                                <a:moveTo>
                                  <a:pt x="20" y="17"/>
                                </a:moveTo>
                                <a:lnTo>
                                  <a:pt x="7" y="15"/>
                                </a:lnTo>
                                <a:lnTo>
                                  <a:pt x="5" y="14"/>
                                </a:lnTo>
                                <a:lnTo>
                                  <a:pt x="0" y="6"/>
                                </a:lnTo>
                                <a:lnTo>
                                  <a:pt x="2" y="2"/>
                                </a:lnTo>
                                <a:lnTo>
                                  <a:pt x="7" y="0"/>
                                </a:lnTo>
                                <a:lnTo>
                                  <a:pt x="11" y="1"/>
                                </a:lnTo>
                                <a:lnTo>
                                  <a:pt x="17" y="4"/>
                                </a:lnTo>
                                <a:lnTo>
                                  <a:pt x="28" y="9"/>
                                </a:lnTo>
                                <a:lnTo>
                                  <a:pt x="30" y="9"/>
                                </a:lnTo>
                                <a:lnTo>
                                  <a:pt x="42" y="12"/>
                                </a:lnTo>
                                <a:lnTo>
                                  <a:pt x="40" y="13"/>
                                </a:lnTo>
                                <a:lnTo>
                                  <a:pt x="28" y="17"/>
                                </a:lnTo>
                                <a:lnTo>
                                  <a:pt x="20" y="17"/>
                                </a:lnTo>
                                <a:close/>
                              </a:path>
                            </a:pathLst>
                          </a:custGeom>
                          <a:solidFill>
                            <a:srgbClr val="000000"/>
                          </a:solidFill>
                          <a:ln>
                            <a:noFill/>
                          </a:ln>
                        </wps:spPr>
                        <wps:bodyPr upright="1"/>
                      </wps:wsp>
                      <wps:wsp>
                        <wps:cNvPr id="866" name="任意多边形 866"/>
                        <wps:cNvSpPr/>
                        <wps:spPr>
                          <a:xfrm>
                            <a:off x="4341" y="1630"/>
                            <a:ext cx="64" cy="112"/>
                          </a:xfrm>
                          <a:custGeom>
                            <a:avLst/>
                            <a:gdLst/>
                            <a:ahLst/>
                            <a:cxnLst/>
                            <a:pathLst>
                              <a:path w="64" h="112">
                                <a:moveTo>
                                  <a:pt x="38" y="112"/>
                                </a:moveTo>
                                <a:lnTo>
                                  <a:pt x="26" y="109"/>
                                </a:lnTo>
                                <a:lnTo>
                                  <a:pt x="37" y="106"/>
                                </a:lnTo>
                                <a:lnTo>
                                  <a:pt x="43" y="101"/>
                                </a:lnTo>
                                <a:lnTo>
                                  <a:pt x="50" y="91"/>
                                </a:lnTo>
                                <a:lnTo>
                                  <a:pt x="50" y="83"/>
                                </a:lnTo>
                                <a:lnTo>
                                  <a:pt x="48" y="71"/>
                                </a:lnTo>
                                <a:lnTo>
                                  <a:pt x="0" y="45"/>
                                </a:lnTo>
                                <a:lnTo>
                                  <a:pt x="0" y="45"/>
                                </a:lnTo>
                                <a:lnTo>
                                  <a:pt x="22" y="0"/>
                                </a:lnTo>
                                <a:lnTo>
                                  <a:pt x="63" y="0"/>
                                </a:lnTo>
                                <a:lnTo>
                                  <a:pt x="57" y="15"/>
                                </a:lnTo>
                                <a:lnTo>
                                  <a:pt x="22" y="15"/>
                                </a:lnTo>
                                <a:lnTo>
                                  <a:pt x="15" y="30"/>
                                </a:lnTo>
                                <a:lnTo>
                                  <a:pt x="61" y="69"/>
                                </a:lnTo>
                                <a:lnTo>
                                  <a:pt x="61" y="74"/>
                                </a:lnTo>
                                <a:lnTo>
                                  <a:pt x="59" y="87"/>
                                </a:lnTo>
                                <a:lnTo>
                                  <a:pt x="58" y="91"/>
                                </a:lnTo>
                                <a:lnTo>
                                  <a:pt x="51" y="102"/>
                                </a:lnTo>
                                <a:lnTo>
                                  <a:pt x="49" y="104"/>
                                </a:lnTo>
                                <a:lnTo>
                                  <a:pt x="38" y="112"/>
                                </a:lnTo>
                                <a:close/>
                              </a:path>
                            </a:pathLst>
                          </a:custGeom>
                          <a:solidFill>
                            <a:srgbClr val="000000"/>
                          </a:solidFill>
                          <a:ln>
                            <a:noFill/>
                          </a:ln>
                        </wps:spPr>
                        <wps:bodyPr upright="1"/>
                      </wps:wsp>
                      <wps:wsp>
                        <wps:cNvPr id="867" name="任意多边形 867"/>
                        <wps:cNvSpPr/>
                        <wps:spPr>
                          <a:xfrm>
                            <a:off x="4422" y="1634"/>
                            <a:ext cx="38" cy="113"/>
                          </a:xfrm>
                          <a:custGeom>
                            <a:avLst/>
                            <a:gdLst/>
                            <a:ahLst/>
                            <a:cxnLst/>
                            <a:pathLst>
                              <a:path w="38" h="113">
                                <a:moveTo>
                                  <a:pt x="26" y="112"/>
                                </a:moveTo>
                                <a:lnTo>
                                  <a:pt x="0" y="59"/>
                                </a:lnTo>
                                <a:lnTo>
                                  <a:pt x="0" y="54"/>
                                </a:lnTo>
                                <a:lnTo>
                                  <a:pt x="22" y="0"/>
                                </a:lnTo>
                                <a:lnTo>
                                  <a:pt x="37" y="0"/>
                                </a:lnTo>
                                <a:lnTo>
                                  <a:pt x="27" y="5"/>
                                </a:lnTo>
                                <a:lnTo>
                                  <a:pt x="22" y="15"/>
                                </a:lnTo>
                                <a:lnTo>
                                  <a:pt x="19" y="28"/>
                                </a:lnTo>
                                <a:lnTo>
                                  <a:pt x="17" y="41"/>
                                </a:lnTo>
                                <a:lnTo>
                                  <a:pt x="17" y="54"/>
                                </a:lnTo>
                                <a:lnTo>
                                  <a:pt x="17" y="59"/>
                                </a:lnTo>
                                <a:lnTo>
                                  <a:pt x="37" y="109"/>
                                </a:lnTo>
                                <a:lnTo>
                                  <a:pt x="26" y="112"/>
                                </a:lnTo>
                                <a:close/>
                              </a:path>
                            </a:pathLst>
                          </a:custGeom>
                          <a:solidFill>
                            <a:srgbClr val="000000"/>
                          </a:solidFill>
                          <a:ln>
                            <a:noFill/>
                          </a:ln>
                        </wps:spPr>
                        <wps:bodyPr upright="1"/>
                      </wps:wsp>
                      <wps:wsp>
                        <wps:cNvPr id="868" name="任意多边形 868"/>
                        <wps:cNvSpPr/>
                        <wps:spPr>
                          <a:xfrm>
                            <a:off x="4444" y="1628"/>
                            <a:ext cx="53" cy="120"/>
                          </a:xfrm>
                          <a:custGeom>
                            <a:avLst/>
                            <a:gdLst/>
                            <a:ahLst/>
                            <a:cxnLst/>
                            <a:pathLst>
                              <a:path w="53" h="120">
                                <a:moveTo>
                                  <a:pt x="15" y="119"/>
                                </a:moveTo>
                                <a:lnTo>
                                  <a:pt x="4" y="117"/>
                                </a:lnTo>
                                <a:lnTo>
                                  <a:pt x="15" y="114"/>
                                </a:lnTo>
                                <a:lnTo>
                                  <a:pt x="24" y="110"/>
                                </a:lnTo>
                                <a:lnTo>
                                  <a:pt x="36" y="59"/>
                                </a:lnTo>
                                <a:lnTo>
                                  <a:pt x="36" y="55"/>
                                </a:lnTo>
                                <a:lnTo>
                                  <a:pt x="0" y="5"/>
                                </a:lnTo>
                                <a:lnTo>
                                  <a:pt x="11" y="0"/>
                                </a:lnTo>
                                <a:lnTo>
                                  <a:pt x="52" y="47"/>
                                </a:lnTo>
                                <a:lnTo>
                                  <a:pt x="52" y="59"/>
                                </a:lnTo>
                                <a:lnTo>
                                  <a:pt x="52" y="73"/>
                                </a:lnTo>
                                <a:lnTo>
                                  <a:pt x="20" y="119"/>
                                </a:lnTo>
                                <a:lnTo>
                                  <a:pt x="15" y="119"/>
                                </a:lnTo>
                                <a:close/>
                              </a:path>
                            </a:pathLst>
                          </a:custGeom>
                          <a:solidFill>
                            <a:srgbClr val="000000"/>
                          </a:solidFill>
                          <a:ln>
                            <a:noFill/>
                          </a:ln>
                        </wps:spPr>
                        <wps:bodyPr upright="1"/>
                      </wps:wsp>
                      <wps:wsp>
                        <wps:cNvPr id="869" name="任意多边形 869"/>
                        <wps:cNvSpPr/>
                        <wps:spPr>
                          <a:xfrm>
                            <a:off x="4505" y="1675"/>
                            <a:ext cx="7" cy="4"/>
                          </a:xfrm>
                          <a:custGeom>
                            <a:avLst/>
                            <a:gdLst/>
                            <a:ahLst/>
                            <a:cxnLst/>
                            <a:pathLst>
                              <a:path w="7" h="4">
                                <a:moveTo>
                                  <a:pt x="2" y="3"/>
                                </a:moveTo>
                                <a:lnTo>
                                  <a:pt x="0" y="0"/>
                                </a:lnTo>
                                <a:lnTo>
                                  <a:pt x="7" y="2"/>
                                </a:lnTo>
                                <a:lnTo>
                                  <a:pt x="2" y="3"/>
                                </a:lnTo>
                                <a:close/>
                              </a:path>
                            </a:pathLst>
                          </a:custGeom>
                          <a:solidFill>
                            <a:srgbClr val="000000"/>
                          </a:solidFill>
                          <a:ln>
                            <a:noFill/>
                          </a:ln>
                        </wps:spPr>
                        <wps:bodyPr upright="1"/>
                      </wps:wsp>
                      <wps:wsp>
                        <wps:cNvPr id="870" name="任意多边形 870"/>
                        <wps:cNvSpPr/>
                        <wps:spPr>
                          <a:xfrm>
                            <a:off x="4506" y="1673"/>
                            <a:ext cx="46" cy="74"/>
                          </a:xfrm>
                          <a:custGeom>
                            <a:avLst/>
                            <a:gdLst/>
                            <a:ahLst/>
                            <a:cxnLst/>
                            <a:pathLst>
                              <a:path w="46" h="74">
                                <a:moveTo>
                                  <a:pt x="38" y="74"/>
                                </a:moveTo>
                                <a:lnTo>
                                  <a:pt x="0" y="74"/>
                                </a:lnTo>
                                <a:lnTo>
                                  <a:pt x="0" y="70"/>
                                </a:lnTo>
                                <a:lnTo>
                                  <a:pt x="7" y="69"/>
                                </a:lnTo>
                                <a:lnTo>
                                  <a:pt x="10" y="65"/>
                                </a:lnTo>
                                <a:lnTo>
                                  <a:pt x="11" y="56"/>
                                </a:lnTo>
                                <a:lnTo>
                                  <a:pt x="11" y="26"/>
                                </a:lnTo>
                                <a:lnTo>
                                  <a:pt x="11" y="12"/>
                                </a:lnTo>
                                <a:lnTo>
                                  <a:pt x="25" y="10"/>
                                </a:lnTo>
                                <a:lnTo>
                                  <a:pt x="35" y="0"/>
                                </a:lnTo>
                                <a:lnTo>
                                  <a:pt x="45" y="3"/>
                                </a:lnTo>
                                <a:lnTo>
                                  <a:pt x="36" y="6"/>
                                </a:lnTo>
                                <a:lnTo>
                                  <a:pt x="26" y="13"/>
                                </a:lnTo>
                                <a:lnTo>
                                  <a:pt x="25" y="14"/>
                                </a:lnTo>
                                <a:lnTo>
                                  <a:pt x="25" y="56"/>
                                </a:lnTo>
                                <a:lnTo>
                                  <a:pt x="26" y="66"/>
                                </a:lnTo>
                                <a:lnTo>
                                  <a:pt x="29" y="69"/>
                                </a:lnTo>
                                <a:lnTo>
                                  <a:pt x="38" y="70"/>
                                </a:lnTo>
                                <a:lnTo>
                                  <a:pt x="38" y="74"/>
                                </a:lnTo>
                                <a:close/>
                              </a:path>
                            </a:pathLst>
                          </a:custGeom>
                          <a:solidFill>
                            <a:srgbClr val="000000"/>
                          </a:solidFill>
                          <a:ln>
                            <a:noFill/>
                          </a:ln>
                        </wps:spPr>
                        <wps:bodyPr upright="1"/>
                      </wps:wsp>
                      <wps:wsp>
                        <wps:cNvPr id="871" name="任意多边形 871"/>
                        <wps:cNvSpPr/>
                        <wps:spPr>
                          <a:xfrm>
                            <a:off x="4578" y="1672"/>
                            <a:ext cx="21" cy="14"/>
                          </a:xfrm>
                          <a:custGeom>
                            <a:avLst/>
                            <a:gdLst/>
                            <a:ahLst/>
                            <a:cxnLst/>
                            <a:pathLst>
                              <a:path w="21" h="14">
                                <a:moveTo>
                                  <a:pt x="1" y="13"/>
                                </a:moveTo>
                                <a:lnTo>
                                  <a:pt x="0" y="10"/>
                                </a:lnTo>
                                <a:lnTo>
                                  <a:pt x="10" y="0"/>
                                </a:lnTo>
                                <a:lnTo>
                                  <a:pt x="20" y="3"/>
                                </a:lnTo>
                                <a:lnTo>
                                  <a:pt x="11" y="6"/>
                                </a:lnTo>
                                <a:lnTo>
                                  <a:pt x="1" y="13"/>
                                </a:lnTo>
                                <a:close/>
                              </a:path>
                            </a:pathLst>
                          </a:custGeom>
                          <a:solidFill>
                            <a:srgbClr val="000000"/>
                          </a:solidFill>
                          <a:ln>
                            <a:noFill/>
                          </a:ln>
                        </wps:spPr>
                        <wps:bodyPr upright="1"/>
                      </wps:wsp>
                      <wps:wsp>
                        <wps:cNvPr id="872" name="任意多边形 872"/>
                        <wps:cNvSpPr/>
                        <wps:spPr>
                          <a:xfrm>
                            <a:off x="4588" y="1666"/>
                            <a:ext cx="50" cy="81"/>
                          </a:xfrm>
                          <a:custGeom>
                            <a:avLst/>
                            <a:gdLst/>
                            <a:ahLst/>
                            <a:cxnLst/>
                            <a:pathLst>
                              <a:path w="50" h="81">
                                <a:moveTo>
                                  <a:pt x="49" y="81"/>
                                </a:moveTo>
                                <a:lnTo>
                                  <a:pt x="11" y="81"/>
                                </a:lnTo>
                                <a:lnTo>
                                  <a:pt x="11" y="77"/>
                                </a:lnTo>
                                <a:lnTo>
                                  <a:pt x="12" y="77"/>
                                </a:lnTo>
                                <a:lnTo>
                                  <a:pt x="20" y="76"/>
                                </a:lnTo>
                                <a:lnTo>
                                  <a:pt x="23" y="71"/>
                                </a:lnTo>
                                <a:lnTo>
                                  <a:pt x="23" y="63"/>
                                </a:lnTo>
                                <a:lnTo>
                                  <a:pt x="23" y="29"/>
                                </a:lnTo>
                                <a:lnTo>
                                  <a:pt x="21" y="17"/>
                                </a:lnTo>
                                <a:lnTo>
                                  <a:pt x="21" y="16"/>
                                </a:lnTo>
                                <a:lnTo>
                                  <a:pt x="11" y="10"/>
                                </a:lnTo>
                                <a:lnTo>
                                  <a:pt x="10" y="10"/>
                                </a:lnTo>
                                <a:lnTo>
                                  <a:pt x="0" y="7"/>
                                </a:lnTo>
                                <a:lnTo>
                                  <a:pt x="4" y="3"/>
                                </a:lnTo>
                                <a:lnTo>
                                  <a:pt x="17" y="0"/>
                                </a:lnTo>
                                <a:lnTo>
                                  <a:pt x="17" y="0"/>
                                </a:lnTo>
                                <a:lnTo>
                                  <a:pt x="28" y="3"/>
                                </a:lnTo>
                                <a:lnTo>
                                  <a:pt x="35" y="13"/>
                                </a:lnTo>
                                <a:lnTo>
                                  <a:pt x="35" y="14"/>
                                </a:lnTo>
                                <a:lnTo>
                                  <a:pt x="37" y="26"/>
                                </a:lnTo>
                                <a:lnTo>
                                  <a:pt x="37" y="63"/>
                                </a:lnTo>
                                <a:lnTo>
                                  <a:pt x="38" y="73"/>
                                </a:lnTo>
                                <a:lnTo>
                                  <a:pt x="42" y="76"/>
                                </a:lnTo>
                                <a:lnTo>
                                  <a:pt x="49" y="77"/>
                                </a:lnTo>
                                <a:lnTo>
                                  <a:pt x="49" y="81"/>
                                </a:lnTo>
                                <a:close/>
                              </a:path>
                            </a:pathLst>
                          </a:custGeom>
                          <a:solidFill>
                            <a:srgbClr val="000000"/>
                          </a:solidFill>
                          <a:ln>
                            <a:noFill/>
                          </a:ln>
                        </wps:spPr>
                        <wps:bodyPr upright="1"/>
                      </wps:wsp>
                      <wps:wsp>
                        <wps:cNvPr id="873" name="任意多边形 873"/>
                        <wps:cNvSpPr/>
                        <wps:spPr>
                          <a:xfrm>
                            <a:off x="4542" y="1666"/>
                            <a:ext cx="50" cy="81"/>
                          </a:xfrm>
                          <a:custGeom>
                            <a:avLst/>
                            <a:gdLst/>
                            <a:ahLst/>
                            <a:cxnLst/>
                            <a:pathLst>
                              <a:path w="50" h="81">
                                <a:moveTo>
                                  <a:pt x="50" y="81"/>
                                </a:moveTo>
                                <a:lnTo>
                                  <a:pt x="11" y="81"/>
                                </a:lnTo>
                                <a:lnTo>
                                  <a:pt x="11" y="77"/>
                                </a:lnTo>
                                <a:lnTo>
                                  <a:pt x="20" y="76"/>
                                </a:lnTo>
                                <a:lnTo>
                                  <a:pt x="23" y="71"/>
                                </a:lnTo>
                                <a:lnTo>
                                  <a:pt x="23" y="63"/>
                                </a:lnTo>
                                <a:lnTo>
                                  <a:pt x="23" y="29"/>
                                </a:lnTo>
                                <a:lnTo>
                                  <a:pt x="21" y="17"/>
                                </a:lnTo>
                                <a:lnTo>
                                  <a:pt x="21" y="16"/>
                                </a:lnTo>
                                <a:lnTo>
                                  <a:pt x="10" y="10"/>
                                </a:lnTo>
                                <a:lnTo>
                                  <a:pt x="0" y="7"/>
                                </a:lnTo>
                                <a:lnTo>
                                  <a:pt x="8" y="2"/>
                                </a:lnTo>
                                <a:lnTo>
                                  <a:pt x="37" y="17"/>
                                </a:lnTo>
                                <a:lnTo>
                                  <a:pt x="38" y="20"/>
                                </a:lnTo>
                                <a:lnTo>
                                  <a:pt x="37" y="21"/>
                                </a:lnTo>
                                <a:lnTo>
                                  <a:pt x="37" y="22"/>
                                </a:lnTo>
                                <a:lnTo>
                                  <a:pt x="37" y="26"/>
                                </a:lnTo>
                                <a:lnTo>
                                  <a:pt x="37" y="63"/>
                                </a:lnTo>
                                <a:lnTo>
                                  <a:pt x="38" y="73"/>
                                </a:lnTo>
                                <a:lnTo>
                                  <a:pt x="41" y="76"/>
                                </a:lnTo>
                                <a:lnTo>
                                  <a:pt x="50" y="77"/>
                                </a:lnTo>
                                <a:lnTo>
                                  <a:pt x="50" y="81"/>
                                </a:lnTo>
                                <a:close/>
                              </a:path>
                            </a:pathLst>
                          </a:custGeom>
                          <a:solidFill>
                            <a:srgbClr val="000000"/>
                          </a:solidFill>
                          <a:ln>
                            <a:noFill/>
                          </a:ln>
                        </wps:spPr>
                        <wps:bodyPr upright="1"/>
                      </wps:wsp>
                      <wps:wsp>
                        <wps:cNvPr id="874" name="任意多边形 874"/>
                        <wps:cNvSpPr/>
                        <wps:spPr>
                          <a:xfrm>
                            <a:off x="4505" y="1666"/>
                            <a:ext cx="27" cy="19"/>
                          </a:xfrm>
                          <a:custGeom>
                            <a:avLst/>
                            <a:gdLst/>
                            <a:ahLst/>
                            <a:cxnLst/>
                            <a:pathLst>
                              <a:path w="27" h="19">
                                <a:moveTo>
                                  <a:pt x="13" y="19"/>
                                </a:moveTo>
                                <a:lnTo>
                                  <a:pt x="12" y="17"/>
                                </a:lnTo>
                                <a:lnTo>
                                  <a:pt x="11" y="12"/>
                                </a:lnTo>
                                <a:lnTo>
                                  <a:pt x="0" y="10"/>
                                </a:lnTo>
                                <a:lnTo>
                                  <a:pt x="24" y="0"/>
                                </a:lnTo>
                                <a:lnTo>
                                  <a:pt x="27" y="0"/>
                                </a:lnTo>
                                <a:lnTo>
                                  <a:pt x="27" y="17"/>
                                </a:lnTo>
                                <a:lnTo>
                                  <a:pt x="13" y="19"/>
                                </a:lnTo>
                                <a:close/>
                              </a:path>
                            </a:pathLst>
                          </a:custGeom>
                          <a:solidFill>
                            <a:srgbClr val="000000"/>
                          </a:solidFill>
                          <a:ln>
                            <a:noFill/>
                          </a:ln>
                        </wps:spPr>
                        <wps:bodyPr upright="1"/>
                      </wps:wsp>
                      <wps:wsp>
                        <wps:cNvPr id="875" name="任意多边形 875"/>
                        <wps:cNvSpPr/>
                        <wps:spPr>
                          <a:xfrm>
                            <a:off x="4640" y="1675"/>
                            <a:ext cx="7" cy="4"/>
                          </a:xfrm>
                          <a:custGeom>
                            <a:avLst/>
                            <a:gdLst/>
                            <a:ahLst/>
                            <a:cxnLst/>
                            <a:pathLst>
                              <a:path w="7" h="4">
                                <a:moveTo>
                                  <a:pt x="1" y="3"/>
                                </a:moveTo>
                                <a:lnTo>
                                  <a:pt x="0" y="0"/>
                                </a:lnTo>
                                <a:lnTo>
                                  <a:pt x="7" y="2"/>
                                </a:lnTo>
                                <a:lnTo>
                                  <a:pt x="1" y="3"/>
                                </a:lnTo>
                                <a:close/>
                              </a:path>
                            </a:pathLst>
                          </a:custGeom>
                          <a:solidFill>
                            <a:srgbClr val="000000"/>
                          </a:solidFill>
                          <a:ln>
                            <a:noFill/>
                          </a:ln>
                        </wps:spPr>
                        <wps:bodyPr upright="1"/>
                      </wps:wsp>
                      <wps:wsp>
                        <wps:cNvPr id="876" name="任意多边形 876"/>
                        <wps:cNvSpPr/>
                        <wps:spPr>
                          <a:xfrm>
                            <a:off x="4641" y="1673"/>
                            <a:ext cx="46" cy="74"/>
                          </a:xfrm>
                          <a:custGeom>
                            <a:avLst/>
                            <a:gdLst/>
                            <a:ahLst/>
                            <a:cxnLst/>
                            <a:pathLst>
                              <a:path w="46" h="74">
                                <a:moveTo>
                                  <a:pt x="39" y="74"/>
                                </a:moveTo>
                                <a:lnTo>
                                  <a:pt x="0" y="74"/>
                                </a:lnTo>
                                <a:lnTo>
                                  <a:pt x="0" y="70"/>
                                </a:lnTo>
                                <a:lnTo>
                                  <a:pt x="8" y="69"/>
                                </a:lnTo>
                                <a:lnTo>
                                  <a:pt x="11" y="65"/>
                                </a:lnTo>
                                <a:lnTo>
                                  <a:pt x="12" y="56"/>
                                </a:lnTo>
                                <a:lnTo>
                                  <a:pt x="12" y="26"/>
                                </a:lnTo>
                                <a:lnTo>
                                  <a:pt x="12" y="12"/>
                                </a:lnTo>
                                <a:lnTo>
                                  <a:pt x="26" y="10"/>
                                </a:lnTo>
                                <a:lnTo>
                                  <a:pt x="36" y="0"/>
                                </a:lnTo>
                                <a:lnTo>
                                  <a:pt x="46" y="3"/>
                                </a:lnTo>
                                <a:lnTo>
                                  <a:pt x="37" y="6"/>
                                </a:lnTo>
                                <a:lnTo>
                                  <a:pt x="27" y="13"/>
                                </a:lnTo>
                                <a:lnTo>
                                  <a:pt x="26" y="14"/>
                                </a:lnTo>
                                <a:lnTo>
                                  <a:pt x="26" y="56"/>
                                </a:lnTo>
                                <a:lnTo>
                                  <a:pt x="27" y="66"/>
                                </a:lnTo>
                                <a:lnTo>
                                  <a:pt x="31" y="69"/>
                                </a:lnTo>
                                <a:lnTo>
                                  <a:pt x="39" y="70"/>
                                </a:lnTo>
                                <a:lnTo>
                                  <a:pt x="39" y="74"/>
                                </a:lnTo>
                                <a:close/>
                              </a:path>
                            </a:pathLst>
                          </a:custGeom>
                          <a:solidFill>
                            <a:srgbClr val="000000"/>
                          </a:solidFill>
                          <a:ln>
                            <a:noFill/>
                          </a:ln>
                        </wps:spPr>
                        <wps:bodyPr upright="1"/>
                      </wps:wsp>
                      <wps:wsp>
                        <wps:cNvPr id="877" name="任意多边形 877"/>
                        <wps:cNvSpPr/>
                        <wps:spPr>
                          <a:xfrm>
                            <a:off x="4713" y="1672"/>
                            <a:ext cx="21" cy="14"/>
                          </a:xfrm>
                          <a:custGeom>
                            <a:avLst/>
                            <a:gdLst/>
                            <a:ahLst/>
                            <a:cxnLst/>
                            <a:pathLst>
                              <a:path w="21" h="14">
                                <a:moveTo>
                                  <a:pt x="2" y="13"/>
                                </a:moveTo>
                                <a:lnTo>
                                  <a:pt x="0" y="10"/>
                                </a:lnTo>
                                <a:lnTo>
                                  <a:pt x="10" y="0"/>
                                </a:lnTo>
                                <a:lnTo>
                                  <a:pt x="20" y="3"/>
                                </a:lnTo>
                                <a:lnTo>
                                  <a:pt x="12" y="6"/>
                                </a:lnTo>
                                <a:lnTo>
                                  <a:pt x="2" y="13"/>
                                </a:lnTo>
                                <a:close/>
                              </a:path>
                            </a:pathLst>
                          </a:custGeom>
                          <a:solidFill>
                            <a:srgbClr val="000000"/>
                          </a:solidFill>
                          <a:ln>
                            <a:noFill/>
                          </a:ln>
                        </wps:spPr>
                        <wps:bodyPr upright="1"/>
                      </wps:wsp>
                      <wps:wsp>
                        <wps:cNvPr id="878" name="任意多边形 878"/>
                        <wps:cNvSpPr/>
                        <wps:spPr>
                          <a:xfrm>
                            <a:off x="4724" y="1666"/>
                            <a:ext cx="50" cy="81"/>
                          </a:xfrm>
                          <a:custGeom>
                            <a:avLst/>
                            <a:gdLst/>
                            <a:ahLst/>
                            <a:cxnLst/>
                            <a:pathLst>
                              <a:path w="50" h="81">
                                <a:moveTo>
                                  <a:pt x="49" y="81"/>
                                </a:moveTo>
                                <a:lnTo>
                                  <a:pt x="11" y="81"/>
                                </a:lnTo>
                                <a:lnTo>
                                  <a:pt x="11" y="77"/>
                                </a:lnTo>
                                <a:lnTo>
                                  <a:pt x="12" y="77"/>
                                </a:lnTo>
                                <a:lnTo>
                                  <a:pt x="20" y="76"/>
                                </a:lnTo>
                                <a:lnTo>
                                  <a:pt x="23" y="71"/>
                                </a:lnTo>
                                <a:lnTo>
                                  <a:pt x="23" y="63"/>
                                </a:lnTo>
                                <a:lnTo>
                                  <a:pt x="23" y="29"/>
                                </a:lnTo>
                                <a:lnTo>
                                  <a:pt x="22" y="17"/>
                                </a:lnTo>
                                <a:lnTo>
                                  <a:pt x="21" y="16"/>
                                </a:lnTo>
                                <a:lnTo>
                                  <a:pt x="11" y="10"/>
                                </a:lnTo>
                                <a:lnTo>
                                  <a:pt x="10" y="10"/>
                                </a:lnTo>
                                <a:lnTo>
                                  <a:pt x="0" y="7"/>
                                </a:lnTo>
                                <a:lnTo>
                                  <a:pt x="5" y="3"/>
                                </a:lnTo>
                                <a:lnTo>
                                  <a:pt x="17" y="0"/>
                                </a:lnTo>
                                <a:lnTo>
                                  <a:pt x="28" y="3"/>
                                </a:lnTo>
                                <a:lnTo>
                                  <a:pt x="35" y="13"/>
                                </a:lnTo>
                                <a:lnTo>
                                  <a:pt x="36" y="14"/>
                                </a:lnTo>
                                <a:lnTo>
                                  <a:pt x="37" y="26"/>
                                </a:lnTo>
                                <a:lnTo>
                                  <a:pt x="37" y="63"/>
                                </a:lnTo>
                                <a:lnTo>
                                  <a:pt x="39" y="73"/>
                                </a:lnTo>
                                <a:lnTo>
                                  <a:pt x="42" y="76"/>
                                </a:lnTo>
                                <a:lnTo>
                                  <a:pt x="49" y="77"/>
                                </a:lnTo>
                                <a:lnTo>
                                  <a:pt x="49" y="81"/>
                                </a:lnTo>
                                <a:close/>
                              </a:path>
                            </a:pathLst>
                          </a:custGeom>
                          <a:solidFill>
                            <a:srgbClr val="000000"/>
                          </a:solidFill>
                          <a:ln>
                            <a:noFill/>
                          </a:ln>
                        </wps:spPr>
                        <wps:bodyPr upright="1"/>
                      </wps:wsp>
                      <wps:wsp>
                        <wps:cNvPr id="879" name="任意多边形 879"/>
                        <wps:cNvSpPr/>
                        <wps:spPr>
                          <a:xfrm>
                            <a:off x="4676" y="1666"/>
                            <a:ext cx="51" cy="81"/>
                          </a:xfrm>
                          <a:custGeom>
                            <a:avLst/>
                            <a:gdLst/>
                            <a:ahLst/>
                            <a:cxnLst/>
                            <a:pathLst>
                              <a:path w="51" h="81">
                                <a:moveTo>
                                  <a:pt x="50" y="81"/>
                                </a:moveTo>
                                <a:lnTo>
                                  <a:pt x="11" y="81"/>
                                </a:lnTo>
                                <a:lnTo>
                                  <a:pt x="11" y="77"/>
                                </a:lnTo>
                                <a:lnTo>
                                  <a:pt x="20" y="76"/>
                                </a:lnTo>
                                <a:lnTo>
                                  <a:pt x="23" y="71"/>
                                </a:lnTo>
                                <a:lnTo>
                                  <a:pt x="23" y="63"/>
                                </a:lnTo>
                                <a:lnTo>
                                  <a:pt x="23" y="29"/>
                                </a:lnTo>
                                <a:lnTo>
                                  <a:pt x="21" y="17"/>
                                </a:lnTo>
                                <a:lnTo>
                                  <a:pt x="21" y="16"/>
                                </a:lnTo>
                                <a:lnTo>
                                  <a:pt x="10" y="10"/>
                                </a:lnTo>
                                <a:lnTo>
                                  <a:pt x="0" y="7"/>
                                </a:lnTo>
                                <a:lnTo>
                                  <a:pt x="0" y="7"/>
                                </a:lnTo>
                                <a:lnTo>
                                  <a:pt x="8" y="2"/>
                                </a:lnTo>
                                <a:lnTo>
                                  <a:pt x="17" y="0"/>
                                </a:lnTo>
                                <a:lnTo>
                                  <a:pt x="29" y="4"/>
                                </a:lnTo>
                                <a:lnTo>
                                  <a:pt x="30" y="4"/>
                                </a:lnTo>
                                <a:lnTo>
                                  <a:pt x="36" y="15"/>
                                </a:lnTo>
                                <a:lnTo>
                                  <a:pt x="37" y="17"/>
                                </a:lnTo>
                                <a:lnTo>
                                  <a:pt x="39" y="20"/>
                                </a:lnTo>
                                <a:lnTo>
                                  <a:pt x="37" y="21"/>
                                </a:lnTo>
                                <a:lnTo>
                                  <a:pt x="37" y="63"/>
                                </a:lnTo>
                                <a:lnTo>
                                  <a:pt x="38" y="73"/>
                                </a:lnTo>
                                <a:lnTo>
                                  <a:pt x="42" y="76"/>
                                </a:lnTo>
                                <a:lnTo>
                                  <a:pt x="50" y="77"/>
                                </a:lnTo>
                                <a:lnTo>
                                  <a:pt x="50" y="81"/>
                                </a:lnTo>
                                <a:close/>
                              </a:path>
                            </a:pathLst>
                          </a:custGeom>
                          <a:solidFill>
                            <a:srgbClr val="000000"/>
                          </a:solidFill>
                          <a:ln>
                            <a:noFill/>
                          </a:ln>
                        </wps:spPr>
                        <wps:bodyPr upright="1"/>
                      </wps:wsp>
                      <wps:wsp>
                        <wps:cNvPr id="880" name="任意多边形 880"/>
                        <wps:cNvSpPr/>
                        <wps:spPr>
                          <a:xfrm>
                            <a:off x="4640" y="1666"/>
                            <a:ext cx="28" cy="19"/>
                          </a:xfrm>
                          <a:custGeom>
                            <a:avLst/>
                            <a:gdLst/>
                            <a:ahLst/>
                            <a:cxnLst/>
                            <a:pathLst>
                              <a:path w="28" h="19">
                                <a:moveTo>
                                  <a:pt x="13" y="19"/>
                                </a:moveTo>
                                <a:lnTo>
                                  <a:pt x="13" y="17"/>
                                </a:lnTo>
                                <a:lnTo>
                                  <a:pt x="11" y="12"/>
                                </a:lnTo>
                                <a:lnTo>
                                  <a:pt x="7" y="12"/>
                                </a:lnTo>
                                <a:lnTo>
                                  <a:pt x="0" y="10"/>
                                </a:lnTo>
                                <a:lnTo>
                                  <a:pt x="24" y="0"/>
                                </a:lnTo>
                                <a:lnTo>
                                  <a:pt x="27" y="0"/>
                                </a:lnTo>
                                <a:lnTo>
                                  <a:pt x="27" y="17"/>
                                </a:lnTo>
                                <a:lnTo>
                                  <a:pt x="13" y="19"/>
                                </a:lnTo>
                                <a:close/>
                              </a:path>
                            </a:pathLst>
                          </a:custGeom>
                          <a:solidFill>
                            <a:srgbClr val="000000"/>
                          </a:solidFill>
                          <a:ln>
                            <a:noFill/>
                          </a:ln>
                        </wps:spPr>
                        <wps:bodyPr upright="1"/>
                      </wps:wsp>
                      <wps:wsp>
                        <wps:cNvPr id="881" name="任意多边形 881"/>
                        <wps:cNvSpPr/>
                        <wps:spPr>
                          <a:xfrm>
                            <a:off x="4318" y="1566"/>
                            <a:ext cx="27" cy="34"/>
                          </a:xfrm>
                          <a:custGeom>
                            <a:avLst/>
                            <a:gdLst/>
                            <a:ahLst/>
                            <a:cxnLst/>
                            <a:pathLst>
                              <a:path w="27" h="34">
                                <a:moveTo>
                                  <a:pt x="0" y="34"/>
                                </a:moveTo>
                                <a:lnTo>
                                  <a:pt x="19" y="0"/>
                                </a:lnTo>
                                <a:lnTo>
                                  <a:pt x="26" y="7"/>
                                </a:lnTo>
                                <a:lnTo>
                                  <a:pt x="0" y="34"/>
                                </a:lnTo>
                                <a:close/>
                              </a:path>
                            </a:pathLst>
                          </a:custGeom>
                          <a:solidFill>
                            <a:srgbClr val="000000"/>
                          </a:solidFill>
                          <a:ln>
                            <a:noFill/>
                          </a:ln>
                        </wps:spPr>
                        <wps:bodyPr upright="1"/>
                      </wps:wsp>
                      <wps:wsp>
                        <wps:cNvPr id="882" name="任意多边形 882"/>
                        <wps:cNvSpPr/>
                        <wps:spPr>
                          <a:xfrm>
                            <a:off x="4310" y="1566"/>
                            <a:ext cx="27" cy="34"/>
                          </a:xfrm>
                          <a:custGeom>
                            <a:avLst/>
                            <a:gdLst/>
                            <a:ahLst/>
                            <a:cxnLst/>
                            <a:pathLst>
                              <a:path w="27" h="34">
                                <a:moveTo>
                                  <a:pt x="7" y="34"/>
                                </a:moveTo>
                                <a:lnTo>
                                  <a:pt x="0" y="27"/>
                                </a:lnTo>
                                <a:lnTo>
                                  <a:pt x="26" y="0"/>
                                </a:lnTo>
                                <a:lnTo>
                                  <a:pt x="7" y="34"/>
                                </a:lnTo>
                                <a:close/>
                              </a:path>
                            </a:pathLst>
                          </a:custGeom>
                          <a:solidFill>
                            <a:srgbClr val="000000"/>
                          </a:solidFill>
                          <a:ln>
                            <a:noFill/>
                          </a:ln>
                        </wps:spPr>
                        <wps:bodyPr upright="1"/>
                      </wps:wsp>
                      <wps:wsp>
                        <wps:cNvPr id="883" name="任意多边形 883"/>
                        <wps:cNvSpPr/>
                        <wps:spPr>
                          <a:xfrm>
                            <a:off x="4310" y="1566"/>
                            <a:ext cx="34" cy="34"/>
                          </a:xfrm>
                          <a:custGeom>
                            <a:avLst/>
                            <a:gdLst/>
                            <a:ahLst/>
                            <a:cxnLst/>
                            <a:pathLst>
                              <a:path w="34" h="34">
                                <a:moveTo>
                                  <a:pt x="33" y="7"/>
                                </a:moveTo>
                                <a:lnTo>
                                  <a:pt x="26" y="0"/>
                                </a:lnTo>
                                <a:lnTo>
                                  <a:pt x="0" y="27"/>
                                </a:lnTo>
                                <a:lnTo>
                                  <a:pt x="7" y="34"/>
                                </a:lnTo>
                                <a:lnTo>
                                  <a:pt x="33" y="7"/>
                                </a:lnTo>
                              </a:path>
                            </a:pathLst>
                          </a:custGeom>
                          <a:noFill/>
                          <a:ln w="1524" cap="flat" cmpd="sng">
                            <a:solidFill>
                              <a:srgbClr val="000000"/>
                            </a:solidFill>
                            <a:prstDash val="solid"/>
                            <a:headEnd type="none" w="med" len="med"/>
                            <a:tailEnd type="none" w="med" len="med"/>
                          </a:ln>
                        </wps:spPr>
                        <wps:bodyPr upright="1"/>
                      </wps:wsp>
                      <wps:wsp>
                        <wps:cNvPr id="884" name="任意多边形 884"/>
                        <wps:cNvSpPr/>
                        <wps:spPr>
                          <a:xfrm>
                            <a:off x="4630" y="1566"/>
                            <a:ext cx="27" cy="34"/>
                          </a:xfrm>
                          <a:custGeom>
                            <a:avLst/>
                            <a:gdLst/>
                            <a:ahLst/>
                            <a:cxnLst/>
                            <a:pathLst>
                              <a:path w="27" h="34">
                                <a:moveTo>
                                  <a:pt x="8" y="34"/>
                                </a:moveTo>
                                <a:lnTo>
                                  <a:pt x="0" y="27"/>
                                </a:lnTo>
                                <a:lnTo>
                                  <a:pt x="26" y="0"/>
                                </a:lnTo>
                                <a:lnTo>
                                  <a:pt x="8" y="34"/>
                                </a:lnTo>
                                <a:close/>
                              </a:path>
                            </a:pathLst>
                          </a:custGeom>
                          <a:solidFill>
                            <a:srgbClr val="000000"/>
                          </a:solidFill>
                          <a:ln>
                            <a:noFill/>
                          </a:ln>
                        </wps:spPr>
                        <wps:bodyPr upright="1"/>
                      </wps:wsp>
                      <wps:wsp>
                        <wps:cNvPr id="885" name="任意多边形 885"/>
                        <wps:cNvSpPr/>
                        <wps:spPr>
                          <a:xfrm>
                            <a:off x="4637" y="1566"/>
                            <a:ext cx="27" cy="34"/>
                          </a:xfrm>
                          <a:custGeom>
                            <a:avLst/>
                            <a:gdLst/>
                            <a:ahLst/>
                            <a:cxnLst/>
                            <a:pathLst>
                              <a:path w="27" h="34">
                                <a:moveTo>
                                  <a:pt x="0" y="34"/>
                                </a:moveTo>
                                <a:lnTo>
                                  <a:pt x="18" y="0"/>
                                </a:lnTo>
                                <a:lnTo>
                                  <a:pt x="26" y="7"/>
                                </a:lnTo>
                                <a:lnTo>
                                  <a:pt x="0" y="34"/>
                                </a:lnTo>
                                <a:close/>
                              </a:path>
                            </a:pathLst>
                          </a:custGeom>
                          <a:solidFill>
                            <a:srgbClr val="000000"/>
                          </a:solidFill>
                          <a:ln>
                            <a:noFill/>
                          </a:ln>
                        </wps:spPr>
                        <wps:bodyPr upright="1"/>
                      </wps:wsp>
                      <wps:wsp>
                        <wps:cNvPr id="886" name="矩形 886"/>
                        <wps:cNvSpPr/>
                        <wps:spPr>
                          <a:xfrm>
                            <a:off x="4646" y="1311"/>
                            <a:ext cx="2" cy="2"/>
                          </a:xfrm>
                          <a:prstGeom prst="rect">
                            <a:avLst/>
                          </a:prstGeom>
                          <a:solidFill>
                            <a:srgbClr val="000000"/>
                          </a:solidFill>
                          <a:ln>
                            <a:noFill/>
                          </a:ln>
                        </wps:spPr>
                        <wps:bodyPr upright="1"/>
                      </wps:wsp>
                      <wps:wsp>
                        <wps:cNvPr id="887" name="任意多边形 887"/>
                        <wps:cNvSpPr/>
                        <wps:spPr>
                          <a:xfrm>
                            <a:off x="4630" y="1566"/>
                            <a:ext cx="34" cy="34"/>
                          </a:xfrm>
                          <a:custGeom>
                            <a:avLst/>
                            <a:gdLst/>
                            <a:ahLst/>
                            <a:cxnLst/>
                            <a:pathLst>
                              <a:path w="34" h="34">
                                <a:moveTo>
                                  <a:pt x="0" y="27"/>
                                </a:moveTo>
                                <a:lnTo>
                                  <a:pt x="8" y="34"/>
                                </a:lnTo>
                                <a:lnTo>
                                  <a:pt x="34" y="7"/>
                                </a:lnTo>
                                <a:lnTo>
                                  <a:pt x="26" y="0"/>
                                </a:lnTo>
                                <a:lnTo>
                                  <a:pt x="0" y="27"/>
                                </a:lnTo>
                              </a:path>
                            </a:pathLst>
                          </a:custGeom>
                          <a:noFill/>
                          <a:ln w="1524" cap="flat" cmpd="sng">
                            <a:solidFill>
                              <a:srgbClr val="000000"/>
                            </a:solidFill>
                            <a:prstDash val="solid"/>
                            <a:headEnd type="none" w="med" len="med"/>
                            <a:tailEnd type="none" w="med" len="med"/>
                          </a:ln>
                        </wps:spPr>
                        <wps:bodyPr upright="1"/>
                      </wps:wsp>
                      <wps:wsp>
                        <wps:cNvPr id="888" name="任意多边形 888"/>
                        <wps:cNvSpPr/>
                        <wps:spPr>
                          <a:xfrm>
                            <a:off x="4985" y="502"/>
                            <a:ext cx="48" cy="16"/>
                          </a:xfrm>
                          <a:custGeom>
                            <a:avLst/>
                            <a:gdLst/>
                            <a:ahLst/>
                            <a:cxnLst/>
                            <a:pathLst>
                              <a:path w="48" h="16">
                                <a:moveTo>
                                  <a:pt x="23" y="16"/>
                                </a:moveTo>
                                <a:lnTo>
                                  <a:pt x="20" y="16"/>
                                </a:lnTo>
                                <a:lnTo>
                                  <a:pt x="6" y="14"/>
                                </a:lnTo>
                                <a:lnTo>
                                  <a:pt x="4" y="13"/>
                                </a:lnTo>
                                <a:lnTo>
                                  <a:pt x="0" y="7"/>
                                </a:lnTo>
                                <a:lnTo>
                                  <a:pt x="2" y="2"/>
                                </a:lnTo>
                                <a:lnTo>
                                  <a:pt x="7" y="0"/>
                                </a:lnTo>
                                <a:lnTo>
                                  <a:pt x="11" y="1"/>
                                </a:lnTo>
                                <a:lnTo>
                                  <a:pt x="18" y="4"/>
                                </a:lnTo>
                                <a:lnTo>
                                  <a:pt x="24" y="7"/>
                                </a:lnTo>
                                <a:lnTo>
                                  <a:pt x="31" y="8"/>
                                </a:lnTo>
                                <a:lnTo>
                                  <a:pt x="47" y="9"/>
                                </a:lnTo>
                                <a:lnTo>
                                  <a:pt x="36" y="14"/>
                                </a:lnTo>
                                <a:lnTo>
                                  <a:pt x="23" y="16"/>
                                </a:lnTo>
                                <a:close/>
                              </a:path>
                            </a:pathLst>
                          </a:custGeom>
                          <a:solidFill>
                            <a:srgbClr val="000000"/>
                          </a:solidFill>
                          <a:ln>
                            <a:noFill/>
                          </a:ln>
                        </wps:spPr>
                        <wps:bodyPr upright="1"/>
                      </wps:wsp>
                      <wps:wsp>
                        <wps:cNvPr id="889" name="任意多边形 889"/>
                        <wps:cNvSpPr/>
                        <wps:spPr>
                          <a:xfrm>
                            <a:off x="5005" y="406"/>
                            <a:ext cx="47" cy="105"/>
                          </a:xfrm>
                          <a:custGeom>
                            <a:avLst/>
                            <a:gdLst/>
                            <a:ahLst/>
                            <a:cxnLst/>
                            <a:pathLst>
                              <a:path w="47" h="105">
                                <a:moveTo>
                                  <a:pt x="28" y="104"/>
                                </a:moveTo>
                                <a:lnTo>
                                  <a:pt x="12" y="103"/>
                                </a:lnTo>
                                <a:lnTo>
                                  <a:pt x="24" y="99"/>
                                </a:lnTo>
                                <a:lnTo>
                                  <a:pt x="27" y="97"/>
                                </a:lnTo>
                                <a:lnTo>
                                  <a:pt x="33" y="86"/>
                                </a:lnTo>
                                <a:lnTo>
                                  <a:pt x="33" y="81"/>
                                </a:lnTo>
                                <a:lnTo>
                                  <a:pt x="31" y="68"/>
                                </a:lnTo>
                                <a:lnTo>
                                  <a:pt x="31" y="68"/>
                                </a:lnTo>
                                <a:lnTo>
                                  <a:pt x="26" y="60"/>
                                </a:lnTo>
                                <a:lnTo>
                                  <a:pt x="16" y="54"/>
                                </a:lnTo>
                                <a:lnTo>
                                  <a:pt x="4" y="51"/>
                                </a:lnTo>
                                <a:lnTo>
                                  <a:pt x="0" y="51"/>
                                </a:lnTo>
                                <a:lnTo>
                                  <a:pt x="0" y="49"/>
                                </a:lnTo>
                                <a:lnTo>
                                  <a:pt x="26" y="22"/>
                                </a:lnTo>
                                <a:lnTo>
                                  <a:pt x="23" y="10"/>
                                </a:lnTo>
                                <a:lnTo>
                                  <a:pt x="21" y="8"/>
                                </a:lnTo>
                                <a:lnTo>
                                  <a:pt x="10" y="3"/>
                                </a:lnTo>
                                <a:lnTo>
                                  <a:pt x="7" y="2"/>
                                </a:lnTo>
                                <a:lnTo>
                                  <a:pt x="35" y="0"/>
                                </a:lnTo>
                                <a:lnTo>
                                  <a:pt x="40" y="11"/>
                                </a:lnTo>
                                <a:lnTo>
                                  <a:pt x="41" y="14"/>
                                </a:lnTo>
                                <a:lnTo>
                                  <a:pt x="38" y="24"/>
                                </a:lnTo>
                                <a:lnTo>
                                  <a:pt x="31" y="35"/>
                                </a:lnTo>
                                <a:lnTo>
                                  <a:pt x="25" y="40"/>
                                </a:lnTo>
                                <a:lnTo>
                                  <a:pt x="36" y="47"/>
                                </a:lnTo>
                                <a:lnTo>
                                  <a:pt x="41" y="52"/>
                                </a:lnTo>
                                <a:lnTo>
                                  <a:pt x="46" y="64"/>
                                </a:lnTo>
                                <a:lnTo>
                                  <a:pt x="46" y="70"/>
                                </a:lnTo>
                                <a:lnTo>
                                  <a:pt x="44" y="83"/>
                                </a:lnTo>
                                <a:lnTo>
                                  <a:pt x="39" y="94"/>
                                </a:lnTo>
                                <a:lnTo>
                                  <a:pt x="37" y="96"/>
                                </a:lnTo>
                                <a:lnTo>
                                  <a:pt x="28" y="104"/>
                                </a:lnTo>
                                <a:close/>
                              </a:path>
                            </a:pathLst>
                          </a:custGeom>
                          <a:solidFill>
                            <a:srgbClr val="000000"/>
                          </a:solidFill>
                          <a:ln>
                            <a:noFill/>
                          </a:ln>
                        </wps:spPr>
                        <wps:bodyPr upright="1"/>
                      </wps:wsp>
                      <wps:wsp>
                        <wps:cNvPr id="890" name="任意多边形 890"/>
                        <wps:cNvSpPr/>
                        <wps:spPr>
                          <a:xfrm>
                            <a:off x="4987" y="397"/>
                            <a:ext cx="53" cy="26"/>
                          </a:xfrm>
                          <a:custGeom>
                            <a:avLst/>
                            <a:gdLst/>
                            <a:ahLst/>
                            <a:cxnLst/>
                            <a:pathLst>
                              <a:path w="53" h="26">
                                <a:moveTo>
                                  <a:pt x="2" y="25"/>
                                </a:moveTo>
                                <a:lnTo>
                                  <a:pt x="31" y="0"/>
                                </a:lnTo>
                                <a:lnTo>
                                  <a:pt x="43" y="2"/>
                                </a:lnTo>
                                <a:lnTo>
                                  <a:pt x="52" y="9"/>
                                </a:lnTo>
                                <a:lnTo>
                                  <a:pt x="24" y="11"/>
                                </a:lnTo>
                                <a:lnTo>
                                  <a:pt x="13" y="14"/>
                                </a:lnTo>
                                <a:lnTo>
                                  <a:pt x="4" y="23"/>
                                </a:lnTo>
                                <a:lnTo>
                                  <a:pt x="2" y="25"/>
                                </a:lnTo>
                                <a:close/>
                              </a:path>
                            </a:pathLst>
                          </a:custGeom>
                          <a:solidFill>
                            <a:srgbClr val="000000"/>
                          </a:solidFill>
                          <a:ln>
                            <a:noFill/>
                          </a:ln>
                        </wps:spPr>
                        <wps:bodyPr upright="1"/>
                      </wps:wsp>
                      <wps:wsp>
                        <wps:cNvPr id="891" name="任意多边形 891"/>
                        <wps:cNvSpPr/>
                        <wps:spPr>
                          <a:xfrm>
                            <a:off x="3366" y="411"/>
                            <a:ext cx="10" cy="3"/>
                          </a:xfrm>
                          <a:custGeom>
                            <a:avLst/>
                            <a:gdLst/>
                            <a:ahLst/>
                            <a:cxnLst/>
                            <a:pathLst>
                              <a:path w="10" h="3">
                                <a:moveTo>
                                  <a:pt x="1" y="3"/>
                                </a:moveTo>
                                <a:lnTo>
                                  <a:pt x="0" y="0"/>
                                </a:lnTo>
                                <a:lnTo>
                                  <a:pt x="10" y="0"/>
                                </a:lnTo>
                                <a:lnTo>
                                  <a:pt x="1" y="3"/>
                                </a:lnTo>
                                <a:close/>
                              </a:path>
                            </a:pathLst>
                          </a:custGeom>
                          <a:solidFill>
                            <a:srgbClr val="000000"/>
                          </a:solidFill>
                          <a:ln>
                            <a:noFill/>
                          </a:ln>
                        </wps:spPr>
                        <wps:bodyPr upright="1"/>
                      </wps:wsp>
                      <wps:wsp>
                        <wps:cNvPr id="892" name="任意多边形 892"/>
                        <wps:cNvSpPr/>
                        <wps:spPr>
                          <a:xfrm>
                            <a:off x="3366" y="397"/>
                            <a:ext cx="46" cy="118"/>
                          </a:xfrm>
                          <a:custGeom>
                            <a:avLst/>
                            <a:gdLst/>
                            <a:ahLst/>
                            <a:cxnLst/>
                            <a:pathLst>
                              <a:path w="46" h="118">
                                <a:moveTo>
                                  <a:pt x="45" y="118"/>
                                </a:moveTo>
                                <a:lnTo>
                                  <a:pt x="2" y="118"/>
                                </a:lnTo>
                                <a:lnTo>
                                  <a:pt x="2" y="114"/>
                                </a:lnTo>
                                <a:lnTo>
                                  <a:pt x="13" y="113"/>
                                </a:lnTo>
                                <a:lnTo>
                                  <a:pt x="16" y="110"/>
                                </a:lnTo>
                                <a:lnTo>
                                  <a:pt x="17" y="97"/>
                                </a:lnTo>
                                <a:lnTo>
                                  <a:pt x="17" y="35"/>
                                </a:lnTo>
                                <a:lnTo>
                                  <a:pt x="16" y="21"/>
                                </a:lnTo>
                                <a:lnTo>
                                  <a:pt x="16" y="19"/>
                                </a:lnTo>
                                <a:lnTo>
                                  <a:pt x="14" y="15"/>
                                </a:lnTo>
                                <a:lnTo>
                                  <a:pt x="10" y="13"/>
                                </a:lnTo>
                                <a:lnTo>
                                  <a:pt x="0" y="13"/>
                                </a:lnTo>
                                <a:lnTo>
                                  <a:pt x="28" y="0"/>
                                </a:lnTo>
                                <a:lnTo>
                                  <a:pt x="31" y="0"/>
                                </a:lnTo>
                                <a:lnTo>
                                  <a:pt x="31" y="97"/>
                                </a:lnTo>
                                <a:lnTo>
                                  <a:pt x="32" y="109"/>
                                </a:lnTo>
                                <a:lnTo>
                                  <a:pt x="35" y="113"/>
                                </a:lnTo>
                                <a:lnTo>
                                  <a:pt x="45" y="114"/>
                                </a:lnTo>
                                <a:lnTo>
                                  <a:pt x="45" y="118"/>
                                </a:lnTo>
                                <a:close/>
                              </a:path>
                            </a:pathLst>
                          </a:custGeom>
                          <a:solidFill>
                            <a:srgbClr val="000000"/>
                          </a:solidFill>
                          <a:ln>
                            <a:noFill/>
                          </a:ln>
                        </wps:spPr>
                        <wps:bodyPr upright="1"/>
                      </wps:wsp>
                    </wpg:wgp>
                  </a:graphicData>
                </a:graphic>
              </wp:inline>
            </w:drawing>
          </mc:Choice>
          <mc:Fallback>
            <w:pict>
              <v:group id="_x0000_s1026" o:spid="_x0000_s1026" o:spt="203" style="height:81.75pt;width:130.9pt;" coordorigin="2738,398" coordsize="2378,1351" o:gfxdata="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">
                <o:lock v:ext="edit" aspectratio="f"/>
                <v:rect id="_x0000_s1026" o:spid="_x0000_s1026" o:spt="1" style="position:absolute;left:3354;top:705;height:2;width:2;" fillcolor="#000000" filled="t" stroked="f" coordsize="21600,21600" o:gfxdata="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ADxi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403;top:680;height:2;width:2;" fillcolor="#000000" filled="t" stroked="f" coordsize="21600,21600" o:gfxdata="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MqoO/&#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379;top:661;height:2;width:2;" fillcolor="#000000" filled="t" stroked="f" coordsize="21600,21600" o:gfxdata="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eNPS/&#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462;top:714;height:2;width:2;" fillcolor="#000000" filled="t" stroked="f" coordsize="21600,21600" o:gfxdata="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Sk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356;top:615;height:2;width:2;" fillcolor="#000000" filled="t" stroked="f" coordsize="21600,21600" o:gfxdata="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uwkb&#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450;top:701;height:2;width:2;" fillcolor="#000000" filled="t" stroked="f" coordsize="21600,21600" o:gfxdata="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3rI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254;top:700;height:2;width:2;" fillcolor="#000000" filled="t" stroked="f" coordsize="21600,21600" o:gfxdata="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lMv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253;top:705;height:2;width:2;" fillcolor="#000000" filled="t" stroked="f" coordsize="21600,21600" o:gfxdata="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Zds&#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221;top:741;height:2;width:2;" fillcolor="#000000" filled="t" stroked="f" coordsize="21600,21600" o:gfxdata="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2Ax6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3206;top:616;flip:y;height:71;width:71;" filled="f" stroked="t" coordsize="21600,21600" o:gfxdata="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JiR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209;top:616;flip:y;height:207;width:207;" filled="f" stroked="t" coordsize="21600,21600" o:gfxdata="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qM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rect id="_x0000_s1026" o:spid="_x0000_s1026" o:spt="1" style="position:absolute;left:3557;top:676;height:2;width:2;" fillcolor="#000000" filled="t" stroked="f" coordsize="21600,21600" o:gfxdata="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gYD6/&#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651;top:647;height:2;width:2;" fillcolor="#000000" filled="t" stroked="f" coordsize="21600,21600" o:gfxdata="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cv5J&#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589;top:670;height:2;width:2;" fillcolor="#000000" filled="t" stroked="f" coordsize="21600,21600" o:gfxdata="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W9K/&#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646;top:790;height:2;width:2;" fillcolor="#000000" filled="t" stroked="f" coordsize="21600,21600" o:gfxdata="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18Om&#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671;top:723;height:2;width:2;" fillcolor="#000000" filled="t" stroked="f" coordsize="21600,21600" o:gfxdata="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bZj2/&#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59;top:648;height:2;width:2;" fillcolor="#000000" filled="t" stroked="f" coordsize="21600,21600" o:gfxdata="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SfhK&#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749;top:634;height:2;width:2;" fillcolor="#000000" filled="t" stroked="f" coordsize="21600,21600" o:gfxdata="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FXdG/&#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98;top:679;height:2;width:2;" fillcolor="#000000" filled="t" stroked="f" coordsize="21600,21600" o:gfxdata="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ayaO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679;top:662;height:2;width:2;" fillcolor="#000000" filled="t" stroked="f" coordsize="21600,21600" o:gfxdata="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WbDi/&#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54;top:780;height:2;width:2;" fillcolor="#000000" filled="t" stroked="f" coordsize="21600,21600" o:gfxdata="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VN4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3794;top:770;height:2;width:2;" fillcolor="#000000" filled="t" stroked="f" coordsize="21600,21600" o:gfxdata="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59uO/&#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81;top:732;height:2;width:2;" fillcolor="#000000" filled="t" stroked="f" coordsize="21600,21600" o:gfxdata="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raJS/&#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29;top:800;height:2;width:2;" fillcolor="#000000" filled="t" stroked="f" coordsize="21600,21600" o:gfxdata="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580P&#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553;top:807;height:2;width:2;" fillcolor="#000000" filled="t" stroked="f" coordsize="21600,21600" o:gfxdata="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OVXu/&#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548;top:803;height:2;width:2;" fillcolor="#000000" filled="t" stroked="f" coordsize="21600,21600" o:gfxdata="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8O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600;top:839;height:2;width:2;" fillcolor="#000000" filled="t" stroked="f" coordsize="21600,21600" o:gfxdata="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Qbpe/&#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3348;top:616;flip:y;height:207;width:206;" filled="f" stroked="t" coordsize="21600,21600" o:gfxdata="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7+SZ&#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rect id="_x0000_s1026" o:spid="_x0000_s1026" o:spt="1" style="position:absolute;left:3749;top:911;height:2;width:2;" fillcolor="#000000" filled="t" stroked="f" coordsize="21600,21600" o:gfxdata="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19+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3691;top:925;height:2;width:2;" fillcolor="#000000" filled="t" stroked="f" coordsize="21600,21600" o:gfxdata="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P+u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20;top:879;height:2;width:2;" fillcolor="#000000" filled="t" stroked="f" coordsize="21600,21600" o:gfxdata="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yAF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3486;top:616;flip:y;height:207;width:207;" filled="f" stroked="t" coordsize="21600,21600" o:gfxdata="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Mqg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3548;top:938;height:2;width:2;" fillcolor="#000000" filled="t" stroked="f" coordsize="21600,21600" o:gfxdata="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rRvp&#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542;top:945;height:2;width:2;" fillcolor="#000000" filled="t" stroked="f" coordsize="21600,21600" o:gfxdata="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hvnK/&#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3526;top:616;flip:y;height:307;width:306;" filled="f" stroked="t" coordsize="21600,21600" o:gfxdata="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7CZ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3957;top:623;height:2;width:2;" fillcolor="#000000" filled="t" stroked="f" coordsize="21600,21600" o:gfxdata="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SDnb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3952;top:754;height:2;width:2;" fillcolor="#000000" filled="t" stroked="f" coordsize="21600,21600" o:gfxdata="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h3q&#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042;top:737;height:2;width:2;" fillcolor="#000000" filled="t" stroked="f" coordsize="21600,21600" o:gfxdata="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uHG/&#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008;top:688;height:2;width:2;" fillcolor="#000000" filled="t" stroked="f" coordsize="21600,21600" o:gfxdata="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SwD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156;top:725;height:2;width:2;" fillcolor="#000000" filled="t" stroked="f" coordsize="21600,21600" o:gfxdata="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mJmL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140;top:724;height:2;width:2;" fillcolor="#000000" filled="t" stroked="f" coordsize="21600,21600" o:gfxdata="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rbY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217;top:696;height:2;width:2;" fillcolor="#000000" filled="t" stroked="f" coordsize="21600,21600" o:gfxdata="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mE0O/&#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090;top:740;height:2;width:2;" fillcolor="#000000" filled="t" stroked="f" coordsize="21600,21600" o:gfxdata="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0jTS/&#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357;top:697;height:2;width:2;" fillcolor="#000000" filled="t" stroked="f" coordsize="21600,21600" o:gfxdata="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4KK+/&#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89;top:705;height:2;width:2;" fillcolor="#000000" filled="t" stroked="f" coordsize="21600,21600" o:gfxdata="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Gw27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426;top:705;height:2;width:2;" fillcolor="#000000" filled="t" stroked="f" coordsize="21600,21600" o:gfxdata="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dFU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300;top:750;height:2;width:2;" fillcolor="#000000" filled="t" stroked="f" coordsize="21600,21600" o:gfxdata="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Piz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86;top:721;height:2;width:2;" fillcolor="#000000" filled="t" stroked="f" coordsize="21600,21600" o:gfxdata="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DLqy/&#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08;top:623;height:2;width:2;" fillcolor="#000000" filled="t" stroked="f" coordsize="21600,21600" o:gfxdata="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nLre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057;top:760;height:2;width:2;" fillcolor="#000000" filled="t" stroked="f" coordsize="21600,21600" o:gfxdata="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H0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543;top:1069;height:2;width:2;" fillcolor="#000000" filled="t" stroked="f" coordsize="21600,21600" o:gfxdata="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GfGW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588;top:1081;height:2;width:2;" fillcolor="#000000" filled="t" stroked="f" coordsize="21600,21600" o:gfxdata="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K2f6/&#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644;top:1080;height:2;width:2;" fillcolor="#000000" filled="t" stroked="f" coordsize="21600,21600" o:gfxdata="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EeJ&#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584;top:1074;height:2;width:2;" fillcolor="#000000" filled="t" stroked="f" coordsize="21600,21600" o:gfxdata="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U4hK/&#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45;top:1041;height:2;width:2;" fillcolor="#000000" filled="t" stroked="f" coordsize="21600,21600" o:gfxdata="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vXpm&#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836;top:1048;height:2;width:2;" fillcolor="#000000" filled="t" stroked="f" coordsize="21600,21600" o:gfxdata="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x3/2/&#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53;top:1089;height:2;width:2;" fillcolor="#000000" filled="t" stroked="f" coordsize="21600,21600" o:gfxdata="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jQYq/&#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12;top:1035;height:2;width:2;" fillcolor="#000000" filled="t" stroked="f" coordsize="21600,21600" o:gfxdata="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b+QR&#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938;top:1147;height:2;width:2;" fillcolor="#000000" filled="t" stroked="f" coordsize="21600,21600" o:gfxdata="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wcGO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979;top:1171;height:2;width:2;" fillcolor="#000000" filled="t" stroked="f" coordsize="21600,21600" o:gfxdata="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81fi/&#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36;top:1142;height:2;width:2;" fillcolor="#000000" filled="t" stroked="f" coordsize="21600,21600" o:gfxdata="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f6ri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906;top:1121;height:2;width:2;" fillcolor="#000000" filled="t" stroked="f" coordsize="21600,21600" o:gfxdata="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08j&#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740;top:1173;height:2;width:2;" fillcolor="#000000" filled="t" stroked="f" coordsize="21600,21600" o:gfxdata="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B0VS/&#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732;top:1203;height:2;width:2;" fillcolor="#000000" filled="t" stroked="f" coordsize="21600,21600" o:gfxdata="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TP&#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726;top:1133;height:2;width:2;" fillcolor="#000000" filled="t" stroked="f" coordsize="21600,21600" o:gfxdata="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k7Lu/&#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678;top:1161;height:2;width:2;" fillcolor="#000000" filled="t" stroked="f" coordsize="21600,21600" o:gfxdata="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oSS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47;top:885;height:2;width:2;" fillcolor="#000000" filled="t" stroked="f" coordsize="21600,21600" o:gfxdata="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tdX&#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939;top:892;height:2;width:2;" fillcolor="#000000" filled="t" stroked="f" coordsize="21600,21600" o:gfxdata="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2csy/&#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29;top:888;height:2;width:2;" fillcolor="#000000" filled="t" stroked="f" coordsize="21600,21600" o:gfxdata="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p5r6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943;top:1016;height:2;width:2;" fillcolor="#000000" filled="t" stroked="f" coordsize="21600,21600" o:gfxdata="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lQy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34;top:1035;height:2;width:2;" fillcolor="#000000" filled="t" stroked="f" coordsize="21600,21600" o:gfxdata="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mp+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037;top:880;height:2;width:2;" fillcolor="#000000" filled="t" stroked="f" coordsize="21600,21600" o:gfxdata="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xj8E&#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3526;top:616;flip:y;height:446;width:444;" filled="f" stroked="t" coordsize="21600,21600" o:gfxdata="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nju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3538;top:1200;height:2;width:2;" fillcolor="#000000" filled="t" stroked="f" coordsize="21600,21600" o:gfxdata="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YBOi/&#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51;top:856;height:2;width:2;" fillcolor="#000000" filled="t" stroked="f" coordsize="21600,21600" o:gfxdata="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xnJy/&#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85;top:860;height:2;width:2;" fillcolor="#000000" filled="t" stroked="f" coordsize="21600,21600" o:gfxdata="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9OQ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39;top:897;height:2;width:2;" fillcolor="#000000" filled="t" stroked="f" coordsize="21600,21600" o:gfxdata="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vp3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46;top:987;height:2;width:2;" fillcolor="#000000" filled="t" stroked="f" coordsize="21600,21600" o:gfxdata="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jAuu/&#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082;top:1015;height:2;width:2;" fillcolor="#000000" filled="t" stroked="f" coordsize="21600,21600" o:gfxdata="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8lpm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4041;top:995;height:2;width:2;" fillcolor="#000000" filled="t" stroked="f" coordsize="21600,21600" o:gfxdata="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wMwK/&#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42;top:1118;height:2;width:2;" fillcolor="#000000" filled="t" stroked="f" coordsize="21600,21600" o:gfxdata="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xC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145;top:1151;height:2;width:2;" fillcolor="#000000" filled="t" stroked="f" coordsize="21600,21600" o:gfxdata="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fqdm/&#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35;top:1082;height:2;width:2;" fillcolor="#000000" filled="t" stroked="f" coordsize="21600,21600" o:gfxdata="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NN66/&#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37;top:1249;height:2;width:2;" fillcolor="#000000" filled="t" stroked="f" coordsize="21600,21600" o:gfxdata="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Bkj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24;top:1293;height:2;width:2;" fillcolor="#000000" filled="t" stroked="f" coordsize="21600,21600" o:gfxdata="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gKQb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222;top:1280;height:2;width:2;" fillcolor="#000000" filled="t" stroked="f" coordsize="21600,21600" o:gfxdata="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kr9q/&#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194;top:1307;height:2;width:2;" fillcolor="#000000" filled="t" stroked="f" coordsize="21600,21600" o:gfxdata="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2Ma2/&#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85;top:1220;height:2;width:2;" fillcolor="#000000" filled="t" stroked="f" coordsize="21600,21600" o:gfxdata="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6lDa/&#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056;top:1259;height:2;width:2;" fillcolor="#000000" filled="t" stroked="f" coordsize="21600,21600" o:gfxdata="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JQBE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3831;top:1190;height:2;width:2;" fillcolor="#000000" filled="t" stroked="f" coordsize="21600,21600" o:gfxdata="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ppd+/&#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062;top:1098;height:2;width:2;" fillcolor="#000000" filled="t" stroked="f" coordsize="21600,21600" o:gfxdata="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4lli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3526;top:616;flip:y;height:586;width:583;" filled="f" stroked="t" coordsize="21600,21600" o:gfxdata="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HHF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3735;top:1304;height:2;width:2;" fillcolor="#000000" filled="t" stroked="f" coordsize="21600,21600" o:gfxdata="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q20&#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3775;top:1289;height:2;width:2;" fillcolor="#000000" filled="t" stroked="f" coordsize="21600,21600" o:gfxdata="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qC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827;top:1298;height:2;width:2;" fillcolor="#000000" filled="t" stroked="f" coordsize="21600,21600" o:gfxdata="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OQW7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3933;top:1278;height:2;width:2;" fillcolor="#000000" filled="t" stroked="f" coordsize="21600,21600" o:gfxdata="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PNcC/&#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3984;top:1298;height:2;width:2;" fillcolor="#000000" filled="t" stroked="f" coordsize="21600,21600" o:gfxdata="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dq7e/&#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27;top:1138;height:2;width:2;" fillcolor="#000000" filled="t" stroked="f" coordsize="21600,21600" o:gfxdata="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RDiy/&#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72;top:1107;height:2;width:2;" fillcolor="#000000" filled="t" stroked="f" coordsize="21600,21600" o:gfxdata="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Oml6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3566;top:1280;height:2;width:2;" fillcolor="#000000" filled="t" stroked="f" coordsize="21600,21600" o:gfxdata="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CP8W/&#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270;top:956;height:2;width:2;" fillcolor="#000000" filled="t" stroked="f" coordsize="21600,21600" o:gfxdata="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hAIW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3554;top:616;flip:y;height:696;width:694;" filled="f" stroked="t" coordsize="21600,21600" o:gfxdata="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io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693;top:616;flip:y;height:696;width:693;" filled="f" stroked="t" coordsize="21600,21600" o:gfxdata="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MFP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rect id="_x0000_s1026" o:spid="_x0000_s1026" o:spt="1" style="position:absolute;left:4555;top:672;height:2;width:2;" fillcolor="#000000" filled="t" stroked="f" coordsize="21600,21600" o:gfxdata="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57y&#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536;top:672;height:2;width:2;" fillcolor="#000000" filled="t" stroked="f" coordsize="21600,21600" o:gfxdata="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WgaG&#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515;top:681;height:2;width:2;" fillcolor="#000000" filled="t" stroked="f" coordsize="21600,21600" o:gfxdata="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FqMd&#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551;top:803;height:2;width:2;" fillcolor="#000000" filled="t" stroked="f" coordsize="21600,21600" o:gfxdata="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xD1q&#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531;top:814;height:2;width:2;" fillcolor="#000000" filled="t" stroked="f" coordsize="21600,21600" o:gfxdata="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ImPG/&#10;AAAA3A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4509;top:758;height:2;width:2;" fillcolor="#000000" filled="t" stroked="f" coordsize="21600,21600" o:gfxdata="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XDIO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3832;top:616;flip:y;height:696;width:693;" filled="f" stroked="t" coordsize="21600,21600" o:gfxdata="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IaN&#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970;top:953;flip:y;height:359;width:358;" filled="f" stroked="t" coordsize="21600,21600" o:gfxdata="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5a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rect id="_x0000_s1026" o:spid="_x0000_s1026" o:spt="1" style="position:absolute;left:4635;top:659;height:2;width:2;" fillcolor="#000000" filled="t" stroked="f" coordsize="21600,21600" o:gfxdata="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W+j&#10;wAAAANwAAAAPAAAAAAAAAAEAIAAAACIAAABkcnMvZG93bnJldi54bWxQSwECFAAUAAAACACHTuJA&#10;My8FnjsAAAA5AAAAEAAAAAAAAAABACAAAAAPAQAAZHJzL3NoYXBleG1sLnhtbFBLBQYAAAAABgAG&#10;AFsBAAC5AwAAAAA=&#10;">
                  <v:fill on="t" focussize="0,0"/>
                  <v:stroke on="f"/>
                  <v:imagedata o:title=""/>
                  <o:lock v:ext="edit" aspectratio="f"/>
                </v:rect>
                <v:rect id="_x0000_s1026" o:spid="_x0000_s1026" o:spt="1" style="position:absolute;left:4636;top:714;height:2;width:2;" fillcolor="#000000" filled="t" stroked="f" coordsize="21600,21600" o:gfxdata="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T8dS/&#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4457;top:633;flip:y;height:190;width:190;" filled="f" stroked="t" coordsize="21600,21600" o:gfxdata="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se9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109;top:1092;flip:y;height:220;width:219;" filled="f" stroked="t" coordsize="21600,21600" o:gfxdata="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46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596;top:772;flip:y;height:51;width:51;" filled="f" stroked="t" coordsize="21600,21600" o:gfxdata="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JRj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248;top:1232;flip:y;height:80;width:80;" filled="f" stroked="t" coordsize="21600,21600" o:gfxdata="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b2E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206;top:616;flip:y;height:71;width:71;" filled="f" stroked="t" coordsize="21600,21600" o:gfxdata="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fd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209;top:616;flip:y;height:207;width:207;" filled="f" stroked="t" coordsize="21600,21600" o:gfxdata="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6a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348;top:616;flip:y;height:207;width:206;" filled="f" stroked="t" coordsize="21600,21600" o:gfxdata="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ETD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486;top:616;flip:y;height:207;width:207;" filled="f" stroked="t" coordsize="21600,21600" o:gfxdata="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53Nw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526;top:616;flip:y;height:307;width:306;" filled="f" stroked="t" coordsize="21600,21600" o:gfxdata="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r1u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26;top:616;flip:y;height:446;width:444;" filled="f" stroked="t" coordsize="21600,21600" o:gfxdata="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5SJ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26;top:616;flip:y;height:586;width:583;" filled="f" stroked="t" coordsize="21600,21600" o:gfxdata="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17Q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54;top:616;flip:y;height:696;width:694;" filled="f" stroked="t" coordsize="21600,21600" o:gfxdata="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3HVz&#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693;top:616;flip:y;height:696;width:693;" filled="f" stroked="t" coordsize="21600,21600" o:gfxdata="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0O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32;top:616;flip:y;height:696;width:693;" filled="f" stroked="t" coordsize="21600,21600" o:gfxdata="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6f&#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970;top:953;flip:y;height:359;width:358;" filled="f" stroked="t" coordsize="21600,21600" o:gfxdata="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usE&#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457;top:633;flip:y;height:190;width:190;" filled="f" stroked="t" coordsize="21600,21600" o:gfxdata="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kX92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109;top:1092;flip:y;height:220;width:219;" filled="f" stroked="t" coordsize="21600,21600" o:gfxdata="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3drt&#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596;top:772;flip:y;height:51;width:51;" filled="f" stroked="t" coordsize="21600,21600" o:gfxdata="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4QA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248;top:1232;flip:y;height:80;width:80;" filled="f" stroked="t" coordsize="21600,21600" o:gfxdata="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tpZ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26;top:885;flip:y;height:5;width:4;" filled="f" stroked="t" coordsize="21600,21600" o:gfxdata="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38;top:616;flip:y;height:20;width:17;" filled="f" stroked="t" coordsize="21600,21600" o:gfxdata="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M556&#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565;top:1181;flip:y;height:22;width:19;" filled="f" stroked="t" coordsize="21600,21600" o:gfxdata="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aBg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92;top:910;flip:y;height:22;width:19;" filled="f" stroked="t" coordsize="21600,21600" o:gfxdata="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Wo5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019;top:638;flip:y;height:23;width:19;" filled="f" stroked="t" coordsize="21600,21600" o:gfxdata="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RD3i&#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847;top:1206;flip:y;height:22;width:19;" filled="f" stroked="t" coordsize="21600,21600" o:gfxdata="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Jh5&#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074;top:934;flip:y;height:23;width:18;" filled="f" stroked="t" coordsize="21600,21600" o:gfxdata="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lww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301;top:663;flip:y;height:22;width:18;" filled="f" stroked="t" coordsize="21600,21600" o:gfxdata="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26mQ&#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128;top:1230;flip:y;height:23;width:19;" filled="f" stroked="t" coordsize="21600,21600" o:gfxdata="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4lt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582;top:687;flip:y;height:23;width:19;" filled="f" stroked="t" coordsize="21600,21600" o:gfxdata="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0M0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38;top:636;height:2;width:23;" filled="f" stroked="t" coordsize="21600,21600" o:gfxdata="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kO4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4019;top:661;height:2;width:24;" filled="f" stroked="t" coordsize="21600,21600" o:gfxdata="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Wre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4301;top:685;height:2;width:23;" filled="f" stroked="t" coordsize="21600,21600" o:gfxdata="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Mw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582;top:710;height:2;width:23;" filled="f" stroked="t" coordsize="21600,21600" o:gfxdata="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CWl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526;top:909;height:0;width:8;" filled="f" stroked="t" coordsize="21600,21600" o:gfxdata="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SCO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792;top:932;height:2;width:24;" filled="f" stroked="t" coordsize="21600,21600" o:gfxdata="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erX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074;top:957;height:2;width:23;" filled="f" stroked="t" coordsize="21600,21600" o:gfxdata="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BOQ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565;top:1203;height:3;width:24;" filled="f" stroked="t" coordsize="21600,21600" o:gfxdata="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NnJ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47;top:1228;height:2;width:23;" filled="f" stroked="t" coordsize="21600,21600" o:gfxdata="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b/7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128;top:1253;height:2;width:23;" filled="f" stroked="t" coordsize="21600,21600" o:gfxdata="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da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584;top:1181;flip:x y;height:25;width:5;" filled="f" stroked="t" coordsize="21600,21600" o:gfxdata="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DIk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530;top:885;flip:x y;height:24;width:4;" filled="f" stroked="t" coordsize="21600,21600" o:gfxdata="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4f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866;top:1206;flip:x y;height:24;width:4;" filled="f" stroked="t" coordsize="21600,21600" o:gfxdata="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h+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811;top:910;flip:x y;height:24;width:5;" filled="f" stroked="t" coordsize="21600,21600" o:gfxdata="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row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757;top:616;flip:x y;height:22;width:4;" filled="f" stroked="t" coordsize="21600,21600" o:gfxdata="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eCR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147;top:1230;flip:x y;height:25;width:4;" filled="f" stroked="t" coordsize="21600,21600" o:gfxdata="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0gd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092;top:934;flip:x y;height:25;width:5;" filled="f" stroked="t" coordsize="21600,21600" o:gfxdata="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rFa6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4038;top:638;flip:x y;height:25;width:5;" filled="f" stroked="t" coordsize="21600,21600" o:gfxdata="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57A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319;top:663;flip:x y;height:24;width:5;" filled="f" stroked="t" coordsize="21600,21600" o:gfxdata="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Ej3W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4601;top:687;flip:x y;height:25;width:4;" filled="f" stroked="t" coordsize="21600,21600" o:gfxdata="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IKu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568;top:1025;flip:y;height:32;width:30;" filled="f" stroked="t" coordsize="21600,21600" o:gfxdata="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T8V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934;top:641;flip:y;height:32;width:31;" filled="f" stroked="t" coordsize="21600,21600" o:gfxdata="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1TH&#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986;top:1090;flip:y;height:32;width:31;" filled="f" stroked="t" coordsize="21600,21600" o:gfxdata="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tsyz&#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353;top:706;flip:y;height:32;width:30;" filled="f" stroked="t" coordsize="21600,21600" o:gfxdata="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6aS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98;top:1025;flip:x y;height:37;width:5;" filled="f" stroked="t" coordsize="21600,21600" o:gfxdata="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hsp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017;top:1090;flip:x y;height:37;width:4;" filled="f" stroked="t" coordsize="21600,21600" o:gfxdata="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7RcB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965;top:641;flip:x y;height:38;width:4;" filled="f" stroked="t" coordsize="21600,21600" o:gfxdata="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yg3O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_x0000_s1026" o:spid="_x0000_s1026" o:spt="20" style="position:absolute;left:4383;top:706;flip:x y;height:38;width:5;" filled="f" stroked="t" coordsize="21600,21600" o:gfxdata="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ib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934;top:673;height:6;width:35;" filled="f" stroked="t" coordsize="21600,21600" o:gfxdata="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XGU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353;top:738;height:6;width:35;" filled="f" stroked="t" coordsize="21600,21600" o:gfxdata="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7zS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568;top:1057;height:5;width:35;" filled="f" stroked="t" coordsize="21600,21600" o:gfxdata="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kip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986;top:1122;height:5;width:35;" filled="f" stroked="t" coordsize="21600,21600" o:gfxdata="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WHP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334;top:685;flip:y;height:11;width:27;" filled="f" stroked="t" coordsize="21600,21600" o:gfxdata="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Y7y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568;top:843;flip:y;height:11;width:27;" filled="f" stroked="t" coordsize="21600,21600" o:gfxdata="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vG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97;top:716;flip:y;height:11;width:28;" filled="f" stroked="t" coordsize="21600,21600" o:gfxdata="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h3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02;top:1002;flip:y;height:11;width:27;" filled="f" stroked="t" coordsize="21600,21600" o:gfxdata="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xIu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131;top:875;flip:y;height:11;width:28;" filled="f" stroked="t" coordsize="21600,21600" o:gfxdata="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utp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4461;top:748;flip:y;height:11;width:27;" filled="f" stroked="t" coordsize="21600,21600" o:gfxdata="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YhM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3706;top:1287;flip:y;height:11;width:28;" filled="f" stroked="t" coordsize="21600,21600" o:gfxdata="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gSx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036;top:1161;flip:y;height:10;width:27;" filled="f" stroked="t" coordsize="21600,21600" o:gfxdata="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YnR&#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_x0000_s1026" o:spid="_x0000_s1026" o:spt="20" style="position:absolute;left:4461;top:759;height:13;width:19;" filled="f" stroked="t" coordsize="21600,21600" o:gfxdata="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C0e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897;top:727;height:13;width:20;" filled="f" stroked="t" coordsize="21600,21600" o:gfxdata="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cEe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131;top:886;height:13;width:20;" filled="f" stroked="t" coordsize="21600,21600" o:gfxdata="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1iZ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334;top:696;height:13;width:19;" filled="f" stroked="t" coordsize="21600,21600" o:gfxdata="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5L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568;top:854;height:13;width:19;" filled="f" stroked="t" coordsize="21600,21600" o:gfxdata="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rsn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802;top:1013;height:13;width:19;" filled="f" stroked="t" coordsize="21600,21600" o:gfxdata="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cX4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4036;top:1171;height:13;width:20;" filled="f" stroked="t" coordsize="21600,21600" o:gfxdata="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iDk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706;top:1298;height:13;width:20;" filled="f" stroked="t" coordsize="21600,21600" o:gfxdata="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0Jg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353;top:685;flip:y;height:24;width:8;" filled="f" stroked="t" coordsize="21600,21600" o:gfxdata="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8tm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587;top:843;flip:y;height:24;width:8;" filled="f" stroked="t" coordsize="21600,21600" o:gfxdata="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OIA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726;top:1287;flip:y;height:24;width:8;" filled="f" stroked="t" coordsize="21600,21600" o:gfxdata="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EWd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821;top:1002;flip:y;height:24;width:8;" filled="f" stroked="t" coordsize="21600,21600" o:gfxdata="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ts+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917;top:716;flip:y;height:24;width:8;" filled="f" stroked="t" coordsize="21600,21600" o:gfxdata="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EK5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056;top:1161;flip:y;height:23;width:7;" filled="f" stroked="t" coordsize="21600,21600" o:gfxdata="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iOA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4151;top:875;flip:y;height:24;width:8;" filled="f" stroked="t" coordsize="21600,21600" o:gfxdata="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aEH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480;top:748;flip:y;height:24;width:8;" filled="f" stroked="t" coordsize="21600,21600" o:gfxdata="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Wt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327;top:823;flip:y;height:490;width:0;" filled="f" stroked="t" coordsize="21600,21600" o:gfxdata="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n1NLsAAADc&#10;AAAADwAAAAAAAAABACAAAAAiAAAAZHJzL2Rvd25yZXYueG1sUEsBAhQAFAAAAAgAh07iQDMvBZ47&#10;AAAAOQAAABAAAAAAAAAAAQAgAAAACgEAAGRycy9zaGFwZXhtbC54bWxQSwUGAAAAAAYABgBbAQAA&#10;tAMAAAAA&#10;">
                  <v:fill on="f" focussize="0,0"/>
                  <v:stroke weight="0.128031496062992pt" color="#000000" joinstyle="round"/>
                  <v:imagedata o:title=""/>
                  <o:lock v:ext="edit" aspectratio="f"/>
                </v:line>
                <v:line id="_x0000_s1026" o:spid="_x0000_s1026" o:spt="20" style="position:absolute;left:2770;top:616;height:0;width:2314;" filled="f" stroked="t" coordsize="21600,21600" o:gfxdata="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KJ9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084;top:529;height:177;width:0;" filled="f" stroked="t" coordsize="21600,21600" o:gfxdata="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kYm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5084;top:706;height:0;width:32;" filled="f" stroked="t" coordsize="21600,21600" o:gfxdata="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b0D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5084;top:733;height:178;width:0;" filled="f" stroked="t" coordsize="21600,21600" o:gfxdata="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3I3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2770;top:529;height:177;width:0;" filled="f" stroked="t" coordsize="21600,21600" o:gfxdata="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7h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2770;top:733;height:178;width:0;" filled="f" stroked="t" coordsize="21600,21600" o:gfxdata="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h6b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2770;top:823;height:0;width:756;" filled="f" stroked="t" coordsize="21600,21600" o:gfxdata="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rsA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3526;top:823;flip:y;height:490;width:0;" filled="f" stroked="t" coordsize="21600,21600" o:gfxdata="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NmpLsAAADc&#10;AAAADwAAAAAAAAABACAAAAAiAAAAZHJzL2Rvd25yZXYueG1sUEsBAhQAFAAAAAgAh07iQDMvBZ47&#10;AAAAOQAAABAAAAAAAAAAAQAgAAAACgEAAGRycy9zaGFwZXhtbC54bWxQSwUGAAAAAAYABgBbAQAA&#10;tAMAAAAA&#10;">
                  <v:fill on="f" focussize="0,0"/>
                  <v:stroke weight="0.05pt" color="#000000" joinstyle="round"/>
                  <v:imagedata o:title=""/>
                  <o:lock v:ext="edit" aspectratio="f"/>
                </v:line>
                <v:line id="_x0000_s1026" o:spid="_x0000_s1026" o:spt="20" style="position:absolute;left:3526;top:1312;height:0;width:802;" filled="f" stroked="t" coordsize="21600,21600" o:gfxdata="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wIDs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328;top:823;height:0;width:756;" filled="f" stroked="t" coordsize="21600,21600" o:gfxdata="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8Un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4813;top:462;height:0;width:162;" filled="f" stroked="t" coordsize="21600,21600" o:gfxdata="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7E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_x0000_s1026" o:spid="_x0000_s1026" o:spt="20" style="position:absolute;left:4647;top:462;flip:y;height:280;width:166;" filled="f" stroked="t" coordsize="21600,21600" o:gfxdata="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Ip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206;top:616;height:207;width:0;" filled="f" stroked="t" coordsize="21600,21600" o:gfxdata="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Jd7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4647;top:616;flip:y;height:207;width:0;" filled="f" stroked="t" coordsize="21600,21600" o:gfxdata="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USh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051;top:706;flip:y;height:27;width:65;" filled="f" stroked="t" coordsize="21600,21600" o:gfxdata="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Y74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5051;top:733;flip:x;height:0;width:33;" filled="f" stroked="t" coordsize="21600,21600" o:gfxdata="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xd/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2770;top:706;height:0;width:32;" filled="f" stroked="t" coordsize="21600,21600" o:gfxdata="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ycb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2738;top:706;flip:y;height:27;width:64;" filled="f" stroked="t" coordsize="21600,21600" o:gfxdata="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vTB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2738;top:733;flip:x;height:0;width:32;" filled="f" stroked="t" coordsize="21600,21600" o:gfxdata="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j6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_x0000_s1026" o:spid="_x0000_s1026" o:spt="20" style="position:absolute;left:3445;top:462;flip:x;height:0;width:161;" filled="f" stroked="t" coordsize="21600,21600" o:gfxdata="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x9/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_x0000_s1026" o:spid="_x0000_s1026" o:spt="20" style="position:absolute;left:3606;top:462;flip:x y;height:280;width:166;" filled="f" stroked="t" coordsize="21600,21600" o:gfxdata="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5na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图片 793" o:spid="_x0000_s1026" o:spt="75" type="#_x0000_t75" style="position:absolute;left:4813;top:1132;height:118;width:249;" filled="f" o:preferrelative="t" stroked="f" coordsize="21600,21600" o:gfxdata="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SpX/twAAANwAAAAP&#10;AAAAAAAAAAEAIAAAACIAAABkcnMvZG93bnJldi54bWxQSwECFAAUAAAACACHTuJAMy8FnjsAAAA5&#10;AAAAEAAAAAAAAAABACAAAAAGAQAAZHJzL3NoYXBleG1sLnhtbFBLBQYAAAAABgAGAFsBAACwAwAA&#10;AAA=&#10;">
                  <v:fill on="f" focussize="0,0"/>
                  <v:stroke on="f"/>
                  <v:imagedata r:id="rId20" o:title=""/>
                  <o:lock v:ext="edit" aspectratio="t"/>
                </v:shape>
                <v:line id="_x0000_s1026" o:spid="_x0000_s1026" o:spt="20" style="position:absolute;left:4190;top:952;flip:x y;height:254;width:623;" filled="f" stroked="t" coordsize="21600,21600" o:gfxdata="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WB3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_x0000_s1026" o:spid="_x0000_s1026" o:spt="20" style="position:absolute;left:3206;top:1352;height:271;width:0;" filled="f" stroked="t" coordsize="21600,21600" o:gfxdata="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J/F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_x0000_s1026" o:spid="_x0000_s1026" o:spt="20" style="position:absolute;left:3526;top:1352;flip:y;height:271;width:0;" filled="f" stroked="t" coordsize="21600,21600" o:gfxdata="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GZXLsAAADc&#10;AAAADwAAAAAAAAABACAAAAAiAAAAZHJzL2Rvd25yZXYueG1sUEsBAhQAFAAAAAgAh07iQDMvBZ47&#10;AAAAOQAAABAAAAAAAAAAAQAgAAAACgEAAGRycy9zaGFwZXhtbC54bWxQSwUGAAAAAAYABgBbAQAA&#10;tAMAAAAA&#10;">
                  <v:fill on="f" focussize="0,0"/>
                  <v:stroke weight="0.05pt" color="#000000" joinstyle="round"/>
                  <v:imagedata o:title=""/>
                  <o:lock v:ext="edit" aspectratio="f"/>
                </v:line>
                <v:line id="_x0000_s1026" o:spid="_x0000_s1026" o:spt="20" style="position:absolute;left:3206;top:1583;height:0;width:320;" filled="f" stroked="t" coordsize="21600,21600" o:gfxdata="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dC+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_x0000_s1026" o:spid="_x0000_s1026" o:spt="100" style="position:absolute;left:3082;top:1686;height:43;width:110;" fillcolor="#000000" filled="t" stroked="f" coordsize="110,43" o:gfxdata="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59&#10;l8EAAADcAAAADwAAAAAAAAABACAAAAAiAAAAZHJzL2Rvd25yZXYueG1sUEsBAhQAFAAAAAgAh07i&#10;QDMvBZ47AAAAOQAAABAAAAAAAAAAAQAgAAAAEAEAAGRycy9zaGFwZXhtbC54bWxQSwUGAAAAAAYA&#10;BgBbAQAAugMAAAAA&#10;" path="m2,42l0,37,109,0,110,5,2,42xe">
                  <v:fill on="t" focussize="0,0"/>
                  <v:stroke on="f"/>
                  <v:imagedata o:title=""/>
                  <o:lock v:ext="edit" aspectratio="f"/>
                </v:shape>
                <v:shape id="_x0000_s1026" o:spid="_x0000_s1026" o:spt="100" style="position:absolute;left:3079;top:1618;height:78;width:112;" fillcolor="#000000" filled="t" stroked="f" coordsize="112,78" o:gfxdata="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6SCEugAAANwA&#10;AAAPAAAAAAAAAAEAIAAAACIAAABkcnMvZG93bnJldi54bWxQSwECFAAUAAAACACHTuJAMy8FnjsA&#10;AAA5AAAAEAAAAAAAAAABACAAAAAJAQAAZHJzL3NoYXBleG1sLnhtbFBLBQYAAAAABgAGAFsBAACz&#10;AwAAAAA=&#10;" path="m2,77l0,71,99,39,1,5,4,0,111,38,111,41,2,77xe">
                  <v:fill on="t" focussize="0,0"/>
                  <v:stroke on="f"/>
                  <v:imagedata o:title=""/>
                  <o:lock v:ext="edit" aspectratio="f"/>
                </v:shape>
                <v:shape id="_x0000_s1026" o:spid="_x0000_s1026" o:spt="100" style="position:absolute;left:3216;top:1720;height:18;width:43;" fillcolor="#000000" filled="t" stroked="f" coordsize="43,18" o:gfxdata="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NEN74A&#10;AADcAAAADwAAAAAAAAABACAAAAAiAAAAZHJzL2Rvd25yZXYueG1sUEsBAhQAFAAAAAgAh07iQDMv&#10;BZ47AAAAOQAAABAAAAAAAAAAAQAgAAAADQEAAGRycy9zaGFwZXhtbC54bWxQSwUGAAAAAAYABgBb&#10;AQAAtwMAAAAA&#10;" path="m20,18l7,15,4,14,0,6,2,2,7,0,11,1,16,4,28,9,29,9,42,12,40,13,27,17,20,18xe">
                  <v:fill on="t" focussize="0,0"/>
                  <v:stroke on="f"/>
                  <v:imagedata o:title=""/>
                  <o:lock v:ext="edit" aspectratio="f"/>
                </v:shape>
                <v:shape id="_x0000_s1026" o:spid="_x0000_s1026" o:spt="100" style="position:absolute;left:3220;top:1620;height:112;width:64;" fillcolor="#000000" filled="t" stroked="f" coordsize="64,112" o:gfxdata="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JDoxugAAANwA&#10;AAAPAAAAAAAAAAEAIAAAACIAAABkcnMvZG93bnJldi54bWxQSwECFAAUAAAACACHTuJAMy8FnjsA&#10;AAA5AAAAEAAAAAAAAAABACAAAAAJAQAAZHJzL3NoYXBleG1sLnhtbFBLBQYAAAAABgAGAFsBAACz&#10;AwAAAAA=&#10;" path="m39,112l26,109,38,106,43,101,50,91,51,83,48,71,1,45,0,45,23,0,64,0,57,14,23,14,15,30,62,69,62,74,60,87,58,91,51,102,49,104,39,112xe">
                  <v:fill on="t" focussize="0,0"/>
                  <v:stroke on="f"/>
                  <v:imagedata o:title=""/>
                  <o:lock v:ext="edit" aspectratio="f"/>
                </v:shape>
                <v:shape id="_x0000_s1026" o:spid="_x0000_s1026" o:spt="100" style="position:absolute;left:3301;top:1623;height:112;width:38;" fillcolor="#000000" filled="t" stroked="f" coordsize="38,112" o:gfxdata="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GijvQAA&#10;ANwAAAAPAAAAAAAAAAEAIAAAACIAAABkcnMvZG93bnJldi54bWxQSwECFAAUAAAACACHTuJAMy8F&#10;njsAAAA5AAAAEAAAAAAAAAABACAAAAAMAQAAZHJzL3NoYXBleG1sLnhtbFBLBQYAAAAABgAGAFsB&#10;AAC2AwAAAAA=&#10;" path="m26,112l0,59,1,53,22,0,38,0,28,5,22,15,20,28,18,40,17,53,17,59,38,109,26,112xe">
                  <v:fill on="t" focussize="0,0"/>
                  <v:stroke on="f"/>
                  <v:imagedata o:title=""/>
                  <o:lock v:ext="edit" aspectratio="f"/>
                </v:shape>
                <v:shape id="_x0000_s1026" o:spid="_x0000_s1026" o:spt="100" style="position:absolute;left:3323;top:1617;height:121;width:53;" fillcolor="#000000" filled="t" stroked="f" coordsize="53,121" o:gfxdata="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jJQW5AAAA3AAA&#10;AA8AAAAAAAAAAQAgAAAAIgAAAGRycy9kb3ducmV2LnhtbFBLAQIUABQAAAAIAIdO4kAzLwWeOwAA&#10;ADkAAAAQAAAAAAAAAAEAIAAAAAgBAABkcnMvc2hhcGV4bWwueG1sUEsFBgAAAAAGAAYAWwEAALID&#10;AAAAAA==&#10;" path="m15,120l4,117,16,114,25,110,36,59,36,55,16,5,0,5,12,0,52,47,53,59,52,73,21,119,15,120xe">
                  <v:fill on="t" focussize="0,0"/>
                  <v:stroke on="f"/>
                  <v:imagedata o:title=""/>
                  <o:lock v:ext="edit" aspectratio="f"/>
                </v:shape>
                <v:shape id="_x0000_s1026" o:spid="_x0000_s1026" o:spt="100" style="position:absolute;left:3383;top:1664;height:4;width:7;" fillcolor="#000000" filled="t" stroked="f" coordsize="7,4" o:gfxdata="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OyJO/&#10;AAAA3AAAAA8AAAAAAAAAAQAgAAAAIgAAAGRycy9kb3ducmV2LnhtbFBLAQIUABQAAAAIAIdO4kAz&#10;LwWeOwAAADkAAAAQAAAAAAAAAAEAIAAAAA4BAABkcnMvc2hhcGV4bWwueG1sUEsFBgAAAAAGAAYA&#10;WwEAALgDAAAAAA==&#10;" path="m1,3l0,0,7,2,1,3xe">
                  <v:fill on="t" focussize="0,0"/>
                  <v:stroke on="f"/>
                  <v:imagedata o:title=""/>
                  <o:lock v:ext="edit" aspectratio="f"/>
                </v:shape>
                <v:shape id="_x0000_s1026" o:spid="_x0000_s1026" o:spt="100" style="position:absolute;left:3385;top:1662;height:74;width:46;" fillcolor="#000000" filled="t" stroked="f" coordsize="46,74" o:gfxdata="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l4xb&#10;wAAAANwAAAAPAAAAAAAAAAEAIAAAACIAAABkcnMvZG93bnJldi54bWxQSwECFAAUAAAACACHTuJA&#10;My8FnjsAAAA5AAAAEAAAAAAAAAABACAAAAAPAQAAZHJzL3NoYXBleG1sLnhtbFBLBQYAAAAABgAG&#10;AFsBAAC5AwAAAAA=&#10;" path="m38,73l0,73,0,71,7,69,11,66,12,56,12,26,11,11,26,10,35,0,46,3,36,6,26,13,26,14,26,56,27,66,30,69,38,71,38,73xe">
                  <v:fill on="t" focussize="0,0"/>
                  <v:stroke on="f"/>
                  <v:imagedata o:title=""/>
                  <o:lock v:ext="edit" aspectratio="f"/>
                </v:shape>
                <v:shape id="_x0000_s1026" o:spid="_x0000_s1026" o:spt="100" style="position:absolute;left:3457;top:1661;height:14;width:21;" fillcolor="#000000" filled="t" stroked="f" coordsize="21,14" o:gfxdata="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SEsVvQAA&#10;ANwAAAAPAAAAAAAAAAEAIAAAACIAAABkcnMvZG93bnJldi54bWxQSwECFAAUAAAACACHTuJAMy8F&#10;njsAAAA5AAAAEAAAAAAAAAABACAAAAAMAQAAZHJzL3NoYXBleG1sLnhtbFBLBQYAAAAABgAGAFsB&#10;AAC2AwAAAAA=&#10;" path="m2,13l0,10,10,0,21,3,12,6,2,13xe">
                  <v:fill on="t" focussize="0,0"/>
                  <v:stroke on="f"/>
                  <v:imagedata o:title=""/>
                  <o:lock v:ext="edit" aspectratio="f"/>
                </v:shape>
                <v:shape id="_x0000_s1026" o:spid="_x0000_s1026" o:spt="100" style="position:absolute;left:3467;top:1655;height:81;width:50;" fillcolor="#000000" filled="t" stroked="f" coordsize="50,81" o:gfxdata="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yIi&#10;wAAAANwAAAAPAAAAAAAAAAEAIAAAACIAAABkcnMvZG93bnJldi54bWxQSwECFAAUAAAACACHTuJA&#10;My8FnjsAAAA5AAAAEAAAAAAAAAABACAAAAAPAQAAZHJzL3NoYXBleG1sLnhtbFBLBQYAAAAABgAG&#10;AFsBAAC5AwAAAAA=&#10;" path="m50,80l11,80,11,78,13,78,21,75,23,71,24,63,24,29,22,17,21,16,11,10,11,10,0,7,5,3,17,0,17,0,28,3,36,13,36,14,38,26,38,63,39,73,42,76,50,78,50,80xe">
                  <v:fill on="t" focussize="0,0"/>
                  <v:stroke on="f"/>
                  <v:imagedata o:title=""/>
                  <o:lock v:ext="edit" aspectratio="f"/>
                </v:shape>
                <v:shape id="_x0000_s1026" o:spid="_x0000_s1026" o:spt="100" style="position:absolute;left:3420;top:1655;height:81;width:51;" fillcolor="#000000" filled="t" stroked="f" coordsize="51,81" o:gfxdata="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7r4r4A&#10;AADcAAAADwAAAAAAAAABACAAAAAiAAAAZHJzL2Rvd25yZXYueG1sUEsBAhQAFAAAAAgAh07iQDMv&#10;BZ47AAAAOQAAABAAAAAAAAAAAQAgAAAADQEAAGRycy9zaGFwZXhtbC54bWxQSwUGAAAAAAYABgBb&#10;AQAAtwMAAAAA&#10;" path="m50,80l11,80,11,78,20,76,23,71,24,63,24,29,22,17,21,16,11,10,0,7,1,7,9,2,18,0,30,4,30,4,37,15,37,17,39,20,38,21,38,22,38,26,38,63,39,73,42,76,50,78,50,80xe">
                  <v:fill on="t" focussize="0,0"/>
                  <v:stroke on="f"/>
                  <v:imagedata o:title=""/>
                  <o:lock v:ext="edit" aspectratio="f"/>
                </v:shape>
                <v:shape id="_x0000_s1026" o:spid="_x0000_s1026" o:spt="100" style="position:absolute;left:3383;top:1655;height:19;width:27;" fillcolor="#000000" filled="t" stroked="f" coordsize="27,19" o:gfxdata="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T54i/&#10;AAAA3AAAAA8AAAAAAAAAAQAgAAAAIgAAAGRycy9kb3ducmV2LnhtbFBLAQIUABQAAAAIAIdO4kAz&#10;LwWeOwAAADkAAAAQAAAAAAAAAAEAIAAAAA4BAABkcnMvc2hhcGV4bWwueG1sUEsFBgAAAAAGAAYA&#10;WwEAALgDAAAAAA==&#10;" path="m12,18l12,17,10,13,0,10,23,0,27,0,27,17,12,18xe">
                  <v:fill on="t" focussize="0,0"/>
                  <v:stroke on="f"/>
                  <v:imagedata o:title=""/>
                  <o:lock v:ext="edit" aspectratio="f"/>
                </v:shape>
                <v:shape id="_x0000_s1026" o:spid="_x0000_s1026" o:spt="100" style="position:absolute;left:3518;top:1664;height:4;width:7;" fillcolor="#000000" filled="t" stroked="f" coordsize="7,4" o:gfxdata="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9Xy/&#10;AAAA3AAAAA8AAAAAAAAAAQAgAAAAIgAAAGRycy9kb3ducmV2LnhtbFBLAQIUABQAAAAIAIdO4kAz&#10;LwWeOwAAADkAAAAQAAAAAAAAAAEAIAAAAA4BAABkcnMvc2hhcGV4bWwueG1sUEsFBgAAAAAGAAYA&#10;WwEAALgDAAAAAA==&#10;" path="m1,3l0,0,7,2,1,3xe">
                  <v:fill on="t" focussize="0,0"/>
                  <v:stroke on="f"/>
                  <v:imagedata o:title=""/>
                  <o:lock v:ext="edit" aspectratio="f"/>
                </v:shape>
                <v:shape id="_x0000_s1026" o:spid="_x0000_s1026" o:spt="100" style="position:absolute;left:3519;top:1662;height:74;width:46;" fillcolor="#000000" filled="t" stroked="f" coordsize="46,74" o:gfxdata="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f7uxvQAA&#10;ANwAAAAPAAAAAAAAAAEAIAAAACIAAABkcnMvZG93bnJldi54bWxQSwECFAAUAAAACACHTuJAMy8F&#10;njsAAAA5AAAAEAAAAAAAAAABACAAAAAMAQAAZHJzL3NoYXBleG1sLnhtbFBLBQYAAAAABgAGAFsB&#10;AAC2AwAAAAA=&#10;" path="m38,73l0,73,0,71,7,69,11,66,12,56,12,26,11,11,26,10,35,0,46,3,37,6,26,13,26,14,26,56,27,66,30,69,38,71,38,73xe">
                  <v:fill on="t" focussize="0,0"/>
                  <v:stroke on="f"/>
                  <v:imagedata o:title=""/>
                  <o:lock v:ext="edit" aspectratio="f"/>
                </v:shape>
                <v:shape id="_x0000_s1026" o:spid="_x0000_s1026" o:spt="100" style="position:absolute;left:3592;top:1661;height:14;width:21;" fillcolor="#000000" filled="t" stroked="f" coordsize="21,14" o:gfxdata="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Hz/vQAA&#10;ANwAAAAPAAAAAAAAAAEAIAAAACIAAABkcnMvZG93bnJldi54bWxQSwECFAAUAAAACACHTuJAMy8F&#10;njsAAAA5AAAAEAAAAAAAAAABACAAAAAMAQAAZHJzL3NoYXBleG1sLnhtbFBLBQYAAAAABgAGAFsB&#10;AAC2AwAAAAA=&#10;" path="m2,13l0,10,11,0,21,3,12,6,2,13xe">
                  <v:fill on="t" focussize="0,0"/>
                  <v:stroke on="f"/>
                  <v:imagedata o:title=""/>
                  <o:lock v:ext="edit" aspectratio="f"/>
                </v:shape>
                <v:shape id="_x0000_s1026" o:spid="_x0000_s1026" o:spt="100" style="position:absolute;left:3602;top:1655;height:81;width:50;" fillcolor="#000000" filled="t" stroked="f" coordsize="50,81" o:gfxdata="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ebL8vQAA&#10;ANwAAAAPAAAAAAAAAAEAIAAAACIAAABkcnMvZG93bnJldi54bWxQSwECFAAUAAAACACHTuJAMy8F&#10;njsAAAA5AAAAEAAAAAAAAAABACAAAAAMAQAAZHJzL3NoYXBleG1sLnhtbFBLBQYAAAAABgAGAFsB&#10;AAC2AwAAAAA=&#10;" path="m49,80l10,80,10,78,12,78,20,75,23,71,23,63,23,29,21,17,21,16,10,10,10,10,0,7,4,3,16,0,28,3,35,13,35,14,37,26,37,63,38,73,41,76,49,78,49,80xe">
                  <v:fill on="t" focussize="0,0"/>
                  <v:stroke on="f"/>
                  <v:imagedata o:title=""/>
                  <o:lock v:ext="edit" aspectratio="f"/>
                </v:shape>
                <v:shape id="_x0000_s1026" o:spid="_x0000_s1026" o:spt="100" style="position:absolute;left:3555;top:1655;height:81;width:51;" fillcolor="#000000" filled="t" stroked="f" coordsize="51,81" o:gfxdata="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Hs8vQAA&#10;ANwAAAAPAAAAAAAAAAEAIAAAACIAAABkcnMvZG93bnJldi54bWxQSwECFAAUAAAACACHTuJAMy8F&#10;njsAAAA5AAAAEAAAAAAAAAABACAAAAAMAQAAZHJzL3NoYXBleG1sLnhtbFBLBQYAAAAABgAGAFsB&#10;AAC2AwAAAAA=&#10;" path="m51,80l11,80,11,78,20,76,24,71,24,63,24,29,22,17,21,16,11,10,0,7,1,7,9,2,18,0,29,4,30,4,37,15,37,17,39,20,38,21,38,63,39,73,42,76,51,78,51,80xe">
                  <v:fill on="t" focussize="0,0"/>
                  <v:stroke on="f"/>
                  <v:imagedata o:title=""/>
                  <o:lock v:ext="edit" aspectratio="f"/>
                </v:shape>
                <v:shape id="_x0000_s1026" o:spid="_x0000_s1026" o:spt="100" style="position:absolute;left:3518;top:1655;height:19;width:28;" fillcolor="#000000" filled="t" stroked="f" coordsize="28,19" o:gfxdata="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VCyr4A&#10;AADcAAAADwAAAAAAAAABACAAAAAiAAAAZHJzL2Rvd25yZXYueG1sUEsBAhQAFAAAAAgAh07iQDMv&#10;BZ47AAAAOQAAABAAAAAAAAAAAQAgAAAADQEAAGRycy9zaGFwZXhtbC54bWxQSwUGAAAAAAYABgBb&#10;AQAAtwMAAAAA&#10;" path="m12,18l12,17,10,13,7,12,0,10,23,0,27,0,27,17,12,18xe">
                  <v:fill on="t" focussize="0,0"/>
                  <v:stroke on="f"/>
                  <v:imagedata o:title=""/>
                  <o:lock v:ext="edit" aspectratio="f"/>
                </v:shape>
                <v:shape id="_x0000_s1026" o:spid="_x0000_s1026" o:spt="100" style="position:absolute;left:3196;top:1566;height:34;width:27;" fillcolor="#000000" filled="t" stroked="f" coordsize="27,34" o:gfxdata="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RiA/vQAA&#10;ANwAAAAPAAAAAAAAAAEAIAAAACIAAABkcnMvZG93bnJldi54bWxQSwECFAAUAAAACACHTuJAMy8F&#10;njsAAAA5AAAAEAAAAAAAAAABACAAAAAMAQAAZHJzL3NoYXBleG1sLnhtbFBLBQYAAAAABgAGAFsB&#10;AAC2AwAAAAA=&#10;" path="m0,34l18,0,26,7,0,34xe">
                  <v:fill on="t" focussize="0,0"/>
                  <v:stroke on="f"/>
                  <v:imagedata o:title=""/>
                  <o:lock v:ext="edit" aspectratio="f"/>
                </v:shape>
                <v:shape id="_x0000_s1026" o:spid="_x0000_s1026" o:spt="100" style="position:absolute;left:3189;top:1566;height:34;width:27;" fillcolor="#000000" filled="t" stroked="f" coordsize="27,34" o:gfxdata="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7hLvQAA&#10;ANwAAAAPAAAAAAAAAAEAIAAAACIAAABkcnMvZG93bnJldi54bWxQSwECFAAUAAAACACHTuJAMy8F&#10;njsAAAA5AAAAEAAAAAAAAAABACAAAAAMAQAAZHJzL3NoYXBleG1sLnhtbFBLBQYAAAAABgAGAFsB&#10;AAC2AwAAAAA=&#10;" path="m8,34l0,27,26,0,8,34xe">
                  <v:fill on="t" focussize="0,0"/>
                  <v:stroke on="f"/>
                  <v:imagedata o:title=""/>
                  <o:lock v:ext="edit" aspectratio="f"/>
                </v:shape>
                <v:shape id="_x0000_s1026" o:spid="_x0000_s1026" o:spt="100" style="position:absolute;left:3189;top:1566;height:34;width:34;" filled="f" stroked="t" coordsize="34,34" o:gfxdata="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IgTm/&#10;AAAA3AAAAA8AAAAAAAAAAQAgAAAAIgAAAGRycy9kb3ducmV2LnhtbFBLAQIUABQAAAAIAIdO4kAz&#10;LwWeOwAAADkAAAAQAAAAAAAAAAEAIAAAAA4BAABkcnMvc2hhcGV4bWwueG1sUEsFBgAAAAAGAAYA&#10;WwEAALgDAAAAAA==&#10;" path="m34,7l26,0,0,27,8,34,34,7e">
                  <v:fill on="f" focussize="0,0"/>
                  <v:stroke weight="0.12pt" color="#000000" joinstyle="round"/>
                  <v:imagedata o:title=""/>
                  <o:lock v:ext="edit" aspectratio="f"/>
                </v:shape>
                <v:shape id="_x0000_s1026" o:spid="_x0000_s1026" o:spt="100" style="position:absolute;left:3508;top:1566;height:34;width:27;" fillcolor="#000000" filled="t" stroked="f" coordsize="27,34" o:gfxdata="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YOnvQAA&#10;ANwAAAAPAAAAAAAAAAEAIAAAACIAAABkcnMvZG93bnJldi54bWxQSwECFAAUAAAACACHTuJAMy8F&#10;njsAAAA5AAAAEAAAAAAAAAABACAAAAAMAQAAZHJzL3NoYXBleG1sLnhtbFBLBQYAAAAABgAGAFsB&#10;AAC2AwAAAAA=&#10;" path="m7,34l0,27,26,0,7,34xe">
                  <v:fill on="t" focussize="0,0"/>
                  <v:stroke on="f"/>
                  <v:imagedata o:title=""/>
                  <o:lock v:ext="edit" aspectratio="f"/>
                </v:shape>
                <v:shape id="_x0000_s1026" o:spid="_x0000_s1026" o:spt="100" style="position:absolute;left:3516;top:1566;height:34;width:27;" fillcolor="#000000" filled="t" stroked="f" coordsize="27,34" o:gfxdata="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SY8vQAA&#10;ANwAAAAPAAAAAAAAAAEAIAAAACIAAABkcnMvZG93bnJldi54bWxQSwECFAAUAAAACACHTuJAMy8F&#10;njsAAAA5AAAAEAAAAAAAAAABACAAAAAMAQAAZHJzL3NoYXBleG1sLnhtbFBLBQYAAAAABgAGAFsB&#10;AAC2AwAAAAA=&#10;" path="m0,34l19,0,26,7,0,34xe">
                  <v:fill on="t" focussize="0,0"/>
                  <v:stroke on="f"/>
                  <v:imagedata o:title=""/>
                  <o:lock v:ext="edit" aspectratio="f"/>
                </v:shape>
                <v:rect id="_x0000_s1026" o:spid="_x0000_s1026" o:spt="1" style="position:absolute;left:3205;top:1311;height:2;width:2;" fillcolor="#000000" filled="t" stroked="f" coordsize="21600,21600" o:gfxdata="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JIRW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508;top:1566;height:34;width:34;" filled="f" stroked="t" coordsize="34,34" o:gfxdata="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Fizy/&#10;AAAA3AAAAA8AAAAAAAAAAQAgAAAAIgAAAGRycy9kb3ducmV2LnhtbFBLAQIUABQAAAAIAIdO4kAz&#10;LwWeOwAAADkAAAAQAAAAAAAAAAEAIAAAAA4BAABkcnMvc2hhcGV4bWwueG1sUEsFBgAAAAAGAAYA&#10;WwEAALgDAAAAAA==&#10;" path="m0,27l7,34,33,7,26,0,0,27e">
                  <v:fill on="f" focussize="0,0"/>
                  <v:stroke weight="0.12pt" color="#000000" joinstyle="round"/>
                  <v:imagedata o:title=""/>
                  <o:lock v:ext="edit" aspectratio="f"/>
                </v:shape>
                <v:line id="_x0000_s1026" o:spid="_x0000_s1026" o:spt="20" style="position:absolute;left:4328;top:1352;height:271;width:0;" filled="f" stroked="t" coordsize="21600,21600" o:gfxdata="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L2vl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_x0000_s1026" o:spid="_x0000_s1026" o:spt="20" style="position:absolute;left:4647;top:1352;flip:y;height:271;width:0;" filled="f" stroked="t" coordsize="21600,21600" o:gfxdata="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yNrbsAAADc&#10;AAAADwAAAAAAAAABACAAAAAiAAAAZHJzL2Rvd25yZXYueG1sUEsBAhQAFAAAAAgAh07iQDMvBZ47&#10;AAAAOQAAABAAAAAAAAAAAQAgAAAACgEAAGRycy9zaGFwZXhtbC54bWxQSwUGAAAAAAYABgBbAQAA&#10;tAMAAAAA&#10;">
                  <v:fill on="f" focussize="0,0"/>
                  <v:stroke weight="0.05pt" color="#000000" joinstyle="round"/>
                  <v:imagedata o:title=""/>
                  <o:lock v:ext="edit" aspectratio="f"/>
                </v:line>
                <v:line id="_x0000_s1026" o:spid="_x0000_s1026" o:spt="20" style="position:absolute;left:4328;top:1583;height:0;width:319;" filled="f" stroked="t" coordsize="21600,21600" o:gfxdata="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xUA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_x0000_s1026" o:spid="_x0000_s1026" o:spt="100" style="position:absolute;left:4203;top:1697;height:43;width:110;" fillcolor="#000000" filled="t" stroked="f" coordsize="110,43" o:gfxdata="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G9l&#10;wAAAANwAAAAPAAAAAAAAAAEAIAAAACIAAABkcnMvZG93bnJldi54bWxQSwECFAAUAAAACACHTuJA&#10;My8FnjsAAAA5AAAAEAAAAAAAAAABACAAAAAPAQAAZHJzL3NoYXBleG1sLnhtbFBLBQYAAAAABgAG&#10;AFsBAAC5AwAAAAA=&#10;" path="m1,43l0,37,108,0,110,5,1,43xe">
                  <v:fill on="t" focussize="0,0"/>
                  <v:stroke on="f"/>
                  <v:imagedata o:title=""/>
                  <o:lock v:ext="edit" aspectratio="f"/>
                </v:shape>
                <v:shape id="_x0000_s1026" o:spid="_x0000_s1026" o:spt="100" style="position:absolute;left:4201;top:1629;height:78;width:112;" fillcolor="#000000" filled="t" stroked="f" coordsize="112,78" o:gfxdata="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DR1ugAAANwA&#10;AAAPAAAAAAAAAAEAIAAAACIAAABkcnMvZG93bnJldi54bWxQSwECFAAUAAAACACHTuJAMy8FnjsA&#10;AAA5AAAAEAAAAAAAAAABACAAAAAJAQAAZHJzL3NoYXBleG1sLnhtbFBLBQYAAAAABgAGAFsBAACz&#10;AwAAAAA=&#10;" path="m3,77l0,72,99,39,2,5,4,0,112,38,112,41,3,77xe">
                  <v:fill on="t" focussize="0,0"/>
                  <v:stroke on="f"/>
                  <v:imagedata o:title=""/>
                  <o:lock v:ext="edit" aspectratio="f"/>
                </v:shape>
                <v:shape id="_x0000_s1026" o:spid="_x0000_s1026" o:spt="100" style="position:absolute;left:4338;top:1731;height:18;width:43;" fillcolor="#000000" filled="t" stroked="f" coordsize="43,18" o:gfxdata="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5Qxr4A&#10;AADcAAAADwAAAAAAAAABACAAAAAiAAAAZHJzL2Rvd25yZXYueG1sUEsBAhQAFAAAAAgAh07iQDMv&#10;BZ47AAAAOQAAABAAAAAAAAAAAQAgAAAADQEAAGRycy9zaGFwZXhtbC54bWxQSwUGAAAAAAYABgBb&#10;AQAAtwMAAAAA&#10;" path="m20,17l7,15,5,14,0,6,2,2,7,0,11,1,17,4,28,9,30,9,42,12,40,13,28,17,20,17xe">
                  <v:fill on="t" focussize="0,0"/>
                  <v:stroke on="f"/>
                  <v:imagedata o:title=""/>
                  <o:lock v:ext="edit" aspectratio="f"/>
                </v:shape>
                <v:shape id="_x0000_s1026" o:spid="_x0000_s1026" o:spt="100" style="position:absolute;left:4341;top:1630;height:112;width:64;" fillcolor="#000000" filled="t" stroked="f" coordsize="64,112" o:gfxdata="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CTFvQAA&#10;ANwAAAAPAAAAAAAAAAEAIAAAACIAAABkcnMvZG93bnJldi54bWxQSwECFAAUAAAACACHTuJAMy8F&#10;njsAAAA5AAAAEAAAAAAAAAABACAAAAAMAQAAZHJzL3NoYXBleG1sLnhtbFBLBQYAAAAABgAGAFsB&#10;AAC2AwAAAAA=&#10;" path="m38,112l26,109,37,106,43,101,50,91,50,83,48,71,0,45,0,45,22,0,63,0,57,15,22,15,15,30,61,69,61,74,59,87,58,91,51,102,49,104,38,112xe">
                  <v:fill on="t" focussize="0,0"/>
                  <v:stroke on="f"/>
                  <v:imagedata o:title=""/>
                  <o:lock v:ext="edit" aspectratio="f"/>
                </v:shape>
                <v:shape id="_x0000_s1026" o:spid="_x0000_s1026" o:spt="100" style="position:absolute;left:4422;top:1634;height:113;width:38;" fillcolor="#000000" filled="t" stroked="f" coordsize="38,113" o:gfxdata="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oA1r4A&#10;AADcAAAADwAAAAAAAAABACAAAAAiAAAAZHJzL2Rvd25yZXYueG1sUEsBAhQAFAAAAAgAh07iQDMv&#10;BZ47AAAAOQAAABAAAAAAAAAAAQAgAAAADQEAAGRycy9zaGFwZXhtbC54bWxQSwUGAAAAAAYABgBb&#10;AQAAtwMAAAAA&#10;" path="m26,112l0,59,0,54,22,0,37,0,27,5,22,15,19,28,17,41,17,54,17,59,37,109,26,112xe">
                  <v:fill on="t" focussize="0,0"/>
                  <v:stroke on="f"/>
                  <v:imagedata o:title=""/>
                  <o:lock v:ext="edit" aspectratio="f"/>
                </v:shape>
                <v:shape id="_x0000_s1026" o:spid="_x0000_s1026" o:spt="100" style="position:absolute;left:4444;top:1628;height:120;width:53;" fillcolor="#000000" filled="t" stroked="f" coordsize="53,120" o:gfxdata="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WZajtwAAANwAAAAP&#10;AAAAAAAAAAEAIAAAACIAAABkcnMvZG93bnJldi54bWxQSwECFAAUAAAACACHTuJAMy8FnjsAAAA5&#10;AAAAEAAAAAAAAAABACAAAAAGAQAAZHJzL3NoYXBleG1sLnhtbFBLBQYAAAAABgAGAFsBAACwAwAA&#10;AAA=&#10;" path="m15,119l4,117,15,114,24,110,36,59,36,55,0,5,11,0,52,47,52,59,52,73,20,119,15,119xe">
                  <v:fill on="t" focussize="0,0"/>
                  <v:stroke on="f"/>
                  <v:imagedata o:title=""/>
                  <o:lock v:ext="edit" aspectratio="f"/>
                </v:shape>
                <v:shape id="_x0000_s1026" o:spid="_x0000_s1026" o:spt="100" style="position:absolute;left:4505;top:1675;height:4;width:7;" fillcolor="#000000" filled="t" stroked="f" coordsize="7,4" o:gfxdata="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Zj1&#10;wAAAANwAAAAPAAAAAAAAAAEAIAAAACIAAABkcnMvZG93bnJldi54bWxQSwECFAAUAAAACACHTuJA&#10;My8FnjsAAAA5AAAAEAAAAAAAAAABACAAAAAPAQAAZHJzL3NoYXBleG1sLnhtbFBLBQYAAAAABgAG&#10;AFsBAAC5AwAAAAA=&#10;" path="m2,3l0,0,7,2,2,3xe">
                  <v:fill on="t" focussize="0,0"/>
                  <v:stroke on="f"/>
                  <v:imagedata o:title=""/>
                  <o:lock v:ext="edit" aspectratio="f"/>
                </v:shape>
                <v:shape id="_x0000_s1026" o:spid="_x0000_s1026" o:spt="100" style="position:absolute;left:4506;top:1673;height:74;width:46;" fillcolor="#000000" filled="t" stroked="f" coordsize="46,74" o:gfxdata="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ZX0KvQAA&#10;ANwAAAAPAAAAAAAAAAEAIAAAACIAAABkcnMvZG93bnJldi54bWxQSwECFAAUAAAACACHTuJAMy8F&#10;njsAAAA5AAAAEAAAAAAAAAABACAAAAAMAQAAZHJzL3NoYXBleG1sLnhtbFBLBQYAAAAABgAGAFsB&#10;AAC2AwAAAAA=&#10;" path="m38,74l0,74,0,70,7,69,10,65,11,56,11,26,11,12,25,10,35,0,45,3,36,6,26,13,25,14,25,56,26,66,29,69,38,70,38,74xe">
                  <v:fill on="t" focussize="0,0"/>
                  <v:stroke on="f"/>
                  <v:imagedata o:title=""/>
                  <o:lock v:ext="edit" aspectratio="f"/>
                </v:shape>
                <v:shape id="_x0000_s1026" o:spid="_x0000_s1026" o:spt="100" style="position:absolute;left:4578;top:1672;height:14;width:21;" fillcolor="#000000" filled="t" stroked="f" coordsize="21,14" o:gfxdata="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q6RLsAAADc&#10;AAAADwAAAAAAAAABACAAAAAiAAAAZHJzL2Rvd25yZXYueG1sUEsBAhQAFAAAAAgAh07iQDMvBZ47&#10;AAAAOQAAABAAAAAAAAAAAQAgAAAACgEAAGRycy9zaGFwZXhtbC54bWxQSwUGAAAAAAYABgBbAQAA&#10;tAMAAAAA&#10;" path="m1,13l0,10,10,0,20,3,11,6,1,13xe">
                  <v:fill on="t" focussize="0,0"/>
                  <v:stroke on="f"/>
                  <v:imagedata o:title=""/>
                  <o:lock v:ext="edit" aspectratio="f"/>
                </v:shape>
                <v:shape id="_x0000_s1026" o:spid="_x0000_s1026" o:spt="100" style="position:absolute;left:4588;top:1666;height:81;width:50;" fillcolor="#000000" filled="t" stroked="f" coordsize="50,81" o:gfxdata="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UtVw&#10;wAAAANwAAAAPAAAAAAAAAAEAIAAAACIAAABkcnMvZG93bnJldi54bWxQSwECFAAUAAAACACHTuJA&#10;My8FnjsAAAA5AAAAEAAAAAAAAAABACAAAAAPAQAAZHJzL3NoYXBleG1sLnhtbFBLBQYAAAAABgAG&#10;AFsBAAC5AwAAAAA=&#10;" path="m49,81l11,81,11,77,12,77,20,76,23,71,23,63,23,29,21,17,21,16,11,10,10,10,0,7,4,3,17,0,17,0,28,3,35,13,35,14,37,26,37,63,38,73,42,76,49,77,49,81xe">
                  <v:fill on="t" focussize="0,0"/>
                  <v:stroke on="f"/>
                  <v:imagedata o:title=""/>
                  <o:lock v:ext="edit" aspectratio="f"/>
                </v:shape>
                <v:shape id="_x0000_s1026" o:spid="_x0000_s1026" o:spt="100" style="position:absolute;left:4542;top:1666;height:81;width:50;" fillcolor="#000000" filled="t" stroked="f" coordsize="50,81" o:gfxdata="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HnDr&#10;wAAAANwAAAAPAAAAAAAAAAEAIAAAACIAAABkcnMvZG93bnJldi54bWxQSwECFAAUAAAACACHTuJA&#10;My8FnjsAAAA5AAAAEAAAAAAAAAABACAAAAAPAQAAZHJzL3NoYXBleG1sLnhtbFBLBQYAAAAABgAG&#10;AFsBAAC5AwAAAAA=&#10;" path="m50,81l11,81,11,77,20,76,23,71,23,63,23,29,21,17,21,16,10,10,0,7,8,2,37,17,38,20,37,21,37,22,37,26,37,63,38,73,41,76,50,77,50,81xe">
                  <v:fill on="t" focussize="0,0"/>
                  <v:stroke on="f"/>
                  <v:imagedata o:title=""/>
                  <o:lock v:ext="edit" aspectratio="f"/>
                </v:shape>
                <v:shape id="_x0000_s1026" o:spid="_x0000_s1026" o:spt="100" style="position:absolute;left:4505;top:1666;height:19;width:27;" fillcolor="#000000" filled="t" stroked="f" coordsize="27,19" o:gfxdata="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EW2b4A&#10;AADcAAAADwAAAAAAAAABACAAAAAiAAAAZHJzL2Rvd25yZXYueG1sUEsBAhQAFAAAAAgAh07iQDMv&#10;BZ47AAAAOQAAABAAAAAAAAAAAQAgAAAADQEAAGRycy9zaGFwZXhtbC54bWxQSwUGAAAAAAYABgBb&#10;AQAAtwMAAAAA&#10;" path="m13,19l12,17,11,12,0,10,24,0,27,0,27,17,13,19xe">
                  <v:fill on="t" focussize="0,0"/>
                  <v:stroke on="f"/>
                  <v:imagedata o:title=""/>
                  <o:lock v:ext="edit" aspectratio="f"/>
                </v:shape>
                <v:shape id="_x0000_s1026" o:spid="_x0000_s1026" o:spt="100" style="position:absolute;left:4640;top:1675;height:4;width:7;" fillcolor="#000000" filled="t" stroked="f" coordsize="7,4" o:gfxdata="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ZBC2/&#10;AAAA3AAAAA8AAAAAAAAAAQAgAAAAIgAAAGRycy9kb3ducmV2LnhtbFBLAQIUABQAAAAIAIdO4kAz&#10;LwWeOwAAADkAAAAQAAAAAAAAAAEAIAAAAA4BAABkcnMvc2hhcGV4bWwueG1sUEsFBgAAAAAGAAYA&#10;WwEAALgDAAAAAA==&#10;" path="m1,3l0,0,7,2,1,3xe">
                  <v:fill on="t" focussize="0,0"/>
                  <v:stroke on="f"/>
                  <v:imagedata o:title=""/>
                  <o:lock v:ext="edit" aspectratio="f"/>
                </v:shape>
                <v:shape id="_x0000_s1026" o:spid="_x0000_s1026" o:spt="100" style="position:absolute;left:4641;top:1673;height:74;width:46;" fillcolor="#000000" filled="t" stroked="f" coordsize="46,74" o:gfxdata="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BA5b4A&#10;AADcAAAADwAAAAAAAAABACAAAAAiAAAAZHJzL2Rvd25yZXYueG1sUEsBAhQAFAAAAAgAh07iQDMv&#10;BZ47AAAAOQAAABAAAAAAAAAAAQAgAAAADQEAAGRycy9zaGFwZXhtbC54bWxQSwUGAAAAAAYABgBb&#10;AQAAtwMAAAAA&#10;" path="m39,74l0,74,0,70,8,69,11,65,12,56,12,26,12,12,26,10,36,0,46,3,37,6,27,13,26,14,26,56,27,66,31,69,39,70,39,74xe">
                  <v:fill on="t" focussize="0,0"/>
                  <v:stroke on="f"/>
                  <v:imagedata o:title=""/>
                  <o:lock v:ext="edit" aspectratio="f"/>
                </v:shape>
                <v:shape id="_x0000_s1026" o:spid="_x0000_s1026" o:spt="100" style="position:absolute;left:4713;top:1672;height:14;width:21;" fillcolor="#000000" filled="t" stroked="f" coordsize="21,14" o:gfxdata="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q74A&#10;AADcAAAADwAAAAAAAAABACAAAAAiAAAAZHJzL2Rvd25yZXYueG1sUEsBAhQAFAAAAAgAh07iQDMv&#10;BZ47AAAAOQAAABAAAAAAAAAAAQAgAAAADQEAAGRycy9zaGFwZXhtbC54bWxQSwUGAAAAAAYABgBb&#10;AQAAtwMAAAAA&#10;" path="m2,13l0,10,10,0,20,3,12,6,2,13xe">
                  <v:fill on="t" focussize="0,0"/>
                  <v:stroke on="f"/>
                  <v:imagedata o:title=""/>
                  <o:lock v:ext="edit" aspectratio="f"/>
                </v:shape>
                <v:shape id="_x0000_s1026" o:spid="_x0000_s1026" o:spt="100" style="position:absolute;left:4724;top:1666;height:81;width:50;" fillcolor="#000000" filled="t" stroked="f" coordsize="50,81" o:gfxdata="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uKavQAA&#10;ANwAAAAPAAAAAAAAAAEAIAAAACIAAABkcnMvZG93bnJldi54bWxQSwECFAAUAAAACACHTuJAMy8F&#10;njsAAAA5AAAAEAAAAAAAAAABACAAAAAMAQAAZHJzL3NoYXBleG1sLnhtbFBLBQYAAAAABgAGAFsB&#10;AAC2AwAAAAA=&#10;" path="m49,81l11,81,11,77,12,77,20,76,23,71,23,63,23,29,22,17,21,16,11,10,10,10,0,7,5,3,17,0,28,3,35,13,36,14,37,26,37,63,39,73,42,76,49,77,49,81xe">
                  <v:fill on="t" focussize="0,0"/>
                  <v:stroke on="f"/>
                  <v:imagedata o:title=""/>
                  <o:lock v:ext="edit" aspectratio="f"/>
                </v:shape>
                <v:shape id="_x0000_s1026" o:spid="_x0000_s1026" o:spt="100" style="position:absolute;left:4676;top:1666;height:81;width:51;" fillcolor="#000000" filled="t" stroked="f" coordsize="51,81" o:gfxdata="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K1q8AAAA&#10;3AAAAA8AAAAAAAAAAQAgAAAAIgAAAGRycy9kb3ducmV2LnhtbFBLAQIUABQAAAAIAIdO4kAzLwWe&#10;OwAAADkAAAAQAAAAAAAAAAEAIAAAAAsBAABkcnMvc2hhcGV4bWwueG1sUEsFBgAAAAAGAAYAWwEA&#10;ALUDAAAAAA==&#10;" path="m50,81l11,81,11,77,20,76,23,71,23,63,23,29,21,17,21,16,10,10,0,7,0,7,8,2,17,0,29,4,30,4,36,15,37,17,39,20,37,21,37,63,38,73,42,76,50,77,50,81xe">
                  <v:fill on="t" focussize="0,0"/>
                  <v:stroke on="f"/>
                  <v:imagedata o:title=""/>
                  <o:lock v:ext="edit" aspectratio="f"/>
                </v:shape>
                <v:shape id="_x0000_s1026" o:spid="_x0000_s1026" o:spt="100" style="position:absolute;left:4640;top:1666;height:19;width:28;" fillcolor="#000000" filled="t" stroked="f" coordsize="28,19" o:gfxdata="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u1VhugAAANwA&#10;AAAPAAAAAAAAAAEAIAAAACIAAABkcnMvZG93bnJldi54bWxQSwECFAAUAAAACACHTuJAMy8FnjsA&#10;AAA5AAAAEAAAAAAAAAABACAAAAAJAQAAZHJzL3NoYXBleG1sLnhtbFBLBQYAAAAABgAGAFsBAACz&#10;AwAAAAA=&#10;" path="m13,19l13,17,11,12,7,12,0,10,24,0,27,0,27,17,13,19xe">
                  <v:fill on="t" focussize="0,0"/>
                  <v:stroke on="f"/>
                  <v:imagedata o:title=""/>
                  <o:lock v:ext="edit" aspectratio="f"/>
                </v:shape>
                <v:shape id="_x0000_s1026" o:spid="_x0000_s1026" o:spt="100" style="position:absolute;left:4318;top:1566;height:34;width:27;" fillcolor="#000000" filled="t" stroked="f" coordsize="27,34" o:gfxdata="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DeUvQAA&#10;ANwAAAAPAAAAAAAAAAEAIAAAACIAAABkcnMvZG93bnJldi54bWxQSwECFAAUAAAACACHTuJAMy8F&#10;njsAAAA5AAAAEAAAAAAAAAABACAAAAAMAQAAZHJzL3NoYXBleG1sLnhtbFBLBQYAAAAABgAGAFsB&#10;AAC2AwAAAAA=&#10;" path="m0,34l19,0,26,7,0,34xe">
                  <v:fill on="t" focussize="0,0"/>
                  <v:stroke on="f"/>
                  <v:imagedata o:title=""/>
                  <o:lock v:ext="edit" aspectratio="f"/>
                </v:shape>
                <v:shape id="_x0000_s1026" o:spid="_x0000_s1026" o:spt="100" style="position:absolute;left:4310;top:1566;height:34;width:27;" fillcolor="#000000" filled="t" stroked="f" coordsize="27,34" o:gfxdata="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aqnjvQAA&#10;ANwAAAAPAAAAAAAAAAEAIAAAACIAAABkcnMvZG93bnJldi54bWxQSwECFAAUAAAACACHTuJAMy8F&#10;njsAAAA5AAAAEAAAAAAAAAABACAAAAAMAQAAZHJzL3NoYXBleG1sLnhtbFBLBQYAAAAABgAGAFsB&#10;AAC2AwAAAAA=&#10;" path="m7,34l0,27,26,0,7,34xe">
                  <v:fill on="t" focussize="0,0"/>
                  <v:stroke on="f"/>
                  <v:imagedata o:title=""/>
                  <o:lock v:ext="edit" aspectratio="f"/>
                </v:shape>
                <v:shape id="_x0000_s1026" o:spid="_x0000_s1026" o:spt="100" style="position:absolute;left:4310;top:1566;height:34;width:34;" filled="f" stroked="t" coordsize="34,34" o:gfxdata="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2Qkb4A&#10;AADcAAAADwAAAAAAAAABACAAAAAiAAAAZHJzL2Rvd25yZXYueG1sUEsBAhQAFAAAAAgAh07iQDMv&#10;BZ47AAAAOQAAABAAAAAAAAAAAQAgAAAADQEAAGRycy9zaGFwZXhtbC54bWxQSwUGAAAAAAYABgBb&#10;AQAAtwMAAAAA&#10;" path="m33,7l26,0,0,27,7,34,33,7e">
                  <v:fill on="f" focussize="0,0"/>
                  <v:stroke weight="0.12pt" color="#000000" joinstyle="round"/>
                  <v:imagedata o:title=""/>
                  <o:lock v:ext="edit" aspectratio="f"/>
                </v:shape>
                <v:shape id="_x0000_s1026" o:spid="_x0000_s1026" o:spt="100" style="position:absolute;left:4630;top:1566;height:34;width:27;" fillcolor="#000000" filled="t" stroked="f" coordsize="27,34" o:gfxdata="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5QMvQAA&#10;ANwAAAAPAAAAAAAAAAEAIAAAACIAAABkcnMvZG93bnJldi54bWxQSwECFAAUAAAACACHTuJAMy8F&#10;njsAAAA5AAAAEAAAAAAAAAABACAAAAAMAQAAZHJzL3NoYXBleG1sLnhtbFBLBQYAAAAABgAGAFsB&#10;AAC2AwAAAAA=&#10;" path="m8,34l0,27,26,0,8,34xe">
                  <v:fill on="t" focussize="0,0"/>
                  <v:stroke on="f"/>
                  <v:imagedata o:title=""/>
                  <o:lock v:ext="edit" aspectratio="f"/>
                </v:shape>
                <v:shape id="_x0000_s1026" o:spid="_x0000_s1026" o:spt="100" style="position:absolute;left:4637;top:1566;height:34;width:27;" fillcolor="#000000" filled="t" stroked="f" coordsize="27,34" o:gfxdata="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zGXvQAA&#10;ANwAAAAPAAAAAAAAAAEAIAAAACIAAABkcnMvZG93bnJldi54bWxQSwECFAAUAAAACACHTuJAMy8F&#10;njsAAAA5AAAAEAAAAAAAAAABACAAAAAMAQAAZHJzL3NoYXBleG1sLnhtbFBLBQYAAAAABgAGAFsB&#10;AAC2AwAAAAA=&#10;" path="m0,34l18,0,26,7,0,34xe">
                  <v:fill on="t" focussize="0,0"/>
                  <v:stroke on="f"/>
                  <v:imagedata o:title=""/>
                  <o:lock v:ext="edit" aspectratio="f"/>
                </v:shape>
                <v:rect id="_x0000_s1026" o:spid="_x0000_s1026" o:spt="1" style="position:absolute;left:4646;top:1311;height:2;width:2;" fillcolor="#000000" filled="t" stroked="f" coordsize="21600,21600" o:gfxdata="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ejy7&#10;wAAAANwAAAAPAAAAAAAAAAEAIAAAACIAAABkcnMvZG93bnJldi54bWxQSwECFAAUAAAACACHTuJA&#10;My8FnjsAAAA5AAAAEAAAAAAAAAABACAAAAAPAQAAZHJzL3NoYXBleG1sLnhtbFBLBQYAAAAABgAG&#10;AFsBAAC5AwAAAAA=&#10;">
                  <v:fill on="t" focussize="0,0"/>
                  <v:stroke on="f"/>
                  <v:imagedata o:title=""/>
                  <o:lock v:ext="edit" aspectratio="f"/>
                </v:rect>
                <v:shape id="_x0000_s1026" o:spid="_x0000_s1026" o:spt="100" style="position:absolute;left:4630;top:1566;height:34;width:34;" filled="f" stroked="t" coordsize="34,34" o:gfxdata="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aWkr4A&#10;AADcAAAADwAAAAAAAAABACAAAAAiAAAAZHJzL2Rvd25yZXYueG1sUEsBAhQAFAAAAAgAh07iQDMv&#10;BZ47AAAAOQAAABAAAAAAAAAAAQAgAAAADQEAAGRycy9zaGFwZXhtbC54bWxQSwUGAAAAAAYABgBb&#10;AQAAtwMAAAAA&#10;" path="m0,27l8,34,34,7,26,0,0,27e">
                  <v:fill on="f" focussize="0,0"/>
                  <v:stroke weight="0.12pt" color="#000000" joinstyle="round"/>
                  <v:imagedata o:title=""/>
                  <o:lock v:ext="edit" aspectratio="f"/>
                </v:shape>
                <v:shape id="_x0000_s1026" o:spid="_x0000_s1026" o:spt="100" style="position:absolute;left:4985;top:502;height:16;width:48;" fillcolor="#000000" filled="t" stroked="f" coordsize="48,16" o:gfxdata="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N8ArsAAADc&#10;AAAADwAAAAAAAAABACAAAAAiAAAAZHJzL2Rvd25yZXYueG1sUEsBAhQAFAAAAAgAh07iQDMvBZ47&#10;AAAAOQAAABAAAAAAAAAAAQAgAAAACgEAAGRycy9zaGFwZXhtbC54bWxQSwUGAAAAAAYABgBbAQAA&#10;tAMAAAAA&#10;" path="m23,16l20,16,6,14,4,13,0,7,2,2,7,0,11,1,18,4,24,7,31,8,47,9,36,14,23,16xe">
                  <v:fill on="t" focussize="0,0"/>
                  <v:stroke on="f"/>
                  <v:imagedata o:title=""/>
                  <o:lock v:ext="edit" aspectratio="f"/>
                </v:shape>
                <v:shape id="_x0000_s1026" o:spid="_x0000_s1026" o:spt="100" style="position:absolute;left:5005;top:406;height:105;width:47;" fillcolor="#000000" filled="t" stroked="f" coordsize="47,105" o:gfxdata="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LwEvQAA&#10;ANwAAAAPAAAAAAAAAAEAIAAAACIAAABkcnMvZG93bnJldi54bWxQSwECFAAUAAAACACHTuJAMy8F&#10;njsAAAA5AAAAEAAAAAAAAAABACAAAAAMAQAAZHJzL3NoYXBleG1sLnhtbFBLBQYAAAAABgAGAFsB&#10;AAC2AwAAAAA=&#10;" path="m28,104l12,103,24,99,27,97,33,86,33,81,31,68,31,68,26,60,16,54,4,51,0,51,0,49,26,22,23,10,21,8,10,3,7,2,35,0,40,11,41,14,38,24,31,35,25,40,36,47,41,52,46,64,46,70,44,83,39,94,37,96,28,104xe">
                  <v:fill on="t" focussize="0,0"/>
                  <v:stroke on="f"/>
                  <v:imagedata o:title=""/>
                  <o:lock v:ext="edit" aspectratio="f"/>
                </v:shape>
                <v:shape id="_x0000_s1026" o:spid="_x0000_s1026" o:spt="100" style="position:absolute;left:4987;top:397;height:26;width:53;" fillcolor="#000000" filled="t" stroked="f" coordsize="53,26" o:gfxdata="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88/vQAA&#10;ANwAAAAPAAAAAAAAAAEAIAAAACIAAABkcnMvZG93bnJldi54bWxQSwECFAAUAAAACACHTuJAMy8F&#10;njsAAAA5AAAAEAAAAAAAAAABACAAAAAMAQAAZHJzL3NoYXBleG1sLnhtbFBLBQYAAAAABgAGAFsB&#10;AAC2AwAAAAA=&#10;" path="m2,25l31,0,43,2,52,9,24,11,13,14,4,23,2,25xe">
                  <v:fill on="t" focussize="0,0"/>
                  <v:stroke on="f"/>
                  <v:imagedata o:title=""/>
                  <o:lock v:ext="edit" aspectratio="f"/>
                </v:shape>
                <v:shape id="_x0000_s1026" o:spid="_x0000_s1026" o:spt="100" style="position:absolute;left:3366;top:411;height:3;width:10;" fillcolor="#000000" filled="t" stroked="f" coordsize="10,3" o:gfxdata="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kH874A&#10;AADcAAAADwAAAAAAAAABACAAAAAiAAAAZHJzL2Rvd25yZXYueG1sUEsBAhQAFAAAAAgAh07iQDMv&#10;BZ47AAAAOQAAABAAAAAAAAAAAQAgAAAADQEAAGRycy9zaGFwZXhtbC54bWxQSwUGAAAAAAYABgBb&#10;AQAAtwMAAAAA&#10;" path="m1,3l0,0,10,0,1,3xe">
                  <v:fill on="t" focussize="0,0"/>
                  <v:stroke on="f"/>
                  <v:imagedata o:title=""/>
                  <o:lock v:ext="edit" aspectratio="f"/>
                </v:shape>
                <v:shape id="_x0000_s1026" o:spid="_x0000_s1026" o:spt="100" style="position:absolute;left:3366;top:397;height:118;width:46;" fillcolor="#000000" filled="t" stroked="f" coordsize="46,118" o:gfxdata="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lOpLsAAADc&#10;AAAADwAAAAAAAAABACAAAAAiAAAAZHJzL2Rvd25yZXYueG1sUEsBAhQAFAAAAAgAh07iQDMvBZ47&#10;AAAAOQAAABAAAAAAAAAAAQAgAAAACgEAAGRycy9zaGFwZXhtbC54bWxQSwUGAAAAAAYABgBbAQAA&#10;tAMAAAAA&#10;" path="m45,118l2,118,2,114,13,113,16,110,17,97,17,35,16,21,16,19,14,15,10,13,0,13,28,0,31,0,31,97,32,109,35,113,45,114,45,118xe">
                  <v:fill on="t" focussize="0,0"/>
                  <v:stroke on="f"/>
                  <v:imagedata o:title=""/>
                  <o:lock v:ext="edit" aspectratio="f"/>
                </v:shape>
                <w10:wrap type="none"/>
                <w10:anchorlock/>
              </v:group>
            </w:pict>
          </mc:Fallback>
        </mc:AlternateContent>
      </w:r>
    </w:p>
    <w:p>
      <w:pPr>
        <w:spacing w:before="80"/>
        <w:ind w:left="2165" w:right="0" w:firstLine="630" w:firstLineChars="300"/>
        <w:jc w:val="left"/>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图5.5.4 实心区范围示意图</w:t>
      </w:r>
    </w:p>
    <w:p>
      <w:pPr>
        <w:pStyle w:val="21"/>
        <w:bidi w:val="0"/>
        <w:jc w:val="center"/>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heme="minorBidi"/>
          <w:kern w:val="2"/>
          <w:sz w:val="21"/>
          <w:szCs w:val="21"/>
          <w:lang w:val="en-US" w:eastAsia="zh-CN" w:bidi="ar-SA"/>
        </w:rPr>
        <w:t>1—混凝土实心区；2—支承构件；3—填充体起始处</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5.5.4</w:t>
      </w:r>
      <w:r>
        <w:rPr>
          <w:rFonts w:hint="default" w:ascii="Times New Roman" w:hAnsi="Times New Roman" w:cs="Times New Roman"/>
          <w:u w:val="single"/>
          <w:lang w:val="en-US" w:eastAsia="zh-CN"/>
        </w:rPr>
        <w:t xml:space="preserve"> 箱型填充体与框架梁、暗梁间设置实心区域，既可以保证空心叠合板的抗剪能力，也可以通过设置附加箍筋与预制底板下翼缘板的外伸胡子筋进行间接搭接连接，保证外伸长度不足的胡子筋伸入支座内的长度满足要求。</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highlight w:val="none"/>
          <w:u w:val="single"/>
          <w:lang w:val="en-US" w:eastAsia="zh-CN"/>
        </w:rPr>
      </w:pPr>
      <w:r>
        <w:rPr>
          <w:rFonts w:hint="default" w:ascii="Times New Roman" w:hAnsi="Times New Roman" w:cs="Times New Roman"/>
          <w:highlight w:val="none"/>
          <w:u w:val="single"/>
          <w:lang w:val="en-US" w:eastAsia="zh-CN"/>
        </w:rPr>
        <w:t>《现浇混凝土空心楼盖技术规程》JGJ/T 268，规定的是竖向构件周边设置一定的实心区域，本</w:t>
      </w:r>
      <w:r>
        <w:rPr>
          <w:rFonts w:hint="eastAsia" w:ascii="Times New Roman" w:hAnsi="Times New Roman" w:cs="Times New Roman"/>
          <w:highlight w:val="none"/>
          <w:u w:val="single"/>
          <w:lang w:val="en-US" w:eastAsia="zh-CN"/>
        </w:rPr>
        <w:t>规程</w:t>
      </w:r>
      <w:r>
        <w:rPr>
          <w:rFonts w:hint="default" w:ascii="Times New Roman" w:hAnsi="Times New Roman" w:cs="Times New Roman"/>
          <w:highlight w:val="none"/>
          <w:u w:val="single"/>
          <w:lang w:val="en-US" w:eastAsia="zh-CN"/>
        </w:rPr>
        <w:t>改为水平支承构件。非刚性支承空心叠合楼盖的竖向构件周边实心区域的规定已经在5.2.2和5.2.4条提出了</w:t>
      </w:r>
      <w:r>
        <w:rPr>
          <w:rFonts w:hint="eastAsia"/>
          <w:highlight w:val="none"/>
          <w:u w:val="single"/>
          <w:lang w:val="en-US" w:eastAsia="zh-CN"/>
        </w:rPr>
        <w:t>具体要求。</w:t>
      </w:r>
    </w:p>
    <w:p>
      <w:pPr>
        <w:numPr>
          <w:ilvl w:val="2"/>
          <w:numId w:val="1"/>
        </w:numPr>
        <w:bidi w:val="0"/>
        <w:rPr>
          <w:rFonts w:hint="eastAsia"/>
          <w:lang w:val="en-US" w:eastAsia="zh-CN"/>
        </w:rPr>
      </w:pPr>
      <w:r>
        <w:rPr>
          <w:rFonts w:hint="eastAsia"/>
          <w:lang w:val="en-US" w:eastAsia="zh-CN"/>
        </w:rPr>
        <w:t>空心叠合板受力钢筋的最小配筋率应满足如下规定：</w:t>
      </w:r>
    </w:p>
    <w:p>
      <w:pPr>
        <w:pStyle w:val="20"/>
        <w:spacing w:line="360" w:lineRule="auto"/>
        <w:ind w:firstLine="720" w:firstLineChars="300"/>
        <w:rPr>
          <w:rFonts w:hint="eastAsia"/>
          <w:lang w:val="en-US" w:eastAsia="zh-CN"/>
        </w:rPr>
      </w:pPr>
      <w:r>
        <w:rPr>
          <w:rFonts w:hint="eastAsia"/>
          <w:lang w:val="en-US" w:eastAsia="zh-CN"/>
        </w:rPr>
        <w:t>A</w:t>
      </w:r>
      <w:r>
        <w:rPr>
          <w:rFonts w:hint="eastAsia"/>
          <w:vertAlign w:val="subscript"/>
          <w:lang w:val="en-US" w:eastAsia="zh-CN"/>
        </w:rPr>
        <w:t>s</w:t>
      </w:r>
      <w:r>
        <w:rPr>
          <w:rFonts w:hint="eastAsia"/>
          <w:lang w:val="en-US" w:eastAsia="zh-CN"/>
        </w:rPr>
        <w:t>/A</w:t>
      </w:r>
      <w:r>
        <w:rPr>
          <w:rFonts w:hint="eastAsia"/>
          <w:vertAlign w:val="subscript"/>
          <w:lang w:val="en-US" w:eastAsia="zh-CN"/>
        </w:rPr>
        <w:t>0</w:t>
      </w:r>
      <w:r>
        <w:rPr>
          <w:rFonts w:hint="eastAsia"/>
          <w:lang w:val="en-US" w:eastAsia="zh-CN"/>
        </w:rPr>
        <w:t>≥</w:t>
      </w:r>
      <w:r>
        <w:rPr>
          <w:rFonts w:hint="eastAsia" w:ascii="微软雅黑" w:hAnsi="微软雅黑" w:eastAsia="微软雅黑" w:cs="微软雅黑"/>
          <w:highlight w:val="none"/>
          <w:lang w:val="en-US" w:eastAsia="zh-CN"/>
        </w:rPr>
        <w:t>ρ</w:t>
      </w:r>
      <w:r>
        <w:rPr>
          <w:rFonts w:hint="eastAsia"/>
          <w:highlight w:val="none"/>
          <w:vertAlign w:val="subscript"/>
          <w:lang w:val="en-US" w:eastAsia="zh-CN"/>
        </w:rPr>
        <w:t>min</w:t>
      </w:r>
      <w:r>
        <w:rPr>
          <w:rFonts w:hint="eastAsia"/>
          <w:lang w:val="en-US" w:eastAsia="zh-CN"/>
        </w:rPr>
        <w:t>I/Io                                         (5.5.5-1)</w:t>
      </w:r>
    </w:p>
    <w:p>
      <w:pPr>
        <w:keepNext w:val="0"/>
        <w:keepLines w:val="0"/>
        <w:widowControl/>
        <w:suppressLineNumbers w:val="0"/>
        <w:spacing w:line="360" w:lineRule="auto"/>
        <w:ind w:left="1680" w:hanging="1680" w:hangingChars="700"/>
        <w:jc w:val="left"/>
        <w:rPr>
          <w:rFonts w:hint="eastAsia"/>
          <w:lang w:val="en-US" w:eastAsia="zh-CN"/>
        </w:rPr>
      </w:pPr>
      <w:r>
        <w:rPr>
          <w:rFonts w:hint="eastAsia"/>
          <w:lang w:val="en-US" w:eastAsia="zh-CN"/>
        </w:rPr>
        <w:t>式中：</w:t>
      </w:r>
      <w:r>
        <w:rPr>
          <w:rFonts w:hint="eastAsia" w:ascii="微软雅黑" w:hAnsi="微软雅黑" w:eastAsia="微软雅黑" w:cs="微软雅黑"/>
          <w:highlight w:val="none"/>
          <w:lang w:val="en-US" w:eastAsia="zh-CN"/>
        </w:rPr>
        <w:t>ρ</w:t>
      </w:r>
      <w:r>
        <w:rPr>
          <w:rFonts w:hint="eastAsia"/>
          <w:highlight w:val="none"/>
          <w:vertAlign w:val="subscript"/>
          <w:lang w:val="en-US" w:eastAsia="zh-CN"/>
        </w:rPr>
        <w:t>min</w:t>
      </w:r>
      <w:r>
        <w:rPr>
          <w:rFonts w:hint="eastAsia"/>
          <w:lang w:val="en-US" w:eastAsia="zh-CN"/>
        </w:rPr>
        <w:t>——最小配筋率，按现行家标准《混凝土结构通用规范》GB 55008的有关规定取值。</w:t>
      </w:r>
    </w:p>
    <w:p>
      <w:pPr>
        <w:pStyle w:val="20"/>
        <w:spacing w:line="360" w:lineRule="auto"/>
        <w:ind w:firstLine="720" w:firstLineChars="300"/>
        <w:rPr>
          <w:rFonts w:hint="eastAsia"/>
          <w:lang w:val="en-US" w:eastAsia="zh-CN"/>
        </w:rPr>
      </w:pPr>
      <w:r>
        <w:rPr>
          <w:rFonts w:hint="eastAsia"/>
          <w:lang w:val="en-US" w:eastAsia="zh-CN"/>
        </w:rPr>
        <w:t>A</w:t>
      </w:r>
      <w:r>
        <w:rPr>
          <w:rFonts w:hint="eastAsia"/>
          <w:vertAlign w:val="subscript"/>
          <w:lang w:val="en-US" w:eastAsia="zh-CN"/>
        </w:rPr>
        <w:t>s</w:t>
      </w:r>
      <w:r>
        <w:rPr>
          <w:rFonts w:hint="eastAsia"/>
          <w:lang w:val="en-US" w:eastAsia="zh-CN"/>
        </w:rPr>
        <w:t>——空心叠合板底部纵筋面积之和或者顶部纵筋面积之和(mm</w:t>
      </w:r>
      <w:r>
        <w:rPr>
          <w:rFonts w:hint="eastAsia"/>
          <w:vertAlign w:val="superscript"/>
          <w:lang w:val="en-US" w:eastAsia="zh-CN"/>
        </w:rPr>
        <w:t>2</w:t>
      </w:r>
      <w:r>
        <w:rPr>
          <w:rFonts w:hint="eastAsia"/>
          <w:lang w:val="en-US" w:eastAsia="zh-CN"/>
        </w:rPr>
        <w:t>)；</w:t>
      </w:r>
    </w:p>
    <w:p>
      <w:pPr>
        <w:pStyle w:val="20"/>
        <w:spacing w:line="360" w:lineRule="auto"/>
        <w:ind w:firstLine="720" w:firstLineChars="300"/>
        <w:rPr>
          <w:rFonts w:hint="eastAsia"/>
          <w:lang w:val="en-US" w:eastAsia="zh-CN"/>
        </w:rPr>
      </w:pPr>
      <w:r>
        <w:rPr>
          <w:rFonts w:hint="eastAsia"/>
          <w:lang w:val="en-US" w:eastAsia="zh-CN"/>
        </w:rPr>
        <w:t>A</w:t>
      </w:r>
      <w:r>
        <w:rPr>
          <w:rFonts w:hint="eastAsia"/>
          <w:vertAlign w:val="subscript"/>
          <w:lang w:val="en-US" w:eastAsia="zh-CN"/>
        </w:rPr>
        <w:t>0</w:t>
      </w:r>
      <w:r>
        <w:rPr>
          <w:rFonts w:hint="eastAsia"/>
          <w:lang w:val="en-US" w:eastAsia="zh-CN"/>
        </w:rPr>
        <w:t>——相同厚度实心楼板的截面面积(mm</w:t>
      </w:r>
      <w:r>
        <w:rPr>
          <w:rFonts w:hint="eastAsia"/>
          <w:vertAlign w:val="superscript"/>
          <w:lang w:val="en-US" w:eastAsia="zh-CN"/>
        </w:rPr>
        <w:t>2</w:t>
      </w:r>
      <w:r>
        <w:rPr>
          <w:rFonts w:hint="eastAsia"/>
          <w:lang w:val="en-US" w:eastAsia="zh-CN"/>
        </w:rPr>
        <w:t>)；</w:t>
      </w:r>
    </w:p>
    <w:p>
      <w:pPr>
        <w:pStyle w:val="20"/>
        <w:spacing w:line="360" w:lineRule="auto"/>
        <w:ind w:firstLine="720" w:firstLineChars="300"/>
        <w:rPr>
          <w:rFonts w:hint="eastAsia"/>
          <w:lang w:val="en-US" w:eastAsia="zh-CN"/>
        </w:rPr>
      </w:pPr>
      <w:r>
        <w:rPr>
          <w:rFonts w:hint="eastAsia"/>
          <w:lang w:val="en-US" w:eastAsia="zh-CN"/>
        </w:rPr>
        <w:t>I——空心叠合板截面惯性矩(mm</w:t>
      </w:r>
      <w:r>
        <w:rPr>
          <w:rFonts w:hint="eastAsia"/>
          <w:vertAlign w:val="superscript"/>
          <w:lang w:val="en-US" w:eastAsia="zh-CN"/>
        </w:rPr>
        <w:t>4</w:t>
      </w:r>
      <w:r>
        <w:rPr>
          <w:rFonts w:hint="eastAsia"/>
          <w:lang w:val="en-US" w:eastAsia="zh-CN"/>
        </w:rPr>
        <w:t>)；</w:t>
      </w:r>
    </w:p>
    <w:p>
      <w:pPr>
        <w:pStyle w:val="20"/>
        <w:spacing w:line="360" w:lineRule="auto"/>
        <w:ind w:firstLine="720" w:firstLineChars="300"/>
        <w:rPr>
          <w:rFonts w:hint="eastAsia"/>
          <w:lang w:val="en-US" w:eastAsia="zh-CN"/>
        </w:rPr>
      </w:pPr>
      <w:r>
        <w:rPr>
          <w:rFonts w:hint="eastAsia"/>
          <w:lang w:val="en-US" w:eastAsia="zh-CN"/>
        </w:rPr>
        <w:t>I</w:t>
      </w:r>
      <w:r>
        <w:rPr>
          <w:rFonts w:hint="eastAsia"/>
          <w:vertAlign w:val="subscript"/>
          <w:lang w:val="en-US" w:eastAsia="zh-CN"/>
        </w:rPr>
        <w:t>0</w:t>
      </w:r>
      <w:r>
        <w:rPr>
          <w:rFonts w:hint="eastAsia"/>
          <w:lang w:val="en-US" w:eastAsia="zh-CN"/>
        </w:rPr>
        <w:t>——相同厚度实心楼板的截面惯性矩(mm</w:t>
      </w:r>
      <w:r>
        <w:rPr>
          <w:rFonts w:hint="eastAsia"/>
          <w:vertAlign w:val="superscript"/>
          <w:lang w:val="en-US" w:eastAsia="zh-CN"/>
        </w:rPr>
        <w:t>4</w:t>
      </w:r>
      <w:r>
        <w:rPr>
          <w:rFonts w:hint="eastAsia"/>
          <w:lang w:val="en-US" w:eastAsia="zh-CN"/>
        </w:rPr>
        <w:t>)。</w:t>
      </w:r>
    </w:p>
    <w:p>
      <w:pPr>
        <w:pStyle w:val="21"/>
        <w:bidi w:val="0"/>
        <w:ind w:left="0" w:leftChars="0" w:firstLine="0" w:firstLineChars="0"/>
        <w:rPr>
          <w:rFonts w:hint="eastAsia"/>
          <w:highlight w:val="yellow"/>
          <w:lang w:val="en-US" w:eastAsia="zh-CN"/>
        </w:rPr>
      </w:pPr>
      <w:r>
        <w:rPr>
          <w:rFonts w:hint="eastAsia"/>
          <w:u w:val="single"/>
          <w:lang w:val="en-US" w:eastAsia="zh-CN"/>
        </w:rPr>
        <w:t>【条文说明】5.5.5 本条的规定基本参考</w:t>
      </w:r>
      <w:r>
        <w:rPr>
          <w:rFonts w:hint="default"/>
          <w:u w:val="single"/>
          <w:lang w:val="en-US" w:eastAsia="zh-CN"/>
        </w:rPr>
        <w:t>现行国家标准</w:t>
      </w:r>
      <w:r>
        <w:rPr>
          <w:rFonts w:hint="eastAsia"/>
          <w:u w:val="single"/>
          <w:lang w:val="en-US" w:eastAsia="zh-CN"/>
        </w:rPr>
        <w:t>《装配箱混凝土空心楼盖结构技术规程》JGJ/T 207、</w:t>
      </w:r>
      <w:r>
        <w:rPr>
          <w:rFonts w:hint="default"/>
          <w:u w:val="single"/>
          <w:lang w:val="en-US" w:eastAsia="zh-CN"/>
        </w:rPr>
        <w:t>《现浇混凝土空心楼盖技术规程》JGJ/T 268</w:t>
      </w:r>
      <w:r>
        <w:rPr>
          <w:rFonts w:hint="eastAsia"/>
          <w:u w:val="single"/>
          <w:lang w:val="en-US" w:eastAsia="zh-CN"/>
        </w:rPr>
        <w:t>的要求提出。试验表明，在翼缘板内钢筋满足一定构造要求的前提下，空心叠合板承受竖向荷载时，上下翼缘板内的配筋也会参与受力。因此，</w:t>
      </w:r>
      <w:r>
        <w:rPr>
          <w:rFonts w:hint="eastAsia"/>
          <w:highlight w:val="none"/>
          <w:u w:val="single"/>
          <w:lang w:val="en-US" w:eastAsia="zh-CN"/>
        </w:rPr>
        <w:t>计算最小配筋率时，除了肋梁的纵筋之外，上、下翼缘板内的钢筋也可相应计入，当然，前提是翼缘板内的钢筋满足本规程的有关构造要求。</w:t>
      </w:r>
    </w:p>
    <w:p>
      <w:pPr>
        <w:numPr>
          <w:ilvl w:val="2"/>
          <w:numId w:val="1"/>
        </w:numPr>
        <w:bidi w:val="0"/>
        <w:rPr>
          <w:rFonts w:hint="default"/>
          <w:lang w:val="en-US" w:eastAsia="zh-CN"/>
        </w:rPr>
      </w:pPr>
      <w:r>
        <w:rPr>
          <w:rFonts w:hint="default"/>
          <w:lang w:val="en-US" w:eastAsia="zh-CN"/>
        </w:rPr>
        <w:t>空心叠合板的受力钢筋应符合下列规定：</w:t>
      </w:r>
    </w:p>
    <w:p>
      <w:pPr>
        <w:numPr>
          <w:ilvl w:val="0"/>
          <w:numId w:val="6"/>
        </w:numPr>
        <w:tabs>
          <w:tab w:val="left" w:pos="397"/>
          <w:tab w:val="clear" w:pos="0"/>
        </w:tabs>
        <w:bidi w:val="0"/>
        <w:ind w:left="247" w:leftChars="0" w:hanging="247" w:firstLineChars="0"/>
        <w:rPr>
          <w:rFonts w:hint="default"/>
          <w:highlight w:val="none"/>
          <w:lang w:val="en-US" w:eastAsia="zh-CN"/>
        </w:rPr>
      </w:pPr>
      <w:r>
        <w:rPr>
          <w:rFonts w:hint="eastAsia"/>
          <w:highlight w:val="none"/>
          <w:lang w:val="en-US" w:eastAsia="zh-CN"/>
        </w:rPr>
        <w:t>空心叠合板的</w:t>
      </w:r>
      <w:r>
        <w:rPr>
          <w:rFonts w:hint="default"/>
          <w:highlight w:val="none"/>
          <w:lang w:val="en-US" w:eastAsia="zh-CN"/>
        </w:rPr>
        <w:t>受力钢筋宜集中配置在肋梁内</w:t>
      </w:r>
      <w:r>
        <w:rPr>
          <w:rFonts w:hint="eastAsia"/>
          <w:highlight w:val="none"/>
          <w:lang w:val="en-US" w:eastAsia="zh-CN"/>
        </w:rPr>
        <w:t>，</w:t>
      </w:r>
      <w:r>
        <w:rPr>
          <w:rFonts w:hint="default"/>
          <w:highlight w:val="none"/>
          <w:lang w:val="en-US" w:eastAsia="zh-CN"/>
        </w:rPr>
        <w:t>上、下翼缘</w:t>
      </w:r>
      <w:r>
        <w:rPr>
          <w:rFonts w:hint="eastAsia"/>
          <w:highlight w:val="none"/>
          <w:lang w:val="en-US" w:eastAsia="zh-CN"/>
        </w:rPr>
        <w:t>板</w:t>
      </w:r>
      <w:r>
        <w:rPr>
          <w:rFonts w:hint="default"/>
          <w:highlight w:val="none"/>
          <w:lang w:val="en-US" w:eastAsia="zh-CN"/>
        </w:rPr>
        <w:t>内配置构造钢筋</w:t>
      </w:r>
      <w:r>
        <w:rPr>
          <w:rFonts w:hint="eastAsia"/>
          <w:highlight w:val="none"/>
          <w:lang w:val="en-US" w:eastAsia="zh-CN"/>
        </w:rPr>
        <w:t>；也可采用大部分</w:t>
      </w:r>
      <w:r>
        <w:rPr>
          <w:rFonts w:hint="default"/>
          <w:highlight w:val="none"/>
          <w:lang w:val="en-US" w:eastAsia="zh-CN"/>
        </w:rPr>
        <w:t>受力钢筋集中配置在肋梁内</w:t>
      </w:r>
      <w:r>
        <w:rPr>
          <w:rFonts w:hint="eastAsia"/>
          <w:highlight w:val="none"/>
          <w:lang w:val="en-US" w:eastAsia="zh-CN"/>
        </w:rPr>
        <w:t>，其他部分配置在</w:t>
      </w:r>
      <w:r>
        <w:rPr>
          <w:rFonts w:hint="default"/>
          <w:highlight w:val="none"/>
          <w:lang w:val="en-US" w:eastAsia="zh-CN"/>
        </w:rPr>
        <w:t>上、下翼缘</w:t>
      </w:r>
      <w:r>
        <w:rPr>
          <w:rFonts w:hint="eastAsia"/>
          <w:highlight w:val="none"/>
          <w:lang w:val="en-US" w:eastAsia="zh-CN"/>
        </w:rPr>
        <w:t>板</w:t>
      </w:r>
      <w:r>
        <w:rPr>
          <w:rFonts w:hint="default"/>
          <w:highlight w:val="none"/>
          <w:lang w:val="en-US" w:eastAsia="zh-CN"/>
        </w:rPr>
        <w:t>内</w:t>
      </w:r>
      <w:r>
        <w:rPr>
          <w:rFonts w:hint="eastAsia"/>
          <w:highlight w:val="none"/>
          <w:lang w:val="en-US" w:eastAsia="zh-CN"/>
        </w:rPr>
        <w:t>的方式；上翼缘板需满足局部承受竖向荷载要求；</w:t>
      </w:r>
    </w:p>
    <w:p>
      <w:pPr>
        <w:numPr>
          <w:ilvl w:val="0"/>
          <w:numId w:val="6"/>
        </w:numPr>
        <w:tabs>
          <w:tab w:val="left" w:pos="397"/>
          <w:tab w:val="clear" w:pos="0"/>
        </w:tabs>
        <w:bidi w:val="0"/>
        <w:ind w:left="247" w:leftChars="0" w:hanging="247" w:firstLineChars="0"/>
        <w:rPr>
          <w:rFonts w:hint="default"/>
          <w:highlight w:val="none"/>
          <w:lang w:val="en-US" w:eastAsia="zh-CN"/>
        </w:rPr>
      </w:pPr>
      <w:r>
        <w:rPr>
          <w:rFonts w:hint="eastAsia"/>
          <w:highlight w:val="none"/>
          <w:lang w:val="en-US" w:eastAsia="zh-CN"/>
        </w:rPr>
        <w:t>肋梁的上、下皮钢筋均宜采用单排布置；</w:t>
      </w:r>
    </w:p>
    <w:p>
      <w:pPr>
        <w:numPr>
          <w:ilvl w:val="0"/>
          <w:numId w:val="6"/>
        </w:numPr>
        <w:tabs>
          <w:tab w:val="left" w:pos="397"/>
          <w:tab w:val="clear" w:pos="0"/>
        </w:tabs>
        <w:bidi w:val="0"/>
        <w:ind w:left="247" w:leftChars="0" w:hanging="247" w:firstLineChars="0"/>
        <w:rPr>
          <w:rFonts w:hint="default"/>
          <w:lang w:val="en-US" w:eastAsia="zh-CN"/>
        </w:rPr>
      </w:pPr>
      <w:r>
        <w:rPr>
          <w:rFonts w:hint="eastAsia"/>
          <w:lang w:val="en-US" w:eastAsia="zh-CN"/>
        </w:rPr>
        <w:t>空心叠合板的</w:t>
      </w:r>
      <w:r>
        <w:rPr>
          <w:rFonts w:hint="default"/>
          <w:lang w:val="en-US" w:eastAsia="zh-CN"/>
        </w:rPr>
        <w:t>板底主受力钢筋应布置在次受力钢筋的下侧，板</w:t>
      </w:r>
      <w:r>
        <w:rPr>
          <w:rFonts w:hint="eastAsia"/>
          <w:lang w:val="en-US" w:eastAsia="zh-CN"/>
        </w:rPr>
        <w:t>顶</w:t>
      </w:r>
      <w:r>
        <w:rPr>
          <w:rFonts w:hint="default"/>
          <w:lang w:val="en-US" w:eastAsia="zh-CN"/>
        </w:rPr>
        <w:t>主受力钢筋应布置在次受力钢筋的上侧</w:t>
      </w:r>
      <w:r>
        <w:rPr>
          <w:rFonts w:hint="eastAsia"/>
          <w:lang w:val="en-US" w:eastAsia="zh-CN"/>
        </w:rPr>
        <w:t>；</w:t>
      </w:r>
    </w:p>
    <w:p>
      <w:pPr>
        <w:numPr>
          <w:ilvl w:val="0"/>
          <w:numId w:val="6"/>
        </w:numPr>
        <w:tabs>
          <w:tab w:val="left" w:pos="397"/>
          <w:tab w:val="clear" w:pos="0"/>
        </w:tabs>
        <w:bidi w:val="0"/>
        <w:ind w:left="247" w:leftChars="0" w:hanging="247" w:firstLineChars="0"/>
        <w:rPr>
          <w:rFonts w:hint="default"/>
          <w:lang w:val="en-US" w:eastAsia="zh-CN"/>
        </w:rPr>
      </w:pPr>
      <w:r>
        <w:rPr>
          <w:rFonts w:hint="default"/>
          <w:lang w:val="en-US" w:eastAsia="zh-CN"/>
        </w:rPr>
        <w:t>肋梁</w:t>
      </w:r>
      <w:r>
        <w:rPr>
          <w:rFonts w:hint="eastAsia"/>
          <w:lang w:val="en-US" w:eastAsia="zh-CN"/>
        </w:rPr>
        <w:t>内应配置</w:t>
      </w:r>
      <w:r>
        <w:rPr>
          <w:rFonts w:hint="default"/>
          <w:lang w:val="en-US" w:eastAsia="zh-CN"/>
        </w:rPr>
        <w:t>箍筋</w:t>
      </w:r>
      <w:r>
        <w:rPr>
          <w:rFonts w:hint="eastAsia"/>
          <w:lang w:val="en-US" w:eastAsia="zh-CN"/>
        </w:rPr>
        <w:t>，并</w:t>
      </w:r>
      <w:r>
        <w:rPr>
          <w:rFonts w:hint="default"/>
          <w:lang w:val="en-US" w:eastAsia="zh-CN"/>
        </w:rPr>
        <w:t>应符合现行国家标准《混凝土结构设计规范》GB 50010的相关规定</w:t>
      </w:r>
      <w:r>
        <w:rPr>
          <w:rFonts w:hint="eastAsia"/>
          <w:lang w:val="en-US" w:eastAsia="zh-CN"/>
        </w:rPr>
        <w:t>；</w:t>
      </w:r>
    </w:p>
    <w:p>
      <w:pPr>
        <w:numPr>
          <w:ilvl w:val="0"/>
          <w:numId w:val="6"/>
        </w:numPr>
        <w:tabs>
          <w:tab w:val="left" w:pos="397"/>
          <w:tab w:val="clear" w:pos="0"/>
        </w:tabs>
        <w:bidi w:val="0"/>
        <w:ind w:left="247" w:leftChars="0" w:hanging="247" w:firstLineChars="0"/>
        <w:rPr>
          <w:rFonts w:hint="default"/>
          <w:lang w:val="en-US" w:eastAsia="zh-CN"/>
        </w:rPr>
      </w:pPr>
      <w:r>
        <w:rPr>
          <w:rFonts w:hint="default"/>
          <w:lang w:val="en-US" w:eastAsia="zh-CN"/>
        </w:rPr>
        <w:t>受力钢筋与箱型填充体的净距不得小于10mm</w:t>
      </w:r>
      <w:r>
        <w:rPr>
          <w:rFonts w:hint="eastAsia"/>
          <w:lang w:val="en-US" w:eastAsia="zh-CN"/>
        </w:rPr>
        <w:t>。</w:t>
      </w:r>
    </w:p>
    <w:p>
      <w:pPr>
        <w:pStyle w:val="20"/>
        <w:spacing w:line="360" w:lineRule="auto"/>
        <w:rPr>
          <w:rFonts w:hint="eastAsia"/>
          <w:highlight w:val="none"/>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5.5.6</w:t>
      </w:r>
      <w:r>
        <w:rPr>
          <w:rFonts w:hint="eastAsia"/>
          <w:u w:val="single"/>
          <w:lang w:val="en-US" w:eastAsia="zh-CN"/>
        </w:rPr>
        <w:t xml:space="preserve"> </w:t>
      </w:r>
      <w:r>
        <w:rPr>
          <w:rFonts w:hint="eastAsia"/>
          <w:highlight w:val="none"/>
          <w:u w:val="single"/>
          <w:lang w:val="en-US" w:eastAsia="zh-CN"/>
        </w:rPr>
        <w:t>为了做到下翼缘板的配筋标准化，下翼缘板可以采用确定的配筋，空心叠合板的主要受力钢筋宜配置在肋梁内。空心叠合板的厚度有限，再加上双向交叉的肋梁，所以，本规程规定肋梁的纵筋宜采用单排布置；如果肋梁的配筋太大而单排布置放不开时，也可以适当增加上下翼缘板的配筋从而减少肋梁的配筋。</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highlight w:val="none"/>
          <w:u w:val="single"/>
          <w:lang w:val="en-US" w:eastAsia="zh-CN"/>
        </w:rPr>
      </w:pPr>
      <w:r>
        <w:rPr>
          <w:rFonts w:hint="eastAsia"/>
          <w:highlight w:val="none"/>
          <w:u w:val="single"/>
          <w:lang w:val="en-US" w:eastAsia="zh-CN"/>
        </w:rPr>
        <w:t>空心叠合板内部为封闭的空腔，钢筋与箱型填充体之间的混凝土保护层厚度可以适当减小，但不允许小</w:t>
      </w:r>
      <w:r>
        <w:rPr>
          <w:rFonts w:hint="default" w:ascii="Times New Roman" w:hAnsi="Times New Roman" w:cs="Times New Roman"/>
          <w:highlight w:val="none"/>
          <w:u w:val="single"/>
          <w:lang w:val="en-US" w:eastAsia="zh-CN"/>
        </w:rPr>
        <w:t>于10mm。</w:t>
      </w:r>
    </w:p>
    <w:p>
      <w:pPr>
        <w:numPr>
          <w:ilvl w:val="2"/>
          <w:numId w:val="1"/>
        </w:numPr>
        <w:bidi w:val="0"/>
        <w:spacing w:line="360" w:lineRule="auto"/>
        <w:rPr>
          <w:rFonts w:hint="default"/>
          <w:lang w:val="en-US" w:eastAsia="zh-CN"/>
        </w:rPr>
      </w:pPr>
      <w:r>
        <w:rPr>
          <w:rFonts w:hint="eastAsia"/>
          <w:lang w:val="en-US" w:eastAsia="zh-CN"/>
        </w:rPr>
        <w:t>上、下翼缘板的配筋应按各自厚度满足最小配筋率要求。当上翼缘板厚度小于80mm时，上翼缘板宜配置单层双向钢筋网，并宜布置在板的上皮；当上翼缘板厚度不小于80mm时宜配置双层双向钢筋网。下翼缘板宜配置单层双向钢筋网并宜布置在板的下皮。钢筋直径不宜小于</w:t>
      </w:r>
      <w:bookmarkStart w:id="35" w:name="OLE_LINK2"/>
      <w:r>
        <w:rPr>
          <w:rFonts w:hint="eastAsia"/>
          <w:lang w:val="en-US" w:eastAsia="zh-CN"/>
        </w:rPr>
        <w:t>φ</w:t>
      </w:r>
      <w:bookmarkEnd w:id="35"/>
      <w:r>
        <w:rPr>
          <w:rFonts w:hint="eastAsia"/>
          <w:lang w:val="en-US" w:eastAsia="zh-CN"/>
        </w:rPr>
        <w:t>6，</w:t>
      </w:r>
      <w:r>
        <w:rPr>
          <w:rFonts w:hint="eastAsia"/>
          <w:highlight w:val="none"/>
          <w:lang w:val="en-US" w:eastAsia="zh-CN"/>
        </w:rPr>
        <w:t>上翼缘板钢筋间距不宜大于200mm，下翼缘板钢筋间距不宜大于125mm。</w:t>
      </w:r>
    </w:p>
    <w:p>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5.5.7</w:t>
      </w:r>
      <w:r>
        <w:rPr>
          <w:rFonts w:hint="eastAsia"/>
          <w:highlight w:val="none"/>
          <w:u w:val="single"/>
          <w:lang w:val="en-US" w:eastAsia="zh-CN"/>
        </w:rPr>
        <w:t xml:space="preserve"> </w:t>
      </w:r>
      <w:r>
        <w:rPr>
          <w:rFonts w:hint="default" w:ascii="Times New Roman" w:hAnsi="Times New Roman" w:cs="Times New Roman"/>
          <w:highlight w:val="none"/>
          <w:u w:val="single"/>
          <w:lang w:val="en-US" w:eastAsia="zh-CN"/>
        </w:rPr>
        <w:t>下翼缘板钢筋间距不宜大于100mm，参考本</w:t>
      </w:r>
      <w:r>
        <w:rPr>
          <w:rFonts w:hint="eastAsia" w:ascii="Times New Roman" w:hAnsi="Times New Roman" w:cs="Times New Roman"/>
          <w:highlight w:val="none"/>
          <w:u w:val="single"/>
          <w:lang w:val="en-US" w:eastAsia="zh-CN"/>
        </w:rPr>
        <w:t>规程</w:t>
      </w:r>
      <w:r>
        <w:rPr>
          <w:rFonts w:hint="default" w:ascii="Times New Roman" w:hAnsi="Times New Roman" w:cs="Times New Roman"/>
          <w:highlight w:val="none"/>
          <w:u w:val="single"/>
          <w:lang w:val="en-US" w:eastAsia="zh-CN"/>
        </w:rPr>
        <w:t>5.6.6条的规定提出。边肋键槽与外伸钢筋的间距均不宜大于125mm，与本</w:t>
      </w:r>
      <w:r>
        <w:rPr>
          <w:rFonts w:hint="eastAsia" w:ascii="Times New Roman" w:hAnsi="Times New Roman" w:cs="Times New Roman"/>
          <w:highlight w:val="none"/>
          <w:u w:val="single"/>
          <w:lang w:val="en-US" w:eastAsia="zh-CN"/>
        </w:rPr>
        <w:t>规程</w:t>
      </w:r>
      <w:r>
        <w:rPr>
          <w:rFonts w:hint="default" w:ascii="Times New Roman" w:hAnsi="Times New Roman" w:cs="Times New Roman"/>
          <w:highlight w:val="none"/>
          <w:u w:val="single"/>
          <w:lang w:val="en-US" w:eastAsia="zh-CN"/>
        </w:rPr>
        <w:t>5.6.6条中边肋键槽的间距相吻合。</w:t>
      </w:r>
      <w:r>
        <w:rPr>
          <w:rFonts w:hint="default" w:ascii="Times New Roman" w:hAnsi="Times New Roman" w:cs="Times New Roman"/>
          <w:u w:val="single"/>
          <w:lang w:val="en-US" w:eastAsia="zh-CN"/>
        </w:rPr>
        <w:t>下翼缘板钢筋网布置在板的下皮，更利于空心叠合板的受力，提高空心叠合板的抗弯性能。</w:t>
      </w:r>
    </w:p>
    <w:p>
      <w:pPr>
        <w:numPr>
          <w:ilvl w:val="2"/>
          <w:numId w:val="1"/>
        </w:numPr>
        <w:bidi w:val="0"/>
        <w:rPr>
          <w:rFonts w:hint="eastAsia"/>
          <w:lang w:val="en-US" w:eastAsia="zh-CN"/>
        </w:rPr>
      </w:pPr>
      <w:r>
        <w:rPr>
          <w:rFonts w:hint="eastAsia"/>
          <w:lang w:val="en-US" w:eastAsia="zh-CN"/>
        </w:rPr>
        <w:t>空心叠合板需要开洞时，洞口宜布置在肋梁之间的范围内，当必须跨越肋梁时，宜保证肋梁完整。洞口的尺寸、加强应符合国家现行标准</w:t>
      </w:r>
      <w:r>
        <w:rPr>
          <w:rFonts w:hint="default"/>
          <w:lang w:val="en-US" w:eastAsia="zh-CN"/>
        </w:rPr>
        <w:t>《混凝土结构设计规范》GB</w:t>
      </w:r>
      <w:r>
        <w:rPr>
          <w:rFonts w:hint="eastAsia"/>
          <w:lang w:val="en-US" w:eastAsia="zh-CN"/>
        </w:rPr>
        <w:t xml:space="preserve"> </w:t>
      </w:r>
      <w:r>
        <w:rPr>
          <w:rFonts w:hint="default"/>
          <w:lang w:val="en-US" w:eastAsia="zh-CN"/>
        </w:rPr>
        <w:t>50010</w:t>
      </w:r>
      <w:r>
        <w:rPr>
          <w:rFonts w:hint="eastAsia"/>
          <w:lang w:val="en-US" w:eastAsia="zh-CN"/>
        </w:rPr>
        <w:t>、《高层建筑混凝上结构技术规程》JGJ 3的有关规定，其配筋应按开孔板的内力计算确定并应满足下列规定：</w:t>
      </w:r>
    </w:p>
    <w:p>
      <w:pPr>
        <w:numPr>
          <w:ilvl w:val="0"/>
          <w:numId w:val="7"/>
        </w:numPr>
        <w:tabs>
          <w:tab w:val="left" w:pos="397"/>
          <w:tab w:val="clear" w:pos="0"/>
        </w:tabs>
        <w:bidi w:val="0"/>
        <w:ind w:left="247" w:leftChars="0" w:hanging="247" w:firstLineChars="0"/>
        <w:rPr>
          <w:rFonts w:hint="eastAsia"/>
          <w:lang w:val="en-US" w:eastAsia="zh-CN"/>
        </w:rPr>
      </w:pPr>
      <w:r>
        <w:rPr>
          <w:rFonts w:hint="eastAsia"/>
          <w:lang w:val="en-US" w:eastAsia="zh-CN"/>
        </w:rPr>
        <w:t>当洞口尺寸不大于300mm或不大于板厚时，钢筋绕过洞口即可；</w:t>
      </w:r>
    </w:p>
    <w:p>
      <w:pPr>
        <w:numPr>
          <w:ilvl w:val="0"/>
          <w:numId w:val="7"/>
        </w:numPr>
        <w:tabs>
          <w:tab w:val="left" w:pos="397"/>
          <w:tab w:val="clear" w:pos="0"/>
        </w:tabs>
        <w:bidi w:val="0"/>
        <w:ind w:left="247" w:leftChars="0" w:hanging="247" w:firstLineChars="0"/>
        <w:rPr>
          <w:rFonts w:hint="eastAsia"/>
          <w:lang w:val="en-US" w:eastAsia="zh-CN"/>
        </w:rPr>
      </w:pPr>
      <w:r>
        <w:rPr>
          <w:rFonts w:hint="eastAsia"/>
          <w:lang w:val="en-US" w:eastAsia="zh-CN"/>
        </w:rPr>
        <w:t>当洞口尺寸大于300mm并大于板厚时，洞口周边应布置补偿钢筋，每个方向的补偿钢筋面积不应小于该方向被切断钢筋的面积。</w:t>
      </w:r>
    </w:p>
    <w:p>
      <w:pPr>
        <w:numPr>
          <w:ilvl w:val="2"/>
          <w:numId w:val="1"/>
        </w:numPr>
        <w:bidi w:val="0"/>
        <w:rPr>
          <w:rFonts w:hint="eastAsia"/>
          <w:lang w:val="en-US" w:eastAsia="zh-CN"/>
        </w:rPr>
      </w:pPr>
      <w:r>
        <w:rPr>
          <w:rFonts w:hint="eastAsia"/>
          <w:lang w:val="en-US" w:eastAsia="zh-CN"/>
        </w:rPr>
        <w:t>当空心叠合板下需要吊挂时，吊点宜布置在肋梁内，当布置在下翼缘板时应验算吊挂的承载力。</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5.5.9</w:t>
      </w:r>
      <w:r>
        <w:rPr>
          <w:rFonts w:hint="eastAsia"/>
          <w:u w:val="single"/>
          <w:lang w:val="en-US" w:eastAsia="zh-CN"/>
        </w:rPr>
        <w:t xml:space="preserve"> 下翼缘板厚度较薄，吊挂承载能力有限，吊挂的吊点宜布置在肋梁内，吊挂在下翼缘板上应验算吊挂的承载力。</w:t>
      </w:r>
    </w:p>
    <w:p>
      <w:pPr>
        <w:numPr>
          <w:ilvl w:val="2"/>
          <w:numId w:val="1"/>
        </w:numPr>
        <w:bidi w:val="0"/>
        <w:rPr>
          <w:rFonts w:hint="eastAsia"/>
          <w:lang w:val="en-US" w:eastAsia="zh-CN"/>
        </w:rPr>
      </w:pPr>
      <w:r>
        <w:rPr>
          <w:rFonts w:hint="eastAsia"/>
          <w:lang w:val="en-US" w:eastAsia="zh-CN"/>
        </w:rPr>
        <w:t>由于结构超长或其他原因需要留设施工后浇带时，可采用相邻两道同向后浇肋梁间（肋梁间距不小于1000mm）的后浇混凝土浇筑时间满足施工后浇带要求的方式。</w:t>
      </w:r>
    </w:p>
    <w:p>
      <w:pPr>
        <w:pStyle w:val="20"/>
        <w:jc w:val="center"/>
      </w:pPr>
      <w:r>
        <w:drawing>
          <wp:inline distT="0" distB="0" distL="114300" distR="114300">
            <wp:extent cx="2604135" cy="1381125"/>
            <wp:effectExtent l="0" t="0" r="5715" b="952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1"/>
                    <a:stretch>
                      <a:fillRect/>
                    </a:stretch>
                  </pic:blipFill>
                  <pic:spPr>
                    <a:xfrm>
                      <a:off x="0" y="0"/>
                      <a:ext cx="2604135" cy="138112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lang w:val="en-US" w:eastAsia="zh-CN"/>
        </w:rPr>
      </w:pPr>
      <w:r>
        <w:rPr>
          <w:rFonts w:hint="eastAsia"/>
          <w:lang w:val="en-US" w:eastAsia="zh-CN"/>
        </w:rPr>
        <w:t>图5.5.10 空心叠合板施工后浇带构造</w:t>
      </w:r>
    </w:p>
    <w:p>
      <w:pPr>
        <w:pStyle w:val="21"/>
        <w:bidi w:val="0"/>
        <w:jc w:val="center"/>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heme="minorBidi"/>
          <w:kern w:val="2"/>
          <w:sz w:val="21"/>
          <w:szCs w:val="21"/>
          <w:lang w:val="en-US" w:eastAsia="zh-CN" w:bidi="ar-SA"/>
        </w:rPr>
        <w:t>1—</w:t>
      </w:r>
      <w:r>
        <w:rPr>
          <w:rFonts w:hint="eastAsia" w:cstheme="minorBidi"/>
          <w:kern w:val="2"/>
          <w:sz w:val="21"/>
          <w:szCs w:val="21"/>
          <w:lang w:val="en-US" w:eastAsia="zh-CN" w:bidi="ar-SA"/>
        </w:rPr>
        <w:t>后浇肋梁</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叠合肋梁；3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后浇带后浇混凝土</w:t>
      </w:r>
    </w:p>
    <w:p>
      <w:pPr>
        <w:pStyle w:val="21"/>
        <w:bidi w:val="0"/>
        <w:ind w:left="0" w:leftChars="0" w:firstLine="0" w:firstLineChars="0"/>
        <w:rPr>
          <w:rFonts w:hint="default"/>
          <w:u w:val="single"/>
          <w:lang w:val="en-US" w:eastAsia="zh-CN"/>
        </w:rPr>
      </w:pPr>
      <w:r>
        <w:rPr>
          <w:rFonts w:hint="eastAsia"/>
          <w:u w:val="single"/>
          <w:lang w:val="en-US" w:eastAsia="zh-CN"/>
        </w:rPr>
        <w:t>【条文说明】5.5.10 相邻两道同向后浇肋梁之间的距离一般不小于1000mm，预制底板的混凝土前期收缩大部已经完成，空心叠合板上部后浇混凝土的浇筑时间满足施工后浇带的浇筑时间要求的话，一般可以作为解决施工后浇带的一种方式。</w:t>
      </w:r>
    </w:p>
    <w:p>
      <w:pPr>
        <w:pStyle w:val="4"/>
        <w:bidi w:val="0"/>
        <w:ind w:left="0" w:leftChars="0" w:firstLine="0" w:firstLineChars="0"/>
        <w:outlineLvl w:val="1"/>
        <w:rPr>
          <w:rFonts w:hint="default"/>
          <w:lang w:val="en-US" w:eastAsia="zh-CN"/>
        </w:rPr>
      </w:pPr>
      <w:bookmarkStart w:id="36" w:name="_Toc3935"/>
      <w:r>
        <w:rPr>
          <w:rFonts w:hint="eastAsia"/>
          <w:lang w:val="en-US" w:eastAsia="zh-CN"/>
        </w:rPr>
        <w:t>预制底板</w:t>
      </w:r>
      <w:r>
        <w:rPr>
          <w:rFonts w:hint="default"/>
          <w:lang w:val="en-US" w:eastAsia="zh-CN"/>
        </w:rPr>
        <w:t>构造</w:t>
      </w:r>
      <w:r>
        <w:rPr>
          <w:rFonts w:hint="eastAsia"/>
          <w:lang w:val="en-US" w:eastAsia="zh-CN"/>
        </w:rPr>
        <w:t>要求</w:t>
      </w:r>
      <w:bookmarkEnd w:id="36"/>
    </w:p>
    <w:p>
      <w:pPr>
        <w:numPr>
          <w:ilvl w:val="2"/>
          <w:numId w:val="1"/>
        </w:numPr>
        <w:bidi w:val="0"/>
        <w:rPr>
          <w:rFonts w:hint="default" w:ascii="宋体" w:hAnsi="宋体" w:eastAsia="宋体" w:cs="Times New Roman"/>
          <w:color w:val="000000"/>
          <w:kern w:val="0"/>
          <w:sz w:val="24"/>
          <w:szCs w:val="22"/>
          <w:lang w:val="en-US" w:eastAsia="zh-CN" w:bidi="ar-SA"/>
        </w:rPr>
      </w:pPr>
      <w:r>
        <w:rPr>
          <w:rFonts w:hint="default" w:ascii="Times New Roman" w:hAnsi="Times New Roman" w:eastAsia="宋体" w:cs="Times New Roman"/>
          <w:color w:val="000000"/>
          <w:kern w:val="0"/>
          <w:sz w:val="24"/>
          <w:szCs w:val="22"/>
          <w:lang w:val="en-US" w:eastAsia="zh-CN" w:bidi="ar-SA"/>
        </w:rPr>
        <w:t>预制底板</w:t>
      </w:r>
      <w:r>
        <w:rPr>
          <w:rFonts w:hint="default" w:ascii="Times New Roman" w:hAnsi="Times New Roman" w:eastAsia="宋体" w:cs="Times New Roman"/>
          <w:strike w:val="0"/>
          <w:dstrike w:val="0"/>
          <w:color w:val="000000"/>
          <w:kern w:val="0"/>
          <w:sz w:val="24"/>
          <w:szCs w:val="22"/>
          <w:lang w:val="en-US" w:eastAsia="zh-CN" w:bidi="ar-SA"/>
        </w:rPr>
        <w:t>的下翼缘板</w:t>
      </w:r>
      <w:r>
        <w:rPr>
          <w:rFonts w:hint="default" w:ascii="Times New Roman" w:hAnsi="Times New Roman" w:eastAsia="宋体" w:cs="Times New Roman"/>
          <w:color w:val="000000"/>
          <w:kern w:val="0"/>
          <w:sz w:val="24"/>
          <w:szCs w:val="22"/>
          <w:lang w:val="en-US" w:eastAsia="zh-CN" w:bidi="ar-SA"/>
        </w:rPr>
        <w:t>宜沿每个区格周边向上加腋形成边肋，边肋的高度不宜小于90mm，边肋的顶部宽度不宜小于30mm</w:t>
      </w:r>
      <w:r>
        <w:rPr>
          <w:rFonts w:hint="eastAsia" w:ascii="宋体" w:hAnsi="宋体" w:eastAsia="宋体" w:cs="Times New Roman"/>
          <w:color w:val="000000"/>
          <w:kern w:val="0"/>
          <w:sz w:val="24"/>
          <w:szCs w:val="22"/>
          <w:lang w:val="en-US" w:eastAsia="zh-CN" w:bidi="ar-SA"/>
        </w:rPr>
        <w:t>。</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5.6.1</w:t>
      </w:r>
      <w:r>
        <w:rPr>
          <w:rFonts w:hint="eastAsia"/>
          <w:u w:val="single"/>
          <w:lang w:val="en-US" w:eastAsia="zh-CN"/>
        </w:rPr>
        <w:t xml:space="preserve"> 下翼缘板周边向上加腋，可以增加预制底板的刚度，防止预制底板的下翼缘板部分在脱模、翻转、</w:t>
      </w:r>
      <w:r>
        <w:rPr>
          <w:rFonts w:hint="default"/>
          <w:u w:val="single"/>
          <w:lang w:val="en-US" w:eastAsia="zh-CN"/>
        </w:rPr>
        <w:t>吊运、堆放、运输、安装及混凝土浇筑阶段</w:t>
      </w:r>
      <w:r>
        <w:rPr>
          <w:rFonts w:hint="eastAsia"/>
          <w:u w:val="single"/>
          <w:lang w:val="en-US" w:eastAsia="zh-CN"/>
        </w:rPr>
        <w:t>出现受力或变形问题。</w:t>
      </w:r>
    </w:p>
    <w:p>
      <w:pPr>
        <w:numPr>
          <w:ilvl w:val="2"/>
          <w:numId w:val="1"/>
        </w:numPr>
        <w:bidi w:val="0"/>
        <w:rPr>
          <w:rFonts w:hint="default"/>
          <w:lang w:val="en-US" w:eastAsia="zh-CN"/>
        </w:rPr>
      </w:pPr>
      <w:r>
        <w:rPr>
          <w:rFonts w:hint="eastAsia"/>
          <w:lang w:val="en-US" w:eastAsia="zh-CN"/>
        </w:rPr>
        <w:t>预制底板叠合肋梁的预制部分高度不宜小于150mm。</w:t>
      </w:r>
    </w:p>
    <w:p>
      <w:pPr>
        <w:numPr>
          <w:ilvl w:val="2"/>
          <w:numId w:val="1"/>
        </w:numPr>
        <w:bidi w:val="0"/>
        <w:rPr>
          <w:rFonts w:hint="default"/>
          <w:lang w:val="en-US" w:eastAsia="zh-CN"/>
        </w:rPr>
      </w:pPr>
      <w:r>
        <w:rPr>
          <w:rFonts w:hint="default"/>
          <w:lang w:val="en-US" w:eastAsia="zh-CN"/>
        </w:rPr>
        <w:t>预制底板钢筋的</w:t>
      </w:r>
      <w:r>
        <w:rPr>
          <w:rFonts w:hint="eastAsia"/>
          <w:lang w:val="en-US" w:eastAsia="zh-CN"/>
        </w:rPr>
        <w:t>混凝土</w:t>
      </w:r>
      <w:r>
        <w:rPr>
          <w:rFonts w:hint="default"/>
          <w:lang w:val="en-US" w:eastAsia="zh-CN"/>
        </w:rPr>
        <w:t>保护层厚度应符合现行国家标准《混凝土结构设计规范》GB 50010</w:t>
      </w:r>
      <w:r>
        <w:rPr>
          <w:rFonts w:hint="eastAsia"/>
          <w:lang w:val="en-US" w:eastAsia="zh-CN"/>
        </w:rPr>
        <w:t>关于板</w:t>
      </w:r>
      <w:r>
        <w:rPr>
          <w:rFonts w:hint="default"/>
          <w:lang w:val="en-US" w:eastAsia="zh-CN"/>
        </w:rPr>
        <w:t>的有关规定。</w:t>
      </w:r>
    </w:p>
    <w:p>
      <w:pPr>
        <w:numPr>
          <w:ilvl w:val="2"/>
          <w:numId w:val="1"/>
        </w:numPr>
        <w:bidi w:val="0"/>
        <w:rPr>
          <w:rFonts w:hint="default"/>
          <w:lang w:val="en-US" w:eastAsia="zh-CN"/>
        </w:rPr>
      </w:pPr>
      <w:r>
        <w:rPr>
          <w:rFonts w:hint="eastAsia"/>
          <w:lang w:val="en-US" w:eastAsia="zh-CN"/>
        </w:rPr>
        <w:t>预制底板下翼缘板</w:t>
      </w:r>
      <w:r>
        <w:rPr>
          <w:rFonts w:hint="default"/>
          <w:lang w:val="en-US" w:eastAsia="zh-CN"/>
        </w:rPr>
        <w:t>的纵向钢筋宜采用钢筋焊接网。当采用钢筋焊接网时，应符合现行行业标准《钢筋焊接网混凝土结构技术规程》JGJ 114的规定。</w:t>
      </w:r>
    </w:p>
    <w:p>
      <w:pPr>
        <w:numPr>
          <w:ilvl w:val="2"/>
          <w:numId w:val="1"/>
        </w:numPr>
        <w:bidi w:val="0"/>
        <w:rPr>
          <w:rFonts w:hint="default"/>
          <w:highlight w:val="none"/>
          <w:lang w:val="en-US" w:eastAsia="zh-CN"/>
        </w:rPr>
      </w:pPr>
      <w:r>
        <w:rPr>
          <w:rFonts w:hint="eastAsia"/>
          <w:highlight w:val="none"/>
          <w:lang w:val="en-US" w:eastAsia="zh-CN"/>
        </w:rPr>
        <w:t>预制底板下翼缘板外伸钢筋端部宜设接近90°弯钩，弯钩平直段长度不小于12d，水平投影长度不宜小于la；叠合肋梁下部纵筋伸出长度宜伸至后浇肋梁中心线-3mm。</w:t>
      </w:r>
    </w:p>
    <w:p>
      <w:pPr>
        <w:keepNext w:val="0"/>
        <w:keepLines w:val="0"/>
        <w:widowControl/>
        <w:suppressLineNumbers w:val="0"/>
        <w:jc w:val="left"/>
        <w:rPr>
          <w:rFonts w:hint="eastAsia"/>
          <w:u w:val="single"/>
          <w:lang w:val="en-US" w:eastAsia="zh-CN"/>
        </w:rPr>
      </w:pPr>
      <w:r>
        <w:rPr>
          <w:rFonts w:hint="eastAsia"/>
          <w:u w:val="single"/>
          <w:lang w:val="en-US" w:eastAsia="zh-CN"/>
        </w:rPr>
        <w:t>【条文说明】5.6.5 现行行业标准《装配箱混凝土空心楼盖结构技术规程》JGJT 207-2010第6.2.3条规定，“底板必须配有外伸钢筋，应伸入现浇肋梁内，其水平投影长度不应小于0.4la，并宜将钢筋端部弯折勾住肋梁纵向钢筋，端部弯起部分的竖直投影长度不宜小于5d”。6.2.3条条文说明：“为加强现浇肋梁与箱体的整体连接、共同受力，锚入肋梁内的钢筋端部宜弯折并勾住肋梁纵筋，以使钢筋弯折部分更好地起到销栓作用。从试验结果来看，外伸钢筋的错固长度满足本条规定时，可充分发挥其受拉强度，未发生钢筋拔出或粘结破坏，保证楼盖的整体性”。</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u w:val="single"/>
          <w:lang w:val="en-US" w:eastAsia="zh-CN"/>
        </w:rPr>
      </w:pPr>
      <w:r>
        <w:rPr>
          <w:rFonts w:hint="default" w:ascii="Times New Roman" w:hAnsi="Times New Roman" w:eastAsia="宋体" w:cs="Times New Roman"/>
          <w:color w:val="auto"/>
          <w:kern w:val="2"/>
          <w:sz w:val="24"/>
          <w:szCs w:val="24"/>
          <w:u w:val="single"/>
          <w:lang w:val="en-US" w:eastAsia="zh-CN" w:bidi="ar-SA"/>
        </w:rPr>
        <w:t>东南大学进行的足尺空心叠合楼盖加载试验，</w:t>
      </w:r>
      <w:r>
        <w:rPr>
          <w:rFonts w:hint="default" w:ascii="Times New Roman" w:hAnsi="Times New Roman" w:cs="Times New Roman"/>
          <w:color w:val="auto"/>
          <w:kern w:val="2"/>
          <w:sz w:val="24"/>
          <w:szCs w:val="24"/>
          <w:u w:val="single"/>
          <w:lang w:val="en-US" w:eastAsia="zh-CN" w:bidi="ar-SA"/>
        </w:rPr>
        <w:t>预制底板下翼缘板外伸钢筋在后浇肋梁内的连接完全按照</w:t>
      </w:r>
      <w:r>
        <w:rPr>
          <w:rFonts w:hint="default" w:ascii="Times New Roman" w:hAnsi="Times New Roman" w:cs="Times New Roman"/>
          <w:u w:val="single"/>
          <w:lang w:val="en-US" w:eastAsia="zh-CN"/>
        </w:rPr>
        <w:t>现行行业标准《装配箱混凝土空心楼盖结构技术规程》JGJT 207-2010第6.2.3条规定的做法，即：钢筋端部弯折勾住肋梁远端纵向钢筋，端部弯起部分的竖直投影长度5d；具体试验条件：混凝土强度等级C30，钢筋采用HRB400级，下翼缘板钢筋直径6mm，后浇肋梁宽度200mm，下翼缘板钢筋在后浇肋梁内的长度（至弯钩处）大致为180mm、30d。部分试验结果如下：</w:t>
      </w:r>
      <w:r>
        <w:rPr>
          <w:rFonts w:hint="default" w:ascii="Times New Roman" w:hAnsi="Times New Roman" w:eastAsia="宋体" w:cs="Times New Roman"/>
          <w:color w:val="auto"/>
          <w:kern w:val="2"/>
          <w:sz w:val="24"/>
          <w:szCs w:val="24"/>
          <w:u w:val="single"/>
          <w:lang w:val="en-US" w:eastAsia="zh-CN" w:bidi="ar-SA"/>
        </w:rPr>
        <w:t>图一表示的钢筋应变片布置图，图二表示的是底部构造钢筋与纵向受力钢筋应变对比图。图中表明，靠近跨中处预制底板下翼缘板的胡子筋S69的钢筋应变与距离较近的跨中</w:t>
      </w:r>
      <w:r>
        <w:rPr>
          <w:rFonts w:hint="default" w:ascii="Times New Roman" w:hAnsi="Times New Roman" w:cs="Times New Roman"/>
          <w:color w:val="auto"/>
          <w:kern w:val="2"/>
          <w:sz w:val="24"/>
          <w:szCs w:val="24"/>
          <w:u w:val="single"/>
          <w:lang w:val="en-US" w:eastAsia="zh-CN" w:bidi="ar-SA"/>
        </w:rPr>
        <w:t>接缝</w:t>
      </w:r>
      <w:r>
        <w:rPr>
          <w:rFonts w:hint="default" w:ascii="Times New Roman" w:hAnsi="Times New Roman" w:eastAsia="宋体" w:cs="Times New Roman"/>
          <w:color w:val="auto"/>
          <w:kern w:val="2"/>
          <w:sz w:val="24"/>
          <w:szCs w:val="24"/>
          <w:u w:val="single"/>
          <w:lang w:val="en-US" w:eastAsia="zh-CN" w:bidi="ar-SA"/>
        </w:rPr>
        <w:t>纵筋S25的钢筋应变比较接近。表明预制底板下翼缘板的胡子筋与肋梁内的纵向钢筋同步受力，并且即使加载到了空心叠合板的极限荷载，胡子筋的钢筋应变一直平稳发展，没有突变现象，表明胡子筋没有从混凝土内脱出，还在正常受力。由此也表明参考采取的胡子筋伸到肋梁远端</w:t>
      </w:r>
      <w:r>
        <w:rPr>
          <w:rFonts w:hint="default" w:ascii="Times New Roman" w:hAnsi="Times New Roman" w:cs="Times New Roman"/>
          <w:color w:val="auto"/>
          <w:kern w:val="2"/>
          <w:sz w:val="24"/>
          <w:szCs w:val="24"/>
          <w:u w:val="single"/>
          <w:lang w:val="en-US" w:eastAsia="zh-CN" w:bidi="ar-SA"/>
        </w:rPr>
        <w:t>勾住肋梁远端</w:t>
      </w:r>
      <w:r>
        <w:rPr>
          <w:rFonts w:hint="default" w:ascii="Times New Roman" w:hAnsi="Times New Roman" w:eastAsia="宋体" w:cs="Times New Roman"/>
          <w:color w:val="auto"/>
          <w:kern w:val="2"/>
          <w:sz w:val="24"/>
          <w:szCs w:val="24"/>
          <w:u w:val="single"/>
          <w:lang w:val="en-US" w:eastAsia="zh-CN" w:bidi="ar-SA"/>
        </w:rPr>
        <w:t>纵筋</w:t>
      </w:r>
      <w:r>
        <w:rPr>
          <w:rFonts w:hint="default" w:ascii="Times New Roman" w:hAnsi="Times New Roman" w:cs="Times New Roman"/>
          <w:color w:val="auto"/>
          <w:kern w:val="2"/>
          <w:sz w:val="24"/>
          <w:szCs w:val="24"/>
          <w:u w:val="single"/>
          <w:lang w:val="en-US" w:eastAsia="zh-CN" w:bidi="ar-SA"/>
        </w:rPr>
        <w:t>并</w:t>
      </w:r>
      <w:r>
        <w:rPr>
          <w:rFonts w:hint="default" w:ascii="Times New Roman" w:hAnsi="Times New Roman" w:eastAsia="宋体" w:cs="Times New Roman"/>
          <w:color w:val="auto"/>
          <w:kern w:val="2"/>
          <w:sz w:val="24"/>
          <w:szCs w:val="24"/>
          <w:u w:val="single"/>
          <w:lang w:val="en-US" w:eastAsia="zh-CN" w:bidi="ar-SA"/>
        </w:rPr>
        <w:t>向上弯折90°的做法有效，保证了空心叠合板的整体受力性能</w:t>
      </w:r>
      <w:r>
        <w:rPr>
          <w:rFonts w:hint="eastAsia" w:ascii="Times New Roman" w:hAnsi="Times New Roman" w:eastAsia="宋体" w:cstheme="minorBidi"/>
          <w:color w:val="auto"/>
          <w:kern w:val="2"/>
          <w:sz w:val="24"/>
          <w:szCs w:val="24"/>
          <w:u w:val="single"/>
          <w:lang w:val="en-US" w:eastAsia="zh-CN" w:bidi="ar-SA"/>
        </w:rPr>
        <w:t>。</w:t>
      </w:r>
    </w:p>
    <w:p>
      <w:pPr>
        <w:pStyle w:val="21"/>
        <w:bidi w:val="0"/>
        <w:ind w:left="0" w:leftChars="0" w:firstLine="0" w:firstLineChars="0"/>
        <w:jc w:val="center"/>
        <w:rPr>
          <w:u w:val="single"/>
        </w:rPr>
      </w:pPr>
      <w:r>
        <w:rPr>
          <w:u w:val="single"/>
        </w:rPr>
        <w:drawing>
          <wp:inline distT="0" distB="0" distL="114300" distR="114300">
            <wp:extent cx="2673350" cy="2589530"/>
            <wp:effectExtent l="0" t="0" r="12700" b="127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22"/>
                    <a:stretch>
                      <a:fillRect/>
                    </a:stretch>
                  </pic:blipFill>
                  <pic:spPr>
                    <a:xfrm>
                      <a:off x="0" y="0"/>
                      <a:ext cx="2673350" cy="2589530"/>
                    </a:xfrm>
                    <a:prstGeom prst="rect">
                      <a:avLst/>
                    </a:prstGeom>
                    <a:noFill/>
                    <a:ln>
                      <a:noFill/>
                    </a:ln>
                  </pic:spPr>
                </pic:pic>
              </a:graphicData>
            </a:graphic>
          </wp:inline>
        </w:drawing>
      </w:r>
    </w:p>
    <w:p>
      <w:pPr>
        <w:pStyle w:val="21"/>
        <w:bidi w:val="0"/>
        <w:ind w:left="0" w:leftChars="0" w:firstLine="0" w:firstLineChars="0"/>
        <w:jc w:val="center"/>
        <w:rPr>
          <w:rFonts w:hint="default" w:eastAsia="宋体"/>
          <w:u w:val="single"/>
          <w:lang w:val="en-US" w:eastAsia="zh-CN"/>
        </w:rPr>
      </w:pPr>
      <w:r>
        <w:rPr>
          <w:rFonts w:hint="eastAsia"/>
          <w:u w:val="single"/>
          <w:lang w:val="en-US" w:eastAsia="zh-CN"/>
        </w:rPr>
        <w:t>图一 东南大学足尺试验钢筋应变片布置图</w:t>
      </w:r>
    </w:p>
    <w:p>
      <w:pPr>
        <w:pStyle w:val="21"/>
        <w:bidi w:val="0"/>
        <w:ind w:left="0" w:leftChars="0" w:firstLine="0" w:firstLineChars="0"/>
        <w:jc w:val="center"/>
        <w:rPr>
          <w:u w:val="single"/>
        </w:rPr>
      </w:pPr>
      <w:r>
        <w:rPr>
          <w:u w:val="single"/>
        </w:rPr>
        <w:drawing>
          <wp:inline distT="0" distB="0" distL="114300" distR="114300">
            <wp:extent cx="3111500" cy="2552065"/>
            <wp:effectExtent l="0" t="0" r="12700" b="635"/>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3"/>
                    <a:srcRect r="395" b="12412"/>
                    <a:stretch>
                      <a:fillRect/>
                    </a:stretch>
                  </pic:blipFill>
                  <pic:spPr>
                    <a:xfrm>
                      <a:off x="0" y="0"/>
                      <a:ext cx="3111500" cy="2552065"/>
                    </a:xfrm>
                    <a:prstGeom prst="rect">
                      <a:avLst/>
                    </a:prstGeom>
                    <a:noFill/>
                    <a:ln>
                      <a:noFill/>
                    </a:ln>
                  </pic:spPr>
                </pic:pic>
              </a:graphicData>
            </a:graphic>
          </wp:inline>
        </w:drawing>
      </w:r>
    </w:p>
    <w:p>
      <w:pPr>
        <w:pStyle w:val="21"/>
        <w:bidi w:val="0"/>
        <w:ind w:left="0" w:leftChars="0" w:firstLine="0" w:firstLineChars="0"/>
        <w:jc w:val="center"/>
        <w:rPr>
          <w:rFonts w:hint="default" w:eastAsia="宋体"/>
          <w:u w:val="single"/>
          <w:lang w:val="en-US" w:eastAsia="zh-CN"/>
        </w:rPr>
      </w:pPr>
      <w:r>
        <w:rPr>
          <w:rFonts w:hint="eastAsia"/>
          <w:u w:val="single"/>
          <w:lang w:val="en-US" w:eastAsia="zh-CN"/>
        </w:rPr>
        <w:t>图二 底部构造钢筋与纵向受力钢筋应变对比图</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预制底板下翼缘板的外伸钢筋在后浇肋梁内的连接是确保预制底板与后浇肋梁有效连接、共同工作的重要措施之一。本</w:t>
      </w:r>
      <w:r>
        <w:rPr>
          <w:rFonts w:hint="eastAsia" w:ascii="Times New Roman" w:hAnsi="Times New Roman" w:cs="Times New Roman"/>
          <w:u w:val="single"/>
          <w:lang w:val="en-US" w:eastAsia="zh-CN"/>
        </w:rPr>
        <w:t>规程</w:t>
      </w:r>
      <w:r>
        <w:rPr>
          <w:rFonts w:hint="default" w:ascii="Times New Roman" w:hAnsi="Times New Roman" w:cs="Times New Roman"/>
          <w:u w:val="single"/>
          <w:lang w:val="en-US" w:eastAsia="zh-CN"/>
        </w:rPr>
        <w:t>参考现行行业标准</w:t>
      </w:r>
      <w:bookmarkStart w:id="37" w:name="OLE_LINK1"/>
      <w:r>
        <w:rPr>
          <w:rFonts w:hint="default" w:ascii="Times New Roman" w:hAnsi="Times New Roman" w:cs="Times New Roman"/>
          <w:u w:val="single"/>
          <w:lang w:val="en-US" w:eastAsia="zh-CN"/>
        </w:rPr>
        <w:t>《装配箱混凝土空心楼盖结构技术规程》JGJT 207-2010第6.2.3条的规定</w:t>
      </w:r>
      <w:bookmarkEnd w:id="37"/>
      <w:r>
        <w:rPr>
          <w:rFonts w:hint="default" w:ascii="Times New Roman" w:hAnsi="Times New Roman" w:cs="Times New Roman"/>
          <w:u w:val="single"/>
          <w:lang w:val="en-US" w:eastAsia="zh-CN"/>
        </w:rPr>
        <w:t>并进行了一定程度的加强。一方面，外伸钢筋弯钩的平直段长度参考90°弯钩机械锚固的要求不小于12d，远大于《装配箱混凝土空心楼盖结构技术规程》JGJT 207-2010第6.2.3条规定的5d；另一方面，外伸钢筋的水平投影长度参考普通钢筋桁架叠合板后浇带式整体接缝的有关要求不宜小于la，远大于《装配箱混凝土空心楼盖结构技术规程》JGJT 207-2010第6.2.3条规定的0.4la；同样要求外伸钢筋的弯钩勾住后浇肋梁远端的纵向钢筋，该纵向钢筋可以更好地起到钢筋销栓作用，对钢筋的锚固起到有利作用。设置接近90°弯钩，而不是90°弯钩的目的是为了尽量避免外伸钢筋与后浇肋梁纵筋打架。</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本条规定的预制底板下翼缘板外伸钢筋在后浇肋梁内的连接构造要求，是钢筋机械锚固加弯钩端部纵筋钢筋销栓作用的联合效果，可以保证预制底板与后浇肋梁有效连接、共同工作，预制底板下翼缘板的钢筋也可以参与空心叠合板的整体受力。</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fldChar w:fldCharType="begin"/>
      </w:r>
      <w:r>
        <w:rPr>
          <w:rFonts w:hint="default" w:ascii="Times New Roman" w:hAnsi="Times New Roman" w:cs="Times New Roman"/>
          <w:u w:val="single"/>
          <w:lang w:val="en-US" w:eastAsia="zh-CN"/>
        </w:rPr>
        <w:instrText xml:space="preserve"> HYPERLINK "mailto:实际工程当中具体应用时，下翼缘板的钢筋一般采用φ6@100，保护层厚度一般15mm为2.5d。根据现行国家标准《混凝土结构实际规范》GB" </w:instrText>
      </w:r>
      <w:r>
        <w:rPr>
          <w:rFonts w:hint="default" w:ascii="Times New Roman" w:hAnsi="Times New Roman" w:cs="Times New Roman"/>
          <w:u w:val="single"/>
          <w:lang w:val="en-US" w:eastAsia="zh-CN"/>
        </w:rPr>
        <w:fldChar w:fldCharType="separate"/>
      </w:r>
      <w:r>
        <w:rPr>
          <w:rFonts w:hint="default" w:ascii="Times New Roman" w:hAnsi="Times New Roman" w:cs="Times New Roman"/>
          <w:u w:val="single"/>
          <w:lang w:val="en-US" w:eastAsia="zh-CN"/>
        </w:rPr>
        <w:t>根据现行国家标准《混凝土结构设计规范》GB</w:t>
      </w:r>
      <w:r>
        <w:rPr>
          <w:rFonts w:hint="default" w:ascii="Times New Roman" w:hAnsi="Times New Roman" w:cs="Times New Roman"/>
          <w:u w:val="single"/>
          <w:lang w:val="en-US" w:eastAsia="zh-CN"/>
        </w:rPr>
        <w:fldChar w:fldCharType="end"/>
      </w:r>
      <w:r>
        <w:rPr>
          <w:rFonts w:hint="default" w:ascii="Times New Roman" w:hAnsi="Times New Roman" w:cs="Times New Roman"/>
          <w:u w:val="single"/>
          <w:lang w:val="en-US" w:eastAsia="zh-CN"/>
        </w:rPr>
        <w:t xml:space="preserve"> 50010的有关规定，基本锚固长度是按照1d 保护层厚度（d为受力钢筋直径）确定的，对于厚保护层的情况，可以减小受力钢筋的锚固长度：当保护层厚度为3d 时，修正系数可取为0.8；保护层厚度为5d 时，修正系数可取为0.7；中间的情况可以按内插取值。实际工程中具体应用时，下翼缘板的钢筋一般采用φ6@100，保护层厚度一般采用15mm为2.5d；如此，钢筋锚固长度的修正系数就可以采用0.85；同时钢筋锚固长度范围内后浇肋梁的箍筋起到了锚固钢筋横向钢筋的作用。因此，在下翼缘板钢筋直径采用6mm、保护层厚度采用15mm的条件下，钢筋锚固长度la实际采用0.85lab就可以满足“</w:t>
      </w:r>
      <w:r>
        <w:rPr>
          <w:rFonts w:hint="default" w:ascii="Times New Roman" w:hAnsi="Times New Roman" w:cs="Times New Roman"/>
          <w:highlight w:val="none"/>
          <w:u w:val="single"/>
          <w:lang w:val="en-US" w:eastAsia="zh-CN"/>
        </w:rPr>
        <w:t>水平投影长度不宜小于la</w:t>
      </w:r>
      <w:r>
        <w:rPr>
          <w:rFonts w:hint="default" w:ascii="Times New Roman" w:hAnsi="Times New Roman" w:cs="Times New Roman"/>
          <w:u w:val="single"/>
          <w:lang w:val="en-US" w:eastAsia="zh-CN"/>
        </w:rPr>
        <w:t>”的要求。</w:t>
      </w:r>
    </w:p>
    <w:p>
      <w:pPr>
        <w:pStyle w:val="21"/>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u w:val="single"/>
          <w:lang w:val="en-US" w:eastAsia="zh-CN"/>
        </w:rPr>
        <w:t>叠合肋梁下皮纵筋需要在后浇肋梁中心线处采用套筒挤压接头进行机械连接，故要求钢筋伸至后浇肋梁中心线-3mm，以方便钢筋进行机械连接。-3mm的目的是为了避免出现正公差导致钢筋打架无法连接。</w:t>
      </w:r>
    </w:p>
    <w:p>
      <w:pPr>
        <w:numPr>
          <w:ilvl w:val="2"/>
          <w:numId w:val="1"/>
        </w:numPr>
        <w:bidi w:val="0"/>
        <w:rPr>
          <w:rFonts w:hint="default"/>
          <w:lang w:val="en-US" w:eastAsia="zh-CN"/>
        </w:rPr>
      </w:pPr>
      <w:r>
        <w:rPr>
          <w:rFonts w:hint="default"/>
          <w:lang w:val="en-US" w:eastAsia="zh-CN"/>
        </w:rPr>
        <w:t>预制底板与后浇混凝土之间的结合面应符合下列规定：</w:t>
      </w:r>
    </w:p>
    <w:p>
      <w:pPr>
        <w:numPr>
          <w:ilvl w:val="0"/>
          <w:numId w:val="8"/>
        </w:numPr>
        <w:ind w:left="247" w:leftChars="0" w:hanging="247" w:firstLineChars="0"/>
        <w:rPr>
          <w:rFonts w:hint="default"/>
          <w:lang w:val="en-US" w:eastAsia="zh-CN"/>
        </w:rPr>
      </w:pPr>
      <w:r>
        <w:rPr>
          <w:rFonts w:hint="eastAsia"/>
          <w:lang w:val="en-US" w:eastAsia="zh-CN"/>
        </w:rPr>
        <w:t>结合面包括叠合肋梁的顶部、端部以及预制底板的边肋外围周边；</w:t>
      </w:r>
    </w:p>
    <w:p>
      <w:pPr>
        <w:numPr>
          <w:ilvl w:val="0"/>
          <w:numId w:val="8"/>
        </w:numPr>
        <w:ind w:left="247" w:leftChars="0" w:hanging="247" w:firstLineChars="0"/>
        <w:jc w:val="left"/>
        <w:rPr>
          <w:rFonts w:hint="default"/>
          <w:highlight w:val="none"/>
          <w:lang w:val="en-US" w:eastAsia="zh-CN"/>
        </w:rPr>
      </w:pPr>
      <w:r>
        <w:rPr>
          <w:rFonts w:hint="eastAsia"/>
          <w:highlight w:val="none"/>
          <w:lang w:val="en-US" w:eastAsia="zh-CN"/>
        </w:rPr>
        <w:t>叠合肋梁的顶部</w:t>
      </w:r>
      <w:r>
        <w:rPr>
          <w:rFonts w:hint="default"/>
          <w:highlight w:val="none"/>
          <w:lang w:val="en-US" w:eastAsia="zh-CN"/>
        </w:rPr>
        <w:t>应设置粗糙面；</w:t>
      </w:r>
      <w:r>
        <w:rPr>
          <w:rFonts w:hint="eastAsia"/>
          <w:highlight w:val="none"/>
          <w:lang w:val="en-US" w:eastAsia="zh-CN"/>
        </w:rPr>
        <w:t>叠合肋梁的端部、预制底板的周边边肋应设置键槽；边肋键槽的间距宜与下翼缘板的外伸钢筋间距相同，且不宜大于125mm；键槽尺寸应按照5.3.7条计算确定；</w:t>
      </w:r>
    </w:p>
    <w:p>
      <w:pPr>
        <w:numPr>
          <w:ilvl w:val="0"/>
          <w:numId w:val="8"/>
        </w:numPr>
        <w:ind w:left="247" w:leftChars="0" w:hanging="247" w:firstLineChars="0"/>
        <w:rPr>
          <w:rFonts w:hint="default"/>
          <w:lang w:val="en-US" w:eastAsia="zh-CN"/>
        </w:rPr>
      </w:pPr>
      <w:r>
        <w:rPr>
          <w:rFonts w:hint="default"/>
          <w:lang w:val="en-US" w:eastAsia="zh-CN"/>
        </w:rPr>
        <w:t>粗糙面面积不宜小于结合面的80%，凹凸深度不应小于</w:t>
      </w:r>
      <w:r>
        <w:rPr>
          <w:rFonts w:hint="eastAsia"/>
          <w:lang w:val="en-US" w:eastAsia="zh-CN"/>
        </w:rPr>
        <w:t>4</w:t>
      </w:r>
      <w:r>
        <w:rPr>
          <w:rFonts w:hint="default"/>
          <w:lang w:val="en-US" w:eastAsia="zh-CN"/>
        </w:rPr>
        <w:t>mm</w:t>
      </w:r>
      <w:r>
        <w:rPr>
          <w:rFonts w:hint="eastAsia"/>
          <w:lang w:val="en-US" w:eastAsia="zh-CN"/>
        </w:rPr>
        <w:t>；键槽的深度t不宜小于30mm，宽度w不宜小于深度的3倍且不宜大于深度的10倍；键槽间距宜等于键槽宽度；键槽端部斜面倾角不宜大于30°。</w:t>
      </w:r>
    </w:p>
    <w:p>
      <w:pPr>
        <w:pStyle w:val="20"/>
        <w:spacing w:line="360" w:lineRule="auto"/>
        <w:rPr>
          <w:rFonts w:hint="default" w:ascii="Times New Roman" w:hAnsi="Times New Roman" w:cs="Times New Roman"/>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5.6.6</w:t>
      </w:r>
      <w:r>
        <w:rPr>
          <w:rFonts w:hint="eastAsia"/>
          <w:highlight w:val="none"/>
          <w:u w:val="single"/>
          <w:lang w:val="en-US" w:eastAsia="zh-CN"/>
        </w:rPr>
        <w:t xml:space="preserve"> 在预制底板与后浇混凝土之间的结合面上设置键槽或者粗糙</w:t>
      </w:r>
      <w:r>
        <w:rPr>
          <w:rFonts w:hint="default" w:ascii="Times New Roman" w:hAnsi="Times New Roman" w:cs="Times New Roman"/>
          <w:highlight w:val="none"/>
          <w:u w:val="single"/>
          <w:lang w:val="en-US" w:eastAsia="zh-CN"/>
        </w:rPr>
        <w:t>面，对新老混凝土的结合，新老混凝土之间传递剪力，新老混凝土的共同工作，有着重要作用。本</w:t>
      </w:r>
      <w:r>
        <w:rPr>
          <w:rFonts w:hint="eastAsia" w:ascii="Times New Roman" w:hAnsi="Times New Roman" w:cs="Times New Roman"/>
          <w:highlight w:val="none"/>
          <w:u w:val="single"/>
          <w:lang w:val="en-US" w:eastAsia="zh-CN"/>
        </w:rPr>
        <w:t>规程</w:t>
      </w:r>
      <w:r>
        <w:rPr>
          <w:rFonts w:hint="default" w:ascii="Times New Roman" w:hAnsi="Times New Roman" w:cs="Times New Roman"/>
          <w:highlight w:val="none"/>
          <w:u w:val="single"/>
          <w:lang w:val="en-US" w:eastAsia="zh-CN"/>
        </w:rPr>
        <w:t>的预制底板有两种结合面，一是叠合肋梁的顶部，属于水平结合面，只设置粗糙面即可；二是叠合肋梁端部的结合面和预制底板的周边边肋处的结合面，需要设置键槽。键槽和粗糙面的设置参考了东南大学的</w:t>
      </w:r>
      <w:r>
        <w:rPr>
          <w:rFonts w:hint="default" w:ascii="Times New Roman" w:hAnsi="Times New Roman" w:cs="Times New Roman"/>
          <w:u w:val="single"/>
          <w:lang w:val="en-US" w:eastAsia="zh-CN"/>
        </w:rPr>
        <w:t>《装配整体式双向密肋叠合楼盖试验及有限元分析》报告</w:t>
      </w:r>
      <w:r>
        <w:rPr>
          <w:rFonts w:hint="default" w:ascii="Times New Roman" w:hAnsi="Times New Roman" w:cs="Times New Roman"/>
          <w:highlight w:val="none"/>
          <w:u w:val="single"/>
          <w:lang w:val="en-US" w:eastAsia="zh-CN"/>
        </w:rPr>
        <w:t>，并做了一定的改进和加强。</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highlight w:val="none"/>
          <w:u w:val="single"/>
          <w:lang w:val="en-US" w:eastAsia="zh-CN"/>
        </w:rPr>
      </w:pPr>
      <w:r>
        <w:rPr>
          <w:rFonts w:hint="default" w:ascii="Times New Roman" w:hAnsi="Times New Roman" w:cs="Times New Roman"/>
          <w:highlight w:val="none"/>
          <w:u w:val="single"/>
          <w:lang w:val="en-US" w:eastAsia="zh-CN"/>
        </w:rPr>
        <w:t>边肋键槽的间距在现行行业标准《装配箱混凝土空心楼盖结构技术规程》JGJT 207装配箱剪力齿的规定不宜大于100mm的基础上放宽到125mm，也是基于</w:t>
      </w:r>
      <w:r>
        <w:rPr>
          <w:rFonts w:hint="default" w:ascii="Times New Roman" w:hAnsi="Times New Roman" w:cs="Times New Roman"/>
          <w:u w:val="single"/>
          <w:lang w:val="en-US" w:eastAsia="zh-CN"/>
        </w:rPr>
        <w:t>东南大学的《装配整体式双向密肋叠合楼盖试验及有限元分析》报告。报告表明</w:t>
      </w:r>
      <w:r>
        <w:rPr>
          <w:rFonts w:hint="default" w:ascii="Times New Roman" w:hAnsi="Times New Roman" w:cs="Times New Roman"/>
          <w:highlight w:val="none"/>
          <w:u w:val="single"/>
          <w:lang w:val="en-US" w:eastAsia="zh-CN"/>
        </w:rPr>
        <w:t>：边肋留设键槽的作用比要比剪力齿要好，即便是键槽间距放宽到125mm，叠合板在弹性阶段的承载力都有一定的提升。边肋键槽的间距与下翼缘板外伸钢筋间距相同，都是不宜大于125mm，实际上就是一根外伸钢筋然后对应一个键槽。</w:t>
      </w:r>
    </w:p>
    <w:p>
      <w:pPr>
        <w:numPr>
          <w:ilvl w:val="2"/>
          <w:numId w:val="1"/>
        </w:numPr>
        <w:bidi w:val="0"/>
        <w:rPr>
          <w:rFonts w:hint="default"/>
          <w:lang w:val="en-US" w:eastAsia="zh-CN"/>
        </w:rPr>
      </w:pPr>
      <w:r>
        <w:rPr>
          <w:rFonts w:hint="eastAsia"/>
          <w:lang w:val="en-US" w:eastAsia="zh-CN"/>
        </w:rPr>
        <w:t>预制底板之间的套筒挤压区域需预留足够的操作空间，必要时可对预制底板叠合肋梁端头做切角处理。</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5.6.7</w:t>
      </w:r>
      <w:r>
        <w:rPr>
          <w:rFonts w:hint="eastAsia"/>
          <w:u w:val="single"/>
          <w:lang w:val="en-US" w:eastAsia="zh-CN"/>
        </w:rPr>
        <w:t xml:space="preserve"> 钢筋套筒挤压是本技术体系的关键环节，空心叠合板的套筒挤压操作空间有限，需采用特殊挤压设备进行。即便如此，为了保证钢筋套筒挤压时的操作空间，预制底板的叠合肋梁端头处可采用切角处理。</w:t>
      </w:r>
    </w:p>
    <w:p>
      <w:pPr>
        <w:numPr>
          <w:ilvl w:val="2"/>
          <w:numId w:val="1"/>
        </w:numPr>
        <w:bidi w:val="0"/>
        <w:rPr>
          <w:rFonts w:hint="default"/>
          <w:lang w:val="en-US" w:eastAsia="zh-CN"/>
        </w:rPr>
      </w:pPr>
      <w:r>
        <w:rPr>
          <w:rFonts w:hint="default"/>
          <w:lang w:val="en-US" w:eastAsia="zh-CN"/>
        </w:rPr>
        <w:t>当预制底板开洞时，洞口</w:t>
      </w:r>
      <w:r>
        <w:rPr>
          <w:rFonts w:hint="eastAsia"/>
          <w:lang w:val="en-US" w:eastAsia="zh-CN"/>
        </w:rPr>
        <w:t>应</w:t>
      </w:r>
      <w:r>
        <w:rPr>
          <w:rFonts w:hint="default"/>
          <w:lang w:val="en-US" w:eastAsia="zh-CN"/>
        </w:rPr>
        <w:t>避开</w:t>
      </w:r>
      <w:r>
        <w:rPr>
          <w:rFonts w:hint="eastAsia"/>
          <w:lang w:val="en-US" w:eastAsia="zh-CN"/>
        </w:rPr>
        <w:t>肋梁</w:t>
      </w:r>
      <w:r>
        <w:rPr>
          <w:rFonts w:hint="default"/>
          <w:lang w:val="en-US" w:eastAsia="zh-CN"/>
        </w:rPr>
        <w:t>，洞口大小、位置及洞口周边加强措施应符合国家现行有关标准的规定。</w:t>
      </w:r>
    </w:p>
    <w:p>
      <w:pPr>
        <w:numPr>
          <w:ilvl w:val="2"/>
          <w:numId w:val="1"/>
        </w:numPr>
        <w:bidi w:val="0"/>
        <w:rPr>
          <w:rFonts w:hint="eastAsia"/>
          <w:lang w:val="en-US" w:eastAsia="zh-CN"/>
        </w:rPr>
      </w:pPr>
      <w:r>
        <w:rPr>
          <w:rFonts w:hint="eastAsia"/>
          <w:lang w:val="en-US" w:eastAsia="zh-CN"/>
        </w:rPr>
        <w:t>预制底板边肋与叠合肋梁形成的每个区格均宜设置排水孔。</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5.6.9</w:t>
      </w:r>
      <w:r>
        <w:rPr>
          <w:rFonts w:hint="eastAsia"/>
          <w:u w:val="single"/>
          <w:lang w:val="en-US" w:eastAsia="zh-CN"/>
        </w:rPr>
        <w:t xml:space="preserve"> 预制底板每个区格设置排水孔的目的是，如果现场施工期间有水进入到预制底板上面，可以把水及时排出。</w:t>
      </w:r>
    </w:p>
    <w:p>
      <w:pPr>
        <w:numPr>
          <w:ilvl w:val="2"/>
          <w:numId w:val="1"/>
        </w:numPr>
        <w:bidi w:val="0"/>
        <w:rPr>
          <w:rFonts w:hint="default"/>
          <w:lang w:val="en-US" w:eastAsia="zh-CN"/>
        </w:rPr>
      </w:pPr>
      <w:r>
        <w:rPr>
          <w:rFonts w:hint="default"/>
          <w:lang w:val="en-US" w:eastAsia="zh-CN"/>
        </w:rPr>
        <w:t>预制底板的吊点数量及布置应根据底板尺寸、重量及起吊方式通过计算确定，吊点宜对称布置且不应少于4个。</w:t>
      </w:r>
    </w:p>
    <w:p>
      <w:pPr>
        <w:numPr>
          <w:ilvl w:val="2"/>
          <w:numId w:val="1"/>
        </w:numPr>
        <w:bidi w:val="0"/>
        <w:rPr>
          <w:rFonts w:hint="default"/>
          <w:lang w:val="en-US" w:eastAsia="zh-CN"/>
        </w:rPr>
      </w:pPr>
      <w:r>
        <w:rPr>
          <w:rFonts w:hint="default"/>
          <w:lang w:val="en-US" w:eastAsia="zh-CN"/>
        </w:rPr>
        <w:t>吊点宜对称布置</w:t>
      </w:r>
      <w:r>
        <w:rPr>
          <w:rFonts w:hint="eastAsia"/>
          <w:lang w:val="en-US" w:eastAsia="zh-CN"/>
        </w:rPr>
        <w:t>在叠合肋梁上</w:t>
      </w:r>
      <w:r>
        <w:rPr>
          <w:rFonts w:hint="default"/>
          <w:lang w:val="en-US" w:eastAsia="zh-CN"/>
        </w:rPr>
        <w:t>，</w:t>
      </w:r>
      <w:r>
        <w:rPr>
          <w:rFonts w:hint="eastAsia"/>
          <w:lang w:val="en-US" w:eastAsia="zh-CN"/>
        </w:rPr>
        <w:t>且宜采用吊环方式。吊环钢筋</w:t>
      </w:r>
      <w:r>
        <w:rPr>
          <w:rFonts w:hint="eastAsia"/>
          <w:highlight w:val="none"/>
          <w:lang w:val="en-US" w:eastAsia="zh-CN"/>
        </w:rPr>
        <w:t>应与</w:t>
      </w:r>
      <w:r>
        <w:rPr>
          <w:rFonts w:hint="eastAsia"/>
          <w:lang w:val="en-US" w:eastAsia="zh-CN"/>
        </w:rPr>
        <w:t>叠合肋梁钢筋进行绑扎</w:t>
      </w:r>
      <w:r>
        <w:rPr>
          <w:rFonts w:hint="default"/>
          <w:lang w:val="en-US" w:eastAsia="zh-CN"/>
        </w:rPr>
        <w:t>，并应符合下列规定：</w:t>
      </w:r>
    </w:p>
    <w:p>
      <w:pPr>
        <w:numPr>
          <w:ilvl w:val="0"/>
          <w:numId w:val="9"/>
        </w:numPr>
        <w:ind w:left="247" w:leftChars="0" w:hanging="247" w:firstLineChars="0"/>
        <w:rPr>
          <w:rFonts w:hint="default"/>
          <w:lang w:val="en-US" w:eastAsia="zh-CN"/>
        </w:rPr>
      </w:pPr>
      <w:r>
        <w:rPr>
          <w:rFonts w:hint="default"/>
          <w:lang w:val="en-US" w:eastAsia="zh-CN"/>
        </w:rPr>
        <w:t>起吊时，吊索与预制底板水平夹角不</w:t>
      </w:r>
      <w:r>
        <w:rPr>
          <w:rFonts w:hint="eastAsia"/>
          <w:lang w:val="en-US" w:eastAsia="zh-CN"/>
        </w:rPr>
        <w:t>宜</w:t>
      </w:r>
      <w:r>
        <w:rPr>
          <w:rFonts w:hint="default"/>
          <w:lang w:val="en-US" w:eastAsia="zh-CN"/>
        </w:rPr>
        <w:t>小于60º，且不应小于45°；</w:t>
      </w:r>
    </w:p>
    <w:p>
      <w:pPr>
        <w:numPr>
          <w:ilvl w:val="0"/>
          <w:numId w:val="9"/>
        </w:numPr>
        <w:ind w:left="247" w:leftChars="0" w:hanging="247" w:firstLineChars="0"/>
        <w:rPr>
          <w:rFonts w:hint="default"/>
          <w:lang w:val="en-US" w:eastAsia="zh-CN"/>
        </w:rPr>
      </w:pPr>
      <w:r>
        <w:rPr>
          <w:rFonts w:hint="eastAsia"/>
          <w:lang w:val="en-US" w:eastAsia="zh-CN"/>
        </w:rPr>
        <w:t>吊环钢筋在混凝土内水平段的长度分别</w:t>
      </w:r>
      <w:r>
        <w:rPr>
          <w:rFonts w:hint="default"/>
          <w:lang w:val="en-US" w:eastAsia="zh-CN"/>
        </w:rPr>
        <w:t>不宜小于</w:t>
      </w:r>
      <w:r>
        <w:rPr>
          <w:rFonts w:hint="eastAsia"/>
          <w:highlight w:val="none"/>
          <w:lang w:val="en-US" w:eastAsia="zh-CN"/>
        </w:rPr>
        <w:t>10d</w:t>
      </w:r>
      <w:r>
        <w:rPr>
          <w:rFonts w:hint="eastAsia"/>
          <w:lang w:val="en-US" w:eastAsia="zh-CN"/>
        </w:rPr>
        <w:t>，d为吊环钢筋直径</w:t>
      </w:r>
      <w:r>
        <w:rPr>
          <w:rFonts w:hint="default"/>
          <w:lang w:val="en-US" w:eastAsia="zh-CN"/>
        </w:rPr>
        <w:t>；</w:t>
      </w:r>
    </w:p>
    <w:p>
      <w:pPr>
        <w:numPr>
          <w:ilvl w:val="0"/>
          <w:numId w:val="9"/>
        </w:numPr>
        <w:ind w:left="247" w:leftChars="0" w:hanging="247" w:firstLineChars="0"/>
        <w:rPr>
          <w:rFonts w:hint="default"/>
          <w:lang w:val="en-US" w:eastAsia="zh-CN"/>
        </w:rPr>
      </w:pPr>
      <w:r>
        <w:rPr>
          <w:rFonts w:hint="default"/>
          <w:lang w:val="en-US" w:eastAsia="zh-CN"/>
        </w:rPr>
        <w:t>起吊时同条件养护的混凝土立方体试块抗压强度不应低于20MPa；</w:t>
      </w:r>
    </w:p>
    <w:p>
      <w:pPr>
        <w:numPr>
          <w:ilvl w:val="0"/>
          <w:numId w:val="9"/>
        </w:numPr>
        <w:ind w:left="247" w:leftChars="0" w:hanging="247" w:firstLineChars="0"/>
        <w:rPr>
          <w:rFonts w:hint="default"/>
          <w:lang w:val="en-US" w:eastAsia="zh-CN"/>
        </w:rPr>
      </w:pPr>
      <w:r>
        <w:rPr>
          <w:rFonts w:hint="default"/>
          <w:lang w:val="en-US" w:eastAsia="zh-CN"/>
        </w:rPr>
        <w:t>施工安全系数Kc不应小于4.0</w:t>
      </w:r>
      <w:r>
        <w:rPr>
          <w:rFonts w:hint="eastAsia"/>
          <w:lang w:val="en-US" w:eastAsia="zh-CN"/>
        </w:rPr>
        <w:t>。</w:t>
      </w:r>
    </w:p>
    <w:p>
      <w:pPr>
        <w:pStyle w:val="20"/>
        <w:spacing w:line="360" w:lineRule="auto"/>
        <w:rPr>
          <w:rFonts w:hint="default"/>
          <w:sz w:val="24"/>
          <w:szCs w:val="24"/>
          <w:highlight w:val="none"/>
          <w:u w:val="single"/>
          <w:lang w:val="en-US" w:eastAsia="zh-CN"/>
        </w:rPr>
      </w:pPr>
      <w:r>
        <w:rPr>
          <w:rFonts w:hint="eastAsia"/>
          <w:sz w:val="24"/>
          <w:szCs w:val="24"/>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5.6.10、5.6.11</w:t>
      </w:r>
      <w:r>
        <w:rPr>
          <w:rFonts w:hint="eastAsia"/>
          <w:sz w:val="24"/>
          <w:szCs w:val="24"/>
          <w:highlight w:val="none"/>
          <w:u w:val="single"/>
          <w:lang w:val="en-US" w:eastAsia="zh-CN"/>
        </w:rPr>
        <w:t xml:space="preserve"> 吊点的设置参考了现行协会标准《钢筋桁架混凝土叠合板应用技术规程》</w:t>
      </w:r>
      <w:r>
        <w:rPr>
          <w:rFonts w:hint="default" w:ascii="Times New Roman" w:hAnsi="Times New Roman" w:cs="Times New Roman"/>
          <w:sz w:val="24"/>
          <w:szCs w:val="24"/>
          <w:highlight w:val="none"/>
          <w:u w:val="single"/>
          <w:lang w:val="en-US" w:eastAsia="zh-CN"/>
        </w:rPr>
        <w:t>T</w:t>
      </w:r>
      <w:r>
        <w:rPr>
          <w:rFonts w:hint="eastAsia" w:ascii="Times New Roman" w:hAnsi="Times New Roman" w:cs="Times New Roman"/>
          <w:sz w:val="24"/>
          <w:szCs w:val="24"/>
          <w:highlight w:val="none"/>
          <w:u w:val="single"/>
          <w:lang w:val="en-US" w:eastAsia="zh-CN"/>
        </w:rPr>
        <w:t>/</w:t>
      </w:r>
      <w:r>
        <w:rPr>
          <w:rFonts w:hint="default" w:ascii="Times New Roman" w:hAnsi="Times New Roman" w:cs="Times New Roman"/>
          <w:sz w:val="24"/>
          <w:szCs w:val="24"/>
          <w:highlight w:val="none"/>
          <w:u w:val="single"/>
          <w:lang w:val="en-US" w:eastAsia="zh-CN"/>
        </w:rPr>
        <w:t>CECS 715的</w:t>
      </w:r>
      <w:r>
        <w:rPr>
          <w:rFonts w:hint="eastAsia"/>
          <w:sz w:val="24"/>
          <w:szCs w:val="24"/>
          <w:highlight w:val="none"/>
          <w:u w:val="single"/>
          <w:lang w:val="en-US" w:eastAsia="zh-CN"/>
        </w:rPr>
        <w:t>有关规定提出的要求。预制底板的凸肋即叠合肋梁处相对较厚，刚度较大，吊点设在此处也可以有较大的买入深度。</w:t>
      </w:r>
    </w:p>
    <w:p>
      <w:pPr>
        <w:pStyle w:val="4"/>
        <w:bidi w:val="0"/>
        <w:ind w:left="0" w:leftChars="0" w:firstLine="0" w:firstLineChars="0"/>
        <w:outlineLvl w:val="1"/>
        <w:rPr>
          <w:rFonts w:hint="default"/>
          <w:lang w:val="en-US" w:eastAsia="zh-CN"/>
        </w:rPr>
      </w:pPr>
      <w:bookmarkStart w:id="38" w:name="_Toc22450"/>
      <w:r>
        <w:rPr>
          <w:rFonts w:hint="eastAsia"/>
          <w:lang w:val="en-US" w:eastAsia="zh-CN"/>
        </w:rPr>
        <w:t>接缝及支座</w:t>
      </w:r>
      <w:r>
        <w:rPr>
          <w:rFonts w:hint="default"/>
          <w:lang w:val="en-US" w:eastAsia="zh-CN"/>
        </w:rPr>
        <w:t>构造</w:t>
      </w:r>
      <w:bookmarkEnd w:id="38"/>
    </w:p>
    <w:p>
      <w:pPr>
        <w:numPr>
          <w:ilvl w:val="2"/>
          <w:numId w:val="1"/>
        </w:numPr>
        <w:bidi w:val="0"/>
        <w:rPr>
          <w:rFonts w:hint="default"/>
          <w:highlight w:val="none"/>
          <w:lang w:val="en-US" w:eastAsia="zh-CN"/>
        </w:rPr>
      </w:pPr>
      <w:r>
        <w:rPr>
          <w:rFonts w:hint="default"/>
          <w:highlight w:val="none"/>
          <w:lang w:val="en-US" w:eastAsia="zh-CN"/>
        </w:rPr>
        <w:t>预制底板</w:t>
      </w:r>
      <w:r>
        <w:rPr>
          <w:rFonts w:hint="eastAsia"/>
          <w:highlight w:val="none"/>
          <w:lang w:val="en-US" w:eastAsia="zh-CN"/>
        </w:rPr>
        <w:t>应在双向后浇肋梁处进行双向接缝连接；叠合肋梁下皮纵筋宜采用套筒挤压接头进行机械连接；下翼缘板外伸钢筋应伸进后浇肋梁内的水平投影长度不宜小于la，并宜将外伸钢筋端部弯钩勾住肋梁远端的纵向钢筋，如图5.7.1所示。</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center"/>
        <w:textAlignment w:val="auto"/>
        <w:rPr>
          <w:rFonts w:hint="eastAsia"/>
          <w:highlight w:val="cyan"/>
          <w:lang w:val="en-US" w:eastAsia="zh-CN"/>
        </w:rPr>
      </w:pPr>
      <w:r>
        <w:drawing>
          <wp:inline distT="0" distB="0" distL="114300" distR="114300">
            <wp:extent cx="2773045" cy="1759585"/>
            <wp:effectExtent l="0" t="0" r="8255" b="1206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4"/>
                    <a:stretch>
                      <a:fillRect/>
                    </a:stretch>
                  </pic:blipFill>
                  <pic:spPr>
                    <a:xfrm>
                      <a:off x="0" y="0"/>
                      <a:ext cx="2773045" cy="1759585"/>
                    </a:xfrm>
                    <a:prstGeom prst="rect">
                      <a:avLst/>
                    </a:prstGeom>
                    <a:noFill/>
                    <a:ln>
                      <a:noFill/>
                    </a:ln>
                  </pic:spPr>
                </pic:pic>
              </a:graphicData>
            </a:graphic>
          </wp:inline>
        </w:drawing>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center"/>
        <w:textAlignment w:val="auto"/>
      </w:pPr>
      <w:r>
        <w:rPr>
          <w:rFonts w:hint="eastAsia"/>
          <w:highlight w:val="none"/>
          <w:lang w:val="en-US" w:eastAsia="zh-CN"/>
        </w:rPr>
        <w:t>图5.7.1 下翼缘板外伸钢筋在后浇肋梁内连接示意</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ascii="Times New Roman" w:hAnsi="Times New Roman" w:eastAsia="宋体" w:cstheme="minorBidi"/>
          <w:kern w:val="2"/>
          <w:sz w:val="21"/>
          <w:szCs w:val="21"/>
          <w:lang w:val="en-US" w:eastAsia="zh-CN" w:bidi="ar-SA"/>
        </w:rPr>
      </w:pPr>
      <w:r>
        <w:rPr>
          <w:rFonts w:hint="default" w:ascii="Times New Roman" w:hAnsi="Times New Roman" w:eastAsia="宋体" w:cstheme="minorBidi"/>
          <w:kern w:val="2"/>
          <w:sz w:val="21"/>
          <w:szCs w:val="21"/>
          <w:lang w:val="en-US" w:eastAsia="zh-CN" w:bidi="ar-SA"/>
        </w:rPr>
        <w:t>1—</w:t>
      </w:r>
      <w:r>
        <w:rPr>
          <w:rFonts w:hint="eastAsia" w:ascii="Times New Roman" w:hAnsi="Times New Roman" w:cstheme="minorBidi"/>
          <w:kern w:val="2"/>
          <w:sz w:val="21"/>
          <w:szCs w:val="21"/>
          <w:lang w:val="en-US" w:eastAsia="zh-CN" w:bidi="ar-SA"/>
        </w:rPr>
        <w:t>预制底板</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后浇肋梁；3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箱型填充体；</w:t>
      </w:r>
      <w:r>
        <w:rPr>
          <w:rFonts w:hint="eastAsia" w:ascii="Times New Roman" w:hAnsi="Times New Roman" w:cstheme="minorBidi"/>
          <w:kern w:val="2"/>
          <w:sz w:val="21"/>
          <w:szCs w:val="21"/>
          <w:lang w:val="en-US" w:eastAsia="zh-CN" w:bidi="ar-SA"/>
        </w:rPr>
        <w:t>4</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下翼缘板外伸钢筋</w:t>
      </w:r>
      <w:r>
        <w:rPr>
          <w:rFonts w:hint="default" w:ascii="Times New Roman" w:hAnsi="Times New Roman" w:eastAsia="宋体" w:cstheme="minorBidi"/>
          <w:kern w:val="2"/>
          <w:sz w:val="21"/>
          <w:szCs w:val="21"/>
          <w:lang w:val="en-US" w:eastAsia="zh-CN" w:bidi="ar-SA"/>
        </w:rPr>
        <w:t>；</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lang w:val="en-US" w:eastAsia="zh-CN"/>
        </w:rPr>
      </w:pPr>
      <w:r>
        <w:rPr>
          <w:rFonts w:hint="eastAsia" w:ascii="Times New Roman" w:hAnsi="Times New Roman" w:cstheme="minorBidi"/>
          <w:kern w:val="2"/>
          <w:sz w:val="21"/>
          <w:szCs w:val="21"/>
          <w:lang w:val="en-US" w:eastAsia="zh-CN" w:bidi="ar-SA"/>
        </w:rPr>
        <w:t>5</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后浇肋梁纵筋；</w:t>
      </w:r>
    </w:p>
    <w:p>
      <w:pPr>
        <w:pStyle w:val="20"/>
        <w:spacing w:line="360" w:lineRule="auto"/>
        <w:rPr>
          <w:rFonts w:hint="eastAsia"/>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5.7.1 </w:t>
      </w:r>
      <w:r>
        <w:rPr>
          <w:rFonts w:hint="eastAsia"/>
          <w:u w:val="single"/>
          <w:lang w:val="en-US" w:eastAsia="zh-CN"/>
        </w:rPr>
        <w:t>标准化的预制底板应在双向后浇肋梁处进行双向整体式接缝连接，保证空心叠合板的受力性能尽可能接近现浇混凝土空心板；叠合肋梁下皮钢筋在后浇肋梁中心线处需要进行连接，考虑到预制底板加工精度、施工效率、操作空间以及经济性等等各方面，目前最理想的方式就是采用套筒挤压接头的机械连接方式，当然也可以采用其他机械连接方式或者套筒灌浆连接方式。</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u w:val="single"/>
          <w:lang w:val="en-US" w:eastAsia="zh-CN"/>
        </w:rPr>
      </w:pPr>
      <w:r>
        <w:rPr>
          <w:rFonts w:hint="default" w:ascii="Times New Roman" w:hAnsi="Times New Roman" w:cs="Times New Roman"/>
          <w:u w:val="single"/>
          <w:lang w:val="en-US" w:eastAsia="zh-CN"/>
        </w:rPr>
        <w:t>预制底板下翼缘板的外伸钢筋伸进后浇肋梁的构造要求，结合本</w:t>
      </w:r>
      <w:r>
        <w:rPr>
          <w:rFonts w:hint="eastAsia" w:ascii="Times New Roman" w:hAnsi="Times New Roman" w:cs="Times New Roman"/>
          <w:u w:val="single"/>
          <w:lang w:val="en-US" w:eastAsia="zh-CN"/>
        </w:rPr>
        <w:t>规程</w:t>
      </w:r>
      <w:r>
        <w:rPr>
          <w:rFonts w:hint="default" w:ascii="Times New Roman" w:hAnsi="Times New Roman" w:cs="Times New Roman"/>
          <w:u w:val="single"/>
          <w:lang w:val="en-US" w:eastAsia="zh-CN"/>
        </w:rPr>
        <w:t>的5.6.5条“预制底板下翼缘板外伸钢筋端部宜设接近90°弯钩，弯钩平直段长度不小于12d，水平投影长度不宜小于la”提出。</w:t>
      </w:r>
    </w:p>
    <w:p>
      <w:pPr>
        <w:numPr>
          <w:ilvl w:val="2"/>
          <w:numId w:val="1"/>
        </w:numPr>
        <w:bidi w:val="0"/>
        <w:spacing w:line="360" w:lineRule="auto"/>
        <w:rPr>
          <w:rFonts w:hint="default"/>
          <w:lang w:val="en-US" w:eastAsia="zh-CN"/>
        </w:rPr>
      </w:pPr>
      <w:r>
        <w:rPr>
          <w:rFonts w:hint="eastAsia"/>
          <w:lang w:val="en-US" w:eastAsia="zh-CN"/>
        </w:rPr>
        <w:t>叠合肋梁下皮纵筋套筒挤压接头应满足混凝土保护层厚度要求，该处肋梁箍筋宜避开套筒挤压接头设置；套筒挤压接头之间的横向净距不宜小于25mm。</w:t>
      </w:r>
    </w:p>
    <w:p>
      <w:pPr>
        <w:pStyle w:val="20"/>
        <w:spacing w:line="360" w:lineRule="auto"/>
        <w:rPr>
          <w:rFonts w:hint="eastAsia"/>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5.7.2 </w:t>
      </w:r>
      <w:r>
        <w:rPr>
          <w:rFonts w:hint="eastAsia"/>
          <w:u w:val="single"/>
          <w:lang w:val="en-US" w:eastAsia="zh-CN"/>
        </w:rPr>
        <w:t>叠合肋梁下皮纵筋的套筒挤压接头，需注意套筒挤压接头处也应该满足混凝土保护层厚度要求。为了避免套筒挤压接头混凝土保护层厚度过大，影响空心叠合板的整体抗弯承载力，该处的肋梁箍筋宜避开套筒挤压接头设置。</w:t>
      </w:r>
    </w:p>
    <w:p>
      <w:pPr>
        <w:numPr>
          <w:ilvl w:val="2"/>
          <w:numId w:val="1"/>
        </w:numPr>
        <w:bidi w:val="0"/>
        <w:spacing w:line="360" w:lineRule="auto"/>
        <w:rPr>
          <w:rFonts w:hint="default"/>
          <w:highlight w:val="none"/>
          <w:lang w:val="en-US" w:eastAsia="zh-CN"/>
        </w:rPr>
      </w:pPr>
      <w:r>
        <w:rPr>
          <w:rFonts w:hint="default"/>
          <w:highlight w:val="none"/>
          <w:lang w:val="en-US" w:eastAsia="zh-CN"/>
        </w:rPr>
        <w:t>空心</w:t>
      </w:r>
      <w:r>
        <w:rPr>
          <w:rFonts w:hint="eastAsia"/>
          <w:highlight w:val="none"/>
          <w:lang w:val="en-US" w:eastAsia="zh-CN"/>
        </w:rPr>
        <w:t>叠合</w:t>
      </w:r>
      <w:r>
        <w:rPr>
          <w:rFonts w:hint="default"/>
          <w:highlight w:val="none"/>
          <w:lang w:val="en-US" w:eastAsia="zh-CN"/>
        </w:rPr>
        <w:t>板</w:t>
      </w:r>
      <w:r>
        <w:rPr>
          <w:rFonts w:hint="eastAsia"/>
          <w:highlight w:val="none"/>
          <w:lang w:val="en-US" w:eastAsia="zh-CN"/>
        </w:rPr>
        <w:t>支座处，箱型填充体</w:t>
      </w:r>
      <w:r>
        <w:rPr>
          <w:rFonts w:hint="default"/>
          <w:highlight w:val="none"/>
          <w:lang w:val="en-US" w:eastAsia="zh-CN"/>
        </w:rPr>
        <w:t>与</w:t>
      </w:r>
      <w:r>
        <w:rPr>
          <w:rFonts w:hint="eastAsia"/>
          <w:highlight w:val="none"/>
          <w:lang w:val="en-US" w:eastAsia="zh-CN"/>
        </w:rPr>
        <w:t>水平支承构件框架梁、暗梁、剪力墙</w:t>
      </w:r>
      <w:r>
        <w:rPr>
          <w:rFonts w:hint="default"/>
          <w:highlight w:val="none"/>
          <w:lang w:val="en-US" w:eastAsia="zh-CN"/>
        </w:rPr>
        <w:t>间的实心区域</w:t>
      </w:r>
      <w:r>
        <w:rPr>
          <w:rFonts w:hint="eastAsia"/>
          <w:highlight w:val="none"/>
          <w:lang w:val="en-US" w:eastAsia="zh-CN"/>
        </w:rPr>
        <w:t>宜</w:t>
      </w:r>
      <w:r>
        <w:rPr>
          <w:rFonts w:hint="default"/>
          <w:highlight w:val="none"/>
          <w:lang w:val="en-US" w:eastAsia="zh-CN"/>
        </w:rPr>
        <w:t>配置附加箍筋</w:t>
      </w:r>
      <w:r>
        <w:rPr>
          <w:rFonts w:hint="eastAsia"/>
          <w:highlight w:val="none"/>
          <w:lang w:val="en-US" w:eastAsia="zh-CN"/>
        </w:rPr>
        <w:t>；附加箍筋</w:t>
      </w:r>
      <w:r>
        <w:rPr>
          <w:rFonts w:hint="default"/>
          <w:highlight w:val="none"/>
          <w:lang w:val="en-US" w:eastAsia="zh-CN"/>
        </w:rPr>
        <w:t>直径不宜小于8mm</w:t>
      </w:r>
      <w:r>
        <w:rPr>
          <w:rFonts w:hint="eastAsia"/>
          <w:highlight w:val="none"/>
          <w:lang w:val="en-US" w:eastAsia="zh-CN"/>
        </w:rPr>
        <w:t>，且宜与预制底板下翼缘板外伸钢筋一一对应设置；实心区域附加箍筋范围内沿板顶、板底宜增设附加纵筋，纵筋</w:t>
      </w:r>
      <w:r>
        <w:rPr>
          <w:rFonts w:hint="default"/>
          <w:highlight w:val="none"/>
          <w:lang w:val="en-US" w:eastAsia="zh-CN"/>
        </w:rPr>
        <w:t>直径不宜小于</w:t>
      </w:r>
      <w:r>
        <w:rPr>
          <w:rFonts w:hint="eastAsia"/>
          <w:highlight w:val="none"/>
          <w:lang w:val="en-US" w:eastAsia="zh-CN"/>
        </w:rPr>
        <w:t>14</w:t>
      </w:r>
      <w:r>
        <w:rPr>
          <w:rFonts w:hint="default"/>
          <w:highlight w:val="none"/>
          <w:lang w:val="en-US" w:eastAsia="zh-CN"/>
        </w:rPr>
        <w:t>mm</w:t>
      </w:r>
      <w:r>
        <w:rPr>
          <w:rFonts w:hint="eastAsia"/>
          <w:highlight w:val="none"/>
          <w:lang w:val="en-US" w:eastAsia="zh-CN"/>
        </w:rPr>
        <w:t>，间距不宜大于150mm</w:t>
      </w:r>
      <w:r>
        <w:rPr>
          <w:rFonts w:hint="default"/>
          <w:highlight w:val="none"/>
          <w:lang w:val="en-US" w:eastAsia="zh-CN"/>
        </w:rPr>
        <w:t>。</w:t>
      </w:r>
      <w:r>
        <w:rPr>
          <w:rFonts w:hint="eastAsia"/>
          <w:highlight w:val="none"/>
          <w:lang w:val="en-US" w:eastAsia="zh-CN"/>
        </w:rPr>
        <w:t>如图5.7.3所示。</w:t>
      </w:r>
    </w:p>
    <w:p>
      <w:pPr>
        <w:pStyle w:val="20"/>
        <w:jc w:val="center"/>
        <w:rPr>
          <w:rFonts w:hint="default"/>
          <w:lang w:val="en-US" w:eastAsia="zh-CN"/>
        </w:rPr>
      </w:pPr>
      <w:r>
        <w:drawing>
          <wp:inline distT="0" distB="0" distL="114300" distR="114300">
            <wp:extent cx="4669790" cy="1771015"/>
            <wp:effectExtent l="0" t="0" r="16510" b="635"/>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pic:cNvPicPr>
                      <a:picLocks noChangeAspect="1"/>
                    </pic:cNvPicPr>
                  </pic:nvPicPr>
                  <pic:blipFill>
                    <a:blip r:embed="rId25"/>
                    <a:stretch>
                      <a:fillRect/>
                    </a:stretch>
                  </pic:blipFill>
                  <pic:spPr>
                    <a:xfrm>
                      <a:off x="0" y="0"/>
                      <a:ext cx="4669790" cy="1771015"/>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eastAsia="宋体"/>
          <w:lang w:val="en-US" w:eastAsia="zh-CN"/>
        </w:rPr>
      </w:pPr>
      <w:r>
        <w:rPr>
          <w:rFonts w:hint="eastAsia"/>
          <w:lang w:val="en-US" w:eastAsia="zh-CN"/>
        </w:rPr>
        <w:t>（a）中间支座                     （b）边支座</w:t>
      </w:r>
    </w:p>
    <w:p>
      <w:pPr>
        <w:pStyle w:val="20"/>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pPr>
      <w:r>
        <w:rPr>
          <w:rFonts w:hint="eastAsia"/>
          <w:highlight w:val="none"/>
          <w:lang w:val="en-US" w:eastAsia="zh-CN"/>
        </w:rPr>
        <w:t>图5.7.3 空心叠合板支座处实心区域钢筋构造示意</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lang w:val="en-US" w:eastAsia="zh-CN"/>
        </w:rPr>
      </w:pPr>
      <w:r>
        <w:rPr>
          <w:rFonts w:hint="default" w:ascii="Times New Roman" w:hAnsi="Times New Roman" w:eastAsia="宋体" w:cstheme="minorBidi"/>
          <w:kern w:val="2"/>
          <w:sz w:val="21"/>
          <w:szCs w:val="21"/>
          <w:lang w:val="en-US" w:eastAsia="zh-CN" w:bidi="ar-SA"/>
        </w:rPr>
        <w:t>1—</w:t>
      </w:r>
      <w:r>
        <w:rPr>
          <w:rFonts w:hint="eastAsia" w:ascii="Times New Roman" w:hAnsi="Times New Roman" w:cstheme="minorBidi"/>
          <w:kern w:val="2"/>
          <w:sz w:val="21"/>
          <w:szCs w:val="21"/>
          <w:lang w:val="en-US" w:eastAsia="zh-CN" w:bidi="ar-SA"/>
        </w:rPr>
        <w:t>预制底板</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支承构件；3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箱型填充体；</w:t>
      </w:r>
      <w:r>
        <w:rPr>
          <w:rFonts w:hint="eastAsia" w:ascii="Times New Roman" w:hAnsi="Times New Roman" w:cstheme="minorBidi"/>
          <w:kern w:val="2"/>
          <w:sz w:val="21"/>
          <w:szCs w:val="21"/>
          <w:lang w:val="en-US" w:eastAsia="zh-CN" w:bidi="ar-SA"/>
        </w:rPr>
        <w:t>4</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附加纵筋</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5</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附加箍筋；</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default" w:ascii="Times New Roman" w:hAnsi="Times New Roman" w:eastAsia="宋体" w:cs="Times New Roman"/>
          <w:color w:val="auto"/>
          <w:kern w:val="2"/>
          <w:sz w:val="24"/>
          <w:szCs w:val="24"/>
          <w:u w:val="single"/>
          <w:lang w:val="en-US" w:eastAsia="zh-CN" w:bidi="ar-SA"/>
        </w:rPr>
        <w:t>5.7.3</w:t>
      </w:r>
      <w:r>
        <w:rPr>
          <w:rFonts w:hint="default" w:ascii="Times New Roman" w:hAnsi="Times New Roman" w:cs="Times New Roman"/>
          <w:u w:val="single"/>
          <w:lang w:val="en-US" w:eastAsia="zh-CN"/>
        </w:rPr>
        <w:t xml:space="preserve"> 实心区域配置附加箍筋，既可以增强支座处空心叠合板的抗剪能力，也可以通过间接搭接方式保证预制底板下翼缘板外伸钢筋伸入支座的长度满足要求。由于下翼缘板外伸钢筋的长度可以达到0.8La以上，下皮钢筋在此处基本不受力，或者承受有限的温度作用，钢筋的搭接长度可以满足要求。另外，附加箍筋与预制底板下翼缘板外伸钢筋一一对应设置（位置对应、间距相同），可以保证钢筋搭接的效果。</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u w:val="single"/>
          <w:lang w:val="en-US" w:eastAsia="zh-CN"/>
        </w:rPr>
      </w:pPr>
      <w:r>
        <w:rPr>
          <w:rFonts w:hint="eastAsia"/>
          <w:u w:val="single"/>
          <w:lang w:val="en-US" w:eastAsia="zh-CN"/>
        </w:rPr>
        <w:t>实际工程中附加箍筋施工困难时，也可参考</w:t>
      </w:r>
      <w:r>
        <w:rPr>
          <w:rFonts w:hint="default"/>
          <w:u w:val="single"/>
          <w:lang w:val="en-US" w:eastAsia="zh-CN"/>
        </w:rPr>
        <w:t>现行</w:t>
      </w:r>
      <w:r>
        <w:rPr>
          <w:rFonts w:hint="eastAsia"/>
          <w:u w:val="single"/>
          <w:lang w:val="en-US" w:eastAsia="zh-CN"/>
        </w:rPr>
        <w:t>国家</w:t>
      </w:r>
      <w:r>
        <w:rPr>
          <w:rFonts w:hint="default"/>
          <w:u w:val="single"/>
          <w:lang w:val="en-US" w:eastAsia="zh-CN"/>
        </w:rPr>
        <w:t>标准</w:t>
      </w:r>
      <w:r>
        <w:rPr>
          <w:rFonts w:hint="eastAsia"/>
          <w:u w:val="single"/>
          <w:lang w:val="en-US" w:eastAsia="zh-CN"/>
        </w:rPr>
        <w:t>《装配式混凝土结构技术规程》</w:t>
      </w:r>
      <w:r>
        <w:rPr>
          <w:rFonts w:hint="default" w:ascii="Times New Roman" w:hAnsi="Times New Roman" w:cs="Times New Roman"/>
          <w:u w:val="single"/>
          <w:lang w:val="en-US" w:eastAsia="zh-CN"/>
        </w:rPr>
        <w:t>JGJ 1</w:t>
      </w:r>
      <w:r>
        <w:rPr>
          <w:rFonts w:hint="eastAsia"/>
          <w:u w:val="single"/>
          <w:lang w:val="en-US" w:eastAsia="zh-CN"/>
        </w:rPr>
        <w:t>中关于叠合梁采用组合封闭箍筋的做法。</w:t>
      </w:r>
    </w:p>
    <w:p>
      <w:pPr>
        <w:numPr>
          <w:ilvl w:val="2"/>
          <w:numId w:val="1"/>
        </w:numPr>
        <w:bidi w:val="0"/>
        <w:rPr>
          <w:rFonts w:hint="default"/>
          <w:lang w:val="en-US" w:eastAsia="zh-CN"/>
        </w:rPr>
      </w:pPr>
      <w:r>
        <w:rPr>
          <w:rFonts w:hint="eastAsia"/>
          <w:lang w:val="en-US" w:eastAsia="zh-CN"/>
        </w:rPr>
        <w:t>空心叠合板支座处，上翼缘板钢筋宜连续布置，并锚进周边支座内。</w:t>
      </w:r>
    </w:p>
    <w:p>
      <w:pPr>
        <w:numPr>
          <w:ilvl w:val="0"/>
          <w:numId w:val="0"/>
        </w:numPr>
        <w:tabs>
          <w:tab w:val="left" w:pos="0"/>
        </w:tabs>
        <w:bidi w:val="0"/>
        <w:ind w:leftChars="0"/>
        <w:rPr>
          <w:rFonts w:hint="default"/>
          <w:u w:val="single"/>
          <w:lang w:val="en-US" w:eastAsia="zh-CN"/>
        </w:rPr>
      </w:pPr>
      <w:r>
        <w:rPr>
          <w:rFonts w:hint="eastAsia"/>
          <w:u w:val="single"/>
          <w:lang w:val="en-US" w:eastAsia="zh-CN"/>
        </w:rPr>
        <w:t>【条文说明】5.7.4 上翼缘板钢筋无论是单层钢筋网、还是双层钢筋网，在靠近周边支座处，钢筋参与空心叠合板整体抗弯会承受拉应力；并且，上翼缘板钢筋还要承受肋梁之间的局部竖向荷载。因此，规定上翼缘板钢筋均宜连续布置，并锚进周边支座内。</w:t>
      </w:r>
    </w:p>
    <w:p>
      <w:pPr>
        <w:numPr>
          <w:ilvl w:val="2"/>
          <w:numId w:val="1"/>
        </w:numPr>
        <w:bidi w:val="0"/>
        <w:rPr>
          <w:rFonts w:hint="default"/>
          <w:lang w:val="en-US" w:eastAsia="zh-CN"/>
        </w:rPr>
      </w:pPr>
      <w:r>
        <w:rPr>
          <w:rFonts w:hint="eastAsia"/>
          <w:lang w:val="en-US" w:eastAsia="zh-CN"/>
        </w:rPr>
        <w:t>空心叠合板支座处，叠合肋梁下皮纵筋宜采用间接搭接方式伸进支座框架梁、暗梁、剪力墙内；可采用在叠合肋梁端部顶面留设的肋顶凹槽内设置搭接钢筋的方式进行。凹槽的高度宜与边肋的高度相同，宽度宜为50mm。下皮纵筋不承受拉应力时，搭接长度ls宜为1.2la，搭接钢筋面积不宜小于下皮纵筋的1/3，搭接钢筋伸进支座内的长度</w:t>
      </w:r>
      <w:r>
        <w:rPr>
          <w:rFonts w:hint="eastAsia"/>
          <w:highlight w:val="none"/>
          <w:lang w:val="en-US" w:eastAsia="zh-CN"/>
        </w:rPr>
        <w:t>l</w:t>
      </w:r>
      <w:r>
        <w:rPr>
          <w:rFonts w:hint="default"/>
          <w:highlight w:val="none"/>
          <w:lang w:val="en-US" w:eastAsia="zh-CN"/>
        </w:rPr>
        <w:t>’</w:t>
      </w:r>
      <w:r>
        <w:rPr>
          <w:rFonts w:hint="eastAsia"/>
          <w:highlight w:val="none"/>
          <w:lang w:val="en-US" w:eastAsia="zh-CN"/>
        </w:rPr>
        <w:t>s</w:t>
      </w:r>
      <w:r>
        <w:rPr>
          <w:rFonts w:hint="eastAsia"/>
          <w:lang w:val="en-US" w:eastAsia="zh-CN"/>
        </w:rPr>
        <w:t>不小于12d，且宜伸至支座中心线；下皮纵筋承受拉应力时，搭接长度ls宜为1.6la，搭接钢筋面积宜按计算确定并不小于下皮纵筋的1/3，搭接钢筋宜伸进支座内长度</w:t>
      </w:r>
      <w:r>
        <w:rPr>
          <w:rFonts w:hint="eastAsia"/>
          <w:highlight w:val="none"/>
          <w:lang w:val="en-US" w:eastAsia="zh-CN"/>
        </w:rPr>
        <w:t>l</w:t>
      </w:r>
      <w:r>
        <w:rPr>
          <w:rFonts w:hint="default"/>
          <w:highlight w:val="none"/>
          <w:lang w:val="en-US" w:eastAsia="zh-CN"/>
        </w:rPr>
        <w:t>’</w:t>
      </w:r>
      <w:r>
        <w:rPr>
          <w:rFonts w:hint="eastAsia"/>
          <w:highlight w:val="none"/>
          <w:lang w:val="en-US" w:eastAsia="zh-CN"/>
        </w:rPr>
        <w:t>s</w:t>
      </w:r>
      <w:r>
        <w:rPr>
          <w:rFonts w:hint="eastAsia"/>
          <w:lang w:val="en-US" w:eastAsia="zh-CN"/>
        </w:rPr>
        <w:t>不小于la。位于中间支座时，搭接钢筋可连续设置。</w:t>
      </w:r>
    </w:p>
    <w:p>
      <w:pPr>
        <w:pStyle w:val="20"/>
      </w:pPr>
      <w:r>
        <w:drawing>
          <wp:inline distT="0" distB="0" distL="114300" distR="114300">
            <wp:extent cx="4524375" cy="1504950"/>
            <wp:effectExtent l="0" t="0" r="9525" b="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6"/>
                    <a:stretch>
                      <a:fillRect/>
                    </a:stretch>
                  </pic:blipFill>
                  <pic:spPr>
                    <a:xfrm>
                      <a:off x="0" y="0"/>
                      <a:ext cx="4524375" cy="1504950"/>
                    </a:xfrm>
                    <a:prstGeom prst="rect">
                      <a:avLst/>
                    </a:prstGeom>
                    <a:noFill/>
                    <a:ln>
                      <a:noFill/>
                    </a:ln>
                  </pic:spPr>
                </pic:pic>
              </a:graphicData>
            </a:graphic>
          </wp:inline>
        </w:drawing>
      </w:r>
    </w:p>
    <w:p>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eastAsia="宋体"/>
          <w:lang w:val="en-US" w:eastAsia="zh-CN"/>
        </w:rPr>
      </w:pPr>
      <w:r>
        <w:rPr>
          <w:rFonts w:hint="eastAsia"/>
          <w:lang w:val="en-US" w:eastAsia="zh-CN"/>
        </w:rPr>
        <w:t>（a）中间支座                     （b）边支座</w:t>
      </w:r>
    </w:p>
    <w:p>
      <w:pPr>
        <w:pStyle w:val="20"/>
        <w:spacing w:line="360" w:lineRule="auto"/>
        <w:jc w:val="center"/>
        <w:rPr>
          <w:rFonts w:hint="eastAsia"/>
          <w:highlight w:val="none"/>
          <w:lang w:val="en-US" w:eastAsia="zh-CN"/>
        </w:rPr>
      </w:pPr>
      <w:r>
        <w:rPr>
          <w:rFonts w:hint="eastAsia"/>
          <w:highlight w:val="none"/>
          <w:lang w:val="en-US" w:eastAsia="zh-CN"/>
        </w:rPr>
        <w:t>图5.7.5 叠合肋梁支座处底筋构造示意</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both"/>
        <w:textAlignment w:val="auto"/>
        <w:rPr>
          <w:rFonts w:hint="default"/>
          <w:lang w:val="en-US" w:eastAsia="zh-CN"/>
        </w:rPr>
      </w:pPr>
      <w:r>
        <w:rPr>
          <w:rFonts w:hint="default" w:ascii="Times New Roman" w:hAnsi="Times New Roman" w:eastAsia="宋体" w:cstheme="minorBidi"/>
          <w:kern w:val="2"/>
          <w:sz w:val="21"/>
          <w:szCs w:val="21"/>
          <w:lang w:val="en-US" w:eastAsia="zh-CN" w:bidi="ar-SA"/>
        </w:rPr>
        <w:t>1—</w:t>
      </w:r>
      <w:r>
        <w:rPr>
          <w:rFonts w:hint="eastAsia" w:ascii="Times New Roman" w:hAnsi="Times New Roman" w:cstheme="minorBidi"/>
          <w:kern w:val="2"/>
          <w:sz w:val="21"/>
          <w:szCs w:val="21"/>
          <w:lang w:val="en-US" w:eastAsia="zh-CN" w:bidi="ar-SA"/>
        </w:rPr>
        <w:t>叠合肋梁</w:t>
      </w:r>
      <w:r>
        <w:rPr>
          <w:rFonts w:hint="default" w:ascii="Times New Roman" w:hAnsi="Times New Roman" w:eastAsia="宋体" w:cstheme="minorBidi"/>
          <w:kern w:val="2"/>
          <w:sz w:val="21"/>
          <w:szCs w:val="21"/>
          <w:lang w:val="en-US" w:eastAsia="zh-CN" w:bidi="ar-SA"/>
        </w:rPr>
        <w:t>；2—</w:t>
      </w:r>
      <w:r>
        <w:rPr>
          <w:rFonts w:hint="eastAsia" w:cstheme="minorBidi"/>
          <w:kern w:val="2"/>
          <w:sz w:val="21"/>
          <w:szCs w:val="21"/>
          <w:lang w:val="en-US" w:eastAsia="zh-CN" w:bidi="ar-SA"/>
        </w:rPr>
        <w:t>支承构件；3</w:t>
      </w:r>
      <w:r>
        <w:rPr>
          <w:rFonts w:hint="default" w:ascii="Times New Roman" w:hAnsi="Times New Roman" w:eastAsia="宋体" w:cstheme="minorBidi"/>
          <w:kern w:val="2"/>
          <w:sz w:val="21"/>
          <w:szCs w:val="21"/>
          <w:lang w:val="en-US" w:eastAsia="zh-CN" w:bidi="ar-SA"/>
        </w:rPr>
        <w:t>—</w:t>
      </w:r>
      <w:r>
        <w:rPr>
          <w:rFonts w:hint="eastAsia" w:cstheme="minorBidi"/>
          <w:kern w:val="2"/>
          <w:sz w:val="21"/>
          <w:szCs w:val="21"/>
          <w:lang w:val="en-US" w:eastAsia="zh-CN" w:bidi="ar-SA"/>
        </w:rPr>
        <w:t>搭接槽；</w:t>
      </w:r>
      <w:r>
        <w:rPr>
          <w:rFonts w:hint="eastAsia" w:ascii="Times New Roman" w:hAnsi="Times New Roman" w:cstheme="minorBidi"/>
          <w:kern w:val="2"/>
          <w:sz w:val="21"/>
          <w:szCs w:val="21"/>
          <w:lang w:val="en-US" w:eastAsia="zh-CN" w:bidi="ar-SA"/>
        </w:rPr>
        <w:t>4</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后浇叠合层；5</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叠合肋梁下皮纵筋</w:t>
      </w:r>
      <w:r>
        <w:rPr>
          <w:rFonts w:hint="eastAsia"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6</w:t>
      </w:r>
      <w:r>
        <w:rPr>
          <w:rFonts w:hint="default" w:ascii="Times New Roman" w:hAnsi="Times New Roman" w:eastAsia="宋体" w:cstheme="minorBidi"/>
          <w:kern w:val="2"/>
          <w:sz w:val="21"/>
          <w:szCs w:val="21"/>
          <w:lang w:val="en-US" w:eastAsia="zh-CN" w:bidi="ar-SA"/>
        </w:rPr>
        <w:t>—</w:t>
      </w:r>
      <w:r>
        <w:rPr>
          <w:rFonts w:hint="eastAsia" w:ascii="Times New Roman" w:hAnsi="Times New Roman" w:cstheme="minorBidi"/>
          <w:kern w:val="2"/>
          <w:sz w:val="21"/>
          <w:szCs w:val="21"/>
          <w:lang w:val="en-US" w:eastAsia="zh-CN" w:bidi="ar-SA"/>
        </w:rPr>
        <w:t>附加搭接钢筋</w:t>
      </w:r>
      <w:r>
        <w:rPr>
          <w:rFonts w:hint="eastAsia" w:cstheme="minorBidi"/>
          <w:kern w:val="2"/>
          <w:sz w:val="21"/>
          <w:szCs w:val="21"/>
          <w:lang w:val="en-US" w:eastAsia="zh-CN" w:bidi="ar-SA"/>
        </w:rPr>
        <w:t>；</w:t>
      </w:r>
    </w:p>
    <w:p>
      <w:pPr>
        <w:pStyle w:val="20"/>
        <w:spacing w:line="360" w:lineRule="auto"/>
        <w:rPr>
          <w:rFonts w:hint="default" w:ascii="Times New Roman" w:hAnsi="Times New Roman" w:cs="Times New Roman"/>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5.7.5</w:t>
      </w:r>
      <w:r>
        <w:rPr>
          <w:rFonts w:hint="eastAsia"/>
          <w:highlight w:val="none"/>
          <w:u w:val="single"/>
          <w:lang w:val="en-US" w:eastAsia="zh-CN"/>
        </w:rPr>
        <w:t xml:space="preserve"> </w:t>
      </w:r>
      <w:r>
        <w:rPr>
          <w:rFonts w:hint="default" w:ascii="Times New Roman" w:hAnsi="Times New Roman" w:cs="Times New Roman"/>
          <w:highlight w:val="none"/>
          <w:u w:val="single"/>
          <w:lang w:val="en-US" w:eastAsia="zh-CN"/>
        </w:rPr>
        <w:t>为了做到预制底板的标准化，叠合肋梁下皮钢筋伸出是长度固定的，并且是按照相邻预制底板的叠合肋梁在后浇肋梁内进行</w:t>
      </w:r>
      <w:r>
        <w:rPr>
          <w:rFonts w:hint="default" w:ascii="Times New Roman" w:hAnsi="Times New Roman" w:cs="Times New Roman"/>
          <w:u w:val="single"/>
          <w:lang w:val="en-US" w:eastAsia="zh-CN"/>
        </w:rPr>
        <w:t>套筒挤压接头</w:t>
      </w:r>
      <w:r>
        <w:rPr>
          <w:rFonts w:hint="default" w:ascii="Times New Roman" w:hAnsi="Times New Roman" w:cs="Times New Roman"/>
          <w:highlight w:val="none"/>
          <w:u w:val="single"/>
          <w:lang w:val="en-US" w:eastAsia="zh-CN"/>
        </w:rPr>
        <w:t>机械连接留设的。但在支座位置，叠合肋梁下皮纵筋伸出长度明显不足，需要采用间接搭接钢筋方式将下皮纵筋锚固到框架梁、暗梁、剪力墙内。设置凹槽的目的是为了让搭接钢筋与叠合肋梁下皮钢筋尽可能接近，同时考虑到生产的方便程度，规定凹槽的高度同边肋；凹槽的宽度一般为50mm，叠合肋梁箍筋内部能够放置搭接钢筋即可。边肋高度一般情况下采用90mm，如果叠合肋梁下皮钢筋直径为22mm、箍筋直径为6mm，空心叠合板保护层厚度采用15mm，搭接钢筋直接搁置在凹槽顶部，则叠合肋梁下皮钢筋与搭接钢筋之间的净距为47mm，远小于0.2倍的搭接长度和152mm，可以保证钢筋间接搭接的效果（ACI318－11规定，受弯构件中，间接搭接钢筋横向间距不应大于0．2倍搭接长度和6英寸(152mm)二者的较小值）。</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highlight w:val="none"/>
          <w:u w:val="single"/>
          <w:lang w:val="en-US" w:eastAsia="zh-CN"/>
        </w:rPr>
      </w:pPr>
      <w:r>
        <w:rPr>
          <w:rFonts w:hint="default" w:ascii="Times New Roman" w:hAnsi="Times New Roman" w:cs="Times New Roman"/>
          <w:highlight w:val="none"/>
          <w:u w:val="single"/>
          <w:lang w:val="en-US" w:eastAsia="zh-CN"/>
        </w:rPr>
        <w:t>一般情况下，支座梁处为负弯矩，空心叠合板下皮纵筋不承受拉力，此时，叠合肋梁下皮纵筋的搭接长度为0.7*1.6la=1.12la，向上取为1.2la；搭接钢筋面积不宜小于下皮纵筋的1/3，搭接钢筋参考次梁要求偏严格地</w:t>
      </w:r>
      <w:r>
        <w:rPr>
          <w:rFonts w:hint="default" w:ascii="Times New Roman" w:hAnsi="Times New Roman" w:cs="Times New Roman"/>
          <w:u w:val="single"/>
          <w:lang w:val="en-US" w:eastAsia="zh-CN"/>
        </w:rPr>
        <w:t>伸进框架梁、暗梁内不小于12d，且</w:t>
      </w:r>
      <w:r>
        <w:rPr>
          <w:rFonts w:hint="default" w:ascii="Times New Roman" w:hAnsi="Times New Roman" w:cs="Times New Roman"/>
          <w:highlight w:val="none"/>
          <w:u w:val="single"/>
          <w:lang w:val="en-US" w:eastAsia="zh-CN"/>
        </w:rPr>
        <w:t>宜伸至框架梁、暗梁、剪力墙中心线。当因为混凝土收缩或者温度作用下皮纵筋承受拉应力时，叠合肋梁下皮纵筋的搭接长度为1.6la，搭接钢筋面积宜按计算确定并不小于下皮纵筋的1/3，搭接钢筋宜伸进框架梁、暗梁、剪力墙内长度不小于la。</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highlight w:val="none"/>
          <w:u w:val="single"/>
          <w:lang w:val="en-US" w:eastAsia="zh-CN"/>
        </w:rPr>
      </w:pPr>
      <w:r>
        <w:rPr>
          <w:rFonts w:hint="default" w:ascii="Times New Roman" w:hAnsi="Times New Roman" w:cs="Times New Roman"/>
          <w:highlight w:val="none"/>
          <w:u w:val="single"/>
          <w:lang w:val="en-US" w:eastAsia="zh-CN"/>
        </w:rPr>
        <w:t>位于中间支座时，搭接钢筋跨支座连续设置，可避免支座处搭接钢筋过多影响混凝土浇筑质量。</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u w:val="single"/>
          <w:lang w:val="en-US" w:eastAsia="zh-CN"/>
        </w:rPr>
        <w:t>“搭接钢筋面积宜按计算确定并不小于下皮纵筋的1/3”，参考了</w:t>
      </w:r>
      <w:r>
        <w:rPr>
          <w:rFonts w:hint="default" w:ascii="Times New Roman" w:hAnsi="Times New Roman" w:cs="Times New Roman"/>
          <w:u w:val="single"/>
          <w:lang w:val="en-US" w:eastAsia="zh-CN"/>
        </w:rPr>
        <w:t>《钢筋桁架混凝土叠合板应用技术规程》T/CECS 715-2020第5.4.6条的相应规定。</w:t>
      </w:r>
    </w:p>
    <w:p>
      <w:pPr>
        <w:numPr>
          <w:ilvl w:val="2"/>
          <w:numId w:val="1"/>
        </w:numPr>
        <w:bidi w:val="0"/>
        <w:rPr>
          <w:rFonts w:hint="default"/>
          <w:lang w:val="en-US" w:eastAsia="zh-CN"/>
        </w:rPr>
      </w:pPr>
      <w:r>
        <w:rPr>
          <w:rFonts w:hint="eastAsia"/>
          <w:lang w:val="en-US" w:eastAsia="zh-CN"/>
        </w:rPr>
        <w:t>空心叠合板支座处，后浇肋梁下皮纵筋不承受拉应力时，宜直接伸进框架梁、暗梁内不小于12d，且宜伸至框架梁、暗梁中心线；下皮纵筋承受拉应力时，宜伸进框架梁、暗梁内长度不小于la。</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5.7.6 </w:t>
      </w:r>
      <w:r>
        <w:rPr>
          <w:rFonts w:hint="eastAsia"/>
          <w:u w:val="single"/>
          <w:lang w:val="en-US" w:eastAsia="zh-CN"/>
        </w:rPr>
        <w:t>后浇肋梁所有钢筋均为现场绑扎，不存在钢筋搭接问题，钢筋正常锚入支座即可。钢筋锚入支座的长度偏严地参考次梁要求，也与叠合肋梁相同。</w:t>
      </w:r>
    </w:p>
    <w:p>
      <w:pPr>
        <w:numPr>
          <w:ilvl w:val="2"/>
          <w:numId w:val="1"/>
        </w:numPr>
        <w:bidi w:val="0"/>
        <w:rPr>
          <w:rFonts w:hint="default"/>
          <w:lang w:val="en-US" w:eastAsia="zh-CN"/>
        </w:rPr>
      </w:pPr>
      <w:r>
        <w:rPr>
          <w:rFonts w:hint="eastAsia"/>
          <w:lang w:val="en-US" w:eastAsia="zh-CN"/>
        </w:rPr>
        <w:t>肋梁上部纵筋、箍筋宜参考</w:t>
      </w:r>
      <w:r>
        <w:rPr>
          <w:rFonts w:hint="default"/>
          <w:lang w:val="en-US" w:eastAsia="zh-CN"/>
        </w:rPr>
        <w:t>现行国家标准《混凝土结构设计规范》GB 50010有关</w:t>
      </w:r>
      <w:r>
        <w:rPr>
          <w:rFonts w:hint="eastAsia"/>
          <w:lang w:val="en-US" w:eastAsia="zh-CN"/>
        </w:rPr>
        <w:t>次梁的有关构造要求。</w:t>
      </w:r>
    </w:p>
    <w:p>
      <w:pPr>
        <w:rPr>
          <w:rFonts w:hint="eastAsia"/>
          <w:u w:val="single"/>
          <w:lang w:val="en-US" w:eastAsia="zh-CN"/>
        </w:rPr>
      </w:pPr>
      <w:r>
        <w:rPr>
          <w:rFonts w:hint="eastAsia"/>
          <w:u w:val="single"/>
          <w:lang w:val="en-US" w:eastAsia="zh-CN"/>
        </w:rPr>
        <w:t>【条文说明】5.7.7 相邻区格内肋梁应连续布置，并且按照梁的配筋方式进行搭接和锚固；箍筋的设置也宜按照次梁的有关要求进行。</w:t>
      </w:r>
    </w:p>
    <w:p>
      <w:pPr>
        <w:pStyle w:val="20"/>
        <w:rPr>
          <w:rFonts w:hint="eastAsia"/>
          <w:lang w:val="en-US" w:eastAsia="zh-CN"/>
        </w:rPr>
      </w:pPr>
    </w:p>
    <w:p>
      <w:pPr>
        <w:pStyle w:val="20"/>
        <w:rPr>
          <w:rFonts w:hint="eastAsia"/>
          <w:lang w:val="en-US" w:eastAsia="zh-CN"/>
        </w:rPr>
      </w:pPr>
    </w:p>
    <w:p>
      <w:pPr>
        <w:pStyle w:val="20"/>
        <w:rPr>
          <w:rFonts w:hint="eastAsia"/>
          <w:lang w:val="en-US" w:eastAsia="zh-CN"/>
        </w:rPr>
      </w:pPr>
    </w:p>
    <w:p>
      <w:pPr>
        <w:rPr>
          <w:rFonts w:hint="default"/>
          <w:lang w:val="en-US" w:eastAsia="zh-CN"/>
        </w:rPr>
      </w:pPr>
      <w:r>
        <w:rPr>
          <w:rFonts w:hint="default"/>
          <w:lang w:val="en-US" w:eastAsia="zh-CN"/>
        </w:rPr>
        <w:br w:type="page"/>
      </w:r>
    </w:p>
    <w:p>
      <w:pPr>
        <w:pStyle w:val="3"/>
        <w:bidi w:val="0"/>
        <w:ind w:left="0" w:leftChars="0" w:firstLine="0" w:firstLineChars="0"/>
        <w:outlineLvl w:val="0"/>
        <w:rPr>
          <w:rFonts w:hint="default"/>
          <w:lang w:val="en-US" w:eastAsia="zh-CN"/>
        </w:rPr>
      </w:pPr>
      <w:bookmarkStart w:id="39" w:name="_Toc11264"/>
      <w:r>
        <w:rPr>
          <w:rFonts w:hint="eastAsia"/>
          <w:lang w:val="en-US" w:eastAsia="zh-CN"/>
        </w:rPr>
        <w:t>预制</w:t>
      </w:r>
      <w:r>
        <w:rPr>
          <w:rFonts w:hint="default"/>
          <w:lang w:val="en-US" w:eastAsia="zh-CN"/>
        </w:rPr>
        <w:t>底板生产与运输</w:t>
      </w:r>
      <w:bookmarkEnd w:id="39"/>
    </w:p>
    <w:p>
      <w:pPr>
        <w:pStyle w:val="4"/>
        <w:bidi w:val="0"/>
        <w:ind w:left="0" w:leftChars="0" w:firstLine="0" w:firstLineChars="0"/>
        <w:outlineLvl w:val="1"/>
        <w:rPr>
          <w:rFonts w:hint="default"/>
          <w:lang w:val="en-US" w:eastAsia="zh-CN"/>
        </w:rPr>
      </w:pPr>
      <w:bookmarkStart w:id="40" w:name="_Toc31601"/>
      <w:r>
        <w:rPr>
          <w:rFonts w:hint="default"/>
          <w:lang w:val="en-US" w:eastAsia="zh-CN"/>
        </w:rPr>
        <w:t>一般规定</w:t>
      </w:r>
      <w:bookmarkEnd w:id="40"/>
    </w:p>
    <w:p>
      <w:pPr>
        <w:numPr>
          <w:ilvl w:val="2"/>
          <w:numId w:val="1"/>
        </w:numPr>
        <w:bidi w:val="0"/>
        <w:rPr>
          <w:rFonts w:hint="default"/>
          <w:lang w:val="en-US" w:eastAsia="zh-CN"/>
        </w:rPr>
      </w:pPr>
      <w:r>
        <w:rPr>
          <w:rFonts w:hint="default"/>
          <w:lang w:val="en-US" w:eastAsia="zh-CN"/>
        </w:rPr>
        <w:t>预制底板生产企业应具备固定的生产场所，生产设备、设施和生产工艺应符合企业的生产规模、生产特点和质量要求，并应符合环境保护和安全生产要求。</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6.1.1</w:t>
      </w:r>
      <w:r>
        <w:rPr>
          <w:rFonts w:hint="eastAsia"/>
          <w:u w:val="single"/>
          <w:lang w:val="en-US" w:eastAsia="zh-CN"/>
        </w:rPr>
        <w:t xml:space="preserve"> </w:t>
      </w:r>
      <w:r>
        <w:rPr>
          <w:spacing w:val="-1"/>
          <w:sz w:val="24"/>
          <w:u w:val="single"/>
        </w:rPr>
        <w:t>预制底板生产企业的生产设备至少包括混凝土生产设备、运输设备、成</w:t>
      </w:r>
      <w:r>
        <w:rPr>
          <w:spacing w:val="-11"/>
          <w:sz w:val="24"/>
          <w:u w:val="single"/>
        </w:rPr>
        <w:t>型设备、养护设备、吊装设备等，生产场所应具有充足的构件堆放场地。</w:t>
      </w:r>
      <w:r>
        <w:rPr>
          <w:spacing w:val="-6"/>
          <w:sz w:val="24"/>
          <w:u w:val="single"/>
        </w:rPr>
        <w:t>生产设备、设施和生产工艺必须满足构件制作的质量技术要求；对于需要准确计量的设备、工</w:t>
      </w:r>
      <w:r>
        <w:rPr>
          <w:sz w:val="24"/>
          <w:u w:val="single"/>
        </w:rPr>
        <w:t>具必须按有关规定定期进行计量校准和认证。</w:t>
      </w:r>
    </w:p>
    <w:p>
      <w:pPr>
        <w:numPr>
          <w:ilvl w:val="2"/>
          <w:numId w:val="1"/>
        </w:numPr>
        <w:bidi w:val="0"/>
        <w:rPr>
          <w:rFonts w:hint="default"/>
          <w:lang w:val="en-US" w:eastAsia="zh-CN"/>
        </w:rPr>
      </w:pPr>
      <w:r>
        <w:rPr>
          <w:rFonts w:hint="default"/>
          <w:lang w:val="en-US" w:eastAsia="zh-CN"/>
        </w:rPr>
        <w:t>预制底板生产企业应建立完善的质量管理体系和检验制度，具备保证产品质量要求的原材料、半成品和成品试验检验能力，应建立可追溯的质量控制制度，有持证要求的岗位应持证上岗。</w:t>
      </w:r>
    </w:p>
    <w:p>
      <w:pPr>
        <w:pStyle w:val="20"/>
        <w:spacing w:line="360" w:lineRule="auto"/>
        <w:rPr>
          <w:rFonts w:hint="eastAsia"/>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6.1.2</w:t>
      </w:r>
      <w:r>
        <w:rPr>
          <w:rFonts w:hint="eastAsia"/>
          <w:u w:val="single"/>
          <w:lang w:val="en-US" w:eastAsia="zh-CN"/>
        </w:rPr>
        <w:t xml:space="preserve"> 完善的质量管理体系和制度是质量管理的前提条件和企业质量管理水平的体现。质量管理体系中应建立并保持与质量管理有关的文件形成和控制工作程序，该程序应包括文件的编制、审核、批准、发放、变更和保存等。</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u w:val="single"/>
          <w:lang w:val="en-US" w:eastAsia="zh-CN"/>
        </w:rPr>
        <w:t>生产单位宜采用现代化的信息管理系统，并建立统一的编码规则和标识系统。信息化管理系统应与生产单位的生产工艺流程相匹配，贯穿整个生产过程， 并应与构建 BIM 信息模型有接口，有利于在生产过程中控制构件生产质量，精确算量，并形成生产全过程记录文件及影像。预制底板表面宜预埋带无线射频芯片的标识卡（RFID 卡）或粘贴二维码，有利于实现建筑工程质量的全过程控制和追溯。芯片或二维码中应存入生产过程及质量控制的全部相关信息。</w:t>
      </w:r>
    </w:p>
    <w:p>
      <w:pPr>
        <w:numPr>
          <w:ilvl w:val="2"/>
          <w:numId w:val="1"/>
        </w:numPr>
        <w:bidi w:val="0"/>
        <w:rPr>
          <w:rFonts w:hint="default"/>
          <w:lang w:val="en-US" w:eastAsia="zh-CN"/>
        </w:rPr>
      </w:pPr>
      <w:r>
        <w:rPr>
          <w:rFonts w:hint="default"/>
          <w:lang w:val="en-US" w:eastAsia="zh-CN"/>
        </w:rPr>
        <w:t>预制底板生产企业应建立完善的安全生产管理制度，宜建立符合现行国家标准《企业安全生产标准化基本规范》GB/T 33000规定的安全生产标准化管理体系，且宜通过三级以上安全生产标准化评审。</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6.1.3</w:t>
      </w:r>
      <w:r>
        <w:rPr>
          <w:rFonts w:hint="eastAsia"/>
          <w:u w:val="single"/>
          <w:lang w:val="en-US" w:eastAsia="zh-CN"/>
        </w:rPr>
        <w:t xml:space="preserve"> </w:t>
      </w:r>
      <w:r>
        <w:rPr>
          <w:sz w:val="24"/>
          <w:u w:val="single"/>
        </w:rPr>
        <w:t>安全生产规章制度是指生产经营规章单位依据国家有关法律法规、行业标准，结合生产经营的安全生产实际，以生产经营单位名义颁发的规范性文件。</w:t>
      </w:r>
      <w:r>
        <w:rPr>
          <w:spacing w:val="-17"/>
          <w:sz w:val="24"/>
          <w:u w:val="single"/>
        </w:rPr>
        <w:t>是防范生产、经营过程安全风险，保障从业人员安全健康、财产安全的重要手段。</w:t>
      </w:r>
      <w:r>
        <w:rPr>
          <w:spacing w:val="-5"/>
          <w:sz w:val="24"/>
          <w:u w:val="single"/>
        </w:rPr>
        <w:t>建立健全安全规章制度是生产经营单位的法定责任。安全生产规章制度一般分为</w:t>
      </w:r>
      <w:r>
        <w:rPr>
          <w:spacing w:val="-11"/>
          <w:sz w:val="24"/>
          <w:u w:val="single"/>
        </w:rPr>
        <w:t>四类，即综合安全管理制度、人员安全管理制度、设备设施安全管理制度及环境安全管理制度等。</w:t>
      </w:r>
    </w:p>
    <w:p>
      <w:pPr>
        <w:numPr>
          <w:ilvl w:val="2"/>
          <w:numId w:val="1"/>
        </w:numPr>
        <w:bidi w:val="0"/>
        <w:rPr>
          <w:rFonts w:hint="default"/>
          <w:lang w:val="en-US" w:eastAsia="zh-CN"/>
        </w:rPr>
      </w:pPr>
      <w:r>
        <w:rPr>
          <w:rFonts w:hint="default"/>
          <w:lang w:val="en-US" w:eastAsia="zh-CN"/>
        </w:rPr>
        <w:t>预制底板生产前，应由建设单位组织设计单位、生产企业、施工单位、监理单位进行设计文件交底和图纸会审。当设计文件深度不足以指导生产时，应根据批准的设计文件、拟定的生产工艺、运输吊装方案等编制构件加工详图。</w:t>
      </w:r>
    </w:p>
    <w:p>
      <w:pPr>
        <w:pStyle w:val="20"/>
        <w:spacing w:line="360" w:lineRule="auto"/>
        <w:rPr>
          <w:rFonts w:hint="default"/>
          <w:lang w:val="en-US" w:eastAsia="zh-CN"/>
        </w:rPr>
      </w:pPr>
      <w:r>
        <w:rPr>
          <w:rFonts w:hint="eastAsia"/>
          <w:spacing w:val="-8"/>
          <w:sz w:val="24"/>
          <w:u w:val="single"/>
          <w:lang w:eastAsia="zh-CN"/>
        </w:rPr>
        <w:t>【</w:t>
      </w:r>
      <w:r>
        <w:rPr>
          <w:rFonts w:hint="eastAsia"/>
          <w:spacing w:val="-8"/>
          <w:sz w:val="24"/>
          <w:u w:val="single"/>
          <w:lang w:val="en-US" w:eastAsia="zh-CN"/>
        </w:rPr>
        <w:t>条文说明</w:t>
      </w:r>
      <w:r>
        <w:rPr>
          <w:rFonts w:hint="eastAsia"/>
          <w:spacing w:val="-8"/>
          <w:sz w:val="24"/>
          <w:u w:val="single"/>
          <w:lang w:eastAsia="zh-CN"/>
        </w:rPr>
        <w:t>】</w:t>
      </w:r>
      <w:r>
        <w:rPr>
          <w:rFonts w:hint="eastAsia" w:ascii="Times New Roman" w:hAnsi="Times New Roman" w:eastAsia="宋体" w:cstheme="minorBidi"/>
          <w:color w:val="auto"/>
          <w:kern w:val="2"/>
          <w:sz w:val="24"/>
          <w:szCs w:val="24"/>
          <w:u w:val="single"/>
          <w:lang w:val="en-US" w:eastAsia="zh-CN" w:bidi="ar-SA"/>
        </w:rPr>
        <w:t>6.1.4</w:t>
      </w:r>
      <w:r>
        <w:rPr>
          <w:rFonts w:hint="eastAsia"/>
          <w:spacing w:val="-8"/>
          <w:sz w:val="24"/>
          <w:u w:val="single"/>
          <w:lang w:val="en-US" w:eastAsia="zh-CN"/>
        </w:rPr>
        <w:t xml:space="preserve"> </w:t>
      </w:r>
      <w:r>
        <w:rPr>
          <w:spacing w:val="-8"/>
          <w:sz w:val="24"/>
          <w:u w:val="single"/>
        </w:rPr>
        <w:t>技术交底包括制定生产工艺方案、生产计划、操作程序、质量控制措施、</w:t>
      </w:r>
      <w:r>
        <w:rPr>
          <w:spacing w:val="-9"/>
          <w:sz w:val="24"/>
          <w:u w:val="single"/>
        </w:rPr>
        <w:t>成品保护、运输与堆放要求等内容。预制底板的设计需综合考虑生产、运输、安</w:t>
      </w:r>
      <w:r>
        <w:rPr>
          <w:spacing w:val="-12"/>
          <w:sz w:val="24"/>
          <w:u w:val="single"/>
        </w:rPr>
        <w:t>装的要求，采用标准化的尺寸和构造形式，减少预制底板种类和模具类型，使制作简单、运输安装方便。当设计文件深度不足以指导生产时，需要生产单位或专</w:t>
      </w:r>
      <w:r>
        <w:rPr>
          <w:spacing w:val="-15"/>
          <w:sz w:val="24"/>
          <w:u w:val="single"/>
        </w:rPr>
        <w:t>业公司另行制作加工详图。</w:t>
      </w:r>
      <w:r>
        <w:rPr>
          <w:u w:val="single"/>
        </w:rPr>
        <w:t>如果加工详图与设计文件意图不同时，应经原设计单位认可。</w:t>
      </w:r>
    </w:p>
    <w:p>
      <w:pPr>
        <w:numPr>
          <w:ilvl w:val="2"/>
          <w:numId w:val="1"/>
        </w:numPr>
        <w:bidi w:val="0"/>
        <w:rPr>
          <w:rFonts w:hint="default"/>
          <w:lang w:val="en-US" w:eastAsia="zh-CN"/>
        </w:rPr>
      </w:pPr>
      <w:r>
        <w:rPr>
          <w:rFonts w:hint="default"/>
          <w:lang w:val="en-US" w:eastAsia="zh-CN"/>
        </w:rPr>
        <w:t>预制底板生产前应制定生产方案。生产方案宜包括生产计划、生产工艺、模具方案及计划、质量与安全控制措施、成品保护、运输与堆放等内容。</w:t>
      </w:r>
    </w:p>
    <w:p>
      <w:pPr>
        <w:pStyle w:val="20"/>
        <w:spacing w:line="360" w:lineRule="auto"/>
        <w:rPr>
          <w:rFonts w:hint="eastAsia"/>
          <w:spacing w:val="-8"/>
          <w:sz w:val="24"/>
          <w:lang w:eastAsia="zh-CN"/>
        </w:rPr>
      </w:pPr>
      <w:r>
        <w:rPr>
          <w:rFonts w:hint="eastAsia"/>
          <w:spacing w:val="-8"/>
          <w:sz w:val="24"/>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6.1.5</w:t>
      </w:r>
      <w:r>
        <w:rPr>
          <w:rFonts w:hint="eastAsia"/>
          <w:spacing w:val="-8"/>
          <w:sz w:val="24"/>
          <w:u w:val="single"/>
          <w:lang w:val="en-US" w:eastAsia="zh-CN"/>
        </w:rPr>
        <w:t xml:space="preserve"> </w:t>
      </w:r>
      <w:r>
        <w:rPr>
          <w:rFonts w:hint="eastAsia"/>
          <w:spacing w:val="-8"/>
          <w:sz w:val="24"/>
          <w:u w:val="single"/>
          <w:lang w:eastAsia="zh-CN"/>
        </w:rPr>
        <w:t>生产方案的具体内容包括生产计划、生产工艺、模具方案及计划、质量与安全控制措施、成品保护、运输与堆放等内容，必要时应对预制底板</w:t>
      </w:r>
      <w:r>
        <w:rPr>
          <w:rFonts w:hint="default"/>
          <w:u w:val="single"/>
          <w:lang w:val="en-US" w:eastAsia="zh-CN"/>
        </w:rPr>
        <w:t>脱模、</w:t>
      </w:r>
      <w:r>
        <w:rPr>
          <w:rFonts w:hint="eastAsia"/>
          <w:spacing w:val="-8"/>
          <w:sz w:val="24"/>
          <w:u w:val="single"/>
          <w:lang w:val="en-US" w:eastAsia="zh-CN"/>
        </w:rPr>
        <w:t>翻转、</w:t>
      </w:r>
      <w:r>
        <w:rPr>
          <w:rFonts w:hint="default"/>
          <w:u w:val="single"/>
          <w:lang w:val="en-US" w:eastAsia="zh-CN"/>
        </w:rPr>
        <w:t>吊运、堆放、运输</w:t>
      </w:r>
      <w:r>
        <w:rPr>
          <w:rFonts w:hint="eastAsia"/>
          <w:spacing w:val="-8"/>
          <w:sz w:val="24"/>
          <w:u w:val="single"/>
          <w:lang w:eastAsia="zh-CN"/>
        </w:rPr>
        <w:t>等工况进行验算。冬季施工时，可参照现行行业标准《建筑工程冬期施工规程</w:t>
      </w:r>
      <w:r>
        <w:rPr>
          <w:rFonts w:hint="default" w:ascii="Times New Roman" w:hAnsi="Times New Roman" w:cs="Times New Roman"/>
          <w:spacing w:val="-8"/>
          <w:sz w:val="24"/>
          <w:u w:val="single"/>
          <w:lang w:eastAsia="zh-CN"/>
        </w:rPr>
        <w:t xml:space="preserve">》JGJ/T 104 </w:t>
      </w:r>
      <w:r>
        <w:rPr>
          <w:rFonts w:hint="eastAsia"/>
          <w:spacing w:val="-8"/>
          <w:sz w:val="24"/>
          <w:u w:val="single"/>
          <w:lang w:eastAsia="zh-CN"/>
        </w:rPr>
        <w:t>的有关规定编制生产方案。</w:t>
      </w:r>
    </w:p>
    <w:p>
      <w:pPr>
        <w:numPr>
          <w:ilvl w:val="2"/>
          <w:numId w:val="1"/>
        </w:numPr>
        <w:bidi w:val="0"/>
        <w:rPr>
          <w:rFonts w:hint="default"/>
          <w:lang w:val="en-US" w:eastAsia="zh-CN"/>
        </w:rPr>
      </w:pPr>
      <w:r>
        <w:rPr>
          <w:rFonts w:hint="default"/>
          <w:lang w:val="en-US" w:eastAsia="zh-CN"/>
        </w:rPr>
        <w:t>生产单位的检测、试验、计量等设备及仪器仪表均应检定合格，并应在有效期内使用。不具备试验能力的检验项目，应委托第三方检测机构进行试验。</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6.1.6</w:t>
      </w:r>
      <w:r>
        <w:rPr>
          <w:rFonts w:hint="eastAsia"/>
          <w:u w:val="single"/>
          <w:lang w:val="en-US" w:eastAsia="zh-CN"/>
        </w:rPr>
        <w:t xml:space="preserve"> </w:t>
      </w:r>
      <w:r>
        <w:rPr>
          <w:spacing w:val="-1"/>
          <w:sz w:val="24"/>
          <w:u w:val="single"/>
        </w:rPr>
        <w:t>预制底板生产质量控制中需要进行的有关钢筋、混凝土和构件成品等日</w:t>
      </w:r>
      <w:r>
        <w:rPr>
          <w:spacing w:val="-9"/>
          <w:sz w:val="24"/>
          <w:u w:val="single"/>
        </w:rPr>
        <w:t>常试验和检测工作，生产单位应配备开展日常试验检测工作的试验室。试验室应</w:t>
      </w:r>
      <w:r>
        <w:rPr>
          <w:spacing w:val="-6"/>
          <w:sz w:val="24"/>
          <w:u w:val="single"/>
        </w:rPr>
        <w:t>满足产品生产用原材料必试项目的试验检测要求，其他试验检测项目可委托有资</w:t>
      </w:r>
      <w:r>
        <w:rPr>
          <w:sz w:val="24"/>
          <w:u w:val="single"/>
        </w:rPr>
        <w:t>质的检测机构进行。</w:t>
      </w:r>
    </w:p>
    <w:p>
      <w:pPr>
        <w:numPr>
          <w:ilvl w:val="2"/>
          <w:numId w:val="1"/>
        </w:numPr>
        <w:bidi w:val="0"/>
        <w:rPr>
          <w:rFonts w:hint="default"/>
          <w:lang w:val="en-US" w:eastAsia="zh-CN"/>
        </w:rPr>
      </w:pPr>
      <w:r>
        <w:rPr>
          <w:rFonts w:hint="default"/>
          <w:lang w:val="en-US" w:eastAsia="zh-CN"/>
        </w:rPr>
        <w:t>预制底板宜由建设单位组织设计单位、生产企业、施工单位、监理单位进行首件验收。</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6.1.7 </w:t>
      </w:r>
      <w:r>
        <w:rPr>
          <w:spacing w:val="-1"/>
          <w:sz w:val="24"/>
          <w:u w:val="single"/>
        </w:rPr>
        <w:t>首件验收应重点检查模具、钢筋、预埋件、混凝土浇筑成型等过程中存</w:t>
      </w:r>
      <w:r>
        <w:rPr>
          <w:spacing w:val="-10"/>
          <w:sz w:val="24"/>
          <w:u w:val="single"/>
        </w:rPr>
        <w:t>在的问题，确认该批预制构件生产工艺是否合理，质量是否能够得到保障，共同</w:t>
      </w:r>
      <w:r>
        <w:rPr>
          <w:sz w:val="24"/>
          <w:u w:val="single"/>
        </w:rPr>
        <w:t>验收合格后方可批量生产。</w:t>
      </w:r>
    </w:p>
    <w:p>
      <w:pPr>
        <w:numPr>
          <w:ilvl w:val="2"/>
          <w:numId w:val="1"/>
        </w:numPr>
        <w:bidi w:val="0"/>
        <w:rPr>
          <w:rFonts w:hint="default"/>
          <w:lang w:val="en-US" w:eastAsia="zh-CN"/>
        </w:rPr>
      </w:pPr>
      <w:r>
        <w:rPr>
          <w:rFonts w:hint="default"/>
          <w:lang w:val="en-US" w:eastAsia="zh-CN"/>
        </w:rPr>
        <w:t>预制底板生产的质量检验应按照模具、钢筋、混凝土、预制构件等检验进行。预制构件的质量评定应根据钢筋、混凝土、预制构件的试验、检验资料等项目进行。当上述各检验项目的质量均合格时，方可评定为合格产品。</w:t>
      </w:r>
    </w:p>
    <w:p>
      <w:pPr>
        <w:pStyle w:val="20"/>
        <w:spacing w:line="360" w:lineRule="auto"/>
        <w:rPr>
          <w:spacing w:val="-10"/>
          <w:sz w:val="24"/>
        </w:rPr>
      </w:pPr>
      <w:r>
        <w:rPr>
          <w:rFonts w:hint="eastAsia"/>
          <w:sz w:val="24"/>
          <w:u w:val="single"/>
          <w:lang w:eastAsia="zh-CN"/>
        </w:rPr>
        <w:t>【</w:t>
      </w:r>
      <w:r>
        <w:rPr>
          <w:rFonts w:hint="eastAsia"/>
          <w:sz w:val="24"/>
          <w:u w:val="single"/>
          <w:lang w:val="en-US" w:eastAsia="zh-CN"/>
        </w:rPr>
        <w:t>条文说明</w:t>
      </w:r>
      <w:r>
        <w:rPr>
          <w:rFonts w:hint="eastAsia"/>
          <w:sz w:val="24"/>
          <w:u w:val="single"/>
          <w:lang w:eastAsia="zh-CN"/>
        </w:rPr>
        <w:t>】</w:t>
      </w:r>
      <w:r>
        <w:rPr>
          <w:rFonts w:hint="eastAsia" w:ascii="Times New Roman" w:hAnsi="Times New Roman" w:eastAsia="宋体" w:cstheme="minorBidi"/>
          <w:color w:val="auto"/>
          <w:kern w:val="2"/>
          <w:sz w:val="24"/>
          <w:szCs w:val="24"/>
          <w:u w:val="single"/>
          <w:lang w:val="en-US" w:eastAsia="zh-CN" w:bidi="ar-SA"/>
        </w:rPr>
        <w:t>6.1.8</w:t>
      </w:r>
      <w:r>
        <w:rPr>
          <w:rFonts w:hint="eastAsia"/>
          <w:sz w:val="24"/>
          <w:u w:val="single"/>
          <w:lang w:val="en-US" w:eastAsia="zh-CN"/>
        </w:rPr>
        <w:t xml:space="preserve"> </w:t>
      </w:r>
      <w:r>
        <w:rPr>
          <w:sz w:val="24"/>
          <w:u w:val="single"/>
        </w:rPr>
        <w:t>检验时对新制或改制后的模具应按件检验，对重复使用的定性模具、钢</w:t>
      </w:r>
      <w:r>
        <w:rPr>
          <w:spacing w:val="-1"/>
          <w:sz w:val="24"/>
          <w:u w:val="single"/>
        </w:rPr>
        <w:t>筋半成品和成品应分批随机抽样检验，对混凝土性能应按批检验。模具、钢筋、</w:t>
      </w:r>
      <w:r>
        <w:rPr>
          <w:spacing w:val="-10"/>
          <w:sz w:val="24"/>
          <w:u w:val="single"/>
        </w:rPr>
        <w:t>混凝土、预制构件制作、预应力施工等质量均应在生产班组自检、互检和交接检的基础上，由专职检验员进行检验。</w:t>
      </w:r>
    </w:p>
    <w:p>
      <w:pPr>
        <w:numPr>
          <w:ilvl w:val="2"/>
          <w:numId w:val="1"/>
        </w:numPr>
        <w:bidi w:val="0"/>
        <w:rPr>
          <w:rFonts w:hint="default"/>
          <w:lang w:val="en-US" w:eastAsia="zh-CN"/>
        </w:rPr>
      </w:pPr>
      <w:r>
        <w:rPr>
          <w:rFonts w:hint="eastAsia"/>
          <w:lang w:val="en-US" w:eastAsia="zh-CN"/>
        </w:rPr>
        <w:t>预制底板的生产宜采用反打工艺。</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6.1.9</w:t>
      </w:r>
      <w:r>
        <w:rPr>
          <w:rFonts w:hint="eastAsia"/>
          <w:u w:val="single"/>
          <w:lang w:val="en-US" w:eastAsia="zh-CN"/>
        </w:rPr>
        <w:t xml:space="preserve"> 预制底板一般底部平整，上表面有凸出的叠合肋梁的预制部分以及下翼缘板的上凸的边肋，并且凸出的高度不同，为了提高生产效率、保证质量，预制底板生产时宜采用反打工艺。</w:t>
      </w:r>
    </w:p>
    <w:p>
      <w:pPr>
        <w:numPr>
          <w:ilvl w:val="2"/>
          <w:numId w:val="1"/>
        </w:numPr>
        <w:bidi w:val="0"/>
        <w:rPr>
          <w:rFonts w:hint="default"/>
          <w:lang w:val="en-US" w:eastAsia="zh-CN"/>
        </w:rPr>
      </w:pPr>
      <w:r>
        <w:rPr>
          <w:rFonts w:hint="default"/>
          <w:lang w:val="en-US" w:eastAsia="zh-CN"/>
        </w:rPr>
        <w:t>预制底板经检查合格后，应设置表面标识。</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6.1.10</w:t>
      </w:r>
      <w:r>
        <w:rPr>
          <w:rFonts w:hint="eastAsia"/>
          <w:u w:val="single"/>
          <w:lang w:val="en-US" w:eastAsia="zh-CN"/>
        </w:rPr>
        <w:t xml:space="preserve"> </w:t>
      </w:r>
      <w:r>
        <w:rPr>
          <w:spacing w:val="-1"/>
          <w:sz w:val="24"/>
          <w:u w:val="single"/>
        </w:rPr>
        <w:t>预制底板检查合格后，应在明显位置设置表面标识。表面标识的内容宜</w:t>
      </w:r>
      <w:r>
        <w:rPr>
          <w:sz w:val="24"/>
          <w:u w:val="single"/>
        </w:rPr>
        <w:t>包括构件编号、生产日期、合格状态、生产单位等信息。</w:t>
      </w:r>
    </w:p>
    <w:p>
      <w:pPr>
        <w:numPr>
          <w:ilvl w:val="2"/>
          <w:numId w:val="1"/>
        </w:numPr>
        <w:bidi w:val="0"/>
        <w:rPr>
          <w:rFonts w:hint="default"/>
          <w:lang w:val="en-US" w:eastAsia="zh-CN"/>
        </w:rPr>
      </w:pPr>
      <w:r>
        <w:rPr>
          <w:rFonts w:hint="default"/>
          <w:lang w:val="en-US" w:eastAsia="zh-CN"/>
        </w:rPr>
        <w:t>预制底板生产、运输、堆放及质量检查与验收除应符合本</w:t>
      </w:r>
      <w:r>
        <w:rPr>
          <w:rFonts w:hint="eastAsia"/>
          <w:lang w:val="en-US" w:eastAsia="zh-CN"/>
        </w:rPr>
        <w:t>规程</w:t>
      </w:r>
      <w:r>
        <w:rPr>
          <w:rFonts w:hint="default"/>
          <w:lang w:val="en-US" w:eastAsia="zh-CN"/>
        </w:rPr>
        <w:t>规定外，尚应符合国家现行有关标准的规定。</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6.1.11</w:t>
      </w:r>
      <w:r>
        <w:rPr>
          <w:rFonts w:hint="eastAsia"/>
          <w:u w:val="single"/>
          <w:lang w:val="en-US" w:eastAsia="zh-CN"/>
        </w:rPr>
        <w:t xml:space="preserve"> </w:t>
      </w:r>
      <w:r>
        <w:rPr>
          <w:spacing w:val="-20"/>
          <w:sz w:val="24"/>
          <w:u w:val="single"/>
        </w:rPr>
        <w:t>预制底板生产、运输、堆放及质量检查与验收的国家现行有关标准有《混</w:t>
      </w:r>
      <w:r>
        <w:rPr>
          <w:sz w:val="24"/>
          <w:u w:val="single"/>
        </w:rPr>
        <w:t>凝土结构工程施工质量验收规范》</w:t>
      </w:r>
      <w:r>
        <w:rPr>
          <w:rFonts w:ascii="Times New Roman" w:eastAsia="Times New Roman"/>
          <w:sz w:val="24"/>
          <w:u w:val="single"/>
        </w:rPr>
        <w:t>GB</w:t>
      </w:r>
      <w:r>
        <w:rPr>
          <w:rFonts w:ascii="Times New Roman" w:eastAsia="Times New Roman"/>
          <w:spacing w:val="10"/>
          <w:sz w:val="24"/>
          <w:u w:val="single"/>
        </w:rPr>
        <w:t xml:space="preserve"> </w:t>
      </w:r>
      <w:r>
        <w:rPr>
          <w:rFonts w:ascii="Times New Roman" w:eastAsia="Times New Roman"/>
          <w:sz w:val="24"/>
          <w:u w:val="single"/>
        </w:rPr>
        <w:t>50204</w:t>
      </w:r>
      <w:r>
        <w:rPr>
          <w:sz w:val="24"/>
          <w:u w:val="single"/>
        </w:rPr>
        <w:t>、《混凝土结构工程施工规范》</w:t>
      </w:r>
      <w:r>
        <w:rPr>
          <w:rFonts w:ascii="Times New Roman" w:eastAsia="Times New Roman"/>
          <w:spacing w:val="-10"/>
          <w:sz w:val="24"/>
          <w:u w:val="single"/>
        </w:rPr>
        <w:t>GB</w:t>
      </w:r>
      <w:r>
        <w:rPr>
          <w:rFonts w:hint="eastAsia" w:ascii="Times New Roman"/>
          <w:spacing w:val="-10"/>
          <w:sz w:val="24"/>
          <w:u w:val="single"/>
          <w:lang w:val="en-US" w:eastAsia="zh-CN"/>
        </w:rPr>
        <w:t xml:space="preserve"> </w:t>
      </w:r>
      <w:r>
        <w:rPr>
          <w:rFonts w:ascii="Times New Roman" w:eastAsia="Times New Roman"/>
          <w:sz w:val="24"/>
          <w:szCs w:val="24"/>
          <w:u w:val="single"/>
        </w:rPr>
        <w:t>50666</w:t>
      </w:r>
      <w:r>
        <w:rPr>
          <w:sz w:val="24"/>
          <w:szCs w:val="24"/>
          <w:u w:val="single"/>
        </w:rPr>
        <w:t>、《装配式混凝土建筑技术标准》</w:t>
      </w:r>
      <w:r>
        <w:rPr>
          <w:rFonts w:ascii="Times New Roman" w:eastAsia="Times New Roman"/>
          <w:sz w:val="24"/>
          <w:szCs w:val="24"/>
          <w:u w:val="single"/>
        </w:rPr>
        <w:t>GB/T 51231</w:t>
      </w:r>
      <w:r>
        <w:rPr>
          <w:sz w:val="24"/>
          <w:szCs w:val="24"/>
          <w:u w:val="single"/>
        </w:rPr>
        <w:t>、《装配式混凝土结构技术规程》</w:t>
      </w:r>
      <w:r>
        <w:rPr>
          <w:rFonts w:ascii="Times New Roman" w:eastAsia="Times New Roman"/>
          <w:sz w:val="24"/>
          <w:szCs w:val="24"/>
          <w:u w:val="single"/>
        </w:rPr>
        <w:t>JGJ 1</w:t>
      </w:r>
      <w:r>
        <w:rPr>
          <w:sz w:val="24"/>
          <w:szCs w:val="24"/>
          <w:u w:val="single"/>
        </w:rPr>
        <w:t>、《混凝土结构成型钢筋应用技术规程》</w:t>
      </w:r>
      <w:r>
        <w:rPr>
          <w:rFonts w:ascii="Times New Roman" w:eastAsia="Times New Roman"/>
          <w:sz w:val="24"/>
          <w:szCs w:val="24"/>
          <w:u w:val="single"/>
        </w:rPr>
        <w:t>JGJ 366</w:t>
      </w:r>
      <w:r>
        <w:rPr>
          <w:sz w:val="24"/>
          <w:szCs w:val="24"/>
          <w:u w:val="single"/>
        </w:rPr>
        <w:t>、《工厂预制混凝土构件质量管理标准》</w:t>
      </w:r>
      <w:r>
        <w:rPr>
          <w:rFonts w:ascii="Times New Roman" w:eastAsia="Times New Roman"/>
          <w:sz w:val="24"/>
          <w:szCs w:val="24"/>
          <w:u w:val="single"/>
        </w:rPr>
        <w:t xml:space="preserve">JG/T 565 </w:t>
      </w:r>
      <w:r>
        <w:rPr>
          <w:sz w:val="24"/>
          <w:szCs w:val="24"/>
          <w:u w:val="single"/>
        </w:rPr>
        <w:t>等。</w:t>
      </w:r>
    </w:p>
    <w:p>
      <w:pPr>
        <w:pStyle w:val="4"/>
        <w:bidi w:val="0"/>
        <w:ind w:left="0" w:leftChars="0" w:firstLine="0" w:firstLineChars="0"/>
        <w:outlineLvl w:val="1"/>
        <w:rPr>
          <w:rFonts w:hint="default"/>
          <w:lang w:val="en-US" w:eastAsia="zh-CN"/>
        </w:rPr>
      </w:pPr>
      <w:bookmarkStart w:id="41" w:name="_Toc27520"/>
      <w:r>
        <w:rPr>
          <w:rFonts w:hint="default"/>
          <w:lang w:val="en-US" w:eastAsia="zh-CN"/>
        </w:rPr>
        <w:t>原材料及配件</w:t>
      </w:r>
      <w:bookmarkEnd w:id="41"/>
    </w:p>
    <w:p>
      <w:pPr>
        <w:numPr>
          <w:ilvl w:val="2"/>
          <w:numId w:val="1"/>
        </w:numPr>
        <w:bidi w:val="0"/>
        <w:rPr>
          <w:rFonts w:hint="default"/>
          <w:lang w:val="en-US" w:eastAsia="zh-CN"/>
        </w:rPr>
      </w:pPr>
      <w:r>
        <w:rPr>
          <w:rFonts w:hint="default"/>
          <w:lang w:val="en-US" w:eastAsia="zh-CN"/>
        </w:rPr>
        <w:t>预制底板原材料、部品及配件应按现行国家标准《混凝土结构工程施工质量验收规范》GB 50204、设计文件及合同约定进行进厂检验。检验批划分应符合下列规定：</w:t>
      </w:r>
    </w:p>
    <w:p>
      <w:pPr>
        <w:numPr>
          <w:ilvl w:val="0"/>
          <w:numId w:val="10"/>
        </w:numPr>
        <w:ind w:left="247" w:leftChars="0" w:hanging="247" w:firstLineChars="0"/>
        <w:rPr>
          <w:rFonts w:hint="default"/>
          <w:lang w:val="en-US" w:eastAsia="zh-CN"/>
        </w:rPr>
      </w:pPr>
      <w:r>
        <w:rPr>
          <w:rFonts w:hint="default"/>
          <w:lang w:val="en-US" w:eastAsia="zh-CN"/>
        </w:rPr>
        <w:t>预制底板生产企业将采购的同一厂家同批次原材料、配件及半成品用于生产不同工程的预制底板时，可统一划分检验批；</w:t>
      </w:r>
    </w:p>
    <w:p>
      <w:pPr>
        <w:numPr>
          <w:ilvl w:val="0"/>
          <w:numId w:val="10"/>
        </w:numPr>
        <w:ind w:left="247" w:leftChars="0" w:hanging="247" w:firstLineChars="0"/>
        <w:rPr>
          <w:rFonts w:hint="default"/>
          <w:lang w:val="en-US" w:eastAsia="zh-CN"/>
        </w:rPr>
      </w:pPr>
      <w:r>
        <w:rPr>
          <w:rFonts w:hint="default"/>
          <w:lang w:val="en-US" w:eastAsia="zh-CN"/>
        </w:rPr>
        <w:t>获得认证的产品或来源稳定且连续三批均一次检验合格的产品，进厂验收时检验批容量可按有关标准的规定扩大一倍。扩大检验批容量后的检验中，出现不合格情况时，应按扩大前的检验批容量重新检验，且该产品不得再次扩大检验批容量。</w:t>
      </w:r>
    </w:p>
    <w:p>
      <w:pPr>
        <w:pStyle w:val="20"/>
        <w:spacing w:line="360" w:lineRule="auto"/>
        <w:rPr>
          <w:rFonts w:hint="eastAsia"/>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6.2.1</w:t>
      </w:r>
      <w:r>
        <w:rPr>
          <w:rFonts w:hint="eastAsia"/>
          <w:u w:val="single"/>
          <w:lang w:val="en-US" w:eastAsia="zh-CN"/>
        </w:rPr>
        <w:t xml:space="preserve"> 生产单位应要求原材料供货方提供满足要求的技术证明文件，证明文件包括出厂合格证和检验报告等，有特殊性能要求的原材料应由双方在采购合同中给予明确说明。</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u w:val="single"/>
          <w:lang w:val="en-US" w:eastAsia="zh-CN"/>
        </w:rPr>
      </w:pPr>
      <w:r>
        <w:rPr>
          <w:rFonts w:hint="eastAsia"/>
          <w:u w:val="single"/>
          <w:lang w:val="en-US" w:eastAsia="zh-CN"/>
        </w:rPr>
        <w:t>原材料的优劣对预制底板的质量起着决定性作用，生产单位应认真做好原材料的进货验收工作。首批或连续跨年进货时应核查供货方提供的型式检验报告，生产单位还应对其质量证明文件的真实性负责。质量证明文件的复印件存档时，还需加盖原件存放单位的公章，并由存放单位经办人签字。预制底板生产单位同期生产的预制底板用于不同工程时，加盖公章（或检验章）的复印件具有法律效力。</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lang w:val="en-US" w:eastAsia="zh-CN"/>
        </w:rPr>
      </w:pPr>
      <w:r>
        <w:rPr>
          <w:rFonts w:hint="eastAsia"/>
          <w:u w:val="single"/>
          <w:lang w:val="en-US" w:eastAsia="zh-CN"/>
        </w:rPr>
        <w:t>为适当减少有关产品的检验工作量，对符合限定条件的产品进场检验作了适当调整。对来源稳定且连续检验合格，或经产品认证符合要求的产品，进厂时可按本规程的有关规定放宽检验。"经产品认证符合要求的产品"系指经产品认证机构认证，认证结论为符合认证要求的产品。产品认证机构应经国家认证认可监督管理部门批准。放宽检验系指扩大检验批量，不是放宽检验指标。</w:t>
      </w:r>
    </w:p>
    <w:p>
      <w:pPr>
        <w:numPr>
          <w:ilvl w:val="2"/>
          <w:numId w:val="1"/>
        </w:numPr>
        <w:bidi w:val="0"/>
        <w:rPr>
          <w:rFonts w:hint="default"/>
          <w:lang w:val="en-US" w:eastAsia="zh-CN"/>
        </w:rPr>
      </w:pPr>
      <w:r>
        <w:rPr>
          <w:rFonts w:hint="default"/>
          <w:lang w:val="en-US" w:eastAsia="zh-CN"/>
        </w:rPr>
        <w:t>钢筋进场时，应全数检查外观质量，并应按国家现行有关标准的规定抽取试件作力学性能和重量偏差检验，检验结果应符合相关标准的规定，检验数量应按进厂批次和产品的抽样检验方案确定。</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6.2.2</w:t>
      </w:r>
      <w:r>
        <w:rPr>
          <w:rFonts w:hint="eastAsia"/>
          <w:u w:val="single"/>
          <w:lang w:val="en-US" w:eastAsia="zh-CN"/>
        </w:rPr>
        <w:t xml:space="preserve"> </w:t>
      </w:r>
      <w:r>
        <w:rPr>
          <w:rFonts w:hint="default" w:ascii="Times New Roman" w:hAnsi="Times New Roman" w:cs="Times New Roman"/>
          <w:u w:val="single"/>
          <w:lang w:val="en-US" w:eastAsia="zh-CN"/>
        </w:rPr>
        <w:t>钢筋对混凝土结构的承载能力至关重要，对其质量应从严要求。与热轧光圆钢筋、热轧带肋钢筋、余热处理钢筋性能及检验相关的国家现行标准有：《钢筋混凝土用钢第 1 部分：热轧光圆钢筋》GB/T 1499.1、《钢筋混凝土用钢第2部分：热轧带肋钢筋》GB/T 1499.2 和《钢筋混凝土用余热处理钢筋》GB 13014等。与冷加工钢筋性能及检验相关的国家现行标准有：《冷轧带肋钢筋》GB/T 13788、《高延性冷轧带肋钢筋》YB/T 4260、《冷轧带肋钢筋混凝土结构技术规程》JGJ 95 和《冷拔低碳钢丝应用技术规程》JGJ 19 等。</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钢筋进厂时，应检查质量证明文件，并按有关标准的规定进行抽样检验。由于生产量、运输条件和各种钢筋的用量等的差异，很难对钢筋进厂的批量大小做出统一规定。实际验收时，若有关标准中对进厂检验作了具体规定，应遵照执行； 若有关标准中只有对产品出厂检验的规定，则在进厂检验时，批量应按下列情况确定：</w:t>
      </w:r>
    </w:p>
    <w:p>
      <w:pPr>
        <w:pStyle w:val="20"/>
        <w:numPr>
          <w:ilvl w:val="0"/>
          <w:numId w:val="11"/>
        </w:numPr>
        <w:spacing w:line="360" w:lineRule="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对同一厂家、同一牌号、同一规格的钢筋，当一次进厂的数量大于该产品的出厂检验批量时，应划分为若干个出厂检验批，并按出厂检验的抽样方案执行。</w:t>
      </w:r>
    </w:p>
    <w:p>
      <w:pPr>
        <w:pStyle w:val="20"/>
        <w:numPr>
          <w:ilvl w:val="0"/>
          <w:numId w:val="11"/>
        </w:numPr>
        <w:spacing w:line="360" w:lineRule="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对同一厂家、同一牌号、同一规格的钢筋，当一次进厂的数量小于或等于该产品的出厂检验批量时，应作为一个检验批，并按出厂检验的抽样方案执行。</w:t>
      </w:r>
    </w:p>
    <w:p>
      <w:pPr>
        <w:pStyle w:val="20"/>
        <w:numPr>
          <w:ilvl w:val="0"/>
          <w:numId w:val="11"/>
        </w:numPr>
        <w:spacing w:line="360" w:lineRule="auto"/>
        <w:rPr>
          <w:rFonts w:hint="default" w:ascii="Times New Roman" w:hAnsi="Times New Roman" w:cs="Times New Roman"/>
          <w:u w:val="single"/>
          <w:lang w:val="en-US" w:eastAsia="zh-CN"/>
        </w:rPr>
      </w:pPr>
      <w:r>
        <w:rPr>
          <w:rFonts w:hint="default" w:ascii="Times New Roman" w:hAnsi="Times New Roman" w:cs="Times New Roman"/>
          <w:u w:val="single"/>
          <w:lang w:val="en-US" w:eastAsia="zh-CN"/>
        </w:rPr>
        <w:t>对不同时间进厂的同批钢筋，当确有可靠依据时，可按一次进厂的钢筋处理。</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u w:val="single"/>
          <w:lang w:val="en-US" w:eastAsia="en-US"/>
        </w:rPr>
        <w:t>质量证明文件包括产品合格证、出厂检验报告，有时产品合格证、出厂检验报告可以合并；当用户有特别要求时，还应列出某些专门检验数据。进厂抽样检验的结果是钢筋材料能否在预制构件中应用的判断依据。对于每批钢筋的检验数量，应按相关产品标准执行。国家标准《钢筋混凝土用钢 第 1 部分：热轧光圆钢筋》GB/T 1499.1-2008 和《钢筋混凝土用钢 第 2 部分：热轧带肋钢筋》GB/T</w:t>
      </w:r>
      <w:r>
        <w:rPr>
          <w:rFonts w:hint="default" w:ascii="Times New Roman" w:hAnsi="Times New Roman" w:cs="Times New Roman"/>
          <w:u w:val="single"/>
          <w:lang w:val="en-US" w:eastAsia="zh-CN"/>
        </w:rPr>
        <w:t xml:space="preserve"> </w:t>
      </w:r>
      <w:r>
        <w:rPr>
          <w:rFonts w:hint="default" w:ascii="Times New Roman" w:hAnsi="Times New Roman" w:cs="Times New Roman"/>
          <w:u w:val="single"/>
          <w:lang w:val="en-US" w:eastAsia="en-US"/>
        </w:rPr>
        <w:t>1499.2-2007 中规定热轧钢筋每批抽取 5 个试件，先进行重量偏差检验，再取其中 2 个试件进行拉伸试验检验屈服强度、抗拉强度、伸长率，另取其中 2 个试件进行弯曲性能检验。</w:t>
      </w:r>
    </w:p>
    <w:p>
      <w:pPr>
        <w:pStyle w:val="4"/>
        <w:bidi w:val="0"/>
        <w:ind w:left="0" w:leftChars="0" w:firstLine="0" w:firstLineChars="0"/>
        <w:outlineLvl w:val="1"/>
        <w:rPr>
          <w:rFonts w:hint="default"/>
          <w:lang w:val="en-US" w:eastAsia="zh-CN"/>
        </w:rPr>
      </w:pPr>
      <w:bookmarkStart w:id="42" w:name="_Toc30174"/>
      <w:r>
        <w:rPr>
          <w:rFonts w:hint="default"/>
          <w:lang w:val="en-US" w:eastAsia="zh-CN"/>
        </w:rPr>
        <w:t>模具</w:t>
      </w:r>
      <w:bookmarkEnd w:id="42"/>
    </w:p>
    <w:p>
      <w:pPr>
        <w:numPr>
          <w:ilvl w:val="2"/>
          <w:numId w:val="1"/>
        </w:numPr>
        <w:bidi w:val="0"/>
        <w:rPr>
          <w:rFonts w:hint="default"/>
          <w:lang w:val="en-US" w:eastAsia="zh-CN"/>
        </w:rPr>
      </w:pPr>
      <w:r>
        <w:rPr>
          <w:rFonts w:hint="default"/>
          <w:lang w:val="en-US" w:eastAsia="zh-CN"/>
        </w:rPr>
        <w:t>模具配置方案应与预制底板的类型、生产计划、生产工艺相适应，并应建立健全模具验收、使用制度。</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6.3.1</w:t>
      </w:r>
      <w:r>
        <w:rPr>
          <w:rFonts w:hint="eastAsia"/>
          <w:u w:val="single"/>
          <w:lang w:val="en-US" w:eastAsia="zh-CN"/>
        </w:rPr>
        <w:t xml:space="preserve"> </w:t>
      </w:r>
      <w:r>
        <w:rPr>
          <w:sz w:val="24"/>
          <w:u w:val="single"/>
        </w:rPr>
        <w:t>模具设计应符合预制底板类型并考虑多次重复利用，节省材料和成本。</w:t>
      </w:r>
      <w:r>
        <w:rPr>
          <w:rFonts w:hint="eastAsia"/>
          <w:sz w:val="24"/>
          <w:u w:val="single"/>
          <w:lang w:val="en-US" w:eastAsia="zh-CN"/>
        </w:rPr>
        <w:t>建立健全模具的验收和使用制度，特别是模具经运输到达特定加工厂之后，需要对模具进行验收，才能保证加工质量</w:t>
      </w:r>
      <w:r>
        <w:rPr>
          <w:sz w:val="24"/>
          <w:u w:val="single"/>
        </w:rPr>
        <w:t>。</w:t>
      </w:r>
    </w:p>
    <w:p>
      <w:pPr>
        <w:numPr>
          <w:ilvl w:val="2"/>
          <w:numId w:val="1"/>
        </w:numPr>
        <w:bidi w:val="0"/>
        <w:rPr>
          <w:rFonts w:hint="default"/>
          <w:lang w:val="en-US" w:eastAsia="zh-CN"/>
        </w:rPr>
      </w:pPr>
      <w:r>
        <w:rPr>
          <w:rFonts w:hint="default"/>
          <w:lang w:val="en-US" w:eastAsia="zh-CN"/>
        </w:rPr>
        <w:t>预制底板模具应具有足够的强度、刚度、整体稳定性和平整度，并应符合预制底板尺寸精度要求。模具应便于拼装和拆卸，并满足周转次数、钢筋安装与定位、预留孔洞和预埋件定位、脱模等要求。</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6.3.2</w:t>
      </w:r>
      <w:r>
        <w:rPr>
          <w:rFonts w:hint="eastAsia"/>
          <w:u w:val="single"/>
          <w:lang w:val="en-US" w:eastAsia="zh-CN"/>
        </w:rPr>
        <w:t xml:space="preserve"> 为了保证预制底板的加工质量，模具必须具有足够的强度、高度、整体稳定性和平整度，并应满足预制底板的加工尺寸精度要求。预制底板的模具还应该满足一定的周转次数、钢筋的准确定位、预留孔洞和预埋件定位以及最终的脱模要求。</w:t>
      </w:r>
    </w:p>
    <w:p>
      <w:pPr>
        <w:numPr>
          <w:ilvl w:val="2"/>
          <w:numId w:val="1"/>
        </w:numPr>
        <w:bidi w:val="0"/>
        <w:rPr>
          <w:rFonts w:hint="default"/>
          <w:lang w:val="en-US" w:eastAsia="zh-CN"/>
        </w:rPr>
      </w:pPr>
      <w:r>
        <w:rPr>
          <w:rFonts w:hint="default"/>
          <w:highlight w:val="none"/>
          <w:lang w:val="en-US" w:eastAsia="zh-CN"/>
        </w:rPr>
        <w:t>模具</w:t>
      </w:r>
      <w:r>
        <w:rPr>
          <w:rFonts w:hint="eastAsia"/>
          <w:highlight w:val="none"/>
          <w:lang w:val="en-US" w:eastAsia="zh-CN"/>
        </w:rPr>
        <w:t>的</w:t>
      </w:r>
      <w:r>
        <w:rPr>
          <w:rFonts w:hint="default"/>
          <w:highlight w:val="none"/>
          <w:lang w:val="en-US" w:eastAsia="zh-CN"/>
        </w:rPr>
        <w:t>拼装</w:t>
      </w:r>
      <w:r>
        <w:rPr>
          <w:rFonts w:hint="eastAsia"/>
          <w:highlight w:val="none"/>
          <w:lang w:val="en-US" w:eastAsia="zh-CN"/>
        </w:rPr>
        <w:t>、使用</w:t>
      </w:r>
      <w:r>
        <w:rPr>
          <w:rFonts w:hint="default"/>
          <w:highlight w:val="none"/>
          <w:lang w:val="en-US" w:eastAsia="zh-CN"/>
        </w:rPr>
        <w:t>应符合下列规定：</w:t>
      </w:r>
    </w:p>
    <w:p>
      <w:pPr>
        <w:numPr>
          <w:ilvl w:val="0"/>
          <w:numId w:val="12"/>
        </w:numPr>
        <w:tabs>
          <w:tab w:val="left" w:pos="420"/>
          <w:tab w:val="clear" w:pos="0"/>
        </w:tabs>
        <w:ind w:left="247" w:leftChars="0" w:hanging="247" w:firstLineChars="0"/>
        <w:rPr>
          <w:rFonts w:hint="default"/>
          <w:lang w:val="en-US" w:eastAsia="zh-CN"/>
        </w:rPr>
      </w:pPr>
      <w:r>
        <w:rPr>
          <w:rFonts w:hint="default"/>
          <w:lang w:val="en-US" w:eastAsia="zh-CN"/>
        </w:rPr>
        <w:t>模具拼装应连接牢固、接缝紧密并保持清洁；</w:t>
      </w:r>
    </w:p>
    <w:p>
      <w:pPr>
        <w:numPr>
          <w:ilvl w:val="0"/>
          <w:numId w:val="12"/>
        </w:numPr>
        <w:tabs>
          <w:tab w:val="left" w:pos="420"/>
          <w:tab w:val="clear" w:pos="0"/>
        </w:tabs>
        <w:ind w:left="247" w:leftChars="0" w:hanging="247" w:firstLineChars="0"/>
        <w:rPr>
          <w:rFonts w:hint="default"/>
          <w:lang w:val="en-US" w:eastAsia="zh-CN"/>
        </w:rPr>
      </w:pPr>
      <w:r>
        <w:rPr>
          <w:rFonts w:hint="default"/>
          <w:lang w:val="en-US" w:eastAsia="zh-CN"/>
        </w:rPr>
        <w:t>模具与混凝土接触面不应有锈渍和氧化层脱落等现象；</w:t>
      </w:r>
    </w:p>
    <w:p>
      <w:pPr>
        <w:numPr>
          <w:ilvl w:val="0"/>
          <w:numId w:val="12"/>
        </w:numPr>
        <w:ind w:left="247" w:leftChars="0" w:hanging="247" w:firstLineChars="0"/>
        <w:rPr>
          <w:rFonts w:hint="default"/>
          <w:lang w:val="en-US" w:eastAsia="zh-CN"/>
        </w:rPr>
      </w:pPr>
      <w:r>
        <w:rPr>
          <w:rFonts w:hint="default"/>
          <w:lang w:val="en-US" w:eastAsia="zh-CN"/>
        </w:rPr>
        <w:t>涂刷脱模剂、缓凝剂时应均匀、无漏刷、无堆积；脱模剂、缓凝剂不得沾污钢筋表面，且不得影响预制底板外观质量；脱模剂宜采用水溶性隔离剂</w:t>
      </w:r>
      <w:r>
        <w:rPr>
          <w:rFonts w:hint="eastAsia"/>
          <w:lang w:val="en-US" w:eastAsia="zh-CN"/>
        </w:rPr>
        <w:t>。</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6.3.3</w:t>
      </w:r>
      <w:r>
        <w:rPr>
          <w:rFonts w:hint="eastAsia"/>
          <w:u w:val="single"/>
          <w:lang w:val="en-US" w:eastAsia="zh-CN"/>
        </w:rPr>
        <w:t xml:space="preserve"> 本条对模具使用过程中的一些细节提出了具体要求，包括</w:t>
      </w:r>
      <w:r>
        <w:rPr>
          <w:rFonts w:hint="default"/>
          <w:u w:val="single"/>
          <w:lang w:val="en-US" w:eastAsia="zh-CN"/>
        </w:rPr>
        <w:t>模具与混凝土接触面不应有锈渍和氧化层脱落等现象</w:t>
      </w:r>
      <w:r>
        <w:rPr>
          <w:rFonts w:hint="eastAsia"/>
          <w:u w:val="single"/>
          <w:lang w:val="en-US" w:eastAsia="zh-CN"/>
        </w:rPr>
        <w:t>，</w:t>
      </w:r>
      <w:r>
        <w:rPr>
          <w:rFonts w:hint="default"/>
          <w:u w:val="single"/>
          <w:lang w:val="en-US" w:eastAsia="zh-CN"/>
        </w:rPr>
        <w:t>涂刷脱模剂、缓凝剂</w:t>
      </w:r>
      <w:r>
        <w:rPr>
          <w:rFonts w:hint="eastAsia"/>
          <w:u w:val="single"/>
          <w:lang w:val="en-US" w:eastAsia="zh-CN"/>
        </w:rPr>
        <w:t>等方面。</w:t>
      </w:r>
    </w:p>
    <w:p>
      <w:pPr>
        <w:numPr>
          <w:ilvl w:val="2"/>
          <w:numId w:val="1"/>
        </w:numPr>
        <w:bidi w:val="0"/>
        <w:rPr>
          <w:rFonts w:hint="default"/>
          <w:lang w:val="en-US" w:eastAsia="zh-CN"/>
        </w:rPr>
      </w:pPr>
      <w:r>
        <w:rPr>
          <w:rFonts w:hint="default"/>
          <w:lang w:val="en-US" w:eastAsia="zh-CN"/>
        </w:rPr>
        <w:t>模具拼装完成后，其尺寸</w:t>
      </w:r>
      <w:r>
        <w:rPr>
          <w:rFonts w:hint="eastAsia"/>
          <w:lang w:val="en-US" w:eastAsia="zh-CN"/>
        </w:rPr>
        <w:t>允许</w:t>
      </w:r>
      <w:r>
        <w:rPr>
          <w:rFonts w:hint="default"/>
          <w:lang w:val="en-US" w:eastAsia="zh-CN"/>
        </w:rPr>
        <w:t>偏差和检验方法应符合</w:t>
      </w:r>
      <w:r>
        <w:rPr>
          <w:rFonts w:hint="default"/>
          <w:lang w:val="en-US" w:eastAsia="zh-CN"/>
        </w:rPr>
        <w:fldChar w:fldCharType="begin"/>
      </w:r>
      <w:r>
        <w:rPr>
          <w:rFonts w:hint="default"/>
          <w:lang w:val="en-US" w:eastAsia="zh-CN"/>
        </w:rPr>
        <w:instrText xml:space="preserve"> REF _Ref29904 \h </w:instrText>
      </w:r>
      <w:r>
        <w:rPr>
          <w:rFonts w:hint="default"/>
          <w:lang w:val="en-US" w:eastAsia="zh-CN"/>
        </w:rPr>
        <w:fldChar w:fldCharType="separate"/>
      </w:r>
      <w:r>
        <w:t>表</w:t>
      </w:r>
      <w:r>
        <w:rPr>
          <w:rFonts w:hint="eastAsia"/>
          <w:lang w:val="en-US" w:eastAsia="zh-CN"/>
        </w:rPr>
        <w:t>6</w:t>
      </w:r>
      <w:r>
        <w:t>.3.</w:t>
      </w:r>
      <w:r>
        <w:rPr>
          <w:rFonts w:hint="eastAsia"/>
          <w:lang w:val="en-US" w:eastAsia="zh-CN"/>
        </w:rPr>
        <w:t>4</w:t>
      </w:r>
      <w:r>
        <w:rPr>
          <w:rFonts w:hint="default"/>
          <w:lang w:val="en-US" w:eastAsia="zh-CN"/>
        </w:rPr>
        <w:fldChar w:fldCharType="end"/>
      </w:r>
      <w:r>
        <w:rPr>
          <w:rFonts w:hint="default"/>
          <w:lang w:val="en-US" w:eastAsia="zh-CN"/>
        </w:rPr>
        <w:t>的规定。</w:t>
      </w:r>
    </w:p>
    <w:p>
      <w:pPr>
        <w:pStyle w:val="23"/>
        <w:bidi w:val="0"/>
        <w:rPr>
          <w:rFonts w:hint="default"/>
          <w:lang w:val="en-US" w:eastAsia="zh-CN"/>
        </w:rPr>
      </w:pPr>
      <w:bookmarkStart w:id="43" w:name="_Ref29904"/>
      <w:r>
        <w:t>表</w:t>
      </w:r>
      <w:r>
        <w:rPr>
          <w:rFonts w:hint="eastAsia"/>
          <w:lang w:val="en-US" w:eastAsia="zh-CN"/>
        </w:rPr>
        <w:t>6</w:t>
      </w:r>
      <w:r>
        <w:t>.3.</w:t>
      </w:r>
      <w:bookmarkEnd w:id="43"/>
      <w:r>
        <w:rPr>
          <w:rFonts w:hint="eastAsia"/>
          <w:lang w:val="en-US" w:eastAsia="zh-CN"/>
        </w:rPr>
        <w:t xml:space="preserve">4 </w:t>
      </w:r>
      <w:r>
        <w:rPr>
          <w:rFonts w:hint="default"/>
          <w:lang w:val="en-US" w:eastAsia="zh-CN"/>
        </w:rPr>
        <w:t>模具尺寸允许偏差和检验方法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46"/>
        <w:gridCol w:w="900"/>
        <w:gridCol w:w="1626"/>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项次</w:t>
            </w:r>
          </w:p>
        </w:tc>
        <w:tc>
          <w:tcPr>
            <w:tcW w:w="1746" w:type="dxa"/>
            <w:gridSpan w:val="2"/>
            <w:vAlign w:val="center"/>
          </w:tcPr>
          <w:p>
            <w:pPr>
              <w:pStyle w:val="29"/>
              <w:bidi w:val="0"/>
              <w:jc w:val="center"/>
              <w:rPr>
                <w:rFonts w:hint="default"/>
                <w:lang w:val="en-US" w:eastAsia="zh-CN"/>
              </w:rPr>
            </w:pPr>
            <w:r>
              <w:rPr>
                <w:rFonts w:hint="default"/>
                <w:lang w:val="en-US" w:eastAsia="zh-CN"/>
              </w:rPr>
              <w:t>检验项目、内容</w:t>
            </w:r>
          </w:p>
        </w:tc>
        <w:tc>
          <w:tcPr>
            <w:tcW w:w="1626" w:type="dxa"/>
            <w:vAlign w:val="center"/>
          </w:tcPr>
          <w:p>
            <w:pPr>
              <w:pStyle w:val="29"/>
              <w:bidi w:val="0"/>
              <w:jc w:val="center"/>
              <w:rPr>
                <w:rFonts w:hint="default"/>
                <w:lang w:val="en-US" w:eastAsia="zh-CN"/>
              </w:rPr>
            </w:pPr>
            <w:r>
              <w:rPr>
                <w:rFonts w:hint="default"/>
                <w:lang w:val="en-US" w:eastAsia="zh-CN"/>
              </w:rPr>
              <w:t>允许偏差（mm</w:t>
            </w:r>
            <w:r>
              <w:rPr>
                <w:rFonts w:hint="eastAsia"/>
                <w:lang w:val="en-US" w:eastAsia="zh-CN"/>
              </w:rPr>
              <w:t>）</w:t>
            </w:r>
          </w:p>
        </w:tc>
        <w:tc>
          <w:tcPr>
            <w:tcW w:w="4426" w:type="dxa"/>
            <w:vAlign w:val="center"/>
          </w:tcPr>
          <w:p>
            <w:pPr>
              <w:pStyle w:val="29"/>
              <w:bidi w:val="0"/>
              <w:jc w:val="center"/>
              <w:rPr>
                <w:rFonts w:hint="default"/>
                <w:lang w:val="en-US" w:eastAsia="zh-CN"/>
              </w:rPr>
            </w:pPr>
            <w:r>
              <w:rPr>
                <w:rFonts w:hint="default"/>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24" w:type="dxa"/>
            <w:vMerge w:val="restart"/>
            <w:vAlign w:val="center"/>
          </w:tcPr>
          <w:p>
            <w:pPr>
              <w:pStyle w:val="29"/>
              <w:bidi w:val="0"/>
              <w:jc w:val="center"/>
              <w:rPr>
                <w:rFonts w:hint="default"/>
                <w:lang w:val="en-US" w:eastAsia="zh-CN"/>
              </w:rPr>
            </w:pPr>
            <w:r>
              <w:rPr>
                <w:rFonts w:hint="eastAsia"/>
                <w:lang w:val="en-US" w:eastAsia="zh-CN"/>
              </w:rPr>
              <w:t>1</w:t>
            </w:r>
          </w:p>
        </w:tc>
        <w:tc>
          <w:tcPr>
            <w:tcW w:w="846" w:type="dxa"/>
            <w:vMerge w:val="restart"/>
            <w:vAlign w:val="center"/>
          </w:tcPr>
          <w:p>
            <w:pPr>
              <w:pStyle w:val="29"/>
              <w:bidi w:val="0"/>
              <w:jc w:val="center"/>
              <w:rPr>
                <w:rFonts w:hint="default"/>
                <w:lang w:val="en-US" w:eastAsia="zh-CN"/>
              </w:rPr>
            </w:pPr>
            <w:r>
              <w:rPr>
                <w:rFonts w:hint="eastAsia"/>
                <w:lang w:val="en-US" w:eastAsia="zh-CN"/>
              </w:rPr>
              <w:t>长度</w:t>
            </w:r>
          </w:p>
        </w:tc>
        <w:tc>
          <w:tcPr>
            <w:tcW w:w="900" w:type="dxa"/>
            <w:vAlign w:val="center"/>
          </w:tcPr>
          <w:p>
            <w:pPr>
              <w:pStyle w:val="29"/>
              <w:bidi w:val="0"/>
              <w:jc w:val="center"/>
              <w:rPr>
                <w:rFonts w:hint="default"/>
                <w:lang w:val="en-US" w:eastAsia="zh-CN"/>
              </w:rPr>
            </w:pPr>
            <w:r>
              <w:rPr>
                <w:rFonts w:hint="eastAsia"/>
                <w:lang w:val="en-US" w:eastAsia="zh-CN"/>
              </w:rPr>
              <w:t>≤</w:t>
            </w:r>
            <w:r>
              <w:rPr>
                <w:rFonts w:hint="default"/>
                <w:lang w:val="en-US" w:eastAsia="zh-CN"/>
              </w:rPr>
              <w:t>6m</w:t>
            </w:r>
          </w:p>
        </w:tc>
        <w:tc>
          <w:tcPr>
            <w:tcW w:w="1626" w:type="dxa"/>
            <w:vAlign w:val="center"/>
          </w:tcPr>
          <w:p>
            <w:pPr>
              <w:pStyle w:val="29"/>
              <w:bidi w:val="0"/>
              <w:jc w:val="center"/>
              <w:rPr>
                <w:rFonts w:hint="default"/>
                <w:lang w:val="en-US" w:eastAsia="zh-CN"/>
              </w:rPr>
            </w:pPr>
            <w:r>
              <w:rPr>
                <w:rFonts w:hint="default"/>
                <w:lang w:val="en-US" w:eastAsia="zh-CN"/>
              </w:rPr>
              <w:t>1，-2</w:t>
            </w:r>
          </w:p>
        </w:tc>
        <w:tc>
          <w:tcPr>
            <w:tcW w:w="4426" w:type="dxa"/>
            <w:vMerge w:val="restart"/>
            <w:vAlign w:val="center"/>
          </w:tcPr>
          <w:p>
            <w:pPr>
              <w:pStyle w:val="29"/>
              <w:bidi w:val="0"/>
              <w:jc w:val="center"/>
              <w:rPr>
                <w:rFonts w:hint="default"/>
                <w:lang w:val="en-US" w:eastAsia="zh-CN"/>
              </w:rPr>
            </w:pPr>
            <w:r>
              <w:rPr>
                <w:rFonts w:hint="default"/>
                <w:lang w:val="en-US" w:eastAsia="zh-CN"/>
              </w:rPr>
              <w:t>用钢尺或带数字显示的卷尺量两侧边长度，取其中偏差绝对值较大值；或用激光测距仪量两侧边长度，取其中偏差绝对值较大值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24" w:type="dxa"/>
            <w:vMerge w:val="continue"/>
            <w:vAlign w:val="center"/>
          </w:tcPr>
          <w:p>
            <w:pPr>
              <w:pStyle w:val="29"/>
              <w:bidi w:val="0"/>
              <w:jc w:val="center"/>
            </w:pPr>
          </w:p>
        </w:tc>
        <w:tc>
          <w:tcPr>
            <w:tcW w:w="846" w:type="dxa"/>
            <w:vMerge w:val="continue"/>
            <w:vAlign w:val="center"/>
          </w:tcPr>
          <w:p>
            <w:pPr>
              <w:pStyle w:val="29"/>
              <w:bidi w:val="0"/>
              <w:jc w:val="center"/>
            </w:pPr>
          </w:p>
        </w:tc>
        <w:tc>
          <w:tcPr>
            <w:tcW w:w="900" w:type="dxa"/>
            <w:vAlign w:val="center"/>
          </w:tcPr>
          <w:p>
            <w:pPr>
              <w:pStyle w:val="29"/>
              <w:bidi w:val="0"/>
              <w:jc w:val="center"/>
              <w:rPr>
                <w:rFonts w:hint="default"/>
                <w:lang w:val="en-US" w:eastAsia="zh-CN"/>
              </w:rPr>
            </w:pPr>
            <w:r>
              <w:rPr>
                <w:rFonts w:hint="default"/>
                <w:lang w:val="en-US" w:eastAsia="zh-CN"/>
              </w:rPr>
              <w:t>＞6m</w:t>
            </w:r>
          </w:p>
        </w:tc>
        <w:tc>
          <w:tcPr>
            <w:tcW w:w="1626" w:type="dxa"/>
            <w:vAlign w:val="center"/>
          </w:tcPr>
          <w:p>
            <w:pPr>
              <w:pStyle w:val="29"/>
              <w:bidi w:val="0"/>
              <w:jc w:val="center"/>
              <w:rPr>
                <w:rFonts w:hint="default"/>
                <w:lang w:val="en-US" w:eastAsia="zh-CN"/>
              </w:rPr>
            </w:pPr>
            <w:r>
              <w:rPr>
                <w:rFonts w:hint="default"/>
                <w:lang w:val="en-US" w:eastAsia="zh-CN"/>
              </w:rPr>
              <w:t>2，-4</w:t>
            </w:r>
          </w:p>
        </w:tc>
        <w:tc>
          <w:tcPr>
            <w:tcW w:w="4426" w:type="dxa"/>
            <w:vMerge w:val="continue"/>
            <w:vAlign w:val="center"/>
          </w:tcPr>
          <w:p>
            <w:pPr>
              <w:pStyle w:val="29"/>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2</w:t>
            </w:r>
          </w:p>
        </w:tc>
        <w:tc>
          <w:tcPr>
            <w:tcW w:w="1746" w:type="dxa"/>
            <w:gridSpan w:val="2"/>
            <w:vAlign w:val="center"/>
          </w:tcPr>
          <w:p>
            <w:pPr>
              <w:pStyle w:val="29"/>
              <w:bidi w:val="0"/>
              <w:jc w:val="center"/>
              <w:rPr>
                <w:rFonts w:hint="default"/>
                <w:lang w:val="en-US" w:eastAsia="zh-CN"/>
              </w:rPr>
            </w:pPr>
            <w:r>
              <w:rPr>
                <w:rFonts w:hint="default"/>
                <w:highlight w:val="none"/>
                <w:lang w:val="en-US" w:eastAsia="zh-CN"/>
              </w:rPr>
              <w:t>宽度、高（厚）度</w:t>
            </w:r>
          </w:p>
        </w:tc>
        <w:tc>
          <w:tcPr>
            <w:tcW w:w="1626" w:type="dxa"/>
            <w:vAlign w:val="center"/>
          </w:tcPr>
          <w:p>
            <w:pPr>
              <w:pStyle w:val="29"/>
              <w:bidi w:val="0"/>
              <w:jc w:val="center"/>
              <w:rPr>
                <w:rFonts w:hint="default"/>
                <w:lang w:val="en-US" w:eastAsia="zh-CN"/>
              </w:rPr>
            </w:pPr>
            <w:r>
              <w:rPr>
                <w:rFonts w:hint="default"/>
                <w:lang w:val="en-US" w:eastAsia="zh-CN"/>
              </w:rPr>
              <w:t>2，-4</w:t>
            </w:r>
          </w:p>
        </w:tc>
        <w:tc>
          <w:tcPr>
            <w:tcW w:w="4426" w:type="dxa"/>
            <w:vAlign w:val="center"/>
          </w:tcPr>
          <w:p>
            <w:pPr>
              <w:pStyle w:val="29"/>
              <w:bidi w:val="0"/>
              <w:jc w:val="center"/>
              <w:rPr>
                <w:rFonts w:hint="default"/>
                <w:lang w:val="en-US" w:eastAsia="zh-CN"/>
              </w:rPr>
            </w:pPr>
            <w:r>
              <w:rPr>
                <w:rFonts w:hint="default"/>
                <w:lang w:val="en-US" w:eastAsia="zh-CN"/>
              </w:rPr>
              <w:t>用钢尺或带数字显示的卷尺、卡尺量两端，取其中偏差绝对值较大值；或用激光测距仪量两端，取其中偏差绝对值较大值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3</w:t>
            </w:r>
          </w:p>
        </w:tc>
        <w:tc>
          <w:tcPr>
            <w:tcW w:w="1746" w:type="dxa"/>
            <w:gridSpan w:val="2"/>
            <w:vAlign w:val="center"/>
          </w:tcPr>
          <w:p>
            <w:pPr>
              <w:pStyle w:val="29"/>
              <w:bidi w:val="0"/>
              <w:jc w:val="center"/>
              <w:rPr>
                <w:rFonts w:hint="default"/>
                <w:lang w:val="en-US" w:eastAsia="zh-CN"/>
              </w:rPr>
            </w:pPr>
            <w:r>
              <w:rPr>
                <w:rFonts w:hint="default"/>
                <w:lang w:val="en-US" w:eastAsia="zh-CN"/>
              </w:rPr>
              <w:t>底模表面平整度</w:t>
            </w:r>
          </w:p>
        </w:tc>
        <w:tc>
          <w:tcPr>
            <w:tcW w:w="1626" w:type="dxa"/>
            <w:vAlign w:val="center"/>
          </w:tcPr>
          <w:p>
            <w:pPr>
              <w:pStyle w:val="29"/>
              <w:bidi w:val="0"/>
              <w:jc w:val="center"/>
              <w:rPr>
                <w:rFonts w:hint="default"/>
                <w:lang w:val="en-US" w:eastAsia="zh-CN"/>
              </w:rPr>
            </w:pPr>
            <w:r>
              <w:rPr>
                <w:rFonts w:hint="eastAsia"/>
                <w:lang w:val="en-US" w:eastAsia="zh-CN"/>
              </w:rPr>
              <w:t>2</w:t>
            </w:r>
          </w:p>
        </w:tc>
        <w:tc>
          <w:tcPr>
            <w:tcW w:w="4426" w:type="dxa"/>
            <w:vAlign w:val="center"/>
          </w:tcPr>
          <w:p>
            <w:pPr>
              <w:pStyle w:val="29"/>
              <w:bidi w:val="0"/>
              <w:jc w:val="center"/>
              <w:rPr>
                <w:rFonts w:hint="default"/>
                <w:lang w:val="en-US" w:eastAsia="zh-CN"/>
              </w:rPr>
            </w:pPr>
            <w:r>
              <w:rPr>
                <w:rFonts w:hint="default"/>
                <w:lang w:val="en-US" w:eastAsia="zh-CN"/>
              </w:rPr>
              <w:t>用 2m 靠尺和塞尺量；或用 2m 靠尺和带数字显示的塞尺量；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4</w:t>
            </w:r>
          </w:p>
        </w:tc>
        <w:tc>
          <w:tcPr>
            <w:tcW w:w="1746" w:type="dxa"/>
            <w:gridSpan w:val="2"/>
            <w:vAlign w:val="center"/>
          </w:tcPr>
          <w:p>
            <w:pPr>
              <w:pStyle w:val="29"/>
              <w:bidi w:val="0"/>
              <w:jc w:val="center"/>
              <w:rPr>
                <w:rFonts w:hint="default"/>
                <w:lang w:val="en-US" w:eastAsia="zh-CN"/>
              </w:rPr>
            </w:pPr>
            <w:r>
              <w:rPr>
                <w:rFonts w:hint="default"/>
                <w:lang w:val="en-US" w:eastAsia="zh-CN"/>
              </w:rPr>
              <w:t>对角线差</w:t>
            </w:r>
          </w:p>
        </w:tc>
        <w:tc>
          <w:tcPr>
            <w:tcW w:w="1626" w:type="dxa"/>
            <w:vAlign w:val="center"/>
          </w:tcPr>
          <w:p>
            <w:pPr>
              <w:pStyle w:val="29"/>
              <w:bidi w:val="0"/>
              <w:jc w:val="center"/>
              <w:rPr>
                <w:rFonts w:hint="default"/>
                <w:lang w:val="en-US" w:eastAsia="zh-CN"/>
              </w:rPr>
            </w:pPr>
            <w:r>
              <w:rPr>
                <w:rFonts w:hint="eastAsia"/>
                <w:lang w:val="en-US" w:eastAsia="zh-CN"/>
              </w:rPr>
              <w:t>3</w:t>
            </w:r>
          </w:p>
        </w:tc>
        <w:tc>
          <w:tcPr>
            <w:tcW w:w="4426" w:type="dxa"/>
            <w:vAlign w:val="center"/>
          </w:tcPr>
          <w:p>
            <w:pPr>
              <w:pStyle w:val="29"/>
              <w:bidi w:val="0"/>
              <w:jc w:val="center"/>
              <w:rPr>
                <w:rFonts w:hint="default"/>
                <w:lang w:val="en-US" w:eastAsia="zh-CN"/>
              </w:rPr>
            </w:pPr>
            <w:r>
              <w:rPr>
                <w:rFonts w:hint="default"/>
                <w:lang w:val="en-US" w:eastAsia="zh-CN"/>
              </w:rPr>
              <w:t>用钢尺或带数字显示的卷尺量两对角线，计算差值；或用激光测距仪量两对角线，计算差值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5</w:t>
            </w:r>
          </w:p>
        </w:tc>
        <w:tc>
          <w:tcPr>
            <w:tcW w:w="1746" w:type="dxa"/>
            <w:gridSpan w:val="2"/>
            <w:vAlign w:val="center"/>
          </w:tcPr>
          <w:p>
            <w:pPr>
              <w:pStyle w:val="29"/>
              <w:bidi w:val="0"/>
              <w:jc w:val="center"/>
              <w:rPr>
                <w:rFonts w:hint="default"/>
                <w:lang w:val="en-US" w:eastAsia="zh-CN"/>
              </w:rPr>
            </w:pPr>
            <w:r>
              <w:rPr>
                <w:rFonts w:hint="default"/>
                <w:lang w:val="en-US" w:eastAsia="zh-CN"/>
              </w:rPr>
              <w:t>侧向弯曲</w:t>
            </w:r>
          </w:p>
        </w:tc>
        <w:tc>
          <w:tcPr>
            <w:tcW w:w="1626" w:type="dxa"/>
            <w:vAlign w:val="center"/>
          </w:tcPr>
          <w:p>
            <w:pPr>
              <w:pStyle w:val="29"/>
              <w:bidi w:val="0"/>
              <w:jc w:val="center"/>
              <w:rPr>
                <w:rFonts w:hint="default"/>
                <w:lang w:val="en-US" w:eastAsia="zh-CN"/>
              </w:rPr>
            </w:pPr>
            <w:r>
              <w:rPr>
                <w:rFonts w:hint="default"/>
                <w:i/>
                <w:iCs/>
                <w:lang w:val="en-US" w:eastAsia="zh-CN"/>
              </w:rPr>
              <w:t>L</w:t>
            </w:r>
            <w:r>
              <w:rPr>
                <w:rFonts w:hint="default"/>
                <w:lang w:val="en-US" w:eastAsia="zh-CN"/>
              </w:rPr>
              <w:t>/1500且</w:t>
            </w:r>
            <w:r>
              <w:rPr>
                <w:rFonts w:hint="eastAsia"/>
                <w:lang w:val="en-US" w:eastAsia="zh-CN"/>
              </w:rPr>
              <w:t>≤</w:t>
            </w:r>
            <w:r>
              <w:rPr>
                <w:rFonts w:hint="default"/>
                <w:lang w:val="en-US" w:eastAsia="zh-CN"/>
              </w:rPr>
              <w:t>5</w:t>
            </w:r>
          </w:p>
        </w:tc>
        <w:tc>
          <w:tcPr>
            <w:tcW w:w="4426" w:type="dxa"/>
            <w:vAlign w:val="center"/>
          </w:tcPr>
          <w:p>
            <w:pPr>
              <w:pStyle w:val="29"/>
              <w:bidi w:val="0"/>
              <w:jc w:val="center"/>
              <w:rPr>
                <w:rFonts w:hint="default"/>
                <w:lang w:val="en-US" w:eastAsia="zh-CN"/>
              </w:rPr>
            </w:pPr>
            <w:r>
              <w:rPr>
                <w:rFonts w:hint="default"/>
                <w:lang w:val="en-US" w:eastAsia="zh-CN"/>
              </w:rPr>
              <w:t>拉线，用钢尺或带数字显示的卷尺量侧向弯曲最大处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24" w:type="dxa"/>
            <w:vAlign w:val="center"/>
          </w:tcPr>
          <w:p>
            <w:pPr>
              <w:pStyle w:val="29"/>
              <w:bidi w:val="0"/>
              <w:jc w:val="center"/>
              <w:rPr>
                <w:rFonts w:hint="default"/>
                <w:lang w:val="en-US" w:eastAsia="zh-CN"/>
              </w:rPr>
            </w:pPr>
            <w:r>
              <w:rPr>
                <w:rFonts w:hint="eastAsia"/>
                <w:lang w:val="en-US" w:eastAsia="zh-CN"/>
              </w:rPr>
              <w:t>6</w:t>
            </w:r>
          </w:p>
        </w:tc>
        <w:tc>
          <w:tcPr>
            <w:tcW w:w="1746" w:type="dxa"/>
            <w:gridSpan w:val="2"/>
            <w:vAlign w:val="center"/>
          </w:tcPr>
          <w:p>
            <w:pPr>
              <w:pStyle w:val="29"/>
              <w:bidi w:val="0"/>
              <w:jc w:val="center"/>
              <w:rPr>
                <w:rFonts w:hint="default"/>
                <w:lang w:val="en-US" w:eastAsia="zh-CN"/>
              </w:rPr>
            </w:pPr>
            <w:r>
              <w:rPr>
                <w:rFonts w:hint="eastAsia"/>
                <w:lang w:val="en-US" w:eastAsia="zh-CN"/>
              </w:rPr>
              <w:t>翘曲</w:t>
            </w:r>
          </w:p>
        </w:tc>
        <w:tc>
          <w:tcPr>
            <w:tcW w:w="1626" w:type="dxa"/>
            <w:vAlign w:val="center"/>
          </w:tcPr>
          <w:p>
            <w:pPr>
              <w:pStyle w:val="29"/>
              <w:bidi w:val="0"/>
              <w:jc w:val="center"/>
              <w:rPr>
                <w:rFonts w:hint="default"/>
                <w:lang w:val="en-US" w:eastAsia="zh-CN"/>
              </w:rPr>
            </w:pPr>
            <w:r>
              <w:rPr>
                <w:rFonts w:hint="default"/>
                <w:i/>
                <w:iCs/>
                <w:lang w:val="en-US" w:eastAsia="zh-CN"/>
              </w:rPr>
              <w:t>L</w:t>
            </w:r>
            <w:r>
              <w:rPr>
                <w:rFonts w:hint="default"/>
                <w:lang w:val="en-US" w:eastAsia="zh-CN"/>
              </w:rPr>
              <w:t>/1500</w:t>
            </w:r>
          </w:p>
        </w:tc>
        <w:tc>
          <w:tcPr>
            <w:tcW w:w="4426" w:type="dxa"/>
            <w:vAlign w:val="center"/>
          </w:tcPr>
          <w:p>
            <w:pPr>
              <w:pStyle w:val="29"/>
              <w:bidi w:val="0"/>
              <w:jc w:val="center"/>
              <w:rPr>
                <w:rFonts w:hint="default"/>
                <w:lang w:val="en-US" w:eastAsia="zh-CN"/>
              </w:rPr>
            </w:pPr>
            <w:r>
              <w:rPr>
                <w:rFonts w:hint="default"/>
                <w:lang w:val="en-US" w:eastAsia="zh-CN"/>
              </w:rPr>
              <w:t>对角拉线，用钢尺或带数字显示的卷尺量拉线交点间距离，其值的 2 倍为翘曲值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7</w:t>
            </w:r>
          </w:p>
        </w:tc>
        <w:tc>
          <w:tcPr>
            <w:tcW w:w="1746" w:type="dxa"/>
            <w:gridSpan w:val="2"/>
            <w:vAlign w:val="center"/>
          </w:tcPr>
          <w:p>
            <w:pPr>
              <w:pStyle w:val="29"/>
              <w:bidi w:val="0"/>
              <w:jc w:val="center"/>
              <w:rPr>
                <w:rFonts w:hint="default"/>
                <w:lang w:val="en-US" w:eastAsia="zh-CN"/>
              </w:rPr>
            </w:pPr>
            <w:r>
              <w:rPr>
                <w:rFonts w:hint="eastAsia"/>
                <w:lang w:val="en-US" w:eastAsia="zh-CN"/>
              </w:rPr>
              <w:t>组装缝隙</w:t>
            </w:r>
          </w:p>
        </w:tc>
        <w:tc>
          <w:tcPr>
            <w:tcW w:w="1626" w:type="dxa"/>
            <w:vAlign w:val="center"/>
          </w:tcPr>
          <w:p>
            <w:pPr>
              <w:pStyle w:val="29"/>
              <w:bidi w:val="0"/>
              <w:jc w:val="center"/>
              <w:rPr>
                <w:rFonts w:hint="default"/>
                <w:lang w:val="en-US" w:eastAsia="zh-CN"/>
              </w:rPr>
            </w:pPr>
            <w:r>
              <w:rPr>
                <w:rFonts w:hint="eastAsia"/>
                <w:lang w:val="en-US" w:eastAsia="zh-CN"/>
              </w:rPr>
              <w:t>1</w:t>
            </w:r>
          </w:p>
        </w:tc>
        <w:tc>
          <w:tcPr>
            <w:tcW w:w="4426" w:type="dxa"/>
            <w:vAlign w:val="center"/>
          </w:tcPr>
          <w:p>
            <w:pPr>
              <w:pStyle w:val="29"/>
              <w:bidi w:val="0"/>
              <w:jc w:val="center"/>
              <w:rPr>
                <w:rFonts w:hint="default"/>
                <w:lang w:val="en-US" w:eastAsia="zh-CN"/>
              </w:rPr>
            </w:pPr>
            <w:r>
              <w:rPr>
                <w:rFonts w:hint="default"/>
                <w:lang w:val="en-US" w:eastAsia="zh-CN"/>
              </w:rPr>
              <w:t>用塞片或塞尺量，取最大值；或用带数字显示的塞尺量，取最大值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8</w:t>
            </w:r>
          </w:p>
        </w:tc>
        <w:tc>
          <w:tcPr>
            <w:tcW w:w="1746" w:type="dxa"/>
            <w:gridSpan w:val="2"/>
            <w:vAlign w:val="center"/>
          </w:tcPr>
          <w:p>
            <w:pPr>
              <w:pStyle w:val="29"/>
              <w:bidi w:val="0"/>
              <w:jc w:val="center"/>
              <w:rPr>
                <w:rFonts w:hint="default"/>
                <w:lang w:val="en-US" w:eastAsia="zh-CN"/>
              </w:rPr>
            </w:pPr>
            <w:r>
              <w:rPr>
                <w:rFonts w:hint="eastAsia"/>
                <w:lang w:val="en-US" w:eastAsia="zh-CN"/>
              </w:rPr>
              <w:t>相邻侧模高低差</w:t>
            </w:r>
          </w:p>
        </w:tc>
        <w:tc>
          <w:tcPr>
            <w:tcW w:w="1626" w:type="dxa"/>
            <w:vAlign w:val="center"/>
          </w:tcPr>
          <w:p>
            <w:pPr>
              <w:pStyle w:val="29"/>
              <w:bidi w:val="0"/>
              <w:jc w:val="center"/>
              <w:rPr>
                <w:rFonts w:hint="default"/>
                <w:lang w:val="en-US" w:eastAsia="zh-CN"/>
              </w:rPr>
            </w:pPr>
            <w:r>
              <w:rPr>
                <w:rFonts w:hint="eastAsia"/>
                <w:lang w:val="en-US" w:eastAsia="zh-CN"/>
              </w:rPr>
              <w:t>1</w:t>
            </w:r>
          </w:p>
        </w:tc>
        <w:tc>
          <w:tcPr>
            <w:tcW w:w="4426" w:type="dxa"/>
            <w:vAlign w:val="center"/>
          </w:tcPr>
          <w:p>
            <w:pPr>
              <w:pStyle w:val="29"/>
              <w:bidi w:val="0"/>
              <w:jc w:val="center"/>
              <w:rPr>
                <w:rFonts w:hint="default"/>
                <w:lang w:val="en-US" w:eastAsia="zh-CN"/>
              </w:rPr>
            </w:pPr>
            <w:r>
              <w:rPr>
                <w:rFonts w:hint="default"/>
                <w:lang w:val="en-US" w:eastAsia="zh-CN"/>
              </w:rPr>
              <w:t>用钢尺或带数字显示的卷尺量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9</w:t>
            </w:r>
          </w:p>
        </w:tc>
        <w:tc>
          <w:tcPr>
            <w:tcW w:w="1746" w:type="dxa"/>
            <w:gridSpan w:val="2"/>
            <w:vAlign w:val="center"/>
          </w:tcPr>
          <w:p>
            <w:pPr>
              <w:pStyle w:val="29"/>
              <w:bidi w:val="0"/>
              <w:jc w:val="center"/>
              <w:rPr>
                <w:rFonts w:hint="default"/>
                <w:lang w:val="en-US" w:eastAsia="zh-CN"/>
              </w:rPr>
            </w:pPr>
            <w:r>
              <w:rPr>
                <w:rFonts w:hint="eastAsia"/>
                <w:highlight w:val="none"/>
                <w:lang w:val="en-US" w:eastAsia="zh-CN"/>
              </w:rPr>
              <w:t>模具高度</w:t>
            </w:r>
          </w:p>
        </w:tc>
        <w:tc>
          <w:tcPr>
            <w:tcW w:w="1626" w:type="dxa"/>
            <w:vAlign w:val="center"/>
          </w:tcPr>
          <w:p>
            <w:pPr>
              <w:pStyle w:val="29"/>
              <w:bidi w:val="0"/>
              <w:jc w:val="center"/>
              <w:rPr>
                <w:rFonts w:hint="default"/>
                <w:lang w:val="en-US" w:eastAsia="zh-CN"/>
              </w:rPr>
            </w:pPr>
            <w:r>
              <w:rPr>
                <w:rFonts w:hint="eastAsia"/>
                <w:lang w:val="en-US" w:eastAsia="zh-CN"/>
              </w:rPr>
              <w:t>0，+3</w:t>
            </w:r>
          </w:p>
        </w:tc>
        <w:tc>
          <w:tcPr>
            <w:tcW w:w="4426" w:type="dxa"/>
            <w:vAlign w:val="center"/>
          </w:tcPr>
          <w:p>
            <w:pPr>
              <w:pStyle w:val="29"/>
              <w:bidi w:val="0"/>
              <w:jc w:val="center"/>
              <w:rPr>
                <w:rFonts w:hint="default"/>
                <w:lang w:val="en-US" w:eastAsia="zh-CN"/>
              </w:rPr>
            </w:pPr>
            <w:r>
              <w:rPr>
                <w:rFonts w:hint="default"/>
                <w:lang w:val="en-US" w:eastAsia="zh-CN"/>
              </w:rPr>
              <w:t>用游标卡尺量</w:t>
            </w:r>
          </w:p>
        </w:tc>
      </w:tr>
    </w:tbl>
    <w:p>
      <w:pPr>
        <w:pStyle w:val="29"/>
        <w:bidi w:val="0"/>
        <w:rPr>
          <w:rFonts w:hint="default"/>
          <w:lang w:val="en-US" w:eastAsia="zh-CN"/>
        </w:rPr>
      </w:pPr>
      <w:r>
        <w:rPr>
          <w:rFonts w:hint="default"/>
          <w:lang w:val="en-US" w:eastAsia="zh-CN"/>
        </w:rPr>
        <w:t>注：</w:t>
      </w:r>
      <w:r>
        <w:rPr>
          <w:rFonts w:hint="default"/>
          <w:i/>
          <w:iCs/>
          <w:lang w:val="en-US" w:eastAsia="zh-CN"/>
        </w:rPr>
        <w:t>L</w:t>
      </w:r>
      <w:r>
        <w:rPr>
          <w:rFonts w:hint="default"/>
          <w:lang w:val="en-US" w:eastAsia="zh-CN"/>
        </w:rPr>
        <w:t>为模具与混凝土接触面中最长边的尺寸。</w:t>
      </w:r>
    </w:p>
    <w:p>
      <w:pPr>
        <w:pStyle w:val="20"/>
        <w:spacing w:line="360" w:lineRule="auto"/>
        <w:rPr>
          <w:rFonts w:hint="eastAsia"/>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6.3.4</w:t>
      </w:r>
      <w:r>
        <w:rPr>
          <w:rFonts w:hint="eastAsia"/>
          <w:u w:val="single"/>
          <w:lang w:val="en-US" w:eastAsia="zh-CN"/>
        </w:rPr>
        <w:t xml:space="preserve"> 本条提出了模具的尺寸允许偏差和检验方法。</w:t>
      </w:r>
    </w:p>
    <w:p>
      <w:pPr>
        <w:pStyle w:val="4"/>
        <w:bidi w:val="0"/>
        <w:ind w:left="0" w:leftChars="0" w:firstLine="0" w:firstLineChars="0"/>
        <w:outlineLvl w:val="1"/>
        <w:rPr>
          <w:rFonts w:hint="default"/>
          <w:lang w:val="en-US" w:eastAsia="zh-CN"/>
        </w:rPr>
      </w:pPr>
      <w:bookmarkStart w:id="44" w:name="_Toc9746"/>
      <w:r>
        <w:rPr>
          <w:rFonts w:hint="default"/>
          <w:lang w:val="en-US" w:eastAsia="zh-CN"/>
        </w:rPr>
        <w:t>钢筋</w:t>
      </w:r>
      <w:bookmarkEnd w:id="44"/>
    </w:p>
    <w:p>
      <w:pPr>
        <w:numPr>
          <w:ilvl w:val="2"/>
          <w:numId w:val="1"/>
        </w:numPr>
        <w:bidi w:val="0"/>
        <w:rPr>
          <w:rFonts w:hint="default"/>
          <w:lang w:val="en-US" w:eastAsia="zh-CN"/>
        </w:rPr>
      </w:pPr>
      <w:r>
        <w:rPr>
          <w:rFonts w:hint="default"/>
          <w:lang w:val="en-US" w:eastAsia="zh-CN"/>
        </w:rPr>
        <w:t>钢筋宜采用自动化机械设备加工，并应符合现行国家标准《混凝土结构工程施工规范》GB 50666的有关规定。</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6.4.1</w:t>
      </w:r>
      <w:r>
        <w:rPr>
          <w:rFonts w:hint="eastAsia"/>
          <w:u w:val="single"/>
          <w:lang w:val="en-US" w:eastAsia="zh-CN"/>
        </w:rPr>
        <w:t xml:space="preserve"> </w:t>
      </w:r>
      <w:r>
        <w:rPr>
          <w:spacing w:val="-1"/>
          <w:sz w:val="24"/>
          <w:u w:val="single"/>
        </w:rPr>
        <w:t>钢筋采用专用自动化机械设备调直、切割、弯折和焊接，可有效保证钢</w:t>
      </w:r>
      <w:r>
        <w:rPr>
          <w:sz w:val="24"/>
          <w:u w:val="single"/>
        </w:rPr>
        <w:t>筋加工质量和效率。</w:t>
      </w:r>
    </w:p>
    <w:p>
      <w:pPr>
        <w:numPr>
          <w:ilvl w:val="2"/>
          <w:numId w:val="1"/>
        </w:numPr>
        <w:bidi w:val="0"/>
        <w:rPr>
          <w:rFonts w:hint="default"/>
          <w:lang w:val="en-US" w:eastAsia="zh-CN"/>
        </w:rPr>
      </w:pPr>
      <w:r>
        <w:rPr>
          <w:rFonts w:hint="default"/>
          <w:lang w:val="en-US" w:eastAsia="zh-CN"/>
        </w:rPr>
        <w:t>钢筋应安装牢固、定位准确。入模后的钢筋发生变形、歪斜应及时扶正修理。严禁在入模后的钢筋上踩踏或行走，不得在钢筋上放置杂物。</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6.4.2</w:t>
      </w:r>
      <w:r>
        <w:rPr>
          <w:rFonts w:hint="eastAsia"/>
          <w:u w:val="single"/>
          <w:lang w:val="en-US" w:eastAsia="zh-CN"/>
        </w:rPr>
        <w:t xml:space="preserve"> </w:t>
      </w:r>
      <w:r>
        <w:rPr>
          <w:sz w:val="24"/>
          <w:u w:val="single"/>
        </w:rPr>
        <w:t>钢筋安装牢固并保证位置准确，是钢筋安装的基本要求。本条中钢筋包</w:t>
      </w:r>
      <w:r>
        <w:rPr>
          <w:spacing w:val="-1"/>
          <w:sz w:val="24"/>
          <w:u w:val="single"/>
        </w:rPr>
        <w:t>括纵向普通钢筋、</w:t>
      </w:r>
      <w:r>
        <w:rPr>
          <w:rFonts w:hint="eastAsia"/>
          <w:spacing w:val="-1"/>
          <w:sz w:val="24"/>
          <w:u w:val="single"/>
          <w:lang w:val="en-US" w:eastAsia="zh-CN"/>
        </w:rPr>
        <w:t>箍筋、</w:t>
      </w:r>
      <w:r>
        <w:rPr>
          <w:spacing w:val="-1"/>
          <w:sz w:val="24"/>
          <w:u w:val="single"/>
        </w:rPr>
        <w:t>钢筋焊接网</w:t>
      </w:r>
      <w:r>
        <w:rPr>
          <w:rFonts w:hint="eastAsia"/>
          <w:spacing w:val="-1"/>
          <w:sz w:val="24"/>
          <w:u w:val="single"/>
          <w:lang w:eastAsia="zh-CN"/>
        </w:rPr>
        <w:t>、</w:t>
      </w:r>
      <w:r>
        <w:rPr>
          <w:rFonts w:hint="eastAsia"/>
          <w:spacing w:val="-1"/>
          <w:sz w:val="24"/>
          <w:u w:val="single"/>
          <w:lang w:val="en-US" w:eastAsia="zh-CN"/>
        </w:rPr>
        <w:t>吊环钢筋</w:t>
      </w:r>
      <w:r>
        <w:rPr>
          <w:spacing w:val="-1"/>
          <w:sz w:val="24"/>
          <w:u w:val="single"/>
        </w:rPr>
        <w:t>等。</w:t>
      </w:r>
    </w:p>
    <w:p>
      <w:pPr>
        <w:numPr>
          <w:ilvl w:val="2"/>
          <w:numId w:val="1"/>
        </w:numPr>
        <w:bidi w:val="0"/>
        <w:rPr>
          <w:rFonts w:hint="default"/>
          <w:lang w:val="en-US" w:eastAsia="zh-CN"/>
        </w:rPr>
      </w:pPr>
      <w:r>
        <w:rPr>
          <w:rFonts w:hint="default"/>
          <w:lang w:val="en-US" w:eastAsia="zh-CN"/>
        </w:rPr>
        <w:t>应采取专门措施保证钢筋</w:t>
      </w:r>
      <w:r>
        <w:rPr>
          <w:rFonts w:hint="eastAsia"/>
          <w:lang w:val="en-US" w:eastAsia="zh-CN"/>
        </w:rPr>
        <w:t>以及套筒挤压接头</w:t>
      </w:r>
      <w:r>
        <w:rPr>
          <w:rFonts w:hint="default"/>
          <w:lang w:val="en-US" w:eastAsia="zh-CN"/>
        </w:rPr>
        <w:t>的混凝土保护层厚度符合设计要求。</w:t>
      </w:r>
    </w:p>
    <w:p>
      <w:pPr>
        <w:pStyle w:val="20"/>
        <w:spacing w:line="360" w:lineRule="auto"/>
        <w:rPr>
          <w:sz w:val="24"/>
          <w:u w:val="single"/>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6.4.3</w:t>
      </w:r>
      <w:r>
        <w:rPr>
          <w:rFonts w:hint="eastAsia"/>
          <w:u w:val="single"/>
          <w:lang w:val="en-US" w:eastAsia="zh-CN"/>
        </w:rPr>
        <w:t xml:space="preserve"> </w:t>
      </w:r>
      <w:r>
        <w:rPr>
          <w:spacing w:val="-2"/>
          <w:sz w:val="24"/>
          <w:u w:val="single"/>
        </w:rPr>
        <w:t>应采用各种定位件保证钢筋</w:t>
      </w:r>
      <w:r>
        <w:rPr>
          <w:rFonts w:hint="eastAsia"/>
          <w:spacing w:val="-2"/>
          <w:sz w:val="24"/>
          <w:u w:val="single"/>
          <w:lang w:val="en-US" w:eastAsia="zh-CN"/>
        </w:rPr>
        <w:t>以及套筒挤压接头的</w:t>
      </w:r>
      <w:r>
        <w:rPr>
          <w:spacing w:val="-2"/>
          <w:sz w:val="24"/>
          <w:u w:val="single"/>
        </w:rPr>
        <w:t>混凝土保护层厚度满足设计要求。定位件</w:t>
      </w:r>
      <w:r>
        <w:rPr>
          <w:sz w:val="24"/>
          <w:u w:val="single"/>
        </w:rPr>
        <w:t>的数量、间距和固定方式应能保证钢筋的位置偏差符合国家现行有关标准的规定。</w:t>
      </w:r>
    </w:p>
    <w:p>
      <w:pPr>
        <w:numPr>
          <w:ilvl w:val="2"/>
          <w:numId w:val="1"/>
        </w:numPr>
        <w:bidi w:val="0"/>
        <w:rPr>
          <w:rFonts w:hint="default"/>
          <w:highlight w:val="none"/>
          <w:lang w:val="en-US" w:eastAsia="zh-CN"/>
        </w:rPr>
      </w:pPr>
      <w:r>
        <w:rPr>
          <w:rFonts w:hint="eastAsia"/>
          <w:highlight w:val="none"/>
          <w:lang w:val="en-US" w:eastAsia="zh-CN"/>
        </w:rPr>
        <w:t>叠合肋梁下皮纵筋端部应设插入套筒深度的明显标记。</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6.4.4</w:t>
      </w:r>
      <w:r>
        <w:rPr>
          <w:rFonts w:hint="eastAsia"/>
          <w:u w:val="single"/>
          <w:lang w:val="en-US" w:eastAsia="zh-CN"/>
        </w:rPr>
        <w:t xml:space="preserve"> 叠合肋梁下皮纵筋端头的应设明显标记。标记的一端为钢筋插入到套筒挤压接头内的位置，保证钢筋插入套筒内的长度；标记的另一端为套筒挤压接头挤压完毕之后的位置，方便后期检查。</w:t>
      </w:r>
    </w:p>
    <w:p>
      <w:pPr>
        <w:pStyle w:val="4"/>
        <w:bidi w:val="0"/>
        <w:ind w:left="0" w:leftChars="0" w:firstLine="0" w:firstLineChars="0"/>
        <w:outlineLvl w:val="1"/>
        <w:rPr>
          <w:rFonts w:hint="default"/>
          <w:lang w:val="en-US" w:eastAsia="zh-CN"/>
        </w:rPr>
      </w:pPr>
      <w:bookmarkStart w:id="45" w:name="_Toc19131"/>
      <w:r>
        <w:rPr>
          <w:rFonts w:hint="default"/>
          <w:lang w:val="en-US" w:eastAsia="zh-CN"/>
        </w:rPr>
        <w:t>混凝土</w:t>
      </w:r>
      <w:bookmarkEnd w:id="45"/>
    </w:p>
    <w:p>
      <w:pPr>
        <w:numPr>
          <w:ilvl w:val="2"/>
          <w:numId w:val="1"/>
        </w:numPr>
        <w:bidi w:val="0"/>
        <w:rPr>
          <w:rFonts w:hint="default"/>
          <w:lang w:val="en-US" w:eastAsia="zh-CN"/>
        </w:rPr>
      </w:pPr>
      <w:r>
        <w:rPr>
          <w:rFonts w:hint="default"/>
          <w:lang w:val="en-US" w:eastAsia="zh-CN"/>
        </w:rPr>
        <w:t>混凝土工作性能指标应根据预制底板的生产工艺确定，混凝土配合比设计应符合国家现行标准《普通混凝土配合比设计规程》JGJ 55和《混凝土结构工程施工规范》GB 50666的有关规定。</w:t>
      </w:r>
    </w:p>
    <w:p>
      <w:pPr>
        <w:numPr>
          <w:ilvl w:val="2"/>
          <w:numId w:val="1"/>
        </w:numPr>
        <w:bidi w:val="0"/>
        <w:rPr>
          <w:rFonts w:hint="default"/>
          <w:lang w:val="en-US" w:eastAsia="zh-CN"/>
        </w:rPr>
      </w:pPr>
      <w:r>
        <w:rPr>
          <w:rFonts w:hint="default"/>
          <w:lang w:val="en-US" w:eastAsia="zh-CN"/>
        </w:rPr>
        <w:t>混凝土</w:t>
      </w:r>
      <w:r>
        <w:rPr>
          <w:rFonts w:hint="eastAsia"/>
          <w:lang w:val="en-US" w:eastAsia="zh-CN"/>
        </w:rPr>
        <w:t>宜</w:t>
      </w:r>
      <w:r>
        <w:rPr>
          <w:rFonts w:hint="default"/>
          <w:lang w:val="en-US" w:eastAsia="zh-CN"/>
        </w:rPr>
        <w:t>采用有自动计量装置的强制式搅拌机进行生产，搅拌机应具有生产数据逐盘记录和实时查询功能。混凝土应按照混凝土配合比通知单进行生产，原材料每盘称量的允许偏差应符合</w:t>
      </w:r>
      <w:r>
        <w:rPr>
          <w:rFonts w:hint="default"/>
          <w:lang w:val="en-US" w:eastAsia="zh-CN"/>
        </w:rPr>
        <w:fldChar w:fldCharType="begin"/>
      </w:r>
      <w:r>
        <w:rPr>
          <w:rFonts w:hint="default"/>
          <w:lang w:val="en-US" w:eastAsia="zh-CN"/>
        </w:rPr>
        <w:instrText xml:space="preserve"> REF _Ref156 \h </w:instrText>
      </w:r>
      <w:r>
        <w:rPr>
          <w:rFonts w:hint="default"/>
          <w:lang w:val="en-US" w:eastAsia="zh-CN"/>
        </w:rPr>
        <w:fldChar w:fldCharType="separate"/>
      </w:r>
      <w:r>
        <w:t>表</w:t>
      </w:r>
      <w:r>
        <w:rPr>
          <w:rFonts w:hint="eastAsia"/>
          <w:lang w:val="en-US" w:eastAsia="zh-CN"/>
        </w:rPr>
        <w:t>6</w:t>
      </w:r>
      <w:r>
        <w:t>.</w:t>
      </w:r>
      <w:r>
        <w:rPr>
          <w:rFonts w:hint="eastAsia"/>
          <w:lang w:val="en-US" w:eastAsia="zh-CN"/>
        </w:rPr>
        <w:t>5</w:t>
      </w:r>
      <w:r>
        <w:t>.</w:t>
      </w:r>
      <w:r>
        <w:rPr>
          <w:rFonts w:hint="eastAsia"/>
          <w:lang w:val="en-US" w:eastAsia="zh-CN"/>
        </w:rPr>
        <w:t>2</w:t>
      </w:r>
      <w:r>
        <w:rPr>
          <w:rFonts w:hint="default"/>
          <w:lang w:val="en-US" w:eastAsia="zh-CN"/>
        </w:rPr>
        <w:fldChar w:fldCharType="end"/>
      </w:r>
      <w:r>
        <w:rPr>
          <w:rFonts w:hint="default"/>
          <w:lang w:val="en-US" w:eastAsia="zh-CN"/>
        </w:rPr>
        <w:t>的规定。</w:t>
      </w:r>
    </w:p>
    <w:p>
      <w:pPr>
        <w:pStyle w:val="23"/>
        <w:bidi w:val="0"/>
        <w:rPr>
          <w:rFonts w:hint="default"/>
          <w:lang w:val="en-US" w:eastAsia="zh-CN"/>
        </w:rPr>
      </w:pPr>
      <w:bookmarkStart w:id="46" w:name="_Ref156"/>
      <w:r>
        <w:t>表</w:t>
      </w:r>
      <w:r>
        <w:rPr>
          <w:rFonts w:hint="eastAsia"/>
          <w:lang w:val="en-US" w:eastAsia="zh-CN"/>
        </w:rPr>
        <w:t>6</w:t>
      </w:r>
      <w:r>
        <w:t>.</w:t>
      </w:r>
      <w:r>
        <w:rPr>
          <w:rFonts w:hint="eastAsia"/>
          <w:lang w:val="en-US" w:eastAsia="zh-CN"/>
        </w:rPr>
        <w:t>5</w:t>
      </w:r>
      <w:r>
        <w:t>.</w:t>
      </w:r>
      <w:bookmarkEnd w:id="46"/>
      <w:r>
        <w:rPr>
          <w:rFonts w:hint="eastAsia"/>
          <w:lang w:val="en-US" w:eastAsia="zh-CN"/>
        </w:rPr>
        <w:t xml:space="preserve">2 </w:t>
      </w:r>
      <w:r>
        <w:rPr>
          <w:rFonts w:hint="default"/>
          <w:lang w:val="en-US" w:eastAsia="zh-CN"/>
        </w:rPr>
        <w:t>混凝土原材料每盘称量的允许偏差</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1731"/>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29"/>
              <w:bidi w:val="0"/>
              <w:jc w:val="center"/>
              <w:rPr>
                <w:rFonts w:hint="default"/>
                <w:lang w:val="en-US" w:eastAsia="zh-CN"/>
              </w:rPr>
            </w:pPr>
            <w:r>
              <w:rPr>
                <w:rFonts w:hint="eastAsia"/>
                <w:lang w:val="en-US" w:eastAsia="zh-CN"/>
              </w:rPr>
              <w:t>项次</w:t>
            </w:r>
          </w:p>
        </w:tc>
        <w:tc>
          <w:tcPr>
            <w:tcW w:w="1731" w:type="dxa"/>
            <w:vAlign w:val="center"/>
          </w:tcPr>
          <w:p>
            <w:pPr>
              <w:pStyle w:val="29"/>
              <w:bidi w:val="0"/>
              <w:jc w:val="center"/>
              <w:rPr>
                <w:rFonts w:hint="default"/>
                <w:lang w:val="en-US" w:eastAsia="zh-CN"/>
              </w:rPr>
            </w:pPr>
            <w:r>
              <w:rPr>
                <w:rFonts w:hint="eastAsia"/>
                <w:lang w:val="en-US" w:eastAsia="zh-CN"/>
              </w:rPr>
              <w:t>材料名称</w:t>
            </w:r>
          </w:p>
        </w:tc>
        <w:tc>
          <w:tcPr>
            <w:tcW w:w="2454" w:type="dxa"/>
            <w:vAlign w:val="center"/>
          </w:tcPr>
          <w:p>
            <w:pPr>
              <w:pStyle w:val="29"/>
              <w:bidi w:val="0"/>
              <w:jc w:val="center"/>
              <w:rPr>
                <w:rFonts w:hint="default"/>
                <w:lang w:val="en-US" w:eastAsia="zh-CN"/>
              </w:rPr>
            </w:pPr>
            <w:r>
              <w:rPr>
                <w:rFonts w:hint="default"/>
                <w:lang w:val="en-US" w:eastAsia="zh-CN"/>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150" w:type="dxa"/>
            <w:vAlign w:val="center"/>
          </w:tcPr>
          <w:p>
            <w:pPr>
              <w:pStyle w:val="29"/>
              <w:bidi w:val="0"/>
              <w:jc w:val="center"/>
              <w:rPr>
                <w:rFonts w:hint="default"/>
                <w:lang w:val="en-US" w:eastAsia="zh-CN"/>
              </w:rPr>
            </w:pPr>
            <w:r>
              <w:rPr>
                <w:rFonts w:hint="eastAsia"/>
                <w:lang w:val="en-US" w:eastAsia="zh-CN"/>
              </w:rPr>
              <w:t>1</w:t>
            </w:r>
          </w:p>
        </w:tc>
        <w:tc>
          <w:tcPr>
            <w:tcW w:w="1731" w:type="dxa"/>
            <w:vAlign w:val="center"/>
          </w:tcPr>
          <w:p>
            <w:pPr>
              <w:pStyle w:val="29"/>
              <w:bidi w:val="0"/>
              <w:jc w:val="center"/>
              <w:rPr>
                <w:rFonts w:hint="default"/>
                <w:lang w:val="en-US" w:eastAsia="zh-CN"/>
              </w:rPr>
            </w:pPr>
            <w:r>
              <w:rPr>
                <w:rFonts w:hint="eastAsia"/>
                <w:lang w:val="en-US" w:eastAsia="zh-CN"/>
              </w:rPr>
              <w:t>胶凝材料</w:t>
            </w:r>
          </w:p>
        </w:tc>
        <w:tc>
          <w:tcPr>
            <w:tcW w:w="2454" w:type="dxa"/>
            <w:vAlign w:val="center"/>
          </w:tcPr>
          <w:p>
            <w:pPr>
              <w:pStyle w:val="29"/>
              <w:bidi w:val="0"/>
              <w:jc w:val="center"/>
              <w:rPr>
                <w:rFonts w:hint="default"/>
                <w:lang w:val="en-US" w:eastAsia="zh-CN"/>
              </w:rPr>
            </w:pPr>
            <w:r>
              <w:rPr>
                <w:rFonts w:hint="eastAsia"/>
                <w:lang w:val="en-US" w:eastAsia="zh-CN"/>
              </w:rPr>
              <w:t>±</w:t>
            </w:r>
            <w:r>
              <w:rPr>
                <w:rFonts w:hint="default"/>
                <w:lang w:val="en-US" w:eastAsia="zh-CN"/>
              </w:rPr>
              <w:t>2</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29"/>
              <w:bidi w:val="0"/>
              <w:jc w:val="center"/>
              <w:rPr>
                <w:rFonts w:hint="default"/>
                <w:lang w:val="en-US" w:eastAsia="zh-CN"/>
              </w:rPr>
            </w:pPr>
            <w:r>
              <w:rPr>
                <w:rFonts w:hint="eastAsia"/>
                <w:lang w:val="en-US" w:eastAsia="zh-CN"/>
              </w:rPr>
              <w:t>2</w:t>
            </w:r>
          </w:p>
        </w:tc>
        <w:tc>
          <w:tcPr>
            <w:tcW w:w="1731" w:type="dxa"/>
            <w:vAlign w:val="center"/>
          </w:tcPr>
          <w:p>
            <w:pPr>
              <w:pStyle w:val="29"/>
              <w:bidi w:val="0"/>
              <w:jc w:val="center"/>
              <w:rPr>
                <w:rFonts w:hint="default"/>
                <w:lang w:val="en-US" w:eastAsia="zh-CN"/>
              </w:rPr>
            </w:pPr>
            <w:r>
              <w:rPr>
                <w:rFonts w:hint="eastAsia"/>
                <w:lang w:val="en-US" w:eastAsia="zh-CN"/>
              </w:rPr>
              <w:t>粗、细骨料</w:t>
            </w:r>
          </w:p>
        </w:tc>
        <w:tc>
          <w:tcPr>
            <w:tcW w:w="2454" w:type="dxa"/>
            <w:vAlign w:val="center"/>
          </w:tcPr>
          <w:p>
            <w:pPr>
              <w:pStyle w:val="29"/>
              <w:bidi w:val="0"/>
              <w:jc w:val="center"/>
              <w:rPr>
                <w:rFonts w:hint="default"/>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vAlign w:val="center"/>
          </w:tcPr>
          <w:p>
            <w:pPr>
              <w:pStyle w:val="29"/>
              <w:bidi w:val="0"/>
              <w:jc w:val="center"/>
              <w:rPr>
                <w:rFonts w:hint="default"/>
                <w:lang w:val="en-US" w:eastAsia="zh-CN"/>
              </w:rPr>
            </w:pPr>
            <w:r>
              <w:rPr>
                <w:rFonts w:hint="eastAsia"/>
                <w:lang w:val="en-US" w:eastAsia="zh-CN"/>
              </w:rPr>
              <w:t>3</w:t>
            </w:r>
          </w:p>
        </w:tc>
        <w:tc>
          <w:tcPr>
            <w:tcW w:w="1731" w:type="dxa"/>
            <w:vAlign w:val="center"/>
          </w:tcPr>
          <w:p>
            <w:pPr>
              <w:pStyle w:val="29"/>
              <w:bidi w:val="0"/>
              <w:jc w:val="center"/>
              <w:rPr>
                <w:rFonts w:hint="default"/>
                <w:lang w:val="en-US" w:eastAsia="zh-CN"/>
              </w:rPr>
            </w:pPr>
            <w:r>
              <w:rPr>
                <w:rFonts w:hint="eastAsia"/>
                <w:lang w:val="en-US" w:eastAsia="zh-CN"/>
              </w:rPr>
              <w:t>水、外加剂</w:t>
            </w:r>
          </w:p>
        </w:tc>
        <w:tc>
          <w:tcPr>
            <w:tcW w:w="2454" w:type="dxa"/>
            <w:vAlign w:val="center"/>
          </w:tcPr>
          <w:p>
            <w:pPr>
              <w:pStyle w:val="29"/>
              <w:bidi w:val="0"/>
              <w:jc w:val="center"/>
              <w:rPr>
                <w:rFonts w:hint="default"/>
                <w:lang w:val="en-US" w:eastAsia="zh-CN"/>
              </w:rPr>
            </w:pPr>
            <w:r>
              <w:rPr>
                <w:rFonts w:hint="eastAsia"/>
                <w:lang w:val="en-US" w:eastAsia="zh-CN"/>
              </w:rPr>
              <w:t>±1%</w:t>
            </w:r>
          </w:p>
        </w:tc>
      </w:tr>
    </w:tbl>
    <w:p>
      <w:pPr>
        <w:numPr>
          <w:ilvl w:val="2"/>
          <w:numId w:val="1"/>
        </w:numPr>
        <w:bidi w:val="0"/>
        <w:rPr>
          <w:rFonts w:hint="default"/>
          <w:lang w:val="en-US" w:eastAsia="zh-CN"/>
        </w:rPr>
      </w:pPr>
      <w:r>
        <w:rPr>
          <w:rFonts w:hint="default"/>
          <w:lang w:val="en-US" w:eastAsia="zh-CN"/>
        </w:rPr>
        <w:t>混凝土应进行抗压强度检验，并应符合下列规定：</w:t>
      </w:r>
    </w:p>
    <w:p>
      <w:pPr>
        <w:numPr>
          <w:ilvl w:val="0"/>
          <w:numId w:val="13"/>
        </w:numPr>
        <w:tabs>
          <w:tab w:val="left" w:pos="420"/>
          <w:tab w:val="clear" w:pos="0"/>
        </w:tabs>
        <w:bidi w:val="0"/>
        <w:ind w:left="247" w:leftChars="0" w:hanging="247" w:firstLineChars="0"/>
        <w:rPr>
          <w:rFonts w:hint="default"/>
          <w:lang w:val="en-US" w:eastAsia="zh-CN"/>
        </w:rPr>
      </w:pPr>
      <w:r>
        <w:rPr>
          <w:rFonts w:hint="default"/>
          <w:lang w:val="en-US" w:eastAsia="zh-CN"/>
        </w:rPr>
        <w:t>混凝土检验试块应在浇筑地点取样制作；</w:t>
      </w:r>
    </w:p>
    <w:p>
      <w:pPr>
        <w:numPr>
          <w:ilvl w:val="0"/>
          <w:numId w:val="13"/>
        </w:numPr>
        <w:tabs>
          <w:tab w:val="left" w:pos="420"/>
          <w:tab w:val="clear" w:pos="0"/>
        </w:tabs>
        <w:bidi w:val="0"/>
        <w:ind w:left="247" w:leftChars="0" w:hanging="247" w:firstLineChars="0"/>
        <w:rPr>
          <w:rFonts w:hint="default"/>
          <w:lang w:val="en-US" w:eastAsia="zh-CN"/>
        </w:rPr>
      </w:pPr>
      <w:r>
        <w:rPr>
          <w:rFonts w:hint="default"/>
          <w:lang w:val="en-US" w:eastAsia="zh-CN"/>
        </w:rPr>
        <w:t>每拌制100盘且不超过100m</w:t>
      </w:r>
      <w:r>
        <w:rPr>
          <w:rFonts w:hint="default"/>
          <w:vertAlign w:val="superscript"/>
          <w:lang w:val="en-US" w:eastAsia="zh-CN"/>
        </w:rPr>
        <w:t>3</w:t>
      </w:r>
      <w:r>
        <w:rPr>
          <w:rFonts w:hint="default"/>
          <w:lang w:val="en-US" w:eastAsia="zh-CN"/>
        </w:rPr>
        <w:t>的同一配合比混凝土，每工作班拌制的同一配合比的混凝土不足100盘为一批；</w:t>
      </w:r>
    </w:p>
    <w:p>
      <w:pPr>
        <w:numPr>
          <w:ilvl w:val="0"/>
          <w:numId w:val="13"/>
        </w:numPr>
        <w:tabs>
          <w:tab w:val="left" w:pos="420"/>
          <w:tab w:val="clear" w:pos="0"/>
        </w:tabs>
        <w:bidi w:val="0"/>
        <w:ind w:left="247" w:leftChars="0" w:hanging="247" w:firstLineChars="0"/>
        <w:rPr>
          <w:rFonts w:hint="default"/>
          <w:lang w:val="en-US" w:eastAsia="zh-CN"/>
        </w:rPr>
      </w:pPr>
      <w:r>
        <w:rPr>
          <w:rFonts w:hint="default"/>
          <w:lang w:val="en-US" w:eastAsia="zh-CN"/>
        </w:rPr>
        <w:t>每批制作强度检验试块不少于3组、随机抽取1组进行同条件转标准养护后进行强度检验，其余可作为同条件试块在预制构件脱模和出厂时控制其混凝土强度；还应根据预制构件吊装的要求，留够足够数量的同条件混凝土试块进行强度检验；</w:t>
      </w:r>
    </w:p>
    <w:p>
      <w:pPr>
        <w:numPr>
          <w:ilvl w:val="0"/>
          <w:numId w:val="13"/>
        </w:numPr>
        <w:tabs>
          <w:tab w:val="left" w:pos="420"/>
          <w:tab w:val="clear" w:pos="0"/>
        </w:tabs>
        <w:bidi w:val="0"/>
        <w:ind w:left="247" w:leftChars="0" w:hanging="247" w:firstLineChars="0"/>
        <w:rPr>
          <w:rFonts w:hint="default"/>
          <w:lang w:val="en-US" w:eastAsia="zh-CN"/>
        </w:rPr>
      </w:pPr>
      <w:r>
        <w:rPr>
          <w:rFonts w:hint="default"/>
          <w:lang w:val="en-US" w:eastAsia="zh-CN"/>
        </w:rPr>
        <w:t>蒸汽养护的预制底板，其强度评定混凝土试块应随同构件蒸养后，</w:t>
      </w:r>
      <w:r>
        <w:rPr>
          <w:rFonts w:hint="eastAsia"/>
          <w:lang w:val="en-US" w:eastAsia="zh-CN"/>
        </w:rPr>
        <w:t>再</w:t>
      </w:r>
      <w:r>
        <w:rPr>
          <w:rFonts w:hint="default"/>
          <w:lang w:val="en-US" w:eastAsia="zh-CN"/>
        </w:rPr>
        <w:t>转入标准条件养护。构件脱模起吊的混凝土同条件试块，其养护条件应与构件生产中采用的养护条件相同；</w:t>
      </w:r>
    </w:p>
    <w:p>
      <w:pPr>
        <w:numPr>
          <w:ilvl w:val="0"/>
          <w:numId w:val="13"/>
        </w:numPr>
        <w:tabs>
          <w:tab w:val="left" w:pos="420"/>
          <w:tab w:val="clear" w:pos="0"/>
        </w:tabs>
        <w:bidi w:val="0"/>
        <w:ind w:left="247" w:leftChars="0" w:hanging="247" w:firstLineChars="0"/>
        <w:rPr>
          <w:rFonts w:hint="default"/>
          <w:lang w:val="en-US" w:eastAsia="zh-CN"/>
        </w:rPr>
      </w:pPr>
      <w:r>
        <w:rPr>
          <w:rFonts w:hint="default"/>
          <w:lang w:val="en-US" w:eastAsia="zh-CN"/>
        </w:rPr>
        <w:t>除设计有要求外，预制底板出厂时的混凝土强度不宜低于设计混凝土强度等级值的75%。</w:t>
      </w:r>
    </w:p>
    <w:p>
      <w:pPr>
        <w:numPr>
          <w:ilvl w:val="2"/>
          <w:numId w:val="1"/>
        </w:numPr>
        <w:bidi w:val="0"/>
        <w:rPr>
          <w:rFonts w:hint="default"/>
          <w:lang w:val="en-US" w:eastAsia="zh-CN"/>
        </w:rPr>
      </w:pPr>
      <w:r>
        <w:rPr>
          <w:rFonts w:hint="default"/>
          <w:lang w:val="en-US" w:eastAsia="zh-CN"/>
        </w:rPr>
        <w:t>混凝土浇筑应符合下列规定：</w:t>
      </w:r>
    </w:p>
    <w:p>
      <w:pPr>
        <w:numPr>
          <w:ilvl w:val="0"/>
          <w:numId w:val="14"/>
        </w:numPr>
        <w:tabs>
          <w:tab w:val="left" w:pos="420"/>
          <w:tab w:val="clear" w:pos="0"/>
        </w:tabs>
        <w:bidi w:val="0"/>
        <w:ind w:left="247" w:leftChars="0" w:hanging="247" w:firstLineChars="0"/>
        <w:rPr>
          <w:rFonts w:hint="default"/>
          <w:lang w:val="en-US" w:eastAsia="zh-CN"/>
        </w:rPr>
      </w:pPr>
      <w:r>
        <w:rPr>
          <w:rFonts w:hint="default"/>
          <w:lang w:val="en-US" w:eastAsia="zh-CN"/>
        </w:rPr>
        <w:t>混凝土浇筑应连续进行并均匀摊铺，倾落高度不宜大于600mm；</w:t>
      </w:r>
    </w:p>
    <w:p>
      <w:pPr>
        <w:numPr>
          <w:ilvl w:val="0"/>
          <w:numId w:val="14"/>
        </w:numPr>
        <w:tabs>
          <w:tab w:val="left" w:pos="420"/>
          <w:tab w:val="clear" w:pos="0"/>
        </w:tabs>
        <w:bidi w:val="0"/>
        <w:ind w:left="247" w:leftChars="0" w:hanging="247" w:firstLineChars="0"/>
        <w:rPr>
          <w:rFonts w:hint="default"/>
          <w:lang w:val="en-US" w:eastAsia="zh-CN"/>
        </w:rPr>
      </w:pPr>
      <w:r>
        <w:rPr>
          <w:rFonts w:hint="default"/>
          <w:lang w:val="en-US" w:eastAsia="zh-CN"/>
        </w:rPr>
        <w:t>应采取措施保证模具、钢筋、预埋件等不发生变形或移位，如有变形或移位应及时纠正；应对外露钢筋、预埋件、预留孔洞进行保护；</w:t>
      </w:r>
    </w:p>
    <w:p>
      <w:pPr>
        <w:numPr>
          <w:ilvl w:val="0"/>
          <w:numId w:val="14"/>
        </w:numPr>
        <w:tabs>
          <w:tab w:val="left" w:pos="420"/>
          <w:tab w:val="clear" w:pos="0"/>
        </w:tabs>
        <w:bidi w:val="0"/>
        <w:ind w:left="247" w:leftChars="0" w:hanging="247" w:firstLineChars="0"/>
        <w:rPr>
          <w:rFonts w:hint="default"/>
          <w:lang w:val="en-US" w:eastAsia="zh-CN"/>
        </w:rPr>
      </w:pPr>
      <w:r>
        <w:rPr>
          <w:rFonts w:hint="default"/>
          <w:lang w:val="en-US" w:eastAsia="zh-CN"/>
        </w:rPr>
        <w:t>在投料完成后，宜采用振动平台振捣成型，振捣要密实，避免漏振、过振；</w:t>
      </w:r>
    </w:p>
    <w:p>
      <w:pPr>
        <w:numPr>
          <w:ilvl w:val="0"/>
          <w:numId w:val="14"/>
        </w:numPr>
        <w:tabs>
          <w:tab w:val="left" w:pos="420"/>
          <w:tab w:val="clear" w:pos="0"/>
        </w:tabs>
        <w:bidi w:val="0"/>
        <w:ind w:left="247" w:leftChars="0" w:hanging="247" w:firstLineChars="0"/>
        <w:rPr>
          <w:rFonts w:hint="default"/>
          <w:lang w:val="en-US" w:eastAsia="zh-CN"/>
        </w:rPr>
      </w:pPr>
      <w:r>
        <w:rPr>
          <w:rFonts w:hint="default"/>
          <w:lang w:val="en-US" w:eastAsia="zh-CN"/>
        </w:rPr>
        <w:t>振捣完成后应及时量测混凝土浇筑厚度，当浇筑厚度超过允许偏差时应作相应处理；</w:t>
      </w:r>
    </w:p>
    <w:p>
      <w:pPr>
        <w:numPr>
          <w:ilvl w:val="0"/>
          <w:numId w:val="14"/>
        </w:numPr>
        <w:tabs>
          <w:tab w:val="left" w:pos="420"/>
          <w:tab w:val="clear" w:pos="0"/>
        </w:tabs>
        <w:bidi w:val="0"/>
        <w:ind w:left="247" w:leftChars="0" w:hanging="247" w:firstLineChars="0"/>
        <w:rPr>
          <w:rFonts w:hint="default"/>
          <w:lang w:val="en-US" w:eastAsia="zh-CN"/>
        </w:rPr>
      </w:pPr>
      <w:r>
        <w:rPr>
          <w:rFonts w:hint="default"/>
          <w:lang w:val="en-US" w:eastAsia="zh-CN"/>
        </w:rPr>
        <w:t>混凝土从出机到浇筑完成的时间应符合现行国家标准《混凝土结构工程施工规范》GB 50666的有关规定。</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6.5.4</w:t>
      </w:r>
      <w:r>
        <w:rPr>
          <w:rFonts w:hint="eastAsia"/>
          <w:u w:val="single"/>
          <w:lang w:val="en-US" w:eastAsia="zh-CN"/>
        </w:rPr>
        <w:t xml:space="preserve"> </w:t>
      </w:r>
      <w:r>
        <w:rPr>
          <w:spacing w:val="-1"/>
          <w:sz w:val="24"/>
          <w:u w:val="single"/>
        </w:rPr>
        <w:t>混凝土浇筑过程中，需要进行充分有效振捣，避免出现漏振造成蜂窝麻</w:t>
      </w:r>
      <w:r>
        <w:rPr>
          <w:spacing w:val="-10"/>
          <w:sz w:val="24"/>
          <w:u w:val="single"/>
        </w:rPr>
        <w:t>面现象。当采用振捣棒振捣时，不宜触碰模具、钢筋、预埋件、预埋线盒等，以</w:t>
      </w:r>
      <w:r>
        <w:rPr>
          <w:sz w:val="24"/>
          <w:u w:val="single"/>
        </w:rPr>
        <w:t>免发生位置、尺寸偏差。对洒落的混凝土应及时清理。</w:t>
      </w:r>
    </w:p>
    <w:p>
      <w:pPr>
        <w:numPr>
          <w:ilvl w:val="2"/>
          <w:numId w:val="1"/>
        </w:numPr>
        <w:bidi w:val="0"/>
        <w:rPr>
          <w:rFonts w:hint="default"/>
          <w:lang w:val="en-US" w:eastAsia="zh-CN"/>
        </w:rPr>
      </w:pPr>
      <w:r>
        <w:rPr>
          <w:rFonts w:hint="default"/>
          <w:lang w:val="en-US" w:eastAsia="zh-CN"/>
        </w:rPr>
        <w:t>预制底板的养护应根据生产计划选择自然养护、自然养护加养护剂或加热养护等方式。当采用加热养护时，应建立加热养护制度，加热养护制度应通过试验确定；宜采用加热养护温度自动控制装置，严格控制升降温速度和最高温度，并做好温控记录。</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mc:AlternateContent>
          <mc:Choice Requires="wps">
            <w:drawing>
              <wp:anchor distT="0" distB="0" distL="114300" distR="114300" simplePos="0" relativeHeight="251665408" behindDoc="0" locked="0" layoutInCell="1" allowOverlap="1">
                <wp:simplePos x="0" y="0"/>
                <wp:positionH relativeFrom="page">
                  <wp:posOffset>6530975</wp:posOffset>
                </wp:positionH>
                <wp:positionV relativeFrom="paragraph">
                  <wp:posOffset>1138555</wp:posOffset>
                </wp:positionV>
                <wp:extent cx="0" cy="297180"/>
                <wp:effectExtent l="0" t="0" r="0" b="0"/>
                <wp:wrapNone/>
                <wp:docPr id="2774" name="直线 4582"/>
                <wp:cNvGraphicFramePr/>
                <a:graphic xmlns:a="http://schemas.openxmlformats.org/drawingml/2006/main">
                  <a:graphicData uri="http://schemas.microsoft.com/office/word/2010/wordprocessingShape">
                    <wps:wsp>
                      <wps:cNvCnPr/>
                      <wps:spPr>
                        <a:xfrm>
                          <a:off x="0" y="0"/>
                          <a:ext cx="0" cy="297180"/>
                        </a:xfrm>
                        <a:prstGeom prst="line">
                          <a:avLst/>
                        </a:prstGeom>
                        <a:ln w="0" cap="flat" cmpd="sng">
                          <a:solidFill>
                            <a:srgbClr val="000000"/>
                          </a:solidFill>
                          <a:prstDash val="solid"/>
                          <a:headEnd type="none" w="med" len="med"/>
                          <a:tailEnd type="none" w="med" len="med"/>
                        </a:ln>
                      </wps:spPr>
                      <wps:bodyPr upright="1"/>
                    </wps:wsp>
                  </a:graphicData>
                </a:graphic>
              </wp:anchor>
            </w:drawing>
          </mc:Choice>
          <mc:Fallback>
            <w:pict>
              <v:line id="直线 4582" o:spid="_x0000_s1026" o:spt="20" style="position:absolute;left:0pt;margin-left:514.25pt;margin-top:89.65pt;height:23.4pt;width:0pt;mso-position-horizontal-relative:page;z-index:251665408;mso-width-relative:page;mso-height-relative:page;" filled="f" stroked="t" coordsize="21600,21600" o:gfxdata="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I5&#10;8YXZAAAADQEAAA8AAAAAAAAAAQAgAAAAIgAAAGRycy9kb3ducmV2LnhtbFBLAQIUABQAAAAIAIdO&#10;4kCj72Wy6QEAAN0DAAAOAAAAAAAAAAEAIAAAACgBAABkcnMvZTJvRG9jLnhtbFBLBQYAAAAABgAG&#10;AFkBAACDBQAAAAA=&#10;">
                <v:fill on="f" focussize="0,0"/>
                <v:stroke weight="0pt" color="#000000" joinstyle="round"/>
                <v:imagedata o:title=""/>
                <o:lock v:ext="edit" aspectratio="f"/>
              </v:line>
            </w:pict>
          </mc:Fallback>
        </mc:AlternateContent>
      </w:r>
      <w:r>
        <w:rPr>
          <w:rFonts w:hint="eastAsia" w:ascii="Times New Roman" w:hAnsi="Times New Roman" w:eastAsia="宋体" w:cstheme="minorBidi"/>
          <w:color w:val="auto"/>
          <w:kern w:val="2"/>
          <w:sz w:val="24"/>
          <w:szCs w:val="24"/>
          <w:u w:val="single"/>
          <w:lang w:val="en-US" w:eastAsia="zh-CN" w:bidi="ar-SA"/>
        </w:rPr>
        <w:t>6.5.5</w:t>
      </w:r>
      <w:r>
        <w:rPr>
          <w:rFonts w:hint="eastAsia"/>
          <w:u w:val="single"/>
          <w:lang w:val="en-US" w:eastAsia="zh-CN"/>
        </w:rPr>
        <w:t xml:space="preserve"> </w:t>
      </w:r>
      <w:r>
        <w:rPr>
          <w:rFonts w:hint="eastAsia" w:ascii="Times New Roman" w:hAnsi="Times New Roman" w:eastAsia="宋体" w:cstheme="minorBidi"/>
          <w:color w:val="auto"/>
          <w:kern w:val="2"/>
          <w:sz w:val="24"/>
          <w:szCs w:val="24"/>
          <w:u w:val="single"/>
          <w:lang w:val="en-US" w:eastAsia="zh-CN" w:bidi="ar-SA"/>
        </w:rPr>
        <w:t>加热养护可加速混</w:t>
      </w:r>
      <w:r>
        <w:rPr>
          <w:rFonts w:hint="eastAsia"/>
          <w:u w:val="single"/>
          <w:lang w:val="en-US" w:eastAsia="zh-CN"/>
        </w:rPr>
        <w:t>凝土凝结硬化，缩短脱模时间，加快模具的周转，提高生产效率。当采用加热养护时，需要通过试验确定合适的养护温度曲线，对静停、升温、恒温、降温时间进行控制，避免产生混凝土收缩裂缝。加</w:t>
      </w:r>
      <w:r>
        <w:rPr>
          <w:rFonts w:hint="default" w:ascii="Times New Roman" w:hAnsi="Times New Roman" w:cs="Times New Roman"/>
          <w:u w:val="single"/>
          <w:lang w:val="en-US" w:eastAsia="zh-CN"/>
        </w:rPr>
        <w:t>热养护制度应通过试验确定，宜采用加热养护温度自动控制装置。宜在常温下预养护2h～6h，升、降温速度不宜超过20℃／h，最高养护温度</w:t>
      </w:r>
      <w:r>
        <w:rPr>
          <w:rFonts w:hint="default" w:ascii="Times New Roman" w:hAnsi="Times New Roman" w:cs="Times New Roman"/>
          <w:u w:val="single"/>
          <w:lang w:val="en-US" w:eastAsia="en-US"/>
        </w:rPr>
        <w:t>不应超过70℃</w:t>
      </w:r>
      <w:r>
        <w:rPr>
          <w:rFonts w:hint="default" w:ascii="Times New Roman" w:hAnsi="Times New Roman" w:cs="Times New Roman"/>
          <w:u w:val="single"/>
          <w:lang w:val="en-US" w:eastAsia="zh-CN"/>
        </w:rPr>
        <w:t>。预制构件脱模时的表面温度与环境温度的差值不宜超过25℃。</w:t>
      </w:r>
    </w:p>
    <w:p>
      <w:pPr>
        <w:numPr>
          <w:ilvl w:val="2"/>
          <w:numId w:val="1"/>
        </w:numPr>
        <w:bidi w:val="0"/>
        <w:rPr>
          <w:rFonts w:hint="default"/>
          <w:highlight w:val="none"/>
          <w:lang w:val="en-US" w:eastAsia="zh-CN"/>
        </w:rPr>
      </w:pPr>
      <w:r>
        <w:rPr>
          <w:rFonts w:hint="default"/>
          <w:highlight w:val="none"/>
          <w:lang w:val="en-US" w:eastAsia="zh-CN"/>
        </w:rPr>
        <w:t>预制底板粗糙面宜采用拉毛工艺，</w:t>
      </w:r>
      <w:r>
        <w:rPr>
          <w:rFonts w:hint="eastAsia"/>
          <w:highlight w:val="none"/>
          <w:lang w:val="en-US" w:eastAsia="zh-CN"/>
        </w:rPr>
        <w:t>也可</w:t>
      </w:r>
      <w:r>
        <w:rPr>
          <w:rFonts w:hint="default"/>
          <w:highlight w:val="none"/>
          <w:lang w:val="en-US" w:eastAsia="zh-CN"/>
        </w:rPr>
        <w:t>采用露骨料工艺</w:t>
      </w:r>
      <w:r>
        <w:rPr>
          <w:rFonts w:hint="eastAsia"/>
          <w:highlight w:val="none"/>
          <w:lang w:val="en-US" w:eastAsia="zh-CN"/>
        </w:rPr>
        <w:t>或者花纹钢板工艺</w:t>
      </w:r>
      <w:r>
        <w:rPr>
          <w:rFonts w:hint="default"/>
          <w:highlight w:val="none"/>
          <w:lang w:val="en-US" w:eastAsia="zh-CN"/>
        </w:rPr>
        <w:t>。</w:t>
      </w:r>
    </w:p>
    <w:p>
      <w:pPr>
        <w:pStyle w:val="20"/>
        <w:spacing w:line="360" w:lineRule="auto"/>
        <w:rPr>
          <w:rFonts w:hint="default" w:ascii="Times New Roman" w:hAnsi="Times New Roman" w:cs="Times New Roman"/>
          <w:highlight w:val="cyan"/>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6.5.6</w:t>
      </w:r>
      <w:r>
        <w:rPr>
          <w:rFonts w:hint="eastAsia"/>
          <w:highlight w:val="none"/>
          <w:u w:val="single"/>
          <w:lang w:val="en-US" w:eastAsia="zh-CN"/>
        </w:rPr>
        <w:t xml:space="preserve"> </w:t>
      </w:r>
      <w:r>
        <w:rPr>
          <w:rFonts w:hint="default" w:ascii="Times New Roman" w:hAnsi="Times New Roman" w:cs="Times New Roman"/>
          <w:highlight w:val="none"/>
          <w:u w:val="single"/>
          <w:lang w:val="en-US" w:eastAsia="zh-CN"/>
        </w:rPr>
        <w:t>粗糙面采用拉毛工艺操作简单可行，也可采用水冲露骨料工艺。当预制底板采用反打工艺，部分粗糙面无法采用拉毛工艺时，也可在模具的相应部分采用花纹钢板的方法。无论采用哪种方法，都需要满足粗糙面的面积和深度要求。本条参考现行协会标准《钢筋桁架混凝土叠合板应用技术规程》T/CECS 715提出的要求。</w:t>
      </w:r>
    </w:p>
    <w:p>
      <w:pPr>
        <w:pStyle w:val="4"/>
        <w:bidi w:val="0"/>
        <w:ind w:left="0" w:leftChars="0" w:firstLine="0" w:firstLineChars="0"/>
        <w:outlineLvl w:val="1"/>
        <w:rPr>
          <w:rFonts w:hint="default"/>
          <w:lang w:val="en-US" w:eastAsia="zh-CN"/>
        </w:rPr>
      </w:pPr>
      <w:bookmarkStart w:id="47" w:name="_Toc4968"/>
      <w:r>
        <w:rPr>
          <w:rFonts w:hint="default"/>
          <w:lang w:val="en-US" w:eastAsia="zh-CN"/>
        </w:rPr>
        <w:t>脱模</w:t>
      </w:r>
      <w:r>
        <w:rPr>
          <w:rFonts w:hint="eastAsia"/>
          <w:lang w:val="en-US" w:eastAsia="zh-CN"/>
        </w:rPr>
        <w:t>、翻转、吊运</w:t>
      </w:r>
      <w:r>
        <w:rPr>
          <w:rFonts w:hint="default"/>
          <w:lang w:val="en-US" w:eastAsia="zh-CN"/>
        </w:rPr>
        <w:t>与标识</w:t>
      </w:r>
      <w:bookmarkEnd w:id="47"/>
    </w:p>
    <w:p>
      <w:pPr>
        <w:numPr>
          <w:ilvl w:val="2"/>
          <w:numId w:val="1"/>
        </w:numPr>
        <w:bidi w:val="0"/>
        <w:rPr>
          <w:rFonts w:hint="default"/>
          <w:lang w:val="en-US" w:eastAsia="zh-CN"/>
        </w:rPr>
      </w:pPr>
      <w:r>
        <w:rPr>
          <w:rFonts w:hint="default"/>
          <w:lang w:val="en-US" w:eastAsia="zh-CN"/>
        </w:rPr>
        <w:t>预制底板脱模时，同条件养护的混凝土立方体试块抗压强度应满足设计要求。当设计无具体要求时，预制底板的</w:t>
      </w:r>
      <w:r>
        <w:rPr>
          <w:rFonts w:hint="eastAsia"/>
          <w:lang w:val="en-US" w:eastAsia="zh-CN"/>
        </w:rPr>
        <w:t>脱模</w:t>
      </w:r>
      <w:r>
        <w:rPr>
          <w:rFonts w:hint="default"/>
          <w:lang w:val="en-US" w:eastAsia="zh-CN"/>
        </w:rPr>
        <w:t>强度不应低于15MPa。</w:t>
      </w:r>
    </w:p>
    <w:p>
      <w:pPr>
        <w:pStyle w:val="20"/>
        <w:spacing w:line="360" w:lineRule="auto"/>
        <w:rPr>
          <w:rFonts w:hint="default" w:ascii="Times New Roman" w:hAnsi="Times New Roman" w:cs="Times New Roman"/>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6.6.1</w:t>
      </w:r>
      <w:r>
        <w:rPr>
          <w:rFonts w:hint="eastAsia"/>
          <w:u w:val="single"/>
          <w:lang w:val="en-US" w:eastAsia="zh-CN"/>
        </w:rPr>
        <w:t xml:space="preserve"> 预制底板脱模时，不得损伤预制构件，不得使用敲打震动方式脱模</w:t>
      </w:r>
      <w:r>
        <w:rPr>
          <w:rFonts w:hint="default"/>
          <w:u w:val="single"/>
          <w:lang w:val="en-US" w:eastAsia="zh-CN"/>
        </w:rPr>
        <w:t>，防止损伤</w:t>
      </w:r>
      <w:r>
        <w:rPr>
          <w:rFonts w:hint="default" w:ascii="Times New Roman" w:hAnsi="Times New Roman" w:cs="Times New Roman"/>
          <w:u w:val="single"/>
          <w:lang w:val="en-US" w:eastAsia="zh-CN"/>
        </w:rPr>
        <w:t>预制底板。先确认螺栓、夹具全部拆卸后，再将边模平行向外移除，防止边模变形。预制底板脱模强度应根据设计要求确定。当设计无具体要求时，对于预制底板，脱模强度不应低于15MPa，以防止过早脱模造成构件出现过大变形或开裂。</w:t>
      </w:r>
    </w:p>
    <w:p>
      <w:pPr>
        <w:numPr>
          <w:ilvl w:val="2"/>
          <w:numId w:val="1"/>
        </w:numPr>
        <w:bidi w:val="0"/>
        <w:rPr>
          <w:rFonts w:hint="default"/>
          <w:lang w:val="en-US" w:eastAsia="zh-CN"/>
        </w:rPr>
      </w:pPr>
      <w:r>
        <w:rPr>
          <w:rFonts w:hint="eastAsia"/>
          <w:lang w:val="en-US" w:eastAsia="zh-CN"/>
        </w:rPr>
        <w:t>预制底板翻转时宜采用专用翻转设备。</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6.6.2</w:t>
      </w:r>
      <w:r>
        <w:rPr>
          <w:rFonts w:hint="eastAsia"/>
          <w:u w:val="single"/>
          <w:lang w:val="en-US" w:eastAsia="zh-CN"/>
        </w:rPr>
        <w:t xml:space="preserve"> 预制底板采用反打工艺时，必然存在预制构件翻转的问题。采用专用翻转设备可以保证预制底板翻转时的受力、变形，避免产生裂缝，影响预制底板的质量。</w:t>
      </w:r>
    </w:p>
    <w:p>
      <w:pPr>
        <w:numPr>
          <w:ilvl w:val="2"/>
          <w:numId w:val="1"/>
        </w:numPr>
        <w:bidi w:val="0"/>
        <w:rPr>
          <w:rFonts w:hint="default"/>
          <w:lang w:val="en-US" w:eastAsia="zh-CN"/>
        </w:rPr>
      </w:pPr>
      <w:r>
        <w:rPr>
          <w:rFonts w:hint="default"/>
          <w:lang w:val="en-US" w:eastAsia="zh-CN"/>
        </w:rPr>
        <w:t>预制底板脱模</w:t>
      </w:r>
      <w:r>
        <w:rPr>
          <w:rFonts w:hint="eastAsia"/>
          <w:lang w:val="en-US" w:eastAsia="zh-CN"/>
        </w:rPr>
        <w:t>、翻转</w:t>
      </w:r>
      <w:r>
        <w:rPr>
          <w:rFonts w:hint="default"/>
          <w:lang w:val="en-US" w:eastAsia="zh-CN"/>
        </w:rPr>
        <w:t>后，对不影响结构性能的局部破损或表面非受力细微裂缝，可用修补浆料进行修补。</w:t>
      </w:r>
    </w:p>
    <w:p>
      <w:pPr>
        <w:pStyle w:val="20"/>
        <w:spacing w:line="360" w:lineRule="auto"/>
        <w:rPr>
          <w:rFonts w:hint="default" w:ascii="Times New Roman" w:hAnsi="Times New Roman" w:eastAsia="宋体" w:cstheme="minorBidi"/>
          <w:color w:val="auto"/>
          <w:kern w:val="2"/>
          <w:sz w:val="24"/>
          <w:szCs w:val="24"/>
          <w:u w:val="single"/>
          <w:lang w:val="en-US" w:eastAsia="zh-CN" w:bidi="ar-SA"/>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6.6.3</w:t>
      </w:r>
      <w:r>
        <w:rPr>
          <w:rFonts w:hint="eastAsia"/>
          <w:u w:val="single"/>
          <w:lang w:val="en-US" w:eastAsia="zh-CN"/>
        </w:rPr>
        <w:t xml:space="preserve"> </w:t>
      </w:r>
      <w:r>
        <w:rPr>
          <w:rFonts w:hint="eastAsia" w:ascii="Times New Roman" w:hAnsi="Times New Roman" w:eastAsia="宋体" w:cstheme="minorBidi"/>
          <w:color w:val="auto"/>
          <w:kern w:val="2"/>
          <w:sz w:val="24"/>
          <w:szCs w:val="24"/>
          <w:u w:val="single"/>
          <w:lang w:val="en-US" w:eastAsia="zh-CN" w:bidi="ar-SA"/>
        </w:rPr>
        <w:t>不影响结构性能的表面非受力细微裂缝包括混凝土收缩裂缝、温度裂缝等，裂缝宽度一般不超过0.4mm。经工程实践验证，叠合层混凝土现浇施工时混凝土浆料可有效渗入裂缝内对裂缝进行修复，不会影响楼板的整体受力性能。对局部破损，可用修补浆料进行修补；对叠合面的表面非受力细微裂缝可不做处理，或用修补浆料进行修补，对底面可在装修阶段采用修补浆料或弹性腻子进行修补。</w:t>
      </w:r>
    </w:p>
    <w:p>
      <w:pPr>
        <w:numPr>
          <w:ilvl w:val="2"/>
          <w:numId w:val="1"/>
        </w:numPr>
        <w:bidi w:val="0"/>
        <w:rPr>
          <w:rFonts w:hint="default"/>
          <w:lang w:val="en-US" w:eastAsia="zh-CN"/>
        </w:rPr>
      </w:pPr>
      <w:r>
        <w:rPr>
          <w:rFonts w:hint="default"/>
          <w:lang w:val="en-US" w:eastAsia="zh-CN"/>
        </w:rPr>
        <w:t>预制底板吊运应符合下列规定：</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应根据预制底板尺寸、重量和起重设备作业半径等选择吊具和起重设备。所采用的吊具、起重设备及操作应符合国家现行有关标准及应用技术手册的规定；</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吊点数量、位置应经过计算确定；</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吊具应连接可靠，起重设备的主钩位置、吊具及预制底板重心</w:t>
      </w:r>
      <w:r>
        <w:rPr>
          <w:rFonts w:hint="eastAsia"/>
          <w:lang w:val="en-US" w:eastAsia="zh-CN"/>
        </w:rPr>
        <w:t>宜</w:t>
      </w:r>
      <w:r>
        <w:rPr>
          <w:rFonts w:hint="default"/>
          <w:lang w:val="en-US" w:eastAsia="zh-CN"/>
        </w:rPr>
        <w:t>在竖直方向上重合；</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吊索水平夹角不宜小于60°，且不应小于45°；</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吊车应采用慢起、稳升、缓放的操作方式，吊运过程中应保持稳定，不得偏斜、摇摆和扭转，严禁吊运构件长时间在空中悬停；</w:t>
      </w:r>
    </w:p>
    <w:p>
      <w:pPr>
        <w:numPr>
          <w:ilvl w:val="0"/>
          <w:numId w:val="15"/>
        </w:numPr>
        <w:tabs>
          <w:tab w:val="left" w:pos="420"/>
          <w:tab w:val="clear" w:pos="0"/>
        </w:tabs>
        <w:bidi w:val="0"/>
        <w:ind w:left="247" w:leftChars="0" w:hanging="247" w:firstLineChars="0"/>
        <w:rPr>
          <w:rFonts w:hint="default"/>
          <w:lang w:val="en-US" w:eastAsia="zh-CN"/>
        </w:rPr>
      </w:pPr>
      <w:r>
        <w:rPr>
          <w:rFonts w:hint="default"/>
          <w:lang w:val="en-US" w:eastAsia="zh-CN"/>
        </w:rPr>
        <w:t>对尺寸较大、形状复杂的预制底板，应采用分配梁或分配桁架等工具式吊具，并应采取避免构件变形和损伤的临时加固措施。</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6.6.4</w:t>
      </w:r>
      <w:r>
        <w:rPr>
          <w:rFonts w:hint="eastAsia"/>
          <w:u w:val="single"/>
          <w:lang w:val="en-US" w:eastAsia="zh-CN"/>
        </w:rPr>
        <w:t xml:space="preserve"> </w:t>
      </w:r>
      <w:r>
        <w:rPr>
          <w:sz w:val="24"/>
          <w:u w:val="single"/>
        </w:rPr>
        <w:t>预制底板的吊装方式及相应吊具需根据构件尺寸、重量和作业半径等进</w:t>
      </w:r>
      <w:r>
        <w:rPr>
          <w:spacing w:val="-4"/>
          <w:sz w:val="24"/>
          <w:u w:val="single"/>
        </w:rPr>
        <w:t>行选择和设计。当吊索与起桁架预制底板的夹角小于</w:t>
      </w:r>
      <w:r>
        <w:rPr>
          <w:rFonts w:ascii="Times New Roman" w:hAnsi="Times New Roman" w:eastAsia="Times New Roman"/>
          <w:sz w:val="24"/>
          <w:u w:val="single"/>
        </w:rPr>
        <w:t>60°</w:t>
      </w:r>
      <w:r>
        <w:rPr>
          <w:spacing w:val="-2"/>
          <w:sz w:val="24"/>
          <w:u w:val="single"/>
        </w:rPr>
        <w:t>时，需设置分配梁或分</w:t>
      </w:r>
      <w:r>
        <w:rPr>
          <w:spacing w:val="-16"/>
          <w:sz w:val="24"/>
          <w:u w:val="single"/>
        </w:rPr>
        <w:t>配桁架。吊运前，应按国家现行有关标准的规定和设计方案要求对吊具进行检查，</w:t>
      </w:r>
      <w:r>
        <w:rPr>
          <w:sz w:val="24"/>
          <w:u w:val="single"/>
        </w:rPr>
        <w:t>符合吊装设备的吊装能力。</w:t>
      </w:r>
    </w:p>
    <w:p>
      <w:pPr>
        <w:numPr>
          <w:ilvl w:val="2"/>
          <w:numId w:val="1"/>
        </w:numPr>
        <w:bidi w:val="0"/>
        <w:rPr>
          <w:rFonts w:hint="default"/>
          <w:lang w:val="en-US" w:eastAsia="zh-CN"/>
        </w:rPr>
      </w:pPr>
      <w:r>
        <w:rPr>
          <w:rFonts w:hint="default"/>
          <w:lang w:val="en-US" w:eastAsia="zh-CN"/>
        </w:rPr>
        <w:t>预制底板成品质量检查后，应及时在构件上设置产品标识及安装方向标识</w:t>
      </w:r>
      <w:r>
        <w:rPr>
          <w:rFonts w:hint="eastAsia"/>
          <w:lang w:val="en-US" w:eastAsia="zh-CN"/>
        </w:rPr>
        <w:t>；叠合肋梁下皮纵筋的端头应设套筒定位标记。</w:t>
      </w:r>
    </w:p>
    <w:p>
      <w:pPr>
        <w:pStyle w:val="20"/>
        <w:spacing w:line="360" w:lineRule="auto"/>
        <w:rPr>
          <w:rFonts w:hint="eastAsia" w:ascii="Times New Roman" w:hAnsi="Times New Roman" w:eastAsia="宋体" w:cstheme="minorBidi"/>
          <w:color w:val="auto"/>
          <w:kern w:val="2"/>
          <w:sz w:val="24"/>
          <w:szCs w:val="24"/>
          <w:u w:val="single"/>
          <w:lang w:val="en-US" w:eastAsia="zh-CN" w:bidi="ar-SA"/>
        </w:rPr>
      </w:pPr>
      <w:r>
        <w:rPr>
          <w:rFonts w:hint="eastAsia" w:ascii="Times New Roman" w:hAnsi="Times New Roman" w:eastAsia="宋体" w:cstheme="minorBidi"/>
          <w:color w:val="auto"/>
          <w:kern w:val="2"/>
          <w:sz w:val="24"/>
          <w:szCs w:val="24"/>
          <w:u w:val="single"/>
          <w:lang w:val="en-US" w:eastAsia="zh-CN" w:bidi="ar-SA"/>
        </w:rPr>
        <w:t>【条文说明】6.6.5</w:t>
      </w:r>
      <w:r>
        <w:rPr>
          <w:rFonts w:hint="eastAsia" w:ascii="Times New Roman" w:hAnsi="Times New Roman" w:cstheme="minorBidi"/>
          <w:color w:val="auto"/>
          <w:kern w:val="2"/>
          <w:sz w:val="24"/>
          <w:szCs w:val="24"/>
          <w:u w:val="single"/>
          <w:lang w:val="en-US" w:eastAsia="zh-CN" w:bidi="ar-SA"/>
        </w:rPr>
        <w:t xml:space="preserve"> </w:t>
      </w:r>
      <w:r>
        <w:rPr>
          <w:rFonts w:hint="eastAsia" w:ascii="Times New Roman" w:hAnsi="Times New Roman" w:eastAsia="宋体" w:cstheme="minorBidi"/>
          <w:color w:val="auto"/>
          <w:kern w:val="2"/>
          <w:sz w:val="24"/>
          <w:szCs w:val="24"/>
          <w:u w:val="single"/>
          <w:lang w:val="en-US" w:eastAsia="zh-CN" w:bidi="ar-SA"/>
        </w:rPr>
        <w:t>预制底板上设置产品标识，方便信息化查询、质量追溯。预制底板上设置安装方向标识，方便现场施工时预制底板的布置位置与设计意图相符，以免发生错误。</w:t>
      </w:r>
    </w:p>
    <w:p>
      <w:pPr>
        <w:pStyle w:val="20"/>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heme="minorBidi"/>
          <w:color w:val="auto"/>
          <w:kern w:val="2"/>
          <w:sz w:val="24"/>
          <w:szCs w:val="24"/>
          <w:u w:val="single"/>
          <w:lang w:val="en-US" w:eastAsia="zh-CN" w:bidi="ar-SA"/>
        </w:rPr>
      </w:pPr>
      <w:r>
        <w:rPr>
          <w:rFonts w:hint="eastAsia" w:ascii="Times New Roman" w:hAnsi="Times New Roman" w:eastAsia="宋体" w:cstheme="minorBidi"/>
          <w:color w:val="auto"/>
          <w:kern w:val="2"/>
          <w:sz w:val="24"/>
          <w:szCs w:val="24"/>
          <w:u w:val="single"/>
          <w:lang w:val="en-US" w:eastAsia="zh-CN" w:bidi="ar-SA"/>
        </w:rPr>
        <w:t>叠合肋梁下皮纵筋的端头应设套筒定位标记。标记应明显；标记的一端为钢筋插入到套筒挤压接头内的位置，保证钢筋插入套筒内的长度；标记的另一端为套筒挤压接头挤压完毕之后的位置，方便后期检查。</w:t>
      </w:r>
    </w:p>
    <w:p>
      <w:pPr>
        <w:numPr>
          <w:ilvl w:val="2"/>
          <w:numId w:val="1"/>
        </w:numPr>
        <w:bidi w:val="0"/>
        <w:rPr>
          <w:rFonts w:hint="default"/>
          <w:lang w:val="en-US" w:eastAsia="zh-CN"/>
        </w:rPr>
      </w:pPr>
      <w:r>
        <w:rPr>
          <w:rFonts w:hint="default"/>
          <w:lang w:val="en-US" w:eastAsia="zh-CN"/>
        </w:rPr>
        <w:t>预制底板产品标识宜包括工程名称、构件编号、构件规格、构件重量、生产企业、生产日期、质检员等信息。</w:t>
      </w:r>
    </w:p>
    <w:p>
      <w:pPr>
        <w:pStyle w:val="4"/>
        <w:bidi w:val="0"/>
        <w:ind w:left="0" w:leftChars="0" w:firstLine="0" w:firstLineChars="0"/>
        <w:outlineLvl w:val="1"/>
        <w:rPr>
          <w:rFonts w:hint="default"/>
          <w:lang w:val="en-US" w:eastAsia="zh-CN"/>
        </w:rPr>
      </w:pPr>
      <w:bookmarkStart w:id="48" w:name="_Toc21018"/>
      <w:r>
        <w:rPr>
          <w:rFonts w:hint="default"/>
          <w:lang w:val="en-US" w:eastAsia="zh-CN"/>
        </w:rPr>
        <w:t>运输与堆放</w:t>
      </w:r>
      <w:bookmarkEnd w:id="48"/>
    </w:p>
    <w:p>
      <w:pPr>
        <w:numPr>
          <w:ilvl w:val="2"/>
          <w:numId w:val="1"/>
        </w:numPr>
        <w:bidi w:val="0"/>
        <w:rPr>
          <w:rFonts w:hint="default"/>
          <w:lang w:val="en-US" w:eastAsia="zh-CN"/>
        </w:rPr>
      </w:pPr>
      <w:r>
        <w:rPr>
          <w:rFonts w:hint="default"/>
          <w:lang w:val="en-US" w:eastAsia="zh-CN"/>
        </w:rPr>
        <w:t>预制底板的运输与堆放应制定专项方案。专项方案包括堆放场地、固定要求、堆放支垫、运输时间、运输次序、运输路线及成品保护措施等。</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6.7.1</w:t>
      </w:r>
      <w:r>
        <w:rPr>
          <w:rFonts w:hint="eastAsia"/>
          <w:u w:val="single"/>
          <w:lang w:val="en-US" w:eastAsia="zh-CN"/>
        </w:rPr>
        <w:t xml:space="preserve"> </w:t>
      </w:r>
      <w:r>
        <w:rPr>
          <w:spacing w:val="-1"/>
          <w:sz w:val="24"/>
          <w:u w:val="single"/>
        </w:rPr>
        <w:t>预制底板的堆放和运输涉及质量安全要求，需按设计要求、工程和产品</w:t>
      </w:r>
      <w:r>
        <w:rPr>
          <w:spacing w:val="-10"/>
          <w:sz w:val="24"/>
          <w:u w:val="single"/>
        </w:rPr>
        <w:t>特点制定运输、堆放方案，对重点控制环节提出质量安全保证措施，对于特殊类</w:t>
      </w:r>
      <w:r>
        <w:rPr>
          <w:sz w:val="24"/>
          <w:u w:val="single"/>
        </w:rPr>
        <w:t>型预制底板，还需制定专门的运输与堆放方案。</w:t>
      </w:r>
    </w:p>
    <w:p>
      <w:pPr>
        <w:numPr>
          <w:ilvl w:val="2"/>
          <w:numId w:val="1"/>
        </w:numPr>
        <w:bidi w:val="0"/>
        <w:rPr>
          <w:rFonts w:hint="default"/>
          <w:lang w:val="en-US" w:eastAsia="zh-CN"/>
        </w:rPr>
      </w:pPr>
      <w:r>
        <w:rPr>
          <w:rFonts w:hint="default"/>
          <w:lang w:val="en-US" w:eastAsia="zh-CN"/>
        </w:rPr>
        <w:t>预制底板的堆放应符合下列规定：</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堆放场地应平整、坚实，并应有排水措施，堆放时预制底板与地面之间应有一定的间隙；</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存放库区宜实行分区管理和信息化台账管理；</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应按产品品种、规格型号、检验状态分类存放，严禁混放；</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预制底板标识应清晰、明确、永久；</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预制底板应平放，严禁倒置；</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应合理布置预制底板垫块，垫块位置宜与吊点位置一致；</w:t>
      </w:r>
    </w:p>
    <w:p>
      <w:pPr>
        <w:numPr>
          <w:ilvl w:val="0"/>
          <w:numId w:val="16"/>
        </w:numPr>
        <w:tabs>
          <w:tab w:val="left" w:pos="420"/>
          <w:tab w:val="clear" w:pos="0"/>
        </w:tabs>
        <w:bidi w:val="0"/>
        <w:ind w:left="247" w:leftChars="0" w:hanging="247" w:firstLineChars="0"/>
        <w:rPr>
          <w:rFonts w:hint="default"/>
          <w:lang w:val="en-US" w:eastAsia="zh-CN"/>
        </w:rPr>
      </w:pPr>
      <w:r>
        <w:rPr>
          <w:rFonts w:hint="default"/>
          <w:lang w:val="en-US" w:eastAsia="zh-CN"/>
        </w:rPr>
        <w:t>预制底板多层叠放时，各层垫块应上下对齐。预制底板的叠放层数不宜大于6层，当堆放层数大于6层时，应采取防止倾覆的措施；</w:t>
      </w:r>
    </w:p>
    <w:p>
      <w:pPr>
        <w:numPr>
          <w:ilvl w:val="0"/>
          <w:numId w:val="16"/>
        </w:numPr>
        <w:tabs>
          <w:tab w:val="left" w:pos="420"/>
          <w:tab w:val="clear" w:pos="0"/>
        </w:tabs>
        <w:bidi w:val="0"/>
        <w:ind w:left="247" w:leftChars="0" w:hanging="247" w:firstLineChars="0"/>
        <w:rPr>
          <w:rFonts w:hint="default"/>
          <w:highlight w:val="none"/>
          <w:lang w:val="en-US" w:eastAsia="zh-CN"/>
        </w:rPr>
      </w:pPr>
      <w:r>
        <w:rPr>
          <w:rFonts w:hint="default"/>
          <w:lang w:val="en-US" w:eastAsia="zh-CN"/>
        </w:rPr>
        <w:t>长期存放时，应采取措施控制预制底板的</w:t>
      </w:r>
      <w:r>
        <w:rPr>
          <w:rFonts w:hint="default"/>
          <w:highlight w:val="none"/>
          <w:lang w:val="en-US" w:eastAsia="zh-CN"/>
        </w:rPr>
        <w:t>翘曲变形。</w:t>
      </w:r>
      <w:r>
        <w:rPr>
          <w:rFonts w:hint="eastAsia"/>
          <w:highlight w:val="none"/>
          <w:lang w:val="en-US" w:eastAsia="zh-CN"/>
        </w:rPr>
        <w:t>与预制底板尺寸偏差要求相协调。</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6.7.2</w:t>
      </w:r>
      <w:r>
        <w:rPr>
          <w:rFonts w:hint="eastAsia"/>
          <w:u w:val="single"/>
          <w:lang w:val="en-US" w:eastAsia="zh-CN"/>
        </w:rPr>
        <w:t xml:space="preserve"> </w:t>
      </w:r>
      <w:r>
        <w:rPr>
          <w:spacing w:val="-1"/>
          <w:sz w:val="24"/>
          <w:u w:val="single"/>
        </w:rPr>
        <w:t>根据预制底板类型、尺寸，设计制作专用堆放架、运输架或堆放运输一</w:t>
      </w:r>
      <w:r>
        <w:rPr>
          <w:spacing w:val="-11"/>
          <w:sz w:val="24"/>
          <w:u w:val="single"/>
        </w:rPr>
        <w:t>体架，用于预制构件的吊运、堆放、运输，可提高预制底板的装卸效率，节约场</w:t>
      </w:r>
      <w:r>
        <w:rPr>
          <w:spacing w:val="-10"/>
          <w:sz w:val="24"/>
          <w:u w:val="single"/>
        </w:rPr>
        <w:t>地。预制底板多层水平堆放时，各层板间垫块应坚实，位置准确。各层板间的垫</w:t>
      </w:r>
      <w:r>
        <w:rPr>
          <w:sz w:val="24"/>
          <w:u w:val="single"/>
        </w:rPr>
        <w:t>块需上下对齐。堆放层数应根据构件、垫块承载能力及堆垛的稳定性确定，必要时需设置防倾覆措施。</w:t>
      </w:r>
    </w:p>
    <w:p>
      <w:pPr>
        <w:numPr>
          <w:ilvl w:val="2"/>
          <w:numId w:val="1"/>
        </w:numPr>
        <w:bidi w:val="0"/>
        <w:rPr>
          <w:rFonts w:hint="default"/>
          <w:lang w:val="en-US" w:eastAsia="zh-CN"/>
        </w:rPr>
      </w:pPr>
      <w:r>
        <w:rPr>
          <w:rFonts w:hint="default"/>
          <w:lang w:val="en-US" w:eastAsia="zh-CN"/>
        </w:rPr>
        <w:t>预制底板装车前应进行检查。吊具、专用运输架应完好、齐全；吊具与预制底板规格应匹配。吊装时，不应错挂、漏挂。预制底板吊运应符合本</w:t>
      </w:r>
      <w:r>
        <w:rPr>
          <w:rFonts w:hint="eastAsia"/>
          <w:lang w:val="en-US" w:eastAsia="zh-CN"/>
        </w:rPr>
        <w:t>规程</w:t>
      </w:r>
      <w:r>
        <w:rPr>
          <w:rFonts w:hint="default"/>
          <w:lang w:val="en-US" w:eastAsia="zh-CN"/>
        </w:rPr>
        <w:t>第</w:t>
      </w:r>
      <w:r>
        <w:rPr>
          <w:rFonts w:hint="eastAsia"/>
          <w:lang w:val="en-US" w:eastAsia="zh-CN"/>
        </w:rPr>
        <w:t>6</w:t>
      </w:r>
      <w:r>
        <w:rPr>
          <w:rFonts w:hint="default"/>
          <w:lang w:val="en-US" w:eastAsia="zh-CN"/>
        </w:rPr>
        <w:t>.</w:t>
      </w:r>
      <w:r>
        <w:rPr>
          <w:rFonts w:hint="eastAsia"/>
          <w:lang w:val="en-US" w:eastAsia="zh-CN"/>
        </w:rPr>
        <w:t>6</w:t>
      </w:r>
      <w:r>
        <w:rPr>
          <w:rFonts w:hint="default"/>
          <w:lang w:val="en-US" w:eastAsia="zh-CN"/>
        </w:rPr>
        <w:t>.</w:t>
      </w:r>
      <w:r>
        <w:rPr>
          <w:rFonts w:hint="eastAsia"/>
          <w:lang w:val="en-US" w:eastAsia="zh-CN"/>
        </w:rPr>
        <w:t>4</w:t>
      </w:r>
      <w:r>
        <w:rPr>
          <w:rFonts w:hint="default"/>
          <w:lang w:val="en-US" w:eastAsia="zh-CN"/>
        </w:rPr>
        <w:t>条的规定。</w:t>
      </w:r>
    </w:p>
    <w:p>
      <w:pPr>
        <w:numPr>
          <w:ilvl w:val="2"/>
          <w:numId w:val="1"/>
        </w:numPr>
        <w:bidi w:val="0"/>
        <w:rPr>
          <w:rFonts w:hint="default"/>
          <w:lang w:val="en-US" w:eastAsia="zh-CN"/>
        </w:rPr>
      </w:pPr>
      <w:r>
        <w:rPr>
          <w:rFonts w:hint="default"/>
          <w:lang w:val="en-US" w:eastAsia="zh-CN"/>
        </w:rPr>
        <w:t>预制底板的运输应符合下列规定：</w:t>
      </w:r>
    </w:p>
    <w:p>
      <w:pPr>
        <w:numPr>
          <w:ilvl w:val="0"/>
          <w:numId w:val="17"/>
        </w:numPr>
        <w:tabs>
          <w:tab w:val="left" w:pos="420"/>
          <w:tab w:val="clear" w:pos="0"/>
        </w:tabs>
        <w:bidi w:val="0"/>
        <w:ind w:left="247" w:leftChars="0" w:hanging="247" w:firstLineChars="0"/>
        <w:rPr>
          <w:rFonts w:hint="default"/>
          <w:lang w:val="en-US" w:eastAsia="zh-CN"/>
        </w:rPr>
      </w:pPr>
      <w:r>
        <w:rPr>
          <w:rFonts w:hint="default"/>
          <w:lang w:val="en-US" w:eastAsia="zh-CN"/>
        </w:rPr>
        <w:t>宜采用专用运输车进行运输；当采用非专用运输车时，应采取相应的加固、保护措施；</w:t>
      </w:r>
    </w:p>
    <w:p>
      <w:pPr>
        <w:numPr>
          <w:ilvl w:val="0"/>
          <w:numId w:val="17"/>
        </w:numPr>
        <w:tabs>
          <w:tab w:val="left" w:pos="420"/>
          <w:tab w:val="clear" w:pos="0"/>
        </w:tabs>
        <w:bidi w:val="0"/>
        <w:ind w:left="247" w:leftChars="0" w:hanging="247" w:firstLineChars="0"/>
        <w:rPr>
          <w:rFonts w:hint="default"/>
          <w:lang w:val="en-US" w:eastAsia="zh-CN"/>
        </w:rPr>
      </w:pPr>
      <w:r>
        <w:rPr>
          <w:rFonts w:hint="default"/>
          <w:lang w:val="en-US" w:eastAsia="zh-CN"/>
        </w:rPr>
        <w:t>运输时应采用专用运输架；</w:t>
      </w:r>
    </w:p>
    <w:p>
      <w:pPr>
        <w:numPr>
          <w:ilvl w:val="0"/>
          <w:numId w:val="17"/>
        </w:numPr>
        <w:tabs>
          <w:tab w:val="left" w:pos="420"/>
          <w:tab w:val="clear" w:pos="0"/>
        </w:tabs>
        <w:bidi w:val="0"/>
        <w:ind w:left="247" w:leftChars="0" w:hanging="247" w:firstLineChars="0"/>
        <w:rPr>
          <w:rFonts w:hint="default"/>
          <w:lang w:val="en-US" w:eastAsia="zh-CN"/>
        </w:rPr>
      </w:pPr>
      <w:r>
        <w:rPr>
          <w:rFonts w:hint="default"/>
          <w:lang w:val="en-US" w:eastAsia="zh-CN"/>
        </w:rPr>
        <w:t>预制底板应平放，并用夹具与专用运输架绑扎牢固，确保运输安全；</w:t>
      </w:r>
    </w:p>
    <w:p>
      <w:pPr>
        <w:numPr>
          <w:ilvl w:val="0"/>
          <w:numId w:val="17"/>
        </w:numPr>
        <w:tabs>
          <w:tab w:val="left" w:pos="420"/>
          <w:tab w:val="clear" w:pos="0"/>
        </w:tabs>
        <w:bidi w:val="0"/>
        <w:ind w:left="247" w:leftChars="0" w:hanging="247" w:firstLineChars="0"/>
        <w:rPr>
          <w:rFonts w:hint="default"/>
          <w:lang w:val="en-US" w:eastAsia="zh-CN"/>
        </w:rPr>
      </w:pPr>
      <w:r>
        <w:rPr>
          <w:rFonts w:hint="default"/>
          <w:lang w:val="en-US" w:eastAsia="zh-CN"/>
        </w:rPr>
        <w:t>运输过程中应做好成品保护措施。预制底板边角和绑扎接触部位应采用柔性垫衬材料保护；专用运输架、车厢板和预制底板间应放入柔性衬垫材料；</w:t>
      </w:r>
    </w:p>
    <w:p>
      <w:pPr>
        <w:numPr>
          <w:ilvl w:val="0"/>
          <w:numId w:val="17"/>
        </w:numPr>
        <w:tabs>
          <w:tab w:val="left" w:pos="420"/>
          <w:tab w:val="clear" w:pos="0"/>
        </w:tabs>
        <w:bidi w:val="0"/>
        <w:ind w:left="247" w:leftChars="0" w:hanging="247" w:firstLineChars="0"/>
        <w:rPr>
          <w:rFonts w:hint="default"/>
          <w:lang w:val="en-US" w:eastAsia="zh-CN"/>
        </w:rPr>
      </w:pPr>
      <w:r>
        <w:rPr>
          <w:rFonts w:hint="default"/>
          <w:lang w:val="en-US" w:eastAsia="zh-CN"/>
        </w:rPr>
        <w:t>运输前宜提前选择至少一条以上的可行路线，预制底板的堆放高度不应超过运输路线的限高要求。</w:t>
      </w:r>
    </w:p>
    <w:p>
      <w:pPr>
        <w:numPr>
          <w:ilvl w:val="2"/>
          <w:numId w:val="1"/>
        </w:numPr>
        <w:bidi w:val="0"/>
        <w:rPr>
          <w:rFonts w:hint="default"/>
          <w:lang w:val="en-US" w:eastAsia="zh-CN"/>
        </w:rPr>
      </w:pPr>
      <w:r>
        <w:rPr>
          <w:rFonts w:hint="default"/>
          <w:lang w:val="en-US" w:eastAsia="zh-CN"/>
        </w:rPr>
        <w:t>预制底板的堆放位置和次序、装车位置和次序，宜与工程施工进度及次序相衔接。</w:t>
      </w:r>
    </w:p>
    <w:p>
      <w:pPr>
        <w:pStyle w:val="4"/>
        <w:bidi w:val="0"/>
        <w:ind w:left="0" w:leftChars="0" w:firstLine="0" w:firstLineChars="0"/>
        <w:outlineLvl w:val="1"/>
        <w:rPr>
          <w:rFonts w:hint="default"/>
          <w:lang w:val="en-US" w:eastAsia="zh-CN"/>
        </w:rPr>
      </w:pPr>
      <w:bookmarkStart w:id="49" w:name="_Toc21957"/>
      <w:r>
        <w:rPr>
          <w:rFonts w:hint="default"/>
          <w:lang w:val="en-US" w:eastAsia="zh-CN"/>
        </w:rPr>
        <w:t>构件检验</w:t>
      </w:r>
      <w:bookmarkEnd w:id="49"/>
    </w:p>
    <w:p>
      <w:pPr>
        <w:numPr>
          <w:ilvl w:val="2"/>
          <w:numId w:val="1"/>
        </w:numPr>
        <w:bidi w:val="0"/>
        <w:rPr>
          <w:rFonts w:hint="default"/>
          <w:lang w:val="en-US" w:eastAsia="zh-CN"/>
        </w:rPr>
      </w:pPr>
      <w:r>
        <w:rPr>
          <w:rFonts w:hint="default"/>
          <w:lang w:val="en-US" w:eastAsia="zh-CN"/>
        </w:rPr>
        <w:t>预制底板的质量检查与验收应符合国家现行有关标准</w:t>
      </w:r>
      <w:r>
        <w:rPr>
          <w:rFonts w:hint="eastAsia"/>
          <w:lang w:val="en-US" w:eastAsia="zh-CN"/>
        </w:rPr>
        <w:t>《混凝土结构工程施工质量验收规范》GB 50204、《混凝土结构工程施工规范》GB 50666、《装配式混凝土建筑技术标准》GB/T 51231、《装配式混凝土结构技术规程》JGJ 1、《混凝土结构成型钢筋应用技术规程》JGJ 366、《工厂预制混凝土构件质量管理标准》JG/T 565等</w:t>
      </w:r>
      <w:r>
        <w:rPr>
          <w:rFonts w:hint="default"/>
          <w:lang w:val="en-US" w:eastAsia="zh-CN"/>
        </w:rPr>
        <w:t>的</w:t>
      </w:r>
      <w:r>
        <w:rPr>
          <w:rFonts w:hint="eastAsia"/>
          <w:lang w:val="en-US" w:eastAsia="zh-CN"/>
        </w:rPr>
        <w:t>有关</w:t>
      </w:r>
      <w:r>
        <w:rPr>
          <w:rFonts w:hint="default"/>
          <w:lang w:val="en-US" w:eastAsia="zh-CN"/>
        </w:rPr>
        <w:t>规定。</w:t>
      </w:r>
    </w:p>
    <w:p>
      <w:pPr>
        <w:numPr>
          <w:ilvl w:val="2"/>
          <w:numId w:val="1"/>
        </w:numPr>
        <w:bidi w:val="0"/>
        <w:rPr>
          <w:rFonts w:hint="default"/>
          <w:lang w:val="en-US" w:eastAsia="zh-CN"/>
        </w:rPr>
      </w:pPr>
      <w:r>
        <w:rPr>
          <w:rFonts w:hint="default"/>
          <w:lang w:val="en-US" w:eastAsia="zh-CN"/>
        </w:rPr>
        <w:t>预制底板浇筑混凝土前，应进行隐蔽工程检查，检查应包含下列内容：</w:t>
      </w:r>
    </w:p>
    <w:p>
      <w:pPr>
        <w:numPr>
          <w:ilvl w:val="0"/>
          <w:numId w:val="18"/>
        </w:numPr>
        <w:tabs>
          <w:tab w:val="left" w:pos="420"/>
          <w:tab w:val="clear" w:pos="0"/>
        </w:tabs>
        <w:bidi w:val="0"/>
        <w:ind w:left="247" w:leftChars="0" w:hanging="247" w:firstLineChars="0"/>
        <w:rPr>
          <w:rFonts w:hint="default"/>
          <w:lang w:val="en-US" w:eastAsia="zh-CN"/>
        </w:rPr>
      </w:pPr>
      <w:r>
        <w:rPr>
          <w:rFonts w:hint="default"/>
          <w:lang w:val="en-US" w:eastAsia="zh-CN"/>
        </w:rPr>
        <w:t>钢筋的规格、数量、位置、间距等；</w:t>
      </w:r>
    </w:p>
    <w:p>
      <w:pPr>
        <w:numPr>
          <w:ilvl w:val="0"/>
          <w:numId w:val="18"/>
        </w:numPr>
        <w:tabs>
          <w:tab w:val="left" w:pos="420"/>
          <w:tab w:val="clear" w:pos="0"/>
        </w:tabs>
        <w:bidi w:val="0"/>
        <w:ind w:left="247" w:leftChars="0" w:hanging="247" w:firstLineChars="0"/>
        <w:rPr>
          <w:rFonts w:hint="default"/>
          <w:lang w:val="en-US" w:eastAsia="zh-CN"/>
        </w:rPr>
      </w:pPr>
      <w:r>
        <w:rPr>
          <w:rFonts w:hint="default"/>
          <w:lang w:val="en-US" w:eastAsia="zh-CN"/>
        </w:rPr>
        <w:t>钢筋的牌号、长度、弯折角度及平直段长度；</w:t>
      </w:r>
    </w:p>
    <w:p>
      <w:pPr>
        <w:numPr>
          <w:ilvl w:val="0"/>
          <w:numId w:val="18"/>
        </w:numPr>
        <w:tabs>
          <w:tab w:val="left" w:pos="420"/>
          <w:tab w:val="clear" w:pos="0"/>
        </w:tabs>
        <w:bidi w:val="0"/>
        <w:ind w:left="247" w:leftChars="0" w:hanging="247" w:firstLineChars="0"/>
        <w:rPr>
          <w:rFonts w:hint="default"/>
          <w:lang w:val="en-US" w:eastAsia="zh-CN"/>
        </w:rPr>
      </w:pPr>
      <w:r>
        <w:rPr>
          <w:rFonts w:hint="default"/>
          <w:lang w:val="en-US" w:eastAsia="zh-CN"/>
        </w:rPr>
        <w:t>钢筋的混凝土保护层厚度；</w:t>
      </w:r>
    </w:p>
    <w:p>
      <w:pPr>
        <w:numPr>
          <w:ilvl w:val="0"/>
          <w:numId w:val="18"/>
        </w:numPr>
        <w:tabs>
          <w:tab w:val="left" w:pos="420"/>
          <w:tab w:val="clear" w:pos="0"/>
        </w:tabs>
        <w:bidi w:val="0"/>
        <w:ind w:left="247" w:leftChars="0" w:hanging="247" w:firstLineChars="0"/>
        <w:rPr>
          <w:rFonts w:hint="default"/>
          <w:lang w:val="en-US" w:eastAsia="zh-CN"/>
        </w:rPr>
      </w:pPr>
      <w:r>
        <w:rPr>
          <w:rFonts w:hint="eastAsia"/>
          <w:lang w:val="en-US" w:eastAsia="zh-CN"/>
        </w:rPr>
        <w:t>吊环</w:t>
      </w:r>
      <w:r>
        <w:rPr>
          <w:rFonts w:hint="default"/>
          <w:lang w:val="en-US" w:eastAsia="zh-CN"/>
        </w:rPr>
        <w:t>的规格、数量、位置及固定措施；</w:t>
      </w:r>
    </w:p>
    <w:p>
      <w:pPr>
        <w:numPr>
          <w:ilvl w:val="0"/>
          <w:numId w:val="18"/>
        </w:numPr>
        <w:tabs>
          <w:tab w:val="left" w:pos="420"/>
          <w:tab w:val="clear" w:pos="0"/>
        </w:tabs>
        <w:bidi w:val="0"/>
        <w:ind w:left="247" w:leftChars="0" w:hanging="247" w:firstLineChars="0"/>
        <w:rPr>
          <w:rFonts w:hint="default"/>
          <w:lang w:val="en-US" w:eastAsia="zh-CN"/>
        </w:rPr>
      </w:pPr>
      <w:r>
        <w:rPr>
          <w:rFonts w:hint="default"/>
          <w:lang w:val="en-US" w:eastAsia="zh-CN"/>
        </w:rPr>
        <w:t>预留孔洞的规格、数量、位置及固定措施。</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6.8.2</w:t>
      </w:r>
      <w:r>
        <w:rPr>
          <w:rFonts w:hint="eastAsia"/>
          <w:u w:val="single"/>
          <w:lang w:val="en-US" w:eastAsia="zh-CN"/>
        </w:rPr>
        <w:t xml:space="preserve"> </w:t>
      </w:r>
      <w:r>
        <w:rPr>
          <w:spacing w:val="-8"/>
          <w:sz w:val="24"/>
          <w:u w:val="single"/>
        </w:rPr>
        <w:t>在预制底板混凝土浇筑前，需按要求对</w:t>
      </w:r>
      <w:r>
        <w:rPr>
          <w:spacing w:val="-10"/>
          <w:sz w:val="24"/>
          <w:u w:val="single"/>
        </w:rPr>
        <w:t>钢筋、预留孔洞、预埋件等进行隐蔽工程质量检查，这是保证预制底板结构性能满足要求的关键质量控制环节。</w:t>
      </w:r>
    </w:p>
    <w:p>
      <w:pPr>
        <w:numPr>
          <w:ilvl w:val="2"/>
          <w:numId w:val="1"/>
        </w:numPr>
        <w:bidi w:val="0"/>
        <w:rPr>
          <w:rFonts w:hint="default"/>
          <w:lang w:val="en-US" w:eastAsia="zh-CN"/>
        </w:rPr>
      </w:pPr>
      <w:r>
        <w:rPr>
          <w:rFonts w:hint="default"/>
          <w:lang w:val="en-US" w:eastAsia="zh-CN"/>
        </w:rPr>
        <w:t>预制底板脱模后，应进行成品质量检查，检查应包含下列内容：</w:t>
      </w:r>
    </w:p>
    <w:p>
      <w:pPr>
        <w:numPr>
          <w:ilvl w:val="0"/>
          <w:numId w:val="19"/>
        </w:numPr>
        <w:tabs>
          <w:tab w:val="left" w:pos="420"/>
          <w:tab w:val="clear" w:pos="0"/>
        </w:tabs>
        <w:bidi w:val="0"/>
        <w:ind w:left="247" w:leftChars="0" w:hanging="247" w:firstLineChars="0"/>
        <w:rPr>
          <w:rFonts w:hint="default"/>
          <w:lang w:val="en-US" w:eastAsia="zh-CN"/>
        </w:rPr>
      </w:pPr>
      <w:r>
        <w:rPr>
          <w:rFonts w:hint="default"/>
          <w:lang w:val="en-US" w:eastAsia="zh-CN"/>
        </w:rPr>
        <w:t>外观质量；</w:t>
      </w:r>
    </w:p>
    <w:p>
      <w:pPr>
        <w:numPr>
          <w:ilvl w:val="0"/>
          <w:numId w:val="19"/>
        </w:numPr>
        <w:tabs>
          <w:tab w:val="left" w:pos="420"/>
          <w:tab w:val="clear" w:pos="0"/>
        </w:tabs>
        <w:bidi w:val="0"/>
        <w:ind w:left="247" w:leftChars="0" w:hanging="247" w:firstLineChars="0"/>
        <w:rPr>
          <w:rFonts w:hint="default"/>
          <w:lang w:val="en-US" w:eastAsia="zh-CN"/>
        </w:rPr>
      </w:pPr>
      <w:r>
        <w:rPr>
          <w:rFonts w:hint="default"/>
          <w:lang w:val="en-US" w:eastAsia="zh-CN"/>
        </w:rPr>
        <w:t>尺寸偏差；</w:t>
      </w:r>
    </w:p>
    <w:p>
      <w:pPr>
        <w:numPr>
          <w:ilvl w:val="0"/>
          <w:numId w:val="19"/>
        </w:numPr>
        <w:tabs>
          <w:tab w:val="left" w:pos="420"/>
          <w:tab w:val="clear" w:pos="0"/>
        </w:tabs>
        <w:bidi w:val="0"/>
        <w:ind w:left="247" w:leftChars="0" w:hanging="247" w:firstLineChars="0"/>
        <w:rPr>
          <w:rFonts w:hint="default"/>
          <w:lang w:val="en-US" w:eastAsia="zh-CN"/>
        </w:rPr>
      </w:pPr>
      <w:r>
        <w:rPr>
          <w:rFonts w:hint="default"/>
          <w:lang w:val="en-US" w:eastAsia="zh-CN"/>
        </w:rPr>
        <w:t>粗糙面质量；</w:t>
      </w:r>
    </w:p>
    <w:p>
      <w:pPr>
        <w:numPr>
          <w:ilvl w:val="0"/>
          <w:numId w:val="19"/>
        </w:numPr>
        <w:tabs>
          <w:tab w:val="left" w:pos="420"/>
          <w:tab w:val="clear" w:pos="0"/>
        </w:tabs>
        <w:bidi w:val="0"/>
        <w:ind w:left="247" w:leftChars="0" w:hanging="247" w:firstLineChars="0"/>
        <w:rPr>
          <w:rFonts w:hint="default"/>
          <w:lang w:val="en-US" w:eastAsia="zh-CN"/>
        </w:rPr>
      </w:pPr>
      <w:r>
        <w:rPr>
          <w:rFonts w:hint="default"/>
          <w:lang w:val="en-US" w:eastAsia="zh-CN"/>
        </w:rPr>
        <w:t>预埋件、预留插筋的规格、数量、位置；</w:t>
      </w:r>
    </w:p>
    <w:p>
      <w:pPr>
        <w:numPr>
          <w:ilvl w:val="0"/>
          <w:numId w:val="19"/>
        </w:numPr>
        <w:tabs>
          <w:tab w:val="left" w:pos="420"/>
          <w:tab w:val="clear" w:pos="0"/>
        </w:tabs>
        <w:bidi w:val="0"/>
        <w:ind w:left="247" w:leftChars="0" w:hanging="247" w:firstLineChars="0"/>
        <w:rPr>
          <w:rFonts w:hint="default"/>
          <w:lang w:val="en-US" w:eastAsia="zh-CN"/>
        </w:rPr>
      </w:pPr>
      <w:r>
        <w:rPr>
          <w:rFonts w:hint="default"/>
          <w:lang w:val="en-US" w:eastAsia="zh-CN"/>
        </w:rPr>
        <w:t>预留孔洞的规格、数量、位置。</w:t>
      </w:r>
    </w:p>
    <w:p>
      <w:pPr>
        <w:numPr>
          <w:ilvl w:val="2"/>
          <w:numId w:val="1"/>
        </w:numPr>
        <w:bidi w:val="0"/>
        <w:rPr>
          <w:rFonts w:hint="default"/>
          <w:lang w:val="en-US" w:eastAsia="zh-CN"/>
        </w:rPr>
      </w:pPr>
      <w:r>
        <w:rPr>
          <w:rFonts w:hint="default"/>
          <w:lang w:val="en-US" w:eastAsia="zh-CN"/>
        </w:rPr>
        <w:t>预制底板的尺寸偏差和检验方法应符合设计要求；当设计无具体规定时，应符合</w:t>
      </w:r>
      <w:r>
        <w:rPr>
          <w:rFonts w:hint="default"/>
          <w:lang w:val="en-US" w:eastAsia="zh-CN"/>
        </w:rPr>
        <w:fldChar w:fldCharType="begin"/>
      </w:r>
      <w:r>
        <w:rPr>
          <w:rFonts w:hint="default"/>
          <w:lang w:val="en-US" w:eastAsia="zh-CN"/>
        </w:rPr>
        <w:instrText xml:space="preserve"> REF _Ref1962 \h </w:instrText>
      </w:r>
      <w:r>
        <w:rPr>
          <w:rFonts w:hint="default"/>
          <w:lang w:val="en-US" w:eastAsia="zh-CN"/>
        </w:rPr>
        <w:fldChar w:fldCharType="separate"/>
      </w:r>
      <w:r>
        <w:t>表</w:t>
      </w:r>
      <w:r>
        <w:rPr>
          <w:rFonts w:hint="eastAsia"/>
          <w:lang w:val="en-US" w:eastAsia="zh-CN"/>
        </w:rPr>
        <w:t>6</w:t>
      </w:r>
      <w:r>
        <w:t>.</w:t>
      </w:r>
      <w:r>
        <w:rPr>
          <w:rFonts w:hint="eastAsia"/>
          <w:lang w:val="en-US" w:eastAsia="zh-CN"/>
        </w:rPr>
        <w:t>8</w:t>
      </w:r>
      <w:r>
        <w:t>.</w:t>
      </w:r>
      <w:r>
        <w:rPr>
          <w:rFonts w:hint="eastAsia"/>
          <w:lang w:val="en-US" w:eastAsia="zh-CN"/>
        </w:rPr>
        <w:t>4</w:t>
      </w:r>
      <w:r>
        <w:rPr>
          <w:rFonts w:hint="default"/>
          <w:lang w:val="en-US" w:eastAsia="zh-CN"/>
        </w:rPr>
        <w:fldChar w:fldCharType="end"/>
      </w:r>
      <w:r>
        <w:rPr>
          <w:rFonts w:hint="default"/>
          <w:lang w:val="en-US" w:eastAsia="zh-CN"/>
        </w:rPr>
        <w:t>的规定。</w:t>
      </w:r>
    </w:p>
    <w:p>
      <w:pPr>
        <w:pStyle w:val="23"/>
        <w:bidi w:val="0"/>
        <w:rPr>
          <w:rFonts w:hint="default"/>
          <w:lang w:val="en-US" w:eastAsia="zh-CN"/>
        </w:rPr>
      </w:pPr>
      <w:bookmarkStart w:id="50" w:name="_Ref1962"/>
      <w:r>
        <w:t>表</w:t>
      </w:r>
      <w:r>
        <w:rPr>
          <w:rFonts w:hint="eastAsia"/>
          <w:lang w:val="en-US" w:eastAsia="zh-CN"/>
        </w:rPr>
        <w:t>6</w:t>
      </w:r>
      <w:r>
        <w:t>.</w:t>
      </w:r>
      <w:r>
        <w:rPr>
          <w:rFonts w:hint="eastAsia"/>
          <w:lang w:val="en-US" w:eastAsia="zh-CN"/>
        </w:rPr>
        <w:t>8</w:t>
      </w:r>
      <w:r>
        <w:t>.</w:t>
      </w:r>
      <w:bookmarkEnd w:id="50"/>
      <w:r>
        <w:rPr>
          <w:rFonts w:hint="eastAsia"/>
          <w:lang w:val="en-US" w:eastAsia="zh-CN"/>
        </w:rPr>
        <w:t xml:space="preserve">4 </w:t>
      </w:r>
      <w:r>
        <w:rPr>
          <w:rFonts w:hint="default"/>
          <w:lang w:val="en-US" w:eastAsia="zh-CN"/>
        </w:rPr>
        <w:t>预制底板尺寸允许偏差及检验方法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746"/>
        <w:gridCol w:w="1649"/>
        <w:gridCol w:w="1155"/>
        <w:gridCol w:w="4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项次</w:t>
            </w:r>
          </w:p>
        </w:tc>
        <w:tc>
          <w:tcPr>
            <w:tcW w:w="2395" w:type="dxa"/>
            <w:gridSpan w:val="2"/>
            <w:vAlign w:val="center"/>
          </w:tcPr>
          <w:p>
            <w:pPr>
              <w:pStyle w:val="29"/>
              <w:bidi w:val="0"/>
              <w:jc w:val="center"/>
              <w:rPr>
                <w:rFonts w:hint="default"/>
                <w:lang w:val="en-US" w:eastAsia="zh-CN"/>
              </w:rPr>
            </w:pPr>
            <w:r>
              <w:rPr>
                <w:rFonts w:hint="default"/>
                <w:lang w:val="en-US" w:eastAsia="zh-CN"/>
              </w:rPr>
              <w:t>检</w:t>
            </w:r>
            <w:r>
              <w:rPr>
                <w:rFonts w:hint="eastAsia"/>
                <w:lang w:val="en-US" w:eastAsia="zh-CN"/>
              </w:rPr>
              <w:t>查</w:t>
            </w:r>
            <w:r>
              <w:rPr>
                <w:rFonts w:hint="default"/>
                <w:lang w:val="en-US" w:eastAsia="zh-CN"/>
              </w:rPr>
              <w:t>项目</w:t>
            </w:r>
          </w:p>
        </w:tc>
        <w:tc>
          <w:tcPr>
            <w:tcW w:w="1155" w:type="dxa"/>
            <w:vAlign w:val="center"/>
          </w:tcPr>
          <w:p>
            <w:pPr>
              <w:pStyle w:val="29"/>
              <w:bidi w:val="0"/>
              <w:jc w:val="center"/>
              <w:rPr>
                <w:rFonts w:hint="default"/>
                <w:lang w:val="en-US" w:eastAsia="zh-CN"/>
              </w:rPr>
            </w:pPr>
            <w:r>
              <w:rPr>
                <w:rFonts w:hint="default"/>
                <w:lang w:val="en-US" w:eastAsia="zh-CN"/>
              </w:rPr>
              <w:t>允许偏差（mm</w:t>
            </w:r>
            <w:r>
              <w:rPr>
                <w:rFonts w:hint="eastAsia"/>
                <w:lang w:val="en-US" w:eastAsia="zh-CN"/>
              </w:rPr>
              <w:t>）</w:t>
            </w:r>
          </w:p>
        </w:tc>
        <w:tc>
          <w:tcPr>
            <w:tcW w:w="4096" w:type="dxa"/>
            <w:vAlign w:val="center"/>
          </w:tcPr>
          <w:p>
            <w:pPr>
              <w:pStyle w:val="29"/>
              <w:bidi w:val="0"/>
              <w:jc w:val="center"/>
              <w:rPr>
                <w:rFonts w:hint="default"/>
                <w:lang w:val="en-US" w:eastAsia="zh-CN"/>
              </w:rPr>
            </w:pPr>
            <w:r>
              <w:rPr>
                <w:rFonts w:hint="default"/>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600" w:type="dxa"/>
            <w:vAlign w:val="center"/>
          </w:tcPr>
          <w:p>
            <w:pPr>
              <w:pStyle w:val="29"/>
              <w:bidi w:val="0"/>
              <w:jc w:val="center"/>
              <w:rPr>
                <w:rFonts w:hint="default"/>
                <w:lang w:val="en-US" w:eastAsia="zh-CN"/>
              </w:rPr>
            </w:pPr>
            <w:r>
              <w:rPr>
                <w:rFonts w:hint="eastAsia"/>
                <w:lang w:val="en-US" w:eastAsia="zh-CN"/>
              </w:rPr>
              <w:t>1</w:t>
            </w:r>
          </w:p>
        </w:tc>
        <w:tc>
          <w:tcPr>
            <w:tcW w:w="746" w:type="dxa"/>
            <w:vMerge w:val="restart"/>
            <w:vAlign w:val="center"/>
          </w:tcPr>
          <w:p>
            <w:pPr>
              <w:pStyle w:val="29"/>
              <w:bidi w:val="0"/>
              <w:jc w:val="center"/>
              <w:rPr>
                <w:rFonts w:hint="default"/>
                <w:lang w:val="en-US" w:eastAsia="zh-CN"/>
              </w:rPr>
            </w:pPr>
            <w:r>
              <w:rPr>
                <w:rFonts w:hint="eastAsia"/>
                <w:lang w:val="en-US" w:eastAsia="zh-CN"/>
              </w:rPr>
              <w:t>规格尺寸</w:t>
            </w:r>
          </w:p>
        </w:tc>
        <w:tc>
          <w:tcPr>
            <w:tcW w:w="1649" w:type="dxa"/>
            <w:vAlign w:val="center"/>
          </w:tcPr>
          <w:p>
            <w:pPr>
              <w:pStyle w:val="29"/>
              <w:bidi w:val="0"/>
              <w:jc w:val="center"/>
              <w:rPr>
                <w:rFonts w:hint="default"/>
                <w:lang w:val="en-US" w:eastAsia="zh-CN"/>
              </w:rPr>
            </w:pPr>
            <w:r>
              <w:rPr>
                <w:rFonts w:hint="eastAsia"/>
                <w:lang w:val="en-US" w:eastAsia="zh-CN"/>
              </w:rPr>
              <w:t>长度</w:t>
            </w:r>
          </w:p>
        </w:tc>
        <w:tc>
          <w:tcPr>
            <w:tcW w:w="1155" w:type="dxa"/>
            <w:vAlign w:val="center"/>
          </w:tcPr>
          <w:p>
            <w:pPr>
              <w:pStyle w:val="29"/>
              <w:bidi w:val="0"/>
              <w:jc w:val="center"/>
              <w:rPr>
                <w:rFonts w:hint="default"/>
                <w:lang w:val="en-US" w:eastAsia="zh-CN"/>
              </w:rPr>
            </w:pPr>
            <w:r>
              <w:rPr>
                <w:rFonts w:hint="eastAsia"/>
                <w:lang w:val="en-US" w:eastAsia="zh-CN"/>
              </w:rPr>
              <w:t>±3</w:t>
            </w:r>
          </w:p>
        </w:tc>
        <w:tc>
          <w:tcPr>
            <w:tcW w:w="4096" w:type="dxa"/>
            <w:vAlign w:val="center"/>
          </w:tcPr>
          <w:p>
            <w:pPr>
              <w:pStyle w:val="29"/>
              <w:bidi w:val="0"/>
              <w:jc w:val="center"/>
              <w:rPr>
                <w:rFonts w:hint="default"/>
                <w:lang w:val="en-US" w:eastAsia="zh-CN"/>
              </w:rPr>
            </w:pPr>
            <w:r>
              <w:rPr>
                <w:rFonts w:hint="default"/>
                <w:lang w:val="en-US" w:eastAsia="zh-CN"/>
              </w:rPr>
              <w:t>用钢尺或带数字显示的卷尺量两侧边长度，取其中偏差绝对值较大值；或用挡板和激光测距仪量两侧边长度，取其中偏差绝对值较大值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2</w:t>
            </w:r>
          </w:p>
        </w:tc>
        <w:tc>
          <w:tcPr>
            <w:tcW w:w="746" w:type="dxa"/>
            <w:vMerge w:val="continue"/>
            <w:vAlign w:val="center"/>
          </w:tcPr>
          <w:p>
            <w:pPr>
              <w:pStyle w:val="29"/>
              <w:bidi w:val="0"/>
              <w:jc w:val="center"/>
              <w:rPr>
                <w:rFonts w:hint="default"/>
                <w:lang w:val="en-US" w:eastAsia="zh-CN"/>
              </w:rPr>
            </w:pPr>
          </w:p>
        </w:tc>
        <w:tc>
          <w:tcPr>
            <w:tcW w:w="1649" w:type="dxa"/>
            <w:vAlign w:val="center"/>
          </w:tcPr>
          <w:p>
            <w:pPr>
              <w:pStyle w:val="29"/>
              <w:bidi w:val="0"/>
              <w:jc w:val="center"/>
              <w:rPr>
                <w:rFonts w:hint="default"/>
                <w:lang w:val="en-US" w:eastAsia="zh-CN"/>
              </w:rPr>
            </w:pPr>
            <w:r>
              <w:rPr>
                <w:rFonts w:hint="default"/>
                <w:lang w:val="en-US" w:eastAsia="zh-CN"/>
              </w:rPr>
              <w:t>宽度</w:t>
            </w:r>
          </w:p>
        </w:tc>
        <w:tc>
          <w:tcPr>
            <w:tcW w:w="1155" w:type="dxa"/>
            <w:vAlign w:val="center"/>
          </w:tcPr>
          <w:p>
            <w:pPr>
              <w:pStyle w:val="29"/>
              <w:bidi w:val="0"/>
              <w:jc w:val="center"/>
              <w:rPr>
                <w:rFonts w:hint="default"/>
                <w:lang w:val="en-US" w:eastAsia="zh-CN"/>
              </w:rPr>
            </w:pPr>
            <w:r>
              <w:rPr>
                <w:rFonts w:hint="eastAsia"/>
                <w:lang w:val="en-US" w:eastAsia="zh-CN"/>
              </w:rPr>
              <w:t>±5</w:t>
            </w:r>
          </w:p>
        </w:tc>
        <w:tc>
          <w:tcPr>
            <w:tcW w:w="4096" w:type="dxa"/>
            <w:vAlign w:val="center"/>
          </w:tcPr>
          <w:p>
            <w:pPr>
              <w:pStyle w:val="29"/>
              <w:bidi w:val="0"/>
              <w:jc w:val="center"/>
              <w:rPr>
                <w:rFonts w:hint="default"/>
                <w:lang w:val="en-US" w:eastAsia="zh-CN"/>
              </w:rPr>
            </w:pPr>
            <w:r>
              <w:rPr>
                <w:rFonts w:hint="default"/>
                <w:lang w:val="en-US" w:eastAsia="zh-CN"/>
              </w:rPr>
              <w:t>用钢尺或带数字显示的卷尺量两端，取其中偏差绝对值较大值；或用挡板和激光测距仪量两端，取其中偏差绝对值较大值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3</w:t>
            </w:r>
          </w:p>
        </w:tc>
        <w:tc>
          <w:tcPr>
            <w:tcW w:w="746" w:type="dxa"/>
            <w:vMerge w:val="continue"/>
            <w:vAlign w:val="center"/>
          </w:tcPr>
          <w:p>
            <w:pPr>
              <w:pStyle w:val="29"/>
              <w:bidi w:val="0"/>
              <w:jc w:val="center"/>
              <w:rPr>
                <w:rFonts w:hint="default"/>
                <w:lang w:val="en-US" w:eastAsia="zh-CN"/>
              </w:rPr>
            </w:pPr>
          </w:p>
        </w:tc>
        <w:tc>
          <w:tcPr>
            <w:tcW w:w="1649" w:type="dxa"/>
            <w:vAlign w:val="center"/>
          </w:tcPr>
          <w:p>
            <w:pPr>
              <w:pStyle w:val="29"/>
              <w:bidi w:val="0"/>
              <w:jc w:val="center"/>
              <w:rPr>
                <w:rFonts w:hint="default"/>
                <w:lang w:val="en-US" w:eastAsia="zh-CN"/>
              </w:rPr>
            </w:pPr>
            <w:r>
              <w:rPr>
                <w:rFonts w:hint="default"/>
                <w:lang w:val="en-US" w:eastAsia="zh-CN"/>
              </w:rPr>
              <w:t>厚度</w:t>
            </w:r>
          </w:p>
        </w:tc>
        <w:tc>
          <w:tcPr>
            <w:tcW w:w="1155" w:type="dxa"/>
            <w:vAlign w:val="center"/>
          </w:tcPr>
          <w:p>
            <w:pPr>
              <w:pStyle w:val="29"/>
              <w:bidi w:val="0"/>
              <w:jc w:val="center"/>
              <w:rPr>
                <w:rFonts w:hint="default"/>
                <w:lang w:val="en-US" w:eastAsia="zh-CN"/>
              </w:rPr>
            </w:pPr>
            <w:r>
              <w:rPr>
                <w:rFonts w:hint="eastAsia"/>
                <w:lang w:val="en-US" w:eastAsia="zh-CN"/>
              </w:rPr>
              <w:t>±5</w:t>
            </w:r>
          </w:p>
        </w:tc>
        <w:tc>
          <w:tcPr>
            <w:tcW w:w="4096" w:type="dxa"/>
            <w:vAlign w:val="center"/>
          </w:tcPr>
          <w:p>
            <w:pPr>
              <w:pStyle w:val="29"/>
              <w:bidi w:val="0"/>
              <w:jc w:val="center"/>
              <w:rPr>
                <w:rFonts w:hint="default"/>
                <w:lang w:val="en-US" w:eastAsia="zh-CN"/>
              </w:rPr>
            </w:pPr>
            <w:r>
              <w:rPr>
                <w:rFonts w:hint="default"/>
                <w:lang w:val="en-US" w:eastAsia="zh-CN"/>
              </w:rPr>
              <w:t>用钢尺或带数字显示的卷尺、卡尺量四角位置，取其中偏差绝对值较大值；或用挡板和激光测距仪量四角位置，取其中偏差绝对值较大值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4</w:t>
            </w:r>
          </w:p>
        </w:tc>
        <w:tc>
          <w:tcPr>
            <w:tcW w:w="746" w:type="dxa"/>
            <w:vMerge w:val="continue"/>
            <w:vAlign w:val="center"/>
          </w:tcPr>
          <w:p>
            <w:pPr>
              <w:pStyle w:val="29"/>
              <w:bidi w:val="0"/>
              <w:jc w:val="center"/>
              <w:rPr>
                <w:rFonts w:hint="default"/>
                <w:lang w:val="en-US" w:eastAsia="zh-CN"/>
              </w:rPr>
            </w:pPr>
          </w:p>
        </w:tc>
        <w:tc>
          <w:tcPr>
            <w:tcW w:w="1649" w:type="dxa"/>
            <w:vAlign w:val="center"/>
          </w:tcPr>
          <w:p>
            <w:pPr>
              <w:pStyle w:val="29"/>
              <w:bidi w:val="0"/>
              <w:jc w:val="center"/>
              <w:rPr>
                <w:rFonts w:hint="default"/>
                <w:lang w:val="en-US" w:eastAsia="zh-CN"/>
              </w:rPr>
            </w:pPr>
            <w:r>
              <w:rPr>
                <w:rFonts w:hint="default"/>
                <w:lang w:val="en-US" w:eastAsia="zh-CN"/>
              </w:rPr>
              <w:t>对角线差</w:t>
            </w:r>
          </w:p>
        </w:tc>
        <w:tc>
          <w:tcPr>
            <w:tcW w:w="1155" w:type="dxa"/>
            <w:vAlign w:val="center"/>
          </w:tcPr>
          <w:p>
            <w:pPr>
              <w:pStyle w:val="29"/>
              <w:bidi w:val="0"/>
              <w:jc w:val="center"/>
              <w:rPr>
                <w:rFonts w:hint="default"/>
                <w:lang w:val="en-US" w:eastAsia="zh-CN"/>
              </w:rPr>
            </w:pPr>
            <w:r>
              <w:rPr>
                <w:rFonts w:hint="eastAsia"/>
                <w:lang w:val="en-US" w:eastAsia="zh-CN"/>
              </w:rPr>
              <w:t>6</w:t>
            </w:r>
          </w:p>
        </w:tc>
        <w:tc>
          <w:tcPr>
            <w:tcW w:w="4096" w:type="dxa"/>
            <w:vAlign w:val="center"/>
          </w:tcPr>
          <w:p>
            <w:pPr>
              <w:pStyle w:val="29"/>
              <w:bidi w:val="0"/>
              <w:jc w:val="center"/>
              <w:rPr>
                <w:rFonts w:hint="default"/>
                <w:lang w:val="en-US" w:eastAsia="zh-CN"/>
              </w:rPr>
            </w:pPr>
            <w:r>
              <w:rPr>
                <w:rFonts w:hint="default"/>
                <w:lang w:val="en-US" w:eastAsia="zh-CN"/>
              </w:rPr>
              <w:t>用钢尺或带数字显示的卷尺量两对角线，计算差值；或用挡板和激光测距仪量两对角线，计算差值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5</w:t>
            </w:r>
          </w:p>
        </w:tc>
        <w:tc>
          <w:tcPr>
            <w:tcW w:w="746" w:type="dxa"/>
            <w:vMerge w:val="restart"/>
            <w:vAlign w:val="center"/>
          </w:tcPr>
          <w:p>
            <w:pPr>
              <w:pStyle w:val="29"/>
              <w:bidi w:val="0"/>
              <w:jc w:val="center"/>
              <w:rPr>
                <w:rFonts w:hint="default"/>
                <w:lang w:val="en-US" w:eastAsia="zh-CN"/>
              </w:rPr>
            </w:pPr>
            <w:r>
              <w:rPr>
                <w:rFonts w:hint="eastAsia"/>
                <w:lang w:val="en-US" w:eastAsia="zh-CN"/>
              </w:rPr>
              <w:t>外形</w:t>
            </w:r>
          </w:p>
        </w:tc>
        <w:tc>
          <w:tcPr>
            <w:tcW w:w="1649" w:type="dxa"/>
            <w:vAlign w:val="center"/>
          </w:tcPr>
          <w:p>
            <w:pPr>
              <w:pStyle w:val="29"/>
              <w:bidi w:val="0"/>
              <w:jc w:val="center"/>
              <w:rPr>
                <w:rFonts w:hint="default"/>
                <w:lang w:val="en-US" w:eastAsia="zh-CN"/>
              </w:rPr>
            </w:pPr>
            <w:r>
              <w:rPr>
                <w:rFonts w:hint="default"/>
                <w:lang w:val="en-US" w:eastAsia="zh-CN"/>
              </w:rPr>
              <w:t>下表面平整度</w:t>
            </w:r>
          </w:p>
        </w:tc>
        <w:tc>
          <w:tcPr>
            <w:tcW w:w="1155" w:type="dxa"/>
            <w:vAlign w:val="center"/>
          </w:tcPr>
          <w:p>
            <w:pPr>
              <w:pStyle w:val="29"/>
              <w:bidi w:val="0"/>
              <w:jc w:val="center"/>
              <w:rPr>
                <w:rFonts w:hint="default"/>
                <w:i w:val="0"/>
                <w:iCs w:val="0"/>
                <w:lang w:val="en-US" w:eastAsia="zh-CN"/>
              </w:rPr>
            </w:pPr>
            <w:r>
              <w:rPr>
                <w:rFonts w:hint="eastAsia"/>
                <w:i w:val="0"/>
                <w:iCs w:val="0"/>
                <w:lang w:val="en-US" w:eastAsia="zh-CN"/>
              </w:rPr>
              <w:t>3</w:t>
            </w:r>
          </w:p>
        </w:tc>
        <w:tc>
          <w:tcPr>
            <w:tcW w:w="4096" w:type="dxa"/>
            <w:vAlign w:val="center"/>
          </w:tcPr>
          <w:p>
            <w:pPr>
              <w:pStyle w:val="29"/>
              <w:bidi w:val="0"/>
              <w:jc w:val="center"/>
              <w:rPr>
                <w:rFonts w:hint="default"/>
                <w:lang w:val="en-US" w:eastAsia="zh-CN"/>
              </w:rPr>
            </w:pPr>
            <w:r>
              <w:rPr>
                <w:rFonts w:hint="default"/>
                <w:lang w:val="en-US" w:eastAsia="zh-CN"/>
              </w:rPr>
              <w:t>用 2m 靠尺和塞尺量；或用 2m靠尺和带数字显示的塞尺量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00" w:type="dxa"/>
            <w:vAlign w:val="center"/>
          </w:tcPr>
          <w:p>
            <w:pPr>
              <w:pStyle w:val="29"/>
              <w:bidi w:val="0"/>
              <w:jc w:val="center"/>
              <w:rPr>
                <w:rFonts w:hint="default"/>
                <w:lang w:val="en-US" w:eastAsia="zh-CN"/>
              </w:rPr>
            </w:pPr>
            <w:r>
              <w:rPr>
                <w:rFonts w:hint="eastAsia"/>
                <w:lang w:val="en-US" w:eastAsia="zh-CN"/>
              </w:rPr>
              <w:t>6</w:t>
            </w:r>
          </w:p>
        </w:tc>
        <w:tc>
          <w:tcPr>
            <w:tcW w:w="746" w:type="dxa"/>
            <w:vMerge w:val="continue"/>
            <w:vAlign w:val="center"/>
          </w:tcPr>
          <w:p>
            <w:pPr>
              <w:pStyle w:val="29"/>
              <w:bidi w:val="0"/>
              <w:jc w:val="center"/>
              <w:rPr>
                <w:rFonts w:hint="eastAsia"/>
                <w:lang w:val="en-US" w:eastAsia="zh-CN"/>
              </w:rPr>
            </w:pPr>
          </w:p>
        </w:tc>
        <w:tc>
          <w:tcPr>
            <w:tcW w:w="1649" w:type="dxa"/>
            <w:vAlign w:val="center"/>
          </w:tcPr>
          <w:p>
            <w:pPr>
              <w:pStyle w:val="29"/>
              <w:bidi w:val="0"/>
              <w:jc w:val="center"/>
              <w:rPr>
                <w:rFonts w:hint="default"/>
                <w:lang w:val="en-US" w:eastAsia="zh-CN"/>
              </w:rPr>
            </w:pPr>
            <w:r>
              <w:rPr>
                <w:rFonts w:hint="eastAsia"/>
                <w:lang w:val="en-US" w:eastAsia="zh-CN"/>
              </w:rPr>
              <w:t>侧向弯曲</w:t>
            </w:r>
          </w:p>
        </w:tc>
        <w:tc>
          <w:tcPr>
            <w:tcW w:w="1155" w:type="dxa"/>
            <w:vAlign w:val="center"/>
          </w:tcPr>
          <w:p>
            <w:pPr>
              <w:pStyle w:val="29"/>
              <w:bidi w:val="0"/>
              <w:jc w:val="center"/>
              <w:rPr>
                <w:rFonts w:hint="default"/>
                <w:lang w:val="en-US" w:eastAsia="zh-CN"/>
              </w:rPr>
            </w:pPr>
            <w:r>
              <w:rPr>
                <w:rFonts w:hint="default"/>
                <w:i/>
                <w:iCs/>
                <w:lang w:val="en-US" w:eastAsia="zh-CN"/>
              </w:rPr>
              <w:t>L</w:t>
            </w:r>
            <w:r>
              <w:rPr>
                <w:rFonts w:hint="eastAsia"/>
                <w:i w:val="0"/>
                <w:iCs w:val="0"/>
                <w:vertAlign w:val="subscript"/>
                <w:lang w:val="en-US" w:eastAsia="zh-CN"/>
              </w:rPr>
              <w:t>1</w:t>
            </w:r>
            <w:r>
              <w:rPr>
                <w:rFonts w:hint="default"/>
                <w:lang w:val="en-US" w:eastAsia="zh-CN"/>
              </w:rPr>
              <w:t>/</w:t>
            </w:r>
            <w:r>
              <w:rPr>
                <w:rFonts w:hint="eastAsia"/>
                <w:lang w:val="en-US" w:eastAsia="zh-CN"/>
              </w:rPr>
              <w:t>75</w:t>
            </w:r>
            <w:r>
              <w:rPr>
                <w:rFonts w:hint="default"/>
                <w:lang w:val="en-US" w:eastAsia="zh-CN"/>
              </w:rPr>
              <w:t>0</w:t>
            </w:r>
            <w:r>
              <w:rPr>
                <w:rFonts w:hint="eastAsia"/>
                <w:lang w:val="en-US" w:eastAsia="zh-CN"/>
              </w:rPr>
              <w:t>且≤20</w:t>
            </w:r>
          </w:p>
        </w:tc>
        <w:tc>
          <w:tcPr>
            <w:tcW w:w="4096" w:type="dxa"/>
            <w:vAlign w:val="center"/>
          </w:tcPr>
          <w:p>
            <w:pPr>
              <w:pStyle w:val="29"/>
              <w:bidi w:val="0"/>
              <w:jc w:val="center"/>
              <w:rPr>
                <w:rFonts w:hint="default"/>
                <w:lang w:val="en-US" w:eastAsia="zh-CN"/>
              </w:rPr>
            </w:pPr>
            <w:r>
              <w:rPr>
                <w:rFonts w:hint="default"/>
                <w:lang w:val="en-US" w:eastAsia="zh-CN"/>
              </w:rPr>
              <w:t>拉线，用钢尺或带数字显示的卷尺量侧向弯曲最大处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Align w:val="center"/>
          </w:tcPr>
          <w:p>
            <w:pPr>
              <w:pStyle w:val="29"/>
              <w:bidi w:val="0"/>
              <w:jc w:val="center"/>
              <w:rPr>
                <w:rFonts w:hint="default"/>
                <w:lang w:val="en-US" w:eastAsia="zh-CN"/>
              </w:rPr>
            </w:pPr>
            <w:r>
              <w:rPr>
                <w:rFonts w:hint="eastAsia"/>
                <w:lang w:val="en-US" w:eastAsia="zh-CN"/>
              </w:rPr>
              <w:t>7</w:t>
            </w:r>
          </w:p>
        </w:tc>
        <w:tc>
          <w:tcPr>
            <w:tcW w:w="746" w:type="dxa"/>
            <w:vMerge w:val="continue"/>
            <w:vAlign w:val="center"/>
          </w:tcPr>
          <w:p>
            <w:pPr>
              <w:pStyle w:val="29"/>
              <w:bidi w:val="0"/>
              <w:jc w:val="center"/>
              <w:rPr>
                <w:rFonts w:hint="eastAsia"/>
                <w:lang w:val="en-US" w:eastAsia="zh-CN"/>
              </w:rPr>
            </w:pPr>
          </w:p>
        </w:tc>
        <w:tc>
          <w:tcPr>
            <w:tcW w:w="1649" w:type="dxa"/>
            <w:vAlign w:val="center"/>
          </w:tcPr>
          <w:p>
            <w:pPr>
              <w:pStyle w:val="29"/>
              <w:bidi w:val="0"/>
              <w:jc w:val="center"/>
              <w:rPr>
                <w:rFonts w:hint="default"/>
                <w:lang w:val="en-US" w:eastAsia="zh-CN"/>
              </w:rPr>
            </w:pPr>
            <w:r>
              <w:rPr>
                <w:rFonts w:hint="eastAsia"/>
                <w:lang w:val="en-US" w:eastAsia="zh-CN"/>
              </w:rPr>
              <w:t>翘曲</w:t>
            </w:r>
          </w:p>
        </w:tc>
        <w:tc>
          <w:tcPr>
            <w:tcW w:w="1155" w:type="dxa"/>
            <w:vAlign w:val="center"/>
          </w:tcPr>
          <w:p>
            <w:pPr>
              <w:pStyle w:val="29"/>
              <w:bidi w:val="0"/>
              <w:jc w:val="center"/>
              <w:rPr>
                <w:rFonts w:hint="default"/>
                <w:lang w:val="en-US" w:eastAsia="zh-CN"/>
              </w:rPr>
            </w:pPr>
            <w:r>
              <w:rPr>
                <w:rFonts w:hint="default"/>
                <w:i/>
                <w:iCs/>
                <w:lang w:val="en-US" w:eastAsia="zh-CN"/>
              </w:rPr>
              <w:t>L</w:t>
            </w:r>
            <w:r>
              <w:rPr>
                <w:rFonts w:hint="eastAsia"/>
                <w:i w:val="0"/>
                <w:iCs w:val="0"/>
                <w:vertAlign w:val="subscript"/>
                <w:lang w:val="en-US" w:eastAsia="zh-CN"/>
              </w:rPr>
              <w:t>1</w:t>
            </w:r>
            <w:r>
              <w:rPr>
                <w:rFonts w:hint="default"/>
                <w:lang w:val="en-US" w:eastAsia="zh-CN"/>
              </w:rPr>
              <w:t>/</w:t>
            </w:r>
            <w:r>
              <w:rPr>
                <w:rFonts w:hint="eastAsia"/>
                <w:lang w:val="en-US" w:eastAsia="zh-CN"/>
              </w:rPr>
              <w:t>75</w:t>
            </w:r>
            <w:r>
              <w:rPr>
                <w:rFonts w:hint="default"/>
                <w:lang w:val="en-US" w:eastAsia="zh-CN"/>
              </w:rPr>
              <w:t>0</w:t>
            </w:r>
          </w:p>
        </w:tc>
        <w:tc>
          <w:tcPr>
            <w:tcW w:w="4096" w:type="dxa"/>
            <w:vAlign w:val="center"/>
          </w:tcPr>
          <w:p>
            <w:pPr>
              <w:pStyle w:val="29"/>
              <w:bidi w:val="0"/>
              <w:jc w:val="center"/>
              <w:rPr>
                <w:rFonts w:hint="default"/>
                <w:lang w:val="en-US" w:eastAsia="zh-CN"/>
              </w:rPr>
            </w:pPr>
            <w:r>
              <w:rPr>
                <w:rFonts w:hint="default"/>
                <w:lang w:val="en-US" w:eastAsia="zh-CN"/>
              </w:rPr>
              <w:t>对角拉线，钢尺或带数字显示的卷尺量测拉线交点间距，其值的2倍为翘曲值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dxa"/>
            <w:vMerge w:val="restart"/>
            <w:vAlign w:val="center"/>
          </w:tcPr>
          <w:p>
            <w:pPr>
              <w:pStyle w:val="29"/>
              <w:bidi w:val="0"/>
              <w:jc w:val="center"/>
              <w:rPr>
                <w:rFonts w:hint="default"/>
                <w:lang w:val="en-US" w:eastAsia="zh-CN"/>
              </w:rPr>
            </w:pPr>
            <w:r>
              <w:rPr>
                <w:rFonts w:hint="eastAsia"/>
                <w:lang w:val="en-US" w:eastAsia="zh-CN"/>
              </w:rPr>
              <w:t>8</w:t>
            </w:r>
          </w:p>
        </w:tc>
        <w:tc>
          <w:tcPr>
            <w:tcW w:w="746" w:type="dxa"/>
            <w:vMerge w:val="restart"/>
            <w:vAlign w:val="center"/>
          </w:tcPr>
          <w:p>
            <w:pPr>
              <w:pStyle w:val="29"/>
              <w:bidi w:val="0"/>
              <w:jc w:val="center"/>
              <w:rPr>
                <w:rFonts w:hint="default"/>
                <w:lang w:val="en-US" w:eastAsia="zh-CN"/>
              </w:rPr>
            </w:pPr>
            <w:r>
              <w:rPr>
                <w:rFonts w:hint="eastAsia"/>
                <w:lang w:val="en-US" w:eastAsia="zh-CN"/>
              </w:rPr>
              <w:t>预留洞</w:t>
            </w:r>
          </w:p>
        </w:tc>
        <w:tc>
          <w:tcPr>
            <w:tcW w:w="1649" w:type="dxa"/>
            <w:vAlign w:val="center"/>
          </w:tcPr>
          <w:p>
            <w:pPr>
              <w:pStyle w:val="29"/>
              <w:bidi w:val="0"/>
              <w:jc w:val="center"/>
              <w:rPr>
                <w:rFonts w:hint="eastAsia"/>
                <w:lang w:val="en-US" w:eastAsia="zh-CN"/>
              </w:rPr>
            </w:pPr>
            <w:r>
              <w:rPr>
                <w:rFonts w:hint="eastAsia"/>
                <w:lang w:val="en-US" w:eastAsia="zh-CN"/>
              </w:rPr>
              <w:t>中心线位置</w:t>
            </w:r>
          </w:p>
        </w:tc>
        <w:tc>
          <w:tcPr>
            <w:tcW w:w="1155" w:type="dxa"/>
            <w:vAlign w:val="center"/>
          </w:tcPr>
          <w:p>
            <w:pPr>
              <w:pStyle w:val="29"/>
              <w:bidi w:val="0"/>
              <w:jc w:val="center"/>
              <w:rPr>
                <w:rFonts w:hint="eastAsia"/>
                <w:lang w:val="en-US" w:eastAsia="zh-CN"/>
              </w:rPr>
            </w:pPr>
            <w:r>
              <w:rPr>
                <w:rFonts w:hint="eastAsia"/>
                <w:lang w:val="en-US" w:eastAsia="zh-CN"/>
              </w:rPr>
              <w:t>5</w:t>
            </w:r>
          </w:p>
        </w:tc>
        <w:tc>
          <w:tcPr>
            <w:tcW w:w="4096" w:type="dxa"/>
            <w:vAlign w:val="center"/>
          </w:tcPr>
          <w:p>
            <w:pPr>
              <w:pStyle w:val="29"/>
              <w:bidi w:val="0"/>
              <w:jc w:val="center"/>
              <w:rPr>
                <w:rFonts w:hint="default"/>
                <w:lang w:val="en-US" w:eastAsia="zh-CN"/>
              </w:rPr>
            </w:pPr>
            <w:r>
              <w:rPr>
                <w:rFonts w:hint="default"/>
                <w:lang w:val="en-US" w:eastAsia="zh-CN"/>
              </w:rPr>
              <w:t>用钢尺或带数字显示的卷尺量纵横两个方向的中心线位置，取其中偏差较大值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0" w:type="dxa"/>
            <w:vMerge w:val="continue"/>
            <w:vAlign w:val="center"/>
          </w:tcPr>
          <w:p>
            <w:pPr>
              <w:pStyle w:val="29"/>
              <w:bidi w:val="0"/>
              <w:jc w:val="center"/>
            </w:pPr>
          </w:p>
        </w:tc>
        <w:tc>
          <w:tcPr>
            <w:tcW w:w="746" w:type="dxa"/>
            <w:vMerge w:val="continue"/>
            <w:vAlign w:val="center"/>
          </w:tcPr>
          <w:p>
            <w:pPr>
              <w:pStyle w:val="29"/>
              <w:bidi w:val="0"/>
              <w:jc w:val="center"/>
            </w:pPr>
          </w:p>
        </w:tc>
        <w:tc>
          <w:tcPr>
            <w:tcW w:w="1649" w:type="dxa"/>
            <w:vAlign w:val="center"/>
          </w:tcPr>
          <w:p>
            <w:pPr>
              <w:pStyle w:val="29"/>
              <w:bidi w:val="0"/>
              <w:jc w:val="center"/>
              <w:rPr>
                <w:rFonts w:hint="default"/>
                <w:lang w:val="en-US" w:eastAsia="zh-CN"/>
              </w:rPr>
            </w:pPr>
            <w:r>
              <w:rPr>
                <w:rFonts w:hint="eastAsia"/>
                <w:lang w:val="en-US" w:eastAsia="zh-CN"/>
              </w:rPr>
              <w:t>洞口尺寸、深度</w:t>
            </w:r>
          </w:p>
        </w:tc>
        <w:tc>
          <w:tcPr>
            <w:tcW w:w="1155" w:type="dxa"/>
            <w:vAlign w:val="center"/>
          </w:tcPr>
          <w:p>
            <w:pPr>
              <w:pStyle w:val="29"/>
              <w:bidi w:val="0"/>
              <w:jc w:val="center"/>
              <w:rPr>
                <w:rFonts w:hint="eastAsia"/>
                <w:lang w:val="en-US" w:eastAsia="zh-CN"/>
              </w:rPr>
            </w:pPr>
            <w:r>
              <w:rPr>
                <w:rFonts w:hint="eastAsia"/>
                <w:lang w:val="en-US" w:eastAsia="zh-CN"/>
              </w:rPr>
              <w:t>±5</w:t>
            </w:r>
          </w:p>
        </w:tc>
        <w:tc>
          <w:tcPr>
            <w:tcW w:w="4096" w:type="dxa"/>
            <w:vAlign w:val="center"/>
          </w:tcPr>
          <w:p>
            <w:pPr>
              <w:pStyle w:val="29"/>
              <w:bidi w:val="0"/>
              <w:jc w:val="center"/>
              <w:rPr>
                <w:rFonts w:hint="eastAsia"/>
                <w:lang w:val="en-US" w:eastAsia="zh-CN"/>
              </w:rPr>
            </w:pPr>
            <w:r>
              <w:rPr>
                <w:rFonts w:hint="eastAsia"/>
                <w:lang w:val="en-US" w:eastAsia="zh-CN"/>
              </w:rPr>
              <w:t>用钢尺或带数字显示的卷尺、卡尺量纵横两个方向尺寸，取其中偏差较大值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00" w:type="dxa"/>
            <w:vMerge w:val="restart"/>
            <w:vAlign w:val="center"/>
          </w:tcPr>
          <w:p>
            <w:pPr>
              <w:pStyle w:val="29"/>
              <w:bidi w:val="0"/>
              <w:jc w:val="center"/>
              <w:rPr>
                <w:rFonts w:hint="default"/>
                <w:lang w:val="en-US" w:eastAsia="zh-CN"/>
              </w:rPr>
            </w:pPr>
            <w:r>
              <w:rPr>
                <w:rFonts w:hint="eastAsia"/>
                <w:lang w:val="en-US" w:eastAsia="zh-CN"/>
              </w:rPr>
              <w:t>9</w:t>
            </w:r>
          </w:p>
        </w:tc>
        <w:tc>
          <w:tcPr>
            <w:tcW w:w="746" w:type="dxa"/>
            <w:vMerge w:val="restart"/>
            <w:vAlign w:val="center"/>
          </w:tcPr>
          <w:p>
            <w:pPr>
              <w:pStyle w:val="29"/>
              <w:bidi w:val="0"/>
              <w:jc w:val="center"/>
              <w:rPr>
                <w:rFonts w:hint="default"/>
                <w:lang w:val="en-US" w:eastAsia="zh-CN"/>
              </w:rPr>
            </w:pPr>
            <w:r>
              <w:rPr>
                <w:rFonts w:hint="eastAsia"/>
                <w:lang w:val="en-US" w:eastAsia="zh-CN"/>
              </w:rPr>
              <w:t>受力钢筋</w:t>
            </w:r>
          </w:p>
        </w:tc>
        <w:tc>
          <w:tcPr>
            <w:tcW w:w="1649" w:type="dxa"/>
            <w:vAlign w:val="center"/>
          </w:tcPr>
          <w:p>
            <w:pPr>
              <w:pStyle w:val="29"/>
              <w:bidi w:val="0"/>
              <w:jc w:val="center"/>
              <w:rPr>
                <w:rFonts w:hint="default"/>
                <w:lang w:val="en-US" w:eastAsia="zh-CN"/>
              </w:rPr>
            </w:pPr>
            <w:r>
              <w:rPr>
                <w:rFonts w:hint="eastAsia"/>
                <w:lang w:val="en-US" w:eastAsia="zh-CN"/>
              </w:rPr>
              <w:t>间距</w:t>
            </w:r>
          </w:p>
        </w:tc>
        <w:tc>
          <w:tcPr>
            <w:tcW w:w="1155" w:type="dxa"/>
            <w:vAlign w:val="center"/>
          </w:tcPr>
          <w:p>
            <w:pPr>
              <w:pStyle w:val="29"/>
              <w:bidi w:val="0"/>
              <w:jc w:val="center"/>
              <w:rPr>
                <w:rFonts w:hint="eastAsia"/>
                <w:lang w:val="en-US" w:eastAsia="zh-CN"/>
              </w:rPr>
            </w:pPr>
            <w:r>
              <w:rPr>
                <w:rFonts w:hint="eastAsia"/>
                <w:lang w:val="en-US" w:eastAsia="zh-CN"/>
              </w:rPr>
              <w:t>±5</w:t>
            </w:r>
          </w:p>
        </w:tc>
        <w:tc>
          <w:tcPr>
            <w:tcW w:w="4096" w:type="dxa"/>
            <w:vAlign w:val="center"/>
          </w:tcPr>
          <w:p>
            <w:pPr>
              <w:pStyle w:val="29"/>
              <w:bidi w:val="0"/>
              <w:jc w:val="center"/>
              <w:rPr>
                <w:rFonts w:hint="default"/>
                <w:lang w:val="en-US" w:eastAsia="zh-CN"/>
              </w:rPr>
            </w:pPr>
            <w:r>
              <w:rPr>
                <w:rFonts w:hint="default"/>
                <w:lang w:val="en-US" w:eastAsia="zh-CN"/>
              </w:rPr>
              <w:t>用钢尺或钢筋保护层厚度测定仪量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00" w:type="dxa"/>
            <w:vMerge w:val="continue"/>
            <w:vAlign w:val="center"/>
          </w:tcPr>
          <w:p>
            <w:pPr>
              <w:pStyle w:val="29"/>
              <w:bidi w:val="0"/>
              <w:jc w:val="center"/>
            </w:pPr>
          </w:p>
        </w:tc>
        <w:tc>
          <w:tcPr>
            <w:tcW w:w="746" w:type="dxa"/>
            <w:vMerge w:val="continue"/>
            <w:vAlign w:val="center"/>
          </w:tcPr>
          <w:p>
            <w:pPr>
              <w:pStyle w:val="29"/>
              <w:bidi w:val="0"/>
              <w:jc w:val="center"/>
            </w:pPr>
          </w:p>
        </w:tc>
        <w:tc>
          <w:tcPr>
            <w:tcW w:w="1649" w:type="dxa"/>
            <w:vAlign w:val="center"/>
          </w:tcPr>
          <w:p>
            <w:pPr>
              <w:pStyle w:val="29"/>
              <w:bidi w:val="0"/>
              <w:jc w:val="center"/>
              <w:rPr>
                <w:rFonts w:hint="default"/>
                <w:lang w:val="en-US" w:eastAsia="zh-CN"/>
              </w:rPr>
            </w:pPr>
            <w:r>
              <w:rPr>
                <w:rFonts w:hint="eastAsia"/>
                <w:lang w:val="en-US" w:eastAsia="zh-CN"/>
              </w:rPr>
              <w:t>保护层厚度</w:t>
            </w:r>
          </w:p>
        </w:tc>
        <w:tc>
          <w:tcPr>
            <w:tcW w:w="1155" w:type="dxa"/>
            <w:vAlign w:val="center"/>
          </w:tcPr>
          <w:p>
            <w:pPr>
              <w:pStyle w:val="29"/>
              <w:bidi w:val="0"/>
              <w:jc w:val="center"/>
              <w:rPr>
                <w:rFonts w:hint="eastAsia"/>
                <w:lang w:val="en-US" w:eastAsia="zh-CN"/>
              </w:rPr>
            </w:pPr>
            <w:r>
              <w:rPr>
                <w:rFonts w:hint="eastAsia"/>
                <w:lang w:val="en-US" w:eastAsia="zh-CN"/>
              </w:rPr>
              <w:t>+5，-3</w:t>
            </w:r>
          </w:p>
        </w:tc>
        <w:tc>
          <w:tcPr>
            <w:tcW w:w="4096" w:type="dxa"/>
            <w:vAlign w:val="center"/>
          </w:tcPr>
          <w:p>
            <w:pPr>
              <w:pStyle w:val="29"/>
              <w:bidi w:val="0"/>
              <w:jc w:val="center"/>
              <w:rPr>
                <w:rFonts w:hint="eastAsia"/>
                <w:lang w:val="en-US" w:eastAsia="zh-CN"/>
              </w:rPr>
            </w:pPr>
            <w:r>
              <w:rPr>
                <w:rFonts w:hint="eastAsia"/>
                <w:lang w:val="en-US" w:eastAsia="zh-CN"/>
              </w:rPr>
              <w:t>用钢尺或钢筋保护层厚度测定仪量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00" w:type="dxa"/>
            <w:vMerge w:val="continue"/>
            <w:vAlign w:val="center"/>
          </w:tcPr>
          <w:p>
            <w:pPr>
              <w:pStyle w:val="29"/>
              <w:bidi w:val="0"/>
              <w:jc w:val="center"/>
              <w:rPr>
                <w:rFonts w:hint="eastAsia"/>
                <w:lang w:val="en-US" w:eastAsia="zh-CN"/>
              </w:rPr>
            </w:pPr>
          </w:p>
        </w:tc>
        <w:tc>
          <w:tcPr>
            <w:tcW w:w="746" w:type="dxa"/>
            <w:vMerge w:val="continue"/>
            <w:vAlign w:val="center"/>
          </w:tcPr>
          <w:p>
            <w:pPr>
              <w:pStyle w:val="29"/>
              <w:bidi w:val="0"/>
              <w:jc w:val="center"/>
              <w:rPr>
                <w:rFonts w:hint="eastAsia"/>
                <w:lang w:val="en-US" w:eastAsia="zh-CN"/>
              </w:rPr>
            </w:pPr>
          </w:p>
        </w:tc>
        <w:tc>
          <w:tcPr>
            <w:tcW w:w="1649" w:type="dxa"/>
            <w:vAlign w:val="center"/>
          </w:tcPr>
          <w:p>
            <w:pPr>
              <w:pStyle w:val="29"/>
              <w:bidi w:val="0"/>
              <w:jc w:val="center"/>
              <w:rPr>
                <w:rFonts w:hint="default"/>
                <w:highlight w:val="none"/>
                <w:lang w:val="en-US" w:eastAsia="zh-CN"/>
              </w:rPr>
            </w:pPr>
            <w:r>
              <w:rPr>
                <w:rFonts w:hint="eastAsia"/>
                <w:highlight w:val="none"/>
                <w:lang w:val="en-US" w:eastAsia="zh-CN"/>
              </w:rPr>
              <w:t>叠合肋梁下皮钢筋外伸长度</w:t>
            </w:r>
          </w:p>
        </w:tc>
        <w:tc>
          <w:tcPr>
            <w:tcW w:w="1155" w:type="dxa"/>
            <w:vAlign w:val="center"/>
          </w:tcPr>
          <w:p>
            <w:pPr>
              <w:pStyle w:val="29"/>
              <w:bidi w:val="0"/>
              <w:jc w:val="center"/>
              <w:rPr>
                <w:rFonts w:hint="eastAsia"/>
                <w:highlight w:val="none"/>
                <w:lang w:val="en-US" w:eastAsia="zh-CN"/>
              </w:rPr>
            </w:pPr>
            <w:r>
              <w:rPr>
                <w:rFonts w:hint="eastAsia"/>
                <w:highlight w:val="none"/>
                <w:lang w:val="en-US" w:eastAsia="zh-CN"/>
              </w:rPr>
              <w:t>0，-5</w:t>
            </w:r>
          </w:p>
        </w:tc>
        <w:tc>
          <w:tcPr>
            <w:tcW w:w="4096" w:type="dxa"/>
            <w:vAlign w:val="center"/>
          </w:tcPr>
          <w:p>
            <w:pPr>
              <w:pStyle w:val="29"/>
              <w:bidi w:val="0"/>
              <w:jc w:val="center"/>
              <w:rPr>
                <w:rFonts w:hint="eastAsia"/>
                <w:lang w:val="en-US" w:eastAsia="zh-CN"/>
              </w:rPr>
            </w:pPr>
            <w:r>
              <w:rPr>
                <w:rFonts w:hint="eastAsia"/>
                <w:lang w:val="en-US" w:eastAsia="zh-CN"/>
              </w:rPr>
              <w:t>用钢尺或带数字显示的卷尺量、卡尺量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600" w:type="dxa"/>
            <w:vMerge w:val="continue"/>
            <w:vAlign w:val="center"/>
          </w:tcPr>
          <w:p>
            <w:pPr>
              <w:pStyle w:val="29"/>
              <w:bidi w:val="0"/>
              <w:jc w:val="center"/>
              <w:rPr>
                <w:rFonts w:hint="eastAsia"/>
                <w:lang w:val="en-US" w:eastAsia="zh-CN"/>
              </w:rPr>
            </w:pPr>
          </w:p>
        </w:tc>
        <w:tc>
          <w:tcPr>
            <w:tcW w:w="746" w:type="dxa"/>
            <w:vMerge w:val="continue"/>
            <w:vAlign w:val="center"/>
          </w:tcPr>
          <w:p>
            <w:pPr>
              <w:pStyle w:val="29"/>
              <w:bidi w:val="0"/>
              <w:jc w:val="center"/>
              <w:rPr>
                <w:rFonts w:hint="eastAsia"/>
                <w:lang w:val="en-US" w:eastAsia="zh-CN"/>
              </w:rPr>
            </w:pPr>
          </w:p>
        </w:tc>
        <w:tc>
          <w:tcPr>
            <w:tcW w:w="1649" w:type="dxa"/>
            <w:vAlign w:val="center"/>
          </w:tcPr>
          <w:p>
            <w:pPr>
              <w:pStyle w:val="29"/>
              <w:bidi w:val="0"/>
              <w:jc w:val="center"/>
              <w:rPr>
                <w:rFonts w:hint="default"/>
                <w:lang w:val="en-US" w:eastAsia="zh-CN"/>
              </w:rPr>
            </w:pPr>
            <w:r>
              <w:rPr>
                <w:rFonts w:hint="eastAsia"/>
                <w:lang w:val="en-US" w:eastAsia="zh-CN"/>
              </w:rPr>
              <w:t>其他钢筋外伸长度</w:t>
            </w:r>
          </w:p>
        </w:tc>
        <w:tc>
          <w:tcPr>
            <w:tcW w:w="1155" w:type="dxa"/>
            <w:vAlign w:val="center"/>
          </w:tcPr>
          <w:p>
            <w:pPr>
              <w:pStyle w:val="29"/>
              <w:bidi w:val="0"/>
              <w:jc w:val="center"/>
              <w:rPr>
                <w:rFonts w:hint="eastAsia" w:ascii="Times New Roman" w:hAnsi="Times New Roman" w:eastAsia="宋体" w:cstheme="minorBidi"/>
                <w:kern w:val="2"/>
                <w:sz w:val="21"/>
                <w:szCs w:val="24"/>
                <w:lang w:val="en-US" w:eastAsia="zh-CN" w:bidi="ar-SA"/>
              </w:rPr>
            </w:pPr>
            <w:r>
              <w:rPr>
                <w:rFonts w:hint="eastAsia"/>
                <w:lang w:val="en-US" w:eastAsia="zh-CN"/>
              </w:rPr>
              <w:t>±5</w:t>
            </w:r>
          </w:p>
        </w:tc>
        <w:tc>
          <w:tcPr>
            <w:tcW w:w="4096" w:type="dxa"/>
            <w:vAlign w:val="center"/>
          </w:tcPr>
          <w:p>
            <w:pPr>
              <w:pStyle w:val="29"/>
              <w:bidi w:val="0"/>
              <w:jc w:val="center"/>
              <w:rPr>
                <w:rFonts w:hint="eastAsia" w:ascii="Times New Roman" w:hAnsi="Times New Roman" w:eastAsia="宋体" w:cstheme="minorBidi"/>
                <w:kern w:val="2"/>
                <w:sz w:val="21"/>
                <w:szCs w:val="24"/>
                <w:lang w:val="en-US" w:eastAsia="zh-CN" w:bidi="ar-SA"/>
              </w:rPr>
            </w:pPr>
            <w:r>
              <w:rPr>
                <w:rFonts w:hint="eastAsia"/>
                <w:lang w:val="en-US" w:eastAsia="zh-CN"/>
              </w:rPr>
              <w:t>用钢尺或带数字显示的卷尺量、卡尺量</w:t>
            </w:r>
          </w:p>
        </w:tc>
      </w:tr>
    </w:tbl>
    <w:p>
      <w:pPr>
        <w:pStyle w:val="29"/>
        <w:bidi w:val="0"/>
        <w:rPr>
          <w:rFonts w:hint="default"/>
          <w:i w:val="0"/>
          <w:iCs w:val="0"/>
          <w:lang w:val="en-US" w:eastAsia="zh-CN"/>
        </w:rPr>
      </w:pPr>
      <w:r>
        <w:rPr>
          <w:rFonts w:hint="default"/>
          <w:i w:val="0"/>
          <w:iCs w:val="0"/>
          <w:lang w:val="en-US" w:eastAsia="zh-CN"/>
        </w:rPr>
        <w:t>注：</w:t>
      </w:r>
      <w:r>
        <w:rPr>
          <w:rFonts w:hint="default"/>
          <w:i/>
          <w:iCs/>
          <w:lang w:val="en-US" w:eastAsia="zh-CN"/>
        </w:rPr>
        <w:t>L</w:t>
      </w:r>
      <w:r>
        <w:rPr>
          <w:rFonts w:hint="default"/>
          <w:i w:val="0"/>
          <w:iCs w:val="0"/>
          <w:vertAlign w:val="subscript"/>
          <w:lang w:val="en-US" w:eastAsia="zh-CN"/>
        </w:rPr>
        <w:t>1</w:t>
      </w:r>
      <w:r>
        <w:rPr>
          <w:rFonts w:hint="default"/>
          <w:i w:val="0"/>
          <w:iCs w:val="0"/>
          <w:lang w:val="en-US" w:eastAsia="zh-CN"/>
        </w:rPr>
        <w:t>为预制底板长边边长。</w:t>
      </w:r>
    </w:p>
    <w:p>
      <w:pPr>
        <w:pStyle w:val="20"/>
        <w:spacing w:line="360" w:lineRule="auto"/>
        <w:rPr>
          <w:rFonts w:hint="default"/>
          <w:spacing w:val="-8"/>
          <w:sz w:val="24"/>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6.8.4</w:t>
      </w:r>
      <w:r>
        <w:rPr>
          <w:rFonts w:hint="eastAsia"/>
          <w:u w:val="single"/>
          <w:lang w:val="en-US" w:eastAsia="zh-CN"/>
        </w:rPr>
        <w:t xml:space="preserve"> 叠合肋梁下皮纵筋需要在后浇肋梁中心线处采用套筒挤压接头进行机</w:t>
      </w:r>
      <w:r>
        <w:rPr>
          <w:rFonts w:hint="default" w:ascii="Times New Roman" w:hAnsi="Times New Roman" w:cs="Times New Roman"/>
          <w:u w:val="single"/>
          <w:lang w:val="en-US" w:eastAsia="zh-CN"/>
        </w:rPr>
        <w:t>械连接，本</w:t>
      </w:r>
      <w:r>
        <w:rPr>
          <w:rFonts w:hint="eastAsia" w:ascii="Times New Roman" w:hAnsi="Times New Roman" w:cs="Times New Roman"/>
          <w:u w:val="single"/>
          <w:lang w:val="en-US" w:eastAsia="zh-CN"/>
        </w:rPr>
        <w:t>规程</w:t>
      </w:r>
      <w:r>
        <w:rPr>
          <w:rFonts w:hint="default" w:ascii="Times New Roman" w:hAnsi="Times New Roman" w:cs="Times New Roman"/>
          <w:u w:val="single"/>
          <w:lang w:val="en-US" w:eastAsia="zh-CN"/>
        </w:rPr>
        <w:t>5.6.5条规定，叠合肋梁下部纵筋伸出长度宜伸至后浇肋梁中心线-3mm，以方便钢筋进行套筒挤压机械连接。-3mm的目的是为了避免出现正公差导致钢筋打架无法连接。另外，《钢筋机械连接技术规程》JGJ 107规定，</w:t>
      </w:r>
      <w:r>
        <w:rPr>
          <w:rFonts w:hint="default" w:ascii="Times New Roman" w:hAnsi="Times New Roman" w:cs="Times New Roman"/>
          <w:spacing w:val="-8"/>
          <w:sz w:val="24"/>
          <w:u w:val="single"/>
          <w:lang w:val="en-US" w:eastAsia="zh-CN"/>
        </w:rPr>
        <w:t>套筒挤压接头的钢筋端头距离套筒中央不宜超过10mm。因此，规定了叠合肋梁下皮钢筋外伸长度的允许误差为0，-5。</w:t>
      </w:r>
    </w:p>
    <w:p>
      <w:pPr>
        <w:numPr>
          <w:ilvl w:val="2"/>
          <w:numId w:val="1"/>
        </w:numPr>
        <w:bidi w:val="0"/>
        <w:rPr>
          <w:rFonts w:hint="default"/>
          <w:lang w:val="en-US" w:eastAsia="zh-CN"/>
        </w:rPr>
      </w:pPr>
      <w:r>
        <w:rPr>
          <w:rFonts w:hint="default"/>
          <w:lang w:val="en-US" w:eastAsia="zh-CN"/>
        </w:rPr>
        <w:t>预制底板出厂前应进行质量检验，并形成质量证明文件。质量检验内容应包括外观质量、尺寸偏差和混凝土强度。混凝土强度应符合设计文件及现行国家标准《混凝土结构设计规范》GB 50010的有关规定。</w:t>
      </w:r>
    </w:p>
    <w:p>
      <w:pPr>
        <w:numPr>
          <w:ilvl w:val="2"/>
          <w:numId w:val="1"/>
        </w:numPr>
        <w:bidi w:val="0"/>
        <w:rPr>
          <w:rFonts w:hint="default"/>
          <w:lang w:val="en-US" w:eastAsia="zh-CN"/>
        </w:rPr>
      </w:pPr>
      <w:r>
        <w:rPr>
          <w:rFonts w:hint="default"/>
          <w:lang w:val="en-US" w:eastAsia="zh-CN"/>
        </w:rPr>
        <w:t>预制底板的质量证明文件应包括下列内容：</w:t>
      </w:r>
    </w:p>
    <w:p>
      <w:pPr>
        <w:numPr>
          <w:ilvl w:val="0"/>
          <w:numId w:val="20"/>
        </w:numPr>
        <w:tabs>
          <w:tab w:val="left" w:pos="420"/>
          <w:tab w:val="clear" w:pos="0"/>
        </w:tabs>
        <w:bidi w:val="0"/>
        <w:ind w:left="247" w:leftChars="0" w:hanging="247" w:firstLineChars="0"/>
        <w:rPr>
          <w:rFonts w:hint="default"/>
          <w:lang w:val="en-US" w:eastAsia="zh-CN"/>
        </w:rPr>
      </w:pPr>
      <w:r>
        <w:rPr>
          <w:rFonts w:hint="default"/>
          <w:lang w:val="en-US" w:eastAsia="zh-CN"/>
        </w:rPr>
        <w:t>出厂合格证；</w:t>
      </w:r>
    </w:p>
    <w:p>
      <w:pPr>
        <w:numPr>
          <w:ilvl w:val="0"/>
          <w:numId w:val="20"/>
        </w:numPr>
        <w:tabs>
          <w:tab w:val="left" w:pos="420"/>
          <w:tab w:val="clear" w:pos="0"/>
        </w:tabs>
        <w:bidi w:val="0"/>
        <w:ind w:left="247" w:leftChars="0" w:hanging="247" w:firstLineChars="0"/>
        <w:rPr>
          <w:rFonts w:hint="default"/>
          <w:lang w:val="en-US" w:eastAsia="zh-CN"/>
        </w:rPr>
      </w:pPr>
      <w:r>
        <w:rPr>
          <w:rFonts w:hint="default"/>
          <w:lang w:val="en-US" w:eastAsia="zh-CN"/>
        </w:rPr>
        <w:t>钢筋检验报告；</w:t>
      </w:r>
    </w:p>
    <w:p>
      <w:pPr>
        <w:numPr>
          <w:ilvl w:val="0"/>
          <w:numId w:val="20"/>
        </w:numPr>
        <w:tabs>
          <w:tab w:val="left" w:pos="420"/>
          <w:tab w:val="clear" w:pos="0"/>
        </w:tabs>
        <w:bidi w:val="0"/>
        <w:ind w:left="247" w:leftChars="0" w:hanging="247" w:firstLineChars="0"/>
        <w:rPr>
          <w:rFonts w:hint="default"/>
          <w:lang w:val="en-US" w:eastAsia="zh-CN"/>
        </w:rPr>
      </w:pPr>
      <w:r>
        <w:rPr>
          <w:rFonts w:hint="default"/>
          <w:lang w:val="en-US" w:eastAsia="zh-CN"/>
        </w:rPr>
        <w:t>混凝土强度检验报告；</w:t>
      </w:r>
    </w:p>
    <w:p>
      <w:pPr>
        <w:numPr>
          <w:ilvl w:val="0"/>
          <w:numId w:val="20"/>
        </w:numPr>
        <w:tabs>
          <w:tab w:val="left" w:pos="420"/>
          <w:tab w:val="clear" w:pos="0"/>
        </w:tabs>
        <w:bidi w:val="0"/>
        <w:ind w:left="247" w:leftChars="0" w:hanging="247" w:firstLineChars="0"/>
        <w:rPr>
          <w:rFonts w:hint="default"/>
          <w:lang w:val="en-US" w:eastAsia="zh-CN"/>
        </w:rPr>
      </w:pPr>
      <w:r>
        <w:rPr>
          <w:rFonts w:hint="default"/>
          <w:lang w:val="en-US" w:eastAsia="zh-CN"/>
        </w:rPr>
        <w:t>合同要求的其他质量证明文件。</w:t>
      </w:r>
    </w:p>
    <w:p>
      <w:pPr>
        <w:pStyle w:val="20"/>
        <w:rPr>
          <w:rFonts w:hint="default"/>
          <w:lang w:val="en-US" w:eastAsia="zh-CN"/>
        </w:rPr>
      </w:pPr>
    </w:p>
    <w:p>
      <w:pPr>
        <w:pStyle w:val="20"/>
        <w:rPr>
          <w:rFonts w:hint="default"/>
          <w:lang w:val="en-US" w:eastAsia="zh-CN"/>
        </w:rPr>
      </w:pPr>
    </w:p>
    <w:p>
      <w:pPr>
        <w:pStyle w:val="20"/>
        <w:rPr>
          <w:rFonts w:hint="default"/>
          <w:lang w:val="en-US" w:eastAsia="zh-CN"/>
        </w:rPr>
      </w:pPr>
    </w:p>
    <w:p>
      <w:pPr>
        <w:rPr>
          <w:rFonts w:hint="default"/>
          <w:lang w:val="en-US" w:eastAsia="zh-CN"/>
        </w:rPr>
      </w:pPr>
      <w:r>
        <w:rPr>
          <w:rFonts w:hint="default"/>
          <w:lang w:val="en-US" w:eastAsia="zh-CN"/>
        </w:rPr>
        <w:br w:type="page"/>
      </w:r>
    </w:p>
    <w:p>
      <w:pPr>
        <w:pStyle w:val="3"/>
        <w:bidi w:val="0"/>
        <w:ind w:left="0" w:leftChars="0" w:firstLine="0" w:firstLineChars="0"/>
        <w:outlineLvl w:val="0"/>
        <w:rPr>
          <w:rFonts w:hint="default"/>
          <w:lang w:val="en-US" w:eastAsia="zh-CN"/>
        </w:rPr>
      </w:pPr>
      <w:bookmarkStart w:id="51" w:name="_Toc11692"/>
      <w:r>
        <w:rPr>
          <w:rFonts w:hint="default"/>
          <w:lang w:val="en-US" w:eastAsia="zh-CN"/>
        </w:rPr>
        <w:t>施工安装</w:t>
      </w:r>
      <w:bookmarkEnd w:id="51"/>
    </w:p>
    <w:p>
      <w:pPr>
        <w:pStyle w:val="4"/>
        <w:bidi w:val="0"/>
        <w:ind w:left="0" w:leftChars="0" w:firstLine="0" w:firstLineChars="0"/>
        <w:outlineLvl w:val="1"/>
        <w:rPr>
          <w:rFonts w:hint="default"/>
          <w:lang w:val="en-US" w:eastAsia="zh-CN"/>
        </w:rPr>
      </w:pPr>
      <w:bookmarkStart w:id="52" w:name="_Toc22193"/>
      <w:r>
        <w:rPr>
          <w:rFonts w:hint="default"/>
          <w:lang w:val="en-US" w:eastAsia="zh-CN"/>
        </w:rPr>
        <w:t>一般规定</w:t>
      </w:r>
      <w:bookmarkEnd w:id="52"/>
    </w:p>
    <w:p>
      <w:pPr>
        <w:numPr>
          <w:ilvl w:val="2"/>
          <w:numId w:val="1"/>
        </w:numPr>
        <w:bidi w:val="0"/>
        <w:rPr>
          <w:rFonts w:hint="default"/>
          <w:lang w:val="en-US" w:eastAsia="zh-CN"/>
        </w:rPr>
      </w:pPr>
      <w:r>
        <w:rPr>
          <w:rFonts w:hint="default"/>
          <w:lang w:val="en-US" w:eastAsia="zh-CN"/>
        </w:rPr>
        <w:t>预制底板安装施工前应编制专项施工方案，并应对施工人员进行质量安全技术交底。专项施工方案中应有保障安全的措施。</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7.1.1</w:t>
      </w:r>
      <w:r>
        <w:rPr>
          <w:rFonts w:hint="eastAsia"/>
          <w:u w:val="single"/>
          <w:lang w:val="en-US" w:eastAsia="zh-CN"/>
        </w:rPr>
        <w:t xml:space="preserve"> 专项施工方案应按规定程序审批。专项施工方案应包含施工现场平面布置、预制底板场内转运路线、道路条件及吊装方案等；对涉及结构安全和人身安全的内容，应有明确的规定和相应的措施。</w:t>
      </w:r>
    </w:p>
    <w:p>
      <w:pPr>
        <w:numPr>
          <w:ilvl w:val="2"/>
          <w:numId w:val="1"/>
        </w:numPr>
        <w:bidi w:val="0"/>
        <w:rPr>
          <w:rFonts w:hint="default"/>
          <w:lang w:val="en-US" w:eastAsia="zh-CN"/>
        </w:rPr>
      </w:pPr>
      <w:r>
        <w:rPr>
          <w:rFonts w:hint="default"/>
          <w:lang w:val="en-US" w:eastAsia="zh-CN"/>
        </w:rPr>
        <w:t>施工现场应根据施工平面规划设置运输道路和堆放场地，并应符合下列规定：</w:t>
      </w:r>
    </w:p>
    <w:p>
      <w:pPr>
        <w:numPr>
          <w:ilvl w:val="0"/>
          <w:numId w:val="21"/>
        </w:numPr>
        <w:tabs>
          <w:tab w:val="left" w:pos="420"/>
          <w:tab w:val="clear" w:pos="0"/>
        </w:tabs>
        <w:bidi w:val="0"/>
        <w:ind w:left="247" w:leftChars="0" w:hanging="247" w:firstLineChars="0"/>
        <w:rPr>
          <w:rFonts w:hint="default"/>
          <w:lang w:val="en-US" w:eastAsia="zh-CN"/>
        </w:rPr>
      </w:pPr>
      <w:r>
        <w:rPr>
          <w:rFonts w:hint="default"/>
          <w:lang w:val="en-US" w:eastAsia="zh-CN"/>
        </w:rPr>
        <w:t>现场运输道路和堆放场地应平整、坚实，并应有排水措施；</w:t>
      </w:r>
    </w:p>
    <w:p>
      <w:pPr>
        <w:numPr>
          <w:ilvl w:val="0"/>
          <w:numId w:val="21"/>
        </w:numPr>
        <w:tabs>
          <w:tab w:val="left" w:pos="420"/>
          <w:tab w:val="clear" w:pos="0"/>
        </w:tabs>
        <w:bidi w:val="0"/>
        <w:ind w:left="247" w:leftChars="0" w:hanging="247" w:firstLineChars="0"/>
        <w:rPr>
          <w:rFonts w:hint="default"/>
          <w:lang w:val="en-US" w:eastAsia="zh-CN"/>
        </w:rPr>
      </w:pPr>
      <w:r>
        <w:rPr>
          <w:rFonts w:hint="default"/>
          <w:lang w:val="en-US" w:eastAsia="zh-CN"/>
        </w:rPr>
        <w:t>现场运输道路应按照预制构件运输车辆的要求合理设置转弯半径及道路坡度；</w:t>
      </w:r>
    </w:p>
    <w:p>
      <w:pPr>
        <w:numPr>
          <w:ilvl w:val="0"/>
          <w:numId w:val="21"/>
        </w:numPr>
        <w:tabs>
          <w:tab w:val="left" w:pos="420"/>
          <w:tab w:val="clear" w:pos="0"/>
        </w:tabs>
        <w:bidi w:val="0"/>
        <w:ind w:left="247" w:leftChars="0" w:hanging="247" w:firstLineChars="0"/>
        <w:rPr>
          <w:rFonts w:hint="default"/>
          <w:lang w:val="en-US" w:eastAsia="zh-CN"/>
        </w:rPr>
      </w:pPr>
      <w:r>
        <w:rPr>
          <w:rFonts w:hint="default"/>
          <w:lang w:val="en-US" w:eastAsia="zh-CN"/>
        </w:rPr>
        <w:t>运到施工现场的预制底板需要堆放时，应按规格、使用部位、吊装顺序分别堆放，并应符合本</w:t>
      </w:r>
      <w:r>
        <w:rPr>
          <w:rFonts w:hint="eastAsia"/>
          <w:lang w:val="en-US" w:eastAsia="zh-CN"/>
        </w:rPr>
        <w:t>规程</w:t>
      </w:r>
      <w:r>
        <w:rPr>
          <w:rFonts w:hint="default"/>
          <w:lang w:val="en-US" w:eastAsia="zh-CN"/>
        </w:rPr>
        <w:t>第</w:t>
      </w:r>
      <w:r>
        <w:rPr>
          <w:rFonts w:hint="eastAsia"/>
          <w:lang w:val="en-US" w:eastAsia="zh-CN"/>
        </w:rPr>
        <w:t>6</w:t>
      </w:r>
      <w:r>
        <w:rPr>
          <w:rFonts w:hint="default"/>
          <w:lang w:val="en-US" w:eastAsia="zh-CN"/>
        </w:rPr>
        <w:t>.</w:t>
      </w:r>
      <w:r>
        <w:rPr>
          <w:rFonts w:hint="eastAsia"/>
          <w:lang w:val="en-US" w:eastAsia="zh-CN"/>
        </w:rPr>
        <w:t>7</w:t>
      </w:r>
      <w:r>
        <w:rPr>
          <w:rFonts w:hint="default"/>
          <w:lang w:val="en-US" w:eastAsia="zh-CN"/>
        </w:rPr>
        <w:t>.2条的规定；</w:t>
      </w:r>
    </w:p>
    <w:p>
      <w:pPr>
        <w:numPr>
          <w:ilvl w:val="0"/>
          <w:numId w:val="21"/>
        </w:numPr>
        <w:tabs>
          <w:tab w:val="left" w:pos="420"/>
          <w:tab w:val="clear" w:pos="0"/>
        </w:tabs>
        <w:bidi w:val="0"/>
        <w:ind w:left="247" w:leftChars="0" w:hanging="247" w:firstLineChars="0"/>
        <w:rPr>
          <w:rFonts w:hint="default"/>
          <w:lang w:val="en-US" w:eastAsia="zh-CN"/>
        </w:rPr>
      </w:pPr>
      <w:r>
        <w:rPr>
          <w:rFonts w:hint="default"/>
          <w:lang w:val="en-US" w:eastAsia="zh-CN"/>
        </w:rPr>
        <w:t>堆放场地应设置在吊装设备的有效起重范围内，且应在堆垛之间设置通道。</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7.1.2</w:t>
      </w:r>
      <w:r>
        <w:rPr>
          <w:rFonts w:hint="eastAsia"/>
          <w:u w:val="single"/>
          <w:lang w:val="en-US" w:eastAsia="zh-CN"/>
        </w:rPr>
        <w:t xml:space="preserve"> 施工现场需根据装配化建造方式要求布置施工总平面，宜规划主体装配区、构件堆放区、材料堆放区和运输道路。预制底板运输到施工现场后，可根据场地平面布置，分单元合理安排堆放，便于现场吊装施工。预制构件临时堆放场地需布置在吊装机械有效覆盖范围内，避免二次搬运。预制底板在施工现场的堆放要求与在预制构件厂相同。</w:t>
      </w:r>
    </w:p>
    <w:p>
      <w:pPr>
        <w:numPr>
          <w:ilvl w:val="2"/>
          <w:numId w:val="1"/>
        </w:numPr>
        <w:bidi w:val="0"/>
        <w:rPr>
          <w:rFonts w:hint="default"/>
          <w:lang w:val="en-US" w:eastAsia="zh-CN"/>
        </w:rPr>
      </w:pPr>
      <w:r>
        <w:rPr>
          <w:rFonts w:hint="default"/>
          <w:lang w:val="en-US" w:eastAsia="zh-CN"/>
        </w:rPr>
        <w:t>预制底板卸放、吊装工作范围内不得有障碍物，不应影响运输道路的正常使用。</w:t>
      </w:r>
    </w:p>
    <w:p>
      <w:pPr>
        <w:numPr>
          <w:ilvl w:val="2"/>
          <w:numId w:val="1"/>
        </w:numPr>
        <w:bidi w:val="0"/>
        <w:rPr>
          <w:rFonts w:hint="default"/>
          <w:highlight w:val="none"/>
          <w:lang w:val="en-US" w:eastAsia="zh-CN"/>
        </w:rPr>
      </w:pPr>
      <w:r>
        <w:rPr>
          <w:rFonts w:hint="default"/>
          <w:highlight w:val="none"/>
          <w:lang w:val="en-US" w:eastAsia="zh-CN"/>
        </w:rPr>
        <w:t>施工过程中，预制底板顶面不应集中堆放大量施工材料或使其承受较大的冲击荷载，施工材料自重及施工荷载不应超过设计允许值。</w:t>
      </w:r>
    </w:p>
    <w:p>
      <w:pPr>
        <w:pStyle w:val="20"/>
        <w:spacing w:line="360" w:lineRule="auto"/>
        <w:rPr>
          <w:sz w:val="24"/>
          <w:u w:val="single"/>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7.1.4</w:t>
      </w:r>
      <w:r>
        <w:rPr>
          <w:rFonts w:hint="eastAsia"/>
          <w:highlight w:val="none"/>
          <w:u w:val="single"/>
          <w:lang w:val="en-US" w:eastAsia="zh-CN"/>
        </w:rPr>
        <w:t xml:space="preserve"> </w:t>
      </w:r>
      <w:r>
        <w:rPr>
          <w:spacing w:val="-1"/>
          <w:sz w:val="24"/>
          <w:u w:val="single"/>
        </w:rPr>
        <w:t>现场施工的材料、机具等物品不宜跨中集中堆放，并应避免积压在</w:t>
      </w:r>
      <w:r>
        <w:rPr>
          <w:rFonts w:hint="eastAsia"/>
          <w:spacing w:val="-1"/>
          <w:sz w:val="24"/>
          <w:u w:val="single"/>
          <w:lang w:val="en-US" w:eastAsia="zh-CN"/>
        </w:rPr>
        <w:t>叠合肋梁箍筋</w:t>
      </w:r>
      <w:r>
        <w:rPr>
          <w:spacing w:val="-10"/>
          <w:sz w:val="24"/>
          <w:u w:val="single"/>
        </w:rPr>
        <w:t>上，导致</w:t>
      </w:r>
      <w:r>
        <w:rPr>
          <w:rFonts w:hint="eastAsia"/>
          <w:spacing w:val="-10"/>
          <w:sz w:val="24"/>
          <w:u w:val="single"/>
          <w:lang w:val="en-US" w:eastAsia="zh-CN"/>
        </w:rPr>
        <w:t>叠合肋梁的箍筋</w:t>
      </w:r>
      <w:r>
        <w:rPr>
          <w:spacing w:val="-10"/>
          <w:sz w:val="24"/>
          <w:u w:val="single"/>
        </w:rPr>
        <w:t>变形</w:t>
      </w:r>
      <w:r>
        <w:rPr>
          <w:sz w:val="24"/>
          <w:u w:val="single"/>
        </w:rPr>
        <w:t>。</w:t>
      </w:r>
    </w:p>
    <w:p>
      <w:pPr>
        <w:numPr>
          <w:ilvl w:val="2"/>
          <w:numId w:val="1"/>
        </w:numPr>
        <w:bidi w:val="0"/>
        <w:rPr>
          <w:rFonts w:hint="eastAsia"/>
          <w:lang w:val="en-US" w:eastAsia="zh-CN"/>
        </w:rPr>
      </w:pPr>
      <w:r>
        <w:rPr>
          <w:rFonts w:hint="eastAsia"/>
          <w:lang w:val="en-US" w:eastAsia="zh-CN"/>
        </w:rPr>
        <w:t>空心叠合板内的预埋管线，宜埋设在叠合肋梁的后浇混凝土内或后浇肋梁内，管线末端可埋设在上翼缘板后浇混凝土内并向下延伸穿透箱型填充体至下翼缘板的预埋线盒。管线交叉位置应设置在叠合肋梁的后浇混凝土内或后浇肋梁内，并且管线的</w:t>
      </w:r>
      <w:r>
        <w:rPr>
          <w:rFonts w:hint="default"/>
          <w:lang w:val="en-US" w:eastAsia="zh-CN"/>
        </w:rPr>
        <w:t>交叉布置不应超过2层。</w:t>
      </w:r>
      <w:r>
        <w:rPr>
          <w:rFonts w:hint="eastAsia"/>
          <w:highlight w:val="none"/>
          <w:lang w:val="en-US" w:eastAsia="zh-CN"/>
        </w:rPr>
        <w:t>管线</w:t>
      </w:r>
      <w:r>
        <w:rPr>
          <w:rFonts w:hint="default"/>
          <w:highlight w:val="none"/>
          <w:lang w:val="en-US" w:eastAsia="zh-CN"/>
        </w:rPr>
        <w:t>穿过</w:t>
      </w:r>
      <w:r>
        <w:rPr>
          <w:rFonts w:hint="eastAsia"/>
          <w:highlight w:val="none"/>
          <w:lang w:val="en-US" w:eastAsia="zh-CN"/>
        </w:rPr>
        <w:t>箱型填充体顶板</w:t>
      </w:r>
      <w:r>
        <w:rPr>
          <w:rFonts w:hint="default"/>
          <w:highlight w:val="none"/>
          <w:lang w:val="en-US" w:eastAsia="zh-CN"/>
        </w:rPr>
        <w:t>时，应有</w:t>
      </w:r>
      <w:r>
        <w:rPr>
          <w:rFonts w:hint="eastAsia"/>
          <w:highlight w:val="none"/>
          <w:lang w:val="en-US" w:eastAsia="zh-CN"/>
        </w:rPr>
        <w:t>可靠</w:t>
      </w:r>
      <w:r>
        <w:rPr>
          <w:rFonts w:hint="default"/>
          <w:highlight w:val="none"/>
          <w:lang w:val="en-US" w:eastAsia="zh-CN"/>
        </w:rPr>
        <w:t>的密封措施，以防止混凝上浇筑时</w:t>
      </w:r>
      <w:r>
        <w:rPr>
          <w:rFonts w:hint="eastAsia"/>
          <w:highlight w:val="none"/>
          <w:lang w:val="en-US" w:eastAsia="zh-CN"/>
        </w:rPr>
        <w:t>漏浆</w:t>
      </w:r>
      <w:r>
        <w:rPr>
          <w:rFonts w:hint="default"/>
          <w:highlight w:val="none"/>
          <w:lang w:val="en-US" w:eastAsia="zh-CN"/>
        </w:rPr>
        <w:t>。</w:t>
      </w:r>
    </w:p>
    <w:p>
      <w:pPr>
        <w:pStyle w:val="20"/>
        <w:spacing w:line="360" w:lineRule="auto"/>
        <w:rPr>
          <w:rFonts w:hint="default"/>
          <w:highlight w:val="none"/>
          <w:u w:val="single"/>
          <w:lang w:val="en-US" w:eastAsia="zh-CN"/>
        </w:rPr>
      </w:pPr>
      <w:r>
        <w:rPr>
          <w:rFonts w:hint="eastAsia"/>
          <w:spacing w:val="-13"/>
          <w:sz w:val="24"/>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7.1.5 </w:t>
      </w:r>
      <w:r>
        <w:rPr>
          <w:spacing w:val="-10"/>
          <w:sz w:val="24"/>
          <w:u w:val="single"/>
        </w:rPr>
        <w:t>预埋管线敷设前，应确认预制底板中预埋件和预留孔洞的位置无误、</w:t>
      </w:r>
      <w:r>
        <w:rPr>
          <w:spacing w:val="-9"/>
          <w:sz w:val="24"/>
          <w:u w:val="single"/>
        </w:rPr>
        <w:t>尺寸准确。</w:t>
      </w:r>
      <w:r>
        <w:rPr>
          <w:rFonts w:hint="eastAsia"/>
          <w:spacing w:val="-9"/>
          <w:sz w:val="24"/>
          <w:u w:val="single"/>
          <w:lang w:val="en-US" w:eastAsia="zh-CN"/>
        </w:rPr>
        <w:t>由于空心叠合板的上翼缘板较薄，</w:t>
      </w:r>
      <w:r>
        <w:rPr>
          <w:rFonts w:hint="eastAsia"/>
          <w:u w:val="single"/>
          <w:lang w:val="en-US" w:eastAsia="zh-CN"/>
        </w:rPr>
        <w:t>叠合肋梁的后浇混凝土较厚、后浇肋梁内空间较大，预埋管线宜首先埋设在叠合肋梁的后浇混凝土内或后浇肋梁内，管线末端可埋设在上翼缘板后浇混凝土内并向下延伸穿透箱型填充体至下翼缘板。管线交叉位置也应设置在叠合肋梁的后浇混凝土内或后浇肋梁内，并且管线的</w:t>
      </w:r>
      <w:r>
        <w:rPr>
          <w:rFonts w:hint="default"/>
          <w:highlight w:val="none"/>
          <w:u w:val="single"/>
          <w:lang w:val="en-US" w:eastAsia="zh-CN"/>
        </w:rPr>
        <w:t>交叉布置不</w:t>
      </w:r>
      <w:r>
        <w:rPr>
          <w:rFonts w:hint="eastAsia"/>
          <w:highlight w:val="none"/>
          <w:u w:val="single"/>
          <w:lang w:val="en-US" w:eastAsia="zh-CN"/>
        </w:rPr>
        <w:t>应</w:t>
      </w:r>
      <w:r>
        <w:rPr>
          <w:rFonts w:hint="default"/>
          <w:highlight w:val="none"/>
          <w:u w:val="single"/>
          <w:lang w:val="en-US" w:eastAsia="zh-CN"/>
        </w:rPr>
        <w:t>超过2层。</w:t>
      </w:r>
    </w:p>
    <w:p>
      <w:pPr>
        <w:pStyle w:val="4"/>
        <w:bidi w:val="0"/>
        <w:ind w:left="0" w:leftChars="0" w:firstLine="0" w:firstLineChars="0"/>
        <w:outlineLvl w:val="1"/>
        <w:rPr>
          <w:rFonts w:hint="default"/>
          <w:lang w:val="en-US" w:eastAsia="zh-CN"/>
        </w:rPr>
      </w:pPr>
      <w:bookmarkStart w:id="53" w:name="_Toc32038"/>
      <w:r>
        <w:rPr>
          <w:rFonts w:hint="default"/>
          <w:lang w:val="en-US" w:eastAsia="zh-CN"/>
        </w:rPr>
        <w:t>安装准备</w:t>
      </w:r>
      <w:bookmarkEnd w:id="53"/>
    </w:p>
    <w:p>
      <w:pPr>
        <w:numPr>
          <w:ilvl w:val="2"/>
          <w:numId w:val="1"/>
        </w:numPr>
        <w:bidi w:val="0"/>
        <w:rPr>
          <w:rFonts w:hint="default"/>
          <w:lang w:val="en-US" w:eastAsia="zh-CN"/>
        </w:rPr>
      </w:pPr>
      <w:r>
        <w:rPr>
          <w:rFonts w:hint="default"/>
          <w:lang w:val="en-US" w:eastAsia="zh-CN"/>
        </w:rPr>
        <w:t>安装施工前，应核对预制底板的混凝土强度、规格符合设计要求，并应按照施工方案中的吊装顺序对预制底板进行编号。</w:t>
      </w:r>
    </w:p>
    <w:p>
      <w:pPr>
        <w:numPr>
          <w:ilvl w:val="2"/>
          <w:numId w:val="1"/>
        </w:numPr>
        <w:bidi w:val="0"/>
        <w:rPr>
          <w:rFonts w:hint="default"/>
          <w:lang w:val="en-US" w:eastAsia="zh-CN"/>
        </w:rPr>
      </w:pPr>
      <w:r>
        <w:rPr>
          <w:rFonts w:hint="default"/>
          <w:lang w:val="en-US" w:eastAsia="zh-CN"/>
        </w:rPr>
        <w:t>安装施工前，应进行测量放线，并应设置构件安装定位标识。楼层纵、横控制线和标高控制点应由底层的原始点向上引测，并应根据楼层纵、横控制线和标高控制点放出预制底板控制线。应根据预制底板编号对搁置位置进行编号。</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7.2.1</w:t>
      </w:r>
      <w:r>
        <w:rPr>
          <w:rFonts w:hint="eastAsia"/>
          <w:u w:val="single"/>
          <w:lang w:val="en-US" w:eastAsia="zh-CN"/>
        </w:rPr>
        <w:t xml:space="preserve"> </w:t>
      </w:r>
      <w:r>
        <w:rPr>
          <w:u w:val="single"/>
        </w:rPr>
        <w:t>为了保证预制板安装就位准确，吊装前应在预制底板和相应的安装位置上作出必要的控制标志。</w:t>
      </w:r>
    </w:p>
    <w:p>
      <w:pPr>
        <w:numPr>
          <w:ilvl w:val="2"/>
          <w:numId w:val="1"/>
        </w:numPr>
        <w:bidi w:val="0"/>
        <w:rPr>
          <w:rFonts w:hint="default"/>
          <w:lang w:val="en-US" w:eastAsia="zh-CN"/>
        </w:rPr>
      </w:pPr>
      <w:r>
        <w:rPr>
          <w:rFonts w:hint="default"/>
          <w:lang w:val="en-US" w:eastAsia="zh-CN"/>
        </w:rPr>
        <w:t>安装施工前，应按现行行业标准《建筑机械使用安全技术规程》JGJ 33的有关规定，检查吊装设备及吊具处于安全操作状态，确认现场环境、天气、道路状况等满足吊装施工要求。</w:t>
      </w:r>
    </w:p>
    <w:p>
      <w:pPr>
        <w:numPr>
          <w:ilvl w:val="2"/>
          <w:numId w:val="1"/>
        </w:numPr>
        <w:bidi w:val="0"/>
        <w:rPr>
          <w:rFonts w:hint="default"/>
          <w:lang w:val="en-US" w:eastAsia="zh-CN"/>
        </w:rPr>
      </w:pPr>
      <w:r>
        <w:rPr>
          <w:rFonts w:hint="default"/>
          <w:lang w:val="en-US" w:eastAsia="zh-CN"/>
        </w:rPr>
        <w:t>吊装作业区应实施隔离封闭管理，并应设置警戒线和警戒标识；对无法隔离封闭的，应采取专项防护措施。</w:t>
      </w:r>
    </w:p>
    <w:p>
      <w:pPr>
        <w:pStyle w:val="4"/>
        <w:bidi w:val="0"/>
        <w:ind w:left="0" w:leftChars="0" w:firstLine="0" w:firstLineChars="0"/>
        <w:outlineLvl w:val="1"/>
        <w:rPr>
          <w:rFonts w:hint="default"/>
          <w:lang w:val="en-US" w:eastAsia="zh-CN"/>
        </w:rPr>
      </w:pPr>
      <w:bookmarkStart w:id="54" w:name="_Toc18986"/>
      <w:r>
        <w:rPr>
          <w:rFonts w:hint="default"/>
          <w:lang w:val="en-US" w:eastAsia="zh-CN"/>
        </w:rPr>
        <w:t>底板安装与连接</w:t>
      </w:r>
      <w:bookmarkEnd w:id="54"/>
    </w:p>
    <w:p>
      <w:pPr>
        <w:numPr>
          <w:ilvl w:val="2"/>
          <w:numId w:val="1"/>
        </w:numPr>
        <w:bidi w:val="0"/>
        <w:rPr>
          <w:rFonts w:hint="default"/>
          <w:lang w:val="en-US" w:eastAsia="zh-CN"/>
        </w:rPr>
      </w:pPr>
      <w:r>
        <w:rPr>
          <w:rFonts w:hint="default"/>
          <w:lang w:val="en-US" w:eastAsia="zh-CN"/>
        </w:rPr>
        <w:t>每班作业时宜试吊一次，应确认起重设备与通信设施工作正常、吊具连接可靠。</w:t>
      </w:r>
    </w:p>
    <w:p>
      <w:pPr>
        <w:numPr>
          <w:ilvl w:val="2"/>
          <w:numId w:val="1"/>
        </w:numPr>
        <w:bidi w:val="0"/>
        <w:rPr>
          <w:rFonts w:hint="default"/>
          <w:lang w:val="en-US" w:eastAsia="zh-CN"/>
        </w:rPr>
      </w:pPr>
      <w:r>
        <w:rPr>
          <w:rFonts w:hint="default"/>
          <w:lang w:val="en-US" w:eastAsia="zh-CN"/>
        </w:rPr>
        <w:t>每次起吊脱离运输车辆或堆放点时，应适当停顿，确认起吊系统安全可靠后方可继续提升。</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7.3.2 </w:t>
      </w:r>
      <w:r>
        <w:rPr>
          <w:spacing w:val="-14"/>
          <w:sz w:val="24"/>
          <w:u w:val="single"/>
        </w:rPr>
        <w:t>开始起吊时，将预制底板吊离运输车辆或堆放点</w:t>
      </w:r>
      <w:r>
        <w:rPr>
          <w:rFonts w:ascii="Times New Roman" w:eastAsia="Times New Roman"/>
          <w:sz w:val="24"/>
          <w:u w:val="single"/>
        </w:rPr>
        <w:t>200mm</w:t>
      </w:r>
      <w:r>
        <w:rPr>
          <w:sz w:val="24"/>
          <w:u w:val="single"/>
        </w:rPr>
        <w:t>～</w:t>
      </w:r>
      <w:r>
        <w:rPr>
          <w:rFonts w:ascii="Times New Roman" w:eastAsia="Times New Roman"/>
          <w:sz w:val="24"/>
          <w:u w:val="single"/>
        </w:rPr>
        <w:t>300mm</w:t>
      </w:r>
      <w:r>
        <w:rPr>
          <w:spacing w:val="-5"/>
          <w:sz w:val="24"/>
          <w:u w:val="single"/>
        </w:rPr>
        <w:t>后停止</w:t>
      </w:r>
      <w:r>
        <w:rPr>
          <w:spacing w:val="-10"/>
          <w:sz w:val="24"/>
          <w:u w:val="single"/>
        </w:rPr>
        <w:t>起吊，检查预制底板的平衡性和吊点位置情况、起重设备的稳定性、制动系统的</w:t>
      </w:r>
      <w:r>
        <w:rPr>
          <w:sz w:val="24"/>
          <w:u w:val="single"/>
        </w:rPr>
        <w:t>可靠性等，确认系统安全可靠后方可继续起吊。</w:t>
      </w:r>
    </w:p>
    <w:p>
      <w:pPr>
        <w:numPr>
          <w:ilvl w:val="2"/>
          <w:numId w:val="1"/>
        </w:numPr>
        <w:bidi w:val="0"/>
        <w:rPr>
          <w:rFonts w:hint="default"/>
          <w:lang w:val="en-US" w:eastAsia="zh-CN"/>
        </w:rPr>
      </w:pPr>
      <w:r>
        <w:rPr>
          <w:rFonts w:hint="default"/>
          <w:lang w:val="en-US" w:eastAsia="zh-CN"/>
        </w:rPr>
        <w:t>预制底板起吊、移动、就位的全过程中，信号指挥员、司索工、起重机械司机应保持通讯畅通并协调一致。信号不明时不得吊运和安装。</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7.3</w:t>
      </w:r>
      <w:r>
        <w:rPr>
          <w:rFonts w:hint="default" w:ascii="Times New Roman" w:hAnsi="Times New Roman" w:eastAsia="宋体" w:cs="Times New Roman"/>
          <w:color w:val="auto"/>
          <w:kern w:val="2"/>
          <w:sz w:val="24"/>
          <w:szCs w:val="24"/>
          <w:u w:val="single"/>
          <w:lang w:val="en-US" w:eastAsia="zh-CN" w:bidi="ar-SA"/>
        </w:rPr>
        <w:t xml:space="preserve">.3 </w:t>
      </w:r>
      <w:r>
        <w:rPr>
          <w:rFonts w:hint="default" w:ascii="Times New Roman" w:hAnsi="Times New Roman" w:cs="Times New Roman"/>
          <w:u w:val="single"/>
          <w:lang w:val="en-US" w:eastAsia="zh-CN"/>
        </w:rPr>
        <w:t xml:space="preserve">预制底板吊装时，至少安排两个信号指挥员与起重机械司机沟通。起吊时以下方信号指挥员的发令为准，安装时以上方信号指挥员的发令为准。司索工是指吊装作业中主要从事地面吊具准备、捆绑挂钩、摘钩卸载等工作的工人。司索工的工作质量与整个吊装作业安全关系极大。根据行业标准《建筑施工安全检查标准》JGJ 59 </w:t>
      </w:r>
      <w:r>
        <w:rPr>
          <w:rFonts w:hint="eastAsia"/>
          <w:u w:val="single"/>
          <w:lang w:val="en-US" w:eastAsia="zh-CN"/>
        </w:rPr>
        <w:t>的规定，起重机作业应设专职信号指挥员和司索工，一人不得同时承担信号指挥和司索作业。</w:t>
      </w:r>
    </w:p>
    <w:p>
      <w:pPr>
        <w:numPr>
          <w:ilvl w:val="2"/>
          <w:numId w:val="1"/>
        </w:numPr>
        <w:bidi w:val="0"/>
        <w:rPr>
          <w:rFonts w:hint="default"/>
          <w:lang w:val="en-US" w:eastAsia="zh-CN"/>
        </w:rPr>
      </w:pPr>
      <w:r>
        <w:rPr>
          <w:rFonts w:hint="default"/>
          <w:lang w:val="en-US" w:eastAsia="zh-CN"/>
        </w:rPr>
        <w:t>预制底板吊装除应符合本</w:t>
      </w:r>
      <w:r>
        <w:rPr>
          <w:rFonts w:hint="eastAsia"/>
          <w:lang w:val="en-US" w:eastAsia="zh-CN"/>
        </w:rPr>
        <w:t>规程</w:t>
      </w:r>
      <w:r>
        <w:rPr>
          <w:rFonts w:hint="default"/>
          <w:lang w:val="en-US" w:eastAsia="zh-CN"/>
        </w:rPr>
        <w:t>第</w:t>
      </w:r>
      <w:r>
        <w:rPr>
          <w:rFonts w:hint="eastAsia"/>
          <w:lang w:val="en-US" w:eastAsia="zh-CN"/>
        </w:rPr>
        <w:t>6</w:t>
      </w:r>
      <w:r>
        <w:rPr>
          <w:rFonts w:hint="default"/>
          <w:lang w:val="en-US" w:eastAsia="zh-CN"/>
        </w:rPr>
        <w:t>.</w:t>
      </w:r>
      <w:r>
        <w:rPr>
          <w:rFonts w:hint="eastAsia"/>
          <w:lang w:val="en-US" w:eastAsia="zh-CN"/>
        </w:rPr>
        <w:t>6</w:t>
      </w:r>
      <w:r>
        <w:rPr>
          <w:rFonts w:hint="default"/>
          <w:lang w:val="en-US" w:eastAsia="zh-CN"/>
        </w:rPr>
        <w:t>.</w:t>
      </w:r>
      <w:r>
        <w:rPr>
          <w:rFonts w:hint="eastAsia"/>
          <w:lang w:val="en-US" w:eastAsia="zh-CN"/>
        </w:rPr>
        <w:t>4</w:t>
      </w:r>
      <w:r>
        <w:rPr>
          <w:rFonts w:hint="default"/>
          <w:lang w:val="en-US" w:eastAsia="zh-CN"/>
        </w:rPr>
        <w:t>条的规定外，还应符合下列规定：</w:t>
      </w:r>
    </w:p>
    <w:p>
      <w:pPr>
        <w:numPr>
          <w:ilvl w:val="0"/>
          <w:numId w:val="22"/>
        </w:numPr>
        <w:tabs>
          <w:tab w:val="left" w:pos="420"/>
          <w:tab w:val="clear" w:pos="0"/>
        </w:tabs>
        <w:bidi w:val="0"/>
        <w:ind w:left="247" w:leftChars="0" w:hanging="247" w:firstLineChars="0"/>
        <w:rPr>
          <w:rFonts w:hint="default"/>
          <w:lang w:val="en-US" w:eastAsia="zh-CN"/>
        </w:rPr>
      </w:pPr>
      <w:r>
        <w:rPr>
          <w:rFonts w:hint="default"/>
          <w:lang w:val="en-US" w:eastAsia="zh-CN"/>
        </w:rPr>
        <w:t>应根据当天的作业内容进行班前安全技术交底；</w:t>
      </w:r>
    </w:p>
    <w:p>
      <w:pPr>
        <w:numPr>
          <w:ilvl w:val="0"/>
          <w:numId w:val="22"/>
        </w:numPr>
        <w:tabs>
          <w:tab w:val="left" w:pos="420"/>
          <w:tab w:val="clear" w:pos="0"/>
        </w:tabs>
        <w:bidi w:val="0"/>
        <w:ind w:left="247" w:leftChars="0" w:hanging="247" w:firstLineChars="0"/>
        <w:rPr>
          <w:rFonts w:hint="default"/>
          <w:lang w:val="en-US" w:eastAsia="zh-CN"/>
        </w:rPr>
      </w:pPr>
      <w:r>
        <w:rPr>
          <w:rFonts w:hint="default"/>
          <w:lang w:val="en-US" w:eastAsia="zh-CN"/>
        </w:rPr>
        <w:t>使用专用吊具，保证每个吊点受力均匀一致；</w:t>
      </w:r>
    </w:p>
    <w:p>
      <w:pPr>
        <w:numPr>
          <w:ilvl w:val="0"/>
          <w:numId w:val="22"/>
        </w:numPr>
        <w:tabs>
          <w:tab w:val="left" w:pos="420"/>
          <w:tab w:val="clear" w:pos="0"/>
        </w:tabs>
        <w:bidi w:val="0"/>
        <w:ind w:left="247" w:leftChars="0" w:hanging="247" w:firstLineChars="0"/>
        <w:rPr>
          <w:rFonts w:hint="default"/>
          <w:lang w:val="en-US" w:eastAsia="zh-CN"/>
        </w:rPr>
      </w:pPr>
      <w:r>
        <w:rPr>
          <w:rFonts w:hint="default"/>
          <w:lang w:val="en-US" w:eastAsia="zh-CN"/>
        </w:rPr>
        <w:t>应核对预制底板的规格和编号，吊装过程严格按编号顺序进行；</w:t>
      </w:r>
    </w:p>
    <w:p>
      <w:pPr>
        <w:numPr>
          <w:ilvl w:val="0"/>
          <w:numId w:val="22"/>
        </w:numPr>
        <w:tabs>
          <w:tab w:val="left" w:pos="420"/>
          <w:tab w:val="clear" w:pos="0"/>
        </w:tabs>
        <w:bidi w:val="0"/>
        <w:ind w:left="247" w:leftChars="0" w:hanging="247" w:firstLineChars="0"/>
        <w:rPr>
          <w:rFonts w:hint="default"/>
          <w:lang w:val="en-US" w:eastAsia="zh-CN"/>
        </w:rPr>
      </w:pPr>
      <w:r>
        <w:rPr>
          <w:rFonts w:hint="default"/>
          <w:lang w:val="en-US" w:eastAsia="zh-CN"/>
        </w:rPr>
        <w:t>应垂直吊运，严禁斜拉、斜吊。</w:t>
      </w:r>
    </w:p>
    <w:p>
      <w:pPr>
        <w:numPr>
          <w:ilvl w:val="2"/>
          <w:numId w:val="1"/>
        </w:numPr>
        <w:bidi w:val="0"/>
        <w:rPr>
          <w:rFonts w:hint="default"/>
          <w:lang w:val="en-US" w:eastAsia="zh-CN"/>
        </w:rPr>
      </w:pPr>
      <w:r>
        <w:rPr>
          <w:rFonts w:hint="default"/>
          <w:lang w:val="en-US" w:eastAsia="zh-CN"/>
        </w:rPr>
        <w:t>预制底板吊装就位后，应对安装位置、安装标高、相邻构件平整度、高低差、接缝宽度进行校核和调整，并采取临时固定措施。</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7.3.5 </w:t>
      </w:r>
      <w:r>
        <w:rPr>
          <w:spacing w:val="-1"/>
          <w:u w:val="single"/>
        </w:rPr>
        <w:t>临时固定措施是装配式结构构件安装过程中承受施工荷载、保证构件定</w:t>
      </w:r>
      <w:r>
        <w:rPr>
          <w:spacing w:val="-9"/>
          <w:u w:val="single"/>
        </w:rPr>
        <w:t>位准确的有效措施。在预制构件安装就位后，需利用其相邻构件或临时支撑措施</w:t>
      </w:r>
      <w:r>
        <w:rPr>
          <w:spacing w:val="-8"/>
          <w:u w:val="single"/>
        </w:rPr>
        <w:t>对其进行固定。临时支撑措施应能承受结构自重、施工荷载、风荷载、吊装就位</w:t>
      </w:r>
      <w:r>
        <w:rPr>
          <w:u w:val="single"/>
        </w:rPr>
        <w:t>产生的冲击荷载等的作用，不得使结构构件产生永久变形。</w:t>
      </w:r>
    </w:p>
    <w:p>
      <w:pPr>
        <w:numPr>
          <w:ilvl w:val="2"/>
          <w:numId w:val="1"/>
        </w:numPr>
        <w:bidi w:val="0"/>
        <w:rPr>
          <w:rFonts w:hint="default"/>
          <w:lang w:val="en-US" w:eastAsia="zh-CN"/>
        </w:rPr>
      </w:pPr>
      <w:r>
        <w:rPr>
          <w:rFonts w:hint="default"/>
          <w:lang w:val="en-US" w:eastAsia="zh-CN"/>
        </w:rPr>
        <w:t>应在预制底板定位校准和临时固定调整完成后摘除吊具。</w:t>
      </w:r>
    </w:p>
    <w:p>
      <w:pPr>
        <w:numPr>
          <w:ilvl w:val="2"/>
          <w:numId w:val="1"/>
        </w:numPr>
        <w:bidi w:val="0"/>
        <w:rPr>
          <w:rFonts w:hint="default"/>
          <w:lang w:val="en-US" w:eastAsia="zh-CN"/>
        </w:rPr>
      </w:pPr>
      <w:r>
        <w:rPr>
          <w:rFonts w:hint="default"/>
          <w:highlight w:val="none"/>
          <w:lang w:val="en-US" w:eastAsia="zh-CN"/>
        </w:rPr>
        <w:t>预制底板安装的临时支撑架体应根据设计方案设置</w:t>
      </w:r>
      <w:r>
        <w:rPr>
          <w:rFonts w:hint="default"/>
          <w:lang w:val="en-US" w:eastAsia="zh-CN"/>
        </w:rPr>
        <w:t>，并应符合下列规定：</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宜选用定型独立钢支柱或其他工具式支架；</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首层支撑架体的地基应平整坚实，宜采取硬化措施；</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支撑架体立杆下宜设置垫块；竖向连续支撑层数不宜少于2层，且上下层支撑宜对准；</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支撑架体的高宽比不宜大于3；当高宽比大于3时，应采取加强整体稳固性的措施；支撑架体的轴向压缩变形或侧向挠度，不应大于计算高度或计算跨度的1/1000；</w:t>
      </w:r>
    </w:p>
    <w:p>
      <w:pPr>
        <w:numPr>
          <w:ilvl w:val="0"/>
          <w:numId w:val="23"/>
        </w:numPr>
        <w:tabs>
          <w:tab w:val="left" w:pos="420"/>
          <w:tab w:val="clear" w:pos="0"/>
        </w:tabs>
        <w:bidi w:val="0"/>
        <w:ind w:left="247" w:leftChars="0" w:hanging="247" w:firstLineChars="0"/>
        <w:rPr>
          <w:rFonts w:hint="default"/>
          <w:highlight w:val="none"/>
          <w:lang w:val="en-US" w:eastAsia="zh-CN"/>
        </w:rPr>
      </w:pPr>
      <w:r>
        <w:rPr>
          <w:rFonts w:hint="eastAsia"/>
          <w:highlight w:val="none"/>
          <w:lang w:val="en-US" w:eastAsia="zh-CN"/>
        </w:rPr>
        <w:t>每块</w:t>
      </w:r>
      <w:r>
        <w:rPr>
          <w:rFonts w:hint="default"/>
          <w:highlight w:val="none"/>
          <w:lang w:val="en-US" w:eastAsia="zh-CN"/>
        </w:rPr>
        <w:t>预制底板</w:t>
      </w:r>
      <w:r>
        <w:rPr>
          <w:rFonts w:hint="eastAsia"/>
          <w:highlight w:val="none"/>
          <w:lang w:val="en-US" w:eastAsia="zh-CN"/>
        </w:rPr>
        <w:t>均</w:t>
      </w:r>
      <w:r>
        <w:rPr>
          <w:rFonts w:hint="default"/>
          <w:highlight w:val="none"/>
          <w:lang w:val="en-US" w:eastAsia="zh-CN"/>
        </w:rPr>
        <w:t>应</w:t>
      </w:r>
      <w:r>
        <w:rPr>
          <w:rFonts w:hint="eastAsia"/>
          <w:highlight w:val="none"/>
          <w:lang w:val="en-US" w:eastAsia="zh-CN"/>
        </w:rPr>
        <w:t>可靠</w:t>
      </w:r>
      <w:r>
        <w:rPr>
          <w:rFonts w:hint="default"/>
          <w:highlight w:val="none"/>
          <w:lang w:val="en-US" w:eastAsia="zh-CN"/>
        </w:rPr>
        <w:t>支承于临时支撑</w:t>
      </w:r>
      <w:r>
        <w:rPr>
          <w:rFonts w:hint="eastAsia"/>
          <w:highlight w:val="none"/>
          <w:lang w:val="en-US" w:eastAsia="zh-CN"/>
        </w:rPr>
        <w:t>架体</w:t>
      </w:r>
      <w:r>
        <w:rPr>
          <w:rFonts w:hint="default"/>
          <w:highlight w:val="none"/>
          <w:lang w:val="en-US" w:eastAsia="zh-CN"/>
        </w:rPr>
        <w:t>上</w:t>
      </w:r>
      <w:r>
        <w:rPr>
          <w:rFonts w:hint="eastAsia"/>
          <w:highlight w:val="none"/>
          <w:lang w:val="en-US" w:eastAsia="zh-CN"/>
        </w:rPr>
        <w:t>；</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支撑架体顶部的支托梁宜垂直于</w:t>
      </w:r>
      <w:r>
        <w:rPr>
          <w:rFonts w:hint="eastAsia"/>
          <w:lang w:val="en-US" w:eastAsia="zh-CN"/>
        </w:rPr>
        <w:t>凸</w:t>
      </w:r>
      <w:r>
        <w:rPr>
          <w:rFonts w:hint="default"/>
          <w:lang w:val="en-US" w:eastAsia="zh-CN"/>
        </w:rPr>
        <w:t>肋方向；接缝处预制底板临时支撑架体顶部的支托梁宜垂直于接缝且应在接缝处连续设置；</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支撑架体搭设完成后应对支撑架体标高进行校核；</w:t>
      </w:r>
    </w:p>
    <w:p>
      <w:pPr>
        <w:numPr>
          <w:ilvl w:val="0"/>
          <w:numId w:val="23"/>
        </w:numPr>
        <w:tabs>
          <w:tab w:val="left" w:pos="420"/>
          <w:tab w:val="clear" w:pos="0"/>
        </w:tabs>
        <w:bidi w:val="0"/>
        <w:ind w:left="247" w:leftChars="0" w:hanging="247" w:firstLineChars="0"/>
        <w:rPr>
          <w:rFonts w:hint="default"/>
          <w:lang w:val="en-US" w:eastAsia="zh-CN"/>
        </w:rPr>
      </w:pPr>
      <w:r>
        <w:rPr>
          <w:rFonts w:hint="default"/>
          <w:lang w:val="en-US" w:eastAsia="zh-CN"/>
        </w:rPr>
        <w:t>支撑架体不得与外防护架相连接。</w:t>
      </w:r>
    </w:p>
    <w:p>
      <w:pPr>
        <w:pStyle w:val="20"/>
        <w:spacing w:line="360" w:lineRule="auto"/>
        <w:rPr>
          <w:u w:val="single"/>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7.3.7 </w:t>
      </w:r>
      <w:r>
        <w:rPr>
          <w:spacing w:val="-1"/>
          <w:u w:val="single"/>
        </w:rPr>
        <w:t>预制底板安装采用的临时支撑架体应具有足够的强度、刚度和整体稳定</w:t>
      </w:r>
      <w:r>
        <w:rPr>
          <w:u w:val="single"/>
        </w:rPr>
        <w:t>性，应按现行国家标准《混凝土结构工程施工规范》</w:t>
      </w:r>
      <w:r>
        <w:rPr>
          <w:rFonts w:ascii="Times New Roman" w:eastAsia="Times New Roman"/>
          <w:u w:val="single"/>
        </w:rPr>
        <w:t xml:space="preserve">GB 50666 </w:t>
      </w:r>
      <w:r>
        <w:rPr>
          <w:u w:val="single"/>
        </w:rPr>
        <w:t>的有关规定进行</w:t>
      </w:r>
      <w:r>
        <w:rPr>
          <w:spacing w:val="-10"/>
          <w:u w:val="single"/>
        </w:rPr>
        <w:t>检查与验收。支撑架体标高校核时，需考虑支撑架体自身的变形，支架的轴向压</w:t>
      </w:r>
      <w:r>
        <w:rPr>
          <w:u w:val="single"/>
        </w:rPr>
        <w:t>缩变形或侧向挠度需经计算确定。</w:t>
      </w:r>
    </w:p>
    <w:p>
      <w:pPr>
        <w:numPr>
          <w:ilvl w:val="2"/>
          <w:numId w:val="1"/>
        </w:numPr>
        <w:bidi w:val="0"/>
        <w:rPr>
          <w:rFonts w:hint="default"/>
          <w:highlight w:val="none"/>
          <w:lang w:val="en-US" w:eastAsia="zh-CN"/>
        </w:rPr>
      </w:pPr>
      <w:r>
        <w:rPr>
          <w:rFonts w:hint="eastAsia"/>
          <w:highlight w:val="none"/>
          <w:lang w:val="en-US" w:eastAsia="zh-CN"/>
        </w:rPr>
        <w:t>宜结合</w:t>
      </w:r>
      <w:r>
        <w:rPr>
          <w:rFonts w:hint="default"/>
          <w:highlight w:val="none"/>
          <w:lang w:val="en-US" w:eastAsia="zh-CN"/>
        </w:rPr>
        <w:t>临时支撑</w:t>
      </w:r>
      <w:r>
        <w:rPr>
          <w:rFonts w:hint="eastAsia"/>
          <w:highlight w:val="none"/>
          <w:lang w:val="en-US" w:eastAsia="zh-CN"/>
        </w:rPr>
        <w:t>架体的设置布置模板。预制底板下不宜布置模板。</w:t>
      </w:r>
    </w:p>
    <w:p>
      <w:pPr>
        <w:pStyle w:val="2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highlight w:val="none"/>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7.3.8</w:t>
      </w:r>
      <w:r>
        <w:rPr>
          <w:rFonts w:hint="eastAsia"/>
          <w:highlight w:val="none"/>
          <w:u w:val="single"/>
          <w:lang w:val="en-US" w:eastAsia="zh-CN"/>
        </w:rPr>
        <w:t xml:space="preserve"> 为了提高现场施工效率，发挥空心叠合楼盖的优势，预制底板下不宜布置模板，可仅在接缝处布置模板。</w:t>
      </w:r>
    </w:p>
    <w:p>
      <w:pPr>
        <w:numPr>
          <w:ilvl w:val="2"/>
          <w:numId w:val="1"/>
        </w:numPr>
        <w:bidi w:val="0"/>
        <w:rPr>
          <w:rFonts w:hint="default"/>
          <w:lang w:val="en-US" w:eastAsia="zh-CN"/>
        </w:rPr>
      </w:pPr>
      <w:r>
        <w:rPr>
          <w:rFonts w:hint="eastAsia"/>
          <w:lang w:val="en-US" w:eastAsia="zh-CN"/>
        </w:rPr>
        <w:t>接缝处，</w:t>
      </w:r>
      <w:r>
        <w:rPr>
          <w:rFonts w:hint="default"/>
          <w:lang w:val="en-US" w:eastAsia="zh-CN"/>
        </w:rPr>
        <w:t>模板与预制底板板侧处应采取粘贴密封条等防止漏浆的措施。</w:t>
      </w:r>
    </w:p>
    <w:p>
      <w:pPr>
        <w:pStyle w:val="4"/>
        <w:bidi w:val="0"/>
        <w:ind w:left="0" w:leftChars="0" w:firstLine="0" w:firstLineChars="0"/>
        <w:outlineLvl w:val="1"/>
        <w:rPr>
          <w:rFonts w:hint="default"/>
          <w:lang w:val="en-US" w:eastAsia="zh-CN"/>
        </w:rPr>
      </w:pPr>
      <w:bookmarkStart w:id="55" w:name="_Toc29478"/>
      <w:r>
        <w:rPr>
          <w:rFonts w:hint="default"/>
          <w:lang w:val="en-US" w:eastAsia="zh-CN"/>
        </w:rPr>
        <w:t>现场施工</w:t>
      </w:r>
      <w:bookmarkEnd w:id="55"/>
    </w:p>
    <w:p>
      <w:pPr>
        <w:numPr>
          <w:ilvl w:val="2"/>
          <w:numId w:val="1"/>
        </w:numPr>
        <w:bidi w:val="0"/>
        <w:rPr>
          <w:rFonts w:hint="eastAsia"/>
          <w:lang w:val="en-US" w:eastAsia="zh-CN"/>
        </w:rPr>
      </w:pPr>
      <w:r>
        <w:rPr>
          <w:rFonts w:hint="eastAsia"/>
          <w:lang w:val="en-US" w:eastAsia="zh-CN"/>
        </w:rPr>
        <w:t>现场施工时，禁止踩踏叠合肋梁的箍筋。</w:t>
      </w:r>
    </w:p>
    <w:p>
      <w:pPr>
        <w:pStyle w:val="20"/>
        <w:spacing w:line="360" w:lineRule="auto"/>
        <w:rPr>
          <w:rFonts w:hint="eastAsia"/>
          <w:u w:val="single"/>
          <w:lang w:val="en-US" w:eastAsia="zh-CN"/>
        </w:rPr>
      </w:pPr>
      <w:r>
        <w:rPr>
          <w:rFonts w:hint="eastAsia"/>
          <w:highlight w:val="none"/>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7.4.1</w:t>
      </w:r>
      <w:r>
        <w:rPr>
          <w:rFonts w:hint="eastAsia"/>
          <w:highlight w:val="none"/>
          <w:u w:val="single"/>
          <w:lang w:val="en-US" w:eastAsia="zh-CN"/>
        </w:rPr>
        <w:t xml:space="preserve"> 叠合肋梁的箍筋在未绑扎上皮纵筋之前，其刚度较差，施工时严禁踩踏。</w:t>
      </w:r>
    </w:p>
    <w:p>
      <w:pPr>
        <w:numPr>
          <w:ilvl w:val="2"/>
          <w:numId w:val="1"/>
        </w:numPr>
        <w:bidi w:val="0"/>
        <w:rPr>
          <w:rFonts w:hint="eastAsia"/>
          <w:lang w:val="en-US" w:eastAsia="zh-CN"/>
        </w:rPr>
      </w:pPr>
      <w:r>
        <w:rPr>
          <w:rFonts w:hint="eastAsia"/>
          <w:lang w:val="en-US" w:eastAsia="zh-CN"/>
        </w:rPr>
        <w:t>叠合肋梁下皮纵筋采用的套筒挤压接头应符合设计要求。钢筋端部不得有局部弯曲，不得有严重锈蚀和附着物。应根据钢筋端部标记保证钢筋插到套筒相应位置；套筒挤压时应从套筒中央开始，依次向两端挤压。</w:t>
      </w:r>
    </w:p>
    <w:p>
      <w:pPr>
        <w:numPr>
          <w:ilvl w:val="2"/>
          <w:numId w:val="1"/>
        </w:numPr>
        <w:bidi w:val="0"/>
        <w:rPr>
          <w:rFonts w:hint="eastAsia"/>
          <w:highlight w:val="none"/>
          <w:lang w:val="en-US" w:eastAsia="zh-CN"/>
        </w:rPr>
      </w:pPr>
      <w:r>
        <w:rPr>
          <w:rFonts w:hint="eastAsia"/>
          <w:highlight w:val="none"/>
          <w:lang w:val="en-US" w:eastAsia="zh-CN"/>
        </w:rPr>
        <w:t>套筒挤压钢筋接头的安装质量应符合下列要求：压痕直径的波动范围应控制在供应商认定的允许波动范围内，并提供专用量规进行检验；挤压后的套筒不得有肉眼可见裂纹。</w:t>
      </w:r>
    </w:p>
    <w:p>
      <w:pPr>
        <w:pStyle w:val="20"/>
        <w:spacing w:line="360" w:lineRule="auto"/>
        <w:rPr>
          <w:rFonts w:hint="default" w:eastAsia="宋体"/>
          <w:highlight w:val="none"/>
          <w:u w:val="single"/>
          <w:lang w:val="en-US" w:eastAsia="zh-CN"/>
        </w:rPr>
      </w:pPr>
      <w:r>
        <w:rPr>
          <w:rFonts w:hint="eastAsia"/>
          <w:highlight w:val="none"/>
          <w:u w:val="single"/>
          <w:lang w:eastAsia="zh-CN"/>
        </w:rPr>
        <w:t>【</w:t>
      </w:r>
      <w:r>
        <w:rPr>
          <w:rFonts w:hint="eastAsia"/>
          <w:highlight w:val="none"/>
          <w:u w:val="single"/>
          <w:lang w:val="en-US" w:eastAsia="zh-CN"/>
        </w:rPr>
        <w:t>条文说明</w:t>
      </w:r>
      <w:r>
        <w:rPr>
          <w:rFonts w:hint="eastAsia"/>
          <w:highlight w:val="none"/>
          <w:u w:val="single"/>
          <w:lang w:eastAsia="zh-CN"/>
        </w:rPr>
        <w:t>】</w:t>
      </w:r>
      <w:r>
        <w:rPr>
          <w:rFonts w:hint="eastAsia" w:ascii="Times New Roman" w:hAnsi="Times New Roman" w:eastAsia="宋体" w:cstheme="minorBidi"/>
          <w:color w:val="auto"/>
          <w:kern w:val="2"/>
          <w:sz w:val="24"/>
          <w:szCs w:val="24"/>
          <w:u w:val="single"/>
          <w:lang w:val="en-US" w:eastAsia="zh-CN" w:bidi="ar-SA"/>
        </w:rPr>
        <w:t>7.4.3</w:t>
      </w:r>
      <w:r>
        <w:rPr>
          <w:rFonts w:hint="eastAsia"/>
          <w:highlight w:val="none"/>
          <w:u w:val="single"/>
          <w:lang w:val="en-US" w:eastAsia="zh-CN"/>
        </w:rPr>
        <w:t xml:space="preserve"> 套筒挤压机械连接的要求按照现行行业标准</w:t>
      </w:r>
      <w:r>
        <w:rPr>
          <w:rFonts w:hint="eastAsia"/>
          <w:highlight w:val="none"/>
          <w:u w:val="single"/>
          <w:lang w:eastAsia="zh-CN"/>
        </w:rPr>
        <w:t>《</w:t>
      </w:r>
      <w:r>
        <w:rPr>
          <w:rFonts w:hint="eastAsia"/>
          <w:highlight w:val="none"/>
          <w:u w:val="single"/>
          <w:lang w:val="en-US" w:eastAsia="zh-CN"/>
        </w:rPr>
        <w:t>钢筋机械连接技术规程</w:t>
      </w:r>
      <w:r>
        <w:rPr>
          <w:rFonts w:hint="default" w:ascii="Times New Roman" w:hAnsi="Times New Roman" w:cs="Times New Roman"/>
          <w:highlight w:val="none"/>
          <w:u w:val="single"/>
          <w:lang w:eastAsia="zh-CN"/>
        </w:rPr>
        <w:t>》</w:t>
      </w:r>
      <w:r>
        <w:rPr>
          <w:rFonts w:hint="default" w:ascii="Times New Roman" w:hAnsi="Times New Roman" w:cs="Times New Roman"/>
          <w:highlight w:val="none"/>
          <w:u w:val="single"/>
          <w:lang w:val="en-US" w:eastAsia="zh-CN"/>
        </w:rPr>
        <w:t>JGJ 107的</w:t>
      </w:r>
      <w:r>
        <w:rPr>
          <w:rFonts w:hint="eastAsia"/>
          <w:highlight w:val="none"/>
          <w:u w:val="single"/>
          <w:lang w:val="en-US" w:eastAsia="zh-CN"/>
        </w:rPr>
        <w:t>有关要求提出。</w:t>
      </w:r>
    </w:p>
    <w:p>
      <w:pPr>
        <w:numPr>
          <w:ilvl w:val="2"/>
          <w:numId w:val="1"/>
        </w:numPr>
        <w:bidi w:val="0"/>
        <w:rPr>
          <w:rFonts w:hint="default"/>
          <w:lang w:val="en-US" w:eastAsia="zh-CN"/>
        </w:rPr>
      </w:pPr>
      <w:r>
        <w:rPr>
          <w:rFonts w:hint="eastAsia"/>
          <w:lang w:val="en-US" w:eastAsia="zh-CN"/>
        </w:rPr>
        <w:t>上翼缘板钢筋</w:t>
      </w:r>
      <w:r>
        <w:rPr>
          <w:rFonts w:hint="default"/>
          <w:lang w:val="en-US" w:eastAsia="zh-CN"/>
        </w:rPr>
        <w:t>、</w:t>
      </w:r>
      <w:r>
        <w:rPr>
          <w:rFonts w:hint="eastAsia"/>
          <w:lang w:val="en-US" w:eastAsia="zh-CN"/>
        </w:rPr>
        <w:t>肋梁纵筋及箍筋、叠合肋梁下皮纵筋附加搭接钢筋</w:t>
      </w:r>
      <w:r>
        <w:rPr>
          <w:rFonts w:hint="default"/>
          <w:lang w:val="en-US" w:eastAsia="zh-CN"/>
        </w:rPr>
        <w:t>的牌号、规格和数量应符合设计要求。</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7.4.4</w:t>
      </w:r>
      <w:r>
        <w:rPr>
          <w:rFonts w:hint="eastAsia"/>
          <w:u w:val="single"/>
          <w:lang w:val="en-US" w:eastAsia="zh-CN"/>
        </w:rPr>
        <w:t xml:space="preserve"> </w:t>
      </w:r>
      <w:r>
        <w:rPr>
          <w:rFonts w:hint="eastAsia"/>
          <w:spacing w:val="-1"/>
          <w:u w:val="single"/>
          <w:lang w:val="en-US" w:eastAsia="zh-CN"/>
        </w:rPr>
        <w:t>后浇</w:t>
      </w:r>
      <w:r>
        <w:rPr>
          <w:spacing w:val="-1"/>
          <w:u w:val="single"/>
        </w:rPr>
        <w:t>混凝土浇筑前应按照设计要求铺设</w:t>
      </w:r>
      <w:r>
        <w:rPr>
          <w:rFonts w:hint="eastAsia"/>
          <w:spacing w:val="-1"/>
          <w:u w:val="single"/>
          <w:lang w:val="en-US" w:eastAsia="zh-CN"/>
        </w:rPr>
        <w:t>上翼缘板</w:t>
      </w:r>
      <w:r>
        <w:rPr>
          <w:spacing w:val="-1"/>
          <w:u w:val="single"/>
        </w:rPr>
        <w:t>钢筋、</w:t>
      </w:r>
      <w:r>
        <w:rPr>
          <w:rFonts w:hint="eastAsia"/>
          <w:spacing w:val="-1"/>
          <w:u w:val="single"/>
          <w:lang w:val="en-US" w:eastAsia="zh-CN"/>
        </w:rPr>
        <w:t>叠合肋梁上皮纵筋、后浇肋梁纵筋及箍筋、</w:t>
      </w:r>
      <w:r>
        <w:rPr>
          <w:rFonts w:hint="eastAsia"/>
          <w:u w:val="single"/>
          <w:lang w:val="en-US" w:eastAsia="zh-CN"/>
        </w:rPr>
        <w:t>叠合肋梁下皮纵筋附加搭接钢筋</w:t>
      </w:r>
      <w:r>
        <w:rPr>
          <w:spacing w:val="-1"/>
          <w:u w:val="single"/>
        </w:rPr>
        <w:t>等，布设</w:t>
      </w:r>
      <w:r>
        <w:rPr>
          <w:spacing w:val="-12"/>
          <w:u w:val="single"/>
        </w:rPr>
        <w:t>电线管、盒，并在浇筑混凝土前进行隐蔽验收。对已铺设好的钢筋应进行成品保</w:t>
      </w:r>
      <w:r>
        <w:rPr>
          <w:u w:val="single"/>
        </w:rPr>
        <w:t>护，禁止在预制底板上行走或踩踏，禁止随意扳动、切断桁架或支架。</w:t>
      </w:r>
    </w:p>
    <w:p>
      <w:pPr>
        <w:numPr>
          <w:ilvl w:val="2"/>
          <w:numId w:val="1"/>
        </w:numPr>
        <w:bidi w:val="0"/>
        <w:rPr>
          <w:rFonts w:hint="default" w:ascii="宋体" w:hAnsi="宋体" w:eastAsia="宋体" w:cs="Times New Roman"/>
          <w:color w:val="000000"/>
          <w:spacing w:val="-12"/>
          <w:kern w:val="0"/>
          <w:sz w:val="24"/>
          <w:szCs w:val="22"/>
          <w:lang w:val="en-US" w:eastAsia="zh-CN" w:bidi="ar-SA"/>
        </w:rPr>
      </w:pPr>
      <w:r>
        <w:rPr>
          <w:rFonts w:hint="eastAsia" w:ascii="宋体" w:hAnsi="宋体" w:eastAsia="宋体" w:cs="Times New Roman"/>
          <w:color w:val="000000"/>
          <w:spacing w:val="-12"/>
          <w:kern w:val="0"/>
          <w:sz w:val="24"/>
          <w:szCs w:val="22"/>
          <w:lang w:val="en-US" w:eastAsia="zh-CN" w:bidi="ar-SA"/>
        </w:rPr>
        <w:t>箱型填充体的型号尺寸应满足设计要求，宜采用射钉或自攻钉</w:t>
      </w:r>
      <w:r>
        <w:rPr>
          <w:rFonts w:hint="default" w:ascii="宋体" w:hAnsi="宋体" w:eastAsia="宋体" w:cs="Times New Roman"/>
          <w:color w:val="000000"/>
          <w:spacing w:val="-12"/>
          <w:kern w:val="0"/>
          <w:sz w:val="24"/>
          <w:szCs w:val="22"/>
          <w:lang w:val="en-US" w:eastAsia="zh-CN" w:bidi="ar-SA"/>
        </w:rPr>
        <w:t>固定到预制底板</w:t>
      </w:r>
      <w:r>
        <w:rPr>
          <w:rFonts w:hint="eastAsia" w:ascii="宋体" w:hAnsi="宋体" w:eastAsia="宋体" w:cs="Times New Roman"/>
          <w:color w:val="000000"/>
          <w:spacing w:val="-12"/>
          <w:kern w:val="0"/>
          <w:sz w:val="24"/>
          <w:szCs w:val="22"/>
          <w:lang w:val="en-US" w:eastAsia="zh-CN" w:bidi="ar-SA"/>
        </w:rPr>
        <w:t>的边肋顶部。</w:t>
      </w:r>
    </w:p>
    <w:p>
      <w:pPr>
        <w:pStyle w:val="20"/>
        <w:spacing w:line="360" w:lineRule="auto"/>
        <w:rPr>
          <w:rFonts w:hint="eastAsia" w:ascii="宋体" w:hAnsi="宋体" w:eastAsia="宋体" w:cs="Times New Roman"/>
          <w:color w:val="000000"/>
          <w:spacing w:val="-12"/>
          <w:kern w:val="0"/>
          <w:sz w:val="24"/>
          <w:szCs w:val="22"/>
          <w:u w:val="single"/>
          <w:lang w:val="en-US" w:eastAsia="zh-CN" w:bidi="ar-SA"/>
        </w:rPr>
      </w:pPr>
      <w:r>
        <w:rPr>
          <w:rFonts w:hint="eastAsia" w:ascii="宋体" w:hAnsi="宋体" w:eastAsia="宋体" w:cs="Times New Roman"/>
          <w:color w:val="000000"/>
          <w:spacing w:val="-12"/>
          <w:kern w:val="0"/>
          <w:sz w:val="24"/>
          <w:szCs w:val="22"/>
          <w:u w:val="single"/>
          <w:lang w:val="en-US" w:eastAsia="zh-CN" w:bidi="ar-SA"/>
        </w:rPr>
        <w:t>【条文说明】</w:t>
      </w:r>
      <w:r>
        <w:rPr>
          <w:rFonts w:hint="eastAsia" w:ascii="Times New Roman" w:hAnsi="Times New Roman" w:eastAsia="宋体" w:cstheme="minorBidi"/>
          <w:color w:val="auto"/>
          <w:kern w:val="2"/>
          <w:sz w:val="24"/>
          <w:szCs w:val="24"/>
          <w:u w:val="single"/>
          <w:lang w:val="en-US" w:eastAsia="zh-CN" w:bidi="ar-SA"/>
        </w:rPr>
        <w:t xml:space="preserve">7.4.5 </w:t>
      </w:r>
      <w:r>
        <w:rPr>
          <w:rFonts w:hint="eastAsia" w:ascii="宋体" w:hAnsi="宋体" w:eastAsia="宋体" w:cs="Times New Roman"/>
          <w:color w:val="000000"/>
          <w:spacing w:val="-12"/>
          <w:kern w:val="0"/>
          <w:sz w:val="24"/>
          <w:szCs w:val="22"/>
          <w:u w:val="single"/>
          <w:lang w:val="en-US" w:eastAsia="zh-CN" w:bidi="ar-SA"/>
        </w:rPr>
        <w:t>箱型填充体必须牢固固定在预制底板的边肋</w:t>
      </w:r>
      <w:r>
        <w:rPr>
          <w:rFonts w:hint="eastAsia" w:cs="Times New Roman"/>
          <w:color w:val="000000"/>
          <w:spacing w:val="-12"/>
          <w:kern w:val="0"/>
          <w:sz w:val="24"/>
          <w:szCs w:val="22"/>
          <w:u w:val="single"/>
          <w:lang w:val="en-US" w:eastAsia="zh-CN" w:bidi="ar-SA"/>
        </w:rPr>
        <w:t>顶部</w:t>
      </w:r>
      <w:r>
        <w:rPr>
          <w:rFonts w:hint="eastAsia" w:ascii="宋体" w:hAnsi="宋体" w:eastAsia="宋体" w:cs="Times New Roman"/>
          <w:color w:val="000000"/>
          <w:spacing w:val="-12"/>
          <w:kern w:val="0"/>
          <w:sz w:val="24"/>
          <w:szCs w:val="22"/>
          <w:u w:val="single"/>
          <w:lang w:val="en-US" w:eastAsia="zh-CN" w:bidi="ar-SA"/>
        </w:rPr>
        <w:t>，并采取措施防止混凝土浇筑过程中漏浆跑浆。</w:t>
      </w:r>
    </w:p>
    <w:p>
      <w:pPr>
        <w:numPr>
          <w:ilvl w:val="2"/>
          <w:numId w:val="1"/>
        </w:numPr>
        <w:bidi w:val="0"/>
        <w:rPr>
          <w:rFonts w:hint="default"/>
          <w:lang w:val="en-US" w:eastAsia="zh-CN"/>
        </w:rPr>
      </w:pPr>
      <w:r>
        <w:rPr>
          <w:rFonts w:hint="default"/>
          <w:lang w:val="en-US" w:eastAsia="zh-CN"/>
        </w:rPr>
        <w:t>混凝土配合比设计应符合国家现行标准《混凝土结构工程施工规范》GB</w:t>
      </w:r>
      <w:r>
        <w:rPr>
          <w:rFonts w:hint="eastAsia"/>
          <w:lang w:val="en-US" w:eastAsia="zh-CN"/>
        </w:rPr>
        <w:t xml:space="preserve"> </w:t>
      </w:r>
      <w:r>
        <w:rPr>
          <w:rFonts w:hint="default"/>
          <w:lang w:val="en-US" w:eastAsia="zh-CN"/>
        </w:rPr>
        <w:t>50666和《普通混凝土配合比设计规程》JGJ 55的有关规定。</w:t>
      </w:r>
    </w:p>
    <w:p>
      <w:pPr>
        <w:numPr>
          <w:ilvl w:val="2"/>
          <w:numId w:val="1"/>
        </w:numPr>
        <w:bidi w:val="0"/>
        <w:rPr>
          <w:rFonts w:hint="default"/>
          <w:lang w:val="en-US" w:eastAsia="zh-CN"/>
        </w:rPr>
      </w:pPr>
      <w:r>
        <w:rPr>
          <w:rFonts w:hint="default"/>
          <w:lang w:val="en-US" w:eastAsia="zh-CN"/>
        </w:rPr>
        <w:t>混凝土拌合物应符合下列规定：</w:t>
      </w:r>
    </w:p>
    <w:p>
      <w:pPr>
        <w:numPr>
          <w:ilvl w:val="0"/>
          <w:numId w:val="24"/>
        </w:numPr>
        <w:tabs>
          <w:tab w:val="left" w:pos="420"/>
          <w:tab w:val="clear" w:pos="0"/>
        </w:tabs>
        <w:bidi w:val="0"/>
        <w:ind w:left="247" w:leftChars="0" w:hanging="247" w:firstLineChars="0"/>
        <w:rPr>
          <w:rFonts w:hint="default"/>
          <w:lang w:val="en-US" w:eastAsia="zh-CN"/>
        </w:rPr>
      </w:pPr>
      <w:r>
        <w:rPr>
          <w:rFonts w:hint="default"/>
          <w:lang w:val="en-US" w:eastAsia="zh-CN"/>
        </w:rPr>
        <w:t>卸料前逐车目测混凝土拌合物，无离析或分层现象；</w:t>
      </w:r>
    </w:p>
    <w:p>
      <w:pPr>
        <w:numPr>
          <w:ilvl w:val="0"/>
          <w:numId w:val="24"/>
        </w:numPr>
        <w:tabs>
          <w:tab w:val="left" w:pos="420"/>
          <w:tab w:val="clear" w:pos="0"/>
        </w:tabs>
        <w:bidi w:val="0"/>
        <w:ind w:left="247" w:leftChars="0" w:hanging="247" w:firstLineChars="0"/>
        <w:rPr>
          <w:rFonts w:hint="default"/>
          <w:highlight w:val="none"/>
          <w:lang w:val="en-US" w:eastAsia="zh-CN"/>
        </w:rPr>
      </w:pPr>
      <w:r>
        <w:rPr>
          <w:rFonts w:hint="default"/>
          <w:highlight w:val="none"/>
          <w:lang w:val="en-US" w:eastAsia="zh-CN"/>
        </w:rPr>
        <w:t>进行混凝土和易性检查，结果应符合混凝土配合比设计要求。</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w:t>
      </w:r>
      <w:r>
        <w:rPr>
          <w:rFonts w:hint="eastAsia"/>
          <w:lang w:val="en-US" w:eastAsia="zh-CN"/>
        </w:rPr>
        <w:t>后浇</w:t>
      </w:r>
      <w:r>
        <w:rPr>
          <w:rFonts w:hint="default"/>
          <w:lang w:val="en-US" w:eastAsia="zh-CN"/>
        </w:rPr>
        <w:t>混凝土浇筑应符合下列规定：</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预制底板结合面疏松部分的混凝土应剔除并清理干净；</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应在混凝土浇筑前24h对结合面及节点浇水湿润，浇筑前1h吸干积水；</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浇筑时应采用振动器振捣，并应采取保证混凝土浇筑密实的措施；</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混凝土浇筑应布料均衡；浇筑和振捣时，应有专人对模板及支撑架体进行观察和维护，发生异常情况应立即处理；</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预制底板接缝处</w:t>
      </w:r>
      <w:r>
        <w:rPr>
          <w:rFonts w:hint="eastAsia"/>
          <w:lang w:val="en-US" w:eastAsia="zh-CN"/>
        </w:rPr>
        <w:t>后浇</w:t>
      </w:r>
      <w:r>
        <w:rPr>
          <w:rFonts w:hint="default"/>
          <w:lang w:val="en-US" w:eastAsia="zh-CN"/>
        </w:rPr>
        <w:t>混凝土浇筑和振捣，应采取防止模板、预制底板、钢筋移位的措施；</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后浇混凝土浇筑完成后，应及时对</w:t>
      </w:r>
      <w:r>
        <w:rPr>
          <w:rFonts w:hint="eastAsia"/>
          <w:lang w:val="en-US" w:eastAsia="zh-CN"/>
        </w:rPr>
        <w:t>空心</w:t>
      </w:r>
      <w:r>
        <w:rPr>
          <w:rFonts w:hint="default"/>
          <w:lang w:val="en-US" w:eastAsia="zh-CN"/>
        </w:rPr>
        <w:t>叠合板表面标高进行校核；</w:t>
      </w:r>
    </w:p>
    <w:p>
      <w:pPr>
        <w:numPr>
          <w:ilvl w:val="0"/>
          <w:numId w:val="25"/>
        </w:numPr>
        <w:tabs>
          <w:tab w:val="left" w:pos="420"/>
          <w:tab w:val="clear" w:pos="0"/>
        </w:tabs>
        <w:bidi w:val="0"/>
        <w:ind w:left="247" w:leftChars="0" w:hanging="247" w:firstLineChars="0"/>
        <w:rPr>
          <w:rFonts w:hint="default"/>
          <w:lang w:val="en-US" w:eastAsia="zh-CN"/>
        </w:rPr>
      </w:pPr>
      <w:r>
        <w:rPr>
          <w:rFonts w:hint="default"/>
          <w:lang w:val="en-US" w:eastAsia="zh-CN"/>
        </w:rPr>
        <w:t>同一配合比的混凝土，试件留置数量应满足现行国家标准《混凝土结构工程施工质量验收规范》GB 50204的有关规定。</w:t>
      </w:r>
    </w:p>
    <w:p>
      <w:pPr>
        <w:numPr>
          <w:ilvl w:val="2"/>
          <w:numId w:val="1"/>
        </w:numPr>
        <w:bidi w:val="0"/>
        <w:rPr>
          <w:rFonts w:hint="default"/>
          <w:lang w:val="en-US" w:eastAsia="zh-CN"/>
        </w:rPr>
      </w:pPr>
      <w:r>
        <w:rPr>
          <w:rFonts w:hint="default"/>
          <w:lang w:val="en-US" w:eastAsia="zh-CN"/>
        </w:rPr>
        <w:t>采用泵送混凝土浇筑时，应采取防止泵送设备超重或冲击力过大影响预制底板及支撑架体安全的措施。</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w:t>
      </w:r>
      <w:r>
        <w:rPr>
          <w:rFonts w:hint="eastAsia"/>
          <w:lang w:val="en-US" w:eastAsia="zh-CN"/>
        </w:rPr>
        <w:t>后浇</w:t>
      </w:r>
      <w:r>
        <w:rPr>
          <w:rFonts w:hint="default"/>
          <w:lang w:val="en-US" w:eastAsia="zh-CN"/>
        </w:rPr>
        <w:t>混凝土浇筑后12h内应进行洒水养护或覆盖养护。当日平均气温低于5℃时，不应采用洒水养护，宜采用薄膜覆盖养护，养护时间不少于7d。</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叠合板临时支撑架体拆除时的</w:t>
      </w:r>
      <w:r>
        <w:rPr>
          <w:rFonts w:hint="eastAsia"/>
          <w:lang w:val="en-US" w:eastAsia="zh-CN"/>
        </w:rPr>
        <w:t>后浇</w:t>
      </w:r>
      <w:r>
        <w:rPr>
          <w:rFonts w:hint="default"/>
          <w:lang w:val="en-US" w:eastAsia="zh-CN"/>
        </w:rPr>
        <w:t>混凝土强度，应符合设计要求和现行国家标准《混凝土结构工程施工规范》GB 50666的有关规定。</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7.4.11</w:t>
      </w:r>
      <w:r>
        <w:rPr>
          <w:rFonts w:hint="eastAsia"/>
          <w:u w:val="single"/>
          <w:lang w:val="en-US" w:eastAsia="zh-CN"/>
        </w:rPr>
        <w:t xml:space="preserve"> </w:t>
      </w:r>
      <w:r>
        <w:rPr>
          <w:sz w:val="24"/>
          <w:u w:val="single"/>
        </w:rPr>
        <w:t xml:space="preserve">临时支撑架体的拆除应严格按照施工方案执行。临时支撑架体拆除时， </w:t>
      </w:r>
      <w:r>
        <w:rPr>
          <w:spacing w:val="-7"/>
          <w:sz w:val="24"/>
          <w:u w:val="single"/>
        </w:rPr>
        <w:t>要检查预制底板的连接情况，确认其已与主体结构形成稳定的受力体系后，方可</w:t>
      </w:r>
      <w:r>
        <w:rPr>
          <w:sz w:val="24"/>
          <w:u w:val="single"/>
        </w:rPr>
        <w:t>拆除临时支撑架体。</w:t>
      </w:r>
    </w:p>
    <w:p>
      <w:pPr>
        <w:pStyle w:val="20"/>
        <w:rPr>
          <w:rFonts w:hint="default"/>
          <w:lang w:val="en-US" w:eastAsia="zh-CN"/>
        </w:rPr>
      </w:pPr>
    </w:p>
    <w:p>
      <w:pPr>
        <w:pStyle w:val="20"/>
        <w:rPr>
          <w:rFonts w:hint="default"/>
          <w:lang w:val="en-US" w:eastAsia="zh-CN"/>
        </w:rPr>
      </w:pPr>
    </w:p>
    <w:p>
      <w:pPr>
        <w:pStyle w:val="20"/>
        <w:rPr>
          <w:rFonts w:hint="default"/>
          <w:lang w:val="en-US" w:eastAsia="zh-CN"/>
        </w:rPr>
      </w:pPr>
    </w:p>
    <w:p>
      <w:pPr>
        <w:pStyle w:val="20"/>
        <w:rPr>
          <w:rFonts w:hint="default"/>
          <w:lang w:val="en-US" w:eastAsia="zh-CN"/>
        </w:rPr>
      </w:pPr>
    </w:p>
    <w:p>
      <w:pPr>
        <w:rPr>
          <w:rFonts w:hint="default"/>
          <w:lang w:val="en-US" w:eastAsia="zh-CN"/>
        </w:rPr>
      </w:pPr>
      <w:r>
        <w:rPr>
          <w:rFonts w:hint="default"/>
          <w:lang w:val="en-US" w:eastAsia="zh-CN"/>
        </w:rPr>
        <w:br w:type="page"/>
      </w:r>
    </w:p>
    <w:p>
      <w:pPr>
        <w:pStyle w:val="3"/>
        <w:bidi w:val="0"/>
        <w:ind w:left="0" w:leftChars="0" w:firstLine="0" w:firstLineChars="0"/>
        <w:outlineLvl w:val="0"/>
        <w:rPr>
          <w:rFonts w:hint="default"/>
          <w:lang w:val="en-US" w:eastAsia="zh-CN"/>
        </w:rPr>
      </w:pPr>
      <w:bookmarkStart w:id="56" w:name="_Toc5258"/>
      <w:r>
        <w:rPr>
          <w:rFonts w:hint="default"/>
          <w:lang w:val="en-US" w:eastAsia="zh-CN"/>
        </w:rPr>
        <w:t>质量验收</w:t>
      </w:r>
      <w:bookmarkEnd w:id="56"/>
    </w:p>
    <w:p>
      <w:pPr>
        <w:pStyle w:val="4"/>
        <w:bidi w:val="0"/>
        <w:ind w:left="0" w:leftChars="0" w:firstLine="0" w:firstLineChars="0"/>
        <w:outlineLvl w:val="1"/>
        <w:rPr>
          <w:rFonts w:hint="default"/>
          <w:lang w:val="en-US" w:eastAsia="zh-CN"/>
        </w:rPr>
      </w:pPr>
      <w:bookmarkStart w:id="57" w:name="_Toc13832"/>
      <w:r>
        <w:rPr>
          <w:rFonts w:hint="default"/>
          <w:lang w:val="en-US" w:eastAsia="zh-CN"/>
        </w:rPr>
        <w:t>一般规定</w:t>
      </w:r>
      <w:bookmarkEnd w:id="57"/>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w:t>
      </w:r>
      <w:r>
        <w:rPr>
          <w:rFonts w:hint="eastAsia" w:ascii="宋体" w:hAnsi="宋体" w:eastAsia="宋体" w:cs="Times New Roman"/>
          <w:color w:val="000000"/>
          <w:spacing w:val="-2"/>
          <w:kern w:val="0"/>
          <w:sz w:val="24"/>
          <w:szCs w:val="22"/>
          <w:lang w:val="en-US" w:eastAsia="zh-CN" w:bidi="ar-SA"/>
        </w:rPr>
        <w:t>可作为混凝土结构子分部工程的组成部分，其</w:t>
      </w:r>
      <w:r>
        <w:rPr>
          <w:rFonts w:hint="default" w:ascii="宋体" w:hAnsi="宋体" w:eastAsia="宋体" w:cs="Times New Roman"/>
          <w:color w:val="000000"/>
          <w:spacing w:val="-2"/>
          <w:kern w:val="0"/>
          <w:sz w:val="24"/>
          <w:szCs w:val="22"/>
          <w:lang w:val="en-US" w:eastAsia="zh-CN" w:bidi="ar-SA"/>
        </w:rPr>
        <w:t>分项工程、检验批划分和质量验收应符合现行国家标准《混凝土结构工程施工质量验收</w:t>
      </w:r>
      <w:r>
        <w:rPr>
          <w:rFonts w:hint="default"/>
          <w:lang w:val="en-US" w:eastAsia="zh-CN"/>
        </w:rPr>
        <w:t>规范》GB 50204的规定。</w:t>
      </w:r>
    </w:p>
    <w:p>
      <w:pPr>
        <w:pStyle w:val="20"/>
        <w:spacing w:line="360" w:lineRule="auto"/>
        <w:rPr>
          <w:rFonts w:hint="default"/>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8.1.1</w:t>
      </w:r>
      <w:r>
        <w:rPr>
          <w:rFonts w:hint="eastAsia"/>
          <w:u w:val="single"/>
          <w:lang w:val="en-US" w:eastAsia="zh-CN"/>
        </w:rPr>
        <w:t xml:space="preserve"> </w:t>
      </w:r>
      <w:r>
        <w:rPr>
          <w:spacing w:val="-2"/>
          <w:sz w:val="24"/>
          <w:u w:val="single"/>
        </w:rPr>
        <w:t>按照现行国家标准《混凝土结构工程施工质量验收规范》</w:t>
      </w:r>
      <w:r>
        <w:rPr>
          <w:rFonts w:ascii="Times New Roman" w:eastAsia="Times New Roman"/>
          <w:sz w:val="24"/>
          <w:u w:val="single"/>
        </w:rPr>
        <w:t>GB 50204</w:t>
      </w:r>
      <w:r>
        <w:rPr>
          <w:sz w:val="24"/>
          <w:u w:val="single"/>
        </w:rPr>
        <w:t>，</w:t>
      </w:r>
      <w:r>
        <w:rPr>
          <w:rFonts w:hint="eastAsia"/>
          <w:sz w:val="24"/>
          <w:u w:val="single"/>
          <w:lang w:val="en-US" w:eastAsia="zh-CN"/>
        </w:rPr>
        <w:t>混凝土空心</w:t>
      </w:r>
      <w:r>
        <w:rPr>
          <w:spacing w:val="-5"/>
          <w:sz w:val="24"/>
          <w:u w:val="single"/>
        </w:rPr>
        <w:t>叠合板施工包含模板分项工程、钢筋分项工程、混凝土分项工程、现浇结构</w:t>
      </w:r>
      <w:r>
        <w:rPr>
          <w:spacing w:val="-10"/>
          <w:sz w:val="24"/>
          <w:u w:val="single"/>
        </w:rPr>
        <w:t>分项工程和装配式结构分项工程。其中，模板分项工程包括模板、支架、临时支</w:t>
      </w:r>
      <w:r>
        <w:rPr>
          <w:spacing w:val="-12"/>
          <w:sz w:val="24"/>
          <w:u w:val="single"/>
        </w:rPr>
        <w:t>撑等内容；钢筋分项工程包括</w:t>
      </w:r>
      <w:r>
        <w:rPr>
          <w:rFonts w:hint="eastAsia"/>
          <w:spacing w:val="-1"/>
          <w:u w:val="single"/>
          <w:lang w:val="en-US" w:eastAsia="zh-CN"/>
        </w:rPr>
        <w:t>上翼缘板</w:t>
      </w:r>
      <w:r>
        <w:rPr>
          <w:spacing w:val="-1"/>
          <w:u w:val="single"/>
        </w:rPr>
        <w:t>钢筋、</w:t>
      </w:r>
      <w:r>
        <w:rPr>
          <w:rFonts w:hint="eastAsia"/>
          <w:spacing w:val="-1"/>
          <w:u w:val="single"/>
          <w:lang w:val="en-US" w:eastAsia="zh-CN"/>
        </w:rPr>
        <w:t>叠合肋梁上皮纵筋、后浇肋梁纵筋及箍筋、</w:t>
      </w:r>
      <w:r>
        <w:rPr>
          <w:rFonts w:hint="eastAsia"/>
          <w:u w:val="single"/>
          <w:lang w:val="en-US" w:eastAsia="zh-CN"/>
        </w:rPr>
        <w:t>叠合肋梁下皮纵筋附加搭接钢筋</w:t>
      </w:r>
      <w:r>
        <w:rPr>
          <w:spacing w:val="-12"/>
          <w:sz w:val="24"/>
          <w:u w:val="single"/>
        </w:rPr>
        <w:t>等内容；混凝土分项工程包括</w:t>
      </w:r>
      <w:r>
        <w:rPr>
          <w:spacing w:val="-13"/>
          <w:sz w:val="24"/>
          <w:u w:val="single"/>
        </w:rPr>
        <w:t>后浇混凝土、养护等内容；现浇结构分项工程包括现浇混凝土部分的外观质量、</w:t>
      </w:r>
      <w:r>
        <w:rPr>
          <w:spacing w:val="-6"/>
          <w:sz w:val="24"/>
          <w:u w:val="single"/>
        </w:rPr>
        <w:t>尺寸偏差等内容；装配式结构分项工程包括预制底板、吊装、连接等内容。这些内容共同构成混凝土结构子分部工程中混凝土</w:t>
      </w:r>
      <w:r>
        <w:rPr>
          <w:rFonts w:hint="eastAsia"/>
          <w:spacing w:val="-6"/>
          <w:sz w:val="24"/>
          <w:u w:val="single"/>
          <w:lang w:val="en-US" w:eastAsia="zh-CN"/>
        </w:rPr>
        <w:t>空心</w:t>
      </w:r>
      <w:r>
        <w:rPr>
          <w:spacing w:val="-6"/>
          <w:sz w:val="24"/>
          <w:u w:val="single"/>
        </w:rPr>
        <w:t>叠合板施工的验收内容。</w:t>
      </w:r>
    </w:p>
    <w:p>
      <w:pPr>
        <w:numPr>
          <w:ilvl w:val="2"/>
          <w:numId w:val="1"/>
        </w:numPr>
        <w:bidi w:val="0"/>
        <w:rPr>
          <w:rFonts w:hint="default"/>
          <w:lang w:val="en-US" w:eastAsia="zh-CN"/>
        </w:rPr>
      </w:pPr>
      <w:r>
        <w:rPr>
          <w:rFonts w:hint="default"/>
          <w:lang w:val="en-US" w:eastAsia="zh-CN"/>
        </w:rPr>
        <w:t>预制底板、原材料、配件应按检验批进行进场验收。</w:t>
      </w:r>
    </w:p>
    <w:p>
      <w:pPr>
        <w:numPr>
          <w:ilvl w:val="2"/>
          <w:numId w:val="1"/>
        </w:numPr>
        <w:bidi w:val="0"/>
        <w:rPr>
          <w:rFonts w:hint="default"/>
          <w:lang w:val="en-US" w:eastAsia="zh-CN"/>
        </w:rPr>
      </w:pPr>
      <w:r>
        <w:rPr>
          <w:rFonts w:hint="eastAsia"/>
          <w:lang w:val="en-US" w:eastAsia="zh-CN"/>
        </w:rPr>
        <w:t>箱型填充体的安装，应纳入模板安装检验批和模板分项工程中一起验收，可不参与混凝土结构子分部工程的验收。验收时，应提供箱型填充体的质量检验报告及出厂合格证等质量保证材料。</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w:t>
      </w:r>
      <w:r>
        <w:rPr>
          <w:rFonts w:hint="eastAsia"/>
          <w:lang w:val="en-US" w:eastAsia="zh-CN"/>
        </w:rPr>
        <w:t>后浇</w:t>
      </w:r>
      <w:r>
        <w:rPr>
          <w:rFonts w:hint="default"/>
          <w:lang w:val="en-US" w:eastAsia="zh-CN"/>
        </w:rPr>
        <w:t>混凝土浇筑前，应进行隐蔽工程验收。隐蔽工程验收应包含下列内容：</w:t>
      </w:r>
    </w:p>
    <w:p>
      <w:pPr>
        <w:numPr>
          <w:ilvl w:val="0"/>
          <w:numId w:val="26"/>
        </w:numPr>
        <w:tabs>
          <w:tab w:val="left" w:pos="420"/>
          <w:tab w:val="clear" w:pos="0"/>
        </w:tabs>
        <w:bidi w:val="0"/>
        <w:ind w:left="247" w:leftChars="0" w:hanging="247" w:firstLineChars="0"/>
        <w:rPr>
          <w:rFonts w:hint="default"/>
          <w:lang w:val="en-US" w:eastAsia="zh-CN"/>
        </w:rPr>
      </w:pPr>
      <w:r>
        <w:rPr>
          <w:rFonts w:hint="default"/>
          <w:lang w:val="en-US" w:eastAsia="zh-CN"/>
        </w:rPr>
        <w:t>预制底板粗糙面的质量</w:t>
      </w:r>
      <w:r>
        <w:rPr>
          <w:rFonts w:hint="eastAsia"/>
          <w:lang w:val="en-US" w:eastAsia="zh-CN"/>
        </w:rPr>
        <w:t>；</w:t>
      </w:r>
    </w:p>
    <w:p>
      <w:pPr>
        <w:numPr>
          <w:ilvl w:val="0"/>
          <w:numId w:val="26"/>
        </w:numPr>
        <w:tabs>
          <w:tab w:val="left" w:pos="420"/>
          <w:tab w:val="clear" w:pos="0"/>
        </w:tabs>
        <w:bidi w:val="0"/>
        <w:ind w:left="247" w:leftChars="0" w:hanging="247" w:firstLineChars="0"/>
        <w:rPr>
          <w:rFonts w:hint="default"/>
          <w:lang w:val="en-US" w:eastAsia="zh-CN"/>
        </w:rPr>
      </w:pPr>
      <w:r>
        <w:rPr>
          <w:rFonts w:hint="eastAsia"/>
          <w:lang w:val="en-US" w:eastAsia="zh-CN"/>
        </w:rPr>
        <w:t>预制底板键槽的数量、位置、尺寸</w:t>
      </w:r>
      <w:r>
        <w:rPr>
          <w:rFonts w:hint="default"/>
          <w:lang w:val="en-US" w:eastAsia="zh-CN"/>
        </w:rPr>
        <w:t>；</w:t>
      </w:r>
    </w:p>
    <w:p>
      <w:pPr>
        <w:numPr>
          <w:ilvl w:val="0"/>
          <w:numId w:val="26"/>
        </w:numPr>
        <w:tabs>
          <w:tab w:val="left" w:pos="420"/>
          <w:tab w:val="clear" w:pos="0"/>
        </w:tabs>
        <w:bidi w:val="0"/>
        <w:ind w:left="247" w:leftChars="0" w:hanging="247" w:firstLineChars="0"/>
        <w:rPr>
          <w:rFonts w:hint="default"/>
          <w:lang w:val="en-US" w:eastAsia="zh-CN"/>
        </w:rPr>
      </w:pPr>
      <w:r>
        <w:rPr>
          <w:rFonts w:hint="eastAsia"/>
          <w:lang w:val="en-US" w:eastAsia="zh-CN"/>
        </w:rPr>
        <w:t>上翼缘板钢筋</w:t>
      </w:r>
      <w:r>
        <w:rPr>
          <w:rFonts w:hint="default"/>
          <w:lang w:val="en-US" w:eastAsia="zh-CN"/>
        </w:rPr>
        <w:t>、</w:t>
      </w:r>
      <w:r>
        <w:rPr>
          <w:rFonts w:hint="eastAsia"/>
          <w:lang w:val="en-US" w:eastAsia="zh-CN"/>
        </w:rPr>
        <w:t>肋梁纵筋及箍筋、叠合肋梁下皮纵筋附加搭接钢筋</w:t>
      </w:r>
      <w:r>
        <w:rPr>
          <w:rFonts w:hint="default"/>
          <w:lang w:val="en-US" w:eastAsia="zh-CN"/>
        </w:rPr>
        <w:t>的牌号、规格、数量、位置、间距；</w:t>
      </w:r>
    </w:p>
    <w:p>
      <w:pPr>
        <w:numPr>
          <w:ilvl w:val="0"/>
          <w:numId w:val="26"/>
        </w:numPr>
        <w:tabs>
          <w:tab w:val="left" w:pos="420"/>
          <w:tab w:val="clear" w:pos="0"/>
        </w:tabs>
        <w:bidi w:val="0"/>
        <w:ind w:left="247" w:leftChars="0" w:hanging="247" w:firstLineChars="0"/>
        <w:rPr>
          <w:rFonts w:hint="default"/>
          <w:lang w:val="en-US" w:eastAsia="zh-CN"/>
        </w:rPr>
      </w:pPr>
      <w:r>
        <w:rPr>
          <w:rFonts w:hint="eastAsia"/>
          <w:lang w:val="en-US" w:eastAsia="zh-CN"/>
        </w:rPr>
        <w:t>叠合肋梁下皮纵筋套筒挤压接头的规格、数量、位置；</w:t>
      </w:r>
    </w:p>
    <w:p>
      <w:pPr>
        <w:numPr>
          <w:ilvl w:val="0"/>
          <w:numId w:val="26"/>
        </w:numPr>
        <w:tabs>
          <w:tab w:val="left" w:pos="420"/>
          <w:tab w:val="clear" w:pos="0"/>
        </w:tabs>
        <w:bidi w:val="0"/>
        <w:ind w:left="247" w:leftChars="0" w:hanging="247" w:firstLineChars="0"/>
        <w:rPr>
          <w:rFonts w:hint="default"/>
          <w:lang w:val="en-US" w:eastAsia="zh-CN"/>
        </w:rPr>
      </w:pPr>
      <w:r>
        <w:rPr>
          <w:rFonts w:hint="eastAsia"/>
          <w:lang w:val="en-US" w:eastAsia="zh-CN"/>
        </w:rPr>
        <w:t>箱型填充体的规格、数量、位置；</w:t>
      </w:r>
    </w:p>
    <w:p>
      <w:pPr>
        <w:numPr>
          <w:ilvl w:val="0"/>
          <w:numId w:val="26"/>
        </w:numPr>
        <w:tabs>
          <w:tab w:val="left" w:pos="420"/>
          <w:tab w:val="clear" w:pos="0"/>
        </w:tabs>
        <w:bidi w:val="0"/>
        <w:ind w:left="247" w:leftChars="0" w:hanging="247" w:firstLineChars="0"/>
        <w:rPr>
          <w:rFonts w:hint="default"/>
          <w:lang w:val="en-US" w:eastAsia="zh-CN"/>
        </w:rPr>
      </w:pPr>
      <w:r>
        <w:rPr>
          <w:rFonts w:hint="default"/>
          <w:lang w:val="en-US" w:eastAsia="zh-CN"/>
        </w:rPr>
        <w:t>预埋管线的规格、数量、位置；</w:t>
      </w:r>
    </w:p>
    <w:p>
      <w:pPr>
        <w:numPr>
          <w:ilvl w:val="0"/>
          <w:numId w:val="26"/>
        </w:numPr>
        <w:tabs>
          <w:tab w:val="left" w:pos="420"/>
          <w:tab w:val="clear" w:pos="0"/>
        </w:tabs>
        <w:bidi w:val="0"/>
        <w:ind w:left="247" w:leftChars="0" w:hanging="247" w:firstLineChars="0"/>
        <w:rPr>
          <w:rFonts w:hint="default"/>
          <w:lang w:val="en-US" w:eastAsia="zh-CN"/>
        </w:rPr>
      </w:pPr>
      <w:r>
        <w:rPr>
          <w:rFonts w:hint="default"/>
          <w:lang w:val="en-US" w:eastAsia="zh-CN"/>
        </w:rPr>
        <w:t>预制底板接缝处的构造做法；</w:t>
      </w:r>
    </w:p>
    <w:p>
      <w:pPr>
        <w:numPr>
          <w:ilvl w:val="0"/>
          <w:numId w:val="26"/>
        </w:numPr>
        <w:tabs>
          <w:tab w:val="left" w:pos="420"/>
          <w:tab w:val="clear" w:pos="0"/>
        </w:tabs>
        <w:bidi w:val="0"/>
        <w:ind w:left="247" w:leftChars="0" w:hanging="247" w:firstLineChars="0"/>
        <w:rPr>
          <w:rFonts w:hint="default"/>
          <w:lang w:val="en-US" w:eastAsia="zh-CN"/>
        </w:rPr>
      </w:pPr>
      <w:r>
        <w:rPr>
          <w:rFonts w:hint="default"/>
          <w:lang w:val="en-US" w:eastAsia="zh-CN"/>
        </w:rPr>
        <w:t>其他隐蔽项目。</w:t>
      </w:r>
    </w:p>
    <w:p>
      <w:pPr>
        <w:pStyle w:val="20"/>
        <w:spacing w:line="360" w:lineRule="auto"/>
        <w:rPr>
          <w:rFonts w:hint="default"/>
          <w:u w:val="single"/>
          <w:lang w:val="en-US" w:eastAsia="zh-CN"/>
        </w:rPr>
      </w:pPr>
      <w:r>
        <w:rPr>
          <w:rFonts w:hint="eastAsia"/>
          <w:u w:val="single"/>
          <w:lang w:val="en-US" w:eastAsia="zh-CN"/>
        </w:rPr>
        <w:t>【条文说明】</w:t>
      </w:r>
      <w:r>
        <w:rPr>
          <w:rFonts w:hint="eastAsia" w:ascii="Times New Roman" w:hAnsi="Times New Roman" w:eastAsia="宋体" w:cstheme="minorBidi"/>
          <w:color w:val="auto"/>
          <w:kern w:val="2"/>
          <w:sz w:val="24"/>
          <w:szCs w:val="24"/>
          <w:u w:val="single"/>
          <w:lang w:val="en-US" w:eastAsia="zh-CN" w:bidi="ar-SA"/>
        </w:rPr>
        <w:t xml:space="preserve">8.1.4 </w:t>
      </w:r>
      <w:r>
        <w:rPr>
          <w:rFonts w:hint="eastAsia"/>
          <w:u w:val="single"/>
          <w:lang w:val="en-US" w:eastAsia="zh-CN"/>
        </w:rPr>
        <w:t>隐蔽工程反映粗糙面、钢筋安装、预留预埋等方面的综合质量。在浇筑混凝土之前进行隐蔽工程验收是为了保证空心叠合板性能满足设计要求。对已铺设好的钢筋应进行成品保护，不应在钢筋上行走或踩踏，不应随意扳动、切断钢筋等。</w:t>
      </w:r>
    </w:p>
    <w:p>
      <w:pPr>
        <w:numPr>
          <w:ilvl w:val="2"/>
          <w:numId w:val="1"/>
        </w:numPr>
        <w:bidi w:val="0"/>
        <w:rPr>
          <w:rFonts w:hint="default"/>
          <w:lang w:val="en-US" w:eastAsia="zh-CN"/>
        </w:rPr>
      </w:pPr>
      <w:r>
        <w:rPr>
          <w:rFonts w:hint="default"/>
          <w:lang w:val="en-US" w:eastAsia="zh-CN"/>
        </w:rPr>
        <w:t>混凝土结构子分部工程施工质量验收时，应提供下列文件和记录：</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工程设计文件、预制底板安装施工图和加工详图；</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预制底板、主要材料及配件的质量证明文件、进场验收记录和抽样复验报告；</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预制底板吊装施工记录；</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隐蔽工程验收文件；</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后浇混凝土强度检测报告；</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装配式结构分项工程质量验收文件；</w:t>
      </w:r>
    </w:p>
    <w:p>
      <w:pPr>
        <w:numPr>
          <w:ilvl w:val="0"/>
          <w:numId w:val="27"/>
        </w:numPr>
        <w:tabs>
          <w:tab w:val="left" w:pos="420"/>
          <w:tab w:val="clear" w:pos="0"/>
        </w:tabs>
        <w:bidi w:val="0"/>
        <w:ind w:left="247" w:leftChars="0" w:hanging="247" w:firstLineChars="0"/>
        <w:rPr>
          <w:rFonts w:hint="default"/>
          <w:lang w:val="en-US" w:eastAsia="zh-CN"/>
        </w:rPr>
      </w:pPr>
      <w:r>
        <w:rPr>
          <w:rFonts w:hint="default"/>
          <w:lang w:val="en-US" w:eastAsia="zh-CN"/>
        </w:rPr>
        <w:t>其他相关文件和记录。</w:t>
      </w:r>
    </w:p>
    <w:p>
      <w:pPr>
        <w:pStyle w:val="4"/>
        <w:bidi w:val="0"/>
        <w:ind w:left="0" w:leftChars="0" w:firstLine="0" w:firstLineChars="0"/>
        <w:outlineLvl w:val="1"/>
        <w:rPr>
          <w:rFonts w:hint="default"/>
          <w:lang w:val="en-US" w:eastAsia="zh-CN"/>
        </w:rPr>
      </w:pPr>
      <w:bookmarkStart w:id="58" w:name="_Toc28798"/>
      <w:r>
        <w:rPr>
          <w:rFonts w:hint="default"/>
          <w:lang w:val="en-US" w:eastAsia="zh-CN"/>
        </w:rPr>
        <w:t>预制底板进场检验</w:t>
      </w:r>
      <w:bookmarkEnd w:id="58"/>
    </w:p>
    <w:p>
      <w:pPr>
        <w:pStyle w:val="5"/>
        <w:bidi w:val="0"/>
        <w:rPr>
          <w:rFonts w:hint="default"/>
          <w:lang w:val="en-US" w:eastAsia="zh-CN"/>
        </w:rPr>
      </w:pPr>
      <w:r>
        <w:rPr>
          <w:rFonts w:hint="default"/>
          <w:lang w:val="en-US" w:eastAsia="zh-CN"/>
        </w:rPr>
        <w:t>Ⅰ</w:t>
      </w:r>
      <w:r>
        <w:rPr>
          <w:rFonts w:hint="eastAsia"/>
          <w:lang w:val="en-US" w:eastAsia="zh-CN"/>
        </w:rPr>
        <w:t xml:space="preserve"> </w:t>
      </w:r>
      <w:r>
        <w:rPr>
          <w:rFonts w:hint="default"/>
          <w:lang w:val="en-US" w:eastAsia="zh-CN"/>
        </w:rPr>
        <w:t>主控项目</w:t>
      </w:r>
    </w:p>
    <w:p>
      <w:pPr>
        <w:numPr>
          <w:ilvl w:val="2"/>
          <w:numId w:val="1"/>
        </w:numPr>
        <w:bidi w:val="0"/>
        <w:rPr>
          <w:rFonts w:hint="default"/>
          <w:lang w:val="en-US" w:eastAsia="zh-CN"/>
        </w:rPr>
      </w:pPr>
      <w:r>
        <w:rPr>
          <w:rFonts w:hint="default"/>
          <w:lang w:val="en-US" w:eastAsia="zh-CN"/>
        </w:rPr>
        <w:t>专业企业生产的预制底板进场时，应检查质量证明文件和标识。检查数量：全数检查。</w:t>
      </w:r>
    </w:p>
    <w:p>
      <w:pPr>
        <w:pStyle w:val="21"/>
        <w:bidi w:val="0"/>
        <w:rPr>
          <w:rFonts w:hint="default"/>
          <w:lang w:val="en-US" w:eastAsia="zh-CN"/>
        </w:rPr>
      </w:pPr>
      <w:r>
        <w:rPr>
          <w:rFonts w:hint="default"/>
          <w:lang w:val="en-US" w:eastAsia="zh-CN"/>
        </w:rPr>
        <w:t>检验方法：检查质量证明文件及质量验收记录，观察。</w:t>
      </w:r>
    </w:p>
    <w:p>
      <w:pPr>
        <w:pStyle w:val="21"/>
        <w:bidi w:val="0"/>
        <w:ind w:left="0" w:leftChars="0" w:firstLine="0" w:firstLineChars="0"/>
        <w:rPr>
          <w:sz w:val="24"/>
          <w:highlight w:val="none"/>
          <w:u w:val="single"/>
        </w:rPr>
      </w:pPr>
      <w:r>
        <w:rPr>
          <w:rFonts w:hint="eastAsia"/>
          <w:highlight w:val="none"/>
          <w:u w:val="single"/>
          <w:lang w:val="en-US" w:eastAsia="zh-CN"/>
        </w:rPr>
        <w:t xml:space="preserve">【条文说明】8.2.1 </w:t>
      </w:r>
      <w:r>
        <w:rPr>
          <w:spacing w:val="-1"/>
          <w:sz w:val="24"/>
          <w:highlight w:val="none"/>
          <w:u w:val="single"/>
        </w:rPr>
        <w:t>预制底板的质量证明文件应包括出厂合格证、混凝土强度检验报告、钢</w:t>
      </w:r>
      <w:r>
        <w:rPr>
          <w:spacing w:val="-7"/>
          <w:sz w:val="24"/>
          <w:highlight w:val="none"/>
          <w:u w:val="single"/>
        </w:rPr>
        <w:t>筋检验报告、合同要求的其他质量证明文件。根据现行国家标准《装</w:t>
      </w:r>
      <w:r>
        <w:rPr>
          <w:sz w:val="24"/>
          <w:highlight w:val="none"/>
          <w:u w:val="single"/>
        </w:rPr>
        <w:t>配式混凝土建筑技术标准》</w:t>
      </w:r>
      <w:r>
        <w:rPr>
          <w:rFonts w:ascii="Times New Roman" w:eastAsia="Times New Roman"/>
          <w:sz w:val="24"/>
          <w:highlight w:val="none"/>
          <w:u w:val="single"/>
        </w:rPr>
        <w:t>GB/T</w:t>
      </w:r>
      <w:r>
        <w:rPr>
          <w:rFonts w:ascii="Times New Roman" w:eastAsia="Times New Roman"/>
          <w:spacing w:val="15"/>
          <w:sz w:val="24"/>
          <w:highlight w:val="none"/>
          <w:u w:val="single"/>
        </w:rPr>
        <w:t xml:space="preserve"> </w:t>
      </w:r>
      <w:r>
        <w:rPr>
          <w:rFonts w:ascii="Times New Roman" w:eastAsia="Times New Roman"/>
          <w:sz w:val="24"/>
          <w:highlight w:val="none"/>
          <w:u w:val="single"/>
        </w:rPr>
        <w:t>51231</w:t>
      </w:r>
      <w:r>
        <w:rPr>
          <w:rFonts w:hint="eastAsia" w:eastAsia="宋体"/>
          <w:sz w:val="24"/>
          <w:highlight w:val="none"/>
          <w:u w:val="single"/>
          <w:lang w:eastAsia="zh-CN"/>
        </w:rPr>
        <w:t>、《</w:t>
      </w:r>
      <w:r>
        <w:rPr>
          <w:rFonts w:hint="default"/>
          <w:highlight w:val="none"/>
          <w:u w:val="single"/>
          <w:lang w:val="en-US" w:eastAsia="zh-CN"/>
        </w:rPr>
        <w:t>混凝土结构工程施工质量验收规范</w:t>
      </w:r>
      <w:r>
        <w:rPr>
          <w:rFonts w:hint="eastAsia" w:eastAsia="宋体"/>
          <w:sz w:val="24"/>
          <w:highlight w:val="none"/>
          <w:u w:val="single"/>
          <w:lang w:eastAsia="zh-CN"/>
        </w:rPr>
        <w:t>》</w:t>
      </w:r>
      <w:r>
        <w:rPr>
          <w:rFonts w:hint="default"/>
          <w:highlight w:val="none"/>
          <w:u w:val="single"/>
          <w:lang w:val="en-US" w:eastAsia="zh-CN"/>
        </w:rPr>
        <w:t>GB 50204</w:t>
      </w:r>
      <w:r>
        <w:rPr>
          <w:rFonts w:hint="eastAsia"/>
          <w:highlight w:val="none"/>
          <w:u w:val="single"/>
          <w:lang w:val="en-US" w:eastAsia="zh-CN"/>
        </w:rPr>
        <w:t>等</w:t>
      </w:r>
      <w:r>
        <w:rPr>
          <w:sz w:val="24"/>
          <w:highlight w:val="none"/>
          <w:u w:val="single"/>
        </w:rPr>
        <w:t>的有关规定，预制底板</w:t>
      </w:r>
      <w:r>
        <w:rPr>
          <w:rFonts w:hint="eastAsia"/>
          <w:sz w:val="24"/>
          <w:highlight w:val="none"/>
          <w:u w:val="single"/>
          <w:lang w:val="en-US" w:eastAsia="zh-CN"/>
        </w:rPr>
        <w:t>属于叠合构件的一部分，非梁板类简支受弯构件，</w:t>
      </w:r>
      <w:r>
        <w:rPr>
          <w:sz w:val="24"/>
          <w:highlight w:val="none"/>
          <w:u w:val="single"/>
        </w:rPr>
        <w:t>进场时可仅做结构实体检测，不需做结构性能检验。</w:t>
      </w:r>
    </w:p>
    <w:p>
      <w:pPr>
        <w:numPr>
          <w:ilvl w:val="2"/>
          <w:numId w:val="1"/>
        </w:numPr>
        <w:bidi w:val="0"/>
        <w:rPr>
          <w:rFonts w:hint="default"/>
          <w:lang w:val="en-US" w:eastAsia="zh-CN"/>
        </w:rPr>
      </w:pPr>
      <w:r>
        <w:rPr>
          <w:rFonts w:hint="default"/>
          <w:lang w:val="en-US" w:eastAsia="zh-CN"/>
        </w:rPr>
        <w:t>预制底板的外观质量不应有严重缺陷，且不应有影响结构性能或安装、使用功能的尺寸偏差。</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检验方法：观察、尺量，检查处理记录。</w:t>
      </w:r>
    </w:p>
    <w:p>
      <w:pPr>
        <w:pStyle w:val="21"/>
        <w:bidi w:val="0"/>
        <w:ind w:left="0" w:leftChars="0" w:firstLine="0" w:firstLineChars="0"/>
        <w:rPr>
          <w:rFonts w:hint="default"/>
          <w:u w:val="single"/>
          <w:lang w:val="en-US" w:eastAsia="zh-CN"/>
        </w:rPr>
      </w:pPr>
      <w:r>
        <w:rPr>
          <w:rFonts w:hint="eastAsia"/>
          <w:u w:val="single"/>
          <w:lang w:val="en-US" w:eastAsia="zh-CN"/>
        </w:rPr>
        <w:t>【条文说明】8.2.2 对于出现的外观质量严重缺陷、影响结构性能和安装、使用功能的尺寸偏差应作退场处理。如经设计同意可以进行修理使用，则应制定处理方案并获得监理确认后，预制构件生产单位应按技术处理方案处理，修理后应重新验收。</w:t>
      </w:r>
    </w:p>
    <w:p>
      <w:pPr>
        <w:pStyle w:val="5"/>
        <w:bidi w:val="0"/>
        <w:rPr>
          <w:rFonts w:hint="default"/>
          <w:lang w:val="en-US" w:eastAsia="zh-CN"/>
        </w:rPr>
      </w:pPr>
      <w:r>
        <w:rPr>
          <w:rFonts w:hint="eastAsia" w:ascii="宋体" w:hAnsi="宋体" w:eastAsia="宋体" w:cs="宋体"/>
          <w:lang w:val="en-US" w:eastAsia="zh-CN"/>
        </w:rPr>
        <w:t>Ⅱ</w:t>
      </w:r>
      <w:r>
        <w:rPr>
          <w:rFonts w:hint="eastAsia" w:ascii="宋体" w:hAnsi="宋体" w:cs="宋体"/>
          <w:lang w:val="en-US" w:eastAsia="zh-CN"/>
        </w:rPr>
        <w:t xml:space="preserve"> </w:t>
      </w:r>
      <w:r>
        <w:rPr>
          <w:rFonts w:hint="default"/>
          <w:lang w:val="en-US" w:eastAsia="zh-CN"/>
        </w:rPr>
        <w:t>一般项目</w:t>
      </w:r>
    </w:p>
    <w:p>
      <w:pPr>
        <w:numPr>
          <w:ilvl w:val="2"/>
          <w:numId w:val="1"/>
        </w:numPr>
        <w:bidi w:val="0"/>
        <w:rPr>
          <w:rFonts w:hint="default"/>
          <w:lang w:val="en-US" w:eastAsia="zh-CN"/>
        </w:rPr>
      </w:pPr>
      <w:r>
        <w:rPr>
          <w:rFonts w:hint="default"/>
          <w:lang w:val="en-US" w:eastAsia="zh-CN"/>
        </w:rPr>
        <w:t>预制底板的外观质量不应有一般缺陷；当出现一般缺陷时，应按技术处理方案进行处理，并重新检查验收。</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检验方法：观察；检查技术处理方案和处理记录。</w:t>
      </w:r>
    </w:p>
    <w:p>
      <w:pPr>
        <w:numPr>
          <w:ilvl w:val="2"/>
          <w:numId w:val="1"/>
        </w:numPr>
        <w:bidi w:val="0"/>
        <w:rPr>
          <w:rFonts w:hint="default"/>
          <w:lang w:val="en-US" w:eastAsia="zh-CN"/>
        </w:rPr>
      </w:pPr>
      <w:r>
        <w:rPr>
          <w:rFonts w:hint="default"/>
          <w:lang w:val="en-US" w:eastAsia="zh-CN"/>
        </w:rPr>
        <w:t>预制底板的粗糙面</w:t>
      </w:r>
      <w:r>
        <w:rPr>
          <w:rFonts w:hint="eastAsia"/>
          <w:lang w:val="en-US" w:eastAsia="zh-CN"/>
        </w:rPr>
        <w:t>、键槽</w:t>
      </w:r>
      <w:r>
        <w:rPr>
          <w:rFonts w:hint="default"/>
          <w:lang w:val="en-US" w:eastAsia="zh-CN"/>
        </w:rPr>
        <w:t>质量应符合设计要求。检查数量：全数检查。</w:t>
      </w:r>
    </w:p>
    <w:p>
      <w:pPr>
        <w:pStyle w:val="21"/>
        <w:bidi w:val="0"/>
        <w:rPr>
          <w:rFonts w:hint="default"/>
          <w:lang w:val="en-US" w:eastAsia="zh-CN"/>
        </w:rPr>
      </w:pPr>
      <w:r>
        <w:rPr>
          <w:rFonts w:hint="default"/>
          <w:lang w:val="en-US" w:eastAsia="zh-CN"/>
        </w:rPr>
        <w:t>检验方法：观察或量测。</w:t>
      </w:r>
    </w:p>
    <w:p>
      <w:pPr>
        <w:numPr>
          <w:ilvl w:val="2"/>
          <w:numId w:val="1"/>
        </w:numPr>
        <w:bidi w:val="0"/>
        <w:rPr>
          <w:rFonts w:hint="default"/>
          <w:lang w:val="en-US" w:eastAsia="zh-CN"/>
        </w:rPr>
      </w:pPr>
      <w:r>
        <w:rPr>
          <w:rFonts w:hint="default"/>
          <w:lang w:val="en-US" w:eastAsia="zh-CN"/>
        </w:rPr>
        <w:t>预制底板的预留孔洞等的规格、数量、位置应符合设计要求。</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检验方法：观察，尺量；检查产品合格证。</w:t>
      </w:r>
    </w:p>
    <w:p>
      <w:pPr>
        <w:numPr>
          <w:ilvl w:val="2"/>
          <w:numId w:val="1"/>
        </w:numPr>
        <w:bidi w:val="0"/>
        <w:rPr>
          <w:rFonts w:hint="default"/>
          <w:lang w:val="en-US" w:eastAsia="zh-CN"/>
        </w:rPr>
      </w:pPr>
      <w:r>
        <w:rPr>
          <w:rFonts w:hint="default"/>
          <w:lang w:val="en-US" w:eastAsia="zh-CN"/>
        </w:rPr>
        <w:t>预制底板的尺寸偏差和检验方法应符合本</w:t>
      </w:r>
      <w:r>
        <w:rPr>
          <w:rFonts w:hint="eastAsia"/>
          <w:lang w:val="en-US" w:eastAsia="zh-CN"/>
        </w:rPr>
        <w:t>规程</w:t>
      </w:r>
      <w:r>
        <w:rPr>
          <w:rFonts w:hint="default"/>
          <w:lang w:val="en-US" w:eastAsia="zh-CN"/>
        </w:rPr>
        <w:t>第</w:t>
      </w:r>
      <w:r>
        <w:rPr>
          <w:rFonts w:hint="eastAsia"/>
          <w:lang w:val="en-US" w:eastAsia="zh-CN"/>
        </w:rPr>
        <w:t>6</w:t>
      </w:r>
      <w:r>
        <w:rPr>
          <w:rFonts w:hint="default"/>
          <w:lang w:val="en-US" w:eastAsia="zh-CN"/>
        </w:rPr>
        <w:t>.</w:t>
      </w:r>
      <w:r>
        <w:rPr>
          <w:rFonts w:hint="eastAsia"/>
          <w:lang w:val="en-US" w:eastAsia="zh-CN"/>
        </w:rPr>
        <w:t>8</w:t>
      </w:r>
      <w:r>
        <w:rPr>
          <w:rFonts w:hint="default"/>
          <w:lang w:val="en-US" w:eastAsia="zh-CN"/>
        </w:rPr>
        <w:t>.</w:t>
      </w:r>
      <w:r>
        <w:rPr>
          <w:rFonts w:hint="eastAsia"/>
          <w:lang w:val="en-US" w:eastAsia="zh-CN"/>
        </w:rPr>
        <w:t>4</w:t>
      </w:r>
      <w:r>
        <w:rPr>
          <w:rFonts w:hint="default"/>
          <w:lang w:val="en-US" w:eastAsia="zh-CN"/>
        </w:rPr>
        <w:t>条的规定。</w:t>
      </w:r>
    </w:p>
    <w:p>
      <w:pPr>
        <w:pStyle w:val="21"/>
        <w:bidi w:val="0"/>
        <w:rPr>
          <w:rFonts w:hint="default"/>
          <w:lang w:val="en-US" w:eastAsia="zh-CN"/>
        </w:rPr>
      </w:pPr>
      <w:r>
        <w:rPr>
          <w:rFonts w:hint="default"/>
          <w:lang w:val="en-US" w:eastAsia="zh-CN"/>
        </w:rPr>
        <w:t>检查数量：按批检查，同一规格预制底板抽检数量不应少于该规格构件数量的5%且不少于3件。</w:t>
      </w:r>
    </w:p>
    <w:p>
      <w:pPr>
        <w:pStyle w:val="4"/>
        <w:bidi w:val="0"/>
        <w:ind w:left="0" w:leftChars="0" w:firstLine="0" w:firstLineChars="0"/>
        <w:outlineLvl w:val="1"/>
        <w:rPr>
          <w:rFonts w:hint="default"/>
          <w:lang w:val="en-US" w:eastAsia="zh-CN"/>
        </w:rPr>
      </w:pPr>
      <w:bookmarkStart w:id="59" w:name="_Toc5249"/>
      <w:r>
        <w:rPr>
          <w:rFonts w:hint="eastAsia"/>
          <w:lang w:val="en-US" w:eastAsia="zh-CN"/>
        </w:rPr>
        <w:t>空心</w:t>
      </w:r>
      <w:r>
        <w:rPr>
          <w:rFonts w:hint="default"/>
          <w:lang w:val="en-US" w:eastAsia="zh-CN"/>
        </w:rPr>
        <w:t>叠合板质量验收</w:t>
      </w:r>
      <w:bookmarkEnd w:id="59"/>
    </w:p>
    <w:p>
      <w:pPr>
        <w:pStyle w:val="5"/>
        <w:bidi w:val="0"/>
        <w:rPr>
          <w:rFonts w:hint="default"/>
          <w:lang w:val="en-US" w:eastAsia="zh-CN"/>
        </w:rPr>
      </w:pPr>
      <w:r>
        <w:rPr>
          <w:rFonts w:hint="default"/>
          <w:lang w:val="en-US" w:eastAsia="zh-CN"/>
        </w:rPr>
        <w:t>Ⅰ</w:t>
      </w:r>
      <w:r>
        <w:rPr>
          <w:rFonts w:hint="eastAsia"/>
          <w:lang w:val="en-US" w:eastAsia="zh-CN"/>
        </w:rPr>
        <w:t xml:space="preserve"> </w:t>
      </w:r>
      <w:r>
        <w:rPr>
          <w:rFonts w:hint="default"/>
          <w:lang w:val="en-US" w:eastAsia="zh-CN"/>
        </w:rPr>
        <w:t>主控项目</w:t>
      </w:r>
    </w:p>
    <w:p>
      <w:pPr>
        <w:numPr>
          <w:ilvl w:val="2"/>
          <w:numId w:val="1"/>
        </w:numPr>
        <w:bidi w:val="0"/>
        <w:rPr>
          <w:rFonts w:hint="default"/>
          <w:lang w:val="en-US" w:eastAsia="zh-CN"/>
        </w:rPr>
      </w:pPr>
      <w:r>
        <w:rPr>
          <w:rFonts w:hint="default"/>
          <w:lang w:val="en-US" w:eastAsia="zh-CN"/>
        </w:rPr>
        <w:t>预制底板安装的临时支撑架体应符合设计、施工方案及现行国家标准《混凝土结构工程施工规范》GB 50666的有关规定。</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检验方法：观察；检查施工方案、施工记录或设计文件。</w:t>
      </w:r>
    </w:p>
    <w:p>
      <w:pPr>
        <w:numPr>
          <w:ilvl w:val="2"/>
          <w:numId w:val="1"/>
        </w:numPr>
        <w:bidi w:val="0"/>
        <w:rPr>
          <w:rFonts w:hint="default"/>
          <w:lang w:val="en-US" w:eastAsia="zh-CN"/>
        </w:rPr>
      </w:pPr>
      <w:r>
        <w:rPr>
          <w:rFonts w:hint="default"/>
          <w:lang w:val="en-US" w:eastAsia="zh-CN"/>
        </w:rPr>
        <w:t>浇筑</w:t>
      </w:r>
      <w:r>
        <w:rPr>
          <w:rFonts w:hint="eastAsia"/>
          <w:lang w:val="en-US" w:eastAsia="zh-CN"/>
        </w:rPr>
        <w:t>后浇</w:t>
      </w:r>
      <w:r>
        <w:rPr>
          <w:rFonts w:hint="default"/>
          <w:lang w:val="en-US" w:eastAsia="zh-CN"/>
        </w:rPr>
        <w:t>混凝土前，应进行隐蔽工程验收，验收内容应符合本</w:t>
      </w:r>
      <w:r>
        <w:rPr>
          <w:rFonts w:hint="eastAsia"/>
          <w:lang w:val="en-US" w:eastAsia="zh-CN"/>
        </w:rPr>
        <w:t>规程</w:t>
      </w:r>
      <w:r>
        <w:rPr>
          <w:rFonts w:hint="default"/>
          <w:lang w:val="en-US" w:eastAsia="zh-CN"/>
        </w:rPr>
        <w:t>第</w:t>
      </w:r>
      <w:r>
        <w:rPr>
          <w:rFonts w:hint="eastAsia"/>
          <w:lang w:val="en-US" w:eastAsia="zh-CN"/>
        </w:rPr>
        <w:t>8</w:t>
      </w:r>
      <w:r>
        <w:rPr>
          <w:rFonts w:hint="default"/>
          <w:lang w:val="en-US" w:eastAsia="zh-CN"/>
        </w:rPr>
        <w:t>.1.3条的规定。</w:t>
      </w:r>
    </w:p>
    <w:p>
      <w:pPr>
        <w:pStyle w:val="21"/>
        <w:bidi w:val="0"/>
        <w:rPr>
          <w:rFonts w:hint="default"/>
          <w:lang w:val="en-US" w:eastAsia="zh-CN"/>
        </w:rPr>
      </w:pPr>
      <w:r>
        <w:rPr>
          <w:rFonts w:hint="default"/>
          <w:lang w:val="en-US" w:eastAsia="zh-CN"/>
        </w:rPr>
        <w:t xml:space="preserve">检查数量：全数检查。 </w:t>
      </w:r>
    </w:p>
    <w:p>
      <w:pPr>
        <w:pStyle w:val="21"/>
        <w:bidi w:val="0"/>
        <w:rPr>
          <w:rFonts w:hint="default"/>
          <w:lang w:val="en-US" w:eastAsia="zh-CN"/>
        </w:rPr>
      </w:pPr>
      <w:r>
        <w:rPr>
          <w:rFonts w:hint="default"/>
          <w:lang w:val="en-US" w:eastAsia="zh-CN"/>
        </w:rPr>
        <w:t>检验方法：观察；尺量。</w:t>
      </w:r>
    </w:p>
    <w:p>
      <w:pPr>
        <w:numPr>
          <w:ilvl w:val="2"/>
          <w:numId w:val="1"/>
        </w:numPr>
        <w:bidi w:val="0"/>
        <w:rPr>
          <w:rFonts w:hint="default"/>
          <w:highlight w:val="none"/>
          <w:lang w:val="en-US" w:eastAsia="zh-CN"/>
        </w:rPr>
      </w:pPr>
      <w:r>
        <w:rPr>
          <w:rFonts w:hint="default"/>
          <w:highlight w:val="none"/>
          <w:lang w:val="en-US" w:eastAsia="zh-CN"/>
        </w:rPr>
        <w:t>钢筋机械连接</w:t>
      </w:r>
      <w:r>
        <w:rPr>
          <w:rFonts w:hint="eastAsia"/>
          <w:highlight w:val="none"/>
          <w:lang w:val="en-US" w:eastAsia="zh-CN"/>
        </w:rPr>
        <w:t>的</w:t>
      </w:r>
      <w:r>
        <w:rPr>
          <w:rFonts w:hint="default"/>
          <w:highlight w:val="none"/>
          <w:lang w:val="en-US" w:eastAsia="zh-CN"/>
        </w:rPr>
        <w:t>接头质量应符合现行行业标准《钢筋机械连接技术规程》JGJ 107的有关规定。</w:t>
      </w:r>
    </w:p>
    <w:p>
      <w:pPr>
        <w:pStyle w:val="21"/>
        <w:bidi w:val="0"/>
        <w:rPr>
          <w:rFonts w:hint="default"/>
          <w:highlight w:val="none"/>
          <w:lang w:val="en-US" w:eastAsia="zh-CN"/>
        </w:rPr>
      </w:pPr>
      <w:r>
        <w:rPr>
          <w:rFonts w:hint="default"/>
          <w:highlight w:val="none"/>
          <w:lang w:val="en-US" w:eastAsia="zh-CN"/>
        </w:rPr>
        <w:t>检查数量</w:t>
      </w:r>
      <w:r>
        <w:rPr>
          <w:rFonts w:hint="eastAsia"/>
          <w:highlight w:val="none"/>
          <w:lang w:val="en-US" w:eastAsia="zh-CN"/>
        </w:rPr>
        <w:t>：</w:t>
      </w:r>
      <w:r>
        <w:rPr>
          <w:rFonts w:hint="default"/>
          <w:highlight w:val="none"/>
          <w:lang w:val="en-US" w:eastAsia="zh-CN"/>
        </w:rPr>
        <w:t>应符合现行行业标准《钢筋机械连接技术规程》JGJ 107的有关规定</w:t>
      </w:r>
      <w:r>
        <w:rPr>
          <w:rFonts w:hint="eastAsia"/>
          <w:highlight w:val="none"/>
          <w:lang w:val="en-US" w:eastAsia="zh-CN"/>
        </w:rPr>
        <w:t>。</w:t>
      </w:r>
    </w:p>
    <w:p>
      <w:pPr>
        <w:pStyle w:val="21"/>
        <w:bidi w:val="0"/>
        <w:rPr>
          <w:rFonts w:hint="eastAsia"/>
          <w:highlight w:val="none"/>
          <w:lang w:val="en-US" w:eastAsia="zh-CN"/>
        </w:rPr>
      </w:pPr>
      <w:r>
        <w:rPr>
          <w:rFonts w:hint="default"/>
          <w:highlight w:val="none"/>
          <w:lang w:val="en-US" w:eastAsia="zh-CN"/>
        </w:rPr>
        <w:t>检验方法</w:t>
      </w:r>
      <w:r>
        <w:rPr>
          <w:rFonts w:hint="eastAsia"/>
          <w:highlight w:val="none"/>
          <w:lang w:val="en-US" w:eastAsia="zh-CN"/>
        </w:rPr>
        <w:t>：</w:t>
      </w:r>
      <w:r>
        <w:rPr>
          <w:rFonts w:hint="default"/>
          <w:highlight w:val="none"/>
          <w:lang w:val="en-US" w:eastAsia="zh-CN"/>
        </w:rPr>
        <w:t>检查钢筋机械连接施工记录及平行试件的强度试验报告</w:t>
      </w:r>
      <w:r>
        <w:rPr>
          <w:rFonts w:hint="eastAsia"/>
          <w:highlight w:val="none"/>
          <w:lang w:val="en-US" w:eastAsia="zh-CN"/>
        </w:rPr>
        <w:t>。</w:t>
      </w:r>
    </w:p>
    <w:p>
      <w:pPr>
        <w:pStyle w:val="21"/>
        <w:bidi w:val="0"/>
        <w:ind w:left="0" w:leftChars="0" w:firstLine="0" w:firstLineChars="0"/>
        <w:rPr>
          <w:rFonts w:hint="default"/>
          <w:u w:val="single"/>
          <w:lang w:val="en-US" w:eastAsia="zh-CN"/>
        </w:rPr>
      </w:pPr>
      <w:r>
        <w:rPr>
          <w:rFonts w:hint="eastAsia"/>
          <w:u w:val="single"/>
          <w:lang w:val="en-US" w:eastAsia="zh-CN"/>
        </w:rPr>
        <w:t>【条文说明】8.3.3 本条规定根据现行国家标准《</w:t>
      </w:r>
      <w:r>
        <w:rPr>
          <w:rFonts w:hint="default"/>
          <w:u w:val="single"/>
          <w:lang w:val="en-US" w:eastAsia="zh-CN"/>
        </w:rPr>
        <w:t>混凝土结构工程施工质量验收规范</w:t>
      </w:r>
      <w:r>
        <w:rPr>
          <w:rFonts w:hint="eastAsia"/>
          <w:u w:val="single"/>
          <w:lang w:val="en-US" w:eastAsia="zh-CN"/>
        </w:rPr>
        <w:t>》</w:t>
      </w:r>
      <w:r>
        <w:rPr>
          <w:rFonts w:hint="default"/>
          <w:u w:val="single"/>
          <w:lang w:val="en-US" w:eastAsia="zh-CN"/>
        </w:rPr>
        <w:t>GB 50204</w:t>
      </w:r>
      <w:r>
        <w:rPr>
          <w:rFonts w:hint="eastAsia"/>
          <w:u w:val="single"/>
          <w:lang w:val="en-US" w:eastAsia="zh-CN"/>
        </w:rPr>
        <w:t>有关装配式结构分项工程方面的规定提出。</w:t>
      </w:r>
    </w:p>
    <w:p>
      <w:pPr>
        <w:numPr>
          <w:ilvl w:val="2"/>
          <w:numId w:val="1"/>
        </w:numPr>
        <w:bidi w:val="0"/>
        <w:rPr>
          <w:rFonts w:hint="default"/>
          <w:lang w:val="en-US" w:eastAsia="zh-CN"/>
        </w:rPr>
      </w:pPr>
      <w:r>
        <w:rPr>
          <w:rFonts w:hint="default"/>
          <w:lang w:val="en-US" w:eastAsia="zh-CN"/>
        </w:rPr>
        <w:t>后浇混凝土强度应符合设计要求。</w:t>
      </w:r>
    </w:p>
    <w:p>
      <w:pPr>
        <w:pStyle w:val="21"/>
        <w:bidi w:val="0"/>
        <w:rPr>
          <w:rFonts w:hint="default"/>
          <w:lang w:val="en-US" w:eastAsia="zh-CN"/>
        </w:rPr>
      </w:pPr>
      <w:r>
        <w:rPr>
          <w:rFonts w:hint="default"/>
          <w:lang w:val="en-US" w:eastAsia="zh-CN"/>
        </w:rPr>
        <w:t>检查数量：按批检查。</w:t>
      </w:r>
    </w:p>
    <w:p>
      <w:pPr>
        <w:pStyle w:val="21"/>
        <w:bidi w:val="0"/>
        <w:rPr>
          <w:rFonts w:hint="default"/>
          <w:lang w:val="en-US" w:eastAsia="zh-CN"/>
        </w:rPr>
      </w:pPr>
      <w:r>
        <w:rPr>
          <w:rFonts w:hint="default"/>
          <w:lang w:val="en-US" w:eastAsia="zh-CN"/>
        </w:rPr>
        <w:t>检验方法：检查混凝土强度试验报告。</w:t>
      </w:r>
    </w:p>
    <w:p>
      <w:pPr>
        <w:numPr>
          <w:ilvl w:val="2"/>
          <w:numId w:val="1"/>
        </w:numPr>
        <w:bidi w:val="0"/>
        <w:rPr>
          <w:rFonts w:hint="default"/>
          <w:lang w:val="en-US" w:eastAsia="zh-CN"/>
        </w:rPr>
      </w:pPr>
      <w:r>
        <w:rPr>
          <w:rFonts w:hint="default"/>
          <w:lang w:val="en-US" w:eastAsia="zh-CN"/>
        </w:rPr>
        <w:t>混凝土运输、浇筑及间歇的全部时间不应超过混凝土的初凝时间。</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检验方法：观察，检查施工记录。</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叠合板的外观质量不应有严重缺陷，且不应有影响结构性能或安装、使用功能的尺寸偏差。</w:t>
      </w:r>
    </w:p>
    <w:p>
      <w:pPr>
        <w:pStyle w:val="21"/>
        <w:bidi w:val="0"/>
        <w:rPr>
          <w:rFonts w:hint="default"/>
          <w:lang w:val="en-US" w:eastAsia="zh-CN"/>
        </w:rPr>
      </w:pPr>
      <w:r>
        <w:rPr>
          <w:rFonts w:hint="default"/>
          <w:lang w:val="en-US" w:eastAsia="zh-CN"/>
        </w:rPr>
        <w:t xml:space="preserve">检查数量：全数检查。 </w:t>
      </w:r>
    </w:p>
    <w:p>
      <w:pPr>
        <w:pStyle w:val="21"/>
        <w:bidi w:val="0"/>
        <w:rPr>
          <w:rFonts w:hint="default"/>
          <w:lang w:val="en-US" w:eastAsia="zh-CN"/>
        </w:rPr>
      </w:pPr>
      <w:r>
        <w:rPr>
          <w:rFonts w:hint="default"/>
          <w:lang w:val="en-US" w:eastAsia="zh-CN"/>
        </w:rPr>
        <w:t>检验方法：观察，尺量。</w:t>
      </w:r>
    </w:p>
    <w:p>
      <w:pPr>
        <w:pStyle w:val="5"/>
        <w:bidi w:val="0"/>
        <w:rPr>
          <w:rFonts w:hint="default"/>
          <w:lang w:val="en-US" w:eastAsia="zh-CN"/>
        </w:rPr>
      </w:pPr>
      <w:r>
        <w:rPr>
          <w:rFonts w:hint="eastAsia"/>
          <w:lang w:val="en-US" w:eastAsia="zh-CN"/>
        </w:rPr>
        <w:t xml:space="preserve">Ⅱ </w:t>
      </w:r>
      <w:r>
        <w:rPr>
          <w:rFonts w:hint="default"/>
          <w:lang w:val="en-US" w:eastAsia="zh-CN"/>
        </w:rPr>
        <w:t>一般项目</w:t>
      </w:r>
    </w:p>
    <w:p>
      <w:pPr>
        <w:numPr>
          <w:ilvl w:val="2"/>
          <w:numId w:val="1"/>
        </w:numPr>
        <w:bidi w:val="0"/>
        <w:rPr>
          <w:rFonts w:hint="default"/>
          <w:lang w:val="en-US" w:eastAsia="zh-CN"/>
        </w:rPr>
      </w:pPr>
      <w:r>
        <w:rPr>
          <w:rFonts w:hint="default"/>
          <w:lang w:val="en-US" w:eastAsia="zh-CN"/>
        </w:rPr>
        <w:t>预制底板安装的允许偏差和检验方法应符合设计要求；当设计无具体要求时，应符合</w:t>
      </w:r>
      <w:r>
        <w:rPr>
          <w:rFonts w:hint="default"/>
          <w:lang w:val="en-US" w:eastAsia="zh-CN"/>
        </w:rPr>
        <w:fldChar w:fldCharType="begin"/>
      </w:r>
      <w:r>
        <w:rPr>
          <w:rFonts w:hint="default"/>
          <w:lang w:val="en-US" w:eastAsia="zh-CN"/>
        </w:rPr>
        <w:instrText xml:space="preserve"> REF _Ref7337 \h </w:instrText>
      </w:r>
      <w:r>
        <w:rPr>
          <w:rFonts w:hint="default"/>
          <w:lang w:val="en-US" w:eastAsia="zh-CN"/>
        </w:rPr>
        <w:fldChar w:fldCharType="separate"/>
      </w:r>
      <w:r>
        <w:t>表</w:t>
      </w:r>
      <w:r>
        <w:rPr>
          <w:rFonts w:hint="eastAsia"/>
          <w:lang w:val="en-US" w:eastAsia="zh-CN"/>
        </w:rPr>
        <w:t>8</w:t>
      </w:r>
      <w:r>
        <w:t>.3.1</w:t>
      </w:r>
      <w:r>
        <w:rPr>
          <w:rFonts w:hint="default"/>
          <w:lang w:val="en-US" w:eastAsia="zh-CN"/>
        </w:rPr>
        <w:fldChar w:fldCharType="end"/>
      </w:r>
      <w:r>
        <w:rPr>
          <w:rFonts w:hint="default"/>
          <w:lang w:val="en-US" w:eastAsia="zh-CN"/>
        </w:rPr>
        <w:t>的规定</w:t>
      </w:r>
      <w:r>
        <w:rPr>
          <w:rFonts w:hint="eastAsia"/>
          <w:lang w:val="en-US" w:eastAsia="zh-CN"/>
        </w:rPr>
        <w:t>。</w:t>
      </w:r>
    </w:p>
    <w:p>
      <w:pPr>
        <w:pStyle w:val="23"/>
        <w:bidi w:val="0"/>
        <w:rPr>
          <w:rFonts w:hint="default"/>
          <w:lang w:val="en-US" w:eastAsia="zh-CN"/>
        </w:rPr>
      </w:pPr>
      <w:bookmarkStart w:id="60" w:name="_Ref7337"/>
      <w:r>
        <w:t>表</w:t>
      </w:r>
      <w:r>
        <w:rPr>
          <w:rFonts w:hint="eastAsia"/>
          <w:lang w:val="en-US" w:eastAsia="zh-CN"/>
        </w:rPr>
        <w:t>8</w:t>
      </w:r>
      <w:r>
        <w:t>.3.</w:t>
      </w:r>
      <w:r>
        <w:fldChar w:fldCharType="begin"/>
      </w:r>
      <w:r>
        <w:instrText xml:space="preserve"> SEQ 表12.3. \* ARABIC </w:instrText>
      </w:r>
      <w:r>
        <w:fldChar w:fldCharType="separate"/>
      </w:r>
      <w:r>
        <w:t>1</w:t>
      </w:r>
      <w:r>
        <w:fldChar w:fldCharType="end"/>
      </w:r>
      <w:bookmarkEnd w:id="60"/>
      <w:r>
        <w:rPr>
          <w:rFonts w:hint="default"/>
          <w:lang w:val="en-US" w:eastAsia="zh-CN"/>
        </w:rPr>
        <w:t>预制底板安装允许偏差和检验方法</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1708"/>
        <w:gridCol w:w="1615"/>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项次</w:t>
            </w:r>
          </w:p>
        </w:tc>
        <w:tc>
          <w:tcPr>
            <w:tcW w:w="1708" w:type="dxa"/>
            <w:vAlign w:val="center"/>
          </w:tcPr>
          <w:p>
            <w:pPr>
              <w:pStyle w:val="29"/>
              <w:bidi w:val="0"/>
              <w:jc w:val="center"/>
              <w:rPr>
                <w:rFonts w:hint="default"/>
                <w:lang w:val="en-US" w:eastAsia="zh-CN"/>
              </w:rPr>
            </w:pPr>
            <w:r>
              <w:rPr>
                <w:rFonts w:hint="eastAsia"/>
                <w:lang w:val="en-US" w:eastAsia="zh-CN"/>
              </w:rPr>
              <w:t>检验</w:t>
            </w:r>
            <w:r>
              <w:rPr>
                <w:rFonts w:hint="default"/>
                <w:lang w:val="en-US" w:eastAsia="zh-CN"/>
              </w:rPr>
              <w:t>项目</w:t>
            </w:r>
          </w:p>
        </w:tc>
        <w:tc>
          <w:tcPr>
            <w:tcW w:w="1615" w:type="dxa"/>
            <w:vAlign w:val="center"/>
          </w:tcPr>
          <w:p>
            <w:pPr>
              <w:pStyle w:val="29"/>
              <w:bidi w:val="0"/>
              <w:jc w:val="center"/>
              <w:rPr>
                <w:rFonts w:hint="default"/>
                <w:lang w:val="en-US" w:eastAsia="zh-CN"/>
              </w:rPr>
            </w:pPr>
            <w:r>
              <w:rPr>
                <w:rFonts w:hint="default"/>
                <w:lang w:val="en-US" w:eastAsia="zh-CN"/>
              </w:rPr>
              <w:t>允许偏差（mm</w:t>
            </w:r>
            <w:r>
              <w:rPr>
                <w:rFonts w:hint="eastAsia"/>
                <w:lang w:val="en-US" w:eastAsia="zh-CN"/>
              </w:rPr>
              <w:t>）</w:t>
            </w:r>
          </w:p>
        </w:tc>
        <w:tc>
          <w:tcPr>
            <w:tcW w:w="3016" w:type="dxa"/>
            <w:vAlign w:val="center"/>
          </w:tcPr>
          <w:p>
            <w:pPr>
              <w:pStyle w:val="29"/>
              <w:bidi w:val="0"/>
              <w:jc w:val="center"/>
              <w:rPr>
                <w:rFonts w:hint="default"/>
                <w:lang w:val="en-US" w:eastAsia="zh-CN"/>
              </w:rPr>
            </w:pPr>
            <w:r>
              <w:rPr>
                <w:rFonts w:hint="default"/>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24" w:type="dxa"/>
            <w:vAlign w:val="center"/>
          </w:tcPr>
          <w:p>
            <w:pPr>
              <w:pStyle w:val="29"/>
              <w:bidi w:val="0"/>
              <w:jc w:val="center"/>
              <w:rPr>
                <w:rFonts w:hint="default"/>
                <w:lang w:val="en-US" w:eastAsia="zh-CN"/>
              </w:rPr>
            </w:pPr>
            <w:r>
              <w:rPr>
                <w:rFonts w:hint="eastAsia"/>
                <w:lang w:val="en-US" w:eastAsia="zh-CN"/>
              </w:rPr>
              <w:t>1</w:t>
            </w:r>
          </w:p>
        </w:tc>
        <w:tc>
          <w:tcPr>
            <w:tcW w:w="1708" w:type="dxa"/>
            <w:vAlign w:val="center"/>
          </w:tcPr>
          <w:p>
            <w:pPr>
              <w:pStyle w:val="29"/>
              <w:bidi w:val="0"/>
              <w:jc w:val="center"/>
              <w:rPr>
                <w:rFonts w:hint="default"/>
                <w:lang w:val="en-US" w:eastAsia="zh-CN"/>
              </w:rPr>
            </w:pPr>
            <w:r>
              <w:rPr>
                <w:rFonts w:hint="eastAsia"/>
                <w:lang w:val="en-US" w:eastAsia="zh-CN"/>
              </w:rPr>
              <w:t>预制底板中心线对轴线位置</w:t>
            </w:r>
          </w:p>
        </w:tc>
        <w:tc>
          <w:tcPr>
            <w:tcW w:w="1615" w:type="dxa"/>
            <w:vAlign w:val="center"/>
          </w:tcPr>
          <w:p>
            <w:pPr>
              <w:pStyle w:val="29"/>
              <w:bidi w:val="0"/>
              <w:jc w:val="center"/>
              <w:rPr>
                <w:rFonts w:hint="default"/>
                <w:lang w:val="en-US" w:eastAsia="zh-CN"/>
              </w:rPr>
            </w:pPr>
            <w:r>
              <w:rPr>
                <w:rFonts w:hint="eastAsia"/>
                <w:lang w:val="en-US" w:eastAsia="zh-CN"/>
              </w:rPr>
              <w:t>5</w:t>
            </w:r>
          </w:p>
        </w:tc>
        <w:tc>
          <w:tcPr>
            <w:tcW w:w="3016" w:type="dxa"/>
            <w:vAlign w:val="center"/>
          </w:tcPr>
          <w:p>
            <w:pPr>
              <w:pStyle w:val="31"/>
              <w:spacing w:before="15" w:beforeLines="0" w:afterLines="0"/>
              <w:ind w:left="107"/>
              <w:rPr>
                <w:rFonts w:hint="default"/>
                <w:lang w:val="en-US" w:eastAsia="zh-CN"/>
              </w:rPr>
            </w:pPr>
            <w:r>
              <w:rPr>
                <w:rFonts w:hint="eastAsia"/>
                <w:sz w:val="22"/>
                <w:szCs w:val="22"/>
              </w:rPr>
              <w:t>用经纬仪及钢尺量；或用带数字显示的卷尺量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2</w:t>
            </w:r>
          </w:p>
        </w:tc>
        <w:tc>
          <w:tcPr>
            <w:tcW w:w="1708" w:type="dxa"/>
            <w:vAlign w:val="center"/>
          </w:tcPr>
          <w:p>
            <w:pPr>
              <w:pStyle w:val="29"/>
              <w:bidi w:val="0"/>
              <w:jc w:val="center"/>
              <w:rPr>
                <w:rFonts w:hint="default"/>
                <w:lang w:val="en-US" w:eastAsia="zh-CN"/>
              </w:rPr>
            </w:pPr>
            <w:r>
              <w:rPr>
                <w:rFonts w:hint="default"/>
                <w:lang w:val="en-US" w:eastAsia="zh-CN"/>
              </w:rPr>
              <w:t>预制底板板底标高</w:t>
            </w:r>
          </w:p>
        </w:tc>
        <w:tc>
          <w:tcPr>
            <w:tcW w:w="1615" w:type="dxa"/>
            <w:vAlign w:val="center"/>
          </w:tcPr>
          <w:p>
            <w:pPr>
              <w:pStyle w:val="29"/>
              <w:bidi w:val="0"/>
              <w:jc w:val="center"/>
              <w:rPr>
                <w:rFonts w:hint="default"/>
                <w:lang w:val="en-US" w:eastAsia="zh-CN"/>
              </w:rPr>
            </w:pPr>
            <w:r>
              <w:rPr>
                <w:rFonts w:hint="eastAsia"/>
                <w:lang w:val="en-US" w:eastAsia="zh-CN"/>
              </w:rPr>
              <w:t>±5</w:t>
            </w:r>
          </w:p>
        </w:tc>
        <w:tc>
          <w:tcPr>
            <w:tcW w:w="3016" w:type="dxa"/>
            <w:vAlign w:val="center"/>
          </w:tcPr>
          <w:p>
            <w:pPr>
              <w:pStyle w:val="29"/>
              <w:bidi w:val="0"/>
              <w:jc w:val="center"/>
              <w:rPr>
                <w:rFonts w:hint="default"/>
                <w:lang w:val="en-US" w:eastAsia="zh-CN"/>
              </w:rPr>
            </w:pPr>
            <w:r>
              <w:rPr>
                <w:rFonts w:hint="default"/>
                <w:lang w:val="en-US" w:eastAsia="zh-CN"/>
              </w:rPr>
              <w:t>用水准仪或拉线、钢尺量；或用带数字显示的卷尺量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3</w:t>
            </w:r>
          </w:p>
        </w:tc>
        <w:tc>
          <w:tcPr>
            <w:tcW w:w="1708" w:type="dxa"/>
            <w:vAlign w:val="center"/>
          </w:tcPr>
          <w:p>
            <w:pPr>
              <w:pStyle w:val="29"/>
              <w:bidi w:val="0"/>
              <w:jc w:val="center"/>
              <w:rPr>
                <w:rFonts w:hint="default"/>
                <w:lang w:val="en-US" w:eastAsia="zh-CN"/>
              </w:rPr>
            </w:pPr>
            <w:r>
              <w:rPr>
                <w:rFonts w:hint="default"/>
                <w:lang w:val="en-US" w:eastAsia="zh-CN"/>
              </w:rPr>
              <w:t>预制底板搁置长度</w:t>
            </w:r>
          </w:p>
        </w:tc>
        <w:tc>
          <w:tcPr>
            <w:tcW w:w="1615" w:type="dxa"/>
            <w:vAlign w:val="center"/>
          </w:tcPr>
          <w:p>
            <w:pPr>
              <w:pStyle w:val="29"/>
              <w:bidi w:val="0"/>
              <w:jc w:val="center"/>
              <w:rPr>
                <w:rFonts w:hint="default"/>
                <w:lang w:val="en-US" w:eastAsia="zh-CN"/>
              </w:rPr>
            </w:pPr>
            <w:r>
              <w:rPr>
                <w:rFonts w:hint="eastAsia"/>
                <w:lang w:val="en-US" w:eastAsia="zh-CN"/>
              </w:rPr>
              <w:t>±10</w:t>
            </w:r>
          </w:p>
        </w:tc>
        <w:tc>
          <w:tcPr>
            <w:tcW w:w="3016" w:type="dxa"/>
            <w:vAlign w:val="center"/>
          </w:tcPr>
          <w:p>
            <w:pPr>
              <w:pStyle w:val="29"/>
              <w:bidi w:val="0"/>
              <w:jc w:val="center"/>
              <w:rPr>
                <w:rFonts w:hint="default"/>
                <w:lang w:val="en-US" w:eastAsia="zh-CN"/>
              </w:rPr>
            </w:pPr>
            <w:r>
              <w:rPr>
                <w:rFonts w:hint="default"/>
                <w:lang w:val="en-US" w:eastAsia="zh-CN"/>
              </w:rPr>
              <w:t>用钢尺或带数字显示的卷尺量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dxa"/>
            <w:vAlign w:val="center"/>
          </w:tcPr>
          <w:p>
            <w:pPr>
              <w:pStyle w:val="29"/>
              <w:bidi w:val="0"/>
              <w:jc w:val="center"/>
              <w:rPr>
                <w:rFonts w:hint="default"/>
                <w:lang w:val="en-US" w:eastAsia="zh-CN"/>
              </w:rPr>
            </w:pPr>
            <w:r>
              <w:rPr>
                <w:rFonts w:hint="eastAsia"/>
                <w:lang w:val="en-US" w:eastAsia="zh-CN"/>
              </w:rPr>
              <w:t>4</w:t>
            </w:r>
          </w:p>
        </w:tc>
        <w:tc>
          <w:tcPr>
            <w:tcW w:w="1708" w:type="dxa"/>
            <w:vAlign w:val="center"/>
          </w:tcPr>
          <w:p>
            <w:pPr>
              <w:pStyle w:val="29"/>
              <w:bidi w:val="0"/>
              <w:jc w:val="center"/>
              <w:rPr>
                <w:rFonts w:hint="default"/>
                <w:lang w:val="en-US" w:eastAsia="zh-CN"/>
              </w:rPr>
            </w:pPr>
            <w:r>
              <w:rPr>
                <w:rFonts w:hint="eastAsia"/>
              </w:rPr>
              <w:t>相邻预制底板板底平整度</w:t>
            </w:r>
          </w:p>
        </w:tc>
        <w:tc>
          <w:tcPr>
            <w:tcW w:w="1615" w:type="dxa"/>
            <w:vAlign w:val="center"/>
          </w:tcPr>
          <w:p>
            <w:pPr>
              <w:pStyle w:val="29"/>
              <w:bidi w:val="0"/>
              <w:jc w:val="center"/>
              <w:rPr>
                <w:rFonts w:hint="default"/>
                <w:lang w:val="en-US" w:eastAsia="zh-CN"/>
              </w:rPr>
            </w:pPr>
            <w:r>
              <w:rPr>
                <w:rFonts w:hint="eastAsia"/>
                <w:lang w:val="en-US" w:eastAsia="zh-CN"/>
              </w:rPr>
              <w:t>3</w:t>
            </w:r>
          </w:p>
        </w:tc>
        <w:tc>
          <w:tcPr>
            <w:tcW w:w="3016" w:type="dxa"/>
            <w:vAlign w:val="center"/>
          </w:tcPr>
          <w:p>
            <w:pPr>
              <w:pStyle w:val="29"/>
              <w:bidi w:val="0"/>
              <w:jc w:val="center"/>
              <w:rPr>
                <w:rFonts w:hint="default"/>
                <w:lang w:val="en-US" w:eastAsia="zh-CN"/>
              </w:rPr>
            </w:pPr>
            <w:r>
              <w:rPr>
                <w:rFonts w:hint="default"/>
                <w:lang w:val="en-US" w:eastAsia="zh-CN"/>
              </w:rPr>
              <w:t>用2m靠尺和塞尺量；或用2m靠尺和带数字显示的塞尺量</w:t>
            </w:r>
          </w:p>
        </w:tc>
      </w:tr>
    </w:tbl>
    <w:p>
      <w:pPr>
        <w:pStyle w:val="21"/>
        <w:bidi w:val="0"/>
        <w:rPr>
          <w:rFonts w:hint="default"/>
          <w:lang w:val="en-US" w:eastAsia="zh-CN"/>
        </w:rPr>
      </w:pPr>
      <w:r>
        <w:rPr>
          <w:rFonts w:hint="default"/>
          <w:lang w:val="en-US" w:eastAsia="zh-CN"/>
        </w:rPr>
        <w:t>检查数量：按楼层、结构缝或施工段划分检验批。同一检验批内，应按有代表性的自然间抽查10%，且不少于3间；对大空间结构，可按纵、横轴线划分检查面，抽查10%，且不少于3面。</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叠合板厚度的偏差应符合设计要求；当设计无具体要求时，厚度允许偏差应为</w:t>
      </w:r>
      <w:r>
        <w:rPr>
          <w:rFonts w:hint="eastAsia"/>
          <w:lang w:val="en-US" w:eastAsia="zh-CN"/>
        </w:rPr>
        <w:t>±</w:t>
      </w:r>
      <w:r>
        <w:rPr>
          <w:rFonts w:hint="default"/>
          <w:lang w:val="en-US" w:eastAsia="zh-CN"/>
        </w:rPr>
        <w:t>5mm。</w:t>
      </w:r>
    </w:p>
    <w:p>
      <w:pPr>
        <w:pStyle w:val="21"/>
        <w:bidi w:val="0"/>
        <w:rPr>
          <w:rFonts w:hint="default"/>
          <w:lang w:val="en-US" w:eastAsia="zh-CN"/>
        </w:rPr>
      </w:pPr>
      <w:r>
        <w:rPr>
          <w:rFonts w:hint="default"/>
          <w:lang w:val="en-US" w:eastAsia="zh-CN"/>
        </w:rPr>
        <w:t>检查数量：按楼层、结构缝或施工段划分检验批。同一检验批内，应按有代表性的自然间抽查10%，且不少于3间；对大空间结构，可按纵、横轴线划分检查面，抽查10%，且不少于3面。</w:t>
      </w:r>
    </w:p>
    <w:p>
      <w:pPr>
        <w:pStyle w:val="21"/>
        <w:bidi w:val="0"/>
        <w:rPr>
          <w:rFonts w:hint="default"/>
          <w:lang w:val="en-US" w:eastAsia="zh-CN"/>
        </w:rPr>
      </w:pPr>
      <w:r>
        <w:rPr>
          <w:rFonts w:hint="default"/>
          <w:lang w:val="en-US" w:eastAsia="zh-CN"/>
        </w:rPr>
        <w:t>检验方法：尺量。</w:t>
      </w:r>
    </w:p>
    <w:p>
      <w:pPr>
        <w:numPr>
          <w:ilvl w:val="2"/>
          <w:numId w:val="1"/>
        </w:numPr>
        <w:bidi w:val="0"/>
        <w:rPr>
          <w:rFonts w:hint="default"/>
          <w:lang w:val="en-US" w:eastAsia="zh-CN"/>
        </w:rPr>
      </w:pPr>
      <w:r>
        <w:rPr>
          <w:rFonts w:hint="eastAsia"/>
          <w:lang w:val="en-US" w:eastAsia="zh-CN"/>
        </w:rPr>
        <w:t>空心</w:t>
      </w:r>
      <w:r>
        <w:rPr>
          <w:rFonts w:hint="default"/>
          <w:lang w:val="en-US" w:eastAsia="zh-CN"/>
        </w:rPr>
        <w:t>叠合板的外观质量不应有一般缺陷；当出现一般缺陷时，应按技术处理方案进行处理，并重新检查验收。</w:t>
      </w:r>
    </w:p>
    <w:p>
      <w:pPr>
        <w:pStyle w:val="21"/>
        <w:bidi w:val="0"/>
        <w:rPr>
          <w:rFonts w:hint="default"/>
          <w:lang w:val="en-US" w:eastAsia="zh-CN"/>
        </w:rPr>
      </w:pPr>
      <w:r>
        <w:rPr>
          <w:rFonts w:hint="default"/>
          <w:lang w:val="en-US" w:eastAsia="zh-CN"/>
        </w:rPr>
        <w:t>检查数量：全数检查。</w:t>
      </w:r>
    </w:p>
    <w:p>
      <w:pPr>
        <w:pStyle w:val="21"/>
        <w:bidi w:val="0"/>
        <w:rPr>
          <w:rFonts w:hint="default"/>
          <w:lang w:val="en-US" w:eastAsia="zh-CN"/>
        </w:rPr>
      </w:pPr>
      <w:r>
        <w:rPr>
          <w:rFonts w:hint="default"/>
          <w:lang w:val="en-US" w:eastAsia="zh-CN"/>
        </w:rPr>
        <w:t>检验方法：观察；检查技术处理方案和处理记录。</w:t>
      </w:r>
    </w:p>
    <w:p>
      <w:pPr>
        <w:pStyle w:val="21"/>
        <w:bidi w:val="0"/>
        <w:rPr>
          <w:rFonts w:hint="default"/>
          <w:lang w:val="en-US" w:eastAsia="zh-CN"/>
        </w:rPr>
      </w:pPr>
    </w:p>
    <w:p>
      <w:pPr>
        <w:pStyle w:val="21"/>
        <w:bidi w:val="0"/>
        <w:rPr>
          <w:rFonts w:hint="default"/>
          <w:lang w:val="en-US" w:eastAsia="zh-CN"/>
        </w:rPr>
      </w:pPr>
    </w:p>
    <w:p>
      <w:pPr>
        <w:pStyle w:val="21"/>
        <w:bidi w:val="0"/>
        <w:rPr>
          <w:rFonts w:hint="default"/>
          <w:lang w:val="en-US" w:eastAsia="zh-CN"/>
        </w:rPr>
      </w:pPr>
    </w:p>
    <w:p>
      <w:pPr>
        <w:rPr>
          <w:rFonts w:hint="eastAsia"/>
          <w:b/>
          <w:bCs/>
          <w:sz w:val="28"/>
          <w:szCs w:val="28"/>
          <w:lang w:val="en-US" w:eastAsia="zh-CN"/>
        </w:rPr>
      </w:pPr>
      <w:r>
        <w:rPr>
          <w:rFonts w:hint="eastAsia"/>
          <w:b/>
          <w:bCs/>
          <w:sz w:val="28"/>
          <w:szCs w:val="28"/>
          <w:lang w:val="en-US" w:eastAsia="zh-CN"/>
        </w:rPr>
        <w:br w:type="page"/>
      </w:r>
    </w:p>
    <w:p>
      <w:pPr>
        <w:pStyle w:val="2"/>
        <w:widowControl w:val="0"/>
        <w:spacing w:before="624" w:after="312"/>
        <w:jc w:val="center"/>
        <w:rPr>
          <w:color w:val="auto"/>
        </w:rPr>
      </w:pPr>
      <w:bookmarkStart w:id="61" w:name="_Toc9096"/>
      <w:bookmarkStart w:id="62" w:name="_Toc23992"/>
      <w:bookmarkStart w:id="63" w:name="_Toc5349"/>
      <w:r>
        <w:rPr>
          <w:rFonts w:hint="eastAsia"/>
          <w:color w:val="auto"/>
          <w:sz w:val="32"/>
          <w:szCs w:val="32"/>
        </w:rPr>
        <w:t>附录A</w:t>
      </w:r>
      <w:r>
        <w:rPr>
          <w:rFonts w:hint="eastAsia"/>
          <w:color w:val="auto"/>
          <w:sz w:val="32"/>
          <w:szCs w:val="32"/>
          <w:lang w:val="en-US" w:eastAsia="zh-CN"/>
        </w:rPr>
        <w:t xml:space="preserve"> 箱型填充体</w:t>
      </w:r>
      <w:r>
        <w:rPr>
          <w:rFonts w:hint="eastAsia"/>
          <w:color w:val="auto"/>
          <w:sz w:val="32"/>
          <w:szCs w:val="32"/>
        </w:rPr>
        <w:t>检验方法</w:t>
      </w:r>
      <w:bookmarkEnd w:id="61"/>
      <w:bookmarkEnd w:id="62"/>
      <w:bookmarkEnd w:id="63"/>
    </w:p>
    <w:p>
      <w:pPr>
        <w:pStyle w:val="2"/>
        <w:widowControl w:val="0"/>
        <w:spacing w:before="624" w:after="312"/>
        <w:jc w:val="center"/>
        <w:rPr>
          <w:color w:val="auto"/>
          <w:sz w:val="28"/>
          <w:szCs w:val="28"/>
        </w:rPr>
      </w:pPr>
      <w:bookmarkStart w:id="64" w:name="_Toc4729"/>
      <w:bookmarkStart w:id="65" w:name="_Toc5120"/>
      <w:r>
        <w:rPr>
          <w:rFonts w:hint="eastAsia"/>
          <w:color w:val="auto"/>
          <w:sz w:val="28"/>
          <w:szCs w:val="28"/>
        </w:rPr>
        <w:t>A.1</w:t>
      </w:r>
      <w:r>
        <w:rPr>
          <w:rFonts w:hint="eastAsia"/>
          <w:color w:val="auto"/>
          <w:sz w:val="28"/>
          <w:szCs w:val="28"/>
          <w:lang w:val="en-US" w:eastAsia="zh-CN"/>
        </w:rPr>
        <w:t xml:space="preserve"> </w:t>
      </w:r>
      <w:r>
        <w:rPr>
          <w:rFonts w:hint="eastAsia"/>
          <w:color w:val="auto"/>
          <w:sz w:val="28"/>
          <w:szCs w:val="28"/>
        </w:rPr>
        <w:t>外观检查</w:t>
      </w:r>
      <w:bookmarkEnd w:id="64"/>
      <w:bookmarkEnd w:id="65"/>
    </w:p>
    <w:p>
      <w:pPr>
        <w:spacing w:line="360" w:lineRule="auto"/>
        <w:rPr>
          <w:rFonts w:hint="eastAsia" w:ascii="宋体" w:hAnsi="宋体" w:eastAsia="宋体" w:cs="宋体"/>
          <w:color w:val="auto"/>
          <w:sz w:val="24"/>
          <w:szCs w:val="24"/>
        </w:rPr>
      </w:pPr>
      <w:r>
        <w:rPr>
          <w:rStyle w:val="24"/>
          <w:rFonts w:hint="eastAsia" w:ascii="宋体" w:hAnsi="宋体" w:eastAsia="宋体" w:cs="宋体"/>
          <w:b/>
          <w:bCs/>
          <w:color w:val="auto"/>
          <w:sz w:val="24"/>
          <w:szCs w:val="24"/>
        </w:rPr>
        <w:t>A.1.1</w:t>
      </w:r>
      <w:r>
        <w:rPr>
          <w:rStyle w:val="24"/>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箱型填充体</w:t>
      </w:r>
      <w:r>
        <w:rPr>
          <w:rFonts w:hint="eastAsia" w:ascii="宋体" w:hAnsi="宋体" w:eastAsia="宋体" w:cs="宋体"/>
          <w:color w:val="auto"/>
          <w:sz w:val="24"/>
          <w:szCs w:val="24"/>
        </w:rPr>
        <w:t>的外观质量用目测观察进行全数检查。</w:t>
      </w:r>
    </w:p>
    <w:p>
      <w:pPr>
        <w:pStyle w:val="2"/>
        <w:widowControl w:val="0"/>
        <w:spacing w:before="624" w:after="312"/>
        <w:jc w:val="center"/>
        <w:rPr>
          <w:rFonts w:hint="eastAsia"/>
          <w:color w:val="auto"/>
          <w:sz w:val="28"/>
          <w:szCs w:val="28"/>
        </w:rPr>
      </w:pPr>
      <w:bookmarkStart w:id="66" w:name="_Toc26190"/>
      <w:bookmarkStart w:id="67" w:name="_Toc20424"/>
      <w:r>
        <w:rPr>
          <w:rFonts w:hint="eastAsia"/>
          <w:color w:val="auto"/>
          <w:sz w:val="28"/>
          <w:szCs w:val="28"/>
        </w:rPr>
        <w:t>A.2 尺寸偏差检查</w:t>
      </w:r>
      <w:bookmarkEnd w:id="66"/>
      <w:bookmarkEnd w:id="67"/>
    </w:p>
    <w:p>
      <w:pPr>
        <w:spacing w:line="360" w:lineRule="auto"/>
        <w:rPr>
          <w:rStyle w:val="24"/>
          <w:rFonts w:hint="eastAsia" w:ascii="宋体" w:hAnsi="宋体" w:eastAsia="宋体" w:cs="宋体"/>
          <w:color w:val="auto"/>
          <w:sz w:val="24"/>
          <w:szCs w:val="24"/>
        </w:rPr>
      </w:pPr>
      <w:r>
        <w:rPr>
          <w:rStyle w:val="24"/>
          <w:rFonts w:hint="eastAsia" w:ascii="宋体" w:hAnsi="宋体" w:eastAsia="宋体" w:cs="宋体"/>
          <w:b/>
          <w:bCs/>
          <w:color w:val="auto"/>
          <w:sz w:val="24"/>
          <w:szCs w:val="24"/>
        </w:rPr>
        <w:t>A.2.1</w:t>
      </w:r>
      <w:r>
        <w:rPr>
          <w:rStyle w:val="24"/>
          <w:rFonts w:hint="eastAsia" w:ascii="宋体" w:hAnsi="宋体" w:eastAsia="宋体" w:cs="宋体"/>
          <w:color w:val="auto"/>
          <w:sz w:val="24"/>
          <w:szCs w:val="24"/>
        </w:rPr>
        <w:t xml:space="preserve"> </w:t>
      </w:r>
      <w:r>
        <w:rPr>
          <w:rStyle w:val="24"/>
          <w:rFonts w:hint="eastAsia" w:ascii="宋体" w:hAnsi="宋体" w:cs="宋体"/>
          <w:color w:val="auto"/>
          <w:sz w:val="24"/>
          <w:szCs w:val="24"/>
          <w:lang w:val="en-US" w:eastAsia="zh-CN"/>
        </w:rPr>
        <w:t>箱型填充体的尺寸</w:t>
      </w:r>
      <w:r>
        <w:rPr>
          <w:rStyle w:val="24"/>
          <w:rFonts w:hint="eastAsia" w:ascii="宋体" w:hAnsi="宋体" w:eastAsia="宋体" w:cs="宋体"/>
          <w:color w:val="auto"/>
          <w:sz w:val="24"/>
          <w:szCs w:val="24"/>
        </w:rPr>
        <w:t>偏差应按表A.2.1检验，尺寸测量应精确至1mm。</w:t>
      </w:r>
    </w:p>
    <w:p>
      <w:pPr>
        <w:spacing w:line="360" w:lineRule="auto"/>
        <w:jc w:val="center"/>
        <w:rPr>
          <w:b/>
          <w:bCs/>
          <w:color w:val="auto"/>
          <w:sz w:val="21"/>
          <w:szCs w:val="21"/>
        </w:rPr>
      </w:pPr>
      <w:r>
        <w:rPr>
          <w:rFonts w:hint="eastAsia"/>
          <w:b/>
          <w:bCs/>
          <w:color w:val="auto"/>
          <w:sz w:val="21"/>
          <w:szCs w:val="21"/>
        </w:rPr>
        <w:t>表A.2.</w:t>
      </w:r>
      <w:r>
        <w:rPr>
          <w:rFonts w:hint="eastAsia"/>
          <w:b/>
          <w:bCs/>
          <w:color w:val="auto"/>
          <w:sz w:val="21"/>
          <w:szCs w:val="21"/>
          <w:lang w:val="en-US" w:eastAsia="zh-CN"/>
        </w:rPr>
        <w:t>1 箱型填充体</w:t>
      </w:r>
      <w:r>
        <w:rPr>
          <w:rFonts w:hint="eastAsia"/>
          <w:b/>
          <w:bCs/>
          <w:color w:val="auto"/>
          <w:sz w:val="21"/>
          <w:szCs w:val="21"/>
        </w:rPr>
        <w:t>尺寸偏差检验</w:t>
      </w:r>
    </w:p>
    <w:tbl>
      <w:tblPr>
        <w:tblStyle w:val="15"/>
        <w:tblW w:w="83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4"/>
        <w:gridCol w:w="1815"/>
        <w:gridCol w:w="4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jc w:val="center"/>
        </w:trPr>
        <w:tc>
          <w:tcPr>
            <w:tcW w:w="1884" w:type="dxa"/>
            <w:tcBorders>
              <w:top w:val="single" w:color="000000" w:sz="6" w:space="0"/>
              <w:left w:val="single" w:color="000000" w:sz="6" w:space="0"/>
            </w:tcBorders>
            <w:vAlign w:val="center"/>
          </w:tcPr>
          <w:p>
            <w:pPr>
              <w:spacing w:line="360" w:lineRule="auto"/>
              <w:jc w:val="center"/>
              <w:rPr>
                <w:color w:val="auto"/>
                <w:sz w:val="21"/>
                <w:szCs w:val="21"/>
              </w:rPr>
            </w:pPr>
            <w:r>
              <w:rPr>
                <w:rFonts w:hint="eastAsia"/>
                <w:color w:val="auto"/>
                <w:sz w:val="21"/>
                <w:szCs w:val="21"/>
              </w:rPr>
              <w:t>项 目</w:t>
            </w:r>
          </w:p>
        </w:tc>
        <w:tc>
          <w:tcPr>
            <w:tcW w:w="1815" w:type="dxa"/>
            <w:tcBorders>
              <w:top w:val="single" w:color="000000" w:sz="6" w:space="0"/>
            </w:tcBorders>
            <w:vAlign w:val="center"/>
          </w:tcPr>
          <w:p>
            <w:pPr>
              <w:spacing w:line="360" w:lineRule="auto"/>
              <w:jc w:val="center"/>
              <w:rPr>
                <w:color w:val="auto"/>
                <w:sz w:val="21"/>
                <w:szCs w:val="21"/>
              </w:rPr>
            </w:pPr>
            <w:r>
              <w:rPr>
                <w:rFonts w:hint="eastAsia"/>
                <w:color w:val="auto"/>
                <w:sz w:val="21"/>
                <w:szCs w:val="21"/>
              </w:rPr>
              <w:t>测量工具</w:t>
            </w:r>
          </w:p>
        </w:tc>
        <w:tc>
          <w:tcPr>
            <w:tcW w:w="4635" w:type="dxa"/>
            <w:tcBorders>
              <w:top w:val="single" w:color="000000" w:sz="6" w:space="0"/>
              <w:right w:val="single" w:color="000000" w:sz="6" w:space="0"/>
            </w:tcBorders>
            <w:vAlign w:val="center"/>
          </w:tcPr>
          <w:p>
            <w:pPr>
              <w:spacing w:line="360" w:lineRule="auto"/>
              <w:jc w:val="center"/>
              <w:rPr>
                <w:color w:val="auto"/>
                <w:sz w:val="21"/>
                <w:szCs w:val="21"/>
              </w:rPr>
            </w:pPr>
            <w:r>
              <w:rPr>
                <w:rFonts w:hint="eastAsia"/>
                <w:color w:val="auto"/>
                <w:sz w:val="21"/>
                <w:szCs w:val="21"/>
              </w:rPr>
              <w:t>检测方法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exact"/>
          <w:jc w:val="center"/>
        </w:trPr>
        <w:tc>
          <w:tcPr>
            <w:tcW w:w="1884" w:type="dxa"/>
            <w:tcBorders>
              <w:left w:val="single" w:color="000000" w:sz="6" w:space="0"/>
            </w:tcBorders>
            <w:vAlign w:val="center"/>
          </w:tcPr>
          <w:p>
            <w:pPr>
              <w:spacing w:line="360" w:lineRule="auto"/>
              <w:jc w:val="center"/>
              <w:rPr>
                <w:color w:val="auto"/>
                <w:sz w:val="21"/>
                <w:szCs w:val="21"/>
              </w:rPr>
            </w:pPr>
            <w:r>
              <w:rPr>
                <w:rFonts w:hint="eastAsia"/>
                <w:color w:val="auto"/>
                <w:sz w:val="21"/>
                <w:szCs w:val="21"/>
              </w:rPr>
              <w:t>边长</w:t>
            </w:r>
          </w:p>
        </w:tc>
        <w:tc>
          <w:tcPr>
            <w:tcW w:w="1815" w:type="dxa"/>
            <w:vAlign w:val="center"/>
          </w:tcPr>
          <w:p>
            <w:pPr>
              <w:spacing w:line="360" w:lineRule="auto"/>
              <w:jc w:val="center"/>
              <w:rPr>
                <w:color w:val="auto"/>
                <w:sz w:val="21"/>
                <w:szCs w:val="21"/>
              </w:rPr>
            </w:pPr>
            <w:r>
              <w:rPr>
                <w:rFonts w:hint="eastAsia"/>
                <w:color w:val="auto"/>
                <w:sz w:val="21"/>
                <w:szCs w:val="21"/>
              </w:rPr>
              <w:t>钢尺</w:t>
            </w:r>
          </w:p>
        </w:tc>
        <w:tc>
          <w:tcPr>
            <w:tcW w:w="4635" w:type="dxa"/>
            <w:tcBorders>
              <w:right w:val="single" w:color="000000" w:sz="6" w:space="0"/>
            </w:tcBorders>
            <w:vAlign w:val="center"/>
          </w:tcPr>
          <w:p>
            <w:pPr>
              <w:spacing w:line="360" w:lineRule="auto"/>
              <w:jc w:val="center"/>
              <w:rPr>
                <w:color w:val="auto"/>
                <w:sz w:val="21"/>
                <w:szCs w:val="21"/>
              </w:rPr>
            </w:pPr>
            <w:r>
              <w:rPr>
                <w:rFonts w:hint="eastAsia"/>
                <w:color w:val="auto"/>
                <w:sz w:val="21"/>
                <w:szCs w:val="21"/>
              </w:rPr>
              <w:t>沿试样四个边长各量测一次，取最大偏差值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exact"/>
          <w:jc w:val="center"/>
        </w:trPr>
        <w:tc>
          <w:tcPr>
            <w:tcW w:w="1884" w:type="dxa"/>
            <w:tcBorders>
              <w:left w:val="single" w:color="000000" w:sz="6" w:space="0"/>
            </w:tcBorders>
            <w:vAlign w:val="center"/>
          </w:tcPr>
          <w:p>
            <w:pPr>
              <w:spacing w:line="360" w:lineRule="auto"/>
              <w:jc w:val="center"/>
              <w:rPr>
                <w:color w:val="auto"/>
                <w:sz w:val="21"/>
                <w:szCs w:val="21"/>
              </w:rPr>
            </w:pPr>
            <w:r>
              <w:rPr>
                <w:rFonts w:hint="eastAsia"/>
                <w:color w:val="auto"/>
                <w:sz w:val="21"/>
                <w:szCs w:val="21"/>
              </w:rPr>
              <w:t>高度（厚度）</w:t>
            </w:r>
          </w:p>
        </w:tc>
        <w:tc>
          <w:tcPr>
            <w:tcW w:w="1815" w:type="dxa"/>
            <w:vAlign w:val="center"/>
          </w:tcPr>
          <w:p>
            <w:pPr>
              <w:spacing w:line="360" w:lineRule="auto"/>
              <w:jc w:val="center"/>
              <w:rPr>
                <w:color w:val="auto"/>
                <w:sz w:val="21"/>
                <w:szCs w:val="21"/>
              </w:rPr>
            </w:pPr>
            <w:r>
              <w:rPr>
                <w:rFonts w:hint="eastAsia"/>
                <w:color w:val="auto"/>
                <w:sz w:val="21"/>
                <w:szCs w:val="21"/>
              </w:rPr>
              <w:t>钢尺</w:t>
            </w:r>
          </w:p>
        </w:tc>
        <w:tc>
          <w:tcPr>
            <w:tcW w:w="4635" w:type="dxa"/>
            <w:tcBorders>
              <w:right w:val="single" w:color="000000" w:sz="6" w:space="0"/>
            </w:tcBorders>
            <w:vAlign w:val="center"/>
          </w:tcPr>
          <w:p>
            <w:pPr>
              <w:spacing w:line="360" w:lineRule="auto"/>
              <w:jc w:val="center"/>
              <w:rPr>
                <w:color w:val="auto"/>
                <w:sz w:val="21"/>
                <w:szCs w:val="21"/>
              </w:rPr>
            </w:pPr>
            <w:r>
              <w:rPr>
                <w:rFonts w:hint="eastAsia"/>
                <w:color w:val="auto"/>
                <w:sz w:val="21"/>
                <w:szCs w:val="21"/>
              </w:rPr>
              <w:t>沿试样四个侧面各量测一次，取最大偏差值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exact"/>
          <w:jc w:val="center"/>
        </w:trPr>
        <w:tc>
          <w:tcPr>
            <w:tcW w:w="1884" w:type="dxa"/>
            <w:tcBorders>
              <w:left w:val="single" w:color="000000" w:sz="6" w:space="0"/>
            </w:tcBorders>
            <w:vAlign w:val="center"/>
          </w:tcPr>
          <w:p>
            <w:pPr>
              <w:spacing w:line="360" w:lineRule="auto"/>
              <w:jc w:val="center"/>
              <w:rPr>
                <w:color w:val="auto"/>
                <w:sz w:val="21"/>
                <w:szCs w:val="21"/>
              </w:rPr>
            </w:pPr>
            <w:r>
              <w:rPr>
                <w:rFonts w:hint="eastAsia"/>
                <w:color w:val="auto"/>
                <w:sz w:val="21"/>
                <w:szCs w:val="21"/>
              </w:rPr>
              <w:t>对角线长度差</w:t>
            </w:r>
          </w:p>
        </w:tc>
        <w:tc>
          <w:tcPr>
            <w:tcW w:w="1815" w:type="dxa"/>
            <w:vAlign w:val="center"/>
          </w:tcPr>
          <w:p>
            <w:pPr>
              <w:spacing w:line="360" w:lineRule="auto"/>
              <w:jc w:val="center"/>
              <w:rPr>
                <w:color w:val="auto"/>
                <w:sz w:val="21"/>
                <w:szCs w:val="21"/>
              </w:rPr>
            </w:pPr>
            <w:r>
              <w:rPr>
                <w:rFonts w:hint="eastAsia"/>
                <w:color w:val="auto"/>
                <w:sz w:val="21"/>
                <w:szCs w:val="21"/>
              </w:rPr>
              <w:t>钢尺</w:t>
            </w:r>
          </w:p>
        </w:tc>
        <w:tc>
          <w:tcPr>
            <w:tcW w:w="4635" w:type="dxa"/>
            <w:tcBorders>
              <w:right w:val="single" w:color="000000" w:sz="6" w:space="0"/>
            </w:tcBorders>
            <w:vAlign w:val="center"/>
          </w:tcPr>
          <w:p>
            <w:pPr>
              <w:spacing w:line="360" w:lineRule="auto"/>
              <w:jc w:val="center"/>
              <w:rPr>
                <w:color w:val="auto"/>
                <w:sz w:val="21"/>
                <w:szCs w:val="21"/>
              </w:rPr>
            </w:pPr>
            <w:r>
              <w:rPr>
                <w:rFonts w:hint="eastAsia"/>
                <w:color w:val="auto"/>
                <w:sz w:val="21"/>
                <w:szCs w:val="21"/>
                <w:lang w:val="en-US" w:eastAsia="zh-CN"/>
              </w:rPr>
              <w:t>对</w:t>
            </w:r>
            <w:r>
              <w:rPr>
                <w:rFonts w:hint="eastAsia"/>
                <w:color w:val="auto"/>
                <w:sz w:val="21"/>
                <w:szCs w:val="21"/>
              </w:rPr>
              <w:t>试样顶面和底面的对角线测量，取较大差值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exact"/>
          <w:jc w:val="center"/>
        </w:trPr>
        <w:tc>
          <w:tcPr>
            <w:tcW w:w="1884" w:type="dxa"/>
            <w:tcBorders>
              <w:left w:val="single" w:color="000000" w:sz="6" w:space="0"/>
              <w:bottom w:val="single" w:color="000000" w:sz="6" w:space="0"/>
            </w:tcBorders>
            <w:vAlign w:val="center"/>
          </w:tcPr>
          <w:p>
            <w:pPr>
              <w:spacing w:line="360" w:lineRule="auto"/>
              <w:jc w:val="center"/>
              <w:rPr>
                <w:color w:val="auto"/>
                <w:sz w:val="21"/>
                <w:szCs w:val="21"/>
              </w:rPr>
            </w:pPr>
            <w:r>
              <w:rPr>
                <w:rFonts w:hint="eastAsia"/>
                <w:color w:val="auto"/>
                <w:sz w:val="21"/>
                <w:szCs w:val="21"/>
              </w:rPr>
              <w:t>表面平整度</w:t>
            </w:r>
          </w:p>
        </w:tc>
        <w:tc>
          <w:tcPr>
            <w:tcW w:w="1815" w:type="dxa"/>
            <w:tcBorders>
              <w:bottom w:val="single" w:color="000000" w:sz="6" w:space="0"/>
            </w:tcBorders>
            <w:vAlign w:val="center"/>
          </w:tcPr>
          <w:p>
            <w:pPr>
              <w:spacing w:line="360" w:lineRule="auto"/>
              <w:jc w:val="center"/>
              <w:rPr>
                <w:color w:val="auto"/>
                <w:sz w:val="21"/>
                <w:szCs w:val="21"/>
              </w:rPr>
            </w:pPr>
            <w:r>
              <w:rPr>
                <w:rFonts w:hint="eastAsia"/>
                <w:color w:val="auto"/>
                <w:sz w:val="21"/>
                <w:szCs w:val="21"/>
              </w:rPr>
              <w:t>靠尺和塞尺</w:t>
            </w:r>
          </w:p>
        </w:tc>
        <w:tc>
          <w:tcPr>
            <w:tcW w:w="4635" w:type="dxa"/>
            <w:tcBorders>
              <w:bottom w:val="single" w:color="000000" w:sz="6" w:space="0"/>
              <w:right w:val="single" w:color="000000" w:sz="6" w:space="0"/>
            </w:tcBorders>
            <w:vAlign w:val="center"/>
          </w:tcPr>
          <w:p>
            <w:pPr>
              <w:spacing w:line="360" w:lineRule="auto"/>
              <w:jc w:val="center"/>
              <w:rPr>
                <w:color w:val="auto"/>
                <w:sz w:val="21"/>
                <w:szCs w:val="21"/>
              </w:rPr>
            </w:pPr>
            <w:r>
              <w:rPr>
                <w:rFonts w:hint="eastAsia"/>
                <w:color w:val="auto"/>
                <w:sz w:val="21"/>
                <w:szCs w:val="21"/>
              </w:rPr>
              <w:t>在试样各表面分别量测一次，取最大偏差值</w:t>
            </w:r>
          </w:p>
        </w:tc>
      </w:tr>
    </w:tbl>
    <w:p>
      <w:pPr>
        <w:pStyle w:val="2"/>
        <w:widowControl w:val="0"/>
        <w:spacing w:before="624" w:after="312"/>
        <w:jc w:val="center"/>
        <w:rPr>
          <w:rFonts w:hint="eastAsia"/>
          <w:color w:val="auto"/>
          <w:sz w:val="28"/>
          <w:szCs w:val="28"/>
        </w:rPr>
      </w:pPr>
      <w:bookmarkStart w:id="68" w:name="_Toc29032"/>
      <w:bookmarkStart w:id="69" w:name="_Toc27095"/>
      <w:bookmarkStart w:id="70" w:name="_Toc20259"/>
      <w:r>
        <w:rPr>
          <w:rFonts w:hint="eastAsia"/>
          <w:color w:val="auto"/>
          <w:sz w:val="28"/>
          <w:szCs w:val="28"/>
        </w:rPr>
        <w:t>A.3</w:t>
      </w:r>
      <w:r>
        <w:rPr>
          <w:rFonts w:hint="eastAsia"/>
          <w:color w:val="auto"/>
          <w:sz w:val="28"/>
          <w:szCs w:val="28"/>
          <w:lang w:val="en-US" w:eastAsia="zh-CN"/>
        </w:rPr>
        <w:t xml:space="preserve"> </w:t>
      </w:r>
      <w:r>
        <w:rPr>
          <w:rFonts w:hint="eastAsia"/>
          <w:color w:val="auto"/>
          <w:sz w:val="28"/>
          <w:szCs w:val="28"/>
        </w:rPr>
        <w:t>物理力学性能检查</w:t>
      </w:r>
      <w:bookmarkEnd w:id="68"/>
      <w:bookmarkEnd w:id="69"/>
      <w:bookmarkEnd w:id="70"/>
    </w:p>
    <w:p>
      <w:pPr>
        <w:spacing w:line="360" w:lineRule="auto"/>
        <w:rPr>
          <w:rStyle w:val="24"/>
          <w:rFonts w:hint="eastAsia" w:ascii="宋体" w:hAnsi="宋体" w:eastAsia="宋体" w:cs="宋体"/>
          <w:color w:val="auto"/>
          <w:sz w:val="24"/>
          <w:szCs w:val="24"/>
        </w:rPr>
      </w:pPr>
      <w:r>
        <w:rPr>
          <w:rStyle w:val="24"/>
          <w:rFonts w:hint="eastAsia" w:ascii="宋体" w:hAnsi="宋体" w:eastAsia="宋体" w:cs="宋体"/>
          <w:b/>
          <w:bCs/>
          <w:color w:val="auto"/>
          <w:sz w:val="24"/>
          <w:szCs w:val="24"/>
        </w:rPr>
        <w:t>A.3.1</w:t>
      </w:r>
      <w:r>
        <w:rPr>
          <w:rStyle w:val="24"/>
          <w:rFonts w:hint="eastAsia" w:ascii="宋体" w:hAnsi="宋体" w:eastAsia="宋体" w:cs="宋体"/>
          <w:color w:val="auto"/>
          <w:sz w:val="24"/>
          <w:szCs w:val="24"/>
        </w:rPr>
        <w:t xml:space="preserve"> </w:t>
      </w:r>
      <w:r>
        <w:rPr>
          <w:rStyle w:val="24"/>
          <w:rFonts w:hint="eastAsia" w:ascii="宋体" w:hAnsi="宋体" w:cs="宋体"/>
          <w:color w:val="auto"/>
          <w:sz w:val="24"/>
          <w:szCs w:val="24"/>
          <w:lang w:val="en-US" w:eastAsia="zh-CN"/>
        </w:rPr>
        <w:t>箱型填充体</w:t>
      </w:r>
      <w:r>
        <w:rPr>
          <w:rStyle w:val="24"/>
          <w:rFonts w:hint="eastAsia" w:ascii="宋体" w:hAnsi="宋体" w:eastAsia="宋体" w:cs="宋体"/>
          <w:color w:val="auto"/>
          <w:sz w:val="24"/>
          <w:szCs w:val="24"/>
        </w:rPr>
        <w:t>的表观密度可按下列规定进行检验：</w:t>
      </w:r>
    </w:p>
    <w:p>
      <w:pPr>
        <w:spacing w:line="360" w:lineRule="auto"/>
        <w:rPr>
          <w:color w:val="auto"/>
          <w:sz w:val="24"/>
          <w:szCs w:val="24"/>
        </w:rPr>
      </w:pPr>
      <w:bookmarkStart w:id="71" w:name="_Toc29288"/>
      <w:r>
        <w:rPr>
          <w:rFonts w:hint="eastAsia"/>
          <w:color w:val="auto"/>
          <w:sz w:val="24"/>
          <w:szCs w:val="24"/>
        </w:rPr>
        <w:t>1 测量和计算体积：</w:t>
      </w:r>
      <w:bookmarkEnd w:id="71"/>
      <w:r>
        <w:rPr>
          <w:rFonts w:hint="eastAsia"/>
          <w:color w:val="auto"/>
          <w:sz w:val="24"/>
          <w:szCs w:val="24"/>
        </w:rPr>
        <w:t>取自然干燥的试样，量其测其长、宽和高（精确至1×10</w:t>
      </w:r>
      <w:r>
        <w:rPr>
          <w:rFonts w:hint="eastAsia"/>
          <w:color w:val="auto"/>
          <w:sz w:val="24"/>
          <w:szCs w:val="24"/>
          <w:vertAlign w:val="superscript"/>
        </w:rPr>
        <w:t>-3</w:t>
      </w:r>
      <w:r>
        <w:rPr>
          <w:rFonts w:hint="eastAsia"/>
          <w:color w:val="auto"/>
          <w:sz w:val="24"/>
          <w:szCs w:val="24"/>
        </w:rPr>
        <w:t>m），计算其体积V（精确至1×10</w:t>
      </w:r>
      <w:r>
        <w:rPr>
          <w:rFonts w:hint="eastAsia"/>
          <w:color w:val="auto"/>
          <w:sz w:val="24"/>
          <w:szCs w:val="24"/>
          <w:vertAlign w:val="superscript"/>
        </w:rPr>
        <w:t>-6</w:t>
      </w:r>
      <w:r>
        <w:rPr>
          <w:rFonts w:hint="eastAsia"/>
          <w:color w:val="auto"/>
          <w:sz w:val="24"/>
          <w:szCs w:val="24"/>
        </w:rPr>
        <w:t>m</w:t>
      </w:r>
      <w:r>
        <w:rPr>
          <w:rFonts w:hint="eastAsia"/>
          <w:color w:val="auto"/>
          <w:sz w:val="24"/>
          <w:szCs w:val="24"/>
          <w:vertAlign w:val="superscript"/>
        </w:rPr>
        <w:t>3</w:t>
      </w:r>
      <w:r>
        <w:rPr>
          <w:rFonts w:hint="eastAsia"/>
          <w:color w:val="auto"/>
          <w:sz w:val="24"/>
          <w:szCs w:val="24"/>
        </w:rPr>
        <w:t>）；</w:t>
      </w:r>
    </w:p>
    <w:p>
      <w:pPr>
        <w:spacing w:line="360" w:lineRule="auto"/>
        <w:rPr>
          <w:rFonts w:hint="eastAsia"/>
          <w:color w:val="auto"/>
          <w:sz w:val="24"/>
          <w:szCs w:val="24"/>
        </w:rPr>
      </w:pPr>
      <w:bookmarkStart w:id="72" w:name="_Toc8142"/>
      <w:bookmarkStart w:id="73" w:name="_Toc19662"/>
      <w:bookmarkStart w:id="74" w:name="_Toc23868"/>
      <w:r>
        <w:rPr>
          <w:rFonts w:hint="eastAsia"/>
          <w:color w:val="auto"/>
          <w:sz w:val="24"/>
          <w:szCs w:val="24"/>
        </w:rPr>
        <w:t>2 用台秤称其质量M（精确至 0. 01kg）；</w:t>
      </w:r>
      <w:bookmarkEnd w:id="72"/>
      <w:bookmarkEnd w:id="73"/>
      <w:bookmarkEnd w:id="74"/>
    </w:p>
    <w:p>
      <w:pPr>
        <w:spacing w:line="360" w:lineRule="auto"/>
        <w:rPr>
          <w:color w:val="auto"/>
          <w:sz w:val="24"/>
          <w:szCs w:val="24"/>
        </w:rPr>
      </w:pPr>
      <w:r>
        <w:rPr>
          <w:rFonts w:hint="eastAsia"/>
          <w:color w:val="auto"/>
          <w:sz w:val="24"/>
          <w:szCs w:val="24"/>
        </w:rPr>
        <w:t xml:space="preserve">3 </w:t>
      </w:r>
      <w:r>
        <w:rPr>
          <w:rFonts w:hint="eastAsia"/>
          <w:color w:val="auto"/>
          <w:sz w:val="24"/>
          <w:szCs w:val="24"/>
          <w:lang w:val="en-US" w:eastAsia="zh-CN"/>
        </w:rPr>
        <w:t>箱型填充体</w:t>
      </w:r>
      <w:r>
        <w:rPr>
          <w:rFonts w:hint="eastAsia"/>
          <w:color w:val="auto"/>
          <w:sz w:val="24"/>
          <w:szCs w:val="24"/>
        </w:rPr>
        <w:t>表观密度g</w:t>
      </w:r>
      <w:r>
        <w:rPr>
          <w:rFonts w:hint="eastAsia"/>
          <w:color w:val="auto"/>
          <w:sz w:val="24"/>
          <w:szCs w:val="24"/>
          <w:vertAlign w:val="subscript"/>
        </w:rPr>
        <w:t>fil</w:t>
      </w:r>
      <w:r>
        <w:rPr>
          <w:rFonts w:hint="eastAsia"/>
          <w:color w:val="auto"/>
          <w:sz w:val="24"/>
          <w:szCs w:val="24"/>
        </w:rPr>
        <w:t>应按下列计算（精确至0</w:t>
      </w:r>
      <w:r>
        <w:rPr>
          <w:rFonts w:hint="eastAsia"/>
          <w:color w:val="auto"/>
          <w:sz w:val="24"/>
          <w:szCs w:val="24"/>
          <w:lang w:val="en-US" w:eastAsia="zh-CN"/>
        </w:rPr>
        <w:t>.</w:t>
      </w:r>
      <w:r>
        <w:rPr>
          <w:rFonts w:hint="eastAsia"/>
          <w:color w:val="auto"/>
          <w:sz w:val="24"/>
          <w:szCs w:val="24"/>
        </w:rPr>
        <w:t>01kg/m</w:t>
      </w:r>
      <w:r>
        <w:rPr>
          <w:rFonts w:hint="eastAsia"/>
          <w:color w:val="auto"/>
          <w:sz w:val="24"/>
          <w:szCs w:val="24"/>
          <w:vertAlign w:val="superscript"/>
        </w:rPr>
        <w:t>3</w:t>
      </w:r>
      <w:r>
        <w:rPr>
          <w:rFonts w:hint="eastAsia"/>
          <w:color w:val="auto"/>
          <w:sz w:val="24"/>
          <w:szCs w:val="24"/>
        </w:rPr>
        <w:t>）：</w:t>
      </w:r>
    </w:p>
    <w:p>
      <w:pPr>
        <w:spacing w:line="360" w:lineRule="auto"/>
        <w:rPr>
          <w:color w:val="auto"/>
          <w:sz w:val="24"/>
          <w:szCs w:val="24"/>
        </w:rPr>
      </w:pPr>
      <w:r>
        <w:rPr>
          <w:rFonts w:hint="eastAsia"/>
          <w:color w:val="auto"/>
          <w:sz w:val="24"/>
          <w:szCs w:val="24"/>
        </w:rPr>
        <w:t xml:space="preserve">                g</w:t>
      </w:r>
      <w:r>
        <w:rPr>
          <w:rFonts w:hint="eastAsia"/>
          <w:color w:val="auto"/>
          <w:sz w:val="24"/>
          <w:szCs w:val="24"/>
          <w:vertAlign w:val="subscript"/>
        </w:rPr>
        <w:t>fil</w:t>
      </w:r>
      <w:r>
        <w:rPr>
          <w:rFonts w:hint="eastAsia"/>
          <w:color w:val="auto"/>
          <w:sz w:val="24"/>
          <w:szCs w:val="24"/>
        </w:rPr>
        <w:t>=M/V                 （A.3.1）</w:t>
      </w:r>
    </w:p>
    <w:p>
      <w:pPr>
        <w:spacing w:line="360" w:lineRule="auto"/>
        <w:rPr>
          <w:rStyle w:val="24"/>
          <w:rFonts w:hint="eastAsia" w:ascii="宋体" w:hAnsi="宋体" w:eastAsia="宋体" w:cs="宋体"/>
          <w:color w:val="auto"/>
          <w:sz w:val="24"/>
          <w:szCs w:val="24"/>
        </w:rPr>
      </w:pPr>
      <w:r>
        <w:rPr>
          <w:rStyle w:val="24"/>
          <w:rFonts w:hint="eastAsia" w:ascii="宋体" w:hAnsi="宋体" w:eastAsia="宋体" w:cs="宋体"/>
          <w:b/>
          <w:bCs/>
          <w:color w:val="auto"/>
          <w:sz w:val="24"/>
          <w:szCs w:val="24"/>
        </w:rPr>
        <w:t>A.3.2</w:t>
      </w:r>
      <w:r>
        <w:rPr>
          <w:rStyle w:val="24"/>
          <w:rFonts w:hint="eastAsia" w:ascii="宋体" w:hAnsi="宋体" w:eastAsia="宋体" w:cs="宋体"/>
          <w:color w:val="auto"/>
          <w:sz w:val="24"/>
          <w:szCs w:val="24"/>
        </w:rPr>
        <w:t xml:space="preserve"> </w:t>
      </w:r>
      <w:r>
        <w:rPr>
          <w:rStyle w:val="24"/>
          <w:rFonts w:hint="eastAsia" w:ascii="宋体" w:hAnsi="宋体" w:cs="宋体"/>
          <w:color w:val="auto"/>
          <w:sz w:val="24"/>
          <w:szCs w:val="24"/>
          <w:lang w:val="en-US" w:eastAsia="zh-CN"/>
        </w:rPr>
        <w:t>箱型填充体</w:t>
      </w:r>
      <w:r>
        <w:rPr>
          <w:rStyle w:val="24"/>
          <w:rFonts w:hint="eastAsia" w:ascii="宋体" w:hAnsi="宋体" w:eastAsia="宋体" w:cs="宋体"/>
          <w:color w:val="auto"/>
          <w:sz w:val="24"/>
          <w:szCs w:val="24"/>
        </w:rPr>
        <w:t>的局部抗压荷载可按下列规定进行检验：</w:t>
      </w:r>
    </w:p>
    <w:p>
      <w:pPr>
        <w:spacing w:line="360" w:lineRule="auto"/>
        <w:rPr>
          <w:rFonts w:hint="eastAsia"/>
          <w:color w:val="auto"/>
          <w:sz w:val="24"/>
          <w:szCs w:val="24"/>
        </w:rPr>
      </w:pPr>
      <w:bookmarkStart w:id="75" w:name="_Toc21245"/>
      <w:bookmarkStart w:id="76" w:name="_Toc30200"/>
      <w:r>
        <w:rPr>
          <w:rFonts w:hint="eastAsia"/>
          <w:color w:val="auto"/>
          <w:sz w:val="24"/>
          <w:szCs w:val="24"/>
        </w:rPr>
        <w:t>1 取一个</w:t>
      </w:r>
      <w:r>
        <w:rPr>
          <w:rFonts w:hint="eastAsia"/>
          <w:color w:val="auto"/>
          <w:sz w:val="24"/>
          <w:szCs w:val="24"/>
          <w:lang w:val="en-US" w:eastAsia="zh-CN"/>
        </w:rPr>
        <w:t>箱型填充体</w:t>
      </w:r>
      <w:r>
        <w:rPr>
          <w:rFonts w:hint="eastAsia"/>
          <w:color w:val="auto"/>
          <w:sz w:val="24"/>
          <w:szCs w:val="24"/>
        </w:rPr>
        <w:t>试样放入水中浸泡；</w:t>
      </w:r>
      <w:bookmarkEnd w:id="75"/>
      <w:bookmarkEnd w:id="76"/>
    </w:p>
    <w:p>
      <w:pPr>
        <w:spacing w:line="360" w:lineRule="auto"/>
        <w:rPr>
          <w:color w:val="auto"/>
          <w:sz w:val="24"/>
          <w:szCs w:val="24"/>
        </w:rPr>
      </w:pPr>
      <w:r>
        <w:rPr>
          <w:rFonts w:hint="eastAsia"/>
          <w:color w:val="auto"/>
          <w:sz w:val="24"/>
          <w:szCs w:val="24"/>
        </w:rPr>
        <w:t>2 浸泡48h后取出放置在水平板面上，底部垫平放稳；</w:t>
      </w:r>
    </w:p>
    <w:p>
      <w:pPr>
        <w:spacing w:line="360" w:lineRule="auto"/>
        <w:rPr>
          <w:color w:val="auto"/>
          <w:sz w:val="24"/>
          <w:szCs w:val="24"/>
        </w:rPr>
      </w:pPr>
      <w:r>
        <w:rPr>
          <w:rFonts w:hint="eastAsia"/>
          <w:color w:val="auto"/>
          <w:sz w:val="24"/>
          <w:szCs w:val="24"/>
        </w:rPr>
        <w:t>3 将100mm×100mm×20mm的加荷垫板放置在试样受检面中部；</w:t>
      </w:r>
    </w:p>
    <w:p>
      <w:pPr>
        <w:spacing w:line="360" w:lineRule="auto"/>
        <w:rPr>
          <w:color w:val="auto"/>
          <w:sz w:val="24"/>
          <w:szCs w:val="24"/>
        </w:rPr>
      </w:pPr>
      <w:r>
        <w:rPr>
          <w:rFonts w:hint="eastAsia"/>
          <w:color w:val="auto"/>
          <w:sz w:val="24"/>
          <w:szCs w:val="24"/>
        </w:rPr>
        <w:t>4 加荷分5级进行，每级加荷值为本</w:t>
      </w:r>
      <w:r>
        <w:rPr>
          <w:rFonts w:hint="eastAsia"/>
          <w:color w:val="auto"/>
          <w:sz w:val="24"/>
          <w:szCs w:val="24"/>
          <w:lang w:val="en-US" w:eastAsia="zh-CN"/>
        </w:rPr>
        <w:t>规程</w:t>
      </w:r>
      <w:r>
        <w:rPr>
          <w:rFonts w:hint="eastAsia"/>
          <w:color w:val="auto"/>
          <w:sz w:val="24"/>
          <w:szCs w:val="24"/>
        </w:rPr>
        <w:t>表</w:t>
      </w:r>
      <w:r>
        <w:rPr>
          <w:rFonts w:hint="eastAsia"/>
          <w:color w:val="auto"/>
          <w:sz w:val="24"/>
          <w:szCs w:val="24"/>
          <w:lang w:val="en-US" w:eastAsia="zh-CN"/>
        </w:rPr>
        <w:t>4</w:t>
      </w:r>
      <w:r>
        <w:rPr>
          <w:rFonts w:hint="eastAsia"/>
          <w:color w:val="auto"/>
          <w:sz w:val="24"/>
          <w:szCs w:val="24"/>
        </w:rPr>
        <w:t>.</w:t>
      </w:r>
      <w:r>
        <w:rPr>
          <w:rFonts w:hint="eastAsia"/>
          <w:color w:val="auto"/>
          <w:sz w:val="24"/>
          <w:szCs w:val="24"/>
          <w:lang w:val="en-US" w:eastAsia="zh-CN"/>
        </w:rPr>
        <w:t>3</w:t>
      </w:r>
      <w:r>
        <w:rPr>
          <w:rFonts w:hint="eastAsia"/>
          <w:color w:val="auto"/>
          <w:sz w:val="24"/>
          <w:szCs w:val="24"/>
        </w:rPr>
        <w:t>.</w:t>
      </w:r>
      <w:r>
        <w:rPr>
          <w:rFonts w:hint="eastAsia"/>
          <w:color w:val="auto"/>
          <w:sz w:val="24"/>
          <w:szCs w:val="24"/>
          <w:lang w:val="en-US" w:eastAsia="zh-CN"/>
        </w:rPr>
        <w:t>4</w:t>
      </w:r>
      <w:r>
        <w:rPr>
          <w:rFonts w:hint="eastAsia"/>
          <w:color w:val="auto"/>
          <w:sz w:val="24"/>
          <w:szCs w:val="24"/>
        </w:rPr>
        <w:t>中规定荷载值的20%，并静置5min，对试样外表面观察；</w:t>
      </w:r>
    </w:p>
    <w:p>
      <w:pPr>
        <w:spacing w:line="360" w:lineRule="auto"/>
        <w:rPr>
          <w:color w:val="auto"/>
          <w:sz w:val="24"/>
          <w:szCs w:val="24"/>
        </w:rPr>
      </w:pPr>
      <w:r>
        <w:rPr>
          <w:rFonts w:hint="eastAsia"/>
          <w:color w:val="auto"/>
          <w:sz w:val="24"/>
          <w:szCs w:val="24"/>
        </w:rPr>
        <w:t>5 当加荷值达到本</w:t>
      </w:r>
      <w:r>
        <w:rPr>
          <w:rFonts w:hint="eastAsia"/>
          <w:color w:val="auto"/>
          <w:sz w:val="24"/>
          <w:szCs w:val="24"/>
          <w:lang w:val="en-US" w:eastAsia="zh-CN"/>
        </w:rPr>
        <w:t>规程</w:t>
      </w:r>
      <w:r>
        <w:rPr>
          <w:rFonts w:hint="eastAsia"/>
          <w:color w:val="auto"/>
          <w:sz w:val="24"/>
          <w:szCs w:val="24"/>
        </w:rPr>
        <w:t>表</w:t>
      </w:r>
      <w:r>
        <w:rPr>
          <w:rFonts w:hint="eastAsia"/>
          <w:color w:val="auto"/>
          <w:sz w:val="24"/>
          <w:szCs w:val="24"/>
          <w:lang w:val="en-US" w:eastAsia="zh-CN"/>
        </w:rPr>
        <w:t>4.3.4</w:t>
      </w:r>
      <w:r>
        <w:rPr>
          <w:rFonts w:hint="eastAsia"/>
          <w:color w:val="auto"/>
          <w:sz w:val="24"/>
          <w:szCs w:val="24"/>
        </w:rPr>
        <w:t>中规定的荷载值，试样无裂纹及破损迹象，可判定该批产品局部抗压荷载检验合格。</w:t>
      </w:r>
    </w:p>
    <w:p>
      <w:pPr>
        <w:spacing w:line="360" w:lineRule="auto"/>
        <w:rPr>
          <w:rStyle w:val="24"/>
          <w:rFonts w:hint="eastAsia" w:ascii="宋体" w:hAnsi="宋体" w:eastAsia="宋体" w:cs="宋体"/>
          <w:color w:val="auto"/>
          <w:sz w:val="24"/>
          <w:szCs w:val="24"/>
        </w:rPr>
      </w:pPr>
      <w:bookmarkStart w:id="77" w:name="_Toc9372"/>
      <w:r>
        <w:rPr>
          <w:rStyle w:val="24"/>
          <w:rFonts w:hint="eastAsia" w:ascii="宋体" w:hAnsi="宋体" w:eastAsia="宋体" w:cs="宋体"/>
          <w:b/>
          <w:bCs/>
          <w:color w:val="auto"/>
          <w:sz w:val="24"/>
          <w:szCs w:val="24"/>
        </w:rPr>
        <w:t>A.3.3</w:t>
      </w:r>
      <w:r>
        <w:rPr>
          <w:rStyle w:val="24"/>
          <w:rFonts w:hint="eastAsia" w:ascii="宋体" w:hAnsi="宋体" w:eastAsia="宋体" w:cs="宋体"/>
          <w:color w:val="auto"/>
          <w:sz w:val="24"/>
          <w:szCs w:val="24"/>
        </w:rPr>
        <w:t xml:space="preserve"> </w:t>
      </w:r>
      <w:r>
        <w:rPr>
          <w:rStyle w:val="24"/>
          <w:rFonts w:hint="eastAsia" w:ascii="宋体" w:hAnsi="宋体" w:cs="宋体"/>
          <w:color w:val="auto"/>
          <w:sz w:val="24"/>
          <w:szCs w:val="24"/>
          <w:lang w:val="en-US" w:eastAsia="zh-CN"/>
        </w:rPr>
        <w:t>箱型填充体</w:t>
      </w:r>
      <w:r>
        <w:rPr>
          <w:rStyle w:val="24"/>
          <w:rFonts w:hint="eastAsia" w:ascii="宋体" w:hAnsi="宋体" w:eastAsia="宋体" w:cs="宋体"/>
          <w:color w:val="auto"/>
          <w:sz w:val="24"/>
          <w:szCs w:val="24"/>
        </w:rPr>
        <w:t>的自然吸水率可按下列要求进行检验</w:t>
      </w:r>
      <w:bookmarkEnd w:id="77"/>
      <w:r>
        <w:rPr>
          <w:rStyle w:val="24"/>
          <w:rFonts w:hint="eastAsia" w:ascii="宋体" w:hAnsi="宋体" w:eastAsia="宋体" w:cs="宋体"/>
          <w:color w:val="auto"/>
          <w:sz w:val="24"/>
          <w:szCs w:val="24"/>
        </w:rPr>
        <w:t>：</w:t>
      </w:r>
    </w:p>
    <w:p>
      <w:pPr>
        <w:spacing w:line="360" w:lineRule="auto"/>
        <w:rPr>
          <w:rFonts w:hint="eastAsia"/>
          <w:color w:val="auto"/>
          <w:sz w:val="24"/>
          <w:szCs w:val="24"/>
        </w:rPr>
      </w:pPr>
      <w:r>
        <w:rPr>
          <w:rFonts w:hint="eastAsia"/>
          <w:color w:val="auto"/>
          <w:sz w:val="24"/>
          <w:szCs w:val="24"/>
        </w:rPr>
        <w:t>1 取一个</w:t>
      </w:r>
      <w:r>
        <w:rPr>
          <w:rFonts w:hint="eastAsia"/>
          <w:color w:val="auto"/>
          <w:sz w:val="24"/>
          <w:szCs w:val="24"/>
          <w:lang w:val="en-US" w:eastAsia="zh-CN"/>
        </w:rPr>
        <w:t>箱型填充体</w:t>
      </w:r>
      <w:r>
        <w:rPr>
          <w:rFonts w:hint="eastAsia"/>
          <w:color w:val="auto"/>
          <w:sz w:val="24"/>
          <w:szCs w:val="24"/>
        </w:rPr>
        <w:t>试样，称取试样自然干燥后质量m</w:t>
      </w:r>
      <w:r>
        <w:rPr>
          <w:rFonts w:hint="eastAsia"/>
          <w:color w:val="auto"/>
          <w:sz w:val="24"/>
          <w:szCs w:val="24"/>
          <w:vertAlign w:val="subscript"/>
        </w:rPr>
        <w:t>0</w:t>
      </w:r>
      <w:r>
        <w:rPr>
          <w:rFonts w:hint="eastAsia"/>
          <w:color w:val="auto"/>
          <w:sz w:val="24"/>
          <w:szCs w:val="24"/>
        </w:rPr>
        <w:t>；</w:t>
      </w:r>
    </w:p>
    <w:p>
      <w:pPr>
        <w:spacing w:line="360" w:lineRule="auto"/>
        <w:rPr>
          <w:color w:val="auto"/>
          <w:sz w:val="24"/>
          <w:szCs w:val="24"/>
        </w:rPr>
      </w:pPr>
      <w:r>
        <w:rPr>
          <w:rFonts w:hint="eastAsia"/>
          <w:color w:val="auto"/>
          <w:sz w:val="24"/>
          <w:szCs w:val="24"/>
        </w:rPr>
        <w:t>2 将</w:t>
      </w:r>
      <w:r>
        <w:rPr>
          <w:rFonts w:hint="eastAsia"/>
          <w:color w:val="auto"/>
          <w:sz w:val="24"/>
          <w:szCs w:val="24"/>
          <w:lang w:val="en-US" w:eastAsia="zh-CN"/>
        </w:rPr>
        <w:t>箱型填充体</w:t>
      </w:r>
      <w:r>
        <w:rPr>
          <w:rFonts w:hint="eastAsia"/>
          <w:color w:val="auto"/>
          <w:sz w:val="24"/>
          <w:szCs w:val="24"/>
        </w:rPr>
        <w:t>试样浸没在10℃～25℃清水中，水面应保持高出试样10mm～20mm，24h后将试样取出，用干毛巾擦干试样表面附着水，随即称取试样的重量m</w:t>
      </w:r>
      <w:r>
        <w:rPr>
          <w:rFonts w:hint="eastAsia"/>
          <w:color w:val="auto"/>
          <w:sz w:val="24"/>
          <w:szCs w:val="24"/>
          <w:vertAlign w:val="subscript"/>
        </w:rPr>
        <w:t>1</w:t>
      </w:r>
      <w:r>
        <w:rPr>
          <w:rFonts w:hint="eastAsia"/>
          <w:color w:val="auto"/>
          <w:sz w:val="24"/>
          <w:szCs w:val="24"/>
        </w:rPr>
        <w:t>；</w:t>
      </w:r>
    </w:p>
    <w:p>
      <w:pPr>
        <w:spacing w:line="360" w:lineRule="auto"/>
        <w:rPr>
          <w:color w:val="auto"/>
          <w:sz w:val="24"/>
          <w:szCs w:val="24"/>
        </w:rPr>
      </w:pPr>
      <w:r>
        <w:rPr>
          <w:rFonts w:hint="eastAsia"/>
          <w:color w:val="auto"/>
          <w:sz w:val="24"/>
          <w:szCs w:val="24"/>
        </w:rPr>
        <w:t xml:space="preserve">3 </w:t>
      </w:r>
      <w:r>
        <w:rPr>
          <w:rFonts w:hint="eastAsia"/>
          <w:color w:val="auto"/>
          <w:sz w:val="24"/>
          <w:szCs w:val="24"/>
          <w:lang w:val="en-US" w:eastAsia="zh-CN"/>
        </w:rPr>
        <w:t>箱型填充体</w:t>
      </w:r>
      <w:r>
        <w:rPr>
          <w:rFonts w:hint="eastAsia"/>
          <w:color w:val="auto"/>
          <w:sz w:val="24"/>
          <w:szCs w:val="24"/>
        </w:rPr>
        <w:t>的自然吸水率</w:t>
      </w:r>
      <w:r>
        <w:rPr>
          <w:rFonts w:hint="eastAsia"/>
          <w:color w:val="auto"/>
          <w:sz w:val="24"/>
          <w:szCs w:val="24"/>
        </w:rPr>
        <w:object>
          <v:shape id="_x0000_i1026" o:spt="75" type="#_x0000_t75" style="height:18pt;width:17pt;" o:ole="t" filled="f" o:preferrelative="t" stroked="f" coordsize="21600,21600">
            <v:path/>
            <v:fill on="f" focussize="0,0"/>
            <v:stroke on="f" joinstyle="miter"/>
            <v:imagedata r:id="rId28" o:title=""/>
            <o:lock v:ext="edit" aspectratio="t"/>
            <w10:wrap type="none"/>
            <w10:anchorlock/>
          </v:shape>
          <o:OLEObject Type="Embed" ProgID="Equation.KSEE3" ShapeID="_x0000_i1026" DrawAspect="Content" ObjectID="_1468075726" r:id="rId27">
            <o:LockedField>false</o:LockedField>
          </o:OLEObject>
        </w:object>
      </w:r>
      <w:r>
        <w:rPr>
          <w:rFonts w:hint="eastAsia"/>
          <w:color w:val="auto"/>
          <w:sz w:val="24"/>
          <w:szCs w:val="24"/>
        </w:rPr>
        <w:t>按下式计算：</w:t>
      </w:r>
    </w:p>
    <w:p>
      <w:pPr>
        <w:spacing w:line="360" w:lineRule="auto"/>
        <w:rPr>
          <w:color w:val="auto"/>
          <w:sz w:val="24"/>
          <w:szCs w:val="24"/>
        </w:rPr>
      </w:pPr>
      <w:r>
        <w:rPr>
          <w:rFonts w:hint="eastAsia"/>
          <w:color w:val="auto"/>
          <w:sz w:val="24"/>
          <w:szCs w:val="24"/>
        </w:rPr>
        <w:object>
          <v:shape id="_x0000_i1027" o:spt="75" type="#_x0000_t75" style="height:34pt;width:103.95pt;" o:ole="t" filled="f" o:preferrelative="t" stroked="f" coordsize="21600,21600">
            <v:path/>
            <v:fill on="f" focussize="0,0"/>
            <v:stroke on="f" joinstyle="miter"/>
            <v:imagedata r:id="rId30" o:title=""/>
            <o:lock v:ext="edit" aspectratio="t"/>
            <w10:wrap type="none"/>
            <w10:anchorlock/>
          </v:shape>
          <o:OLEObject Type="Embed" ProgID="Equation.KSEE3" ShapeID="_x0000_i1027" DrawAspect="Content" ObjectID="_1468075727" r:id="rId29">
            <o:LockedField>false</o:LockedField>
          </o:OLEObject>
        </w:object>
      </w:r>
      <w:r>
        <w:rPr>
          <w:rFonts w:hint="eastAsia"/>
          <w:color w:val="auto"/>
          <w:sz w:val="24"/>
          <w:szCs w:val="24"/>
        </w:rPr>
        <w:t xml:space="preserve">              （A.3.3）</w:t>
      </w:r>
    </w:p>
    <w:p>
      <w:pPr>
        <w:spacing w:line="360" w:lineRule="auto"/>
        <w:rPr>
          <w:color w:val="auto"/>
          <w:sz w:val="24"/>
          <w:szCs w:val="24"/>
        </w:rPr>
      </w:pPr>
      <w:r>
        <w:rPr>
          <w:rFonts w:hint="eastAsia"/>
          <w:color w:val="auto"/>
          <w:sz w:val="24"/>
          <w:szCs w:val="24"/>
        </w:rPr>
        <w:t>4 当自然吸水率满足本</w:t>
      </w:r>
      <w:r>
        <w:rPr>
          <w:rFonts w:hint="eastAsia"/>
          <w:color w:val="auto"/>
          <w:sz w:val="24"/>
          <w:szCs w:val="24"/>
          <w:lang w:val="en-US" w:eastAsia="zh-CN"/>
        </w:rPr>
        <w:t>规程</w:t>
      </w:r>
      <w:r>
        <w:rPr>
          <w:rFonts w:hint="eastAsia"/>
          <w:color w:val="auto"/>
          <w:sz w:val="24"/>
          <w:szCs w:val="24"/>
        </w:rPr>
        <w:t>第</w:t>
      </w:r>
      <w:r>
        <w:rPr>
          <w:rFonts w:hint="eastAsia"/>
          <w:color w:val="auto"/>
          <w:sz w:val="24"/>
          <w:szCs w:val="24"/>
          <w:lang w:val="en-US" w:eastAsia="zh-CN"/>
        </w:rPr>
        <w:t>4.3.4</w:t>
      </w:r>
      <w:r>
        <w:rPr>
          <w:rFonts w:hint="eastAsia"/>
          <w:color w:val="auto"/>
          <w:sz w:val="24"/>
          <w:szCs w:val="24"/>
        </w:rPr>
        <w:t>条规定时，可判定为自然吸水率检验合格。</w:t>
      </w:r>
    </w:p>
    <w:p>
      <w:pPr>
        <w:spacing w:line="360" w:lineRule="auto"/>
        <w:rPr>
          <w:color w:val="auto"/>
          <w:sz w:val="24"/>
          <w:szCs w:val="24"/>
        </w:rPr>
      </w:pPr>
      <w:bookmarkStart w:id="78" w:name="_Toc13975"/>
      <w:r>
        <w:rPr>
          <w:rStyle w:val="24"/>
          <w:rFonts w:hint="eastAsia" w:ascii="宋体" w:hAnsi="宋体" w:eastAsia="宋体" w:cs="宋体"/>
          <w:b/>
          <w:bCs/>
          <w:color w:val="auto"/>
          <w:sz w:val="24"/>
          <w:szCs w:val="24"/>
        </w:rPr>
        <w:t>A.3.4</w:t>
      </w:r>
      <w:r>
        <w:rPr>
          <w:rStyle w:val="24"/>
          <w:rFonts w:hint="eastAsia"/>
          <w:color w:val="auto"/>
          <w:sz w:val="24"/>
          <w:szCs w:val="24"/>
        </w:rPr>
        <w:t xml:space="preserve"> </w:t>
      </w:r>
      <w:r>
        <w:rPr>
          <w:rFonts w:hint="eastAsia"/>
          <w:color w:val="auto"/>
          <w:sz w:val="24"/>
          <w:szCs w:val="24"/>
          <w:lang w:val="en-US" w:eastAsia="zh-CN"/>
        </w:rPr>
        <w:t>箱型填充体的</w:t>
      </w:r>
      <w:r>
        <w:rPr>
          <w:rFonts w:hint="eastAsia"/>
          <w:color w:val="auto"/>
          <w:sz w:val="24"/>
          <w:szCs w:val="24"/>
        </w:rPr>
        <w:t>抗振动冲击性可按下列要求进行检验：</w:t>
      </w:r>
      <w:bookmarkEnd w:id="78"/>
    </w:p>
    <w:p>
      <w:pPr>
        <w:spacing w:line="360" w:lineRule="auto"/>
        <w:rPr>
          <w:color w:val="auto"/>
          <w:sz w:val="24"/>
          <w:szCs w:val="24"/>
        </w:rPr>
      </w:pPr>
      <w:bookmarkStart w:id="79" w:name="_Toc2370"/>
      <w:r>
        <w:rPr>
          <w:rFonts w:hint="eastAsia"/>
          <w:color w:val="auto"/>
          <w:sz w:val="24"/>
          <w:szCs w:val="24"/>
        </w:rPr>
        <w:t>1 选取外观质量、尺寸偏差合格的自然干燥的</w:t>
      </w:r>
      <w:r>
        <w:rPr>
          <w:rFonts w:hint="eastAsia"/>
          <w:color w:val="auto"/>
          <w:sz w:val="24"/>
          <w:szCs w:val="24"/>
          <w:lang w:val="en-US" w:eastAsia="zh-CN"/>
        </w:rPr>
        <w:t>箱型填充体</w:t>
      </w:r>
      <w:r>
        <w:rPr>
          <w:rFonts w:hint="eastAsia"/>
          <w:color w:val="auto"/>
          <w:sz w:val="24"/>
          <w:szCs w:val="24"/>
        </w:rPr>
        <w:t>试样；</w:t>
      </w:r>
      <w:bookmarkEnd w:id="79"/>
    </w:p>
    <w:p>
      <w:pPr>
        <w:spacing w:line="360" w:lineRule="auto"/>
        <w:rPr>
          <w:color w:val="auto"/>
          <w:sz w:val="24"/>
          <w:szCs w:val="24"/>
        </w:rPr>
      </w:pPr>
      <w:bookmarkStart w:id="80" w:name="_Toc29849"/>
      <w:r>
        <w:rPr>
          <w:rFonts w:hint="eastAsia"/>
          <w:color w:val="auto"/>
          <w:sz w:val="24"/>
          <w:szCs w:val="24"/>
        </w:rPr>
        <w:t>2 用直径30mm的振动棒紧贴试样受测面振动1min；</w:t>
      </w:r>
      <w:bookmarkEnd w:id="80"/>
    </w:p>
    <w:p>
      <w:pPr>
        <w:spacing w:line="360" w:lineRule="auto"/>
        <w:rPr>
          <w:rFonts w:hint="eastAsia"/>
          <w:color w:val="auto"/>
          <w:sz w:val="24"/>
          <w:szCs w:val="24"/>
        </w:rPr>
      </w:pPr>
      <w:bookmarkStart w:id="81" w:name="_Toc4883"/>
      <w:bookmarkStart w:id="82" w:name="_Toc11194"/>
      <w:bookmarkStart w:id="83" w:name="_Toc20734"/>
      <w:r>
        <w:rPr>
          <w:rFonts w:hint="eastAsia"/>
          <w:color w:val="auto"/>
          <w:sz w:val="24"/>
          <w:szCs w:val="24"/>
        </w:rPr>
        <w:t>3 检查表面，当无贯通性裂纹及破损时，则判定抗振动冲击</w:t>
      </w:r>
      <w:bookmarkEnd w:id="81"/>
      <w:bookmarkEnd w:id="82"/>
      <w:bookmarkEnd w:id="83"/>
      <w:r>
        <w:rPr>
          <w:rFonts w:hint="eastAsia"/>
          <w:color w:val="auto"/>
          <w:sz w:val="24"/>
          <w:szCs w:val="24"/>
        </w:rPr>
        <w:t>性能合格。</w:t>
      </w:r>
    </w:p>
    <w:p>
      <w:pPr>
        <w:pStyle w:val="20"/>
        <w:rPr>
          <w:rFonts w:hint="eastAsia"/>
          <w:color w:val="auto"/>
          <w:sz w:val="24"/>
          <w:szCs w:val="24"/>
        </w:rPr>
      </w:pPr>
    </w:p>
    <w:p>
      <w:pPr>
        <w:pStyle w:val="20"/>
        <w:rPr>
          <w:rFonts w:hint="eastAsia"/>
          <w:color w:val="auto"/>
          <w:sz w:val="24"/>
          <w:szCs w:val="24"/>
        </w:rPr>
      </w:pPr>
    </w:p>
    <w:p>
      <w:pPr>
        <w:pStyle w:val="20"/>
        <w:rPr>
          <w:rFonts w:hint="eastAsia"/>
          <w:color w:val="auto"/>
          <w:sz w:val="24"/>
          <w:szCs w:val="24"/>
        </w:rPr>
      </w:pPr>
    </w:p>
    <w:p>
      <w:pPr>
        <w:pStyle w:val="20"/>
        <w:rPr>
          <w:rFonts w:hint="eastAsia"/>
          <w:color w:val="auto"/>
          <w:sz w:val="24"/>
          <w:szCs w:val="24"/>
        </w:rPr>
      </w:pPr>
    </w:p>
    <w:p>
      <w:pPr>
        <w:rPr>
          <w:rFonts w:hint="eastAsia"/>
          <w:b/>
          <w:bCs/>
          <w:sz w:val="28"/>
          <w:szCs w:val="28"/>
          <w:lang w:val="en-US" w:eastAsia="zh-CN"/>
        </w:rPr>
      </w:pPr>
      <w:r>
        <w:rPr>
          <w:rFonts w:hint="eastAsia"/>
          <w:b/>
          <w:bCs/>
          <w:sz w:val="28"/>
          <w:szCs w:val="28"/>
          <w:lang w:val="en-US" w:eastAsia="zh-CN"/>
        </w:rPr>
        <w:br w:type="page"/>
      </w:r>
    </w:p>
    <w:p>
      <w:pPr>
        <w:pStyle w:val="2"/>
        <w:widowControl w:val="0"/>
        <w:spacing w:before="624" w:after="312"/>
        <w:jc w:val="center"/>
        <w:rPr>
          <w:rFonts w:hint="eastAsia"/>
          <w:color w:val="auto"/>
          <w:sz w:val="28"/>
          <w:szCs w:val="28"/>
        </w:rPr>
      </w:pPr>
      <w:bookmarkStart w:id="84" w:name="_Toc30683"/>
      <w:bookmarkStart w:id="85" w:name="_Toc6279"/>
      <w:bookmarkStart w:id="86" w:name="_Toc599"/>
      <w:r>
        <w:rPr>
          <w:rFonts w:hint="eastAsia"/>
          <w:color w:val="auto"/>
          <w:sz w:val="28"/>
          <w:szCs w:val="28"/>
        </w:rPr>
        <w:t xml:space="preserve">表A.4 </w:t>
      </w:r>
      <w:r>
        <w:rPr>
          <w:rFonts w:hint="eastAsia"/>
          <w:color w:val="auto"/>
          <w:sz w:val="28"/>
          <w:szCs w:val="28"/>
          <w:lang w:val="en-US" w:eastAsia="zh-CN"/>
        </w:rPr>
        <w:t>箱型填充体</w:t>
      </w:r>
      <w:r>
        <w:rPr>
          <w:rFonts w:hint="eastAsia"/>
          <w:color w:val="auto"/>
          <w:sz w:val="28"/>
          <w:szCs w:val="28"/>
        </w:rPr>
        <w:t>进场</w:t>
      </w:r>
      <w:r>
        <w:rPr>
          <w:rFonts w:hint="eastAsia"/>
          <w:color w:val="auto"/>
          <w:sz w:val="28"/>
          <w:szCs w:val="28"/>
          <w:lang w:val="en-US" w:eastAsia="zh-CN"/>
        </w:rPr>
        <w:t>验收</w:t>
      </w:r>
      <w:r>
        <w:rPr>
          <w:rFonts w:hint="eastAsia"/>
          <w:color w:val="auto"/>
          <w:sz w:val="28"/>
          <w:szCs w:val="28"/>
        </w:rPr>
        <w:t>记录</w:t>
      </w:r>
      <w:bookmarkEnd w:id="84"/>
      <w:bookmarkEnd w:id="85"/>
      <w:bookmarkEnd w:id="86"/>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310"/>
        <w:gridCol w:w="2610"/>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Align w:val="center"/>
          </w:tcPr>
          <w:p>
            <w:pPr>
              <w:spacing w:line="360" w:lineRule="auto"/>
              <w:rPr>
                <w:color w:val="auto"/>
                <w:sz w:val="21"/>
                <w:szCs w:val="21"/>
              </w:rPr>
            </w:pPr>
            <w:r>
              <w:rPr>
                <w:rFonts w:hint="eastAsia"/>
                <w:color w:val="auto"/>
                <w:sz w:val="21"/>
                <w:szCs w:val="21"/>
              </w:rPr>
              <w:t>生产厂名称</w:t>
            </w:r>
          </w:p>
        </w:tc>
        <w:tc>
          <w:tcPr>
            <w:tcW w:w="2310" w:type="dxa"/>
            <w:vAlign w:val="center"/>
          </w:tcPr>
          <w:p>
            <w:pPr>
              <w:spacing w:line="360" w:lineRule="auto"/>
              <w:rPr>
                <w:rFonts w:hint="eastAsia"/>
                <w:color w:val="auto"/>
                <w:sz w:val="21"/>
                <w:szCs w:val="21"/>
              </w:rPr>
            </w:pPr>
          </w:p>
        </w:tc>
        <w:tc>
          <w:tcPr>
            <w:tcW w:w="2610" w:type="dxa"/>
            <w:vAlign w:val="center"/>
          </w:tcPr>
          <w:p>
            <w:pPr>
              <w:spacing w:line="360" w:lineRule="auto"/>
              <w:rPr>
                <w:color w:val="auto"/>
                <w:sz w:val="21"/>
                <w:szCs w:val="21"/>
              </w:rPr>
            </w:pPr>
            <w:r>
              <w:rPr>
                <w:rFonts w:hint="eastAsia"/>
                <w:color w:val="auto"/>
                <w:sz w:val="21"/>
                <w:szCs w:val="21"/>
              </w:rPr>
              <w:t>进场日期</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Align w:val="center"/>
          </w:tcPr>
          <w:p>
            <w:pPr>
              <w:spacing w:line="360" w:lineRule="auto"/>
              <w:rPr>
                <w:color w:val="auto"/>
                <w:sz w:val="21"/>
                <w:szCs w:val="21"/>
              </w:rPr>
            </w:pPr>
            <w:r>
              <w:rPr>
                <w:rFonts w:hint="eastAsia"/>
                <w:color w:val="auto"/>
                <w:sz w:val="21"/>
                <w:szCs w:val="21"/>
              </w:rPr>
              <w:t>产品合格证</w:t>
            </w:r>
          </w:p>
        </w:tc>
        <w:tc>
          <w:tcPr>
            <w:tcW w:w="2310" w:type="dxa"/>
            <w:vAlign w:val="center"/>
          </w:tcPr>
          <w:p>
            <w:pPr>
              <w:spacing w:line="360" w:lineRule="auto"/>
              <w:rPr>
                <w:rFonts w:hint="eastAsia"/>
                <w:color w:val="auto"/>
                <w:sz w:val="21"/>
                <w:szCs w:val="21"/>
              </w:rPr>
            </w:pPr>
          </w:p>
        </w:tc>
        <w:tc>
          <w:tcPr>
            <w:tcW w:w="2610" w:type="dxa"/>
            <w:vAlign w:val="center"/>
          </w:tcPr>
          <w:p>
            <w:pPr>
              <w:spacing w:line="360" w:lineRule="auto"/>
              <w:rPr>
                <w:color w:val="auto"/>
                <w:sz w:val="21"/>
                <w:szCs w:val="21"/>
              </w:rPr>
            </w:pPr>
            <w:r>
              <w:rPr>
                <w:rFonts w:hint="eastAsia"/>
                <w:color w:val="auto"/>
                <w:sz w:val="21"/>
                <w:szCs w:val="21"/>
              </w:rPr>
              <w:t>出厂检验报告</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Align w:val="center"/>
          </w:tcPr>
          <w:p>
            <w:pPr>
              <w:spacing w:line="360" w:lineRule="auto"/>
              <w:rPr>
                <w:color w:val="auto"/>
                <w:sz w:val="21"/>
                <w:szCs w:val="21"/>
              </w:rPr>
            </w:pPr>
            <w:r>
              <w:rPr>
                <w:rFonts w:hint="eastAsia"/>
                <w:color w:val="auto"/>
                <w:sz w:val="21"/>
                <w:szCs w:val="21"/>
              </w:rPr>
              <w:t>批次</w:t>
            </w:r>
          </w:p>
        </w:tc>
        <w:tc>
          <w:tcPr>
            <w:tcW w:w="2310" w:type="dxa"/>
            <w:vAlign w:val="center"/>
          </w:tcPr>
          <w:p>
            <w:pPr>
              <w:spacing w:line="360" w:lineRule="auto"/>
              <w:rPr>
                <w:rFonts w:hint="eastAsia"/>
                <w:color w:val="auto"/>
                <w:sz w:val="21"/>
                <w:szCs w:val="21"/>
              </w:rPr>
            </w:pPr>
          </w:p>
        </w:tc>
        <w:tc>
          <w:tcPr>
            <w:tcW w:w="2610" w:type="dxa"/>
            <w:vAlign w:val="center"/>
          </w:tcPr>
          <w:p>
            <w:pPr>
              <w:spacing w:line="360" w:lineRule="auto"/>
              <w:rPr>
                <w:color w:val="auto"/>
                <w:sz w:val="21"/>
                <w:szCs w:val="21"/>
              </w:rPr>
            </w:pPr>
            <w:r>
              <w:rPr>
                <w:rFonts w:hint="eastAsia"/>
                <w:color w:val="auto"/>
                <w:sz w:val="21"/>
                <w:szCs w:val="21"/>
              </w:rPr>
              <w:t>批量</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53" w:type="dxa"/>
            <w:gridSpan w:val="2"/>
            <w:vAlign w:val="center"/>
          </w:tcPr>
          <w:p>
            <w:pPr>
              <w:spacing w:line="360" w:lineRule="auto"/>
              <w:rPr>
                <w:color w:val="auto"/>
                <w:sz w:val="21"/>
                <w:szCs w:val="21"/>
              </w:rPr>
            </w:pPr>
            <w:r>
              <w:rPr>
                <w:rFonts w:hint="eastAsia"/>
                <w:color w:val="auto"/>
                <w:sz w:val="21"/>
                <w:szCs w:val="21"/>
              </w:rPr>
              <w:t>检验项目</w:t>
            </w:r>
          </w:p>
        </w:tc>
        <w:tc>
          <w:tcPr>
            <w:tcW w:w="2610" w:type="dxa"/>
            <w:vAlign w:val="center"/>
          </w:tcPr>
          <w:p>
            <w:pPr>
              <w:spacing w:line="360" w:lineRule="auto"/>
              <w:rPr>
                <w:color w:val="auto"/>
                <w:sz w:val="21"/>
                <w:szCs w:val="21"/>
              </w:rPr>
            </w:pPr>
            <w:r>
              <w:rPr>
                <w:rFonts w:hint="eastAsia"/>
                <w:color w:val="auto"/>
                <w:sz w:val="21"/>
                <w:szCs w:val="21"/>
              </w:rPr>
              <w:t>质量要求</w:t>
            </w:r>
          </w:p>
        </w:tc>
        <w:tc>
          <w:tcPr>
            <w:tcW w:w="2065" w:type="dxa"/>
            <w:vAlign w:val="center"/>
          </w:tcPr>
          <w:p>
            <w:pPr>
              <w:spacing w:line="360" w:lineRule="auto"/>
              <w:rPr>
                <w:color w:val="auto"/>
                <w:sz w:val="21"/>
                <w:szCs w:val="21"/>
              </w:rPr>
            </w:pPr>
            <w:r>
              <w:rPr>
                <w:rFonts w:hint="eastAsia"/>
                <w:color w:val="auto"/>
                <w:sz w:val="21"/>
                <w:szCs w:val="21"/>
              </w:rPr>
              <w:t>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restart"/>
            <w:vAlign w:val="center"/>
          </w:tcPr>
          <w:p>
            <w:pPr>
              <w:spacing w:line="360" w:lineRule="auto"/>
              <w:rPr>
                <w:color w:val="auto"/>
                <w:sz w:val="21"/>
                <w:szCs w:val="21"/>
              </w:rPr>
            </w:pPr>
            <w:r>
              <w:rPr>
                <w:rFonts w:hint="eastAsia"/>
                <w:color w:val="auto"/>
                <w:sz w:val="21"/>
                <w:szCs w:val="21"/>
              </w:rPr>
              <w:t>外观质量</w:t>
            </w:r>
          </w:p>
        </w:tc>
        <w:tc>
          <w:tcPr>
            <w:tcW w:w="2310" w:type="dxa"/>
            <w:vAlign w:val="center"/>
          </w:tcPr>
          <w:p>
            <w:pPr>
              <w:spacing w:line="360" w:lineRule="auto"/>
              <w:jc w:val="center"/>
              <w:rPr>
                <w:rFonts w:hint="eastAsia"/>
                <w:color w:val="auto"/>
                <w:sz w:val="21"/>
                <w:szCs w:val="21"/>
                <w:lang w:val="en-US" w:eastAsia="zh-CN"/>
              </w:rPr>
            </w:pPr>
            <w:r>
              <w:rPr>
                <w:rFonts w:hint="default"/>
                <w:color w:val="auto"/>
                <w:sz w:val="21"/>
                <w:szCs w:val="21"/>
                <w:lang w:val="en-US" w:eastAsia="zh-CN"/>
              </w:rPr>
              <w:t>贯通性裂纹、孔洞</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不允许</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rPr>
                <w:rFonts w:hint="eastAsia"/>
                <w:color w:val="auto"/>
                <w:sz w:val="21"/>
                <w:szCs w:val="21"/>
              </w:rPr>
            </w:pPr>
          </w:p>
        </w:tc>
        <w:tc>
          <w:tcPr>
            <w:tcW w:w="2310" w:type="dxa"/>
            <w:vAlign w:val="center"/>
          </w:tcPr>
          <w:p>
            <w:pPr>
              <w:spacing w:line="360" w:lineRule="auto"/>
              <w:jc w:val="center"/>
              <w:rPr>
                <w:rFonts w:hint="default"/>
                <w:color w:val="auto"/>
                <w:sz w:val="21"/>
                <w:szCs w:val="21"/>
                <w:lang w:val="en-US" w:eastAsia="zh-CN"/>
              </w:rPr>
            </w:pPr>
            <w:r>
              <w:rPr>
                <w:rFonts w:hint="eastAsia"/>
                <w:color w:val="auto"/>
                <w:sz w:val="21"/>
                <w:szCs w:val="21"/>
                <w:lang w:val="en-US" w:eastAsia="zh-CN"/>
              </w:rPr>
              <w:t>填充体密封性</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可靠</w:t>
            </w:r>
          </w:p>
        </w:tc>
        <w:tc>
          <w:tcPr>
            <w:tcW w:w="2065" w:type="dxa"/>
            <w:vAlign w:val="center"/>
          </w:tcPr>
          <w:p>
            <w:pPr>
              <w:spacing w:line="360" w:lineRule="auto"/>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restart"/>
            <w:vAlign w:val="center"/>
          </w:tcPr>
          <w:p>
            <w:pPr>
              <w:spacing w:line="360" w:lineRule="auto"/>
              <w:jc w:val="center"/>
              <w:rPr>
                <w:color w:val="auto"/>
                <w:sz w:val="21"/>
                <w:szCs w:val="21"/>
              </w:rPr>
            </w:pPr>
            <w:r>
              <w:rPr>
                <w:rFonts w:hint="eastAsia"/>
                <w:color w:val="auto"/>
                <w:sz w:val="21"/>
                <w:szCs w:val="21"/>
              </w:rPr>
              <w:t>尺寸偏差</w:t>
            </w:r>
          </w:p>
          <w:p>
            <w:pPr>
              <w:spacing w:line="360" w:lineRule="auto"/>
              <w:jc w:val="center"/>
              <w:rPr>
                <w:color w:val="auto"/>
                <w:sz w:val="21"/>
                <w:szCs w:val="21"/>
              </w:rPr>
            </w:pPr>
            <w:r>
              <w:rPr>
                <w:rFonts w:hint="eastAsia"/>
                <w:color w:val="auto"/>
                <w:sz w:val="21"/>
                <w:szCs w:val="21"/>
              </w:rPr>
              <w:t>（mm）</w:t>
            </w: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边长</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+5，-8</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color w:val="auto"/>
                <w:sz w:val="21"/>
                <w:szCs w:val="21"/>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高度</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+5，-8</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color w:val="auto"/>
                <w:sz w:val="21"/>
                <w:szCs w:val="21"/>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表面平整度</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5</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color w:val="auto"/>
                <w:sz w:val="21"/>
                <w:szCs w:val="21"/>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两对角线长度差</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10</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restart"/>
            <w:vAlign w:val="center"/>
          </w:tcPr>
          <w:p>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物理、力学性能</w:t>
            </w: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表观密度（kg/m3）</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15.0~500.0</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rFonts w:hint="eastAsia"/>
                <w:color w:val="auto"/>
                <w:sz w:val="21"/>
                <w:szCs w:val="21"/>
                <w:lang w:val="en-US" w:eastAsia="zh-CN"/>
              </w:rPr>
            </w:pPr>
          </w:p>
        </w:tc>
        <w:tc>
          <w:tcPr>
            <w:tcW w:w="2310" w:type="dxa"/>
            <w:vAlign w:val="center"/>
          </w:tcPr>
          <w:p>
            <w:pPr>
              <w:spacing w:line="360" w:lineRule="auto"/>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自然吸水率(%)</w:t>
            </w:r>
          </w:p>
        </w:tc>
        <w:tc>
          <w:tcPr>
            <w:tcW w:w="2610" w:type="dxa"/>
            <w:vAlign w:val="center"/>
          </w:tcPr>
          <w:p>
            <w:pPr>
              <w:spacing w:line="360" w:lineRule="auto"/>
              <w:jc w:val="center"/>
              <w:rPr>
                <w:rFonts w:hint="eastAsia" w:ascii="Times New Roman" w:hAnsi="Times New Roman" w:eastAsia="宋体" w:cstheme="minorBidi"/>
                <w:color w:val="auto"/>
                <w:kern w:val="2"/>
                <w:sz w:val="21"/>
                <w:szCs w:val="21"/>
                <w:lang w:val="en-US" w:eastAsia="zh-CN" w:bidi="ar-SA"/>
              </w:rPr>
            </w:pPr>
            <w:r>
              <w:rPr>
                <w:rFonts w:hint="eastAsia"/>
                <w:color w:val="auto"/>
                <w:sz w:val="21"/>
                <w:szCs w:val="21"/>
                <w:lang w:val="en-US" w:eastAsia="zh-CN"/>
              </w:rPr>
              <w:t>≤5</w:t>
            </w:r>
          </w:p>
        </w:tc>
        <w:tc>
          <w:tcPr>
            <w:tcW w:w="2065" w:type="dxa"/>
            <w:vAlign w:val="center"/>
          </w:tcPr>
          <w:p>
            <w:pPr>
              <w:spacing w:line="360" w:lineRule="auto"/>
              <w:rPr>
                <w:rFonts w:ascii="Times New Roman" w:hAnsi="Times New Roman" w:eastAsia="宋体" w:cstheme="minorBidi"/>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rFonts w:hint="eastAsia"/>
                <w:lang w:val="en-US" w:eastAsia="zh-CN"/>
              </w:rPr>
            </w:pPr>
          </w:p>
          <w:p>
            <w:pPr>
              <w:pStyle w:val="20"/>
              <w:rPr>
                <w:rFonts w:hint="eastAsia"/>
                <w:lang w:val="en-US" w:eastAsia="zh-CN"/>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氯化物含量</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0. 2%</w:t>
            </w:r>
          </w:p>
        </w:tc>
        <w:tc>
          <w:tcPr>
            <w:tcW w:w="2065" w:type="dxa"/>
            <w:vAlign w:val="center"/>
          </w:tcPr>
          <w:p>
            <w:pPr>
              <w:spacing w:line="360" w:lineRule="auto"/>
              <w:rPr>
                <w:rFonts w:ascii="Times New Roman" w:hAnsi="Times New Roman" w:eastAsia="宋体" w:cstheme="minorBidi"/>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pStyle w:val="20"/>
              <w:rPr>
                <w:rFonts w:hint="eastAsia"/>
                <w:lang w:val="en-US" w:eastAsia="zh-CN"/>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碱含量</w:t>
            </w:r>
          </w:p>
        </w:tc>
        <w:tc>
          <w:tcPr>
            <w:tcW w:w="2610" w:type="dxa"/>
            <w:vAlign w:val="center"/>
          </w:tcPr>
          <w:p>
            <w:pPr>
              <w:spacing w:line="360" w:lineRule="auto"/>
              <w:jc w:val="center"/>
              <w:rPr>
                <w:rFonts w:hint="eastAsia"/>
                <w:color w:val="auto"/>
                <w:sz w:val="21"/>
                <w:szCs w:val="21"/>
                <w:lang w:val="en-US" w:eastAsia="zh-CN"/>
              </w:rPr>
            </w:pPr>
            <w:r>
              <w:rPr>
                <w:rFonts w:hint="eastAsia" w:ascii="Times New Roman" w:hAnsi="Times New Roman" w:eastAsia="宋体"/>
                <w:sz w:val="21"/>
                <w:szCs w:val="21"/>
                <w:vertAlign w:val="baseline"/>
                <w:lang w:val="en-US" w:eastAsia="zh-CN"/>
              </w:rPr>
              <w:t>≤3kg/m</w:t>
            </w:r>
            <w:r>
              <w:rPr>
                <w:rFonts w:hint="eastAsia" w:ascii="Times New Roman" w:hAnsi="Times New Roman" w:eastAsia="宋体"/>
                <w:sz w:val="21"/>
                <w:szCs w:val="21"/>
                <w:vertAlign w:val="superscript"/>
                <w:lang w:val="en-US" w:eastAsia="zh-CN"/>
              </w:rPr>
              <w:t>3</w:t>
            </w:r>
          </w:p>
        </w:tc>
        <w:tc>
          <w:tcPr>
            <w:tcW w:w="2065" w:type="dxa"/>
            <w:vAlign w:val="center"/>
          </w:tcPr>
          <w:p>
            <w:pPr>
              <w:spacing w:line="360" w:lineRule="auto"/>
              <w:rPr>
                <w:rFonts w:ascii="Times New Roman" w:hAnsi="Times New Roman" w:eastAsia="宋体" w:cstheme="minorBidi"/>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pStyle w:val="20"/>
              <w:rPr>
                <w:rFonts w:hint="eastAsia"/>
                <w:lang w:val="en-US" w:eastAsia="zh-CN"/>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放射性核素的限量</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IRa</w:t>
            </w:r>
            <w:r>
              <w:rPr>
                <w:rFonts w:hint="eastAsia"/>
                <w:color w:val="auto"/>
                <w:sz w:val="21"/>
                <w:szCs w:val="21"/>
                <w:lang w:val="en-GB" w:eastAsia="zh-CN"/>
              </w:rPr>
              <w:t>≤</w:t>
            </w:r>
            <w:r>
              <w:rPr>
                <w:rFonts w:hint="eastAsia"/>
                <w:color w:val="auto"/>
                <w:sz w:val="21"/>
                <w:szCs w:val="21"/>
                <w:lang w:val="en-US" w:eastAsia="zh-CN"/>
              </w:rPr>
              <w:t>1.0，Ir</w:t>
            </w:r>
            <w:r>
              <w:rPr>
                <w:rFonts w:hint="eastAsia"/>
                <w:color w:val="auto"/>
                <w:sz w:val="21"/>
                <w:szCs w:val="21"/>
                <w:lang w:val="en-GB" w:eastAsia="zh-CN"/>
              </w:rPr>
              <w:t>≤</w:t>
            </w:r>
            <w:r>
              <w:rPr>
                <w:rFonts w:hint="eastAsia"/>
                <w:color w:val="auto"/>
                <w:sz w:val="21"/>
                <w:szCs w:val="21"/>
                <w:lang w:val="en-US" w:eastAsia="zh-CN"/>
              </w:rPr>
              <w:t>1.0</w:t>
            </w:r>
          </w:p>
        </w:tc>
        <w:tc>
          <w:tcPr>
            <w:tcW w:w="2065" w:type="dxa"/>
            <w:vAlign w:val="center"/>
          </w:tcPr>
          <w:p>
            <w:pPr>
              <w:spacing w:line="360" w:lineRule="auto"/>
              <w:rPr>
                <w:rFonts w:ascii="Times New Roman" w:hAnsi="Times New Roman" w:eastAsia="宋体" w:cstheme="minorBidi"/>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color w:val="auto"/>
                <w:sz w:val="21"/>
                <w:szCs w:val="21"/>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48h浸泡后局部抗压荷载（kN）</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≥1.0</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43" w:type="dxa"/>
            <w:vMerge w:val="continue"/>
            <w:vAlign w:val="center"/>
          </w:tcPr>
          <w:p>
            <w:pPr>
              <w:spacing w:line="360" w:lineRule="auto"/>
              <w:jc w:val="center"/>
              <w:rPr>
                <w:color w:val="auto"/>
                <w:sz w:val="21"/>
                <w:szCs w:val="21"/>
              </w:rPr>
            </w:pPr>
          </w:p>
        </w:tc>
        <w:tc>
          <w:tcPr>
            <w:tcW w:w="23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抗振动冲击</w:t>
            </w:r>
          </w:p>
        </w:tc>
        <w:tc>
          <w:tcPr>
            <w:tcW w:w="2610" w:type="dxa"/>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不出现贯通性裂纹及破损</w:t>
            </w:r>
          </w:p>
        </w:tc>
        <w:tc>
          <w:tcPr>
            <w:tcW w:w="2065" w:type="dxa"/>
            <w:vAlign w:val="center"/>
          </w:tcPr>
          <w:p>
            <w:pPr>
              <w:spacing w:line="360" w:lineRule="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trPr>
        <w:tc>
          <w:tcPr>
            <w:tcW w:w="1543" w:type="dxa"/>
            <w:vAlign w:val="center"/>
          </w:tcPr>
          <w:p>
            <w:pPr>
              <w:spacing w:line="360" w:lineRule="auto"/>
              <w:rPr>
                <w:color w:val="auto"/>
                <w:sz w:val="21"/>
                <w:szCs w:val="21"/>
              </w:rPr>
            </w:pPr>
            <w:r>
              <w:rPr>
                <w:rFonts w:hint="eastAsia"/>
                <w:color w:val="auto"/>
                <w:sz w:val="21"/>
                <w:szCs w:val="21"/>
              </w:rPr>
              <w:t>施工单位检查评定结果</w:t>
            </w:r>
          </w:p>
        </w:tc>
        <w:tc>
          <w:tcPr>
            <w:tcW w:w="6985" w:type="dxa"/>
            <w:gridSpan w:val="3"/>
            <w:vAlign w:val="center"/>
          </w:tcPr>
          <w:p>
            <w:pPr>
              <w:spacing w:line="360" w:lineRule="auto"/>
              <w:rPr>
                <w:color w:val="auto"/>
                <w:sz w:val="21"/>
                <w:szCs w:val="21"/>
              </w:rPr>
            </w:pPr>
          </w:p>
          <w:p>
            <w:pPr>
              <w:pStyle w:val="20"/>
            </w:pPr>
          </w:p>
          <w:p>
            <w:pPr>
              <w:spacing w:line="360" w:lineRule="auto"/>
              <w:rPr>
                <w:color w:val="auto"/>
                <w:sz w:val="21"/>
                <w:szCs w:val="21"/>
              </w:rPr>
            </w:pPr>
            <w:r>
              <w:rPr>
                <w:rFonts w:hint="eastAsia"/>
                <w:color w:val="auto"/>
                <w:sz w:val="21"/>
                <w:szCs w:val="21"/>
              </w:rPr>
              <w:t>项目专业质量检查员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543" w:type="dxa"/>
            <w:vAlign w:val="center"/>
          </w:tcPr>
          <w:p>
            <w:pPr>
              <w:spacing w:line="360" w:lineRule="auto"/>
              <w:rPr>
                <w:color w:val="auto"/>
                <w:sz w:val="21"/>
                <w:szCs w:val="21"/>
              </w:rPr>
            </w:pPr>
            <w:r>
              <w:rPr>
                <w:rFonts w:hint="eastAsia"/>
                <w:color w:val="auto"/>
                <w:sz w:val="21"/>
                <w:szCs w:val="21"/>
              </w:rPr>
              <w:t>监理（建设）单位验收结论</w:t>
            </w:r>
          </w:p>
        </w:tc>
        <w:tc>
          <w:tcPr>
            <w:tcW w:w="6985" w:type="dxa"/>
            <w:gridSpan w:val="3"/>
            <w:vAlign w:val="center"/>
          </w:tcPr>
          <w:p>
            <w:pPr>
              <w:spacing w:line="360" w:lineRule="auto"/>
              <w:rPr>
                <w:rFonts w:hint="eastAsia"/>
                <w:color w:val="auto"/>
                <w:sz w:val="21"/>
                <w:szCs w:val="21"/>
              </w:rPr>
            </w:pPr>
          </w:p>
          <w:p>
            <w:pPr>
              <w:spacing w:line="360" w:lineRule="auto"/>
              <w:rPr>
                <w:rFonts w:hint="eastAsia"/>
                <w:color w:val="auto"/>
                <w:sz w:val="21"/>
                <w:szCs w:val="21"/>
              </w:rPr>
            </w:pPr>
          </w:p>
          <w:p>
            <w:pPr>
              <w:spacing w:line="360" w:lineRule="auto"/>
              <w:rPr>
                <w:color w:val="auto"/>
                <w:sz w:val="21"/>
                <w:szCs w:val="21"/>
              </w:rPr>
            </w:pPr>
            <w:r>
              <w:rPr>
                <w:rFonts w:hint="eastAsia"/>
                <w:color w:val="auto"/>
                <w:sz w:val="21"/>
                <w:szCs w:val="21"/>
              </w:rPr>
              <w:t>监理工程师</w:t>
            </w:r>
          </w:p>
          <w:p>
            <w:pPr>
              <w:spacing w:line="360" w:lineRule="auto"/>
              <w:rPr>
                <w:color w:val="auto"/>
                <w:sz w:val="21"/>
                <w:szCs w:val="21"/>
              </w:rPr>
            </w:pPr>
            <w:r>
              <w:rPr>
                <w:rFonts w:hint="eastAsia"/>
                <w:color w:val="auto"/>
                <w:sz w:val="21"/>
                <w:szCs w:val="21"/>
              </w:rPr>
              <w:t>（建设单位项目专业技术负责人）  年   月   日</w:t>
            </w:r>
          </w:p>
        </w:tc>
      </w:tr>
    </w:tbl>
    <w:p>
      <w:pPr>
        <w:spacing w:line="360" w:lineRule="auto"/>
        <w:rPr>
          <w:color w:val="auto"/>
          <w:sz w:val="21"/>
          <w:szCs w:val="21"/>
        </w:rPr>
      </w:pPr>
      <w:r>
        <w:rPr>
          <w:rFonts w:hint="eastAsia"/>
          <w:color w:val="auto"/>
          <w:sz w:val="21"/>
          <w:szCs w:val="21"/>
        </w:rPr>
        <w:t>注：产品合格证和出厂检验报告应作为本表的附件。</w:t>
      </w:r>
    </w:p>
    <w:p>
      <w:pPr>
        <w:pStyle w:val="2"/>
        <w:widowControl w:val="0"/>
        <w:spacing w:before="624" w:after="312"/>
        <w:jc w:val="center"/>
        <w:rPr>
          <w:rFonts w:hint="eastAsia"/>
          <w:color w:val="auto"/>
          <w:sz w:val="32"/>
          <w:szCs w:val="32"/>
        </w:rPr>
      </w:pPr>
      <w:bookmarkStart w:id="87" w:name="_Toc13296"/>
      <w:bookmarkStart w:id="88" w:name="_Toc3262"/>
      <w:bookmarkStart w:id="89" w:name="_Toc28328"/>
      <w:r>
        <w:rPr>
          <w:rFonts w:hint="eastAsia"/>
          <w:color w:val="auto"/>
          <w:sz w:val="32"/>
          <w:szCs w:val="32"/>
        </w:rPr>
        <w:t>附录B</w:t>
      </w:r>
      <w:r>
        <w:rPr>
          <w:rFonts w:hint="eastAsia"/>
          <w:color w:val="auto"/>
          <w:sz w:val="32"/>
          <w:szCs w:val="32"/>
          <w:lang w:val="en-US" w:eastAsia="zh-CN"/>
        </w:rPr>
        <w:t xml:space="preserve"> 空心叠合板</w:t>
      </w:r>
      <w:r>
        <w:rPr>
          <w:rFonts w:hint="eastAsia"/>
          <w:color w:val="auto"/>
          <w:sz w:val="32"/>
          <w:szCs w:val="32"/>
        </w:rPr>
        <w:t>自重、折实厚度、体积空心率计算</w:t>
      </w:r>
      <w:bookmarkEnd w:id="87"/>
      <w:bookmarkEnd w:id="88"/>
      <w:bookmarkEnd w:id="89"/>
    </w:p>
    <w:p>
      <w:pPr>
        <w:spacing w:line="360" w:lineRule="auto"/>
        <w:rPr>
          <w:color w:val="auto"/>
          <w:sz w:val="24"/>
          <w:szCs w:val="24"/>
        </w:rPr>
      </w:pPr>
      <w:bookmarkStart w:id="90" w:name="_Toc19987"/>
      <w:r>
        <w:rPr>
          <w:rStyle w:val="24"/>
          <w:rFonts w:hint="eastAsia"/>
          <w:b/>
          <w:bCs/>
          <w:color w:val="auto"/>
          <w:sz w:val="24"/>
          <w:szCs w:val="24"/>
        </w:rPr>
        <w:t>B.0.1</w:t>
      </w:r>
      <w:r>
        <w:rPr>
          <w:rStyle w:val="24"/>
          <w:rFonts w:hint="eastAsia"/>
          <w:color w:val="auto"/>
          <w:sz w:val="24"/>
          <w:szCs w:val="24"/>
        </w:rPr>
        <w:t xml:space="preserve"> </w:t>
      </w:r>
      <w:r>
        <w:rPr>
          <w:rFonts w:hint="eastAsia"/>
          <w:color w:val="auto"/>
          <w:sz w:val="24"/>
          <w:szCs w:val="24"/>
          <w:lang w:val="en-US" w:eastAsia="zh-CN"/>
        </w:rPr>
        <w:t>空心叠合板</w:t>
      </w:r>
      <w:r>
        <w:rPr>
          <w:rFonts w:hint="eastAsia"/>
          <w:color w:val="auto"/>
          <w:sz w:val="24"/>
          <w:szCs w:val="24"/>
        </w:rPr>
        <w:t>自重可按下式计算：</w:t>
      </w:r>
      <w:bookmarkEnd w:id="90"/>
    </w:p>
    <w:p>
      <w:pPr>
        <w:spacing w:line="360" w:lineRule="auto"/>
        <w:rPr>
          <w:rFonts w:hint="eastAsia" w:eastAsia="宋体"/>
          <w:color w:val="auto"/>
          <w:sz w:val="24"/>
          <w:szCs w:val="24"/>
          <w:highlight w:val="none"/>
          <w:lang w:val="en-US" w:eastAsia="zh-CN"/>
        </w:rPr>
      </w:pPr>
      <m:oMath>
        <m:r>
          <m:rPr>
            <m:sty m:val="p"/>
          </m:rPr>
          <w:rPr>
            <w:rFonts w:hint="eastAsia" w:ascii="Cambria Math" w:hAnsi="Cambria Math" w:cstheme="minorBidi"/>
            <w:color w:val="auto"/>
            <w:kern w:val="2"/>
            <w:sz w:val="24"/>
            <w:szCs w:val="24"/>
            <w:highlight w:val="none"/>
            <w:lang w:val="en-US" w:eastAsia="zh-CN" w:bidi="ar-SA"/>
          </w:rPr>
          <m:t>G</m:t>
        </m:r>
        <m:r>
          <m:rPr>
            <m:sty m:val="p"/>
          </m:rPr>
          <w:rPr>
            <w:rFonts w:ascii="Cambria Math" w:hAnsi="Cambria Math" w:cstheme="minorBidi"/>
            <w:color w:val="auto"/>
            <w:kern w:val="2"/>
            <w:sz w:val="24"/>
            <w:szCs w:val="24"/>
            <w:highlight w:val="none"/>
            <w:lang w:val="en-US" w:bidi="ar-SA"/>
          </w:rPr>
          <m:t>=</m:t>
        </m:r>
        <m:r>
          <m:rPr>
            <m:sty m:val="p"/>
          </m:rPr>
          <w:rPr>
            <w:rFonts w:hint="eastAsia" w:ascii="Cambria Math" w:hAnsi="Cambria Math" w:cstheme="minorBidi"/>
            <w:color w:val="auto"/>
            <w:kern w:val="2"/>
            <w:sz w:val="24"/>
            <w:szCs w:val="24"/>
            <w:highlight w:val="none"/>
            <w:lang w:val="en-US" w:eastAsia="zh-CN" w:bidi="ar-SA"/>
          </w:rPr>
          <m:t>（</m:t>
        </m:r>
        <m:sSub>
          <m:sSubPr>
            <m:ctrlPr>
              <w:rPr>
                <w:rFonts w:hint="eastAsia" w:ascii="Cambria Math" w:hAnsi="Cambria Math" w:cstheme="minorBidi"/>
                <w:color w:val="auto"/>
                <w:kern w:val="2"/>
                <w:sz w:val="24"/>
                <w:szCs w:val="24"/>
                <w:highlight w:val="none"/>
                <w:lang w:val="en-US" w:eastAsia="zh-CN" w:bidi="ar-SA"/>
              </w:rPr>
            </m:ctrlPr>
          </m:sSubPr>
          <m:e>
            <m:r>
              <m:rPr>
                <m:sty m:val="p"/>
              </m:rPr>
              <w:rPr>
                <w:rFonts w:hint="default" w:ascii="Cambria Math" w:hAnsi="Cambria Math" w:cstheme="minorBidi"/>
                <w:color w:val="auto"/>
                <w:kern w:val="2"/>
                <w:sz w:val="24"/>
                <w:szCs w:val="24"/>
                <w:highlight w:val="none"/>
                <w:lang w:val="en-US" w:eastAsia="zh-CN" w:bidi="ar-SA"/>
              </w:rPr>
              <m:t>V</m:t>
            </m:r>
            <m:ctrlPr>
              <w:rPr>
                <w:rFonts w:hint="eastAsia" w:ascii="Cambria Math" w:hAnsi="Cambria Math" w:cstheme="minorBidi"/>
                <w:color w:val="auto"/>
                <w:kern w:val="2"/>
                <w:sz w:val="24"/>
                <w:szCs w:val="24"/>
                <w:highlight w:val="none"/>
                <w:lang w:val="en-US" w:eastAsia="zh-CN" w:bidi="ar-SA"/>
              </w:rPr>
            </m:ctrlPr>
          </m:e>
          <m:sub>
            <m:r>
              <m:rPr>
                <m:sty m:val="p"/>
              </m:rPr>
              <w:rPr>
                <w:rFonts w:hint="default" w:ascii="Cambria Math" w:hAnsi="Cambria Math" w:cstheme="minorBidi"/>
                <w:color w:val="auto"/>
                <w:kern w:val="2"/>
                <w:sz w:val="24"/>
                <w:szCs w:val="24"/>
                <w:highlight w:val="none"/>
                <w:lang w:val="en-US" w:eastAsia="zh-CN" w:bidi="ar-SA"/>
              </w:rPr>
              <m:t>u</m:t>
            </m:r>
            <m:ctrlPr>
              <w:rPr>
                <w:rFonts w:hint="eastAsia" w:ascii="Cambria Math" w:hAnsi="Cambria Math" w:cstheme="minorBidi"/>
                <w:color w:val="auto"/>
                <w:kern w:val="2"/>
                <w:sz w:val="24"/>
                <w:szCs w:val="24"/>
                <w:highlight w:val="none"/>
                <w:lang w:val="en-US" w:eastAsia="zh-CN" w:bidi="ar-SA"/>
              </w:rPr>
            </m:ctrlPr>
          </m:sub>
        </m:sSub>
        <m:r>
          <m:rPr>
            <m:sty m:val="p"/>
          </m:rPr>
          <w:rPr>
            <w:rFonts w:hint="default" w:ascii="Cambria Math" w:hAnsi="Cambria Math" w:cstheme="minorBidi"/>
            <w:color w:val="auto"/>
            <w:kern w:val="2"/>
            <w:sz w:val="24"/>
            <w:szCs w:val="24"/>
            <w:highlight w:val="none"/>
            <w:lang w:val="en-US" w:eastAsia="zh-CN" w:bidi="ar-SA"/>
          </w:rPr>
          <m:t>−</m:t>
        </m:r>
        <m:sSub>
          <m:sSubPr>
            <m:ctrlPr>
              <w:rPr>
                <w:rFonts w:hint="default" w:ascii="Cambria Math" w:hAnsi="Cambria Math" w:cstheme="minorBidi"/>
                <w:color w:val="auto"/>
                <w:kern w:val="2"/>
                <w:sz w:val="24"/>
                <w:szCs w:val="24"/>
                <w:highlight w:val="none"/>
                <w:lang w:val="en-US" w:eastAsia="zh-CN" w:bidi="ar-SA"/>
              </w:rPr>
            </m:ctrlPr>
          </m:sSubPr>
          <m:e>
            <m:r>
              <m:rPr>
                <m:sty m:val="p"/>
              </m:rPr>
              <w:rPr>
                <w:rFonts w:hint="default" w:ascii="Cambria Math" w:hAnsi="Cambria Math" w:cstheme="minorBidi"/>
                <w:color w:val="auto"/>
                <w:kern w:val="2"/>
                <w:sz w:val="24"/>
                <w:szCs w:val="24"/>
                <w:highlight w:val="none"/>
                <w:lang w:val="en-US" w:eastAsia="zh-CN" w:bidi="ar-SA"/>
              </w:rPr>
              <m:t>V</m:t>
            </m:r>
            <m:ctrlPr>
              <w:rPr>
                <w:rFonts w:hint="default" w:ascii="Cambria Math" w:hAnsi="Cambria Math" w:cstheme="minorBidi"/>
                <w:color w:val="auto"/>
                <w:kern w:val="2"/>
                <w:sz w:val="24"/>
                <w:szCs w:val="24"/>
                <w:highlight w:val="none"/>
                <w:lang w:val="en-US" w:eastAsia="zh-CN" w:bidi="ar-SA"/>
              </w:rPr>
            </m:ctrlPr>
          </m:e>
          <m:sub>
            <m:r>
              <m:rPr>
                <m:sty m:val="p"/>
              </m:rPr>
              <w:rPr>
                <w:rFonts w:hint="default" w:ascii="Cambria Math" w:hAnsi="Cambria Math" w:cstheme="minorBidi"/>
                <w:color w:val="auto"/>
                <w:kern w:val="2"/>
                <w:sz w:val="24"/>
                <w:szCs w:val="24"/>
                <w:highlight w:val="none"/>
                <w:lang w:val="en-US" w:eastAsia="zh-CN" w:bidi="ar-SA"/>
              </w:rPr>
              <m:t>fil</m:t>
            </m:r>
            <m:ctrlPr>
              <w:rPr>
                <w:rFonts w:hint="default" w:ascii="Cambria Math" w:hAnsi="Cambria Math" w:cstheme="minorBidi"/>
                <w:color w:val="auto"/>
                <w:kern w:val="2"/>
                <w:sz w:val="24"/>
                <w:szCs w:val="24"/>
                <w:highlight w:val="none"/>
                <w:lang w:val="en-US" w:eastAsia="zh-CN" w:bidi="ar-SA"/>
              </w:rPr>
            </m:ctrlPr>
          </m:sub>
        </m:sSub>
        <m:r>
          <m:rPr>
            <m:sty m:val="p"/>
          </m:rPr>
          <w:rPr>
            <w:rFonts w:hint="eastAsia" w:ascii="Cambria Math" w:hAnsi="Cambria Math" w:cstheme="minorBidi"/>
            <w:color w:val="auto"/>
            <w:kern w:val="2"/>
            <w:sz w:val="24"/>
            <w:szCs w:val="24"/>
            <w:highlight w:val="none"/>
            <w:lang w:val="en-US" w:eastAsia="zh-CN" w:bidi="ar-SA"/>
          </w:rPr>
          <m:t>）</m:t>
        </m:r>
        <m:r>
          <m:rPr>
            <m:sty m:val="p"/>
          </m:rPr>
          <w:rPr>
            <w:rFonts w:ascii="Cambria Math" w:hAnsi="Cambria Math" w:cstheme="minorBidi"/>
            <w:color w:val="auto"/>
            <w:kern w:val="2"/>
            <w:sz w:val="24"/>
            <w:szCs w:val="24"/>
            <w:highlight w:val="none"/>
            <w:lang w:val="en-US" w:bidi="ar-SA"/>
          </w:rPr>
          <m:t>γ</m:t>
        </m:r>
        <m:r>
          <m:rPr>
            <m:sty m:val="p"/>
          </m:rPr>
          <w:rPr>
            <w:rFonts w:hint="default" w:ascii="Cambria Math" w:hAnsi="Cambria Math" w:cstheme="minorBidi"/>
            <w:color w:val="auto"/>
            <w:kern w:val="2"/>
            <w:sz w:val="24"/>
            <w:szCs w:val="24"/>
            <w:highlight w:val="none"/>
            <w:lang w:val="en-US" w:eastAsia="zh-CN" w:bidi="ar-SA"/>
          </w:rPr>
          <m:t>+</m:t>
        </m:r>
        <m:sSub>
          <m:sSubPr>
            <m:ctrlPr>
              <w:rPr>
                <w:rFonts w:hint="default" w:ascii="Cambria Math" w:hAnsi="Cambria Math" w:cstheme="minorBidi"/>
                <w:color w:val="auto"/>
                <w:kern w:val="2"/>
                <w:sz w:val="24"/>
                <w:szCs w:val="24"/>
                <w:highlight w:val="none"/>
                <w:lang w:val="en-US" w:eastAsia="zh-CN" w:bidi="ar-SA"/>
              </w:rPr>
            </m:ctrlPr>
          </m:sSubPr>
          <m:e>
            <m:r>
              <m:rPr>
                <m:sty m:val="p"/>
              </m:rPr>
              <w:rPr>
                <w:rFonts w:hint="default" w:ascii="Cambria Math" w:hAnsi="Cambria Math" w:cstheme="minorBidi"/>
                <w:color w:val="auto"/>
                <w:kern w:val="2"/>
                <w:sz w:val="24"/>
                <w:szCs w:val="24"/>
                <w:highlight w:val="none"/>
                <w:lang w:val="en-US" w:eastAsia="zh-CN" w:bidi="ar-SA"/>
              </w:rPr>
              <m:t>G</m:t>
            </m:r>
            <m:ctrlPr>
              <w:rPr>
                <w:rFonts w:hint="default" w:ascii="Cambria Math" w:hAnsi="Cambria Math" w:cstheme="minorBidi"/>
                <w:color w:val="auto"/>
                <w:kern w:val="2"/>
                <w:sz w:val="24"/>
                <w:szCs w:val="24"/>
                <w:highlight w:val="none"/>
                <w:lang w:val="en-US" w:eastAsia="zh-CN" w:bidi="ar-SA"/>
              </w:rPr>
            </m:ctrlPr>
          </m:e>
          <m:sub>
            <m:r>
              <m:rPr>
                <m:sty m:val="p"/>
              </m:rPr>
              <w:rPr>
                <w:rFonts w:hint="default" w:ascii="Cambria Math" w:hAnsi="Cambria Math" w:cstheme="minorBidi"/>
                <w:color w:val="auto"/>
                <w:kern w:val="2"/>
                <w:sz w:val="24"/>
                <w:szCs w:val="24"/>
                <w:highlight w:val="none"/>
                <w:lang w:val="en-US" w:eastAsia="zh-CN" w:bidi="ar-SA"/>
              </w:rPr>
              <m:t>fil</m:t>
            </m:r>
            <m:ctrlPr>
              <w:rPr>
                <w:rFonts w:hint="default" w:ascii="Cambria Math" w:hAnsi="Cambria Math" w:cstheme="minorBidi"/>
                <w:color w:val="auto"/>
                <w:kern w:val="2"/>
                <w:sz w:val="24"/>
                <w:szCs w:val="24"/>
                <w:highlight w:val="none"/>
                <w:lang w:val="en-US" w:eastAsia="zh-CN" w:bidi="ar-SA"/>
              </w:rPr>
            </m:ctrlPr>
          </m:sub>
        </m:sSub>
        <m:r>
          <m:rPr>
            <m:sty m:val="p"/>
          </m:rPr>
          <w:rPr>
            <w:rFonts w:hint="default" w:ascii="Cambria Math" w:hAnsi="Cambria Math" w:cstheme="minorBidi"/>
            <w:color w:val="auto"/>
            <w:kern w:val="2"/>
            <w:sz w:val="24"/>
            <w:szCs w:val="24"/>
            <w:highlight w:val="none"/>
            <w:lang w:val="en-US" w:eastAsia="zh-CN" w:bidi="ar-SA"/>
          </w:rPr>
          <m:t>+</m:t>
        </m:r>
        <m:sSub>
          <m:sSubPr>
            <m:ctrlPr>
              <w:rPr>
                <w:rFonts w:hint="default" w:ascii="Cambria Math" w:hAnsi="Cambria Math" w:cstheme="minorBidi"/>
                <w:color w:val="auto"/>
                <w:kern w:val="2"/>
                <w:sz w:val="24"/>
                <w:szCs w:val="24"/>
                <w:highlight w:val="none"/>
                <w:lang w:val="en-US" w:eastAsia="zh-CN" w:bidi="ar-SA"/>
              </w:rPr>
            </m:ctrlPr>
          </m:sSubPr>
          <m:e>
            <m:r>
              <m:rPr>
                <m:sty m:val="p"/>
              </m:rPr>
              <w:rPr>
                <w:rFonts w:hint="default" w:ascii="Cambria Math" w:hAnsi="Cambria Math" w:cstheme="minorBidi"/>
                <w:color w:val="auto"/>
                <w:kern w:val="2"/>
                <w:sz w:val="24"/>
                <w:szCs w:val="24"/>
                <w:highlight w:val="none"/>
                <w:lang w:val="en-US" w:eastAsia="zh-CN" w:bidi="ar-SA"/>
              </w:rPr>
              <m:t>G</m:t>
            </m:r>
            <m:ctrlPr>
              <w:rPr>
                <w:rFonts w:hint="default" w:ascii="Cambria Math" w:hAnsi="Cambria Math" w:cstheme="minorBidi"/>
                <w:color w:val="auto"/>
                <w:kern w:val="2"/>
                <w:sz w:val="24"/>
                <w:szCs w:val="24"/>
                <w:highlight w:val="none"/>
                <w:lang w:val="en-US" w:eastAsia="zh-CN" w:bidi="ar-SA"/>
              </w:rPr>
            </m:ctrlPr>
          </m:e>
          <m:sub>
            <m:r>
              <m:rPr>
                <m:sty m:val="p"/>
              </m:rPr>
              <w:rPr>
                <w:rFonts w:hint="default" w:ascii="Cambria Math" w:hAnsi="Cambria Math" w:cstheme="minorBidi"/>
                <w:color w:val="auto"/>
                <w:kern w:val="2"/>
                <w:sz w:val="24"/>
                <w:szCs w:val="24"/>
                <w:highlight w:val="none"/>
                <w:lang w:val="en-US" w:eastAsia="zh-CN" w:bidi="ar-SA"/>
              </w:rPr>
              <m:t>0</m:t>
            </m:r>
            <m:ctrlPr>
              <w:rPr>
                <w:rFonts w:hint="default" w:ascii="Cambria Math" w:hAnsi="Cambria Math" w:cstheme="minorBidi"/>
                <w:color w:val="auto"/>
                <w:kern w:val="2"/>
                <w:sz w:val="24"/>
                <w:szCs w:val="24"/>
                <w:highlight w:val="none"/>
                <w:lang w:val="en-US" w:eastAsia="zh-CN" w:bidi="ar-SA"/>
              </w:rPr>
            </m:ctrlPr>
          </m:sub>
        </m:sSub>
      </m:oMath>
      <w:r>
        <w:rPr>
          <w:rFonts w:hint="eastAsia"/>
          <w:color w:val="auto"/>
          <w:sz w:val="24"/>
          <w:szCs w:val="24"/>
          <w:highlight w:val="none"/>
        </w:rPr>
        <w:t xml:space="preserve">                       （B.0.1）</w:t>
      </w:r>
    </w:p>
    <w:p>
      <w:pPr>
        <w:spacing w:line="360" w:lineRule="auto"/>
        <w:rPr>
          <w:color w:val="auto"/>
          <w:sz w:val="24"/>
          <w:szCs w:val="24"/>
          <w:highlight w:val="none"/>
        </w:rPr>
      </w:pPr>
      <w:r>
        <w:rPr>
          <w:rFonts w:hint="eastAsia"/>
          <w:color w:val="auto"/>
          <w:sz w:val="24"/>
          <w:szCs w:val="24"/>
          <w:highlight w:val="none"/>
        </w:rPr>
        <w:t>式中：</w:t>
      </w:r>
    </w:p>
    <w:tbl>
      <w:tblPr>
        <w:tblStyle w:val="15"/>
        <w:tblW w:w="8755" w:type="dxa"/>
        <w:tblInd w:w="9" w:type="dxa"/>
        <w:tblLayout w:type="fixed"/>
        <w:tblCellMar>
          <w:top w:w="0" w:type="dxa"/>
          <w:left w:w="108" w:type="dxa"/>
          <w:bottom w:w="0" w:type="dxa"/>
          <w:right w:w="108" w:type="dxa"/>
        </w:tblCellMar>
      </w:tblPr>
      <w:tblGrid>
        <w:gridCol w:w="816"/>
        <w:gridCol w:w="487"/>
        <w:gridCol w:w="7452"/>
      </w:tblGrid>
      <w:tr>
        <w:tblPrEx>
          <w:tblCellMar>
            <w:top w:w="0" w:type="dxa"/>
            <w:left w:w="108" w:type="dxa"/>
            <w:bottom w:w="0" w:type="dxa"/>
            <w:right w:w="108" w:type="dxa"/>
          </w:tblCellMar>
        </w:tblPrEx>
        <w:trPr>
          <w:trHeight w:val="245" w:hRule="atLeast"/>
        </w:trPr>
        <w:tc>
          <w:tcPr>
            <w:tcW w:w="816"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G</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区格内自重（kN），区格是指双向相邻柱轴线间形成的一个楼板区域；</w:t>
            </w:r>
          </w:p>
        </w:tc>
      </w:tr>
      <w:tr>
        <w:tblPrEx>
          <w:tblCellMar>
            <w:top w:w="0" w:type="dxa"/>
            <w:left w:w="108" w:type="dxa"/>
            <w:bottom w:w="0" w:type="dxa"/>
            <w:right w:w="108" w:type="dxa"/>
          </w:tblCellMar>
        </w:tblPrEx>
        <w:trPr>
          <w:trHeight w:val="138" w:hRule="atLeast"/>
        </w:trPr>
        <w:tc>
          <w:tcPr>
            <w:tcW w:w="816"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G</w:t>
            </w:r>
            <w:r>
              <w:rPr>
                <w:rFonts w:hint="eastAsia"/>
                <w:color w:val="auto"/>
                <w:sz w:val="24"/>
                <w:szCs w:val="24"/>
                <w:highlight w:val="none"/>
                <w:vertAlign w:val="subscript"/>
              </w:rPr>
              <w:t>fil</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区格内</w:t>
            </w:r>
            <w:r>
              <w:rPr>
                <w:rFonts w:hint="eastAsia"/>
                <w:color w:val="auto"/>
                <w:sz w:val="24"/>
                <w:szCs w:val="24"/>
                <w:highlight w:val="none"/>
                <w:lang w:val="en-US" w:eastAsia="zh-CN"/>
              </w:rPr>
              <w:t>箱型填充体</w:t>
            </w:r>
            <w:r>
              <w:rPr>
                <w:rFonts w:hint="eastAsia"/>
                <w:color w:val="auto"/>
                <w:sz w:val="24"/>
                <w:szCs w:val="24"/>
                <w:highlight w:val="none"/>
              </w:rPr>
              <w:t>的</w:t>
            </w:r>
            <w:r>
              <w:rPr>
                <w:rFonts w:hint="eastAsia"/>
                <w:color w:val="auto"/>
                <w:sz w:val="24"/>
                <w:szCs w:val="24"/>
                <w:highlight w:val="none"/>
                <w:lang w:val="en-US" w:eastAsia="zh-CN"/>
              </w:rPr>
              <w:t>总</w:t>
            </w:r>
            <w:r>
              <w:rPr>
                <w:rFonts w:hint="eastAsia"/>
                <w:color w:val="auto"/>
                <w:sz w:val="24"/>
                <w:szCs w:val="24"/>
                <w:highlight w:val="none"/>
              </w:rPr>
              <w:t>重量（kN）；</w:t>
            </w:r>
          </w:p>
        </w:tc>
      </w:tr>
      <w:tr>
        <w:tblPrEx>
          <w:tblCellMar>
            <w:top w:w="0" w:type="dxa"/>
            <w:left w:w="108" w:type="dxa"/>
            <w:bottom w:w="0" w:type="dxa"/>
            <w:right w:w="108" w:type="dxa"/>
          </w:tblCellMar>
        </w:tblPrEx>
        <w:trPr>
          <w:trHeight w:val="138" w:hRule="atLeast"/>
        </w:trPr>
        <w:tc>
          <w:tcPr>
            <w:tcW w:w="816" w:type="dxa"/>
            <w:tcBorders>
              <w:top w:val="nil"/>
              <w:left w:val="nil"/>
              <w:bottom w:val="nil"/>
              <w:right w:val="nil"/>
            </w:tcBorders>
            <w:tcMar>
              <w:top w:w="0" w:type="dxa"/>
              <w:left w:w="0" w:type="dxa"/>
              <w:bottom w:w="0" w:type="dxa"/>
              <w:right w:w="0" w:type="dxa"/>
            </w:tcMar>
          </w:tcPr>
          <w:p>
            <w:pPr>
              <w:spacing w:line="360" w:lineRule="auto"/>
              <w:rPr>
                <w:rFonts w:hint="default" w:eastAsia="宋体"/>
                <w:color w:val="auto"/>
                <w:sz w:val="24"/>
                <w:szCs w:val="24"/>
                <w:highlight w:val="none"/>
                <w:lang w:val="en-US" w:eastAsia="zh-CN"/>
              </w:rPr>
            </w:pPr>
            <w:r>
              <w:rPr>
                <w:rFonts w:hint="eastAsia"/>
                <w:color w:val="auto"/>
                <w:sz w:val="24"/>
                <w:szCs w:val="24"/>
                <w:highlight w:val="none"/>
                <w:lang w:val="en-US" w:eastAsia="zh-CN"/>
              </w:rPr>
              <w:t>G</w:t>
            </w:r>
            <w:r>
              <w:rPr>
                <w:rFonts w:hint="eastAsia"/>
                <w:color w:val="auto"/>
                <w:sz w:val="24"/>
                <w:szCs w:val="24"/>
                <w:highlight w:val="none"/>
                <w:vertAlign w:val="subscript"/>
                <w:lang w:val="en-US" w:eastAsia="zh-CN"/>
              </w:rPr>
              <w:t>0</w:t>
            </w:r>
          </w:p>
        </w:tc>
        <w:tc>
          <w:tcPr>
            <w:tcW w:w="487" w:type="dxa"/>
            <w:tcBorders>
              <w:top w:val="nil"/>
              <w:left w:val="nil"/>
              <w:bottom w:val="nil"/>
              <w:right w:val="nil"/>
            </w:tcBorders>
            <w:tcMar>
              <w:top w:w="0" w:type="dxa"/>
              <w:left w:w="0" w:type="dxa"/>
              <w:bottom w:w="0" w:type="dxa"/>
              <w:right w:w="0" w:type="dxa"/>
            </w:tcMar>
            <w:vAlign w:val="top"/>
          </w:tcPr>
          <w:p>
            <w:pPr>
              <w:spacing w:line="360" w:lineRule="auto"/>
              <w:rPr>
                <w:rFonts w:hint="eastAsia" w:ascii="Times New Roman" w:hAnsi="Times New Roman" w:eastAsia="宋体" w:cstheme="minorBidi"/>
                <w:color w:val="auto"/>
                <w:kern w:val="2"/>
                <w:sz w:val="24"/>
                <w:szCs w:val="24"/>
                <w:highlight w:val="none"/>
                <w:lang w:val="en-US" w:eastAsia="zh-CN" w:bidi="ar-SA"/>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vAlign w:val="top"/>
          </w:tcPr>
          <w:p>
            <w:pPr>
              <w:spacing w:line="360" w:lineRule="auto"/>
              <w:rPr>
                <w:rFonts w:hint="eastAsia" w:ascii="Times New Roman" w:hAnsi="Times New Roman" w:eastAsia="宋体" w:cstheme="minorBidi"/>
                <w:color w:val="auto"/>
                <w:kern w:val="2"/>
                <w:sz w:val="24"/>
                <w:szCs w:val="24"/>
                <w:highlight w:val="none"/>
                <w:lang w:val="en-US" w:eastAsia="zh-CN" w:bidi="ar-SA"/>
              </w:rPr>
            </w:pPr>
            <w:r>
              <w:rPr>
                <w:rFonts w:hint="eastAsia"/>
                <w:color w:val="auto"/>
                <w:sz w:val="24"/>
                <w:szCs w:val="24"/>
                <w:highlight w:val="none"/>
                <w:lang w:val="en-US" w:eastAsia="zh-CN"/>
              </w:rPr>
              <w:t>空心叠合板</w:t>
            </w:r>
            <w:r>
              <w:rPr>
                <w:rFonts w:hint="eastAsia"/>
                <w:color w:val="auto"/>
                <w:sz w:val="24"/>
                <w:szCs w:val="24"/>
                <w:highlight w:val="none"/>
              </w:rPr>
              <w:t>区格内</w:t>
            </w:r>
            <w:r>
              <w:rPr>
                <w:rFonts w:hint="eastAsia"/>
                <w:color w:val="auto"/>
                <w:sz w:val="24"/>
                <w:szCs w:val="24"/>
                <w:highlight w:val="none"/>
                <w:lang w:val="en-US" w:eastAsia="zh-CN"/>
              </w:rPr>
              <w:t>箱型填充体因设置加强体而增加的混凝土、</w:t>
            </w:r>
            <w:r>
              <w:rPr>
                <w:rFonts w:hint="default"/>
                <w:highlight w:val="none"/>
                <w:lang w:val="en-US" w:eastAsia="zh-CN"/>
              </w:rPr>
              <w:t>与周边支承构件间局部实心混凝土</w:t>
            </w:r>
            <w:r>
              <w:rPr>
                <w:rFonts w:hint="eastAsia"/>
                <w:highlight w:val="none"/>
                <w:lang w:val="en-US" w:eastAsia="zh-CN"/>
              </w:rPr>
              <w:t>的</w:t>
            </w:r>
            <w:r>
              <w:rPr>
                <w:rFonts w:hint="eastAsia"/>
                <w:color w:val="auto"/>
                <w:sz w:val="24"/>
                <w:szCs w:val="24"/>
                <w:highlight w:val="none"/>
                <w:lang w:val="en-US" w:eastAsia="zh-CN"/>
              </w:rPr>
              <w:t>总</w:t>
            </w:r>
            <w:r>
              <w:rPr>
                <w:rFonts w:hint="eastAsia"/>
                <w:color w:val="auto"/>
                <w:sz w:val="24"/>
                <w:szCs w:val="24"/>
                <w:highlight w:val="none"/>
              </w:rPr>
              <w:t>重量（kN）；</w:t>
            </w:r>
          </w:p>
        </w:tc>
      </w:tr>
      <w:tr>
        <w:tblPrEx>
          <w:tblCellMar>
            <w:top w:w="0" w:type="dxa"/>
            <w:left w:w="108" w:type="dxa"/>
            <w:bottom w:w="0" w:type="dxa"/>
            <w:right w:w="108" w:type="dxa"/>
          </w:tblCellMar>
        </w:tblPrEx>
        <w:trPr>
          <w:trHeight w:val="165" w:hRule="atLeast"/>
        </w:trPr>
        <w:tc>
          <w:tcPr>
            <w:tcW w:w="816"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V</w:t>
            </w:r>
            <w:r>
              <w:rPr>
                <w:rFonts w:hint="eastAsia"/>
                <w:color w:val="auto"/>
                <w:sz w:val="24"/>
                <w:szCs w:val="24"/>
                <w:highlight w:val="none"/>
                <w:vertAlign w:val="subscript"/>
              </w:rPr>
              <w:t>fil</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区格内</w:t>
            </w:r>
            <w:r>
              <w:rPr>
                <w:rFonts w:hint="eastAsia"/>
                <w:color w:val="auto"/>
                <w:sz w:val="24"/>
                <w:szCs w:val="24"/>
                <w:highlight w:val="none"/>
                <w:lang w:val="en-US" w:eastAsia="zh-CN"/>
              </w:rPr>
              <w:t>箱型填充体</w:t>
            </w:r>
            <w:r>
              <w:rPr>
                <w:rFonts w:hint="eastAsia"/>
                <w:color w:val="auto"/>
                <w:sz w:val="24"/>
                <w:szCs w:val="24"/>
                <w:highlight w:val="none"/>
              </w:rPr>
              <w:t>的</w:t>
            </w:r>
            <w:r>
              <w:rPr>
                <w:rFonts w:hint="eastAsia"/>
                <w:color w:val="auto"/>
                <w:sz w:val="24"/>
                <w:szCs w:val="24"/>
                <w:highlight w:val="none"/>
                <w:lang w:val="en-US" w:eastAsia="zh-CN"/>
              </w:rPr>
              <w:t>总</w:t>
            </w:r>
            <w:r>
              <w:rPr>
                <w:rFonts w:hint="eastAsia"/>
                <w:color w:val="auto"/>
                <w:sz w:val="24"/>
                <w:szCs w:val="24"/>
                <w:highlight w:val="none"/>
              </w:rPr>
              <w:t>体积（m³）；</w:t>
            </w:r>
          </w:p>
        </w:tc>
      </w:tr>
      <w:tr>
        <w:tblPrEx>
          <w:tblCellMar>
            <w:top w:w="0" w:type="dxa"/>
            <w:left w:w="108" w:type="dxa"/>
            <w:bottom w:w="0" w:type="dxa"/>
            <w:right w:w="108" w:type="dxa"/>
          </w:tblCellMar>
        </w:tblPrEx>
        <w:trPr>
          <w:trHeight w:val="153" w:hRule="atLeast"/>
        </w:trPr>
        <w:tc>
          <w:tcPr>
            <w:tcW w:w="816"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V</w:t>
            </w:r>
            <w:r>
              <w:rPr>
                <w:rFonts w:hint="eastAsia"/>
                <w:color w:val="auto"/>
                <w:sz w:val="24"/>
                <w:szCs w:val="24"/>
                <w:highlight w:val="none"/>
                <w:vertAlign w:val="subscript"/>
              </w:rPr>
              <w:t>u</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区格内总体积（m³）；</w:t>
            </w:r>
          </w:p>
        </w:tc>
      </w:tr>
      <w:tr>
        <w:tblPrEx>
          <w:tblCellMar>
            <w:top w:w="0" w:type="dxa"/>
            <w:left w:w="108" w:type="dxa"/>
            <w:bottom w:w="0" w:type="dxa"/>
            <w:right w:w="108" w:type="dxa"/>
          </w:tblCellMar>
        </w:tblPrEx>
        <w:trPr>
          <w:trHeight w:val="108" w:hRule="atLeast"/>
        </w:trPr>
        <w:tc>
          <w:tcPr>
            <w:tcW w:w="816"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γ</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52"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混凝土重度（kN/m</w:t>
            </w:r>
            <w:r>
              <w:rPr>
                <w:rFonts w:hint="eastAsia"/>
                <w:color w:val="auto"/>
                <w:sz w:val="24"/>
                <w:szCs w:val="24"/>
                <w:highlight w:val="none"/>
                <w:vertAlign w:val="superscript"/>
              </w:rPr>
              <w:t>3</w:t>
            </w:r>
            <w:r>
              <w:rPr>
                <w:rFonts w:hint="eastAsia"/>
                <w:color w:val="auto"/>
                <w:sz w:val="24"/>
                <w:szCs w:val="24"/>
                <w:highlight w:val="none"/>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color w:val="auto"/>
          <w:sz w:val="24"/>
          <w:szCs w:val="24"/>
          <w:highlight w:val="none"/>
        </w:rPr>
      </w:pPr>
      <w:r>
        <w:rPr>
          <w:rStyle w:val="24"/>
          <w:rFonts w:hint="eastAsia"/>
          <w:b/>
          <w:bCs/>
          <w:color w:val="auto"/>
          <w:sz w:val="24"/>
          <w:szCs w:val="24"/>
          <w:highlight w:val="none"/>
        </w:rPr>
        <w:t>B.0.2</w:t>
      </w:r>
      <w:r>
        <w:rPr>
          <w:rStyle w:val="24"/>
          <w:rFonts w:hint="eastAsia"/>
          <w:color w:val="auto"/>
          <w:sz w:val="24"/>
          <w:szCs w:val="24"/>
          <w:highlight w:val="none"/>
        </w:rPr>
        <w:t xml:space="preserve"> </w:t>
      </w:r>
      <w:r>
        <w:rPr>
          <w:rFonts w:hint="eastAsia"/>
          <w:color w:val="auto"/>
          <w:sz w:val="24"/>
          <w:szCs w:val="24"/>
          <w:highlight w:val="none"/>
          <w:lang w:val="en-US" w:eastAsia="zh-CN"/>
        </w:rPr>
        <w:t>空心叠合板</w:t>
      </w:r>
      <w:r>
        <w:rPr>
          <w:rFonts w:hint="eastAsia"/>
          <w:color w:val="auto"/>
          <w:sz w:val="24"/>
          <w:szCs w:val="24"/>
          <w:highlight w:val="none"/>
        </w:rPr>
        <w:t>按重量等效的折实厚度可按下式计算：</w:t>
      </w:r>
    </w:p>
    <w:p>
      <w:pPr>
        <w:spacing w:line="360" w:lineRule="auto"/>
        <w:rPr>
          <w:color w:val="auto"/>
          <w:sz w:val="24"/>
          <w:szCs w:val="24"/>
          <w:highlight w:val="none"/>
        </w:rPr>
      </w:pPr>
      <w:r>
        <w:rPr>
          <w:rFonts w:hint="eastAsia"/>
          <w:color w:val="auto"/>
          <w:sz w:val="24"/>
          <w:szCs w:val="24"/>
          <w:highlight w:val="none"/>
        </w:rPr>
        <w:t xml:space="preserve">            </w:t>
      </w:r>
      <w:r>
        <w:rPr>
          <w:rFonts w:hint="eastAsia"/>
          <w:color w:val="auto"/>
          <w:sz w:val="24"/>
          <w:szCs w:val="24"/>
          <w:highlight w:val="none"/>
        </w:rPr>
        <w:object>
          <v:shape id="_x0000_i1028" o:spt="75" type="#_x0000_t75" style="height:34pt;width:70pt;" o:ole="t" filled="f" o:preferrelative="t" stroked="f" coordsize="21600,21600">
            <v:path/>
            <v:fill on="f" focussize="0,0"/>
            <v:stroke on="f" joinstyle="miter"/>
            <v:imagedata r:id="rId32" o:title=""/>
            <o:lock v:ext="edit" aspectratio="t"/>
            <w10:wrap type="none"/>
            <w10:anchorlock/>
          </v:shape>
          <o:OLEObject Type="Embed" ProgID="Equation.KSEE3" ShapeID="_x0000_i1028" DrawAspect="Content" ObjectID="_1468075728" r:id="rId31">
            <o:LockedField>false</o:LockedField>
          </o:OLEObject>
        </w:object>
      </w:r>
      <w:r>
        <w:rPr>
          <w:rFonts w:hint="eastAsia"/>
          <w:color w:val="auto"/>
          <w:sz w:val="24"/>
          <w:szCs w:val="24"/>
          <w:highlight w:val="none"/>
        </w:rPr>
        <w:t xml:space="preserve">                           （B.0.2）</w:t>
      </w:r>
    </w:p>
    <w:p>
      <w:pPr>
        <w:spacing w:line="360" w:lineRule="auto"/>
        <w:rPr>
          <w:color w:val="auto"/>
          <w:sz w:val="24"/>
          <w:szCs w:val="24"/>
          <w:highlight w:val="none"/>
        </w:rPr>
      </w:pPr>
      <w:r>
        <w:rPr>
          <w:rFonts w:hint="eastAsia"/>
          <w:color w:val="auto"/>
          <w:sz w:val="24"/>
          <w:szCs w:val="24"/>
          <w:highlight w:val="none"/>
        </w:rPr>
        <w:t>式中：</w:t>
      </w:r>
    </w:p>
    <w:tbl>
      <w:tblPr>
        <w:tblStyle w:val="15"/>
        <w:tblW w:w="8823" w:type="dxa"/>
        <w:tblInd w:w="-18" w:type="dxa"/>
        <w:tblLayout w:type="fixed"/>
        <w:tblCellMar>
          <w:top w:w="0" w:type="dxa"/>
          <w:left w:w="108" w:type="dxa"/>
          <w:bottom w:w="0" w:type="dxa"/>
          <w:right w:w="108" w:type="dxa"/>
        </w:tblCellMar>
      </w:tblPr>
      <w:tblGrid>
        <w:gridCol w:w="843"/>
        <w:gridCol w:w="487"/>
        <w:gridCol w:w="7493"/>
      </w:tblGrid>
      <w:tr>
        <w:tblPrEx>
          <w:tblCellMar>
            <w:top w:w="0" w:type="dxa"/>
            <w:left w:w="108" w:type="dxa"/>
            <w:bottom w:w="0" w:type="dxa"/>
            <w:right w:w="108" w:type="dxa"/>
          </w:tblCellMar>
        </w:tblPrEx>
        <w:trPr>
          <w:trHeight w:val="245" w:hRule="atLeast"/>
        </w:trPr>
        <w:tc>
          <w:tcPr>
            <w:tcW w:w="843"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h</w:t>
            </w:r>
            <w:r>
              <w:rPr>
                <w:rFonts w:hint="eastAsia"/>
                <w:color w:val="auto"/>
                <w:sz w:val="24"/>
                <w:szCs w:val="24"/>
                <w:highlight w:val="none"/>
                <w:vertAlign w:val="subscript"/>
              </w:rPr>
              <w:t>con</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93"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折实厚度；</w:t>
            </w:r>
          </w:p>
        </w:tc>
      </w:tr>
      <w:tr>
        <w:tblPrEx>
          <w:tblCellMar>
            <w:top w:w="0" w:type="dxa"/>
            <w:left w:w="108" w:type="dxa"/>
            <w:bottom w:w="0" w:type="dxa"/>
            <w:right w:w="108" w:type="dxa"/>
          </w:tblCellMar>
        </w:tblPrEx>
        <w:trPr>
          <w:trHeight w:val="138" w:hRule="atLeast"/>
        </w:trPr>
        <w:tc>
          <w:tcPr>
            <w:tcW w:w="843"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h</w:t>
            </w:r>
          </w:p>
        </w:tc>
        <w:tc>
          <w:tcPr>
            <w:tcW w:w="487"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rPr>
              <w:t>—</w:t>
            </w:r>
          </w:p>
        </w:tc>
        <w:tc>
          <w:tcPr>
            <w:tcW w:w="7493" w:type="dxa"/>
            <w:tcBorders>
              <w:top w:val="nil"/>
              <w:left w:val="nil"/>
              <w:bottom w:val="nil"/>
              <w:right w:val="nil"/>
            </w:tcBorders>
            <w:tcMar>
              <w:top w:w="0" w:type="dxa"/>
              <w:left w:w="0" w:type="dxa"/>
              <w:bottom w:w="0" w:type="dxa"/>
              <w:right w:w="0" w:type="dxa"/>
            </w:tcMar>
          </w:tcPr>
          <w:p>
            <w:pPr>
              <w:spacing w:line="360" w:lineRule="auto"/>
              <w:rPr>
                <w:color w:val="auto"/>
                <w:sz w:val="24"/>
                <w:szCs w:val="24"/>
                <w:highlight w:val="none"/>
              </w:rPr>
            </w:pPr>
            <w:r>
              <w:rPr>
                <w:rFonts w:hint="eastAsia"/>
                <w:color w:val="auto"/>
                <w:sz w:val="24"/>
                <w:szCs w:val="24"/>
                <w:highlight w:val="none"/>
                <w:lang w:val="en-US" w:eastAsia="zh-CN"/>
              </w:rPr>
              <w:t>空心叠合板</w:t>
            </w:r>
            <w:r>
              <w:rPr>
                <w:rFonts w:hint="eastAsia"/>
                <w:color w:val="auto"/>
                <w:sz w:val="24"/>
                <w:szCs w:val="24"/>
                <w:highlight w:val="none"/>
              </w:rPr>
              <w:t>厚度。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color w:val="auto"/>
          <w:sz w:val="24"/>
          <w:szCs w:val="24"/>
        </w:rPr>
      </w:pPr>
      <w:r>
        <w:rPr>
          <w:rStyle w:val="24"/>
          <w:rFonts w:hint="eastAsia"/>
          <w:b/>
          <w:bCs/>
          <w:color w:val="auto"/>
          <w:sz w:val="24"/>
          <w:szCs w:val="24"/>
          <w:highlight w:val="none"/>
        </w:rPr>
        <w:t>B.0.3</w:t>
      </w:r>
      <w:r>
        <w:rPr>
          <w:rStyle w:val="24"/>
          <w:rFonts w:hint="eastAsia"/>
          <w:color w:val="auto"/>
          <w:sz w:val="24"/>
          <w:szCs w:val="24"/>
          <w:highlight w:val="none"/>
        </w:rPr>
        <w:t xml:space="preserve"> </w:t>
      </w:r>
      <w:r>
        <w:rPr>
          <w:rFonts w:hint="eastAsia"/>
          <w:color w:val="auto"/>
          <w:sz w:val="24"/>
          <w:szCs w:val="24"/>
          <w:highlight w:val="none"/>
          <w:lang w:val="en-US" w:eastAsia="zh-CN"/>
        </w:rPr>
        <w:t>空心叠合板</w:t>
      </w:r>
      <w:r>
        <w:rPr>
          <w:rFonts w:hint="eastAsia"/>
          <w:color w:val="auto"/>
          <w:sz w:val="24"/>
          <w:szCs w:val="24"/>
          <w:highlight w:val="none"/>
        </w:rPr>
        <w:t>的体积空心率</w:t>
      </w:r>
      <w:r>
        <w:rPr>
          <w:rFonts w:hint="eastAsia"/>
          <w:color w:val="auto"/>
          <w:sz w:val="24"/>
          <w:szCs w:val="24"/>
          <w:highlight w:val="none"/>
        </w:rPr>
        <w:object>
          <v:shape id="_x0000_i1029" o:spt="75" type="#_x0000_t75" style="height:18pt;width:24pt;" o:ole="t" filled="f" o:preferrelative="t" stroked="f" coordsize="21600,21600">
            <v:path/>
            <v:fill on="f" focussize="0,0"/>
            <v:stroke on="f" joinstyle="miter"/>
            <v:imagedata r:id="rId34" o:title=""/>
            <o:lock v:ext="edit" aspectratio="t"/>
            <w10:wrap type="none"/>
            <w10:anchorlock/>
          </v:shape>
          <o:OLEObject Type="Embed" ProgID="Equation.KSEE3" ShapeID="_x0000_i1029" DrawAspect="Content" ObjectID="_1468075729" r:id="rId33">
            <o:LockedField>false</o:LockedField>
          </o:OLEObject>
        </w:object>
      </w:r>
      <w:r>
        <w:rPr>
          <w:rFonts w:hint="eastAsia"/>
          <w:color w:val="auto"/>
          <w:sz w:val="24"/>
          <w:szCs w:val="24"/>
          <w:highlight w:val="none"/>
        </w:rPr>
        <w:t>可按下式计算：</w:t>
      </w:r>
    </w:p>
    <w:p>
      <w:pPr>
        <w:spacing w:line="360" w:lineRule="auto"/>
        <w:ind w:firstLine="1440" w:firstLineChars="600"/>
        <w:rPr>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ρ</m:t>
            </m:r>
            <m:ctrlPr>
              <w:rPr>
                <w:rFonts w:ascii="Cambria Math" w:hAnsi="Cambria Math"/>
                <w:i/>
                <w:color w:val="auto"/>
                <w:sz w:val="24"/>
                <w:szCs w:val="24"/>
              </w:rPr>
            </m:ctrlPr>
          </m:e>
          <m:sub>
            <m:r>
              <m:rPr/>
              <w:rPr>
                <w:rFonts w:hint="default" w:ascii="Cambria Math" w:hAnsi="Cambria Math"/>
                <w:color w:val="auto"/>
                <w:sz w:val="24"/>
                <w:szCs w:val="24"/>
                <w:lang w:val="en-US" w:eastAsia="zh-CN"/>
              </w:rPr>
              <m:t>void</m:t>
            </m:r>
            <m:ctrlPr>
              <w:rPr>
                <w:rFonts w:ascii="Cambria Math" w:hAnsi="Cambria Math"/>
                <w:i/>
                <w:color w:val="auto"/>
                <w:sz w:val="24"/>
                <w:szCs w:val="24"/>
              </w:rPr>
            </m:ctrlPr>
          </m:sub>
        </m:sSub>
        <m:r>
          <m:rPr/>
          <w:rPr>
            <w:rFonts w:hint="default" w:ascii="Cambria Math" w:hAnsi="Cambria Math"/>
            <w:color w:val="auto"/>
            <w:sz w:val="24"/>
            <w:szCs w:val="24"/>
            <w:lang w:val="en-US" w:eastAsia="zh-CN"/>
          </w:rPr>
          <m:t>=</m:t>
        </m:r>
        <m:f>
          <m:fPr>
            <m:ctrlPr>
              <w:rPr>
                <w:rFonts w:hint="default" w:ascii="Cambria Math" w:hAnsi="Cambria Math"/>
                <w:i/>
                <w:color w:val="auto"/>
                <w:sz w:val="24"/>
                <w:szCs w:val="24"/>
                <w:lang w:val="en-US" w:eastAsia="zh-CN"/>
              </w:rPr>
            </m:ctrlPr>
          </m:fPr>
          <m:num>
            <m:sSub>
              <m:sSubPr>
                <m:ctrlPr>
                  <w:rPr>
                    <w:rFonts w:hint="default" w:ascii="Cambria Math" w:hAnsi="Cambria Math"/>
                    <w:i/>
                    <w:color w:val="auto"/>
                    <w:sz w:val="24"/>
                    <w:szCs w:val="24"/>
                    <w:lang w:val="en-US" w:eastAsia="zh-CN"/>
                  </w:rPr>
                </m:ctrlPr>
              </m:sSubPr>
              <m:e>
                <m:r>
                  <m:rPr/>
                  <w:rPr>
                    <w:rFonts w:hint="default" w:ascii="Cambria Math" w:hAnsi="Cambria Math"/>
                    <w:color w:val="auto"/>
                    <w:sz w:val="24"/>
                    <w:szCs w:val="24"/>
                    <w:lang w:val="en-US" w:eastAsia="zh-CN"/>
                  </w:rPr>
                  <m:t>V</m:t>
                </m:r>
                <m:ctrlPr>
                  <w:rPr>
                    <w:rFonts w:hint="default" w:ascii="Cambria Math" w:hAnsi="Cambria Math"/>
                    <w:i/>
                    <w:color w:val="auto"/>
                    <w:sz w:val="24"/>
                    <w:szCs w:val="24"/>
                    <w:lang w:val="en-US" w:eastAsia="zh-CN"/>
                  </w:rPr>
                </m:ctrlPr>
              </m:e>
              <m:sub>
                <m:r>
                  <m:rPr/>
                  <w:rPr>
                    <w:rFonts w:hint="default" w:ascii="Cambria Math" w:hAnsi="Cambria Math"/>
                    <w:color w:val="auto"/>
                    <w:sz w:val="24"/>
                    <w:szCs w:val="24"/>
                    <w:lang w:val="en-US" w:eastAsia="zh-CN"/>
                  </w:rPr>
                  <m:t>fil</m:t>
                </m:r>
                <m:ctrlPr>
                  <w:rPr>
                    <w:rFonts w:hint="default" w:ascii="Cambria Math" w:hAnsi="Cambria Math"/>
                    <w:i/>
                    <w:color w:val="auto"/>
                    <w:sz w:val="24"/>
                    <w:szCs w:val="24"/>
                    <w:lang w:val="en-US" w:eastAsia="zh-CN"/>
                  </w:rPr>
                </m:ctrlPr>
              </m:sub>
            </m:sSub>
            <m:ctrlPr>
              <w:rPr>
                <w:rFonts w:hint="default" w:ascii="Cambria Math" w:hAnsi="Cambria Math"/>
                <w:i/>
                <w:color w:val="auto"/>
                <w:sz w:val="24"/>
                <w:szCs w:val="24"/>
                <w:lang w:val="en-US" w:eastAsia="zh-CN"/>
              </w:rPr>
            </m:ctrlPr>
          </m:num>
          <m:den>
            <m:sSub>
              <m:sSubPr>
                <m:ctrlPr>
                  <w:rPr>
                    <w:rFonts w:hint="default" w:ascii="Cambria Math" w:hAnsi="Cambria Math"/>
                    <w:i/>
                    <w:color w:val="auto"/>
                    <w:sz w:val="24"/>
                    <w:szCs w:val="24"/>
                    <w:lang w:val="en-US" w:eastAsia="zh-CN"/>
                  </w:rPr>
                </m:ctrlPr>
              </m:sSubPr>
              <m:e>
                <m:r>
                  <m:rPr/>
                  <w:rPr>
                    <w:rFonts w:hint="default" w:ascii="Cambria Math" w:hAnsi="Cambria Math"/>
                    <w:color w:val="auto"/>
                    <w:sz w:val="24"/>
                    <w:szCs w:val="24"/>
                    <w:lang w:val="en-US" w:eastAsia="zh-CN"/>
                  </w:rPr>
                  <m:t>V</m:t>
                </m:r>
                <m:ctrlPr>
                  <w:rPr>
                    <w:rFonts w:hint="default" w:ascii="Cambria Math" w:hAnsi="Cambria Math"/>
                    <w:i/>
                    <w:color w:val="auto"/>
                    <w:sz w:val="24"/>
                    <w:szCs w:val="24"/>
                    <w:lang w:val="en-US" w:eastAsia="zh-CN"/>
                  </w:rPr>
                </m:ctrlPr>
              </m:e>
              <m:sub>
                <m:r>
                  <m:rPr/>
                  <w:rPr>
                    <w:rFonts w:hint="default" w:ascii="Cambria Math" w:hAnsi="Cambria Math"/>
                    <w:color w:val="auto"/>
                    <w:sz w:val="24"/>
                    <w:szCs w:val="24"/>
                    <w:lang w:val="en-US" w:eastAsia="zh-CN"/>
                  </w:rPr>
                  <m:t>u</m:t>
                </m:r>
                <m:ctrlPr>
                  <w:rPr>
                    <w:rFonts w:hint="default" w:ascii="Cambria Math" w:hAnsi="Cambria Math"/>
                    <w:i/>
                    <w:color w:val="auto"/>
                    <w:sz w:val="24"/>
                    <w:szCs w:val="24"/>
                    <w:lang w:val="en-US" w:eastAsia="zh-CN"/>
                  </w:rPr>
                </m:ctrlPr>
              </m:sub>
            </m:sSub>
            <m:ctrlPr>
              <w:rPr>
                <w:rFonts w:hint="default" w:ascii="Cambria Math" w:hAnsi="Cambria Math"/>
                <w:color w:val="auto"/>
                <w:sz w:val="24"/>
                <w:szCs w:val="24"/>
                <w:lang w:val="en-US" w:eastAsia="zh-CN"/>
              </w:rPr>
            </m:ctrlPr>
          </m:den>
        </m:f>
        <m:r>
          <m:rPr>
            <m:sty m:val="p"/>
          </m:rPr>
          <w:rPr>
            <w:rFonts w:ascii="Cambria Math" w:hAnsi="Cambria Math"/>
            <w:color w:val="auto"/>
            <w:sz w:val="24"/>
            <w:szCs w:val="24"/>
            <w:lang w:val="en-US"/>
          </w:rPr>
          <m:t>×</m:t>
        </m:r>
        <m:r>
          <m:rPr>
            <m:sty m:val="p"/>
          </m:rPr>
          <w:rPr>
            <w:rFonts w:hint="default" w:ascii="Cambria Math" w:hAnsi="Cambria Math"/>
            <w:color w:val="auto"/>
            <w:sz w:val="24"/>
            <w:szCs w:val="24"/>
            <w:lang w:val="en-US" w:eastAsia="zh-CN"/>
          </w:rPr>
          <m:t>100</m:t>
        </m:r>
        <m:r>
          <m:rPr>
            <m:sty m:val="p"/>
          </m:rPr>
          <w:rPr>
            <w:rFonts w:ascii="Cambria Math" w:hAnsi="Cambria Math"/>
            <w:color w:val="auto"/>
            <w:sz w:val="24"/>
            <w:szCs w:val="24"/>
            <w:lang w:val="en-US"/>
          </w:rPr>
          <m:t>%</m:t>
        </m:r>
      </m:oMath>
      <w:r>
        <w:rPr>
          <w:rFonts w:hint="eastAsia"/>
          <w:color w:val="auto"/>
          <w:sz w:val="24"/>
          <w:szCs w:val="24"/>
        </w:rPr>
        <w:t xml:space="preserve">                         （B.0.3）</w:t>
      </w:r>
    </w:p>
    <w:p>
      <w:pPr>
        <w:pStyle w:val="20"/>
      </w:pPr>
    </w:p>
    <w:p>
      <w:pPr>
        <w:pStyle w:val="20"/>
      </w:pPr>
    </w:p>
    <w:p>
      <w:pPr>
        <w:pStyle w:val="20"/>
      </w:pPr>
    </w:p>
    <w:p>
      <w:pPr>
        <w:rPr>
          <w:rFonts w:hint="eastAsia"/>
          <w:b/>
          <w:bCs/>
          <w:sz w:val="28"/>
          <w:szCs w:val="28"/>
          <w:lang w:val="en-US" w:eastAsia="zh-CN"/>
        </w:rPr>
      </w:pPr>
      <w:r>
        <w:rPr>
          <w:rFonts w:hint="eastAsia"/>
          <w:b/>
          <w:bCs/>
          <w:sz w:val="28"/>
          <w:szCs w:val="28"/>
          <w:lang w:val="en-US" w:eastAsia="zh-CN"/>
        </w:rPr>
        <w:br w:type="page"/>
      </w:r>
    </w:p>
    <w:p>
      <w:pPr>
        <w:pStyle w:val="3"/>
        <w:numPr>
          <w:ilvl w:val="0"/>
          <w:numId w:val="0"/>
        </w:numPr>
        <w:bidi w:val="0"/>
        <w:ind w:leftChars="0"/>
        <w:jc w:val="center"/>
        <w:outlineLvl w:val="0"/>
        <w:rPr>
          <w:rFonts w:hint="default"/>
          <w:lang w:val="en-US" w:eastAsia="zh-CN"/>
        </w:rPr>
      </w:pPr>
      <w:bookmarkStart w:id="91" w:name="_Toc14046"/>
      <w:r>
        <w:rPr>
          <w:rFonts w:hint="default"/>
          <w:lang w:val="en-US" w:eastAsia="zh-CN"/>
        </w:rPr>
        <w:t>本</w:t>
      </w:r>
      <w:r>
        <w:rPr>
          <w:rFonts w:hint="eastAsia"/>
          <w:lang w:val="en-US" w:eastAsia="zh-CN"/>
        </w:rPr>
        <w:t>规程</w:t>
      </w:r>
      <w:r>
        <w:rPr>
          <w:rFonts w:hint="default"/>
          <w:lang w:val="en-US" w:eastAsia="zh-CN"/>
        </w:rPr>
        <w:t>用词说明</w:t>
      </w:r>
      <w:bookmarkEnd w:id="91"/>
    </w:p>
    <w:p>
      <w:pPr>
        <w:pStyle w:val="21"/>
        <w:numPr>
          <w:ilvl w:val="0"/>
          <w:numId w:val="28"/>
        </w:numPr>
        <w:bidi w:val="0"/>
        <w:ind w:left="247" w:leftChars="0" w:hanging="247" w:firstLineChars="0"/>
        <w:rPr>
          <w:rFonts w:hint="default"/>
          <w:lang w:val="en-US" w:eastAsia="zh-CN"/>
        </w:rPr>
      </w:pPr>
      <w:r>
        <w:rPr>
          <w:rFonts w:hint="default"/>
          <w:lang w:val="en-US" w:eastAsia="zh-CN"/>
        </w:rPr>
        <w:t>为了便于在执行本</w:t>
      </w:r>
      <w:r>
        <w:rPr>
          <w:rFonts w:hint="eastAsia"/>
          <w:lang w:val="en-US" w:eastAsia="zh-CN"/>
        </w:rPr>
        <w:t>规程</w:t>
      </w:r>
      <w:r>
        <w:rPr>
          <w:rFonts w:hint="default"/>
          <w:lang w:val="en-US" w:eastAsia="zh-CN"/>
        </w:rPr>
        <w:t>条文时区别对待，对要求严格程度不同的用词说明如下：</w:t>
      </w:r>
    </w:p>
    <w:p>
      <w:pPr>
        <w:pStyle w:val="21"/>
        <w:keepNext w:val="0"/>
        <w:keepLines w:val="0"/>
        <w:pageBreakBefore w:val="0"/>
        <w:widowControl w:val="0"/>
        <w:numPr>
          <w:ilvl w:val="0"/>
          <w:numId w:val="29"/>
        </w:numPr>
        <w:kinsoku/>
        <w:wordWrap/>
        <w:overflowPunct/>
        <w:topLinePunct w:val="0"/>
        <w:autoSpaceDE/>
        <w:autoSpaceDN/>
        <w:bidi w:val="0"/>
        <w:adjustRightInd/>
        <w:snapToGrid/>
        <w:ind w:left="0" w:leftChars="0" w:firstLine="240" w:firstLineChars="100"/>
        <w:textAlignment w:val="auto"/>
        <w:rPr>
          <w:rFonts w:hint="default"/>
          <w:lang w:val="en-US" w:eastAsia="zh-CN"/>
        </w:rPr>
      </w:pPr>
      <w:r>
        <w:rPr>
          <w:rFonts w:hint="default"/>
          <w:lang w:val="en-US" w:eastAsia="zh-CN"/>
        </w:rPr>
        <w:t>表示很严格，非这样做不可的：</w:t>
      </w:r>
    </w:p>
    <w:p>
      <w:pPr>
        <w:pStyle w:val="21"/>
        <w:keepNext w:val="0"/>
        <w:keepLines w:val="0"/>
        <w:pageBreakBefore w:val="0"/>
        <w:widowControl w:val="0"/>
        <w:kinsoku/>
        <w:wordWrap/>
        <w:overflowPunct/>
        <w:topLinePunct w:val="0"/>
        <w:autoSpaceDE/>
        <w:autoSpaceDN/>
        <w:bidi w:val="0"/>
        <w:adjustRightInd/>
        <w:snapToGrid/>
        <w:ind w:firstLine="528" w:firstLineChars="220"/>
        <w:textAlignment w:val="auto"/>
        <w:rPr>
          <w:rFonts w:hint="default"/>
          <w:lang w:val="en-US" w:eastAsia="zh-CN"/>
        </w:rPr>
      </w:pPr>
      <w:r>
        <w:rPr>
          <w:rFonts w:hint="default"/>
          <w:lang w:val="en-US" w:eastAsia="zh-CN"/>
        </w:rPr>
        <w:t>正面词采用“必须”；反面词采用“严禁”。</w:t>
      </w:r>
    </w:p>
    <w:p>
      <w:pPr>
        <w:pStyle w:val="21"/>
        <w:keepNext w:val="0"/>
        <w:keepLines w:val="0"/>
        <w:pageBreakBefore w:val="0"/>
        <w:widowControl w:val="0"/>
        <w:numPr>
          <w:ilvl w:val="0"/>
          <w:numId w:val="29"/>
        </w:numPr>
        <w:kinsoku/>
        <w:wordWrap/>
        <w:overflowPunct/>
        <w:topLinePunct w:val="0"/>
        <w:autoSpaceDE/>
        <w:autoSpaceDN/>
        <w:bidi w:val="0"/>
        <w:adjustRightInd/>
        <w:snapToGrid/>
        <w:ind w:left="0" w:leftChars="0" w:firstLine="240" w:firstLineChars="100"/>
        <w:textAlignment w:val="auto"/>
        <w:rPr>
          <w:rFonts w:hint="default"/>
          <w:lang w:val="en-US" w:eastAsia="zh-CN"/>
        </w:rPr>
      </w:pPr>
      <w:r>
        <w:rPr>
          <w:rFonts w:hint="default"/>
          <w:lang w:val="en-US" w:eastAsia="zh-CN"/>
        </w:rPr>
        <w:t>表示严格，在正常情况下均应这样做的：</w:t>
      </w:r>
    </w:p>
    <w:p>
      <w:pPr>
        <w:pStyle w:val="21"/>
        <w:keepNext w:val="0"/>
        <w:keepLines w:val="0"/>
        <w:pageBreakBefore w:val="0"/>
        <w:widowControl w:val="0"/>
        <w:kinsoku/>
        <w:wordWrap/>
        <w:overflowPunct/>
        <w:topLinePunct w:val="0"/>
        <w:autoSpaceDE/>
        <w:autoSpaceDN/>
        <w:bidi w:val="0"/>
        <w:adjustRightInd/>
        <w:snapToGrid/>
        <w:ind w:firstLine="528" w:firstLineChars="220"/>
        <w:textAlignment w:val="auto"/>
        <w:rPr>
          <w:rFonts w:hint="default"/>
          <w:lang w:val="en-US" w:eastAsia="zh-CN"/>
        </w:rPr>
      </w:pPr>
      <w:r>
        <w:rPr>
          <w:rFonts w:hint="default"/>
          <w:lang w:val="en-US" w:eastAsia="zh-CN"/>
        </w:rPr>
        <w:t>正面词采用“应”；反面词采用“不应”或“不得”。</w:t>
      </w:r>
    </w:p>
    <w:p>
      <w:pPr>
        <w:pStyle w:val="21"/>
        <w:keepNext w:val="0"/>
        <w:keepLines w:val="0"/>
        <w:pageBreakBefore w:val="0"/>
        <w:widowControl w:val="0"/>
        <w:numPr>
          <w:ilvl w:val="0"/>
          <w:numId w:val="29"/>
        </w:numPr>
        <w:kinsoku/>
        <w:wordWrap/>
        <w:overflowPunct/>
        <w:topLinePunct w:val="0"/>
        <w:autoSpaceDE/>
        <w:autoSpaceDN/>
        <w:bidi w:val="0"/>
        <w:adjustRightInd/>
        <w:snapToGrid/>
        <w:ind w:left="528" w:leftChars="100" w:hanging="288" w:hangingChars="120"/>
        <w:textAlignment w:val="auto"/>
        <w:rPr>
          <w:rFonts w:hint="default"/>
          <w:lang w:val="en-US" w:eastAsia="zh-CN"/>
        </w:rPr>
      </w:pPr>
      <w:r>
        <w:rPr>
          <w:rFonts w:hint="default"/>
          <w:lang w:val="en-US" w:eastAsia="zh-CN"/>
        </w:rPr>
        <w:t>表示允许稍有选择，在条件允许时首先这样做的： 正面词采用“宜”；反面词采用“不宜”。</w:t>
      </w:r>
    </w:p>
    <w:p>
      <w:pPr>
        <w:pStyle w:val="21"/>
        <w:keepNext w:val="0"/>
        <w:keepLines w:val="0"/>
        <w:pageBreakBefore w:val="0"/>
        <w:widowControl w:val="0"/>
        <w:numPr>
          <w:ilvl w:val="0"/>
          <w:numId w:val="29"/>
        </w:numPr>
        <w:kinsoku/>
        <w:wordWrap/>
        <w:overflowPunct/>
        <w:topLinePunct w:val="0"/>
        <w:autoSpaceDE/>
        <w:autoSpaceDN/>
        <w:bidi w:val="0"/>
        <w:adjustRightInd/>
        <w:snapToGrid/>
        <w:ind w:left="0" w:leftChars="0" w:firstLine="240" w:firstLineChars="100"/>
        <w:textAlignment w:val="auto"/>
        <w:rPr>
          <w:rFonts w:hint="default"/>
          <w:lang w:val="en-US" w:eastAsia="zh-CN"/>
        </w:rPr>
      </w:pPr>
      <w:r>
        <w:rPr>
          <w:rFonts w:hint="default"/>
          <w:lang w:val="en-US" w:eastAsia="zh-CN"/>
        </w:rPr>
        <w:t>表示有选择，在一定条件下可以这样做的，采用“可”。</w:t>
      </w:r>
    </w:p>
    <w:p>
      <w:pPr>
        <w:pStyle w:val="21"/>
        <w:numPr>
          <w:ilvl w:val="0"/>
          <w:numId w:val="28"/>
        </w:numPr>
        <w:bidi w:val="0"/>
        <w:ind w:left="247" w:leftChars="0" w:hanging="247" w:firstLineChars="0"/>
        <w:rPr>
          <w:rFonts w:hint="default"/>
          <w:lang w:val="en-US" w:eastAsia="zh-CN"/>
        </w:rPr>
      </w:pPr>
      <w:r>
        <w:rPr>
          <w:rFonts w:hint="default"/>
          <w:lang w:val="en-US" w:eastAsia="zh-CN"/>
        </w:rPr>
        <w:t>条文中指定应按其它有关标准、规范执行时的写法为：“应符合……的规定”或“应按……执行”。</w:t>
      </w: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pStyle w:val="21"/>
        <w:numPr>
          <w:ilvl w:val="0"/>
          <w:numId w:val="0"/>
        </w:numPr>
        <w:tabs>
          <w:tab w:val="left" w:pos="0"/>
        </w:tabs>
        <w:bidi w:val="0"/>
        <w:ind w:leftChars="0"/>
        <w:rPr>
          <w:rFonts w:hint="default"/>
          <w:lang w:val="en-US" w:eastAsia="zh-CN"/>
        </w:rPr>
      </w:pPr>
    </w:p>
    <w:p>
      <w:pPr>
        <w:rPr>
          <w:rFonts w:hint="eastAsia"/>
          <w:b/>
          <w:bCs/>
          <w:sz w:val="28"/>
          <w:szCs w:val="28"/>
          <w:lang w:val="en-US" w:eastAsia="zh-CN"/>
        </w:rPr>
      </w:pPr>
      <w:r>
        <w:rPr>
          <w:rFonts w:hint="eastAsia"/>
          <w:b/>
          <w:bCs/>
          <w:sz w:val="28"/>
          <w:szCs w:val="28"/>
          <w:lang w:val="en-US" w:eastAsia="zh-CN"/>
        </w:rPr>
        <w:br w:type="page"/>
      </w:r>
    </w:p>
    <w:p>
      <w:pPr>
        <w:pStyle w:val="3"/>
        <w:numPr>
          <w:ilvl w:val="0"/>
          <w:numId w:val="0"/>
        </w:numPr>
        <w:bidi w:val="0"/>
        <w:ind w:leftChars="0"/>
        <w:jc w:val="center"/>
        <w:outlineLvl w:val="0"/>
        <w:rPr>
          <w:rFonts w:hint="eastAsia"/>
          <w:lang w:val="en-US" w:eastAsia="zh-CN"/>
        </w:rPr>
      </w:pPr>
      <w:bookmarkStart w:id="92" w:name="_Toc31824"/>
      <w:r>
        <w:rPr>
          <w:rFonts w:hint="eastAsia"/>
          <w:lang w:val="en-US" w:eastAsia="zh-CN"/>
        </w:rPr>
        <w:t>引用标准名录</w:t>
      </w:r>
      <w:bookmarkEnd w:id="92"/>
    </w:p>
    <w:p>
      <w:pPr>
        <w:numPr>
          <w:ilvl w:val="0"/>
          <w:numId w:val="30"/>
        </w:numPr>
        <w:bidi w:val="0"/>
        <w:ind w:left="0" w:leftChars="0" w:firstLine="0" w:firstLineChars="0"/>
        <w:rPr>
          <w:rFonts w:hint="default"/>
          <w:lang w:val="en-US" w:eastAsia="zh-CN"/>
        </w:rPr>
      </w:pPr>
      <w:r>
        <w:rPr>
          <w:rFonts w:hint="default"/>
          <w:lang w:val="en-US" w:eastAsia="zh-CN"/>
        </w:rPr>
        <w:t>《工程结构通用规范》GB 55001</w:t>
      </w:r>
    </w:p>
    <w:p>
      <w:pPr>
        <w:numPr>
          <w:ilvl w:val="0"/>
          <w:numId w:val="30"/>
        </w:numPr>
        <w:bidi w:val="0"/>
        <w:ind w:left="0" w:leftChars="0" w:firstLine="0" w:firstLineChars="0"/>
        <w:rPr>
          <w:rFonts w:hint="default"/>
          <w:lang w:val="en-US" w:eastAsia="zh-CN"/>
        </w:rPr>
      </w:pPr>
      <w:r>
        <w:rPr>
          <w:rFonts w:hint="default"/>
          <w:lang w:val="en-US" w:eastAsia="zh-CN"/>
        </w:rPr>
        <w:t>《建筑与市政工程抗震通用规范》GB 55002</w:t>
      </w:r>
    </w:p>
    <w:p>
      <w:pPr>
        <w:numPr>
          <w:ilvl w:val="0"/>
          <w:numId w:val="30"/>
        </w:numPr>
        <w:bidi w:val="0"/>
        <w:ind w:left="0" w:leftChars="0" w:firstLine="0" w:firstLineChars="0"/>
        <w:rPr>
          <w:rFonts w:hint="default"/>
          <w:lang w:val="en-US" w:eastAsia="zh-CN"/>
        </w:rPr>
      </w:pPr>
      <w:r>
        <w:rPr>
          <w:rFonts w:hint="default"/>
          <w:lang w:val="en-US" w:eastAsia="zh-CN"/>
        </w:rPr>
        <w:t>《混凝土结构通用规范》GB 55008</w:t>
      </w:r>
    </w:p>
    <w:p>
      <w:pPr>
        <w:numPr>
          <w:ilvl w:val="0"/>
          <w:numId w:val="30"/>
        </w:numPr>
        <w:bidi w:val="0"/>
        <w:ind w:left="0" w:leftChars="0" w:firstLine="0" w:firstLineChars="0"/>
        <w:rPr>
          <w:rFonts w:hint="default"/>
          <w:lang w:val="en-US" w:eastAsia="zh-CN"/>
        </w:rPr>
      </w:pPr>
      <w:r>
        <w:rPr>
          <w:rFonts w:hint="default"/>
          <w:lang w:val="en-US" w:eastAsia="zh-CN"/>
        </w:rPr>
        <w:t>《建筑结构荷载规范》GB 50009</w:t>
      </w:r>
    </w:p>
    <w:p>
      <w:pPr>
        <w:numPr>
          <w:ilvl w:val="0"/>
          <w:numId w:val="30"/>
        </w:numPr>
        <w:bidi w:val="0"/>
        <w:ind w:left="0" w:leftChars="0" w:firstLine="0" w:firstLineChars="0"/>
        <w:rPr>
          <w:rFonts w:hint="default"/>
          <w:lang w:val="en-US" w:eastAsia="zh-CN"/>
        </w:rPr>
      </w:pPr>
      <w:r>
        <w:rPr>
          <w:rFonts w:hint="default"/>
          <w:lang w:val="en-US" w:eastAsia="zh-CN"/>
        </w:rPr>
        <w:t>《混凝土结构设计规范》GB 50010</w:t>
      </w:r>
    </w:p>
    <w:p>
      <w:pPr>
        <w:numPr>
          <w:ilvl w:val="0"/>
          <w:numId w:val="30"/>
        </w:numPr>
        <w:bidi w:val="0"/>
        <w:ind w:left="0" w:leftChars="0" w:firstLine="0" w:firstLineChars="0"/>
        <w:rPr>
          <w:rFonts w:hint="default"/>
          <w:lang w:val="en-US" w:eastAsia="zh-CN"/>
        </w:rPr>
      </w:pPr>
      <w:r>
        <w:rPr>
          <w:rFonts w:hint="default"/>
          <w:lang w:val="en-US" w:eastAsia="zh-CN"/>
        </w:rPr>
        <w:t>《建筑抗震设计规范》GB 50011</w:t>
      </w:r>
    </w:p>
    <w:p>
      <w:pPr>
        <w:numPr>
          <w:ilvl w:val="0"/>
          <w:numId w:val="30"/>
        </w:numPr>
        <w:bidi w:val="0"/>
        <w:ind w:left="0" w:leftChars="0" w:firstLine="0" w:firstLineChars="0"/>
        <w:rPr>
          <w:rFonts w:hint="default"/>
          <w:lang w:val="en-US" w:eastAsia="zh-CN"/>
        </w:rPr>
      </w:pPr>
      <w:r>
        <w:rPr>
          <w:rFonts w:hint="default"/>
          <w:lang w:val="en-US" w:eastAsia="zh-CN"/>
        </w:rPr>
        <w:t>《建筑设计防火规范》GB 50016</w:t>
      </w:r>
    </w:p>
    <w:p>
      <w:pPr>
        <w:numPr>
          <w:ilvl w:val="0"/>
          <w:numId w:val="30"/>
        </w:numPr>
        <w:bidi w:val="0"/>
        <w:ind w:left="0" w:leftChars="0" w:firstLine="0" w:firstLineChars="0"/>
        <w:rPr>
          <w:rFonts w:hint="default"/>
          <w:lang w:val="en-US" w:eastAsia="zh-CN"/>
        </w:rPr>
      </w:pPr>
      <w:r>
        <w:rPr>
          <w:rFonts w:hint="default"/>
          <w:lang w:val="en-US" w:eastAsia="zh-CN"/>
        </w:rPr>
        <w:t>《钢结构设计标准》GB 50017</w:t>
      </w:r>
    </w:p>
    <w:p>
      <w:pPr>
        <w:numPr>
          <w:ilvl w:val="0"/>
          <w:numId w:val="30"/>
        </w:numPr>
        <w:bidi w:val="0"/>
        <w:ind w:left="0" w:leftChars="0" w:firstLine="0" w:firstLineChars="0"/>
        <w:rPr>
          <w:rFonts w:hint="default"/>
          <w:lang w:val="en-US" w:eastAsia="zh-CN"/>
        </w:rPr>
      </w:pPr>
      <w:r>
        <w:rPr>
          <w:rFonts w:hint="default"/>
          <w:lang w:val="en-US" w:eastAsia="zh-CN"/>
        </w:rPr>
        <w:t>《民用建筑隔声设计规范》GB 50118</w:t>
      </w:r>
    </w:p>
    <w:p>
      <w:pPr>
        <w:numPr>
          <w:ilvl w:val="0"/>
          <w:numId w:val="30"/>
        </w:numPr>
        <w:bidi w:val="0"/>
        <w:ind w:left="0" w:leftChars="0" w:firstLine="0" w:firstLineChars="0"/>
        <w:rPr>
          <w:rFonts w:hint="default"/>
          <w:lang w:val="en-US" w:eastAsia="zh-CN"/>
        </w:rPr>
      </w:pPr>
      <w:r>
        <w:rPr>
          <w:rFonts w:hint="eastAsia"/>
          <w:lang w:val="en-US" w:eastAsia="zh-CN"/>
        </w:rPr>
        <w:t>《混凝土质量控制标准》GB 50164</w:t>
      </w:r>
    </w:p>
    <w:p>
      <w:pPr>
        <w:numPr>
          <w:ilvl w:val="0"/>
          <w:numId w:val="30"/>
        </w:numPr>
        <w:bidi w:val="0"/>
        <w:ind w:left="0" w:leftChars="0" w:firstLine="0" w:firstLineChars="0"/>
        <w:rPr>
          <w:rFonts w:hint="default"/>
          <w:lang w:val="en-US" w:eastAsia="zh-CN"/>
        </w:rPr>
      </w:pPr>
      <w:r>
        <w:rPr>
          <w:rFonts w:hint="default"/>
          <w:lang w:val="en-US" w:eastAsia="zh-CN"/>
        </w:rPr>
        <w:t>《混凝土结构工程施工质量验收规范》GB 50204</w:t>
      </w:r>
    </w:p>
    <w:p>
      <w:pPr>
        <w:numPr>
          <w:ilvl w:val="0"/>
          <w:numId w:val="30"/>
        </w:numPr>
        <w:bidi w:val="0"/>
        <w:ind w:left="0" w:leftChars="0" w:firstLine="0" w:firstLineChars="0"/>
        <w:rPr>
          <w:rFonts w:hint="default"/>
          <w:lang w:val="en-US" w:eastAsia="zh-CN"/>
        </w:rPr>
      </w:pPr>
      <w:r>
        <w:rPr>
          <w:rFonts w:hint="default"/>
          <w:lang w:val="en-US" w:eastAsia="zh-CN"/>
        </w:rPr>
        <w:t>《混凝土结构工程施工规范》GB 50666</w:t>
      </w:r>
    </w:p>
    <w:p>
      <w:pPr>
        <w:numPr>
          <w:ilvl w:val="0"/>
          <w:numId w:val="30"/>
        </w:numPr>
        <w:bidi w:val="0"/>
        <w:ind w:left="0" w:leftChars="0" w:firstLine="0" w:firstLineChars="0"/>
        <w:rPr>
          <w:rFonts w:hint="default"/>
          <w:lang w:val="en-US" w:eastAsia="zh-CN"/>
        </w:rPr>
      </w:pPr>
      <w:r>
        <w:rPr>
          <w:rFonts w:hint="default"/>
          <w:lang w:val="en-US" w:eastAsia="zh-CN"/>
        </w:rPr>
        <w:t>《钢筋混凝土用余热处理钢筋》GB 13014</w:t>
      </w:r>
    </w:p>
    <w:p>
      <w:pPr>
        <w:numPr>
          <w:ilvl w:val="0"/>
          <w:numId w:val="30"/>
        </w:numPr>
        <w:bidi w:val="0"/>
        <w:ind w:left="0" w:leftChars="0" w:firstLine="0" w:firstLineChars="0"/>
        <w:rPr>
          <w:rFonts w:hint="default"/>
          <w:lang w:val="en-US" w:eastAsia="zh-CN"/>
        </w:rPr>
      </w:pPr>
      <w:r>
        <w:rPr>
          <w:rFonts w:hint="default"/>
          <w:lang w:val="en-US" w:eastAsia="zh-CN"/>
        </w:rPr>
        <w:t>《冷轧带肋钢筋》GB/T 13788</w:t>
      </w:r>
    </w:p>
    <w:p>
      <w:pPr>
        <w:numPr>
          <w:ilvl w:val="0"/>
          <w:numId w:val="30"/>
        </w:numPr>
        <w:bidi w:val="0"/>
        <w:ind w:left="0" w:leftChars="0" w:firstLine="0" w:firstLineChars="0"/>
        <w:rPr>
          <w:rFonts w:hint="default"/>
          <w:lang w:val="en-US" w:eastAsia="zh-CN"/>
        </w:rPr>
      </w:pPr>
      <w:r>
        <w:rPr>
          <w:rFonts w:hint="default"/>
          <w:lang w:val="en-US" w:eastAsia="zh-CN"/>
        </w:rPr>
        <w:t>《钢筋混凝土用钢第 1 部分：热轧光圆钢筋》GB/T 1499.1</w:t>
      </w:r>
    </w:p>
    <w:p>
      <w:pPr>
        <w:numPr>
          <w:ilvl w:val="0"/>
          <w:numId w:val="30"/>
        </w:numPr>
        <w:bidi w:val="0"/>
        <w:ind w:left="0" w:leftChars="0" w:firstLine="0" w:firstLineChars="0"/>
        <w:rPr>
          <w:rFonts w:hint="default"/>
          <w:lang w:val="en-US" w:eastAsia="zh-CN"/>
        </w:rPr>
      </w:pPr>
      <w:r>
        <w:rPr>
          <w:rFonts w:hint="default"/>
          <w:lang w:val="en-US" w:eastAsia="zh-CN"/>
        </w:rPr>
        <w:t>《钢筋混凝土用钢第 2 部分：热轧带肋钢筋》GB/T 1499.2</w:t>
      </w:r>
    </w:p>
    <w:p>
      <w:pPr>
        <w:numPr>
          <w:ilvl w:val="0"/>
          <w:numId w:val="30"/>
        </w:numPr>
        <w:bidi w:val="0"/>
        <w:ind w:left="0" w:leftChars="0" w:firstLine="0" w:firstLineChars="0"/>
        <w:rPr>
          <w:rFonts w:hint="default"/>
          <w:lang w:val="en-US" w:eastAsia="zh-CN"/>
        </w:rPr>
      </w:pPr>
      <w:r>
        <w:rPr>
          <w:rFonts w:hint="default"/>
          <w:lang w:val="en-US" w:eastAsia="zh-CN"/>
        </w:rPr>
        <w:t>《企业安全生产标准化基本规范》GB/T 33000</w:t>
      </w:r>
    </w:p>
    <w:p>
      <w:pPr>
        <w:numPr>
          <w:ilvl w:val="0"/>
          <w:numId w:val="30"/>
        </w:numPr>
        <w:bidi w:val="0"/>
        <w:ind w:left="0" w:leftChars="0" w:firstLine="0" w:firstLineChars="0"/>
        <w:rPr>
          <w:rFonts w:hint="default"/>
          <w:lang w:val="en-US" w:eastAsia="zh-CN"/>
        </w:rPr>
      </w:pPr>
      <w:r>
        <w:rPr>
          <w:rFonts w:hint="default"/>
          <w:lang w:val="en-US" w:eastAsia="zh-CN"/>
        </w:rPr>
        <w:t>《装配式混凝土建筑技术标准》GB/T 51231</w:t>
      </w:r>
    </w:p>
    <w:p>
      <w:pPr>
        <w:numPr>
          <w:ilvl w:val="0"/>
          <w:numId w:val="30"/>
        </w:numPr>
        <w:bidi w:val="0"/>
        <w:ind w:left="0" w:leftChars="0" w:firstLine="0" w:firstLineChars="0"/>
        <w:rPr>
          <w:rFonts w:hint="default"/>
          <w:lang w:val="en-US" w:eastAsia="zh-CN"/>
        </w:rPr>
      </w:pPr>
      <w:r>
        <w:rPr>
          <w:rFonts w:hint="default"/>
          <w:lang w:val="en-US" w:eastAsia="zh-CN"/>
        </w:rPr>
        <w:t>《装配式混凝土结构技术规程》JGJ 1</w:t>
      </w:r>
    </w:p>
    <w:p>
      <w:pPr>
        <w:numPr>
          <w:ilvl w:val="0"/>
          <w:numId w:val="30"/>
        </w:numPr>
        <w:bidi w:val="0"/>
        <w:ind w:left="0" w:leftChars="0" w:firstLine="0" w:firstLineChars="0"/>
        <w:rPr>
          <w:rFonts w:hint="default"/>
          <w:lang w:val="en-US" w:eastAsia="zh-CN"/>
        </w:rPr>
      </w:pPr>
      <w:r>
        <w:rPr>
          <w:rFonts w:hint="eastAsia"/>
          <w:lang w:val="en-US" w:eastAsia="zh-CN"/>
        </w:rPr>
        <w:t>《高层建筑混凝土结构技术规程》</w:t>
      </w:r>
      <w:r>
        <w:rPr>
          <w:rFonts w:hint="default"/>
          <w:lang w:val="en-US" w:eastAsia="zh-CN"/>
        </w:rPr>
        <w:t>JGJ 3</w:t>
      </w:r>
    </w:p>
    <w:p>
      <w:pPr>
        <w:numPr>
          <w:ilvl w:val="0"/>
          <w:numId w:val="30"/>
        </w:numPr>
        <w:bidi w:val="0"/>
        <w:ind w:left="0" w:leftChars="0" w:firstLine="0" w:firstLineChars="0"/>
        <w:rPr>
          <w:rFonts w:hint="default"/>
          <w:lang w:val="en-US" w:eastAsia="zh-CN"/>
        </w:rPr>
      </w:pPr>
      <w:r>
        <w:rPr>
          <w:rFonts w:hint="default"/>
          <w:lang w:val="en-US" w:eastAsia="zh-CN"/>
        </w:rPr>
        <w:t>《建筑机械使用安全技术规程》JGJ 33</w:t>
      </w:r>
    </w:p>
    <w:p>
      <w:pPr>
        <w:numPr>
          <w:ilvl w:val="0"/>
          <w:numId w:val="30"/>
        </w:numPr>
        <w:bidi w:val="0"/>
        <w:ind w:left="0" w:leftChars="0" w:firstLine="0" w:firstLineChars="0"/>
        <w:rPr>
          <w:rFonts w:hint="default"/>
          <w:lang w:val="en-US" w:eastAsia="zh-CN"/>
        </w:rPr>
      </w:pPr>
      <w:r>
        <w:rPr>
          <w:rFonts w:hint="default"/>
          <w:lang w:val="en-US" w:eastAsia="zh-CN"/>
        </w:rPr>
        <w:t>《普通混凝土配合比设计规程》JGJ 55</w:t>
      </w:r>
    </w:p>
    <w:p>
      <w:pPr>
        <w:numPr>
          <w:ilvl w:val="0"/>
          <w:numId w:val="30"/>
        </w:numPr>
        <w:bidi w:val="0"/>
        <w:ind w:left="0" w:leftChars="0" w:firstLine="0" w:firstLineChars="0"/>
        <w:rPr>
          <w:rFonts w:hint="default"/>
          <w:lang w:val="en-US" w:eastAsia="zh-CN"/>
        </w:rPr>
      </w:pPr>
      <w:r>
        <w:rPr>
          <w:rFonts w:hint="default"/>
          <w:lang w:val="en-US" w:eastAsia="zh-CN"/>
        </w:rPr>
        <w:t>《建筑施工安全检查标准》JGJ 59</w:t>
      </w:r>
    </w:p>
    <w:p>
      <w:pPr>
        <w:numPr>
          <w:ilvl w:val="0"/>
          <w:numId w:val="30"/>
        </w:numPr>
        <w:bidi w:val="0"/>
        <w:ind w:left="0" w:leftChars="0" w:firstLine="0" w:firstLineChars="0"/>
        <w:rPr>
          <w:rFonts w:hint="default"/>
          <w:lang w:val="en-US" w:eastAsia="zh-CN"/>
        </w:rPr>
      </w:pPr>
      <w:r>
        <w:rPr>
          <w:rFonts w:hint="eastAsia"/>
          <w:lang w:eastAsia="zh-CN"/>
        </w:rPr>
        <w:t>《</w:t>
      </w:r>
      <w:r>
        <w:rPr>
          <w:rFonts w:hint="eastAsia"/>
          <w:lang w:val="en-US" w:eastAsia="zh-CN"/>
        </w:rPr>
        <w:t>钢筋机械连接技术规程</w:t>
      </w:r>
      <w:r>
        <w:rPr>
          <w:rFonts w:hint="eastAsia"/>
          <w:lang w:eastAsia="zh-CN"/>
        </w:rPr>
        <w:t>》</w:t>
      </w:r>
      <w:r>
        <w:rPr>
          <w:rFonts w:hint="eastAsia"/>
          <w:lang w:val="en-US" w:eastAsia="zh-CN"/>
        </w:rPr>
        <w:t>JGJ 107</w:t>
      </w:r>
    </w:p>
    <w:p>
      <w:pPr>
        <w:numPr>
          <w:ilvl w:val="0"/>
          <w:numId w:val="30"/>
        </w:numPr>
        <w:bidi w:val="0"/>
        <w:ind w:left="0" w:leftChars="0" w:firstLine="0" w:firstLineChars="0"/>
        <w:rPr>
          <w:rFonts w:hint="default"/>
          <w:lang w:val="en-US" w:eastAsia="zh-CN"/>
        </w:rPr>
      </w:pPr>
      <w:r>
        <w:rPr>
          <w:rFonts w:hint="default"/>
          <w:lang w:val="en-US" w:eastAsia="zh-CN"/>
        </w:rPr>
        <w:t>《钢筋焊接网混凝土结构技术规程》JGJ 114</w:t>
      </w:r>
    </w:p>
    <w:p>
      <w:pPr>
        <w:numPr>
          <w:ilvl w:val="0"/>
          <w:numId w:val="30"/>
        </w:numPr>
        <w:bidi w:val="0"/>
        <w:ind w:left="0" w:leftChars="0" w:firstLine="0" w:firstLineChars="0"/>
        <w:rPr>
          <w:rFonts w:hint="default"/>
          <w:lang w:val="en-US" w:eastAsia="zh-CN"/>
        </w:rPr>
      </w:pPr>
      <w:r>
        <w:rPr>
          <w:rFonts w:hint="default"/>
          <w:lang w:val="en-US" w:eastAsia="zh-CN"/>
        </w:rPr>
        <w:t>《混凝土结构成型钢筋应用技术规程》JGJ 366</w:t>
      </w:r>
    </w:p>
    <w:p>
      <w:pPr>
        <w:numPr>
          <w:ilvl w:val="0"/>
          <w:numId w:val="30"/>
        </w:numPr>
        <w:bidi w:val="0"/>
        <w:ind w:left="0" w:leftChars="0" w:firstLine="0" w:firstLineChars="0"/>
        <w:rPr>
          <w:rFonts w:hint="default"/>
          <w:lang w:val="en-US" w:eastAsia="zh-CN"/>
        </w:rPr>
      </w:pPr>
      <w:r>
        <w:rPr>
          <w:rFonts w:hint="default"/>
          <w:lang w:val="en-US" w:eastAsia="zh-CN"/>
        </w:rPr>
        <w:t>《建筑工程冬期施工规程》JGJ/T 104</w:t>
      </w:r>
    </w:p>
    <w:p>
      <w:pPr>
        <w:numPr>
          <w:ilvl w:val="0"/>
          <w:numId w:val="30"/>
        </w:numPr>
        <w:bidi w:val="0"/>
        <w:ind w:left="0" w:leftChars="0" w:firstLine="0" w:firstLineChars="0"/>
        <w:rPr>
          <w:rFonts w:hint="default"/>
          <w:lang w:val="en-US" w:eastAsia="zh-CN"/>
        </w:rPr>
      </w:pPr>
      <w:r>
        <w:rPr>
          <w:rFonts w:hint="eastAsia"/>
          <w:lang w:val="en-US" w:eastAsia="zh-CN"/>
        </w:rPr>
        <w:t>《装配箱混凝土空心楼盖结构技术规程》</w:t>
      </w:r>
      <w:r>
        <w:rPr>
          <w:rFonts w:hint="default"/>
          <w:lang w:val="en-US" w:eastAsia="zh-CN"/>
        </w:rPr>
        <w:t>JGJ/T 207</w:t>
      </w:r>
    </w:p>
    <w:p>
      <w:pPr>
        <w:numPr>
          <w:ilvl w:val="0"/>
          <w:numId w:val="30"/>
        </w:numPr>
        <w:bidi w:val="0"/>
        <w:ind w:left="0" w:leftChars="0" w:firstLine="0" w:firstLineChars="0"/>
        <w:rPr>
          <w:rFonts w:hint="default"/>
          <w:lang w:val="en-US" w:eastAsia="zh-CN"/>
        </w:rPr>
      </w:pPr>
      <w:r>
        <w:rPr>
          <w:rFonts w:hint="default"/>
          <w:lang w:val="en-US" w:eastAsia="zh-CN"/>
        </w:rPr>
        <w:t>《预制带肋底板混凝土叠合楼板技术规程》JGJ/T 258</w:t>
      </w:r>
    </w:p>
    <w:p>
      <w:pPr>
        <w:numPr>
          <w:ilvl w:val="0"/>
          <w:numId w:val="30"/>
        </w:numPr>
        <w:bidi w:val="0"/>
        <w:ind w:left="0" w:leftChars="0" w:firstLine="0" w:firstLineChars="0"/>
        <w:rPr>
          <w:rFonts w:hint="default"/>
          <w:lang w:val="en-US" w:eastAsia="zh-CN"/>
        </w:rPr>
      </w:pPr>
      <w:r>
        <w:rPr>
          <w:rFonts w:hint="default"/>
          <w:lang w:val="en-US" w:eastAsia="zh-CN"/>
        </w:rPr>
        <w:t>《现浇混凝土空心楼盖技术规程》JGJ/T 268</w:t>
      </w:r>
    </w:p>
    <w:p>
      <w:pPr>
        <w:numPr>
          <w:ilvl w:val="0"/>
          <w:numId w:val="30"/>
        </w:numPr>
        <w:bidi w:val="0"/>
        <w:ind w:left="0" w:leftChars="0" w:firstLine="0" w:firstLineChars="0"/>
        <w:rPr>
          <w:rFonts w:hint="default"/>
          <w:lang w:val="en-US" w:eastAsia="zh-CN"/>
        </w:rPr>
      </w:pPr>
      <w:r>
        <w:rPr>
          <w:rFonts w:hint="eastAsia"/>
          <w:lang w:val="en-US" w:eastAsia="zh-CN"/>
        </w:rPr>
        <w:t>《混凝土结构用成孔芯模》</w:t>
      </w:r>
      <w:r>
        <w:rPr>
          <w:rFonts w:hint="default"/>
          <w:lang w:val="en-US" w:eastAsia="zh-CN"/>
        </w:rPr>
        <w:t>JG/T 352</w:t>
      </w:r>
    </w:p>
    <w:p>
      <w:pPr>
        <w:numPr>
          <w:ilvl w:val="0"/>
          <w:numId w:val="30"/>
        </w:numPr>
        <w:bidi w:val="0"/>
        <w:ind w:left="0" w:leftChars="0" w:firstLine="0" w:firstLineChars="0"/>
        <w:rPr>
          <w:rFonts w:hint="default"/>
          <w:lang w:val="en-US" w:eastAsia="zh-CN"/>
        </w:rPr>
      </w:pPr>
      <w:r>
        <w:rPr>
          <w:rFonts w:hint="default"/>
          <w:lang w:val="en-US" w:eastAsia="zh-CN"/>
        </w:rPr>
        <w:t>《</w:t>
      </w:r>
      <w:r>
        <w:rPr>
          <w:rFonts w:hint="eastAsia"/>
          <w:lang w:val="en-US" w:eastAsia="zh-CN"/>
        </w:rPr>
        <w:t>建筑楼盖结构振动舒适度技术标准</w:t>
      </w:r>
      <w:r>
        <w:rPr>
          <w:rFonts w:hint="default"/>
          <w:lang w:val="en-US" w:eastAsia="zh-CN"/>
        </w:rPr>
        <w:t>》JGJ</w:t>
      </w:r>
      <w:r>
        <w:rPr>
          <w:rFonts w:hint="eastAsia"/>
          <w:lang w:val="en-US" w:eastAsia="zh-CN"/>
        </w:rPr>
        <w:t>/</w:t>
      </w:r>
      <w:r>
        <w:rPr>
          <w:rFonts w:hint="default"/>
          <w:lang w:val="en-US" w:eastAsia="zh-CN"/>
        </w:rPr>
        <w:t>T 441</w:t>
      </w:r>
    </w:p>
    <w:p>
      <w:pPr>
        <w:numPr>
          <w:ilvl w:val="0"/>
          <w:numId w:val="30"/>
        </w:numPr>
        <w:bidi w:val="0"/>
        <w:ind w:left="0" w:leftChars="0" w:firstLine="0" w:firstLineChars="0"/>
        <w:rPr>
          <w:rFonts w:hint="default"/>
          <w:lang w:val="en-US" w:eastAsia="zh-CN"/>
        </w:rPr>
      </w:pPr>
      <w:r>
        <w:rPr>
          <w:rFonts w:hint="default"/>
          <w:lang w:val="en-US" w:eastAsia="zh-CN"/>
        </w:rPr>
        <w:t>《工厂预制混凝土构件质量管理标准》JG/T 565</w:t>
      </w:r>
    </w:p>
    <w:p>
      <w:pPr>
        <w:numPr>
          <w:ilvl w:val="0"/>
          <w:numId w:val="30"/>
        </w:numPr>
        <w:bidi w:val="0"/>
        <w:ind w:left="0" w:leftChars="0" w:firstLine="0" w:firstLineChars="0"/>
        <w:rPr>
          <w:rFonts w:hint="default"/>
          <w:lang w:val="en-US" w:eastAsia="zh-CN"/>
        </w:rPr>
      </w:pPr>
      <w:r>
        <w:rPr>
          <w:rFonts w:hint="eastAsia"/>
          <w:lang w:val="en-US" w:eastAsia="zh-CN"/>
        </w:rPr>
        <w:t>《</w:t>
      </w:r>
      <w:r>
        <w:rPr>
          <w:rFonts w:hint="default"/>
          <w:lang w:val="en-US" w:eastAsia="zh-CN"/>
        </w:rPr>
        <w:t>钢筋机械连接装配式混凝土结构技术规程</w:t>
      </w:r>
      <w:r>
        <w:rPr>
          <w:rFonts w:hint="eastAsia"/>
          <w:lang w:val="en-US" w:eastAsia="zh-CN"/>
        </w:rPr>
        <w:t>》</w:t>
      </w:r>
      <w:r>
        <w:rPr>
          <w:rFonts w:hint="default"/>
          <w:lang w:val="en-US" w:eastAsia="zh-CN"/>
        </w:rPr>
        <w:t>CECS 444</w:t>
      </w:r>
    </w:p>
    <w:p>
      <w:pPr>
        <w:numPr>
          <w:ilvl w:val="0"/>
          <w:numId w:val="30"/>
        </w:numPr>
        <w:bidi w:val="0"/>
        <w:ind w:left="0" w:leftChars="0" w:firstLine="0" w:firstLineChars="0"/>
        <w:rPr>
          <w:rFonts w:hint="default"/>
          <w:lang w:val="en-US" w:eastAsia="zh-CN"/>
        </w:rPr>
      </w:pPr>
      <w:r>
        <w:rPr>
          <w:rFonts w:hint="default"/>
          <w:lang w:val="en-US" w:eastAsia="zh-CN"/>
        </w:rPr>
        <w:t>《预制混凝土构件质量检验标准》T/CECS 631</w:t>
      </w:r>
    </w:p>
    <w:p>
      <w:pPr>
        <w:numPr>
          <w:ilvl w:val="0"/>
          <w:numId w:val="30"/>
        </w:numPr>
        <w:bidi w:val="0"/>
        <w:ind w:left="0" w:leftChars="0" w:firstLine="0" w:firstLineChars="0"/>
        <w:rPr>
          <w:rFonts w:hint="default"/>
          <w:lang w:val="en-US" w:eastAsia="zh-CN"/>
        </w:rPr>
      </w:pPr>
      <w:r>
        <w:rPr>
          <w:rFonts w:hint="default"/>
          <w:lang w:val="en-US" w:eastAsia="zh-CN"/>
        </w:rPr>
        <w:t>《钢筋桁架混凝土叠合板应用技术规程》T/CECS 715</w:t>
      </w:r>
    </w:p>
    <w:p>
      <w:pPr>
        <w:rPr>
          <w:rFonts w:hint="default"/>
          <w:b/>
          <w:bCs/>
          <w:sz w:val="28"/>
          <w:szCs w:val="28"/>
          <w:lang w:val="en-US" w:eastAsia="zh-CN"/>
        </w:rPr>
      </w:pPr>
    </w:p>
    <w:p>
      <w:pPr>
        <w:pStyle w:val="20"/>
        <w:rPr>
          <w:rFonts w:hint="default"/>
          <w:b/>
          <w:bCs/>
          <w:sz w:val="28"/>
          <w:szCs w:val="28"/>
          <w:lang w:val="en-US" w:eastAsia="zh-CN"/>
        </w:rPr>
      </w:pPr>
    </w:p>
    <w:p>
      <w:pPr>
        <w:pStyle w:val="20"/>
        <w:rPr>
          <w:rFonts w:hint="default"/>
          <w:b/>
          <w:bCs/>
          <w:sz w:val="28"/>
          <w:szCs w:val="28"/>
          <w:lang w:val="en-US" w:eastAsia="zh-CN"/>
        </w:rPr>
      </w:pPr>
    </w:p>
    <w:p>
      <w:pPr>
        <w:pStyle w:val="20"/>
        <w:rPr>
          <w:rFonts w:hint="default"/>
          <w:b/>
          <w:bCs/>
          <w:sz w:val="28"/>
          <w:szCs w:val="28"/>
          <w:highlight w:val="yellow"/>
          <w:lang w:val="en-US" w:eastAsia="zh-CN"/>
        </w:rPr>
      </w:pP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46445"/>
    <w:multiLevelType w:val="singleLevel"/>
    <w:tmpl w:val="80146445"/>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
    <w:nsid w:val="8BE95743"/>
    <w:multiLevelType w:val="singleLevel"/>
    <w:tmpl w:val="8BE95743"/>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
    <w:nsid w:val="956FAD41"/>
    <w:multiLevelType w:val="singleLevel"/>
    <w:tmpl w:val="956FAD41"/>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3">
    <w:nsid w:val="97B4C22E"/>
    <w:multiLevelType w:val="multilevel"/>
    <w:tmpl w:val="97B4C22E"/>
    <w:lvl w:ilvl="0" w:tentative="0">
      <w:start w:val="1"/>
      <w:numFmt w:val="decimal"/>
      <w:pStyle w:val="3"/>
      <w:suff w:val="space"/>
      <w:lvlText w:val="%1"/>
      <w:lvlJc w:val="left"/>
      <w:pPr>
        <w:tabs>
          <w:tab w:val="left" w:pos="420"/>
        </w:tabs>
        <w:ind w:left="0" w:leftChars="0" w:firstLine="0" w:firstLineChars="0"/>
        <w:jc w:val="left"/>
      </w:pPr>
      <w:rPr>
        <w:rFonts w:hint="default" w:ascii="Times New Roman" w:hAnsi="Times New Roman" w:eastAsia="宋体" w:cs="宋体"/>
        <w:b/>
        <w:bCs/>
        <w:sz w:val="32"/>
        <w:szCs w:val="32"/>
      </w:rPr>
    </w:lvl>
    <w:lvl w:ilvl="1" w:tentative="0">
      <w:start w:val="1"/>
      <w:numFmt w:val="decimal"/>
      <w:pStyle w:val="4"/>
      <w:suff w:val="space"/>
      <w:lvlText w:val="%1.%2"/>
      <w:lvlJc w:val="left"/>
      <w:pPr>
        <w:tabs>
          <w:tab w:val="left" w:pos="420"/>
        </w:tabs>
        <w:ind w:left="0" w:leftChars="0" w:firstLine="0" w:firstLineChars="0"/>
        <w:jc w:val="left"/>
      </w:pPr>
      <w:rPr>
        <w:rFonts w:hint="default" w:ascii="Times New Roman" w:hAnsi="Times New Roman" w:eastAsia="宋体" w:cs="宋体"/>
        <w:b/>
        <w:bCs/>
        <w:sz w:val="28"/>
        <w:szCs w:val="28"/>
      </w:rPr>
    </w:lvl>
    <w:lvl w:ilvl="2" w:tentative="0">
      <w:start w:val="1"/>
      <w:numFmt w:val="decimal"/>
      <w:suff w:val="space"/>
      <w:lvlText w:val="%1.%2.%3"/>
      <w:lvlJc w:val="left"/>
      <w:pPr>
        <w:tabs>
          <w:tab w:val="left" w:pos="0"/>
        </w:tabs>
        <w:ind w:left="0" w:leftChars="0" w:firstLine="0" w:firstLineChars="0"/>
        <w:jc w:val="left"/>
      </w:pPr>
      <w:rPr>
        <w:rFonts w:hint="default" w:ascii="Times New Roman" w:hAnsi="Times New Roman" w:eastAsia="宋体" w:cs="宋体"/>
        <w:b/>
        <w:bCs/>
        <w:spacing w:val="-1"/>
        <w:w w:val="100"/>
        <w:sz w:val="24"/>
        <w:szCs w:val="24"/>
      </w:rPr>
    </w:lvl>
    <w:lvl w:ilvl="3" w:tentative="0">
      <w:start w:val="0"/>
      <w:numFmt w:val="bullet"/>
      <w:lvlText w:val="•"/>
      <w:lvlJc w:val="left"/>
      <w:pPr>
        <w:ind w:left="5335" w:hanging="720"/>
      </w:pPr>
      <w:rPr>
        <w:rFonts w:hint="default"/>
      </w:rPr>
    </w:lvl>
    <w:lvl w:ilvl="4" w:tentative="0">
      <w:start w:val="0"/>
      <w:numFmt w:val="bullet"/>
      <w:lvlText w:val="•"/>
      <w:lvlJc w:val="left"/>
      <w:pPr>
        <w:ind w:left="6274" w:hanging="720"/>
      </w:pPr>
      <w:rPr>
        <w:rFonts w:hint="default"/>
      </w:rPr>
    </w:lvl>
    <w:lvl w:ilvl="5" w:tentative="0">
      <w:start w:val="0"/>
      <w:numFmt w:val="bullet"/>
      <w:lvlText w:val="•"/>
      <w:lvlJc w:val="left"/>
      <w:pPr>
        <w:ind w:left="7213" w:hanging="720"/>
      </w:pPr>
      <w:rPr>
        <w:rFonts w:hint="default"/>
      </w:rPr>
    </w:lvl>
    <w:lvl w:ilvl="6" w:tentative="0">
      <w:start w:val="0"/>
      <w:numFmt w:val="bullet"/>
      <w:lvlText w:val="•"/>
      <w:lvlJc w:val="left"/>
      <w:pPr>
        <w:ind w:left="8151" w:hanging="720"/>
      </w:pPr>
      <w:rPr>
        <w:rFonts w:hint="default"/>
      </w:rPr>
    </w:lvl>
    <w:lvl w:ilvl="7" w:tentative="0">
      <w:start w:val="0"/>
      <w:numFmt w:val="bullet"/>
      <w:lvlText w:val="•"/>
      <w:lvlJc w:val="left"/>
      <w:pPr>
        <w:ind w:left="9090" w:hanging="720"/>
      </w:pPr>
      <w:rPr>
        <w:rFonts w:hint="default"/>
      </w:rPr>
    </w:lvl>
    <w:lvl w:ilvl="8" w:tentative="0">
      <w:start w:val="0"/>
      <w:numFmt w:val="bullet"/>
      <w:lvlText w:val="•"/>
      <w:lvlJc w:val="left"/>
      <w:pPr>
        <w:ind w:left="10028" w:hanging="720"/>
      </w:pPr>
      <w:rPr>
        <w:rFonts w:hint="default"/>
      </w:rPr>
    </w:lvl>
  </w:abstractNum>
  <w:abstractNum w:abstractNumId="4">
    <w:nsid w:val="A10983F6"/>
    <w:multiLevelType w:val="singleLevel"/>
    <w:tmpl w:val="A10983F6"/>
    <w:lvl w:ilvl="0" w:tentative="0">
      <w:start w:val="1"/>
      <w:numFmt w:val="decimal"/>
      <w:suff w:val="nothing"/>
      <w:lvlText w:val="%1、"/>
      <w:lvlJc w:val="left"/>
    </w:lvl>
  </w:abstractNum>
  <w:abstractNum w:abstractNumId="5">
    <w:nsid w:val="B4B37B6B"/>
    <w:multiLevelType w:val="singleLevel"/>
    <w:tmpl w:val="B4B37B6B"/>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6">
    <w:nsid w:val="C4F3B136"/>
    <w:multiLevelType w:val="singleLevel"/>
    <w:tmpl w:val="C4F3B136"/>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7">
    <w:nsid w:val="CD8EA792"/>
    <w:multiLevelType w:val="singleLevel"/>
    <w:tmpl w:val="CD8EA792"/>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8">
    <w:nsid w:val="DDE9EAF4"/>
    <w:multiLevelType w:val="singleLevel"/>
    <w:tmpl w:val="DDE9EAF4"/>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9">
    <w:nsid w:val="E7BC6D87"/>
    <w:multiLevelType w:val="singleLevel"/>
    <w:tmpl w:val="E7BC6D87"/>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0">
    <w:nsid w:val="EF5E45F2"/>
    <w:multiLevelType w:val="singleLevel"/>
    <w:tmpl w:val="EF5E45F2"/>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1">
    <w:nsid w:val="F1CCA880"/>
    <w:multiLevelType w:val="singleLevel"/>
    <w:tmpl w:val="F1CCA880"/>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2">
    <w:nsid w:val="F426F1A9"/>
    <w:multiLevelType w:val="singleLevel"/>
    <w:tmpl w:val="F426F1A9"/>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3">
    <w:nsid w:val="FF00A276"/>
    <w:multiLevelType w:val="singleLevel"/>
    <w:tmpl w:val="FF00A276"/>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4">
    <w:nsid w:val="00E88F3B"/>
    <w:multiLevelType w:val="multilevel"/>
    <w:tmpl w:val="00E88F3B"/>
    <w:lvl w:ilvl="0" w:tentative="0">
      <w:start w:val="1"/>
      <w:numFmt w:val="decimal"/>
      <w:lvlText w:val="%1."/>
      <w:lvlJc w:val="left"/>
      <w:pPr>
        <w:ind w:left="425" w:hanging="425"/>
      </w:pPr>
      <w:rPr>
        <w:rFonts w:hint="default" w:ascii="宋体" w:hAnsi="宋体" w:eastAsia="宋体" w:cs="宋体"/>
      </w:rPr>
    </w:lvl>
    <w:lvl w:ilvl="1" w:tentative="0">
      <w:start w:val="0"/>
      <w:numFmt w:val="decimal"/>
      <w:lvlText w:val="%1.%2."/>
      <w:lvlJc w:val="left"/>
      <w:pPr>
        <w:ind w:left="567" w:hanging="567"/>
      </w:pPr>
      <w:rPr>
        <w:rFonts w:hint="default" w:ascii="宋体" w:hAnsi="宋体" w:eastAsia="宋体" w:cs="宋体"/>
      </w:rPr>
    </w:lvl>
    <w:lvl w:ilvl="2" w:tentative="0">
      <w:start w:val="1"/>
      <w:numFmt w:val="decimal"/>
      <w:suff w:val="space"/>
      <w:lvlText w:val="%1.%2.%3"/>
      <w:lvlJc w:val="left"/>
      <w:pPr>
        <w:tabs>
          <w:tab w:val="left" w:pos="420"/>
        </w:tabs>
        <w:ind w:left="0" w:leftChars="0" w:firstLine="0" w:firstLineChars="0"/>
      </w:pPr>
      <w:rPr>
        <w:rFonts w:hint="default" w:ascii="Times New Roman" w:hAnsi="Times New Roman" w:eastAsia="宋体" w:cs="宋体"/>
        <w:b/>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5">
    <w:nsid w:val="044B7193"/>
    <w:multiLevelType w:val="singleLevel"/>
    <w:tmpl w:val="044B7193"/>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6">
    <w:nsid w:val="07F4BED0"/>
    <w:multiLevelType w:val="singleLevel"/>
    <w:tmpl w:val="07F4BED0"/>
    <w:lvl w:ilvl="0" w:tentative="0">
      <w:start w:val="1"/>
      <w:numFmt w:val="decimal"/>
      <w:suff w:val="space"/>
      <w:lvlText w:val="%1"/>
      <w:lvlJc w:val="left"/>
      <w:pPr>
        <w:tabs>
          <w:tab w:val="left" w:pos="0"/>
        </w:tabs>
        <w:ind w:left="0" w:leftChars="0" w:firstLine="0" w:firstLineChars="0"/>
      </w:pPr>
      <w:rPr>
        <w:rFonts w:hint="default" w:ascii="Times New Roman" w:hAnsi="Times New Roman"/>
        <w:sz w:val="24"/>
        <w:szCs w:val="24"/>
      </w:rPr>
    </w:lvl>
  </w:abstractNum>
  <w:abstractNum w:abstractNumId="17">
    <w:nsid w:val="101B7A16"/>
    <w:multiLevelType w:val="singleLevel"/>
    <w:tmpl w:val="101B7A16"/>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8">
    <w:nsid w:val="16BAA5D7"/>
    <w:multiLevelType w:val="singleLevel"/>
    <w:tmpl w:val="16BAA5D7"/>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19">
    <w:nsid w:val="1BE3E2EF"/>
    <w:multiLevelType w:val="singleLevel"/>
    <w:tmpl w:val="1BE3E2EF"/>
    <w:lvl w:ilvl="0" w:tentative="0">
      <w:start w:val="1"/>
      <w:numFmt w:val="decimal"/>
      <w:suff w:val="nothing"/>
      <w:lvlText w:val="%1、"/>
      <w:lvlJc w:val="left"/>
    </w:lvl>
  </w:abstractNum>
  <w:abstractNum w:abstractNumId="20">
    <w:nsid w:val="26A6A743"/>
    <w:multiLevelType w:val="singleLevel"/>
    <w:tmpl w:val="26A6A743"/>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1">
    <w:nsid w:val="33754DFE"/>
    <w:multiLevelType w:val="singleLevel"/>
    <w:tmpl w:val="33754DFE"/>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2">
    <w:nsid w:val="4494A0F9"/>
    <w:multiLevelType w:val="singleLevel"/>
    <w:tmpl w:val="4494A0F9"/>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3">
    <w:nsid w:val="5039F3B7"/>
    <w:multiLevelType w:val="singleLevel"/>
    <w:tmpl w:val="5039F3B7"/>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4">
    <w:nsid w:val="51FE0BF0"/>
    <w:multiLevelType w:val="singleLevel"/>
    <w:tmpl w:val="51FE0BF0"/>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5">
    <w:nsid w:val="650511CB"/>
    <w:multiLevelType w:val="singleLevel"/>
    <w:tmpl w:val="650511CB"/>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6">
    <w:nsid w:val="71D8F567"/>
    <w:multiLevelType w:val="singleLevel"/>
    <w:tmpl w:val="71D8F567"/>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7">
    <w:nsid w:val="77532D49"/>
    <w:multiLevelType w:val="singleLevel"/>
    <w:tmpl w:val="77532D49"/>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abstractNum w:abstractNumId="28">
    <w:nsid w:val="7D23631C"/>
    <w:multiLevelType w:val="singleLevel"/>
    <w:tmpl w:val="7D23631C"/>
    <w:lvl w:ilvl="0" w:tentative="0">
      <w:start w:val="1"/>
      <w:numFmt w:val="decimal"/>
      <w:suff w:val="space"/>
      <w:lvlText w:val="%1)"/>
      <w:lvlJc w:val="left"/>
      <w:pPr>
        <w:tabs>
          <w:tab w:val="left" w:pos="0"/>
        </w:tabs>
        <w:ind w:left="0" w:leftChars="0" w:firstLine="0" w:firstLineChars="0"/>
      </w:pPr>
      <w:rPr>
        <w:rFonts w:hint="default" w:ascii="Times New Roman" w:hAnsi="Times New Roman"/>
        <w:b w:val="0"/>
        <w:bCs w:val="0"/>
        <w:sz w:val="24"/>
        <w:szCs w:val="24"/>
      </w:rPr>
    </w:lvl>
  </w:abstractNum>
  <w:abstractNum w:abstractNumId="29">
    <w:nsid w:val="7F744F5E"/>
    <w:multiLevelType w:val="singleLevel"/>
    <w:tmpl w:val="7F744F5E"/>
    <w:lvl w:ilvl="0" w:tentative="0">
      <w:start w:val="1"/>
      <w:numFmt w:val="decimal"/>
      <w:suff w:val="space"/>
      <w:lvlText w:val="%1"/>
      <w:lvlJc w:val="left"/>
      <w:pPr>
        <w:tabs>
          <w:tab w:val="left" w:pos="0"/>
        </w:tabs>
        <w:ind w:left="247" w:leftChars="0" w:hanging="247" w:firstLineChars="0"/>
      </w:pPr>
      <w:rPr>
        <w:rFonts w:hint="default" w:ascii="Times New Roman" w:hAnsi="Times New Roman"/>
        <w:b/>
        <w:bCs/>
        <w:sz w:val="24"/>
        <w:szCs w:val="24"/>
      </w:rPr>
    </w:lvl>
  </w:abstractNum>
  <w:num w:numId="1">
    <w:abstractNumId w:val="3"/>
  </w:num>
  <w:num w:numId="2">
    <w:abstractNumId w:val="14"/>
  </w:num>
  <w:num w:numId="3">
    <w:abstractNumId w:val="5"/>
  </w:num>
  <w:num w:numId="4">
    <w:abstractNumId w:val="19"/>
  </w:num>
  <w:num w:numId="5">
    <w:abstractNumId w:val="11"/>
  </w:num>
  <w:num w:numId="6">
    <w:abstractNumId w:val="27"/>
  </w:num>
  <w:num w:numId="7">
    <w:abstractNumId w:val="23"/>
  </w:num>
  <w:num w:numId="8">
    <w:abstractNumId w:val="22"/>
  </w:num>
  <w:num w:numId="9">
    <w:abstractNumId w:val="9"/>
  </w:num>
  <w:num w:numId="10">
    <w:abstractNumId w:val="1"/>
  </w:num>
  <w:num w:numId="11">
    <w:abstractNumId w:val="4"/>
  </w:num>
  <w:num w:numId="12">
    <w:abstractNumId w:val="17"/>
  </w:num>
  <w:num w:numId="13">
    <w:abstractNumId w:val="26"/>
  </w:num>
  <w:num w:numId="14">
    <w:abstractNumId w:val="15"/>
  </w:num>
  <w:num w:numId="15">
    <w:abstractNumId w:val="7"/>
  </w:num>
  <w:num w:numId="16">
    <w:abstractNumId w:val="12"/>
  </w:num>
  <w:num w:numId="17">
    <w:abstractNumId w:val="0"/>
  </w:num>
  <w:num w:numId="18">
    <w:abstractNumId w:val="2"/>
  </w:num>
  <w:num w:numId="19">
    <w:abstractNumId w:val="21"/>
  </w:num>
  <w:num w:numId="20">
    <w:abstractNumId w:val="24"/>
  </w:num>
  <w:num w:numId="21">
    <w:abstractNumId w:val="13"/>
  </w:num>
  <w:num w:numId="22">
    <w:abstractNumId w:val="20"/>
  </w:num>
  <w:num w:numId="23">
    <w:abstractNumId w:val="8"/>
  </w:num>
  <w:num w:numId="24">
    <w:abstractNumId w:val="18"/>
  </w:num>
  <w:num w:numId="25">
    <w:abstractNumId w:val="25"/>
  </w:num>
  <w:num w:numId="26">
    <w:abstractNumId w:val="29"/>
  </w:num>
  <w:num w:numId="27">
    <w:abstractNumId w:val="6"/>
  </w:num>
  <w:num w:numId="28">
    <w:abstractNumId w:val="10"/>
  </w:num>
  <w:num w:numId="29">
    <w:abstractNumId w:val="2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2MTQ2Mjk2MDM5NDkwZDA3YThmMTRlMGVkMjBlOGMifQ=="/>
  </w:docVars>
  <w:rsids>
    <w:rsidRoot w:val="00172A27"/>
    <w:rsid w:val="000C1E23"/>
    <w:rsid w:val="001A5B73"/>
    <w:rsid w:val="004E2611"/>
    <w:rsid w:val="005C4D2E"/>
    <w:rsid w:val="00626CEF"/>
    <w:rsid w:val="006C6BFF"/>
    <w:rsid w:val="006F6AB2"/>
    <w:rsid w:val="00791131"/>
    <w:rsid w:val="00892A65"/>
    <w:rsid w:val="00940AA8"/>
    <w:rsid w:val="00A4261B"/>
    <w:rsid w:val="00D41F7B"/>
    <w:rsid w:val="00E52F76"/>
    <w:rsid w:val="00E55C19"/>
    <w:rsid w:val="00E82094"/>
    <w:rsid w:val="00F618B9"/>
    <w:rsid w:val="00FE5DE6"/>
    <w:rsid w:val="01213882"/>
    <w:rsid w:val="012713AD"/>
    <w:rsid w:val="012E5E55"/>
    <w:rsid w:val="01367635"/>
    <w:rsid w:val="013C6276"/>
    <w:rsid w:val="01633CD3"/>
    <w:rsid w:val="016A5229"/>
    <w:rsid w:val="01796D99"/>
    <w:rsid w:val="017D31AE"/>
    <w:rsid w:val="018E15DE"/>
    <w:rsid w:val="019C0E9B"/>
    <w:rsid w:val="01B20120"/>
    <w:rsid w:val="02056D00"/>
    <w:rsid w:val="02210B8E"/>
    <w:rsid w:val="02326260"/>
    <w:rsid w:val="02335531"/>
    <w:rsid w:val="02380E83"/>
    <w:rsid w:val="02571F51"/>
    <w:rsid w:val="02615B7F"/>
    <w:rsid w:val="02704AC1"/>
    <w:rsid w:val="027608A7"/>
    <w:rsid w:val="0279309D"/>
    <w:rsid w:val="02831212"/>
    <w:rsid w:val="028B319F"/>
    <w:rsid w:val="029E16C8"/>
    <w:rsid w:val="02C07C14"/>
    <w:rsid w:val="02C848FD"/>
    <w:rsid w:val="02E314EB"/>
    <w:rsid w:val="02E873CC"/>
    <w:rsid w:val="02EA7E81"/>
    <w:rsid w:val="02EE08F7"/>
    <w:rsid w:val="03101CA5"/>
    <w:rsid w:val="03192A63"/>
    <w:rsid w:val="031B6740"/>
    <w:rsid w:val="03264C66"/>
    <w:rsid w:val="03351867"/>
    <w:rsid w:val="034026E5"/>
    <w:rsid w:val="03455F4E"/>
    <w:rsid w:val="037A16F4"/>
    <w:rsid w:val="03805FBD"/>
    <w:rsid w:val="039B46FF"/>
    <w:rsid w:val="039E3974"/>
    <w:rsid w:val="03AC02EE"/>
    <w:rsid w:val="03C52284"/>
    <w:rsid w:val="03D35307"/>
    <w:rsid w:val="03E16D3F"/>
    <w:rsid w:val="04006667"/>
    <w:rsid w:val="040A684F"/>
    <w:rsid w:val="04155251"/>
    <w:rsid w:val="0422003D"/>
    <w:rsid w:val="04567CE7"/>
    <w:rsid w:val="046763C3"/>
    <w:rsid w:val="048605CC"/>
    <w:rsid w:val="048A2F94"/>
    <w:rsid w:val="04983072"/>
    <w:rsid w:val="04A6353F"/>
    <w:rsid w:val="04A9243E"/>
    <w:rsid w:val="04B076AA"/>
    <w:rsid w:val="04DA524E"/>
    <w:rsid w:val="051060E7"/>
    <w:rsid w:val="0511174A"/>
    <w:rsid w:val="051D0F3A"/>
    <w:rsid w:val="0530678A"/>
    <w:rsid w:val="05637601"/>
    <w:rsid w:val="05AA02EA"/>
    <w:rsid w:val="05BD7BE6"/>
    <w:rsid w:val="05C56ED2"/>
    <w:rsid w:val="05DE67C4"/>
    <w:rsid w:val="0607426B"/>
    <w:rsid w:val="061004F2"/>
    <w:rsid w:val="062A2ED1"/>
    <w:rsid w:val="062F336D"/>
    <w:rsid w:val="0645738C"/>
    <w:rsid w:val="064918B1"/>
    <w:rsid w:val="06666D42"/>
    <w:rsid w:val="06E415DA"/>
    <w:rsid w:val="06E7086E"/>
    <w:rsid w:val="07025A45"/>
    <w:rsid w:val="07076FBF"/>
    <w:rsid w:val="07103C4C"/>
    <w:rsid w:val="07180069"/>
    <w:rsid w:val="072145DC"/>
    <w:rsid w:val="07372051"/>
    <w:rsid w:val="0744220E"/>
    <w:rsid w:val="07560379"/>
    <w:rsid w:val="07576E4D"/>
    <w:rsid w:val="07593D76"/>
    <w:rsid w:val="077A5458"/>
    <w:rsid w:val="077C5CB6"/>
    <w:rsid w:val="07A03D8C"/>
    <w:rsid w:val="07AB3593"/>
    <w:rsid w:val="07B56498"/>
    <w:rsid w:val="07C05BA3"/>
    <w:rsid w:val="07D92EA5"/>
    <w:rsid w:val="07D96C64"/>
    <w:rsid w:val="07EE5683"/>
    <w:rsid w:val="07F932E4"/>
    <w:rsid w:val="08033848"/>
    <w:rsid w:val="082F4DFB"/>
    <w:rsid w:val="084C15E2"/>
    <w:rsid w:val="08510EF1"/>
    <w:rsid w:val="08744BDF"/>
    <w:rsid w:val="087E7AB7"/>
    <w:rsid w:val="088A5A56"/>
    <w:rsid w:val="088F7A1A"/>
    <w:rsid w:val="08935BB3"/>
    <w:rsid w:val="08CF1E16"/>
    <w:rsid w:val="08D75C90"/>
    <w:rsid w:val="08EB30F3"/>
    <w:rsid w:val="090200ED"/>
    <w:rsid w:val="090873A0"/>
    <w:rsid w:val="09162BFA"/>
    <w:rsid w:val="092B7994"/>
    <w:rsid w:val="092C3463"/>
    <w:rsid w:val="09330162"/>
    <w:rsid w:val="09341AA0"/>
    <w:rsid w:val="0950058B"/>
    <w:rsid w:val="095D5673"/>
    <w:rsid w:val="095F13EB"/>
    <w:rsid w:val="097326CC"/>
    <w:rsid w:val="09734E97"/>
    <w:rsid w:val="09884C72"/>
    <w:rsid w:val="09A8062C"/>
    <w:rsid w:val="09B23C11"/>
    <w:rsid w:val="09B71C45"/>
    <w:rsid w:val="09BC6F40"/>
    <w:rsid w:val="09BD1B5C"/>
    <w:rsid w:val="09C63218"/>
    <w:rsid w:val="09CA3AF7"/>
    <w:rsid w:val="09D05441"/>
    <w:rsid w:val="09D26E62"/>
    <w:rsid w:val="09EB15AA"/>
    <w:rsid w:val="09F935EE"/>
    <w:rsid w:val="0A2A1A3F"/>
    <w:rsid w:val="0A2A62B8"/>
    <w:rsid w:val="0A636CB9"/>
    <w:rsid w:val="0A6D65AB"/>
    <w:rsid w:val="0A98139A"/>
    <w:rsid w:val="0A99092D"/>
    <w:rsid w:val="0A9F23E7"/>
    <w:rsid w:val="0ABC6086"/>
    <w:rsid w:val="0AE25915"/>
    <w:rsid w:val="0AF344E1"/>
    <w:rsid w:val="0B0D64C9"/>
    <w:rsid w:val="0B1620D0"/>
    <w:rsid w:val="0B3B6927"/>
    <w:rsid w:val="0B75683D"/>
    <w:rsid w:val="0B7F5D75"/>
    <w:rsid w:val="0B860EB1"/>
    <w:rsid w:val="0B8E561D"/>
    <w:rsid w:val="0B9C2483"/>
    <w:rsid w:val="0BCA2362"/>
    <w:rsid w:val="0BCA3494"/>
    <w:rsid w:val="0BCE4523"/>
    <w:rsid w:val="0BD94FD3"/>
    <w:rsid w:val="0BE4399E"/>
    <w:rsid w:val="0BE67BA2"/>
    <w:rsid w:val="0BE91440"/>
    <w:rsid w:val="0BEA58E4"/>
    <w:rsid w:val="0C014B8D"/>
    <w:rsid w:val="0C044481"/>
    <w:rsid w:val="0C156CD0"/>
    <w:rsid w:val="0C3B6168"/>
    <w:rsid w:val="0C8D626F"/>
    <w:rsid w:val="0C992E66"/>
    <w:rsid w:val="0CC25F19"/>
    <w:rsid w:val="0CCE0719"/>
    <w:rsid w:val="0CF4642C"/>
    <w:rsid w:val="0D0C2B7B"/>
    <w:rsid w:val="0D0D646B"/>
    <w:rsid w:val="0D2E35AF"/>
    <w:rsid w:val="0D5C1B8F"/>
    <w:rsid w:val="0D6B0DE4"/>
    <w:rsid w:val="0D6E1FEC"/>
    <w:rsid w:val="0D8F0AE7"/>
    <w:rsid w:val="0D9550CD"/>
    <w:rsid w:val="0D995041"/>
    <w:rsid w:val="0D9A0604"/>
    <w:rsid w:val="0D9F31D6"/>
    <w:rsid w:val="0DD02F5D"/>
    <w:rsid w:val="0E117E65"/>
    <w:rsid w:val="0E2C22BB"/>
    <w:rsid w:val="0E342E47"/>
    <w:rsid w:val="0E6A2D0C"/>
    <w:rsid w:val="0E7B6CC7"/>
    <w:rsid w:val="0E8C2C83"/>
    <w:rsid w:val="0E910299"/>
    <w:rsid w:val="0EA578A0"/>
    <w:rsid w:val="0EAF6971"/>
    <w:rsid w:val="0EC341CA"/>
    <w:rsid w:val="0EEF51C2"/>
    <w:rsid w:val="0F0E6940"/>
    <w:rsid w:val="0F221DC7"/>
    <w:rsid w:val="0F26158E"/>
    <w:rsid w:val="0F3341F4"/>
    <w:rsid w:val="0F421DF4"/>
    <w:rsid w:val="0F4946D0"/>
    <w:rsid w:val="0F557CF0"/>
    <w:rsid w:val="0F587009"/>
    <w:rsid w:val="0F656E5F"/>
    <w:rsid w:val="0F761A44"/>
    <w:rsid w:val="0F87169C"/>
    <w:rsid w:val="0F8E3DA6"/>
    <w:rsid w:val="0F8E5A77"/>
    <w:rsid w:val="0F9F69E6"/>
    <w:rsid w:val="0FCC5687"/>
    <w:rsid w:val="0FD20B92"/>
    <w:rsid w:val="0FD9675F"/>
    <w:rsid w:val="0FDA6C9A"/>
    <w:rsid w:val="0FDC61C4"/>
    <w:rsid w:val="0FDF444A"/>
    <w:rsid w:val="101E5E95"/>
    <w:rsid w:val="10354C54"/>
    <w:rsid w:val="103B041E"/>
    <w:rsid w:val="105A0E02"/>
    <w:rsid w:val="105D2F6D"/>
    <w:rsid w:val="10685029"/>
    <w:rsid w:val="108B4674"/>
    <w:rsid w:val="10967DE9"/>
    <w:rsid w:val="10B53DDB"/>
    <w:rsid w:val="10B735D7"/>
    <w:rsid w:val="10CF64AB"/>
    <w:rsid w:val="10EC464C"/>
    <w:rsid w:val="10FD71D1"/>
    <w:rsid w:val="112B4A37"/>
    <w:rsid w:val="11335637"/>
    <w:rsid w:val="1138526C"/>
    <w:rsid w:val="114809B7"/>
    <w:rsid w:val="11567578"/>
    <w:rsid w:val="118B7221"/>
    <w:rsid w:val="118D5520"/>
    <w:rsid w:val="11943BFC"/>
    <w:rsid w:val="119A41E6"/>
    <w:rsid w:val="11DE562A"/>
    <w:rsid w:val="11E20E0C"/>
    <w:rsid w:val="11E64458"/>
    <w:rsid w:val="11E6739C"/>
    <w:rsid w:val="11EC3A38"/>
    <w:rsid w:val="120668A8"/>
    <w:rsid w:val="1209283C"/>
    <w:rsid w:val="122338FE"/>
    <w:rsid w:val="12396D81"/>
    <w:rsid w:val="126F4193"/>
    <w:rsid w:val="127B54E8"/>
    <w:rsid w:val="127D22C9"/>
    <w:rsid w:val="12817019"/>
    <w:rsid w:val="1284715D"/>
    <w:rsid w:val="129E4D32"/>
    <w:rsid w:val="12A74B7D"/>
    <w:rsid w:val="12CD1ABC"/>
    <w:rsid w:val="12D30AC5"/>
    <w:rsid w:val="12D75444"/>
    <w:rsid w:val="12DD6576"/>
    <w:rsid w:val="12E36BE9"/>
    <w:rsid w:val="12F4756B"/>
    <w:rsid w:val="130C7A7A"/>
    <w:rsid w:val="131E5E73"/>
    <w:rsid w:val="13421ED1"/>
    <w:rsid w:val="135D008B"/>
    <w:rsid w:val="1367781A"/>
    <w:rsid w:val="137A47AA"/>
    <w:rsid w:val="139B02EA"/>
    <w:rsid w:val="13A50343"/>
    <w:rsid w:val="13BB36C2"/>
    <w:rsid w:val="13DB7315"/>
    <w:rsid w:val="13E366EA"/>
    <w:rsid w:val="14147988"/>
    <w:rsid w:val="1429174C"/>
    <w:rsid w:val="143A43F9"/>
    <w:rsid w:val="144679F0"/>
    <w:rsid w:val="144B0475"/>
    <w:rsid w:val="144E35D7"/>
    <w:rsid w:val="14622E46"/>
    <w:rsid w:val="14637A45"/>
    <w:rsid w:val="14972381"/>
    <w:rsid w:val="14AF76CB"/>
    <w:rsid w:val="14B16F28"/>
    <w:rsid w:val="14B20F69"/>
    <w:rsid w:val="14CC4995"/>
    <w:rsid w:val="14CE4EAF"/>
    <w:rsid w:val="14D01CF9"/>
    <w:rsid w:val="14E00A2E"/>
    <w:rsid w:val="14F524DB"/>
    <w:rsid w:val="151F1724"/>
    <w:rsid w:val="153475EE"/>
    <w:rsid w:val="153F0DBB"/>
    <w:rsid w:val="15915022"/>
    <w:rsid w:val="15932B49"/>
    <w:rsid w:val="15B12FCF"/>
    <w:rsid w:val="15D66ED9"/>
    <w:rsid w:val="15E45152"/>
    <w:rsid w:val="15E72E94"/>
    <w:rsid w:val="16494E5D"/>
    <w:rsid w:val="16585B27"/>
    <w:rsid w:val="165F6ECF"/>
    <w:rsid w:val="16631E34"/>
    <w:rsid w:val="168526FE"/>
    <w:rsid w:val="16C94348"/>
    <w:rsid w:val="16D50F3F"/>
    <w:rsid w:val="16E6314C"/>
    <w:rsid w:val="16F92E7F"/>
    <w:rsid w:val="17083916"/>
    <w:rsid w:val="170F26A3"/>
    <w:rsid w:val="171B0FC3"/>
    <w:rsid w:val="172A040E"/>
    <w:rsid w:val="172D0377"/>
    <w:rsid w:val="17331F05"/>
    <w:rsid w:val="174B7366"/>
    <w:rsid w:val="1762779E"/>
    <w:rsid w:val="17632F22"/>
    <w:rsid w:val="176F1C1B"/>
    <w:rsid w:val="17A374F0"/>
    <w:rsid w:val="17AA4179"/>
    <w:rsid w:val="17AC6801"/>
    <w:rsid w:val="17B16D6C"/>
    <w:rsid w:val="17B434B7"/>
    <w:rsid w:val="17BA6B67"/>
    <w:rsid w:val="17C3509D"/>
    <w:rsid w:val="17CD7A0B"/>
    <w:rsid w:val="17D04FD8"/>
    <w:rsid w:val="17D155E8"/>
    <w:rsid w:val="17E81E76"/>
    <w:rsid w:val="181A30AD"/>
    <w:rsid w:val="18391C1B"/>
    <w:rsid w:val="184A55C9"/>
    <w:rsid w:val="1867233F"/>
    <w:rsid w:val="189C3090"/>
    <w:rsid w:val="18C876D8"/>
    <w:rsid w:val="18D03DBD"/>
    <w:rsid w:val="18D07C10"/>
    <w:rsid w:val="18D92F68"/>
    <w:rsid w:val="18FB4F3C"/>
    <w:rsid w:val="193A152D"/>
    <w:rsid w:val="19433FC0"/>
    <w:rsid w:val="195A6D46"/>
    <w:rsid w:val="197915F6"/>
    <w:rsid w:val="197E58BE"/>
    <w:rsid w:val="197E766C"/>
    <w:rsid w:val="19874F6E"/>
    <w:rsid w:val="1991755B"/>
    <w:rsid w:val="19C13E8E"/>
    <w:rsid w:val="19C667F9"/>
    <w:rsid w:val="19D80BC2"/>
    <w:rsid w:val="19D90D46"/>
    <w:rsid w:val="19EC2827"/>
    <w:rsid w:val="19EE2A43"/>
    <w:rsid w:val="19F16090"/>
    <w:rsid w:val="19F3005A"/>
    <w:rsid w:val="19FF1546"/>
    <w:rsid w:val="1A027489"/>
    <w:rsid w:val="1A0E3358"/>
    <w:rsid w:val="1A205F15"/>
    <w:rsid w:val="1A2811A4"/>
    <w:rsid w:val="1A3047D2"/>
    <w:rsid w:val="1A3F40A8"/>
    <w:rsid w:val="1A70799A"/>
    <w:rsid w:val="1A8011C2"/>
    <w:rsid w:val="1A922477"/>
    <w:rsid w:val="1AB96F27"/>
    <w:rsid w:val="1AC37687"/>
    <w:rsid w:val="1ADD267D"/>
    <w:rsid w:val="1ADE0BCE"/>
    <w:rsid w:val="1AE35FF3"/>
    <w:rsid w:val="1AEA0468"/>
    <w:rsid w:val="1AF50990"/>
    <w:rsid w:val="1B052900"/>
    <w:rsid w:val="1B1E2D22"/>
    <w:rsid w:val="1B395F40"/>
    <w:rsid w:val="1B5C1C2F"/>
    <w:rsid w:val="1B634D6B"/>
    <w:rsid w:val="1B7725C5"/>
    <w:rsid w:val="1B7A3E63"/>
    <w:rsid w:val="1B8D795A"/>
    <w:rsid w:val="1B944F25"/>
    <w:rsid w:val="1B9D7190"/>
    <w:rsid w:val="1BBC447B"/>
    <w:rsid w:val="1BF45491"/>
    <w:rsid w:val="1C0F1353"/>
    <w:rsid w:val="1C1B5646"/>
    <w:rsid w:val="1C33473D"/>
    <w:rsid w:val="1C3F7F10"/>
    <w:rsid w:val="1C491FAF"/>
    <w:rsid w:val="1C5B7BB5"/>
    <w:rsid w:val="1C7A179A"/>
    <w:rsid w:val="1C813A7C"/>
    <w:rsid w:val="1C876D42"/>
    <w:rsid w:val="1C9176B6"/>
    <w:rsid w:val="1CB865C6"/>
    <w:rsid w:val="1CC01D49"/>
    <w:rsid w:val="1D002434"/>
    <w:rsid w:val="1D00642B"/>
    <w:rsid w:val="1D047AA5"/>
    <w:rsid w:val="1D1327C1"/>
    <w:rsid w:val="1D2C377C"/>
    <w:rsid w:val="1D3F35B6"/>
    <w:rsid w:val="1D4A1BE8"/>
    <w:rsid w:val="1D50134A"/>
    <w:rsid w:val="1D5F3A43"/>
    <w:rsid w:val="1D813A4C"/>
    <w:rsid w:val="1D885B97"/>
    <w:rsid w:val="1D9442FE"/>
    <w:rsid w:val="1DBE44DB"/>
    <w:rsid w:val="1DCC415E"/>
    <w:rsid w:val="1DD66839"/>
    <w:rsid w:val="1DE121A5"/>
    <w:rsid w:val="1DE33295"/>
    <w:rsid w:val="1DE33F41"/>
    <w:rsid w:val="1DEB381A"/>
    <w:rsid w:val="1DF3611A"/>
    <w:rsid w:val="1E034679"/>
    <w:rsid w:val="1E0B2E7A"/>
    <w:rsid w:val="1E0F2F88"/>
    <w:rsid w:val="1E1118EE"/>
    <w:rsid w:val="1E276524"/>
    <w:rsid w:val="1E2E1F24"/>
    <w:rsid w:val="1E546BED"/>
    <w:rsid w:val="1E5F28B6"/>
    <w:rsid w:val="1E7C798D"/>
    <w:rsid w:val="1E915E5E"/>
    <w:rsid w:val="1E9E60BA"/>
    <w:rsid w:val="1EAD1725"/>
    <w:rsid w:val="1EBA04D2"/>
    <w:rsid w:val="1ED761AD"/>
    <w:rsid w:val="1EE6658A"/>
    <w:rsid w:val="1F114ADE"/>
    <w:rsid w:val="1F210BDA"/>
    <w:rsid w:val="1F394761"/>
    <w:rsid w:val="1F3F789D"/>
    <w:rsid w:val="1F494278"/>
    <w:rsid w:val="1F5144D6"/>
    <w:rsid w:val="1F5C3FAB"/>
    <w:rsid w:val="1F5F4135"/>
    <w:rsid w:val="1F62545B"/>
    <w:rsid w:val="1F9B4232"/>
    <w:rsid w:val="1FAB3641"/>
    <w:rsid w:val="1FF266BE"/>
    <w:rsid w:val="20270F2B"/>
    <w:rsid w:val="203F2F5C"/>
    <w:rsid w:val="20517888"/>
    <w:rsid w:val="205C2A75"/>
    <w:rsid w:val="205E2A9F"/>
    <w:rsid w:val="20716A57"/>
    <w:rsid w:val="207B5097"/>
    <w:rsid w:val="20A0611A"/>
    <w:rsid w:val="20B65C9E"/>
    <w:rsid w:val="20BB21E4"/>
    <w:rsid w:val="20EE3F22"/>
    <w:rsid w:val="210B3EDB"/>
    <w:rsid w:val="212D3970"/>
    <w:rsid w:val="212E5E1B"/>
    <w:rsid w:val="21335230"/>
    <w:rsid w:val="213F0766"/>
    <w:rsid w:val="214E45BB"/>
    <w:rsid w:val="216415B8"/>
    <w:rsid w:val="21677702"/>
    <w:rsid w:val="216C7A31"/>
    <w:rsid w:val="21F14B65"/>
    <w:rsid w:val="21F52FAD"/>
    <w:rsid w:val="21F877D3"/>
    <w:rsid w:val="220F5EA3"/>
    <w:rsid w:val="224D407F"/>
    <w:rsid w:val="22505E64"/>
    <w:rsid w:val="226C78D2"/>
    <w:rsid w:val="22894810"/>
    <w:rsid w:val="228A3FC6"/>
    <w:rsid w:val="228C69B2"/>
    <w:rsid w:val="22963C78"/>
    <w:rsid w:val="22B24B5D"/>
    <w:rsid w:val="22CC31F6"/>
    <w:rsid w:val="22D51623"/>
    <w:rsid w:val="22DC3ABB"/>
    <w:rsid w:val="22E271BF"/>
    <w:rsid w:val="22E86991"/>
    <w:rsid w:val="22EE7610"/>
    <w:rsid w:val="230171C7"/>
    <w:rsid w:val="230B2F77"/>
    <w:rsid w:val="230C7214"/>
    <w:rsid w:val="230D4AD3"/>
    <w:rsid w:val="23130A89"/>
    <w:rsid w:val="233348E9"/>
    <w:rsid w:val="23341AE5"/>
    <w:rsid w:val="23344B3C"/>
    <w:rsid w:val="23447230"/>
    <w:rsid w:val="234D54D3"/>
    <w:rsid w:val="2360139D"/>
    <w:rsid w:val="23811D4F"/>
    <w:rsid w:val="23865A9B"/>
    <w:rsid w:val="23927D84"/>
    <w:rsid w:val="239E2DA5"/>
    <w:rsid w:val="23C804C8"/>
    <w:rsid w:val="23CD5478"/>
    <w:rsid w:val="240776CB"/>
    <w:rsid w:val="24417B69"/>
    <w:rsid w:val="245B0ABD"/>
    <w:rsid w:val="24641DD0"/>
    <w:rsid w:val="246A716A"/>
    <w:rsid w:val="2481005B"/>
    <w:rsid w:val="248E2168"/>
    <w:rsid w:val="24A6303B"/>
    <w:rsid w:val="24AC2947"/>
    <w:rsid w:val="24BE361B"/>
    <w:rsid w:val="24D32F62"/>
    <w:rsid w:val="252B5A3C"/>
    <w:rsid w:val="25490CA5"/>
    <w:rsid w:val="255319AC"/>
    <w:rsid w:val="255D282B"/>
    <w:rsid w:val="256D3976"/>
    <w:rsid w:val="257B5004"/>
    <w:rsid w:val="25864C93"/>
    <w:rsid w:val="25867FD4"/>
    <w:rsid w:val="258C26DA"/>
    <w:rsid w:val="25A13560"/>
    <w:rsid w:val="25A93CC2"/>
    <w:rsid w:val="25B61F3B"/>
    <w:rsid w:val="25B64423"/>
    <w:rsid w:val="25BA1A2C"/>
    <w:rsid w:val="25BF6CA0"/>
    <w:rsid w:val="25CC175F"/>
    <w:rsid w:val="25E71733"/>
    <w:rsid w:val="25F022C7"/>
    <w:rsid w:val="25FC3FDE"/>
    <w:rsid w:val="261C5601"/>
    <w:rsid w:val="263E08AF"/>
    <w:rsid w:val="26462649"/>
    <w:rsid w:val="26773E2B"/>
    <w:rsid w:val="267E514F"/>
    <w:rsid w:val="26811426"/>
    <w:rsid w:val="26813787"/>
    <w:rsid w:val="26943312"/>
    <w:rsid w:val="26982715"/>
    <w:rsid w:val="269C2718"/>
    <w:rsid w:val="26B26BA7"/>
    <w:rsid w:val="26BC535F"/>
    <w:rsid w:val="26CF59AB"/>
    <w:rsid w:val="26DA496D"/>
    <w:rsid w:val="26DE5BEE"/>
    <w:rsid w:val="26F02860"/>
    <w:rsid w:val="26F33261"/>
    <w:rsid w:val="270F48B4"/>
    <w:rsid w:val="271B6B27"/>
    <w:rsid w:val="271F664C"/>
    <w:rsid w:val="272A2BE1"/>
    <w:rsid w:val="27303202"/>
    <w:rsid w:val="27414EE3"/>
    <w:rsid w:val="274301E8"/>
    <w:rsid w:val="27547C5E"/>
    <w:rsid w:val="2758774E"/>
    <w:rsid w:val="27595274"/>
    <w:rsid w:val="276019D7"/>
    <w:rsid w:val="27604855"/>
    <w:rsid w:val="27782864"/>
    <w:rsid w:val="277F4554"/>
    <w:rsid w:val="27884A50"/>
    <w:rsid w:val="279217AF"/>
    <w:rsid w:val="279B763B"/>
    <w:rsid w:val="27A36D3F"/>
    <w:rsid w:val="27AC7A9A"/>
    <w:rsid w:val="27AF7382"/>
    <w:rsid w:val="27D36040"/>
    <w:rsid w:val="27E2526A"/>
    <w:rsid w:val="27E70AD2"/>
    <w:rsid w:val="27E86852"/>
    <w:rsid w:val="27F5647A"/>
    <w:rsid w:val="280E3973"/>
    <w:rsid w:val="282A4DA0"/>
    <w:rsid w:val="2860425E"/>
    <w:rsid w:val="286839C1"/>
    <w:rsid w:val="28760635"/>
    <w:rsid w:val="28836A4D"/>
    <w:rsid w:val="28A10C81"/>
    <w:rsid w:val="28C122CB"/>
    <w:rsid w:val="28D92B11"/>
    <w:rsid w:val="28D97E3B"/>
    <w:rsid w:val="28E35FEA"/>
    <w:rsid w:val="28E900DB"/>
    <w:rsid w:val="28EC679F"/>
    <w:rsid w:val="292702D5"/>
    <w:rsid w:val="29332221"/>
    <w:rsid w:val="2940100C"/>
    <w:rsid w:val="294E0E09"/>
    <w:rsid w:val="29565F0F"/>
    <w:rsid w:val="29656152"/>
    <w:rsid w:val="29872F95"/>
    <w:rsid w:val="29911D35"/>
    <w:rsid w:val="29A21154"/>
    <w:rsid w:val="29AA1DB7"/>
    <w:rsid w:val="29B2009A"/>
    <w:rsid w:val="29D84F53"/>
    <w:rsid w:val="29F70A2C"/>
    <w:rsid w:val="2A042AEC"/>
    <w:rsid w:val="2A207473"/>
    <w:rsid w:val="2A3D12B2"/>
    <w:rsid w:val="2A455ED8"/>
    <w:rsid w:val="2A524929"/>
    <w:rsid w:val="2A543348"/>
    <w:rsid w:val="2A565121"/>
    <w:rsid w:val="2A60107B"/>
    <w:rsid w:val="2A6B1546"/>
    <w:rsid w:val="2A7716E7"/>
    <w:rsid w:val="2A9A7252"/>
    <w:rsid w:val="2ABC6246"/>
    <w:rsid w:val="2ACB46DB"/>
    <w:rsid w:val="2AED63FF"/>
    <w:rsid w:val="2AFE685E"/>
    <w:rsid w:val="2B2A31B0"/>
    <w:rsid w:val="2B457FE9"/>
    <w:rsid w:val="2B4B0AD3"/>
    <w:rsid w:val="2B4D4ACD"/>
    <w:rsid w:val="2B681190"/>
    <w:rsid w:val="2B68485A"/>
    <w:rsid w:val="2B7C06AD"/>
    <w:rsid w:val="2B991841"/>
    <w:rsid w:val="2BA967CA"/>
    <w:rsid w:val="2BB331A5"/>
    <w:rsid w:val="2BC1490C"/>
    <w:rsid w:val="2BCC070B"/>
    <w:rsid w:val="2BD8066A"/>
    <w:rsid w:val="2BF506C3"/>
    <w:rsid w:val="2C0D0BE9"/>
    <w:rsid w:val="2C1F083A"/>
    <w:rsid w:val="2C2916B9"/>
    <w:rsid w:val="2C4468D2"/>
    <w:rsid w:val="2C493B09"/>
    <w:rsid w:val="2C5321C7"/>
    <w:rsid w:val="2C7A2C8E"/>
    <w:rsid w:val="2C921291"/>
    <w:rsid w:val="2CE11CF9"/>
    <w:rsid w:val="2D012636"/>
    <w:rsid w:val="2D0363AE"/>
    <w:rsid w:val="2D1C5C1C"/>
    <w:rsid w:val="2D2C4F0A"/>
    <w:rsid w:val="2D321CA5"/>
    <w:rsid w:val="2D404838"/>
    <w:rsid w:val="2D7E77E3"/>
    <w:rsid w:val="2D9708A4"/>
    <w:rsid w:val="2DA90D03"/>
    <w:rsid w:val="2DB604DD"/>
    <w:rsid w:val="2DBB39A9"/>
    <w:rsid w:val="2DEC5684"/>
    <w:rsid w:val="2DEE7C4D"/>
    <w:rsid w:val="2DF65CCA"/>
    <w:rsid w:val="2E0F48DF"/>
    <w:rsid w:val="2E120D66"/>
    <w:rsid w:val="2E20089A"/>
    <w:rsid w:val="2E2B44BD"/>
    <w:rsid w:val="2E4C37F6"/>
    <w:rsid w:val="2E596406"/>
    <w:rsid w:val="2E827AA4"/>
    <w:rsid w:val="2E951721"/>
    <w:rsid w:val="2E976DAE"/>
    <w:rsid w:val="2EDB7A3A"/>
    <w:rsid w:val="2F48454C"/>
    <w:rsid w:val="2F794705"/>
    <w:rsid w:val="2F94153F"/>
    <w:rsid w:val="2F9A7115"/>
    <w:rsid w:val="2FA811CE"/>
    <w:rsid w:val="2FB13E9F"/>
    <w:rsid w:val="2FB92D54"/>
    <w:rsid w:val="2FF51832"/>
    <w:rsid w:val="3009148F"/>
    <w:rsid w:val="300A743F"/>
    <w:rsid w:val="300B2EB5"/>
    <w:rsid w:val="300D4E4E"/>
    <w:rsid w:val="3013573C"/>
    <w:rsid w:val="302C0287"/>
    <w:rsid w:val="303F76FD"/>
    <w:rsid w:val="304C0CBD"/>
    <w:rsid w:val="305D7B83"/>
    <w:rsid w:val="3075311F"/>
    <w:rsid w:val="309F735F"/>
    <w:rsid w:val="30B52009"/>
    <w:rsid w:val="30C606E6"/>
    <w:rsid w:val="30D84B6D"/>
    <w:rsid w:val="30E3452C"/>
    <w:rsid w:val="30EF5E9C"/>
    <w:rsid w:val="31327ECE"/>
    <w:rsid w:val="3141098A"/>
    <w:rsid w:val="315679FF"/>
    <w:rsid w:val="31576CC8"/>
    <w:rsid w:val="315C608D"/>
    <w:rsid w:val="316F477E"/>
    <w:rsid w:val="31777C71"/>
    <w:rsid w:val="318A6735"/>
    <w:rsid w:val="31AD68E8"/>
    <w:rsid w:val="31CC63D1"/>
    <w:rsid w:val="31CC7E3C"/>
    <w:rsid w:val="31D8203D"/>
    <w:rsid w:val="31D85CBD"/>
    <w:rsid w:val="31EF6F01"/>
    <w:rsid w:val="31F2079F"/>
    <w:rsid w:val="31F6592D"/>
    <w:rsid w:val="32113919"/>
    <w:rsid w:val="32643245"/>
    <w:rsid w:val="327F7B61"/>
    <w:rsid w:val="32867865"/>
    <w:rsid w:val="3296557B"/>
    <w:rsid w:val="32B37B7E"/>
    <w:rsid w:val="32C959A4"/>
    <w:rsid w:val="32CC2D9E"/>
    <w:rsid w:val="32E020A2"/>
    <w:rsid w:val="32F10A57"/>
    <w:rsid w:val="330A469E"/>
    <w:rsid w:val="330B655B"/>
    <w:rsid w:val="331A0EA8"/>
    <w:rsid w:val="332B2D9A"/>
    <w:rsid w:val="3330332D"/>
    <w:rsid w:val="333254D9"/>
    <w:rsid w:val="33325ECD"/>
    <w:rsid w:val="33543CA3"/>
    <w:rsid w:val="33596D28"/>
    <w:rsid w:val="33741567"/>
    <w:rsid w:val="337467D7"/>
    <w:rsid w:val="337F1766"/>
    <w:rsid w:val="339451D9"/>
    <w:rsid w:val="339C6222"/>
    <w:rsid w:val="33B55DA6"/>
    <w:rsid w:val="33BE302F"/>
    <w:rsid w:val="3410795D"/>
    <w:rsid w:val="34371382"/>
    <w:rsid w:val="34447B93"/>
    <w:rsid w:val="3450500E"/>
    <w:rsid w:val="34605E94"/>
    <w:rsid w:val="34607C42"/>
    <w:rsid w:val="346F257B"/>
    <w:rsid w:val="348222AE"/>
    <w:rsid w:val="3482450B"/>
    <w:rsid w:val="34930D7D"/>
    <w:rsid w:val="34AA3956"/>
    <w:rsid w:val="34D44CC5"/>
    <w:rsid w:val="34EC3BCC"/>
    <w:rsid w:val="34FD2B01"/>
    <w:rsid w:val="35333572"/>
    <w:rsid w:val="35353F14"/>
    <w:rsid w:val="35602DBC"/>
    <w:rsid w:val="3566572C"/>
    <w:rsid w:val="356F178F"/>
    <w:rsid w:val="35887450"/>
    <w:rsid w:val="35976A1B"/>
    <w:rsid w:val="35A04DAB"/>
    <w:rsid w:val="35A81066"/>
    <w:rsid w:val="35CC6559"/>
    <w:rsid w:val="35D11744"/>
    <w:rsid w:val="36054F45"/>
    <w:rsid w:val="36127662"/>
    <w:rsid w:val="36260D6F"/>
    <w:rsid w:val="363C7860"/>
    <w:rsid w:val="36435A6D"/>
    <w:rsid w:val="364F7F6E"/>
    <w:rsid w:val="36581D34"/>
    <w:rsid w:val="36690512"/>
    <w:rsid w:val="366C23BA"/>
    <w:rsid w:val="367B5659"/>
    <w:rsid w:val="36852CE8"/>
    <w:rsid w:val="36981195"/>
    <w:rsid w:val="36A274C5"/>
    <w:rsid w:val="36E27742"/>
    <w:rsid w:val="371E18B7"/>
    <w:rsid w:val="37225683"/>
    <w:rsid w:val="374113AB"/>
    <w:rsid w:val="374E6478"/>
    <w:rsid w:val="3787198A"/>
    <w:rsid w:val="37974852"/>
    <w:rsid w:val="37A60062"/>
    <w:rsid w:val="380B04EE"/>
    <w:rsid w:val="381849E5"/>
    <w:rsid w:val="384F265C"/>
    <w:rsid w:val="385156EF"/>
    <w:rsid w:val="38657F1D"/>
    <w:rsid w:val="38871C41"/>
    <w:rsid w:val="38892804"/>
    <w:rsid w:val="38905CB8"/>
    <w:rsid w:val="38A518E5"/>
    <w:rsid w:val="38B4534B"/>
    <w:rsid w:val="38B559B6"/>
    <w:rsid w:val="38B95B73"/>
    <w:rsid w:val="38CF183A"/>
    <w:rsid w:val="38EA6674"/>
    <w:rsid w:val="390114DF"/>
    <w:rsid w:val="39102A29"/>
    <w:rsid w:val="3911775D"/>
    <w:rsid w:val="391C0ED0"/>
    <w:rsid w:val="39250EFD"/>
    <w:rsid w:val="392F63EC"/>
    <w:rsid w:val="39302CF4"/>
    <w:rsid w:val="393A2AC7"/>
    <w:rsid w:val="39562836"/>
    <w:rsid w:val="396241DB"/>
    <w:rsid w:val="39822409"/>
    <w:rsid w:val="398478C3"/>
    <w:rsid w:val="39861EF9"/>
    <w:rsid w:val="399651CC"/>
    <w:rsid w:val="399A7CBE"/>
    <w:rsid w:val="39A443F6"/>
    <w:rsid w:val="39D37D66"/>
    <w:rsid w:val="3A257964"/>
    <w:rsid w:val="3A2E08A5"/>
    <w:rsid w:val="3A6434F6"/>
    <w:rsid w:val="3A903A88"/>
    <w:rsid w:val="3AB365A7"/>
    <w:rsid w:val="3AB57BE2"/>
    <w:rsid w:val="3ACA4226"/>
    <w:rsid w:val="3AD13648"/>
    <w:rsid w:val="3ADD2164"/>
    <w:rsid w:val="3B367055"/>
    <w:rsid w:val="3B6B7CDB"/>
    <w:rsid w:val="3B757E77"/>
    <w:rsid w:val="3B790925"/>
    <w:rsid w:val="3B830155"/>
    <w:rsid w:val="3B8A07A5"/>
    <w:rsid w:val="3B8B7C9A"/>
    <w:rsid w:val="3B8D7DC3"/>
    <w:rsid w:val="3B921052"/>
    <w:rsid w:val="3BA64588"/>
    <w:rsid w:val="3BB07701"/>
    <w:rsid w:val="3BF0562E"/>
    <w:rsid w:val="3BF43905"/>
    <w:rsid w:val="3BFB49E9"/>
    <w:rsid w:val="3C017F5D"/>
    <w:rsid w:val="3C213DBA"/>
    <w:rsid w:val="3C2D4D23"/>
    <w:rsid w:val="3C3319EF"/>
    <w:rsid w:val="3C5A141B"/>
    <w:rsid w:val="3C867C64"/>
    <w:rsid w:val="3C8F37BA"/>
    <w:rsid w:val="3C977943"/>
    <w:rsid w:val="3CCA2A44"/>
    <w:rsid w:val="3CCD1664"/>
    <w:rsid w:val="3CDD08B0"/>
    <w:rsid w:val="3CDF60CE"/>
    <w:rsid w:val="3CFB49AC"/>
    <w:rsid w:val="3D25335F"/>
    <w:rsid w:val="3D2E4D81"/>
    <w:rsid w:val="3D3C4322"/>
    <w:rsid w:val="3D427E4D"/>
    <w:rsid w:val="3D503F93"/>
    <w:rsid w:val="3D5A3DC8"/>
    <w:rsid w:val="3D9A4546"/>
    <w:rsid w:val="3D9C417C"/>
    <w:rsid w:val="3DAE17E4"/>
    <w:rsid w:val="3DBC44A4"/>
    <w:rsid w:val="3DC92CFC"/>
    <w:rsid w:val="3DD75419"/>
    <w:rsid w:val="3E2A5607"/>
    <w:rsid w:val="3E43724A"/>
    <w:rsid w:val="3E465F23"/>
    <w:rsid w:val="3E56635D"/>
    <w:rsid w:val="3E587BDC"/>
    <w:rsid w:val="3E636CAD"/>
    <w:rsid w:val="3E653EA2"/>
    <w:rsid w:val="3E7078F5"/>
    <w:rsid w:val="3E86719B"/>
    <w:rsid w:val="3E876219"/>
    <w:rsid w:val="3E951083"/>
    <w:rsid w:val="3E99447C"/>
    <w:rsid w:val="3EAD4A34"/>
    <w:rsid w:val="3EAD617A"/>
    <w:rsid w:val="3EB125D8"/>
    <w:rsid w:val="3EBF0F87"/>
    <w:rsid w:val="3EC57C07"/>
    <w:rsid w:val="3ED267D5"/>
    <w:rsid w:val="3ED34A64"/>
    <w:rsid w:val="3ED45A28"/>
    <w:rsid w:val="3ED876B4"/>
    <w:rsid w:val="3EDF74EC"/>
    <w:rsid w:val="3EE83100"/>
    <w:rsid w:val="3F063AB8"/>
    <w:rsid w:val="3F147463"/>
    <w:rsid w:val="3F1D1D3F"/>
    <w:rsid w:val="3F79605C"/>
    <w:rsid w:val="3F8D5BDC"/>
    <w:rsid w:val="3F937B38"/>
    <w:rsid w:val="3FA0183A"/>
    <w:rsid w:val="3FBD7040"/>
    <w:rsid w:val="3FCC294E"/>
    <w:rsid w:val="3FD414E4"/>
    <w:rsid w:val="3FD55988"/>
    <w:rsid w:val="3FED1748"/>
    <w:rsid w:val="400F1DC2"/>
    <w:rsid w:val="4024421A"/>
    <w:rsid w:val="402664CF"/>
    <w:rsid w:val="402F48B3"/>
    <w:rsid w:val="40363F4D"/>
    <w:rsid w:val="403B1563"/>
    <w:rsid w:val="403D52DB"/>
    <w:rsid w:val="40580367"/>
    <w:rsid w:val="40660771"/>
    <w:rsid w:val="40670465"/>
    <w:rsid w:val="407A19C4"/>
    <w:rsid w:val="407A6D2B"/>
    <w:rsid w:val="40944AE9"/>
    <w:rsid w:val="40A535D5"/>
    <w:rsid w:val="40A5365C"/>
    <w:rsid w:val="40B3559D"/>
    <w:rsid w:val="40CF06DE"/>
    <w:rsid w:val="40E24829"/>
    <w:rsid w:val="40E568A6"/>
    <w:rsid w:val="40E71973"/>
    <w:rsid w:val="40F260C6"/>
    <w:rsid w:val="40FF3F38"/>
    <w:rsid w:val="41023AE7"/>
    <w:rsid w:val="411A4B30"/>
    <w:rsid w:val="411C1395"/>
    <w:rsid w:val="41246142"/>
    <w:rsid w:val="412A1D04"/>
    <w:rsid w:val="41354CE3"/>
    <w:rsid w:val="41374AB5"/>
    <w:rsid w:val="414C101A"/>
    <w:rsid w:val="4156544F"/>
    <w:rsid w:val="415A4D83"/>
    <w:rsid w:val="4161010E"/>
    <w:rsid w:val="4162149D"/>
    <w:rsid w:val="41766CF7"/>
    <w:rsid w:val="41974AE0"/>
    <w:rsid w:val="41A03D74"/>
    <w:rsid w:val="41A81B9D"/>
    <w:rsid w:val="41B4781F"/>
    <w:rsid w:val="41E93A16"/>
    <w:rsid w:val="41F83BB0"/>
    <w:rsid w:val="42242413"/>
    <w:rsid w:val="42253E34"/>
    <w:rsid w:val="42651F62"/>
    <w:rsid w:val="42770F78"/>
    <w:rsid w:val="42773149"/>
    <w:rsid w:val="429F5DD9"/>
    <w:rsid w:val="42C5623C"/>
    <w:rsid w:val="42F8134A"/>
    <w:rsid w:val="43056584"/>
    <w:rsid w:val="431F5D1D"/>
    <w:rsid w:val="43315D2E"/>
    <w:rsid w:val="433C5D1E"/>
    <w:rsid w:val="433E1392"/>
    <w:rsid w:val="43603E74"/>
    <w:rsid w:val="43654272"/>
    <w:rsid w:val="43672D9B"/>
    <w:rsid w:val="436D5ED7"/>
    <w:rsid w:val="4374379B"/>
    <w:rsid w:val="437C555D"/>
    <w:rsid w:val="438942C1"/>
    <w:rsid w:val="43984139"/>
    <w:rsid w:val="439F57A4"/>
    <w:rsid w:val="43C743B1"/>
    <w:rsid w:val="43D67F21"/>
    <w:rsid w:val="43FC4FDB"/>
    <w:rsid w:val="44085812"/>
    <w:rsid w:val="440A1924"/>
    <w:rsid w:val="443E7CAF"/>
    <w:rsid w:val="44476729"/>
    <w:rsid w:val="444A5133"/>
    <w:rsid w:val="44782D86"/>
    <w:rsid w:val="447B4624"/>
    <w:rsid w:val="447C0AC8"/>
    <w:rsid w:val="44951387"/>
    <w:rsid w:val="44A1052F"/>
    <w:rsid w:val="44AC595F"/>
    <w:rsid w:val="44AD6ED3"/>
    <w:rsid w:val="44B743E3"/>
    <w:rsid w:val="44C164DB"/>
    <w:rsid w:val="45216F7A"/>
    <w:rsid w:val="452B4166"/>
    <w:rsid w:val="453A1E07"/>
    <w:rsid w:val="454F7694"/>
    <w:rsid w:val="456240EE"/>
    <w:rsid w:val="456D6488"/>
    <w:rsid w:val="45AD6A5F"/>
    <w:rsid w:val="45C0642E"/>
    <w:rsid w:val="45DE6011"/>
    <w:rsid w:val="460F14C8"/>
    <w:rsid w:val="462304B6"/>
    <w:rsid w:val="46456C98"/>
    <w:rsid w:val="46601D24"/>
    <w:rsid w:val="46737CA9"/>
    <w:rsid w:val="46751CCB"/>
    <w:rsid w:val="467852E8"/>
    <w:rsid w:val="468C2B19"/>
    <w:rsid w:val="469D30F1"/>
    <w:rsid w:val="46B71934"/>
    <w:rsid w:val="46C22AC9"/>
    <w:rsid w:val="46DC584E"/>
    <w:rsid w:val="47061B1E"/>
    <w:rsid w:val="47213261"/>
    <w:rsid w:val="47276F01"/>
    <w:rsid w:val="473730E0"/>
    <w:rsid w:val="475E44B5"/>
    <w:rsid w:val="47646C36"/>
    <w:rsid w:val="47724B3E"/>
    <w:rsid w:val="47A74EBD"/>
    <w:rsid w:val="47B70EAC"/>
    <w:rsid w:val="47B83278"/>
    <w:rsid w:val="47C46D4B"/>
    <w:rsid w:val="47CA3194"/>
    <w:rsid w:val="47DE74F8"/>
    <w:rsid w:val="47F548C0"/>
    <w:rsid w:val="47F60F00"/>
    <w:rsid w:val="47FB487A"/>
    <w:rsid w:val="47FC782A"/>
    <w:rsid w:val="481928DE"/>
    <w:rsid w:val="48217291"/>
    <w:rsid w:val="482976FF"/>
    <w:rsid w:val="482B3EA0"/>
    <w:rsid w:val="483646D5"/>
    <w:rsid w:val="48397A59"/>
    <w:rsid w:val="484818D6"/>
    <w:rsid w:val="484A3D16"/>
    <w:rsid w:val="48594C7C"/>
    <w:rsid w:val="48617C1B"/>
    <w:rsid w:val="48667653"/>
    <w:rsid w:val="486D24D6"/>
    <w:rsid w:val="48770509"/>
    <w:rsid w:val="487A531F"/>
    <w:rsid w:val="487C47F9"/>
    <w:rsid w:val="488E13F5"/>
    <w:rsid w:val="48A05163"/>
    <w:rsid w:val="48D71F36"/>
    <w:rsid w:val="48DD21D8"/>
    <w:rsid w:val="490168B9"/>
    <w:rsid w:val="492102DC"/>
    <w:rsid w:val="49217C37"/>
    <w:rsid w:val="49260798"/>
    <w:rsid w:val="49417BEA"/>
    <w:rsid w:val="494F6304"/>
    <w:rsid w:val="495345B9"/>
    <w:rsid w:val="49543DC1"/>
    <w:rsid w:val="497A75A0"/>
    <w:rsid w:val="497C50C6"/>
    <w:rsid w:val="49834253"/>
    <w:rsid w:val="498F4DFA"/>
    <w:rsid w:val="49B56F98"/>
    <w:rsid w:val="49F745C0"/>
    <w:rsid w:val="49FE5ADB"/>
    <w:rsid w:val="4A051A53"/>
    <w:rsid w:val="4A111CB3"/>
    <w:rsid w:val="4A201EF6"/>
    <w:rsid w:val="4A251F03"/>
    <w:rsid w:val="4A3634C7"/>
    <w:rsid w:val="4A600688"/>
    <w:rsid w:val="4A62250E"/>
    <w:rsid w:val="4A6242BC"/>
    <w:rsid w:val="4A910299"/>
    <w:rsid w:val="4A9A1BFC"/>
    <w:rsid w:val="4ABD3AA5"/>
    <w:rsid w:val="4ACB35B3"/>
    <w:rsid w:val="4ADB406F"/>
    <w:rsid w:val="4AE42F23"/>
    <w:rsid w:val="4AEC627C"/>
    <w:rsid w:val="4AEC6DA7"/>
    <w:rsid w:val="4B0D394E"/>
    <w:rsid w:val="4B1959DE"/>
    <w:rsid w:val="4B2477C4"/>
    <w:rsid w:val="4B264E6D"/>
    <w:rsid w:val="4B2F5399"/>
    <w:rsid w:val="4B657AEE"/>
    <w:rsid w:val="4B773E90"/>
    <w:rsid w:val="4B78366B"/>
    <w:rsid w:val="4B7F0D2F"/>
    <w:rsid w:val="4B9A5420"/>
    <w:rsid w:val="4BB94F3A"/>
    <w:rsid w:val="4BC2179D"/>
    <w:rsid w:val="4BC8656C"/>
    <w:rsid w:val="4BDC3BFA"/>
    <w:rsid w:val="4BF21670"/>
    <w:rsid w:val="4C255A39"/>
    <w:rsid w:val="4C343A36"/>
    <w:rsid w:val="4C361B10"/>
    <w:rsid w:val="4C504905"/>
    <w:rsid w:val="4C522DBA"/>
    <w:rsid w:val="4C724B4C"/>
    <w:rsid w:val="4C7402D7"/>
    <w:rsid w:val="4C995F8F"/>
    <w:rsid w:val="4CA93DDE"/>
    <w:rsid w:val="4CB969F8"/>
    <w:rsid w:val="4CBF59F6"/>
    <w:rsid w:val="4CD3324F"/>
    <w:rsid w:val="4CEE1E37"/>
    <w:rsid w:val="4D057BB8"/>
    <w:rsid w:val="4D146778"/>
    <w:rsid w:val="4D185788"/>
    <w:rsid w:val="4D1F302F"/>
    <w:rsid w:val="4D2C295F"/>
    <w:rsid w:val="4D714816"/>
    <w:rsid w:val="4D720910"/>
    <w:rsid w:val="4D78641A"/>
    <w:rsid w:val="4D875DE8"/>
    <w:rsid w:val="4D8B43BA"/>
    <w:rsid w:val="4D9C1893"/>
    <w:rsid w:val="4DA648BC"/>
    <w:rsid w:val="4DA97D33"/>
    <w:rsid w:val="4DB152AA"/>
    <w:rsid w:val="4DB373F7"/>
    <w:rsid w:val="4DB779E3"/>
    <w:rsid w:val="4DD056ED"/>
    <w:rsid w:val="4E0F5ACD"/>
    <w:rsid w:val="4E3D29CE"/>
    <w:rsid w:val="4E610DA1"/>
    <w:rsid w:val="4E6F071F"/>
    <w:rsid w:val="4E755F6F"/>
    <w:rsid w:val="4E7B3B9E"/>
    <w:rsid w:val="4E920EE8"/>
    <w:rsid w:val="4E946EB1"/>
    <w:rsid w:val="4EA529C9"/>
    <w:rsid w:val="4EAD13BA"/>
    <w:rsid w:val="4EF278D0"/>
    <w:rsid w:val="4EF3587F"/>
    <w:rsid w:val="4F1624D8"/>
    <w:rsid w:val="4F255F02"/>
    <w:rsid w:val="4F2935FA"/>
    <w:rsid w:val="4F334112"/>
    <w:rsid w:val="4F365D17"/>
    <w:rsid w:val="4F3717B9"/>
    <w:rsid w:val="4F585C8E"/>
    <w:rsid w:val="4F644E4B"/>
    <w:rsid w:val="4F9446E0"/>
    <w:rsid w:val="4FA42C81"/>
    <w:rsid w:val="4FAB675E"/>
    <w:rsid w:val="4FB90774"/>
    <w:rsid w:val="4FD4594E"/>
    <w:rsid w:val="4FD712A8"/>
    <w:rsid w:val="4FEF0890"/>
    <w:rsid w:val="50100CCF"/>
    <w:rsid w:val="50227EF1"/>
    <w:rsid w:val="5023701B"/>
    <w:rsid w:val="50311A25"/>
    <w:rsid w:val="50394DF5"/>
    <w:rsid w:val="504A1A7A"/>
    <w:rsid w:val="505735A9"/>
    <w:rsid w:val="50575634"/>
    <w:rsid w:val="506D18C2"/>
    <w:rsid w:val="50792340"/>
    <w:rsid w:val="507E6DD5"/>
    <w:rsid w:val="50952F83"/>
    <w:rsid w:val="50CF01D2"/>
    <w:rsid w:val="50F03E98"/>
    <w:rsid w:val="510320C0"/>
    <w:rsid w:val="510B38D6"/>
    <w:rsid w:val="511B34C7"/>
    <w:rsid w:val="512978E2"/>
    <w:rsid w:val="512E01F4"/>
    <w:rsid w:val="513231A6"/>
    <w:rsid w:val="517D4FFA"/>
    <w:rsid w:val="518D2CD1"/>
    <w:rsid w:val="51952248"/>
    <w:rsid w:val="51B80C66"/>
    <w:rsid w:val="51C05C07"/>
    <w:rsid w:val="51E11F6A"/>
    <w:rsid w:val="51E732F9"/>
    <w:rsid w:val="51ED4DB3"/>
    <w:rsid w:val="520B3901"/>
    <w:rsid w:val="520B5239"/>
    <w:rsid w:val="52105E23"/>
    <w:rsid w:val="52742DDF"/>
    <w:rsid w:val="527C7EE5"/>
    <w:rsid w:val="528079D5"/>
    <w:rsid w:val="529A7C10"/>
    <w:rsid w:val="529E721A"/>
    <w:rsid w:val="52A37C23"/>
    <w:rsid w:val="52BB3EDA"/>
    <w:rsid w:val="52DE64AA"/>
    <w:rsid w:val="52FE4D9E"/>
    <w:rsid w:val="53085B8E"/>
    <w:rsid w:val="531176C5"/>
    <w:rsid w:val="53403512"/>
    <w:rsid w:val="53421C46"/>
    <w:rsid w:val="53433BF0"/>
    <w:rsid w:val="53465F4C"/>
    <w:rsid w:val="534F1156"/>
    <w:rsid w:val="53652785"/>
    <w:rsid w:val="538B0BFD"/>
    <w:rsid w:val="53AA0B16"/>
    <w:rsid w:val="53B84F4D"/>
    <w:rsid w:val="53BF452D"/>
    <w:rsid w:val="53D46C42"/>
    <w:rsid w:val="53F227FF"/>
    <w:rsid w:val="540331E5"/>
    <w:rsid w:val="54053A94"/>
    <w:rsid w:val="541F76C1"/>
    <w:rsid w:val="54811A42"/>
    <w:rsid w:val="54876977"/>
    <w:rsid w:val="549C661D"/>
    <w:rsid w:val="54AB5A3B"/>
    <w:rsid w:val="54AC4E44"/>
    <w:rsid w:val="54F71AA5"/>
    <w:rsid w:val="54FB77E7"/>
    <w:rsid w:val="552B754E"/>
    <w:rsid w:val="554112EF"/>
    <w:rsid w:val="554E7A3D"/>
    <w:rsid w:val="55524F2D"/>
    <w:rsid w:val="55532C46"/>
    <w:rsid w:val="55657CC2"/>
    <w:rsid w:val="556B7335"/>
    <w:rsid w:val="556C4241"/>
    <w:rsid w:val="556E14CB"/>
    <w:rsid w:val="55710456"/>
    <w:rsid w:val="55801A9A"/>
    <w:rsid w:val="5587107B"/>
    <w:rsid w:val="559750B3"/>
    <w:rsid w:val="559B68D4"/>
    <w:rsid w:val="55AB4D30"/>
    <w:rsid w:val="55C6784D"/>
    <w:rsid w:val="55DA38A0"/>
    <w:rsid w:val="55EA33B8"/>
    <w:rsid w:val="560C51CD"/>
    <w:rsid w:val="56152E93"/>
    <w:rsid w:val="563651EF"/>
    <w:rsid w:val="569752EE"/>
    <w:rsid w:val="56BD287A"/>
    <w:rsid w:val="56D71B8E"/>
    <w:rsid w:val="56F036C3"/>
    <w:rsid w:val="57004867"/>
    <w:rsid w:val="5702755A"/>
    <w:rsid w:val="57124D4E"/>
    <w:rsid w:val="572823EA"/>
    <w:rsid w:val="57344DC4"/>
    <w:rsid w:val="573D15CA"/>
    <w:rsid w:val="574A6804"/>
    <w:rsid w:val="577150BC"/>
    <w:rsid w:val="577472CD"/>
    <w:rsid w:val="578C2978"/>
    <w:rsid w:val="579B7728"/>
    <w:rsid w:val="57A61D6D"/>
    <w:rsid w:val="57BD78A6"/>
    <w:rsid w:val="57BF2D4E"/>
    <w:rsid w:val="57C739B1"/>
    <w:rsid w:val="57CC7219"/>
    <w:rsid w:val="57E02CC4"/>
    <w:rsid w:val="57F66044"/>
    <w:rsid w:val="58014879"/>
    <w:rsid w:val="58020AE0"/>
    <w:rsid w:val="58397D2F"/>
    <w:rsid w:val="583A3C95"/>
    <w:rsid w:val="584625C4"/>
    <w:rsid w:val="58466FCB"/>
    <w:rsid w:val="58472E98"/>
    <w:rsid w:val="5851771E"/>
    <w:rsid w:val="58603F0B"/>
    <w:rsid w:val="58655431"/>
    <w:rsid w:val="5878114F"/>
    <w:rsid w:val="587C0E54"/>
    <w:rsid w:val="587F0709"/>
    <w:rsid w:val="588B5268"/>
    <w:rsid w:val="58A440C2"/>
    <w:rsid w:val="58B83058"/>
    <w:rsid w:val="58BD2488"/>
    <w:rsid w:val="59091BED"/>
    <w:rsid w:val="59205A6E"/>
    <w:rsid w:val="592914CF"/>
    <w:rsid w:val="593F58E8"/>
    <w:rsid w:val="593F7E9D"/>
    <w:rsid w:val="59684D1F"/>
    <w:rsid w:val="596F2BE8"/>
    <w:rsid w:val="59776542"/>
    <w:rsid w:val="598B2F52"/>
    <w:rsid w:val="59981AA8"/>
    <w:rsid w:val="599E69E5"/>
    <w:rsid w:val="59C33EBC"/>
    <w:rsid w:val="59C56616"/>
    <w:rsid w:val="59D86721"/>
    <w:rsid w:val="59E44544"/>
    <w:rsid w:val="59F64346"/>
    <w:rsid w:val="5A1D5B0A"/>
    <w:rsid w:val="5A2F46B5"/>
    <w:rsid w:val="5A3B68D8"/>
    <w:rsid w:val="5A5A0B0C"/>
    <w:rsid w:val="5A9164F8"/>
    <w:rsid w:val="5AA12BDF"/>
    <w:rsid w:val="5AAB134E"/>
    <w:rsid w:val="5AC10B8B"/>
    <w:rsid w:val="5AD85ABF"/>
    <w:rsid w:val="5AFA409D"/>
    <w:rsid w:val="5B1D5687"/>
    <w:rsid w:val="5B2659C0"/>
    <w:rsid w:val="5B2E0F55"/>
    <w:rsid w:val="5B323837"/>
    <w:rsid w:val="5B4D1068"/>
    <w:rsid w:val="5B4F263B"/>
    <w:rsid w:val="5B783BA2"/>
    <w:rsid w:val="5B9242D5"/>
    <w:rsid w:val="5B99131B"/>
    <w:rsid w:val="5BBC1CB0"/>
    <w:rsid w:val="5BBE7DDE"/>
    <w:rsid w:val="5BE10896"/>
    <w:rsid w:val="5BE162F8"/>
    <w:rsid w:val="5BEC1C38"/>
    <w:rsid w:val="5BF46678"/>
    <w:rsid w:val="5BF752E5"/>
    <w:rsid w:val="5BFC4B8F"/>
    <w:rsid w:val="5BFE196B"/>
    <w:rsid w:val="5BFF198D"/>
    <w:rsid w:val="5C036A4D"/>
    <w:rsid w:val="5C2533A9"/>
    <w:rsid w:val="5C2855D3"/>
    <w:rsid w:val="5C545A2F"/>
    <w:rsid w:val="5C5B0B6B"/>
    <w:rsid w:val="5C5B298D"/>
    <w:rsid w:val="5C757D53"/>
    <w:rsid w:val="5C7A5495"/>
    <w:rsid w:val="5CBE1E85"/>
    <w:rsid w:val="5CC20C63"/>
    <w:rsid w:val="5CD00D31"/>
    <w:rsid w:val="5D2A2738"/>
    <w:rsid w:val="5D437DED"/>
    <w:rsid w:val="5D5314D2"/>
    <w:rsid w:val="5D5F28DD"/>
    <w:rsid w:val="5D6B1282"/>
    <w:rsid w:val="5D782335"/>
    <w:rsid w:val="5D7C4B35"/>
    <w:rsid w:val="5D92680F"/>
    <w:rsid w:val="5D993A13"/>
    <w:rsid w:val="5DAB5EB8"/>
    <w:rsid w:val="5DCA2E69"/>
    <w:rsid w:val="5DD526DF"/>
    <w:rsid w:val="5E30223D"/>
    <w:rsid w:val="5E315ABA"/>
    <w:rsid w:val="5E532442"/>
    <w:rsid w:val="5E6E2DD8"/>
    <w:rsid w:val="5E8442B7"/>
    <w:rsid w:val="5E8F699E"/>
    <w:rsid w:val="5E9842F9"/>
    <w:rsid w:val="5EA5649C"/>
    <w:rsid w:val="5EAD1053"/>
    <w:rsid w:val="5EAE425B"/>
    <w:rsid w:val="5EB75D5A"/>
    <w:rsid w:val="5EBA4085"/>
    <w:rsid w:val="5EBB452E"/>
    <w:rsid w:val="5EBE53E1"/>
    <w:rsid w:val="5EDB1AE4"/>
    <w:rsid w:val="5EE035AA"/>
    <w:rsid w:val="5EF72CAC"/>
    <w:rsid w:val="5EFD415C"/>
    <w:rsid w:val="5F0C3B56"/>
    <w:rsid w:val="5F2E6ABA"/>
    <w:rsid w:val="5F3A3B03"/>
    <w:rsid w:val="5F5036CC"/>
    <w:rsid w:val="5F622D1A"/>
    <w:rsid w:val="5F703D3F"/>
    <w:rsid w:val="5F8D66F8"/>
    <w:rsid w:val="5FA53957"/>
    <w:rsid w:val="5FB50CD8"/>
    <w:rsid w:val="5FC30F01"/>
    <w:rsid w:val="5FCB080E"/>
    <w:rsid w:val="5FE20E5E"/>
    <w:rsid w:val="5FE917E6"/>
    <w:rsid w:val="5FEB653B"/>
    <w:rsid w:val="60350FB3"/>
    <w:rsid w:val="6045400C"/>
    <w:rsid w:val="60511ACA"/>
    <w:rsid w:val="608757D1"/>
    <w:rsid w:val="608D24C6"/>
    <w:rsid w:val="609440A6"/>
    <w:rsid w:val="60B5339A"/>
    <w:rsid w:val="60CE0912"/>
    <w:rsid w:val="60D772FA"/>
    <w:rsid w:val="61042335"/>
    <w:rsid w:val="61053293"/>
    <w:rsid w:val="6126528E"/>
    <w:rsid w:val="612E3C82"/>
    <w:rsid w:val="615A644B"/>
    <w:rsid w:val="6160053A"/>
    <w:rsid w:val="61616C24"/>
    <w:rsid w:val="616D55C9"/>
    <w:rsid w:val="617D1584"/>
    <w:rsid w:val="61890E59"/>
    <w:rsid w:val="61952D71"/>
    <w:rsid w:val="61A35C3D"/>
    <w:rsid w:val="61B34FA6"/>
    <w:rsid w:val="61B75AC0"/>
    <w:rsid w:val="6211652C"/>
    <w:rsid w:val="62116FB3"/>
    <w:rsid w:val="622A170C"/>
    <w:rsid w:val="62327C45"/>
    <w:rsid w:val="625C45B2"/>
    <w:rsid w:val="62611C77"/>
    <w:rsid w:val="627B35A2"/>
    <w:rsid w:val="627B3D15"/>
    <w:rsid w:val="629B7F14"/>
    <w:rsid w:val="62B90FE8"/>
    <w:rsid w:val="62D11B87"/>
    <w:rsid w:val="62E0001C"/>
    <w:rsid w:val="630D1782"/>
    <w:rsid w:val="631C1056"/>
    <w:rsid w:val="632E3BD9"/>
    <w:rsid w:val="63405A60"/>
    <w:rsid w:val="636F7ACC"/>
    <w:rsid w:val="63726EBE"/>
    <w:rsid w:val="63A510EA"/>
    <w:rsid w:val="63AF2738"/>
    <w:rsid w:val="63B219B9"/>
    <w:rsid w:val="63D10FB6"/>
    <w:rsid w:val="63D27D5F"/>
    <w:rsid w:val="63D73FFC"/>
    <w:rsid w:val="63EB6C79"/>
    <w:rsid w:val="63FF3D1F"/>
    <w:rsid w:val="641461CF"/>
    <w:rsid w:val="641A106C"/>
    <w:rsid w:val="6424218B"/>
    <w:rsid w:val="64482C2F"/>
    <w:rsid w:val="64552344"/>
    <w:rsid w:val="6461518D"/>
    <w:rsid w:val="64695136"/>
    <w:rsid w:val="64966BE4"/>
    <w:rsid w:val="649A54CF"/>
    <w:rsid w:val="64A31301"/>
    <w:rsid w:val="64CC6AAA"/>
    <w:rsid w:val="64CE0433"/>
    <w:rsid w:val="64E5191A"/>
    <w:rsid w:val="650441DA"/>
    <w:rsid w:val="651E4E2C"/>
    <w:rsid w:val="652860DA"/>
    <w:rsid w:val="652934B2"/>
    <w:rsid w:val="652E32C1"/>
    <w:rsid w:val="65373B30"/>
    <w:rsid w:val="653974D7"/>
    <w:rsid w:val="654A5C21"/>
    <w:rsid w:val="6552003A"/>
    <w:rsid w:val="659A38FD"/>
    <w:rsid w:val="65C23A09"/>
    <w:rsid w:val="65FF1B98"/>
    <w:rsid w:val="662F16C8"/>
    <w:rsid w:val="66361BAE"/>
    <w:rsid w:val="66410DD2"/>
    <w:rsid w:val="66692360"/>
    <w:rsid w:val="667747CC"/>
    <w:rsid w:val="668004A0"/>
    <w:rsid w:val="668D4017"/>
    <w:rsid w:val="66A41E0A"/>
    <w:rsid w:val="66BE68C6"/>
    <w:rsid w:val="66CD4D5B"/>
    <w:rsid w:val="66E225B5"/>
    <w:rsid w:val="6703252B"/>
    <w:rsid w:val="671456E2"/>
    <w:rsid w:val="67146646"/>
    <w:rsid w:val="671A313A"/>
    <w:rsid w:val="671F66E5"/>
    <w:rsid w:val="67444AD8"/>
    <w:rsid w:val="67544C1D"/>
    <w:rsid w:val="675C67A1"/>
    <w:rsid w:val="67917B37"/>
    <w:rsid w:val="67A96C2F"/>
    <w:rsid w:val="67B51A77"/>
    <w:rsid w:val="67B81568"/>
    <w:rsid w:val="67C47ABB"/>
    <w:rsid w:val="67CA58A9"/>
    <w:rsid w:val="67CE234F"/>
    <w:rsid w:val="67FD29F7"/>
    <w:rsid w:val="680B43D9"/>
    <w:rsid w:val="681E77AF"/>
    <w:rsid w:val="68242759"/>
    <w:rsid w:val="68262975"/>
    <w:rsid w:val="682D5AB2"/>
    <w:rsid w:val="684B2CBD"/>
    <w:rsid w:val="685D720A"/>
    <w:rsid w:val="68751207"/>
    <w:rsid w:val="68845A2D"/>
    <w:rsid w:val="6888024C"/>
    <w:rsid w:val="689D13D7"/>
    <w:rsid w:val="68B43ADD"/>
    <w:rsid w:val="68C07F12"/>
    <w:rsid w:val="68E26742"/>
    <w:rsid w:val="68E908CD"/>
    <w:rsid w:val="692A0243"/>
    <w:rsid w:val="696C203A"/>
    <w:rsid w:val="696D4BB0"/>
    <w:rsid w:val="69B35D3E"/>
    <w:rsid w:val="69BD2E65"/>
    <w:rsid w:val="6A002D52"/>
    <w:rsid w:val="6A025EBD"/>
    <w:rsid w:val="6A162576"/>
    <w:rsid w:val="6A1F4B97"/>
    <w:rsid w:val="6A2922A9"/>
    <w:rsid w:val="6A2C2F4C"/>
    <w:rsid w:val="6A8B3FD5"/>
    <w:rsid w:val="6AAA6725"/>
    <w:rsid w:val="6AC64D56"/>
    <w:rsid w:val="6AC87F53"/>
    <w:rsid w:val="6ACF10A2"/>
    <w:rsid w:val="6ADB50B0"/>
    <w:rsid w:val="6AE00865"/>
    <w:rsid w:val="6AEF55DA"/>
    <w:rsid w:val="6AF07E54"/>
    <w:rsid w:val="6B2313EE"/>
    <w:rsid w:val="6B5E0188"/>
    <w:rsid w:val="6B9A5503"/>
    <w:rsid w:val="6BB54C71"/>
    <w:rsid w:val="6BD42C47"/>
    <w:rsid w:val="6BD44482"/>
    <w:rsid w:val="6BDA7CFF"/>
    <w:rsid w:val="6BDF5091"/>
    <w:rsid w:val="6BFC7530"/>
    <w:rsid w:val="6C060AF4"/>
    <w:rsid w:val="6C485168"/>
    <w:rsid w:val="6C600CA7"/>
    <w:rsid w:val="6C663340"/>
    <w:rsid w:val="6C6A0E71"/>
    <w:rsid w:val="6C707DFD"/>
    <w:rsid w:val="6C860CBF"/>
    <w:rsid w:val="6C926363"/>
    <w:rsid w:val="6CB30550"/>
    <w:rsid w:val="6CE15E47"/>
    <w:rsid w:val="6CE7076A"/>
    <w:rsid w:val="6CF90658"/>
    <w:rsid w:val="6D007A87"/>
    <w:rsid w:val="6D177280"/>
    <w:rsid w:val="6D1F1741"/>
    <w:rsid w:val="6D237493"/>
    <w:rsid w:val="6D6261FE"/>
    <w:rsid w:val="6D836174"/>
    <w:rsid w:val="6D8C3FDF"/>
    <w:rsid w:val="6DAA3701"/>
    <w:rsid w:val="6DAD5C6B"/>
    <w:rsid w:val="6DAE0702"/>
    <w:rsid w:val="6DBE13EF"/>
    <w:rsid w:val="6DBE53FE"/>
    <w:rsid w:val="6DD04EC9"/>
    <w:rsid w:val="6DE02BAB"/>
    <w:rsid w:val="6DE07122"/>
    <w:rsid w:val="6E2214E9"/>
    <w:rsid w:val="6E362CC8"/>
    <w:rsid w:val="6E3C4DBD"/>
    <w:rsid w:val="6E3D27C7"/>
    <w:rsid w:val="6EAE3AC6"/>
    <w:rsid w:val="6ECF35F1"/>
    <w:rsid w:val="6ECF62AF"/>
    <w:rsid w:val="6ED70525"/>
    <w:rsid w:val="6EE324AE"/>
    <w:rsid w:val="6EFB7B45"/>
    <w:rsid w:val="6F11673D"/>
    <w:rsid w:val="6F1A6664"/>
    <w:rsid w:val="6F315F2F"/>
    <w:rsid w:val="6F34489B"/>
    <w:rsid w:val="6F385CDC"/>
    <w:rsid w:val="6F52187B"/>
    <w:rsid w:val="6FA02B20"/>
    <w:rsid w:val="6FAD5B0C"/>
    <w:rsid w:val="6FB57639"/>
    <w:rsid w:val="6FC400F4"/>
    <w:rsid w:val="6FD21D24"/>
    <w:rsid w:val="6FD2348F"/>
    <w:rsid w:val="6FFB0243"/>
    <w:rsid w:val="6FFC651B"/>
    <w:rsid w:val="6FFE1AE2"/>
    <w:rsid w:val="700A5D1B"/>
    <w:rsid w:val="701F03D6"/>
    <w:rsid w:val="701F2C0A"/>
    <w:rsid w:val="702A6D7B"/>
    <w:rsid w:val="702B0EE2"/>
    <w:rsid w:val="705051E1"/>
    <w:rsid w:val="70733732"/>
    <w:rsid w:val="70852788"/>
    <w:rsid w:val="708F1357"/>
    <w:rsid w:val="709A3F00"/>
    <w:rsid w:val="709A481A"/>
    <w:rsid w:val="70C25205"/>
    <w:rsid w:val="71157D8A"/>
    <w:rsid w:val="71193077"/>
    <w:rsid w:val="713340E8"/>
    <w:rsid w:val="71445C1A"/>
    <w:rsid w:val="714B49DC"/>
    <w:rsid w:val="7171659E"/>
    <w:rsid w:val="718E5E33"/>
    <w:rsid w:val="71A87F57"/>
    <w:rsid w:val="71B722D6"/>
    <w:rsid w:val="71BC7EA6"/>
    <w:rsid w:val="71BF688D"/>
    <w:rsid w:val="71C97645"/>
    <w:rsid w:val="71E84380"/>
    <w:rsid w:val="722C0832"/>
    <w:rsid w:val="72410FE9"/>
    <w:rsid w:val="72522497"/>
    <w:rsid w:val="72620A76"/>
    <w:rsid w:val="7276760A"/>
    <w:rsid w:val="72956248"/>
    <w:rsid w:val="729D6DC9"/>
    <w:rsid w:val="72A252EE"/>
    <w:rsid w:val="72A83CCB"/>
    <w:rsid w:val="72AD20E8"/>
    <w:rsid w:val="72C94629"/>
    <w:rsid w:val="732775A1"/>
    <w:rsid w:val="73373C88"/>
    <w:rsid w:val="734168DE"/>
    <w:rsid w:val="73436B51"/>
    <w:rsid w:val="73461960"/>
    <w:rsid w:val="73734595"/>
    <w:rsid w:val="737F2F3A"/>
    <w:rsid w:val="73855907"/>
    <w:rsid w:val="738D7FFA"/>
    <w:rsid w:val="738E2DB5"/>
    <w:rsid w:val="739B546D"/>
    <w:rsid w:val="73D97A3C"/>
    <w:rsid w:val="73F615B6"/>
    <w:rsid w:val="74131155"/>
    <w:rsid w:val="741915E0"/>
    <w:rsid w:val="742C30C1"/>
    <w:rsid w:val="743326A2"/>
    <w:rsid w:val="744114FF"/>
    <w:rsid w:val="744C21BF"/>
    <w:rsid w:val="745368A0"/>
    <w:rsid w:val="74A462FB"/>
    <w:rsid w:val="74AE6EC7"/>
    <w:rsid w:val="74C0380A"/>
    <w:rsid w:val="74C50E20"/>
    <w:rsid w:val="74CE7983"/>
    <w:rsid w:val="74DD43BC"/>
    <w:rsid w:val="74E375F9"/>
    <w:rsid w:val="74F51705"/>
    <w:rsid w:val="74F65386"/>
    <w:rsid w:val="755D1591"/>
    <w:rsid w:val="756902EB"/>
    <w:rsid w:val="758953DA"/>
    <w:rsid w:val="75906211"/>
    <w:rsid w:val="75B45884"/>
    <w:rsid w:val="75CA31C3"/>
    <w:rsid w:val="75CD1BD9"/>
    <w:rsid w:val="75CF63FA"/>
    <w:rsid w:val="760A11E0"/>
    <w:rsid w:val="76152DE6"/>
    <w:rsid w:val="761B163F"/>
    <w:rsid w:val="768676A8"/>
    <w:rsid w:val="769356A2"/>
    <w:rsid w:val="76A01B45"/>
    <w:rsid w:val="76A84E99"/>
    <w:rsid w:val="76B97A88"/>
    <w:rsid w:val="76EC1B1A"/>
    <w:rsid w:val="77381D7D"/>
    <w:rsid w:val="77626DFA"/>
    <w:rsid w:val="776A1781"/>
    <w:rsid w:val="77727F50"/>
    <w:rsid w:val="77837808"/>
    <w:rsid w:val="77B81F8A"/>
    <w:rsid w:val="77BA2AB7"/>
    <w:rsid w:val="77C56C4E"/>
    <w:rsid w:val="77C67389"/>
    <w:rsid w:val="77C86735"/>
    <w:rsid w:val="77E90EE2"/>
    <w:rsid w:val="77EE0202"/>
    <w:rsid w:val="78153C63"/>
    <w:rsid w:val="78305C65"/>
    <w:rsid w:val="783C5EB8"/>
    <w:rsid w:val="784D2E80"/>
    <w:rsid w:val="78A320BB"/>
    <w:rsid w:val="78A53442"/>
    <w:rsid w:val="78B35B5F"/>
    <w:rsid w:val="78B6564F"/>
    <w:rsid w:val="7908577F"/>
    <w:rsid w:val="79144124"/>
    <w:rsid w:val="794060FE"/>
    <w:rsid w:val="794813F1"/>
    <w:rsid w:val="794C1B10"/>
    <w:rsid w:val="795F1851"/>
    <w:rsid w:val="79687C49"/>
    <w:rsid w:val="797960A2"/>
    <w:rsid w:val="797D43BF"/>
    <w:rsid w:val="798324D4"/>
    <w:rsid w:val="79CE5BAE"/>
    <w:rsid w:val="7A0423EA"/>
    <w:rsid w:val="7A043D84"/>
    <w:rsid w:val="7A231081"/>
    <w:rsid w:val="7A5F38FB"/>
    <w:rsid w:val="7A627BAF"/>
    <w:rsid w:val="7A727ABB"/>
    <w:rsid w:val="7A7B2ED3"/>
    <w:rsid w:val="7A7E7E6C"/>
    <w:rsid w:val="7A9E5A95"/>
    <w:rsid w:val="7AA25FC8"/>
    <w:rsid w:val="7AD87AFF"/>
    <w:rsid w:val="7ADC7981"/>
    <w:rsid w:val="7AE2272C"/>
    <w:rsid w:val="7AE519D5"/>
    <w:rsid w:val="7AE55D78"/>
    <w:rsid w:val="7B133914"/>
    <w:rsid w:val="7B3124C9"/>
    <w:rsid w:val="7B603660"/>
    <w:rsid w:val="7B6A2721"/>
    <w:rsid w:val="7B7B6E15"/>
    <w:rsid w:val="7B892BA7"/>
    <w:rsid w:val="7B914106"/>
    <w:rsid w:val="7B94598A"/>
    <w:rsid w:val="7BD31042"/>
    <w:rsid w:val="7BE40725"/>
    <w:rsid w:val="7C0D68ED"/>
    <w:rsid w:val="7C1508DF"/>
    <w:rsid w:val="7C1A4147"/>
    <w:rsid w:val="7C211BE0"/>
    <w:rsid w:val="7C773F28"/>
    <w:rsid w:val="7C7B736B"/>
    <w:rsid w:val="7C8413A1"/>
    <w:rsid w:val="7C854E8C"/>
    <w:rsid w:val="7C967F96"/>
    <w:rsid w:val="7CC52305"/>
    <w:rsid w:val="7CC77E2B"/>
    <w:rsid w:val="7CD95DB0"/>
    <w:rsid w:val="7CE259B5"/>
    <w:rsid w:val="7CED659A"/>
    <w:rsid w:val="7D0120E2"/>
    <w:rsid w:val="7D1F7C67"/>
    <w:rsid w:val="7D284586"/>
    <w:rsid w:val="7D4274B2"/>
    <w:rsid w:val="7D4F2951"/>
    <w:rsid w:val="7D9C4116"/>
    <w:rsid w:val="7DA52D05"/>
    <w:rsid w:val="7DAB5FD5"/>
    <w:rsid w:val="7DAC0DCF"/>
    <w:rsid w:val="7DC30A8A"/>
    <w:rsid w:val="7DD37591"/>
    <w:rsid w:val="7DE02722"/>
    <w:rsid w:val="7DE05AD5"/>
    <w:rsid w:val="7DEA43A0"/>
    <w:rsid w:val="7E0A209D"/>
    <w:rsid w:val="7E12647C"/>
    <w:rsid w:val="7E162512"/>
    <w:rsid w:val="7E2A644E"/>
    <w:rsid w:val="7E2C30CA"/>
    <w:rsid w:val="7E3234A8"/>
    <w:rsid w:val="7E33504C"/>
    <w:rsid w:val="7E3E34FF"/>
    <w:rsid w:val="7E5C52EA"/>
    <w:rsid w:val="7E6416AA"/>
    <w:rsid w:val="7E7E7F55"/>
    <w:rsid w:val="7E811F23"/>
    <w:rsid w:val="7E842811"/>
    <w:rsid w:val="7EAB552B"/>
    <w:rsid w:val="7EC860DC"/>
    <w:rsid w:val="7ECD35DF"/>
    <w:rsid w:val="7EF415E7"/>
    <w:rsid w:val="7EFB60C7"/>
    <w:rsid w:val="7EFE284E"/>
    <w:rsid w:val="7F3F0ABD"/>
    <w:rsid w:val="7F4B0997"/>
    <w:rsid w:val="7F56576F"/>
    <w:rsid w:val="7F5931D8"/>
    <w:rsid w:val="7F720347"/>
    <w:rsid w:val="7FCD61BB"/>
    <w:rsid w:val="7FEC7BA9"/>
    <w:rsid w:val="7FF66DF9"/>
    <w:rsid w:val="7FFC28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numPr>
        <w:ilvl w:val="0"/>
        <w:numId w:val="1"/>
      </w:numPr>
      <w:spacing w:before="50" w:beforeLines="50" w:beforeAutospacing="0" w:after="50" w:afterLines="50" w:afterAutospacing="0" w:line="360" w:lineRule="auto"/>
      <w:ind w:left="0" w:firstLine="0"/>
      <w:jc w:val="center"/>
      <w:outlineLvl w:val="1"/>
    </w:pPr>
    <w:rPr>
      <w:b/>
      <w:bCs/>
      <w:sz w:val="32"/>
      <w:szCs w:val="32"/>
    </w:rPr>
  </w:style>
  <w:style w:type="paragraph" w:styleId="4">
    <w:name w:val="heading 3"/>
    <w:basedOn w:val="1"/>
    <w:next w:val="1"/>
    <w:link w:val="24"/>
    <w:autoRedefine/>
    <w:unhideWhenUsed/>
    <w:qFormat/>
    <w:uiPriority w:val="0"/>
    <w:pPr>
      <w:keepNext/>
      <w:keepLines/>
      <w:numPr>
        <w:ilvl w:val="1"/>
        <w:numId w:val="1"/>
      </w:numPr>
      <w:spacing w:before="50" w:beforeLines="50" w:beforeAutospacing="0" w:after="50" w:afterLines="50" w:afterAutospacing="0" w:line="360" w:lineRule="auto"/>
      <w:jc w:val="center"/>
      <w:outlineLvl w:val="2"/>
    </w:pPr>
    <w:rPr>
      <w:sz w:val="28"/>
    </w:rPr>
  </w:style>
  <w:style w:type="paragraph" w:styleId="5">
    <w:name w:val="heading 4"/>
    <w:basedOn w:val="1"/>
    <w:next w:val="1"/>
    <w:link w:val="30"/>
    <w:autoRedefine/>
    <w:unhideWhenUsed/>
    <w:qFormat/>
    <w:uiPriority w:val="0"/>
    <w:pPr>
      <w:keepNext/>
      <w:keepLines/>
      <w:spacing w:beforeLines="0" w:beforeAutospacing="0" w:afterLines="0" w:afterAutospacing="0" w:line="360" w:lineRule="auto"/>
      <w:jc w:val="center"/>
      <w:outlineLvl w:val="3"/>
    </w:pPr>
    <w:rPr>
      <w:rFonts w:ascii="Times New Roman" w:hAnsi="Times New Roman" w:eastAsia="宋体"/>
      <w:sz w:val="28"/>
    </w:rPr>
  </w:style>
  <w:style w:type="paragraph" w:styleId="6">
    <w:name w:val="heading 9"/>
    <w:basedOn w:val="1"/>
    <w:next w:val="1"/>
    <w:autoRedefine/>
    <w:semiHidden/>
    <w:unhideWhenUsed/>
    <w:qFormat/>
    <w:uiPriority w:val="0"/>
    <w:pPr>
      <w:keepNext/>
      <w:keepLines/>
      <w:spacing w:before="240" w:beforeLines="0" w:beforeAutospacing="0" w:after="240" w:afterLines="0" w:afterAutospacing="0" w:line="240" w:lineRule="auto"/>
      <w:jc w:val="left"/>
      <w:outlineLvl w:val="8"/>
    </w:pPr>
    <w:rPr>
      <w:rFonts w:ascii="Arial" w:hAnsi="Arial" w:eastAsia="宋体"/>
      <w:b/>
      <w:sz w:val="24"/>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7">
    <w:name w:val="caption"/>
    <w:basedOn w:val="1"/>
    <w:next w:val="1"/>
    <w:autoRedefine/>
    <w:semiHidden/>
    <w:unhideWhenUsed/>
    <w:qFormat/>
    <w:uiPriority w:val="0"/>
    <w:rPr>
      <w:rFonts w:ascii="Arial" w:hAnsi="Arial" w:eastAsia="黑体"/>
      <w:sz w:val="20"/>
    </w:rPr>
  </w:style>
  <w:style w:type="paragraph" w:styleId="8">
    <w:name w:val="annotation text"/>
    <w:basedOn w:val="1"/>
    <w:autoRedefine/>
    <w:qFormat/>
    <w:uiPriority w:val="0"/>
    <w:pPr>
      <w:jc w:val="left"/>
    </w:pPr>
  </w:style>
  <w:style w:type="paragraph" w:styleId="9">
    <w:name w:val="Body Text"/>
    <w:basedOn w:val="1"/>
    <w:autoRedefine/>
    <w:qFormat/>
    <w:uiPriority w:val="1"/>
    <w:rPr>
      <w:rFonts w:ascii="宋体" w:hAnsi="宋体" w:eastAsia="宋体" w:cs="宋体"/>
      <w:sz w:val="21"/>
      <w:szCs w:val="21"/>
    </w:rPr>
  </w:style>
  <w:style w:type="paragraph" w:styleId="10">
    <w:name w:val="Plain Text"/>
    <w:basedOn w:val="1"/>
    <w:autoRedefine/>
    <w:qFormat/>
    <w:uiPriority w:val="0"/>
    <w:rPr>
      <w:rFonts w:ascii="宋体" w:hAnsi="Courier New" w:cs="Courier New"/>
      <w:szCs w:val="21"/>
    </w:rPr>
  </w:style>
  <w:style w:type="paragraph" w:styleId="11">
    <w:name w:val="footer"/>
    <w:basedOn w:val="1"/>
    <w:autoRedefine/>
    <w:unhideWhenUsed/>
    <w:qFormat/>
    <w:uiPriority w:val="99"/>
    <w:pPr>
      <w:tabs>
        <w:tab w:val="center" w:pos="4153"/>
        <w:tab w:val="right" w:pos="8306"/>
      </w:tabs>
      <w:snapToGrid w:val="0"/>
      <w:jc w:val="left"/>
    </w:pPr>
    <w:rPr>
      <w:sz w:val="18"/>
      <w:szCs w:val="18"/>
    </w:rPr>
  </w:style>
  <w:style w:type="paragraph" w:styleId="12">
    <w:name w:val="toc 1"/>
    <w:basedOn w:val="1"/>
    <w:next w:val="1"/>
    <w:autoRedefine/>
    <w:qFormat/>
    <w:uiPriority w:val="0"/>
  </w:style>
  <w:style w:type="paragraph" w:styleId="13">
    <w:name w:val="toc 2"/>
    <w:basedOn w:val="1"/>
    <w:next w:val="1"/>
    <w:autoRedefine/>
    <w:qFormat/>
    <w:uiPriority w:val="0"/>
    <w:pPr>
      <w:ind w:left="420" w:leftChars="200"/>
    </w:pPr>
  </w:style>
  <w:style w:type="paragraph" w:styleId="14">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qFormat/>
    <w:uiPriority w:val="0"/>
    <w:rPr>
      <w:color w:val="0000FF"/>
      <w:u w:val="single"/>
    </w:rPr>
  </w:style>
  <w:style w:type="paragraph" w:customStyle="1" w:styleId="19">
    <w:name w:val="一级标题"/>
    <w:basedOn w:val="1"/>
    <w:next w:val="1"/>
    <w:autoRedefine/>
    <w:qFormat/>
    <w:uiPriority w:val="0"/>
    <w:pPr>
      <w:keepNext/>
      <w:keepLines/>
      <w:spacing w:before="120" w:beforeLines="0" w:after="120" w:afterLines="0" w:line="240" w:lineRule="auto"/>
      <w:jc w:val="left"/>
      <w:outlineLvl w:val="4"/>
    </w:pPr>
    <w:rPr>
      <w:rFonts w:eastAsia="宋体" w:asciiTheme="minorAscii" w:hAnsiTheme="minorAscii"/>
      <w:b/>
      <w:sz w:val="28"/>
    </w:rPr>
  </w:style>
  <w:style w:type="paragraph" w:customStyle="1" w:styleId="20">
    <w:name w:val="Default"/>
    <w:autoRedefine/>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21">
    <w:name w:val="正文1"/>
    <w:basedOn w:val="1"/>
    <w:link w:val="27"/>
    <w:autoRedefine/>
    <w:qFormat/>
    <w:uiPriority w:val="0"/>
    <w:pPr>
      <w:ind w:firstLine="643" w:firstLineChars="200"/>
    </w:pPr>
    <w:rPr>
      <w:rFonts w:ascii="Times New Roman" w:hAnsi="Times New Roman"/>
    </w:rPr>
  </w:style>
  <w:style w:type="paragraph" w:styleId="22">
    <w:name w:val="List Paragraph"/>
    <w:basedOn w:val="1"/>
    <w:next w:val="1"/>
    <w:link w:val="26"/>
    <w:autoRedefine/>
    <w:qFormat/>
    <w:uiPriority w:val="1"/>
    <w:pPr>
      <w:spacing w:line="240" w:lineRule="auto"/>
      <w:ind w:left="0"/>
      <w:jc w:val="center"/>
    </w:pPr>
    <w:rPr>
      <w:rFonts w:ascii="Times New Roman" w:hAnsi="Times New Roman"/>
      <w:sz w:val="21"/>
    </w:rPr>
  </w:style>
  <w:style w:type="paragraph" w:customStyle="1" w:styleId="23">
    <w:name w:val="表格"/>
    <w:basedOn w:val="1"/>
    <w:next w:val="1"/>
    <w:link w:val="25"/>
    <w:autoRedefine/>
    <w:qFormat/>
    <w:uiPriority w:val="0"/>
    <w:pPr>
      <w:spacing w:line="240" w:lineRule="auto"/>
      <w:jc w:val="center"/>
    </w:pPr>
    <w:rPr>
      <w:rFonts w:ascii="Times New Roman" w:hAnsi="Times New Roman" w:eastAsia="黑体"/>
      <w:sz w:val="21"/>
    </w:rPr>
  </w:style>
  <w:style w:type="character" w:customStyle="1" w:styleId="24">
    <w:name w:val="标题 3 Char"/>
    <w:link w:val="4"/>
    <w:autoRedefine/>
    <w:qFormat/>
    <w:uiPriority w:val="0"/>
    <w:rPr>
      <w:sz w:val="28"/>
    </w:rPr>
  </w:style>
  <w:style w:type="character" w:customStyle="1" w:styleId="25">
    <w:name w:val="表格 Char"/>
    <w:link w:val="23"/>
    <w:autoRedefine/>
    <w:qFormat/>
    <w:uiPriority w:val="0"/>
    <w:rPr>
      <w:rFonts w:ascii="Times New Roman" w:hAnsi="Times New Roman" w:eastAsia="黑体"/>
      <w:sz w:val="21"/>
    </w:rPr>
  </w:style>
  <w:style w:type="character" w:customStyle="1" w:styleId="26">
    <w:name w:val="List Paragraph Char"/>
    <w:link w:val="22"/>
    <w:autoRedefine/>
    <w:qFormat/>
    <w:uiPriority w:val="1"/>
    <w:rPr>
      <w:rFonts w:ascii="Times New Roman" w:hAnsi="Times New Roman"/>
      <w:sz w:val="21"/>
    </w:rPr>
  </w:style>
  <w:style w:type="character" w:customStyle="1" w:styleId="27">
    <w:name w:val="正文1 Char"/>
    <w:link w:val="21"/>
    <w:autoRedefine/>
    <w:qFormat/>
    <w:uiPriority w:val="0"/>
    <w:rPr>
      <w:rFonts w:ascii="Times New Roman" w:hAnsi="Times New Roman"/>
    </w:rPr>
  </w:style>
  <w:style w:type="paragraph" w:customStyle="1" w:styleId="28">
    <w:name w:val="图片"/>
    <w:basedOn w:val="1"/>
    <w:next w:val="1"/>
    <w:autoRedefine/>
    <w:qFormat/>
    <w:uiPriority w:val="0"/>
    <w:pPr>
      <w:tabs>
        <w:tab w:val="left" w:pos="0"/>
      </w:tabs>
      <w:spacing w:line="240" w:lineRule="auto"/>
      <w:ind w:firstLine="0" w:firstLineChars="0"/>
      <w:jc w:val="center"/>
    </w:pPr>
    <w:rPr>
      <w:rFonts w:ascii="Times New Roman" w:hAnsi="Times New Roman" w:eastAsia="黑体"/>
      <w:sz w:val="21"/>
    </w:rPr>
  </w:style>
  <w:style w:type="paragraph" w:customStyle="1" w:styleId="29">
    <w:name w:val="表格文字"/>
    <w:basedOn w:val="1"/>
    <w:next w:val="1"/>
    <w:autoRedefine/>
    <w:qFormat/>
    <w:uiPriority w:val="0"/>
    <w:pPr>
      <w:tabs>
        <w:tab w:val="left" w:pos="420"/>
      </w:tabs>
      <w:spacing w:line="288" w:lineRule="auto"/>
    </w:pPr>
    <w:rPr>
      <w:rFonts w:ascii="Times New Roman" w:hAnsi="Times New Roman"/>
      <w:sz w:val="21"/>
    </w:rPr>
  </w:style>
  <w:style w:type="character" w:customStyle="1" w:styleId="30">
    <w:name w:val="标题 4 Char"/>
    <w:link w:val="5"/>
    <w:autoRedefine/>
    <w:qFormat/>
    <w:uiPriority w:val="0"/>
    <w:rPr>
      <w:rFonts w:ascii="Times New Roman" w:hAnsi="Times New Roman" w:eastAsia="宋体"/>
      <w:sz w:val="28"/>
    </w:rPr>
  </w:style>
  <w:style w:type="paragraph" w:customStyle="1" w:styleId="31">
    <w:name w:val="Table Paragraph"/>
    <w:basedOn w:val="1"/>
    <w:autoRedefine/>
    <w:unhideWhenUsed/>
    <w:qFormat/>
    <w:uiPriority w:val="1"/>
    <w:pPr>
      <w:spacing w:beforeLines="0" w:afterLines="0"/>
    </w:pPr>
    <w:rPr>
      <w:rFonts w:hint="eastAsia"/>
      <w:sz w:val="22"/>
      <w:szCs w:val="22"/>
    </w:rPr>
  </w:style>
  <w:style w:type="paragraph" w:customStyle="1" w:styleId="32">
    <w:name w:val="标准扉页（福建省工程建设地方标准）"/>
    <w:basedOn w:val="1"/>
    <w:autoRedefine/>
    <w:qFormat/>
    <w:uiPriority w:val="0"/>
    <w:pPr>
      <w:jc w:val="center"/>
    </w:pPr>
    <w:rPr>
      <w:rFonts w:eastAsia="黑体"/>
      <w:sz w:val="28"/>
      <w:szCs w:val="20"/>
    </w:rPr>
  </w:style>
  <w:style w:type="paragraph" w:customStyle="1" w:styleId="33">
    <w:name w:val="标准扉页（标准名称）"/>
    <w:basedOn w:val="1"/>
    <w:autoRedefine/>
    <w:qFormat/>
    <w:uiPriority w:val="0"/>
    <w:pPr>
      <w:jc w:val="center"/>
    </w:pPr>
    <w:rPr>
      <w:rFonts w:eastAsia="黑体"/>
      <w:sz w:val="30"/>
      <w:szCs w:val="20"/>
    </w:rPr>
  </w:style>
  <w:style w:type="paragraph" w:customStyle="1" w:styleId="34">
    <w:name w:val="扉页（出版时间地点）"/>
    <w:basedOn w:val="1"/>
    <w:autoRedefine/>
    <w:qFormat/>
    <w:uiPriority w:val="0"/>
    <w:pPr>
      <w:jc w:val="center"/>
    </w:pPr>
    <w:rPr>
      <w:rFonts w:eastAsia="黑体" w:cs="宋体"/>
      <w:szCs w:val="20"/>
    </w:rPr>
  </w:style>
  <w:style w:type="paragraph" w:customStyle="1" w:styleId="35">
    <w:name w:val="规程英文名称（封面）"/>
    <w:basedOn w:val="10"/>
    <w:autoRedefine/>
    <w:qFormat/>
    <w:uiPriority w:val="0"/>
    <w:pPr>
      <w:widowControl/>
      <w:snapToGrid w:val="0"/>
      <w:spacing w:line="360" w:lineRule="auto"/>
      <w:ind w:left="178" w:leftChars="85"/>
      <w:jc w:val="center"/>
    </w:pPr>
    <w:rPr>
      <w:rFonts w:hAnsi="Times New Roman" w:eastAsia="黑体" w:asciiTheme="minorHAnsi" w:cstheme="minorBidi"/>
      <w:kern w:val="0"/>
      <w:sz w:val="44"/>
      <w:szCs w:val="44"/>
    </w:rPr>
  </w:style>
  <w:style w:type="paragraph" w:customStyle="1" w:styleId="36">
    <w:name w:val="段"/>
    <w:autoRedefine/>
    <w:qFormat/>
    <w:uiPriority w:val="0"/>
    <w:pPr>
      <w:autoSpaceDE w:val="0"/>
      <w:autoSpaceDN w:val="0"/>
      <w:spacing w:after="160" w:line="259" w:lineRule="auto"/>
      <w:ind w:firstLine="200" w:firstLineChars="200"/>
      <w:jc w:val="both"/>
    </w:pPr>
    <w:rPr>
      <w:rFonts w:ascii="宋体" w:hAnsi="Times New Roman" w:eastAsia="宋体" w:cs="Times New Roman"/>
      <w:sz w:val="21"/>
      <w:lang w:val="en-US" w:eastAsia="zh-CN" w:bidi="ar-SA"/>
    </w:rPr>
  </w:style>
  <w:style w:type="paragraph" w:customStyle="1" w:styleId="37">
    <w:name w:val="表格中的文字"/>
    <w:basedOn w:val="1"/>
    <w:autoRedefine/>
    <w:qFormat/>
    <w:uiPriority w:val="0"/>
    <w:pPr>
      <w:autoSpaceDE w:val="0"/>
      <w:autoSpaceDN w:val="0"/>
      <w:adjustRightInd w:val="0"/>
      <w:spacing w:line="288" w:lineRule="auto"/>
      <w:jc w:val="center"/>
    </w:pPr>
    <w:rPr>
      <w:rFonts w:ascii="宋体" w:hAnsi="宋体"/>
      <w:color w:val="000000"/>
      <w:kern w:val="0"/>
      <w:sz w:val="15"/>
      <w:szCs w:val="15"/>
    </w:rPr>
  </w:style>
  <w:style w:type="paragraph" w:customStyle="1" w:styleId="38">
    <w:name w:val="WPSOffice手动目录 1"/>
    <w:autoRedefine/>
    <w:qFormat/>
    <w:uiPriority w:val="0"/>
    <w:pPr>
      <w:ind w:leftChars="0"/>
    </w:pPr>
    <w:rPr>
      <w:rFonts w:ascii="Times New Roman" w:hAnsi="Times New Roman" w:eastAsia="宋体" w:cs="Times New Roman"/>
      <w:sz w:val="20"/>
      <w:szCs w:val="20"/>
    </w:rPr>
  </w:style>
  <w:style w:type="paragraph" w:customStyle="1" w:styleId="39">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wmf"/><Relationship Id="rId31" Type="http://schemas.openxmlformats.org/officeDocument/2006/relationships/oleObject" Target="embeddings/oleObject4.bin"/><Relationship Id="rId30" Type="http://schemas.openxmlformats.org/officeDocument/2006/relationships/image" Target="media/image19.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8.wmf"/><Relationship Id="rId27" Type="http://schemas.openxmlformats.org/officeDocument/2006/relationships/oleObject" Target="embeddings/oleObject2.bin"/><Relationship Id="rId26" Type="http://schemas.openxmlformats.org/officeDocument/2006/relationships/image" Target="media/image17.emf"/><Relationship Id="rId25" Type="http://schemas.openxmlformats.org/officeDocument/2006/relationships/image" Target="media/image16.emf"/><Relationship Id="rId24" Type="http://schemas.openxmlformats.org/officeDocument/2006/relationships/image" Target="media/image15.e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43900</Words>
  <Characters>47479</Characters>
  <Lines>0</Lines>
  <Paragraphs>0</Paragraphs>
  <TotalTime>10</TotalTime>
  <ScaleCrop>false</ScaleCrop>
  <LinksUpToDate>false</LinksUpToDate>
  <CharactersWithSpaces>48351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2023-02-28T11:36:00Z</dcterms:created>
  <dc:creator>oucwu</dc:creator>
  <cp:lastModifiedBy>W</cp:lastModifiedBy>
  <dcterms:modified xsi:type="dcterms:W3CDTF">2024-01-05T02:07:30Z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68F58AFB776E4F3188363E08119FA365</vt:lpwstr>
  </property>
</Properties>
</file>